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05277" w14:textId="77777777" w:rsidR="00130C01" w:rsidRPr="00DE3D86" w:rsidRDefault="00130C01" w:rsidP="00D0142F">
      <w:pPr>
        <w:pStyle w:val="Pagrindinistekstas"/>
        <w:spacing w:after="0"/>
        <w:rPr>
          <w:sz w:val="22"/>
          <w:szCs w:val="22"/>
        </w:rPr>
      </w:pPr>
    </w:p>
    <w:p w14:paraId="1CD86CEF" w14:textId="77777777" w:rsidR="00130C01" w:rsidRPr="00DE3D86" w:rsidRDefault="00130C01" w:rsidP="00D0142F">
      <w:pPr>
        <w:pStyle w:val="Pagrindinistekstas"/>
        <w:spacing w:after="0"/>
        <w:rPr>
          <w:sz w:val="22"/>
          <w:szCs w:val="22"/>
        </w:rPr>
      </w:pPr>
    </w:p>
    <w:p w14:paraId="35D7CE2A" w14:textId="77777777" w:rsidR="00130C01" w:rsidRPr="00DE3D86" w:rsidRDefault="00130C01" w:rsidP="00D0142F">
      <w:pPr>
        <w:pStyle w:val="Pagrindinistekstas"/>
        <w:spacing w:after="0"/>
        <w:rPr>
          <w:sz w:val="22"/>
          <w:szCs w:val="22"/>
        </w:rPr>
      </w:pPr>
    </w:p>
    <w:p w14:paraId="330CE3B8" w14:textId="77777777" w:rsidR="00130C01" w:rsidRPr="00DE3D86" w:rsidRDefault="00130C01" w:rsidP="00D0142F">
      <w:pPr>
        <w:pStyle w:val="Pagrindinistekstas"/>
        <w:spacing w:after="0"/>
        <w:rPr>
          <w:sz w:val="22"/>
          <w:szCs w:val="22"/>
        </w:rPr>
      </w:pPr>
    </w:p>
    <w:p w14:paraId="1088E81B" w14:textId="77777777" w:rsidR="00130C01" w:rsidRPr="00DE3D86" w:rsidRDefault="00130C01" w:rsidP="00D0142F">
      <w:pPr>
        <w:pStyle w:val="Pagrindinistekstas"/>
        <w:spacing w:after="0"/>
        <w:rPr>
          <w:sz w:val="22"/>
          <w:szCs w:val="22"/>
        </w:rPr>
      </w:pPr>
    </w:p>
    <w:p w14:paraId="6F3D1A9D" w14:textId="77777777" w:rsidR="00130C01" w:rsidRPr="00DE3D86" w:rsidRDefault="00130C01" w:rsidP="00D0142F">
      <w:pPr>
        <w:pStyle w:val="Pagrindinistekstas"/>
        <w:spacing w:after="0"/>
        <w:rPr>
          <w:sz w:val="22"/>
          <w:szCs w:val="22"/>
        </w:rPr>
      </w:pPr>
    </w:p>
    <w:p w14:paraId="1632EBD4" w14:textId="77777777" w:rsidR="00130C01" w:rsidRPr="00DE3D86" w:rsidRDefault="00130C01" w:rsidP="00D0142F">
      <w:pPr>
        <w:pStyle w:val="Pagrindinistekstas"/>
        <w:spacing w:after="0"/>
        <w:rPr>
          <w:sz w:val="22"/>
          <w:szCs w:val="22"/>
        </w:rPr>
      </w:pPr>
    </w:p>
    <w:p w14:paraId="3A8DE1FB" w14:textId="77777777" w:rsidR="00130C01" w:rsidRPr="00DE3D86" w:rsidRDefault="00130C01" w:rsidP="00D0142F">
      <w:pPr>
        <w:pStyle w:val="Pagrindinistekstas"/>
        <w:spacing w:after="0"/>
        <w:rPr>
          <w:sz w:val="22"/>
          <w:szCs w:val="22"/>
        </w:rPr>
      </w:pPr>
    </w:p>
    <w:p w14:paraId="70233C56" w14:textId="77777777" w:rsidR="00130C01" w:rsidRPr="00DE3D86" w:rsidRDefault="00130C01" w:rsidP="00D0142F">
      <w:pPr>
        <w:pStyle w:val="Pagrindinistekstas"/>
        <w:spacing w:after="0"/>
        <w:rPr>
          <w:sz w:val="22"/>
          <w:szCs w:val="22"/>
        </w:rPr>
      </w:pPr>
    </w:p>
    <w:p w14:paraId="12CEAD80" w14:textId="77777777" w:rsidR="00130C01" w:rsidRPr="00DE3D86" w:rsidRDefault="00130C01" w:rsidP="00D0142F">
      <w:pPr>
        <w:pStyle w:val="Pagrindinistekstas"/>
        <w:spacing w:after="0"/>
        <w:rPr>
          <w:sz w:val="22"/>
          <w:szCs w:val="22"/>
        </w:rPr>
      </w:pPr>
    </w:p>
    <w:p w14:paraId="1DE2BD87" w14:textId="77777777" w:rsidR="00130C01" w:rsidRPr="00DE3D86" w:rsidRDefault="00130C01" w:rsidP="00D0142F">
      <w:pPr>
        <w:pStyle w:val="Pagrindinistekstas"/>
        <w:spacing w:after="0"/>
        <w:rPr>
          <w:sz w:val="22"/>
          <w:szCs w:val="22"/>
        </w:rPr>
      </w:pPr>
    </w:p>
    <w:p w14:paraId="1E8D9619" w14:textId="77777777" w:rsidR="00130C01" w:rsidRPr="00DE3D86" w:rsidRDefault="00130C01" w:rsidP="00D0142F">
      <w:pPr>
        <w:pStyle w:val="Pagrindinistekstas"/>
        <w:spacing w:after="0"/>
        <w:rPr>
          <w:sz w:val="22"/>
          <w:szCs w:val="22"/>
        </w:rPr>
      </w:pPr>
    </w:p>
    <w:p w14:paraId="38C3FD72" w14:textId="77777777" w:rsidR="00130C01" w:rsidRPr="00DE3D86" w:rsidRDefault="00130C01" w:rsidP="00D0142F">
      <w:pPr>
        <w:pStyle w:val="Pagrindinistekstas"/>
        <w:spacing w:after="0"/>
        <w:rPr>
          <w:sz w:val="22"/>
          <w:szCs w:val="22"/>
        </w:rPr>
      </w:pPr>
    </w:p>
    <w:p w14:paraId="51DED960" w14:textId="77777777" w:rsidR="00130C01" w:rsidRPr="00DE3D86" w:rsidRDefault="00130C01" w:rsidP="00D0142F">
      <w:pPr>
        <w:pStyle w:val="Pagrindinistekstas"/>
        <w:spacing w:after="0"/>
        <w:rPr>
          <w:sz w:val="22"/>
          <w:szCs w:val="22"/>
        </w:rPr>
      </w:pPr>
    </w:p>
    <w:p w14:paraId="6D462558" w14:textId="77777777" w:rsidR="00130C01" w:rsidRPr="00DE3D86" w:rsidRDefault="00130C01" w:rsidP="00D0142F">
      <w:pPr>
        <w:pStyle w:val="Pagrindinistekstas"/>
        <w:spacing w:after="0"/>
        <w:rPr>
          <w:sz w:val="22"/>
          <w:szCs w:val="22"/>
        </w:rPr>
      </w:pPr>
    </w:p>
    <w:p w14:paraId="37138945" w14:textId="77777777" w:rsidR="00130C01" w:rsidRPr="00DE3D86" w:rsidRDefault="00130C01" w:rsidP="00D0142F">
      <w:pPr>
        <w:pStyle w:val="Pagrindinistekstas"/>
        <w:spacing w:after="0"/>
        <w:rPr>
          <w:sz w:val="22"/>
          <w:szCs w:val="22"/>
        </w:rPr>
      </w:pPr>
    </w:p>
    <w:p w14:paraId="0385EFEA" w14:textId="77777777" w:rsidR="00130C01" w:rsidRPr="00DE3D86" w:rsidRDefault="00130C01" w:rsidP="00D0142F">
      <w:pPr>
        <w:pStyle w:val="Pagrindinistekstas"/>
        <w:spacing w:after="0"/>
        <w:rPr>
          <w:sz w:val="22"/>
          <w:szCs w:val="22"/>
        </w:rPr>
      </w:pPr>
    </w:p>
    <w:p w14:paraId="4451A14D" w14:textId="77777777" w:rsidR="00130C01" w:rsidRPr="00DE3D86" w:rsidRDefault="00130C01" w:rsidP="00D0142F">
      <w:pPr>
        <w:pStyle w:val="Pagrindinistekstas"/>
        <w:spacing w:after="0"/>
        <w:rPr>
          <w:sz w:val="22"/>
          <w:szCs w:val="22"/>
        </w:rPr>
      </w:pPr>
    </w:p>
    <w:p w14:paraId="0AA5D0C8" w14:textId="77777777" w:rsidR="00130C01" w:rsidRPr="00DE3D86" w:rsidRDefault="00130C01" w:rsidP="00D0142F">
      <w:pPr>
        <w:pStyle w:val="Pagrindinistekstas"/>
        <w:spacing w:after="0"/>
        <w:rPr>
          <w:sz w:val="22"/>
          <w:szCs w:val="22"/>
        </w:rPr>
      </w:pPr>
    </w:p>
    <w:p w14:paraId="164738EA" w14:textId="77777777" w:rsidR="00130C01" w:rsidRPr="00DE3D86" w:rsidRDefault="00130C01" w:rsidP="00D0142F">
      <w:pPr>
        <w:pStyle w:val="Pagrindinistekstas"/>
        <w:spacing w:after="0"/>
        <w:rPr>
          <w:sz w:val="22"/>
          <w:szCs w:val="22"/>
        </w:rPr>
      </w:pPr>
    </w:p>
    <w:p w14:paraId="455F1B96" w14:textId="77777777" w:rsidR="00130C01" w:rsidRPr="00DE3D86" w:rsidRDefault="00130C01" w:rsidP="00D0142F">
      <w:pPr>
        <w:pStyle w:val="Pagrindinistekstas"/>
        <w:spacing w:after="0"/>
        <w:rPr>
          <w:sz w:val="22"/>
          <w:szCs w:val="22"/>
        </w:rPr>
      </w:pPr>
    </w:p>
    <w:p w14:paraId="6CB21445" w14:textId="77777777" w:rsidR="00130C01" w:rsidRPr="00DE3D86" w:rsidRDefault="00130C01" w:rsidP="00D0142F">
      <w:pPr>
        <w:pStyle w:val="Pagrindinistekstas"/>
        <w:spacing w:after="0"/>
        <w:rPr>
          <w:sz w:val="22"/>
          <w:szCs w:val="22"/>
        </w:rPr>
      </w:pPr>
    </w:p>
    <w:p w14:paraId="06C07F8D" w14:textId="77777777" w:rsidR="00130C01" w:rsidRPr="00DE3D86" w:rsidRDefault="00130C01" w:rsidP="00D0142F">
      <w:pPr>
        <w:pStyle w:val="Pagrindinistekstas"/>
        <w:spacing w:after="0"/>
        <w:rPr>
          <w:sz w:val="22"/>
          <w:szCs w:val="22"/>
        </w:rPr>
      </w:pPr>
    </w:p>
    <w:p w14:paraId="21E9E7AA" w14:textId="77777777" w:rsidR="00130C01" w:rsidRPr="00DE3D86" w:rsidRDefault="00130C01" w:rsidP="00D0142F">
      <w:pPr>
        <w:pStyle w:val="Pavadinimas"/>
        <w:rPr>
          <w:sz w:val="22"/>
          <w:szCs w:val="22"/>
        </w:rPr>
      </w:pPr>
      <w:r w:rsidRPr="00DE3D86">
        <w:rPr>
          <w:sz w:val="22"/>
          <w:szCs w:val="22"/>
        </w:rPr>
        <w:t>I PRIEDAS</w:t>
      </w:r>
    </w:p>
    <w:p w14:paraId="25693B60" w14:textId="77777777" w:rsidR="00130C01" w:rsidRPr="00DE3D86" w:rsidRDefault="00130C01" w:rsidP="00D0142F">
      <w:pPr>
        <w:pStyle w:val="Pagrindinistekstas"/>
        <w:spacing w:after="0"/>
        <w:rPr>
          <w:sz w:val="22"/>
          <w:szCs w:val="22"/>
        </w:rPr>
      </w:pPr>
    </w:p>
    <w:p w14:paraId="5117AAD0" w14:textId="77777777" w:rsidR="00130C01" w:rsidRPr="00DE3D86" w:rsidRDefault="00130C01" w:rsidP="00D0142F">
      <w:pPr>
        <w:pStyle w:val="Pavadinimas"/>
        <w:rPr>
          <w:sz w:val="22"/>
          <w:szCs w:val="22"/>
        </w:rPr>
      </w:pPr>
      <w:r w:rsidRPr="00DE3D86">
        <w:rPr>
          <w:sz w:val="22"/>
          <w:szCs w:val="22"/>
        </w:rPr>
        <w:t>PREPARATO CHARAKTERISTIKŲ SANTRAUKA</w:t>
      </w:r>
    </w:p>
    <w:p w14:paraId="1400DEB5" w14:textId="77777777" w:rsidR="00130C01" w:rsidRPr="00DE3D86" w:rsidRDefault="00130C01" w:rsidP="00D0142F">
      <w:pPr>
        <w:pStyle w:val="Pagrindinistekstas"/>
        <w:spacing w:after="0"/>
        <w:rPr>
          <w:sz w:val="22"/>
          <w:szCs w:val="22"/>
        </w:rPr>
      </w:pPr>
    </w:p>
    <w:p w14:paraId="006C83E0" w14:textId="77777777" w:rsidR="00130C01" w:rsidRPr="00DE3D86" w:rsidRDefault="00130C01" w:rsidP="00D0142F">
      <w:pPr>
        <w:pStyle w:val="Antrat2"/>
        <w:rPr>
          <w:szCs w:val="22"/>
        </w:rPr>
      </w:pPr>
      <w:r w:rsidRPr="00DE3D86">
        <w:rPr>
          <w:szCs w:val="22"/>
        </w:rPr>
        <w:br w:type="page"/>
      </w:r>
      <w:r w:rsidRPr="00DE3D86">
        <w:rPr>
          <w:szCs w:val="22"/>
        </w:rPr>
        <w:lastRenderedPageBreak/>
        <w:t>1.</w:t>
      </w:r>
      <w:r w:rsidRPr="00DE3D86">
        <w:rPr>
          <w:szCs w:val="22"/>
        </w:rPr>
        <w:tab/>
        <w:t>VAISTINIO PREPARATO PAVADINIMAS</w:t>
      </w:r>
    </w:p>
    <w:p w14:paraId="5E0BCBBD" w14:textId="77777777" w:rsidR="00130C01" w:rsidRPr="00DE3D86" w:rsidRDefault="00130C01" w:rsidP="00D0142F">
      <w:pPr>
        <w:pStyle w:val="Pagrindinistekstas"/>
        <w:spacing w:after="0"/>
        <w:rPr>
          <w:sz w:val="22"/>
          <w:szCs w:val="22"/>
        </w:rPr>
      </w:pPr>
    </w:p>
    <w:p w14:paraId="059407AD" w14:textId="77777777" w:rsidR="00130C01" w:rsidRPr="00DE3D86" w:rsidRDefault="00130C01" w:rsidP="00D0142F">
      <w:pPr>
        <w:pStyle w:val="Pagrindinistekstas"/>
        <w:spacing w:after="0"/>
        <w:rPr>
          <w:sz w:val="22"/>
          <w:szCs w:val="22"/>
        </w:rPr>
      </w:pPr>
      <w:bookmarkStart w:id="0" w:name="_GoBack"/>
      <w:r w:rsidRPr="00DE3D86">
        <w:rPr>
          <w:sz w:val="22"/>
          <w:szCs w:val="22"/>
        </w:rPr>
        <w:t xml:space="preserve">Tinidazol Polpharma </w:t>
      </w:r>
      <w:bookmarkEnd w:id="0"/>
      <w:r w:rsidRPr="00DE3D86">
        <w:rPr>
          <w:sz w:val="22"/>
          <w:szCs w:val="22"/>
        </w:rPr>
        <w:t>500 mg plėvele dengtos tabletės</w:t>
      </w:r>
    </w:p>
    <w:p w14:paraId="1AF73A03" w14:textId="77777777" w:rsidR="00130C01" w:rsidRPr="00DE3D86" w:rsidRDefault="00130C01" w:rsidP="00D0142F">
      <w:pPr>
        <w:pStyle w:val="Pagrindinistekstas"/>
        <w:spacing w:after="0"/>
        <w:rPr>
          <w:sz w:val="22"/>
          <w:szCs w:val="22"/>
        </w:rPr>
      </w:pPr>
    </w:p>
    <w:p w14:paraId="1979477B" w14:textId="77777777" w:rsidR="00130C01" w:rsidRPr="00DE3D86" w:rsidRDefault="00130C01" w:rsidP="00D0142F">
      <w:pPr>
        <w:pStyle w:val="Pagrindinistekstas"/>
        <w:spacing w:after="0"/>
        <w:rPr>
          <w:sz w:val="22"/>
          <w:szCs w:val="22"/>
        </w:rPr>
      </w:pPr>
    </w:p>
    <w:p w14:paraId="5CB7EA9C" w14:textId="77777777" w:rsidR="00130C01" w:rsidRPr="00DE3D86" w:rsidRDefault="00130C01" w:rsidP="00D0142F">
      <w:pPr>
        <w:pStyle w:val="Antrat2"/>
        <w:rPr>
          <w:szCs w:val="22"/>
        </w:rPr>
      </w:pPr>
      <w:r w:rsidRPr="00DE3D86">
        <w:rPr>
          <w:szCs w:val="22"/>
        </w:rPr>
        <w:t>2.</w:t>
      </w:r>
      <w:r w:rsidRPr="00DE3D86">
        <w:rPr>
          <w:szCs w:val="22"/>
        </w:rPr>
        <w:tab/>
        <w:t>KOKYBINĖ IR KIEKYBINĖ SUDĖTIS</w:t>
      </w:r>
    </w:p>
    <w:p w14:paraId="16B053F7" w14:textId="77777777" w:rsidR="00130C01" w:rsidRPr="00DE3D86" w:rsidRDefault="00130C01" w:rsidP="00D0142F">
      <w:pPr>
        <w:pStyle w:val="Pagrindinistekstas"/>
        <w:spacing w:after="0"/>
        <w:rPr>
          <w:sz w:val="22"/>
          <w:szCs w:val="22"/>
        </w:rPr>
      </w:pPr>
    </w:p>
    <w:p w14:paraId="0591F6C9" w14:textId="77777777" w:rsidR="00130C01" w:rsidRPr="00DE3D86" w:rsidRDefault="00D0142F" w:rsidP="00D0142F">
      <w:pPr>
        <w:pStyle w:val="Pagrindinistekstas"/>
        <w:spacing w:after="0"/>
        <w:rPr>
          <w:sz w:val="22"/>
          <w:szCs w:val="22"/>
        </w:rPr>
      </w:pPr>
      <w:r w:rsidRPr="00DE3D86">
        <w:rPr>
          <w:sz w:val="22"/>
          <w:szCs w:val="22"/>
        </w:rPr>
        <w:t>Kiekv</w:t>
      </w:r>
      <w:r w:rsidR="00130C01" w:rsidRPr="00DE3D86">
        <w:rPr>
          <w:sz w:val="22"/>
          <w:szCs w:val="22"/>
        </w:rPr>
        <w:t>ienoje plėvele dengtoje tabletėje yra 500 mg tinidazolo.</w:t>
      </w:r>
    </w:p>
    <w:p w14:paraId="4BB53E82" w14:textId="77777777" w:rsidR="00D0142F" w:rsidRPr="00DE3D86" w:rsidRDefault="00D0142F" w:rsidP="00D0142F">
      <w:pPr>
        <w:pStyle w:val="Pagrindinistekstas"/>
        <w:spacing w:after="0"/>
        <w:rPr>
          <w:sz w:val="22"/>
          <w:szCs w:val="22"/>
        </w:rPr>
      </w:pPr>
    </w:p>
    <w:p w14:paraId="032BD1A1" w14:textId="77777777" w:rsidR="00130C01" w:rsidRPr="00DE3D86" w:rsidRDefault="00D0142F" w:rsidP="00D0142F">
      <w:pPr>
        <w:pStyle w:val="Pagrindinistekstas"/>
        <w:spacing w:after="0"/>
        <w:rPr>
          <w:sz w:val="22"/>
          <w:szCs w:val="22"/>
        </w:rPr>
      </w:pPr>
      <w:r w:rsidRPr="00DE3D86">
        <w:rPr>
          <w:sz w:val="22"/>
          <w:szCs w:val="22"/>
        </w:rPr>
        <w:t>Visos p</w:t>
      </w:r>
      <w:r w:rsidR="00130C01" w:rsidRPr="00DE3D86">
        <w:rPr>
          <w:sz w:val="22"/>
          <w:szCs w:val="22"/>
        </w:rPr>
        <w:t>agalbinės medžiagos išvardytos 6.1 skyriuje.</w:t>
      </w:r>
    </w:p>
    <w:p w14:paraId="4315BD25" w14:textId="77777777" w:rsidR="00130C01" w:rsidRPr="00DE3D86" w:rsidRDefault="00130C01" w:rsidP="00D0142F">
      <w:pPr>
        <w:pStyle w:val="Pagrindinistekstas"/>
        <w:spacing w:after="0"/>
        <w:rPr>
          <w:sz w:val="22"/>
          <w:szCs w:val="22"/>
        </w:rPr>
      </w:pPr>
    </w:p>
    <w:p w14:paraId="3405FC00" w14:textId="77777777" w:rsidR="00130C01" w:rsidRPr="00DE3D86" w:rsidRDefault="00130C01" w:rsidP="00D0142F">
      <w:pPr>
        <w:pStyle w:val="Pagrindinistekstas"/>
        <w:spacing w:after="0"/>
        <w:rPr>
          <w:sz w:val="22"/>
          <w:szCs w:val="22"/>
        </w:rPr>
      </w:pPr>
    </w:p>
    <w:p w14:paraId="64A16862" w14:textId="77777777" w:rsidR="00130C01" w:rsidRPr="00DE3D86" w:rsidRDefault="00130C01" w:rsidP="00D0142F">
      <w:pPr>
        <w:pStyle w:val="Antrat2"/>
        <w:rPr>
          <w:szCs w:val="22"/>
        </w:rPr>
      </w:pPr>
      <w:r w:rsidRPr="00DE3D86">
        <w:rPr>
          <w:szCs w:val="22"/>
        </w:rPr>
        <w:t>3.</w:t>
      </w:r>
      <w:r w:rsidRPr="00DE3D86">
        <w:rPr>
          <w:szCs w:val="22"/>
        </w:rPr>
        <w:tab/>
      </w:r>
      <w:r w:rsidR="00D0142F" w:rsidRPr="00DE3D86">
        <w:rPr>
          <w:szCs w:val="22"/>
        </w:rPr>
        <w:t xml:space="preserve">FARMACINĖ </w:t>
      </w:r>
      <w:r w:rsidRPr="00DE3D86">
        <w:rPr>
          <w:szCs w:val="22"/>
        </w:rPr>
        <w:t>FORMA</w:t>
      </w:r>
    </w:p>
    <w:p w14:paraId="1F2E7662" w14:textId="77777777" w:rsidR="00130C01" w:rsidRPr="00DE3D86" w:rsidRDefault="00130C01" w:rsidP="00D0142F">
      <w:pPr>
        <w:pStyle w:val="Pagrindinistekstas"/>
        <w:spacing w:after="0"/>
        <w:rPr>
          <w:sz w:val="22"/>
          <w:szCs w:val="22"/>
        </w:rPr>
      </w:pPr>
    </w:p>
    <w:p w14:paraId="54804DF7" w14:textId="77777777" w:rsidR="00130C01" w:rsidRPr="00DE3D86" w:rsidRDefault="00130C01" w:rsidP="00D0142F">
      <w:pPr>
        <w:pStyle w:val="Pagrindinistekstas"/>
        <w:spacing w:after="0"/>
        <w:rPr>
          <w:sz w:val="22"/>
          <w:szCs w:val="22"/>
        </w:rPr>
      </w:pPr>
      <w:r w:rsidRPr="00DE3D86">
        <w:rPr>
          <w:sz w:val="22"/>
          <w:szCs w:val="22"/>
        </w:rPr>
        <w:t>Plėvele dengta tabletė</w:t>
      </w:r>
      <w:r w:rsidR="00D0142F" w:rsidRPr="00DE3D86">
        <w:rPr>
          <w:sz w:val="22"/>
          <w:szCs w:val="22"/>
        </w:rPr>
        <w:t>.</w:t>
      </w:r>
    </w:p>
    <w:p w14:paraId="593BD7B1" w14:textId="77777777" w:rsidR="00130C01" w:rsidRPr="00DE3D86" w:rsidRDefault="00130C01" w:rsidP="00D0142F">
      <w:pPr>
        <w:pStyle w:val="Pagrindinistekstas"/>
        <w:spacing w:after="0"/>
        <w:rPr>
          <w:sz w:val="22"/>
          <w:szCs w:val="22"/>
        </w:rPr>
      </w:pPr>
      <w:r w:rsidRPr="00DE3D86">
        <w:rPr>
          <w:sz w:val="22"/>
          <w:szCs w:val="22"/>
        </w:rPr>
        <w:t xml:space="preserve">Tabletės yra baltos, kreminio atspalvio, apskritos, abipus išgaubtos, jų skersmuo yra </w:t>
      </w:r>
      <w:smartTag w:uri="schemas-tilde-lv/tildestengine" w:element="metric2">
        <w:smartTagPr>
          <w:attr w:name="metric_text" w:val="mm"/>
          <w:attr w:name="metric_value" w:val="13"/>
        </w:smartTagPr>
        <w:smartTag w:uri="urn:schemas-microsoft-com:office:smarttags" w:element="metricconverter">
          <w:smartTagPr>
            <w:attr w:name="ProductID" w:val="13 mm"/>
          </w:smartTagPr>
          <w:r w:rsidRPr="00DE3D86">
            <w:rPr>
              <w:sz w:val="22"/>
              <w:szCs w:val="22"/>
            </w:rPr>
            <w:t>13 mm</w:t>
          </w:r>
        </w:smartTag>
      </w:smartTag>
      <w:r w:rsidRPr="00DE3D86">
        <w:rPr>
          <w:sz w:val="22"/>
          <w:szCs w:val="22"/>
        </w:rPr>
        <w:t>.</w:t>
      </w:r>
    </w:p>
    <w:p w14:paraId="67CE8EC5" w14:textId="77777777" w:rsidR="00130C01" w:rsidRPr="00DE3D86" w:rsidRDefault="00130C01" w:rsidP="00D0142F">
      <w:pPr>
        <w:pStyle w:val="Pagrindinistekstas"/>
        <w:spacing w:after="0"/>
        <w:rPr>
          <w:sz w:val="22"/>
          <w:szCs w:val="22"/>
        </w:rPr>
      </w:pPr>
    </w:p>
    <w:p w14:paraId="7A4803DD" w14:textId="77777777" w:rsidR="00130C01" w:rsidRPr="00DE3D86" w:rsidRDefault="00130C01" w:rsidP="00D0142F">
      <w:pPr>
        <w:pStyle w:val="Pagrindinistekstas"/>
        <w:spacing w:after="0"/>
        <w:rPr>
          <w:sz w:val="22"/>
          <w:szCs w:val="22"/>
        </w:rPr>
      </w:pPr>
    </w:p>
    <w:p w14:paraId="37C92F7E" w14:textId="77777777" w:rsidR="00130C01" w:rsidRPr="00DE3D86" w:rsidRDefault="00130C01" w:rsidP="00D0142F">
      <w:pPr>
        <w:pStyle w:val="Antrat2"/>
        <w:rPr>
          <w:szCs w:val="22"/>
        </w:rPr>
      </w:pPr>
      <w:r w:rsidRPr="00DE3D86">
        <w:rPr>
          <w:caps/>
          <w:szCs w:val="22"/>
        </w:rPr>
        <w:t>4.</w:t>
      </w:r>
      <w:r w:rsidRPr="00DE3D86">
        <w:rPr>
          <w:caps/>
          <w:szCs w:val="22"/>
        </w:rPr>
        <w:tab/>
      </w:r>
      <w:r w:rsidRPr="00DE3D86">
        <w:rPr>
          <w:szCs w:val="22"/>
        </w:rPr>
        <w:t>KLINIKINĖ INFORMACIJA</w:t>
      </w:r>
    </w:p>
    <w:p w14:paraId="3C2FD881" w14:textId="77777777" w:rsidR="00130C01" w:rsidRPr="00DE3D86" w:rsidRDefault="00130C01" w:rsidP="00D0142F">
      <w:pPr>
        <w:pStyle w:val="Pagrindinistekstas"/>
        <w:spacing w:after="0"/>
        <w:rPr>
          <w:sz w:val="22"/>
          <w:szCs w:val="22"/>
        </w:rPr>
      </w:pPr>
    </w:p>
    <w:p w14:paraId="12919DA4" w14:textId="77777777" w:rsidR="00130C01" w:rsidRPr="00DE3D86" w:rsidRDefault="00130C01" w:rsidP="00D0142F">
      <w:pPr>
        <w:pStyle w:val="Antrat3"/>
        <w:rPr>
          <w:szCs w:val="22"/>
        </w:rPr>
      </w:pPr>
      <w:r w:rsidRPr="00DE3D86">
        <w:rPr>
          <w:szCs w:val="22"/>
        </w:rPr>
        <w:t>4.1</w:t>
      </w:r>
      <w:r w:rsidRPr="00DE3D86">
        <w:rPr>
          <w:szCs w:val="22"/>
        </w:rPr>
        <w:tab/>
        <w:t>Terapinės indikacijos</w:t>
      </w:r>
    </w:p>
    <w:p w14:paraId="775948B5" w14:textId="77777777" w:rsidR="00130C01" w:rsidRPr="00DE3D86" w:rsidRDefault="00130C01" w:rsidP="00D0142F">
      <w:pPr>
        <w:pStyle w:val="Pagrindinistekstas"/>
        <w:spacing w:after="0"/>
        <w:rPr>
          <w:sz w:val="22"/>
          <w:szCs w:val="22"/>
        </w:rPr>
      </w:pPr>
    </w:p>
    <w:p w14:paraId="3747476F" w14:textId="77777777" w:rsidR="00130C01" w:rsidRPr="00DE3D86" w:rsidRDefault="00130C01" w:rsidP="00D0142F">
      <w:pPr>
        <w:rPr>
          <w:szCs w:val="22"/>
        </w:rPr>
      </w:pPr>
      <w:r w:rsidRPr="00DE3D86">
        <w:rPr>
          <w:szCs w:val="22"/>
        </w:rPr>
        <w:t>Tinidazolui jautrių mikroorganizmų sukeltų infekcinių ligų gydymas:</w:t>
      </w:r>
    </w:p>
    <w:p w14:paraId="448C3495" w14:textId="77777777" w:rsidR="00130C01" w:rsidRPr="00DE3D86" w:rsidRDefault="00130C01" w:rsidP="00D0142F">
      <w:pPr>
        <w:ind w:left="540" w:hanging="540"/>
        <w:rPr>
          <w:szCs w:val="22"/>
        </w:rPr>
      </w:pPr>
      <w:r w:rsidRPr="00DE3D86">
        <w:rPr>
          <w:szCs w:val="22"/>
        </w:rPr>
        <w:t>-</w:t>
      </w:r>
      <w:r w:rsidRPr="00DE3D86">
        <w:rPr>
          <w:szCs w:val="22"/>
        </w:rPr>
        <w:tab/>
      </w:r>
      <w:r w:rsidRPr="00DE3D86">
        <w:rPr>
          <w:i/>
          <w:iCs/>
          <w:szCs w:val="22"/>
        </w:rPr>
        <w:t>Helicobacter pylori</w:t>
      </w:r>
      <w:r w:rsidRPr="00DE3D86">
        <w:rPr>
          <w:iCs/>
          <w:szCs w:val="22"/>
        </w:rPr>
        <w:t xml:space="preserve">, susijusios su dvylikapirštės žarnos opomis, </w:t>
      </w:r>
      <w:r w:rsidRPr="00DE3D86">
        <w:rPr>
          <w:szCs w:val="22"/>
        </w:rPr>
        <w:t>naikinimas, vartojant kartu su kitais antibiotikais ir vaistiniais preparatais, mažinančiais skrandžio rūgšties išsiskyrimą (žr. 4.2 skyrių);</w:t>
      </w:r>
    </w:p>
    <w:p w14:paraId="51CA0800" w14:textId="77777777" w:rsidR="00130C01" w:rsidRPr="00DE3D86" w:rsidRDefault="00130C01" w:rsidP="00D0142F">
      <w:pPr>
        <w:tabs>
          <w:tab w:val="left" w:pos="540"/>
        </w:tabs>
        <w:ind w:left="540" w:hanging="540"/>
        <w:rPr>
          <w:color w:val="000000"/>
          <w:szCs w:val="22"/>
        </w:rPr>
      </w:pPr>
      <w:r w:rsidRPr="00DE3D86">
        <w:rPr>
          <w:iCs/>
          <w:szCs w:val="22"/>
        </w:rPr>
        <w:t>-</w:t>
      </w:r>
      <w:r w:rsidRPr="00DE3D86">
        <w:rPr>
          <w:iCs/>
          <w:szCs w:val="22"/>
        </w:rPr>
        <w:tab/>
        <w:t>a</w:t>
      </w:r>
      <w:r w:rsidRPr="00DE3D86">
        <w:rPr>
          <w:color w:val="000000"/>
          <w:szCs w:val="22"/>
        </w:rPr>
        <w:t>naerobų sukeltų infekcinių ligų ar mišrių aerobinių ir anaerobinių mikroorganizmų sukeltų  infekcinių ligų (vartojant su kitais vaistiniais preparatais);</w:t>
      </w:r>
    </w:p>
    <w:p w14:paraId="4EA1D9F7" w14:textId="77777777" w:rsidR="00130C01" w:rsidRPr="00DE3D86" w:rsidRDefault="00130C01" w:rsidP="00D0142F">
      <w:pPr>
        <w:ind w:left="540" w:hanging="540"/>
        <w:rPr>
          <w:szCs w:val="22"/>
        </w:rPr>
      </w:pPr>
      <w:r w:rsidRPr="00DE3D86">
        <w:rPr>
          <w:szCs w:val="22"/>
        </w:rPr>
        <w:t>-</w:t>
      </w:r>
      <w:r w:rsidRPr="00DE3D86">
        <w:rPr>
          <w:szCs w:val="22"/>
        </w:rPr>
        <w:tab/>
        <w:t>nespecifinio vaginito;</w:t>
      </w:r>
    </w:p>
    <w:p w14:paraId="3233BD23" w14:textId="77777777" w:rsidR="00130C01" w:rsidRPr="00DE3D86" w:rsidRDefault="00130C01" w:rsidP="00D0142F">
      <w:pPr>
        <w:ind w:left="540" w:hanging="540"/>
        <w:rPr>
          <w:szCs w:val="22"/>
        </w:rPr>
      </w:pPr>
      <w:r w:rsidRPr="00DE3D86">
        <w:rPr>
          <w:szCs w:val="22"/>
        </w:rPr>
        <w:t>-</w:t>
      </w:r>
      <w:r w:rsidRPr="00DE3D86">
        <w:rPr>
          <w:szCs w:val="22"/>
        </w:rPr>
        <w:tab/>
        <w:t>vyrų ir moterų lyties organų ir šlapimo takų trichomonozės;</w:t>
      </w:r>
    </w:p>
    <w:p w14:paraId="05EBAA7B" w14:textId="77777777" w:rsidR="00130C01" w:rsidRPr="00DE3D86" w:rsidRDefault="00130C01" w:rsidP="00D0142F">
      <w:pPr>
        <w:ind w:left="540" w:hanging="540"/>
        <w:rPr>
          <w:szCs w:val="22"/>
        </w:rPr>
      </w:pPr>
      <w:r w:rsidRPr="00DE3D86">
        <w:rPr>
          <w:szCs w:val="22"/>
        </w:rPr>
        <w:t>-</w:t>
      </w:r>
      <w:r w:rsidRPr="00DE3D86">
        <w:rPr>
          <w:szCs w:val="22"/>
        </w:rPr>
        <w:tab/>
        <w:t>giardiazės;</w:t>
      </w:r>
    </w:p>
    <w:p w14:paraId="3CF7DE17" w14:textId="77777777" w:rsidR="00130C01" w:rsidRPr="00DE3D86" w:rsidRDefault="00130C01" w:rsidP="00D0142F">
      <w:pPr>
        <w:ind w:left="540" w:hanging="540"/>
        <w:rPr>
          <w:szCs w:val="22"/>
        </w:rPr>
      </w:pPr>
      <w:r w:rsidRPr="00DE3D86">
        <w:rPr>
          <w:szCs w:val="22"/>
        </w:rPr>
        <w:t>-</w:t>
      </w:r>
      <w:r w:rsidRPr="00DE3D86">
        <w:rPr>
          <w:szCs w:val="22"/>
        </w:rPr>
        <w:tab/>
        <w:t>žarnyno amebiazės;</w:t>
      </w:r>
    </w:p>
    <w:p w14:paraId="0C0FF50C" w14:textId="77777777" w:rsidR="00130C01" w:rsidRPr="00DE3D86" w:rsidRDefault="00130C01" w:rsidP="00D0142F">
      <w:pPr>
        <w:ind w:left="540" w:hanging="540"/>
        <w:rPr>
          <w:szCs w:val="22"/>
        </w:rPr>
      </w:pPr>
      <w:r w:rsidRPr="00DE3D86">
        <w:rPr>
          <w:szCs w:val="22"/>
        </w:rPr>
        <w:t>-</w:t>
      </w:r>
      <w:r w:rsidRPr="00DE3D86">
        <w:rPr>
          <w:szCs w:val="22"/>
        </w:rPr>
        <w:tab/>
        <w:t>k</w:t>
      </w:r>
      <w:r w:rsidRPr="00DE3D86">
        <w:rPr>
          <w:bCs/>
          <w:iCs/>
          <w:szCs w:val="22"/>
        </w:rPr>
        <w:t>epenų amebinio absceso.</w:t>
      </w:r>
    </w:p>
    <w:p w14:paraId="5B3874EC" w14:textId="77777777" w:rsidR="00130C01" w:rsidRPr="00DE3D86" w:rsidRDefault="00130C01" w:rsidP="00D0142F">
      <w:pPr>
        <w:rPr>
          <w:bCs/>
          <w:i/>
          <w:iCs/>
          <w:szCs w:val="22"/>
        </w:rPr>
      </w:pPr>
    </w:p>
    <w:p w14:paraId="1FEA57FB" w14:textId="77777777" w:rsidR="00130C01" w:rsidRPr="00DE3D86" w:rsidRDefault="00130C01" w:rsidP="00D0142F">
      <w:pPr>
        <w:rPr>
          <w:szCs w:val="22"/>
        </w:rPr>
      </w:pPr>
      <w:r w:rsidRPr="00DE3D86">
        <w:rPr>
          <w:iCs/>
          <w:szCs w:val="22"/>
        </w:rPr>
        <w:t>Anaerobinių bakterijų sukeltos infekuotos pooperacinės žaizdos, susijusios su skrandžio ir žarnyno, ypač storosios žarnos, bei ginekologinėmis o</w:t>
      </w:r>
      <w:r w:rsidRPr="00DE3D86">
        <w:rPr>
          <w:szCs w:val="22"/>
        </w:rPr>
        <w:t>peracijomis, profilaktika.</w:t>
      </w:r>
    </w:p>
    <w:p w14:paraId="7C3DEE47" w14:textId="77777777" w:rsidR="00130C01" w:rsidRPr="00DE3D86" w:rsidRDefault="00130C01" w:rsidP="00D0142F">
      <w:pPr>
        <w:rPr>
          <w:bCs/>
          <w:szCs w:val="22"/>
        </w:rPr>
      </w:pPr>
      <w:r w:rsidRPr="00DE3D86">
        <w:rPr>
          <w:bCs/>
          <w:szCs w:val="22"/>
        </w:rPr>
        <w:t xml:space="preserve"> </w:t>
      </w:r>
    </w:p>
    <w:p w14:paraId="6EEB1F8A" w14:textId="77777777" w:rsidR="00130C01" w:rsidRPr="00DE3D86" w:rsidRDefault="00130C01" w:rsidP="00D0142F">
      <w:pPr>
        <w:ind w:right="10"/>
        <w:rPr>
          <w:szCs w:val="22"/>
        </w:rPr>
      </w:pPr>
      <w:r w:rsidRPr="00DE3D86">
        <w:rPr>
          <w:szCs w:val="22"/>
        </w:rPr>
        <w:t>Reikia atsižvelgti į oficialias vietines tinkamo antimikrobinių preparatų vartojimo rekomendacijas.</w:t>
      </w:r>
    </w:p>
    <w:p w14:paraId="4D25D3D0" w14:textId="77777777" w:rsidR="00130C01" w:rsidRPr="00DE3D86" w:rsidRDefault="00130C01" w:rsidP="00D0142F">
      <w:pPr>
        <w:pStyle w:val="Pagrindinistekstas"/>
        <w:spacing w:after="0"/>
        <w:rPr>
          <w:sz w:val="22"/>
          <w:szCs w:val="22"/>
        </w:rPr>
      </w:pPr>
    </w:p>
    <w:p w14:paraId="3F3BB4F2" w14:textId="77777777" w:rsidR="00130C01" w:rsidRPr="00DE3D86" w:rsidRDefault="00130C01" w:rsidP="00D0142F">
      <w:pPr>
        <w:pStyle w:val="Antrat3"/>
        <w:rPr>
          <w:szCs w:val="22"/>
        </w:rPr>
      </w:pPr>
      <w:r w:rsidRPr="00DE3D86">
        <w:rPr>
          <w:szCs w:val="22"/>
        </w:rPr>
        <w:t>4.2</w:t>
      </w:r>
      <w:r w:rsidRPr="00DE3D86">
        <w:rPr>
          <w:szCs w:val="22"/>
        </w:rPr>
        <w:tab/>
        <w:t>Dozavimas ir vartojimo metodas</w:t>
      </w:r>
    </w:p>
    <w:p w14:paraId="70996E58" w14:textId="77777777" w:rsidR="00130C01" w:rsidRPr="00DE3D86" w:rsidRDefault="00130C01" w:rsidP="00D0142F">
      <w:pPr>
        <w:pStyle w:val="Pagrindinistekstas"/>
        <w:spacing w:after="0"/>
        <w:rPr>
          <w:sz w:val="22"/>
          <w:szCs w:val="22"/>
        </w:rPr>
      </w:pPr>
    </w:p>
    <w:p w14:paraId="492B1C48" w14:textId="77777777" w:rsidR="00130C01" w:rsidRPr="00DE3D86" w:rsidRDefault="00D0142F" w:rsidP="00D0142F">
      <w:pPr>
        <w:rPr>
          <w:szCs w:val="22"/>
        </w:rPr>
      </w:pPr>
      <w:r w:rsidRPr="00DE3D86">
        <w:rPr>
          <w:szCs w:val="22"/>
          <w:u w:val="single"/>
        </w:rPr>
        <w:t>Dozavimas</w:t>
      </w:r>
    </w:p>
    <w:p w14:paraId="15E8C8CE" w14:textId="77777777" w:rsidR="00130C01" w:rsidRPr="00DE3D86" w:rsidRDefault="00130C01" w:rsidP="00D0142F">
      <w:pPr>
        <w:rPr>
          <w:szCs w:val="22"/>
        </w:rPr>
      </w:pPr>
    </w:p>
    <w:p w14:paraId="1E6C47BA" w14:textId="77777777" w:rsidR="00130C01" w:rsidRPr="00DE3D86" w:rsidRDefault="00130C01" w:rsidP="00D0142F">
      <w:pPr>
        <w:rPr>
          <w:szCs w:val="22"/>
        </w:rPr>
      </w:pPr>
      <w:r w:rsidRPr="00DE3D86">
        <w:rPr>
          <w:i/>
          <w:iCs/>
          <w:szCs w:val="22"/>
        </w:rPr>
        <w:t>Helicobacter pylori</w:t>
      </w:r>
      <w:r w:rsidRPr="00DE3D86">
        <w:rPr>
          <w:iCs/>
          <w:szCs w:val="22"/>
        </w:rPr>
        <w:t xml:space="preserve">, susijusios su dvylikapirštės žarnos opomis, </w:t>
      </w:r>
      <w:r w:rsidRPr="00DE3D86">
        <w:rPr>
          <w:szCs w:val="22"/>
        </w:rPr>
        <w:t>išnaikinimas</w:t>
      </w:r>
    </w:p>
    <w:p w14:paraId="3B086996" w14:textId="77777777" w:rsidR="00130C01" w:rsidRPr="00DE3D86" w:rsidRDefault="00130C01" w:rsidP="00D0142F">
      <w:pPr>
        <w:rPr>
          <w:szCs w:val="22"/>
        </w:rPr>
      </w:pPr>
      <w:r w:rsidRPr="00DE3D86">
        <w:rPr>
          <w:bCs/>
          <w:i/>
          <w:iCs/>
          <w:szCs w:val="22"/>
        </w:rPr>
        <w:t>Suaugusie</w:t>
      </w:r>
      <w:r w:rsidR="00D0142F" w:rsidRPr="00DE3D86">
        <w:rPr>
          <w:bCs/>
          <w:i/>
          <w:iCs/>
          <w:szCs w:val="22"/>
        </w:rPr>
        <w:t>siems</w:t>
      </w:r>
    </w:p>
    <w:p w14:paraId="4CC7701D" w14:textId="77777777" w:rsidR="00130C01" w:rsidRPr="00DE3D86" w:rsidRDefault="00130C01" w:rsidP="00D0142F">
      <w:pPr>
        <w:rPr>
          <w:szCs w:val="22"/>
        </w:rPr>
      </w:pPr>
      <w:r w:rsidRPr="00DE3D86">
        <w:rPr>
          <w:szCs w:val="22"/>
        </w:rPr>
        <w:t>Įprastinė tinidazolo dozė - 500 mg du kartus per parą kartu su 20 mg omeprazolo du kartus per parą ir 250 mg klaritromicino du kartus per parą 7 paras.</w:t>
      </w:r>
    </w:p>
    <w:p w14:paraId="1A24F376" w14:textId="77777777" w:rsidR="00130C01" w:rsidRPr="00DE3D86" w:rsidRDefault="00130C01" w:rsidP="00D0142F">
      <w:pPr>
        <w:rPr>
          <w:szCs w:val="22"/>
          <w:u w:val="single"/>
        </w:rPr>
      </w:pPr>
    </w:p>
    <w:p w14:paraId="169CB110" w14:textId="77777777" w:rsidR="00130C01" w:rsidRPr="00DE3D86" w:rsidRDefault="00130C01" w:rsidP="00D0142F">
      <w:pPr>
        <w:rPr>
          <w:iCs/>
          <w:szCs w:val="22"/>
        </w:rPr>
      </w:pPr>
      <w:r w:rsidRPr="00DE3D86">
        <w:rPr>
          <w:iCs/>
          <w:szCs w:val="22"/>
        </w:rPr>
        <w:t>Anaerobinių mikroorganizmų sukeltos infekcinės ligos</w:t>
      </w:r>
    </w:p>
    <w:p w14:paraId="14417953" w14:textId="77777777" w:rsidR="00130C01" w:rsidRPr="00DE3D86" w:rsidRDefault="00130C01" w:rsidP="00D0142F">
      <w:pPr>
        <w:rPr>
          <w:szCs w:val="22"/>
        </w:rPr>
      </w:pPr>
      <w:r w:rsidRPr="00DE3D86">
        <w:rPr>
          <w:bCs/>
          <w:iCs/>
          <w:szCs w:val="22"/>
        </w:rPr>
        <w:t>Anaerobinių mikroorganizmų sukeltas vaginitas</w:t>
      </w:r>
    </w:p>
    <w:p w14:paraId="2ED815B5" w14:textId="77777777" w:rsidR="00130C01" w:rsidRPr="00DE3D86" w:rsidRDefault="00130C01" w:rsidP="00D0142F">
      <w:pPr>
        <w:rPr>
          <w:i/>
          <w:szCs w:val="22"/>
        </w:rPr>
      </w:pPr>
      <w:r w:rsidRPr="00DE3D86">
        <w:rPr>
          <w:bCs/>
          <w:i/>
          <w:iCs/>
          <w:szCs w:val="22"/>
        </w:rPr>
        <w:t>Suaugusie</w:t>
      </w:r>
      <w:r w:rsidR="00D0142F" w:rsidRPr="00DE3D86">
        <w:rPr>
          <w:bCs/>
          <w:i/>
          <w:iCs/>
          <w:szCs w:val="22"/>
        </w:rPr>
        <w:t>siems</w:t>
      </w:r>
    </w:p>
    <w:p w14:paraId="32C58F34" w14:textId="77777777" w:rsidR="00130C01" w:rsidRPr="00DE3D86" w:rsidRDefault="00130C01" w:rsidP="00D0142F">
      <w:pPr>
        <w:rPr>
          <w:szCs w:val="22"/>
        </w:rPr>
      </w:pPr>
      <w:r w:rsidRPr="00DE3D86">
        <w:rPr>
          <w:szCs w:val="22"/>
        </w:rPr>
        <w:t>Nespecifinis vaginitas</w:t>
      </w:r>
      <w:r w:rsidR="00D0142F" w:rsidRPr="00DE3D86">
        <w:rPr>
          <w:szCs w:val="22"/>
        </w:rPr>
        <w:t>:</w:t>
      </w:r>
      <w:r w:rsidRPr="00DE3D86">
        <w:rPr>
          <w:szCs w:val="22"/>
        </w:rPr>
        <w:t xml:space="preserve"> vienkartinė </w:t>
      </w:r>
      <w:smartTag w:uri="urn:schemas-microsoft-com:office:smarttags" w:element="metricconverter">
        <w:smartTagPr>
          <w:attr w:name="ProductID" w:val="2ﾠg"/>
        </w:smartTagPr>
        <w:r w:rsidRPr="00DE3D86">
          <w:rPr>
            <w:szCs w:val="22"/>
          </w:rPr>
          <w:t>2 g</w:t>
        </w:r>
      </w:smartTag>
      <w:r w:rsidRPr="00DE3D86">
        <w:rPr>
          <w:szCs w:val="22"/>
        </w:rPr>
        <w:t xml:space="preserve"> dozė. Arba 2 paras iš eilės po </w:t>
      </w:r>
      <w:smartTag w:uri="urn:schemas-microsoft-com:office:smarttags" w:element="metricconverter">
        <w:smartTagPr>
          <w:attr w:name="ProductID" w:val="2ﾠg"/>
        </w:smartTagPr>
        <w:r w:rsidRPr="00DE3D86">
          <w:rPr>
            <w:szCs w:val="22"/>
          </w:rPr>
          <w:t>2 g</w:t>
        </w:r>
      </w:smartTag>
      <w:r w:rsidRPr="00DE3D86">
        <w:rPr>
          <w:szCs w:val="22"/>
        </w:rPr>
        <w:t xml:space="preserve"> vieną kartą per parą, atsižvelgiant į </w:t>
      </w:r>
      <w:r w:rsidR="006C7572" w:rsidRPr="00DE3D86">
        <w:rPr>
          <w:szCs w:val="22"/>
        </w:rPr>
        <w:t xml:space="preserve">paciento </w:t>
      </w:r>
      <w:r w:rsidRPr="00DE3D86">
        <w:rPr>
          <w:szCs w:val="22"/>
        </w:rPr>
        <w:t xml:space="preserve">būklę ir pažeidimo intensyvumą (suminė dozė </w:t>
      </w:r>
      <w:smartTag w:uri="urn:schemas-microsoft-com:office:smarttags" w:element="metricconverter">
        <w:smartTagPr>
          <w:attr w:name="ProductID" w:val="4ﾠg"/>
        </w:smartTagPr>
        <w:r w:rsidRPr="00DE3D86">
          <w:rPr>
            <w:szCs w:val="22"/>
          </w:rPr>
          <w:t>4 g</w:t>
        </w:r>
      </w:smartTag>
      <w:r w:rsidRPr="00DE3D86">
        <w:rPr>
          <w:szCs w:val="22"/>
        </w:rPr>
        <w:t>).</w:t>
      </w:r>
    </w:p>
    <w:p w14:paraId="60139E8C" w14:textId="77777777" w:rsidR="00130C01" w:rsidRPr="00DE3D86" w:rsidRDefault="00130C01" w:rsidP="00D0142F">
      <w:pPr>
        <w:rPr>
          <w:szCs w:val="22"/>
        </w:rPr>
      </w:pPr>
    </w:p>
    <w:p w14:paraId="6BB646D6" w14:textId="77777777" w:rsidR="00130C01" w:rsidRPr="00DE3D86" w:rsidRDefault="00130C01" w:rsidP="00D0142F">
      <w:pPr>
        <w:rPr>
          <w:szCs w:val="22"/>
          <w:u w:val="single"/>
        </w:rPr>
      </w:pPr>
      <w:r w:rsidRPr="00DE3D86">
        <w:rPr>
          <w:szCs w:val="22"/>
          <w:u w:val="single"/>
        </w:rPr>
        <w:t>Kitos anaerobinių mikroorganizmų sukeltos ligos</w:t>
      </w:r>
    </w:p>
    <w:p w14:paraId="4AC861C0" w14:textId="77777777" w:rsidR="00130C01" w:rsidRPr="00DE3D86" w:rsidRDefault="00130C01" w:rsidP="00D0142F">
      <w:pPr>
        <w:rPr>
          <w:szCs w:val="22"/>
        </w:rPr>
      </w:pPr>
      <w:r w:rsidRPr="00DE3D86">
        <w:rPr>
          <w:bCs/>
          <w:i/>
          <w:iCs/>
          <w:szCs w:val="22"/>
        </w:rPr>
        <w:t>Suaugusie</w:t>
      </w:r>
      <w:r w:rsidR="00D0142F" w:rsidRPr="00DE3D86">
        <w:rPr>
          <w:bCs/>
          <w:i/>
          <w:iCs/>
          <w:szCs w:val="22"/>
        </w:rPr>
        <w:t>siems</w:t>
      </w:r>
    </w:p>
    <w:p w14:paraId="045ACCB5" w14:textId="77777777" w:rsidR="00130C01" w:rsidRPr="00DE3D86" w:rsidRDefault="00130C01" w:rsidP="00D0142F">
      <w:pPr>
        <w:rPr>
          <w:szCs w:val="22"/>
        </w:rPr>
      </w:pPr>
      <w:r w:rsidRPr="00DE3D86">
        <w:rPr>
          <w:szCs w:val="22"/>
        </w:rPr>
        <w:lastRenderedPageBreak/>
        <w:t xml:space="preserve">Pradinė dozė pirmą parą - </w:t>
      </w:r>
      <w:smartTag w:uri="urn:schemas-microsoft-com:office:smarttags" w:element="metricconverter">
        <w:smartTagPr>
          <w:attr w:name="ProductID" w:val="2ﾠg"/>
        </w:smartTagPr>
        <w:r w:rsidRPr="00DE3D86">
          <w:rPr>
            <w:szCs w:val="22"/>
          </w:rPr>
          <w:t>2 g</w:t>
        </w:r>
      </w:smartTag>
      <w:r w:rsidRPr="00DE3D86">
        <w:rPr>
          <w:szCs w:val="22"/>
        </w:rPr>
        <w:t xml:space="preserve">, po to po </w:t>
      </w:r>
      <w:smartTag w:uri="urn:schemas-microsoft-com:office:smarttags" w:element="metricconverter">
        <w:r w:rsidRPr="00DE3D86">
          <w:rPr>
            <w:szCs w:val="22"/>
          </w:rPr>
          <w:t>1 g</w:t>
        </w:r>
      </w:smartTag>
      <w:r w:rsidRPr="00DE3D86">
        <w:rPr>
          <w:szCs w:val="22"/>
        </w:rPr>
        <w:t xml:space="preserve"> vieną kartą per parą arba po 500 mg du kartus per parą. Dažniausiai pakanka gydyti 5</w:t>
      </w:r>
      <w:r w:rsidRPr="00DE3D86">
        <w:rPr>
          <w:szCs w:val="22"/>
        </w:rPr>
        <w:noBreakHyphen/>
        <w:t xml:space="preserve">6 paras, bet nustatant gydymo trukmę, reikia atsižvelgti į </w:t>
      </w:r>
      <w:r w:rsidR="006C7572" w:rsidRPr="00DE3D86">
        <w:rPr>
          <w:szCs w:val="22"/>
        </w:rPr>
        <w:t xml:space="preserve">paciento </w:t>
      </w:r>
      <w:r w:rsidRPr="00DE3D86">
        <w:rPr>
          <w:szCs w:val="22"/>
        </w:rPr>
        <w:t xml:space="preserve">būklę, ypač tais atvejais, kai išnaikinti kai kurių vietų infekciją gali būti sunku. Jeigu reikia gydyti ilgiau nei 7 paras, rekomenduojamas įprastinis </w:t>
      </w:r>
      <w:r w:rsidR="006C7572" w:rsidRPr="00DE3D86">
        <w:rPr>
          <w:szCs w:val="22"/>
        </w:rPr>
        <w:t xml:space="preserve">paciento </w:t>
      </w:r>
      <w:r w:rsidRPr="00DE3D86">
        <w:rPr>
          <w:szCs w:val="22"/>
        </w:rPr>
        <w:t>būklės ir laboratorinių tyrimų stebėjimas.</w:t>
      </w:r>
    </w:p>
    <w:p w14:paraId="2A6BF9F2" w14:textId="77777777" w:rsidR="00130C01" w:rsidRPr="00DE3D86" w:rsidRDefault="00130C01" w:rsidP="00D0142F">
      <w:pPr>
        <w:rPr>
          <w:szCs w:val="22"/>
        </w:rPr>
      </w:pPr>
    </w:p>
    <w:p w14:paraId="0B60899E" w14:textId="77777777" w:rsidR="00130C01" w:rsidRPr="00DE3D86" w:rsidRDefault="00130C01" w:rsidP="00D0142F">
      <w:pPr>
        <w:rPr>
          <w:szCs w:val="22"/>
        </w:rPr>
      </w:pPr>
      <w:r w:rsidRPr="00DE3D86">
        <w:rPr>
          <w:bCs/>
          <w:i/>
          <w:iCs/>
          <w:szCs w:val="22"/>
        </w:rPr>
        <w:t>Jaunesni</w:t>
      </w:r>
      <w:r w:rsidR="00D0142F" w:rsidRPr="00DE3D86">
        <w:rPr>
          <w:bCs/>
          <w:i/>
          <w:iCs/>
          <w:szCs w:val="22"/>
        </w:rPr>
        <w:t>ems</w:t>
      </w:r>
      <w:r w:rsidRPr="00DE3D86">
        <w:rPr>
          <w:bCs/>
          <w:i/>
          <w:iCs/>
          <w:szCs w:val="22"/>
        </w:rPr>
        <w:t xml:space="preserve"> nei 12 metų vaika</w:t>
      </w:r>
      <w:r w:rsidR="00D0142F" w:rsidRPr="00DE3D86">
        <w:rPr>
          <w:bCs/>
          <w:i/>
          <w:iCs/>
          <w:szCs w:val="22"/>
        </w:rPr>
        <w:t>ms</w:t>
      </w:r>
      <w:r w:rsidRPr="00DE3D86">
        <w:rPr>
          <w:szCs w:val="22"/>
        </w:rPr>
        <w:t xml:space="preserve"> – duomenų nėra.</w:t>
      </w:r>
    </w:p>
    <w:p w14:paraId="118C1791" w14:textId="77777777" w:rsidR="00130C01" w:rsidRPr="00DE3D86" w:rsidRDefault="00130C01" w:rsidP="00D0142F">
      <w:pPr>
        <w:rPr>
          <w:szCs w:val="22"/>
        </w:rPr>
      </w:pPr>
    </w:p>
    <w:p w14:paraId="4670CCBF" w14:textId="77777777" w:rsidR="00130C01" w:rsidRPr="00DE3D86" w:rsidRDefault="00130C01" w:rsidP="00D0142F">
      <w:pPr>
        <w:rPr>
          <w:szCs w:val="22"/>
          <w:u w:val="single"/>
        </w:rPr>
      </w:pPr>
      <w:r w:rsidRPr="00DE3D86">
        <w:rPr>
          <w:bCs/>
          <w:iCs/>
          <w:szCs w:val="22"/>
          <w:u w:val="single"/>
        </w:rPr>
        <w:t>Lytinių organų ir šlapimo takų trichomonozė</w:t>
      </w:r>
    </w:p>
    <w:p w14:paraId="706BA8A1" w14:textId="77777777" w:rsidR="00130C01" w:rsidRPr="00DE3D86" w:rsidRDefault="00130C01" w:rsidP="00D0142F">
      <w:pPr>
        <w:rPr>
          <w:szCs w:val="22"/>
        </w:rPr>
      </w:pPr>
      <w:r w:rsidRPr="00DE3D86">
        <w:rPr>
          <w:szCs w:val="22"/>
        </w:rPr>
        <w:t xml:space="preserve">(Jeigu patvirtinama </w:t>
      </w:r>
      <w:r w:rsidRPr="00DE3D86">
        <w:rPr>
          <w:i/>
          <w:iCs/>
          <w:szCs w:val="22"/>
        </w:rPr>
        <w:t>Trichomonas vaginalis</w:t>
      </w:r>
      <w:r w:rsidRPr="00DE3D86">
        <w:rPr>
          <w:szCs w:val="22"/>
        </w:rPr>
        <w:t xml:space="preserve"> infekcija, kartu rekomenduojama gydyti ir partnerį).</w:t>
      </w:r>
    </w:p>
    <w:p w14:paraId="6D31223F" w14:textId="77777777" w:rsidR="00130C01" w:rsidRPr="00DE3D86" w:rsidRDefault="00130C01" w:rsidP="00D0142F">
      <w:pPr>
        <w:rPr>
          <w:szCs w:val="22"/>
        </w:rPr>
      </w:pPr>
      <w:r w:rsidRPr="00DE3D86">
        <w:rPr>
          <w:bCs/>
          <w:i/>
          <w:iCs/>
          <w:szCs w:val="22"/>
        </w:rPr>
        <w:t>Suaugusie</w:t>
      </w:r>
      <w:r w:rsidR="00D0142F" w:rsidRPr="00DE3D86">
        <w:rPr>
          <w:bCs/>
          <w:i/>
          <w:iCs/>
          <w:szCs w:val="22"/>
        </w:rPr>
        <w:t>siems</w:t>
      </w:r>
      <w:r w:rsidRPr="00DE3D86">
        <w:rPr>
          <w:bCs/>
          <w:i/>
          <w:iCs/>
          <w:szCs w:val="22"/>
        </w:rPr>
        <w:t>.</w:t>
      </w:r>
      <w:r w:rsidRPr="00DE3D86">
        <w:rPr>
          <w:szCs w:val="22"/>
        </w:rPr>
        <w:t xml:space="preserve"> Vienkartinė </w:t>
      </w:r>
      <w:smartTag w:uri="urn:schemas-microsoft-com:office:smarttags" w:element="metricconverter">
        <w:smartTagPr>
          <w:attr w:name="ProductID" w:val="2ﾠg"/>
        </w:smartTagPr>
        <w:r w:rsidRPr="00DE3D86">
          <w:rPr>
            <w:szCs w:val="22"/>
          </w:rPr>
          <w:t>2 g</w:t>
        </w:r>
      </w:smartTag>
      <w:r w:rsidRPr="00DE3D86">
        <w:rPr>
          <w:szCs w:val="22"/>
        </w:rPr>
        <w:t xml:space="preserve"> dozė.</w:t>
      </w:r>
    </w:p>
    <w:p w14:paraId="10FBAB2C" w14:textId="77777777" w:rsidR="00130C01" w:rsidRPr="00DE3D86" w:rsidRDefault="00130C01" w:rsidP="00D0142F">
      <w:pPr>
        <w:rPr>
          <w:szCs w:val="22"/>
        </w:rPr>
      </w:pPr>
      <w:r w:rsidRPr="00DE3D86">
        <w:rPr>
          <w:bCs/>
          <w:i/>
          <w:iCs/>
          <w:szCs w:val="22"/>
        </w:rPr>
        <w:t>Vaika</w:t>
      </w:r>
      <w:r w:rsidR="00D0142F" w:rsidRPr="00DE3D86">
        <w:rPr>
          <w:bCs/>
          <w:i/>
          <w:iCs/>
          <w:szCs w:val="22"/>
        </w:rPr>
        <w:t>ms</w:t>
      </w:r>
      <w:r w:rsidRPr="00DE3D86">
        <w:rPr>
          <w:bCs/>
          <w:i/>
          <w:iCs/>
          <w:szCs w:val="22"/>
        </w:rPr>
        <w:t>.</w:t>
      </w:r>
      <w:r w:rsidRPr="00DE3D86">
        <w:rPr>
          <w:szCs w:val="22"/>
        </w:rPr>
        <w:t xml:space="preserve"> Vienkartinė 50</w:t>
      </w:r>
      <w:r w:rsidRPr="00DE3D86">
        <w:rPr>
          <w:szCs w:val="22"/>
        </w:rPr>
        <w:noBreakHyphen/>
        <w:t>75 mg/kg kūno svorio dozė. Šią dozę gali prireikti pakartoti.</w:t>
      </w:r>
    </w:p>
    <w:p w14:paraId="21E27A32" w14:textId="77777777" w:rsidR="00130C01" w:rsidRPr="00DE3D86" w:rsidRDefault="00130C01" w:rsidP="00D0142F">
      <w:pPr>
        <w:rPr>
          <w:szCs w:val="22"/>
        </w:rPr>
      </w:pPr>
    </w:p>
    <w:p w14:paraId="0876A762" w14:textId="77777777" w:rsidR="00130C01" w:rsidRPr="00DE3D86" w:rsidRDefault="00130C01" w:rsidP="00D0142F">
      <w:pPr>
        <w:rPr>
          <w:szCs w:val="22"/>
          <w:u w:val="single"/>
        </w:rPr>
      </w:pPr>
      <w:r w:rsidRPr="00DE3D86">
        <w:rPr>
          <w:bCs/>
          <w:iCs/>
          <w:szCs w:val="22"/>
          <w:u w:val="single"/>
        </w:rPr>
        <w:t>Giardiazė</w:t>
      </w:r>
    </w:p>
    <w:p w14:paraId="4B001E90" w14:textId="77777777" w:rsidR="00130C01" w:rsidRPr="00DE3D86" w:rsidRDefault="00130C01" w:rsidP="00D0142F">
      <w:pPr>
        <w:rPr>
          <w:szCs w:val="22"/>
        </w:rPr>
      </w:pPr>
      <w:r w:rsidRPr="00DE3D86">
        <w:rPr>
          <w:bCs/>
          <w:i/>
          <w:iCs/>
          <w:szCs w:val="22"/>
        </w:rPr>
        <w:t>Suaugusie</w:t>
      </w:r>
      <w:r w:rsidR="00D0142F" w:rsidRPr="00DE3D86">
        <w:rPr>
          <w:bCs/>
          <w:i/>
          <w:iCs/>
          <w:szCs w:val="22"/>
        </w:rPr>
        <w:t>siems</w:t>
      </w:r>
      <w:r w:rsidRPr="00DE3D86">
        <w:rPr>
          <w:bCs/>
          <w:i/>
          <w:iCs/>
          <w:szCs w:val="22"/>
        </w:rPr>
        <w:t>.</w:t>
      </w:r>
      <w:r w:rsidRPr="00DE3D86">
        <w:rPr>
          <w:szCs w:val="22"/>
        </w:rPr>
        <w:t xml:space="preserve"> Vienkartinė </w:t>
      </w:r>
      <w:smartTag w:uri="urn:schemas-microsoft-com:office:smarttags" w:element="metricconverter">
        <w:smartTagPr>
          <w:attr w:name="ProductID" w:val="2ﾠg"/>
        </w:smartTagPr>
        <w:r w:rsidRPr="00DE3D86">
          <w:rPr>
            <w:szCs w:val="22"/>
          </w:rPr>
          <w:t>2 g</w:t>
        </w:r>
      </w:smartTag>
      <w:r w:rsidRPr="00DE3D86">
        <w:rPr>
          <w:szCs w:val="22"/>
        </w:rPr>
        <w:t xml:space="preserve"> dozė.</w:t>
      </w:r>
    </w:p>
    <w:p w14:paraId="5EA14A7C" w14:textId="77777777" w:rsidR="00130C01" w:rsidRPr="00DE3D86" w:rsidRDefault="00130C01" w:rsidP="00D0142F">
      <w:pPr>
        <w:rPr>
          <w:szCs w:val="22"/>
        </w:rPr>
      </w:pPr>
      <w:r w:rsidRPr="00DE3D86">
        <w:rPr>
          <w:bCs/>
          <w:i/>
          <w:iCs/>
          <w:szCs w:val="22"/>
        </w:rPr>
        <w:t>Vaika</w:t>
      </w:r>
      <w:r w:rsidR="00D0142F" w:rsidRPr="00DE3D86">
        <w:rPr>
          <w:bCs/>
          <w:i/>
          <w:iCs/>
          <w:szCs w:val="22"/>
        </w:rPr>
        <w:t>ms</w:t>
      </w:r>
      <w:r w:rsidRPr="00DE3D86">
        <w:rPr>
          <w:bCs/>
          <w:i/>
          <w:iCs/>
          <w:szCs w:val="22"/>
        </w:rPr>
        <w:t>.</w:t>
      </w:r>
      <w:r w:rsidRPr="00DE3D86">
        <w:rPr>
          <w:szCs w:val="22"/>
        </w:rPr>
        <w:t xml:space="preserve"> Vienkartinė 50</w:t>
      </w:r>
      <w:r w:rsidRPr="00DE3D86">
        <w:rPr>
          <w:szCs w:val="22"/>
        </w:rPr>
        <w:noBreakHyphen/>
        <w:t>75 mg/kg kūno svorio dozė. Šią dozę gali prireikti pakartoti.</w:t>
      </w:r>
    </w:p>
    <w:p w14:paraId="6CB35E85" w14:textId="77777777" w:rsidR="00130C01" w:rsidRPr="00DE3D86" w:rsidRDefault="00130C01" w:rsidP="00D0142F">
      <w:pPr>
        <w:rPr>
          <w:bCs/>
          <w:i/>
          <w:iCs/>
          <w:szCs w:val="22"/>
        </w:rPr>
      </w:pPr>
    </w:p>
    <w:p w14:paraId="383E0E9A" w14:textId="77777777" w:rsidR="00130C01" w:rsidRPr="00DE3D86" w:rsidRDefault="00130C01" w:rsidP="00D0142F">
      <w:pPr>
        <w:rPr>
          <w:szCs w:val="22"/>
          <w:u w:val="single"/>
        </w:rPr>
      </w:pPr>
      <w:r w:rsidRPr="00DE3D86">
        <w:rPr>
          <w:bCs/>
          <w:iCs/>
          <w:szCs w:val="22"/>
          <w:u w:val="single"/>
        </w:rPr>
        <w:t>Žarnyno amebiazė</w:t>
      </w:r>
    </w:p>
    <w:p w14:paraId="3FC2EE35" w14:textId="77777777" w:rsidR="00130C01" w:rsidRPr="00DE3D86" w:rsidRDefault="00130C01" w:rsidP="00D0142F">
      <w:pPr>
        <w:rPr>
          <w:szCs w:val="22"/>
        </w:rPr>
      </w:pPr>
      <w:r w:rsidRPr="00DE3D86">
        <w:rPr>
          <w:bCs/>
          <w:i/>
          <w:iCs/>
          <w:szCs w:val="22"/>
        </w:rPr>
        <w:t>Suaugusie</w:t>
      </w:r>
      <w:r w:rsidR="00D0142F" w:rsidRPr="00DE3D86">
        <w:rPr>
          <w:bCs/>
          <w:i/>
          <w:iCs/>
          <w:szCs w:val="22"/>
        </w:rPr>
        <w:t>siems</w:t>
      </w:r>
      <w:r w:rsidRPr="00DE3D86">
        <w:rPr>
          <w:bCs/>
          <w:i/>
          <w:iCs/>
          <w:szCs w:val="22"/>
        </w:rPr>
        <w:t>.</w:t>
      </w:r>
      <w:r w:rsidRPr="00DE3D86">
        <w:rPr>
          <w:szCs w:val="22"/>
        </w:rPr>
        <w:t xml:space="preserve"> </w:t>
      </w:r>
      <w:smartTag w:uri="urn:schemas-microsoft-com:office:smarttags" w:element="metricconverter">
        <w:smartTagPr>
          <w:attr w:name="ProductID" w:val="2ﾠg"/>
        </w:smartTagPr>
        <w:r w:rsidRPr="00DE3D86">
          <w:rPr>
            <w:szCs w:val="22"/>
          </w:rPr>
          <w:t>2 g</w:t>
        </w:r>
      </w:smartTag>
      <w:r w:rsidRPr="00DE3D86">
        <w:rPr>
          <w:szCs w:val="22"/>
        </w:rPr>
        <w:t xml:space="preserve"> dozė vieną kartą per parą 2</w:t>
      </w:r>
      <w:r w:rsidRPr="00DE3D86">
        <w:rPr>
          <w:szCs w:val="22"/>
        </w:rPr>
        <w:noBreakHyphen/>
        <w:t>3 dienas.</w:t>
      </w:r>
    </w:p>
    <w:p w14:paraId="34392CF0" w14:textId="77777777" w:rsidR="00130C01" w:rsidRPr="00DE3D86" w:rsidRDefault="00130C01" w:rsidP="00D0142F">
      <w:pPr>
        <w:rPr>
          <w:szCs w:val="22"/>
        </w:rPr>
      </w:pPr>
      <w:r w:rsidRPr="00DE3D86">
        <w:rPr>
          <w:bCs/>
          <w:i/>
          <w:iCs/>
          <w:szCs w:val="22"/>
        </w:rPr>
        <w:t>Vaika</w:t>
      </w:r>
      <w:r w:rsidR="00D0142F" w:rsidRPr="00DE3D86">
        <w:rPr>
          <w:bCs/>
          <w:i/>
          <w:iCs/>
          <w:szCs w:val="22"/>
        </w:rPr>
        <w:t>ms</w:t>
      </w:r>
      <w:r w:rsidRPr="00DE3D86">
        <w:rPr>
          <w:szCs w:val="22"/>
        </w:rPr>
        <w:t>. 50</w:t>
      </w:r>
      <w:r w:rsidRPr="00DE3D86">
        <w:rPr>
          <w:szCs w:val="22"/>
        </w:rPr>
        <w:noBreakHyphen/>
        <w:t>60 mg/kg kūno svorio dozė 3 paras iš eilės.</w:t>
      </w:r>
    </w:p>
    <w:p w14:paraId="107DCA2F" w14:textId="77777777" w:rsidR="00130C01" w:rsidRPr="00DE3D86" w:rsidRDefault="00130C01" w:rsidP="00D0142F">
      <w:pPr>
        <w:rPr>
          <w:szCs w:val="22"/>
        </w:rPr>
      </w:pPr>
    </w:p>
    <w:p w14:paraId="44C21C21" w14:textId="77777777" w:rsidR="00130C01" w:rsidRPr="00DE3D86" w:rsidRDefault="00130C01" w:rsidP="00D0142F">
      <w:pPr>
        <w:rPr>
          <w:szCs w:val="22"/>
          <w:u w:val="single"/>
        </w:rPr>
      </w:pPr>
      <w:r w:rsidRPr="00DE3D86">
        <w:rPr>
          <w:bCs/>
          <w:iCs/>
          <w:szCs w:val="22"/>
          <w:u w:val="single"/>
        </w:rPr>
        <w:t>Kepenų amebinis abscesas</w:t>
      </w:r>
    </w:p>
    <w:p w14:paraId="65BDFA86" w14:textId="77777777" w:rsidR="00130C01" w:rsidRPr="00DE3D86" w:rsidRDefault="00130C01" w:rsidP="00D0142F">
      <w:pPr>
        <w:rPr>
          <w:szCs w:val="22"/>
        </w:rPr>
      </w:pPr>
      <w:r w:rsidRPr="00DE3D86">
        <w:rPr>
          <w:bCs/>
          <w:i/>
          <w:iCs/>
          <w:szCs w:val="22"/>
        </w:rPr>
        <w:t>Suaugusie</w:t>
      </w:r>
      <w:r w:rsidR="00D0142F" w:rsidRPr="00DE3D86">
        <w:rPr>
          <w:bCs/>
          <w:i/>
          <w:iCs/>
          <w:szCs w:val="22"/>
        </w:rPr>
        <w:t>siems</w:t>
      </w:r>
      <w:r w:rsidRPr="00DE3D86">
        <w:rPr>
          <w:bCs/>
          <w:i/>
          <w:iCs/>
          <w:szCs w:val="22"/>
        </w:rPr>
        <w:t>.</w:t>
      </w:r>
      <w:r w:rsidRPr="00DE3D86">
        <w:rPr>
          <w:szCs w:val="22"/>
        </w:rPr>
        <w:t xml:space="preserve"> Suminė dozė svyruoja nuo 4,5 iki </w:t>
      </w:r>
      <w:smartTag w:uri="urn:schemas-microsoft-com:office:smarttags" w:element="metricconverter">
        <w:smartTagPr>
          <w:attr w:name="ProductID" w:val="12ﾠg"/>
        </w:smartTagPr>
        <w:r w:rsidRPr="00DE3D86">
          <w:rPr>
            <w:szCs w:val="22"/>
          </w:rPr>
          <w:t>12 g</w:t>
        </w:r>
      </w:smartTag>
      <w:r w:rsidRPr="00DE3D86">
        <w:rPr>
          <w:szCs w:val="22"/>
        </w:rPr>
        <w:t xml:space="preserve">, atsižvelgiant į </w:t>
      </w:r>
      <w:r w:rsidRPr="00DE3D86">
        <w:rPr>
          <w:i/>
          <w:iCs/>
          <w:szCs w:val="22"/>
        </w:rPr>
        <w:t>Entamoeba histolytica</w:t>
      </w:r>
      <w:r w:rsidRPr="00DE3D86">
        <w:rPr>
          <w:szCs w:val="22"/>
        </w:rPr>
        <w:t xml:space="preserve"> virulentiškumą.</w:t>
      </w:r>
    </w:p>
    <w:p w14:paraId="4440CD08" w14:textId="77777777" w:rsidR="00130C01" w:rsidRPr="00DE3D86" w:rsidRDefault="00130C01" w:rsidP="00D0142F">
      <w:pPr>
        <w:rPr>
          <w:szCs w:val="22"/>
        </w:rPr>
      </w:pPr>
    </w:p>
    <w:p w14:paraId="05068A65" w14:textId="77777777" w:rsidR="00130C01" w:rsidRPr="00DE3D86" w:rsidRDefault="00130C01" w:rsidP="00D0142F">
      <w:pPr>
        <w:rPr>
          <w:szCs w:val="22"/>
        </w:rPr>
      </w:pPr>
      <w:r w:rsidRPr="00DE3D86">
        <w:rPr>
          <w:szCs w:val="22"/>
        </w:rPr>
        <w:t xml:space="preserve">Gydant tinidazolu </w:t>
      </w:r>
      <w:r w:rsidRPr="00DE3D86">
        <w:rPr>
          <w:bCs/>
          <w:iCs/>
          <w:szCs w:val="22"/>
        </w:rPr>
        <w:t>kepenų amebinį abscesą</w:t>
      </w:r>
      <w:r w:rsidRPr="00DE3D86">
        <w:rPr>
          <w:szCs w:val="22"/>
        </w:rPr>
        <w:t>, kartu gali prireikti pūlių aspiracijos.</w:t>
      </w:r>
    </w:p>
    <w:p w14:paraId="66F7FA0A" w14:textId="77777777" w:rsidR="00130C01" w:rsidRPr="00DE3D86" w:rsidRDefault="00130C01" w:rsidP="00D0142F">
      <w:pPr>
        <w:rPr>
          <w:szCs w:val="22"/>
        </w:rPr>
      </w:pPr>
    </w:p>
    <w:p w14:paraId="5240380F" w14:textId="77777777" w:rsidR="00130C01" w:rsidRPr="00DE3D86" w:rsidRDefault="00130C01" w:rsidP="00D0142F">
      <w:pPr>
        <w:rPr>
          <w:szCs w:val="22"/>
        </w:rPr>
      </w:pPr>
      <w:r w:rsidRPr="00DE3D86">
        <w:rPr>
          <w:szCs w:val="22"/>
        </w:rPr>
        <w:t>Pirmas tris paras reikia vartoti pradinę 1,5</w:t>
      </w:r>
      <w:r w:rsidRPr="00DE3D86">
        <w:rPr>
          <w:szCs w:val="22"/>
        </w:rPr>
        <w:noBreakHyphen/>
        <w:t>2 g dozę vieną kartą per parą. Pavieniais atvejais, jeigu trijų parų gydymo kursas neveiksmingas, gydymą galima pratęsti iki šešių parų.</w:t>
      </w:r>
    </w:p>
    <w:p w14:paraId="04B37CE8" w14:textId="77777777" w:rsidR="00130C01" w:rsidRPr="00DE3D86" w:rsidRDefault="00130C01" w:rsidP="00D0142F">
      <w:pPr>
        <w:rPr>
          <w:szCs w:val="22"/>
        </w:rPr>
      </w:pPr>
    </w:p>
    <w:p w14:paraId="74CB8182" w14:textId="77777777" w:rsidR="00130C01" w:rsidRPr="00DE3D86" w:rsidRDefault="00130C01" w:rsidP="00D0142F">
      <w:pPr>
        <w:rPr>
          <w:szCs w:val="22"/>
        </w:rPr>
      </w:pPr>
      <w:r w:rsidRPr="00DE3D86">
        <w:rPr>
          <w:bCs/>
          <w:i/>
          <w:iCs/>
          <w:szCs w:val="22"/>
        </w:rPr>
        <w:t>Vaika</w:t>
      </w:r>
      <w:r w:rsidR="00D0142F" w:rsidRPr="00DE3D86">
        <w:rPr>
          <w:bCs/>
          <w:i/>
          <w:iCs/>
          <w:szCs w:val="22"/>
        </w:rPr>
        <w:t>ms</w:t>
      </w:r>
      <w:r w:rsidRPr="00DE3D86">
        <w:rPr>
          <w:bCs/>
          <w:i/>
          <w:iCs/>
          <w:szCs w:val="22"/>
        </w:rPr>
        <w:t>.</w:t>
      </w:r>
      <w:r w:rsidRPr="00DE3D86">
        <w:rPr>
          <w:szCs w:val="22"/>
        </w:rPr>
        <w:t xml:space="preserve"> 50</w:t>
      </w:r>
      <w:r w:rsidRPr="00DE3D86">
        <w:rPr>
          <w:szCs w:val="22"/>
        </w:rPr>
        <w:noBreakHyphen/>
        <w:t>60 mg/kg kūno svorio vieną kartą per parą penkias dienas iš eilės.</w:t>
      </w:r>
    </w:p>
    <w:p w14:paraId="3E343F07" w14:textId="77777777" w:rsidR="00130C01" w:rsidRPr="00DE3D86" w:rsidRDefault="00130C01" w:rsidP="00D0142F">
      <w:pPr>
        <w:rPr>
          <w:szCs w:val="22"/>
        </w:rPr>
      </w:pPr>
    </w:p>
    <w:p w14:paraId="7562D179" w14:textId="77777777" w:rsidR="00130C01" w:rsidRPr="00DE3D86" w:rsidRDefault="00130C01" w:rsidP="00D0142F">
      <w:pPr>
        <w:rPr>
          <w:szCs w:val="22"/>
          <w:u w:val="single"/>
        </w:rPr>
      </w:pPr>
      <w:r w:rsidRPr="00DE3D86">
        <w:rPr>
          <w:iCs/>
          <w:szCs w:val="22"/>
          <w:u w:val="single"/>
        </w:rPr>
        <w:t xml:space="preserve">Pooperacinės žaizdos infekcijų </w:t>
      </w:r>
      <w:r w:rsidRPr="00DE3D86">
        <w:rPr>
          <w:szCs w:val="22"/>
          <w:u w:val="single"/>
        </w:rPr>
        <w:t>profilaktika</w:t>
      </w:r>
    </w:p>
    <w:p w14:paraId="6B0AF84E" w14:textId="77777777" w:rsidR="00130C01" w:rsidRPr="00DE3D86" w:rsidRDefault="00130C01" w:rsidP="00D0142F">
      <w:pPr>
        <w:rPr>
          <w:szCs w:val="22"/>
        </w:rPr>
      </w:pPr>
      <w:r w:rsidRPr="00DE3D86">
        <w:rPr>
          <w:bCs/>
          <w:i/>
          <w:iCs/>
          <w:szCs w:val="22"/>
        </w:rPr>
        <w:t>Suaugusie</w:t>
      </w:r>
      <w:r w:rsidR="00D0142F" w:rsidRPr="00DE3D86">
        <w:rPr>
          <w:bCs/>
          <w:i/>
          <w:iCs/>
          <w:szCs w:val="22"/>
        </w:rPr>
        <w:t>siems</w:t>
      </w:r>
      <w:r w:rsidRPr="00DE3D86">
        <w:rPr>
          <w:bCs/>
          <w:i/>
          <w:iCs/>
          <w:szCs w:val="22"/>
        </w:rPr>
        <w:t>.</w:t>
      </w:r>
      <w:r w:rsidRPr="00DE3D86">
        <w:rPr>
          <w:szCs w:val="22"/>
        </w:rPr>
        <w:t xml:space="preserve"> Vienkartinė </w:t>
      </w:r>
      <w:smartTag w:uri="urn:schemas-microsoft-com:office:smarttags" w:element="metricconverter">
        <w:smartTagPr>
          <w:attr w:name="ProductID" w:val="2ﾠg"/>
        </w:smartTagPr>
        <w:r w:rsidRPr="00DE3D86">
          <w:rPr>
            <w:szCs w:val="22"/>
          </w:rPr>
          <w:t>2 g</w:t>
        </w:r>
      </w:smartTag>
      <w:r w:rsidRPr="00DE3D86">
        <w:rPr>
          <w:szCs w:val="22"/>
        </w:rPr>
        <w:t xml:space="preserve"> dozė maždaug 12 valandų prieš operaciją.</w:t>
      </w:r>
    </w:p>
    <w:p w14:paraId="1EE4B12A" w14:textId="77777777" w:rsidR="00130C01" w:rsidRPr="00DE3D86" w:rsidRDefault="00130C01" w:rsidP="00D0142F">
      <w:pPr>
        <w:rPr>
          <w:szCs w:val="22"/>
        </w:rPr>
      </w:pPr>
      <w:r w:rsidRPr="00DE3D86">
        <w:rPr>
          <w:bCs/>
          <w:i/>
          <w:iCs/>
          <w:szCs w:val="22"/>
        </w:rPr>
        <w:t>Jaunesni</w:t>
      </w:r>
      <w:r w:rsidR="00D0142F" w:rsidRPr="00DE3D86">
        <w:rPr>
          <w:bCs/>
          <w:i/>
          <w:iCs/>
          <w:szCs w:val="22"/>
        </w:rPr>
        <w:t>ems</w:t>
      </w:r>
      <w:r w:rsidRPr="00DE3D86">
        <w:rPr>
          <w:bCs/>
          <w:i/>
          <w:iCs/>
          <w:szCs w:val="22"/>
        </w:rPr>
        <w:t xml:space="preserve"> nei 12 metų vaika</w:t>
      </w:r>
      <w:r w:rsidR="00D0142F" w:rsidRPr="00DE3D86">
        <w:rPr>
          <w:bCs/>
          <w:i/>
          <w:iCs/>
          <w:szCs w:val="22"/>
        </w:rPr>
        <w:t>ms</w:t>
      </w:r>
      <w:r w:rsidRPr="00DE3D86">
        <w:rPr>
          <w:szCs w:val="22"/>
        </w:rPr>
        <w:t xml:space="preserve"> – duomenų nėra.</w:t>
      </w:r>
    </w:p>
    <w:p w14:paraId="466D503B" w14:textId="77777777" w:rsidR="00130C01" w:rsidRPr="00DE3D86" w:rsidRDefault="00130C01" w:rsidP="00D0142F">
      <w:pPr>
        <w:rPr>
          <w:bCs/>
          <w:i/>
          <w:iCs/>
          <w:szCs w:val="22"/>
        </w:rPr>
      </w:pPr>
    </w:p>
    <w:p w14:paraId="6AABB535" w14:textId="77777777" w:rsidR="00130C01" w:rsidRPr="00DE3D86" w:rsidRDefault="00130C01" w:rsidP="00D0142F">
      <w:pPr>
        <w:rPr>
          <w:szCs w:val="22"/>
          <w:u w:val="single"/>
        </w:rPr>
      </w:pPr>
      <w:r w:rsidRPr="00DE3D86">
        <w:rPr>
          <w:bCs/>
          <w:iCs/>
          <w:szCs w:val="22"/>
          <w:u w:val="single"/>
        </w:rPr>
        <w:t>Inkstų funkcijos sutrikimas</w:t>
      </w:r>
    </w:p>
    <w:p w14:paraId="5853A0EC" w14:textId="77777777" w:rsidR="00130C01" w:rsidRPr="00DE3D86" w:rsidRDefault="006C7572" w:rsidP="00D0142F">
      <w:pPr>
        <w:rPr>
          <w:szCs w:val="22"/>
        </w:rPr>
      </w:pPr>
      <w:r w:rsidRPr="00DE3D86">
        <w:rPr>
          <w:szCs w:val="22"/>
        </w:rPr>
        <w:t>Pacientams</w:t>
      </w:r>
      <w:r w:rsidR="00130C01" w:rsidRPr="00DE3D86">
        <w:rPr>
          <w:szCs w:val="22"/>
        </w:rPr>
        <w:t>, kurie serga inkstų funkcijos sutrikimu, dozės paprastai keisti nebūtina. Visgi tinidazolas lengvai pasišalina atliekant hemodializę, taigi gali prireikti papildomos tinidazolo dozės.</w:t>
      </w:r>
    </w:p>
    <w:p w14:paraId="1B516271" w14:textId="77777777" w:rsidR="00130C01" w:rsidRPr="00DE3D86" w:rsidRDefault="00130C01" w:rsidP="00D0142F">
      <w:pPr>
        <w:rPr>
          <w:bCs/>
          <w:i/>
          <w:iCs/>
          <w:szCs w:val="22"/>
        </w:rPr>
      </w:pPr>
    </w:p>
    <w:p w14:paraId="1C3A4153" w14:textId="77777777" w:rsidR="00130C01" w:rsidRPr="00DE3D86" w:rsidRDefault="00130C01" w:rsidP="00D0142F">
      <w:pPr>
        <w:rPr>
          <w:bCs/>
          <w:iCs/>
          <w:color w:val="000000"/>
          <w:szCs w:val="22"/>
          <w:u w:val="single"/>
        </w:rPr>
      </w:pPr>
      <w:r w:rsidRPr="00DE3D86">
        <w:rPr>
          <w:bCs/>
          <w:iCs/>
          <w:color w:val="000000"/>
          <w:szCs w:val="22"/>
          <w:u w:val="single"/>
        </w:rPr>
        <w:t>Pacienta</w:t>
      </w:r>
      <w:r w:rsidR="00D0142F" w:rsidRPr="00DE3D86">
        <w:rPr>
          <w:bCs/>
          <w:iCs/>
          <w:color w:val="000000"/>
          <w:szCs w:val="22"/>
          <w:u w:val="single"/>
        </w:rPr>
        <w:t>ms</w:t>
      </w:r>
      <w:r w:rsidRPr="00DE3D86">
        <w:rPr>
          <w:bCs/>
          <w:iCs/>
          <w:color w:val="000000"/>
          <w:szCs w:val="22"/>
          <w:u w:val="single"/>
        </w:rPr>
        <w:t xml:space="preserve">, </w:t>
      </w:r>
      <w:r w:rsidR="00D0142F" w:rsidRPr="00DE3D86">
        <w:rPr>
          <w:bCs/>
          <w:iCs/>
          <w:color w:val="000000"/>
          <w:szCs w:val="22"/>
          <w:u w:val="single"/>
        </w:rPr>
        <w:t>kurių</w:t>
      </w:r>
      <w:r w:rsidRPr="00DE3D86">
        <w:rPr>
          <w:bCs/>
          <w:iCs/>
          <w:color w:val="000000"/>
          <w:szCs w:val="22"/>
          <w:u w:val="single"/>
        </w:rPr>
        <w:t xml:space="preserve"> kepenų </w:t>
      </w:r>
      <w:r w:rsidR="00D0142F" w:rsidRPr="00DE3D86">
        <w:rPr>
          <w:bCs/>
          <w:iCs/>
          <w:color w:val="000000"/>
          <w:szCs w:val="22"/>
          <w:u w:val="single"/>
        </w:rPr>
        <w:t>funkcija sutrikusi</w:t>
      </w:r>
    </w:p>
    <w:p w14:paraId="01E8D071" w14:textId="77777777" w:rsidR="00130C01" w:rsidRPr="00DE3D86" w:rsidRDefault="00130C01" w:rsidP="00D0142F">
      <w:pPr>
        <w:rPr>
          <w:bCs/>
          <w:iCs/>
          <w:color w:val="000000"/>
          <w:szCs w:val="22"/>
        </w:rPr>
      </w:pPr>
      <w:r w:rsidRPr="00DE3D86">
        <w:rPr>
          <w:bCs/>
          <w:iCs/>
          <w:color w:val="000000"/>
          <w:szCs w:val="22"/>
        </w:rPr>
        <w:t xml:space="preserve">Dozę reikia sumažinti: gerti trečdalį įprastinės dozės kartą per parą. </w:t>
      </w:r>
    </w:p>
    <w:p w14:paraId="5B9136DF" w14:textId="77777777" w:rsidR="00130C01" w:rsidRPr="00DE3D86" w:rsidRDefault="00130C01" w:rsidP="00D0142F">
      <w:pPr>
        <w:rPr>
          <w:bCs/>
          <w:iCs/>
          <w:color w:val="000000"/>
          <w:szCs w:val="22"/>
          <w:u w:val="single"/>
        </w:rPr>
      </w:pPr>
    </w:p>
    <w:p w14:paraId="6CF2EF37" w14:textId="77777777" w:rsidR="00130C01" w:rsidRPr="00DE3D86" w:rsidRDefault="00130C01" w:rsidP="00D0142F">
      <w:pPr>
        <w:rPr>
          <w:bCs/>
          <w:iCs/>
          <w:szCs w:val="22"/>
          <w:u w:val="single"/>
        </w:rPr>
      </w:pPr>
      <w:r w:rsidRPr="00DE3D86">
        <w:rPr>
          <w:bCs/>
          <w:iCs/>
          <w:szCs w:val="22"/>
          <w:u w:val="single"/>
        </w:rPr>
        <w:t>Senyvi</w:t>
      </w:r>
      <w:r w:rsidR="00D0142F" w:rsidRPr="00DE3D86">
        <w:rPr>
          <w:bCs/>
          <w:iCs/>
          <w:szCs w:val="22"/>
          <w:u w:val="single"/>
        </w:rPr>
        <w:t>ems pacientams</w:t>
      </w:r>
    </w:p>
    <w:p w14:paraId="3ECFF888" w14:textId="77777777" w:rsidR="00130C01" w:rsidRPr="00DE3D86" w:rsidRDefault="00130C01" w:rsidP="00D0142F">
      <w:pPr>
        <w:rPr>
          <w:szCs w:val="22"/>
        </w:rPr>
      </w:pPr>
      <w:r w:rsidRPr="00DE3D86">
        <w:rPr>
          <w:szCs w:val="22"/>
        </w:rPr>
        <w:t xml:space="preserve">Tokio amžiaus </w:t>
      </w:r>
      <w:r w:rsidR="006C7572" w:rsidRPr="00DE3D86">
        <w:rPr>
          <w:szCs w:val="22"/>
        </w:rPr>
        <w:t xml:space="preserve">pacientams </w:t>
      </w:r>
      <w:r w:rsidRPr="00DE3D86">
        <w:rPr>
          <w:szCs w:val="22"/>
        </w:rPr>
        <w:t>specialių rekomendacijų nėra.</w:t>
      </w:r>
    </w:p>
    <w:p w14:paraId="4B7E5472" w14:textId="77777777" w:rsidR="00D0142F" w:rsidRPr="00DE3D86" w:rsidRDefault="00D0142F" w:rsidP="00D0142F">
      <w:pPr>
        <w:rPr>
          <w:szCs w:val="22"/>
        </w:rPr>
      </w:pPr>
    </w:p>
    <w:p w14:paraId="487A677D" w14:textId="77777777" w:rsidR="00D0142F" w:rsidRPr="00DE3D86" w:rsidRDefault="00D0142F" w:rsidP="00D0142F">
      <w:pPr>
        <w:rPr>
          <w:szCs w:val="22"/>
          <w:u w:val="single"/>
        </w:rPr>
      </w:pPr>
      <w:r w:rsidRPr="00DE3D86">
        <w:rPr>
          <w:szCs w:val="22"/>
          <w:u w:val="single"/>
        </w:rPr>
        <w:t>Vartojimo metodas</w:t>
      </w:r>
    </w:p>
    <w:p w14:paraId="1AE10A98" w14:textId="77777777" w:rsidR="00130C01" w:rsidRPr="00DE3D86" w:rsidRDefault="00805E89" w:rsidP="00D0142F">
      <w:pPr>
        <w:pStyle w:val="Pagrindinistekstas"/>
        <w:spacing w:after="0"/>
        <w:rPr>
          <w:sz w:val="22"/>
          <w:szCs w:val="22"/>
        </w:rPr>
      </w:pPr>
      <w:r w:rsidRPr="00DE3D86">
        <w:rPr>
          <w:sz w:val="22"/>
          <w:szCs w:val="22"/>
          <w:lang w:val="lt-LT"/>
        </w:rPr>
        <w:t>Tabletę reikia išgerti</w:t>
      </w:r>
      <w:r w:rsidR="00D0142F" w:rsidRPr="00DE3D86">
        <w:rPr>
          <w:sz w:val="22"/>
          <w:szCs w:val="22"/>
        </w:rPr>
        <w:t xml:space="preserve"> valgant ar po valgio.</w:t>
      </w:r>
    </w:p>
    <w:p w14:paraId="46601713" w14:textId="77777777" w:rsidR="00D0142F" w:rsidRPr="00DE3D86" w:rsidRDefault="00D0142F" w:rsidP="00D0142F">
      <w:pPr>
        <w:pStyle w:val="Pagrindinistekstas"/>
        <w:spacing w:after="0"/>
        <w:rPr>
          <w:sz w:val="22"/>
          <w:szCs w:val="22"/>
        </w:rPr>
      </w:pPr>
    </w:p>
    <w:p w14:paraId="6F621408" w14:textId="77777777" w:rsidR="00130C01" w:rsidRPr="00DE3D86" w:rsidRDefault="00130C01" w:rsidP="00D0142F">
      <w:pPr>
        <w:pStyle w:val="Antrat3"/>
        <w:rPr>
          <w:szCs w:val="22"/>
        </w:rPr>
      </w:pPr>
      <w:r w:rsidRPr="00DE3D86">
        <w:rPr>
          <w:szCs w:val="22"/>
        </w:rPr>
        <w:t>4.3</w:t>
      </w:r>
      <w:r w:rsidRPr="00DE3D86">
        <w:rPr>
          <w:szCs w:val="22"/>
        </w:rPr>
        <w:tab/>
        <w:t>Kontraindikacijos</w:t>
      </w:r>
    </w:p>
    <w:p w14:paraId="20A778D6" w14:textId="77777777" w:rsidR="00130C01" w:rsidRPr="00DE3D86" w:rsidRDefault="00130C01" w:rsidP="00D0142F">
      <w:pPr>
        <w:pStyle w:val="Pagrindinistekstas"/>
        <w:spacing w:after="0"/>
        <w:rPr>
          <w:sz w:val="22"/>
          <w:szCs w:val="22"/>
        </w:rPr>
      </w:pPr>
    </w:p>
    <w:p w14:paraId="53D35C05" w14:textId="77777777" w:rsidR="00130C01" w:rsidRPr="00DE3D86" w:rsidRDefault="000E5879" w:rsidP="00D0142F">
      <w:pPr>
        <w:pStyle w:val="Pagrindinistekstas"/>
        <w:numPr>
          <w:ilvl w:val="0"/>
          <w:numId w:val="1"/>
        </w:numPr>
        <w:tabs>
          <w:tab w:val="clear" w:pos="360"/>
          <w:tab w:val="num" w:pos="567"/>
        </w:tabs>
        <w:spacing w:after="0"/>
        <w:ind w:left="567" w:hanging="567"/>
        <w:rPr>
          <w:sz w:val="22"/>
          <w:szCs w:val="22"/>
        </w:rPr>
      </w:pPr>
      <w:r w:rsidRPr="00DE3D86">
        <w:rPr>
          <w:sz w:val="22"/>
          <w:szCs w:val="22"/>
        </w:rPr>
        <w:t xml:space="preserve">Padidėjęs </w:t>
      </w:r>
      <w:r w:rsidR="00130C01" w:rsidRPr="00DE3D86">
        <w:rPr>
          <w:sz w:val="22"/>
          <w:szCs w:val="22"/>
        </w:rPr>
        <w:t xml:space="preserve">jautrumas </w:t>
      </w:r>
      <w:r w:rsidR="00D0142F" w:rsidRPr="00DE3D86">
        <w:rPr>
          <w:sz w:val="22"/>
          <w:szCs w:val="22"/>
        </w:rPr>
        <w:t>veikliajai</w:t>
      </w:r>
      <w:r w:rsidR="001C7832" w:rsidRPr="00DE3D86">
        <w:rPr>
          <w:sz w:val="22"/>
          <w:szCs w:val="22"/>
        </w:rPr>
        <w:t xml:space="preserve"> medžiagai</w:t>
      </w:r>
      <w:r w:rsidR="00D0142F" w:rsidRPr="00DE3D86">
        <w:rPr>
          <w:sz w:val="22"/>
          <w:szCs w:val="22"/>
        </w:rPr>
        <w:t xml:space="preserve">, </w:t>
      </w:r>
      <w:r w:rsidR="00130C01" w:rsidRPr="00DE3D86">
        <w:rPr>
          <w:sz w:val="22"/>
          <w:szCs w:val="22"/>
        </w:rPr>
        <w:t>kitokiems 5–nitroimidazolo junginiams</w:t>
      </w:r>
      <w:r w:rsidR="009A0A1E" w:rsidRPr="00DE3D86">
        <w:rPr>
          <w:sz w:val="22"/>
          <w:szCs w:val="22"/>
        </w:rPr>
        <w:t xml:space="preserve"> arba bet kuriai 6.1 skyriuje nurodytai pagalbinei medžiagai</w:t>
      </w:r>
      <w:r w:rsidR="00130C01" w:rsidRPr="00DE3D86">
        <w:rPr>
          <w:sz w:val="22"/>
          <w:szCs w:val="22"/>
        </w:rPr>
        <w:t>;</w:t>
      </w:r>
    </w:p>
    <w:p w14:paraId="6E7E0115" w14:textId="77777777" w:rsidR="000E5879" w:rsidRPr="00DE3D86" w:rsidRDefault="000E5879" w:rsidP="000E5879">
      <w:pPr>
        <w:pStyle w:val="Pagrindinistekstas"/>
        <w:numPr>
          <w:ilvl w:val="0"/>
          <w:numId w:val="1"/>
        </w:numPr>
        <w:tabs>
          <w:tab w:val="clear" w:pos="360"/>
          <w:tab w:val="num" w:pos="567"/>
        </w:tabs>
        <w:spacing w:after="0"/>
        <w:ind w:left="567" w:hanging="567"/>
        <w:rPr>
          <w:sz w:val="22"/>
          <w:szCs w:val="22"/>
        </w:rPr>
      </w:pPr>
      <w:r w:rsidRPr="00DE3D86">
        <w:rPr>
          <w:sz w:val="22"/>
          <w:szCs w:val="22"/>
        </w:rPr>
        <w:t>organinė nervų sistemos liga;</w:t>
      </w:r>
    </w:p>
    <w:p w14:paraId="72FC7797" w14:textId="77777777" w:rsidR="00130C01" w:rsidRPr="00DE3D86" w:rsidRDefault="00130C01" w:rsidP="00D0142F">
      <w:pPr>
        <w:pStyle w:val="Pagrindinistekstas"/>
        <w:numPr>
          <w:ilvl w:val="0"/>
          <w:numId w:val="1"/>
        </w:numPr>
        <w:tabs>
          <w:tab w:val="clear" w:pos="360"/>
          <w:tab w:val="num" w:pos="567"/>
        </w:tabs>
        <w:spacing w:after="0"/>
        <w:ind w:left="567" w:hanging="567"/>
        <w:rPr>
          <w:sz w:val="22"/>
          <w:szCs w:val="22"/>
        </w:rPr>
      </w:pPr>
      <w:r w:rsidRPr="00DE3D86">
        <w:rPr>
          <w:sz w:val="22"/>
          <w:szCs w:val="22"/>
        </w:rPr>
        <w:t>kraujo patologiniai pokyčiai;</w:t>
      </w:r>
    </w:p>
    <w:p w14:paraId="5A84CA86" w14:textId="77777777" w:rsidR="00130C01" w:rsidRPr="00DE3D86" w:rsidRDefault="00130C01" w:rsidP="00D0142F">
      <w:pPr>
        <w:pStyle w:val="Pagrindinistekstas"/>
        <w:numPr>
          <w:ilvl w:val="0"/>
          <w:numId w:val="1"/>
        </w:numPr>
        <w:tabs>
          <w:tab w:val="clear" w:pos="360"/>
          <w:tab w:val="num" w:pos="567"/>
        </w:tabs>
        <w:spacing w:after="0"/>
        <w:ind w:left="567" w:hanging="567"/>
        <w:rPr>
          <w:sz w:val="22"/>
          <w:szCs w:val="22"/>
        </w:rPr>
      </w:pPr>
      <w:r w:rsidRPr="00DE3D86">
        <w:rPr>
          <w:sz w:val="22"/>
          <w:szCs w:val="22"/>
        </w:rPr>
        <w:t xml:space="preserve">pirmieji trys nėštumo mėnesiai ir žindymo laikotarpis. </w:t>
      </w:r>
    </w:p>
    <w:p w14:paraId="335A5B76" w14:textId="77777777" w:rsidR="00130C01" w:rsidRPr="00DE3D86" w:rsidRDefault="00130C01" w:rsidP="00D0142F">
      <w:pPr>
        <w:pStyle w:val="Pagrindinistekstas"/>
        <w:spacing w:after="0"/>
        <w:rPr>
          <w:sz w:val="22"/>
          <w:szCs w:val="22"/>
        </w:rPr>
      </w:pPr>
    </w:p>
    <w:p w14:paraId="2C737D1C" w14:textId="77777777" w:rsidR="00130C01" w:rsidRPr="00DE3D86" w:rsidRDefault="00130C01" w:rsidP="00D0142F">
      <w:pPr>
        <w:pStyle w:val="Antrat3"/>
        <w:numPr>
          <w:ilvl w:val="1"/>
          <w:numId w:val="5"/>
        </w:numPr>
        <w:rPr>
          <w:szCs w:val="22"/>
        </w:rPr>
      </w:pPr>
      <w:r w:rsidRPr="00DE3D86">
        <w:rPr>
          <w:szCs w:val="22"/>
        </w:rPr>
        <w:lastRenderedPageBreak/>
        <w:t>Specialūs įspėjimai ir atsargumo priemonės</w:t>
      </w:r>
    </w:p>
    <w:p w14:paraId="65935A56" w14:textId="77777777" w:rsidR="00130C01" w:rsidRPr="00DE3D86" w:rsidRDefault="00130C01" w:rsidP="00D0142F">
      <w:pPr>
        <w:pStyle w:val="Pagrindinistekstas"/>
        <w:spacing w:after="0"/>
        <w:ind w:left="567" w:hanging="567"/>
        <w:rPr>
          <w:sz w:val="22"/>
          <w:szCs w:val="22"/>
        </w:rPr>
      </w:pPr>
    </w:p>
    <w:p w14:paraId="60FD73CD" w14:textId="77777777" w:rsidR="00130C01" w:rsidRPr="00DE3D86" w:rsidRDefault="00130C01" w:rsidP="00D0142F">
      <w:pPr>
        <w:pStyle w:val="Pagrindinistekstas"/>
        <w:numPr>
          <w:ilvl w:val="0"/>
          <w:numId w:val="2"/>
        </w:numPr>
        <w:tabs>
          <w:tab w:val="clear" w:pos="360"/>
          <w:tab w:val="num" w:pos="567"/>
        </w:tabs>
        <w:spacing w:after="0"/>
        <w:ind w:left="567" w:hanging="567"/>
        <w:rPr>
          <w:sz w:val="22"/>
          <w:szCs w:val="22"/>
        </w:rPr>
      </w:pPr>
      <w:r w:rsidRPr="00DE3D86">
        <w:rPr>
          <w:sz w:val="22"/>
          <w:szCs w:val="22"/>
        </w:rPr>
        <w:t xml:space="preserve">Vartojant tinidazolo ir gydymą baigus dar mažiausiai tris dienas negalima gerti alkoholinių gėrimų, kadangi gali pasireikšti reakcija (karščio pylimas, pilvo diegliai, vėmimas, tachikardija), panaši į disulfiramo sukeliamą reakciją. </w:t>
      </w:r>
    </w:p>
    <w:p w14:paraId="76506226" w14:textId="77777777" w:rsidR="00130C01" w:rsidRPr="00DE3D86" w:rsidRDefault="00130C01" w:rsidP="00D0142F">
      <w:pPr>
        <w:pStyle w:val="Pagrindinistekstas"/>
        <w:numPr>
          <w:ilvl w:val="0"/>
          <w:numId w:val="2"/>
        </w:numPr>
        <w:tabs>
          <w:tab w:val="clear" w:pos="360"/>
          <w:tab w:val="num" w:pos="567"/>
        </w:tabs>
        <w:spacing w:after="0"/>
        <w:ind w:left="567" w:hanging="567"/>
        <w:rPr>
          <w:sz w:val="22"/>
          <w:szCs w:val="22"/>
        </w:rPr>
      </w:pPr>
      <w:r w:rsidRPr="00DE3D86">
        <w:rPr>
          <w:sz w:val="22"/>
          <w:szCs w:val="22"/>
        </w:rPr>
        <w:t xml:space="preserve">Tinidazolu gydomam </w:t>
      </w:r>
      <w:r w:rsidR="006C7572" w:rsidRPr="00DE3D86">
        <w:rPr>
          <w:sz w:val="22"/>
          <w:szCs w:val="22"/>
        </w:rPr>
        <w:t xml:space="preserve">pacientui </w:t>
      </w:r>
      <w:r w:rsidRPr="00DE3D86">
        <w:rPr>
          <w:sz w:val="22"/>
          <w:szCs w:val="22"/>
        </w:rPr>
        <w:t xml:space="preserve">gali sutrikti nervų sistema: sukasi ir svaigsta galva, pasireiškia ataksija, periferinė neuropatija. Jei atsiranda tokių sutrikimų, </w:t>
      </w:r>
      <w:r w:rsidR="00E7015D" w:rsidRPr="00DE3D86">
        <w:rPr>
          <w:sz w:val="22"/>
          <w:szCs w:val="22"/>
        </w:rPr>
        <w:t xml:space="preserve">vaistinio preparato </w:t>
      </w:r>
      <w:r w:rsidRPr="00DE3D86">
        <w:rPr>
          <w:sz w:val="22"/>
          <w:szCs w:val="22"/>
        </w:rPr>
        <w:t xml:space="preserve">vartojimą reikia nutraukti. </w:t>
      </w:r>
    </w:p>
    <w:p w14:paraId="04D2547A" w14:textId="77777777" w:rsidR="00130C01" w:rsidRPr="00DE3D86" w:rsidRDefault="00130C01" w:rsidP="00D0142F">
      <w:pPr>
        <w:pStyle w:val="Pagrindinistekstas"/>
        <w:numPr>
          <w:ilvl w:val="0"/>
          <w:numId w:val="2"/>
        </w:numPr>
        <w:tabs>
          <w:tab w:val="clear" w:pos="360"/>
          <w:tab w:val="num" w:pos="567"/>
        </w:tabs>
        <w:spacing w:after="0"/>
        <w:ind w:left="567" w:hanging="567"/>
        <w:rPr>
          <w:sz w:val="22"/>
          <w:szCs w:val="22"/>
        </w:rPr>
      </w:pPr>
      <w:r w:rsidRPr="00DE3D86">
        <w:rPr>
          <w:sz w:val="22"/>
          <w:szCs w:val="22"/>
        </w:rPr>
        <w:t>Vaist</w:t>
      </w:r>
      <w:r w:rsidR="006C7572" w:rsidRPr="00DE3D86">
        <w:rPr>
          <w:sz w:val="22"/>
          <w:szCs w:val="22"/>
        </w:rPr>
        <w:t>inio preparat</w:t>
      </w:r>
      <w:r w:rsidRPr="00DE3D86">
        <w:rPr>
          <w:sz w:val="22"/>
          <w:szCs w:val="22"/>
        </w:rPr>
        <w:t xml:space="preserve">o reikia vartoti atsargiai pacientams, sergantiems sunkia kepenų liga (taip pat kepenų encefalopatija sergantiems </w:t>
      </w:r>
      <w:r w:rsidR="006C7572" w:rsidRPr="00DE3D86">
        <w:rPr>
          <w:sz w:val="22"/>
          <w:szCs w:val="22"/>
        </w:rPr>
        <w:t>pacientams</w:t>
      </w:r>
      <w:r w:rsidRPr="00DE3D86">
        <w:rPr>
          <w:sz w:val="22"/>
          <w:szCs w:val="22"/>
        </w:rPr>
        <w:t>). Tokiu atveju būtina tinkamai koreguoti vaist</w:t>
      </w:r>
      <w:r w:rsidR="006C7572" w:rsidRPr="00DE3D86">
        <w:rPr>
          <w:sz w:val="22"/>
          <w:szCs w:val="22"/>
        </w:rPr>
        <w:t>inio preparat</w:t>
      </w:r>
      <w:r w:rsidRPr="00DE3D86">
        <w:rPr>
          <w:sz w:val="22"/>
          <w:szCs w:val="22"/>
        </w:rPr>
        <w:t>o dozavimą.</w:t>
      </w:r>
    </w:p>
    <w:p w14:paraId="13FF8BCA" w14:textId="77777777" w:rsidR="00130C01" w:rsidRPr="00DE3D86" w:rsidRDefault="00130C01" w:rsidP="00D0142F">
      <w:pPr>
        <w:pStyle w:val="Pagrindinistekstas"/>
        <w:numPr>
          <w:ilvl w:val="0"/>
          <w:numId w:val="2"/>
        </w:numPr>
        <w:tabs>
          <w:tab w:val="clear" w:pos="360"/>
          <w:tab w:val="num" w:pos="567"/>
        </w:tabs>
        <w:spacing w:after="0"/>
        <w:ind w:left="562" w:hanging="562"/>
        <w:rPr>
          <w:sz w:val="22"/>
          <w:szCs w:val="22"/>
        </w:rPr>
      </w:pPr>
      <w:r w:rsidRPr="00DE3D86">
        <w:rPr>
          <w:sz w:val="22"/>
          <w:szCs w:val="22"/>
        </w:rPr>
        <w:t>Pacientų, vartojančių vaist</w:t>
      </w:r>
      <w:r w:rsidR="006C7572" w:rsidRPr="00DE3D86">
        <w:rPr>
          <w:sz w:val="22"/>
          <w:szCs w:val="22"/>
        </w:rPr>
        <w:t>inio preparat</w:t>
      </w:r>
      <w:r w:rsidRPr="00DE3D86">
        <w:rPr>
          <w:sz w:val="22"/>
          <w:szCs w:val="22"/>
        </w:rPr>
        <w:t>o ilgiau negu 10 parų, būklę bei laboratorinių tyrimų rodmenis reikėtų nuolat stebėti.</w:t>
      </w:r>
    </w:p>
    <w:p w14:paraId="4DA27217" w14:textId="77777777" w:rsidR="00130C01" w:rsidRPr="00DE3D86" w:rsidRDefault="00130C01" w:rsidP="00D0142F">
      <w:pPr>
        <w:tabs>
          <w:tab w:val="left" w:pos="630"/>
        </w:tabs>
        <w:ind w:left="562" w:hanging="562"/>
        <w:rPr>
          <w:szCs w:val="22"/>
        </w:rPr>
      </w:pPr>
      <w:r w:rsidRPr="00DE3D86">
        <w:rPr>
          <w:szCs w:val="22"/>
        </w:rPr>
        <w:t>-</w:t>
      </w:r>
      <w:r w:rsidRPr="00DE3D86">
        <w:rPr>
          <w:szCs w:val="22"/>
        </w:rPr>
        <w:tab/>
        <w:t>Vartojant tinidazolą, gali pasireikšti kandidozė. Superinfekcijos atveju pacientui reikia skirti atitinkamą gydymą.</w:t>
      </w:r>
    </w:p>
    <w:p w14:paraId="6BFFAE8D" w14:textId="2508210D" w:rsidR="00130C01" w:rsidRPr="004652D5" w:rsidRDefault="00130C01" w:rsidP="00D0142F">
      <w:pPr>
        <w:pStyle w:val="Pagrindinistekstas"/>
        <w:spacing w:after="0"/>
        <w:rPr>
          <w:sz w:val="22"/>
          <w:szCs w:val="22"/>
        </w:rPr>
      </w:pPr>
    </w:p>
    <w:p w14:paraId="5130D186" w14:textId="77777777" w:rsidR="004652D5" w:rsidRPr="004652D5" w:rsidRDefault="004652D5" w:rsidP="004652D5">
      <w:pPr>
        <w:rPr>
          <w:noProof/>
          <w:szCs w:val="22"/>
          <w:u w:val="single"/>
          <w:lang w:eastAsia="x-none"/>
        </w:rPr>
      </w:pPr>
      <w:r w:rsidRPr="004652D5">
        <w:rPr>
          <w:noProof/>
          <w:szCs w:val="22"/>
          <w:u w:val="single"/>
          <w:lang w:eastAsia="x-none"/>
        </w:rPr>
        <w:t>Natris</w:t>
      </w:r>
    </w:p>
    <w:p w14:paraId="7D3F194C" w14:textId="43234A57" w:rsidR="004652D5" w:rsidRPr="004652D5" w:rsidRDefault="004652D5" w:rsidP="00204EBD">
      <w:pPr>
        <w:autoSpaceDE w:val="0"/>
        <w:autoSpaceDN w:val="0"/>
        <w:adjustRightInd w:val="0"/>
      </w:pPr>
      <w:r w:rsidRPr="004652D5">
        <w:t xml:space="preserve">Šio vaistinio preparato </w:t>
      </w:r>
      <w:r w:rsidR="0033478A">
        <w:t xml:space="preserve">kiekvienoje plėvele dengtoje tabletėje </w:t>
      </w:r>
      <w:r w:rsidRPr="004652D5">
        <w:t xml:space="preserve"> yra mažiau kaip 1 mmol (23 mg) natrio, t.y. jis beveik neturi reikšmės.</w:t>
      </w:r>
    </w:p>
    <w:p w14:paraId="43E8B33C" w14:textId="77777777" w:rsidR="004652D5" w:rsidRPr="004652D5" w:rsidRDefault="004652D5" w:rsidP="00D0142F">
      <w:pPr>
        <w:pStyle w:val="Pagrindinistekstas"/>
        <w:spacing w:after="0"/>
        <w:rPr>
          <w:sz w:val="22"/>
          <w:szCs w:val="22"/>
          <w:lang w:val="lt-LT"/>
        </w:rPr>
      </w:pPr>
    </w:p>
    <w:p w14:paraId="4AD83B07" w14:textId="77777777" w:rsidR="00130C01" w:rsidRPr="00DE3D86" w:rsidRDefault="00130C01" w:rsidP="00D0142F">
      <w:pPr>
        <w:pStyle w:val="Antrat3"/>
        <w:rPr>
          <w:szCs w:val="22"/>
        </w:rPr>
      </w:pPr>
      <w:r w:rsidRPr="00DE3D86">
        <w:rPr>
          <w:szCs w:val="22"/>
        </w:rPr>
        <w:t>4.5</w:t>
      </w:r>
      <w:r w:rsidRPr="00DE3D86">
        <w:rPr>
          <w:szCs w:val="22"/>
        </w:rPr>
        <w:tab/>
        <w:t>Sąveika su kitais vaistiniais preparatais ir kitokia sąveika</w:t>
      </w:r>
    </w:p>
    <w:p w14:paraId="645D5348" w14:textId="77777777" w:rsidR="00130C01" w:rsidRPr="00DE3D86" w:rsidRDefault="00130C01" w:rsidP="00D0142F">
      <w:pPr>
        <w:pStyle w:val="Pagrindinistekstas"/>
        <w:spacing w:after="0"/>
        <w:rPr>
          <w:sz w:val="22"/>
          <w:szCs w:val="22"/>
        </w:rPr>
      </w:pPr>
    </w:p>
    <w:p w14:paraId="6B50E5E4" w14:textId="77777777" w:rsidR="00130C01" w:rsidRPr="00DE3D86" w:rsidRDefault="00130C01" w:rsidP="009A0A1E">
      <w:pPr>
        <w:ind w:left="547" w:hanging="547"/>
        <w:rPr>
          <w:szCs w:val="22"/>
        </w:rPr>
      </w:pPr>
      <w:r w:rsidRPr="00DE3D86">
        <w:rPr>
          <w:szCs w:val="22"/>
        </w:rPr>
        <w:t>-</w:t>
      </w:r>
      <w:r w:rsidRPr="00DE3D86">
        <w:rPr>
          <w:szCs w:val="22"/>
        </w:rPr>
        <w:tab/>
        <w:t>Tinidazolą vartojant kartu su alkoholiu, gali pasireikšti disulfiramo tipo reakcija (paraudimas, pilvo diegliai, vėmimas, tachikardija). Gydantis tinidazolu ir tris dienas po gydymo pabaigos, negalima gerti alkoholio.</w:t>
      </w:r>
    </w:p>
    <w:p w14:paraId="19905BE2" w14:textId="77777777" w:rsidR="00130C01" w:rsidRPr="00DE3D86" w:rsidRDefault="00130C01" w:rsidP="009A0A1E">
      <w:pPr>
        <w:tabs>
          <w:tab w:val="left" w:pos="0"/>
        </w:tabs>
        <w:ind w:left="547" w:hanging="547"/>
        <w:rPr>
          <w:szCs w:val="22"/>
        </w:rPr>
      </w:pPr>
      <w:r w:rsidRPr="00DE3D86">
        <w:rPr>
          <w:szCs w:val="22"/>
        </w:rPr>
        <w:t>-</w:t>
      </w:r>
      <w:r w:rsidRPr="00DE3D86">
        <w:rPr>
          <w:szCs w:val="22"/>
        </w:rPr>
        <w:tab/>
        <w:t>Alkoholį vartojantiems pacientams, kurie gydosi disulfiramu, gali atsirasti psichozės simptomų. Pacientams, kurie per praėjusias dvi savaites vartojo disulfiramą, tinidazolo vartoti negalima.</w:t>
      </w:r>
    </w:p>
    <w:p w14:paraId="5221B0E9" w14:textId="77777777" w:rsidR="00130C01" w:rsidRPr="00DE3D86" w:rsidRDefault="00130C01" w:rsidP="009A0A1E">
      <w:pPr>
        <w:ind w:left="547" w:hanging="547"/>
        <w:rPr>
          <w:szCs w:val="22"/>
        </w:rPr>
      </w:pPr>
      <w:r w:rsidRPr="00DE3D86">
        <w:rPr>
          <w:szCs w:val="22"/>
        </w:rPr>
        <w:t>-</w:t>
      </w:r>
      <w:r w:rsidRPr="00DE3D86">
        <w:rPr>
          <w:szCs w:val="22"/>
        </w:rPr>
        <w:tab/>
        <w:t>Tinidazolas, vartojamas kartu su geriamaisiais antikoaguliantais, stiprina šių vaist</w:t>
      </w:r>
      <w:r w:rsidR="006C7572" w:rsidRPr="00DE3D86">
        <w:rPr>
          <w:szCs w:val="22"/>
        </w:rPr>
        <w:t>inių preparat</w:t>
      </w:r>
      <w:r w:rsidRPr="00DE3D86">
        <w:rPr>
          <w:szCs w:val="22"/>
        </w:rPr>
        <w:t>ų poveikį kraujo krešėjimui. Reikia atidžiai nustatinėti protrombino laiką ir, jeigu reikia, keisti antikoaguliantų dozę.</w:t>
      </w:r>
    </w:p>
    <w:p w14:paraId="718CC33E" w14:textId="77777777" w:rsidR="00130C01" w:rsidRPr="00DE3D86" w:rsidRDefault="00130C01" w:rsidP="00440299">
      <w:pPr>
        <w:pStyle w:val="Pagrindinistekstas"/>
        <w:numPr>
          <w:ilvl w:val="0"/>
          <w:numId w:val="3"/>
        </w:numPr>
        <w:tabs>
          <w:tab w:val="clear" w:pos="360"/>
        </w:tabs>
        <w:spacing w:after="0"/>
        <w:ind w:left="547" w:hanging="547"/>
        <w:rPr>
          <w:sz w:val="22"/>
          <w:szCs w:val="22"/>
        </w:rPr>
      </w:pPr>
      <w:r w:rsidRPr="00DE3D86">
        <w:rPr>
          <w:sz w:val="22"/>
          <w:szCs w:val="22"/>
        </w:rPr>
        <w:t>Cimetidinas slopina tinidazolo metabolizmą kepenyse (plazmoje padidėja tinidazolo koncentracija).</w:t>
      </w:r>
    </w:p>
    <w:p w14:paraId="402B113E" w14:textId="77777777" w:rsidR="00130C01" w:rsidRPr="00DE3D86" w:rsidRDefault="00130C01" w:rsidP="009A0A1E">
      <w:pPr>
        <w:ind w:left="547" w:hanging="547"/>
        <w:rPr>
          <w:szCs w:val="22"/>
        </w:rPr>
      </w:pPr>
      <w:r w:rsidRPr="00DE3D86">
        <w:rPr>
          <w:szCs w:val="22"/>
        </w:rPr>
        <w:t>-</w:t>
      </w:r>
      <w:r w:rsidRPr="00DE3D86">
        <w:rPr>
          <w:szCs w:val="22"/>
        </w:rPr>
        <w:tab/>
        <w:t>Kaip ir kitokie 5-nitroimidazolo junginiai (pvz., metronidazolas), tinidazolis gali slopinti fenitoino metabolizmą, todėl šių vaist</w:t>
      </w:r>
      <w:r w:rsidR="006C7572" w:rsidRPr="00DE3D86">
        <w:rPr>
          <w:szCs w:val="22"/>
        </w:rPr>
        <w:t>inių preparat</w:t>
      </w:r>
      <w:r w:rsidRPr="00DE3D86">
        <w:rPr>
          <w:szCs w:val="22"/>
        </w:rPr>
        <w:t>ų koncentracija serume gali padidėti. Vartojant kartu tinidazolą, reikia nustatinėti ličio ir kreatinino koncentraciją kraujo serume, nes gali pasireikšti toksinis ličio poveikis.</w:t>
      </w:r>
    </w:p>
    <w:p w14:paraId="4F414AC5" w14:textId="77777777" w:rsidR="00130C01" w:rsidRPr="00DE3D86" w:rsidRDefault="00130C01" w:rsidP="009A0A1E">
      <w:pPr>
        <w:pStyle w:val="Pagrindinistekstas"/>
        <w:numPr>
          <w:ilvl w:val="0"/>
          <w:numId w:val="3"/>
        </w:numPr>
        <w:tabs>
          <w:tab w:val="clear" w:pos="360"/>
        </w:tabs>
        <w:spacing w:after="0"/>
        <w:ind w:left="547" w:hanging="547"/>
        <w:rPr>
          <w:sz w:val="22"/>
          <w:szCs w:val="22"/>
        </w:rPr>
      </w:pPr>
      <w:r w:rsidRPr="00DE3D86">
        <w:rPr>
          <w:sz w:val="22"/>
          <w:szCs w:val="22"/>
        </w:rPr>
        <w:t>Fenobarbitalis skatina 5-nitroimidazolo junginių metabolizmą, todėl jų koncentracija serume gali sumažėti.</w:t>
      </w:r>
    </w:p>
    <w:p w14:paraId="16DE39D7" w14:textId="77777777" w:rsidR="00130C01" w:rsidRPr="00DE3D86" w:rsidRDefault="00130C01" w:rsidP="009A0A1E">
      <w:pPr>
        <w:ind w:left="547" w:hanging="547"/>
        <w:rPr>
          <w:szCs w:val="22"/>
        </w:rPr>
      </w:pPr>
      <w:r w:rsidRPr="00DE3D86">
        <w:rPr>
          <w:szCs w:val="22"/>
        </w:rPr>
        <w:t>-</w:t>
      </w:r>
      <w:r w:rsidRPr="00DE3D86">
        <w:rPr>
          <w:szCs w:val="22"/>
        </w:rPr>
        <w:tab/>
        <w:t>Tinidazolą reikia atsargiai vartoti kartu su ciklosporinu ar takrolimuzu, nes gali padidėti ciklosporino ar takrolimuzo koncentracijos serume ir sustiprėti toksinis poveikis.</w:t>
      </w:r>
    </w:p>
    <w:p w14:paraId="665DB183" w14:textId="77777777" w:rsidR="00130C01" w:rsidRPr="00DE3D86" w:rsidRDefault="00130C01" w:rsidP="009A0A1E">
      <w:pPr>
        <w:ind w:left="547" w:hanging="547"/>
        <w:rPr>
          <w:szCs w:val="22"/>
        </w:rPr>
      </w:pPr>
      <w:r w:rsidRPr="00DE3D86">
        <w:rPr>
          <w:szCs w:val="22"/>
        </w:rPr>
        <w:t>-</w:t>
      </w:r>
      <w:r w:rsidRPr="00DE3D86">
        <w:rPr>
          <w:szCs w:val="22"/>
        </w:rPr>
        <w:tab/>
        <w:t xml:space="preserve">Gydantis fluorouracilu, dėl sulėtėjusio fluorouracilo klirenso gali sustiprėti gydomasis poveikis. Jeigu tinidazolą vartoti kartu būtina, reikia stebėti, ar </w:t>
      </w:r>
      <w:r w:rsidR="006C7572" w:rsidRPr="00DE3D86">
        <w:rPr>
          <w:szCs w:val="22"/>
        </w:rPr>
        <w:t xml:space="preserve">pacientui </w:t>
      </w:r>
      <w:r w:rsidRPr="00DE3D86">
        <w:rPr>
          <w:szCs w:val="22"/>
        </w:rPr>
        <w:t>neatsiranda su fluorouracilo vartojimu susijusio toksinio poveikio.</w:t>
      </w:r>
    </w:p>
    <w:p w14:paraId="336FE893" w14:textId="77777777" w:rsidR="00130C01" w:rsidRPr="00DE3D86" w:rsidRDefault="00130C01" w:rsidP="00D0142F">
      <w:pPr>
        <w:pStyle w:val="Pagrindinistekstas"/>
        <w:spacing w:after="0"/>
        <w:rPr>
          <w:sz w:val="22"/>
          <w:szCs w:val="22"/>
        </w:rPr>
      </w:pPr>
    </w:p>
    <w:p w14:paraId="673A1E26" w14:textId="77777777" w:rsidR="00130C01" w:rsidRPr="00DE3D86" w:rsidRDefault="00130C01" w:rsidP="00D0142F">
      <w:pPr>
        <w:pStyle w:val="Antrat3"/>
        <w:rPr>
          <w:szCs w:val="22"/>
        </w:rPr>
      </w:pPr>
      <w:r w:rsidRPr="00DE3D86">
        <w:rPr>
          <w:szCs w:val="22"/>
        </w:rPr>
        <w:t>4.6</w:t>
      </w:r>
      <w:r w:rsidRPr="00DE3D86">
        <w:rPr>
          <w:szCs w:val="22"/>
        </w:rPr>
        <w:tab/>
      </w:r>
      <w:r w:rsidR="009A0A1E" w:rsidRPr="00DE3D86">
        <w:rPr>
          <w:szCs w:val="22"/>
        </w:rPr>
        <w:t>Vaisingumas, n</w:t>
      </w:r>
      <w:r w:rsidRPr="00DE3D86">
        <w:rPr>
          <w:szCs w:val="22"/>
        </w:rPr>
        <w:t>ėštumo ir žindymo laikotarpis</w:t>
      </w:r>
    </w:p>
    <w:p w14:paraId="3BA39456" w14:textId="77777777" w:rsidR="00130C01" w:rsidRPr="00DE3D86" w:rsidRDefault="00130C01" w:rsidP="00D0142F">
      <w:pPr>
        <w:pStyle w:val="Pagrindinistekstas"/>
        <w:spacing w:after="0"/>
        <w:rPr>
          <w:sz w:val="22"/>
          <w:szCs w:val="22"/>
        </w:rPr>
      </w:pPr>
    </w:p>
    <w:p w14:paraId="0D7E7CBD" w14:textId="77777777" w:rsidR="009A0A1E" w:rsidRPr="00DE3D86" w:rsidRDefault="00130C01" w:rsidP="00D0142F">
      <w:pPr>
        <w:pStyle w:val="Pagrindinistekstas"/>
        <w:spacing w:after="0"/>
        <w:rPr>
          <w:sz w:val="22"/>
          <w:szCs w:val="22"/>
        </w:rPr>
      </w:pPr>
      <w:r w:rsidRPr="00DE3D86">
        <w:rPr>
          <w:iCs/>
          <w:sz w:val="22"/>
          <w:szCs w:val="22"/>
          <w:u w:val="single"/>
        </w:rPr>
        <w:t>Nėštumas</w:t>
      </w:r>
    </w:p>
    <w:p w14:paraId="48841BCD" w14:textId="77777777" w:rsidR="00130C01" w:rsidRPr="00DE3D86" w:rsidRDefault="00130C01" w:rsidP="00D0142F">
      <w:pPr>
        <w:pStyle w:val="Pagrindinistekstas"/>
        <w:spacing w:after="0"/>
        <w:rPr>
          <w:sz w:val="22"/>
          <w:szCs w:val="22"/>
        </w:rPr>
      </w:pPr>
      <w:r w:rsidRPr="00DE3D86">
        <w:rPr>
          <w:sz w:val="22"/>
          <w:szCs w:val="22"/>
        </w:rPr>
        <w:t>Pagal saugumą nėštumo metu vaist</w:t>
      </w:r>
      <w:r w:rsidR="006C7572" w:rsidRPr="00DE3D86">
        <w:rPr>
          <w:sz w:val="22"/>
          <w:szCs w:val="22"/>
        </w:rPr>
        <w:t>inis preparat</w:t>
      </w:r>
      <w:r w:rsidRPr="00DE3D86">
        <w:rPr>
          <w:sz w:val="22"/>
          <w:szCs w:val="22"/>
        </w:rPr>
        <w:t>as priklauso C kategorijai.</w:t>
      </w:r>
    </w:p>
    <w:p w14:paraId="0F2B69B5" w14:textId="77777777" w:rsidR="00130C01" w:rsidRPr="00DE3D86" w:rsidRDefault="00130C01" w:rsidP="00D0142F">
      <w:pPr>
        <w:pStyle w:val="Pagrindinistekstas"/>
        <w:spacing w:after="0"/>
        <w:rPr>
          <w:sz w:val="22"/>
          <w:szCs w:val="22"/>
        </w:rPr>
      </w:pPr>
      <w:r w:rsidRPr="00DE3D86">
        <w:rPr>
          <w:sz w:val="22"/>
          <w:szCs w:val="22"/>
        </w:rPr>
        <w:t xml:space="preserve">Tinidazolas prasiskverbia per placentą, todėl jo vartoti pirmuosius tris nėštumo mėnesius negalima. Paskutiniuosius šešis nėštumo mėnesius </w:t>
      </w:r>
      <w:r w:rsidR="00E7015D" w:rsidRPr="00DE3D86">
        <w:rPr>
          <w:sz w:val="22"/>
          <w:szCs w:val="22"/>
        </w:rPr>
        <w:t xml:space="preserve">vaistinio preparato </w:t>
      </w:r>
      <w:r w:rsidRPr="00DE3D86">
        <w:rPr>
          <w:sz w:val="22"/>
          <w:szCs w:val="22"/>
        </w:rPr>
        <w:t xml:space="preserve">galima vartoti tik tokiu atveju, jei nauda didesnė negu pavojus vaisiui. </w:t>
      </w:r>
    </w:p>
    <w:p w14:paraId="0F82FD41" w14:textId="77777777" w:rsidR="00130C01" w:rsidRPr="00DE3D86" w:rsidRDefault="00130C01" w:rsidP="00D0142F">
      <w:pPr>
        <w:pStyle w:val="Pagrindinistekstas"/>
        <w:spacing w:after="0"/>
        <w:rPr>
          <w:sz w:val="22"/>
          <w:szCs w:val="22"/>
        </w:rPr>
      </w:pPr>
      <w:r w:rsidRPr="00DE3D86">
        <w:rPr>
          <w:sz w:val="22"/>
          <w:szCs w:val="22"/>
        </w:rPr>
        <w:t>Tinidazolo tyrimų su žiurkėmis, kurios vartojo 100 arba 300 mg/kg kūno svorio dozę, duomenimis, vaist</w:t>
      </w:r>
      <w:r w:rsidR="006C7572" w:rsidRPr="00DE3D86">
        <w:rPr>
          <w:sz w:val="22"/>
          <w:szCs w:val="22"/>
        </w:rPr>
        <w:t>inis preparat</w:t>
      </w:r>
      <w:r w:rsidRPr="00DE3D86">
        <w:rPr>
          <w:sz w:val="22"/>
          <w:szCs w:val="22"/>
        </w:rPr>
        <w:t xml:space="preserve">as gyvūnų vaisingumo, vaikingumo bei žindymo neveikė. </w:t>
      </w:r>
    </w:p>
    <w:p w14:paraId="2F3A5871" w14:textId="77777777" w:rsidR="00130C01" w:rsidRPr="00DE3D86" w:rsidRDefault="00130C01" w:rsidP="00D0142F">
      <w:pPr>
        <w:pStyle w:val="Pagrindinistekstas"/>
        <w:spacing w:after="0"/>
        <w:rPr>
          <w:sz w:val="22"/>
          <w:szCs w:val="22"/>
        </w:rPr>
      </w:pPr>
      <w:r w:rsidRPr="00DE3D86">
        <w:rPr>
          <w:sz w:val="22"/>
          <w:szCs w:val="22"/>
        </w:rPr>
        <w:t>Nėščių moterų klinikinių stebėjimų neatlikta.</w:t>
      </w:r>
    </w:p>
    <w:p w14:paraId="6C5FB8DF" w14:textId="77777777" w:rsidR="009A0A1E" w:rsidRPr="00DE3D86" w:rsidRDefault="009A0A1E" w:rsidP="00D0142F">
      <w:pPr>
        <w:pStyle w:val="Pagrindinistekstas"/>
        <w:spacing w:after="0"/>
        <w:rPr>
          <w:sz w:val="22"/>
          <w:szCs w:val="22"/>
        </w:rPr>
      </w:pPr>
    </w:p>
    <w:p w14:paraId="2F442A57" w14:textId="77777777" w:rsidR="00130C01" w:rsidRPr="00DE3D86" w:rsidRDefault="00130C01" w:rsidP="00D0142F">
      <w:pPr>
        <w:pStyle w:val="Pagrindinistekstas"/>
        <w:spacing w:after="0"/>
        <w:rPr>
          <w:sz w:val="22"/>
          <w:szCs w:val="22"/>
        </w:rPr>
      </w:pPr>
      <w:r w:rsidRPr="00DE3D86">
        <w:rPr>
          <w:iCs/>
          <w:sz w:val="22"/>
          <w:szCs w:val="22"/>
          <w:u w:val="single"/>
        </w:rPr>
        <w:t>Žindymas</w:t>
      </w:r>
      <w:r w:rsidRPr="00DE3D86">
        <w:rPr>
          <w:sz w:val="22"/>
          <w:szCs w:val="22"/>
        </w:rPr>
        <w:t xml:space="preserve"> </w:t>
      </w:r>
    </w:p>
    <w:p w14:paraId="651911A9" w14:textId="77777777" w:rsidR="00130C01" w:rsidRPr="00DE3D86" w:rsidRDefault="00130C01" w:rsidP="00D0142F">
      <w:pPr>
        <w:pStyle w:val="Pagrindinistekstas"/>
        <w:spacing w:after="0"/>
        <w:rPr>
          <w:sz w:val="22"/>
          <w:szCs w:val="22"/>
        </w:rPr>
      </w:pPr>
      <w:r w:rsidRPr="00DE3D86">
        <w:rPr>
          <w:sz w:val="22"/>
          <w:szCs w:val="22"/>
        </w:rPr>
        <w:lastRenderedPageBreak/>
        <w:t xml:space="preserve">Tinidazolas išsiskiria su motinos pienu, todėl </w:t>
      </w:r>
      <w:r w:rsidR="00E7015D" w:rsidRPr="00DE3D86">
        <w:rPr>
          <w:sz w:val="22"/>
          <w:szCs w:val="22"/>
        </w:rPr>
        <w:t xml:space="preserve">vaistinio preparato </w:t>
      </w:r>
      <w:r w:rsidRPr="00DE3D86">
        <w:rPr>
          <w:sz w:val="22"/>
          <w:szCs w:val="22"/>
        </w:rPr>
        <w:t xml:space="preserve">vartojanti moteris žindymą turi nutraukti. </w:t>
      </w:r>
    </w:p>
    <w:p w14:paraId="0DC77A3B" w14:textId="77777777" w:rsidR="00130C01" w:rsidRPr="00DE3D86" w:rsidRDefault="00130C01" w:rsidP="00D0142F">
      <w:pPr>
        <w:pStyle w:val="Pagrindinistekstas"/>
        <w:spacing w:after="0"/>
        <w:rPr>
          <w:sz w:val="22"/>
          <w:szCs w:val="22"/>
        </w:rPr>
      </w:pPr>
      <w:r w:rsidRPr="00DE3D86">
        <w:rPr>
          <w:sz w:val="22"/>
          <w:szCs w:val="22"/>
        </w:rPr>
        <w:t>Išgėrus tinidazolo, jo motinos piene gali būti net po 72 val.</w:t>
      </w:r>
    </w:p>
    <w:p w14:paraId="38A8EA3F" w14:textId="77777777" w:rsidR="00130C01" w:rsidRPr="00DE3D86" w:rsidRDefault="00130C01" w:rsidP="00D0142F">
      <w:pPr>
        <w:pStyle w:val="Pagrindinistekstas"/>
        <w:spacing w:after="0"/>
        <w:rPr>
          <w:sz w:val="22"/>
          <w:szCs w:val="22"/>
        </w:rPr>
      </w:pPr>
    </w:p>
    <w:p w14:paraId="432F514C" w14:textId="77777777" w:rsidR="00130C01" w:rsidRPr="00DE3D86" w:rsidRDefault="00130C01" w:rsidP="00D0142F">
      <w:pPr>
        <w:pStyle w:val="Antrat3"/>
        <w:rPr>
          <w:szCs w:val="22"/>
        </w:rPr>
      </w:pPr>
      <w:r w:rsidRPr="00DE3D86">
        <w:rPr>
          <w:szCs w:val="22"/>
        </w:rPr>
        <w:t>4.7</w:t>
      </w:r>
      <w:r w:rsidRPr="00DE3D86">
        <w:rPr>
          <w:szCs w:val="22"/>
        </w:rPr>
        <w:tab/>
        <w:t>Poveikis gebėjimui vairuoti ir valdyti mechanizmus</w:t>
      </w:r>
    </w:p>
    <w:p w14:paraId="094EA55B" w14:textId="77777777" w:rsidR="00130C01" w:rsidRPr="00DE3D86" w:rsidRDefault="00130C01" w:rsidP="00D0142F">
      <w:pPr>
        <w:pStyle w:val="Pagrindinistekstas"/>
        <w:spacing w:after="0"/>
        <w:rPr>
          <w:sz w:val="22"/>
          <w:szCs w:val="22"/>
        </w:rPr>
      </w:pPr>
    </w:p>
    <w:p w14:paraId="292A583F" w14:textId="77777777" w:rsidR="00130C01" w:rsidRPr="00DE3D86" w:rsidRDefault="00130C01" w:rsidP="00D0142F">
      <w:pPr>
        <w:pStyle w:val="Pagrindinistekstas"/>
        <w:spacing w:after="0"/>
        <w:rPr>
          <w:sz w:val="22"/>
          <w:szCs w:val="22"/>
        </w:rPr>
      </w:pPr>
      <w:r w:rsidRPr="00DE3D86">
        <w:rPr>
          <w:sz w:val="22"/>
          <w:szCs w:val="22"/>
        </w:rPr>
        <w:t>Tinidazolas gali ilginti reakcijos laiką žmonėms, kurie vairuoja transportą ar valdo mechanizmus. Pacientą būtina informuoti apie pavojų, kuris gali kilti vairuojant transportą ir valdant mechanizmus.</w:t>
      </w:r>
    </w:p>
    <w:p w14:paraId="5888279A" w14:textId="77777777" w:rsidR="00130C01" w:rsidRPr="00DE3D86" w:rsidRDefault="00130C01" w:rsidP="00D0142F">
      <w:pPr>
        <w:pStyle w:val="Pagrindinistekstas"/>
        <w:spacing w:after="0"/>
        <w:rPr>
          <w:sz w:val="22"/>
          <w:szCs w:val="22"/>
        </w:rPr>
      </w:pPr>
    </w:p>
    <w:p w14:paraId="7A641A0E" w14:textId="77777777" w:rsidR="00130C01" w:rsidRPr="00DE3D86" w:rsidRDefault="00130C01" w:rsidP="00D0142F">
      <w:pPr>
        <w:pStyle w:val="Antrat3"/>
        <w:numPr>
          <w:ilvl w:val="1"/>
          <w:numId w:val="4"/>
        </w:numPr>
        <w:rPr>
          <w:szCs w:val="22"/>
        </w:rPr>
      </w:pPr>
      <w:r w:rsidRPr="00DE3D86">
        <w:rPr>
          <w:szCs w:val="22"/>
        </w:rPr>
        <w:t>Nepageidaujamas poveikis</w:t>
      </w:r>
    </w:p>
    <w:p w14:paraId="6D48867E" w14:textId="77777777" w:rsidR="00130C01" w:rsidRPr="00DE3D86" w:rsidRDefault="00130C01" w:rsidP="00D0142F">
      <w:pPr>
        <w:rPr>
          <w:szCs w:val="22"/>
        </w:rPr>
      </w:pPr>
    </w:p>
    <w:p w14:paraId="125C6FE9" w14:textId="77777777" w:rsidR="00130C01" w:rsidRPr="00DE3D86" w:rsidRDefault="00130C01" w:rsidP="00D0142F">
      <w:pPr>
        <w:rPr>
          <w:szCs w:val="22"/>
        </w:rPr>
      </w:pPr>
      <w:r w:rsidRPr="00DE3D86">
        <w:rPr>
          <w:szCs w:val="22"/>
        </w:rPr>
        <w:t>Nustatytas nepageidaujamas poveikis dažniausiai buvo nedažnas, lengvas ir išnyko savaime.</w:t>
      </w:r>
    </w:p>
    <w:p w14:paraId="7F3DF2EA" w14:textId="77777777" w:rsidR="00130C01" w:rsidRPr="00DE3D86" w:rsidRDefault="00130C01" w:rsidP="00D0142F">
      <w:pPr>
        <w:rPr>
          <w:szCs w:val="22"/>
          <w:u w:val="single"/>
        </w:rPr>
      </w:pPr>
    </w:p>
    <w:p w14:paraId="069D00D5" w14:textId="77777777" w:rsidR="00130C01" w:rsidRPr="00DE3D86" w:rsidRDefault="00130C01" w:rsidP="00D0142F">
      <w:pPr>
        <w:rPr>
          <w:noProof/>
          <w:szCs w:val="22"/>
          <w:u w:val="single"/>
          <w:lang w:val="es-ES"/>
        </w:rPr>
      </w:pPr>
      <w:r w:rsidRPr="00DE3D86">
        <w:rPr>
          <w:noProof/>
          <w:szCs w:val="22"/>
          <w:u w:val="single"/>
          <w:lang w:val="es-ES"/>
        </w:rPr>
        <w:t>Kraujo ir limfinės sistemos sutrikimai</w:t>
      </w:r>
    </w:p>
    <w:p w14:paraId="5035AEBD" w14:textId="77777777" w:rsidR="00130C01" w:rsidRPr="00DE3D86" w:rsidRDefault="00130C01" w:rsidP="00D0142F">
      <w:pPr>
        <w:rPr>
          <w:szCs w:val="22"/>
        </w:rPr>
      </w:pPr>
      <w:r w:rsidRPr="00DE3D86">
        <w:rPr>
          <w:szCs w:val="22"/>
        </w:rPr>
        <w:t>Trumpalaikė leukopenija, neutropenija.</w:t>
      </w:r>
    </w:p>
    <w:p w14:paraId="367D6DD0" w14:textId="77777777" w:rsidR="00130C01" w:rsidRPr="00DE3D86" w:rsidRDefault="00130C01" w:rsidP="00D0142F">
      <w:pPr>
        <w:rPr>
          <w:szCs w:val="22"/>
          <w:u w:val="single"/>
        </w:rPr>
      </w:pPr>
    </w:p>
    <w:p w14:paraId="04EAA6A6" w14:textId="77777777" w:rsidR="00130C01" w:rsidRPr="00DE3D86" w:rsidRDefault="00130C01" w:rsidP="00D0142F">
      <w:pPr>
        <w:rPr>
          <w:szCs w:val="22"/>
          <w:u w:val="single"/>
        </w:rPr>
      </w:pPr>
      <w:r w:rsidRPr="00DE3D86">
        <w:rPr>
          <w:noProof/>
          <w:szCs w:val="22"/>
          <w:u w:val="single"/>
          <w:lang w:val="fr-FR"/>
        </w:rPr>
        <w:t>Širdies sutrikimai</w:t>
      </w:r>
    </w:p>
    <w:p w14:paraId="3907D8DD" w14:textId="77777777" w:rsidR="00130C01" w:rsidRPr="00DE3D86" w:rsidRDefault="00130C01" w:rsidP="00D0142F">
      <w:pPr>
        <w:rPr>
          <w:szCs w:val="22"/>
        </w:rPr>
      </w:pPr>
      <w:r w:rsidRPr="00DE3D86">
        <w:rPr>
          <w:szCs w:val="22"/>
        </w:rPr>
        <w:t>Tachikardija, apalpimas.</w:t>
      </w:r>
    </w:p>
    <w:p w14:paraId="7D1776B7" w14:textId="77777777" w:rsidR="00130C01" w:rsidRPr="00DE3D86" w:rsidRDefault="00130C01" w:rsidP="00D0142F">
      <w:pPr>
        <w:rPr>
          <w:szCs w:val="22"/>
        </w:rPr>
      </w:pPr>
    </w:p>
    <w:p w14:paraId="083241EB" w14:textId="77777777" w:rsidR="00130C01" w:rsidRPr="00DE3D86" w:rsidRDefault="00130C01" w:rsidP="00D0142F">
      <w:pPr>
        <w:rPr>
          <w:noProof/>
          <w:szCs w:val="22"/>
          <w:u w:val="single"/>
          <w:lang w:val="sv-SE"/>
        </w:rPr>
      </w:pPr>
      <w:r w:rsidRPr="00DE3D86">
        <w:rPr>
          <w:noProof/>
          <w:szCs w:val="22"/>
          <w:u w:val="single"/>
          <w:lang w:val="sv-SE"/>
        </w:rPr>
        <w:t>Kraujagyslių sutrikimai</w:t>
      </w:r>
    </w:p>
    <w:p w14:paraId="0B179C88" w14:textId="77777777" w:rsidR="00130C01" w:rsidRPr="00DE3D86" w:rsidRDefault="00130C01" w:rsidP="00D0142F">
      <w:pPr>
        <w:rPr>
          <w:szCs w:val="22"/>
        </w:rPr>
      </w:pPr>
      <w:r w:rsidRPr="00DE3D86">
        <w:rPr>
          <w:szCs w:val="22"/>
        </w:rPr>
        <w:t>Paraudimas.</w:t>
      </w:r>
    </w:p>
    <w:p w14:paraId="23DCBDD0" w14:textId="77777777" w:rsidR="00130C01" w:rsidRPr="00DE3D86" w:rsidRDefault="00130C01" w:rsidP="00D0142F">
      <w:pPr>
        <w:rPr>
          <w:szCs w:val="22"/>
          <w:u w:val="single"/>
        </w:rPr>
      </w:pPr>
    </w:p>
    <w:p w14:paraId="666A9513" w14:textId="77777777" w:rsidR="00130C01" w:rsidRPr="00DE3D86" w:rsidRDefault="00130C01" w:rsidP="00D0142F">
      <w:pPr>
        <w:rPr>
          <w:noProof/>
          <w:szCs w:val="22"/>
          <w:u w:val="single"/>
          <w:lang w:val="fi-FI"/>
        </w:rPr>
      </w:pPr>
      <w:r w:rsidRPr="00DE3D86">
        <w:rPr>
          <w:noProof/>
          <w:szCs w:val="22"/>
          <w:u w:val="single"/>
          <w:lang w:val="fi-FI"/>
        </w:rPr>
        <w:t>Ausų ir labirintų sutrikimai</w:t>
      </w:r>
    </w:p>
    <w:p w14:paraId="21E5E2CE" w14:textId="77777777" w:rsidR="00130C01" w:rsidRPr="00DE3D86" w:rsidRDefault="00130C01" w:rsidP="00D0142F">
      <w:pPr>
        <w:rPr>
          <w:szCs w:val="22"/>
        </w:rPr>
      </w:pPr>
      <w:r w:rsidRPr="00DE3D86">
        <w:rPr>
          <w:szCs w:val="22"/>
        </w:rPr>
        <w:t>Trumpalaikis prikurtimas, skambėjimas ausyse.</w:t>
      </w:r>
    </w:p>
    <w:p w14:paraId="0B3AB7B4" w14:textId="77777777" w:rsidR="00130C01" w:rsidRPr="00DE3D86" w:rsidRDefault="00130C01" w:rsidP="00D0142F">
      <w:pPr>
        <w:rPr>
          <w:szCs w:val="22"/>
          <w:u w:val="single"/>
        </w:rPr>
      </w:pPr>
    </w:p>
    <w:p w14:paraId="66A63713" w14:textId="77777777" w:rsidR="00130C01" w:rsidRPr="00DE3D86" w:rsidRDefault="00130C01" w:rsidP="00D0142F">
      <w:pPr>
        <w:rPr>
          <w:noProof/>
          <w:szCs w:val="22"/>
          <w:u w:val="single"/>
          <w:lang w:val="sv-SE"/>
        </w:rPr>
      </w:pPr>
      <w:r w:rsidRPr="00DE3D86">
        <w:rPr>
          <w:noProof/>
          <w:szCs w:val="22"/>
          <w:u w:val="single"/>
          <w:lang w:val="sv-SE"/>
        </w:rPr>
        <w:t>Nervų sistemos sutrikimai</w:t>
      </w:r>
    </w:p>
    <w:p w14:paraId="119BC712" w14:textId="77777777" w:rsidR="00130C01" w:rsidRPr="00DE3D86" w:rsidRDefault="00130C01" w:rsidP="00D0142F">
      <w:pPr>
        <w:rPr>
          <w:szCs w:val="22"/>
        </w:rPr>
      </w:pPr>
      <w:r w:rsidRPr="00DE3D86">
        <w:rPr>
          <w:szCs w:val="22"/>
        </w:rPr>
        <w:t>Ataksija, traukuliai (retai), galvos svaigimas, galvos skausmas, hipestezija, parestezija, periferinė neuropatija, jutimų sutrikimai, galvos sukimasis, metalo skonis, nemiga, prakaitavimas, sumišimas, depresija, koordinacijos sutrikimai, dirglumas, nervingumas, koma, aseptinis meningitas.</w:t>
      </w:r>
    </w:p>
    <w:p w14:paraId="2030B7FC" w14:textId="77777777" w:rsidR="00130C01" w:rsidRPr="00DE3D86" w:rsidRDefault="00130C01" w:rsidP="00D0142F">
      <w:pPr>
        <w:rPr>
          <w:szCs w:val="22"/>
          <w:u w:val="single"/>
        </w:rPr>
      </w:pPr>
    </w:p>
    <w:p w14:paraId="080F0C1A" w14:textId="77777777" w:rsidR="00130C01" w:rsidRPr="00DE3D86" w:rsidRDefault="00130C01" w:rsidP="00D0142F">
      <w:pPr>
        <w:rPr>
          <w:noProof/>
          <w:szCs w:val="22"/>
          <w:u w:val="single"/>
          <w:lang w:val="fi-FI"/>
        </w:rPr>
      </w:pPr>
      <w:r w:rsidRPr="00DE3D86">
        <w:rPr>
          <w:noProof/>
          <w:szCs w:val="22"/>
          <w:u w:val="single"/>
          <w:lang w:val="fi-FI"/>
        </w:rPr>
        <w:t>Virškinimo trakto sutrikimai</w:t>
      </w:r>
    </w:p>
    <w:p w14:paraId="444FF4D9" w14:textId="77777777" w:rsidR="00130C01" w:rsidRPr="00DE3D86" w:rsidRDefault="00130C01" w:rsidP="00D0142F">
      <w:pPr>
        <w:rPr>
          <w:szCs w:val="22"/>
        </w:rPr>
      </w:pPr>
      <w:r w:rsidRPr="00DE3D86">
        <w:rPr>
          <w:szCs w:val="22"/>
        </w:rPr>
        <w:t>Pilvo skausmas, anoreksija, viduriavimas, liežuvio apnašas, faringitas, glositas, stomatitas, pykinimas, vėmimas, burnos džiūvimas, troškulys, pilvo įtempimas, vidurių užkietėjimas, pseudomembraninis enterokolitas, pankreatitas.</w:t>
      </w:r>
    </w:p>
    <w:p w14:paraId="4A70F389" w14:textId="77777777" w:rsidR="00130C01" w:rsidRPr="00DE3D86" w:rsidRDefault="00130C01" w:rsidP="00D0142F">
      <w:pPr>
        <w:rPr>
          <w:szCs w:val="22"/>
          <w:u w:val="single"/>
        </w:rPr>
      </w:pPr>
    </w:p>
    <w:p w14:paraId="6A3BAC47" w14:textId="77777777" w:rsidR="00130C01" w:rsidRPr="00DE3D86" w:rsidRDefault="00130C01" w:rsidP="00D0142F">
      <w:pPr>
        <w:rPr>
          <w:noProof/>
          <w:szCs w:val="22"/>
          <w:u w:val="single"/>
          <w:lang w:val="pt-PT"/>
        </w:rPr>
      </w:pPr>
      <w:r w:rsidRPr="00DE3D86">
        <w:rPr>
          <w:noProof/>
          <w:szCs w:val="22"/>
          <w:u w:val="single"/>
          <w:lang w:val="pt-PT"/>
        </w:rPr>
        <w:t>Odos ir poodinio audinio sutrikimai</w:t>
      </w:r>
    </w:p>
    <w:p w14:paraId="0E4D1403" w14:textId="77777777" w:rsidR="00130C01" w:rsidRPr="00DE3D86" w:rsidRDefault="00130C01" w:rsidP="00D0142F">
      <w:pPr>
        <w:rPr>
          <w:szCs w:val="22"/>
        </w:rPr>
      </w:pPr>
      <w:r w:rsidRPr="00DE3D86">
        <w:rPr>
          <w:szCs w:val="22"/>
        </w:rPr>
        <w:t>Retais atvejais gali atsirasti tokių odos reakcijų, kurios kartais gali būti sunkios: odos išbėrimas, niežulys, dilgėlinė ir angioneurozinė edema, toksinė epidermio nekrolizė.</w:t>
      </w:r>
    </w:p>
    <w:p w14:paraId="3E056000" w14:textId="77777777" w:rsidR="00130C01" w:rsidRPr="00DE3D86" w:rsidRDefault="00130C01" w:rsidP="00D0142F">
      <w:pPr>
        <w:rPr>
          <w:szCs w:val="22"/>
          <w:u w:val="single"/>
        </w:rPr>
      </w:pPr>
    </w:p>
    <w:p w14:paraId="6F40C094" w14:textId="77777777" w:rsidR="00130C01" w:rsidRPr="00DE3D86" w:rsidRDefault="00130C01" w:rsidP="00D0142F">
      <w:pPr>
        <w:rPr>
          <w:noProof/>
          <w:szCs w:val="22"/>
          <w:u w:val="single"/>
          <w:lang w:val="pt-PT"/>
        </w:rPr>
      </w:pPr>
      <w:r w:rsidRPr="00DE3D86">
        <w:rPr>
          <w:noProof/>
          <w:szCs w:val="22"/>
          <w:u w:val="single"/>
          <w:lang w:val="pt-PT"/>
        </w:rPr>
        <w:t>Kvėpavimo sistemos, krūtinės ląstos ir tarpuplaučio sutrikimai</w:t>
      </w:r>
    </w:p>
    <w:p w14:paraId="2228F324" w14:textId="77777777" w:rsidR="00130C01" w:rsidRPr="00DE3D86" w:rsidRDefault="00130C01" w:rsidP="00D0142F">
      <w:pPr>
        <w:rPr>
          <w:szCs w:val="22"/>
        </w:rPr>
      </w:pPr>
      <w:r w:rsidRPr="00DE3D86">
        <w:rPr>
          <w:szCs w:val="22"/>
        </w:rPr>
        <w:t>Bronchų spazmas, dusulys, sinusitas, rinitas, nosies gleivinės paburkimas.</w:t>
      </w:r>
    </w:p>
    <w:p w14:paraId="18046BD8" w14:textId="77777777" w:rsidR="00130C01" w:rsidRPr="00DE3D86" w:rsidRDefault="00130C01" w:rsidP="00D0142F">
      <w:pPr>
        <w:rPr>
          <w:szCs w:val="22"/>
          <w:u w:val="single"/>
        </w:rPr>
      </w:pPr>
    </w:p>
    <w:p w14:paraId="7CAA070C" w14:textId="77777777" w:rsidR="00130C01" w:rsidRPr="00DE3D86" w:rsidRDefault="00130C01" w:rsidP="00D0142F">
      <w:pPr>
        <w:rPr>
          <w:szCs w:val="22"/>
          <w:u w:val="single"/>
        </w:rPr>
      </w:pPr>
      <w:r w:rsidRPr="00DE3D86">
        <w:rPr>
          <w:noProof/>
          <w:szCs w:val="22"/>
          <w:u w:val="single"/>
          <w:lang w:val="pt-PT"/>
        </w:rPr>
        <w:t>Skeleto, raumenų ir jungiamojo audinio sutrikima</w:t>
      </w:r>
      <w:r w:rsidRPr="00DE3D86">
        <w:rPr>
          <w:szCs w:val="22"/>
          <w:u w:val="single"/>
        </w:rPr>
        <w:t>i</w:t>
      </w:r>
    </w:p>
    <w:p w14:paraId="21DD3F70" w14:textId="77777777" w:rsidR="00130C01" w:rsidRPr="00DE3D86" w:rsidRDefault="00130C01" w:rsidP="00D0142F">
      <w:pPr>
        <w:rPr>
          <w:szCs w:val="22"/>
        </w:rPr>
      </w:pPr>
      <w:r w:rsidRPr="00DE3D86">
        <w:rPr>
          <w:szCs w:val="22"/>
        </w:rPr>
        <w:t>Artritas.</w:t>
      </w:r>
    </w:p>
    <w:p w14:paraId="3FD76AB4" w14:textId="77777777" w:rsidR="00130C01" w:rsidRPr="00DE3D86" w:rsidRDefault="00130C01" w:rsidP="00D0142F">
      <w:pPr>
        <w:rPr>
          <w:szCs w:val="22"/>
          <w:u w:val="single"/>
        </w:rPr>
      </w:pPr>
    </w:p>
    <w:p w14:paraId="46254C03" w14:textId="77777777" w:rsidR="00130C01" w:rsidRPr="00DE3D86" w:rsidRDefault="00130C01" w:rsidP="00D0142F">
      <w:pPr>
        <w:rPr>
          <w:noProof/>
          <w:szCs w:val="22"/>
          <w:u w:val="single"/>
          <w:lang w:val="pt-PT"/>
        </w:rPr>
      </w:pPr>
      <w:r w:rsidRPr="00DE3D86">
        <w:rPr>
          <w:noProof/>
          <w:szCs w:val="22"/>
          <w:u w:val="single"/>
          <w:lang w:val="pt-PT"/>
        </w:rPr>
        <w:t>Inkstų ir šlapimo takų sutrikimai</w:t>
      </w:r>
    </w:p>
    <w:p w14:paraId="1FE1FA04" w14:textId="77777777" w:rsidR="00130C01" w:rsidRPr="00DE3D86" w:rsidRDefault="00130C01" w:rsidP="00D0142F">
      <w:pPr>
        <w:rPr>
          <w:szCs w:val="22"/>
        </w:rPr>
      </w:pPr>
      <w:r w:rsidRPr="00DE3D86">
        <w:rPr>
          <w:szCs w:val="22"/>
        </w:rPr>
        <w:t>Tamsi šlapimo spalva, dizurija, poliurija, cistitas, šlapimo nelaikymas.</w:t>
      </w:r>
    </w:p>
    <w:p w14:paraId="3B4126A6" w14:textId="77777777" w:rsidR="00130C01" w:rsidRPr="00DE3D86" w:rsidRDefault="00130C01" w:rsidP="00D0142F">
      <w:pPr>
        <w:rPr>
          <w:szCs w:val="22"/>
          <w:u w:val="single"/>
        </w:rPr>
      </w:pPr>
    </w:p>
    <w:p w14:paraId="4D7474D0" w14:textId="77777777" w:rsidR="00130C01" w:rsidRPr="00DE3D86" w:rsidRDefault="00130C01" w:rsidP="00D0142F">
      <w:pPr>
        <w:rPr>
          <w:szCs w:val="22"/>
          <w:u w:val="single"/>
        </w:rPr>
      </w:pPr>
      <w:r w:rsidRPr="00DE3D86">
        <w:rPr>
          <w:noProof/>
          <w:szCs w:val="22"/>
          <w:u w:val="single"/>
          <w:lang w:val="es-ES"/>
        </w:rPr>
        <w:t>Lytinės sistemos ir krūties sutrikimai</w:t>
      </w:r>
    </w:p>
    <w:p w14:paraId="07B2267C" w14:textId="77777777" w:rsidR="00130C01" w:rsidRPr="00DE3D86" w:rsidRDefault="00130C01" w:rsidP="00D0142F">
      <w:pPr>
        <w:rPr>
          <w:szCs w:val="22"/>
        </w:rPr>
      </w:pPr>
      <w:r w:rsidRPr="00DE3D86">
        <w:rPr>
          <w:szCs w:val="22"/>
        </w:rPr>
        <w:t>Makšties sausumas, lytinio potraukio susilpnėjimas.</w:t>
      </w:r>
    </w:p>
    <w:p w14:paraId="587B0B22" w14:textId="77777777" w:rsidR="00130C01" w:rsidRPr="00DE3D86" w:rsidRDefault="00130C01" w:rsidP="00D0142F">
      <w:pPr>
        <w:rPr>
          <w:szCs w:val="22"/>
          <w:u w:val="single"/>
        </w:rPr>
      </w:pPr>
    </w:p>
    <w:p w14:paraId="0366F803" w14:textId="77777777" w:rsidR="00130C01" w:rsidRPr="00DE3D86" w:rsidRDefault="00130C01" w:rsidP="00D0142F">
      <w:pPr>
        <w:rPr>
          <w:noProof/>
          <w:szCs w:val="22"/>
          <w:u w:val="single"/>
          <w:lang w:val="es-ES"/>
        </w:rPr>
      </w:pPr>
      <w:r w:rsidRPr="00DE3D86">
        <w:rPr>
          <w:noProof/>
          <w:szCs w:val="22"/>
          <w:u w:val="single"/>
          <w:lang w:val="es-ES"/>
        </w:rPr>
        <w:t>Bendrieji sutrikimai ir vartojimo vietos pažeidimai</w:t>
      </w:r>
    </w:p>
    <w:p w14:paraId="20454AB5" w14:textId="77777777" w:rsidR="00130C01" w:rsidRPr="00DE3D86" w:rsidRDefault="00130C01" w:rsidP="00D0142F">
      <w:pPr>
        <w:rPr>
          <w:szCs w:val="22"/>
        </w:rPr>
      </w:pPr>
      <w:r w:rsidRPr="00DE3D86">
        <w:rPr>
          <w:szCs w:val="22"/>
        </w:rPr>
        <w:t>Karščiavimas, nuovargis, astenija, kandidozė.</w:t>
      </w:r>
    </w:p>
    <w:p w14:paraId="1D4FBD66" w14:textId="77777777" w:rsidR="00130C01" w:rsidRPr="00DE3D86" w:rsidRDefault="00130C01" w:rsidP="00D0142F">
      <w:pPr>
        <w:pStyle w:val="Pagrindinistekstas"/>
        <w:spacing w:after="0"/>
        <w:rPr>
          <w:sz w:val="22"/>
          <w:szCs w:val="22"/>
        </w:rPr>
      </w:pPr>
    </w:p>
    <w:p w14:paraId="1721BC03" w14:textId="77777777" w:rsidR="009A0A1E" w:rsidRPr="00DE3D86" w:rsidRDefault="009A0A1E" w:rsidP="009A0A1E">
      <w:pPr>
        <w:tabs>
          <w:tab w:val="left" w:pos="567"/>
        </w:tabs>
        <w:autoSpaceDE w:val="0"/>
        <w:autoSpaceDN w:val="0"/>
        <w:adjustRightInd w:val="0"/>
        <w:spacing w:line="260" w:lineRule="exact"/>
        <w:jc w:val="both"/>
        <w:rPr>
          <w:snapToGrid w:val="0"/>
          <w:szCs w:val="22"/>
          <w:u w:val="single"/>
          <w:lang w:eastAsia="en-US"/>
        </w:rPr>
      </w:pPr>
      <w:r w:rsidRPr="00DE3D86">
        <w:rPr>
          <w:noProof/>
          <w:snapToGrid w:val="0"/>
          <w:szCs w:val="22"/>
          <w:u w:val="single"/>
          <w:lang w:eastAsia="en-US"/>
        </w:rPr>
        <w:t>Pranešimas apie įtariamas nepageidaujamas reakcijas</w:t>
      </w:r>
    </w:p>
    <w:p w14:paraId="04367D49" w14:textId="77777777" w:rsidR="009A0A1E" w:rsidRPr="00DE3D86" w:rsidRDefault="009A0A1E" w:rsidP="009A0A1E">
      <w:pPr>
        <w:pStyle w:val="Pagrindinistekstas"/>
        <w:spacing w:after="0"/>
        <w:rPr>
          <w:noProof/>
          <w:snapToGrid w:val="0"/>
          <w:sz w:val="22"/>
          <w:szCs w:val="22"/>
          <w:lang w:eastAsia="en-US"/>
        </w:rPr>
      </w:pPr>
      <w:r w:rsidRPr="00DE3D86">
        <w:rPr>
          <w:noProof/>
          <w:snapToGrid w:val="0"/>
          <w:sz w:val="22"/>
          <w:szCs w:val="22"/>
          <w:lang w:eastAsia="en-US"/>
        </w:rPr>
        <w:t>Svarbu pranešti apie įtariamas nepageidaujamas reakcijas, pastebėtas po vaistinio preparato registracijos, nes tai leidžia nuolat stebėti vaistinio preparato naudos ir rizikos santykį.</w:t>
      </w:r>
      <w:r w:rsidRPr="00DE3D86">
        <w:rPr>
          <w:snapToGrid w:val="0"/>
          <w:sz w:val="22"/>
          <w:szCs w:val="22"/>
          <w:lang w:eastAsia="en-US"/>
        </w:rPr>
        <w:t xml:space="preserve"> </w:t>
      </w:r>
      <w:r w:rsidRPr="00DE3D86">
        <w:rPr>
          <w:noProof/>
          <w:snapToGrid w:val="0"/>
          <w:sz w:val="22"/>
          <w:szCs w:val="22"/>
          <w:lang w:eastAsia="en-US"/>
        </w:rPr>
        <w:t xml:space="preserve">Sveikatos </w:t>
      </w:r>
      <w:r w:rsidRPr="00DE3D86">
        <w:rPr>
          <w:noProof/>
          <w:snapToGrid w:val="0"/>
          <w:sz w:val="22"/>
          <w:szCs w:val="22"/>
          <w:lang w:eastAsia="en-US"/>
        </w:rPr>
        <w:lastRenderedPageBreak/>
        <w:t>priežiūros specialistai turi pranešti apie bet kokias įtariamas nepageidaujamas reakcijas, užpildę interneto svetainėje http://</w:t>
      </w:r>
      <w:hyperlink r:id="rId11" w:history="1">
        <w:r w:rsidRPr="00DE3D86">
          <w:rPr>
            <w:rFonts w:eastAsia="SimSun"/>
            <w:noProof/>
            <w:snapToGrid w:val="0"/>
            <w:color w:val="0000FF"/>
            <w:sz w:val="22"/>
            <w:szCs w:val="22"/>
            <w:u w:val="single"/>
            <w:lang w:eastAsia="en-US"/>
          </w:rPr>
          <w:t>www.vvkt.lt</w:t>
        </w:r>
      </w:hyperlink>
      <w:r w:rsidRPr="00DE3D86">
        <w:rPr>
          <w:noProof/>
          <w:snapToGrid w:val="0"/>
          <w:sz w:val="22"/>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E3D86">
          <w:rPr>
            <w:rFonts w:eastAsia="SimSun"/>
            <w:noProof/>
            <w:snapToGrid w:val="0"/>
            <w:color w:val="0000FF"/>
            <w:sz w:val="22"/>
            <w:szCs w:val="22"/>
            <w:u w:val="single"/>
            <w:lang w:eastAsia="en-US"/>
          </w:rPr>
          <w:t>NepageidaujamaR@vvkt.lt</w:t>
        </w:r>
      </w:hyperlink>
      <w:r w:rsidRPr="00DE3D86">
        <w:rPr>
          <w:noProof/>
          <w:snapToGrid w:val="0"/>
          <w:sz w:val="22"/>
          <w:szCs w:val="22"/>
          <w:lang w:eastAsia="en-US"/>
        </w:rPr>
        <w:t xml:space="preserve">), per interneto svetainę (adresu </w:t>
      </w:r>
      <w:hyperlink r:id="rId13" w:history="1">
        <w:r w:rsidRPr="00DE3D86">
          <w:rPr>
            <w:rStyle w:val="Hipersaitas"/>
            <w:noProof/>
            <w:snapToGrid w:val="0"/>
            <w:sz w:val="22"/>
            <w:szCs w:val="22"/>
            <w:lang w:eastAsia="en-US"/>
          </w:rPr>
          <w:t>http://www.vvkt.lt</w:t>
        </w:r>
      </w:hyperlink>
      <w:r w:rsidRPr="00DE3D86">
        <w:rPr>
          <w:noProof/>
          <w:snapToGrid w:val="0"/>
          <w:sz w:val="22"/>
          <w:szCs w:val="22"/>
          <w:lang w:eastAsia="en-US"/>
        </w:rPr>
        <w:t>).</w:t>
      </w:r>
    </w:p>
    <w:p w14:paraId="397103DB" w14:textId="77777777" w:rsidR="009A0A1E" w:rsidRPr="00DE3D86" w:rsidRDefault="009A0A1E" w:rsidP="009A0A1E">
      <w:pPr>
        <w:pStyle w:val="Pagrindinistekstas"/>
        <w:spacing w:after="0"/>
        <w:rPr>
          <w:sz w:val="22"/>
          <w:szCs w:val="22"/>
        </w:rPr>
      </w:pPr>
    </w:p>
    <w:p w14:paraId="3FADB416" w14:textId="77777777" w:rsidR="00130C01" w:rsidRPr="00DE3D86" w:rsidRDefault="00130C01" w:rsidP="00D0142F">
      <w:pPr>
        <w:pStyle w:val="Antrat3"/>
        <w:rPr>
          <w:szCs w:val="22"/>
        </w:rPr>
      </w:pPr>
      <w:r w:rsidRPr="00DE3D86">
        <w:rPr>
          <w:szCs w:val="22"/>
        </w:rPr>
        <w:t>4.9</w:t>
      </w:r>
      <w:r w:rsidRPr="00DE3D86">
        <w:rPr>
          <w:szCs w:val="22"/>
        </w:rPr>
        <w:tab/>
        <w:t>Perdozavimas</w:t>
      </w:r>
    </w:p>
    <w:p w14:paraId="05E28D6E" w14:textId="77777777" w:rsidR="00130C01" w:rsidRPr="00DE3D86" w:rsidRDefault="00130C01" w:rsidP="00D0142F">
      <w:pPr>
        <w:pStyle w:val="Pagrindinistekstas"/>
        <w:spacing w:after="0"/>
        <w:rPr>
          <w:sz w:val="22"/>
          <w:szCs w:val="22"/>
        </w:rPr>
      </w:pPr>
    </w:p>
    <w:p w14:paraId="5F587BD7" w14:textId="77777777" w:rsidR="00130C01" w:rsidRPr="00DE3D86" w:rsidRDefault="00130C01" w:rsidP="00D0142F">
      <w:pPr>
        <w:pStyle w:val="Pagrindinistekstas"/>
        <w:spacing w:after="0"/>
        <w:rPr>
          <w:sz w:val="22"/>
          <w:szCs w:val="22"/>
        </w:rPr>
      </w:pPr>
      <w:r w:rsidRPr="00DE3D86">
        <w:rPr>
          <w:sz w:val="22"/>
          <w:szCs w:val="22"/>
        </w:rPr>
        <w:t>Pelėms sugirdyto tinidazolo LD</w:t>
      </w:r>
      <w:r w:rsidRPr="00DE3D86">
        <w:rPr>
          <w:sz w:val="22"/>
          <w:szCs w:val="22"/>
          <w:vertAlign w:val="subscript"/>
        </w:rPr>
        <w:t>50</w:t>
      </w:r>
      <w:r w:rsidRPr="00DE3D86">
        <w:rPr>
          <w:sz w:val="22"/>
          <w:szCs w:val="22"/>
        </w:rPr>
        <w:t xml:space="preserve"> yra didesnė negu 3600 mg/kg kūno svorio, suleisto į pilvaplėvės ertmę – didesnė negu 2300 mg/kg kūno svorio. </w:t>
      </w:r>
    </w:p>
    <w:p w14:paraId="6093E0DD" w14:textId="77777777" w:rsidR="00130C01" w:rsidRPr="00DE3D86" w:rsidRDefault="00130C01" w:rsidP="00D0142F">
      <w:pPr>
        <w:pStyle w:val="Pagrindinistekstas"/>
        <w:spacing w:after="0"/>
        <w:rPr>
          <w:sz w:val="22"/>
          <w:szCs w:val="22"/>
        </w:rPr>
      </w:pPr>
      <w:r w:rsidRPr="00DE3D86">
        <w:rPr>
          <w:sz w:val="22"/>
          <w:szCs w:val="22"/>
        </w:rPr>
        <w:t>Žiurkėms sugirdyto arba suleisto į pilvaplėvės ertmę tinidazolo LD</w:t>
      </w:r>
      <w:r w:rsidRPr="00DE3D86">
        <w:rPr>
          <w:sz w:val="22"/>
          <w:szCs w:val="22"/>
          <w:vertAlign w:val="subscript"/>
        </w:rPr>
        <w:t>50</w:t>
      </w:r>
      <w:r w:rsidRPr="00DE3D86">
        <w:rPr>
          <w:sz w:val="22"/>
          <w:szCs w:val="22"/>
        </w:rPr>
        <w:t xml:space="preserve"> yra didesnė negu 2000 mg/kg kūno svorio. </w:t>
      </w:r>
    </w:p>
    <w:p w14:paraId="24265E7F" w14:textId="77777777" w:rsidR="00130C01" w:rsidRPr="00DE3D86" w:rsidRDefault="00130C01" w:rsidP="00D0142F">
      <w:pPr>
        <w:pStyle w:val="Pagrindinistekstas"/>
        <w:spacing w:after="0"/>
        <w:rPr>
          <w:sz w:val="22"/>
          <w:szCs w:val="22"/>
        </w:rPr>
      </w:pPr>
      <w:r w:rsidRPr="00DE3D86">
        <w:rPr>
          <w:sz w:val="22"/>
          <w:szCs w:val="22"/>
        </w:rPr>
        <w:t>Vaist</w:t>
      </w:r>
      <w:r w:rsidR="006C7572" w:rsidRPr="00DE3D86">
        <w:rPr>
          <w:sz w:val="22"/>
          <w:szCs w:val="22"/>
        </w:rPr>
        <w:t>inio preparat</w:t>
      </w:r>
      <w:r w:rsidRPr="00DE3D86">
        <w:rPr>
          <w:sz w:val="22"/>
          <w:szCs w:val="22"/>
        </w:rPr>
        <w:t>o perdozavimo atvejų žmonėms nepastebėta.</w:t>
      </w:r>
    </w:p>
    <w:p w14:paraId="6F03EA4D" w14:textId="77777777" w:rsidR="00130C01" w:rsidRPr="00DE3D86" w:rsidRDefault="00130C01" w:rsidP="00D0142F">
      <w:pPr>
        <w:pStyle w:val="Pagrindinistekstas"/>
        <w:spacing w:after="0"/>
        <w:rPr>
          <w:sz w:val="22"/>
          <w:szCs w:val="22"/>
        </w:rPr>
      </w:pPr>
      <w:r w:rsidRPr="00DE3D86">
        <w:rPr>
          <w:sz w:val="22"/>
          <w:szCs w:val="22"/>
        </w:rPr>
        <w:t>Specifinio tinidazolui priešnuodžio nėra. Apsinuodijus reikia pradėti simptominį ir palaikomąjį gydymą. Gali būti naudingas skrandžio plovimas. Tinidazolą galima lengvai pašalinti dialize.</w:t>
      </w:r>
    </w:p>
    <w:p w14:paraId="044086B6" w14:textId="77777777" w:rsidR="00130C01" w:rsidRPr="00DE3D86" w:rsidRDefault="00130C01" w:rsidP="00D0142F">
      <w:pPr>
        <w:pStyle w:val="Pagrindinistekstas"/>
        <w:spacing w:after="0"/>
        <w:rPr>
          <w:sz w:val="22"/>
          <w:szCs w:val="22"/>
        </w:rPr>
      </w:pPr>
    </w:p>
    <w:p w14:paraId="3A7C959C" w14:textId="77777777" w:rsidR="00130C01" w:rsidRPr="00DE3D86" w:rsidRDefault="00130C01" w:rsidP="00D0142F">
      <w:pPr>
        <w:pStyle w:val="Pagrindinistekstas"/>
        <w:spacing w:after="0"/>
        <w:rPr>
          <w:sz w:val="22"/>
          <w:szCs w:val="22"/>
        </w:rPr>
      </w:pPr>
    </w:p>
    <w:p w14:paraId="588462ED" w14:textId="77777777" w:rsidR="00130C01" w:rsidRPr="00DE3D86" w:rsidRDefault="00130C01" w:rsidP="00D0142F">
      <w:pPr>
        <w:pStyle w:val="Antrat2"/>
        <w:rPr>
          <w:szCs w:val="22"/>
        </w:rPr>
      </w:pPr>
      <w:r w:rsidRPr="00DE3D86">
        <w:rPr>
          <w:szCs w:val="22"/>
        </w:rPr>
        <w:t>5.</w:t>
      </w:r>
      <w:r w:rsidRPr="00DE3D86">
        <w:rPr>
          <w:szCs w:val="22"/>
        </w:rPr>
        <w:tab/>
        <w:t>FARMAKOLOGINĖS SAVYBĖS</w:t>
      </w:r>
    </w:p>
    <w:p w14:paraId="69D41575" w14:textId="77777777" w:rsidR="00130C01" w:rsidRPr="00DE3D86" w:rsidRDefault="00130C01" w:rsidP="00D0142F">
      <w:pPr>
        <w:pStyle w:val="Pagrindinistekstas"/>
        <w:spacing w:after="0"/>
        <w:rPr>
          <w:sz w:val="22"/>
          <w:szCs w:val="22"/>
        </w:rPr>
      </w:pPr>
    </w:p>
    <w:p w14:paraId="084810E9" w14:textId="77777777" w:rsidR="00130C01" w:rsidRPr="00DE3D86" w:rsidRDefault="00130C01" w:rsidP="00D0142F">
      <w:pPr>
        <w:pStyle w:val="Antrat3"/>
        <w:numPr>
          <w:ilvl w:val="1"/>
          <w:numId w:val="6"/>
        </w:numPr>
        <w:rPr>
          <w:szCs w:val="22"/>
        </w:rPr>
      </w:pPr>
      <w:r w:rsidRPr="00DE3D86">
        <w:rPr>
          <w:szCs w:val="22"/>
        </w:rPr>
        <w:t>Farmakodinaminės savybės</w:t>
      </w:r>
    </w:p>
    <w:p w14:paraId="4FBD613B" w14:textId="77777777" w:rsidR="00130C01" w:rsidRPr="00DE3D86" w:rsidRDefault="00130C01" w:rsidP="00280509">
      <w:pPr>
        <w:pStyle w:val="BTEMEASMCA"/>
      </w:pPr>
    </w:p>
    <w:p w14:paraId="2F48032E" w14:textId="77777777" w:rsidR="00130C01" w:rsidRPr="00DE3D86" w:rsidRDefault="00130C01" w:rsidP="00280509">
      <w:pPr>
        <w:pStyle w:val="BTEMEASMCA"/>
        <w:rPr>
          <w:noProof w:val="0"/>
        </w:rPr>
      </w:pPr>
      <w:r w:rsidRPr="00DE3D86">
        <w:rPr>
          <w:noProof w:val="0"/>
        </w:rPr>
        <w:t>Farmakoterapinė grupė – s</w:t>
      </w:r>
      <w:r w:rsidRPr="00DE3D86">
        <w:t>istemiškai veikiantys antibakteriniai vaistai, imidazolo dariniai</w:t>
      </w:r>
      <w:r w:rsidRPr="00DE3D86">
        <w:rPr>
          <w:noProof w:val="0"/>
        </w:rPr>
        <w:t xml:space="preserve">, </w:t>
      </w:r>
    </w:p>
    <w:p w14:paraId="78AEC104" w14:textId="77777777" w:rsidR="00130C01" w:rsidRPr="00DE3D86" w:rsidRDefault="00130C01" w:rsidP="00280509">
      <w:pPr>
        <w:pStyle w:val="BTEMEASMCA"/>
      </w:pPr>
      <w:r w:rsidRPr="00DE3D86">
        <w:t xml:space="preserve">ATC kodas – </w:t>
      </w:r>
      <w:r w:rsidRPr="00DE3D86">
        <w:rPr>
          <w:iCs/>
        </w:rPr>
        <w:t>J 01X D02</w:t>
      </w:r>
      <w:r w:rsidR="009A0A1E" w:rsidRPr="00DE3D86">
        <w:rPr>
          <w:iCs/>
        </w:rPr>
        <w:t>.</w:t>
      </w:r>
    </w:p>
    <w:p w14:paraId="632FB754" w14:textId="77777777" w:rsidR="00130C01" w:rsidRPr="00DE3D86" w:rsidRDefault="00130C01" w:rsidP="00D0142F">
      <w:pPr>
        <w:rPr>
          <w:bCs/>
          <w:szCs w:val="22"/>
          <w:u w:val="single"/>
        </w:rPr>
      </w:pPr>
    </w:p>
    <w:p w14:paraId="3898FB8A" w14:textId="77777777" w:rsidR="00130C01" w:rsidRPr="00DE3D86" w:rsidRDefault="00130C01" w:rsidP="00D0142F">
      <w:pPr>
        <w:rPr>
          <w:bCs/>
          <w:szCs w:val="22"/>
          <w:u w:val="single"/>
        </w:rPr>
      </w:pPr>
      <w:r w:rsidRPr="00DE3D86">
        <w:rPr>
          <w:bCs/>
          <w:szCs w:val="22"/>
          <w:u w:val="single"/>
        </w:rPr>
        <w:t>Veikimo mechanizmas</w:t>
      </w:r>
    </w:p>
    <w:p w14:paraId="5FF6B7CB" w14:textId="77777777" w:rsidR="00130C01" w:rsidRPr="00DE3D86" w:rsidRDefault="00130C01" w:rsidP="00D0142F">
      <w:pPr>
        <w:pStyle w:val="Pagrindinistekstas"/>
        <w:spacing w:after="0"/>
        <w:rPr>
          <w:sz w:val="22"/>
          <w:szCs w:val="22"/>
        </w:rPr>
      </w:pPr>
      <w:r w:rsidRPr="00DE3D86">
        <w:rPr>
          <w:sz w:val="22"/>
          <w:szCs w:val="22"/>
        </w:rPr>
        <w:t>Tinidazolas yra 5-nitroimidazolo junginys, kuris naikina pirmuonis ir bakterijas. Vaist</w:t>
      </w:r>
      <w:r w:rsidR="009A0A1E" w:rsidRPr="00DE3D86">
        <w:rPr>
          <w:sz w:val="22"/>
          <w:szCs w:val="22"/>
        </w:rPr>
        <w:t>ini preparat</w:t>
      </w:r>
      <w:r w:rsidRPr="00DE3D86">
        <w:rPr>
          <w:sz w:val="22"/>
          <w:szCs w:val="22"/>
        </w:rPr>
        <w:t>as, prasiskverbęs į mikroorganizmo ląstelę, pažeidžia DNR struktūrą ar slopina jos sintezę.</w:t>
      </w:r>
    </w:p>
    <w:p w14:paraId="16F5DEB6" w14:textId="77777777" w:rsidR="00130C01" w:rsidRPr="00DE3D86" w:rsidRDefault="00130C01" w:rsidP="00D0142F">
      <w:pPr>
        <w:rPr>
          <w:color w:val="000000"/>
          <w:szCs w:val="22"/>
        </w:rPr>
      </w:pPr>
      <w:r w:rsidRPr="00DE3D86">
        <w:rPr>
          <w:color w:val="000000"/>
          <w:szCs w:val="22"/>
        </w:rPr>
        <w:t>Vaist</w:t>
      </w:r>
      <w:r w:rsidR="009A0A1E" w:rsidRPr="00DE3D86">
        <w:rPr>
          <w:color w:val="000000"/>
          <w:szCs w:val="22"/>
        </w:rPr>
        <w:t>inis preparat</w:t>
      </w:r>
      <w:r w:rsidRPr="00DE3D86">
        <w:rPr>
          <w:color w:val="000000"/>
          <w:szCs w:val="22"/>
        </w:rPr>
        <w:t>as pasižymi baktericidiniu veikimu prieš anaerobines bakterijas.</w:t>
      </w:r>
    </w:p>
    <w:p w14:paraId="716D982C" w14:textId="77777777" w:rsidR="00130C01" w:rsidRPr="00DE3D86" w:rsidRDefault="00130C01" w:rsidP="00D0142F">
      <w:pPr>
        <w:rPr>
          <w:bCs/>
          <w:szCs w:val="22"/>
          <w:u w:val="single"/>
        </w:rPr>
      </w:pPr>
    </w:p>
    <w:p w14:paraId="1473C8B2" w14:textId="77777777" w:rsidR="00130C01" w:rsidRPr="00DE3D86" w:rsidRDefault="00130C01" w:rsidP="00D0142F">
      <w:pPr>
        <w:pStyle w:val="Komentarotekstas"/>
        <w:rPr>
          <w:color w:val="000000"/>
          <w:sz w:val="22"/>
          <w:szCs w:val="22"/>
        </w:rPr>
      </w:pPr>
      <w:r w:rsidRPr="00DE3D86">
        <w:rPr>
          <w:color w:val="000000"/>
          <w:sz w:val="22"/>
          <w:szCs w:val="22"/>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kurios rūšies ligos atveju yra abejotinas, prireikus galima kreiptis į specialistą patarimo.</w:t>
      </w:r>
    </w:p>
    <w:p w14:paraId="38E7201E" w14:textId="77777777" w:rsidR="00130C01" w:rsidRPr="00DE3D86" w:rsidRDefault="00130C01" w:rsidP="00D0142F">
      <w:pPr>
        <w:pStyle w:val="Komentarotekstas"/>
        <w:rPr>
          <w:color w:val="000000"/>
          <w:sz w:val="22"/>
          <w:szCs w:val="22"/>
          <w:u w:val="single"/>
        </w:rPr>
      </w:pPr>
    </w:p>
    <w:p w14:paraId="15C7F55E" w14:textId="77777777" w:rsidR="00130C01" w:rsidRPr="00DE3D86" w:rsidRDefault="00130C01" w:rsidP="00D0142F">
      <w:pPr>
        <w:rPr>
          <w:color w:val="000000"/>
          <w:szCs w:val="22"/>
          <w:u w:val="single"/>
        </w:rPr>
      </w:pPr>
      <w:r w:rsidRPr="00DE3D86">
        <w:rPr>
          <w:color w:val="000000"/>
          <w:szCs w:val="22"/>
          <w:u w:val="single"/>
        </w:rPr>
        <w:t>Priešbakterinio veikimo spektras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33"/>
      </w:tblGrid>
      <w:tr w:rsidR="00130C01" w:rsidRPr="00DE3D86" w14:paraId="75AF1DC0" w14:textId="77777777" w:rsidTr="00D3382A">
        <w:trPr>
          <w:trHeight w:val="1290"/>
        </w:trPr>
        <w:tc>
          <w:tcPr>
            <w:tcW w:w="4643" w:type="dxa"/>
          </w:tcPr>
          <w:p w14:paraId="331CE227" w14:textId="77777777" w:rsidR="00130C01" w:rsidRPr="00DE3D86" w:rsidRDefault="00130C01" w:rsidP="00D0142F">
            <w:pPr>
              <w:rPr>
                <w:color w:val="000000"/>
                <w:szCs w:val="22"/>
              </w:rPr>
            </w:pPr>
            <w:r w:rsidRPr="00DE3D86">
              <w:rPr>
                <w:color w:val="000000"/>
                <w:szCs w:val="22"/>
              </w:rPr>
              <w:t>Jautrūs mikroorganizmai</w:t>
            </w:r>
          </w:p>
          <w:p w14:paraId="761CC52F" w14:textId="77777777" w:rsidR="00130C01" w:rsidRPr="00DE3D86" w:rsidRDefault="00130C01" w:rsidP="00D0142F">
            <w:pPr>
              <w:rPr>
                <w:color w:val="000000"/>
                <w:szCs w:val="22"/>
              </w:rPr>
            </w:pPr>
          </w:p>
        </w:tc>
        <w:tc>
          <w:tcPr>
            <w:tcW w:w="4643" w:type="dxa"/>
          </w:tcPr>
          <w:p w14:paraId="48C5A62B" w14:textId="77777777" w:rsidR="00130C01" w:rsidRPr="00DE3D86" w:rsidRDefault="00130C01" w:rsidP="00D0142F">
            <w:pPr>
              <w:rPr>
                <w:color w:val="000000"/>
                <w:szCs w:val="22"/>
              </w:rPr>
            </w:pPr>
            <w:r w:rsidRPr="00DE3D86">
              <w:rPr>
                <w:color w:val="000000"/>
                <w:szCs w:val="22"/>
              </w:rPr>
              <w:t>Anaerobiniai streptokokai ir peptostreptokokai</w:t>
            </w:r>
          </w:p>
          <w:p w14:paraId="61849078" w14:textId="77777777" w:rsidR="00130C01" w:rsidRPr="00DE3D86" w:rsidRDefault="00130C01" w:rsidP="00D0142F">
            <w:pPr>
              <w:rPr>
                <w:color w:val="000000"/>
                <w:szCs w:val="22"/>
              </w:rPr>
            </w:pPr>
            <w:r w:rsidRPr="00DE3D86">
              <w:rPr>
                <w:i/>
                <w:color w:val="000000"/>
                <w:szCs w:val="22"/>
              </w:rPr>
              <w:t>Clostridium</w:t>
            </w:r>
            <w:r w:rsidRPr="00DE3D86">
              <w:rPr>
                <w:color w:val="000000"/>
                <w:szCs w:val="22"/>
              </w:rPr>
              <w:t xml:space="preserve"> padermė, tarp jų </w:t>
            </w:r>
            <w:r w:rsidRPr="00DE3D86">
              <w:rPr>
                <w:i/>
                <w:color w:val="000000"/>
                <w:szCs w:val="22"/>
              </w:rPr>
              <w:t>Clostridium perfringens</w:t>
            </w:r>
            <w:r w:rsidRPr="00DE3D86">
              <w:rPr>
                <w:color w:val="000000"/>
                <w:szCs w:val="22"/>
              </w:rPr>
              <w:t xml:space="preserve"> ir </w:t>
            </w:r>
            <w:r w:rsidRPr="00DE3D86">
              <w:rPr>
                <w:i/>
                <w:color w:val="000000"/>
                <w:szCs w:val="22"/>
              </w:rPr>
              <w:t>Clostridium difficile</w:t>
            </w:r>
          </w:p>
          <w:p w14:paraId="35A7250F" w14:textId="77777777" w:rsidR="00130C01" w:rsidRPr="00DE3D86" w:rsidRDefault="00130C01" w:rsidP="00D0142F">
            <w:pPr>
              <w:rPr>
                <w:color w:val="000000"/>
                <w:szCs w:val="22"/>
              </w:rPr>
            </w:pPr>
            <w:r w:rsidRPr="00DE3D86">
              <w:rPr>
                <w:i/>
                <w:color w:val="000000"/>
                <w:szCs w:val="22"/>
              </w:rPr>
              <w:t>Bacteroides</w:t>
            </w:r>
            <w:r w:rsidRPr="00DE3D86">
              <w:rPr>
                <w:color w:val="000000"/>
                <w:szCs w:val="22"/>
              </w:rPr>
              <w:t xml:space="preserve"> padermė, tarp jų </w:t>
            </w:r>
            <w:r w:rsidRPr="00DE3D86">
              <w:rPr>
                <w:i/>
                <w:color w:val="000000"/>
                <w:szCs w:val="22"/>
              </w:rPr>
              <w:t>Bacteroides fragilis</w:t>
            </w:r>
          </w:p>
          <w:p w14:paraId="684585A4" w14:textId="77777777" w:rsidR="00130C01" w:rsidRPr="00DE3D86" w:rsidRDefault="00130C01" w:rsidP="00D0142F">
            <w:pPr>
              <w:rPr>
                <w:color w:val="000000"/>
                <w:szCs w:val="22"/>
              </w:rPr>
            </w:pPr>
            <w:r w:rsidRPr="00DE3D86">
              <w:rPr>
                <w:i/>
                <w:color w:val="000000"/>
                <w:szCs w:val="22"/>
              </w:rPr>
              <w:t>Fusobacterium</w:t>
            </w:r>
            <w:r w:rsidRPr="00DE3D86">
              <w:rPr>
                <w:color w:val="000000"/>
                <w:szCs w:val="22"/>
              </w:rPr>
              <w:t xml:space="preserve"> padermė</w:t>
            </w:r>
          </w:p>
          <w:p w14:paraId="4E24D293" w14:textId="77777777" w:rsidR="00130C01" w:rsidRPr="00DE3D86" w:rsidRDefault="00130C01" w:rsidP="00D0142F">
            <w:pPr>
              <w:rPr>
                <w:color w:val="000000"/>
                <w:szCs w:val="22"/>
              </w:rPr>
            </w:pPr>
          </w:p>
        </w:tc>
      </w:tr>
      <w:tr w:rsidR="00130C01" w:rsidRPr="00DE3D86" w14:paraId="2EDD5C1C" w14:textId="77777777" w:rsidTr="00D3382A">
        <w:trPr>
          <w:trHeight w:val="225"/>
        </w:trPr>
        <w:tc>
          <w:tcPr>
            <w:tcW w:w="4643" w:type="dxa"/>
          </w:tcPr>
          <w:p w14:paraId="5A155279" w14:textId="77777777" w:rsidR="00130C01" w:rsidRPr="00DE3D86" w:rsidRDefault="00130C01" w:rsidP="00D0142F">
            <w:pPr>
              <w:rPr>
                <w:color w:val="000000"/>
                <w:szCs w:val="22"/>
              </w:rPr>
            </w:pPr>
            <w:r w:rsidRPr="00DE3D86">
              <w:rPr>
                <w:color w:val="000000"/>
                <w:szCs w:val="22"/>
              </w:rPr>
              <w:t>Atsparūs mikroorganizmai</w:t>
            </w:r>
          </w:p>
          <w:p w14:paraId="7F09D261" w14:textId="77777777" w:rsidR="00130C01" w:rsidRPr="00DE3D86" w:rsidRDefault="00130C01" w:rsidP="00D0142F">
            <w:pPr>
              <w:rPr>
                <w:color w:val="000000"/>
                <w:szCs w:val="22"/>
              </w:rPr>
            </w:pPr>
          </w:p>
        </w:tc>
        <w:tc>
          <w:tcPr>
            <w:tcW w:w="4643" w:type="dxa"/>
          </w:tcPr>
          <w:p w14:paraId="36D8DF0E" w14:textId="77777777" w:rsidR="00130C01" w:rsidRPr="00DE3D86" w:rsidRDefault="00130C01" w:rsidP="00D0142F">
            <w:pPr>
              <w:rPr>
                <w:color w:val="000000"/>
                <w:szCs w:val="22"/>
              </w:rPr>
            </w:pPr>
            <w:r w:rsidRPr="00DE3D86">
              <w:rPr>
                <w:color w:val="000000"/>
                <w:szCs w:val="22"/>
              </w:rPr>
              <w:t>Aerobinės bakterijos</w:t>
            </w:r>
          </w:p>
          <w:p w14:paraId="38F1F3D4" w14:textId="77777777" w:rsidR="00130C01" w:rsidRPr="00DE3D86" w:rsidRDefault="00130C01" w:rsidP="00D0142F">
            <w:pPr>
              <w:rPr>
                <w:color w:val="000000"/>
                <w:szCs w:val="22"/>
              </w:rPr>
            </w:pPr>
            <w:r w:rsidRPr="00DE3D86">
              <w:rPr>
                <w:color w:val="000000"/>
                <w:szCs w:val="22"/>
              </w:rPr>
              <w:t>Mikroaerofiliniai streptokokai</w:t>
            </w:r>
          </w:p>
          <w:p w14:paraId="3523DA64" w14:textId="77777777" w:rsidR="00130C01" w:rsidRPr="00DE3D86" w:rsidRDefault="00130C01" w:rsidP="00D0142F">
            <w:pPr>
              <w:rPr>
                <w:color w:val="000000"/>
                <w:szCs w:val="22"/>
              </w:rPr>
            </w:pPr>
            <w:r w:rsidRPr="00DE3D86">
              <w:rPr>
                <w:i/>
                <w:color w:val="000000"/>
                <w:szCs w:val="22"/>
              </w:rPr>
              <w:t>Actinomyces</w:t>
            </w:r>
            <w:r w:rsidRPr="00DE3D86">
              <w:rPr>
                <w:color w:val="000000"/>
                <w:szCs w:val="22"/>
              </w:rPr>
              <w:t xml:space="preserve"> padermė</w:t>
            </w:r>
          </w:p>
          <w:p w14:paraId="3B7E0805" w14:textId="77777777" w:rsidR="00130C01" w:rsidRPr="00DE3D86" w:rsidRDefault="00130C01" w:rsidP="00D0142F">
            <w:pPr>
              <w:rPr>
                <w:color w:val="000000"/>
                <w:szCs w:val="22"/>
              </w:rPr>
            </w:pPr>
            <w:r w:rsidRPr="00DE3D86">
              <w:rPr>
                <w:i/>
                <w:color w:val="000000"/>
                <w:szCs w:val="22"/>
              </w:rPr>
              <w:t>Arachnia</w:t>
            </w:r>
            <w:r w:rsidRPr="00DE3D86">
              <w:rPr>
                <w:color w:val="000000"/>
                <w:szCs w:val="22"/>
              </w:rPr>
              <w:t xml:space="preserve"> padermė</w:t>
            </w:r>
          </w:p>
          <w:p w14:paraId="6D066B8D" w14:textId="77777777" w:rsidR="00130C01" w:rsidRPr="00DE3D86" w:rsidRDefault="00130C01" w:rsidP="00D0142F">
            <w:pPr>
              <w:rPr>
                <w:color w:val="000000"/>
                <w:szCs w:val="22"/>
              </w:rPr>
            </w:pPr>
            <w:r w:rsidRPr="00DE3D86">
              <w:rPr>
                <w:i/>
                <w:color w:val="000000"/>
                <w:szCs w:val="22"/>
              </w:rPr>
              <w:t>Propionibacterium</w:t>
            </w:r>
            <w:r w:rsidRPr="00DE3D86">
              <w:rPr>
                <w:color w:val="000000"/>
                <w:szCs w:val="22"/>
              </w:rPr>
              <w:t xml:space="preserve"> padermė</w:t>
            </w:r>
          </w:p>
          <w:p w14:paraId="2A58E1DB" w14:textId="77777777" w:rsidR="00130C01" w:rsidRPr="00DE3D86" w:rsidRDefault="00130C01" w:rsidP="00D0142F">
            <w:pPr>
              <w:rPr>
                <w:color w:val="000000"/>
                <w:szCs w:val="22"/>
              </w:rPr>
            </w:pPr>
          </w:p>
        </w:tc>
      </w:tr>
    </w:tbl>
    <w:p w14:paraId="7D2377EF" w14:textId="77777777" w:rsidR="00130C01" w:rsidRPr="00DE3D86" w:rsidRDefault="00130C01" w:rsidP="00D0142F">
      <w:pPr>
        <w:rPr>
          <w:color w:val="000000"/>
          <w:szCs w:val="22"/>
        </w:rPr>
      </w:pPr>
      <w:r w:rsidRPr="00DE3D86">
        <w:rPr>
          <w:color w:val="000000"/>
          <w:szCs w:val="22"/>
        </w:rPr>
        <w:t>Anaerobinių bakterijų atsparumas yra retas (&lt;1%).</w:t>
      </w:r>
    </w:p>
    <w:p w14:paraId="54BCFCE4" w14:textId="77777777" w:rsidR="00130C01" w:rsidRPr="00DE3D86" w:rsidRDefault="00130C01" w:rsidP="00D0142F">
      <w:pPr>
        <w:rPr>
          <w:color w:val="000000"/>
          <w:szCs w:val="22"/>
        </w:rPr>
      </w:pPr>
    </w:p>
    <w:p w14:paraId="713E9469" w14:textId="77777777" w:rsidR="00130C01" w:rsidRPr="00DE3D86" w:rsidRDefault="00130C01" w:rsidP="00D0142F">
      <w:pPr>
        <w:rPr>
          <w:color w:val="000000"/>
          <w:szCs w:val="22"/>
        </w:rPr>
      </w:pPr>
      <w:r w:rsidRPr="00DE3D86">
        <w:rPr>
          <w:color w:val="000000"/>
          <w:szCs w:val="22"/>
        </w:rPr>
        <w:t>Tikėtina, kad atsparumas tinidazolui išsivysto dėl to, kad bakterijos lėčiau absorbuoja antibiotiką. Pasireiškia kryžminis rezistentiškumas metronidazolui.</w:t>
      </w:r>
    </w:p>
    <w:p w14:paraId="08D07B55" w14:textId="77777777" w:rsidR="00130C01" w:rsidRPr="00DE3D86" w:rsidRDefault="00130C01" w:rsidP="00D0142F">
      <w:pPr>
        <w:rPr>
          <w:color w:val="000000"/>
          <w:szCs w:val="22"/>
        </w:rPr>
      </w:pPr>
    </w:p>
    <w:p w14:paraId="411810AB" w14:textId="77777777" w:rsidR="00130C01" w:rsidRPr="00DE3D86" w:rsidRDefault="00130C01" w:rsidP="00D0142F">
      <w:pPr>
        <w:rPr>
          <w:color w:val="000000"/>
          <w:szCs w:val="22"/>
        </w:rPr>
      </w:pPr>
      <w:r w:rsidRPr="00DE3D86">
        <w:rPr>
          <w:color w:val="000000"/>
          <w:szCs w:val="22"/>
        </w:rPr>
        <w:t>Antiprotozoinio veikimo spektras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130C01" w:rsidRPr="00DE3D86" w14:paraId="6B176FF1" w14:textId="77777777" w:rsidTr="00D3382A">
        <w:tc>
          <w:tcPr>
            <w:tcW w:w="4643" w:type="dxa"/>
          </w:tcPr>
          <w:p w14:paraId="53445114" w14:textId="77777777" w:rsidR="00130C01" w:rsidRPr="00DE3D86" w:rsidRDefault="00130C01" w:rsidP="00D0142F">
            <w:pPr>
              <w:rPr>
                <w:color w:val="000000"/>
                <w:szCs w:val="22"/>
              </w:rPr>
            </w:pPr>
            <w:r w:rsidRPr="00DE3D86">
              <w:rPr>
                <w:color w:val="000000"/>
                <w:szCs w:val="22"/>
              </w:rPr>
              <w:t>Jautrūs pirmuonys</w:t>
            </w:r>
          </w:p>
          <w:p w14:paraId="7EE747C0" w14:textId="77777777" w:rsidR="00130C01" w:rsidRPr="00DE3D86" w:rsidRDefault="00130C01" w:rsidP="00D0142F">
            <w:pPr>
              <w:rPr>
                <w:color w:val="000000"/>
                <w:szCs w:val="22"/>
              </w:rPr>
            </w:pPr>
          </w:p>
        </w:tc>
        <w:tc>
          <w:tcPr>
            <w:tcW w:w="4643" w:type="dxa"/>
          </w:tcPr>
          <w:p w14:paraId="09B888A4" w14:textId="77777777" w:rsidR="00130C01" w:rsidRPr="00DE3D86" w:rsidRDefault="00130C01" w:rsidP="00D0142F">
            <w:pPr>
              <w:rPr>
                <w:i/>
                <w:color w:val="000000"/>
                <w:szCs w:val="22"/>
              </w:rPr>
            </w:pPr>
            <w:r w:rsidRPr="00DE3D86">
              <w:rPr>
                <w:i/>
                <w:color w:val="000000"/>
                <w:szCs w:val="22"/>
              </w:rPr>
              <w:t>Trichomonas vaginalis</w:t>
            </w:r>
          </w:p>
          <w:p w14:paraId="075EA0AC" w14:textId="77777777" w:rsidR="00130C01" w:rsidRPr="00DE3D86" w:rsidRDefault="00130C01" w:rsidP="00D0142F">
            <w:pPr>
              <w:rPr>
                <w:i/>
                <w:color w:val="000000"/>
                <w:szCs w:val="22"/>
              </w:rPr>
            </w:pPr>
            <w:r w:rsidRPr="00DE3D86">
              <w:rPr>
                <w:i/>
                <w:color w:val="000000"/>
                <w:szCs w:val="22"/>
              </w:rPr>
              <w:t>Giardia lamblia</w:t>
            </w:r>
          </w:p>
          <w:p w14:paraId="54469696" w14:textId="77777777" w:rsidR="00130C01" w:rsidRPr="00DE3D86" w:rsidRDefault="00130C01" w:rsidP="00D0142F">
            <w:pPr>
              <w:rPr>
                <w:i/>
                <w:color w:val="000000"/>
                <w:szCs w:val="22"/>
              </w:rPr>
            </w:pPr>
            <w:r w:rsidRPr="00DE3D86">
              <w:rPr>
                <w:i/>
                <w:color w:val="000000"/>
                <w:szCs w:val="22"/>
              </w:rPr>
              <w:t>Entamoeba histolytica</w:t>
            </w:r>
          </w:p>
          <w:p w14:paraId="330BE9DC" w14:textId="77777777" w:rsidR="00130C01" w:rsidRPr="00DE3D86" w:rsidRDefault="00130C01" w:rsidP="00D0142F">
            <w:pPr>
              <w:rPr>
                <w:color w:val="000000"/>
                <w:szCs w:val="22"/>
              </w:rPr>
            </w:pPr>
          </w:p>
        </w:tc>
      </w:tr>
    </w:tbl>
    <w:p w14:paraId="7D2E5447" w14:textId="77777777" w:rsidR="00130C01" w:rsidRPr="00DE3D86" w:rsidRDefault="00130C01" w:rsidP="00D0142F">
      <w:pPr>
        <w:rPr>
          <w:color w:val="000000"/>
          <w:szCs w:val="22"/>
        </w:rPr>
      </w:pPr>
    </w:p>
    <w:p w14:paraId="75641F00" w14:textId="77777777" w:rsidR="00130C01" w:rsidRPr="00DE3D86" w:rsidRDefault="00130C01" w:rsidP="00D0142F">
      <w:pPr>
        <w:rPr>
          <w:color w:val="000000"/>
          <w:szCs w:val="22"/>
        </w:rPr>
      </w:pPr>
      <w:r w:rsidRPr="00DE3D86">
        <w:rPr>
          <w:color w:val="000000"/>
          <w:szCs w:val="22"/>
        </w:rPr>
        <w:t>Tinidazolas normalių Dederleino lazdelių neveikia.</w:t>
      </w:r>
    </w:p>
    <w:p w14:paraId="1D0642E8" w14:textId="77777777" w:rsidR="00130C01" w:rsidRPr="00DE3D86" w:rsidRDefault="00130C01" w:rsidP="00D0142F">
      <w:pPr>
        <w:rPr>
          <w:color w:val="000000"/>
          <w:szCs w:val="22"/>
          <w:u w:val="single"/>
        </w:rPr>
      </w:pPr>
    </w:p>
    <w:p w14:paraId="14417428" w14:textId="77777777" w:rsidR="00130C01" w:rsidRPr="00DE3D86" w:rsidRDefault="00130C01" w:rsidP="00D0142F">
      <w:pPr>
        <w:pStyle w:val="Antrat3"/>
        <w:rPr>
          <w:szCs w:val="22"/>
        </w:rPr>
      </w:pPr>
      <w:r w:rsidRPr="00DE3D86">
        <w:rPr>
          <w:szCs w:val="22"/>
        </w:rPr>
        <w:t>5.2</w:t>
      </w:r>
      <w:r w:rsidRPr="00DE3D86">
        <w:rPr>
          <w:szCs w:val="22"/>
        </w:rPr>
        <w:tab/>
        <w:t>Farmakokinetinės savybės</w:t>
      </w:r>
    </w:p>
    <w:p w14:paraId="2E11ED03" w14:textId="77777777" w:rsidR="00130C01" w:rsidRPr="00DE3D86" w:rsidRDefault="00130C01" w:rsidP="00D0142F">
      <w:pPr>
        <w:pStyle w:val="Pagrindinistekstas"/>
        <w:spacing w:after="0"/>
        <w:rPr>
          <w:bCs/>
          <w:iCs/>
          <w:sz w:val="22"/>
          <w:szCs w:val="22"/>
        </w:rPr>
      </w:pPr>
    </w:p>
    <w:p w14:paraId="00BE54B3" w14:textId="77777777" w:rsidR="00130C01" w:rsidRPr="00DE3D86" w:rsidRDefault="00130C01" w:rsidP="00D0142F">
      <w:pPr>
        <w:pStyle w:val="Pagrindinistekstas"/>
        <w:spacing w:after="0"/>
        <w:rPr>
          <w:bCs/>
          <w:iCs/>
          <w:color w:val="000000"/>
          <w:sz w:val="22"/>
          <w:szCs w:val="22"/>
          <w:u w:val="single"/>
        </w:rPr>
      </w:pPr>
      <w:r w:rsidRPr="00DE3D86">
        <w:rPr>
          <w:bCs/>
          <w:iCs/>
          <w:color w:val="000000"/>
          <w:sz w:val="22"/>
          <w:szCs w:val="22"/>
          <w:u w:val="single"/>
        </w:rPr>
        <w:t>Absorbcija</w:t>
      </w:r>
    </w:p>
    <w:p w14:paraId="20C40AE1" w14:textId="77777777" w:rsidR="00130C01" w:rsidRPr="00DE3D86" w:rsidRDefault="00130C01" w:rsidP="00D0142F">
      <w:pPr>
        <w:rPr>
          <w:szCs w:val="22"/>
        </w:rPr>
      </w:pPr>
      <w:r w:rsidRPr="00DE3D86">
        <w:rPr>
          <w:szCs w:val="22"/>
        </w:rPr>
        <w:t xml:space="preserve">Visas išgertas tinidazolas greitai absorbuojamas. Tyrimų duomenimis, sveikų savanorių, išgėrusių </w:t>
      </w:r>
      <w:smartTag w:uri="urn:schemas-microsoft-com:office:smarttags" w:element="metricconverter">
        <w:smartTagPr>
          <w:attr w:name="ProductID" w:val="2ﾠg"/>
        </w:smartTagPr>
        <w:r w:rsidRPr="00DE3D86">
          <w:rPr>
            <w:szCs w:val="22"/>
          </w:rPr>
          <w:t>2 g</w:t>
        </w:r>
      </w:smartTag>
      <w:r w:rsidRPr="00DE3D86">
        <w:rPr>
          <w:szCs w:val="22"/>
        </w:rPr>
        <w:t xml:space="preserve"> tinidazolo, serume per dvi valandas atsirado didžiausia 40</w:t>
      </w:r>
      <w:r w:rsidRPr="00DE3D86">
        <w:rPr>
          <w:szCs w:val="22"/>
        </w:rPr>
        <w:noBreakHyphen/>
        <w:t>51 mikrogramų/ml koncentracija, kuri per 24 valandas sumažėjo iki 11</w:t>
      </w:r>
      <w:r w:rsidRPr="00DE3D86">
        <w:rPr>
          <w:szCs w:val="22"/>
        </w:rPr>
        <w:noBreakHyphen/>
        <w:t>19 mikrogramų/ml. Sveikų savanorių, kuriems į veną buvo vartojama 800 mg ir 1,6 g tinidazolo, per 10</w:t>
      </w:r>
      <w:r w:rsidRPr="00DE3D86">
        <w:rPr>
          <w:szCs w:val="22"/>
        </w:rPr>
        <w:noBreakHyphen/>
        <w:t>15 minučių serume atsirado didžiausia 14</w:t>
      </w:r>
      <w:r w:rsidRPr="00DE3D86">
        <w:rPr>
          <w:szCs w:val="22"/>
        </w:rPr>
        <w:noBreakHyphen/>
        <w:t>21 mikrogramų/ml (pavartojus 800 mg dozę) ir maždaug 32 mikrogramų/ml (pavartojus 1,6 g dozę) koncentracijos. Po 24 valandų po infuzijos, tinidazolo koncentracijos plazmoje sumažėjo atitinkamai iki 4</w:t>
      </w:r>
      <w:r w:rsidRPr="00DE3D86">
        <w:rPr>
          <w:szCs w:val="22"/>
        </w:rPr>
        <w:noBreakHyphen/>
        <w:t>5 mikrogramų/ml ir 8,6 mikrogramų/ml, taigi pateisina dozavimą vieną kartą per parą. Koncentracija plazmoje mažėja lėtai, praėjus 72 valandoms po išgėrimo plazmoje gali būti nustatoma iki 1 migrogramo/ml koncentracija. Pusinis tinidazolo eliminacijos iš plazmos periodas yra 12</w:t>
      </w:r>
      <w:r w:rsidRPr="00DE3D86">
        <w:rPr>
          <w:szCs w:val="22"/>
        </w:rPr>
        <w:noBreakHyphen/>
        <w:t>14 valandų.</w:t>
      </w:r>
    </w:p>
    <w:p w14:paraId="1BE227E4" w14:textId="77777777" w:rsidR="009A0A1E" w:rsidRPr="00DE3D86" w:rsidRDefault="009A0A1E" w:rsidP="00D0142F">
      <w:pPr>
        <w:rPr>
          <w:szCs w:val="22"/>
        </w:rPr>
      </w:pPr>
    </w:p>
    <w:p w14:paraId="4E21261D" w14:textId="77777777" w:rsidR="00130C01" w:rsidRPr="00DE3D86" w:rsidRDefault="00130C01" w:rsidP="00D0142F">
      <w:pPr>
        <w:pStyle w:val="Pagrindinistekstas"/>
        <w:spacing w:after="0"/>
        <w:rPr>
          <w:bCs/>
          <w:iCs/>
          <w:color w:val="000000"/>
          <w:sz w:val="22"/>
          <w:szCs w:val="22"/>
          <w:u w:val="single"/>
        </w:rPr>
      </w:pPr>
      <w:r w:rsidRPr="00DE3D86">
        <w:rPr>
          <w:bCs/>
          <w:iCs/>
          <w:color w:val="000000"/>
          <w:sz w:val="22"/>
          <w:szCs w:val="22"/>
          <w:u w:val="single"/>
        </w:rPr>
        <w:t>Pasiskirstymas</w:t>
      </w:r>
    </w:p>
    <w:p w14:paraId="68C00548" w14:textId="77777777" w:rsidR="00130C01" w:rsidRPr="00DE3D86" w:rsidRDefault="00130C01" w:rsidP="00D0142F">
      <w:pPr>
        <w:rPr>
          <w:szCs w:val="22"/>
        </w:rPr>
      </w:pPr>
      <w:r w:rsidRPr="00DE3D86">
        <w:rPr>
          <w:szCs w:val="22"/>
        </w:rPr>
        <w:t xml:space="preserve">Tinidazolas plačiai pasiskirsto visuose organizmo audiniuose, prasiskverbia ir pro smegenų barjerą. Visuose audiniuose atsiranda veiksminga gydomoji koncentracija. Menamas pasiskirstymo tūris - maždaug </w:t>
      </w:r>
      <w:smartTag w:uri="schemas-tilde-lv/tildestengine" w:element="metric2">
        <w:smartTagPr>
          <w:attr w:name="metric_text" w:val="litrų"/>
          <w:attr w:name="metric_value" w:val="50"/>
        </w:smartTagPr>
        <w:smartTag w:uri="urn:schemas-microsoft-com:office:smarttags" w:element="metricconverter">
          <w:smartTagPr>
            <w:attr w:name="ProductID" w:val="50 litrų"/>
          </w:smartTagPr>
          <w:r w:rsidRPr="00DE3D86">
            <w:rPr>
              <w:szCs w:val="22"/>
            </w:rPr>
            <w:t>50 litrų</w:t>
          </w:r>
        </w:smartTag>
      </w:smartTag>
      <w:r w:rsidRPr="00DE3D86">
        <w:rPr>
          <w:szCs w:val="22"/>
        </w:rPr>
        <w:t>. Maždaug 12 % tinidazolo plazmoje būna prisijungusio prie baltymų.</w:t>
      </w:r>
    </w:p>
    <w:p w14:paraId="29977C1D" w14:textId="77777777" w:rsidR="00130C01" w:rsidRPr="00DE3D86" w:rsidRDefault="00130C01" w:rsidP="00D0142F">
      <w:pPr>
        <w:rPr>
          <w:szCs w:val="22"/>
          <w:highlight w:val="lightGray"/>
        </w:rPr>
      </w:pPr>
    </w:p>
    <w:p w14:paraId="33814006" w14:textId="77777777" w:rsidR="00130C01" w:rsidRPr="00DE3D86" w:rsidRDefault="009A0A1E" w:rsidP="00D0142F">
      <w:pPr>
        <w:rPr>
          <w:bCs/>
          <w:iCs/>
          <w:szCs w:val="22"/>
          <w:u w:val="single"/>
        </w:rPr>
      </w:pPr>
      <w:r w:rsidRPr="00DE3D86">
        <w:rPr>
          <w:bCs/>
          <w:iCs/>
          <w:szCs w:val="22"/>
          <w:u w:val="single"/>
        </w:rPr>
        <w:t>Biotransformacija</w:t>
      </w:r>
    </w:p>
    <w:p w14:paraId="0081F7B5" w14:textId="77777777" w:rsidR="00130C01" w:rsidRPr="00DE3D86" w:rsidRDefault="00130C01" w:rsidP="00D0142F">
      <w:pPr>
        <w:rPr>
          <w:szCs w:val="22"/>
          <w:lang w:eastAsia="en-US"/>
        </w:rPr>
      </w:pPr>
      <w:r w:rsidRPr="00DE3D86">
        <w:rPr>
          <w:szCs w:val="22"/>
          <w:lang w:eastAsia="en-US"/>
        </w:rPr>
        <w:t xml:space="preserve">Tinidazolas žmogaus organizme iki eliminacijos reikšmingai metabolizuojamas. Dalinai tinidazolas metabolizuojamas </w:t>
      </w:r>
      <w:r w:rsidRPr="00DE3D86">
        <w:rPr>
          <w:bCs/>
          <w:iCs/>
          <w:szCs w:val="22"/>
        </w:rPr>
        <w:t>oksidacijos, hidroksilinimo ir konjugacijos būdu</w:t>
      </w:r>
      <w:r w:rsidRPr="00DE3D86">
        <w:rPr>
          <w:szCs w:val="22"/>
          <w:lang w:eastAsia="en-US"/>
        </w:rPr>
        <w:t>. Vaist</w:t>
      </w:r>
      <w:r w:rsidR="006C7572" w:rsidRPr="00DE3D86">
        <w:rPr>
          <w:szCs w:val="22"/>
          <w:lang w:eastAsia="en-US"/>
        </w:rPr>
        <w:t>inio preparat</w:t>
      </w:r>
      <w:r w:rsidRPr="00DE3D86">
        <w:rPr>
          <w:szCs w:val="22"/>
          <w:lang w:eastAsia="en-US"/>
        </w:rPr>
        <w:t>o skiriant žmogui, didžiausia vaistinio preparato dalis plazmoje yra tinidazolo pavidalu, taip pat yra nedaug 2-hidroksimetil metabolito.</w:t>
      </w:r>
    </w:p>
    <w:p w14:paraId="15087FD9" w14:textId="77777777" w:rsidR="00130C01" w:rsidRPr="00DE3D86" w:rsidRDefault="00130C01" w:rsidP="00D0142F">
      <w:pPr>
        <w:rPr>
          <w:szCs w:val="22"/>
          <w:lang w:eastAsia="en-US"/>
        </w:rPr>
      </w:pPr>
      <w:r w:rsidRPr="00DE3D86">
        <w:rPr>
          <w:color w:val="000000"/>
          <w:szCs w:val="22"/>
        </w:rPr>
        <w:t xml:space="preserve">Daugiausia tinidazolo biotransformuoja </w:t>
      </w:r>
      <w:r w:rsidRPr="00DE3D86">
        <w:rPr>
          <w:szCs w:val="22"/>
          <w:lang w:eastAsia="en-US"/>
        </w:rPr>
        <w:t>CYP3A4.</w:t>
      </w:r>
    </w:p>
    <w:p w14:paraId="021D57F1" w14:textId="77777777" w:rsidR="00130C01" w:rsidRPr="00DE3D86" w:rsidRDefault="00130C01" w:rsidP="00D0142F">
      <w:pPr>
        <w:rPr>
          <w:bCs/>
          <w:iCs/>
          <w:szCs w:val="22"/>
        </w:rPr>
      </w:pPr>
    </w:p>
    <w:p w14:paraId="3AC368B1" w14:textId="77777777" w:rsidR="00130C01" w:rsidRPr="00DE3D86" w:rsidRDefault="00130C01" w:rsidP="00D0142F">
      <w:pPr>
        <w:rPr>
          <w:color w:val="000000"/>
          <w:szCs w:val="22"/>
          <w:u w:val="single"/>
        </w:rPr>
      </w:pPr>
      <w:r w:rsidRPr="00DE3D86">
        <w:rPr>
          <w:bCs/>
          <w:iCs/>
          <w:color w:val="000000"/>
          <w:szCs w:val="22"/>
          <w:u w:val="single"/>
        </w:rPr>
        <w:t>Eliminacija</w:t>
      </w:r>
    </w:p>
    <w:p w14:paraId="75942FF8" w14:textId="77777777" w:rsidR="00130C01" w:rsidRPr="00DE3D86" w:rsidRDefault="00130C01" w:rsidP="00D0142F">
      <w:pPr>
        <w:rPr>
          <w:szCs w:val="22"/>
        </w:rPr>
      </w:pPr>
      <w:r w:rsidRPr="00DE3D86">
        <w:rPr>
          <w:szCs w:val="22"/>
        </w:rPr>
        <w:t>Tinidazolas šalinamas pro kepenis ir inkstus. Tyrimai, kuriuose dalyvavo sveiki savanoriai, parodė, kad per 5 dienas 60</w:t>
      </w:r>
      <w:r w:rsidRPr="00DE3D86">
        <w:rPr>
          <w:szCs w:val="22"/>
        </w:rPr>
        <w:noBreakHyphen/>
        <w:t>65 % pavartotos dozės pasišalina pro inkstus, 20</w:t>
      </w:r>
      <w:r w:rsidRPr="00DE3D86">
        <w:rPr>
          <w:szCs w:val="22"/>
        </w:rPr>
        <w:noBreakHyphen/>
        <w:t>25 % pavartotos dozės pasišalina nepakitusio tinidazolo pavidalu. Iki 5 % pavartotos dozės pasišalina su išmatomis.</w:t>
      </w:r>
    </w:p>
    <w:p w14:paraId="51013833" w14:textId="77777777" w:rsidR="00130C01" w:rsidRPr="00DE3D86" w:rsidRDefault="00130C01" w:rsidP="00D0142F">
      <w:pPr>
        <w:rPr>
          <w:szCs w:val="22"/>
        </w:rPr>
      </w:pPr>
    </w:p>
    <w:p w14:paraId="36D5E727" w14:textId="77777777" w:rsidR="00130C01" w:rsidRPr="00DE3D86" w:rsidRDefault="00130C01" w:rsidP="00D0142F">
      <w:pPr>
        <w:rPr>
          <w:szCs w:val="22"/>
        </w:rPr>
      </w:pPr>
      <w:r w:rsidRPr="00DE3D86">
        <w:rPr>
          <w:szCs w:val="22"/>
        </w:rPr>
        <w:t xml:space="preserve">Tyrimai, kuriuose dalyvavo inkstų funkcijos nepakankamumu sergantys </w:t>
      </w:r>
      <w:r w:rsidR="006C7572" w:rsidRPr="00DE3D86">
        <w:rPr>
          <w:szCs w:val="22"/>
        </w:rPr>
        <w:t xml:space="preserve">pacientai </w:t>
      </w:r>
      <w:r w:rsidRPr="00DE3D86">
        <w:rPr>
          <w:szCs w:val="22"/>
        </w:rPr>
        <w:t xml:space="preserve">(kreatinino klirensas &lt; 22 ml/min.), parodė, kad farmakokinetinkos rodmenys tokių </w:t>
      </w:r>
      <w:r w:rsidR="006C7572" w:rsidRPr="00DE3D86">
        <w:rPr>
          <w:szCs w:val="22"/>
        </w:rPr>
        <w:t xml:space="preserve">pacientų </w:t>
      </w:r>
      <w:r w:rsidRPr="00DE3D86">
        <w:rPr>
          <w:szCs w:val="22"/>
        </w:rPr>
        <w:t>organizme statistiškai reikšmingai nepakito (žr. 4.2 skyrių).</w:t>
      </w:r>
    </w:p>
    <w:p w14:paraId="471188DA" w14:textId="77777777" w:rsidR="00130C01" w:rsidRPr="00DE3D86" w:rsidRDefault="00130C01" w:rsidP="00D0142F">
      <w:pPr>
        <w:pStyle w:val="Pagrindinistekstas"/>
        <w:spacing w:after="0"/>
        <w:rPr>
          <w:sz w:val="22"/>
          <w:szCs w:val="22"/>
        </w:rPr>
      </w:pPr>
    </w:p>
    <w:p w14:paraId="06BBEA31" w14:textId="77777777" w:rsidR="00130C01" w:rsidRPr="00DE3D86" w:rsidRDefault="00130C01" w:rsidP="00D0142F">
      <w:pPr>
        <w:pStyle w:val="Antrat3"/>
        <w:rPr>
          <w:szCs w:val="22"/>
        </w:rPr>
      </w:pPr>
      <w:r w:rsidRPr="00DE3D86">
        <w:rPr>
          <w:szCs w:val="22"/>
        </w:rPr>
        <w:t>5.3</w:t>
      </w:r>
      <w:r w:rsidRPr="00DE3D86">
        <w:rPr>
          <w:szCs w:val="22"/>
        </w:rPr>
        <w:tab/>
        <w:t>Ikiklinikinių saugumo tyrimų duomenys</w:t>
      </w:r>
    </w:p>
    <w:p w14:paraId="721408DA" w14:textId="77777777" w:rsidR="00130C01" w:rsidRPr="00DE3D86" w:rsidRDefault="00130C01" w:rsidP="00D0142F">
      <w:pPr>
        <w:pStyle w:val="Pagrindinistekstas"/>
        <w:spacing w:after="0"/>
        <w:rPr>
          <w:sz w:val="22"/>
          <w:szCs w:val="22"/>
        </w:rPr>
      </w:pPr>
    </w:p>
    <w:p w14:paraId="05A49619" w14:textId="77777777" w:rsidR="00130C01" w:rsidRPr="00DE3D86" w:rsidRDefault="00130C01" w:rsidP="00D0142F">
      <w:pPr>
        <w:rPr>
          <w:szCs w:val="22"/>
        </w:rPr>
      </w:pPr>
      <w:r w:rsidRPr="00DE3D86">
        <w:rPr>
          <w:szCs w:val="22"/>
        </w:rPr>
        <w:t xml:space="preserve">Pelėms ir žiurkėms, kurios ilgą laiką buvo gydomos kitu nitroimidazolų grupės vaistiniu preparatu (metronidazolu), pasireiškė kancerogeninis poveikis. Keli metronidazolo tyrimai parodė tumorogeninį poveikį pelių plaučiuose, kepenyse ir limfinėje sistemoje bei atsirado kepenų auglių žiurkių patelėms. </w:t>
      </w:r>
    </w:p>
    <w:p w14:paraId="161EFD26" w14:textId="77777777" w:rsidR="00130C01" w:rsidRPr="00DE3D86" w:rsidRDefault="00130C01" w:rsidP="00D0142F">
      <w:pPr>
        <w:rPr>
          <w:color w:val="000000"/>
          <w:szCs w:val="22"/>
        </w:rPr>
      </w:pPr>
      <w:r w:rsidRPr="00DE3D86">
        <w:rPr>
          <w:color w:val="000000"/>
          <w:szCs w:val="22"/>
        </w:rPr>
        <w:t>Kadangi tokių duomenų apie tinidazolo veikimą žmonėms nežinoma, reikėtų vengti šio vaist</w:t>
      </w:r>
      <w:r w:rsidR="006C7572" w:rsidRPr="00DE3D86">
        <w:rPr>
          <w:color w:val="000000"/>
          <w:szCs w:val="22"/>
        </w:rPr>
        <w:t>inio preparat</w:t>
      </w:r>
      <w:r w:rsidRPr="00DE3D86">
        <w:rPr>
          <w:color w:val="000000"/>
          <w:szCs w:val="22"/>
        </w:rPr>
        <w:t>o vartoti nepagrįstai. Tinidazolo reikėtų skirti tik 4.1 skyriuje nurodytoms būklėms gydyti.</w:t>
      </w:r>
    </w:p>
    <w:p w14:paraId="3DE259E5" w14:textId="77777777" w:rsidR="00130C01" w:rsidRPr="00DE3D86" w:rsidRDefault="00130C01" w:rsidP="00D0142F">
      <w:pPr>
        <w:rPr>
          <w:color w:val="000000"/>
          <w:szCs w:val="22"/>
        </w:rPr>
      </w:pPr>
    </w:p>
    <w:p w14:paraId="2F9F7DC9" w14:textId="77777777" w:rsidR="00130C01" w:rsidRPr="00DE3D86" w:rsidRDefault="00130C01" w:rsidP="00D0142F">
      <w:pPr>
        <w:rPr>
          <w:szCs w:val="22"/>
        </w:rPr>
      </w:pPr>
      <w:r w:rsidRPr="00DE3D86">
        <w:rPr>
          <w:szCs w:val="22"/>
        </w:rPr>
        <w:t xml:space="preserve">Tinidazolas sukėlė mutageninį poveikį TA 100 </w:t>
      </w:r>
      <w:r w:rsidRPr="00DE3D86">
        <w:rPr>
          <w:i/>
          <w:szCs w:val="22"/>
        </w:rPr>
        <w:t>S. typhimurium</w:t>
      </w:r>
      <w:r w:rsidRPr="00DE3D86">
        <w:rPr>
          <w:szCs w:val="22"/>
        </w:rPr>
        <w:t xml:space="preserve"> tiriamosioms padermėms tiek taikant metabolinę aktyvaciją tiek be metabolinės aktyvacijos, bet nesukėlė mutageninio poveikio TA 98 padermei. Tinidazolas sukėlė mutageninį poveikį ir</w:t>
      </w:r>
      <w:r w:rsidRPr="00DE3D86">
        <w:rPr>
          <w:i/>
          <w:szCs w:val="22"/>
        </w:rPr>
        <w:t xml:space="preserve"> Klebsiella pneumoniae </w:t>
      </w:r>
      <w:r w:rsidRPr="00DE3D86">
        <w:rPr>
          <w:szCs w:val="22"/>
        </w:rPr>
        <w:t xml:space="preserve">tiriamosioms padermėms. Tinidazolas nesukėlė mutageniunio poveikio žinduolių ląstelių kultūroje, kurioje buvo naudojamos kiniško žiurkėno plaučių V79 ląstelės ir nedarė genotoksinio poveikio kiniško žiurkėno kiaušidžių susijusių chromatidžių pokyčių mėginiuose. Tinidazolas darė genotoksinį poveikį pelių mikrobranduolių mėginiuose </w:t>
      </w:r>
      <w:r w:rsidRPr="00DE3D86">
        <w:rPr>
          <w:i/>
          <w:szCs w:val="22"/>
        </w:rPr>
        <w:t>in vivo</w:t>
      </w:r>
      <w:r w:rsidRPr="00DE3D86">
        <w:rPr>
          <w:szCs w:val="22"/>
        </w:rPr>
        <w:t>.</w:t>
      </w:r>
    </w:p>
    <w:p w14:paraId="14A94876" w14:textId="77777777" w:rsidR="00130C01" w:rsidRPr="00DE3D86" w:rsidRDefault="00130C01" w:rsidP="00D0142F">
      <w:pPr>
        <w:rPr>
          <w:szCs w:val="22"/>
        </w:rPr>
      </w:pPr>
    </w:p>
    <w:p w14:paraId="3D4D9270" w14:textId="77777777" w:rsidR="00130C01" w:rsidRPr="00DE3D86" w:rsidRDefault="00130C01" w:rsidP="00D0142F">
      <w:pPr>
        <w:pStyle w:val="Pagrindinistekstas"/>
        <w:spacing w:after="0"/>
        <w:rPr>
          <w:sz w:val="22"/>
          <w:szCs w:val="22"/>
        </w:rPr>
      </w:pPr>
      <w:r w:rsidRPr="00DE3D86">
        <w:rPr>
          <w:sz w:val="22"/>
          <w:szCs w:val="22"/>
        </w:rPr>
        <w:t xml:space="preserve">60 parą po apvaisinimo pavartotas tinidazolas mažino žiurkių patinų, gavusių 600 mg/kg kūno svorio paros dozę, vislumą ir sukėlė histologinių pokyčių sėklidėse (maždaug 3 kartus didesnė už pagal kūno </w:t>
      </w:r>
      <w:r w:rsidRPr="00DE3D86">
        <w:rPr>
          <w:sz w:val="22"/>
          <w:szCs w:val="22"/>
        </w:rPr>
        <w:lastRenderedPageBreak/>
        <w:t>paviršiaus plotą apskaičiuotą gydomąją dozę žmogui). Dozės, kurią vartojant poveikio sėklidėms ir spermatogenezei nebuvo, riba - 100 mg/kg kūno svorio per parą (maždaug 0,5 karto didesnė už pagal kūno paviršiaus plotą apskaičiuotą gydomąją dozę žmogui). Toks poveikis būdingas 5-nitroimidazolo grupės vaistiniams preparatams.</w:t>
      </w:r>
    </w:p>
    <w:p w14:paraId="63F795AC" w14:textId="77777777" w:rsidR="00130C01" w:rsidRPr="00DE3D86" w:rsidRDefault="00130C01" w:rsidP="00D0142F">
      <w:pPr>
        <w:pStyle w:val="Pagrindinistekstas"/>
        <w:spacing w:after="0"/>
        <w:rPr>
          <w:sz w:val="22"/>
          <w:szCs w:val="22"/>
        </w:rPr>
      </w:pPr>
    </w:p>
    <w:p w14:paraId="2C35D029" w14:textId="77777777" w:rsidR="00130C01" w:rsidRPr="00DE3D86" w:rsidRDefault="00130C01" w:rsidP="00D0142F">
      <w:pPr>
        <w:pStyle w:val="Pagrindinistekstas"/>
        <w:spacing w:after="0"/>
        <w:rPr>
          <w:sz w:val="22"/>
          <w:szCs w:val="22"/>
        </w:rPr>
      </w:pPr>
    </w:p>
    <w:p w14:paraId="277F8538" w14:textId="77777777" w:rsidR="00130C01" w:rsidRPr="00DE3D86" w:rsidRDefault="00130C01" w:rsidP="00D0142F">
      <w:pPr>
        <w:pStyle w:val="Antrat2"/>
        <w:rPr>
          <w:szCs w:val="22"/>
        </w:rPr>
      </w:pPr>
      <w:r w:rsidRPr="00DE3D86">
        <w:rPr>
          <w:szCs w:val="22"/>
        </w:rPr>
        <w:t>6.</w:t>
      </w:r>
      <w:r w:rsidRPr="00DE3D86">
        <w:rPr>
          <w:szCs w:val="22"/>
        </w:rPr>
        <w:tab/>
        <w:t>FARMACINĖ INFORMACIJA</w:t>
      </w:r>
    </w:p>
    <w:p w14:paraId="62268464" w14:textId="77777777" w:rsidR="00130C01" w:rsidRPr="00DE3D86" w:rsidRDefault="00130C01" w:rsidP="00D0142F">
      <w:pPr>
        <w:pStyle w:val="Pagrindinistekstas"/>
        <w:spacing w:after="0"/>
        <w:rPr>
          <w:b/>
          <w:sz w:val="22"/>
          <w:szCs w:val="22"/>
        </w:rPr>
      </w:pPr>
    </w:p>
    <w:p w14:paraId="7AB1E25E" w14:textId="77777777" w:rsidR="00130C01" w:rsidRPr="00DE3D86" w:rsidRDefault="00130C01" w:rsidP="00D0142F">
      <w:pPr>
        <w:pStyle w:val="Antrat3"/>
        <w:rPr>
          <w:szCs w:val="22"/>
        </w:rPr>
      </w:pPr>
      <w:r w:rsidRPr="00DE3D86">
        <w:rPr>
          <w:szCs w:val="22"/>
        </w:rPr>
        <w:t>6.1</w:t>
      </w:r>
      <w:r w:rsidRPr="00DE3D86">
        <w:rPr>
          <w:szCs w:val="22"/>
        </w:rPr>
        <w:tab/>
        <w:t>Pagalbinių medžiagų sąrašas</w:t>
      </w:r>
    </w:p>
    <w:p w14:paraId="15461B86" w14:textId="77777777" w:rsidR="00130C01" w:rsidRPr="00DE3D86" w:rsidRDefault="00130C01" w:rsidP="00D0142F">
      <w:pPr>
        <w:pStyle w:val="Pagrindinistekstas"/>
        <w:spacing w:after="0"/>
        <w:rPr>
          <w:sz w:val="22"/>
          <w:szCs w:val="22"/>
        </w:rPr>
      </w:pPr>
    </w:p>
    <w:p w14:paraId="3D9AA265" w14:textId="77777777" w:rsidR="00130C01" w:rsidRPr="00DE3D86" w:rsidRDefault="00130C01" w:rsidP="00D0142F">
      <w:pPr>
        <w:jc w:val="both"/>
        <w:rPr>
          <w:i/>
          <w:szCs w:val="22"/>
        </w:rPr>
      </w:pPr>
      <w:r w:rsidRPr="00DE3D86">
        <w:rPr>
          <w:i/>
          <w:szCs w:val="22"/>
        </w:rPr>
        <w:t>Tablečių branduolys:</w:t>
      </w:r>
    </w:p>
    <w:p w14:paraId="7054D7CD" w14:textId="77777777" w:rsidR="00130C01" w:rsidRPr="00DE3D86" w:rsidRDefault="00130C01" w:rsidP="00D0142F">
      <w:pPr>
        <w:jc w:val="both"/>
        <w:rPr>
          <w:szCs w:val="22"/>
        </w:rPr>
      </w:pPr>
      <w:r w:rsidRPr="00DE3D86">
        <w:rPr>
          <w:szCs w:val="22"/>
        </w:rPr>
        <w:t>Mikrokristalinė celiuliozė (</w:t>
      </w:r>
      <w:r w:rsidRPr="00DE3D86">
        <w:rPr>
          <w:i/>
          <w:szCs w:val="22"/>
        </w:rPr>
        <w:t>Avicel</w:t>
      </w:r>
      <w:r w:rsidRPr="00DE3D86">
        <w:rPr>
          <w:szCs w:val="22"/>
        </w:rPr>
        <w:t>)</w:t>
      </w:r>
    </w:p>
    <w:p w14:paraId="01E7CEE2" w14:textId="77777777" w:rsidR="00130C01" w:rsidRPr="00DE3D86" w:rsidRDefault="00130C01" w:rsidP="00D0142F">
      <w:pPr>
        <w:jc w:val="both"/>
        <w:rPr>
          <w:szCs w:val="22"/>
        </w:rPr>
      </w:pPr>
      <w:r w:rsidRPr="00DE3D86">
        <w:rPr>
          <w:szCs w:val="22"/>
        </w:rPr>
        <w:t>Algino rūgštis</w:t>
      </w:r>
    </w:p>
    <w:p w14:paraId="34F86DDF" w14:textId="77777777" w:rsidR="00130C01" w:rsidRPr="00DE3D86" w:rsidRDefault="00130C01" w:rsidP="00D0142F">
      <w:pPr>
        <w:jc w:val="both"/>
        <w:rPr>
          <w:szCs w:val="22"/>
        </w:rPr>
      </w:pPr>
      <w:r w:rsidRPr="00DE3D86">
        <w:rPr>
          <w:szCs w:val="22"/>
        </w:rPr>
        <w:t>Kukurūzų krakmolas</w:t>
      </w:r>
    </w:p>
    <w:p w14:paraId="399BDF94" w14:textId="77777777" w:rsidR="00130C01" w:rsidRPr="00DE3D86" w:rsidRDefault="00130C01" w:rsidP="00D0142F">
      <w:pPr>
        <w:jc w:val="both"/>
        <w:rPr>
          <w:szCs w:val="22"/>
        </w:rPr>
      </w:pPr>
      <w:r w:rsidRPr="00DE3D86">
        <w:rPr>
          <w:szCs w:val="22"/>
        </w:rPr>
        <w:t>Magnio stearatas</w:t>
      </w:r>
    </w:p>
    <w:p w14:paraId="2BDCF9E6" w14:textId="77777777" w:rsidR="00130C01" w:rsidRPr="00DE3D86" w:rsidRDefault="00130C01" w:rsidP="00D0142F">
      <w:pPr>
        <w:jc w:val="both"/>
        <w:rPr>
          <w:szCs w:val="22"/>
        </w:rPr>
      </w:pPr>
      <w:r w:rsidRPr="00DE3D86">
        <w:rPr>
          <w:szCs w:val="22"/>
        </w:rPr>
        <w:t>Natrio laurilsulfatas</w:t>
      </w:r>
    </w:p>
    <w:p w14:paraId="576BAAD2" w14:textId="77777777" w:rsidR="00130C01" w:rsidRPr="00DE3D86" w:rsidRDefault="00130C01" w:rsidP="00D0142F">
      <w:pPr>
        <w:pStyle w:val="Pagrindinistekstas"/>
        <w:spacing w:after="0"/>
        <w:rPr>
          <w:i/>
          <w:sz w:val="22"/>
          <w:szCs w:val="22"/>
        </w:rPr>
      </w:pPr>
      <w:r w:rsidRPr="00DE3D86">
        <w:rPr>
          <w:i/>
          <w:sz w:val="22"/>
          <w:szCs w:val="22"/>
        </w:rPr>
        <w:t>Tablečių plėvelė:</w:t>
      </w:r>
    </w:p>
    <w:p w14:paraId="588511F4" w14:textId="77777777" w:rsidR="00130C01" w:rsidRPr="00DE3D86" w:rsidRDefault="00130C01" w:rsidP="00D0142F">
      <w:pPr>
        <w:pStyle w:val="Pagrindinistekstas"/>
        <w:spacing w:after="0"/>
        <w:rPr>
          <w:sz w:val="22"/>
          <w:szCs w:val="22"/>
        </w:rPr>
      </w:pPr>
      <w:r w:rsidRPr="00DE3D86">
        <w:rPr>
          <w:sz w:val="22"/>
          <w:szCs w:val="22"/>
        </w:rPr>
        <w:t>Hipromeliozė</w:t>
      </w:r>
    </w:p>
    <w:p w14:paraId="040EAB6A" w14:textId="77777777" w:rsidR="00130C01" w:rsidRPr="00DE3D86" w:rsidRDefault="00130C01" w:rsidP="00D0142F">
      <w:pPr>
        <w:pStyle w:val="Pagrindinistekstas"/>
        <w:spacing w:after="0"/>
        <w:rPr>
          <w:sz w:val="22"/>
          <w:szCs w:val="22"/>
        </w:rPr>
      </w:pPr>
      <w:r w:rsidRPr="00DE3D86">
        <w:rPr>
          <w:sz w:val="22"/>
          <w:szCs w:val="22"/>
        </w:rPr>
        <w:t>Makrogolis 6000</w:t>
      </w:r>
    </w:p>
    <w:p w14:paraId="41D2B8F4" w14:textId="77777777" w:rsidR="00130C01" w:rsidRPr="00DE3D86" w:rsidRDefault="00130C01" w:rsidP="00D0142F">
      <w:pPr>
        <w:pStyle w:val="Pagrindinistekstas"/>
        <w:spacing w:after="0"/>
        <w:rPr>
          <w:sz w:val="22"/>
          <w:szCs w:val="22"/>
        </w:rPr>
      </w:pPr>
      <w:r w:rsidRPr="00DE3D86">
        <w:rPr>
          <w:sz w:val="22"/>
          <w:szCs w:val="22"/>
        </w:rPr>
        <w:t>Talkas</w:t>
      </w:r>
    </w:p>
    <w:p w14:paraId="4C0E525D" w14:textId="77777777" w:rsidR="00130C01" w:rsidRPr="00DE3D86" w:rsidRDefault="00130C01" w:rsidP="00D0142F">
      <w:pPr>
        <w:pStyle w:val="Pagrindinistekstas"/>
        <w:spacing w:after="0"/>
        <w:rPr>
          <w:sz w:val="22"/>
          <w:szCs w:val="22"/>
        </w:rPr>
      </w:pPr>
      <w:r w:rsidRPr="00DE3D86">
        <w:rPr>
          <w:sz w:val="22"/>
          <w:szCs w:val="22"/>
        </w:rPr>
        <w:t>Titano dioksidas</w:t>
      </w:r>
    </w:p>
    <w:p w14:paraId="5C7A9EF0" w14:textId="77777777" w:rsidR="00130C01" w:rsidRPr="00DE3D86" w:rsidRDefault="00130C01" w:rsidP="00D0142F">
      <w:pPr>
        <w:pStyle w:val="Pagrindinistekstas"/>
        <w:spacing w:after="0"/>
        <w:rPr>
          <w:sz w:val="22"/>
          <w:szCs w:val="22"/>
        </w:rPr>
      </w:pPr>
      <w:r w:rsidRPr="00DE3D86">
        <w:rPr>
          <w:sz w:val="22"/>
          <w:szCs w:val="22"/>
        </w:rPr>
        <w:t>Propilenglikolis</w:t>
      </w:r>
    </w:p>
    <w:p w14:paraId="67303F44" w14:textId="77777777" w:rsidR="00130C01" w:rsidRPr="00DE3D86" w:rsidRDefault="00130C01" w:rsidP="00D0142F">
      <w:pPr>
        <w:pStyle w:val="Pagrindinistekstas"/>
        <w:spacing w:after="0"/>
        <w:rPr>
          <w:sz w:val="22"/>
          <w:szCs w:val="22"/>
        </w:rPr>
      </w:pPr>
    </w:p>
    <w:p w14:paraId="40F80AFD" w14:textId="77777777" w:rsidR="00130C01" w:rsidRPr="00DE3D86" w:rsidRDefault="00130C01" w:rsidP="00D0142F">
      <w:pPr>
        <w:pStyle w:val="Antrat3"/>
        <w:rPr>
          <w:szCs w:val="22"/>
        </w:rPr>
      </w:pPr>
      <w:r w:rsidRPr="00DE3D86">
        <w:rPr>
          <w:szCs w:val="22"/>
        </w:rPr>
        <w:t>6.2</w:t>
      </w:r>
      <w:r w:rsidRPr="00DE3D86">
        <w:rPr>
          <w:szCs w:val="22"/>
        </w:rPr>
        <w:tab/>
        <w:t>Nesuderinamumas</w:t>
      </w:r>
    </w:p>
    <w:p w14:paraId="06CA6C59" w14:textId="77777777" w:rsidR="00130C01" w:rsidRPr="00DE3D86" w:rsidRDefault="00130C01" w:rsidP="00D0142F">
      <w:pPr>
        <w:pStyle w:val="Pagrindinistekstas"/>
        <w:spacing w:after="0"/>
        <w:rPr>
          <w:sz w:val="22"/>
          <w:szCs w:val="22"/>
        </w:rPr>
      </w:pPr>
    </w:p>
    <w:p w14:paraId="1EAB3D0B" w14:textId="77777777" w:rsidR="00130C01" w:rsidRPr="00DE3D86" w:rsidRDefault="00130C01" w:rsidP="00D0142F">
      <w:pPr>
        <w:pStyle w:val="Pagrindinistekstas"/>
        <w:spacing w:after="0"/>
        <w:rPr>
          <w:sz w:val="22"/>
          <w:szCs w:val="22"/>
        </w:rPr>
      </w:pPr>
      <w:r w:rsidRPr="00DE3D86">
        <w:rPr>
          <w:sz w:val="22"/>
          <w:szCs w:val="22"/>
        </w:rPr>
        <w:t>Duomenys nebūtini.</w:t>
      </w:r>
    </w:p>
    <w:p w14:paraId="2A519701" w14:textId="77777777" w:rsidR="00130C01" w:rsidRPr="00DE3D86" w:rsidRDefault="00130C01" w:rsidP="00D0142F">
      <w:pPr>
        <w:pStyle w:val="Pagrindinistekstas"/>
        <w:spacing w:after="0"/>
        <w:rPr>
          <w:sz w:val="22"/>
          <w:szCs w:val="22"/>
        </w:rPr>
      </w:pPr>
    </w:p>
    <w:p w14:paraId="171ACA32" w14:textId="77777777" w:rsidR="00130C01" w:rsidRPr="00DE3D86" w:rsidRDefault="00130C01" w:rsidP="00D0142F">
      <w:pPr>
        <w:pStyle w:val="Antrat3"/>
        <w:rPr>
          <w:szCs w:val="22"/>
        </w:rPr>
      </w:pPr>
      <w:r w:rsidRPr="00DE3D86">
        <w:rPr>
          <w:szCs w:val="22"/>
        </w:rPr>
        <w:t>6.3</w:t>
      </w:r>
      <w:r w:rsidRPr="00DE3D86">
        <w:rPr>
          <w:szCs w:val="22"/>
        </w:rPr>
        <w:tab/>
        <w:t>Tinkamumo laikas</w:t>
      </w:r>
    </w:p>
    <w:p w14:paraId="79CBA8EB" w14:textId="77777777" w:rsidR="00130C01" w:rsidRPr="00DE3D86" w:rsidRDefault="00130C01" w:rsidP="00D0142F">
      <w:pPr>
        <w:pStyle w:val="Pagrindinistekstas"/>
        <w:spacing w:after="0"/>
        <w:rPr>
          <w:sz w:val="22"/>
          <w:szCs w:val="22"/>
        </w:rPr>
      </w:pPr>
    </w:p>
    <w:p w14:paraId="151C2786" w14:textId="6EA520E6" w:rsidR="00130C01" w:rsidRPr="00DE3D86" w:rsidRDefault="00AF3757" w:rsidP="00D0142F">
      <w:pPr>
        <w:pStyle w:val="Pagrindinistekstas"/>
        <w:spacing w:after="0"/>
        <w:rPr>
          <w:sz w:val="22"/>
          <w:szCs w:val="22"/>
        </w:rPr>
      </w:pPr>
      <w:r w:rsidRPr="00DB79CB">
        <w:rPr>
          <w:sz w:val="22"/>
          <w:lang w:val="pl-PL"/>
        </w:rPr>
        <w:t>2</w:t>
      </w:r>
      <w:r w:rsidRPr="00DE3D86">
        <w:rPr>
          <w:sz w:val="22"/>
          <w:szCs w:val="22"/>
        </w:rPr>
        <w:t xml:space="preserve"> </w:t>
      </w:r>
      <w:r w:rsidR="00130C01" w:rsidRPr="00DE3D86">
        <w:rPr>
          <w:sz w:val="22"/>
          <w:szCs w:val="22"/>
        </w:rPr>
        <w:t>metai.</w:t>
      </w:r>
    </w:p>
    <w:p w14:paraId="742505BC" w14:textId="77777777" w:rsidR="00130C01" w:rsidRPr="00DE3D86" w:rsidRDefault="00130C01" w:rsidP="00D0142F">
      <w:pPr>
        <w:pStyle w:val="Pagrindinistekstas"/>
        <w:spacing w:after="0"/>
        <w:rPr>
          <w:sz w:val="22"/>
          <w:szCs w:val="22"/>
        </w:rPr>
      </w:pPr>
    </w:p>
    <w:p w14:paraId="4B59F721" w14:textId="77777777" w:rsidR="00130C01" w:rsidRPr="00DE3D86" w:rsidRDefault="00130C01" w:rsidP="00D0142F">
      <w:pPr>
        <w:pStyle w:val="Antrat3"/>
        <w:rPr>
          <w:szCs w:val="22"/>
        </w:rPr>
      </w:pPr>
      <w:r w:rsidRPr="00DE3D86">
        <w:rPr>
          <w:szCs w:val="22"/>
        </w:rPr>
        <w:t>6.4</w:t>
      </w:r>
      <w:r w:rsidRPr="00DE3D86">
        <w:rPr>
          <w:szCs w:val="22"/>
        </w:rPr>
        <w:tab/>
        <w:t>Specialios laikymo sąlygos</w:t>
      </w:r>
    </w:p>
    <w:p w14:paraId="556A9450" w14:textId="77777777" w:rsidR="00130C01" w:rsidRPr="00DE3D86" w:rsidRDefault="00130C01" w:rsidP="00D0142F">
      <w:pPr>
        <w:pStyle w:val="Pagrindinistekstas"/>
        <w:spacing w:after="0"/>
        <w:rPr>
          <w:sz w:val="22"/>
          <w:szCs w:val="22"/>
        </w:rPr>
      </w:pPr>
    </w:p>
    <w:p w14:paraId="74C8AD68" w14:textId="77777777" w:rsidR="00130C01" w:rsidRPr="00DE3D86" w:rsidRDefault="00130C01" w:rsidP="00D0142F">
      <w:pPr>
        <w:pStyle w:val="Pagrindinistekstas"/>
        <w:spacing w:after="0"/>
        <w:rPr>
          <w:sz w:val="22"/>
          <w:szCs w:val="22"/>
        </w:rPr>
      </w:pPr>
      <w:r w:rsidRPr="00DE3D86">
        <w:rPr>
          <w:sz w:val="22"/>
          <w:szCs w:val="22"/>
        </w:rPr>
        <w:t>Laikyti ne aukštesnėje kaip 25 </w:t>
      </w:r>
      <w:r w:rsidRPr="00DE3D86">
        <w:rPr>
          <w:sz w:val="22"/>
          <w:szCs w:val="22"/>
        </w:rPr>
        <w:sym w:font="Symbol" w:char="F0B0"/>
      </w:r>
      <w:r w:rsidRPr="00DE3D86">
        <w:rPr>
          <w:sz w:val="22"/>
          <w:szCs w:val="22"/>
        </w:rPr>
        <w:t>C temperatūroje.</w:t>
      </w:r>
    </w:p>
    <w:p w14:paraId="51B161A5" w14:textId="77777777" w:rsidR="00130C01" w:rsidRPr="00DE3D86" w:rsidRDefault="00130C01" w:rsidP="00D0142F">
      <w:pPr>
        <w:pStyle w:val="Pagrindinistekstas"/>
        <w:spacing w:after="0"/>
        <w:rPr>
          <w:sz w:val="22"/>
          <w:szCs w:val="22"/>
        </w:rPr>
      </w:pPr>
      <w:r w:rsidRPr="00DE3D86">
        <w:rPr>
          <w:sz w:val="22"/>
          <w:szCs w:val="22"/>
        </w:rPr>
        <w:t xml:space="preserve">Lizdinę plokštelę laikyti išorinėje dėžutėje, kad preparatas būtų apsaugotas nuo šviesos ir drėgmės. </w:t>
      </w:r>
    </w:p>
    <w:p w14:paraId="1CFBE251" w14:textId="77777777" w:rsidR="00130C01" w:rsidRPr="00DE3D86" w:rsidRDefault="00130C01" w:rsidP="00D0142F">
      <w:pPr>
        <w:pStyle w:val="Pagrindinistekstas"/>
        <w:spacing w:after="0"/>
        <w:rPr>
          <w:sz w:val="22"/>
          <w:szCs w:val="22"/>
        </w:rPr>
      </w:pPr>
    </w:p>
    <w:p w14:paraId="0625FC12" w14:textId="77777777" w:rsidR="00130C01" w:rsidRPr="00DE3D86" w:rsidRDefault="00130C01" w:rsidP="00D0142F">
      <w:pPr>
        <w:pStyle w:val="Antrat3"/>
        <w:rPr>
          <w:szCs w:val="22"/>
        </w:rPr>
      </w:pPr>
      <w:r w:rsidRPr="00DE3D86">
        <w:rPr>
          <w:szCs w:val="22"/>
        </w:rPr>
        <w:t>6.5</w:t>
      </w:r>
      <w:r w:rsidRPr="00DE3D86">
        <w:rPr>
          <w:szCs w:val="22"/>
        </w:rPr>
        <w:tab/>
      </w:r>
      <w:r w:rsidR="009A0A1E" w:rsidRPr="00DE3D86">
        <w:rPr>
          <w:szCs w:val="22"/>
        </w:rPr>
        <w:t xml:space="preserve">Talpyklės pobūdis </w:t>
      </w:r>
      <w:r w:rsidRPr="00DE3D86">
        <w:rPr>
          <w:szCs w:val="22"/>
        </w:rPr>
        <w:t>ir jos turinys</w:t>
      </w:r>
    </w:p>
    <w:p w14:paraId="7A43EC51" w14:textId="77777777" w:rsidR="00130C01" w:rsidRPr="00DE3D86" w:rsidRDefault="00130C01" w:rsidP="00D0142F">
      <w:pPr>
        <w:pStyle w:val="Pagrindinistekstas"/>
        <w:spacing w:after="0"/>
        <w:rPr>
          <w:sz w:val="22"/>
          <w:szCs w:val="22"/>
        </w:rPr>
      </w:pPr>
    </w:p>
    <w:p w14:paraId="1ACDDEF5" w14:textId="77777777" w:rsidR="00130C01" w:rsidRPr="00DE3D86" w:rsidRDefault="00130C01" w:rsidP="00D0142F">
      <w:pPr>
        <w:rPr>
          <w:szCs w:val="22"/>
        </w:rPr>
      </w:pPr>
      <w:r w:rsidRPr="00DE3D86">
        <w:rPr>
          <w:szCs w:val="22"/>
        </w:rPr>
        <w:t>Aliuminio ir PVC folijos lizdinė plokštelė, kurioje yra keturios tabletės.</w:t>
      </w:r>
    </w:p>
    <w:p w14:paraId="66EF1679" w14:textId="77777777" w:rsidR="00130C01" w:rsidRPr="00DE3D86" w:rsidRDefault="00130C01" w:rsidP="00D0142F">
      <w:pPr>
        <w:rPr>
          <w:szCs w:val="22"/>
        </w:rPr>
      </w:pPr>
      <w:r w:rsidRPr="00DE3D86">
        <w:rPr>
          <w:szCs w:val="22"/>
        </w:rPr>
        <w:t>Karton</w:t>
      </w:r>
      <w:r w:rsidR="009A0A1E" w:rsidRPr="00DE3D86">
        <w:rPr>
          <w:szCs w:val="22"/>
        </w:rPr>
        <w:t>o</w:t>
      </w:r>
      <w:r w:rsidRPr="00DE3D86">
        <w:rPr>
          <w:szCs w:val="22"/>
        </w:rPr>
        <w:t xml:space="preserve"> dėžutėje yra viena lizdinė plokštelė bei </w:t>
      </w:r>
      <w:r w:rsidR="009A0A1E" w:rsidRPr="00DE3D86">
        <w:rPr>
          <w:szCs w:val="22"/>
        </w:rPr>
        <w:t xml:space="preserve">pakuotės </w:t>
      </w:r>
      <w:r w:rsidRPr="00DE3D86">
        <w:rPr>
          <w:szCs w:val="22"/>
        </w:rPr>
        <w:t xml:space="preserve">lapelis. </w:t>
      </w:r>
    </w:p>
    <w:p w14:paraId="7D3E0602" w14:textId="77777777" w:rsidR="00130C01" w:rsidRPr="00DE3D86" w:rsidRDefault="00130C01" w:rsidP="00D0142F">
      <w:pPr>
        <w:pStyle w:val="Pagrindinistekstas"/>
        <w:spacing w:after="0"/>
        <w:rPr>
          <w:sz w:val="22"/>
          <w:szCs w:val="22"/>
        </w:rPr>
      </w:pPr>
    </w:p>
    <w:p w14:paraId="4F7963B3" w14:textId="77777777" w:rsidR="00130C01" w:rsidRPr="00DE3D86" w:rsidRDefault="00130C01" w:rsidP="00D0142F">
      <w:pPr>
        <w:pStyle w:val="Antrat3"/>
        <w:rPr>
          <w:szCs w:val="22"/>
        </w:rPr>
      </w:pPr>
      <w:r w:rsidRPr="00DE3D86">
        <w:rPr>
          <w:szCs w:val="22"/>
        </w:rPr>
        <w:t>6.6</w:t>
      </w:r>
      <w:r w:rsidRPr="00DE3D86">
        <w:rPr>
          <w:szCs w:val="22"/>
        </w:rPr>
        <w:tab/>
      </w:r>
      <w:r w:rsidR="009A0A1E" w:rsidRPr="00DE3D86">
        <w:rPr>
          <w:szCs w:val="22"/>
        </w:rPr>
        <w:t xml:space="preserve">Specialūs reikalavimai atliekoms tvarkyti </w:t>
      </w:r>
    </w:p>
    <w:p w14:paraId="7EF2B64C" w14:textId="77777777" w:rsidR="00130C01" w:rsidRPr="00DE3D86" w:rsidRDefault="00130C01" w:rsidP="00D0142F">
      <w:pPr>
        <w:pStyle w:val="Pagrindinistekstas"/>
        <w:spacing w:after="0"/>
        <w:rPr>
          <w:sz w:val="22"/>
          <w:szCs w:val="22"/>
        </w:rPr>
      </w:pPr>
    </w:p>
    <w:p w14:paraId="40486D82" w14:textId="77777777" w:rsidR="00130C01" w:rsidRPr="00DE3D86" w:rsidRDefault="00130C01" w:rsidP="00D0142F">
      <w:pPr>
        <w:pStyle w:val="Pagrindinistekstas"/>
        <w:spacing w:after="0"/>
        <w:rPr>
          <w:sz w:val="22"/>
          <w:szCs w:val="22"/>
        </w:rPr>
      </w:pPr>
      <w:r w:rsidRPr="00DE3D86">
        <w:rPr>
          <w:sz w:val="22"/>
          <w:szCs w:val="22"/>
        </w:rPr>
        <w:t>Specialių reikalavimų nėra.</w:t>
      </w:r>
    </w:p>
    <w:p w14:paraId="359DDD48" w14:textId="77777777" w:rsidR="00130C01" w:rsidRPr="00DE3D86" w:rsidRDefault="00130C01" w:rsidP="00D0142F">
      <w:pPr>
        <w:pStyle w:val="Pagrindinistekstas"/>
        <w:spacing w:after="0"/>
        <w:rPr>
          <w:sz w:val="22"/>
          <w:szCs w:val="22"/>
        </w:rPr>
      </w:pPr>
    </w:p>
    <w:p w14:paraId="043EF0D2" w14:textId="77777777" w:rsidR="00130C01" w:rsidRPr="00DE3D86" w:rsidRDefault="00130C01" w:rsidP="00D0142F">
      <w:pPr>
        <w:pStyle w:val="Pagrindinistekstas"/>
        <w:spacing w:after="0"/>
        <w:rPr>
          <w:sz w:val="22"/>
          <w:szCs w:val="22"/>
        </w:rPr>
      </w:pPr>
    </w:p>
    <w:p w14:paraId="7DA95DB6" w14:textId="77777777" w:rsidR="00130C01" w:rsidRPr="00DE3D86" w:rsidRDefault="00130C01" w:rsidP="00D0142F">
      <w:pPr>
        <w:pStyle w:val="Antrat2"/>
        <w:rPr>
          <w:szCs w:val="22"/>
        </w:rPr>
      </w:pPr>
      <w:r w:rsidRPr="00DE3D86">
        <w:rPr>
          <w:szCs w:val="22"/>
        </w:rPr>
        <w:t>7.</w:t>
      </w:r>
      <w:r w:rsidRPr="00DE3D86">
        <w:rPr>
          <w:szCs w:val="22"/>
        </w:rPr>
        <w:tab/>
      </w:r>
      <w:r w:rsidR="009A0A1E" w:rsidRPr="00DE3D86">
        <w:rPr>
          <w:szCs w:val="22"/>
        </w:rPr>
        <w:t>REGISTRUOTOJAS</w:t>
      </w:r>
    </w:p>
    <w:p w14:paraId="657CFC83" w14:textId="77777777" w:rsidR="00130C01" w:rsidRPr="00DE3D86" w:rsidRDefault="00130C01" w:rsidP="00D0142F">
      <w:pPr>
        <w:pStyle w:val="Pagrindinistekstas"/>
        <w:spacing w:after="0"/>
        <w:rPr>
          <w:sz w:val="22"/>
          <w:szCs w:val="22"/>
        </w:rPr>
      </w:pPr>
    </w:p>
    <w:p w14:paraId="06F00EED" w14:textId="77777777" w:rsidR="00130C01" w:rsidRPr="00DE3D86" w:rsidRDefault="00130C01" w:rsidP="00D0142F">
      <w:pPr>
        <w:rPr>
          <w:szCs w:val="22"/>
        </w:rPr>
      </w:pPr>
      <w:r w:rsidRPr="00DE3D86">
        <w:rPr>
          <w:szCs w:val="22"/>
        </w:rPr>
        <w:t>Pharmaceutical Works Polpharma S.A.</w:t>
      </w:r>
    </w:p>
    <w:p w14:paraId="42794BB3" w14:textId="77777777" w:rsidR="00130C01" w:rsidRPr="00DE3D86" w:rsidRDefault="00130C01" w:rsidP="00D0142F">
      <w:pPr>
        <w:rPr>
          <w:szCs w:val="22"/>
        </w:rPr>
      </w:pPr>
      <w:r w:rsidRPr="00DE3D86">
        <w:rPr>
          <w:szCs w:val="22"/>
        </w:rPr>
        <w:t>Ul. Pe</w:t>
      </w:r>
      <w:r w:rsidR="00862391" w:rsidRPr="00DE3D86">
        <w:rPr>
          <w:szCs w:val="22"/>
        </w:rPr>
        <w:t>l</w:t>
      </w:r>
      <w:r w:rsidRPr="00DE3D86">
        <w:rPr>
          <w:szCs w:val="22"/>
        </w:rPr>
        <w:t>pli</w:t>
      </w:r>
      <w:r w:rsidR="00CA2A16" w:rsidRPr="00DE3D86">
        <w:rPr>
          <w:szCs w:val="22"/>
        </w:rPr>
        <w:t>ń</w:t>
      </w:r>
      <w:r w:rsidRPr="00DE3D86">
        <w:rPr>
          <w:szCs w:val="22"/>
        </w:rPr>
        <w:t>ska 19, 83-200 Starogard Gda</w:t>
      </w:r>
      <w:r w:rsidR="00CA2A16" w:rsidRPr="00DE3D86">
        <w:rPr>
          <w:szCs w:val="22"/>
        </w:rPr>
        <w:t>ń</w:t>
      </w:r>
      <w:r w:rsidRPr="00DE3D86">
        <w:rPr>
          <w:szCs w:val="22"/>
        </w:rPr>
        <w:t>ski</w:t>
      </w:r>
    </w:p>
    <w:p w14:paraId="4259F54F" w14:textId="77777777" w:rsidR="00130C01" w:rsidRPr="00DE3D86" w:rsidRDefault="00130C01" w:rsidP="00D0142F">
      <w:pPr>
        <w:rPr>
          <w:szCs w:val="22"/>
        </w:rPr>
      </w:pPr>
      <w:r w:rsidRPr="00DE3D86">
        <w:rPr>
          <w:szCs w:val="22"/>
        </w:rPr>
        <w:t>Lenkija</w:t>
      </w:r>
    </w:p>
    <w:p w14:paraId="1024A507" w14:textId="77777777" w:rsidR="00130C01" w:rsidRPr="00DE3D86" w:rsidRDefault="00130C01" w:rsidP="00D0142F">
      <w:pPr>
        <w:rPr>
          <w:b/>
          <w:szCs w:val="22"/>
          <w:u w:val="single"/>
        </w:rPr>
      </w:pPr>
    </w:p>
    <w:p w14:paraId="68DBC266" w14:textId="77777777" w:rsidR="00130C01" w:rsidRPr="00DE3D86" w:rsidRDefault="00130C01" w:rsidP="00D0142F">
      <w:pPr>
        <w:pStyle w:val="Pagrindinistekstas"/>
        <w:spacing w:after="0"/>
        <w:rPr>
          <w:sz w:val="22"/>
          <w:szCs w:val="22"/>
        </w:rPr>
      </w:pPr>
    </w:p>
    <w:p w14:paraId="51BDC07C" w14:textId="77777777" w:rsidR="00130C01" w:rsidRPr="00DE3D86" w:rsidRDefault="00130C01" w:rsidP="00D0142F">
      <w:pPr>
        <w:pStyle w:val="Antrat2"/>
        <w:rPr>
          <w:szCs w:val="22"/>
        </w:rPr>
      </w:pPr>
      <w:r w:rsidRPr="00DE3D86">
        <w:rPr>
          <w:szCs w:val="22"/>
        </w:rPr>
        <w:t>8.</w:t>
      </w:r>
      <w:r w:rsidRPr="00DE3D86">
        <w:rPr>
          <w:szCs w:val="22"/>
        </w:rPr>
        <w:tab/>
      </w:r>
      <w:r w:rsidR="009A0A1E" w:rsidRPr="00DE3D86">
        <w:rPr>
          <w:szCs w:val="22"/>
        </w:rPr>
        <w:t>REGISTRACIJOS PAŽYMĖJIMO</w:t>
      </w:r>
      <w:r w:rsidRPr="00DE3D86">
        <w:rPr>
          <w:szCs w:val="22"/>
        </w:rPr>
        <w:t xml:space="preserve"> NUMERIS</w:t>
      </w:r>
    </w:p>
    <w:p w14:paraId="778E316E" w14:textId="77777777" w:rsidR="00130C01" w:rsidRPr="00DE3D86" w:rsidRDefault="00130C01" w:rsidP="00D0142F">
      <w:pPr>
        <w:pStyle w:val="Pagrindinistekstas"/>
        <w:spacing w:after="0"/>
        <w:rPr>
          <w:sz w:val="22"/>
          <w:szCs w:val="22"/>
        </w:rPr>
      </w:pPr>
    </w:p>
    <w:p w14:paraId="250B47BE" w14:textId="5042E506" w:rsidR="00130C01" w:rsidRPr="00DE3D86" w:rsidRDefault="00130C01" w:rsidP="00D0142F">
      <w:pPr>
        <w:pStyle w:val="Pagrindinistekstas"/>
        <w:spacing w:after="0"/>
        <w:rPr>
          <w:sz w:val="22"/>
          <w:szCs w:val="22"/>
        </w:rPr>
      </w:pPr>
      <w:r w:rsidRPr="00DE3D86">
        <w:rPr>
          <w:sz w:val="22"/>
          <w:szCs w:val="22"/>
        </w:rPr>
        <w:t>LT/1/94/1098/001</w:t>
      </w:r>
    </w:p>
    <w:p w14:paraId="3CCC0463" w14:textId="77777777" w:rsidR="00130C01" w:rsidRPr="00DE3D86" w:rsidRDefault="00130C01" w:rsidP="00D0142F">
      <w:pPr>
        <w:pStyle w:val="Pagrindinistekstas"/>
        <w:spacing w:after="0"/>
        <w:rPr>
          <w:sz w:val="22"/>
          <w:szCs w:val="22"/>
        </w:rPr>
      </w:pPr>
    </w:p>
    <w:p w14:paraId="79D124ED" w14:textId="77777777" w:rsidR="00130C01" w:rsidRPr="00DE3D86" w:rsidRDefault="00130C01" w:rsidP="00D0142F">
      <w:pPr>
        <w:pStyle w:val="Pagrindinistekstas"/>
        <w:spacing w:after="0"/>
        <w:rPr>
          <w:sz w:val="22"/>
          <w:szCs w:val="22"/>
        </w:rPr>
      </w:pPr>
    </w:p>
    <w:p w14:paraId="67828591" w14:textId="77777777" w:rsidR="00130C01" w:rsidRPr="00DE3D86" w:rsidRDefault="00130C01" w:rsidP="00D0142F">
      <w:pPr>
        <w:pStyle w:val="Antrat2"/>
        <w:rPr>
          <w:szCs w:val="22"/>
        </w:rPr>
      </w:pPr>
      <w:r w:rsidRPr="00DE3D86">
        <w:rPr>
          <w:szCs w:val="22"/>
        </w:rPr>
        <w:t>9.</w:t>
      </w:r>
      <w:r w:rsidRPr="00DE3D86">
        <w:rPr>
          <w:szCs w:val="22"/>
        </w:rPr>
        <w:tab/>
        <w:t xml:space="preserve">REGISTRAVIMO </w:t>
      </w:r>
      <w:r w:rsidR="009A0A1E" w:rsidRPr="00DE3D86">
        <w:rPr>
          <w:szCs w:val="22"/>
        </w:rPr>
        <w:t>/</w:t>
      </w:r>
      <w:r w:rsidRPr="00DE3D86">
        <w:rPr>
          <w:szCs w:val="22"/>
        </w:rPr>
        <w:t xml:space="preserve"> PERREGISTRAVIMO DATA</w:t>
      </w:r>
    </w:p>
    <w:p w14:paraId="154AF40E" w14:textId="77777777" w:rsidR="00130C01" w:rsidRPr="00DE3D86" w:rsidRDefault="00130C01" w:rsidP="00D0142F">
      <w:pPr>
        <w:pStyle w:val="Pagrindinistekstas"/>
        <w:spacing w:after="0"/>
        <w:rPr>
          <w:sz w:val="22"/>
          <w:szCs w:val="22"/>
        </w:rPr>
      </w:pPr>
    </w:p>
    <w:p w14:paraId="77817188" w14:textId="063F3D61" w:rsidR="009A0A1E" w:rsidRPr="00DE3D86" w:rsidRDefault="009A0A1E" w:rsidP="009A0A1E">
      <w:pPr>
        <w:rPr>
          <w:snapToGrid w:val="0"/>
          <w:szCs w:val="22"/>
          <w:lang w:eastAsia="en-US"/>
        </w:rPr>
      </w:pPr>
      <w:r w:rsidRPr="00DE3D86">
        <w:rPr>
          <w:noProof/>
          <w:snapToGrid w:val="0"/>
          <w:szCs w:val="22"/>
          <w:lang w:eastAsia="en-US"/>
        </w:rPr>
        <w:t xml:space="preserve">Registravimo data 1994 m. rugsėjo </w:t>
      </w:r>
      <w:r w:rsidRPr="00DE3D86">
        <w:rPr>
          <w:snapToGrid w:val="0"/>
          <w:szCs w:val="22"/>
          <w:lang w:eastAsia="en-US"/>
        </w:rPr>
        <w:t xml:space="preserve"> 7</w:t>
      </w:r>
      <w:r w:rsidRPr="00DE3D86">
        <w:rPr>
          <w:noProof/>
          <w:snapToGrid w:val="0"/>
          <w:szCs w:val="22"/>
          <w:lang w:eastAsia="en-US"/>
        </w:rPr>
        <w:t> d.</w:t>
      </w:r>
    </w:p>
    <w:p w14:paraId="3BED744E" w14:textId="3F8C5900" w:rsidR="00130C01" w:rsidRPr="00DE3D86" w:rsidRDefault="009A0A1E" w:rsidP="00440299">
      <w:pPr>
        <w:rPr>
          <w:szCs w:val="22"/>
        </w:rPr>
      </w:pPr>
      <w:r w:rsidRPr="00DE3D86">
        <w:rPr>
          <w:noProof/>
          <w:snapToGrid w:val="0"/>
          <w:szCs w:val="22"/>
          <w:lang w:eastAsia="en-US"/>
        </w:rPr>
        <w:t>Paskutinio perregistravimo data 2008 m. balandžio</w:t>
      </w:r>
      <w:r w:rsidRPr="00DE3D86">
        <w:rPr>
          <w:snapToGrid w:val="0"/>
          <w:szCs w:val="22"/>
          <w:lang w:eastAsia="en-US"/>
        </w:rPr>
        <w:t xml:space="preserve"> 7</w:t>
      </w:r>
      <w:r w:rsidRPr="00DE3D86">
        <w:rPr>
          <w:noProof/>
          <w:snapToGrid w:val="0"/>
          <w:szCs w:val="22"/>
          <w:lang w:eastAsia="en-US"/>
        </w:rPr>
        <w:t> d.</w:t>
      </w:r>
      <w:r w:rsidRPr="00DE3D86" w:rsidDel="009A0A1E">
        <w:rPr>
          <w:szCs w:val="22"/>
        </w:rPr>
        <w:t xml:space="preserve"> </w:t>
      </w:r>
    </w:p>
    <w:p w14:paraId="1F939E98" w14:textId="77777777" w:rsidR="00130C01" w:rsidRPr="00DE3D86" w:rsidRDefault="00130C01" w:rsidP="00D0142F">
      <w:pPr>
        <w:pStyle w:val="Pagrindinistekstas"/>
        <w:spacing w:after="0"/>
        <w:rPr>
          <w:sz w:val="22"/>
          <w:szCs w:val="22"/>
        </w:rPr>
      </w:pPr>
    </w:p>
    <w:p w14:paraId="7D37E0EA" w14:textId="77777777" w:rsidR="00130C01" w:rsidRPr="00DE3D86" w:rsidRDefault="00130C01" w:rsidP="00D0142F">
      <w:pPr>
        <w:pStyle w:val="Pagrindinistekstas"/>
        <w:spacing w:after="0"/>
        <w:rPr>
          <w:sz w:val="22"/>
          <w:szCs w:val="22"/>
        </w:rPr>
      </w:pPr>
    </w:p>
    <w:p w14:paraId="63BC7DF2" w14:textId="77777777" w:rsidR="00130C01" w:rsidRPr="00DE3D86" w:rsidRDefault="00130C01" w:rsidP="00D0142F">
      <w:pPr>
        <w:pStyle w:val="Antrat2"/>
        <w:rPr>
          <w:szCs w:val="22"/>
        </w:rPr>
      </w:pPr>
      <w:r w:rsidRPr="00DE3D86">
        <w:rPr>
          <w:szCs w:val="22"/>
        </w:rPr>
        <w:t>10.</w:t>
      </w:r>
      <w:r w:rsidRPr="00DE3D86">
        <w:rPr>
          <w:szCs w:val="22"/>
        </w:rPr>
        <w:tab/>
        <w:t>TEKSTO PERŽIŪROS DATA</w:t>
      </w:r>
    </w:p>
    <w:p w14:paraId="5138A061" w14:textId="77777777" w:rsidR="00DE3D86" w:rsidRDefault="00DE3D86" w:rsidP="00DB79CB">
      <w:pPr>
        <w:pStyle w:val="Pagrindinistekstas"/>
        <w:spacing w:after="0"/>
      </w:pPr>
    </w:p>
    <w:p w14:paraId="3E8ED2F8" w14:textId="19CA4D79" w:rsidR="00C44878" w:rsidRPr="00C44878" w:rsidRDefault="0033478A" w:rsidP="00C44878">
      <w:pPr>
        <w:rPr>
          <w:lang w:eastAsia="x-none"/>
        </w:rPr>
      </w:pPr>
      <w:r>
        <w:rPr>
          <w:lang w:eastAsia="x-none"/>
        </w:rPr>
        <w:t xml:space="preserve"> 2021 m. vasario 2 d</w:t>
      </w:r>
      <w:r w:rsidR="00DB79CB">
        <w:rPr>
          <w:lang w:eastAsia="x-none"/>
        </w:rPr>
        <w:t>.</w:t>
      </w:r>
    </w:p>
    <w:p w14:paraId="77C34E03" w14:textId="77777777" w:rsidR="009A0A1E" w:rsidRPr="00DE3D86" w:rsidRDefault="009A0A1E" w:rsidP="00D0142F">
      <w:pPr>
        <w:pStyle w:val="Pagrindinistekstas"/>
        <w:spacing w:after="0"/>
        <w:rPr>
          <w:sz w:val="22"/>
          <w:szCs w:val="22"/>
        </w:rPr>
      </w:pPr>
    </w:p>
    <w:p w14:paraId="1A94CAB8" w14:textId="77777777" w:rsidR="009A0A1E" w:rsidRPr="00DE3D86" w:rsidRDefault="009A0A1E" w:rsidP="00D0142F">
      <w:pPr>
        <w:pStyle w:val="Pagrindinistekstas"/>
        <w:spacing w:after="0"/>
        <w:rPr>
          <w:sz w:val="22"/>
          <w:szCs w:val="22"/>
        </w:rPr>
      </w:pPr>
      <w:r w:rsidRPr="00DE3D86">
        <w:rPr>
          <w:sz w:val="22"/>
          <w:szCs w:val="22"/>
        </w:rPr>
        <w:t>Išsami informacija apie šį vaistinį preparatą pateikiama Valstybinės vaistų kontrolės tarnybos prie Lietuvos Respublikos sveikatos apsaugos ministerijos tinklalapyje http://www.vvkt.lt</w:t>
      </w:r>
    </w:p>
    <w:p w14:paraId="5931B19C" w14:textId="77777777" w:rsidR="00130C01" w:rsidRPr="00DE3D86" w:rsidRDefault="00130C01" w:rsidP="00D0142F">
      <w:pPr>
        <w:pStyle w:val="Pagrindinistekstas"/>
        <w:spacing w:after="0"/>
        <w:rPr>
          <w:sz w:val="22"/>
          <w:szCs w:val="22"/>
        </w:rPr>
      </w:pPr>
    </w:p>
    <w:p w14:paraId="6277936C" w14:textId="77777777" w:rsidR="00130C01" w:rsidRPr="00DE3D86" w:rsidRDefault="00130C01" w:rsidP="00D0142F">
      <w:pPr>
        <w:pStyle w:val="Pagrindinistekstas"/>
        <w:spacing w:after="0"/>
        <w:rPr>
          <w:sz w:val="22"/>
          <w:szCs w:val="22"/>
        </w:rPr>
      </w:pPr>
    </w:p>
    <w:p w14:paraId="205F89B3" w14:textId="77777777" w:rsidR="00130C01" w:rsidRPr="00DE3D86" w:rsidRDefault="00130C01" w:rsidP="00D0142F">
      <w:pPr>
        <w:pStyle w:val="Pagrindinistekstas"/>
        <w:spacing w:after="0"/>
        <w:rPr>
          <w:sz w:val="22"/>
          <w:szCs w:val="22"/>
        </w:rPr>
      </w:pPr>
      <w:r w:rsidRPr="00DE3D86">
        <w:rPr>
          <w:sz w:val="22"/>
          <w:szCs w:val="22"/>
        </w:rPr>
        <w:br w:type="page"/>
      </w:r>
    </w:p>
    <w:p w14:paraId="0C326E59" w14:textId="77777777" w:rsidR="00130C01" w:rsidRPr="00DE3D86" w:rsidRDefault="00130C01" w:rsidP="00D0142F">
      <w:pPr>
        <w:pStyle w:val="Pagrindinistekstas"/>
        <w:spacing w:after="0"/>
        <w:rPr>
          <w:sz w:val="22"/>
          <w:szCs w:val="22"/>
        </w:rPr>
      </w:pPr>
    </w:p>
    <w:p w14:paraId="05C00967" w14:textId="77777777" w:rsidR="00130C01" w:rsidRPr="00DE3D86" w:rsidRDefault="00130C01" w:rsidP="00280509">
      <w:pPr>
        <w:pStyle w:val="BTEMEASMCA"/>
      </w:pPr>
    </w:p>
    <w:p w14:paraId="33356952" w14:textId="77777777" w:rsidR="00130C01" w:rsidRPr="00DE3D86" w:rsidRDefault="00130C01" w:rsidP="00280509">
      <w:pPr>
        <w:pStyle w:val="BTEMEASMCA"/>
      </w:pPr>
    </w:p>
    <w:p w14:paraId="23162B68" w14:textId="77777777" w:rsidR="00130C01" w:rsidRPr="00DE3D86" w:rsidRDefault="00130C01" w:rsidP="00280509">
      <w:pPr>
        <w:pStyle w:val="BTEMEASMCA"/>
      </w:pPr>
    </w:p>
    <w:p w14:paraId="248C0C99" w14:textId="77777777" w:rsidR="00130C01" w:rsidRPr="00DE3D86" w:rsidRDefault="00130C01" w:rsidP="00280509">
      <w:pPr>
        <w:pStyle w:val="BTEMEASMCA"/>
      </w:pPr>
    </w:p>
    <w:p w14:paraId="2BCC1EED" w14:textId="77777777" w:rsidR="00130C01" w:rsidRPr="00DE3D86" w:rsidRDefault="00130C01" w:rsidP="00280509">
      <w:pPr>
        <w:pStyle w:val="BTEMEASMCA"/>
      </w:pPr>
    </w:p>
    <w:p w14:paraId="50CB3FAA" w14:textId="77777777" w:rsidR="00130C01" w:rsidRPr="00DE3D86" w:rsidRDefault="00130C01" w:rsidP="00280509">
      <w:pPr>
        <w:pStyle w:val="BTEMEASMCA"/>
      </w:pPr>
    </w:p>
    <w:p w14:paraId="2056473C" w14:textId="77777777" w:rsidR="00130C01" w:rsidRPr="00DE3D86" w:rsidRDefault="00130C01" w:rsidP="00280509">
      <w:pPr>
        <w:pStyle w:val="BTEMEASMCA"/>
      </w:pPr>
    </w:p>
    <w:p w14:paraId="28F7808C" w14:textId="77777777" w:rsidR="00130C01" w:rsidRPr="00DE3D86" w:rsidRDefault="00130C01" w:rsidP="00280509">
      <w:pPr>
        <w:pStyle w:val="BTEMEASMCA"/>
      </w:pPr>
    </w:p>
    <w:p w14:paraId="3A0B33BB" w14:textId="77777777" w:rsidR="00130C01" w:rsidRPr="00DE3D86" w:rsidRDefault="00130C01" w:rsidP="00280509">
      <w:pPr>
        <w:pStyle w:val="BTEMEASMCA"/>
      </w:pPr>
    </w:p>
    <w:p w14:paraId="5ACC619A" w14:textId="77777777" w:rsidR="00130C01" w:rsidRPr="00DE3D86" w:rsidRDefault="00130C01" w:rsidP="00280509">
      <w:pPr>
        <w:pStyle w:val="BTEMEASMCA"/>
      </w:pPr>
    </w:p>
    <w:p w14:paraId="6DC93486" w14:textId="77777777" w:rsidR="00130C01" w:rsidRPr="00DE3D86" w:rsidRDefault="00130C01" w:rsidP="00280509">
      <w:pPr>
        <w:pStyle w:val="BTEMEASMCA"/>
      </w:pPr>
    </w:p>
    <w:p w14:paraId="5AF0E1E1" w14:textId="77777777" w:rsidR="00130C01" w:rsidRPr="00DE3D86" w:rsidRDefault="00130C01" w:rsidP="00280509">
      <w:pPr>
        <w:pStyle w:val="BTEMEASMCA"/>
      </w:pPr>
    </w:p>
    <w:p w14:paraId="66164F79" w14:textId="77777777" w:rsidR="00130C01" w:rsidRPr="00DE3D86" w:rsidRDefault="00130C01" w:rsidP="00280509">
      <w:pPr>
        <w:pStyle w:val="BTEMEASMCA"/>
      </w:pPr>
    </w:p>
    <w:p w14:paraId="00F3D3E4" w14:textId="77777777" w:rsidR="00130C01" w:rsidRPr="00DE3D86" w:rsidRDefault="00130C01" w:rsidP="00280509">
      <w:pPr>
        <w:pStyle w:val="BTEMEASMCA"/>
      </w:pPr>
    </w:p>
    <w:p w14:paraId="251479C4" w14:textId="77777777" w:rsidR="00130C01" w:rsidRPr="00DE3D86" w:rsidRDefault="00130C01" w:rsidP="00280509">
      <w:pPr>
        <w:pStyle w:val="BTEMEASMCA"/>
      </w:pPr>
    </w:p>
    <w:p w14:paraId="1D9026ED" w14:textId="77777777" w:rsidR="00130C01" w:rsidRPr="00DE3D86" w:rsidRDefault="00130C01" w:rsidP="00280509">
      <w:pPr>
        <w:pStyle w:val="BTEMEASMCA"/>
      </w:pPr>
    </w:p>
    <w:p w14:paraId="3E322575" w14:textId="77777777" w:rsidR="00130C01" w:rsidRPr="00DE3D86" w:rsidRDefault="00130C01" w:rsidP="00280509">
      <w:pPr>
        <w:pStyle w:val="BTEMEASMCA"/>
      </w:pPr>
    </w:p>
    <w:p w14:paraId="24D3C30C" w14:textId="77777777" w:rsidR="00130C01" w:rsidRPr="00DE3D86" w:rsidRDefault="00130C01" w:rsidP="00280509">
      <w:pPr>
        <w:pStyle w:val="BTEMEASMCA"/>
      </w:pPr>
    </w:p>
    <w:p w14:paraId="6AEE74BB" w14:textId="77777777" w:rsidR="00130C01" w:rsidRPr="00DE3D86" w:rsidRDefault="00130C01" w:rsidP="00280509">
      <w:pPr>
        <w:pStyle w:val="BTEMEASMCA"/>
      </w:pPr>
    </w:p>
    <w:p w14:paraId="59010DD0" w14:textId="77777777" w:rsidR="00130C01" w:rsidRPr="00DE3D86" w:rsidRDefault="00130C01" w:rsidP="00280509">
      <w:pPr>
        <w:pStyle w:val="BTEMEASMCA"/>
      </w:pPr>
    </w:p>
    <w:p w14:paraId="187BC359" w14:textId="77777777" w:rsidR="00130C01" w:rsidRPr="00DE3D86" w:rsidRDefault="00130C01" w:rsidP="00280509">
      <w:pPr>
        <w:pStyle w:val="BTEMEASMCA"/>
      </w:pPr>
    </w:p>
    <w:p w14:paraId="5F01FE8D" w14:textId="77777777" w:rsidR="00130C01" w:rsidRPr="00DE3D86" w:rsidRDefault="00130C01" w:rsidP="00D0142F">
      <w:pPr>
        <w:pStyle w:val="TTEMEASMCA"/>
        <w:rPr>
          <w:sz w:val="22"/>
          <w:szCs w:val="22"/>
          <w:lang w:val="lt-LT"/>
        </w:rPr>
      </w:pPr>
      <w:bookmarkStart w:id="1" w:name="_Toc129243128"/>
      <w:bookmarkStart w:id="2" w:name="_Toc129243253"/>
      <w:r w:rsidRPr="00DE3D86">
        <w:rPr>
          <w:sz w:val="22"/>
          <w:szCs w:val="22"/>
          <w:lang w:val="lt-LT"/>
        </w:rPr>
        <w:t>II PRIEDAS</w:t>
      </w:r>
      <w:bookmarkEnd w:id="1"/>
      <w:bookmarkEnd w:id="2"/>
    </w:p>
    <w:p w14:paraId="6A8F6387" w14:textId="77777777" w:rsidR="00130C01" w:rsidRPr="00DE3D86" w:rsidRDefault="00130C01" w:rsidP="00D0142F">
      <w:pPr>
        <w:pStyle w:val="TTEMEASMCA"/>
        <w:rPr>
          <w:sz w:val="22"/>
          <w:szCs w:val="22"/>
          <w:lang w:val="lt-LT"/>
        </w:rPr>
      </w:pPr>
    </w:p>
    <w:p w14:paraId="19EA18FF" w14:textId="77777777" w:rsidR="00130C01" w:rsidRPr="00DE3D86" w:rsidRDefault="009A0A1E" w:rsidP="00D0142F">
      <w:pPr>
        <w:pStyle w:val="TTEMEASMCA"/>
        <w:rPr>
          <w:sz w:val="22"/>
          <w:szCs w:val="22"/>
          <w:lang w:val="lt-LT"/>
        </w:rPr>
      </w:pPr>
      <w:r w:rsidRPr="00DE3D86">
        <w:rPr>
          <w:sz w:val="22"/>
          <w:szCs w:val="22"/>
          <w:lang w:val="lt-LT"/>
        </w:rPr>
        <w:t xml:space="preserve">REGISTRACIJOS </w:t>
      </w:r>
      <w:r w:rsidR="00130C01" w:rsidRPr="00DE3D86">
        <w:rPr>
          <w:sz w:val="22"/>
          <w:szCs w:val="22"/>
          <w:lang w:val="lt-LT"/>
        </w:rPr>
        <w:t>SĄLYGOS</w:t>
      </w:r>
    </w:p>
    <w:p w14:paraId="44CDB824" w14:textId="77777777" w:rsidR="00130C01" w:rsidRPr="00DE3D86" w:rsidRDefault="00130C01" w:rsidP="00280509">
      <w:pPr>
        <w:pStyle w:val="BTEMEASMCA"/>
      </w:pPr>
    </w:p>
    <w:p w14:paraId="231E1E30" w14:textId="77777777" w:rsidR="00130C01" w:rsidRPr="00DE3D86" w:rsidRDefault="00130C01" w:rsidP="00D0142F">
      <w:pPr>
        <w:pStyle w:val="BTAnIIEMEASMCA"/>
        <w:rPr>
          <w:highlight w:val="yellow"/>
          <w:lang w:val="lt-LT"/>
        </w:rPr>
      </w:pPr>
      <w:r w:rsidRPr="00DE3D86">
        <w:rPr>
          <w:lang w:val="lt-LT"/>
        </w:rPr>
        <w:t>A.</w:t>
      </w:r>
      <w:r w:rsidRPr="00DE3D86">
        <w:rPr>
          <w:lang w:val="lt-LT"/>
        </w:rPr>
        <w:tab/>
      </w:r>
      <w:r w:rsidR="009A0A1E" w:rsidRPr="00DE3D86">
        <w:rPr>
          <w:lang w:val="lt-LT"/>
        </w:rPr>
        <w:t>GAMINTOJAS (-AI)</w:t>
      </w:r>
      <w:r w:rsidRPr="00DE3D86">
        <w:rPr>
          <w:lang w:val="lt-LT"/>
        </w:rPr>
        <w:t>, ATSAKING</w:t>
      </w:r>
      <w:r w:rsidR="009A0A1E" w:rsidRPr="00DE3D86">
        <w:rPr>
          <w:lang w:val="lt-LT"/>
        </w:rPr>
        <w:t>AS (-</w:t>
      </w:r>
      <w:r w:rsidRPr="00DE3D86">
        <w:rPr>
          <w:lang w:val="lt-LT"/>
        </w:rPr>
        <w:t>I</w:t>
      </w:r>
      <w:r w:rsidR="009A0A1E" w:rsidRPr="00DE3D86">
        <w:rPr>
          <w:lang w:val="lt-LT"/>
        </w:rPr>
        <w:t>)</w:t>
      </w:r>
      <w:r w:rsidRPr="00DE3D86">
        <w:rPr>
          <w:lang w:val="lt-LT"/>
        </w:rPr>
        <w:t xml:space="preserve"> UŽ SERIJŲ IŠLEIDIMĄ</w:t>
      </w:r>
    </w:p>
    <w:p w14:paraId="5578DA7F" w14:textId="77777777" w:rsidR="00130C01" w:rsidRPr="00DE3D86" w:rsidRDefault="00130C01" w:rsidP="00280509">
      <w:pPr>
        <w:pStyle w:val="BTEMEASMCA"/>
        <w:rPr>
          <w:highlight w:val="yellow"/>
        </w:rPr>
      </w:pPr>
    </w:p>
    <w:p w14:paraId="186329C8" w14:textId="77777777" w:rsidR="00130C01" w:rsidRPr="00DE3D86" w:rsidRDefault="00130C01" w:rsidP="00D0142F">
      <w:pPr>
        <w:pStyle w:val="BTAnIIEMEASMCA"/>
        <w:rPr>
          <w:lang w:val="lt-LT"/>
        </w:rPr>
      </w:pPr>
      <w:r w:rsidRPr="00DE3D86">
        <w:rPr>
          <w:lang w:val="lt-LT"/>
        </w:rPr>
        <w:t>B.</w:t>
      </w:r>
      <w:r w:rsidRPr="00DE3D86">
        <w:rPr>
          <w:lang w:val="lt-LT"/>
        </w:rPr>
        <w:tab/>
      </w:r>
      <w:r w:rsidR="009A0A1E" w:rsidRPr="00DE3D86">
        <w:rPr>
          <w:lang w:val="lt-LT"/>
        </w:rPr>
        <w:t>TIEKIMO IR VARTOJIMO SĄLYGOS AR APRIBOJIMAI</w:t>
      </w:r>
    </w:p>
    <w:p w14:paraId="2F46A9DC" w14:textId="77777777" w:rsidR="00130C01" w:rsidRPr="00DE3D86" w:rsidRDefault="00130C01" w:rsidP="00280509">
      <w:pPr>
        <w:pStyle w:val="BTEMEASMCA"/>
        <w:rPr>
          <w:highlight w:val="yellow"/>
        </w:rPr>
      </w:pPr>
    </w:p>
    <w:p w14:paraId="44EF2C59" w14:textId="77777777" w:rsidR="00130C01" w:rsidRPr="00DE3D86" w:rsidRDefault="00130C01" w:rsidP="00D0142F">
      <w:pPr>
        <w:pStyle w:val="PI-1EMEASMCA"/>
      </w:pPr>
      <w:r w:rsidRPr="00DE3D86">
        <w:br w:type="page"/>
      </w:r>
      <w:r w:rsidRPr="00DE3D86">
        <w:lastRenderedPageBreak/>
        <w:t>A.</w:t>
      </w:r>
      <w:r w:rsidRPr="00DE3D86">
        <w:tab/>
      </w:r>
      <w:r w:rsidR="009A0A1E" w:rsidRPr="00DE3D86">
        <w:t>GAMINTOJAS (-AI)</w:t>
      </w:r>
      <w:r w:rsidRPr="00DE3D86">
        <w:t>, ATSAKING</w:t>
      </w:r>
      <w:r w:rsidR="009A0A1E" w:rsidRPr="00DE3D86">
        <w:t>AS (-</w:t>
      </w:r>
      <w:r w:rsidRPr="00DE3D86">
        <w:t>I</w:t>
      </w:r>
      <w:r w:rsidR="009A0A1E" w:rsidRPr="00DE3D86">
        <w:t>)</w:t>
      </w:r>
      <w:r w:rsidRPr="00DE3D86">
        <w:t xml:space="preserve"> UŽ SERIJŲ IŠLEIDIMĄ</w:t>
      </w:r>
    </w:p>
    <w:p w14:paraId="26851A7D" w14:textId="77777777" w:rsidR="00130C01" w:rsidRPr="00DE3D86" w:rsidRDefault="00130C01" w:rsidP="00280509">
      <w:pPr>
        <w:pStyle w:val="BTEMEASMCA"/>
        <w:rPr>
          <w:highlight w:val="yellow"/>
        </w:rPr>
      </w:pPr>
    </w:p>
    <w:p w14:paraId="5B56042D" w14:textId="77777777" w:rsidR="00130C01" w:rsidRPr="00DE3D86" w:rsidRDefault="00130C01" w:rsidP="00280509">
      <w:pPr>
        <w:pStyle w:val="BTuEMEASMCA"/>
      </w:pPr>
      <w:r w:rsidRPr="00DE3D86">
        <w:t>Gamintojų, atsakingų už serijų išleidimą, pavadinimai ir adresai</w:t>
      </w:r>
    </w:p>
    <w:p w14:paraId="0DEB193A" w14:textId="77777777" w:rsidR="00130C01" w:rsidRPr="00DE3D86" w:rsidRDefault="00130C01" w:rsidP="00280509">
      <w:pPr>
        <w:pStyle w:val="BTEMEASMCA"/>
      </w:pPr>
    </w:p>
    <w:p w14:paraId="0F33889C" w14:textId="77777777" w:rsidR="00130C01" w:rsidRPr="00DE3D86" w:rsidRDefault="00130C01" w:rsidP="00D0142F">
      <w:pPr>
        <w:rPr>
          <w:szCs w:val="22"/>
        </w:rPr>
      </w:pPr>
      <w:r w:rsidRPr="00DE3D86">
        <w:rPr>
          <w:szCs w:val="22"/>
        </w:rPr>
        <w:t>Pharmaceutical Works Polpharma S.A.</w:t>
      </w:r>
    </w:p>
    <w:p w14:paraId="470C8789" w14:textId="77777777" w:rsidR="00130C01" w:rsidRPr="00DE3D86" w:rsidRDefault="00130C01" w:rsidP="00D0142F">
      <w:pPr>
        <w:rPr>
          <w:szCs w:val="22"/>
        </w:rPr>
      </w:pPr>
      <w:r w:rsidRPr="00DE3D86">
        <w:rPr>
          <w:szCs w:val="22"/>
        </w:rPr>
        <w:t>Ul. Pe</w:t>
      </w:r>
      <w:r w:rsidR="00862391" w:rsidRPr="00DE3D86">
        <w:rPr>
          <w:szCs w:val="22"/>
        </w:rPr>
        <w:t>l</w:t>
      </w:r>
      <w:r w:rsidRPr="00DE3D86">
        <w:rPr>
          <w:szCs w:val="22"/>
        </w:rPr>
        <w:t>pli</w:t>
      </w:r>
      <w:r w:rsidR="00CA2A16" w:rsidRPr="00DE3D86">
        <w:rPr>
          <w:szCs w:val="22"/>
        </w:rPr>
        <w:t>ń</w:t>
      </w:r>
      <w:r w:rsidRPr="00DE3D86">
        <w:rPr>
          <w:szCs w:val="22"/>
        </w:rPr>
        <w:t>ska 19, 83-200 Starogard Gda</w:t>
      </w:r>
      <w:r w:rsidR="00CA2A16" w:rsidRPr="00DE3D86">
        <w:rPr>
          <w:szCs w:val="22"/>
        </w:rPr>
        <w:t>ń</w:t>
      </w:r>
      <w:r w:rsidRPr="00DE3D86">
        <w:rPr>
          <w:szCs w:val="22"/>
        </w:rPr>
        <w:t>ski</w:t>
      </w:r>
    </w:p>
    <w:p w14:paraId="46B87BD2" w14:textId="77777777" w:rsidR="00130C01" w:rsidRPr="00DE3D86" w:rsidRDefault="00130C01" w:rsidP="00D0142F">
      <w:pPr>
        <w:rPr>
          <w:szCs w:val="22"/>
        </w:rPr>
      </w:pPr>
      <w:r w:rsidRPr="00DE3D86">
        <w:rPr>
          <w:szCs w:val="22"/>
        </w:rPr>
        <w:t>Lenkija</w:t>
      </w:r>
    </w:p>
    <w:p w14:paraId="2E72F418" w14:textId="77777777" w:rsidR="00130C01" w:rsidRPr="00DE3D86" w:rsidRDefault="00130C01" w:rsidP="00D0142F">
      <w:pPr>
        <w:rPr>
          <w:szCs w:val="22"/>
        </w:rPr>
      </w:pPr>
    </w:p>
    <w:p w14:paraId="0B0AF72B" w14:textId="77777777" w:rsidR="00130C01" w:rsidRPr="00DE3D86" w:rsidRDefault="00130C01" w:rsidP="00D0142F">
      <w:pPr>
        <w:rPr>
          <w:szCs w:val="22"/>
        </w:rPr>
      </w:pPr>
      <w:r w:rsidRPr="00DE3D86">
        <w:rPr>
          <w:szCs w:val="22"/>
        </w:rPr>
        <w:t>Medana Pharma SA</w:t>
      </w:r>
    </w:p>
    <w:p w14:paraId="3EB8D3CF" w14:textId="77777777" w:rsidR="00130C01" w:rsidRPr="00DE3D86" w:rsidRDefault="00130C01" w:rsidP="00D0142F">
      <w:pPr>
        <w:rPr>
          <w:szCs w:val="22"/>
        </w:rPr>
      </w:pPr>
      <w:r w:rsidRPr="00DE3D86">
        <w:rPr>
          <w:szCs w:val="22"/>
        </w:rPr>
        <w:t>ul. Władysława Łokietka 10, 98-200 Sieradz</w:t>
      </w:r>
    </w:p>
    <w:p w14:paraId="53A285F6" w14:textId="77777777" w:rsidR="00130C01" w:rsidRPr="00DE3D86" w:rsidRDefault="00130C01" w:rsidP="00D0142F">
      <w:pPr>
        <w:rPr>
          <w:szCs w:val="22"/>
        </w:rPr>
      </w:pPr>
      <w:r w:rsidRPr="00DE3D86">
        <w:rPr>
          <w:szCs w:val="22"/>
        </w:rPr>
        <w:t>Lenkija</w:t>
      </w:r>
    </w:p>
    <w:p w14:paraId="1CFA1F70" w14:textId="77777777" w:rsidR="00EC3C3F" w:rsidRPr="00DE3D86" w:rsidRDefault="00EC3C3F" w:rsidP="00280509">
      <w:pPr>
        <w:pStyle w:val="BTEMEASMCA"/>
      </w:pPr>
    </w:p>
    <w:p w14:paraId="4294C2D6" w14:textId="77777777" w:rsidR="00130C01" w:rsidRPr="00DE3D86" w:rsidRDefault="00EC3C3F" w:rsidP="00280509">
      <w:pPr>
        <w:pStyle w:val="BTEMEASMCA"/>
      </w:pPr>
      <w:r w:rsidRPr="00DE3D86">
        <w:t>Su pakuote pateikiamame lapelyje nurodomas gamintojo, atsakingo už konkrečios serijos išleidimą, pavadinimas ir adresas.</w:t>
      </w:r>
    </w:p>
    <w:p w14:paraId="60035997" w14:textId="77777777" w:rsidR="00EC3C3F" w:rsidRPr="00DE3D86" w:rsidRDefault="00EC3C3F" w:rsidP="00280509">
      <w:pPr>
        <w:pStyle w:val="BTEMEASMCA"/>
        <w:rPr>
          <w:highlight w:val="yellow"/>
        </w:rPr>
      </w:pPr>
    </w:p>
    <w:p w14:paraId="7B90EB7D" w14:textId="77777777" w:rsidR="00130C01" w:rsidRPr="00DE3D86" w:rsidRDefault="00130C01" w:rsidP="00280509">
      <w:pPr>
        <w:pStyle w:val="BTEMEASMCA"/>
        <w:rPr>
          <w:highlight w:val="yellow"/>
        </w:rPr>
      </w:pPr>
    </w:p>
    <w:p w14:paraId="01A7215C" w14:textId="77777777" w:rsidR="00130C01" w:rsidRPr="00DE3D86" w:rsidRDefault="00130C01" w:rsidP="00D0142F">
      <w:pPr>
        <w:pStyle w:val="PI-1EMEASMCA"/>
      </w:pPr>
      <w:bookmarkStart w:id="3" w:name="_Toc129243129"/>
      <w:bookmarkStart w:id="4" w:name="_Toc129243254"/>
      <w:r w:rsidRPr="00DE3D86">
        <w:t>B.</w:t>
      </w:r>
      <w:r w:rsidRPr="00DE3D86">
        <w:tab/>
      </w:r>
      <w:r w:rsidR="00EC3C3F" w:rsidRPr="00DE3D86">
        <w:t>TIEKIMO IR VARTOJIMO SĄLYGOS AR APRIBOJIMAI</w:t>
      </w:r>
      <w:bookmarkEnd w:id="3"/>
      <w:bookmarkEnd w:id="4"/>
    </w:p>
    <w:p w14:paraId="03B77F26" w14:textId="77777777" w:rsidR="00130C01" w:rsidRPr="00DE3D86" w:rsidRDefault="00130C01" w:rsidP="00280509">
      <w:pPr>
        <w:pStyle w:val="BTEMEASMCA"/>
      </w:pPr>
    </w:p>
    <w:p w14:paraId="3195752D" w14:textId="77777777" w:rsidR="00130C01" w:rsidRPr="00DE3D86" w:rsidRDefault="00130C01" w:rsidP="00280509">
      <w:pPr>
        <w:pStyle w:val="BTEMEASMCA"/>
      </w:pPr>
      <w:r w:rsidRPr="00DE3D86">
        <w:t>Receptinis vaistinis preparatas.</w:t>
      </w:r>
    </w:p>
    <w:p w14:paraId="4DBD104D" w14:textId="77777777" w:rsidR="00130C01" w:rsidRPr="00DE3D86" w:rsidRDefault="00130C01" w:rsidP="00D0142F">
      <w:pPr>
        <w:pStyle w:val="Pagrindinistekstas"/>
        <w:spacing w:after="0"/>
        <w:rPr>
          <w:sz w:val="22"/>
          <w:szCs w:val="22"/>
        </w:rPr>
      </w:pPr>
      <w:r w:rsidRPr="00DE3D86">
        <w:rPr>
          <w:sz w:val="22"/>
          <w:szCs w:val="22"/>
        </w:rPr>
        <w:br w:type="page"/>
      </w:r>
    </w:p>
    <w:p w14:paraId="6927496D" w14:textId="77777777" w:rsidR="00130C01" w:rsidRPr="00DE3D86" w:rsidRDefault="00130C01" w:rsidP="00D0142F">
      <w:pPr>
        <w:pStyle w:val="Pagrindinistekstas"/>
        <w:spacing w:after="0"/>
        <w:rPr>
          <w:sz w:val="22"/>
          <w:szCs w:val="22"/>
        </w:rPr>
      </w:pPr>
    </w:p>
    <w:p w14:paraId="2338CEE3" w14:textId="77777777" w:rsidR="00130C01" w:rsidRPr="00DE3D86" w:rsidRDefault="00130C01" w:rsidP="00D0142F">
      <w:pPr>
        <w:pStyle w:val="Pagrindinistekstas"/>
        <w:spacing w:after="0"/>
        <w:rPr>
          <w:sz w:val="22"/>
          <w:szCs w:val="22"/>
        </w:rPr>
      </w:pPr>
    </w:p>
    <w:p w14:paraId="5565B0B5" w14:textId="77777777" w:rsidR="00130C01" w:rsidRPr="00DE3D86" w:rsidRDefault="00130C01" w:rsidP="00D0142F">
      <w:pPr>
        <w:pStyle w:val="Pagrindinistekstas"/>
        <w:spacing w:after="0"/>
        <w:rPr>
          <w:sz w:val="22"/>
          <w:szCs w:val="22"/>
        </w:rPr>
      </w:pPr>
    </w:p>
    <w:p w14:paraId="3938EC37" w14:textId="77777777" w:rsidR="00130C01" w:rsidRPr="00DE3D86" w:rsidRDefault="00130C01" w:rsidP="00D0142F">
      <w:pPr>
        <w:pStyle w:val="Pagrindinistekstas"/>
        <w:spacing w:after="0"/>
        <w:rPr>
          <w:sz w:val="22"/>
          <w:szCs w:val="22"/>
        </w:rPr>
      </w:pPr>
    </w:p>
    <w:p w14:paraId="57CAD95D" w14:textId="77777777" w:rsidR="00130C01" w:rsidRPr="00DE3D86" w:rsidRDefault="00130C01" w:rsidP="00D0142F">
      <w:pPr>
        <w:pStyle w:val="Pagrindinistekstas"/>
        <w:spacing w:after="0"/>
        <w:rPr>
          <w:sz w:val="22"/>
          <w:szCs w:val="22"/>
        </w:rPr>
      </w:pPr>
    </w:p>
    <w:p w14:paraId="1C01A765" w14:textId="77777777" w:rsidR="00130C01" w:rsidRPr="00DE3D86" w:rsidRDefault="00130C01" w:rsidP="00D0142F">
      <w:pPr>
        <w:pStyle w:val="Pagrindinistekstas"/>
        <w:spacing w:after="0"/>
        <w:rPr>
          <w:sz w:val="22"/>
          <w:szCs w:val="22"/>
        </w:rPr>
      </w:pPr>
    </w:p>
    <w:p w14:paraId="067F82AB" w14:textId="77777777" w:rsidR="00130C01" w:rsidRPr="00DE3D86" w:rsidRDefault="00130C01" w:rsidP="00D0142F">
      <w:pPr>
        <w:pStyle w:val="Pagrindinistekstas"/>
        <w:spacing w:after="0"/>
        <w:rPr>
          <w:sz w:val="22"/>
          <w:szCs w:val="22"/>
        </w:rPr>
      </w:pPr>
    </w:p>
    <w:p w14:paraId="64C49DB4" w14:textId="77777777" w:rsidR="00130C01" w:rsidRPr="00DE3D86" w:rsidRDefault="00130C01" w:rsidP="00D0142F">
      <w:pPr>
        <w:pStyle w:val="Pagrindinistekstas"/>
        <w:spacing w:after="0"/>
        <w:rPr>
          <w:sz w:val="22"/>
          <w:szCs w:val="22"/>
        </w:rPr>
      </w:pPr>
    </w:p>
    <w:p w14:paraId="65E2FC72" w14:textId="77777777" w:rsidR="00130C01" w:rsidRPr="00DE3D86" w:rsidRDefault="00130C01" w:rsidP="00D0142F">
      <w:pPr>
        <w:pStyle w:val="Pagrindinistekstas"/>
        <w:spacing w:after="0"/>
        <w:rPr>
          <w:sz w:val="22"/>
          <w:szCs w:val="22"/>
        </w:rPr>
      </w:pPr>
    </w:p>
    <w:p w14:paraId="4FFB9D7F" w14:textId="77777777" w:rsidR="00130C01" w:rsidRPr="00DE3D86" w:rsidRDefault="00130C01" w:rsidP="00D0142F">
      <w:pPr>
        <w:pStyle w:val="Pagrindinistekstas"/>
        <w:spacing w:after="0"/>
        <w:rPr>
          <w:sz w:val="22"/>
          <w:szCs w:val="22"/>
        </w:rPr>
      </w:pPr>
    </w:p>
    <w:p w14:paraId="02D5E330" w14:textId="77777777" w:rsidR="00130C01" w:rsidRPr="00DE3D86" w:rsidRDefault="00130C01" w:rsidP="00D0142F">
      <w:pPr>
        <w:pStyle w:val="Pagrindinistekstas"/>
        <w:spacing w:after="0"/>
        <w:rPr>
          <w:sz w:val="22"/>
          <w:szCs w:val="22"/>
        </w:rPr>
      </w:pPr>
    </w:p>
    <w:p w14:paraId="627957F1" w14:textId="77777777" w:rsidR="00130C01" w:rsidRPr="00DE3D86" w:rsidRDefault="00130C01" w:rsidP="00D0142F">
      <w:pPr>
        <w:pStyle w:val="Pagrindinistekstas"/>
        <w:spacing w:after="0"/>
        <w:rPr>
          <w:sz w:val="22"/>
          <w:szCs w:val="22"/>
        </w:rPr>
      </w:pPr>
    </w:p>
    <w:p w14:paraId="642F9889" w14:textId="77777777" w:rsidR="00130C01" w:rsidRPr="00DE3D86" w:rsidRDefault="00130C01" w:rsidP="00D0142F">
      <w:pPr>
        <w:pStyle w:val="Pagrindinistekstas"/>
        <w:spacing w:after="0"/>
        <w:rPr>
          <w:sz w:val="22"/>
          <w:szCs w:val="22"/>
        </w:rPr>
      </w:pPr>
    </w:p>
    <w:p w14:paraId="10FBA467" w14:textId="77777777" w:rsidR="00130C01" w:rsidRPr="00DE3D86" w:rsidRDefault="00130C01" w:rsidP="00D0142F">
      <w:pPr>
        <w:pStyle w:val="Pagrindinistekstas"/>
        <w:spacing w:after="0"/>
        <w:rPr>
          <w:sz w:val="22"/>
          <w:szCs w:val="22"/>
        </w:rPr>
      </w:pPr>
    </w:p>
    <w:p w14:paraId="20DEB4B9" w14:textId="77777777" w:rsidR="00130C01" w:rsidRPr="00DE3D86" w:rsidRDefault="00130C01" w:rsidP="00D0142F">
      <w:pPr>
        <w:pStyle w:val="Pagrindinistekstas"/>
        <w:spacing w:after="0"/>
        <w:rPr>
          <w:sz w:val="22"/>
          <w:szCs w:val="22"/>
        </w:rPr>
      </w:pPr>
    </w:p>
    <w:p w14:paraId="1AC7E49E" w14:textId="77777777" w:rsidR="00130C01" w:rsidRPr="00DE3D86" w:rsidRDefault="00130C01" w:rsidP="00D0142F">
      <w:pPr>
        <w:pStyle w:val="Pagrindinistekstas"/>
        <w:spacing w:after="0"/>
        <w:rPr>
          <w:sz w:val="22"/>
          <w:szCs w:val="22"/>
        </w:rPr>
      </w:pPr>
    </w:p>
    <w:p w14:paraId="019A38D9" w14:textId="77777777" w:rsidR="00130C01" w:rsidRPr="00DE3D86" w:rsidRDefault="00130C01" w:rsidP="00D0142F">
      <w:pPr>
        <w:pStyle w:val="Pagrindinistekstas"/>
        <w:spacing w:after="0"/>
        <w:rPr>
          <w:sz w:val="22"/>
          <w:szCs w:val="22"/>
        </w:rPr>
      </w:pPr>
    </w:p>
    <w:p w14:paraId="1483A032" w14:textId="77777777" w:rsidR="00130C01" w:rsidRPr="00DE3D86" w:rsidRDefault="00130C01" w:rsidP="00D0142F">
      <w:pPr>
        <w:pStyle w:val="Pagrindinistekstas"/>
        <w:spacing w:after="0"/>
        <w:rPr>
          <w:sz w:val="22"/>
          <w:szCs w:val="22"/>
        </w:rPr>
      </w:pPr>
    </w:p>
    <w:p w14:paraId="18A55CF5" w14:textId="77777777" w:rsidR="00130C01" w:rsidRPr="00DE3D86" w:rsidRDefault="00130C01" w:rsidP="00D0142F">
      <w:pPr>
        <w:pStyle w:val="Pagrindinistekstas"/>
        <w:spacing w:after="0"/>
        <w:rPr>
          <w:sz w:val="22"/>
          <w:szCs w:val="22"/>
        </w:rPr>
      </w:pPr>
    </w:p>
    <w:p w14:paraId="1AEBEA3A" w14:textId="77777777" w:rsidR="00130C01" w:rsidRPr="00DE3D86" w:rsidRDefault="00130C01" w:rsidP="00D0142F">
      <w:pPr>
        <w:pStyle w:val="Pagrindinistekstas"/>
        <w:spacing w:after="0"/>
        <w:rPr>
          <w:sz w:val="22"/>
          <w:szCs w:val="22"/>
        </w:rPr>
      </w:pPr>
    </w:p>
    <w:p w14:paraId="67856C47" w14:textId="77777777" w:rsidR="00130C01" w:rsidRPr="00DE3D86" w:rsidRDefault="00130C01" w:rsidP="00D0142F">
      <w:pPr>
        <w:pStyle w:val="Pagrindinistekstas"/>
        <w:spacing w:after="0"/>
        <w:rPr>
          <w:sz w:val="22"/>
          <w:szCs w:val="22"/>
        </w:rPr>
      </w:pPr>
    </w:p>
    <w:p w14:paraId="0497C0A4" w14:textId="77777777" w:rsidR="00130C01" w:rsidRPr="00DE3D86" w:rsidRDefault="00130C01" w:rsidP="00D0142F">
      <w:pPr>
        <w:pStyle w:val="Pagrindinistekstas"/>
        <w:spacing w:after="0"/>
        <w:rPr>
          <w:sz w:val="22"/>
          <w:szCs w:val="22"/>
        </w:rPr>
      </w:pPr>
    </w:p>
    <w:p w14:paraId="4CC61178" w14:textId="77777777" w:rsidR="00130C01" w:rsidRPr="00DE3D86" w:rsidRDefault="00130C01" w:rsidP="00D0142F">
      <w:pPr>
        <w:pStyle w:val="Pavadinimas"/>
        <w:rPr>
          <w:sz w:val="22"/>
          <w:szCs w:val="22"/>
        </w:rPr>
      </w:pPr>
      <w:r w:rsidRPr="00DE3D86">
        <w:rPr>
          <w:sz w:val="22"/>
          <w:szCs w:val="22"/>
        </w:rPr>
        <w:t>III PRIEDAS</w:t>
      </w:r>
    </w:p>
    <w:p w14:paraId="659903C8" w14:textId="77777777" w:rsidR="00130C01" w:rsidRPr="00DE3D86" w:rsidRDefault="00130C01" w:rsidP="00D0142F">
      <w:pPr>
        <w:pStyle w:val="Pagrindinistekstas"/>
        <w:spacing w:after="0"/>
        <w:rPr>
          <w:sz w:val="22"/>
          <w:szCs w:val="22"/>
        </w:rPr>
      </w:pPr>
    </w:p>
    <w:p w14:paraId="3A32EBAB" w14:textId="77777777" w:rsidR="00130C01" w:rsidRPr="00DE3D86" w:rsidRDefault="00130C01" w:rsidP="00D0142F">
      <w:pPr>
        <w:pStyle w:val="Pagrindinistekstas"/>
        <w:spacing w:after="0"/>
        <w:jc w:val="center"/>
        <w:rPr>
          <w:b/>
          <w:sz w:val="22"/>
          <w:szCs w:val="22"/>
        </w:rPr>
      </w:pPr>
      <w:r w:rsidRPr="00DE3D86">
        <w:rPr>
          <w:b/>
          <w:sz w:val="22"/>
          <w:szCs w:val="22"/>
        </w:rPr>
        <w:t xml:space="preserve">ŽENKLINIMAS IR </w:t>
      </w:r>
      <w:r w:rsidR="00EC3C3F" w:rsidRPr="00DE3D86">
        <w:rPr>
          <w:b/>
          <w:sz w:val="22"/>
          <w:szCs w:val="22"/>
        </w:rPr>
        <w:t xml:space="preserve">PAKUOTĖS </w:t>
      </w:r>
      <w:r w:rsidRPr="00DE3D86">
        <w:rPr>
          <w:b/>
          <w:sz w:val="22"/>
          <w:szCs w:val="22"/>
        </w:rPr>
        <w:t>LAPELIS</w:t>
      </w:r>
    </w:p>
    <w:p w14:paraId="4E87DB0F" w14:textId="77777777" w:rsidR="00130C01" w:rsidRPr="00DE3D86" w:rsidRDefault="00130C01" w:rsidP="00D0142F">
      <w:pPr>
        <w:pStyle w:val="Pagrindinistekstas"/>
        <w:spacing w:after="0"/>
        <w:rPr>
          <w:sz w:val="22"/>
          <w:szCs w:val="22"/>
        </w:rPr>
      </w:pPr>
      <w:r w:rsidRPr="00DE3D86">
        <w:rPr>
          <w:sz w:val="22"/>
          <w:szCs w:val="22"/>
        </w:rPr>
        <w:br w:type="page"/>
      </w:r>
    </w:p>
    <w:p w14:paraId="4CEBA36B" w14:textId="77777777" w:rsidR="00130C01" w:rsidRPr="00DE3D86" w:rsidRDefault="00130C01" w:rsidP="00D0142F">
      <w:pPr>
        <w:pStyle w:val="Pagrindinistekstas"/>
        <w:spacing w:after="0"/>
        <w:rPr>
          <w:sz w:val="22"/>
          <w:szCs w:val="22"/>
        </w:rPr>
      </w:pPr>
    </w:p>
    <w:p w14:paraId="06E918F7" w14:textId="77777777" w:rsidR="00130C01" w:rsidRPr="00DE3D86" w:rsidRDefault="00130C01" w:rsidP="00D0142F">
      <w:pPr>
        <w:pStyle w:val="Pagrindinistekstas"/>
        <w:spacing w:after="0"/>
        <w:rPr>
          <w:sz w:val="22"/>
          <w:szCs w:val="22"/>
        </w:rPr>
      </w:pPr>
    </w:p>
    <w:p w14:paraId="376F6E15" w14:textId="77777777" w:rsidR="00130C01" w:rsidRPr="00DE3D86" w:rsidRDefault="00130C01" w:rsidP="00D0142F">
      <w:pPr>
        <w:pStyle w:val="Pagrindinistekstas"/>
        <w:spacing w:after="0"/>
        <w:rPr>
          <w:sz w:val="22"/>
          <w:szCs w:val="22"/>
        </w:rPr>
      </w:pPr>
    </w:p>
    <w:p w14:paraId="48DEF7DE" w14:textId="77777777" w:rsidR="00130C01" w:rsidRPr="00DE3D86" w:rsidRDefault="00130C01" w:rsidP="00D0142F">
      <w:pPr>
        <w:pStyle w:val="Pagrindinistekstas"/>
        <w:spacing w:after="0"/>
        <w:rPr>
          <w:sz w:val="22"/>
          <w:szCs w:val="22"/>
        </w:rPr>
      </w:pPr>
    </w:p>
    <w:p w14:paraId="2CD7CA21" w14:textId="77777777" w:rsidR="00130C01" w:rsidRPr="00DE3D86" w:rsidRDefault="00130C01" w:rsidP="00D0142F">
      <w:pPr>
        <w:pStyle w:val="Pagrindinistekstas"/>
        <w:spacing w:after="0"/>
        <w:rPr>
          <w:sz w:val="22"/>
          <w:szCs w:val="22"/>
        </w:rPr>
      </w:pPr>
    </w:p>
    <w:p w14:paraId="6D721C97" w14:textId="77777777" w:rsidR="00130C01" w:rsidRPr="00DE3D86" w:rsidRDefault="00130C01" w:rsidP="00D0142F">
      <w:pPr>
        <w:pStyle w:val="Pagrindinistekstas"/>
        <w:spacing w:after="0"/>
        <w:rPr>
          <w:sz w:val="22"/>
          <w:szCs w:val="22"/>
        </w:rPr>
      </w:pPr>
    </w:p>
    <w:p w14:paraId="4DBFCD6F" w14:textId="77777777" w:rsidR="00130C01" w:rsidRPr="00DE3D86" w:rsidRDefault="00130C01" w:rsidP="00D0142F">
      <w:pPr>
        <w:pStyle w:val="Pagrindinistekstas"/>
        <w:spacing w:after="0"/>
        <w:rPr>
          <w:sz w:val="22"/>
          <w:szCs w:val="22"/>
        </w:rPr>
      </w:pPr>
    </w:p>
    <w:p w14:paraId="5238E979" w14:textId="77777777" w:rsidR="00130C01" w:rsidRPr="00DE3D86" w:rsidRDefault="00130C01" w:rsidP="00D0142F">
      <w:pPr>
        <w:pStyle w:val="Pagrindinistekstas"/>
        <w:spacing w:after="0"/>
        <w:rPr>
          <w:sz w:val="22"/>
          <w:szCs w:val="22"/>
        </w:rPr>
      </w:pPr>
    </w:p>
    <w:p w14:paraId="6C61B21A" w14:textId="77777777" w:rsidR="00130C01" w:rsidRPr="00DE3D86" w:rsidRDefault="00130C01" w:rsidP="00D0142F">
      <w:pPr>
        <w:pStyle w:val="Pagrindinistekstas"/>
        <w:spacing w:after="0"/>
        <w:rPr>
          <w:sz w:val="22"/>
          <w:szCs w:val="22"/>
        </w:rPr>
      </w:pPr>
    </w:p>
    <w:p w14:paraId="7AFA85E7" w14:textId="77777777" w:rsidR="00130C01" w:rsidRPr="00DE3D86" w:rsidRDefault="00130C01" w:rsidP="00D0142F">
      <w:pPr>
        <w:pStyle w:val="Pagrindinistekstas"/>
        <w:spacing w:after="0"/>
        <w:rPr>
          <w:sz w:val="22"/>
          <w:szCs w:val="22"/>
        </w:rPr>
      </w:pPr>
    </w:p>
    <w:p w14:paraId="77EFF5DC" w14:textId="77777777" w:rsidR="00130C01" w:rsidRPr="00DE3D86" w:rsidRDefault="00130C01" w:rsidP="00D0142F">
      <w:pPr>
        <w:pStyle w:val="Pagrindinistekstas"/>
        <w:spacing w:after="0"/>
        <w:rPr>
          <w:sz w:val="22"/>
          <w:szCs w:val="22"/>
        </w:rPr>
      </w:pPr>
    </w:p>
    <w:p w14:paraId="4BB7FE5E" w14:textId="77777777" w:rsidR="00130C01" w:rsidRPr="00DE3D86" w:rsidRDefault="00130C01" w:rsidP="00D0142F">
      <w:pPr>
        <w:pStyle w:val="Pagrindinistekstas"/>
        <w:spacing w:after="0"/>
        <w:rPr>
          <w:sz w:val="22"/>
          <w:szCs w:val="22"/>
        </w:rPr>
      </w:pPr>
    </w:p>
    <w:p w14:paraId="6CA64951" w14:textId="77777777" w:rsidR="00130C01" w:rsidRPr="00DE3D86" w:rsidRDefault="00130C01" w:rsidP="00D0142F">
      <w:pPr>
        <w:pStyle w:val="Pagrindinistekstas"/>
        <w:spacing w:after="0"/>
        <w:rPr>
          <w:sz w:val="22"/>
          <w:szCs w:val="22"/>
        </w:rPr>
      </w:pPr>
    </w:p>
    <w:p w14:paraId="42579B37" w14:textId="77777777" w:rsidR="00130C01" w:rsidRPr="00DE3D86" w:rsidRDefault="00130C01" w:rsidP="00D0142F">
      <w:pPr>
        <w:pStyle w:val="Pagrindinistekstas"/>
        <w:spacing w:after="0"/>
        <w:rPr>
          <w:sz w:val="22"/>
          <w:szCs w:val="22"/>
        </w:rPr>
      </w:pPr>
    </w:p>
    <w:p w14:paraId="35EA714F" w14:textId="77777777" w:rsidR="00130C01" w:rsidRPr="00DE3D86" w:rsidRDefault="00130C01" w:rsidP="00D0142F">
      <w:pPr>
        <w:pStyle w:val="Pagrindinistekstas"/>
        <w:spacing w:after="0"/>
        <w:rPr>
          <w:sz w:val="22"/>
          <w:szCs w:val="22"/>
        </w:rPr>
      </w:pPr>
    </w:p>
    <w:p w14:paraId="7E09C5DA" w14:textId="77777777" w:rsidR="00130C01" w:rsidRPr="00DE3D86" w:rsidRDefault="00130C01" w:rsidP="00D0142F">
      <w:pPr>
        <w:pStyle w:val="Pagrindinistekstas"/>
        <w:spacing w:after="0"/>
        <w:rPr>
          <w:sz w:val="22"/>
          <w:szCs w:val="22"/>
        </w:rPr>
      </w:pPr>
    </w:p>
    <w:p w14:paraId="57F83A73" w14:textId="77777777" w:rsidR="00130C01" w:rsidRPr="00DE3D86" w:rsidRDefault="00130C01" w:rsidP="00D0142F">
      <w:pPr>
        <w:pStyle w:val="Pagrindinistekstas"/>
        <w:spacing w:after="0"/>
        <w:rPr>
          <w:sz w:val="22"/>
          <w:szCs w:val="22"/>
        </w:rPr>
      </w:pPr>
    </w:p>
    <w:p w14:paraId="68E72A29" w14:textId="77777777" w:rsidR="00130C01" w:rsidRPr="00DE3D86" w:rsidRDefault="00130C01" w:rsidP="00D0142F">
      <w:pPr>
        <w:pStyle w:val="Pagrindinistekstas"/>
        <w:spacing w:after="0"/>
        <w:rPr>
          <w:sz w:val="22"/>
          <w:szCs w:val="22"/>
        </w:rPr>
      </w:pPr>
    </w:p>
    <w:p w14:paraId="074965AD" w14:textId="77777777" w:rsidR="00130C01" w:rsidRPr="00DE3D86" w:rsidRDefault="00130C01" w:rsidP="00D0142F">
      <w:pPr>
        <w:pStyle w:val="Pagrindinistekstas"/>
        <w:spacing w:after="0"/>
        <w:rPr>
          <w:sz w:val="22"/>
          <w:szCs w:val="22"/>
        </w:rPr>
      </w:pPr>
    </w:p>
    <w:p w14:paraId="25CE5E37" w14:textId="77777777" w:rsidR="00130C01" w:rsidRPr="00DE3D86" w:rsidRDefault="00130C01" w:rsidP="00D0142F">
      <w:pPr>
        <w:pStyle w:val="Pagrindinistekstas"/>
        <w:spacing w:after="0"/>
        <w:rPr>
          <w:sz w:val="22"/>
          <w:szCs w:val="22"/>
        </w:rPr>
      </w:pPr>
    </w:p>
    <w:p w14:paraId="79011894" w14:textId="77777777" w:rsidR="00130C01" w:rsidRPr="00DE3D86" w:rsidRDefault="00130C01" w:rsidP="00D0142F">
      <w:pPr>
        <w:pStyle w:val="Pagrindinistekstas"/>
        <w:spacing w:after="0"/>
        <w:rPr>
          <w:sz w:val="22"/>
          <w:szCs w:val="22"/>
        </w:rPr>
      </w:pPr>
    </w:p>
    <w:p w14:paraId="3A18D33D" w14:textId="77777777" w:rsidR="00130C01" w:rsidRPr="00DE3D86" w:rsidRDefault="00130C01" w:rsidP="00D0142F">
      <w:pPr>
        <w:pStyle w:val="Pagrindinistekstas"/>
        <w:spacing w:after="0"/>
        <w:rPr>
          <w:sz w:val="22"/>
          <w:szCs w:val="22"/>
        </w:rPr>
      </w:pPr>
    </w:p>
    <w:p w14:paraId="656C8D2C" w14:textId="77777777" w:rsidR="00130C01" w:rsidRPr="00DE3D86" w:rsidRDefault="00130C01" w:rsidP="00D0142F">
      <w:pPr>
        <w:pStyle w:val="Pavadinimas"/>
        <w:rPr>
          <w:sz w:val="22"/>
          <w:szCs w:val="22"/>
        </w:rPr>
      </w:pPr>
      <w:r w:rsidRPr="00DE3D86">
        <w:rPr>
          <w:sz w:val="22"/>
          <w:szCs w:val="22"/>
        </w:rPr>
        <w:t>A. ŽENKLINIMAS</w:t>
      </w:r>
    </w:p>
    <w:p w14:paraId="1070ABCD" w14:textId="77777777" w:rsidR="0024722D" w:rsidRDefault="00130C01" w:rsidP="0024722D">
      <w:pPr>
        <w:pStyle w:val="Antrat2"/>
        <w:rPr>
          <w:szCs w:val="22"/>
        </w:rPr>
      </w:pPr>
      <w:r w:rsidRPr="00DE3D86">
        <w:rPr>
          <w:szCs w:val="22"/>
        </w:rPr>
        <w:br w:type="page"/>
      </w:r>
    </w:p>
    <w:p w14:paraId="4D7B90A4" w14:textId="77777777" w:rsidR="0024722D" w:rsidRPr="00E22C07" w:rsidRDefault="0024722D" w:rsidP="0024722D">
      <w:pPr>
        <w:pStyle w:val="Antrat2"/>
        <w:pBdr>
          <w:top w:val="single" w:sz="4" w:space="1" w:color="auto"/>
          <w:left w:val="single" w:sz="4" w:space="4" w:color="auto"/>
          <w:bottom w:val="single" w:sz="4" w:space="1" w:color="auto"/>
          <w:right w:val="single" w:sz="4" w:space="4" w:color="auto"/>
        </w:pBdr>
        <w:rPr>
          <w:szCs w:val="22"/>
        </w:rPr>
      </w:pPr>
      <w:r w:rsidRPr="00E22C07">
        <w:rPr>
          <w:szCs w:val="22"/>
        </w:rPr>
        <w:lastRenderedPageBreak/>
        <w:t xml:space="preserve">INFORMACIJA ANT IŠORINĖS PAKUOTĖS </w:t>
      </w:r>
    </w:p>
    <w:p w14:paraId="1868D420" w14:textId="77777777" w:rsidR="0024722D" w:rsidRPr="00E22C07" w:rsidRDefault="0024722D" w:rsidP="0024722D">
      <w:pPr>
        <w:pStyle w:val="Pagrindinistekstas"/>
        <w:pBdr>
          <w:top w:val="single" w:sz="4" w:space="1" w:color="auto"/>
          <w:left w:val="single" w:sz="4" w:space="4" w:color="auto"/>
          <w:bottom w:val="single" w:sz="4" w:space="1" w:color="auto"/>
          <w:right w:val="single" w:sz="4" w:space="4" w:color="auto"/>
        </w:pBdr>
        <w:spacing w:after="0"/>
        <w:rPr>
          <w:sz w:val="22"/>
          <w:szCs w:val="22"/>
        </w:rPr>
      </w:pPr>
    </w:p>
    <w:p w14:paraId="089E7C5C" w14:textId="77777777" w:rsidR="0024722D" w:rsidRPr="00E22C07" w:rsidRDefault="0024722D" w:rsidP="0024722D">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E22C07">
        <w:rPr>
          <w:b/>
          <w:sz w:val="22"/>
          <w:szCs w:val="22"/>
        </w:rPr>
        <w:t>KARTONO DĖŽUTĖ</w:t>
      </w:r>
    </w:p>
    <w:p w14:paraId="431599C2" w14:textId="77777777" w:rsidR="0024722D" w:rsidRPr="00E22C07" w:rsidRDefault="0024722D" w:rsidP="0024722D">
      <w:pPr>
        <w:pStyle w:val="Pagrindinistekstas"/>
        <w:spacing w:after="0"/>
        <w:rPr>
          <w:sz w:val="22"/>
          <w:szCs w:val="22"/>
        </w:rPr>
      </w:pPr>
    </w:p>
    <w:p w14:paraId="2EB87421" w14:textId="77777777" w:rsidR="0024722D" w:rsidRPr="00E22C07" w:rsidRDefault="0024722D" w:rsidP="0024722D">
      <w:pPr>
        <w:pStyle w:val="Pagrindinistekstas"/>
        <w:spacing w:after="0"/>
        <w:rPr>
          <w:sz w:val="22"/>
          <w:szCs w:val="22"/>
        </w:rPr>
      </w:pPr>
    </w:p>
    <w:p w14:paraId="754BE8DB"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w:t>
      </w:r>
      <w:r w:rsidRPr="00E22C07">
        <w:rPr>
          <w:szCs w:val="22"/>
        </w:rPr>
        <w:tab/>
        <w:t>VAISTINIO PREPARATO PAVADINIMAS</w:t>
      </w:r>
    </w:p>
    <w:p w14:paraId="7C3115B6" w14:textId="77777777" w:rsidR="0024722D" w:rsidRPr="00E22C07" w:rsidRDefault="0024722D" w:rsidP="0024722D">
      <w:pPr>
        <w:pStyle w:val="Pagrindinistekstas"/>
        <w:spacing w:after="0"/>
        <w:rPr>
          <w:sz w:val="22"/>
          <w:szCs w:val="22"/>
        </w:rPr>
      </w:pPr>
    </w:p>
    <w:p w14:paraId="021AE693" w14:textId="77777777" w:rsidR="0024722D" w:rsidRPr="00E22C07" w:rsidRDefault="0024722D" w:rsidP="0024722D">
      <w:pPr>
        <w:pStyle w:val="Pagrindinistekstas"/>
        <w:spacing w:after="0"/>
        <w:rPr>
          <w:sz w:val="22"/>
          <w:szCs w:val="22"/>
        </w:rPr>
      </w:pPr>
      <w:r w:rsidRPr="00E22C07">
        <w:rPr>
          <w:sz w:val="22"/>
          <w:szCs w:val="22"/>
        </w:rPr>
        <w:t>Tinidazol Polpharma 500 mg plėvele dengtos tabletės</w:t>
      </w:r>
    </w:p>
    <w:p w14:paraId="5D0C47D4" w14:textId="77777777" w:rsidR="0024722D" w:rsidRPr="00E22C07" w:rsidRDefault="0024722D" w:rsidP="0024722D">
      <w:pPr>
        <w:pStyle w:val="Pagrindinistekstas"/>
        <w:spacing w:after="0"/>
        <w:rPr>
          <w:sz w:val="22"/>
          <w:szCs w:val="22"/>
        </w:rPr>
      </w:pPr>
      <w:r w:rsidRPr="00E22C07">
        <w:rPr>
          <w:sz w:val="22"/>
          <w:szCs w:val="22"/>
        </w:rPr>
        <w:t>Tinidazolum</w:t>
      </w:r>
    </w:p>
    <w:p w14:paraId="3B2C7339" w14:textId="77777777" w:rsidR="0024722D" w:rsidRPr="00E22C07" w:rsidRDefault="0024722D" w:rsidP="0024722D">
      <w:pPr>
        <w:pStyle w:val="Pagrindinistekstas"/>
        <w:spacing w:after="0"/>
        <w:rPr>
          <w:sz w:val="22"/>
          <w:szCs w:val="22"/>
        </w:rPr>
      </w:pPr>
    </w:p>
    <w:p w14:paraId="334D2F12" w14:textId="77777777" w:rsidR="0024722D" w:rsidRPr="00E22C07" w:rsidRDefault="0024722D" w:rsidP="0024722D">
      <w:pPr>
        <w:pStyle w:val="Pagrindinistekstas"/>
        <w:spacing w:after="0"/>
        <w:rPr>
          <w:sz w:val="22"/>
          <w:szCs w:val="22"/>
        </w:rPr>
      </w:pPr>
    </w:p>
    <w:p w14:paraId="33138574"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2.</w:t>
      </w:r>
      <w:r w:rsidRPr="00E22C07">
        <w:rPr>
          <w:szCs w:val="22"/>
        </w:rPr>
        <w:tab/>
        <w:t xml:space="preserve">VEIKLIOJI MEDŽIAGA IR JOS KIEKIS </w:t>
      </w:r>
    </w:p>
    <w:p w14:paraId="0EF38AA9" w14:textId="77777777" w:rsidR="0024722D" w:rsidRPr="00E22C07" w:rsidRDefault="0024722D" w:rsidP="0024722D">
      <w:pPr>
        <w:pStyle w:val="Pagrindinistekstas"/>
        <w:spacing w:after="0"/>
        <w:rPr>
          <w:sz w:val="22"/>
          <w:szCs w:val="22"/>
        </w:rPr>
      </w:pPr>
    </w:p>
    <w:p w14:paraId="301B2EDE" w14:textId="77777777" w:rsidR="0024722D" w:rsidRPr="00E22C07" w:rsidRDefault="0024722D" w:rsidP="0024722D">
      <w:pPr>
        <w:pStyle w:val="Pagrindinistekstas"/>
        <w:spacing w:after="0"/>
        <w:rPr>
          <w:sz w:val="22"/>
          <w:szCs w:val="22"/>
        </w:rPr>
      </w:pPr>
      <w:r w:rsidRPr="00E22C07">
        <w:rPr>
          <w:sz w:val="22"/>
          <w:szCs w:val="22"/>
        </w:rPr>
        <w:t>Kiekvienoje plėvele dengtoje tabletėje yra 500 mg tinidazolo.</w:t>
      </w:r>
    </w:p>
    <w:p w14:paraId="1DE1BA57" w14:textId="77777777" w:rsidR="0024722D" w:rsidRPr="00E22C07" w:rsidRDefault="0024722D" w:rsidP="0024722D">
      <w:pPr>
        <w:pStyle w:val="Pagrindinistekstas"/>
        <w:spacing w:after="0"/>
        <w:rPr>
          <w:sz w:val="22"/>
          <w:szCs w:val="22"/>
        </w:rPr>
      </w:pPr>
    </w:p>
    <w:p w14:paraId="77B65E37" w14:textId="77777777" w:rsidR="0024722D" w:rsidRPr="00E22C07" w:rsidRDefault="0024722D" w:rsidP="0024722D">
      <w:pPr>
        <w:pStyle w:val="Pagrindinistekstas"/>
        <w:spacing w:after="0"/>
        <w:rPr>
          <w:sz w:val="22"/>
          <w:szCs w:val="22"/>
        </w:rPr>
      </w:pPr>
    </w:p>
    <w:p w14:paraId="2A49502E"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3.</w:t>
      </w:r>
      <w:r w:rsidRPr="00E22C07">
        <w:rPr>
          <w:szCs w:val="22"/>
        </w:rPr>
        <w:tab/>
        <w:t>PAGALBINIŲ MEDŽIAGŲ SĄRAŠAS</w:t>
      </w:r>
    </w:p>
    <w:p w14:paraId="5995B346" w14:textId="77777777" w:rsidR="0024722D" w:rsidRPr="00E22C07" w:rsidRDefault="0024722D" w:rsidP="0024722D">
      <w:pPr>
        <w:pStyle w:val="Pagrindinistekstas"/>
        <w:spacing w:after="0"/>
        <w:rPr>
          <w:sz w:val="22"/>
          <w:szCs w:val="22"/>
        </w:rPr>
      </w:pPr>
    </w:p>
    <w:p w14:paraId="5F0B77F8" w14:textId="77777777" w:rsidR="0024722D" w:rsidRPr="00E22C07" w:rsidRDefault="0024722D" w:rsidP="0024722D">
      <w:pPr>
        <w:pStyle w:val="Pagrindinistekstas"/>
        <w:spacing w:after="0"/>
        <w:rPr>
          <w:sz w:val="22"/>
          <w:szCs w:val="22"/>
        </w:rPr>
      </w:pPr>
    </w:p>
    <w:p w14:paraId="56064261"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4.</w:t>
      </w:r>
      <w:r w:rsidRPr="00E22C07">
        <w:rPr>
          <w:szCs w:val="22"/>
        </w:rPr>
        <w:tab/>
        <w:t>FARMACINĖ FORMA IR KIEKIS PAKUOTĖJE</w:t>
      </w:r>
    </w:p>
    <w:p w14:paraId="492D628C" w14:textId="77777777" w:rsidR="0024722D" w:rsidRPr="00E22C07" w:rsidRDefault="0024722D" w:rsidP="0024722D">
      <w:pPr>
        <w:pStyle w:val="Pagrindinistekstas"/>
        <w:spacing w:after="0"/>
        <w:rPr>
          <w:sz w:val="22"/>
          <w:szCs w:val="22"/>
        </w:rPr>
      </w:pPr>
    </w:p>
    <w:p w14:paraId="6D2A707F" w14:textId="77777777" w:rsidR="0024722D" w:rsidRPr="00E22C07" w:rsidRDefault="0024722D" w:rsidP="0024722D">
      <w:pPr>
        <w:pStyle w:val="Pagrindinistekstas"/>
        <w:spacing w:after="0"/>
        <w:rPr>
          <w:sz w:val="22"/>
          <w:szCs w:val="22"/>
        </w:rPr>
      </w:pPr>
      <w:r w:rsidRPr="00E22C07">
        <w:rPr>
          <w:sz w:val="22"/>
          <w:szCs w:val="22"/>
        </w:rPr>
        <w:t>4 plėvele dengtos tabletės</w:t>
      </w:r>
    </w:p>
    <w:p w14:paraId="102A9799" w14:textId="77777777" w:rsidR="0024722D" w:rsidRPr="00E22C07" w:rsidRDefault="0024722D" w:rsidP="0024722D">
      <w:pPr>
        <w:pStyle w:val="Pagrindinistekstas"/>
        <w:spacing w:after="0"/>
        <w:rPr>
          <w:sz w:val="22"/>
          <w:szCs w:val="22"/>
        </w:rPr>
      </w:pPr>
    </w:p>
    <w:p w14:paraId="4D068BF1" w14:textId="77777777" w:rsidR="0024722D" w:rsidRPr="00E22C07" w:rsidRDefault="0024722D" w:rsidP="0024722D">
      <w:pPr>
        <w:pStyle w:val="Pagrindinistekstas"/>
        <w:spacing w:after="0"/>
        <w:rPr>
          <w:sz w:val="22"/>
          <w:szCs w:val="22"/>
        </w:rPr>
      </w:pPr>
    </w:p>
    <w:p w14:paraId="0F3381B5"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5.</w:t>
      </w:r>
      <w:r w:rsidRPr="00E22C07">
        <w:rPr>
          <w:szCs w:val="22"/>
        </w:rPr>
        <w:tab/>
        <w:t>VARTOJIMO METODAS IR BŪDAS</w:t>
      </w:r>
    </w:p>
    <w:p w14:paraId="4603B879" w14:textId="77777777" w:rsidR="0024722D" w:rsidRPr="00E22C07" w:rsidRDefault="0024722D" w:rsidP="0024722D">
      <w:pPr>
        <w:pStyle w:val="Pagrindinistekstas"/>
        <w:spacing w:after="0"/>
        <w:rPr>
          <w:sz w:val="22"/>
          <w:szCs w:val="22"/>
        </w:rPr>
      </w:pPr>
    </w:p>
    <w:p w14:paraId="17C8CAE2" w14:textId="77777777" w:rsidR="0024722D" w:rsidRPr="00E22C07" w:rsidRDefault="0024722D" w:rsidP="0024722D">
      <w:pPr>
        <w:pStyle w:val="Pagrindinistekstas"/>
        <w:spacing w:after="0"/>
        <w:rPr>
          <w:color w:val="000000"/>
          <w:sz w:val="22"/>
          <w:szCs w:val="22"/>
        </w:rPr>
      </w:pPr>
      <w:r w:rsidRPr="00E22C07">
        <w:rPr>
          <w:color w:val="000000"/>
          <w:sz w:val="22"/>
          <w:szCs w:val="22"/>
        </w:rPr>
        <w:t>Vartoti per burną.</w:t>
      </w:r>
    </w:p>
    <w:p w14:paraId="0D1BFA2D" w14:textId="77777777" w:rsidR="0024722D" w:rsidRPr="00E22C07" w:rsidRDefault="0024722D" w:rsidP="0024722D">
      <w:pPr>
        <w:pStyle w:val="Pagrindinistekstas"/>
        <w:spacing w:after="0"/>
        <w:rPr>
          <w:sz w:val="22"/>
          <w:szCs w:val="22"/>
        </w:rPr>
      </w:pPr>
      <w:r w:rsidRPr="00E22C07">
        <w:rPr>
          <w:sz w:val="22"/>
          <w:szCs w:val="22"/>
        </w:rPr>
        <w:t>Prieš vartojimą perskaitykite pakuotės lapelį.</w:t>
      </w:r>
    </w:p>
    <w:p w14:paraId="05593B10" w14:textId="77777777" w:rsidR="0024722D" w:rsidRPr="00E22C07" w:rsidRDefault="0024722D" w:rsidP="0024722D">
      <w:pPr>
        <w:pStyle w:val="Pagrindinistekstas"/>
        <w:spacing w:after="0"/>
        <w:rPr>
          <w:sz w:val="22"/>
          <w:szCs w:val="22"/>
        </w:rPr>
      </w:pPr>
    </w:p>
    <w:p w14:paraId="4B3B7674" w14:textId="77777777" w:rsidR="0024722D" w:rsidRPr="00E22C07" w:rsidRDefault="0024722D" w:rsidP="0024722D">
      <w:pPr>
        <w:pStyle w:val="Pagrindinistekstas"/>
        <w:spacing w:after="0"/>
        <w:rPr>
          <w:sz w:val="22"/>
          <w:szCs w:val="22"/>
        </w:rPr>
      </w:pPr>
    </w:p>
    <w:p w14:paraId="433C2F56"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ind w:left="567" w:hanging="567"/>
        <w:rPr>
          <w:szCs w:val="22"/>
        </w:rPr>
      </w:pPr>
      <w:r w:rsidRPr="00E22C07">
        <w:rPr>
          <w:szCs w:val="22"/>
        </w:rPr>
        <w:t>6.</w:t>
      </w:r>
      <w:r w:rsidRPr="00E22C07">
        <w:rPr>
          <w:szCs w:val="22"/>
        </w:rPr>
        <w:tab/>
        <w:t>SPECIALUS ĮSPĖJIMAS, KAD VAISTINĮ PREPARATĄ BŪTINA LAIKYTI VAIKAMS NEPASTEBIMOJE IR NEPASIEKIAMOJE VIETOJE</w:t>
      </w:r>
    </w:p>
    <w:p w14:paraId="76F0BEFF" w14:textId="77777777" w:rsidR="0024722D" w:rsidRPr="00E22C07" w:rsidRDefault="0024722D" w:rsidP="0024722D">
      <w:pPr>
        <w:pStyle w:val="Pagrindinistekstas"/>
        <w:spacing w:after="0"/>
        <w:rPr>
          <w:sz w:val="22"/>
          <w:szCs w:val="22"/>
        </w:rPr>
      </w:pPr>
    </w:p>
    <w:p w14:paraId="0CDC24CA" w14:textId="77777777" w:rsidR="0024722D" w:rsidRPr="00E22C07" w:rsidRDefault="0024722D" w:rsidP="0024722D">
      <w:pPr>
        <w:pStyle w:val="Pagrindinistekstas"/>
        <w:spacing w:after="0"/>
        <w:rPr>
          <w:sz w:val="22"/>
          <w:szCs w:val="22"/>
        </w:rPr>
      </w:pPr>
      <w:r w:rsidRPr="00E22C07">
        <w:rPr>
          <w:sz w:val="22"/>
          <w:szCs w:val="22"/>
        </w:rPr>
        <w:t>Laikyti vaikams nepastebimoje ir nepasiekiamoje vietoje.</w:t>
      </w:r>
    </w:p>
    <w:p w14:paraId="747C1F70" w14:textId="77777777" w:rsidR="0024722D" w:rsidRPr="00E22C07" w:rsidRDefault="0024722D" w:rsidP="0024722D">
      <w:pPr>
        <w:pStyle w:val="Pagrindinistekstas"/>
        <w:spacing w:after="0"/>
        <w:rPr>
          <w:sz w:val="22"/>
          <w:szCs w:val="22"/>
        </w:rPr>
      </w:pPr>
    </w:p>
    <w:p w14:paraId="58CF0585" w14:textId="77777777" w:rsidR="0024722D" w:rsidRPr="00E22C07" w:rsidRDefault="0024722D" w:rsidP="0024722D">
      <w:pPr>
        <w:pStyle w:val="Pagrindinistekstas"/>
        <w:spacing w:after="0"/>
        <w:rPr>
          <w:sz w:val="22"/>
          <w:szCs w:val="22"/>
        </w:rPr>
      </w:pPr>
    </w:p>
    <w:p w14:paraId="1913A6A5"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7.</w:t>
      </w:r>
      <w:r w:rsidRPr="00E22C07">
        <w:rPr>
          <w:szCs w:val="22"/>
        </w:rPr>
        <w:tab/>
        <w:t>KITAS SPECIALUS ĮSPĖJIMAS (JEI REIKIA)</w:t>
      </w:r>
    </w:p>
    <w:p w14:paraId="21ECCDED" w14:textId="77777777" w:rsidR="0024722D" w:rsidRPr="00E22C07" w:rsidRDefault="0024722D" w:rsidP="0024722D">
      <w:pPr>
        <w:pStyle w:val="Pagrindinistekstas"/>
        <w:spacing w:after="0"/>
        <w:rPr>
          <w:sz w:val="22"/>
          <w:szCs w:val="22"/>
        </w:rPr>
      </w:pPr>
    </w:p>
    <w:p w14:paraId="14A4C99A" w14:textId="77777777" w:rsidR="0024722D" w:rsidRPr="00E22C07" w:rsidRDefault="0024722D" w:rsidP="0024722D">
      <w:pPr>
        <w:pStyle w:val="Pagrindinistekstas"/>
        <w:spacing w:after="0"/>
        <w:rPr>
          <w:sz w:val="22"/>
          <w:szCs w:val="22"/>
        </w:rPr>
      </w:pPr>
    </w:p>
    <w:p w14:paraId="10D6DDE2"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8.</w:t>
      </w:r>
      <w:r w:rsidRPr="00E22C07">
        <w:rPr>
          <w:szCs w:val="22"/>
        </w:rPr>
        <w:tab/>
        <w:t>TINKAMUMO LAIKAS</w:t>
      </w:r>
    </w:p>
    <w:p w14:paraId="1E0ADEC7" w14:textId="77777777" w:rsidR="0024722D" w:rsidRPr="00E22C07" w:rsidRDefault="0024722D" w:rsidP="0024722D">
      <w:pPr>
        <w:pStyle w:val="Pagrindinistekstas"/>
        <w:spacing w:after="0"/>
        <w:rPr>
          <w:sz w:val="22"/>
          <w:szCs w:val="22"/>
        </w:rPr>
      </w:pPr>
    </w:p>
    <w:p w14:paraId="22112A33" w14:textId="77777777" w:rsidR="0024722D" w:rsidRPr="00E22C07" w:rsidRDefault="0024722D" w:rsidP="0024722D">
      <w:pPr>
        <w:pStyle w:val="Pagrindinistekstas"/>
        <w:spacing w:after="0"/>
        <w:rPr>
          <w:sz w:val="22"/>
          <w:szCs w:val="22"/>
        </w:rPr>
      </w:pPr>
      <w:r>
        <w:rPr>
          <w:sz w:val="22"/>
          <w:szCs w:val="22"/>
          <w:lang w:val="pl-PL"/>
        </w:rPr>
        <w:t>EXP:</w:t>
      </w:r>
      <w:r w:rsidRPr="00E22C07">
        <w:rPr>
          <w:sz w:val="22"/>
          <w:szCs w:val="22"/>
        </w:rPr>
        <w:t xml:space="preserve"> </w:t>
      </w:r>
      <w:r w:rsidRPr="00E22C07">
        <w:rPr>
          <w:rFonts w:eastAsia="Calibri"/>
          <w:sz w:val="22"/>
          <w:szCs w:val="22"/>
          <w:lang w:val="lt-LT"/>
        </w:rPr>
        <w:t>{mm/MMMM}</w:t>
      </w:r>
    </w:p>
    <w:p w14:paraId="078C98F5" w14:textId="77777777" w:rsidR="0024722D" w:rsidRPr="00E22C07" w:rsidRDefault="0024722D" w:rsidP="0024722D">
      <w:pPr>
        <w:pStyle w:val="Pagrindinistekstas"/>
        <w:spacing w:after="0"/>
        <w:rPr>
          <w:sz w:val="22"/>
          <w:szCs w:val="22"/>
        </w:rPr>
      </w:pPr>
    </w:p>
    <w:p w14:paraId="37D4ABD9" w14:textId="77777777" w:rsidR="0024722D" w:rsidRPr="00E22C07" w:rsidRDefault="0024722D" w:rsidP="0024722D">
      <w:pPr>
        <w:pStyle w:val="Pagrindinistekstas"/>
        <w:spacing w:after="0"/>
        <w:rPr>
          <w:sz w:val="22"/>
          <w:szCs w:val="22"/>
        </w:rPr>
      </w:pPr>
    </w:p>
    <w:p w14:paraId="74D16A30"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9.</w:t>
      </w:r>
      <w:r w:rsidRPr="00E22C07">
        <w:rPr>
          <w:szCs w:val="22"/>
        </w:rPr>
        <w:tab/>
        <w:t>SPECIALIOS LAIKYMO SĄLYGOS</w:t>
      </w:r>
    </w:p>
    <w:p w14:paraId="20E3A2C8" w14:textId="77777777" w:rsidR="0024722D" w:rsidRPr="00E22C07" w:rsidRDefault="0024722D" w:rsidP="0024722D">
      <w:pPr>
        <w:pStyle w:val="Pagrindinistekstas"/>
        <w:spacing w:after="0"/>
        <w:rPr>
          <w:sz w:val="22"/>
          <w:szCs w:val="22"/>
        </w:rPr>
      </w:pPr>
    </w:p>
    <w:p w14:paraId="57E8A97F" w14:textId="77777777" w:rsidR="0024722D" w:rsidRPr="00E22C07" w:rsidRDefault="0024722D" w:rsidP="0024722D">
      <w:pPr>
        <w:pStyle w:val="Pagrindinistekstas"/>
        <w:spacing w:after="0"/>
        <w:rPr>
          <w:sz w:val="22"/>
          <w:szCs w:val="22"/>
        </w:rPr>
      </w:pPr>
      <w:r w:rsidRPr="00E22C07">
        <w:rPr>
          <w:sz w:val="22"/>
          <w:szCs w:val="22"/>
        </w:rPr>
        <w:t xml:space="preserve">Laikyti ne aukštesnėje kaip 25 </w:t>
      </w:r>
      <w:r w:rsidRPr="00E22C07">
        <w:rPr>
          <w:sz w:val="22"/>
          <w:szCs w:val="22"/>
        </w:rPr>
        <w:sym w:font="Symbol" w:char="F0B0"/>
      </w:r>
      <w:r w:rsidRPr="00E22C07">
        <w:rPr>
          <w:sz w:val="22"/>
          <w:szCs w:val="22"/>
        </w:rPr>
        <w:t>C temperatūroje.</w:t>
      </w:r>
    </w:p>
    <w:p w14:paraId="13BB5AFC" w14:textId="77777777" w:rsidR="0024722D" w:rsidRPr="00E22C07" w:rsidRDefault="0024722D" w:rsidP="0024722D">
      <w:pPr>
        <w:pStyle w:val="Pagrindinistekstas"/>
        <w:spacing w:after="0"/>
        <w:rPr>
          <w:sz w:val="22"/>
          <w:szCs w:val="22"/>
        </w:rPr>
      </w:pPr>
      <w:r w:rsidRPr="00E22C07">
        <w:rPr>
          <w:sz w:val="22"/>
          <w:szCs w:val="22"/>
        </w:rPr>
        <w:t xml:space="preserve">Lizdinę plokštelę laikyti išorinėje dėžutėje, kad </w:t>
      </w:r>
      <w:r>
        <w:rPr>
          <w:sz w:val="22"/>
          <w:szCs w:val="22"/>
          <w:lang w:val="lt-LT"/>
        </w:rPr>
        <w:t>vaistas</w:t>
      </w:r>
      <w:r w:rsidRPr="00E22C07">
        <w:rPr>
          <w:sz w:val="22"/>
          <w:szCs w:val="22"/>
        </w:rPr>
        <w:t xml:space="preserve"> būtų apsaugotas nuo šviesos ir drėgmės. </w:t>
      </w:r>
    </w:p>
    <w:p w14:paraId="159E33F7" w14:textId="77777777" w:rsidR="0024722D" w:rsidRPr="00E22C07" w:rsidRDefault="0024722D" w:rsidP="0024722D">
      <w:pPr>
        <w:pStyle w:val="Pagrindinistekstas"/>
        <w:spacing w:after="0"/>
        <w:rPr>
          <w:sz w:val="22"/>
          <w:szCs w:val="22"/>
        </w:rPr>
      </w:pPr>
    </w:p>
    <w:p w14:paraId="713C49F8" w14:textId="77777777" w:rsidR="0024722D" w:rsidRPr="00E22C07" w:rsidRDefault="0024722D" w:rsidP="0024722D">
      <w:pPr>
        <w:pStyle w:val="Pagrindinistekstas"/>
        <w:spacing w:after="0"/>
        <w:rPr>
          <w:sz w:val="22"/>
          <w:szCs w:val="22"/>
        </w:rPr>
      </w:pPr>
    </w:p>
    <w:p w14:paraId="30EE949F"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ind w:left="567" w:hanging="567"/>
        <w:rPr>
          <w:szCs w:val="22"/>
        </w:rPr>
      </w:pPr>
      <w:r w:rsidRPr="00E22C07">
        <w:rPr>
          <w:szCs w:val="22"/>
        </w:rPr>
        <w:t>10.</w:t>
      </w:r>
      <w:r w:rsidRPr="00E22C07">
        <w:rPr>
          <w:szCs w:val="22"/>
        </w:rPr>
        <w:tab/>
        <w:t>SPECIALIOS ATSARGUMO PRIEMONĖS DĖL NESUVARTOTO VAISTINIO PREPARATO AR JO ATLIEKŲ TVARKYMO (JEI REIKIA)</w:t>
      </w:r>
    </w:p>
    <w:p w14:paraId="4BC87665" w14:textId="77777777" w:rsidR="0024722D" w:rsidRPr="00E22C07" w:rsidRDefault="0024722D" w:rsidP="0024722D">
      <w:pPr>
        <w:pStyle w:val="Pagrindinistekstas"/>
        <w:spacing w:after="0"/>
        <w:rPr>
          <w:sz w:val="22"/>
          <w:szCs w:val="22"/>
        </w:rPr>
      </w:pPr>
    </w:p>
    <w:p w14:paraId="6472EA57" w14:textId="77777777" w:rsidR="0024722D" w:rsidRPr="00E22C07" w:rsidRDefault="0024722D" w:rsidP="0024722D">
      <w:pPr>
        <w:pStyle w:val="Pagrindinistekstas"/>
        <w:spacing w:after="0"/>
        <w:rPr>
          <w:sz w:val="22"/>
          <w:szCs w:val="22"/>
        </w:rPr>
      </w:pPr>
    </w:p>
    <w:p w14:paraId="2794E9CB"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lastRenderedPageBreak/>
        <w:t>11.</w:t>
      </w:r>
      <w:r w:rsidRPr="00E22C07">
        <w:rPr>
          <w:szCs w:val="22"/>
        </w:rPr>
        <w:tab/>
        <w:t>REGISTRUOTOJO PAVADINIMAS IR ADRESAS</w:t>
      </w:r>
    </w:p>
    <w:p w14:paraId="16D9D096" w14:textId="77777777" w:rsidR="0024722D" w:rsidRPr="00E22C07" w:rsidRDefault="0024722D" w:rsidP="0024722D">
      <w:pPr>
        <w:pStyle w:val="Pagrindinistekstas"/>
        <w:spacing w:after="0"/>
        <w:rPr>
          <w:sz w:val="22"/>
          <w:szCs w:val="22"/>
        </w:rPr>
      </w:pPr>
    </w:p>
    <w:p w14:paraId="3D23DB0A" w14:textId="77777777" w:rsidR="0024722D" w:rsidRPr="00E22C07" w:rsidRDefault="0024722D" w:rsidP="0024722D">
      <w:pPr>
        <w:rPr>
          <w:lang w:val="en-US"/>
        </w:rPr>
      </w:pPr>
      <w:r w:rsidRPr="00E22C07">
        <w:rPr>
          <w:lang w:val="en-US"/>
        </w:rPr>
        <w:t>Pharmaceutical Works POLPHARMA SA</w:t>
      </w:r>
    </w:p>
    <w:p w14:paraId="2396F297" w14:textId="77777777" w:rsidR="0024722D" w:rsidRPr="00E22C07" w:rsidRDefault="0024722D" w:rsidP="0024722D">
      <w:r w:rsidRPr="00E22C07">
        <w:t>ul. Pelplińska 19, 83-200 Starogard Gdański</w:t>
      </w:r>
    </w:p>
    <w:p w14:paraId="70E54A2B" w14:textId="77777777" w:rsidR="0024722D" w:rsidRPr="00E22C07" w:rsidRDefault="0024722D" w:rsidP="0024722D">
      <w:r w:rsidRPr="00E22C07">
        <w:t>Lenkija</w:t>
      </w:r>
    </w:p>
    <w:p w14:paraId="275B401E" w14:textId="77777777" w:rsidR="0024722D" w:rsidRPr="00E22C07" w:rsidRDefault="0024722D" w:rsidP="0024722D"/>
    <w:p w14:paraId="72B79956" w14:textId="77777777" w:rsidR="0024722D" w:rsidRPr="00E22C07" w:rsidRDefault="0024722D" w:rsidP="0024722D"/>
    <w:p w14:paraId="08825B4D"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12.</w:t>
      </w:r>
      <w:r w:rsidRPr="00E22C07">
        <w:rPr>
          <w:szCs w:val="22"/>
        </w:rPr>
        <w:tab/>
        <w:t>REGISTRACIJOS PAŽYMĖJIMO NUMERIS</w:t>
      </w:r>
    </w:p>
    <w:p w14:paraId="0BF5518C" w14:textId="77777777" w:rsidR="0024722D" w:rsidRPr="00E22C07" w:rsidRDefault="0024722D" w:rsidP="0024722D">
      <w:pPr>
        <w:pStyle w:val="Pagrindinistekstas"/>
        <w:spacing w:after="0"/>
        <w:rPr>
          <w:sz w:val="22"/>
          <w:szCs w:val="22"/>
        </w:rPr>
      </w:pPr>
    </w:p>
    <w:p w14:paraId="5D4620A7" w14:textId="77777777" w:rsidR="0024722D" w:rsidRPr="00E22C07" w:rsidRDefault="0024722D" w:rsidP="0024722D">
      <w:pPr>
        <w:pStyle w:val="Pagrindinistekstas"/>
        <w:spacing w:after="0"/>
        <w:rPr>
          <w:sz w:val="22"/>
          <w:szCs w:val="22"/>
        </w:rPr>
      </w:pPr>
      <w:r w:rsidRPr="00E22C07">
        <w:rPr>
          <w:sz w:val="22"/>
          <w:szCs w:val="22"/>
        </w:rPr>
        <w:t>LT/1/94/1098/001</w:t>
      </w:r>
    </w:p>
    <w:p w14:paraId="665F9ABB" w14:textId="77777777" w:rsidR="0024722D" w:rsidRPr="00E22C07" w:rsidRDefault="0024722D" w:rsidP="0024722D">
      <w:pPr>
        <w:pStyle w:val="Pagrindinistekstas"/>
        <w:spacing w:after="0"/>
        <w:rPr>
          <w:sz w:val="22"/>
          <w:szCs w:val="22"/>
        </w:rPr>
      </w:pPr>
    </w:p>
    <w:p w14:paraId="7CBFDFA2" w14:textId="77777777" w:rsidR="0024722D" w:rsidRPr="00E22C07" w:rsidRDefault="0024722D" w:rsidP="0024722D">
      <w:pPr>
        <w:pStyle w:val="Pagrindinistekstas"/>
        <w:spacing w:after="0"/>
        <w:rPr>
          <w:sz w:val="22"/>
          <w:szCs w:val="22"/>
        </w:rPr>
      </w:pPr>
    </w:p>
    <w:p w14:paraId="67F332AD"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13.</w:t>
      </w:r>
      <w:r w:rsidRPr="00E22C07">
        <w:rPr>
          <w:szCs w:val="22"/>
        </w:rPr>
        <w:tab/>
        <w:t xml:space="preserve"> SERIJOS NUMERIS</w:t>
      </w:r>
    </w:p>
    <w:p w14:paraId="77EBF52E" w14:textId="77777777" w:rsidR="0024722D" w:rsidRPr="00E22C07" w:rsidRDefault="0024722D" w:rsidP="0024722D">
      <w:pPr>
        <w:pStyle w:val="Pagrindinistekstas"/>
        <w:spacing w:after="0"/>
        <w:rPr>
          <w:sz w:val="22"/>
          <w:szCs w:val="22"/>
        </w:rPr>
      </w:pPr>
    </w:p>
    <w:p w14:paraId="3229D9DA" w14:textId="77777777" w:rsidR="0024722D" w:rsidRPr="00E22C07" w:rsidRDefault="0024722D" w:rsidP="0024722D">
      <w:pPr>
        <w:pStyle w:val="Pagrindinistekstas"/>
        <w:spacing w:after="0"/>
        <w:rPr>
          <w:sz w:val="22"/>
          <w:szCs w:val="22"/>
        </w:rPr>
      </w:pPr>
      <w:r w:rsidRPr="00747960">
        <w:rPr>
          <w:sz w:val="22"/>
          <w:szCs w:val="22"/>
          <w:lang w:val="pl-PL"/>
        </w:rPr>
        <w:t>Lot:</w:t>
      </w:r>
      <w:r w:rsidRPr="00E22C07">
        <w:rPr>
          <w:sz w:val="22"/>
          <w:szCs w:val="22"/>
        </w:rPr>
        <w:t xml:space="preserve"> {numeris}</w:t>
      </w:r>
    </w:p>
    <w:p w14:paraId="0A9748A8" w14:textId="77777777" w:rsidR="0024722D" w:rsidRPr="00E22C07" w:rsidRDefault="0024722D" w:rsidP="0024722D">
      <w:pPr>
        <w:pStyle w:val="Pagrindinistekstas"/>
        <w:spacing w:after="0"/>
        <w:rPr>
          <w:sz w:val="22"/>
          <w:szCs w:val="22"/>
        </w:rPr>
      </w:pPr>
    </w:p>
    <w:p w14:paraId="68CAFAF1" w14:textId="77777777" w:rsidR="0024722D" w:rsidRPr="00E22C07" w:rsidRDefault="0024722D" w:rsidP="0024722D">
      <w:pPr>
        <w:pStyle w:val="Pagrindinistekstas"/>
        <w:spacing w:after="0"/>
        <w:rPr>
          <w:sz w:val="22"/>
          <w:szCs w:val="22"/>
        </w:rPr>
      </w:pPr>
    </w:p>
    <w:p w14:paraId="4E09EC4E"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14.</w:t>
      </w:r>
      <w:r w:rsidRPr="00E22C07">
        <w:rPr>
          <w:szCs w:val="22"/>
        </w:rPr>
        <w:tab/>
        <w:t>PARDAVIMO (IŠDAVIMO) TVARKA</w:t>
      </w:r>
    </w:p>
    <w:p w14:paraId="6DBB56BB" w14:textId="77777777" w:rsidR="0024722D" w:rsidRPr="00E22C07" w:rsidRDefault="0024722D" w:rsidP="0024722D">
      <w:pPr>
        <w:pStyle w:val="Pagrindinistekstas"/>
        <w:spacing w:after="0"/>
        <w:rPr>
          <w:sz w:val="22"/>
          <w:szCs w:val="22"/>
        </w:rPr>
      </w:pPr>
    </w:p>
    <w:p w14:paraId="46FB4170" w14:textId="77777777" w:rsidR="0024722D" w:rsidRPr="00E22C07" w:rsidRDefault="0024722D" w:rsidP="0024722D">
      <w:pPr>
        <w:pStyle w:val="Pagrindinistekstas"/>
        <w:spacing w:after="0"/>
        <w:rPr>
          <w:sz w:val="22"/>
          <w:szCs w:val="22"/>
        </w:rPr>
      </w:pPr>
      <w:r w:rsidRPr="00E22C07">
        <w:rPr>
          <w:sz w:val="22"/>
          <w:szCs w:val="22"/>
        </w:rPr>
        <w:t>Receptinis vaist</w:t>
      </w:r>
      <w:r>
        <w:rPr>
          <w:sz w:val="22"/>
          <w:szCs w:val="22"/>
          <w:lang w:val="lt-LT"/>
        </w:rPr>
        <w:t>as</w:t>
      </w:r>
      <w:r w:rsidRPr="00E22C07">
        <w:rPr>
          <w:sz w:val="22"/>
          <w:szCs w:val="22"/>
        </w:rPr>
        <w:t>.</w:t>
      </w:r>
    </w:p>
    <w:p w14:paraId="300A491E" w14:textId="77777777" w:rsidR="0024722D" w:rsidRPr="00E22C07" w:rsidRDefault="0024722D" w:rsidP="0024722D">
      <w:pPr>
        <w:pStyle w:val="Pagrindinistekstas"/>
        <w:spacing w:after="0"/>
        <w:rPr>
          <w:sz w:val="22"/>
          <w:szCs w:val="22"/>
        </w:rPr>
      </w:pPr>
    </w:p>
    <w:p w14:paraId="15A3DF2A" w14:textId="77777777" w:rsidR="0024722D" w:rsidRPr="00E22C07" w:rsidRDefault="0024722D" w:rsidP="0024722D">
      <w:pPr>
        <w:pStyle w:val="Pagrindinistekstas"/>
        <w:spacing w:after="0"/>
        <w:rPr>
          <w:sz w:val="22"/>
          <w:szCs w:val="22"/>
        </w:rPr>
      </w:pPr>
    </w:p>
    <w:p w14:paraId="4AB50AE0"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15.</w:t>
      </w:r>
      <w:r w:rsidRPr="00E22C07">
        <w:rPr>
          <w:szCs w:val="22"/>
        </w:rPr>
        <w:tab/>
        <w:t>VARTOJIMO INSTRUKCIJA</w:t>
      </w:r>
    </w:p>
    <w:p w14:paraId="1E6F0B31" w14:textId="77777777" w:rsidR="0024722D" w:rsidRPr="00E22C07" w:rsidRDefault="0024722D" w:rsidP="0024722D">
      <w:pPr>
        <w:pStyle w:val="Pagrindinistekstas"/>
        <w:spacing w:after="0"/>
        <w:rPr>
          <w:sz w:val="22"/>
          <w:szCs w:val="22"/>
        </w:rPr>
      </w:pPr>
    </w:p>
    <w:p w14:paraId="250D2C25" w14:textId="77777777" w:rsidR="0024722D" w:rsidRPr="00E22C07" w:rsidRDefault="0024722D" w:rsidP="0024722D">
      <w:pPr>
        <w:pStyle w:val="Pagrindinistekstas"/>
        <w:spacing w:after="0"/>
        <w:rPr>
          <w:sz w:val="22"/>
          <w:szCs w:val="22"/>
        </w:rPr>
      </w:pPr>
    </w:p>
    <w:p w14:paraId="05635D03" w14:textId="77777777" w:rsidR="0024722D" w:rsidRPr="00E22C07" w:rsidRDefault="0024722D" w:rsidP="0024722D">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E22C07">
        <w:rPr>
          <w:b/>
          <w:sz w:val="22"/>
          <w:szCs w:val="22"/>
        </w:rPr>
        <w:t>16.</w:t>
      </w:r>
      <w:r w:rsidRPr="00E22C07">
        <w:rPr>
          <w:b/>
          <w:sz w:val="22"/>
          <w:szCs w:val="22"/>
        </w:rPr>
        <w:tab/>
        <w:t>INFORMACIJA BRAILIO RAŠTU</w:t>
      </w:r>
    </w:p>
    <w:p w14:paraId="4FF40033" w14:textId="77777777" w:rsidR="0024722D" w:rsidRPr="00E22C07" w:rsidRDefault="0024722D" w:rsidP="0024722D">
      <w:pPr>
        <w:pStyle w:val="Antrat2"/>
        <w:keepNext w:val="0"/>
        <w:rPr>
          <w:szCs w:val="22"/>
        </w:rPr>
      </w:pPr>
    </w:p>
    <w:p w14:paraId="5EB882A3" w14:textId="77777777" w:rsidR="0024722D" w:rsidRDefault="0024722D" w:rsidP="0024722D">
      <w:pPr>
        <w:pStyle w:val="Antrat2"/>
        <w:keepNext w:val="0"/>
        <w:rPr>
          <w:b w:val="0"/>
          <w:szCs w:val="22"/>
        </w:rPr>
      </w:pPr>
      <w:r w:rsidRPr="00E22C07">
        <w:rPr>
          <w:b w:val="0"/>
          <w:szCs w:val="22"/>
        </w:rPr>
        <w:t xml:space="preserve">Tinidazol Polpharma </w:t>
      </w:r>
    </w:p>
    <w:p w14:paraId="67788672" w14:textId="77777777" w:rsidR="0024722D" w:rsidRDefault="0024722D" w:rsidP="0024722D">
      <w:pPr>
        <w:pStyle w:val="Antrat2"/>
        <w:keepNext w:val="0"/>
        <w:rPr>
          <w:b w:val="0"/>
          <w:szCs w:val="22"/>
        </w:rPr>
      </w:pPr>
    </w:p>
    <w:p w14:paraId="15CABE73" w14:textId="77777777" w:rsidR="0024722D" w:rsidRPr="00843C31" w:rsidRDefault="0024722D" w:rsidP="0024722D">
      <w:pPr>
        <w:contextualSpacing/>
        <w:rPr>
          <w:noProof/>
          <w:shd w:val="clear" w:color="auto" w:fill="CCCCCC"/>
        </w:rPr>
      </w:pPr>
    </w:p>
    <w:p w14:paraId="1DF8FEFF" w14:textId="77777777" w:rsidR="0024722D" w:rsidRPr="00843C31" w:rsidRDefault="0024722D" w:rsidP="0024722D">
      <w:pPr>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17.</w:t>
      </w:r>
      <w:r w:rsidRPr="00843C31">
        <w:rPr>
          <w:b/>
          <w:noProof/>
        </w:rPr>
        <w:tab/>
        <w:t>UNIKALUS IDENTIFIKATORIUS – 2D BRŪKŠNINIS KODAS</w:t>
      </w:r>
    </w:p>
    <w:p w14:paraId="745B3F78" w14:textId="77777777" w:rsidR="0024722D" w:rsidRPr="00843C31" w:rsidRDefault="0024722D" w:rsidP="0024722D">
      <w:pPr>
        <w:contextualSpacing/>
        <w:rPr>
          <w:noProof/>
        </w:rPr>
      </w:pPr>
    </w:p>
    <w:p w14:paraId="6B9EDFB1" w14:textId="77777777" w:rsidR="0024722D" w:rsidRPr="00843C31" w:rsidRDefault="0024722D" w:rsidP="0024722D">
      <w:pPr>
        <w:contextualSpacing/>
        <w:rPr>
          <w:noProof/>
          <w:shd w:val="clear" w:color="auto" w:fill="CCCCCC"/>
        </w:rPr>
      </w:pPr>
      <w:r w:rsidRPr="00843C31">
        <w:rPr>
          <w:highlight w:val="lightGray"/>
        </w:rPr>
        <w:t>2D brūkšninis kodas su nurodytu unikaliu identifikatoriumi.</w:t>
      </w:r>
    </w:p>
    <w:p w14:paraId="48F8884E" w14:textId="77777777" w:rsidR="0024722D" w:rsidRPr="00843C31" w:rsidRDefault="0024722D" w:rsidP="0024722D">
      <w:pPr>
        <w:contextualSpacing/>
        <w:rPr>
          <w:noProof/>
        </w:rPr>
      </w:pPr>
    </w:p>
    <w:p w14:paraId="0191EDAF" w14:textId="77777777" w:rsidR="0024722D" w:rsidRPr="00843C31" w:rsidRDefault="0024722D" w:rsidP="0024722D">
      <w:pPr>
        <w:contextualSpacing/>
        <w:rPr>
          <w:noProof/>
        </w:rPr>
      </w:pPr>
    </w:p>
    <w:p w14:paraId="565801C7" w14:textId="77777777" w:rsidR="0024722D" w:rsidRPr="00843C31" w:rsidRDefault="0024722D" w:rsidP="0024722D">
      <w:pPr>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18.</w:t>
      </w:r>
      <w:r w:rsidRPr="00843C31">
        <w:rPr>
          <w:b/>
          <w:noProof/>
        </w:rPr>
        <w:tab/>
        <w:t>UNIKALUS IDENTIFIKATORIUS – ŽMONĖMS SUPRANTAMI DUOMENYS</w:t>
      </w:r>
    </w:p>
    <w:p w14:paraId="094919C5" w14:textId="77777777" w:rsidR="0024722D" w:rsidRPr="00843C31" w:rsidRDefault="0024722D" w:rsidP="0024722D">
      <w:pPr>
        <w:contextualSpacing/>
        <w:rPr>
          <w:noProof/>
        </w:rPr>
      </w:pPr>
    </w:p>
    <w:p w14:paraId="546E5DC7" w14:textId="77777777" w:rsidR="0024722D" w:rsidRPr="00843C31" w:rsidRDefault="0024722D" w:rsidP="0024722D">
      <w:pPr>
        <w:contextualSpacing/>
      </w:pPr>
      <w:r>
        <w:t xml:space="preserve">PC: </w:t>
      </w:r>
    </w:p>
    <w:p w14:paraId="29107283" w14:textId="77777777" w:rsidR="0024722D" w:rsidRPr="00843C31" w:rsidRDefault="0024722D" w:rsidP="0024722D">
      <w:pPr>
        <w:contextualSpacing/>
      </w:pPr>
      <w:r>
        <w:t xml:space="preserve">SN: </w:t>
      </w:r>
    </w:p>
    <w:p w14:paraId="7705CF8C" w14:textId="77777777" w:rsidR="0024722D" w:rsidRDefault="0024722D" w:rsidP="0024722D">
      <w:pPr>
        <w:contextualSpacing/>
      </w:pPr>
      <w:r>
        <w:rPr>
          <w:highlight w:val="lightGray"/>
        </w:rPr>
        <w:t xml:space="preserve">NN: </w:t>
      </w:r>
    </w:p>
    <w:p w14:paraId="34F82466" w14:textId="77777777" w:rsidR="0024722D" w:rsidRDefault="0024722D" w:rsidP="0024722D">
      <w:pPr>
        <w:contextualSpacing/>
      </w:pPr>
    </w:p>
    <w:p w14:paraId="2E991E52" w14:textId="77777777" w:rsidR="0024722D" w:rsidRDefault="0024722D" w:rsidP="0024722D">
      <w:pPr>
        <w:pStyle w:val="Antrat2"/>
        <w:keepNext w:val="0"/>
        <w:rPr>
          <w:b w:val="0"/>
          <w:szCs w:val="22"/>
        </w:rPr>
      </w:pPr>
    </w:p>
    <w:p w14:paraId="432CEB48" w14:textId="77777777" w:rsidR="0024722D" w:rsidRPr="00E22C07" w:rsidRDefault="0024722D" w:rsidP="0024722D">
      <w:pPr>
        <w:pStyle w:val="Antrat2"/>
        <w:pBdr>
          <w:top w:val="single" w:sz="4" w:space="1" w:color="auto"/>
          <w:left w:val="single" w:sz="4" w:space="4" w:color="auto"/>
          <w:bottom w:val="single" w:sz="4" w:space="1" w:color="auto"/>
          <w:right w:val="single" w:sz="4" w:space="4" w:color="auto"/>
        </w:pBdr>
        <w:rPr>
          <w:szCs w:val="22"/>
        </w:rPr>
      </w:pPr>
      <w:r w:rsidRPr="00E22C07">
        <w:rPr>
          <w:b w:val="0"/>
          <w:szCs w:val="22"/>
        </w:rPr>
        <w:br w:type="page"/>
      </w:r>
      <w:r w:rsidRPr="00E22C07">
        <w:rPr>
          <w:szCs w:val="22"/>
        </w:rPr>
        <w:lastRenderedPageBreak/>
        <w:t>MINIMALI INFORMACIJA ANT LIZDINIŲ PLOKŠTELIŲ ARBA DVISLUOKSNIŲ JUOSTELIŲ</w:t>
      </w:r>
    </w:p>
    <w:p w14:paraId="2D4B0B8A" w14:textId="77777777" w:rsidR="0024722D" w:rsidRPr="00E22C07" w:rsidRDefault="0024722D" w:rsidP="0024722D">
      <w:pPr>
        <w:pBdr>
          <w:top w:val="single" w:sz="4" w:space="1" w:color="auto"/>
          <w:left w:val="single" w:sz="4" w:space="4" w:color="auto"/>
          <w:bottom w:val="single" w:sz="4" w:space="1" w:color="auto"/>
          <w:right w:val="single" w:sz="4" w:space="4" w:color="auto"/>
        </w:pBdr>
      </w:pPr>
    </w:p>
    <w:p w14:paraId="33067391" w14:textId="77777777" w:rsidR="0024722D" w:rsidRPr="00E22C07" w:rsidRDefault="0024722D" w:rsidP="0024722D">
      <w:pPr>
        <w:pBdr>
          <w:top w:val="single" w:sz="4" w:space="1" w:color="auto"/>
          <w:left w:val="single" w:sz="4" w:space="4" w:color="auto"/>
          <w:bottom w:val="single" w:sz="4" w:space="1" w:color="auto"/>
          <w:right w:val="single" w:sz="4" w:space="4" w:color="auto"/>
        </w:pBdr>
        <w:rPr>
          <w:b/>
        </w:rPr>
      </w:pPr>
      <w:r w:rsidRPr="00E22C07">
        <w:rPr>
          <w:b/>
        </w:rPr>
        <w:t>LIZDINĖ PLOKŠTELĖ</w:t>
      </w:r>
    </w:p>
    <w:p w14:paraId="198C51A0" w14:textId="77777777" w:rsidR="0024722D" w:rsidRPr="00E22C07" w:rsidRDefault="0024722D" w:rsidP="0024722D">
      <w:pPr>
        <w:pStyle w:val="Pagrindinistekstas"/>
        <w:spacing w:after="0"/>
        <w:rPr>
          <w:sz w:val="22"/>
          <w:szCs w:val="22"/>
        </w:rPr>
      </w:pPr>
    </w:p>
    <w:p w14:paraId="372439B2" w14:textId="77777777" w:rsidR="0024722D" w:rsidRPr="00E22C07" w:rsidRDefault="0024722D" w:rsidP="0024722D">
      <w:pPr>
        <w:pStyle w:val="Pagrindinistekstas"/>
        <w:spacing w:after="0"/>
        <w:rPr>
          <w:sz w:val="22"/>
          <w:szCs w:val="22"/>
        </w:rPr>
      </w:pPr>
    </w:p>
    <w:p w14:paraId="03C641F3"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1.</w:t>
      </w:r>
      <w:r w:rsidRPr="00E22C07">
        <w:rPr>
          <w:szCs w:val="22"/>
        </w:rPr>
        <w:tab/>
        <w:t>VAISTINIO PREPARATO PAVADINIMAS</w:t>
      </w:r>
    </w:p>
    <w:p w14:paraId="67DCCA69" w14:textId="77777777" w:rsidR="0024722D" w:rsidRPr="00E22C07" w:rsidRDefault="0024722D" w:rsidP="0024722D">
      <w:pPr>
        <w:pStyle w:val="Pagrindinistekstas"/>
        <w:spacing w:after="0"/>
        <w:rPr>
          <w:sz w:val="22"/>
          <w:szCs w:val="22"/>
        </w:rPr>
      </w:pPr>
    </w:p>
    <w:p w14:paraId="1C4E14C2" w14:textId="77777777" w:rsidR="0024722D" w:rsidRPr="00E22C07" w:rsidRDefault="0024722D" w:rsidP="0024722D">
      <w:pPr>
        <w:pStyle w:val="Pagrindinistekstas"/>
        <w:spacing w:after="0"/>
        <w:rPr>
          <w:sz w:val="22"/>
          <w:szCs w:val="22"/>
        </w:rPr>
      </w:pPr>
      <w:r w:rsidRPr="00E22C07">
        <w:rPr>
          <w:sz w:val="22"/>
          <w:szCs w:val="22"/>
        </w:rPr>
        <w:t>Tinidazol Polpharma 500 mg tabletės</w:t>
      </w:r>
    </w:p>
    <w:p w14:paraId="7A7F1E8E" w14:textId="77777777" w:rsidR="0024722D" w:rsidRPr="00E22C07" w:rsidRDefault="0024722D" w:rsidP="0024722D">
      <w:pPr>
        <w:pStyle w:val="Pagrindinistekstas"/>
        <w:spacing w:after="0"/>
        <w:rPr>
          <w:sz w:val="22"/>
          <w:szCs w:val="22"/>
        </w:rPr>
      </w:pPr>
      <w:r w:rsidRPr="00E22C07">
        <w:rPr>
          <w:sz w:val="22"/>
          <w:szCs w:val="22"/>
        </w:rPr>
        <w:t>Tinidazolum</w:t>
      </w:r>
    </w:p>
    <w:p w14:paraId="79C423BF" w14:textId="77777777" w:rsidR="0024722D" w:rsidRPr="00E22C07" w:rsidRDefault="0024722D" w:rsidP="0024722D">
      <w:pPr>
        <w:pStyle w:val="Pagrindinistekstas"/>
        <w:spacing w:after="0"/>
        <w:rPr>
          <w:sz w:val="22"/>
          <w:szCs w:val="22"/>
        </w:rPr>
      </w:pPr>
    </w:p>
    <w:p w14:paraId="749C4175" w14:textId="77777777" w:rsidR="0024722D" w:rsidRPr="00E22C07" w:rsidRDefault="0024722D" w:rsidP="0024722D">
      <w:pPr>
        <w:pStyle w:val="Pagrindinistekstas"/>
        <w:spacing w:after="0"/>
        <w:rPr>
          <w:sz w:val="22"/>
          <w:szCs w:val="22"/>
        </w:rPr>
      </w:pPr>
    </w:p>
    <w:p w14:paraId="29881513"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2.</w:t>
      </w:r>
      <w:r w:rsidRPr="00E22C07">
        <w:rPr>
          <w:szCs w:val="22"/>
        </w:rPr>
        <w:tab/>
        <w:t xml:space="preserve">REGISTRUOTOJO PAVADINIMAS </w:t>
      </w:r>
    </w:p>
    <w:p w14:paraId="649D3F36" w14:textId="77777777" w:rsidR="0024722D" w:rsidRPr="00E22C07" w:rsidRDefault="0024722D" w:rsidP="0024722D">
      <w:pPr>
        <w:pStyle w:val="Pagrindinistekstas"/>
        <w:spacing w:after="0"/>
        <w:rPr>
          <w:sz w:val="22"/>
          <w:szCs w:val="22"/>
        </w:rPr>
      </w:pPr>
    </w:p>
    <w:p w14:paraId="7F8ED521" w14:textId="77777777" w:rsidR="0024722D" w:rsidRPr="00E22C07" w:rsidRDefault="0024722D" w:rsidP="0024722D">
      <w:pPr>
        <w:rPr>
          <w:lang w:val="lv-LV"/>
        </w:rPr>
      </w:pPr>
      <w:r w:rsidRPr="00E22C07">
        <w:rPr>
          <w:lang w:val="lv-LV"/>
        </w:rPr>
        <w:t>POLPHARMA (logo)</w:t>
      </w:r>
    </w:p>
    <w:p w14:paraId="25933D04" w14:textId="77777777" w:rsidR="0024722D" w:rsidRPr="00E22C07" w:rsidRDefault="0024722D" w:rsidP="0024722D">
      <w:pPr>
        <w:pStyle w:val="Pagrindinistekstas"/>
        <w:spacing w:after="0"/>
        <w:rPr>
          <w:sz w:val="22"/>
          <w:szCs w:val="22"/>
        </w:rPr>
      </w:pPr>
    </w:p>
    <w:p w14:paraId="1C9876D5" w14:textId="77777777" w:rsidR="0024722D" w:rsidRPr="00E22C07" w:rsidRDefault="0024722D" w:rsidP="0024722D">
      <w:pPr>
        <w:pStyle w:val="Pagrindinistekstas"/>
        <w:spacing w:after="0"/>
        <w:rPr>
          <w:sz w:val="22"/>
          <w:szCs w:val="22"/>
        </w:rPr>
      </w:pPr>
    </w:p>
    <w:p w14:paraId="20137B95"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3.</w:t>
      </w:r>
      <w:r w:rsidRPr="00E22C07">
        <w:rPr>
          <w:szCs w:val="22"/>
        </w:rPr>
        <w:tab/>
        <w:t>TINKAMUMO LAIKAS</w:t>
      </w:r>
    </w:p>
    <w:p w14:paraId="2678D16E" w14:textId="77777777" w:rsidR="0024722D" w:rsidRPr="00E22C07" w:rsidRDefault="0024722D" w:rsidP="0024722D">
      <w:pPr>
        <w:pStyle w:val="Pagrindinistekstas"/>
        <w:spacing w:after="0"/>
        <w:rPr>
          <w:sz w:val="22"/>
          <w:szCs w:val="22"/>
        </w:rPr>
      </w:pPr>
    </w:p>
    <w:p w14:paraId="04073BB0" w14:textId="77777777" w:rsidR="0024722D" w:rsidRPr="00E22C07" w:rsidRDefault="0024722D" w:rsidP="0024722D">
      <w:pPr>
        <w:pStyle w:val="Pagrindinistekstas"/>
        <w:spacing w:after="0"/>
        <w:rPr>
          <w:sz w:val="22"/>
          <w:szCs w:val="22"/>
        </w:rPr>
      </w:pPr>
      <w:r w:rsidRPr="00E22C07">
        <w:rPr>
          <w:sz w:val="22"/>
          <w:szCs w:val="22"/>
        </w:rPr>
        <w:t xml:space="preserve">EXP </w:t>
      </w:r>
      <w:r w:rsidRPr="00E22C07">
        <w:rPr>
          <w:rFonts w:eastAsia="Calibri"/>
          <w:sz w:val="22"/>
          <w:szCs w:val="22"/>
          <w:lang w:val="lt-LT"/>
        </w:rPr>
        <w:t>{mm/MMMM}</w:t>
      </w:r>
    </w:p>
    <w:p w14:paraId="2489706F" w14:textId="77777777" w:rsidR="0024722D" w:rsidRPr="00E22C07" w:rsidRDefault="0024722D" w:rsidP="0024722D">
      <w:pPr>
        <w:pStyle w:val="Pagrindinistekstas"/>
        <w:spacing w:after="0"/>
        <w:rPr>
          <w:sz w:val="22"/>
          <w:szCs w:val="22"/>
          <w:highlight w:val="yellow"/>
        </w:rPr>
      </w:pPr>
    </w:p>
    <w:p w14:paraId="47AB0D38" w14:textId="77777777" w:rsidR="0024722D" w:rsidRPr="00E22C07" w:rsidRDefault="0024722D" w:rsidP="0024722D">
      <w:pPr>
        <w:pStyle w:val="Pagrindinistekstas"/>
        <w:spacing w:after="0"/>
        <w:rPr>
          <w:sz w:val="22"/>
          <w:szCs w:val="22"/>
          <w:highlight w:val="yellow"/>
        </w:rPr>
      </w:pPr>
    </w:p>
    <w:p w14:paraId="0826EE58" w14:textId="77777777" w:rsidR="0024722D" w:rsidRPr="00E22C07" w:rsidRDefault="0024722D" w:rsidP="0024722D">
      <w:pPr>
        <w:pStyle w:val="Antrat3"/>
        <w:pBdr>
          <w:top w:val="single" w:sz="4" w:space="1" w:color="auto"/>
          <w:left w:val="single" w:sz="4" w:space="4" w:color="auto"/>
          <w:bottom w:val="single" w:sz="4" w:space="1" w:color="auto"/>
          <w:right w:val="single" w:sz="4" w:space="4" w:color="auto"/>
        </w:pBdr>
        <w:rPr>
          <w:szCs w:val="22"/>
        </w:rPr>
      </w:pPr>
      <w:r w:rsidRPr="00E22C07">
        <w:rPr>
          <w:szCs w:val="22"/>
        </w:rPr>
        <w:t>4.</w:t>
      </w:r>
      <w:r w:rsidRPr="00E22C07">
        <w:rPr>
          <w:szCs w:val="22"/>
        </w:rPr>
        <w:tab/>
        <w:t xml:space="preserve">SERIJOS NUMERIS </w:t>
      </w:r>
    </w:p>
    <w:p w14:paraId="58926701" w14:textId="77777777" w:rsidR="0024722D" w:rsidRPr="00E22C07" w:rsidRDefault="0024722D" w:rsidP="0024722D">
      <w:pPr>
        <w:pStyle w:val="Pagrindinistekstas"/>
        <w:spacing w:after="0"/>
        <w:rPr>
          <w:sz w:val="22"/>
          <w:szCs w:val="22"/>
        </w:rPr>
      </w:pPr>
    </w:p>
    <w:p w14:paraId="038684AF" w14:textId="77777777" w:rsidR="0024722D" w:rsidRPr="00E22C07" w:rsidRDefault="0024722D" w:rsidP="0024722D">
      <w:pPr>
        <w:pStyle w:val="Pagrindinistekstas"/>
        <w:spacing w:after="0"/>
        <w:rPr>
          <w:sz w:val="22"/>
          <w:szCs w:val="22"/>
        </w:rPr>
      </w:pPr>
      <w:r w:rsidRPr="00E22C07">
        <w:rPr>
          <w:sz w:val="22"/>
          <w:szCs w:val="22"/>
        </w:rPr>
        <w:t xml:space="preserve">Lot </w:t>
      </w:r>
    </w:p>
    <w:p w14:paraId="5A9CCF97" w14:textId="77777777" w:rsidR="0024722D" w:rsidRPr="00E22C07" w:rsidRDefault="0024722D" w:rsidP="0024722D">
      <w:pPr>
        <w:pStyle w:val="Pagrindinistekstas"/>
        <w:spacing w:after="0"/>
        <w:rPr>
          <w:sz w:val="22"/>
          <w:szCs w:val="22"/>
        </w:rPr>
      </w:pPr>
    </w:p>
    <w:p w14:paraId="4CD4BF87" w14:textId="77777777" w:rsidR="0024722D" w:rsidRPr="00E22C07" w:rsidRDefault="0024722D" w:rsidP="0024722D">
      <w:pPr>
        <w:pStyle w:val="Pagrindinistekstas"/>
        <w:spacing w:after="0"/>
        <w:rPr>
          <w:sz w:val="22"/>
          <w:szCs w:val="22"/>
        </w:rPr>
      </w:pPr>
    </w:p>
    <w:p w14:paraId="18C4788F" w14:textId="77777777" w:rsidR="0024722D" w:rsidRPr="00E22C07" w:rsidRDefault="0024722D" w:rsidP="0024722D">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E22C07">
        <w:rPr>
          <w:b/>
          <w:sz w:val="22"/>
          <w:szCs w:val="22"/>
        </w:rPr>
        <w:t>5.</w:t>
      </w:r>
      <w:r w:rsidRPr="00E22C07">
        <w:rPr>
          <w:b/>
          <w:sz w:val="22"/>
          <w:szCs w:val="22"/>
        </w:rPr>
        <w:tab/>
        <w:t>KITA</w:t>
      </w:r>
    </w:p>
    <w:p w14:paraId="4451C99C" w14:textId="77777777" w:rsidR="0024722D" w:rsidRPr="00E22C07" w:rsidRDefault="0024722D" w:rsidP="0024722D">
      <w:pPr>
        <w:pStyle w:val="Pagrindinistekstas"/>
        <w:spacing w:after="0"/>
        <w:rPr>
          <w:sz w:val="22"/>
          <w:szCs w:val="22"/>
        </w:rPr>
      </w:pPr>
    </w:p>
    <w:p w14:paraId="10B04057" w14:textId="77777777" w:rsidR="0024722D" w:rsidRDefault="0024722D" w:rsidP="0024722D">
      <w:pPr>
        <w:pStyle w:val="Pagrindinistekstas"/>
        <w:spacing w:after="0"/>
        <w:rPr>
          <w:sz w:val="22"/>
          <w:szCs w:val="22"/>
        </w:rPr>
      </w:pPr>
    </w:p>
    <w:p w14:paraId="54A0F4D7" w14:textId="77777777" w:rsidR="0024722D" w:rsidRDefault="0024722D" w:rsidP="0024722D">
      <w:pPr>
        <w:pStyle w:val="Pagrindinistekstas"/>
        <w:spacing w:after="0"/>
        <w:rPr>
          <w:sz w:val="22"/>
          <w:szCs w:val="22"/>
        </w:rPr>
      </w:pPr>
    </w:p>
    <w:p w14:paraId="3DDDAE87" w14:textId="77777777" w:rsidR="0024722D" w:rsidRDefault="0024722D" w:rsidP="0024722D">
      <w:pPr>
        <w:pStyle w:val="Pagrindinistekstas"/>
        <w:spacing w:after="0"/>
        <w:rPr>
          <w:sz w:val="22"/>
          <w:szCs w:val="22"/>
        </w:rPr>
      </w:pPr>
    </w:p>
    <w:p w14:paraId="7C7D4363" w14:textId="77777777" w:rsidR="0024722D" w:rsidRDefault="0024722D" w:rsidP="0024722D">
      <w:pPr>
        <w:pStyle w:val="Pagrindinistekstas"/>
        <w:spacing w:after="0"/>
        <w:rPr>
          <w:sz w:val="22"/>
          <w:szCs w:val="22"/>
        </w:rPr>
      </w:pPr>
    </w:p>
    <w:p w14:paraId="6C8F1EB4" w14:textId="77777777" w:rsidR="0024722D" w:rsidRDefault="0024722D" w:rsidP="0024722D">
      <w:pPr>
        <w:pStyle w:val="Pagrindinistekstas"/>
        <w:spacing w:after="0"/>
        <w:rPr>
          <w:sz w:val="22"/>
          <w:szCs w:val="22"/>
        </w:rPr>
      </w:pPr>
    </w:p>
    <w:p w14:paraId="4999D567" w14:textId="77777777" w:rsidR="0024722D" w:rsidRDefault="0024722D" w:rsidP="0024722D">
      <w:pPr>
        <w:pStyle w:val="Pagrindinistekstas"/>
        <w:spacing w:after="0"/>
        <w:rPr>
          <w:sz w:val="22"/>
          <w:szCs w:val="22"/>
        </w:rPr>
      </w:pPr>
    </w:p>
    <w:p w14:paraId="2D9CAD8E" w14:textId="77777777" w:rsidR="0024722D" w:rsidRDefault="0024722D" w:rsidP="0024722D">
      <w:pPr>
        <w:pStyle w:val="Pagrindinistekstas"/>
        <w:spacing w:after="0"/>
        <w:rPr>
          <w:sz w:val="22"/>
          <w:szCs w:val="22"/>
        </w:rPr>
      </w:pPr>
    </w:p>
    <w:p w14:paraId="6EBAF1F5" w14:textId="77777777" w:rsidR="0024722D" w:rsidRDefault="0024722D" w:rsidP="0024722D">
      <w:pPr>
        <w:pStyle w:val="Pagrindinistekstas"/>
        <w:spacing w:after="0"/>
        <w:rPr>
          <w:sz w:val="22"/>
          <w:szCs w:val="22"/>
        </w:rPr>
      </w:pPr>
    </w:p>
    <w:p w14:paraId="14E127E3" w14:textId="77777777" w:rsidR="0024722D" w:rsidRDefault="0024722D" w:rsidP="0024722D">
      <w:pPr>
        <w:pStyle w:val="Pagrindinistekstas"/>
        <w:spacing w:after="0"/>
        <w:rPr>
          <w:sz w:val="22"/>
          <w:szCs w:val="22"/>
        </w:rPr>
      </w:pPr>
    </w:p>
    <w:p w14:paraId="1CC3E7E3" w14:textId="77777777" w:rsidR="0024722D" w:rsidRDefault="0024722D" w:rsidP="0024722D">
      <w:pPr>
        <w:pStyle w:val="Pagrindinistekstas"/>
        <w:spacing w:after="0"/>
        <w:rPr>
          <w:sz w:val="22"/>
          <w:szCs w:val="22"/>
        </w:rPr>
      </w:pPr>
    </w:p>
    <w:p w14:paraId="22A3C0B0" w14:textId="77777777" w:rsidR="0024722D" w:rsidRDefault="0024722D" w:rsidP="0024722D">
      <w:pPr>
        <w:pStyle w:val="Pagrindinistekstas"/>
        <w:spacing w:after="0"/>
        <w:rPr>
          <w:sz w:val="22"/>
          <w:szCs w:val="22"/>
        </w:rPr>
      </w:pPr>
    </w:p>
    <w:p w14:paraId="7F23F5E0" w14:textId="77777777" w:rsidR="0024722D" w:rsidRDefault="0024722D" w:rsidP="0024722D">
      <w:pPr>
        <w:pStyle w:val="Pagrindinistekstas"/>
        <w:spacing w:after="0"/>
        <w:rPr>
          <w:sz w:val="22"/>
          <w:szCs w:val="22"/>
        </w:rPr>
      </w:pPr>
    </w:p>
    <w:p w14:paraId="219C9FB1" w14:textId="77777777" w:rsidR="0024722D" w:rsidRDefault="0024722D" w:rsidP="0024722D">
      <w:pPr>
        <w:pStyle w:val="Pagrindinistekstas"/>
        <w:spacing w:after="0"/>
        <w:rPr>
          <w:sz w:val="22"/>
          <w:szCs w:val="22"/>
        </w:rPr>
      </w:pPr>
    </w:p>
    <w:p w14:paraId="10A712F5" w14:textId="77777777" w:rsidR="0024722D" w:rsidRDefault="0024722D" w:rsidP="0024722D">
      <w:pPr>
        <w:pStyle w:val="Pagrindinistekstas"/>
        <w:spacing w:after="0"/>
        <w:rPr>
          <w:sz w:val="22"/>
          <w:szCs w:val="22"/>
        </w:rPr>
      </w:pPr>
    </w:p>
    <w:p w14:paraId="748F09AE" w14:textId="77777777" w:rsidR="0024722D" w:rsidRDefault="0024722D" w:rsidP="0024722D">
      <w:pPr>
        <w:pStyle w:val="Pagrindinistekstas"/>
        <w:spacing w:after="0"/>
        <w:rPr>
          <w:sz w:val="22"/>
          <w:szCs w:val="22"/>
        </w:rPr>
      </w:pPr>
    </w:p>
    <w:p w14:paraId="2E735FC2" w14:textId="77777777" w:rsidR="0024722D" w:rsidRDefault="0024722D" w:rsidP="0024722D">
      <w:pPr>
        <w:pStyle w:val="Pagrindinistekstas"/>
        <w:spacing w:after="0"/>
        <w:rPr>
          <w:sz w:val="22"/>
          <w:szCs w:val="22"/>
        </w:rPr>
      </w:pPr>
    </w:p>
    <w:p w14:paraId="1B2D5F95" w14:textId="77777777" w:rsidR="0024722D" w:rsidRDefault="0024722D" w:rsidP="0024722D">
      <w:pPr>
        <w:pStyle w:val="Pagrindinistekstas"/>
        <w:spacing w:after="0"/>
        <w:rPr>
          <w:sz w:val="22"/>
          <w:szCs w:val="22"/>
        </w:rPr>
      </w:pPr>
    </w:p>
    <w:p w14:paraId="36B8A342" w14:textId="77777777" w:rsidR="0024722D" w:rsidRDefault="0024722D" w:rsidP="0024722D">
      <w:pPr>
        <w:pStyle w:val="Pagrindinistekstas"/>
        <w:spacing w:after="0"/>
        <w:rPr>
          <w:sz w:val="22"/>
          <w:szCs w:val="22"/>
        </w:rPr>
      </w:pPr>
    </w:p>
    <w:p w14:paraId="645BE36E" w14:textId="77777777" w:rsidR="0024722D" w:rsidRDefault="0024722D" w:rsidP="0024722D">
      <w:pPr>
        <w:pStyle w:val="Pagrindinistekstas"/>
        <w:spacing w:after="0"/>
        <w:rPr>
          <w:sz w:val="22"/>
          <w:szCs w:val="22"/>
        </w:rPr>
      </w:pPr>
    </w:p>
    <w:p w14:paraId="3430E59A" w14:textId="77777777" w:rsidR="0024722D" w:rsidRDefault="0024722D" w:rsidP="0024722D">
      <w:pPr>
        <w:pStyle w:val="Pagrindinistekstas"/>
        <w:spacing w:after="0"/>
        <w:rPr>
          <w:sz w:val="22"/>
          <w:szCs w:val="22"/>
        </w:rPr>
      </w:pPr>
    </w:p>
    <w:p w14:paraId="52E51B56" w14:textId="77777777" w:rsidR="0024722D" w:rsidRDefault="0024722D" w:rsidP="0024722D">
      <w:pPr>
        <w:pStyle w:val="Pagrindinistekstas"/>
        <w:spacing w:after="0"/>
        <w:rPr>
          <w:sz w:val="22"/>
          <w:szCs w:val="22"/>
        </w:rPr>
      </w:pPr>
    </w:p>
    <w:p w14:paraId="3A569CA4" w14:textId="77777777" w:rsidR="0024722D" w:rsidRDefault="0024722D" w:rsidP="0024722D">
      <w:pPr>
        <w:pStyle w:val="Pagrindinistekstas"/>
        <w:spacing w:after="0"/>
        <w:rPr>
          <w:sz w:val="22"/>
          <w:szCs w:val="22"/>
        </w:rPr>
      </w:pPr>
    </w:p>
    <w:p w14:paraId="27C416B9" w14:textId="77777777" w:rsidR="0024722D" w:rsidRDefault="0024722D" w:rsidP="0024722D">
      <w:pPr>
        <w:pStyle w:val="Pagrindinistekstas"/>
        <w:spacing w:after="0"/>
        <w:rPr>
          <w:sz w:val="22"/>
          <w:szCs w:val="22"/>
        </w:rPr>
      </w:pPr>
    </w:p>
    <w:p w14:paraId="28A87433" w14:textId="77777777" w:rsidR="0024722D" w:rsidRDefault="0024722D" w:rsidP="0024722D">
      <w:pPr>
        <w:pStyle w:val="Pagrindinistekstas"/>
        <w:spacing w:after="0"/>
        <w:rPr>
          <w:sz w:val="22"/>
          <w:szCs w:val="22"/>
        </w:rPr>
      </w:pPr>
    </w:p>
    <w:p w14:paraId="617E9CD2" w14:textId="77777777" w:rsidR="0024722D" w:rsidRDefault="0024722D" w:rsidP="0024722D">
      <w:pPr>
        <w:pStyle w:val="Pagrindinistekstas"/>
        <w:spacing w:after="0"/>
        <w:rPr>
          <w:sz w:val="22"/>
          <w:szCs w:val="22"/>
        </w:rPr>
      </w:pPr>
    </w:p>
    <w:p w14:paraId="51530B64" w14:textId="77777777" w:rsidR="0024722D" w:rsidRDefault="0024722D" w:rsidP="0024722D">
      <w:pPr>
        <w:pStyle w:val="Pagrindinistekstas"/>
        <w:spacing w:after="0"/>
        <w:rPr>
          <w:sz w:val="22"/>
          <w:szCs w:val="22"/>
        </w:rPr>
      </w:pPr>
    </w:p>
    <w:p w14:paraId="79E8D2C4" w14:textId="77777777" w:rsidR="0024722D" w:rsidRDefault="0024722D" w:rsidP="0024722D">
      <w:pPr>
        <w:pStyle w:val="Pagrindinistekstas"/>
        <w:spacing w:after="0"/>
        <w:rPr>
          <w:sz w:val="22"/>
          <w:szCs w:val="22"/>
        </w:rPr>
      </w:pPr>
    </w:p>
    <w:p w14:paraId="73EAA86E" w14:textId="77777777" w:rsidR="0024722D" w:rsidRDefault="0024722D" w:rsidP="0024722D">
      <w:pPr>
        <w:pStyle w:val="Pagrindinistekstas"/>
        <w:spacing w:after="0"/>
        <w:rPr>
          <w:sz w:val="22"/>
          <w:szCs w:val="22"/>
        </w:rPr>
      </w:pPr>
    </w:p>
    <w:p w14:paraId="0C4C6E4A" w14:textId="77777777" w:rsidR="0024722D" w:rsidRDefault="0024722D" w:rsidP="0024722D">
      <w:pPr>
        <w:pStyle w:val="Pagrindinistekstas"/>
        <w:spacing w:after="0"/>
        <w:rPr>
          <w:sz w:val="22"/>
          <w:szCs w:val="22"/>
        </w:rPr>
      </w:pPr>
    </w:p>
    <w:p w14:paraId="6B2FB6C4" w14:textId="77777777" w:rsidR="0024722D" w:rsidRDefault="0024722D" w:rsidP="0024722D">
      <w:pPr>
        <w:pStyle w:val="Pagrindinistekstas"/>
        <w:spacing w:after="0"/>
        <w:rPr>
          <w:sz w:val="22"/>
          <w:szCs w:val="22"/>
        </w:rPr>
      </w:pPr>
    </w:p>
    <w:p w14:paraId="20836BA6" w14:textId="77777777" w:rsidR="0024722D" w:rsidRDefault="0024722D" w:rsidP="0024722D">
      <w:pPr>
        <w:pStyle w:val="Pagrindinistekstas"/>
        <w:spacing w:after="0"/>
        <w:rPr>
          <w:sz w:val="22"/>
          <w:szCs w:val="22"/>
        </w:rPr>
      </w:pPr>
    </w:p>
    <w:p w14:paraId="6CC58F40" w14:textId="77777777" w:rsidR="0024722D" w:rsidRDefault="0024722D" w:rsidP="0024722D">
      <w:pPr>
        <w:pStyle w:val="Pagrindinistekstas"/>
        <w:spacing w:after="0"/>
        <w:rPr>
          <w:sz w:val="22"/>
          <w:szCs w:val="22"/>
        </w:rPr>
      </w:pPr>
    </w:p>
    <w:p w14:paraId="7215832E" w14:textId="77777777" w:rsidR="0024722D" w:rsidRDefault="0024722D" w:rsidP="0024722D">
      <w:pPr>
        <w:pStyle w:val="Pagrindinistekstas"/>
        <w:spacing w:after="0"/>
        <w:rPr>
          <w:sz w:val="22"/>
          <w:szCs w:val="22"/>
        </w:rPr>
      </w:pPr>
    </w:p>
    <w:p w14:paraId="3E568282" w14:textId="77777777" w:rsidR="0024722D" w:rsidRDefault="0024722D" w:rsidP="0024722D">
      <w:pPr>
        <w:pStyle w:val="Pagrindinistekstas"/>
        <w:spacing w:after="0"/>
        <w:rPr>
          <w:sz w:val="22"/>
          <w:szCs w:val="22"/>
        </w:rPr>
      </w:pPr>
    </w:p>
    <w:p w14:paraId="17D98660" w14:textId="77777777" w:rsidR="0024722D" w:rsidRDefault="0024722D" w:rsidP="0024722D">
      <w:pPr>
        <w:pStyle w:val="Pagrindinistekstas"/>
        <w:spacing w:after="0"/>
        <w:rPr>
          <w:sz w:val="22"/>
          <w:szCs w:val="22"/>
        </w:rPr>
      </w:pPr>
    </w:p>
    <w:p w14:paraId="0F04DFDA" w14:textId="77777777" w:rsidR="0024722D" w:rsidRDefault="0024722D" w:rsidP="0024722D">
      <w:pPr>
        <w:pStyle w:val="Pagrindinistekstas"/>
        <w:spacing w:after="0"/>
        <w:rPr>
          <w:sz w:val="22"/>
          <w:szCs w:val="22"/>
        </w:rPr>
      </w:pPr>
    </w:p>
    <w:p w14:paraId="490C72E8" w14:textId="77777777" w:rsidR="0024722D" w:rsidRDefault="0024722D" w:rsidP="0024722D">
      <w:pPr>
        <w:pStyle w:val="Pagrindinistekstas"/>
        <w:spacing w:after="0"/>
        <w:rPr>
          <w:sz w:val="22"/>
          <w:szCs w:val="22"/>
        </w:rPr>
      </w:pPr>
    </w:p>
    <w:p w14:paraId="7DA0F768" w14:textId="77777777" w:rsidR="0024722D" w:rsidRDefault="0024722D" w:rsidP="0024722D">
      <w:pPr>
        <w:pStyle w:val="Pagrindinistekstas"/>
        <w:spacing w:after="0"/>
        <w:rPr>
          <w:sz w:val="22"/>
          <w:szCs w:val="22"/>
        </w:rPr>
      </w:pPr>
    </w:p>
    <w:p w14:paraId="23405BC6" w14:textId="77777777" w:rsidR="0024722D" w:rsidRDefault="0024722D" w:rsidP="0024722D">
      <w:pPr>
        <w:pStyle w:val="Pagrindinistekstas"/>
        <w:spacing w:after="0"/>
        <w:rPr>
          <w:sz w:val="22"/>
          <w:szCs w:val="22"/>
        </w:rPr>
      </w:pPr>
    </w:p>
    <w:p w14:paraId="770D92AB" w14:textId="77777777" w:rsidR="0024722D" w:rsidRDefault="0024722D" w:rsidP="0024722D">
      <w:pPr>
        <w:pStyle w:val="Pagrindinistekstas"/>
        <w:spacing w:after="0"/>
        <w:rPr>
          <w:sz w:val="22"/>
          <w:szCs w:val="22"/>
        </w:rPr>
      </w:pPr>
    </w:p>
    <w:p w14:paraId="5EC09EDC" w14:textId="77777777" w:rsidR="0024722D" w:rsidRDefault="0024722D" w:rsidP="0024722D">
      <w:pPr>
        <w:pStyle w:val="Pagrindinistekstas"/>
        <w:spacing w:after="0"/>
        <w:rPr>
          <w:sz w:val="22"/>
          <w:szCs w:val="22"/>
        </w:rPr>
      </w:pPr>
    </w:p>
    <w:p w14:paraId="1E9B37C3" w14:textId="77777777" w:rsidR="0024722D" w:rsidRDefault="0024722D" w:rsidP="0024722D">
      <w:pPr>
        <w:pStyle w:val="Pagrindinistekstas"/>
        <w:spacing w:after="0"/>
        <w:rPr>
          <w:sz w:val="22"/>
          <w:szCs w:val="22"/>
        </w:rPr>
      </w:pPr>
    </w:p>
    <w:p w14:paraId="43B70583" w14:textId="77777777" w:rsidR="0024722D" w:rsidRDefault="0024722D" w:rsidP="0024722D">
      <w:pPr>
        <w:pStyle w:val="Pagrindinistekstas"/>
        <w:spacing w:after="0"/>
        <w:rPr>
          <w:sz w:val="22"/>
          <w:szCs w:val="22"/>
        </w:rPr>
      </w:pPr>
    </w:p>
    <w:p w14:paraId="5F5B4BFA" w14:textId="77777777" w:rsidR="0024722D" w:rsidRDefault="0024722D" w:rsidP="0024722D">
      <w:pPr>
        <w:pStyle w:val="Pagrindinistekstas"/>
        <w:spacing w:after="0"/>
        <w:rPr>
          <w:sz w:val="22"/>
          <w:szCs w:val="22"/>
        </w:rPr>
      </w:pPr>
    </w:p>
    <w:p w14:paraId="4C7EAA69" w14:textId="77777777" w:rsidR="0024722D" w:rsidRDefault="0024722D" w:rsidP="0024722D">
      <w:pPr>
        <w:pStyle w:val="Pagrindinistekstas"/>
        <w:spacing w:after="0"/>
        <w:rPr>
          <w:sz w:val="22"/>
          <w:szCs w:val="22"/>
        </w:rPr>
      </w:pPr>
    </w:p>
    <w:p w14:paraId="325C49E6" w14:textId="77777777" w:rsidR="0024722D" w:rsidRDefault="0024722D" w:rsidP="0024722D">
      <w:pPr>
        <w:pStyle w:val="Pagrindinistekstas"/>
        <w:spacing w:after="0"/>
        <w:rPr>
          <w:sz w:val="22"/>
          <w:szCs w:val="22"/>
        </w:rPr>
      </w:pPr>
    </w:p>
    <w:p w14:paraId="198BC889" w14:textId="77777777" w:rsidR="0024722D" w:rsidRDefault="0024722D" w:rsidP="0024722D">
      <w:pPr>
        <w:pStyle w:val="Pagrindinistekstas"/>
        <w:spacing w:after="0"/>
        <w:rPr>
          <w:sz w:val="22"/>
          <w:szCs w:val="22"/>
        </w:rPr>
      </w:pPr>
    </w:p>
    <w:p w14:paraId="2298EA4A" w14:textId="77777777" w:rsidR="0024722D" w:rsidRDefault="0024722D" w:rsidP="0024722D">
      <w:pPr>
        <w:pStyle w:val="Pagrindinistekstas"/>
        <w:spacing w:after="0"/>
        <w:rPr>
          <w:sz w:val="22"/>
          <w:szCs w:val="22"/>
        </w:rPr>
      </w:pPr>
    </w:p>
    <w:p w14:paraId="5F60ED66" w14:textId="77777777" w:rsidR="0024722D" w:rsidRPr="00057D1A" w:rsidRDefault="0024722D" w:rsidP="0024722D">
      <w:pPr>
        <w:tabs>
          <w:tab w:val="left" w:pos="567"/>
        </w:tabs>
        <w:ind w:left="567" w:hanging="567"/>
        <w:jc w:val="center"/>
        <w:outlineLvl w:val="0"/>
        <w:rPr>
          <w:b/>
          <w:caps/>
          <w:lang w:eastAsia="x-none"/>
        </w:rPr>
      </w:pPr>
      <w:bookmarkStart w:id="5" w:name="_Toc129243262"/>
      <w:bookmarkStart w:id="6" w:name="_Toc129243137"/>
      <w:r w:rsidRPr="00057D1A">
        <w:rPr>
          <w:b/>
          <w:caps/>
          <w:lang w:eastAsia="x-none"/>
        </w:rPr>
        <w:t>B. PAKUOTĖS LAPELIS</w:t>
      </w:r>
      <w:bookmarkEnd w:id="5"/>
      <w:bookmarkEnd w:id="6"/>
    </w:p>
    <w:p w14:paraId="24805E10" w14:textId="77777777" w:rsidR="0024722D" w:rsidRDefault="0024722D" w:rsidP="0024722D">
      <w:pPr>
        <w:pStyle w:val="Pagrindinistekstas"/>
        <w:spacing w:after="0"/>
        <w:rPr>
          <w:sz w:val="22"/>
          <w:szCs w:val="22"/>
        </w:rPr>
      </w:pPr>
    </w:p>
    <w:p w14:paraId="6BA556E3" w14:textId="77777777" w:rsidR="0024722D" w:rsidRDefault="0024722D" w:rsidP="0024722D">
      <w:pPr>
        <w:pStyle w:val="Pagrindinistekstas"/>
        <w:spacing w:after="0"/>
        <w:rPr>
          <w:sz w:val="22"/>
          <w:szCs w:val="22"/>
        </w:rPr>
      </w:pPr>
    </w:p>
    <w:p w14:paraId="410342D1" w14:textId="77777777" w:rsidR="0024722D" w:rsidRDefault="0024722D" w:rsidP="0024722D">
      <w:pPr>
        <w:pStyle w:val="Pagrindinistekstas"/>
        <w:spacing w:after="0"/>
        <w:rPr>
          <w:sz w:val="22"/>
          <w:szCs w:val="22"/>
        </w:rPr>
      </w:pPr>
    </w:p>
    <w:p w14:paraId="35272B9C" w14:textId="77777777" w:rsidR="0024722D" w:rsidRDefault="0024722D" w:rsidP="0024722D">
      <w:pPr>
        <w:pStyle w:val="Pagrindinistekstas"/>
        <w:spacing w:after="0"/>
        <w:rPr>
          <w:sz w:val="22"/>
          <w:szCs w:val="22"/>
        </w:rPr>
      </w:pPr>
    </w:p>
    <w:p w14:paraId="3AC0D7CA" w14:textId="77777777" w:rsidR="0024722D" w:rsidRDefault="0024722D" w:rsidP="0024722D">
      <w:pPr>
        <w:pStyle w:val="Pagrindinistekstas"/>
        <w:spacing w:after="0"/>
        <w:rPr>
          <w:sz w:val="22"/>
          <w:szCs w:val="22"/>
        </w:rPr>
      </w:pPr>
    </w:p>
    <w:p w14:paraId="13232B3D" w14:textId="77777777" w:rsidR="0024722D" w:rsidRDefault="0024722D" w:rsidP="0024722D">
      <w:pPr>
        <w:pStyle w:val="Pagrindinistekstas"/>
        <w:spacing w:after="0"/>
        <w:rPr>
          <w:sz w:val="22"/>
          <w:szCs w:val="22"/>
        </w:rPr>
      </w:pPr>
    </w:p>
    <w:p w14:paraId="473E883E" w14:textId="77777777" w:rsidR="0024722D" w:rsidRDefault="0024722D" w:rsidP="0024722D">
      <w:pPr>
        <w:pStyle w:val="Pagrindinistekstas"/>
        <w:spacing w:after="0"/>
        <w:rPr>
          <w:sz w:val="22"/>
          <w:szCs w:val="22"/>
        </w:rPr>
      </w:pPr>
    </w:p>
    <w:p w14:paraId="44FD9E7F" w14:textId="77777777" w:rsidR="0024722D" w:rsidRDefault="0024722D" w:rsidP="0024722D">
      <w:pPr>
        <w:pStyle w:val="Pagrindinistekstas"/>
        <w:spacing w:after="0"/>
        <w:rPr>
          <w:sz w:val="22"/>
          <w:szCs w:val="22"/>
        </w:rPr>
      </w:pPr>
    </w:p>
    <w:p w14:paraId="50B63E29" w14:textId="77777777" w:rsidR="0024722D" w:rsidRDefault="0024722D" w:rsidP="0024722D">
      <w:pPr>
        <w:pStyle w:val="Pagrindinistekstas"/>
        <w:spacing w:after="0"/>
        <w:rPr>
          <w:sz w:val="22"/>
          <w:szCs w:val="22"/>
        </w:rPr>
      </w:pPr>
    </w:p>
    <w:p w14:paraId="7A7B846E" w14:textId="77777777" w:rsidR="0024722D" w:rsidRDefault="0024722D" w:rsidP="0024722D">
      <w:pPr>
        <w:pStyle w:val="Pagrindinistekstas"/>
        <w:spacing w:after="0"/>
        <w:rPr>
          <w:sz w:val="22"/>
          <w:szCs w:val="22"/>
        </w:rPr>
      </w:pPr>
    </w:p>
    <w:p w14:paraId="6F94727C" w14:textId="77777777" w:rsidR="0024722D" w:rsidRDefault="0024722D" w:rsidP="0024722D">
      <w:pPr>
        <w:pStyle w:val="Pagrindinistekstas"/>
        <w:spacing w:after="0"/>
        <w:rPr>
          <w:sz w:val="22"/>
          <w:szCs w:val="22"/>
        </w:rPr>
      </w:pPr>
    </w:p>
    <w:p w14:paraId="2CF8E912" w14:textId="77777777" w:rsidR="0024722D" w:rsidRDefault="0024722D" w:rsidP="0024722D">
      <w:pPr>
        <w:pStyle w:val="Pagrindinistekstas"/>
        <w:spacing w:after="0"/>
        <w:rPr>
          <w:sz w:val="22"/>
          <w:szCs w:val="22"/>
        </w:rPr>
      </w:pPr>
    </w:p>
    <w:p w14:paraId="64123246" w14:textId="77777777" w:rsidR="0024722D" w:rsidRDefault="0024722D" w:rsidP="0024722D">
      <w:pPr>
        <w:pStyle w:val="Pagrindinistekstas"/>
        <w:spacing w:after="0"/>
        <w:rPr>
          <w:sz w:val="22"/>
          <w:szCs w:val="22"/>
        </w:rPr>
      </w:pPr>
    </w:p>
    <w:p w14:paraId="291FA65C" w14:textId="77777777" w:rsidR="0024722D" w:rsidRDefault="0024722D" w:rsidP="0024722D">
      <w:pPr>
        <w:pStyle w:val="Pagrindinistekstas"/>
        <w:spacing w:after="0"/>
        <w:rPr>
          <w:sz w:val="22"/>
          <w:szCs w:val="22"/>
        </w:rPr>
      </w:pPr>
    </w:p>
    <w:p w14:paraId="3E3DE5B9" w14:textId="77777777" w:rsidR="0024722D" w:rsidRDefault="0024722D" w:rsidP="0024722D">
      <w:pPr>
        <w:pStyle w:val="Pagrindinistekstas"/>
        <w:spacing w:after="0"/>
        <w:rPr>
          <w:sz w:val="22"/>
          <w:szCs w:val="22"/>
        </w:rPr>
      </w:pPr>
    </w:p>
    <w:p w14:paraId="67A2BCED" w14:textId="77777777" w:rsidR="0024722D" w:rsidRDefault="0024722D" w:rsidP="0024722D">
      <w:pPr>
        <w:pStyle w:val="Pagrindinistekstas"/>
        <w:spacing w:after="0"/>
        <w:rPr>
          <w:sz w:val="22"/>
          <w:szCs w:val="22"/>
        </w:rPr>
      </w:pPr>
    </w:p>
    <w:p w14:paraId="6936BE51" w14:textId="77777777" w:rsidR="0024722D" w:rsidRDefault="0024722D" w:rsidP="0024722D">
      <w:pPr>
        <w:pStyle w:val="Pagrindinistekstas"/>
        <w:spacing w:after="0"/>
        <w:rPr>
          <w:sz w:val="22"/>
          <w:szCs w:val="22"/>
        </w:rPr>
      </w:pPr>
    </w:p>
    <w:p w14:paraId="74300AAE" w14:textId="77777777" w:rsidR="0024722D" w:rsidRDefault="0024722D" w:rsidP="0024722D">
      <w:pPr>
        <w:pStyle w:val="Pagrindinistekstas"/>
        <w:spacing w:after="0"/>
        <w:rPr>
          <w:sz w:val="22"/>
          <w:szCs w:val="22"/>
        </w:rPr>
      </w:pPr>
    </w:p>
    <w:p w14:paraId="7216AC92" w14:textId="77777777" w:rsidR="0024722D" w:rsidRDefault="0024722D" w:rsidP="0024722D">
      <w:pPr>
        <w:pStyle w:val="Pagrindinistekstas"/>
        <w:spacing w:after="0"/>
        <w:rPr>
          <w:sz w:val="22"/>
          <w:szCs w:val="22"/>
        </w:rPr>
      </w:pPr>
    </w:p>
    <w:p w14:paraId="6AE74483" w14:textId="77777777" w:rsidR="0024722D" w:rsidRDefault="0024722D" w:rsidP="0024722D">
      <w:pPr>
        <w:pStyle w:val="Pagrindinistekstas"/>
        <w:spacing w:after="0"/>
        <w:rPr>
          <w:sz w:val="22"/>
          <w:szCs w:val="22"/>
        </w:rPr>
      </w:pPr>
    </w:p>
    <w:p w14:paraId="453C4FF3" w14:textId="77777777" w:rsidR="0024722D" w:rsidRDefault="0024722D" w:rsidP="0024722D">
      <w:pPr>
        <w:pStyle w:val="Pagrindinistekstas"/>
        <w:spacing w:after="0"/>
        <w:rPr>
          <w:sz w:val="22"/>
          <w:szCs w:val="22"/>
        </w:rPr>
      </w:pPr>
    </w:p>
    <w:p w14:paraId="35D3E895" w14:textId="77777777" w:rsidR="0024722D" w:rsidRDefault="0024722D" w:rsidP="0024722D">
      <w:pPr>
        <w:pStyle w:val="Pagrindinistekstas"/>
        <w:spacing w:after="0"/>
        <w:rPr>
          <w:sz w:val="22"/>
          <w:szCs w:val="22"/>
        </w:rPr>
      </w:pPr>
    </w:p>
    <w:p w14:paraId="1D8E64A9" w14:textId="77777777" w:rsidR="0024722D" w:rsidRDefault="0024722D" w:rsidP="0024722D">
      <w:pPr>
        <w:pStyle w:val="Pagrindinistekstas"/>
        <w:spacing w:after="0"/>
        <w:rPr>
          <w:sz w:val="22"/>
          <w:szCs w:val="22"/>
        </w:rPr>
      </w:pPr>
    </w:p>
    <w:p w14:paraId="7AB87AA3" w14:textId="77777777" w:rsidR="0024722D" w:rsidRDefault="0024722D" w:rsidP="0024722D">
      <w:pPr>
        <w:pStyle w:val="Pagrindinistekstas"/>
        <w:spacing w:after="0"/>
        <w:rPr>
          <w:sz w:val="22"/>
          <w:szCs w:val="22"/>
        </w:rPr>
      </w:pPr>
    </w:p>
    <w:p w14:paraId="1245B7DA" w14:textId="77777777" w:rsidR="0024722D" w:rsidRDefault="0024722D" w:rsidP="0024722D">
      <w:pPr>
        <w:pStyle w:val="Pagrindinistekstas"/>
        <w:spacing w:after="0"/>
        <w:rPr>
          <w:sz w:val="22"/>
          <w:szCs w:val="22"/>
        </w:rPr>
      </w:pPr>
    </w:p>
    <w:p w14:paraId="17AAEAC2" w14:textId="77777777" w:rsidR="0024722D" w:rsidRDefault="0024722D" w:rsidP="0024722D">
      <w:pPr>
        <w:pStyle w:val="Pagrindinistekstas"/>
        <w:spacing w:after="0"/>
        <w:rPr>
          <w:sz w:val="22"/>
          <w:szCs w:val="22"/>
        </w:rPr>
      </w:pPr>
    </w:p>
    <w:p w14:paraId="12FCCFAC" w14:textId="77777777" w:rsidR="0024722D" w:rsidRDefault="0024722D" w:rsidP="0024722D">
      <w:pPr>
        <w:pStyle w:val="Pagrindinistekstas"/>
        <w:spacing w:after="0"/>
        <w:rPr>
          <w:sz w:val="22"/>
          <w:szCs w:val="22"/>
        </w:rPr>
      </w:pPr>
    </w:p>
    <w:p w14:paraId="07B7BFFF" w14:textId="77777777" w:rsidR="0024722D" w:rsidRDefault="0024722D" w:rsidP="0024722D">
      <w:pPr>
        <w:pStyle w:val="Pagrindinistekstas"/>
        <w:spacing w:after="0"/>
        <w:rPr>
          <w:sz w:val="22"/>
          <w:szCs w:val="22"/>
        </w:rPr>
      </w:pPr>
    </w:p>
    <w:p w14:paraId="2F4D4A31" w14:textId="77777777" w:rsidR="0024722D" w:rsidRDefault="0024722D" w:rsidP="0024722D">
      <w:pPr>
        <w:pStyle w:val="Pagrindinistekstas"/>
        <w:spacing w:after="0"/>
        <w:rPr>
          <w:sz w:val="22"/>
          <w:szCs w:val="22"/>
        </w:rPr>
      </w:pPr>
    </w:p>
    <w:p w14:paraId="43240840" w14:textId="77777777" w:rsidR="0024722D" w:rsidRDefault="0024722D" w:rsidP="0024722D">
      <w:pPr>
        <w:pStyle w:val="Pagrindinistekstas"/>
        <w:spacing w:after="0"/>
        <w:rPr>
          <w:sz w:val="22"/>
          <w:szCs w:val="22"/>
        </w:rPr>
      </w:pPr>
    </w:p>
    <w:p w14:paraId="585D5FE8" w14:textId="77777777" w:rsidR="0024722D" w:rsidRDefault="0024722D" w:rsidP="0024722D">
      <w:pPr>
        <w:pStyle w:val="Pagrindinistekstas"/>
        <w:spacing w:after="0"/>
        <w:rPr>
          <w:sz w:val="22"/>
          <w:szCs w:val="22"/>
        </w:rPr>
      </w:pPr>
    </w:p>
    <w:p w14:paraId="11352D43" w14:textId="77777777" w:rsidR="0024722D" w:rsidRDefault="0024722D" w:rsidP="0024722D">
      <w:pPr>
        <w:pStyle w:val="Pagrindinistekstas"/>
        <w:spacing w:after="0"/>
        <w:rPr>
          <w:sz w:val="22"/>
          <w:szCs w:val="22"/>
        </w:rPr>
      </w:pPr>
    </w:p>
    <w:p w14:paraId="40161EFC" w14:textId="77777777" w:rsidR="0024722D" w:rsidRDefault="0024722D" w:rsidP="0024722D">
      <w:pPr>
        <w:pStyle w:val="Pagrindinistekstas"/>
        <w:spacing w:after="0"/>
        <w:rPr>
          <w:sz w:val="22"/>
          <w:szCs w:val="22"/>
        </w:rPr>
      </w:pPr>
    </w:p>
    <w:p w14:paraId="2BAF7381" w14:textId="77777777" w:rsidR="0024722D" w:rsidRDefault="0024722D" w:rsidP="0024722D">
      <w:pPr>
        <w:pStyle w:val="Pagrindinistekstas"/>
        <w:spacing w:after="0"/>
        <w:rPr>
          <w:sz w:val="22"/>
          <w:szCs w:val="22"/>
        </w:rPr>
      </w:pPr>
    </w:p>
    <w:p w14:paraId="04EEDA0F" w14:textId="77777777" w:rsidR="0024722D" w:rsidRDefault="0024722D" w:rsidP="0024722D">
      <w:pPr>
        <w:pStyle w:val="Pagrindinistekstas"/>
        <w:spacing w:after="0"/>
        <w:rPr>
          <w:sz w:val="22"/>
          <w:szCs w:val="22"/>
        </w:rPr>
      </w:pPr>
    </w:p>
    <w:p w14:paraId="5A301BC8" w14:textId="77777777" w:rsidR="0024722D" w:rsidRPr="00253DED" w:rsidRDefault="0024722D" w:rsidP="0024722D">
      <w:pPr>
        <w:tabs>
          <w:tab w:val="left" w:pos="567"/>
        </w:tabs>
        <w:ind w:left="567" w:hanging="567"/>
        <w:jc w:val="center"/>
        <w:outlineLvl w:val="0"/>
        <w:rPr>
          <w:b/>
          <w:caps/>
          <w:lang w:eastAsia="x-none"/>
        </w:rPr>
      </w:pPr>
      <w:bookmarkStart w:id="7" w:name="_Toc129243138"/>
      <w:bookmarkStart w:id="8" w:name="_Toc129243263"/>
      <w:r w:rsidRPr="00253DED">
        <w:rPr>
          <w:b/>
          <w:lang w:eastAsia="x-none"/>
        </w:rPr>
        <w:lastRenderedPageBreak/>
        <w:t>Pakuotės lapelis: informacija vartotojui</w:t>
      </w:r>
      <w:bookmarkEnd w:id="7"/>
      <w:bookmarkEnd w:id="8"/>
    </w:p>
    <w:p w14:paraId="02A6B98D" w14:textId="77777777" w:rsidR="0024722D" w:rsidRPr="00253DED" w:rsidRDefault="0024722D" w:rsidP="0024722D">
      <w:pPr>
        <w:rPr>
          <w:noProof/>
        </w:rPr>
      </w:pPr>
    </w:p>
    <w:p w14:paraId="51290D4B" w14:textId="77777777" w:rsidR="0024722D" w:rsidRPr="00253DED" w:rsidRDefault="0024722D" w:rsidP="0024722D">
      <w:pPr>
        <w:jc w:val="center"/>
        <w:rPr>
          <w:b/>
          <w:bCs/>
          <w:lang w:val="x-none"/>
        </w:rPr>
      </w:pPr>
      <w:r w:rsidRPr="00253DED">
        <w:rPr>
          <w:b/>
          <w:bCs/>
          <w:lang w:val="x-none"/>
        </w:rPr>
        <w:t>Tinidazol Polpharma 500 mg plėvele dengtos tabletės</w:t>
      </w:r>
    </w:p>
    <w:p w14:paraId="2EEFE37F" w14:textId="77777777" w:rsidR="0024722D" w:rsidRPr="00253DED" w:rsidRDefault="0024722D" w:rsidP="0024722D">
      <w:pPr>
        <w:jc w:val="center"/>
        <w:rPr>
          <w:lang w:val="x-none"/>
        </w:rPr>
      </w:pPr>
      <w:r w:rsidRPr="00253DED">
        <w:rPr>
          <w:lang w:val="x-none"/>
        </w:rPr>
        <w:t>Tinidazolas</w:t>
      </w:r>
    </w:p>
    <w:p w14:paraId="43F7432C" w14:textId="77777777" w:rsidR="0024722D" w:rsidRPr="00253DED" w:rsidRDefault="0024722D" w:rsidP="0024722D">
      <w:pPr>
        <w:jc w:val="center"/>
        <w:rPr>
          <w:noProof/>
        </w:rPr>
      </w:pPr>
    </w:p>
    <w:p w14:paraId="7FD8C61F" w14:textId="77777777" w:rsidR="0024722D" w:rsidRPr="00253DED" w:rsidRDefault="0024722D" w:rsidP="0024722D">
      <w:pPr>
        <w:rPr>
          <w:b/>
          <w:noProof/>
        </w:rPr>
      </w:pPr>
      <w:r w:rsidRPr="00253DED">
        <w:rPr>
          <w:b/>
          <w:noProof/>
        </w:rPr>
        <w:t>Atidžiai perskaitykite visą šį lapelį, prieš pradėdami vartoti vaistą, nes jame pateikiama Jums svarbi informacija.</w:t>
      </w:r>
    </w:p>
    <w:p w14:paraId="3A359CFB" w14:textId="77777777" w:rsidR="0024722D" w:rsidRPr="00253DED" w:rsidRDefault="0024722D" w:rsidP="0024722D">
      <w:pPr>
        <w:numPr>
          <w:ilvl w:val="0"/>
          <w:numId w:val="7"/>
        </w:numPr>
        <w:tabs>
          <w:tab w:val="num" w:pos="567"/>
        </w:tabs>
        <w:ind w:left="567" w:hanging="567"/>
        <w:rPr>
          <w:noProof/>
        </w:rPr>
      </w:pPr>
      <w:r w:rsidRPr="00253DED">
        <w:rPr>
          <w:noProof/>
        </w:rPr>
        <w:t>Neišmeskite šio lapelio, nes vėl gali prireikti jį perskaityti.</w:t>
      </w:r>
    </w:p>
    <w:p w14:paraId="35D41DA1" w14:textId="77777777" w:rsidR="0024722D" w:rsidRPr="00253DED" w:rsidRDefault="0024722D" w:rsidP="0024722D">
      <w:pPr>
        <w:numPr>
          <w:ilvl w:val="0"/>
          <w:numId w:val="7"/>
        </w:numPr>
        <w:tabs>
          <w:tab w:val="num" w:pos="567"/>
        </w:tabs>
        <w:ind w:left="567" w:hanging="567"/>
        <w:rPr>
          <w:noProof/>
        </w:rPr>
      </w:pPr>
      <w:r w:rsidRPr="00253DED">
        <w:rPr>
          <w:noProof/>
        </w:rPr>
        <w:t>Jeigu kiltų daugiau klausimų, kreipkitės į gydytoją arba vaistininką.</w:t>
      </w:r>
    </w:p>
    <w:p w14:paraId="2581782A" w14:textId="77777777" w:rsidR="0024722D" w:rsidRPr="00253DED" w:rsidRDefault="0024722D" w:rsidP="0024722D">
      <w:pPr>
        <w:numPr>
          <w:ilvl w:val="0"/>
          <w:numId w:val="7"/>
        </w:numPr>
        <w:tabs>
          <w:tab w:val="num" w:pos="567"/>
        </w:tabs>
        <w:ind w:left="567" w:hanging="567"/>
        <w:rPr>
          <w:noProof/>
        </w:rPr>
      </w:pPr>
      <w:r w:rsidRPr="00253DED">
        <w:rPr>
          <w:noProof/>
        </w:rPr>
        <w:t>Šis vaistas skirtas tik Jums, todėl kitiems žmonėms jo duoti negalima. Vaistas gali jiems pakenkti (net tiems, kurių ligos požymiai yra tokie patys kaip Jūsų).</w:t>
      </w:r>
    </w:p>
    <w:p w14:paraId="72EBB274" w14:textId="77777777" w:rsidR="0024722D" w:rsidRPr="00253DED" w:rsidRDefault="0024722D" w:rsidP="0024722D">
      <w:pPr>
        <w:numPr>
          <w:ilvl w:val="0"/>
          <w:numId w:val="7"/>
        </w:numPr>
        <w:tabs>
          <w:tab w:val="num" w:pos="567"/>
        </w:tabs>
        <w:ind w:left="567" w:hanging="567"/>
        <w:rPr>
          <w:noProof/>
        </w:rPr>
      </w:pPr>
      <w:r w:rsidRPr="00253DED">
        <w:rPr>
          <w:noProof/>
        </w:rPr>
        <w:t>Jeigu pasireiškė šalutinis poveikis (net jeigu jis šiame lapelyje nenurodytas), kreipkitės į gydytoją arba vaistininką.</w:t>
      </w:r>
      <w:r w:rsidRPr="00253DED">
        <w:rPr>
          <w:noProof/>
          <w:snapToGrid w:val="0"/>
        </w:rPr>
        <w:t xml:space="preserve"> </w:t>
      </w:r>
      <w:r w:rsidRPr="00253DED">
        <w:rPr>
          <w:noProof/>
        </w:rPr>
        <w:t>Žr. 4 skyrių.</w:t>
      </w:r>
    </w:p>
    <w:p w14:paraId="572A0C1E" w14:textId="77777777" w:rsidR="0024722D" w:rsidRPr="00253DED" w:rsidRDefault="0024722D" w:rsidP="0024722D">
      <w:pPr>
        <w:rPr>
          <w:noProof/>
        </w:rPr>
      </w:pPr>
    </w:p>
    <w:p w14:paraId="031FBE08" w14:textId="77777777" w:rsidR="0024722D" w:rsidRPr="00253DED" w:rsidRDefault="0024722D" w:rsidP="0024722D">
      <w:pPr>
        <w:rPr>
          <w:noProof/>
        </w:rPr>
      </w:pPr>
    </w:p>
    <w:p w14:paraId="73C9F84B" w14:textId="77777777" w:rsidR="0024722D" w:rsidRPr="00253DED" w:rsidRDefault="0024722D" w:rsidP="0024722D">
      <w:pPr>
        <w:rPr>
          <w:b/>
          <w:noProof/>
        </w:rPr>
      </w:pPr>
      <w:r w:rsidRPr="00253DED">
        <w:rPr>
          <w:b/>
          <w:noProof/>
        </w:rPr>
        <w:t>Apie ką rašoma šiame lapelyje?</w:t>
      </w:r>
    </w:p>
    <w:p w14:paraId="264748B7" w14:textId="77777777" w:rsidR="0024722D" w:rsidRPr="00253DED" w:rsidRDefault="0024722D" w:rsidP="0024722D">
      <w:pPr>
        <w:rPr>
          <w:b/>
          <w:noProof/>
        </w:rPr>
      </w:pPr>
    </w:p>
    <w:p w14:paraId="17BD5B71" w14:textId="77777777" w:rsidR="0024722D" w:rsidRPr="00253DED" w:rsidRDefault="0024722D" w:rsidP="0024722D">
      <w:pPr>
        <w:rPr>
          <w:noProof/>
        </w:rPr>
      </w:pPr>
      <w:r w:rsidRPr="00253DED">
        <w:rPr>
          <w:noProof/>
        </w:rPr>
        <w:t>1.</w:t>
      </w:r>
      <w:r w:rsidRPr="00253DED">
        <w:rPr>
          <w:noProof/>
        </w:rPr>
        <w:tab/>
        <w:t xml:space="preserve">Kas yra </w:t>
      </w:r>
      <w:r w:rsidRPr="00253DED">
        <w:rPr>
          <w:bCs/>
          <w:noProof/>
        </w:rPr>
        <w:t>Tinidazol Polpharma</w:t>
      </w:r>
      <w:r w:rsidRPr="00253DED">
        <w:rPr>
          <w:noProof/>
        </w:rPr>
        <w:t xml:space="preserve"> ir kam jis vartojamas</w:t>
      </w:r>
    </w:p>
    <w:p w14:paraId="5669B20D" w14:textId="77777777" w:rsidR="0024722D" w:rsidRPr="00253DED" w:rsidRDefault="0024722D" w:rsidP="0024722D">
      <w:pPr>
        <w:rPr>
          <w:noProof/>
        </w:rPr>
      </w:pPr>
      <w:r w:rsidRPr="00253DED">
        <w:rPr>
          <w:noProof/>
        </w:rPr>
        <w:t>2.</w:t>
      </w:r>
      <w:r w:rsidRPr="00253DED">
        <w:rPr>
          <w:noProof/>
        </w:rPr>
        <w:tab/>
        <w:t xml:space="preserve">Kas žinotina prieš vartojant </w:t>
      </w:r>
      <w:r w:rsidRPr="00253DED">
        <w:rPr>
          <w:bCs/>
          <w:noProof/>
        </w:rPr>
        <w:t>Tinidazol Polpharma</w:t>
      </w:r>
      <w:r w:rsidRPr="00253DED">
        <w:rPr>
          <w:noProof/>
        </w:rPr>
        <w:t xml:space="preserve"> </w:t>
      </w:r>
    </w:p>
    <w:p w14:paraId="2FE078D0" w14:textId="77777777" w:rsidR="0024722D" w:rsidRPr="00253DED" w:rsidRDefault="0024722D" w:rsidP="0024722D">
      <w:r w:rsidRPr="00253DED">
        <w:t>3.</w:t>
      </w:r>
      <w:r w:rsidRPr="00253DED">
        <w:tab/>
        <w:t xml:space="preserve">Kaip vartoti </w:t>
      </w:r>
      <w:r w:rsidRPr="00253DED">
        <w:rPr>
          <w:noProof/>
        </w:rPr>
        <w:t>Tinidazol Polpharma</w:t>
      </w:r>
    </w:p>
    <w:p w14:paraId="5187801B" w14:textId="77777777" w:rsidR="0024722D" w:rsidRPr="00253DED" w:rsidRDefault="0024722D" w:rsidP="0024722D">
      <w:pPr>
        <w:rPr>
          <w:noProof/>
        </w:rPr>
      </w:pPr>
      <w:r w:rsidRPr="00253DED">
        <w:rPr>
          <w:noProof/>
        </w:rPr>
        <w:t>4.</w:t>
      </w:r>
      <w:r w:rsidRPr="00253DED">
        <w:rPr>
          <w:noProof/>
        </w:rPr>
        <w:tab/>
        <w:t>Galimas šalutinis poveikis</w:t>
      </w:r>
    </w:p>
    <w:p w14:paraId="564A5CA8" w14:textId="77777777" w:rsidR="0024722D" w:rsidRPr="00253DED" w:rsidRDefault="0024722D" w:rsidP="0024722D">
      <w:r w:rsidRPr="00253DED">
        <w:t>5.</w:t>
      </w:r>
      <w:r w:rsidRPr="00253DED">
        <w:tab/>
        <w:t xml:space="preserve">Kaip laikyti </w:t>
      </w:r>
      <w:r w:rsidRPr="00253DED">
        <w:rPr>
          <w:noProof/>
        </w:rPr>
        <w:t>Tinidazol Polpharma</w:t>
      </w:r>
    </w:p>
    <w:p w14:paraId="7DD1727E" w14:textId="77777777" w:rsidR="0024722D" w:rsidRPr="00253DED" w:rsidRDefault="0024722D" w:rsidP="0024722D">
      <w:pPr>
        <w:rPr>
          <w:noProof/>
        </w:rPr>
      </w:pPr>
      <w:r w:rsidRPr="00253DED">
        <w:rPr>
          <w:noProof/>
        </w:rPr>
        <w:t>6.</w:t>
      </w:r>
      <w:r w:rsidRPr="00253DED">
        <w:rPr>
          <w:noProof/>
        </w:rPr>
        <w:tab/>
        <w:t>Pakuotės turinys ir kita informacija</w:t>
      </w:r>
    </w:p>
    <w:p w14:paraId="67224754" w14:textId="77777777" w:rsidR="0024722D" w:rsidRPr="00253DED" w:rsidRDefault="0024722D" w:rsidP="0024722D">
      <w:pPr>
        <w:rPr>
          <w:noProof/>
        </w:rPr>
      </w:pPr>
    </w:p>
    <w:p w14:paraId="29174F96" w14:textId="77777777" w:rsidR="0024722D" w:rsidRPr="00253DED" w:rsidRDefault="0024722D" w:rsidP="0024722D">
      <w:pPr>
        <w:rPr>
          <w:noProof/>
        </w:rPr>
      </w:pPr>
    </w:p>
    <w:p w14:paraId="7E5500CF" w14:textId="77777777" w:rsidR="0024722D" w:rsidRPr="00253DED" w:rsidRDefault="0024722D" w:rsidP="0024722D">
      <w:pPr>
        <w:keepNext/>
        <w:tabs>
          <w:tab w:val="left" w:pos="567"/>
        </w:tabs>
        <w:ind w:left="567" w:hanging="567"/>
        <w:outlineLvl w:val="1"/>
        <w:rPr>
          <w:b/>
          <w:lang w:val="x-none"/>
        </w:rPr>
      </w:pPr>
      <w:bookmarkStart w:id="9" w:name="_Toc129243139"/>
      <w:bookmarkStart w:id="10" w:name="_Toc129243264"/>
      <w:r w:rsidRPr="00253DED">
        <w:rPr>
          <w:b/>
          <w:lang w:val="x-none"/>
        </w:rPr>
        <w:t>1.</w:t>
      </w:r>
      <w:r w:rsidRPr="00253DED">
        <w:rPr>
          <w:b/>
          <w:lang w:val="x-none"/>
        </w:rPr>
        <w:tab/>
        <w:t>Kas yra Tinidazol Polpharma ir kam jis vartojamas</w:t>
      </w:r>
      <w:bookmarkEnd w:id="9"/>
      <w:bookmarkEnd w:id="10"/>
    </w:p>
    <w:p w14:paraId="1E0D04CE" w14:textId="77777777" w:rsidR="0024722D" w:rsidRPr="00253DED" w:rsidRDefault="0024722D" w:rsidP="0024722D">
      <w:pPr>
        <w:rPr>
          <w:noProof/>
        </w:rPr>
      </w:pPr>
    </w:p>
    <w:p w14:paraId="747E1332" w14:textId="77777777" w:rsidR="0024722D" w:rsidRPr="00253DED" w:rsidRDefault="0024722D" w:rsidP="0024722D">
      <w:pPr>
        <w:rPr>
          <w:i/>
        </w:rPr>
      </w:pPr>
      <w:r w:rsidRPr="00253DED">
        <w:t>Šis vaistas vartojamas tinidazolui jautrių mikroorganizmų sukeltų infekcinių ligų gydymui</w:t>
      </w:r>
      <w:r w:rsidRPr="00253DED">
        <w:rPr>
          <w:i/>
        </w:rPr>
        <w:t>:</w:t>
      </w:r>
    </w:p>
    <w:p w14:paraId="23B3667E" w14:textId="77777777" w:rsidR="0024722D" w:rsidRPr="00253DED" w:rsidRDefault="0024722D" w:rsidP="0024722D">
      <w:pPr>
        <w:numPr>
          <w:ilvl w:val="0"/>
          <w:numId w:val="8"/>
        </w:numPr>
        <w:tabs>
          <w:tab w:val="clear" w:pos="720"/>
        </w:tabs>
        <w:ind w:left="567" w:hanging="567"/>
      </w:pPr>
      <w:r w:rsidRPr="00253DED">
        <w:rPr>
          <w:i/>
        </w:rPr>
        <w:t>Helicobacter pylori</w:t>
      </w:r>
      <w:r w:rsidRPr="00253DED">
        <w:t>, susijusios su dvylikapirštės žarnos opomis, naikinimas, vartojant kartu su kitais antibiotikais ir vaistais, mažinančiais skrandžio rūgšties išsiskyrimą;</w:t>
      </w:r>
    </w:p>
    <w:p w14:paraId="346FB708" w14:textId="77777777" w:rsidR="0024722D" w:rsidRPr="00253DED" w:rsidRDefault="0024722D" w:rsidP="0024722D">
      <w:pPr>
        <w:numPr>
          <w:ilvl w:val="0"/>
          <w:numId w:val="8"/>
        </w:numPr>
        <w:tabs>
          <w:tab w:val="clear" w:pos="720"/>
        </w:tabs>
        <w:ind w:left="567" w:hanging="567"/>
        <w:rPr>
          <w:color w:val="000000"/>
        </w:rPr>
      </w:pPr>
      <w:r w:rsidRPr="00253DED">
        <w:t>a</w:t>
      </w:r>
      <w:r w:rsidRPr="00253DED">
        <w:rPr>
          <w:color w:val="000000"/>
        </w:rPr>
        <w:t>naerobų sukeltų infekcinių ligų ar mišrių aerobinių ir anaerobinių mikroorganizmų sukeltų infekcinių ligų (vartojant su kitais vaistais);</w:t>
      </w:r>
    </w:p>
    <w:p w14:paraId="3CCD7DC8" w14:textId="77777777" w:rsidR="0024722D" w:rsidRPr="00253DED" w:rsidRDefault="0024722D" w:rsidP="0024722D">
      <w:pPr>
        <w:numPr>
          <w:ilvl w:val="0"/>
          <w:numId w:val="8"/>
        </w:numPr>
        <w:tabs>
          <w:tab w:val="clear" w:pos="720"/>
        </w:tabs>
        <w:ind w:left="567" w:hanging="567"/>
      </w:pPr>
      <w:r w:rsidRPr="00253DED">
        <w:t>nespecifinio vaginito;</w:t>
      </w:r>
    </w:p>
    <w:p w14:paraId="325F2D43" w14:textId="77777777" w:rsidR="0024722D" w:rsidRPr="00253DED" w:rsidRDefault="0024722D" w:rsidP="0024722D">
      <w:pPr>
        <w:numPr>
          <w:ilvl w:val="0"/>
          <w:numId w:val="8"/>
        </w:numPr>
        <w:tabs>
          <w:tab w:val="clear" w:pos="720"/>
        </w:tabs>
        <w:ind w:left="567" w:hanging="567"/>
        <w:rPr>
          <w:lang w:val="en-US"/>
        </w:rPr>
      </w:pPr>
      <w:r w:rsidRPr="00253DED">
        <w:rPr>
          <w:lang w:val="en-US"/>
        </w:rPr>
        <w:t>vyrų ir moterų lyties organų ir šlapimo takų trichomonozės;</w:t>
      </w:r>
    </w:p>
    <w:p w14:paraId="08582162" w14:textId="77777777" w:rsidR="0024722D" w:rsidRPr="00253DED" w:rsidRDefault="0024722D" w:rsidP="0024722D">
      <w:pPr>
        <w:numPr>
          <w:ilvl w:val="0"/>
          <w:numId w:val="8"/>
        </w:numPr>
        <w:tabs>
          <w:tab w:val="clear" w:pos="720"/>
        </w:tabs>
        <w:ind w:left="567" w:hanging="567"/>
      </w:pPr>
      <w:r w:rsidRPr="00253DED">
        <w:t>giardiazės;</w:t>
      </w:r>
    </w:p>
    <w:p w14:paraId="38056F5D" w14:textId="77777777" w:rsidR="0024722D" w:rsidRPr="00253DED" w:rsidRDefault="0024722D" w:rsidP="0024722D">
      <w:pPr>
        <w:numPr>
          <w:ilvl w:val="0"/>
          <w:numId w:val="8"/>
        </w:numPr>
        <w:tabs>
          <w:tab w:val="clear" w:pos="720"/>
        </w:tabs>
        <w:ind w:left="567" w:hanging="567"/>
      </w:pPr>
      <w:r w:rsidRPr="00253DED">
        <w:t>žarnyno amebiazės;</w:t>
      </w:r>
    </w:p>
    <w:p w14:paraId="438E168E" w14:textId="77777777" w:rsidR="0024722D" w:rsidRPr="00253DED" w:rsidRDefault="0024722D" w:rsidP="0024722D">
      <w:pPr>
        <w:numPr>
          <w:ilvl w:val="0"/>
          <w:numId w:val="8"/>
        </w:numPr>
        <w:tabs>
          <w:tab w:val="clear" w:pos="720"/>
        </w:tabs>
        <w:ind w:left="567" w:hanging="567"/>
      </w:pPr>
      <w:r w:rsidRPr="00253DED">
        <w:t>kepenų amebinio absceso.</w:t>
      </w:r>
    </w:p>
    <w:p w14:paraId="3D042246" w14:textId="77777777" w:rsidR="0024722D" w:rsidRPr="00253DED" w:rsidRDefault="0024722D" w:rsidP="0024722D">
      <w:pPr>
        <w:rPr>
          <w:i/>
        </w:rPr>
      </w:pPr>
    </w:p>
    <w:p w14:paraId="62A3A55A" w14:textId="77777777" w:rsidR="0024722D" w:rsidRPr="00253DED" w:rsidRDefault="0024722D" w:rsidP="0024722D">
      <w:r w:rsidRPr="00253DED">
        <w:t>Šis vaistas gali būti vartojamas anaerobinių bakterijų sukeltos infekuotos pooperacinės žaizdos, susijusios su skrandžio ir žarnyno, ypač storosios žarnos, bei ginekologinėmis operacijomis, profilaktikai.</w:t>
      </w:r>
    </w:p>
    <w:p w14:paraId="3B0B6A4D" w14:textId="77777777" w:rsidR="0024722D" w:rsidRPr="00253DED" w:rsidRDefault="0024722D" w:rsidP="0024722D"/>
    <w:p w14:paraId="3FF9E86F" w14:textId="77777777" w:rsidR="0024722D" w:rsidRPr="00253DED" w:rsidRDefault="0024722D" w:rsidP="0024722D">
      <w:r w:rsidRPr="00253DED">
        <w:t>Reikia atsižvelgti į oficialias vietines tinkamo antimikrobinių vaistų vartojimo rekomendacijas.</w:t>
      </w:r>
    </w:p>
    <w:p w14:paraId="7156C9B5" w14:textId="77777777" w:rsidR="0024722D" w:rsidRPr="00253DED" w:rsidRDefault="0024722D" w:rsidP="0024722D">
      <w:pPr>
        <w:rPr>
          <w:noProof/>
        </w:rPr>
      </w:pPr>
    </w:p>
    <w:p w14:paraId="2985075C" w14:textId="77777777" w:rsidR="0024722D" w:rsidRPr="00253DED" w:rsidRDefault="0024722D" w:rsidP="0024722D">
      <w:pPr>
        <w:rPr>
          <w:noProof/>
        </w:rPr>
      </w:pPr>
    </w:p>
    <w:p w14:paraId="6F782FC2" w14:textId="77777777" w:rsidR="0024722D" w:rsidRPr="00253DED" w:rsidRDefault="0024722D" w:rsidP="0024722D">
      <w:pPr>
        <w:keepNext/>
        <w:tabs>
          <w:tab w:val="left" w:pos="567"/>
        </w:tabs>
        <w:ind w:left="567" w:hanging="567"/>
        <w:outlineLvl w:val="1"/>
        <w:rPr>
          <w:b/>
          <w:lang w:val="x-none"/>
        </w:rPr>
      </w:pPr>
      <w:bookmarkStart w:id="11" w:name="_Toc129243140"/>
      <w:bookmarkStart w:id="12" w:name="_Toc129243265"/>
      <w:r w:rsidRPr="00253DED">
        <w:rPr>
          <w:b/>
          <w:lang w:val="x-none"/>
        </w:rPr>
        <w:t>2.</w:t>
      </w:r>
      <w:r w:rsidRPr="00253DED">
        <w:rPr>
          <w:b/>
          <w:lang w:val="x-none"/>
        </w:rPr>
        <w:tab/>
        <w:t>Kas žinotina prieš vartojant Tinidazol Polpharma</w:t>
      </w:r>
      <w:bookmarkEnd w:id="11"/>
      <w:bookmarkEnd w:id="12"/>
    </w:p>
    <w:p w14:paraId="70CD0F6C" w14:textId="77777777" w:rsidR="0024722D" w:rsidRPr="00253DED" w:rsidRDefault="0024722D" w:rsidP="0024722D">
      <w:pPr>
        <w:rPr>
          <w:noProof/>
        </w:rPr>
      </w:pPr>
    </w:p>
    <w:p w14:paraId="05D59C72" w14:textId="77777777" w:rsidR="0024722D" w:rsidRPr="00253DED" w:rsidRDefault="0024722D" w:rsidP="0024722D">
      <w:pPr>
        <w:rPr>
          <w:b/>
          <w:bCs/>
        </w:rPr>
      </w:pPr>
      <w:r w:rsidRPr="00253DED">
        <w:rPr>
          <w:b/>
          <w:bCs/>
        </w:rPr>
        <w:t xml:space="preserve"> Tinidazol Polpharma vartoti negalima:</w:t>
      </w:r>
    </w:p>
    <w:p w14:paraId="6EDF7EC7" w14:textId="77777777" w:rsidR="0024722D" w:rsidRPr="00253DED" w:rsidRDefault="0024722D" w:rsidP="0024722D">
      <w:pPr>
        <w:numPr>
          <w:ilvl w:val="0"/>
          <w:numId w:val="7"/>
        </w:numPr>
        <w:tabs>
          <w:tab w:val="num" w:pos="567"/>
        </w:tabs>
        <w:ind w:left="567" w:hanging="567"/>
        <w:rPr>
          <w:noProof/>
        </w:rPr>
      </w:pPr>
      <w:r w:rsidRPr="00253DED">
        <w:rPr>
          <w:noProof/>
        </w:rPr>
        <w:t xml:space="preserve">jeigu yra alergija tinidazolui arba bet kuriai pagalbinei </w:t>
      </w:r>
      <w:r w:rsidRPr="00253DED">
        <w:rPr>
          <w:bCs/>
          <w:noProof/>
        </w:rPr>
        <w:t>šio vaisto</w:t>
      </w:r>
      <w:r w:rsidRPr="00253DED">
        <w:rPr>
          <w:b/>
          <w:noProof/>
        </w:rPr>
        <w:t xml:space="preserve"> </w:t>
      </w:r>
      <w:r w:rsidRPr="00253DED">
        <w:rPr>
          <w:noProof/>
        </w:rPr>
        <w:t>medžiagai (jos išvardytos 6 skyriuje);</w:t>
      </w:r>
    </w:p>
    <w:p w14:paraId="0F0F8F6F" w14:textId="77777777" w:rsidR="0024722D" w:rsidRPr="00253DED" w:rsidRDefault="0024722D" w:rsidP="0024722D">
      <w:pPr>
        <w:numPr>
          <w:ilvl w:val="0"/>
          <w:numId w:val="7"/>
        </w:numPr>
        <w:tabs>
          <w:tab w:val="num" w:pos="567"/>
        </w:tabs>
        <w:ind w:left="567" w:hanging="567"/>
        <w:rPr>
          <w:noProof/>
        </w:rPr>
      </w:pPr>
      <w:r w:rsidRPr="00253DED">
        <w:rPr>
          <w:noProof/>
        </w:rPr>
        <w:t>jeigu pacientas serga organine nervų sistemos liga;</w:t>
      </w:r>
    </w:p>
    <w:p w14:paraId="62FE419B" w14:textId="77777777" w:rsidR="0024722D" w:rsidRPr="00253DED" w:rsidRDefault="0024722D" w:rsidP="0024722D">
      <w:pPr>
        <w:numPr>
          <w:ilvl w:val="0"/>
          <w:numId w:val="7"/>
        </w:numPr>
        <w:tabs>
          <w:tab w:val="num" w:pos="567"/>
        </w:tabs>
        <w:ind w:left="567" w:hanging="567"/>
        <w:rPr>
          <w:noProof/>
        </w:rPr>
      </w:pPr>
      <w:r w:rsidRPr="00253DED">
        <w:rPr>
          <w:noProof/>
        </w:rPr>
        <w:t>buvo kraujo patologinių pokyčių;</w:t>
      </w:r>
    </w:p>
    <w:p w14:paraId="4F27BE8F" w14:textId="77777777" w:rsidR="0024722D" w:rsidRPr="00253DED" w:rsidRDefault="0024722D" w:rsidP="0024722D">
      <w:pPr>
        <w:numPr>
          <w:ilvl w:val="0"/>
          <w:numId w:val="7"/>
        </w:numPr>
        <w:tabs>
          <w:tab w:val="num" w:pos="567"/>
        </w:tabs>
        <w:ind w:left="567" w:hanging="567"/>
      </w:pPr>
      <w:r w:rsidRPr="00253DED">
        <w:rPr>
          <w:noProof/>
        </w:rPr>
        <w:t xml:space="preserve">pirmuosius tris nėštumo mėnesius ir žindymo laikotarpiu. </w:t>
      </w:r>
    </w:p>
    <w:p w14:paraId="42C65954" w14:textId="77777777" w:rsidR="0024722D" w:rsidRPr="00253DED" w:rsidRDefault="0024722D" w:rsidP="0024722D">
      <w:pPr>
        <w:rPr>
          <w:b/>
          <w:bCs/>
        </w:rPr>
      </w:pPr>
    </w:p>
    <w:p w14:paraId="4E5DBC23" w14:textId="77777777" w:rsidR="0024722D" w:rsidRPr="00253DED" w:rsidRDefault="0024722D" w:rsidP="0024722D">
      <w:pPr>
        <w:rPr>
          <w:b/>
          <w:bCs/>
        </w:rPr>
      </w:pPr>
      <w:r w:rsidRPr="00253DED">
        <w:rPr>
          <w:b/>
          <w:bCs/>
        </w:rPr>
        <w:t>Įspėjimai ir atsargumo priemonės</w:t>
      </w:r>
    </w:p>
    <w:p w14:paraId="7D0775A2" w14:textId="77777777" w:rsidR="0024722D" w:rsidRPr="00253DED" w:rsidRDefault="0024722D" w:rsidP="0024722D">
      <w:pPr>
        <w:rPr>
          <w:b/>
          <w:bCs/>
        </w:rPr>
      </w:pPr>
      <w:r w:rsidRPr="00253DED">
        <w:rPr>
          <w:b/>
          <w:bCs/>
        </w:rPr>
        <w:t>Pasitarkite su gydytoju arba vaistininku, prieš pradėdami vartoti Tinidazol Polpharma.</w:t>
      </w:r>
    </w:p>
    <w:p w14:paraId="2238CFC6" w14:textId="77777777" w:rsidR="0024722D" w:rsidRPr="00253DED" w:rsidRDefault="0024722D" w:rsidP="0024722D">
      <w:pPr>
        <w:numPr>
          <w:ilvl w:val="1"/>
          <w:numId w:val="7"/>
        </w:numPr>
        <w:tabs>
          <w:tab w:val="clear" w:pos="15"/>
        </w:tabs>
        <w:ind w:left="567" w:hanging="567"/>
      </w:pPr>
      <w:r w:rsidRPr="00253DED">
        <w:lastRenderedPageBreak/>
        <w:t xml:space="preserve">Vartojant tinidazolo ir gydymą baigus dar mažiausiai tris paras negalima gerti alkoholinių gėrimų, kadangi gali pasireikšti reakcija (karščio pylimas, pilvo diegliai, vėmimas, tachikardija), panaši į disulfiramo sukeliamą reakciją. </w:t>
      </w:r>
    </w:p>
    <w:p w14:paraId="7887A595" w14:textId="77777777" w:rsidR="0024722D" w:rsidRPr="00253DED" w:rsidRDefault="0024722D" w:rsidP="0024722D">
      <w:pPr>
        <w:numPr>
          <w:ilvl w:val="1"/>
          <w:numId w:val="7"/>
        </w:numPr>
        <w:tabs>
          <w:tab w:val="clear" w:pos="15"/>
        </w:tabs>
        <w:ind w:left="567" w:hanging="567"/>
      </w:pPr>
      <w:r w:rsidRPr="00253DED">
        <w:t>Tinidazolu gydomam pacientui gali sutrikti nervų sistemos veikla: sukasi ir svaigsta galva, pasireiškia ataksija, periferinė neuropatija. Jei atsiranda tokių sutrikimų, gydymą tinidazolu reikia nutraukti.</w:t>
      </w:r>
    </w:p>
    <w:p w14:paraId="06E85059" w14:textId="77777777" w:rsidR="0024722D" w:rsidRPr="00253DED" w:rsidRDefault="0024722D" w:rsidP="0024722D">
      <w:pPr>
        <w:numPr>
          <w:ilvl w:val="1"/>
          <w:numId w:val="7"/>
        </w:numPr>
        <w:tabs>
          <w:tab w:val="clear" w:pos="15"/>
        </w:tabs>
        <w:ind w:left="567" w:hanging="567"/>
      </w:pPr>
      <w:r w:rsidRPr="00253DED">
        <w:t>Vaisto reikia vartoti atsargiai pacientams, sergantiems sunkia kepenų liga (įskaitant kepenų encefalopatiją). Tokiu atveju būtina tinkamai koreguoti vaisto dozavimą.</w:t>
      </w:r>
    </w:p>
    <w:p w14:paraId="195F2CB1" w14:textId="77777777" w:rsidR="0024722D" w:rsidRPr="00253DED" w:rsidRDefault="0024722D" w:rsidP="0024722D">
      <w:pPr>
        <w:numPr>
          <w:ilvl w:val="1"/>
          <w:numId w:val="7"/>
        </w:numPr>
        <w:tabs>
          <w:tab w:val="clear" w:pos="15"/>
        </w:tabs>
        <w:ind w:left="567" w:hanging="567"/>
      </w:pPr>
      <w:r w:rsidRPr="00253DED">
        <w:t>Pacientų, vartojančių vaisto ilgiau negu 10 parų, būklę bei laboratorinių tyrimų rodmenis reikėtų nuolat stebėti.</w:t>
      </w:r>
    </w:p>
    <w:p w14:paraId="73424B47" w14:textId="77777777" w:rsidR="0024722D" w:rsidRPr="00253DED" w:rsidRDefault="0024722D" w:rsidP="0024722D">
      <w:pPr>
        <w:numPr>
          <w:ilvl w:val="1"/>
          <w:numId w:val="7"/>
        </w:numPr>
        <w:tabs>
          <w:tab w:val="clear" w:pos="15"/>
        </w:tabs>
        <w:ind w:left="567" w:hanging="567"/>
      </w:pPr>
      <w:r w:rsidRPr="00253DED">
        <w:t>Vartojant tinidazolą, gali pasireikšti mieliagrybių sukelta užkrečiamoji liga. Superinfekcijos atveju pacientui turi būti skiriamas atitinkamas gydymas.</w:t>
      </w:r>
    </w:p>
    <w:p w14:paraId="514EDFD9" w14:textId="77777777" w:rsidR="0024722D" w:rsidRPr="00253DED" w:rsidRDefault="0024722D" w:rsidP="0024722D">
      <w:pPr>
        <w:rPr>
          <w:noProof/>
        </w:rPr>
      </w:pPr>
    </w:p>
    <w:p w14:paraId="59EE67D0" w14:textId="77777777" w:rsidR="0024722D" w:rsidRPr="00253DED" w:rsidRDefault="0024722D" w:rsidP="0024722D">
      <w:pPr>
        <w:rPr>
          <w:b/>
          <w:bCs/>
        </w:rPr>
      </w:pPr>
      <w:r w:rsidRPr="00253DED">
        <w:rPr>
          <w:b/>
          <w:bCs/>
        </w:rPr>
        <w:t>Kiti vaistai ir Tinidazol Polpharma</w:t>
      </w:r>
    </w:p>
    <w:p w14:paraId="2A118A8E" w14:textId="77777777" w:rsidR="0024722D" w:rsidRPr="00253DED" w:rsidRDefault="0024722D" w:rsidP="0024722D">
      <w:pPr>
        <w:rPr>
          <w:noProof/>
        </w:rPr>
      </w:pPr>
      <w:r w:rsidRPr="00253DED">
        <w:rPr>
          <w:noProof/>
        </w:rPr>
        <w:t>Jeigu vartojate ar neseniai vartojote kitų vaistų arba dėl to nesate tikri, apie tai pasakykite gydytojui arba vaistininkui.</w:t>
      </w:r>
    </w:p>
    <w:p w14:paraId="7DFD23F4" w14:textId="77777777" w:rsidR="0024722D" w:rsidRPr="00253DED" w:rsidRDefault="0024722D" w:rsidP="0024722D">
      <w:pPr>
        <w:numPr>
          <w:ilvl w:val="0"/>
          <w:numId w:val="9"/>
        </w:numPr>
        <w:tabs>
          <w:tab w:val="clear" w:pos="1443"/>
        </w:tabs>
        <w:ind w:left="567" w:hanging="567"/>
        <w:rPr>
          <w:lang w:val="en-US"/>
        </w:rPr>
      </w:pPr>
      <w:r w:rsidRPr="00253DED">
        <w:t xml:space="preserve">Tinidazolą vartojant kartu su alkoholiu, gali pasireikšti disulfiramo tipo reakcija (paraudimas, pilvo diegliai, vėmimas, pulso padažnėjimas). </w:t>
      </w:r>
      <w:r w:rsidRPr="00253DED">
        <w:rPr>
          <w:lang w:val="en-US"/>
        </w:rPr>
        <w:t>Gydantis tinidazolu ir tris dienas po gydymo pabaigos, negalima gerti alkoholio.</w:t>
      </w:r>
    </w:p>
    <w:p w14:paraId="73593495" w14:textId="77777777" w:rsidR="0024722D" w:rsidRPr="00253DED" w:rsidRDefault="0024722D" w:rsidP="0024722D">
      <w:pPr>
        <w:numPr>
          <w:ilvl w:val="0"/>
          <w:numId w:val="9"/>
        </w:numPr>
        <w:tabs>
          <w:tab w:val="clear" w:pos="1443"/>
        </w:tabs>
        <w:ind w:left="567" w:hanging="567"/>
        <w:rPr>
          <w:lang w:val="en-US"/>
        </w:rPr>
      </w:pPr>
      <w:r w:rsidRPr="00253DED">
        <w:rPr>
          <w:lang w:val="en-US"/>
        </w:rPr>
        <w:t>Alkoholį vartojantiems pacientams, kurie gydosi disulfiramu, gali atsirasti psichozės simptomų. Pacientams, kurie per praėjusias dvi savaites vartojo disulfiramą, tinidazolo vartoti negalima.</w:t>
      </w:r>
    </w:p>
    <w:p w14:paraId="40433C87" w14:textId="77777777" w:rsidR="0024722D" w:rsidRPr="00253DED" w:rsidRDefault="0024722D" w:rsidP="0024722D">
      <w:pPr>
        <w:numPr>
          <w:ilvl w:val="0"/>
          <w:numId w:val="9"/>
        </w:numPr>
        <w:tabs>
          <w:tab w:val="clear" w:pos="1443"/>
        </w:tabs>
        <w:ind w:left="567" w:hanging="567"/>
        <w:rPr>
          <w:lang w:val="en-US"/>
        </w:rPr>
      </w:pPr>
      <w:r w:rsidRPr="00253DED">
        <w:rPr>
          <w:lang w:val="en-US"/>
        </w:rPr>
        <w:t>Tinidazolas, vartojamas kartu su antikoaguliantais, stiprina šių vaistų poveikį kraujo krešėjimui. Reikia atidžiai nustatinėti protrombino laiką ir, jeigu reikia, keisti antikoaguliantų dozę.</w:t>
      </w:r>
    </w:p>
    <w:p w14:paraId="6E75DF62" w14:textId="77777777" w:rsidR="0024722D" w:rsidRPr="00253DED" w:rsidRDefault="0024722D" w:rsidP="0024722D">
      <w:pPr>
        <w:numPr>
          <w:ilvl w:val="0"/>
          <w:numId w:val="9"/>
        </w:numPr>
        <w:tabs>
          <w:tab w:val="clear" w:pos="1443"/>
        </w:tabs>
        <w:ind w:left="567" w:hanging="567"/>
        <w:rPr>
          <w:lang w:val="x-none"/>
        </w:rPr>
      </w:pPr>
      <w:r w:rsidRPr="00253DED">
        <w:rPr>
          <w:lang w:val="x-none"/>
        </w:rPr>
        <w:t>Cimetidinas slopina tinidazolo metabolizmą kepenyse (plazmoje padidėja tinidazolo koncentracija).</w:t>
      </w:r>
    </w:p>
    <w:p w14:paraId="3B07925C" w14:textId="77777777" w:rsidR="0024722D" w:rsidRPr="00253DED" w:rsidRDefault="0024722D" w:rsidP="0024722D">
      <w:pPr>
        <w:numPr>
          <w:ilvl w:val="0"/>
          <w:numId w:val="9"/>
        </w:numPr>
        <w:tabs>
          <w:tab w:val="clear" w:pos="1443"/>
        </w:tabs>
        <w:ind w:left="567" w:hanging="567"/>
      </w:pPr>
      <w:r w:rsidRPr="00253DED">
        <w:t>Kaip ir kitokie 5-nitroimidazolo junginiai (pvz., metronidazolas), tinidazolas gali slopinti fenitoino metabolizmą, todėl šių vaistų koncentracija serume gali padidėti. Vartojant kartu tinidazolą, reikia nustatinėti ličio ir kreatinino koncentraciją kraujo serume, nes gali pasireikšti toksinis ličio poveikis.</w:t>
      </w:r>
    </w:p>
    <w:p w14:paraId="2C86B2A8" w14:textId="77777777" w:rsidR="0024722D" w:rsidRPr="00253DED" w:rsidRDefault="0024722D" w:rsidP="0024722D">
      <w:pPr>
        <w:numPr>
          <w:ilvl w:val="0"/>
          <w:numId w:val="9"/>
        </w:numPr>
        <w:tabs>
          <w:tab w:val="clear" w:pos="1443"/>
        </w:tabs>
        <w:ind w:left="567" w:hanging="567"/>
        <w:rPr>
          <w:lang w:val="x-none"/>
        </w:rPr>
      </w:pPr>
      <w:r w:rsidRPr="00253DED">
        <w:rPr>
          <w:lang w:val="x-none"/>
        </w:rPr>
        <w:t>Fenobarbitalis skatina 5-nitroimidazolo junginių metabolizmą, todėl jų koncentracija serume gali sumažėti.</w:t>
      </w:r>
    </w:p>
    <w:p w14:paraId="4680ABB3" w14:textId="77777777" w:rsidR="0024722D" w:rsidRPr="00253DED" w:rsidRDefault="0024722D" w:rsidP="0024722D">
      <w:pPr>
        <w:numPr>
          <w:ilvl w:val="0"/>
          <w:numId w:val="9"/>
        </w:numPr>
        <w:tabs>
          <w:tab w:val="clear" w:pos="1443"/>
        </w:tabs>
        <w:ind w:left="567" w:hanging="567"/>
        <w:rPr>
          <w:lang w:val="x-none"/>
        </w:rPr>
      </w:pPr>
      <w:r w:rsidRPr="00253DED">
        <w:rPr>
          <w:lang w:val="x-none"/>
        </w:rPr>
        <w:t>Tinidazolą reikia atsargiai vartoti kartu su ciklosporinu ar takrolimuzu, nes gali padidėti ciklosporino ar takolimuzo koncentracijos serume ir sustiprėti toksinis poveikis.</w:t>
      </w:r>
    </w:p>
    <w:p w14:paraId="5147D59B" w14:textId="77777777" w:rsidR="0024722D" w:rsidRPr="00253DED" w:rsidRDefault="0024722D" w:rsidP="0024722D">
      <w:pPr>
        <w:numPr>
          <w:ilvl w:val="0"/>
          <w:numId w:val="9"/>
        </w:numPr>
        <w:tabs>
          <w:tab w:val="clear" w:pos="1443"/>
        </w:tabs>
        <w:ind w:left="567" w:hanging="567"/>
      </w:pPr>
      <w:r w:rsidRPr="00253DED">
        <w:t>Gydantis fluorouracilu, dėl sulėtėjusio fluorouracilo šalinimo iš organizmo gali sustiprėti gydomasis poveikis. Jeigu tinidazolą vartoti kartu būtina, reikia stebėti, ar neatsiranda su fluorouracilo vartojimu susijusio toksinio poveikio.</w:t>
      </w:r>
    </w:p>
    <w:p w14:paraId="4BDA8482" w14:textId="77777777" w:rsidR="0024722D" w:rsidRPr="00253DED" w:rsidRDefault="0024722D" w:rsidP="0024722D">
      <w:pPr>
        <w:rPr>
          <w:lang w:val="x-none"/>
        </w:rPr>
      </w:pPr>
    </w:p>
    <w:p w14:paraId="191A49F8" w14:textId="77777777" w:rsidR="0024722D" w:rsidRPr="00253DED" w:rsidRDefault="0024722D" w:rsidP="0024722D">
      <w:pPr>
        <w:rPr>
          <w:b/>
          <w:bCs/>
        </w:rPr>
      </w:pPr>
      <w:r w:rsidRPr="00253DED">
        <w:rPr>
          <w:b/>
          <w:bCs/>
        </w:rPr>
        <w:t>Tinidazol Polpharma vartojimas su maistu ir gėrimais</w:t>
      </w:r>
    </w:p>
    <w:p w14:paraId="2094614C" w14:textId="77777777" w:rsidR="0024722D" w:rsidRPr="00253DED" w:rsidRDefault="0024722D" w:rsidP="0024722D">
      <w:r w:rsidRPr="00253DED">
        <w:t>Gydymo tinidazolu metu ir po jo dar mažiausiai tris paras negalima gerti alkoholinių gėrimų, kadangi gali pasireikšti reakcija (karščio pylimas, pilvo diegliai, vėmimas, tachikardija), panaši į disulfiramo sukeliamą reakciją.</w:t>
      </w:r>
    </w:p>
    <w:p w14:paraId="77656EE8" w14:textId="77777777" w:rsidR="0024722D" w:rsidRPr="00253DED" w:rsidRDefault="0024722D" w:rsidP="0024722D">
      <w:pPr>
        <w:rPr>
          <w:noProof/>
        </w:rPr>
      </w:pPr>
    </w:p>
    <w:p w14:paraId="095CB35E" w14:textId="77777777" w:rsidR="0024722D" w:rsidRPr="00253DED" w:rsidRDefault="0024722D" w:rsidP="0024722D">
      <w:pPr>
        <w:rPr>
          <w:b/>
          <w:bCs/>
        </w:rPr>
      </w:pPr>
      <w:r w:rsidRPr="00253DED">
        <w:rPr>
          <w:b/>
          <w:bCs/>
        </w:rPr>
        <w:t>Nėštumas ir žindymo laikotarpis</w:t>
      </w:r>
    </w:p>
    <w:p w14:paraId="4459E501" w14:textId="77777777" w:rsidR="0024722D" w:rsidRPr="00253DED" w:rsidRDefault="0024722D" w:rsidP="0024722D">
      <w:pPr>
        <w:rPr>
          <w:noProof/>
        </w:rPr>
      </w:pPr>
      <w:r w:rsidRPr="00253DED">
        <w:rPr>
          <w:noProof/>
        </w:rPr>
        <w:t>Jeigu esate nėščia, žindote kūdikį, manote, kad galbūt esate nėščia, arba planuojate pastoti, tai prieš vartodama šį vaistą, pasitarkite su gydytoju arba vaistininku.</w:t>
      </w:r>
    </w:p>
    <w:p w14:paraId="47B3389F" w14:textId="77777777" w:rsidR="0024722D" w:rsidRPr="00253DED" w:rsidRDefault="0024722D" w:rsidP="0024722D">
      <w:r w:rsidRPr="00253DED">
        <w:t>Tinidazolas prasiskverbia per placentą, todėl jo vartoti pirmuosius tris nėštumo mėnesius negalima. Paskutiniuosius šešis nėštumo mėnesius vaisto galima vartoti tik tokiu atveju, jei nauda didesnė už pavojų vaisiui.</w:t>
      </w:r>
    </w:p>
    <w:p w14:paraId="418FFCC2" w14:textId="77777777" w:rsidR="0024722D" w:rsidRPr="00253DED" w:rsidRDefault="0024722D" w:rsidP="0024722D">
      <w:r w:rsidRPr="00253DED">
        <w:t xml:space="preserve">Tinidazolis išsiskiria su motinos pienu, todėl jo vartojant žindymą reikia nutraukti. </w:t>
      </w:r>
    </w:p>
    <w:p w14:paraId="4BE085E1" w14:textId="77777777" w:rsidR="0024722D" w:rsidRPr="00253DED" w:rsidRDefault="0024722D" w:rsidP="0024722D">
      <w:r w:rsidRPr="00253DED">
        <w:t xml:space="preserve">Išgėrus tinidazolo, jo motinos piene gali būti net 72 val., todėl, nutraukus vaisto vartojimą, žindyti galima ne anksčiau kaip po 72 val. </w:t>
      </w:r>
    </w:p>
    <w:p w14:paraId="7F7CD5B0" w14:textId="77777777" w:rsidR="0024722D" w:rsidRPr="00253DED" w:rsidRDefault="0024722D" w:rsidP="0024722D">
      <w:pPr>
        <w:rPr>
          <w:noProof/>
        </w:rPr>
      </w:pPr>
    </w:p>
    <w:p w14:paraId="731EAFAE" w14:textId="77777777" w:rsidR="0024722D" w:rsidRPr="00253DED" w:rsidRDefault="0024722D" w:rsidP="0024722D">
      <w:pPr>
        <w:rPr>
          <w:b/>
          <w:bCs/>
        </w:rPr>
      </w:pPr>
      <w:r w:rsidRPr="00253DED">
        <w:rPr>
          <w:b/>
          <w:bCs/>
        </w:rPr>
        <w:t>Vairavimas ir mechanizmų valdymas</w:t>
      </w:r>
    </w:p>
    <w:p w14:paraId="7B469208" w14:textId="77777777" w:rsidR="0024722D" w:rsidRPr="00253DED" w:rsidRDefault="0024722D" w:rsidP="0024722D">
      <w:pPr>
        <w:rPr>
          <w:lang w:val="x-none"/>
        </w:rPr>
      </w:pPr>
      <w:r w:rsidRPr="00253DED">
        <w:rPr>
          <w:lang w:val="x-none"/>
        </w:rPr>
        <w:t xml:space="preserve">Tinidazolas gali ilginti reakcijos laiką žmonėms, kurie vairuoja ar valdo mechanizmus. Pacientą būtina informuoti, kad vartojant vaisto vairuoti transportą ir valdyti mechanizmus gali būti pavojinga. </w:t>
      </w:r>
    </w:p>
    <w:p w14:paraId="5D5D256E" w14:textId="77777777" w:rsidR="0024722D" w:rsidRPr="00253DED" w:rsidRDefault="0024722D" w:rsidP="0024722D">
      <w:pPr>
        <w:rPr>
          <w:noProof/>
        </w:rPr>
      </w:pPr>
    </w:p>
    <w:p w14:paraId="2D785B46" w14:textId="374A9E09" w:rsidR="004652D5" w:rsidRPr="000B781E" w:rsidRDefault="004652D5" w:rsidP="004652D5">
      <w:pPr>
        <w:rPr>
          <w:b/>
          <w:noProof/>
          <w:szCs w:val="22"/>
          <w:lang w:eastAsia="x-none"/>
        </w:rPr>
      </w:pPr>
      <w:r w:rsidRPr="00253DED">
        <w:rPr>
          <w:b/>
          <w:lang w:val="x-none"/>
        </w:rPr>
        <w:t xml:space="preserve">Tinidazol </w:t>
      </w:r>
      <w:r w:rsidRPr="000B781E">
        <w:rPr>
          <w:b/>
          <w:szCs w:val="22"/>
        </w:rPr>
        <w:t>Polpharma sudėtyje yra natrio</w:t>
      </w:r>
    </w:p>
    <w:p w14:paraId="7D5253FC" w14:textId="1A0542D0" w:rsidR="004652D5" w:rsidRPr="000B781E" w:rsidRDefault="004652D5" w:rsidP="004652D5">
      <w:pPr>
        <w:autoSpaceDE w:val="0"/>
        <w:autoSpaceDN w:val="0"/>
        <w:adjustRightInd w:val="0"/>
        <w:rPr>
          <w:rFonts w:eastAsiaTheme="minorHAnsi"/>
          <w:szCs w:val="22"/>
        </w:rPr>
      </w:pPr>
      <w:r w:rsidRPr="000B781E">
        <w:rPr>
          <w:szCs w:val="22"/>
        </w:rPr>
        <w:lastRenderedPageBreak/>
        <w:t xml:space="preserve">Šio vaisto </w:t>
      </w:r>
      <w:r w:rsidR="0033478A">
        <w:rPr>
          <w:szCs w:val="22"/>
        </w:rPr>
        <w:t>kiekvienoje plėvele dengtoje tabletėje</w:t>
      </w:r>
      <w:r w:rsidRPr="000B781E">
        <w:rPr>
          <w:szCs w:val="22"/>
        </w:rPr>
        <w:t xml:space="preserve"> yra mažiau kaip 1 mmol (23 mg) natrio, t.y. jis beveik neturi reikšmės.</w:t>
      </w:r>
    </w:p>
    <w:p w14:paraId="5971D5C9" w14:textId="18B11C1B" w:rsidR="0024722D" w:rsidRDefault="0024722D" w:rsidP="0024722D">
      <w:pPr>
        <w:rPr>
          <w:noProof/>
        </w:rPr>
      </w:pPr>
    </w:p>
    <w:p w14:paraId="5D900283" w14:textId="77777777" w:rsidR="004652D5" w:rsidRPr="00253DED" w:rsidRDefault="004652D5" w:rsidP="0024722D">
      <w:pPr>
        <w:rPr>
          <w:noProof/>
        </w:rPr>
      </w:pPr>
    </w:p>
    <w:p w14:paraId="7F235E47" w14:textId="77777777" w:rsidR="0024722D" w:rsidRPr="00253DED" w:rsidRDefault="0024722D" w:rsidP="0024722D">
      <w:pPr>
        <w:keepNext/>
        <w:tabs>
          <w:tab w:val="left" w:pos="567"/>
        </w:tabs>
        <w:ind w:left="567" w:hanging="567"/>
        <w:outlineLvl w:val="1"/>
        <w:rPr>
          <w:b/>
          <w:lang w:val="x-none"/>
        </w:rPr>
      </w:pPr>
      <w:bookmarkStart w:id="13" w:name="_Toc129243141"/>
      <w:bookmarkStart w:id="14" w:name="_Toc129243266"/>
      <w:r w:rsidRPr="00253DED">
        <w:rPr>
          <w:b/>
          <w:lang w:val="x-none"/>
        </w:rPr>
        <w:t>3.</w:t>
      </w:r>
      <w:r w:rsidRPr="00253DED">
        <w:rPr>
          <w:b/>
          <w:lang w:val="x-none"/>
        </w:rPr>
        <w:tab/>
        <w:t>Kaip vartoti Tinidazol Polpharma</w:t>
      </w:r>
      <w:bookmarkEnd w:id="13"/>
      <w:bookmarkEnd w:id="14"/>
    </w:p>
    <w:p w14:paraId="0AE4B6F8" w14:textId="77777777" w:rsidR="0024722D" w:rsidRPr="00253DED" w:rsidRDefault="0024722D" w:rsidP="0024722D">
      <w:pPr>
        <w:rPr>
          <w:noProof/>
        </w:rPr>
      </w:pPr>
    </w:p>
    <w:p w14:paraId="034BEE3C" w14:textId="77777777" w:rsidR="0024722D" w:rsidRPr="00253DED" w:rsidRDefault="0024722D" w:rsidP="0024722D">
      <w:pPr>
        <w:rPr>
          <w:noProof/>
        </w:rPr>
      </w:pPr>
      <w:r w:rsidRPr="00253DED">
        <w:rPr>
          <w:noProof/>
        </w:rPr>
        <w:t>Visada vartokite šį vaistą tiksliai kaip nurodė gydytojas. Jeigu abejojate, kreipkitės į gydytoją arba vaistininką.</w:t>
      </w:r>
    </w:p>
    <w:p w14:paraId="12FF38BC" w14:textId="77777777" w:rsidR="0024722D" w:rsidRPr="00253DED" w:rsidRDefault="0024722D" w:rsidP="0024722D">
      <w:pPr>
        <w:rPr>
          <w:u w:val="single"/>
        </w:rPr>
      </w:pPr>
      <w:r w:rsidRPr="00253DED">
        <w:t>Vaisto vartojama gydytojo nurodymu!</w:t>
      </w:r>
    </w:p>
    <w:p w14:paraId="64303BF8" w14:textId="77777777" w:rsidR="0024722D" w:rsidRPr="00253DED" w:rsidRDefault="0024722D" w:rsidP="0024722D">
      <w:r w:rsidRPr="00253DED">
        <w:t>Šį vaitą reikia vartoti  valgant ar po valgio.</w:t>
      </w:r>
    </w:p>
    <w:p w14:paraId="2979885D" w14:textId="77777777" w:rsidR="0024722D" w:rsidRPr="00253DED" w:rsidRDefault="0024722D" w:rsidP="0024722D"/>
    <w:p w14:paraId="36712783" w14:textId="77777777" w:rsidR="0024722D" w:rsidRPr="00253DED" w:rsidRDefault="0024722D" w:rsidP="0024722D">
      <w:pPr>
        <w:rPr>
          <w:u w:val="single"/>
        </w:rPr>
      </w:pPr>
      <w:r w:rsidRPr="00253DED">
        <w:rPr>
          <w:i/>
          <w:u w:val="single"/>
        </w:rPr>
        <w:t>Helicobacter pylori</w:t>
      </w:r>
      <w:r w:rsidRPr="00253DED">
        <w:rPr>
          <w:u w:val="single"/>
        </w:rPr>
        <w:t>, susijusios su dvylikapirštės žarnos opomis, išnaikinimas</w:t>
      </w:r>
    </w:p>
    <w:p w14:paraId="2E058A42" w14:textId="77777777" w:rsidR="0024722D" w:rsidRPr="00253DED" w:rsidRDefault="0024722D" w:rsidP="0024722D">
      <w:r w:rsidRPr="00253DED">
        <w:rPr>
          <w:i/>
        </w:rPr>
        <w:t>Suaugusiesiems</w:t>
      </w:r>
    </w:p>
    <w:p w14:paraId="2595CC43" w14:textId="77777777" w:rsidR="0024722D" w:rsidRPr="00253DED" w:rsidRDefault="0024722D" w:rsidP="0024722D">
      <w:r w:rsidRPr="00253DED">
        <w:t>Įprastinė tinidazolo dozė - 500 mg du kartus per parą kartu su 20 mg omeprazolo du kartus per parą ir 250 mg klaritromicino du kartus per parą 7 dienas</w:t>
      </w:r>
    </w:p>
    <w:p w14:paraId="7EC9E859" w14:textId="77777777" w:rsidR="0024722D" w:rsidRPr="00253DED" w:rsidRDefault="0024722D" w:rsidP="0024722D">
      <w:pPr>
        <w:rPr>
          <w:u w:val="single"/>
        </w:rPr>
      </w:pPr>
      <w:r w:rsidRPr="00253DED">
        <w:rPr>
          <w:u w:val="single"/>
        </w:rPr>
        <w:t>Anaerobinių mikroorganizmų sukeltos užkrečiamosios ligos</w:t>
      </w:r>
    </w:p>
    <w:p w14:paraId="22E39F83" w14:textId="77777777" w:rsidR="0024722D" w:rsidRPr="00253DED" w:rsidRDefault="0024722D" w:rsidP="0024722D">
      <w:r w:rsidRPr="00253DED">
        <w:rPr>
          <w:i/>
        </w:rPr>
        <w:t>Suaugusiesiems</w:t>
      </w:r>
    </w:p>
    <w:p w14:paraId="116B1DC3" w14:textId="77777777" w:rsidR="0024722D" w:rsidRPr="00253DED" w:rsidRDefault="0024722D" w:rsidP="0024722D">
      <w:r w:rsidRPr="00253DED">
        <w:t xml:space="preserve">Pradinė dozė pirmą dieną - </w:t>
      </w:r>
      <w:smartTag w:uri="urn:schemas-microsoft-com:office:smarttags" w:element="metricconverter">
        <w:smartTagPr>
          <w:attr w:name="ProductID" w:val="2ﾠg"/>
        </w:smartTagPr>
        <w:r w:rsidRPr="00253DED">
          <w:t>2 g</w:t>
        </w:r>
      </w:smartTag>
      <w:r w:rsidRPr="00253DED">
        <w:t xml:space="preserve">, po to reikia gerti po </w:t>
      </w:r>
      <w:smartTag w:uri="urn:schemas-microsoft-com:office:smarttags" w:element="metricconverter">
        <w:r w:rsidRPr="00253DED">
          <w:t>1 g</w:t>
        </w:r>
      </w:smartTag>
      <w:r w:rsidRPr="00253DED">
        <w:t xml:space="preserve"> vieną kartą per parą arba po 500 mg du kartus per parą. Dažniausiai pakanka gydyti 5</w:t>
      </w:r>
      <w:r w:rsidRPr="00253DED">
        <w:noBreakHyphen/>
        <w:t>6 dienas, bet nustatant gydymo trukmę, reikia atsižvelgti į paciento būklę, ypač tais atvejais, kai gali būti sunku išnaikinti kai kurių vietų infekciją. Jeigu reikia gydyti ilgiau nei 7 dienas, rekomenduojamas įprastinis paciento būklės ir laboratorinių tyrimų stebėjimas.</w:t>
      </w:r>
    </w:p>
    <w:p w14:paraId="55618C05" w14:textId="77777777" w:rsidR="0024722D" w:rsidRPr="00253DED" w:rsidRDefault="0024722D" w:rsidP="0024722D"/>
    <w:p w14:paraId="1A456EEA" w14:textId="77777777" w:rsidR="0024722D" w:rsidRPr="00253DED" w:rsidRDefault="0024722D" w:rsidP="0024722D">
      <w:r w:rsidRPr="00253DED">
        <w:rPr>
          <w:i/>
        </w:rPr>
        <w:t>Jaunesniems nei 12 metų vaikams</w:t>
      </w:r>
      <w:r w:rsidRPr="00253DED">
        <w:t xml:space="preserve"> – duomenų nėra.</w:t>
      </w:r>
    </w:p>
    <w:p w14:paraId="74BCCB57" w14:textId="77777777" w:rsidR="0024722D" w:rsidRPr="00253DED" w:rsidRDefault="0024722D" w:rsidP="0024722D"/>
    <w:p w14:paraId="09D1BBA0" w14:textId="77777777" w:rsidR="0024722D" w:rsidRPr="00253DED" w:rsidRDefault="0024722D" w:rsidP="0024722D">
      <w:pPr>
        <w:rPr>
          <w:u w:val="single"/>
        </w:rPr>
      </w:pPr>
      <w:r w:rsidRPr="00253DED">
        <w:rPr>
          <w:u w:val="single"/>
        </w:rPr>
        <w:t>Nespecifinis makšties uždegimas</w:t>
      </w:r>
    </w:p>
    <w:p w14:paraId="4E1795B5" w14:textId="77777777" w:rsidR="0024722D" w:rsidRPr="00253DED" w:rsidRDefault="0024722D" w:rsidP="0024722D">
      <w:pPr>
        <w:rPr>
          <w:i/>
        </w:rPr>
      </w:pPr>
      <w:r w:rsidRPr="00253DED">
        <w:rPr>
          <w:i/>
        </w:rPr>
        <w:t>Suaugusiesiems</w:t>
      </w:r>
    </w:p>
    <w:p w14:paraId="79D71D83" w14:textId="77777777" w:rsidR="0024722D" w:rsidRPr="00253DED" w:rsidRDefault="0024722D" w:rsidP="0024722D">
      <w:r w:rsidRPr="00253DED">
        <w:t xml:space="preserve">Nespecifinis makšties uždegimas sėkmingai išgydomas, išgėrus vienkartinę </w:t>
      </w:r>
      <w:smartTag w:uri="urn:schemas-microsoft-com:office:smarttags" w:element="metricconverter">
        <w:smartTagPr>
          <w:attr w:name="ProductID" w:val="2ﾠg"/>
        </w:smartTagPr>
        <w:r w:rsidRPr="00253DED">
          <w:t>2 g</w:t>
        </w:r>
      </w:smartTag>
      <w:r w:rsidRPr="00253DED">
        <w:t xml:space="preserve"> dozę. Išgijimo dažnis didesnis, kai geriama 2 dienas iš eilės po </w:t>
      </w:r>
      <w:smartTag w:uri="urn:schemas-microsoft-com:office:smarttags" w:element="metricconverter">
        <w:smartTagPr>
          <w:attr w:name="ProductID" w:val="2ﾠg"/>
        </w:smartTagPr>
        <w:r w:rsidRPr="00253DED">
          <w:t>2 g</w:t>
        </w:r>
      </w:smartTag>
      <w:r w:rsidRPr="00253DED">
        <w:t xml:space="preserve"> vieną kartą per parą (suminė dozė </w:t>
      </w:r>
      <w:smartTag w:uri="urn:schemas-microsoft-com:office:smarttags" w:element="metricconverter">
        <w:smartTagPr>
          <w:attr w:name="ProductID" w:val="4ﾠg"/>
        </w:smartTagPr>
        <w:r w:rsidRPr="00253DED">
          <w:t>4 g</w:t>
        </w:r>
      </w:smartTag>
      <w:r w:rsidRPr="00253DED">
        <w:t>).</w:t>
      </w:r>
    </w:p>
    <w:p w14:paraId="4C9425D9" w14:textId="77777777" w:rsidR="0024722D" w:rsidRPr="00253DED" w:rsidRDefault="0024722D" w:rsidP="0024722D"/>
    <w:p w14:paraId="6A7CC807" w14:textId="77777777" w:rsidR="0024722D" w:rsidRPr="00253DED" w:rsidRDefault="0024722D" w:rsidP="0024722D">
      <w:pPr>
        <w:rPr>
          <w:u w:val="single"/>
        </w:rPr>
      </w:pPr>
      <w:r w:rsidRPr="00253DED">
        <w:rPr>
          <w:u w:val="single"/>
        </w:rPr>
        <w:t>Trichomonų sukeltas vyrų ir moterų lytinių organų ir šlapimo takų uždegimas</w:t>
      </w:r>
    </w:p>
    <w:p w14:paraId="50129859" w14:textId="77777777" w:rsidR="0024722D" w:rsidRPr="00253DED" w:rsidRDefault="0024722D" w:rsidP="0024722D">
      <w:r w:rsidRPr="00253DED">
        <w:t xml:space="preserve">(Jeigu patvirtinama </w:t>
      </w:r>
      <w:r w:rsidRPr="00253DED">
        <w:rPr>
          <w:i/>
        </w:rPr>
        <w:t>Trichomonas vaginalis</w:t>
      </w:r>
      <w:r w:rsidRPr="00253DED">
        <w:t xml:space="preserve"> infekcija, kartu rekomenduojama gydyti ir partnerį).</w:t>
      </w:r>
    </w:p>
    <w:p w14:paraId="746B6612" w14:textId="77777777" w:rsidR="0024722D" w:rsidRPr="00253DED" w:rsidRDefault="0024722D" w:rsidP="0024722D">
      <w:r w:rsidRPr="00253DED">
        <w:rPr>
          <w:i/>
        </w:rPr>
        <w:t>Suaugusiesiems.</w:t>
      </w:r>
      <w:r w:rsidRPr="00253DED">
        <w:t xml:space="preserve"> Vienkartinė </w:t>
      </w:r>
      <w:smartTag w:uri="urn:schemas-microsoft-com:office:smarttags" w:element="metricconverter">
        <w:smartTagPr>
          <w:attr w:name="ProductID" w:val="2ﾠg"/>
        </w:smartTagPr>
        <w:r w:rsidRPr="00253DED">
          <w:t>2 g</w:t>
        </w:r>
      </w:smartTag>
      <w:r w:rsidRPr="00253DED">
        <w:t xml:space="preserve"> dozė.</w:t>
      </w:r>
    </w:p>
    <w:p w14:paraId="5737B547" w14:textId="77777777" w:rsidR="0024722D" w:rsidRPr="00253DED" w:rsidRDefault="0024722D" w:rsidP="0024722D">
      <w:r w:rsidRPr="00253DED">
        <w:rPr>
          <w:i/>
        </w:rPr>
        <w:t>Vaikams.</w:t>
      </w:r>
      <w:r w:rsidRPr="00253DED">
        <w:t xml:space="preserve"> Vienkartinė 50</w:t>
      </w:r>
      <w:r w:rsidRPr="00253DED">
        <w:noBreakHyphen/>
        <w:t>75 mg/kg kūno svorio dozė. Šią dozę gali prireikti pakartoti.</w:t>
      </w:r>
    </w:p>
    <w:p w14:paraId="0F323EA3" w14:textId="77777777" w:rsidR="0024722D" w:rsidRPr="00253DED" w:rsidRDefault="0024722D" w:rsidP="0024722D"/>
    <w:p w14:paraId="15999E87" w14:textId="77777777" w:rsidR="0024722D" w:rsidRPr="00253DED" w:rsidRDefault="0024722D" w:rsidP="0024722D">
      <w:pPr>
        <w:rPr>
          <w:u w:val="single"/>
        </w:rPr>
      </w:pPr>
      <w:r w:rsidRPr="00253DED">
        <w:rPr>
          <w:u w:val="single"/>
        </w:rPr>
        <w:t>Lamblijų sukelta užkrečiamoji liga</w:t>
      </w:r>
    </w:p>
    <w:p w14:paraId="41635412" w14:textId="77777777" w:rsidR="0024722D" w:rsidRPr="00253DED" w:rsidRDefault="0024722D" w:rsidP="0024722D">
      <w:r w:rsidRPr="00253DED">
        <w:rPr>
          <w:i/>
        </w:rPr>
        <w:t>Suaugusiesiems.</w:t>
      </w:r>
      <w:r w:rsidRPr="00253DED">
        <w:t xml:space="preserve"> Vienkartinė </w:t>
      </w:r>
      <w:smartTag w:uri="urn:schemas-microsoft-com:office:smarttags" w:element="metricconverter">
        <w:smartTagPr>
          <w:attr w:name="ProductID" w:val="2ﾠg"/>
        </w:smartTagPr>
        <w:r w:rsidRPr="00253DED">
          <w:t>2 g</w:t>
        </w:r>
      </w:smartTag>
      <w:r w:rsidRPr="00253DED">
        <w:t xml:space="preserve"> dozė.</w:t>
      </w:r>
    </w:p>
    <w:p w14:paraId="1A9D04C4" w14:textId="77777777" w:rsidR="0024722D" w:rsidRPr="00253DED" w:rsidRDefault="0024722D" w:rsidP="0024722D">
      <w:r w:rsidRPr="00253DED">
        <w:rPr>
          <w:i/>
        </w:rPr>
        <w:t>Vaikams.</w:t>
      </w:r>
      <w:r w:rsidRPr="00253DED">
        <w:t xml:space="preserve"> Vienkartinė 50</w:t>
      </w:r>
      <w:r w:rsidRPr="00253DED">
        <w:noBreakHyphen/>
        <w:t>75 mg/kg kūno svorio dozė. Šią dozę gali prireikti pakartoti.</w:t>
      </w:r>
    </w:p>
    <w:p w14:paraId="14CC9EF5" w14:textId="77777777" w:rsidR="0024722D" w:rsidRPr="00253DED" w:rsidRDefault="0024722D" w:rsidP="0024722D">
      <w:pPr>
        <w:rPr>
          <w:i/>
        </w:rPr>
      </w:pPr>
    </w:p>
    <w:p w14:paraId="08FAE8FC" w14:textId="77777777" w:rsidR="0024722D" w:rsidRPr="00253DED" w:rsidRDefault="0024722D" w:rsidP="0024722D">
      <w:pPr>
        <w:rPr>
          <w:u w:val="single"/>
        </w:rPr>
      </w:pPr>
      <w:r w:rsidRPr="00253DED">
        <w:rPr>
          <w:u w:val="single"/>
        </w:rPr>
        <w:t>Amebų sukelta žarnyno užkrečiamoji liga</w:t>
      </w:r>
    </w:p>
    <w:p w14:paraId="1CC8C611" w14:textId="77777777" w:rsidR="0024722D" w:rsidRPr="00253DED" w:rsidRDefault="0024722D" w:rsidP="0024722D">
      <w:pPr>
        <w:rPr>
          <w:lang w:val="en-US"/>
        </w:rPr>
      </w:pPr>
      <w:r w:rsidRPr="00253DED">
        <w:rPr>
          <w:i/>
        </w:rPr>
        <w:t>Suaugusiesiems.</w:t>
      </w:r>
      <w:r w:rsidRPr="00253DED">
        <w:t xml:space="preserve"> </w:t>
      </w:r>
      <w:smartTag w:uri="urn:schemas-microsoft-com:office:smarttags" w:element="metricconverter">
        <w:smartTagPr>
          <w:attr w:name="ProductID" w:val="2ﾠg"/>
        </w:smartTagPr>
        <w:r w:rsidRPr="00253DED">
          <w:rPr>
            <w:lang w:val="en-US"/>
          </w:rPr>
          <w:t>2 g</w:t>
        </w:r>
      </w:smartTag>
      <w:r w:rsidRPr="00253DED">
        <w:rPr>
          <w:lang w:val="en-US"/>
        </w:rPr>
        <w:t xml:space="preserve"> dozė vieną kartą per parą 2</w:t>
      </w:r>
      <w:r w:rsidRPr="00253DED">
        <w:rPr>
          <w:lang w:val="en-US"/>
        </w:rPr>
        <w:noBreakHyphen/>
        <w:t>3 dienas.</w:t>
      </w:r>
    </w:p>
    <w:p w14:paraId="5D634EB2" w14:textId="77777777" w:rsidR="0024722D" w:rsidRPr="00253DED" w:rsidRDefault="0024722D" w:rsidP="0024722D">
      <w:pPr>
        <w:rPr>
          <w:lang w:val="en-US"/>
        </w:rPr>
      </w:pPr>
      <w:r w:rsidRPr="00253DED">
        <w:rPr>
          <w:i/>
          <w:lang w:val="en-US"/>
        </w:rPr>
        <w:t>Vaikams</w:t>
      </w:r>
      <w:r w:rsidRPr="00253DED">
        <w:rPr>
          <w:lang w:val="en-US"/>
        </w:rPr>
        <w:t>. 50</w:t>
      </w:r>
      <w:r w:rsidRPr="00253DED">
        <w:rPr>
          <w:lang w:val="en-US"/>
        </w:rPr>
        <w:noBreakHyphen/>
        <w:t>60 mg/kg kūno svorio dozė 3 dienas iš eilės.</w:t>
      </w:r>
    </w:p>
    <w:p w14:paraId="45CED84F" w14:textId="77777777" w:rsidR="0024722D" w:rsidRPr="00253DED" w:rsidRDefault="0024722D" w:rsidP="0024722D">
      <w:pPr>
        <w:rPr>
          <w:lang w:val="en-US"/>
        </w:rPr>
      </w:pPr>
    </w:p>
    <w:p w14:paraId="2B4D19C7" w14:textId="77777777" w:rsidR="0024722D" w:rsidRPr="00253DED" w:rsidRDefault="0024722D" w:rsidP="0024722D">
      <w:pPr>
        <w:rPr>
          <w:u w:val="single"/>
          <w:lang w:val="en-US"/>
        </w:rPr>
      </w:pPr>
      <w:r w:rsidRPr="00253DED">
        <w:rPr>
          <w:u w:val="single"/>
          <w:lang w:val="en-US"/>
        </w:rPr>
        <w:t>Amebų sukelta kepenų liga</w:t>
      </w:r>
    </w:p>
    <w:p w14:paraId="47E2C148" w14:textId="77777777" w:rsidR="0024722D" w:rsidRPr="00253DED" w:rsidRDefault="0024722D" w:rsidP="0024722D">
      <w:pPr>
        <w:rPr>
          <w:lang w:val="en-US"/>
        </w:rPr>
      </w:pPr>
      <w:r w:rsidRPr="00253DED">
        <w:rPr>
          <w:i/>
          <w:lang w:val="en-US"/>
        </w:rPr>
        <w:t>Suaugusiesiems.</w:t>
      </w:r>
      <w:r w:rsidRPr="00253DED">
        <w:rPr>
          <w:lang w:val="en-US"/>
        </w:rPr>
        <w:t xml:space="preserve"> Suminė dozė svyruoja nuo 4,5 iki </w:t>
      </w:r>
      <w:smartTag w:uri="urn:schemas-microsoft-com:office:smarttags" w:element="metricconverter">
        <w:smartTagPr>
          <w:attr w:name="ProductID" w:val="12ﾠg"/>
        </w:smartTagPr>
        <w:r w:rsidRPr="00253DED">
          <w:rPr>
            <w:lang w:val="en-US"/>
          </w:rPr>
          <w:t>12 g</w:t>
        </w:r>
      </w:smartTag>
      <w:r w:rsidRPr="00253DED">
        <w:rPr>
          <w:lang w:val="en-US"/>
        </w:rPr>
        <w:t xml:space="preserve">, atsižvelgiant į </w:t>
      </w:r>
      <w:r w:rsidRPr="00253DED">
        <w:rPr>
          <w:i/>
          <w:lang w:val="en-US"/>
        </w:rPr>
        <w:t>Entamoeba histolytica</w:t>
      </w:r>
      <w:r w:rsidRPr="00253DED">
        <w:rPr>
          <w:lang w:val="en-US"/>
        </w:rPr>
        <w:t xml:space="preserve"> virulentiškumą.</w:t>
      </w:r>
    </w:p>
    <w:p w14:paraId="611DC6C3" w14:textId="77777777" w:rsidR="0024722D" w:rsidRPr="00253DED" w:rsidRDefault="0024722D" w:rsidP="0024722D">
      <w:pPr>
        <w:rPr>
          <w:lang w:val="en-US"/>
        </w:rPr>
      </w:pPr>
    </w:p>
    <w:p w14:paraId="4E5F1E5A" w14:textId="77777777" w:rsidR="0024722D" w:rsidRPr="00253DED" w:rsidRDefault="0024722D" w:rsidP="0024722D">
      <w:pPr>
        <w:rPr>
          <w:lang w:val="en-US"/>
        </w:rPr>
      </w:pPr>
      <w:r w:rsidRPr="00253DED">
        <w:rPr>
          <w:lang w:val="en-US"/>
        </w:rPr>
        <w:t>Gydant tinidazolu amebų sukeltą kepenų ligą, kartu gali prireikti pūlių aspiracijos.</w:t>
      </w:r>
    </w:p>
    <w:p w14:paraId="321C31AC" w14:textId="77777777" w:rsidR="0024722D" w:rsidRPr="00253DED" w:rsidRDefault="0024722D" w:rsidP="0024722D">
      <w:pPr>
        <w:rPr>
          <w:lang w:val="en-US"/>
        </w:rPr>
      </w:pPr>
    </w:p>
    <w:p w14:paraId="7EAA5831" w14:textId="77777777" w:rsidR="0024722D" w:rsidRPr="00253DED" w:rsidRDefault="0024722D" w:rsidP="0024722D">
      <w:pPr>
        <w:rPr>
          <w:lang w:val="en-US"/>
        </w:rPr>
      </w:pPr>
      <w:r w:rsidRPr="00253DED">
        <w:rPr>
          <w:lang w:val="en-US"/>
        </w:rPr>
        <w:t>Pirmas tris dienas reikia vartoti pradinę 1,5</w:t>
      </w:r>
      <w:r w:rsidRPr="00253DED">
        <w:rPr>
          <w:lang w:val="en-US"/>
        </w:rPr>
        <w:noBreakHyphen/>
        <w:t>2 g dozę vieną kartą per parą. Pavieniais atvejais, jeigu trijų dienų gydymo kursas neveiksmingas, gydymą galima pratęsti iki šešių dienų.</w:t>
      </w:r>
    </w:p>
    <w:p w14:paraId="68063F4B" w14:textId="77777777" w:rsidR="0024722D" w:rsidRPr="00253DED" w:rsidRDefault="0024722D" w:rsidP="0024722D">
      <w:pPr>
        <w:rPr>
          <w:lang w:val="en-US"/>
        </w:rPr>
      </w:pPr>
    </w:p>
    <w:p w14:paraId="52B704E0" w14:textId="77777777" w:rsidR="0024722D" w:rsidRPr="00253DED" w:rsidRDefault="0024722D" w:rsidP="0024722D">
      <w:pPr>
        <w:rPr>
          <w:lang w:val="en-US"/>
        </w:rPr>
      </w:pPr>
      <w:r w:rsidRPr="00253DED">
        <w:rPr>
          <w:i/>
          <w:lang w:val="en-US"/>
        </w:rPr>
        <w:t>Vaikams.</w:t>
      </w:r>
      <w:r w:rsidRPr="00253DED">
        <w:rPr>
          <w:lang w:val="en-US"/>
        </w:rPr>
        <w:t xml:space="preserve"> 50</w:t>
      </w:r>
      <w:r w:rsidRPr="00253DED">
        <w:rPr>
          <w:lang w:val="en-US"/>
        </w:rPr>
        <w:noBreakHyphen/>
        <w:t>60 mg/kg kūno svorio vieną kartą per parą penkias dienas iš eilės.</w:t>
      </w:r>
    </w:p>
    <w:p w14:paraId="5242DD0A" w14:textId="77777777" w:rsidR="0024722D" w:rsidRPr="00253DED" w:rsidRDefault="0024722D" w:rsidP="0024722D">
      <w:pPr>
        <w:rPr>
          <w:u w:val="single"/>
          <w:lang w:val="en-US"/>
        </w:rPr>
      </w:pPr>
    </w:p>
    <w:p w14:paraId="6A26B667" w14:textId="77777777" w:rsidR="0024722D" w:rsidRPr="00253DED" w:rsidRDefault="0024722D" w:rsidP="0024722D">
      <w:pPr>
        <w:rPr>
          <w:u w:val="single"/>
          <w:lang w:val="en-US"/>
        </w:rPr>
      </w:pPr>
      <w:r w:rsidRPr="00253DED">
        <w:rPr>
          <w:u w:val="single"/>
          <w:lang w:val="en-US"/>
        </w:rPr>
        <w:t>Pooperacinės žaizdos infekcijų profilaktika</w:t>
      </w:r>
    </w:p>
    <w:p w14:paraId="6A306B3A" w14:textId="77777777" w:rsidR="0024722D" w:rsidRPr="00253DED" w:rsidRDefault="0024722D" w:rsidP="0024722D">
      <w:pPr>
        <w:rPr>
          <w:lang w:val="en-US"/>
        </w:rPr>
      </w:pPr>
      <w:r w:rsidRPr="00253DED">
        <w:rPr>
          <w:i/>
          <w:lang w:val="en-US"/>
        </w:rPr>
        <w:t>Suaugusiesiems.</w:t>
      </w:r>
      <w:r w:rsidRPr="00253DED">
        <w:rPr>
          <w:lang w:val="en-US"/>
        </w:rPr>
        <w:t xml:space="preserve"> Vienkartinė </w:t>
      </w:r>
      <w:smartTag w:uri="urn:schemas-microsoft-com:office:smarttags" w:element="metricconverter">
        <w:smartTagPr>
          <w:attr w:name="ProductID" w:val="2ﾠg"/>
        </w:smartTagPr>
        <w:r w:rsidRPr="00253DED">
          <w:rPr>
            <w:lang w:val="en-US"/>
          </w:rPr>
          <w:t>2 g</w:t>
        </w:r>
      </w:smartTag>
      <w:r w:rsidRPr="00253DED">
        <w:rPr>
          <w:lang w:val="en-US"/>
        </w:rPr>
        <w:t xml:space="preserve"> dozė maždaug 12 valandų prieš operaciją.</w:t>
      </w:r>
    </w:p>
    <w:p w14:paraId="5E8E79CB" w14:textId="77777777" w:rsidR="0024722D" w:rsidRPr="00253DED" w:rsidRDefault="0024722D" w:rsidP="0024722D">
      <w:pPr>
        <w:rPr>
          <w:lang w:val="en-US"/>
        </w:rPr>
      </w:pPr>
      <w:r w:rsidRPr="00253DED">
        <w:rPr>
          <w:i/>
          <w:lang w:val="en-US"/>
        </w:rPr>
        <w:t>Jaunesniems nei 12 metų vaikams</w:t>
      </w:r>
      <w:r w:rsidRPr="00253DED">
        <w:rPr>
          <w:lang w:val="en-US"/>
        </w:rPr>
        <w:t xml:space="preserve"> – duomenų nėra.</w:t>
      </w:r>
    </w:p>
    <w:p w14:paraId="1AE345E7" w14:textId="77777777" w:rsidR="0024722D" w:rsidRPr="00253DED" w:rsidRDefault="0024722D" w:rsidP="0024722D">
      <w:pPr>
        <w:rPr>
          <w:lang w:val="en-US"/>
        </w:rPr>
      </w:pPr>
    </w:p>
    <w:p w14:paraId="1BFD6AA3" w14:textId="77777777" w:rsidR="0024722D" w:rsidRPr="00253DED" w:rsidRDefault="0024722D" w:rsidP="0024722D">
      <w:pPr>
        <w:rPr>
          <w:u w:val="single"/>
          <w:lang w:val="en-US"/>
        </w:rPr>
      </w:pPr>
      <w:r w:rsidRPr="00253DED">
        <w:rPr>
          <w:u w:val="single"/>
          <w:lang w:val="en-US"/>
        </w:rPr>
        <w:t>Pacientams, kurių inkstų veikla sutrikusi</w:t>
      </w:r>
    </w:p>
    <w:p w14:paraId="63F0C023" w14:textId="77777777" w:rsidR="0024722D" w:rsidRPr="00253DED" w:rsidRDefault="0024722D" w:rsidP="0024722D">
      <w:pPr>
        <w:rPr>
          <w:lang w:val="en-US"/>
        </w:rPr>
      </w:pPr>
      <w:r w:rsidRPr="00253DED">
        <w:rPr>
          <w:lang w:val="en-US"/>
        </w:rPr>
        <w:t>Pacientams, kurie serga inkstų funkcijos sutrikimu, dozės paprastai keisti nebūtina. Visgi tinidazolas lengvai pasišalina atliekant hemodializę, taigi gali prireikti papildomos tinidazolo dozės.</w:t>
      </w:r>
    </w:p>
    <w:p w14:paraId="2607DF26" w14:textId="77777777" w:rsidR="0024722D" w:rsidRPr="00253DED" w:rsidRDefault="0024722D" w:rsidP="0024722D">
      <w:pPr>
        <w:rPr>
          <w:lang w:val="en-US"/>
        </w:rPr>
      </w:pPr>
    </w:p>
    <w:p w14:paraId="170885E1" w14:textId="77777777" w:rsidR="0024722D" w:rsidRPr="00253DED" w:rsidRDefault="0024722D" w:rsidP="0024722D">
      <w:pPr>
        <w:rPr>
          <w:color w:val="000000"/>
          <w:u w:val="single"/>
          <w:lang w:val="en-US"/>
        </w:rPr>
      </w:pPr>
      <w:r w:rsidRPr="00253DED">
        <w:rPr>
          <w:color w:val="000000"/>
          <w:u w:val="single"/>
          <w:lang w:val="en-US"/>
        </w:rPr>
        <w:t>Pacientams, kurių kepenų veikla sutrikusi</w:t>
      </w:r>
    </w:p>
    <w:p w14:paraId="3D04D0BF" w14:textId="77777777" w:rsidR="0024722D" w:rsidRPr="00253DED" w:rsidRDefault="0024722D" w:rsidP="0024722D">
      <w:pPr>
        <w:rPr>
          <w:color w:val="000000"/>
          <w:lang w:val="en-US"/>
        </w:rPr>
      </w:pPr>
      <w:r w:rsidRPr="00253DED">
        <w:rPr>
          <w:color w:val="000000"/>
          <w:lang w:val="en-US"/>
        </w:rPr>
        <w:t xml:space="preserve">Dozę reikia sumažinti: gerti trečdalį įprastinės dozės kartą per parą. </w:t>
      </w:r>
    </w:p>
    <w:p w14:paraId="7CC8F837" w14:textId="77777777" w:rsidR="0024722D" w:rsidRPr="00253DED" w:rsidRDefault="0024722D" w:rsidP="0024722D">
      <w:pPr>
        <w:rPr>
          <w:i/>
          <w:color w:val="000000"/>
          <w:lang w:val="en-US"/>
        </w:rPr>
      </w:pPr>
    </w:p>
    <w:p w14:paraId="44E74519" w14:textId="77777777" w:rsidR="0024722D" w:rsidRPr="00253DED" w:rsidRDefault="0024722D" w:rsidP="0024722D">
      <w:pPr>
        <w:rPr>
          <w:u w:val="single"/>
          <w:lang w:val="en-US"/>
        </w:rPr>
      </w:pPr>
      <w:r w:rsidRPr="00253DED">
        <w:rPr>
          <w:u w:val="single"/>
          <w:lang w:val="en-US"/>
        </w:rPr>
        <w:t>Senyviems pacientams</w:t>
      </w:r>
    </w:p>
    <w:p w14:paraId="7752B84E" w14:textId="77777777" w:rsidR="0024722D" w:rsidRPr="00253DED" w:rsidRDefault="0024722D" w:rsidP="0024722D">
      <w:pPr>
        <w:rPr>
          <w:lang w:val="en-US"/>
        </w:rPr>
      </w:pPr>
      <w:r w:rsidRPr="00253DED">
        <w:rPr>
          <w:lang w:val="en-US"/>
        </w:rPr>
        <w:t>Tokio amžiaus pacientams specialių rekomendacijų nėra.</w:t>
      </w:r>
    </w:p>
    <w:p w14:paraId="3B757B94" w14:textId="77777777" w:rsidR="0024722D" w:rsidRPr="00253DED" w:rsidRDefault="0024722D" w:rsidP="0024722D">
      <w:pPr>
        <w:rPr>
          <w:noProof/>
        </w:rPr>
      </w:pPr>
    </w:p>
    <w:p w14:paraId="25129E54" w14:textId="77777777" w:rsidR="0024722D" w:rsidRPr="00253DED" w:rsidRDefault="0024722D" w:rsidP="0024722D">
      <w:pPr>
        <w:rPr>
          <w:b/>
          <w:bCs/>
        </w:rPr>
      </w:pPr>
      <w:r w:rsidRPr="00253DED">
        <w:rPr>
          <w:b/>
          <w:bCs/>
        </w:rPr>
        <w:t>Pamiršus pavartoti Tinidazol Polpharma</w:t>
      </w:r>
    </w:p>
    <w:p w14:paraId="5650D3E2" w14:textId="77777777" w:rsidR="0024722D" w:rsidRPr="00253DED" w:rsidRDefault="0024722D" w:rsidP="0024722D">
      <w:pPr>
        <w:rPr>
          <w:noProof/>
        </w:rPr>
      </w:pPr>
      <w:r w:rsidRPr="00253DED">
        <w:rPr>
          <w:noProof/>
        </w:rPr>
        <w:t>Negalima vartoti dvigubos dozės norint kompensuoti praleistą dozę.</w:t>
      </w:r>
    </w:p>
    <w:p w14:paraId="75DD56FF" w14:textId="77777777" w:rsidR="0024722D" w:rsidRPr="00253DED" w:rsidRDefault="0024722D" w:rsidP="0024722D">
      <w:pPr>
        <w:rPr>
          <w:noProof/>
        </w:rPr>
      </w:pPr>
    </w:p>
    <w:p w14:paraId="475F62EE" w14:textId="77777777" w:rsidR="0024722D" w:rsidRPr="00253DED" w:rsidRDefault="0024722D" w:rsidP="0024722D">
      <w:pPr>
        <w:rPr>
          <w:noProof/>
        </w:rPr>
      </w:pPr>
      <w:r w:rsidRPr="00253DED">
        <w:rPr>
          <w:noProof/>
        </w:rPr>
        <w:t>Jeigu kiltų daugiau klausimų dėl šio vaisto vartojimo, kreipkitės į gydytoją arba vaistininką.</w:t>
      </w:r>
    </w:p>
    <w:p w14:paraId="31632CB0" w14:textId="77777777" w:rsidR="0024722D" w:rsidRPr="00253DED" w:rsidRDefault="0024722D" w:rsidP="0024722D">
      <w:pPr>
        <w:rPr>
          <w:noProof/>
        </w:rPr>
      </w:pPr>
    </w:p>
    <w:p w14:paraId="44B628D0" w14:textId="77777777" w:rsidR="0024722D" w:rsidRPr="00253DED" w:rsidRDefault="0024722D" w:rsidP="0024722D">
      <w:pPr>
        <w:rPr>
          <w:noProof/>
        </w:rPr>
      </w:pPr>
    </w:p>
    <w:p w14:paraId="1B489B57" w14:textId="77777777" w:rsidR="0024722D" w:rsidRPr="00253DED" w:rsidRDefault="0024722D" w:rsidP="0024722D">
      <w:pPr>
        <w:keepNext/>
        <w:tabs>
          <w:tab w:val="left" w:pos="567"/>
        </w:tabs>
        <w:ind w:left="567" w:hanging="567"/>
        <w:outlineLvl w:val="1"/>
        <w:rPr>
          <w:b/>
          <w:lang w:val="x-none"/>
        </w:rPr>
      </w:pPr>
      <w:bookmarkStart w:id="15" w:name="_Toc129243142"/>
      <w:bookmarkStart w:id="16" w:name="_Toc129243267"/>
      <w:r w:rsidRPr="00253DED">
        <w:rPr>
          <w:b/>
          <w:lang w:val="x-none"/>
        </w:rPr>
        <w:t>4.</w:t>
      </w:r>
      <w:r w:rsidRPr="00253DED">
        <w:rPr>
          <w:b/>
          <w:lang w:val="x-none"/>
        </w:rPr>
        <w:tab/>
        <w:t>Galimas šalutinis poveikis</w:t>
      </w:r>
      <w:bookmarkEnd w:id="15"/>
      <w:bookmarkEnd w:id="16"/>
    </w:p>
    <w:p w14:paraId="4B7C2209" w14:textId="77777777" w:rsidR="0024722D" w:rsidRPr="00253DED" w:rsidRDefault="0024722D" w:rsidP="0024722D">
      <w:pPr>
        <w:rPr>
          <w:noProof/>
        </w:rPr>
      </w:pPr>
    </w:p>
    <w:p w14:paraId="74328D68" w14:textId="77777777" w:rsidR="0024722D" w:rsidRPr="00253DED" w:rsidRDefault="0024722D" w:rsidP="0024722D">
      <w:pPr>
        <w:rPr>
          <w:noProof/>
        </w:rPr>
      </w:pPr>
      <w:r w:rsidRPr="00253DED">
        <w:rPr>
          <w:noProof/>
        </w:rPr>
        <w:t>Šis vaistas, kaip ir visi kiti, gali sukelti šalutinį poveikį, nors jis pasireiškia ne visiems žmonėms.</w:t>
      </w:r>
    </w:p>
    <w:p w14:paraId="5267BC53" w14:textId="77777777" w:rsidR="0024722D" w:rsidRPr="00253DED" w:rsidRDefault="0024722D" w:rsidP="0024722D">
      <w:r w:rsidRPr="00253DED">
        <w:t>Vaistas nepageidaujamą poveikį sukelia retai, jis būna lengvas arba vidutinio sunkumo.</w:t>
      </w:r>
    </w:p>
    <w:p w14:paraId="70B0AB91" w14:textId="77777777" w:rsidR="0024722D" w:rsidRPr="00253DED" w:rsidRDefault="0024722D" w:rsidP="0024722D">
      <w:pPr>
        <w:rPr>
          <w:noProof/>
          <w:u w:val="single"/>
          <w:lang w:val="es-ES"/>
        </w:rPr>
      </w:pPr>
    </w:p>
    <w:p w14:paraId="44B2DDB3" w14:textId="77777777" w:rsidR="0024722D" w:rsidRPr="00253DED" w:rsidRDefault="0024722D" w:rsidP="0024722D">
      <w:pPr>
        <w:rPr>
          <w:noProof/>
          <w:u w:val="single"/>
          <w:lang w:val="es-ES"/>
        </w:rPr>
      </w:pPr>
      <w:r w:rsidRPr="00253DED">
        <w:rPr>
          <w:noProof/>
          <w:u w:val="single"/>
          <w:lang w:val="es-ES"/>
        </w:rPr>
        <w:t>Kraujo ir limfinės sistemos sutrikimai</w:t>
      </w:r>
    </w:p>
    <w:p w14:paraId="1CEFF7F8" w14:textId="77777777" w:rsidR="0024722D" w:rsidRPr="00253DED" w:rsidRDefault="0024722D" w:rsidP="0024722D">
      <w:pPr>
        <w:rPr>
          <w:lang w:val="es-ES"/>
        </w:rPr>
      </w:pPr>
      <w:r w:rsidRPr="00253DED">
        <w:rPr>
          <w:lang w:val="es-ES"/>
        </w:rPr>
        <w:t>Trumpalaikė leukopenija, neutropenija.</w:t>
      </w:r>
    </w:p>
    <w:p w14:paraId="3D0893B3" w14:textId="77777777" w:rsidR="0024722D" w:rsidRPr="00253DED" w:rsidRDefault="0024722D" w:rsidP="0024722D">
      <w:pPr>
        <w:rPr>
          <w:u w:val="single"/>
          <w:lang w:val="es-ES"/>
        </w:rPr>
      </w:pPr>
    </w:p>
    <w:p w14:paraId="0D17131F" w14:textId="77777777" w:rsidR="0024722D" w:rsidRPr="00253DED" w:rsidRDefault="0024722D" w:rsidP="0024722D">
      <w:pPr>
        <w:rPr>
          <w:u w:val="single"/>
          <w:lang w:val="en-US"/>
        </w:rPr>
      </w:pPr>
      <w:r w:rsidRPr="00253DED">
        <w:rPr>
          <w:noProof/>
          <w:u w:val="single"/>
          <w:lang w:val="en-US"/>
        </w:rPr>
        <w:t>Širdies sutrikimai</w:t>
      </w:r>
    </w:p>
    <w:p w14:paraId="49453E9D" w14:textId="77777777" w:rsidR="0024722D" w:rsidRPr="00253DED" w:rsidRDefault="0024722D" w:rsidP="0024722D">
      <w:pPr>
        <w:rPr>
          <w:lang w:val="en-US"/>
        </w:rPr>
      </w:pPr>
      <w:r w:rsidRPr="00253DED">
        <w:rPr>
          <w:lang w:val="en-US"/>
        </w:rPr>
        <w:t>Pulso padažnėjimas, apalpimas.</w:t>
      </w:r>
    </w:p>
    <w:p w14:paraId="007FE947" w14:textId="77777777" w:rsidR="0024722D" w:rsidRPr="00253DED" w:rsidRDefault="0024722D" w:rsidP="0024722D">
      <w:pPr>
        <w:rPr>
          <w:lang w:val="en-US"/>
        </w:rPr>
      </w:pPr>
    </w:p>
    <w:p w14:paraId="4624ECE9" w14:textId="77777777" w:rsidR="0024722D" w:rsidRPr="00253DED" w:rsidRDefault="0024722D" w:rsidP="0024722D">
      <w:pPr>
        <w:rPr>
          <w:noProof/>
          <w:u w:val="single"/>
          <w:lang w:val="sv-SE"/>
        </w:rPr>
      </w:pPr>
      <w:r w:rsidRPr="00253DED">
        <w:rPr>
          <w:noProof/>
          <w:u w:val="single"/>
          <w:lang w:val="sv-SE"/>
        </w:rPr>
        <w:t>Kraujagyslių sutrikimai</w:t>
      </w:r>
    </w:p>
    <w:p w14:paraId="11A16F41" w14:textId="77777777" w:rsidR="0024722D" w:rsidRPr="00253DED" w:rsidRDefault="0024722D" w:rsidP="0024722D">
      <w:pPr>
        <w:rPr>
          <w:lang w:val="en-US"/>
        </w:rPr>
      </w:pPr>
      <w:r w:rsidRPr="00253DED">
        <w:rPr>
          <w:lang w:val="en-US"/>
        </w:rPr>
        <w:t>Paraudimas.</w:t>
      </w:r>
    </w:p>
    <w:p w14:paraId="7935CFED" w14:textId="77777777" w:rsidR="0024722D" w:rsidRPr="00253DED" w:rsidRDefault="0024722D" w:rsidP="0024722D">
      <w:pPr>
        <w:rPr>
          <w:u w:val="single"/>
          <w:lang w:val="en-US"/>
        </w:rPr>
      </w:pPr>
    </w:p>
    <w:p w14:paraId="2076A399" w14:textId="77777777" w:rsidR="0024722D" w:rsidRPr="00253DED" w:rsidRDefault="0024722D" w:rsidP="0024722D">
      <w:pPr>
        <w:rPr>
          <w:noProof/>
          <w:u w:val="single"/>
          <w:lang w:val="fi-FI"/>
        </w:rPr>
      </w:pPr>
      <w:r w:rsidRPr="00253DED">
        <w:rPr>
          <w:noProof/>
          <w:u w:val="single"/>
          <w:lang w:val="fi-FI"/>
        </w:rPr>
        <w:t>Ausų ir labirintų sutrikimai</w:t>
      </w:r>
    </w:p>
    <w:p w14:paraId="026ED8A9" w14:textId="77777777" w:rsidR="0024722D" w:rsidRPr="00253DED" w:rsidRDefault="0024722D" w:rsidP="0024722D">
      <w:pPr>
        <w:rPr>
          <w:lang w:val="en-US"/>
        </w:rPr>
      </w:pPr>
      <w:r w:rsidRPr="00253DED">
        <w:rPr>
          <w:lang w:val="en-US"/>
        </w:rPr>
        <w:t>Trumpalaikis prikurtimas, skambėjimas ausyse.</w:t>
      </w:r>
    </w:p>
    <w:p w14:paraId="717A8815" w14:textId="77777777" w:rsidR="0024722D" w:rsidRPr="00253DED" w:rsidRDefault="0024722D" w:rsidP="0024722D">
      <w:pPr>
        <w:rPr>
          <w:u w:val="single"/>
          <w:lang w:val="en-US"/>
        </w:rPr>
      </w:pPr>
    </w:p>
    <w:p w14:paraId="04C392C8" w14:textId="77777777" w:rsidR="0024722D" w:rsidRPr="00253DED" w:rsidRDefault="0024722D" w:rsidP="0024722D">
      <w:pPr>
        <w:rPr>
          <w:noProof/>
          <w:u w:val="single"/>
          <w:lang w:val="sv-SE"/>
        </w:rPr>
      </w:pPr>
      <w:r w:rsidRPr="00253DED">
        <w:rPr>
          <w:noProof/>
          <w:u w:val="single"/>
          <w:lang w:val="sv-SE"/>
        </w:rPr>
        <w:t>Nervų sistemos sutrikimai</w:t>
      </w:r>
    </w:p>
    <w:p w14:paraId="5DE2C484" w14:textId="77777777" w:rsidR="0024722D" w:rsidRPr="00253DED" w:rsidRDefault="0024722D" w:rsidP="0024722D">
      <w:pPr>
        <w:rPr>
          <w:lang w:val="sv-SE"/>
        </w:rPr>
      </w:pPr>
      <w:r w:rsidRPr="00253DED">
        <w:rPr>
          <w:lang w:val="sv-SE"/>
        </w:rPr>
        <w:t>Judesių koordinacijos nebuvimas, traukuliai (retai), galvos svaigimas, galvos skausmas, jautrumo susilpnėjimas, tariamas jutimas, periferinė neuropatija, jutimų sutrikimai, galvos sukimasis, metalo skonis, nemiga, prakaitavimas, sumišimas, depresija, koordinacijos sutrikimai, dirglumas, nervingumas, koma, bemikrobis meningitas.</w:t>
      </w:r>
    </w:p>
    <w:p w14:paraId="5F99EF31" w14:textId="77777777" w:rsidR="0024722D" w:rsidRPr="00253DED" w:rsidRDefault="0024722D" w:rsidP="0024722D">
      <w:pPr>
        <w:rPr>
          <w:u w:val="single"/>
          <w:lang w:val="sv-SE"/>
        </w:rPr>
      </w:pPr>
    </w:p>
    <w:p w14:paraId="2F7A1294" w14:textId="77777777" w:rsidR="0024722D" w:rsidRPr="00253DED" w:rsidRDefault="0024722D" w:rsidP="0024722D">
      <w:pPr>
        <w:rPr>
          <w:noProof/>
          <w:u w:val="single"/>
          <w:lang w:val="fi-FI"/>
        </w:rPr>
      </w:pPr>
      <w:r w:rsidRPr="00253DED">
        <w:rPr>
          <w:noProof/>
          <w:u w:val="single"/>
          <w:lang w:val="fi-FI"/>
        </w:rPr>
        <w:t>Virškinimo trakto sutrikimai</w:t>
      </w:r>
    </w:p>
    <w:p w14:paraId="79278131" w14:textId="77777777" w:rsidR="0024722D" w:rsidRPr="00253DED" w:rsidRDefault="0024722D" w:rsidP="0024722D">
      <w:pPr>
        <w:rPr>
          <w:lang w:val="sv-SE"/>
        </w:rPr>
      </w:pPr>
      <w:r w:rsidRPr="00253DED">
        <w:rPr>
          <w:lang w:val="sv-SE"/>
        </w:rPr>
        <w:t>Pilvo skausmas, apetito nebuvimas, viduriavimas, liežuvio apnašas, ryklės uždegimas, liežuvio uždegimas, dantenų uždegimas, pykinimas, vėmimas, burnos džiūvimas, troškulys, pilvo įtempimas, vidurių užkietėjimas, pseudomembraninis plonųjų ir storosios žarnų uždegimas, kasos uždegimas.</w:t>
      </w:r>
    </w:p>
    <w:p w14:paraId="7B94354D" w14:textId="77777777" w:rsidR="0024722D" w:rsidRPr="00253DED" w:rsidRDefault="0024722D" w:rsidP="0024722D">
      <w:pPr>
        <w:rPr>
          <w:u w:val="single"/>
          <w:lang w:val="sv-SE"/>
        </w:rPr>
      </w:pPr>
    </w:p>
    <w:p w14:paraId="7FCDB897" w14:textId="77777777" w:rsidR="0024722D" w:rsidRPr="00253DED" w:rsidRDefault="0024722D" w:rsidP="0024722D">
      <w:pPr>
        <w:rPr>
          <w:noProof/>
          <w:u w:val="single"/>
          <w:lang w:val="pt-PT"/>
        </w:rPr>
      </w:pPr>
      <w:r w:rsidRPr="00253DED">
        <w:rPr>
          <w:noProof/>
          <w:u w:val="single"/>
          <w:lang w:val="pt-PT"/>
        </w:rPr>
        <w:t>Odos ir poodinio audinio sutrikimai</w:t>
      </w:r>
    </w:p>
    <w:p w14:paraId="122F6F2C" w14:textId="77777777" w:rsidR="0024722D" w:rsidRPr="00253DED" w:rsidRDefault="0024722D" w:rsidP="0024722D">
      <w:pPr>
        <w:rPr>
          <w:lang w:val="sv-SE"/>
        </w:rPr>
      </w:pPr>
      <w:r w:rsidRPr="00253DED">
        <w:rPr>
          <w:lang w:val="sv-SE"/>
        </w:rPr>
        <w:t>Retais atvejais gali atsirasti tokių odos reakcijų, kurios kartais gali būti sunkios: odos išbėrimas, niežulys, dilgėlinė ir angioneurozinė edema, toksinė epidermio nekrolizė.</w:t>
      </w:r>
    </w:p>
    <w:p w14:paraId="40C89744" w14:textId="77777777" w:rsidR="0024722D" w:rsidRPr="00253DED" w:rsidRDefault="0024722D" w:rsidP="0024722D">
      <w:pPr>
        <w:rPr>
          <w:u w:val="single"/>
          <w:lang w:val="sv-SE"/>
        </w:rPr>
      </w:pPr>
    </w:p>
    <w:p w14:paraId="6A5FF2F4" w14:textId="77777777" w:rsidR="0024722D" w:rsidRPr="00253DED" w:rsidRDefault="0024722D" w:rsidP="0024722D">
      <w:pPr>
        <w:rPr>
          <w:noProof/>
          <w:u w:val="single"/>
          <w:lang w:val="pt-PT"/>
        </w:rPr>
      </w:pPr>
      <w:r w:rsidRPr="00253DED">
        <w:rPr>
          <w:noProof/>
          <w:u w:val="single"/>
          <w:lang w:val="pt-PT"/>
        </w:rPr>
        <w:t>Kvėpavimo sistemos, krūtinės ląstos ir tarpuplaučio sutrikimai</w:t>
      </w:r>
    </w:p>
    <w:p w14:paraId="7DF86004" w14:textId="77777777" w:rsidR="0024722D" w:rsidRPr="00253DED" w:rsidRDefault="0024722D" w:rsidP="0024722D">
      <w:pPr>
        <w:rPr>
          <w:lang w:val="pt-PT"/>
        </w:rPr>
      </w:pPr>
      <w:r w:rsidRPr="00253DED">
        <w:rPr>
          <w:lang w:val="pt-PT"/>
        </w:rPr>
        <w:t>Bronchų spazmas, dusulys, nosies ančių uždegimas, sloga, nosies gleivinės paburkimas.</w:t>
      </w:r>
    </w:p>
    <w:p w14:paraId="3C887071" w14:textId="77777777" w:rsidR="0024722D" w:rsidRPr="00253DED" w:rsidRDefault="0024722D" w:rsidP="0024722D">
      <w:pPr>
        <w:rPr>
          <w:u w:val="single"/>
          <w:lang w:val="pt-PT"/>
        </w:rPr>
      </w:pPr>
    </w:p>
    <w:p w14:paraId="594E639C" w14:textId="77777777" w:rsidR="0024722D" w:rsidRPr="00253DED" w:rsidRDefault="0024722D" w:rsidP="0024722D">
      <w:pPr>
        <w:rPr>
          <w:u w:val="single"/>
          <w:lang w:val="en-US"/>
        </w:rPr>
      </w:pPr>
      <w:r w:rsidRPr="00253DED">
        <w:rPr>
          <w:noProof/>
          <w:u w:val="single"/>
          <w:lang w:val="pt-PT"/>
        </w:rPr>
        <w:t>Skeleto, raumenų ir jungiamojo audinio sutrikima</w:t>
      </w:r>
      <w:r w:rsidRPr="00253DED">
        <w:rPr>
          <w:u w:val="single"/>
          <w:lang w:val="en-US"/>
        </w:rPr>
        <w:t>i</w:t>
      </w:r>
    </w:p>
    <w:p w14:paraId="2F50393B" w14:textId="77777777" w:rsidR="0024722D" w:rsidRPr="00253DED" w:rsidRDefault="0024722D" w:rsidP="0024722D">
      <w:pPr>
        <w:rPr>
          <w:lang w:val="en-US"/>
        </w:rPr>
      </w:pPr>
      <w:r w:rsidRPr="00253DED">
        <w:rPr>
          <w:lang w:val="en-US"/>
        </w:rPr>
        <w:t>Sąnarių uždegimas.</w:t>
      </w:r>
    </w:p>
    <w:p w14:paraId="33B052F1" w14:textId="77777777" w:rsidR="0024722D" w:rsidRPr="00253DED" w:rsidRDefault="0024722D" w:rsidP="0024722D">
      <w:pPr>
        <w:rPr>
          <w:u w:val="single"/>
          <w:lang w:val="en-US"/>
        </w:rPr>
      </w:pPr>
    </w:p>
    <w:p w14:paraId="0E6ABE79" w14:textId="77777777" w:rsidR="0024722D" w:rsidRPr="00253DED" w:rsidRDefault="0024722D" w:rsidP="0024722D">
      <w:pPr>
        <w:rPr>
          <w:noProof/>
          <w:u w:val="single"/>
          <w:lang w:val="pt-PT"/>
        </w:rPr>
      </w:pPr>
      <w:r w:rsidRPr="00253DED">
        <w:rPr>
          <w:noProof/>
          <w:u w:val="single"/>
          <w:lang w:val="pt-PT"/>
        </w:rPr>
        <w:t>Inkstų ir šlapimo takų sutrikimai</w:t>
      </w:r>
    </w:p>
    <w:p w14:paraId="3019D00C" w14:textId="77777777" w:rsidR="0024722D" w:rsidRPr="00253DED" w:rsidRDefault="0024722D" w:rsidP="0024722D">
      <w:pPr>
        <w:rPr>
          <w:lang w:val="pt-PT"/>
        </w:rPr>
      </w:pPr>
      <w:r w:rsidRPr="00253DED">
        <w:rPr>
          <w:lang w:val="pt-PT"/>
        </w:rPr>
        <w:lastRenderedPageBreak/>
        <w:t>Tamsi šlapimo spalva, skausmingas šlapinimasis, gausus šlapinimasis, šlapimo pūslės uždegimas, šlapimo nelaikymas.</w:t>
      </w:r>
    </w:p>
    <w:p w14:paraId="694F16A7" w14:textId="77777777" w:rsidR="0024722D" w:rsidRPr="00253DED" w:rsidRDefault="0024722D" w:rsidP="0024722D">
      <w:pPr>
        <w:rPr>
          <w:u w:val="single"/>
          <w:lang w:val="pt-PT"/>
        </w:rPr>
      </w:pPr>
    </w:p>
    <w:p w14:paraId="1A24EAA6" w14:textId="77777777" w:rsidR="0024722D" w:rsidRPr="00253DED" w:rsidRDefault="0024722D" w:rsidP="0024722D">
      <w:pPr>
        <w:rPr>
          <w:u w:val="single"/>
          <w:lang w:val="pt-PT"/>
        </w:rPr>
      </w:pPr>
      <w:r w:rsidRPr="00253DED">
        <w:rPr>
          <w:noProof/>
          <w:u w:val="single"/>
          <w:lang w:val="es-ES"/>
        </w:rPr>
        <w:t>Lytinės sistemos ir krūties sutrikimai</w:t>
      </w:r>
    </w:p>
    <w:p w14:paraId="154A9DF3" w14:textId="77777777" w:rsidR="0024722D" w:rsidRPr="00253DED" w:rsidRDefault="0024722D" w:rsidP="0024722D">
      <w:pPr>
        <w:rPr>
          <w:lang w:val="pt-PT"/>
        </w:rPr>
      </w:pPr>
      <w:r w:rsidRPr="00253DED">
        <w:rPr>
          <w:lang w:val="pt-PT"/>
        </w:rPr>
        <w:t>Makšties sausumas, lytinio potraukio susilpnėjimas.</w:t>
      </w:r>
    </w:p>
    <w:p w14:paraId="6A9A3D3B" w14:textId="77777777" w:rsidR="0024722D" w:rsidRPr="00253DED" w:rsidRDefault="0024722D" w:rsidP="0024722D">
      <w:pPr>
        <w:rPr>
          <w:u w:val="single"/>
          <w:lang w:val="pt-PT"/>
        </w:rPr>
      </w:pPr>
    </w:p>
    <w:p w14:paraId="3A2BE4FD" w14:textId="77777777" w:rsidR="0024722D" w:rsidRPr="00253DED" w:rsidRDefault="0024722D" w:rsidP="0024722D">
      <w:pPr>
        <w:rPr>
          <w:noProof/>
          <w:u w:val="single"/>
          <w:lang w:val="es-ES"/>
        </w:rPr>
      </w:pPr>
      <w:r w:rsidRPr="00253DED">
        <w:rPr>
          <w:noProof/>
          <w:u w:val="single"/>
          <w:lang w:val="es-ES"/>
        </w:rPr>
        <w:t>Bendrieji sutrikimai ir vartojimo vietos pažeidimai</w:t>
      </w:r>
    </w:p>
    <w:p w14:paraId="40FC8E9C" w14:textId="77777777" w:rsidR="0024722D" w:rsidRPr="00253DED" w:rsidRDefault="0024722D" w:rsidP="0024722D">
      <w:pPr>
        <w:rPr>
          <w:lang w:val="en-US"/>
        </w:rPr>
      </w:pPr>
      <w:r w:rsidRPr="00253DED">
        <w:rPr>
          <w:lang w:val="en-US"/>
        </w:rPr>
        <w:t>Karščiavimas, nuovargis, bendras silpnumas, pienligė.</w:t>
      </w:r>
    </w:p>
    <w:p w14:paraId="33F7C233" w14:textId="77777777" w:rsidR="0024722D" w:rsidRPr="00253DED" w:rsidRDefault="0024722D" w:rsidP="0024722D">
      <w:pPr>
        <w:rPr>
          <w:lang w:val="en-US"/>
        </w:rPr>
      </w:pPr>
    </w:p>
    <w:p w14:paraId="42E1FBF7" w14:textId="77777777" w:rsidR="0024722D" w:rsidRPr="00253DED" w:rsidRDefault="0024722D" w:rsidP="0024722D">
      <w:pPr>
        <w:rPr>
          <w:b/>
          <w:lang w:val="en-US"/>
        </w:rPr>
      </w:pPr>
      <w:r w:rsidRPr="00253DED">
        <w:rPr>
          <w:b/>
          <w:lang w:val="en-US"/>
        </w:rPr>
        <w:t>Pranešimas apie šalutinį poveikį</w:t>
      </w:r>
    </w:p>
    <w:p w14:paraId="728BF99C" w14:textId="77777777" w:rsidR="0024722D" w:rsidRPr="00253DED" w:rsidRDefault="0024722D" w:rsidP="0024722D">
      <w:pPr>
        <w:rPr>
          <w:noProof/>
        </w:rPr>
      </w:pPr>
      <w:r w:rsidRPr="00253DED">
        <w:rPr>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253DED">
          <w:rPr>
            <w:noProof/>
            <w:color w:val="0000FF"/>
            <w:u w:val="single"/>
          </w:rPr>
          <w:t>NepageidaujamaR@vvkt.lt</w:t>
        </w:r>
      </w:hyperlink>
      <w:r w:rsidRPr="00253DED">
        <w:rPr>
          <w:noProof/>
        </w:rPr>
        <w:t xml:space="preserve"> , taip pat per Valstybinės vaistų kontrolės tarnybos prie Lietuvos Respublikos sveikatos apsaugos ministerijos interneto svetainę (adresu </w:t>
      </w:r>
      <w:hyperlink r:id="rId15" w:history="1">
        <w:r w:rsidRPr="00253DED">
          <w:rPr>
            <w:noProof/>
            <w:color w:val="0000FF"/>
            <w:u w:val="single"/>
          </w:rPr>
          <w:t>http://www.vvkt.lt</w:t>
        </w:r>
      </w:hyperlink>
      <w:r w:rsidRPr="00253DED">
        <w:rPr>
          <w:noProof/>
        </w:rPr>
        <w:t xml:space="preserve"> ). Pranešdami apie šalutinį poveikį galite mums padėti gauti daugiau informacijos apie šio vaisto saugumą.</w:t>
      </w:r>
    </w:p>
    <w:p w14:paraId="7EF3CF6D" w14:textId="77777777" w:rsidR="0024722D" w:rsidRPr="00253DED" w:rsidRDefault="0024722D" w:rsidP="0024722D">
      <w:pPr>
        <w:rPr>
          <w:noProof/>
        </w:rPr>
      </w:pPr>
    </w:p>
    <w:p w14:paraId="6A698F3E" w14:textId="77777777" w:rsidR="0024722D" w:rsidRPr="00253DED" w:rsidRDefault="0024722D" w:rsidP="0024722D">
      <w:pPr>
        <w:rPr>
          <w:noProof/>
        </w:rPr>
      </w:pPr>
    </w:p>
    <w:p w14:paraId="6EA92718" w14:textId="77777777" w:rsidR="0024722D" w:rsidRPr="00253DED" w:rsidRDefault="0024722D" w:rsidP="0024722D">
      <w:pPr>
        <w:keepNext/>
        <w:tabs>
          <w:tab w:val="left" w:pos="567"/>
        </w:tabs>
        <w:ind w:left="567" w:hanging="567"/>
        <w:outlineLvl w:val="1"/>
        <w:rPr>
          <w:b/>
          <w:lang w:val="x-none"/>
        </w:rPr>
      </w:pPr>
      <w:bookmarkStart w:id="17" w:name="_Toc129243143"/>
      <w:bookmarkStart w:id="18" w:name="_Toc129243268"/>
      <w:r w:rsidRPr="00253DED">
        <w:rPr>
          <w:b/>
          <w:lang w:val="x-none"/>
        </w:rPr>
        <w:t>5.</w:t>
      </w:r>
      <w:r w:rsidRPr="00253DED">
        <w:rPr>
          <w:b/>
          <w:lang w:val="x-none"/>
        </w:rPr>
        <w:tab/>
        <w:t>Kaip laikyti Tinidazol Polpharma</w:t>
      </w:r>
      <w:bookmarkEnd w:id="17"/>
      <w:bookmarkEnd w:id="18"/>
    </w:p>
    <w:p w14:paraId="6A4DC14C" w14:textId="77777777" w:rsidR="0024722D" w:rsidRPr="00253DED" w:rsidRDefault="0024722D" w:rsidP="0024722D">
      <w:pPr>
        <w:rPr>
          <w:noProof/>
        </w:rPr>
      </w:pPr>
    </w:p>
    <w:p w14:paraId="43FD6AEF" w14:textId="77777777" w:rsidR="0024722D" w:rsidRPr="00253DED" w:rsidRDefault="0024722D" w:rsidP="0024722D">
      <w:pPr>
        <w:rPr>
          <w:noProof/>
        </w:rPr>
      </w:pPr>
      <w:r w:rsidRPr="00253DED">
        <w:rPr>
          <w:noProof/>
        </w:rPr>
        <w:t>Šį vaistą laikykite vaikams nepastebimoje ir nepasiekiamoje vietoje.</w:t>
      </w:r>
    </w:p>
    <w:p w14:paraId="6BFC22FF" w14:textId="77777777" w:rsidR="0024722D" w:rsidRPr="00253DED" w:rsidRDefault="0024722D" w:rsidP="0024722D">
      <w:pPr>
        <w:rPr>
          <w:noProof/>
        </w:rPr>
      </w:pPr>
    </w:p>
    <w:p w14:paraId="42D7781D" w14:textId="77777777" w:rsidR="0024722D" w:rsidRPr="00253DED" w:rsidRDefault="0024722D" w:rsidP="0024722D">
      <w:pPr>
        <w:rPr>
          <w:lang w:val="x-none"/>
        </w:rPr>
      </w:pPr>
      <w:r w:rsidRPr="00253DED">
        <w:rPr>
          <w:lang w:val="x-none"/>
        </w:rPr>
        <w:t>Laikyti ne aukštesnėje kaip 25 </w:t>
      </w:r>
      <w:r w:rsidRPr="00253DED">
        <w:rPr>
          <w:lang w:val="x-none"/>
        </w:rPr>
        <w:sym w:font="Symbol" w:char="F0B0"/>
      </w:r>
      <w:r w:rsidRPr="00253DED">
        <w:rPr>
          <w:lang w:val="x-none"/>
        </w:rPr>
        <w:t>C temperatūroje.</w:t>
      </w:r>
    </w:p>
    <w:p w14:paraId="5F27C487" w14:textId="77777777" w:rsidR="0024722D" w:rsidRPr="00253DED" w:rsidRDefault="0024722D" w:rsidP="0024722D">
      <w:pPr>
        <w:rPr>
          <w:lang w:val="x-none"/>
        </w:rPr>
      </w:pPr>
      <w:r w:rsidRPr="00253DED">
        <w:rPr>
          <w:lang w:val="x-none"/>
        </w:rPr>
        <w:t xml:space="preserve">Lizdinę plokštelę laikyti išorinėje dėžutėje, kad vaistas būtų apsaugotas nuo šviesos ir drėgmės. </w:t>
      </w:r>
    </w:p>
    <w:p w14:paraId="13AB60A3" w14:textId="77777777" w:rsidR="0024722D" w:rsidRPr="00253DED" w:rsidRDefault="0024722D" w:rsidP="0024722D">
      <w:pPr>
        <w:rPr>
          <w:noProof/>
        </w:rPr>
      </w:pPr>
    </w:p>
    <w:p w14:paraId="30A70EC7" w14:textId="77777777" w:rsidR="0024722D" w:rsidRPr="00253DED" w:rsidRDefault="0024722D" w:rsidP="0024722D">
      <w:pPr>
        <w:rPr>
          <w:noProof/>
        </w:rPr>
      </w:pPr>
      <w:r w:rsidRPr="00253DED">
        <w:rPr>
          <w:noProof/>
        </w:rPr>
        <w:t xml:space="preserve">Ant dėžutės ir lizdinės plokštelės po „EXP“ nurodytam tinkamumo laikui pasibaigus, šio vaisto vartoti negalima. </w:t>
      </w:r>
    </w:p>
    <w:p w14:paraId="13EEBFAA" w14:textId="77777777" w:rsidR="0024722D" w:rsidRPr="00253DED" w:rsidRDefault="0024722D" w:rsidP="0024722D">
      <w:pPr>
        <w:rPr>
          <w:noProof/>
        </w:rPr>
      </w:pPr>
    </w:p>
    <w:p w14:paraId="493B884A" w14:textId="77777777" w:rsidR="0024722D" w:rsidRPr="00253DED" w:rsidRDefault="0024722D" w:rsidP="0024722D">
      <w:pPr>
        <w:rPr>
          <w:noProof/>
        </w:rPr>
      </w:pPr>
      <w:r w:rsidRPr="00253DED">
        <w:rPr>
          <w:noProof/>
        </w:rPr>
        <w:t>Vaistų negalima išmesti į kanalizaciją arba su buitinėmis atliekomis. Kaip išmesti nereikalingus vaistus, klauskite vaistininko. Šios priemonės padės apsaugoti aplinką.</w:t>
      </w:r>
    </w:p>
    <w:p w14:paraId="0BE86D2E" w14:textId="77777777" w:rsidR="0024722D" w:rsidRPr="00253DED" w:rsidRDefault="0024722D" w:rsidP="0024722D">
      <w:pPr>
        <w:rPr>
          <w:noProof/>
        </w:rPr>
      </w:pPr>
    </w:p>
    <w:p w14:paraId="6EB13F92" w14:textId="77777777" w:rsidR="0024722D" w:rsidRPr="00253DED" w:rsidRDefault="0024722D" w:rsidP="0024722D">
      <w:pPr>
        <w:rPr>
          <w:noProof/>
        </w:rPr>
      </w:pPr>
    </w:p>
    <w:p w14:paraId="20E0B748" w14:textId="77777777" w:rsidR="0024722D" w:rsidRPr="00253DED" w:rsidRDefault="0024722D" w:rsidP="0024722D">
      <w:pPr>
        <w:keepNext/>
        <w:tabs>
          <w:tab w:val="left" w:pos="567"/>
        </w:tabs>
        <w:ind w:left="567" w:hanging="567"/>
        <w:outlineLvl w:val="1"/>
        <w:rPr>
          <w:b/>
          <w:lang w:val="x-none"/>
        </w:rPr>
      </w:pPr>
      <w:bookmarkStart w:id="19" w:name="_Toc129243144"/>
      <w:bookmarkStart w:id="20" w:name="_Toc129243269"/>
      <w:r w:rsidRPr="00253DED">
        <w:rPr>
          <w:b/>
          <w:lang w:val="x-none"/>
        </w:rPr>
        <w:t>6.</w:t>
      </w:r>
      <w:r w:rsidRPr="00253DED">
        <w:rPr>
          <w:b/>
          <w:lang w:val="x-none"/>
        </w:rPr>
        <w:tab/>
        <w:t>Pakuotės turinys ir kita informacija</w:t>
      </w:r>
      <w:bookmarkEnd w:id="19"/>
      <w:bookmarkEnd w:id="20"/>
    </w:p>
    <w:p w14:paraId="67E406B7" w14:textId="77777777" w:rsidR="0024722D" w:rsidRPr="00253DED" w:rsidRDefault="0024722D" w:rsidP="0024722D">
      <w:pPr>
        <w:rPr>
          <w:noProof/>
        </w:rPr>
      </w:pPr>
    </w:p>
    <w:p w14:paraId="31E29836" w14:textId="77777777" w:rsidR="0024722D" w:rsidRPr="00253DED" w:rsidRDefault="0024722D" w:rsidP="0024722D">
      <w:pPr>
        <w:rPr>
          <w:b/>
          <w:bCs/>
        </w:rPr>
      </w:pPr>
      <w:r w:rsidRPr="00253DED">
        <w:rPr>
          <w:b/>
          <w:bCs/>
        </w:rPr>
        <w:t>Tinidazol Polpharma sudėtis</w:t>
      </w:r>
    </w:p>
    <w:p w14:paraId="5CF62183" w14:textId="77777777" w:rsidR="0024722D" w:rsidRPr="00253DED" w:rsidRDefault="0024722D" w:rsidP="0024722D">
      <w:pPr>
        <w:numPr>
          <w:ilvl w:val="0"/>
          <w:numId w:val="10"/>
        </w:numPr>
        <w:tabs>
          <w:tab w:val="clear" w:pos="720"/>
        </w:tabs>
        <w:ind w:left="567" w:hanging="504"/>
      </w:pPr>
      <w:r w:rsidRPr="00253DED">
        <w:t>Veiklioji medžiaga yra tinidazolas. Kiekvienoje plėvele dengtoje tabletėje yra 500 mg tinidazolo.</w:t>
      </w:r>
    </w:p>
    <w:p w14:paraId="69708CE2" w14:textId="77777777" w:rsidR="0024722D" w:rsidRPr="00253DED" w:rsidRDefault="0024722D" w:rsidP="0024722D">
      <w:pPr>
        <w:numPr>
          <w:ilvl w:val="0"/>
          <w:numId w:val="10"/>
        </w:numPr>
        <w:tabs>
          <w:tab w:val="clear" w:pos="720"/>
        </w:tabs>
        <w:ind w:left="567" w:hanging="504"/>
      </w:pPr>
      <w:r w:rsidRPr="00253DED">
        <w:t xml:space="preserve">Pagalbinės medžiagos yra </w:t>
      </w:r>
      <w:r w:rsidRPr="00253DED">
        <w:rPr>
          <w:i/>
        </w:rPr>
        <w:t>tablečių branduolys</w:t>
      </w:r>
      <w:r w:rsidRPr="00253DED">
        <w:t xml:space="preserve">: mikrokristalinė celiuliozė, algino rūgštis, kukurūzų krakmolas, magnio stearatas, natrio laurilsulfatas, </w:t>
      </w:r>
      <w:r w:rsidRPr="00253DED">
        <w:rPr>
          <w:i/>
        </w:rPr>
        <w:t>tablečių plėvelė</w:t>
      </w:r>
      <w:r w:rsidRPr="00253DED">
        <w:t>: hipromeliozė, makrogolis 6000, talkas, titano dioksidas, propilenglikolis.</w:t>
      </w:r>
    </w:p>
    <w:p w14:paraId="1DD9A254" w14:textId="77777777" w:rsidR="0024722D" w:rsidRPr="00253DED" w:rsidRDefault="0024722D" w:rsidP="0024722D">
      <w:pPr>
        <w:rPr>
          <w:noProof/>
        </w:rPr>
      </w:pPr>
    </w:p>
    <w:p w14:paraId="41353D64" w14:textId="77777777" w:rsidR="0024722D" w:rsidRPr="00253DED" w:rsidRDefault="0024722D" w:rsidP="0024722D">
      <w:pPr>
        <w:rPr>
          <w:b/>
          <w:bCs/>
        </w:rPr>
      </w:pPr>
      <w:r w:rsidRPr="00253DED">
        <w:rPr>
          <w:b/>
          <w:bCs/>
        </w:rPr>
        <w:t>Tinidazol Polpharma išvaizda ir kiekis pakuotėje</w:t>
      </w:r>
    </w:p>
    <w:p w14:paraId="32810D1B" w14:textId="77777777" w:rsidR="0024722D" w:rsidRPr="00253DED" w:rsidRDefault="0024722D" w:rsidP="0024722D">
      <w:r w:rsidRPr="00253DED">
        <w:t xml:space="preserve">Tinidazol Polpharma yra baltos tabletės, kreminio atspalvio, apskritos, abipus išgaubtos, jų skersmuo yra </w:t>
      </w:r>
      <w:smartTag w:uri="urn:schemas-microsoft-com:office:smarttags" w:element="metricconverter">
        <w:smartTagPr>
          <w:attr w:name="ProductID" w:val="13 mm"/>
        </w:smartTagPr>
        <w:r w:rsidRPr="00253DED">
          <w:t>13 mm</w:t>
        </w:r>
      </w:smartTag>
      <w:r w:rsidRPr="00253DED">
        <w:t>.</w:t>
      </w:r>
    </w:p>
    <w:p w14:paraId="1BE08E3E" w14:textId="77777777" w:rsidR="0024722D" w:rsidRPr="00253DED" w:rsidRDefault="0024722D" w:rsidP="0024722D">
      <w:r w:rsidRPr="00253DED">
        <w:t>Tinidazol Polpharma yra tiekiamas kartoninėje dėžutėje, kurioje yra lizdinė plokštelė ir pakuotės lapelis. Lizdinėje plokštelėje yra 4 tabletės.</w:t>
      </w:r>
    </w:p>
    <w:p w14:paraId="10BD944D" w14:textId="77777777" w:rsidR="0024722D" w:rsidRPr="00253DED" w:rsidRDefault="0024722D" w:rsidP="0024722D">
      <w:pPr>
        <w:rPr>
          <w:b/>
          <w:bCs/>
        </w:rPr>
      </w:pPr>
    </w:p>
    <w:p w14:paraId="53EF1527" w14:textId="77777777" w:rsidR="0024722D" w:rsidRPr="00253DED" w:rsidRDefault="0024722D" w:rsidP="0024722D">
      <w:pPr>
        <w:rPr>
          <w:b/>
          <w:bCs/>
        </w:rPr>
      </w:pPr>
      <w:r w:rsidRPr="00253DED">
        <w:rPr>
          <w:b/>
          <w:bCs/>
        </w:rPr>
        <w:t>Registruotojas ir gamintojas</w:t>
      </w:r>
    </w:p>
    <w:p w14:paraId="160B6870" w14:textId="77777777" w:rsidR="0024722D" w:rsidRPr="00253DED" w:rsidRDefault="0024722D" w:rsidP="0024722D">
      <w:pPr>
        <w:rPr>
          <w:b/>
          <w:bCs/>
        </w:rPr>
      </w:pPr>
      <w:r w:rsidRPr="00253DED">
        <w:rPr>
          <w:b/>
          <w:bCs/>
        </w:rPr>
        <w:t>Registruotojas</w:t>
      </w:r>
    </w:p>
    <w:p w14:paraId="4EB26069" w14:textId="77777777" w:rsidR="0024722D" w:rsidRPr="00253DED" w:rsidRDefault="0024722D" w:rsidP="0024722D">
      <w:pPr>
        <w:rPr>
          <w:lang w:val="x-none"/>
        </w:rPr>
      </w:pPr>
      <w:r w:rsidRPr="00253DED">
        <w:rPr>
          <w:lang w:val="x-none"/>
        </w:rPr>
        <w:t>Pharmaceutical Works Polpharma S.A.</w:t>
      </w:r>
    </w:p>
    <w:p w14:paraId="2C29802D" w14:textId="77777777" w:rsidR="0024722D" w:rsidRPr="00253DED" w:rsidRDefault="0024722D" w:rsidP="0024722D">
      <w:pPr>
        <w:rPr>
          <w:lang w:val="x-none"/>
        </w:rPr>
      </w:pPr>
      <w:r w:rsidRPr="00253DED">
        <w:rPr>
          <w:lang w:val="x-none"/>
        </w:rPr>
        <w:t>Ul. Pelpli</w:t>
      </w:r>
      <w:r w:rsidRPr="00253DED">
        <w:t>ń</w:t>
      </w:r>
      <w:r w:rsidRPr="00253DED">
        <w:rPr>
          <w:lang w:val="x-none"/>
        </w:rPr>
        <w:t>ska 19, 83-200 Starogard Gda</w:t>
      </w:r>
      <w:r w:rsidRPr="00253DED">
        <w:t>ń</w:t>
      </w:r>
      <w:r w:rsidRPr="00253DED">
        <w:rPr>
          <w:lang w:val="x-none"/>
        </w:rPr>
        <w:t>ski</w:t>
      </w:r>
    </w:p>
    <w:p w14:paraId="4F2704A1" w14:textId="77777777" w:rsidR="0024722D" w:rsidRPr="00253DED" w:rsidRDefault="0024722D" w:rsidP="0024722D">
      <w:pPr>
        <w:rPr>
          <w:lang w:val="x-none"/>
        </w:rPr>
      </w:pPr>
      <w:r w:rsidRPr="00253DED">
        <w:rPr>
          <w:lang w:val="x-none"/>
        </w:rPr>
        <w:t>Lenkija</w:t>
      </w:r>
    </w:p>
    <w:p w14:paraId="26E97CDE" w14:textId="77777777" w:rsidR="0024722D" w:rsidRPr="00253DED" w:rsidRDefault="0024722D" w:rsidP="0024722D">
      <w:pPr>
        <w:rPr>
          <w:noProof/>
        </w:rPr>
      </w:pPr>
    </w:p>
    <w:p w14:paraId="66680519" w14:textId="77777777" w:rsidR="0024722D" w:rsidRPr="00253DED" w:rsidRDefault="0024722D" w:rsidP="0024722D">
      <w:pPr>
        <w:rPr>
          <w:b/>
          <w:bCs/>
        </w:rPr>
      </w:pPr>
      <w:r w:rsidRPr="00253DED">
        <w:rPr>
          <w:b/>
          <w:bCs/>
        </w:rPr>
        <w:lastRenderedPageBreak/>
        <w:t>Gamintojai</w:t>
      </w:r>
    </w:p>
    <w:p w14:paraId="3F986F9E" w14:textId="77777777" w:rsidR="0024722D" w:rsidRPr="00253DED" w:rsidRDefault="0024722D" w:rsidP="0024722D">
      <w:pPr>
        <w:rPr>
          <w:lang w:val="en-US"/>
        </w:rPr>
      </w:pPr>
      <w:r w:rsidRPr="00253DED">
        <w:rPr>
          <w:lang w:val="en-US"/>
        </w:rPr>
        <w:t>Pharmaceutical Works Polpharma S.A.</w:t>
      </w:r>
    </w:p>
    <w:p w14:paraId="55FECA94" w14:textId="77777777" w:rsidR="0024722D" w:rsidRPr="00253DED" w:rsidRDefault="0024722D" w:rsidP="0024722D">
      <w:r w:rsidRPr="00253DED">
        <w:t>Ul. Pelplińska 19, 83-200 Starogard Gdański</w:t>
      </w:r>
    </w:p>
    <w:p w14:paraId="2AAE62DD" w14:textId="77777777" w:rsidR="0024722D" w:rsidRPr="00253DED" w:rsidRDefault="0024722D" w:rsidP="0024722D">
      <w:r w:rsidRPr="00253DED">
        <w:t>Lenkija</w:t>
      </w:r>
    </w:p>
    <w:p w14:paraId="7F137C9E" w14:textId="77777777" w:rsidR="0024722D" w:rsidRPr="00253DED" w:rsidRDefault="0024722D" w:rsidP="0024722D"/>
    <w:p w14:paraId="29A0AC6A" w14:textId="77777777" w:rsidR="0024722D" w:rsidRPr="00253DED" w:rsidRDefault="0024722D" w:rsidP="0024722D">
      <w:r w:rsidRPr="00253DED">
        <w:t>arba</w:t>
      </w:r>
    </w:p>
    <w:p w14:paraId="14033175" w14:textId="77777777" w:rsidR="0024722D" w:rsidRPr="00253DED" w:rsidRDefault="0024722D" w:rsidP="0024722D"/>
    <w:p w14:paraId="598D0BE7" w14:textId="77777777" w:rsidR="0024722D" w:rsidRPr="00253DED" w:rsidRDefault="0024722D" w:rsidP="0024722D">
      <w:r w:rsidRPr="00253DED">
        <w:t>Medana Pharma SA</w:t>
      </w:r>
    </w:p>
    <w:p w14:paraId="130E71D1" w14:textId="77777777" w:rsidR="0024722D" w:rsidRPr="00253DED" w:rsidRDefault="0024722D" w:rsidP="0024722D">
      <w:r w:rsidRPr="00253DED">
        <w:t xml:space="preserve">ul. Władysława Łokietka 10 </w:t>
      </w:r>
    </w:p>
    <w:p w14:paraId="2C310AAF" w14:textId="77777777" w:rsidR="0024722D" w:rsidRPr="00253DED" w:rsidRDefault="0024722D" w:rsidP="0024722D">
      <w:r w:rsidRPr="00253DED">
        <w:t>98-200 Sieradz</w:t>
      </w:r>
    </w:p>
    <w:p w14:paraId="7073B868" w14:textId="77777777" w:rsidR="0024722D" w:rsidRPr="00253DED" w:rsidRDefault="0024722D" w:rsidP="0024722D">
      <w:r w:rsidRPr="00253DED">
        <w:t>Lenkija</w:t>
      </w:r>
    </w:p>
    <w:p w14:paraId="22767002" w14:textId="77777777" w:rsidR="0024722D" w:rsidRPr="00253DED" w:rsidRDefault="0024722D" w:rsidP="0024722D">
      <w:pPr>
        <w:rPr>
          <w:noProof/>
        </w:rPr>
      </w:pPr>
    </w:p>
    <w:p w14:paraId="34B3CAE1" w14:textId="77777777" w:rsidR="0024722D" w:rsidRPr="00253DED" w:rsidRDefault="0024722D" w:rsidP="0024722D">
      <w:pPr>
        <w:rPr>
          <w:noProof/>
        </w:rPr>
      </w:pPr>
      <w:r w:rsidRPr="00253DED">
        <w:rPr>
          <w:noProof/>
        </w:rPr>
        <w:t>Jeigu apie šį vaistą norite sužinoti daugiau, kreipkitės į vietinį registruotojo atstovą.</w:t>
      </w:r>
    </w:p>
    <w:p w14:paraId="707ADE85" w14:textId="77777777" w:rsidR="0024722D" w:rsidRPr="00253DED" w:rsidRDefault="0024722D" w:rsidP="0024722D"/>
    <w:p w14:paraId="34B78AC7" w14:textId="77777777" w:rsidR="0024722D" w:rsidRPr="00253DED" w:rsidRDefault="0024722D" w:rsidP="0024722D">
      <w:pPr>
        <w:rPr>
          <w:noProof/>
        </w:rPr>
      </w:pPr>
      <w:r w:rsidRPr="00253DED">
        <w:rPr>
          <w:noProof/>
        </w:rPr>
        <w:t>POLPHARMA S.A. Atstovybė Lietuvoje</w:t>
      </w:r>
    </w:p>
    <w:p w14:paraId="0053D4E1" w14:textId="77777777" w:rsidR="0024722D" w:rsidRPr="00253DED" w:rsidRDefault="0024722D" w:rsidP="0024722D">
      <w:pPr>
        <w:rPr>
          <w:noProof/>
        </w:rPr>
      </w:pPr>
      <w:r w:rsidRPr="00253DED">
        <w:rPr>
          <w:noProof/>
        </w:rPr>
        <w:t>E.Ožeškienės g. 18A</w:t>
      </w:r>
    </w:p>
    <w:p w14:paraId="2B1A7463" w14:textId="77777777" w:rsidR="0024722D" w:rsidRPr="00253DED" w:rsidRDefault="0024722D" w:rsidP="0024722D">
      <w:pPr>
        <w:rPr>
          <w:noProof/>
        </w:rPr>
      </w:pPr>
      <w:r w:rsidRPr="00253DED">
        <w:rPr>
          <w:noProof/>
        </w:rPr>
        <w:t>LT-44254 Kaunas</w:t>
      </w:r>
    </w:p>
    <w:p w14:paraId="30EFB9BB" w14:textId="77777777" w:rsidR="0024722D" w:rsidRPr="00253DED" w:rsidRDefault="0024722D" w:rsidP="0024722D">
      <w:r w:rsidRPr="00253DED">
        <w:t>Tel. +370 37 325131</w:t>
      </w:r>
    </w:p>
    <w:p w14:paraId="77B512E5" w14:textId="77777777" w:rsidR="0024722D" w:rsidRPr="00253DED" w:rsidRDefault="0024722D" w:rsidP="0024722D">
      <w:pPr>
        <w:rPr>
          <w:noProof/>
        </w:rPr>
      </w:pPr>
    </w:p>
    <w:p w14:paraId="78A2E4D5" w14:textId="02D45CB2" w:rsidR="0024722D" w:rsidRPr="00253DED" w:rsidRDefault="0024722D" w:rsidP="0024722D">
      <w:pPr>
        <w:rPr>
          <w:b/>
          <w:noProof/>
        </w:rPr>
      </w:pPr>
      <w:r w:rsidRPr="00253DED">
        <w:rPr>
          <w:b/>
          <w:bCs/>
          <w:noProof/>
        </w:rPr>
        <w:t>Šis pakuotės</w:t>
      </w:r>
      <w:r w:rsidRPr="00253DED">
        <w:rPr>
          <w:b/>
          <w:noProof/>
        </w:rPr>
        <w:t xml:space="preserve"> lapelis paskutinį kartą peržiūrėtas </w:t>
      </w:r>
      <w:r w:rsidR="0033478A">
        <w:rPr>
          <w:b/>
          <w:noProof/>
        </w:rPr>
        <w:t>2021-02-02</w:t>
      </w:r>
      <w:r>
        <w:rPr>
          <w:b/>
          <w:noProof/>
        </w:rPr>
        <w:t>.</w:t>
      </w:r>
    </w:p>
    <w:p w14:paraId="1C31B325" w14:textId="77777777" w:rsidR="0024722D" w:rsidRPr="00253DED" w:rsidRDefault="0024722D" w:rsidP="0024722D"/>
    <w:p w14:paraId="39B25E58" w14:textId="77777777" w:rsidR="0024722D" w:rsidRPr="00253DED" w:rsidRDefault="0024722D" w:rsidP="0024722D">
      <w:pPr>
        <w:rPr>
          <w:noProof/>
        </w:rPr>
      </w:pPr>
      <w:r w:rsidRPr="00253DED">
        <w:rPr>
          <w:noProof/>
        </w:rPr>
        <w:t>Išsami informacija apie šį vaistą pateikiama Valstybinės vaistų kontrolės tarnybos prie Lietuvos Respublikos sveikatos apsaugos ministerijos tinklalapyje http://www.vvkt.lt/.</w:t>
      </w:r>
    </w:p>
    <w:p w14:paraId="0ADA2FE3" w14:textId="77777777" w:rsidR="0024722D" w:rsidRPr="00253DED" w:rsidRDefault="0024722D" w:rsidP="0024722D">
      <w:pPr>
        <w:rPr>
          <w:highlight w:val="yellow"/>
        </w:rPr>
      </w:pPr>
    </w:p>
    <w:p w14:paraId="1527534B" w14:textId="77777777" w:rsidR="00D3382A" w:rsidRPr="00DE3D86" w:rsidRDefault="00D3382A" w:rsidP="00D0142F">
      <w:pPr>
        <w:rPr>
          <w:szCs w:val="22"/>
        </w:rPr>
      </w:pPr>
    </w:p>
    <w:sectPr w:rsidR="00D3382A" w:rsidRPr="00DE3D86" w:rsidSect="00052253">
      <w:footerReference w:type="even" r:id="rId16"/>
      <w:footerReference w:type="default" r:id="rId17"/>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3238B" w14:textId="77777777" w:rsidR="00A7466D" w:rsidRDefault="00A7466D" w:rsidP="00052253">
      <w:r>
        <w:separator/>
      </w:r>
    </w:p>
  </w:endnote>
  <w:endnote w:type="continuationSeparator" w:id="0">
    <w:p w14:paraId="77EB99D0" w14:textId="77777777" w:rsidR="00A7466D" w:rsidRDefault="00A7466D" w:rsidP="00052253">
      <w:r>
        <w:continuationSeparator/>
      </w:r>
    </w:p>
  </w:endnote>
  <w:endnote w:type="continuationNotice" w:id="1">
    <w:p w14:paraId="43D63B93" w14:textId="77777777" w:rsidR="00A7466D" w:rsidRDefault="00A74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59F7" w14:textId="77777777" w:rsidR="00240A46" w:rsidRDefault="00240A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F791F76" w14:textId="77777777" w:rsidR="00240A46" w:rsidRDefault="00240A4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9177" w14:textId="60B0CB79" w:rsidR="00240A46" w:rsidRDefault="00240A4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7D5E">
      <w:rPr>
        <w:rStyle w:val="Puslapionumeris"/>
        <w:noProof/>
      </w:rPr>
      <w:t>9</w:t>
    </w:r>
    <w:r>
      <w:rPr>
        <w:rStyle w:val="Puslapionumeris"/>
      </w:rPr>
      <w:fldChar w:fldCharType="end"/>
    </w:r>
  </w:p>
  <w:p w14:paraId="4062449E" w14:textId="77777777" w:rsidR="00240A46" w:rsidRDefault="00240A4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3299B" w14:textId="77777777" w:rsidR="00A7466D" w:rsidRDefault="00A7466D" w:rsidP="00052253">
      <w:r>
        <w:separator/>
      </w:r>
    </w:p>
  </w:footnote>
  <w:footnote w:type="continuationSeparator" w:id="0">
    <w:p w14:paraId="73D78CD1" w14:textId="77777777" w:rsidR="00A7466D" w:rsidRDefault="00A7466D" w:rsidP="00052253">
      <w:r>
        <w:continuationSeparator/>
      </w:r>
    </w:p>
  </w:footnote>
  <w:footnote w:type="continuationNotice" w:id="1">
    <w:p w14:paraId="19CAEFE9" w14:textId="77777777" w:rsidR="00A7466D" w:rsidRDefault="00A7466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E1B"/>
    <w:multiLevelType w:val="hybridMultilevel"/>
    <w:tmpl w:val="EF4E34B2"/>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F7959"/>
    <w:multiLevelType w:val="hybridMultilevel"/>
    <w:tmpl w:val="A4C0D060"/>
    <w:lvl w:ilvl="0" w:tplc="D91A70E8">
      <w:start w:val="1"/>
      <w:numFmt w:val="bullet"/>
      <w:lvlRestart w:val="0"/>
      <w:pStyle w:val="BT-EMEASMCA"/>
      <w:lvlText w:val="-"/>
      <w:lvlJc w:val="left"/>
      <w:pPr>
        <w:tabs>
          <w:tab w:val="num" w:pos="-351"/>
        </w:tabs>
        <w:ind w:left="-351" w:hanging="363"/>
      </w:pPr>
      <w:rPr>
        <w:rFonts w:ascii="Times New Roman" w:hAnsi="Times New Roman" w:cs="Times New Roman" w:hint="default"/>
      </w:rPr>
    </w:lvl>
    <w:lvl w:ilvl="1" w:tplc="B1C8DFAA">
      <w:start w:val="1"/>
      <w:numFmt w:val="bullet"/>
      <w:lvlRestart w:val="0"/>
      <w:lvlText w:val="-"/>
      <w:lvlJc w:val="left"/>
      <w:pPr>
        <w:tabs>
          <w:tab w:val="num" w:pos="15"/>
        </w:tabs>
        <w:ind w:left="15" w:hanging="363"/>
      </w:pPr>
      <w:rPr>
        <w:rFonts w:ascii="Times New Roman" w:hAnsi="Times New Roman" w:cs="Times New Roman" w:hint="default"/>
      </w:rPr>
    </w:lvl>
    <w:lvl w:ilvl="2" w:tplc="04090005" w:tentative="1">
      <w:start w:val="1"/>
      <w:numFmt w:val="bullet"/>
      <w:lvlText w:val=""/>
      <w:lvlJc w:val="left"/>
      <w:pPr>
        <w:tabs>
          <w:tab w:val="num" w:pos="732"/>
        </w:tabs>
        <w:ind w:left="732" w:hanging="360"/>
      </w:pPr>
      <w:rPr>
        <w:rFonts w:ascii="Wingdings" w:hAnsi="Wingdings" w:hint="default"/>
      </w:rPr>
    </w:lvl>
    <w:lvl w:ilvl="3" w:tplc="04090001" w:tentative="1">
      <w:start w:val="1"/>
      <w:numFmt w:val="bullet"/>
      <w:lvlText w:val=""/>
      <w:lvlJc w:val="left"/>
      <w:pPr>
        <w:tabs>
          <w:tab w:val="num" w:pos="1452"/>
        </w:tabs>
        <w:ind w:left="1452" w:hanging="360"/>
      </w:pPr>
      <w:rPr>
        <w:rFonts w:ascii="Symbol" w:hAnsi="Symbol" w:hint="default"/>
      </w:rPr>
    </w:lvl>
    <w:lvl w:ilvl="4" w:tplc="04090003" w:tentative="1">
      <w:start w:val="1"/>
      <w:numFmt w:val="bullet"/>
      <w:lvlText w:val="o"/>
      <w:lvlJc w:val="left"/>
      <w:pPr>
        <w:tabs>
          <w:tab w:val="num" w:pos="2172"/>
        </w:tabs>
        <w:ind w:left="2172" w:hanging="360"/>
      </w:pPr>
      <w:rPr>
        <w:rFonts w:ascii="Courier New" w:hAnsi="Courier New" w:hint="default"/>
      </w:rPr>
    </w:lvl>
    <w:lvl w:ilvl="5" w:tplc="04090005" w:tentative="1">
      <w:start w:val="1"/>
      <w:numFmt w:val="bullet"/>
      <w:lvlText w:val=""/>
      <w:lvlJc w:val="left"/>
      <w:pPr>
        <w:tabs>
          <w:tab w:val="num" w:pos="2892"/>
        </w:tabs>
        <w:ind w:left="2892" w:hanging="360"/>
      </w:pPr>
      <w:rPr>
        <w:rFonts w:ascii="Wingdings" w:hAnsi="Wingdings" w:hint="default"/>
      </w:rPr>
    </w:lvl>
    <w:lvl w:ilvl="6" w:tplc="04090001" w:tentative="1">
      <w:start w:val="1"/>
      <w:numFmt w:val="bullet"/>
      <w:lvlText w:val=""/>
      <w:lvlJc w:val="left"/>
      <w:pPr>
        <w:tabs>
          <w:tab w:val="num" w:pos="3612"/>
        </w:tabs>
        <w:ind w:left="3612" w:hanging="360"/>
      </w:pPr>
      <w:rPr>
        <w:rFonts w:ascii="Symbol" w:hAnsi="Symbol" w:hint="default"/>
      </w:rPr>
    </w:lvl>
    <w:lvl w:ilvl="7" w:tplc="04090003" w:tentative="1">
      <w:start w:val="1"/>
      <w:numFmt w:val="bullet"/>
      <w:lvlText w:val="o"/>
      <w:lvlJc w:val="left"/>
      <w:pPr>
        <w:tabs>
          <w:tab w:val="num" w:pos="4332"/>
        </w:tabs>
        <w:ind w:left="4332" w:hanging="360"/>
      </w:pPr>
      <w:rPr>
        <w:rFonts w:ascii="Courier New" w:hAnsi="Courier New" w:hint="default"/>
      </w:rPr>
    </w:lvl>
    <w:lvl w:ilvl="8" w:tplc="04090005" w:tentative="1">
      <w:start w:val="1"/>
      <w:numFmt w:val="bullet"/>
      <w:lvlText w:val=""/>
      <w:lvlJc w:val="left"/>
      <w:pPr>
        <w:tabs>
          <w:tab w:val="num" w:pos="5052"/>
        </w:tabs>
        <w:ind w:left="5052" w:hanging="360"/>
      </w:pPr>
      <w:rPr>
        <w:rFonts w:ascii="Wingdings" w:hAnsi="Wingdings" w:hint="default"/>
      </w:rPr>
    </w:lvl>
  </w:abstractNum>
  <w:abstractNum w:abstractNumId="2" w15:restartNumberingAfterBreak="0">
    <w:nsid w:val="2578222F"/>
    <w:multiLevelType w:val="hybridMultilevel"/>
    <w:tmpl w:val="A3C89D24"/>
    <w:lvl w:ilvl="0" w:tplc="B1C8DFAA">
      <w:start w:val="1"/>
      <w:numFmt w:val="bullet"/>
      <w:lvlRestart w:val="0"/>
      <w:lvlText w:val="-"/>
      <w:lvlJc w:val="left"/>
      <w:pPr>
        <w:tabs>
          <w:tab w:val="num" w:pos="1443"/>
        </w:tabs>
        <w:ind w:left="1443" w:hanging="363"/>
      </w:pPr>
      <w:rPr>
        <w:rFonts w:ascii="Times New Roman" w:hAnsi="Times New Roman" w:cs="Times New Roman" w:hint="default"/>
      </w:rPr>
    </w:lvl>
    <w:lvl w:ilvl="1" w:tplc="04090003" w:tentative="1">
      <w:start w:val="1"/>
      <w:numFmt w:val="bullet"/>
      <w:lvlText w:val="o"/>
      <w:lvlJc w:val="left"/>
      <w:pPr>
        <w:tabs>
          <w:tab w:val="num" w:pos="2163"/>
        </w:tabs>
        <w:ind w:left="2163" w:hanging="360"/>
      </w:pPr>
      <w:rPr>
        <w:rFonts w:ascii="Courier New" w:hAnsi="Courier New" w:cs="Courier New" w:hint="default"/>
      </w:rPr>
    </w:lvl>
    <w:lvl w:ilvl="2" w:tplc="04090005" w:tentative="1">
      <w:start w:val="1"/>
      <w:numFmt w:val="bullet"/>
      <w:lvlText w:val=""/>
      <w:lvlJc w:val="left"/>
      <w:pPr>
        <w:tabs>
          <w:tab w:val="num" w:pos="2883"/>
        </w:tabs>
        <w:ind w:left="2883" w:hanging="360"/>
      </w:pPr>
      <w:rPr>
        <w:rFonts w:ascii="Wingdings" w:hAnsi="Wingdings" w:hint="default"/>
      </w:rPr>
    </w:lvl>
    <w:lvl w:ilvl="3" w:tplc="04090001" w:tentative="1">
      <w:start w:val="1"/>
      <w:numFmt w:val="bullet"/>
      <w:lvlText w:val=""/>
      <w:lvlJc w:val="left"/>
      <w:pPr>
        <w:tabs>
          <w:tab w:val="num" w:pos="3603"/>
        </w:tabs>
        <w:ind w:left="3603" w:hanging="360"/>
      </w:pPr>
      <w:rPr>
        <w:rFonts w:ascii="Symbol" w:hAnsi="Symbol" w:hint="default"/>
      </w:rPr>
    </w:lvl>
    <w:lvl w:ilvl="4" w:tplc="04090003" w:tentative="1">
      <w:start w:val="1"/>
      <w:numFmt w:val="bullet"/>
      <w:lvlText w:val="o"/>
      <w:lvlJc w:val="left"/>
      <w:pPr>
        <w:tabs>
          <w:tab w:val="num" w:pos="4323"/>
        </w:tabs>
        <w:ind w:left="4323" w:hanging="360"/>
      </w:pPr>
      <w:rPr>
        <w:rFonts w:ascii="Courier New" w:hAnsi="Courier New" w:cs="Courier New" w:hint="default"/>
      </w:rPr>
    </w:lvl>
    <w:lvl w:ilvl="5" w:tplc="04090005" w:tentative="1">
      <w:start w:val="1"/>
      <w:numFmt w:val="bullet"/>
      <w:lvlText w:val=""/>
      <w:lvlJc w:val="left"/>
      <w:pPr>
        <w:tabs>
          <w:tab w:val="num" w:pos="5043"/>
        </w:tabs>
        <w:ind w:left="5043" w:hanging="360"/>
      </w:pPr>
      <w:rPr>
        <w:rFonts w:ascii="Wingdings" w:hAnsi="Wingdings" w:hint="default"/>
      </w:rPr>
    </w:lvl>
    <w:lvl w:ilvl="6" w:tplc="04090001" w:tentative="1">
      <w:start w:val="1"/>
      <w:numFmt w:val="bullet"/>
      <w:lvlText w:val=""/>
      <w:lvlJc w:val="left"/>
      <w:pPr>
        <w:tabs>
          <w:tab w:val="num" w:pos="5763"/>
        </w:tabs>
        <w:ind w:left="5763" w:hanging="360"/>
      </w:pPr>
      <w:rPr>
        <w:rFonts w:ascii="Symbol" w:hAnsi="Symbol" w:hint="default"/>
      </w:rPr>
    </w:lvl>
    <w:lvl w:ilvl="7" w:tplc="04090003" w:tentative="1">
      <w:start w:val="1"/>
      <w:numFmt w:val="bullet"/>
      <w:lvlText w:val="o"/>
      <w:lvlJc w:val="left"/>
      <w:pPr>
        <w:tabs>
          <w:tab w:val="num" w:pos="6483"/>
        </w:tabs>
        <w:ind w:left="6483" w:hanging="360"/>
      </w:pPr>
      <w:rPr>
        <w:rFonts w:ascii="Courier New" w:hAnsi="Courier New" w:cs="Courier New" w:hint="default"/>
      </w:rPr>
    </w:lvl>
    <w:lvl w:ilvl="8" w:tplc="04090005" w:tentative="1">
      <w:start w:val="1"/>
      <w:numFmt w:val="bullet"/>
      <w:lvlText w:val=""/>
      <w:lvlJc w:val="left"/>
      <w:pPr>
        <w:tabs>
          <w:tab w:val="num" w:pos="7203"/>
        </w:tabs>
        <w:ind w:left="7203" w:hanging="360"/>
      </w:pPr>
      <w:rPr>
        <w:rFonts w:ascii="Wingdings" w:hAnsi="Wingdings" w:hint="default"/>
      </w:rPr>
    </w:lvl>
  </w:abstractNum>
  <w:abstractNum w:abstractNumId="3" w15:restartNumberingAfterBreak="0">
    <w:nsid w:val="303A682D"/>
    <w:multiLevelType w:val="multilevel"/>
    <w:tmpl w:val="89BA438A"/>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0105C24"/>
    <w:multiLevelType w:val="hybridMultilevel"/>
    <w:tmpl w:val="1EBA0AE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CC30BE"/>
    <w:multiLevelType w:val="hybridMultilevel"/>
    <w:tmpl w:val="5866AB94"/>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5965E6"/>
    <w:multiLevelType w:val="multilevel"/>
    <w:tmpl w:val="D23A9DA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11B6FE5"/>
    <w:multiLevelType w:val="hybridMultilevel"/>
    <w:tmpl w:val="D5222002"/>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58425F"/>
    <w:multiLevelType w:val="hybridMultilevel"/>
    <w:tmpl w:val="AD261C80"/>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DD17EE"/>
    <w:multiLevelType w:val="multilevel"/>
    <w:tmpl w:val="6388AF42"/>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5"/>
  </w:num>
  <w:num w:numId="3">
    <w:abstractNumId w:val="0"/>
  </w:num>
  <w:num w:numId="4">
    <w:abstractNumId w:val="9"/>
  </w:num>
  <w:num w:numId="5">
    <w:abstractNumId w:val="3"/>
  </w:num>
  <w:num w:numId="6">
    <w:abstractNumId w:val="6"/>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01"/>
    <w:rsid w:val="00004A2F"/>
    <w:rsid w:val="00052253"/>
    <w:rsid w:val="00081DAA"/>
    <w:rsid w:val="000E5879"/>
    <w:rsid w:val="0010212E"/>
    <w:rsid w:val="001162A0"/>
    <w:rsid w:val="00127404"/>
    <w:rsid w:val="00130C01"/>
    <w:rsid w:val="00140728"/>
    <w:rsid w:val="0017669B"/>
    <w:rsid w:val="001B1527"/>
    <w:rsid w:val="001B5B5C"/>
    <w:rsid w:val="001C7832"/>
    <w:rsid w:val="001E7FFA"/>
    <w:rsid w:val="00204EBD"/>
    <w:rsid w:val="00214AA3"/>
    <w:rsid w:val="00233204"/>
    <w:rsid w:val="00240A46"/>
    <w:rsid w:val="002420D8"/>
    <w:rsid w:val="0024722D"/>
    <w:rsid w:val="00280509"/>
    <w:rsid w:val="002925F7"/>
    <w:rsid w:val="002E1299"/>
    <w:rsid w:val="002E50B4"/>
    <w:rsid w:val="002E65D3"/>
    <w:rsid w:val="002E6BAC"/>
    <w:rsid w:val="0033478A"/>
    <w:rsid w:val="00337454"/>
    <w:rsid w:val="00375523"/>
    <w:rsid w:val="003A07F2"/>
    <w:rsid w:val="003B057E"/>
    <w:rsid w:val="003B0FC0"/>
    <w:rsid w:val="003B2C8E"/>
    <w:rsid w:val="00421562"/>
    <w:rsid w:val="00430916"/>
    <w:rsid w:val="00440299"/>
    <w:rsid w:val="004406B7"/>
    <w:rsid w:val="00442634"/>
    <w:rsid w:val="00457348"/>
    <w:rsid w:val="004652D5"/>
    <w:rsid w:val="004D50E3"/>
    <w:rsid w:val="004F1DE4"/>
    <w:rsid w:val="00503E87"/>
    <w:rsid w:val="00526FE2"/>
    <w:rsid w:val="005C680E"/>
    <w:rsid w:val="00625527"/>
    <w:rsid w:val="006451FE"/>
    <w:rsid w:val="00667158"/>
    <w:rsid w:val="00696196"/>
    <w:rsid w:val="006C7572"/>
    <w:rsid w:val="006E4143"/>
    <w:rsid w:val="00732190"/>
    <w:rsid w:val="00734881"/>
    <w:rsid w:val="0073502F"/>
    <w:rsid w:val="00747960"/>
    <w:rsid w:val="00776C98"/>
    <w:rsid w:val="007E20C6"/>
    <w:rsid w:val="00800FBA"/>
    <w:rsid w:val="008029ED"/>
    <w:rsid w:val="00805E89"/>
    <w:rsid w:val="00840172"/>
    <w:rsid w:val="00862391"/>
    <w:rsid w:val="008B0685"/>
    <w:rsid w:val="008B6D97"/>
    <w:rsid w:val="008F31B6"/>
    <w:rsid w:val="009A0A1E"/>
    <w:rsid w:val="00A17F3A"/>
    <w:rsid w:val="00A61770"/>
    <w:rsid w:val="00A7466D"/>
    <w:rsid w:val="00A87CCE"/>
    <w:rsid w:val="00AA7D5E"/>
    <w:rsid w:val="00AB04CA"/>
    <w:rsid w:val="00AD5A90"/>
    <w:rsid w:val="00AE656F"/>
    <w:rsid w:val="00AF3757"/>
    <w:rsid w:val="00B22D75"/>
    <w:rsid w:val="00B321FF"/>
    <w:rsid w:val="00B42816"/>
    <w:rsid w:val="00B45F80"/>
    <w:rsid w:val="00B92E8B"/>
    <w:rsid w:val="00BE2C09"/>
    <w:rsid w:val="00C127F4"/>
    <w:rsid w:val="00C21664"/>
    <w:rsid w:val="00C44878"/>
    <w:rsid w:val="00C76E70"/>
    <w:rsid w:val="00C946CA"/>
    <w:rsid w:val="00C969F2"/>
    <w:rsid w:val="00CA2A16"/>
    <w:rsid w:val="00CA66C1"/>
    <w:rsid w:val="00D0142F"/>
    <w:rsid w:val="00D04C3B"/>
    <w:rsid w:val="00D3382A"/>
    <w:rsid w:val="00D407E0"/>
    <w:rsid w:val="00D43BFB"/>
    <w:rsid w:val="00D972F9"/>
    <w:rsid w:val="00DA65EF"/>
    <w:rsid w:val="00DB79CB"/>
    <w:rsid w:val="00DC7AE8"/>
    <w:rsid w:val="00DC7EAF"/>
    <w:rsid w:val="00DE3D86"/>
    <w:rsid w:val="00E44436"/>
    <w:rsid w:val="00E52BDE"/>
    <w:rsid w:val="00E7015D"/>
    <w:rsid w:val="00EB0730"/>
    <w:rsid w:val="00EC1A8E"/>
    <w:rsid w:val="00EC3C3F"/>
    <w:rsid w:val="00F14AC2"/>
    <w:rsid w:val="00F36F78"/>
    <w:rsid w:val="00F478FC"/>
    <w:rsid w:val="00F70907"/>
    <w:rsid w:val="00F724D7"/>
    <w:rsid w:val="00FA7FA3"/>
    <w:rsid w:val="00FD091F"/>
    <w:rsid w:val="00FF1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644564E5"/>
  <w15:chartTrackingRefBased/>
  <w15:docId w15:val="{63204DB8-F9B6-40FD-8FEC-90685232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0C01"/>
    <w:rPr>
      <w:rFonts w:ascii="Times New Roman" w:eastAsia="Times New Roman" w:hAnsi="Times New Roman"/>
      <w:sz w:val="22"/>
    </w:rPr>
  </w:style>
  <w:style w:type="paragraph" w:styleId="Antrat1">
    <w:name w:val="heading 1"/>
    <w:basedOn w:val="prastasis"/>
    <w:next w:val="prastasis"/>
    <w:link w:val="Antrat1Diagrama"/>
    <w:uiPriority w:val="9"/>
    <w:qFormat/>
    <w:rsid w:val="00130C01"/>
    <w:pPr>
      <w:keepNext/>
      <w:keepLines/>
      <w:spacing w:before="480"/>
      <w:outlineLvl w:val="0"/>
    </w:pPr>
    <w:rPr>
      <w:rFonts w:ascii="Cambria" w:hAnsi="Cambria"/>
      <w:b/>
      <w:bCs/>
      <w:color w:val="365F91"/>
      <w:sz w:val="28"/>
      <w:szCs w:val="28"/>
      <w:lang w:val="x-none"/>
    </w:rPr>
  </w:style>
  <w:style w:type="paragraph" w:styleId="Antrat2">
    <w:name w:val="heading 2"/>
    <w:basedOn w:val="prastasis"/>
    <w:next w:val="prastasis"/>
    <w:link w:val="Antrat2Diagrama"/>
    <w:autoRedefine/>
    <w:uiPriority w:val="99"/>
    <w:qFormat/>
    <w:rsid w:val="00696196"/>
    <w:pPr>
      <w:keepNext/>
      <w:tabs>
        <w:tab w:val="left" w:pos="567"/>
      </w:tabs>
      <w:outlineLvl w:val="1"/>
    </w:pPr>
    <w:rPr>
      <w:b/>
      <w:lang w:val="x-none" w:eastAsia="x-none"/>
    </w:rPr>
  </w:style>
  <w:style w:type="paragraph" w:styleId="Antrat3">
    <w:name w:val="heading 3"/>
    <w:basedOn w:val="prastasis"/>
    <w:next w:val="prastasis"/>
    <w:link w:val="Antrat3Diagrama"/>
    <w:autoRedefine/>
    <w:uiPriority w:val="99"/>
    <w:qFormat/>
    <w:rsid w:val="00696196"/>
    <w:pPr>
      <w:keepNext/>
      <w:tabs>
        <w:tab w:val="left" w:pos="567"/>
      </w:tabs>
      <w:outlineLvl w:val="2"/>
    </w:pPr>
    <w:rPr>
      <w:b/>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696196"/>
    <w:rPr>
      <w:rFonts w:ascii="Times New Roman" w:eastAsia="Times New Roman" w:hAnsi="Times New Roman"/>
      <w:b/>
      <w:sz w:val="22"/>
      <w:lang w:val="x-none" w:eastAsia="x-none"/>
    </w:rPr>
  </w:style>
  <w:style w:type="character" w:customStyle="1" w:styleId="Antrat3Diagrama">
    <w:name w:val="Antraštė 3 Diagrama"/>
    <w:link w:val="Antrat3"/>
    <w:uiPriority w:val="99"/>
    <w:rsid w:val="00696196"/>
    <w:rPr>
      <w:rFonts w:ascii="Times New Roman" w:eastAsia="Times New Roman" w:hAnsi="Times New Roman"/>
      <w:b/>
      <w:sz w:val="22"/>
      <w:lang w:val="x-none" w:eastAsia="x-none"/>
    </w:rPr>
  </w:style>
  <w:style w:type="paragraph" w:styleId="Pagrindinistekstas">
    <w:name w:val="Body Text"/>
    <w:basedOn w:val="prastasis"/>
    <w:link w:val="PagrindinistekstasDiagrama"/>
    <w:uiPriority w:val="99"/>
    <w:rsid w:val="00130C01"/>
    <w:pPr>
      <w:spacing w:after="120"/>
    </w:pPr>
    <w:rPr>
      <w:sz w:val="20"/>
      <w:lang w:val="x-none"/>
    </w:rPr>
  </w:style>
  <w:style w:type="character" w:customStyle="1" w:styleId="PagrindinistekstasDiagrama">
    <w:name w:val="Pagrindinis tekstas Diagrama"/>
    <w:link w:val="Pagrindinistekstas"/>
    <w:uiPriority w:val="99"/>
    <w:rsid w:val="00130C01"/>
    <w:rPr>
      <w:rFonts w:ascii="Times New Roman" w:eastAsia="Times New Roman" w:hAnsi="Times New Roman" w:cs="Times New Roman"/>
      <w:szCs w:val="20"/>
      <w:lang w:eastAsia="lt-LT"/>
    </w:rPr>
  </w:style>
  <w:style w:type="paragraph" w:styleId="Porat">
    <w:name w:val="footer"/>
    <w:basedOn w:val="prastasis"/>
    <w:link w:val="PoratDiagrama"/>
    <w:rsid w:val="00130C01"/>
    <w:pPr>
      <w:tabs>
        <w:tab w:val="center" w:pos="4153"/>
        <w:tab w:val="right" w:pos="8306"/>
      </w:tabs>
    </w:pPr>
    <w:rPr>
      <w:sz w:val="20"/>
      <w:lang w:val="x-none"/>
    </w:rPr>
  </w:style>
  <w:style w:type="character" w:customStyle="1" w:styleId="PoratDiagrama">
    <w:name w:val="Poraštė Diagrama"/>
    <w:link w:val="Porat"/>
    <w:rsid w:val="00130C01"/>
    <w:rPr>
      <w:rFonts w:ascii="Times New Roman" w:eastAsia="Times New Roman" w:hAnsi="Times New Roman" w:cs="Times New Roman"/>
      <w:szCs w:val="20"/>
      <w:lang w:eastAsia="lt-LT"/>
    </w:rPr>
  </w:style>
  <w:style w:type="character" w:styleId="Puslapionumeris">
    <w:name w:val="page number"/>
    <w:basedOn w:val="Numatytasispastraiposriftas"/>
    <w:rsid w:val="00130C01"/>
  </w:style>
  <w:style w:type="paragraph" w:styleId="Pavadinimas">
    <w:name w:val="Title"/>
    <w:basedOn w:val="prastasis"/>
    <w:link w:val="PavadinimasDiagrama"/>
    <w:autoRedefine/>
    <w:qFormat/>
    <w:rsid w:val="00130C01"/>
    <w:pPr>
      <w:jc w:val="center"/>
      <w:outlineLvl w:val="0"/>
    </w:pPr>
    <w:rPr>
      <w:b/>
      <w:kern w:val="28"/>
      <w:sz w:val="20"/>
      <w:lang w:val="x-none"/>
    </w:rPr>
  </w:style>
  <w:style w:type="character" w:customStyle="1" w:styleId="PavadinimasDiagrama">
    <w:name w:val="Pavadinimas Diagrama"/>
    <w:link w:val="Pavadinimas"/>
    <w:rsid w:val="00130C01"/>
    <w:rPr>
      <w:rFonts w:ascii="Times New Roman" w:eastAsia="Times New Roman" w:hAnsi="Times New Roman" w:cs="Times New Roman"/>
      <w:b/>
      <w:kern w:val="28"/>
      <w:szCs w:val="20"/>
      <w:lang w:eastAsia="lt-LT"/>
    </w:rPr>
  </w:style>
  <w:style w:type="character" w:styleId="Hipersaitas">
    <w:name w:val="Hyperlink"/>
    <w:rsid w:val="00130C01"/>
    <w:rPr>
      <w:color w:val="0000FF"/>
      <w:u w:val="single"/>
    </w:rPr>
  </w:style>
  <w:style w:type="paragraph" w:styleId="Komentarotekstas">
    <w:name w:val="annotation text"/>
    <w:basedOn w:val="prastasis"/>
    <w:link w:val="KomentarotekstasDiagrama"/>
    <w:semiHidden/>
    <w:rsid w:val="00130C01"/>
    <w:rPr>
      <w:sz w:val="20"/>
      <w:lang w:val="x-none"/>
    </w:rPr>
  </w:style>
  <w:style w:type="character" w:customStyle="1" w:styleId="KomentarotekstasDiagrama">
    <w:name w:val="Komentaro tekstas Diagrama"/>
    <w:link w:val="Komentarotekstas"/>
    <w:semiHidden/>
    <w:rsid w:val="00130C01"/>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rsid w:val="00280509"/>
    <w:rPr>
      <w:noProof/>
      <w:szCs w:val="22"/>
      <w:lang w:eastAsia="en-US"/>
    </w:rPr>
  </w:style>
  <w:style w:type="paragraph" w:customStyle="1" w:styleId="PI-1EMEASMCA">
    <w:name w:val="PI-1 EMEA_SMCA"/>
    <w:basedOn w:val="Antrat2"/>
    <w:autoRedefine/>
    <w:rsid w:val="00130C01"/>
    <w:pPr>
      <w:ind w:left="567" w:hanging="567"/>
    </w:pPr>
    <w:rPr>
      <w:szCs w:val="22"/>
      <w:lang w:eastAsia="en-US"/>
    </w:rPr>
  </w:style>
  <w:style w:type="paragraph" w:customStyle="1" w:styleId="PI-2EMEASMCA">
    <w:name w:val="PI-2 EMEA_SMCA"/>
    <w:basedOn w:val="Antrat3"/>
    <w:autoRedefine/>
    <w:rsid w:val="00130C01"/>
    <w:pPr>
      <w:keepLines/>
      <w:ind w:left="567" w:hanging="567"/>
    </w:pPr>
    <w:rPr>
      <w:kern w:val="28"/>
      <w:szCs w:val="22"/>
      <w:lang w:eastAsia="en-US"/>
    </w:rPr>
  </w:style>
  <w:style w:type="paragraph" w:customStyle="1" w:styleId="TTEMEASMCA">
    <w:name w:val="TT EMEA_SMCA"/>
    <w:basedOn w:val="Antrat1"/>
    <w:link w:val="TTEMEASMCAChar"/>
    <w:autoRedefine/>
    <w:rsid w:val="00130C01"/>
    <w:pPr>
      <w:keepNext w:val="0"/>
      <w:keepLines w:val="0"/>
      <w:tabs>
        <w:tab w:val="left" w:pos="567"/>
      </w:tabs>
      <w:spacing w:before="0"/>
      <w:ind w:left="567" w:hanging="567"/>
      <w:jc w:val="center"/>
    </w:pPr>
    <w:rPr>
      <w:rFonts w:ascii="Times New Roman" w:hAnsi="Times New Roman"/>
      <w:bCs w:val="0"/>
      <w:caps/>
      <w:color w:val="auto"/>
      <w:sz w:val="20"/>
      <w:szCs w:val="20"/>
      <w:lang w:val="en-US" w:eastAsia="x-none"/>
    </w:rPr>
  </w:style>
  <w:style w:type="character" w:customStyle="1" w:styleId="TTEMEASMCAChar">
    <w:name w:val="TT EMEA_SMCA Char"/>
    <w:link w:val="TTEMEASMCA"/>
    <w:rsid w:val="00130C0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30C01"/>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130C01"/>
    <w:rPr>
      <w:u w:val="single"/>
    </w:rPr>
  </w:style>
  <w:style w:type="paragraph" w:customStyle="1" w:styleId="BT-EMEASMCA">
    <w:name w:val="BT- EMEA_SMCA"/>
    <w:basedOn w:val="BTEMEASMCA"/>
    <w:autoRedefine/>
    <w:rsid w:val="00130C01"/>
    <w:pPr>
      <w:numPr>
        <w:numId w:val="7"/>
      </w:numPr>
      <w:tabs>
        <w:tab w:val="num" w:pos="360"/>
      </w:tabs>
      <w:ind w:left="0" w:firstLine="0"/>
    </w:pPr>
  </w:style>
  <w:style w:type="paragraph" w:customStyle="1" w:styleId="PI-3EMEASMCA">
    <w:name w:val="PI-3 EMEA_SMCA"/>
    <w:basedOn w:val="prastasis"/>
    <w:autoRedefine/>
    <w:rsid w:val="0073502F"/>
    <w:rPr>
      <w:b/>
      <w:bCs/>
      <w:szCs w:val="22"/>
      <w:lang w:eastAsia="en-US"/>
    </w:rPr>
  </w:style>
  <w:style w:type="paragraph" w:customStyle="1" w:styleId="BTbEMEASMCA">
    <w:name w:val="BT(b) EMEA_SMCA"/>
    <w:basedOn w:val="BTEMEASMCA"/>
    <w:autoRedefine/>
    <w:rsid w:val="00130C01"/>
    <w:rPr>
      <w:b/>
    </w:rPr>
  </w:style>
  <w:style w:type="paragraph" w:customStyle="1" w:styleId="BTeEMEASMCA">
    <w:name w:val="BT(e) EMEA_SMCA"/>
    <w:basedOn w:val="BTEMEASMCA"/>
    <w:autoRedefine/>
    <w:rsid w:val="00130C01"/>
    <w:pPr>
      <w:jc w:val="center"/>
    </w:pPr>
  </w:style>
  <w:style w:type="character" w:customStyle="1" w:styleId="Antrat1Diagrama">
    <w:name w:val="Antraštė 1 Diagrama"/>
    <w:link w:val="Antrat1"/>
    <w:uiPriority w:val="9"/>
    <w:rsid w:val="00130C01"/>
    <w:rPr>
      <w:rFonts w:ascii="Cambria" w:eastAsia="Times New Roman" w:hAnsi="Cambria" w:cs="Times New Roman"/>
      <w:b/>
      <w:bCs/>
      <w:color w:val="365F91"/>
      <w:sz w:val="28"/>
      <w:szCs w:val="28"/>
      <w:lang w:eastAsia="lt-LT"/>
    </w:rPr>
  </w:style>
  <w:style w:type="paragraph" w:styleId="Debesliotekstas">
    <w:name w:val="Balloon Text"/>
    <w:basedOn w:val="prastasis"/>
    <w:link w:val="DebesliotekstasDiagrama"/>
    <w:uiPriority w:val="99"/>
    <w:semiHidden/>
    <w:unhideWhenUsed/>
    <w:rsid w:val="00130C01"/>
    <w:rPr>
      <w:rFonts w:ascii="Tahoma" w:hAnsi="Tahoma"/>
      <w:sz w:val="16"/>
      <w:szCs w:val="16"/>
      <w:lang w:val="x-none"/>
    </w:rPr>
  </w:style>
  <w:style w:type="character" w:customStyle="1" w:styleId="DebesliotekstasDiagrama">
    <w:name w:val="Debesėlio tekstas Diagrama"/>
    <w:link w:val="Debesliotekstas"/>
    <w:uiPriority w:val="99"/>
    <w:semiHidden/>
    <w:rsid w:val="00130C01"/>
    <w:rPr>
      <w:rFonts w:ascii="Tahoma" w:eastAsia="Times New Roman" w:hAnsi="Tahoma" w:cs="Tahoma"/>
      <w:sz w:val="16"/>
      <w:szCs w:val="16"/>
      <w:lang w:eastAsia="lt-LT"/>
    </w:rPr>
  </w:style>
  <w:style w:type="character" w:styleId="Komentaronuoroda">
    <w:name w:val="annotation reference"/>
    <w:uiPriority w:val="99"/>
    <w:semiHidden/>
    <w:unhideWhenUsed/>
    <w:rsid w:val="00DC7AE8"/>
    <w:rPr>
      <w:sz w:val="16"/>
      <w:szCs w:val="16"/>
    </w:rPr>
  </w:style>
  <w:style w:type="paragraph" w:styleId="Komentarotema">
    <w:name w:val="annotation subject"/>
    <w:basedOn w:val="Komentarotekstas"/>
    <w:next w:val="Komentarotekstas"/>
    <w:link w:val="KomentarotemaDiagrama"/>
    <w:uiPriority w:val="99"/>
    <w:semiHidden/>
    <w:unhideWhenUsed/>
    <w:rsid w:val="00DC7AE8"/>
    <w:rPr>
      <w:b/>
      <w:bCs/>
    </w:rPr>
  </w:style>
  <w:style w:type="character" w:customStyle="1" w:styleId="KomentarotemaDiagrama">
    <w:name w:val="Komentaro tema Diagrama"/>
    <w:link w:val="Komentarotema"/>
    <w:uiPriority w:val="99"/>
    <w:semiHidden/>
    <w:rsid w:val="00DC7AE8"/>
    <w:rPr>
      <w:rFonts w:ascii="Times New Roman" w:eastAsia="Times New Roman" w:hAnsi="Times New Roman" w:cs="Times New Roman"/>
      <w:b/>
      <w:bCs/>
      <w:sz w:val="20"/>
      <w:szCs w:val="20"/>
      <w:lang w:eastAsia="lt-LT"/>
    </w:rPr>
  </w:style>
  <w:style w:type="character" w:customStyle="1" w:styleId="BTEMEASMCAChar">
    <w:name w:val="BT EMEA_SMCA Char"/>
    <w:link w:val="BTEMEASMCA"/>
    <w:rsid w:val="00280509"/>
    <w:rPr>
      <w:rFonts w:ascii="Times New Roman" w:eastAsia="Times New Roman" w:hAnsi="Times New Roman"/>
      <w:noProof/>
      <w:sz w:val="22"/>
      <w:szCs w:val="22"/>
      <w:lang w:eastAsia="en-US"/>
    </w:rPr>
  </w:style>
  <w:style w:type="paragraph" w:styleId="Pataisymai">
    <w:name w:val="Revision"/>
    <w:hidden/>
    <w:uiPriority w:val="99"/>
    <w:semiHidden/>
    <w:rsid w:val="00442634"/>
    <w:rPr>
      <w:rFonts w:ascii="Times New Roman" w:eastAsia="Times New Roman" w:hAnsi="Times New Roman"/>
      <w:sz w:val="22"/>
    </w:rPr>
  </w:style>
  <w:style w:type="paragraph" w:styleId="Antrats">
    <w:name w:val="header"/>
    <w:basedOn w:val="prastasis"/>
    <w:link w:val="AntratsDiagrama"/>
    <w:uiPriority w:val="99"/>
    <w:unhideWhenUsed/>
    <w:rsid w:val="0033478A"/>
    <w:pPr>
      <w:tabs>
        <w:tab w:val="center" w:pos="4986"/>
        <w:tab w:val="right" w:pos="9972"/>
      </w:tabs>
    </w:pPr>
  </w:style>
  <w:style w:type="character" w:customStyle="1" w:styleId="AntratsDiagrama">
    <w:name w:val="Antraštės Diagrama"/>
    <w:basedOn w:val="Numatytasispastraiposriftas"/>
    <w:link w:val="Antrats"/>
    <w:uiPriority w:val="99"/>
    <w:rsid w:val="0033478A"/>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de_x0020_name xmlns="82db5bd2-3f09-4eff-b4f8-de6a53cd5a02">Tinidazol Polpharma</Trade_x0020_name>
    <Procedure_number xmlns="82db5bd2-3f09-4eff-b4f8-de6a53cd5a02"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CC1A-6BE3-4D24-A47F-879A8BA6CE2C}">
  <ds:schemaRefs>
    <ds:schemaRef ds:uri="http://schemas.microsoft.com/sharepoint/v3/contenttype/forms"/>
  </ds:schemaRefs>
</ds:datastoreItem>
</file>

<file path=customXml/itemProps2.xml><?xml version="1.0" encoding="utf-8"?>
<ds:datastoreItem xmlns:ds="http://schemas.openxmlformats.org/officeDocument/2006/customXml" ds:itemID="{978957CB-4109-4D94-8594-013F2E585FDB}">
  <ds:schemaRefs>
    <ds:schemaRef ds:uri="http://schemas.microsoft.com/sharepoint/v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82db5bd2-3f09-4eff-b4f8-de6a53cd5a02"/>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F21838D-A171-4C74-8D68-F0BB86AE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059EB-4B84-4FCA-8F21-4CABDED3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22228</Words>
  <Characters>12671</Characters>
  <Application>Microsoft Office Word</Application>
  <DocSecurity>4</DocSecurity>
  <Lines>105</Lines>
  <Paragraphs>69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34830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dc:creator>
  <cp:keywords/>
  <cp:lastModifiedBy>Albina Burkauskaitė</cp:lastModifiedBy>
  <cp:revision>2</cp:revision>
  <dcterms:created xsi:type="dcterms:W3CDTF">2021-02-03T13:09:00Z</dcterms:created>
  <dcterms:modified xsi:type="dcterms:W3CDTF">2021-02-03T13:09:00Z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