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361" w:rsidRPr="00BB0579" w:rsidRDefault="00FD2361" w:rsidP="00FD2361">
      <w:pPr>
        <w:pStyle w:val="TTEMEASMCA"/>
        <w:adjustRightInd w:val="0"/>
        <w:snapToGrid w:val="0"/>
      </w:pPr>
      <w:r w:rsidRPr="00BB0579">
        <w:t>Pakuotės lapelis: informacija pacientui</w:t>
      </w:r>
    </w:p>
    <w:p w:rsidR="00FD2361" w:rsidRPr="00BB0579" w:rsidRDefault="00FD2361" w:rsidP="00FD2361">
      <w:pPr>
        <w:pStyle w:val="BTEMEASMCA"/>
        <w:adjustRightInd w:val="0"/>
        <w:snapToGrid w:val="0"/>
        <w:rPr>
          <w:noProof w:val="0"/>
        </w:rPr>
      </w:pPr>
    </w:p>
    <w:p w:rsidR="00FD2361" w:rsidRPr="00BB0579" w:rsidRDefault="00FD2361" w:rsidP="00FD2361">
      <w:pPr>
        <w:pStyle w:val="BTbeEMEASMCA"/>
        <w:adjustRightInd w:val="0"/>
        <w:snapToGrid w:val="0"/>
        <w:rPr>
          <w:noProof w:val="0"/>
        </w:rPr>
      </w:pPr>
      <w:r w:rsidRPr="00BB0579">
        <w:rPr>
          <w:noProof w:val="0"/>
        </w:rPr>
        <w:t>Opexa 20 mg tabletės</w:t>
      </w:r>
    </w:p>
    <w:p w:rsidR="00FD2361" w:rsidRPr="00BB0579" w:rsidRDefault="00FD2361" w:rsidP="00FD2361">
      <w:pPr>
        <w:pStyle w:val="BTbeEMEASMCA"/>
        <w:adjustRightInd w:val="0"/>
        <w:snapToGrid w:val="0"/>
        <w:rPr>
          <w:noProof w:val="0"/>
        </w:rPr>
      </w:pPr>
    </w:p>
    <w:p w:rsidR="00FD2361" w:rsidRPr="00BB0579" w:rsidRDefault="00FD2361" w:rsidP="00FD2361">
      <w:pPr>
        <w:pStyle w:val="BTeEMEASMCA"/>
        <w:adjustRightInd w:val="0"/>
        <w:snapToGrid w:val="0"/>
        <w:rPr>
          <w:noProof w:val="0"/>
        </w:rPr>
      </w:pPr>
      <w:r w:rsidRPr="00BB0579">
        <w:rPr>
          <w:noProof w:val="0"/>
        </w:rPr>
        <w:t>bilastinas</w:t>
      </w:r>
    </w:p>
    <w:p w:rsidR="00FD2361" w:rsidRPr="00BB0579" w:rsidRDefault="00FD2361" w:rsidP="00FD2361">
      <w:pPr>
        <w:pStyle w:val="BTEMEASMCA"/>
        <w:adjustRightInd w:val="0"/>
        <w:snapToGrid w:val="0"/>
        <w:rPr>
          <w:noProof w:val="0"/>
        </w:rPr>
      </w:pPr>
    </w:p>
    <w:p w:rsidR="00FD2361" w:rsidRPr="00BB0579" w:rsidRDefault="00FD2361" w:rsidP="00FD2361">
      <w:pPr>
        <w:numPr>
          <w:ilvl w:val="12"/>
          <w:numId w:val="0"/>
        </w:numPr>
        <w:adjustRightInd w:val="0"/>
        <w:snapToGrid w:val="0"/>
        <w:spacing w:after="0" w:line="240" w:lineRule="auto"/>
        <w:ind w:right="-2"/>
        <w:rPr>
          <w:rFonts w:ascii="Times New Roman" w:hAnsi="Times New Roman" w:cs="Times New Roman"/>
          <w:b/>
          <w:lang w:val="lt-LT"/>
        </w:rPr>
      </w:pPr>
      <w:r w:rsidRPr="00BB0579">
        <w:rPr>
          <w:rFonts w:ascii="Times New Roman" w:hAnsi="Times New Roman" w:cs="Times New Roman"/>
          <w:b/>
          <w:lang w:val="lt-LT"/>
        </w:rPr>
        <w:t>Atidžiai perskaitykite visą šį lapelį, prieš pradėdami vartoti šį vaistą, nes jame pateikiama Jums svarbi informacija.</w:t>
      </w:r>
    </w:p>
    <w:p w:rsidR="00FD2361" w:rsidRPr="00BB0579" w:rsidRDefault="00FD2361" w:rsidP="00FD2361">
      <w:pPr>
        <w:numPr>
          <w:ilvl w:val="12"/>
          <w:numId w:val="0"/>
        </w:numPr>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Visada vartokite šį vaistą tiksliai kaip aprašyta šiame lapelyje arba kaip nurodė gydytojas arba vaistininkas.</w:t>
      </w:r>
    </w:p>
    <w:p w:rsidR="00FD2361" w:rsidRPr="00BB0579" w:rsidRDefault="00FD2361" w:rsidP="00FD2361">
      <w:pPr>
        <w:numPr>
          <w:ilvl w:val="0"/>
          <w:numId w:val="3"/>
        </w:numPr>
        <w:tabs>
          <w:tab w:val="left" w:pos="567"/>
        </w:tabs>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 xml:space="preserve">Neišmeskite šio lapelio, nes vėl gali prireikti jį perskaityti. </w:t>
      </w:r>
    </w:p>
    <w:p w:rsidR="00FD2361" w:rsidRPr="00BB0579" w:rsidRDefault="00FD2361" w:rsidP="00FD2361">
      <w:pPr>
        <w:numPr>
          <w:ilvl w:val="0"/>
          <w:numId w:val="3"/>
        </w:numPr>
        <w:tabs>
          <w:tab w:val="left" w:pos="567"/>
        </w:tabs>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Jeigu norite sužinoti daugiau arba pasitarti, kreipkitės į vaistininką.</w:t>
      </w:r>
    </w:p>
    <w:p w:rsidR="00FD2361" w:rsidRPr="00BB0579" w:rsidRDefault="00FD2361" w:rsidP="00FD2361">
      <w:pPr>
        <w:numPr>
          <w:ilvl w:val="0"/>
          <w:numId w:val="3"/>
        </w:numPr>
        <w:tabs>
          <w:tab w:val="left" w:pos="567"/>
        </w:tabs>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Jeigu pasireiškė šalutinis poveikis (net jeigu jis šiame lapelyje nenurodytas), kreipkitės į gydytoją arba vaistininką. Žr. 4 skyrių.</w:t>
      </w:r>
    </w:p>
    <w:p w:rsidR="00FD2361" w:rsidRPr="00BB0579" w:rsidRDefault="00FD2361" w:rsidP="00FD2361">
      <w:pPr>
        <w:pStyle w:val="BT-EMEASMCA"/>
        <w:tabs>
          <w:tab w:val="clear" w:pos="360"/>
        </w:tabs>
        <w:adjustRightInd w:val="0"/>
        <w:snapToGrid w:val="0"/>
        <w:rPr>
          <w:noProof w:val="0"/>
        </w:rPr>
      </w:pPr>
      <w:r w:rsidRPr="00BB0579">
        <w:rPr>
          <w:noProof w:val="0"/>
        </w:rPr>
        <w:t>Jeigu per 3 dienas Jūsų savijauta nepagerėjo arba net pablogėjo, kreipkitės į gydytoją.</w:t>
      </w:r>
    </w:p>
    <w:p w:rsidR="00FD2361" w:rsidRPr="00BB0579" w:rsidRDefault="00FD2361" w:rsidP="00FD2361">
      <w:pPr>
        <w:pStyle w:val="BTEMEASMCA"/>
        <w:adjustRightInd w:val="0"/>
        <w:snapToGrid w:val="0"/>
        <w:rPr>
          <w:noProof w:val="0"/>
        </w:rPr>
      </w:pPr>
    </w:p>
    <w:p w:rsidR="00FD2361" w:rsidRPr="00BB0579" w:rsidRDefault="00FD2361" w:rsidP="00FD2361">
      <w:pPr>
        <w:pStyle w:val="BTbEMEASMCA"/>
        <w:adjustRightInd w:val="0"/>
        <w:snapToGrid w:val="0"/>
        <w:rPr>
          <w:noProof w:val="0"/>
        </w:rPr>
      </w:pPr>
      <w:r w:rsidRPr="00BB0579">
        <w:rPr>
          <w:noProof w:val="0"/>
        </w:rPr>
        <w:t>Apie ką rašoma šiame lapelyje?</w:t>
      </w:r>
    </w:p>
    <w:p w:rsidR="00FD2361" w:rsidRPr="00BB0579" w:rsidRDefault="00FD2361" w:rsidP="00FD2361">
      <w:pPr>
        <w:pStyle w:val="BTEMEASMCA"/>
        <w:adjustRightInd w:val="0"/>
        <w:snapToGrid w:val="0"/>
        <w:ind w:left="567" w:hanging="567"/>
        <w:rPr>
          <w:noProof w:val="0"/>
        </w:rPr>
      </w:pPr>
      <w:r w:rsidRPr="00BB0579">
        <w:rPr>
          <w:noProof w:val="0"/>
        </w:rPr>
        <w:t>1.</w:t>
      </w:r>
      <w:r w:rsidRPr="00BB0579">
        <w:rPr>
          <w:noProof w:val="0"/>
        </w:rPr>
        <w:tab/>
        <w:t>Kas yra Opexa ir kam jis vartojamas</w:t>
      </w:r>
    </w:p>
    <w:p w:rsidR="00FD2361" w:rsidRPr="00BB0579" w:rsidRDefault="00FD2361" w:rsidP="00FD2361">
      <w:pPr>
        <w:pStyle w:val="BTEMEASMCA"/>
        <w:adjustRightInd w:val="0"/>
        <w:snapToGrid w:val="0"/>
        <w:ind w:left="567" w:hanging="567"/>
        <w:rPr>
          <w:noProof w:val="0"/>
        </w:rPr>
      </w:pPr>
      <w:r w:rsidRPr="00BB0579">
        <w:rPr>
          <w:noProof w:val="0"/>
        </w:rPr>
        <w:t>2.</w:t>
      </w:r>
      <w:r w:rsidRPr="00BB0579">
        <w:rPr>
          <w:noProof w:val="0"/>
        </w:rPr>
        <w:tab/>
        <w:t>Kas žinotina prieš vartojant Opexa</w:t>
      </w:r>
    </w:p>
    <w:p w:rsidR="00FD2361" w:rsidRPr="00BB0579" w:rsidRDefault="00FD2361" w:rsidP="00FD2361">
      <w:pPr>
        <w:pStyle w:val="BTEMEASMCA"/>
        <w:adjustRightInd w:val="0"/>
        <w:snapToGrid w:val="0"/>
        <w:ind w:left="567" w:hanging="567"/>
        <w:rPr>
          <w:noProof w:val="0"/>
        </w:rPr>
      </w:pPr>
      <w:r w:rsidRPr="00BB0579">
        <w:rPr>
          <w:noProof w:val="0"/>
        </w:rPr>
        <w:t>3.</w:t>
      </w:r>
      <w:r w:rsidRPr="00BB0579">
        <w:rPr>
          <w:noProof w:val="0"/>
        </w:rPr>
        <w:tab/>
        <w:t xml:space="preserve">Kaip vartoti Opexa </w:t>
      </w:r>
    </w:p>
    <w:p w:rsidR="00FD2361" w:rsidRPr="00BB0579" w:rsidRDefault="00FD2361" w:rsidP="00FD2361">
      <w:pPr>
        <w:pStyle w:val="BTEMEASMCA"/>
        <w:adjustRightInd w:val="0"/>
        <w:snapToGrid w:val="0"/>
        <w:ind w:left="567" w:hanging="567"/>
        <w:rPr>
          <w:noProof w:val="0"/>
        </w:rPr>
      </w:pPr>
      <w:r w:rsidRPr="00BB0579">
        <w:rPr>
          <w:noProof w:val="0"/>
        </w:rPr>
        <w:t>4.</w:t>
      </w:r>
      <w:r w:rsidRPr="00BB0579">
        <w:rPr>
          <w:noProof w:val="0"/>
        </w:rPr>
        <w:tab/>
        <w:t>Galimas šalutinis poveikis</w:t>
      </w:r>
    </w:p>
    <w:p w:rsidR="00FD2361" w:rsidRPr="00BB0579" w:rsidRDefault="00FD2361" w:rsidP="00FD2361">
      <w:pPr>
        <w:pStyle w:val="BTEMEASMCA"/>
        <w:adjustRightInd w:val="0"/>
        <w:snapToGrid w:val="0"/>
        <w:ind w:left="567" w:hanging="567"/>
        <w:rPr>
          <w:noProof w:val="0"/>
        </w:rPr>
      </w:pPr>
      <w:r w:rsidRPr="00BB0579">
        <w:rPr>
          <w:noProof w:val="0"/>
        </w:rPr>
        <w:t>5.</w:t>
      </w:r>
      <w:r w:rsidRPr="00BB0579">
        <w:rPr>
          <w:noProof w:val="0"/>
        </w:rPr>
        <w:tab/>
        <w:t>Kaip laikyti Opexa</w:t>
      </w:r>
    </w:p>
    <w:p w:rsidR="00FD2361" w:rsidRPr="00BB0579" w:rsidRDefault="00FD2361" w:rsidP="00FD2361">
      <w:pPr>
        <w:pStyle w:val="BTEMEASMCA"/>
        <w:adjustRightInd w:val="0"/>
        <w:snapToGrid w:val="0"/>
        <w:ind w:left="567" w:hanging="567"/>
        <w:rPr>
          <w:noProof w:val="0"/>
        </w:rPr>
      </w:pPr>
      <w:r w:rsidRPr="00BB0579">
        <w:rPr>
          <w:noProof w:val="0"/>
        </w:rPr>
        <w:t>6.</w:t>
      </w:r>
      <w:r w:rsidRPr="00BB0579">
        <w:rPr>
          <w:noProof w:val="0"/>
        </w:rPr>
        <w:tab/>
        <w:t>Pakuotės turinys ir kita informacija</w:t>
      </w:r>
    </w:p>
    <w:p w:rsidR="00FD2361" w:rsidRPr="00BB0579" w:rsidRDefault="00FD2361" w:rsidP="00FD2361">
      <w:pPr>
        <w:pStyle w:val="BTEMEASMCA"/>
        <w:adjustRightInd w:val="0"/>
        <w:snapToGrid w:val="0"/>
        <w:ind w:left="567" w:hanging="567"/>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PI-1EMEASMCA"/>
        <w:adjustRightInd w:val="0"/>
        <w:snapToGrid w:val="0"/>
      </w:pPr>
      <w:bookmarkStart w:id="0" w:name="_Toc129243264"/>
      <w:bookmarkStart w:id="1" w:name="_Toc129243139"/>
      <w:r w:rsidRPr="00BB0579">
        <w:t>1.</w:t>
      </w:r>
      <w:r w:rsidRPr="00BB0579">
        <w:tab/>
      </w:r>
      <w:bookmarkEnd w:id="0"/>
      <w:bookmarkEnd w:id="1"/>
      <w:r w:rsidRPr="00BB0579">
        <w:t>Kas yra Opexa ir kam jis vartojamas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Opexa veiklioji medžiaga, bilastinas yra antihistamininis vaistas. Opexa vartojamas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PI-1EMEASMCA"/>
        <w:adjustRightInd w:val="0"/>
        <w:snapToGrid w:val="0"/>
      </w:pPr>
      <w:bookmarkStart w:id="2" w:name="_Toc129243265"/>
      <w:bookmarkStart w:id="3" w:name="_Toc129243140"/>
      <w:r w:rsidRPr="00BB0579">
        <w:t>2.</w:t>
      </w:r>
      <w:r w:rsidRPr="00BB0579">
        <w:tab/>
      </w:r>
      <w:bookmarkEnd w:id="2"/>
      <w:bookmarkEnd w:id="3"/>
      <w:r w:rsidRPr="00BB0579">
        <w:t>Kas žinotina prieš vartojant Opexa</w:t>
      </w:r>
    </w:p>
    <w:p w:rsidR="00FD2361" w:rsidRPr="00BB0579" w:rsidRDefault="00FD2361" w:rsidP="00FD2361">
      <w:pPr>
        <w:pStyle w:val="PI-1EMEASMCA"/>
        <w:adjustRightInd w:val="0"/>
        <w:snapToGrid w:val="0"/>
      </w:pPr>
    </w:p>
    <w:p w:rsidR="00FD2361" w:rsidRPr="00BB0579" w:rsidRDefault="00FD2361" w:rsidP="00FD2361">
      <w:pPr>
        <w:adjustRightInd w:val="0"/>
        <w:snapToGrid w:val="0"/>
        <w:spacing w:after="0" w:line="240" w:lineRule="auto"/>
        <w:ind w:left="567" w:hanging="567"/>
        <w:rPr>
          <w:rFonts w:ascii="Times New Roman" w:hAnsi="Times New Roman" w:cs="Times New Roman"/>
          <w:b/>
          <w:caps/>
          <w:lang w:val="lt-LT"/>
        </w:rPr>
      </w:pPr>
      <w:r w:rsidRPr="00BB0579">
        <w:rPr>
          <w:rFonts w:ascii="Times New Roman" w:hAnsi="Times New Roman" w:cs="Times New Roman"/>
          <w:b/>
          <w:lang w:val="lt-LT"/>
        </w:rPr>
        <w:t>Opexa</w:t>
      </w:r>
      <w:r w:rsidRPr="00BB0579">
        <w:rPr>
          <w:rFonts w:ascii="Times New Roman" w:hAnsi="Times New Roman" w:cs="Times New Roman"/>
          <w:b/>
          <w:bCs/>
          <w:lang w:val="lt-LT"/>
        </w:rPr>
        <w:t xml:space="preserve"> vartoti draudžiama</w:t>
      </w:r>
    </w:p>
    <w:p w:rsidR="00FD2361" w:rsidRPr="00BB0579" w:rsidRDefault="00FD2361" w:rsidP="00FD2361">
      <w:pPr>
        <w:pStyle w:val="BT-EMEASMCA"/>
        <w:tabs>
          <w:tab w:val="clear" w:pos="360"/>
        </w:tabs>
        <w:adjustRightInd w:val="0"/>
        <w:snapToGrid w:val="0"/>
        <w:rPr>
          <w:noProof w:val="0"/>
        </w:rPr>
      </w:pPr>
      <w:r w:rsidRPr="00BB0579">
        <w:rPr>
          <w:noProof w:val="0"/>
        </w:rPr>
        <w:t>jeigu yra alergija bilastinui arba bet kuriai pagalbinei šio vaisto medžiagai (jos išvardytos 6 skyriuje).</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Įspėjimai ir atsargumo priemonės</w:t>
      </w:r>
    </w:p>
    <w:p w:rsidR="00FD2361" w:rsidRPr="00BB0579" w:rsidRDefault="00FD2361" w:rsidP="00FD2361">
      <w:pPr>
        <w:pStyle w:val="PI-3EMEASMCA"/>
        <w:adjustRightInd w:val="0"/>
        <w:snapToGrid w:val="0"/>
        <w:spacing w:line="240" w:lineRule="auto"/>
        <w:rPr>
          <w:b w:val="0"/>
        </w:rPr>
      </w:pPr>
      <w:r w:rsidRPr="00BB0579">
        <w:rPr>
          <w:b w:val="0"/>
        </w:rPr>
        <w:t xml:space="preserve">Pasitarkite su gydytoju arba vaistininku, jei Jums nustatytas vidutinio sunkumo arba sunkus inkstų veiklos sutrikimas, </w:t>
      </w:r>
      <w:r w:rsidRPr="00BB0579">
        <w:rPr>
          <w:b w:val="0"/>
          <w:lang w:bidi="lt-LT"/>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BB0579">
        <w:rPr>
          <w:b w:val="0"/>
        </w:rPr>
        <w:t xml:space="preserve"> ir vartojate kitus vaistus (žr. toliau).</w:t>
      </w:r>
    </w:p>
    <w:p w:rsidR="00FD2361" w:rsidRPr="00BB0579" w:rsidRDefault="00FD2361" w:rsidP="00FD2361">
      <w:pPr>
        <w:pStyle w:val="PI-3EMEASMCA"/>
        <w:adjustRightInd w:val="0"/>
        <w:snapToGrid w:val="0"/>
        <w:spacing w:line="240" w:lineRule="auto"/>
      </w:pPr>
    </w:p>
    <w:p w:rsidR="00FD2361" w:rsidRPr="00BB0579" w:rsidRDefault="00FD2361" w:rsidP="00FD2361">
      <w:pPr>
        <w:pStyle w:val="PI-3EMEASMCA"/>
        <w:adjustRightInd w:val="0"/>
        <w:snapToGrid w:val="0"/>
        <w:spacing w:line="240" w:lineRule="auto"/>
      </w:pPr>
      <w:r w:rsidRPr="00BB0579">
        <w:t>Vaikams</w:t>
      </w:r>
    </w:p>
    <w:p w:rsidR="00FD2361" w:rsidRPr="00BB0579" w:rsidRDefault="00FD2361" w:rsidP="00FD2361">
      <w:pPr>
        <w:pStyle w:val="PI-3EMEASMCA"/>
        <w:adjustRightInd w:val="0"/>
        <w:snapToGrid w:val="0"/>
        <w:spacing w:line="240" w:lineRule="auto"/>
      </w:pPr>
      <w:r w:rsidRPr="00BB0579">
        <w:t>Neduokite šio vaisto jaunesniems kaip 12 metų vaikams.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Neviršykite rekomenduojamos dozės. Jei ligos simptomai išlieka, pasitarkite su gydytoju.</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Kiti vaistai ir Opexa</w:t>
      </w:r>
    </w:p>
    <w:p w:rsidR="00FD2361" w:rsidRPr="00BB0579" w:rsidRDefault="00FD2361" w:rsidP="00FD2361">
      <w:pPr>
        <w:pStyle w:val="BTEMEASMCA"/>
        <w:adjustRightInd w:val="0"/>
        <w:snapToGrid w:val="0"/>
        <w:rPr>
          <w:noProof w:val="0"/>
        </w:rPr>
      </w:pPr>
    </w:p>
    <w:p w:rsidR="00FD2361" w:rsidRDefault="00FD2361" w:rsidP="00FD2361">
      <w:pPr>
        <w:pStyle w:val="BTEMEASMCA"/>
        <w:adjustRightInd w:val="0"/>
        <w:snapToGrid w:val="0"/>
        <w:rPr>
          <w:noProof w:val="0"/>
        </w:rPr>
      </w:pPr>
      <w:r w:rsidRPr="00BB0579">
        <w:rPr>
          <w:noProof w:val="0"/>
        </w:rPr>
        <w:t>Jeigu vartojate ar neseniai vartojote kitų vaistų arba dėl to nesate tikri, apie tai pasakykite gydytojui arba vaistininkui.</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lastRenderedPageBreak/>
        <w:t>Ypač pasitarkite su gydytoju, jeigu vartojate kurį nors žemiau išvardytą vaistą:</w:t>
      </w:r>
    </w:p>
    <w:p w:rsidR="00FD2361" w:rsidRPr="00BB0579" w:rsidRDefault="00FD2361" w:rsidP="00FD2361">
      <w:pPr>
        <w:pStyle w:val="BT-EMEASMCA"/>
        <w:tabs>
          <w:tab w:val="clear" w:pos="360"/>
        </w:tabs>
        <w:adjustRightInd w:val="0"/>
        <w:snapToGrid w:val="0"/>
        <w:rPr>
          <w:noProof w:val="0"/>
        </w:rPr>
      </w:pPr>
      <w:r w:rsidRPr="00BB0579">
        <w:rPr>
          <w:noProof w:val="0"/>
        </w:rPr>
        <w:t>ketokonazolą (vaistą grybelių sukeltoms ligoms gydyti),</w:t>
      </w:r>
    </w:p>
    <w:p w:rsidR="00FD2361" w:rsidRPr="00BB0579" w:rsidRDefault="00FD2361" w:rsidP="00FD2361">
      <w:pPr>
        <w:pStyle w:val="BT-EMEASMCA"/>
        <w:tabs>
          <w:tab w:val="clear" w:pos="360"/>
        </w:tabs>
        <w:adjustRightInd w:val="0"/>
        <w:snapToGrid w:val="0"/>
        <w:rPr>
          <w:noProof w:val="0"/>
        </w:rPr>
      </w:pPr>
      <w:r w:rsidRPr="00BB0579">
        <w:rPr>
          <w:noProof w:val="0"/>
        </w:rPr>
        <w:t>eritromiciną (antibiotiką),</w:t>
      </w:r>
    </w:p>
    <w:p w:rsidR="00FD2361" w:rsidRPr="00BB0579" w:rsidRDefault="00FD2361" w:rsidP="00FD2361">
      <w:pPr>
        <w:pStyle w:val="BT-EMEASMCA"/>
        <w:tabs>
          <w:tab w:val="clear" w:pos="360"/>
        </w:tabs>
        <w:adjustRightInd w:val="0"/>
        <w:snapToGrid w:val="0"/>
        <w:rPr>
          <w:noProof w:val="0"/>
        </w:rPr>
      </w:pPr>
      <w:r w:rsidRPr="00BB0579">
        <w:rPr>
          <w:noProof w:val="0"/>
        </w:rPr>
        <w:t>diltiazemą (vaistą krūtinės anginai gydyti),</w:t>
      </w:r>
    </w:p>
    <w:p w:rsidR="00FD2361" w:rsidRPr="00BB0579" w:rsidRDefault="00FD2361" w:rsidP="00FD2361">
      <w:pPr>
        <w:pStyle w:val="BT-EMEASMCA"/>
        <w:tabs>
          <w:tab w:val="clear" w:pos="360"/>
        </w:tabs>
        <w:adjustRightInd w:val="0"/>
        <w:snapToGrid w:val="0"/>
        <w:rPr>
          <w:noProof w:val="0"/>
        </w:rPr>
      </w:pPr>
      <w:r w:rsidRPr="00BB0579">
        <w:rPr>
          <w:noProof w:val="0"/>
        </w:rPr>
        <w:t>ciklosporiną (vaistą, mažinantį Jūsų imuninės sistemos aktyvumą ir tokiu būdu padedantį išvengti persodinto organo atmetimo arba mažinantį ligos aktyvumą sergant tokiomis ligomis, kaip žvynelinė, atopinis dermatitas ar reumatoidinis artritas),</w:t>
      </w:r>
    </w:p>
    <w:p w:rsidR="00FD2361" w:rsidRPr="00BB0579" w:rsidRDefault="00FD2361" w:rsidP="00FD2361">
      <w:pPr>
        <w:pStyle w:val="BT-EMEASMCA"/>
        <w:tabs>
          <w:tab w:val="clear" w:pos="360"/>
        </w:tabs>
        <w:adjustRightInd w:val="0"/>
        <w:snapToGrid w:val="0"/>
        <w:rPr>
          <w:noProof w:val="0"/>
        </w:rPr>
      </w:pPr>
      <w:r w:rsidRPr="00BB0579">
        <w:rPr>
          <w:noProof w:val="0"/>
        </w:rPr>
        <w:t>ritonavirą (vaistą ŽIV infekcijai gydyti),</w:t>
      </w:r>
    </w:p>
    <w:p w:rsidR="00FD2361" w:rsidRPr="00BB0579" w:rsidRDefault="00FD2361" w:rsidP="00FD2361">
      <w:pPr>
        <w:pStyle w:val="BT-EMEASMCA"/>
        <w:tabs>
          <w:tab w:val="clear" w:pos="360"/>
        </w:tabs>
        <w:adjustRightInd w:val="0"/>
        <w:snapToGrid w:val="0"/>
        <w:rPr>
          <w:noProof w:val="0"/>
        </w:rPr>
      </w:pPr>
      <w:r w:rsidRPr="00BB0579">
        <w:rPr>
          <w:noProof w:val="0"/>
        </w:rPr>
        <w:t>rifampiciną (antibiotiką).</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Opexa vartojimas su maistu, gėrimais ir alkoholiu</w:t>
      </w:r>
    </w:p>
    <w:p w:rsidR="00FD2361" w:rsidRPr="00BB0579" w:rsidRDefault="00FD2361" w:rsidP="00FD2361">
      <w:pPr>
        <w:pStyle w:val="BTEMEASMCA"/>
        <w:adjustRightInd w:val="0"/>
        <w:snapToGrid w:val="0"/>
        <w:rPr>
          <w:noProof w:val="0"/>
        </w:rPr>
      </w:pPr>
      <w:r w:rsidRPr="00BB0579">
        <w:rPr>
          <w:noProof w:val="0"/>
        </w:rPr>
        <w:t xml:space="preserve">Šio vaisto </w:t>
      </w:r>
      <w:r w:rsidRPr="00BB0579">
        <w:rPr>
          <w:b/>
          <w:noProof w:val="0"/>
        </w:rPr>
        <w:t>negalima</w:t>
      </w:r>
      <w:r w:rsidRPr="00BB0579">
        <w:rPr>
          <w:noProof w:val="0"/>
        </w:rPr>
        <w:t xml:space="preserve"> vartoti kartu su </w:t>
      </w:r>
      <w:r w:rsidRPr="00BB0579">
        <w:rPr>
          <w:b/>
          <w:noProof w:val="0"/>
        </w:rPr>
        <w:t>maistu</w:t>
      </w:r>
      <w:r w:rsidRPr="00BB0579">
        <w:rPr>
          <w:noProof w:val="0"/>
        </w:rPr>
        <w:t xml:space="preserve">, </w:t>
      </w:r>
      <w:r w:rsidRPr="00BB0579">
        <w:rPr>
          <w:b/>
          <w:noProof w:val="0"/>
        </w:rPr>
        <w:t>greipfrutų ar kitų vaisių sultimis</w:t>
      </w:r>
      <w:r w:rsidRPr="00BB0579">
        <w:rPr>
          <w:noProof w:val="0"/>
        </w:rPr>
        <w:t>, nes tai sumažins bilastino veiksmingumą. Siekiant to išvengti, Jūs galite:</w:t>
      </w:r>
    </w:p>
    <w:p w:rsidR="00FD2361" w:rsidRPr="00BB0579" w:rsidRDefault="00FD2361" w:rsidP="00FD2361">
      <w:pPr>
        <w:pStyle w:val="BT-EMEASMCA"/>
        <w:tabs>
          <w:tab w:val="clear" w:pos="360"/>
        </w:tabs>
        <w:adjustRightInd w:val="0"/>
        <w:snapToGrid w:val="0"/>
        <w:rPr>
          <w:noProof w:val="0"/>
        </w:rPr>
      </w:pPr>
      <w:r w:rsidRPr="00BB0579">
        <w:rPr>
          <w:noProof w:val="0"/>
        </w:rPr>
        <w:t>išgerti tabletę ir praėjus vienai valandai pavalgyti arba išgerti sulčių arba</w:t>
      </w:r>
    </w:p>
    <w:p w:rsidR="00FD2361" w:rsidRPr="00BB0579" w:rsidRDefault="00FD2361" w:rsidP="00FD2361">
      <w:pPr>
        <w:pStyle w:val="BT-EMEASMCA"/>
        <w:tabs>
          <w:tab w:val="clear" w:pos="360"/>
        </w:tabs>
        <w:adjustRightInd w:val="0"/>
        <w:snapToGrid w:val="0"/>
        <w:rPr>
          <w:noProof w:val="0"/>
        </w:rPr>
      </w:pPr>
      <w:r w:rsidRPr="00BB0579">
        <w:rPr>
          <w:noProof w:val="0"/>
        </w:rPr>
        <w:t xml:space="preserve">jeigu Jūs pavalgėte arba išgėrėte sulčių, palaukti dvi valandas ir tada išgerti tabletę. </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Rekomenduojama (20 mg) bilastino dozė nesustiprina alkoholio sukelto mieguistumo.</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Nėštumas, žindymo laikotarpis ir vaisingumas</w:t>
      </w:r>
    </w:p>
    <w:p w:rsidR="00FD2361" w:rsidRPr="00BB0579" w:rsidRDefault="00FD2361" w:rsidP="00FD2361">
      <w:pPr>
        <w:pStyle w:val="BTEMEASMCA"/>
        <w:adjustRightInd w:val="0"/>
        <w:snapToGrid w:val="0"/>
        <w:rPr>
          <w:noProof w:val="0"/>
        </w:rPr>
      </w:pPr>
      <w:r w:rsidRPr="00BB0579">
        <w:rPr>
          <w:noProof w:val="0"/>
        </w:rPr>
        <w:t>Kokių nors duomenų apie bilastino vartojimą nėštumo ar žindymo metu, o taip pat apie jo poveikį vaisingumui nėra.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Jei esate nėščia, žindote kūdikį, manote, kad galbūt esate nėščia, arba planuojate pastoti, tai prieš vartodama šį vaistą, pasitarkite su gydytoju arba vaistininku.</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Vairavimas ir mechanizmų valdymas</w:t>
      </w:r>
    </w:p>
    <w:p w:rsidR="00FD2361" w:rsidRPr="00BB0579" w:rsidRDefault="00FD2361" w:rsidP="00FD2361">
      <w:pPr>
        <w:tabs>
          <w:tab w:val="left" w:pos="1560"/>
        </w:tabs>
        <w:adjustRightInd w:val="0"/>
        <w:snapToGrid w:val="0"/>
        <w:spacing w:after="0" w:line="240" w:lineRule="auto"/>
        <w:rPr>
          <w:rFonts w:ascii="Times New Roman" w:hAnsi="Times New Roman" w:cs="Times New Roman"/>
          <w:lang w:val="lt-LT"/>
        </w:rPr>
      </w:pPr>
      <w:r w:rsidRPr="00BB0579">
        <w:rPr>
          <w:rFonts w:ascii="Times New Roman" w:eastAsia="Calibri" w:hAnsi="Times New Roman" w:cs="Times New Roman"/>
          <w:lang w:val="lt-LT"/>
        </w:rPr>
        <w:t xml:space="preserve">Poveikio </w:t>
      </w:r>
      <w:r w:rsidRPr="00BB0579">
        <w:rPr>
          <w:rFonts w:ascii="Times New Roman" w:hAnsi="Times New Roman" w:cs="Times New Roman"/>
          <w:lang w:val="lt-LT"/>
        </w:rPr>
        <w:t>gebėjimui vairuoti</w:t>
      </w:r>
      <w:r w:rsidRPr="00BB0579">
        <w:rPr>
          <w:rFonts w:ascii="Times New Roman" w:eastAsia="Calibri" w:hAnsi="Times New Roman" w:cs="Times New Roman"/>
          <w:lang w:val="lt-LT"/>
        </w:rPr>
        <w:t xml:space="preserve"> suaugusiųjų tyrimas parodė</w:t>
      </w:r>
      <w:r w:rsidRPr="00BB0579">
        <w:rPr>
          <w:rFonts w:ascii="Times New Roman" w:hAnsi="Times New Roman" w:cs="Times New Roman"/>
          <w:lang w:val="lt-LT"/>
        </w:rPr>
        <w:t>, kad rekomenduojama bilastino 20</w:t>
      </w:r>
      <w:r w:rsidRPr="00BB0579">
        <w:rPr>
          <w:rFonts w:ascii="Times New Roman" w:eastAsia="Calibri" w:hAnsi="Times New Roman" w:cs="Times New Roman"/>
          <w:lang w:val="lt-LT"/>
        </w:rPr>
        <w:t> </w:t>
      </w:r>
      <w:r w:rsidRPr="00BB0579">
        <w:rPr>
          <w:rFonts w:ascii="Times New Roman" w:hAnsi="Times New Roman" w:cs="Times New Roman"/>
          <w:lang w:val="lt-LT"/>
        </w:rPr>
        <w:t>mg</w:t>
      </w:r>
      <w:r w:rsidRPr="00BB0579">
        <w:rPr>
          <w:rFonts w:ascii="Times New Roman" w:eastAsia="Calibri" w:hAnsi="Times New Roman" w:cs="Times New Roman"/>
          <w:lang w:val="lt-LT"/>
        </w:rPr>
        <w:t xml:space="preserve"> dozė neturi įtakos gebėjimui</w:t>
      </w:r>
      <w:r w:rsidRPr="00BB0579">
        <w:rPr>
          <w:rFonts w:ascii="Times New Roman" w:hAnsi="Times New Roman" w:cs="Times New Roman"/>
          <w:lang w:val="lt-LT"/>
        </w:rPr>
        <w:t xml:space="preserve"> vairuoti</w:t>
      </w:r>
      <w:r w:rsidRPr="00BB0579">
        <w:rPr>
          <w:rFonts w:ascii="Times New Roman" w:eastAsia="Calibri" w:hAnsi="Times New Roman" w:cs="Times New Roman"/>
          <w:lang w:val="lt-LT"/>
        </w:rPr>
        <w:t xml:space="preserve">. </w:t>
      </w:r>
      <w:r w:rsidRPr="00BB0579">
        <w:rPr>
          <w:rFonts w:ascii="Times New Roman" w:hAnsi="Times New Roman" w:cs="Times New Roman"/>
          <w:lang w:val="lt-LT"/>
        </w:rPr>
        <w:t xml:space="preserve">Tačiau </w:t>
      </w:r>
      <w:r w:rsidRPr="00BB0579">
        <w:rPr>
          <w:rFonts w:ascii="Times New Roman" w:eastAsia="Calibri" w:hAnsi="Times New Roman" w:cs="Times New Roman"/>
          <w:lang w:val="lt-LT"/>
        </w:rPr>
        <w:t>dėl to, kad kiekvieno paciento atsakas į vaisto vartojimą</w:t>
      </w:r>
      <w:r w:rsidRPr="00BB0579">
        <w:rPr>
          <w:rFonts w:ascii="Times New Roman" w:hAnsi="Times New Roman" w:cs="Times New Roman"/>
          <w:lang w:val="lt-LT"/>
        </w:rPr>
        <w:t xml:space="preserve"> gali </w:t>
      </w:r>
      <w:r w:rsidRPr="00BB0579">
        <w:rPr>
          <w:rFonts w:ascii="Times New Roman" w:eastAsia="Calibri" w:hAnsi="Times New Roman" w:cs="Times New Roman"/>
          <w:lang w:val="lt-LT"/>
        </w:rPr>
        <w:t>būti skirtingas, prieš pradėdami vairuoti arba valdyti mechanizmus, turite įsitikinti kokį poveikį šis vaistas sukelia jums</w:t>
      </w:r>
      <w:r w:rsidRPr="00BB0579">
        <w:rPr>
          <w:rFonts w:ascii="Times New Roman" w:hAnsi="Times New Roman" w:cs="Times New Roman"/>
          <w:lang w:val="lt-LT"/>
        </w:rPr>
        <w:t xml:space="preserve">. </w:t>
      </w:r>
    </w:p>
    <w:p w:rsidR="00FD2361" w:rsidRPr="00BB0579" w:rsidRDefault="00FD2361" w:rsidP="00FD2361">
      <w:pPr>
        <w:pStyle w:val="BTEMEASMCA"/>
        <w:adjustRightInd w:val="0"/>
        <w:snapToGrid w:val="0"/>
        <w:rPr>
          <w:noProof w:val="0"/>
        </w:rPr>
      </w:pPr>
    </w:p>
    <w:p w:rsidR="00FD2361" w:rsidRPr="00BB0579" w:rsidRDefault="00FD2361" w:rsidP="00FD2361">
      <w:pPr>
        <w:keepNext/>
        <w:keepLines/>
        <w:adjustRightInd w:val="0"/>
        <w:snapToGrid w:val="0"/>
        <w:spacing w:after="0" w:line="240" w:lineRule="auto"/>
        <w:outlineLvl w:val="3"/>
        <w:rPr>
          <w:rFonts w:ascii="Times New Roman" w:eastAsia="Times New Roman" w:hAnsi="Times New Roman" w:cs="Times New Roman"/>
          <w:b/>
          <w:iCs/>
          <w:lang w:val="lt-LT"/>
        </w:rPr>
      </w:pPr>
      <w:r w:rsidRPr="00BB0579">
        <w:rPr>
          <w:rFonts w:ascii="Times New Roman" w:eastAsia="Times New Roman" w:hAnsi="Times New Roman" w:cs="Times New Roman"/>
          <w:b/>
          <w:iCs/>
          <w:lang w:val="lt-LT"/>
        </w:rPr>
        <w:t>Opexa sudėtyje yra natrio</w:t>
      </w:r>
    </w:p>
    <w:p w:rsidR="00FD2361" w:rsidRPr="00BB0579" w:rsidRDefault="00FD2361" w:rsidP="00FD2361">
      <w:pPr>
        <w:pStyle w:val="BTEMEASMCA"/>
        <w:adjustRightInd w:val="0"/>
        <w:snapToGrid w:val="0"/>
        <w:rPr>
          <w:noProof w:val="0"/>
        </w:rPr>
      </w:pPr>
      <w:r w:rsidRPr="00BB0579">
        <w:rPr>
          <w:noProof w:val="0"/>
        </w:rPr>
        <w:t xml:space="preserve">Šio vaisto tabletėje yra mažiau kaip 1 mmol (23 mg) natrio, </w:t>
      </w:r>
      <w:r w:rsidRPr="00BB0579">
        <w:rPr>
          <w:noProof w:val="0"/>
          <w:lang w:eastAsia="lt-LT"/>
        </w:rPr>
        <w:t>t. y. jis beveik neturi reikšmės.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PI-1EMEASMCA"/>
        <w:adjustRightInd w:val="0"/>
        <w:snapToGrid w:val="0"/>
      </w:pPr>
      <w:bookmarkStart w:id="4" w:name="_Toc129243266"/>
      <w:bookmarkStart w:id="5" w:name="_Toc129243141"/>
      <w:r w:rsidRPr="00BB0579">
        <w:t>3.</w:t>
      </w:r>
      <w:r w:rsidRPr="00BB0579">
        <w:tab/>
      </w:r>
      <w:bookmarkEnd w:id="4"/>
      <w:bookmarkEnd w:id="5"/>
      <w:r w:rsidRPr="00BB0579">
        <w:t>Kaip vartoti Opexa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 xml:space="preserve">Visada vartokite šį vaistą tiksliai taip, kaip aprašyta šiame lapelyje arba kaip nurodė gydytojas arba vaistininkas. Jeigu abejojate, kreipkitės į gydytoją arba vaistininką. </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 xml:space="preserve">Rekomenduojama dozė suaugusiesiems, įskaitant senyvus žmones ir 12 metų bei vyresnius paauglius yra 1 tabletė (20 mg) per dieną. Tabletė vartojama per burną. </w:t>
      </w:r>
    </w:p>
    <w:p w:rsidR="00FD2361" w:rsidRPr="00BB0579" w:rsidRDefault="00FD2361" w:rsidP="00FD2361">
      <w:pPr>
        <w:pStyle w:val="BT-EMEASMCA"/>
        <w:tabs>
          <w:tab w:val="clear" w:pos="360"/>
        </w:tabs>
        <w:adjustRightInd w:val="0"/>
        <w:snapToGrid w:val="0"/>
        <w:rPr>
          <w:noProof w:val="0"/>
        </w:rPr>
      </w:pPr>
      <w:r w:rsidRPr="00BB0579">
        <w:rPr>
          <w:noProof w:val="0"/>
        </w:rPr>
        <w:t>Tabletę reikia nuryti nevalgius, vieną valandą prieš valgį arba sulčių gėrimą arba praėjus dviem valandoms po valgymo arba sulčių gėrimo (žr. 2 skyrių).</w:t>
      </w:r>
      <w:r w:rsidRPr="00BB0579" w:rsidDel="007B44D3">
        <w:rPr>
          <w:noProof w:val="0"/>
        </w:rPr>
        <w:t xml:space="preserve"> </w:t>
      </w:r>
      <w:r w:rsidRPr="00BB0579">
        <w:rPr>
          <w:noProof w:val="0"/>
        </w:rPr>
        <w:t>Nurykite tabletę užsigerdami stikline vandens.</w:t>
      </w:r>
    </w:p>
    <w:p w:rsidR="00FD2361" w:rsidRPr="00BB0579" w:rsidRDefault="00FD2361" w:rsidP="00FD2361">
      <w:pPr>
        <w:pStyle w:val="BT-EMEASMCA"/>
        <w:tabs>
          <w:tab w:val="clear" w:pos="360"/>
        </w:tabs>
        <w:adjustRightInd w:val="0"/>
        <w:snapToGrid w:val="0"/>
        <w:rPr>
          <w:noProof w:val="0"/>
        </w:rPr>
      </w:pPr>
      <w:r w:rsidRPr="00BB0579">
        <w:rPr>
          <w:noProof w:val="0"/>
        </w:rPr>
        <w:t>Vagelė padeda tabletę perlaužti, kad būtų lengviau ją nuryti.</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Rekomenduojama paros dozė yra 20</w:t>
      </w:r>
      <w:r w:rsidRPr="00BB0579">
        <w:rPr>
          <w:noProof w:val="0"/>
          <w:shd w:val="clear" w:color="auto" w:fill="FFFFFF"/>
        </w:rPr>
        <w:t> </w:t>
      </w:r>
      <w:r w:rsidRPr="00BB0579">
        <w:rPr>
          <w:noProof w:val="0"/>
        </w:rPr>
        <w:t>mg (1 Opexa 20</w:t>
      </w:r>
      <w:r w:rsidRPr="00BB0579">
        <w:rPr>
          <w:noProof w:val="0"/>
          <w:shd w:val="clear" w:color="auto" w:fill="FFFFFF"/>
        </w:rPr>
        <w:t> </w:t>
      </w:r>
      <w:r w:rsidRPr="00BB0579">
        <w:rPr>
          <w:noProof w:val="0"/>
        </w:rPr>
        <w:t>mg tabletė).</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Gydymo trukmė priklauso nuo Jūsų ligos simptomų, trukmės ir eigos.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Nevartokite Opexa ilgiau nei 10 dienų nepasikonsultavę su savo gydytoju.</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Jei po 3 dienų Jūsų savijauta nepagerėjo arba net pablogėjo, kreipkitės į gydytoją.</w:t>
      </w:r>
    </w:p>
    <w:p w:rsidR="00FD2361" w:rsidRPr="00BB0579" w:rsidRDefault="00FD2361" w:rsidP="00FD2361">
      <w:pPr>
        <w:pStyle w:val="BTEMEASMCA"/>
        <w:adjustRightInd w:val="0"/>
        <w:snapToGrid w:val="0"/>
        <w:rPr>
          <w:noProof w:val="0"/>
        </w:rPr>
      </w:pPr>
    </w:p>
    <w:p w:rsidR="00FD2361" w:rsidRPr="0085154D" w:rsidRDefault="00FD2361" w:rsidP="00FD2361">
      <w:pPr>
        <w:keepNext/>
        <w:keepLines/>
        <w:adjustRightInd w:val="0"/>
        <w:snapToGrid w:val="0"/>
        <w:spacing w:after="0" w:line="240" w:lineRule="auto"/>
        <w:outlineLvl w:val="3"/>
        <w:rPr>
          <w:rFonts w:eastAsia="Times New Roman"/>
          <w:b/>
          <w:iCs/>
          <w:lang w:val="lt-LT"/>
        </w:rPr>
      </w:pPr>
      <w:r w:rsidRPr="0085154D">
        <w:rPr>
          <w:rFonts w:ascii="Times New Roman" w:eastAsia="Times New Roman" w:hAnsi="Times New Roman" w:cs="Times New Roman"/>
          <w:b/>
          <w:iCs/>
          <w:lang w:val="lt-LT"/>
        </w:rPr>
        <w:lastRenderedPageBreak/>
        <w:t>Vartojimas vaikams</w:t>
      </w:r>
    </w:p>
    <w:p w:rsidR="00FD2361" w:rsidRPr="00BB0579" w:rsidRDefault="00FD2361" w:rsidP="00FD2361">
      <w:pPr>
        <w:pStyle w:val="BTEMEASMCA"/>
        <w:keepNext/>
        <w:adjustRightInd w:val="0"/>
        <w:snapToGrid w:val="0"/>
        <w:rPr>
          <w:noProof w:val="0"/>
        </w:rPr>
      </w:pPr>
    </w:p>
    <w:p w:rsidR="00FD2361" w:rsidRPr="00BB0579" w:rsidRDefault="00FD2361" w:rsidP="00FD2361">
      <w:pPr>
        <w:tabs>
          <w:tab w:val="left" w:pos="1560"/>
        </w:tabs>
        <w:adjustRightInd w:val="0"/>
        <w:snapToGrid w:val="0"/>
        <w:spacing w:after="0" w:line="240" w:lineRule="auto"/>
        <w:rPr>
          <w:rFonts w:ascii="Times New Roman" w:eastAsia="Calibri" w:hAnsi="Times New Roman" w:cs="Times New Roman"/>
          <w:lang w:val="lt-LT"/>
        </w:rPr>
      </w:pPr>
      <w:r w:rsidRPr="00BB0579">
        <w:rPr>
          <w:rFonts w:ascii="Times New Roman" w:eastAsia="Calibri" w:hAnsi="Times New Roman" w:cs="Times New Roman"/>
          <w:lang w:val="lt-LT"/>
        </w:rPr>
        <w:t xml:space="preserve">Vaikams, </w:t>
      </w:r>
      <w:r w:rsidRPr="00BB0579">
        <w:rPr>
          <w:rFonts w:ascii="Times New Roman" w:hAnsi="Times New Roman" w:cs="Times New Roman"/>
          <w:lang w:val="lt-LT"/>
        </w:rPr>
        <w:t>6–11 metų, kurie sveria mažiausiai 20 kg,</w:t>
      </w:r>
      <w:r w:rsidRPr="00BB0579">
        <w:rPr>
          <w:rFonts w:ascii="Times New Roman" w:eastAsia="Calibri" w:hAnsi="Times New Roman" w:cs="Times New Roman"/>
          <w:lang w:val="lt-LT"/>
        </w:rPr>
        <w:t xml:space="preserve"> gali būti labiau tinkamos kitos, šio vaisto farmacinės formos </w:t>
      </w:r>
      <w:r>
        <w:rPr>
          <w:rFonts w:ascii="Times New Roman" w:eastAsia="Calibri" w:hAnsi="Times New Roman" w:cs="Times New Roman"/>
          <w:lang w:val="lt-LT"/>
        </w:rPr>
        <w:t>–</w:t>
      </w:r>
      <w:r w:rsidRPr="00BB0579">
        <w:rPr>
          <w:rFonts w:ascii="Times New Roman" w:eastAsia="Calibri" w:hAnsi="Times New Roman" w:cs="Times New Roman"/>
          <w:lang w:val="lt-LT"/>
        </w:rPr>
        <w:t xml:space="preserve"> </w:t>
      </w:r>
      <w:r w:rsidRPr="00BB0579">
        <w:rPr>
          <w:rFonts w:ascii="Times New Roman" w:hAnsi="Times New Roman" w:cs="Times New Roman"/>
          <w:lang w:val="lt-LT"/>
        </w:rPr>
        <w:t>bilastino 10 mg burnoje disperguojamosios tabletės ir bilastino 2,5 mg/ml geriamasis tirpalas</w:t>
      </w:r>
      <w:r w:rsidRPr="00BB0579">
        <w:rPr>
          <w:rFonts w:ascii="Times New Roman" w:eastAsia="Calibri" w:hAnsi="Times New Roman" w:cs="Times New Roman"/>
          <w:lang w:val="lt-LT"/>
        </w:rPr>
        <w:t xml:space="preserve"> – pasitarkite su gydytoju arba vaistininku.</w:t>
      </w:r>
    </w:p>
    <w:p w:rsidR="00FD2361" w:rsidRPr="00BB0579" w:rsidRDefault="00FD2361" w:rsidP="00FD2361">
      <w:pPr>
        <w:tabs>
          <w:tab w:val="left" w:pos="1560"/>
        </w:tabs>
        <w:adjustRightInd w:val="0"/>
        <w:snapToGrid w:val="0"/>
        <w:spacing w:after="0" w:line="240" w:lineRule="auto"/>
        <w:rPr>
          <w:rFonts w:ascii="Times New Roman" w:eastAsia="Calibri" w:hAnsi="Times New Roman" w:cs="Times New Roman"/>
          <w:lang w:val="lt-LT"/>
        </w:rPr>
      </w:pPr>
    </w:p>
    <w:p w:rsidR="00FD2361" w:rsidRPr="00BB0579" w:rsidRDefault="00FD2361" w:rsidP="00FD2361">
      <w:pPr>
        <w:adjustRightInd w:val="0"/>
        <w:snapToGrid w:val="0"/>
        <w:spacing w:after="0" w:line="240" w:lineRule="auto"/>
        <w:rPr>
          <w:rFonts w:ascii="Times New Roman" w:hAnsi="Times New Roman" w:cs="Times New Roman"/>
          <w:b/>
          <w:lang w:val="lt-LT"/>
        </w:rPr>
      </w:pPr>
      <w:r w:rsidRPr="00BB0579">
        <w:rPr>
          <w:rFonts w:ascii="Times New Roman" w:hAnsi="Times New Roman" w:cs="Times New Roman"/>
          <w:b/>
          <w:lang w:val="lt-LT"/>
        </w:rPr>
        <w:t xml:space="preserve">Neduokite </w:t>
      </w:r>
      <w:r w:rsidRPr="00BB0579">
        <w:rPr>
          <w:rFonts w:ascii="Times New Roman" w:eastAsia="Calibri" w:hAnsi="Times New Roman" w:cs="Times New Roman"/>
          <w:b/>
          <w:lang w:val="lt-LT"/>
        </w:rPr>
        <w:t>bilastino</w:t>
      </w:r>
      <w:r w:rsidRPr="00BB0579">
        <w:rPr>
          <w:rFonts w:ascii="Times New Roman" w:hAnsi="Times New Roman" w:cs="Times New Roman"/>
          <w:b/>
          <w:lang w:val="lt-LT"/>
        </w:rPr>
        <w:t xml:space="preserve"> jaunesniems negu 6 metų vaikams, kurie sveria mažiau negu 20 kg, nes apie jo tinkamumą duomenų nepakanka.</w:t>
      </w:r>
    </w:p>
    <w:p w:rsidR="00FD2361" w:rsidRPr="00BB0579" w:rsidRDefault="00FD2361" w:rsidP="00FD2361">
      <w:pPr>
        <w:tabs>
          <w:tab w:val="left" w:pos="1560"/>
        </w:tabs>
        <w:adjustRightInd w:val="0"/>
        <w:snapToGrid w:val="0"/>
        <w:spacing w:after="0" w:line="240" w:lineRule="auto"/>
        <w:rPr>
          <w:rFonts w:ascii="Times New Roman" w:eastAsia="Calibri" w:hAnsi="Times New Roman" w:cs="Times New Roman"/>
          <w:lang w:val="lt-LT"/>
        </w:rPr>
      </w:pPr>
    </w:p>
    <w:p w:rsidR="00FD2361" w:rsidRPr="00BB0579" w:rsidRDefault="00FD2361" w:rsidP="00FD2361">
      <w:pPr>
        <w:pStyle w:val="PI-3EMEASMCA"/>
        <w:adjustRightInd w:val="0"/>
        <w:snapToGrid w:val="0"/>
        <w:spacing w:line="240" w:lineRule="auto"/>
      </w:pPr>
      <w:r w:rsidRPr="00BB0579">
        <w:t>Ką daryti pavartojus per didelę Opexa dozę</w:t>
      </w:r>
    </w:p>
    <w:p w:rsidR="00FD2361" w:rsidRPr="00BB0579" w:rsidRDefault="00FD2361" w:rsidP="00FD2361">
      <w:pPr>
        <w:pStyle w:val="BTEMEASMCA"/>
        <w:adjustRightInd w:val="0"/>
        <w:snapToGrid w:val="0"/>
        <w:rPr>
          <w:noProof w:val="0"/>
        </w:rPr>
      </w:pPr>
      <w:r w:rsidRPr="00BB0579">
        <w:rPr>
          <w:noProof w:val="0"/>
        </w:rPr>
        <w:t xml:space="preserve">Jeigu Jūs arba kas nors kitas išgėrėte per daug Opexa tablečių, </w:t>
      </w:r>
      <w:r w:rsidRPr="00BB0579">
        <w:rPr>
          <w:b/>
          <w:noProof w:val="0"/>
        </w:rPr>
        <w:t xml:space="preserve">nedelsiant </w:t>
      </w:r>
      <w:r w:rsidRPr="00BB0579">
        <w:rPr>
          <w:noProof w:val="0"/>
        </w:rPr>
        <w:t>kreipkitės į gydytoją arba vaistininką arba artimiausios ligoninės skubios pagalbos skyrių. Pasiimkite kartu vaisto pakuotės lapelį.</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 xml:space="preserve">Pamiršus pavartoti Opexa </w:t>
      </w:r>
    </w:p>
    <w:p w:rsidR="00FD2361" w:rsidRPr="00BB0579" w:rsidRDefault="00FD2361" w:rsidP="00FD2361">
      <w:pPr>
        <w:pStyle w:val="BTEMEASMCA"/>
        <w:adjustRightInd w:val="0"/>
        <w:snapToGrid w:val="0"/>
        <w:rPr>
          <w:noProof w:val="0"/>
        </w:rPr>
      </w:pPr>
      <w:r w:rsidRPr="00BB0579">
        <w:rPr>
          <w:b/>
          <w:noProof w:val="0"/>
        </w:rPr>
        <w:t>Negalima</w:t>
      </w:r>
      <w:r w:rsidRPr="00BB0579">
        <w:rPr>
          <w:noProof w:val="0"/>
        </w:rPr>
        <w:t xml:space="preserve"> vartoti dvigubos dozės norint kompensuoti praleistą dozę.</w:t>
      </w:r>
    </w:p>
    <w:p w:rsidR="00FD2361" w:rsidRPr="00BB0579" w:rsidRDefault="00FD2361" w:rsidP="00FD2361">
      <w:pPr>
        <w:pStyle w:val="BTEMEASMCA"/>
        <w:adjustRightInd w:val="0"/>
        <w:snapToGrid w:val="0"/>
        <w:rPr>
          <w:noProof w:val="0"/>
        </w:rPr>
      </w:pPr>
      <w:r w:rsidRPr="00BB0579">
        <w:rPr>
          <w:noProof w:val="0"/>
        </w:rPr>
        <w:t>Jei užmiršote išgerti vaisto dozę tinkamu laiku, išgerkite, kai tik apie tai prisiminsite ir vėliau vartokite įprasta tvarka.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Jeigu kiltų daugiau klausimų dėl šio vaisto vartojimo, kreipkitės į gydytoją arba vaistininką.</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PI-1EMEASMCA"/>
        <w:adjustRightInd w:val="0"/>
        <w:snapToGrid w:val="0"/>
      </w:pPr>
      <w:bookmarkStart w:id="6" w:name="_Toc129243267"/>
      <w:bookmarkStart w:id="7" w:name="_Toc129243142"/>
      <w:r w:rsidRPr="00BB0579">
        <w:t>4.</w:t>
      </w:r>
      <w:r w:rsidRPr="00BB0579">
        <w:tab/>
      </w:r>
      <w:bookmarkEnd w:id="6"/>
      <w:bookmarkEnd w:id="7"/>
      <w:r w:rsidRPr="00BB0579">
        <w:t>Galimas šalutinis poveikis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Šis vaistas, kaip ir visi kiti, gali sukelti šalutinį poveikį, nors jis pasireiškia ne visiems žmonėms.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Kiti šalutiniai poveikiai, kurie gali pasireikšti suaugusiesiems ir paaugliams:</w:t>
      </w:r>
    </w:p>
    <w:p w:rsidR="00FD2361" w:rsidRPr="00BB0579" w:rsidRDefault="00FD2361" w:rsidP="00FD2361">
      <w:pPr>
        <w:pStyle w:val="BTEMEASMCA"/>
        <w:adjustRightInd w:val="0"/>
        <w:snapToGrid w:val="0"/>
        <w:rPr>
          <w:noProof w:val="0"/>
        </w:rPr>
      </w:pPr>
    </w:p>
    <w:p w:rsidR="00FD2361" w:rsidRPr="0085154D" w:rsidRDefault="00FD2361" w:rsidP="00FD2361">
      <w:pPr>
        <w:pStyle w:val="BTEMEASMCA"/>
        <w:adjustRightInd w:val="0"/>
        <w:snapToGrid w:val="0"/>
        <w:rPr>
          <w:b/>
          <w:bCs/>
          <w:noProof w:val="0"/>
        </w:rPr>
      </w:pPr>
      <w:r w:rsidRPr="0085154D">
        <w:rPr>
          <w:b/>
          <w:bCs/>
          <w:noProof w:val="0"/>
        </w:rPr>
        <w:t>Dažnas: gali pasireikšti rečiau kaip 1 iš 10 asmenų</w:t>
      </w:r>
    </w:p>
    <w:p w:rsidR="00FD2361" w:rsidRPr="00BB0579" w:rsidRDefault="00FD2361" w:rsidP="00FD2361">
      <w:pPr>
        <w:pStyle w:val="BT-EMEASMCA"/>
        <w:tabs>
          <w:tab w:val="clear" w:pos="360"/>
        </w:tabs>
        <w:adjustRightInd w:val="0"/>
        <w:snapToGrid w:val="0"/>
        <w:rPr>
          <w:noProof w:val="0"/>
        </w:rPr>
      </w:pPr>
      <w:r w:rsidRPr="00BB0579">
        <w:rPr>
          <w:noProof w:val="0"/>
        </w:rPr>
        <w:t>galvos skausmas,</w:t>
      </w:r>
    </w:p>
    <w:p w:rsidR="00FD2361" w:rsidRPr="00BB0579" w:rsidRDefault="00FD2361" w:rsidP="00FD2361">
      <w:pPr>
        <w:pStyle w:val="BT-EMEASMCA"/>
        <w:tabs>
          <w:tab w:val="clear" w:pos="360"/>
        </w:tabs>
        <w:adjustRightInd w:val="0"/>
        <w:snapToGrid w:val="0"/>
        <w:rPr>
          <w:noProof w:val="0"/>
        </w:rPr>
      </w:pPr>
      <w:r w:rsidRPr="00BB0579">
        <w:rPr>
          <w:noProof w:val="0"/>
        </w:rPr>
        <w:t>mieguistumas.</w:t>
      </w:r>
    </w:p>
    <w:p w:rsidR="00FD2361" w:rsidRPr="00BB0579" w:rsidRDefault="00FD2361" w:rsidP="00FD2361">
      <w:pPr>
        <w:pStyle w:val="BTEMEASMCA"/>
        <w:adjustRightInd w:val="0"/>
        <w:snapToGrid w:val="0"/>
        <w:rPr>
          <w:noProof w:val="0"/>
        </w:rPr>
      </w:pPr>
    </w:p>
    <w:p w:rsidR="00FD2361" w:rsidRPr="0085154D" w:rsidRDefault="00FD2361" w:rsidP="00FD2361">
      <w:pPr>
        <w:pStyle w:val="BTEMEASMCA"/>
        <w:adjustRightInd w:val="0"/>
        <w:snapToGrid w:val="0"/>
        <w:rPr>
          <w:b/>
          <w:bCs/>
          <w:noProof w:val="0"/>
        </w:rPr>
      </w:pPr>
      <w:r w:rsidRPr="0085154D">
        <w:rPr>
          <w:b/>
          <w:bCs/>
          <w:noProof w:val="0"/>
        </w:rPr>
        <w:t xml:space="preserve">Nedažnas: gali pasireikšti rečiau kaip 1 iš 100 asmenų </w:t>
      </w:r>
    </w:p>
    <w:p w:rsidR="00FD2361" w:rsidRPr="00BB0579" w:rsidRDefault="00FD2361" w:rsidP="00FD2361">
      <w:pPr>
        <w:pStyle w:val="BT-EMEASMCA"/>
        <w:tabs>
          <w:tab w:val="clear" w:pos="360"/>
        </w:tabs>
        <w:adjustRightInd w:val="0"/>
        <w:snapToGrid w:val="0"/>
        <w:rPr>
          <w:noProof w:val="0"/>
        </w:rPr>
      </w:pPr>
      <w:r w:rsidRPr="00BB0579">
        <w:rPr>
          <w:noProof w:val="0"/>
        </w:rPr>
        <w:t>elektrokardiogramos (EKG) pakitimai,</w:t>
      </w:r>
    </w:p>
    <w:p w:rsidR="00FD2361" w:rsidRPr="00BB0579" w:rsidRDefault="00FD2361" w:rsidP="00FD2361">
      <w:pPr>
        <w:pStyle w:val="BT-EMEASMCA"/>
        <w:tabs>
          <w:tab w:val="clear" w:pos="360"/>
        </w:tabs>
        <w:adjustRightInd w:val="0"/>
        <w:snapToGrid w:val="0"/>
        <w:rPr>
          <w:noProof w:val="0"/>
        </w:rPr>
      </w:pPr>
      <w:r w:rsidRPr="00BB0579">
        <w:rPr>
          <w:noProof w:val="0"/>
        </w:rPr>
        <w:t>kraujo pakitimai, rodantys kepenų veiklos aktyvumą,</w:t>
      </w:r>
    </w:p>
    <w:p w:rsidR="00FD2361" w:rsidRPr="00BB0579" w:rsidRDefault="00FD2361" w:rsidP="00FD2361">
      <w:pPr>
        <w:pStyle w:val="BT-EMEASMCA"/>
        <w:tabs>
          <w:tab w:val="clear" w:pos="360"/>
        </w:tabs>
        <w:adjustRightInd w:val="0"/>
        <w:snapToGrid w:val="0"/>
        <w:rPr>
          <w:noProof w:val="0"/>
        </w:rPr>
      </w:pPr>
      <w:r w:rsidRPr="00BB0579">
        <w:rPr>
          <w:noProof w:val="0"/>
        </w:rPr>
        <w:t>svaigulys,</w:t>
      </w:r>
    </w:p>
    <w:p w:rsidR="00FD2361" w:rsidRPr="00BB0579" w:rsidRDefault="00FD2361" w:rsidP="00FD2361">
      <w:pPr>
        <w:pStyle w:val="BT-EMEASMCA"/>
        <w:tabs>
          <w:tab w:val="clear" w:pos="360"/>
        </w:tabs>
        <w:adjustRightInd w:val="0"/>
        <w:snapToGrid w:val="0"/>
        <w:rPr>
          <w:noProof w:val="0"/>
        </w:rPr>
      </w:pPr>
      <w:r w:rsidRPr="00BB0579">
        <w:rPr>
          <w:noProof w:val="0"/>
        </w:rPr>
        <w:t>skrandžio skausmas,</w:t>
      </w:r>
    </w:p>
    <w:p w:rsidR="00FD2361" w:rsidRPr="00BB0579" w:rsidRDefault="00FD2361" w:rsidP="00FD2361">
      <w:pPr>
        <w:pStyle w:val="BT-EMEASMCA"/>
        <w:tabs>
          <w:tab w:val="clear" w:pos="360"/>
        </w:tabs>
        <w:adjustRightInd w:val="0"/>
        <w:snapToGrid w:val="0"/>
        <w:rPr>
          <w:noProof w:val="0"/>
        </w:rPr>
      </w:pPr>
      <w:r w:rsidRPr="00BB0579">
        <w:rPr>
          <w:noProof w:val="0"/>
        </w:rPr>
        <w:t>nuovargis,</w:t>
      </w:r>
    </w:p>
    <w:p w:rsidR="00FD2361" w:rsidRPr="00BB0579" w:rsidRDefault="00FD2361" w:rsidP="00FD2361">
      <w:pPr>
        <w:pStyle w:val="BT-EMEASMCA"/>
        <w:tabs>
          <w:tab w:val="clear" w:pos="360"/>
        </w:tabs>
        <w:adjustRightInd w:val="0"/>
        <w:snapToGrid w:val="0"/>
        <w:rPr>
          <w:noProof w:val="0"/>
        </w:rPr>
      </w:pPr>
      <w:r w:rsidRPr="00BB0579">
        <w:rPr>
          <w:noProof w:val="0"/>
        </w:rPr>
        <w:t>padidėjęs apetitas,</w:t>
      </w:r>
    </w:p>
    <w:p w:rsidR="00FD2361" w:rsidRPr="00BB0579" w:rsidRDefault="00FD2361" w:rsidP="00FD2361">
      <w:pPr>
        <w:pStyle w:val="BT-EMEASMCA"/>
        <w:tabs>
          <w:tab w:val="clear" w:pos="360"/>
        </w:tabs>
        <w:adjustRightInd w:val="0"/>
        <w:snapToGrid w:val="0"/>
        <w:rPr>
          <w:noProof w:val="0"/>
        </w:rPr>
      </w:pPr>
      <w:r w:rsidRPr="00BB0579">
        <w:rPr>
          <w:noProof w:val="0"/>
        </w:rPr>
        <w:t>nereguliarus širdies plakimas,</w:t>
      </w:r>
    </w:p>
    <w:p w:rsidR="00FD2361" w:rsidRPr="00BB0579" w:rsidRDefault="00FD2361" w:rsidP="00FD2361">
      <w:pPr>
        <w:pStyle w:val="BT-EMEASMCA"/>
        <w:tabs>
          <w:tab w:val="clear" w:pos="360"/>
        </w:tabs>
        <w:adjustRightInd w:val="0"/>
        <w:snapToGrid w:val="0"/>
        <w:rPr>
          <w:noProof w:val="0"/>
        </w:rPr>
      </w:pPr>
      <w:r w:rsidRPr="00BB0579">
        <w:rPr>
          <w:noProof w:val="0"/>
        </w:rPr>
        <w:t xml:space="preserve">padidėjęs svoris, </w:t>
      </w:r>
    </w:p>
    <w:p w:rsidR="00FD2361" w:rsidRPr="00BB0579" w:rsidRDefault="00FD2361" w:rsidP="00FD2361">
      <w:pPr>
        <w:pStyle w:val="BT-EMEASMCA"/>
        <w:tabs>
          <w:tab w:val="clear" w:pos="360"/>
        </w:tabs>
        <w:adjustRightInd w:val="0"/>
        <w:snapToGrid w:val="0"/>
        <w:rPr>
          <w:noProof w:val="0"/>
        </w:rPr>
      </w:pPr>
      <w:r w:rsidRPr="00BB0579">
        <w:rPr>
          <w:noProof w:val="0"/>
        </w:rPr>
        <w:t>pykinimas,</w:t>
      </w:r>
    </w:p>
    <w:p w:rsidR="00FD2361" w:rsidRPr="00BB0579" w:rsidRDefault="00FD2361" w:rsidP="00FD2361">
      <w:pPr>
        <w:pStyle w:val="BT-EMEASMCA"/>
        <w:tabs>
          <w:tab w:val="clear" w:pos="360"/>
        </w:tabs>
        <w:adjustRightInd w:val="0"/>
        <w:snapToGrid w:val="0"/>
        <w:rPr>
          <w:noProof w:val="0"/>
        </w:rPr>
      </w:pPr>
      <w:r w:rsidRPr="00BB0579">
        <w:rPr>
          <w:noProof w:val="0"/>
        </w:rPr>
        <w:t>baimė,</w:t>
      </w:r>
    </w:p>
    <w:p w:rsidR="00FD2361" w:rsidRPr="00BB0579" w:rsidRDefault="00FD2361" w:rsidP="00FD2361">
      <w:pPr>
        <w:pStyle w:val="BT-EMEASMCA"/>
        <w:tabs>
          <w:tab w:val="clear" w:pos="360"/>
        </w:tabs>
        <w:adjustRightInd w:val="0"/>
        <w:snapToGrid w:val="0"/>
        <w:rPr>
          <w:noProof w:val="0"/>
        </w:rPr>
      </w:pPr>
      <w:r w:rsidRPr="00BB0579">
        <w:rPr>
          <w:noProof w:val="0"/>
        </w:rPr>
        <w:t>nosies džiūvimas arba kitas nemalonus pojūtis,</w:t>
      </w:r>
    </w:p>
    <w:p w:rsidR="00FD2361" w:rsidRPr="00BB0579" w:rsidRDefault="00FD2361" w:rsidP="00FD2361">
      <w:pPr>
        <w:pStyle w:val="BT-EMEASMCA"/>
        <w:tabs>
          <w:tab w:val="clear" w:pos="360"/>
        </w:tabs>
        <w:adjustRightInd w:val="0"/>
        <w:snapToGrid w:val="0"/>
        <w:rPr>
          <w:noProof w:val="0"/>
        </w:rPr>
      </w:pPr>
      <w:r w:rsidRPr="00BB0579">
        <w:rPr>
          <w:noProof w:val="0"/>
        </w:rPr>
        <w:t>pilvo skausmas,</w:t>
      </w:r>
    </w:p>
    <w:p w:rsidR="00FD2361" w:rsidRPr="00BB0579" w:rsidRDefault="00FD2361" w:rsidP="00FD2361">
      <w:pPr>
        <w:pStyle w:val="BT-EMEASMCA"/>
        <w:tabs>
          <w:tab w:val="clear" w:pos="360"/>
        </w:tabs>
        <w:adjustRightInd w:val="0"/>
        <w:snapToGrid w:val="0"/>
        <w:rPr>
          <w:noProof w:val="0"/>
        </w:rPr>
      </w:pPr>
      <w:r w:rsidRPr="00BB0579">
        <w:rPr>
          <w:noProof w:val="0"/>
        </w:rPr>
        <w:t xml:space="preserve">viduriavimas, </w:t>
      </w:r>
    </w:p>
    <w:p w:rsidR="00FD2361" w:rsidRPr="00BB0579" w:rsidRDefault="00FD2361" w:rsidP="00FD2361">
      <w:pPr>
        <w:pStyle w:val="BT-EMEASMCA"/>
        <w:tabs>
          <w:tab w:val="clear" w:pos="360"/>
        </w:tabs>
        <w:adjustRightInd w:val="0"/>
        <w:snapToGrid w:val="0"/>
        <w:rPr>
          <w:noProof w:val="0"/>
        </w:rPr>
      </w:pPr>
      <w:r w:rsidRPr="00BB0579">
        <w:rPr>
          <w:noProof w:val="0"/>
        </w:rPr>
        <w:t>gastritas (skrandžio gleivinės uždegimas),</w:t>
      </w:r>
    </w:p>
    <w:p w:rsidR="00FD2361" w:rsidRPr="00BB0579" w:rsidRDefault="00FD2361" w:rsidP="00FD2361">
      <w:pPr>
        <w:pStyle w:val="BT-EMEASMCA"/>
        <w:tabs>
          <w:tab w:val="clear" w:pos="360"/>
        </w:tabs>
        <w:adjustRightInd w:val="0"/>
        <w:snapToGrid w:val="0"/>
        <w:rPr>
          <w:noProof w:val="0"/>
        </w:rPr>
      </w:pPr>
      <w:r w:rsidRPr="00BB0579">
        <w:rPr>
          <w:noProof w:val="0"/>
        </w:rPr>
        <w:t>svaigimas (</w:t>
      </w:r>
      <w:r w:rsidRPr="00BB0579">
        <w:rPr>
          <w:i/>
          <w:noProof w:val="0"/>
        </w:rPr>
        <w:t>vertigo</w:t>
      </w:r>
      <w:r w:rsidRPr="00BB0579">
        <w:rPr>
          <w:noProof w:val="0"/>
        </w:rPr>
        <w:t>),</w:t>
      </w:r>
    </w:p>
    <w:p w:rsidR="00FD2361" w:rsidRPr="00BB0579" w:rsidRDefault="00FD2361" w:rsidP="00FD2361">
      <w:pPr>
        <w:pStyle w:val="BT-EMEASMCA"/>
        <w:tabs>
          <w:tab w:val="clear" w:pos="360"/>
        </w:tabs>
        <w:adjustRightInd w:val="0"/>
        <w:snapToGrid w:val="0"/>
        <w:rPr>
          <w:noProof w:val="0"/>
        </w:rPr>
      </w:pPr>
      <w:r w:rsidRPr="00BB0579">
        <w:rPr>
          <w:noProof w:val="0"/>
        </w:rPr>
        <w:t>dusulys (pasunkėjęs kvėpavimas),</w:t>
      </w:r>
    </w:p>
    <w:p w:rsidR="00FD2361" w:rsidRPr="00BB0579" w:rsidRDefault="00FD2361" w:rsidP="00FD2361">
      <w:pPr>
        <w:pStyle w:val="BT-EMEASMCA"/>
        <w:tabs>
          <w:tab w:val="clear" w:pos="360"/>
        </w:tabs>
        <w:adjustRightInd w:val="0"/>
        <w:snapToGrid w:val="0"/>
        <w:rPr>
          <w:noProof w:val="0"/>
        </w:rPr>
      </w:pPr>
      <w:r w:rsidRPr="00BB0579">
        <w:rPr>
          <w:noProof w:val="0"/>
        </w:rPr>
        <w:t>burnos džiūvimas,</w:t>
      </w:r>
    </w:p>
    <w:p w:rsidR="00FD2361" w:rsidRPr="00BB0579" w:rsidRDefault="00FD2361" w:rsidP="00FD2361">
      <w:pPr>
        <w:pStyle w:val="BT-EMEASMCA"/>
        <w:tabs>
          <w:tab w:val="clear" w:pos="360"/>
        </w:tabs>
        <w:adjustRightInd w:val="0"/>
        <w:snapToGrid w:val="0"/>
        <w:rPr>
          <w:noProof w:val="0"/>
        </w:rPr>
      </w:pPr>
      <w:r w:rsidRPr="00BB0579">
        <w:rPr>
          <w:noProof w:val="0"/>
        </w:rPr>
        <w:t>sutrikęs virškinimas,</w:t>
      </w:r>
    </w:p>
    <w:p w:rsidR="00FD2361" w:rsidRPr="00BB0579" w:rsidRDefault="00FD2361" w:rsidP="00FD2361">
      <w:pPr>
        <w:pStyle w:val="BT-EMEASMCA"/>
        <w:tabs>
          <w:tab w:val="clear" w:pos="360"/>
        </w:tabs>
        <w:adjustRightInd w:val="0"/>
        <w:snapToGrid w:val="0"/>
        <w:rPr>
          <w:noProof w:val="0"/>
        </w:rPr>
      </w:pPr>
      <w:r w:rsidRPr="00BB0579">
        <w:rPr>
          <w:noProof w:val="0"/>
        </w:rPr>
        <w:t>niežėjimas,</w:t>
      </w:r>
    </w:p>
    <w:p w:rsidR="00FD2361" w:rsidRPr="00BB0579" w:rsidRDefault="00FD2361" w:rsidP="00FD2361">
      <w:pPr>
        <w:pStyle w:val="BT-EMEASMCA"/>
        <w:tabs>
          <w:tab w:val="clear" w:pos="360"/>
        </w:tabs>
        <w:adjustRightInd w:val="0"/>
        <w:snapToGrid w:val="0"/>
        <w:rPr>
          <w:noProof w:val="0"/>
        </w:rPr>
      </w:pPr>
      <w:r w:rsidRPr="00BB0579">
        <w:rPr>
          <w:noProof w:val="0"/>
        </w:rPr>
        <w:t>pūslelinė (</w:t>
      </w:r>
      <w:r w:rsidRPr="00BB0579">
        <w:rPr>
          <w:i/>
          <w:noProof w:val="0"/>
        </w:rPr>
        <w:t>herpes)</w:t>
      </w:r>
      <w:r w:rsidRPr="00BB0579">
        <w:rPr>
          <w:noProof w:val="0"/>
        </w:rPr>
        <w:t>,</w:t>
      </w:r>
    </w:p>
    <w:p w:rsidR="00FD2361" w:rsidRPr="00BB0579" w:rsidRDefault="00FD2361" w:rsidP="00FD2361">
      <w:pPr>
        <w:pStyle w:val="BT-EMEASMCA"/>
        <w:tabs>
          <w:tab w:val="clear" w:pos="360"/>
        </w:tabs>
        <w:adjustRightInd w:val="0"/>
        <w:snapToGrid w:val="0"/>
        <w:rPr>
          <w:noProof w:val="0"/>
        </w:rPr>
      </w:pPr>
      <w:r w:rsidRPr="00BB0579">
        <w:rPr>
          <w:noProof w:val="0"/>
        </w:rPr>
        <w:lastRenderedPageBreak/>
        <w:t>karščiavimas,</w:t>
      </w:r>
    </w:p>
    <w:p w:rsidR="00FD2361" w:rsidRPr="00BB0579" w:rsidRDefault="00FD2361" w:rsidP="00FD2361">
      <w:pPr>
        <w:pStyle w:val="BT-EMEASMCA"/>
        <w:tabs>
          <w:tab w:val="clear" w:pos="360"/>
        </w:tabs>
        <w:adjustRightInd w:val="0"/>
        <w:snapToGrid w:val="0"/>
        <w:rPr>
          <w:noProof w:val="0"/>
        </w:rPr>
      </w:pPr>
      <w:r w:rsidRPr="00BB0579">
        <w:rPr>
          <w:noProof w:val="0"/>
        </w:rPr>
        <w:t>ūžesys ausyse,</w:t>
      </w:r>
    </w:p>
    <w:p w:rsidR="00FD2361" w:rsidRPr="00BB0579" w:rsidRDefault="00FD2361" w:rsidP="00FD2361">
      <w:pPr>
        <w:pStyle w:val="BT-EMEASMCA"/>
        <w:tabs>
          <w:tab w:val="clear" w:pos="360"/>
        </w:tabs>
        <w:adjustRightInd w:val="0"/>
        <w:snapToGrid w:val="0"/>
        <w:rPr>
          <w:noProof w:val="0"/>
        </w:rPr>
      </w:pPr>
      <w:r w:rsidRPr="00BB0579">
        <w:rPr>
          <w:noProof w:val="0"/>
        </w:rPr>
        <w:t>troškulys,</w:t>
      </w:r>
    </w:p>
    <w:p w:rsidR="00FD2361" w:rsidRPr="00BB0579" w:rsidRDefault="00FD2361" w:rsidP="00FD2361">
      <w:pPr>
        <w:pStyle w:val="BT-EMEASMCA"/>
        <w:tabs>
          <w:tab w:val="clear" w:pos="360"/>
        </w:tabs>
        <w:adjustRightInd w:val="0"/>
        <w:snapToGrid w:val="0"/>
        <w:rPr>
          <w:noProof w:val="0"/>
        </w:rPr>
      </w:pPr>
      <w:r w:rsidRPr="00BB0579">
        <w:rPr>
          <w:noProof w:val="0"/>
        </w:rPr>
        <w:t>miego sutrikimas,</w:t>
      </w:r>
    </w:p>
    <w:p w:rsidR="00FD2361" w:rsidRPr="00BB0579" w:rsidRDefault="00FD2361" w:rsidP="00FD2361">
      <w:pPr>
        <w:pStyle w:val="BT-EMEASMCA"/>
        <w:tabs>
          <w:tab w:val="clear" w:pos="360"/>
        </w:tabs>
        <w:adjustRightInd w:val="0"/>
        <w:snapToGrid w:val="0"/>
        <w:rPr>
          <w:noProof w:val="0"/>
        </w:rPr>
      </w:pPr>
      <w:r w:rsidRPr="00BB0579">
        <w:rPr>
          <w:noProof w:val="0"/>
        </w:rPr>
        <w:t>kraujo tyrimai, rodantys inkstų veiklos pakitimus,</w:t>
      </w:r>
    </w:p>
    <w:p w:rsidR="00FD2361" w:rsidRPr="00BB0579" w:rsidRDefault="00FD2361" w:rsidP="00FD2361">
      <w:pPr>
        <w:pStyle w:val="BT-EMEASMCA"/>
        <w:tabs>
          <w:tab w:val="clear" w:pos="360"/>
        </w:tabs>
        <w:adjustRightInd w:val="0"/>
        <w:snapToGrid w:val="0"/>
        <w:rPr>
          <w:noProof w:val="0"/>
        </w:rPr>
      </w:pPr>
      <w:r w:rsidRPr="00BB0579">
        <w:rPr>
          <w:noProof w:val="0"/>
        </w:rPr>
        <w:t>padidėjęs riebalų kiekis kraujyje.</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85154D">
        <w:rPr>
          <w:b/>
          <w:bCs/>
          <w:noProof w:val="0"/>
        </w:rPr>
        <w:t>Dažnis nežinomas (negali būti apskaičiuotas pagal turimus duomenis)</w:t>
      </w:r>
    </w:p>
    <w:p w:rsidR="00FD2361" w:rsidRPr="00BB0579" w:rsidRDefault="00FD2361" w:rsidP="00FD2361">
      <w:pPr>
        <w:pStyle w:val="BT-EMEASMCA"/>
        <w:tabs>
          <w:tab w:val="clear" w:pos="360"/>
        </w:tabs>
        <w:adjustRightInd w:val="0"/>
        <w:snapToGrid w:val="0"/>
        <w:rPr>
          <w:noProof w:val="0"/>
        </w:rPr>
      </w:pPr>
      <w:r w:rsidRPr="00BB0579">
        <w:rPr>
          <w:noProof w:val="0"/>
        </w:rPr>
        <w:t>širdies tvinksniai (pojūtis, kad jūsų širdis plaka),</w:t>
      </w:r>
    </w:p>
    <w:p w:rsidR="00FD2361" w:rsidRPr="00BB0579" w:rsidRDefault="00FD2361" w:rsidP="00FD2361">
      <w:pPr>
        <w:pStyle w:val="BT-EMEASMCA"/>
        <w:tabs>
          <w:tab w:val="clear" w:pos="360"/>
        </w:tabs>
        <w:adjustRightInd w:val="0"/>
        <w:snapToGrid w:val="0"/>
        <w:rPr>
          <w:noProof w:val="0"/>
        </w:rPr>
      </w:pPr>
      <w:r w:rsidRPr="00BB0579">
        <w:rPr>
          <w:noProof w:val="0"/>
        </w:rPr>
        <w:t>tachikardija (dažnas širdies plakimas),</w:t>
      </w:r>
    </w:p>
    <w:p w:rsidR="00FD2361" w:rsidRPr="00BB0579" w:rsidRDefault="00FD2361" w:rsidP="00FD2361">
      <w:pPr>
        <w:pStyle w:val="BT-EMEASMCA"/>
        <w:tabs>
          <w:tab w:val="clear" w:pos="360"/>
        </w:tabs>
        <w:adjustRightInd w:val="0"/>
        <w:snapToGrid w:val="0"/>
        <w:rPr>
          <w:noProof w:val="0"/>
        </w:rPr>
      </w:pPr>
      <w:r w:rsidRPr="00BB0579">
        <w:rPr>
          <w:noProof w:val="0"/>
        </w:rPr>
        <w:t>vėmimas.</w:t>
      </w:r>
    </w:p>
    <w:p w:rsidR="00FD2361" w:rsidRPr="00BB0579" w:rsidRDefault="00FD2361" w:rsidP="00FD2361">
      <w:pPr>
        <w:pStyle w:val="BTEMEASMCA"/>
        <w:adjustRightInd w:val="0"/>
        <w:snapToGrid w:val="0"/>
        <w:rPr>
          <w:noProof w:val="0"/>
        </w:rPr>
      </w:pPr>
    </w:p>
    <w:p w:rsidR="00FD2361" w:rsidRPr="0085154D" w:rsidRDefault="00FD2361" w:rsidP="00FD2361">
      <w:pPr>
        <w:pStyle w:val="BTEMEASMCA"/>
        <w:adjustRightInd w:val="0"/>
        <w:snapToGrid w:val="0"/>
        <w:rPr>
          <w:b/>
          <w:bCs/>
          <w:noProof w:val="0"/>
        </w:rPr>
      </w:pPr>
      <w:r w:rsidRPr="0085154D">
        <w:rPr>
          <w:b/>
          <w:bCs/>
          <w:noProof w:val="0"/>
        </w:rPr>
        <w:t>Šalutinis poveikis, kuris gali pasireikšti vaikams</w:t>
      </w:r>
    </w:p>
    <w:p w:rsidR="00FD2361" w:rsidRPr="0085154D" w:rsidRDefault="00FD2361" w:rsidP="00FD2361">
      <w:pPr>
        <w:pStyle w:val="BTEMEASMCA"/>
        <w:adjustRightInd w:val="0"/>
        <w:snapToGrid w:val="0"/>
        <w:rPr>
          <w:b/>
          <w:bCs/>
          <w:noProof w:val="0"/>
        </w:rPr>
      </w:pPr>
    </w:p>
    <w:p w:rsidR="00FD2361" w:rsidRPr="0085154D" w:rsidRDefault="00FD2361" w:rsidP="00FD2361">
      <w:pPr>
        <w:pStyle w:val="BTEMEASMCA"/>
        <w:adjustRightInd w:val="0"/>
        <w:snapToGrid w:val="0"/>
        <w:rPr>
          <w:b/>
          <w:bCs/>
          <w:noProof w:val="0"/>
        </w:rPr>
      </w:pPr>
      <w:r w:rsidRPr="0085154D">
        <w:rPr>
          <w:b/>
          <w:bCs/>
          <w:noProof w:val="0"/>
        </w:rPr>
        <w:t>Dažnas: gali pasireikšti rečiau kaip 1 iš 10 asmenų</w:t>
      </w:r>
    </w:p>
    <w:p w:rsidR="00FD2361" w:rsidRPr="00BB0579" w:rsidRDefault="00FD2361" w:rsidP="00FD2361">
      <w:pPr>
        <w:pStyle w:val="BTEMEASMCA"/>
        <w:numPr>
          <w:ilvl w:val="0"/>
          <w:numId w:val="2"/>
        </w:numPr>
        <w:adjustRightInd w:val="0"/>
        <w:snapToGrid w:val="0"/>
        <w:rPr>
          <w:noProof w:val="0"/>
        </w:rPr>
      </w:pPr>
      <w:r w:rsidRPr="00BB0579">
        <w:rPr>
          <w:noProof w:val="0"/>
        </w:rPr>
        <w:t>rinitas (nosies gleivinės dirginimas),</w:t>
      </w:r>
    </w:p>
    <w:p w:rsidR="00FD2361" w:rsidRPr="00BB0579" w:rsidRDefault="00FD2361" w:rsidP="00FD2361">
      <w:pPr>
        <w:pStyle w:val="BTEMEASMCA"/>
        <w:numPr>
          <w:ilvl w:val="0"/>
          <w:numId w:val="2"/>
        </w:numPr>
        <w:adjustRightInd w:val="0"/>
        <w:snapToGrid w:val="0"/>
        <w:rPr>
          <w:noProof w:val="0"/>
        </w:rPr>
      </w:pPr>
      <w:r w:rsidRPr="00BB0579">
        <w:rPr>
          <w:noProof w:val="0"/>
        </w:rPr>
        <w:t>alerginis konjunktyvitas (akių dirginimas),</w:t>
      </w:r>
    </w:p>
    <w:p w:rsidR="00FD2361" w:rsidRPr="00BB0579" w:rsidRDefault="00FD2361" w:rsidP="00FD2361">
      <w:pPr>
        <w:pStyle w:val="BTEMEASMCA"/>
        <w:numPr>
          <w:ilvl w:val="0"/>
          <w:numId w:val="2"/>
        </w:numPr>
        <w:adjustRightInd w:val="0"/>
        <w:snapToGrid w:val="0"/>
        <w:rPr>
          <w:noProof w:val="0"/>
        </w:rPr>
      </w:pPr>
      <w:r w:rsidRPr="00BB0579">
        <w:rPr>
          <w:noProof w:val="0"/>
        </w:rPr>
        <w:t>galvos skausmas,</w:t>
      </w:r>
    </w:p>
    <w:p w:rsidR="00FD2361" w:rsidRPr="00BB0579" w:rsidRDefault="00FD2361" w:rsidP="00FD2361">
      <w:pPr>
        <w:pStyle w:val="BTEMEASMCA"/>
        <w:numPr>
          <w:ilvl w:val="0"/>
          <w:numId w:val="2"/>
        </w:numPr>
        <w:adjustRightInd w:val="0"/>
        <w:snapToGrid w:val="0"/>
        <w:rPr>
          <w:noProof w:val="0"/>
        </w:rPr>
      </w:pPr>
      <w:r w:rsidRPr="00BB0579">
        <w:rPr>
          <w:noProof w:val="0"/>
        </w:rPr>
        <w:t>skrandžio skausmas (pilvo arba viršutinės pilvo dalies skausmas).</w:t>
      </w:r>
    </w:p>
    <w:p w:rsidR="00FD2361" w:rsidRPr="00BB0579" w:rsidRDefault="00FD2361" w:rsidP="00FD2361">
      <w:pPr>
        <w:pStyle w:val="BTEMEASMCA"/>
        <w:adjustRightInd w:val="0"/>
        <w:snapToGrid w:val="0"/>
        <w:rPr>
          <w:noProof w:val="0"/>
        </w:rPr>
      </w:pPr>
    </w:p>
    <w:p w:rsidR="00FD2361" w:rsidRPr="00BB0579" w:rsidRDefault="00FD2361" w:rsidP="00FD2361">
      <w:pPr>
        <w:tabs>
          <w:tab w:val="left" w:pos="1560"/>
        </w:tabs>
        <w:adjustRightInd w:val="0"/>
        <w:snapToGrid w:val="0"/>
        <w:spacing w:after="0" w:line="240" w:lineRule="auto"/>
        <w:rPr>
          <w:rFonts w:ascii="Times New Roman" w:eastAsia="Calibri" w:hAnsi="Times New Roman" w:cs="Times New Roman"/>
          <w:b/>
          <w:lang w:val="lt-LT"/>
        </w:rPr>
      </w:pPr>
      <w:r w:rsidRPr="00BB0579">
        <w:rPr>
          <w:rFonts w:ascii="Times New Roman" w:eastAsia="Calibri" w:hAnsi="Times New Roman" w:cs="Times New Roman"/>
          <w:b/>
          <w:lang w:val="lt-LT"/>
        </w:rPr>
        <w:t xml:space="preserve">Nedažnas: gali pasireikšti </w:t>
      </w:r>
      <w:r w:rsidRPr="00BB0579">
        <w:rPr>
          <w:rFonts w:ascii="Times New Roman" w:hAnsi="Times New Roman" w:cs="Times New Roman"/>
          <w:b/>
          <w:lang w:val="lt-LT"/>
        </w:rPr>
        <w:t>rečiau</w:t>
      </w:r>
      <w:r w:rsidRPr="00BB0579">
        <w:rPr>
          <w:rFonts w:ascii="Times New Roman" w:eastAsia="Calibri" w:hAnsi="Times New Roman" w:cs="Times New Roman"/>
          <w:b/>
          <w:lang w:val="lt-LT"/>
        </w:rPr>
        <w:t xml:space="preserve"> kaip 1 iš 100 asmenų</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eastAsia="Calibri" w:hAnsi="Times New Roman" w:cs="Times New Roman"/>
          <w:lang w:val="lt-LT"/>
        </w:rPr>
        <w:t>-</w:t>
      </w:r>
      <w:r w:rsidRPr="00BB0579">
        <w:rPr>
          <w:rFonts w:ascii="Times New Roman" w:eastAsia="Calibri" w:hAnsi="Times New Roman" w:cs="Times New Roman"/>
          <w:lang w:val="lt-LT"/>
        </w:rPr>
        <w:tab/>
      </w:r>
      <w:r w:rsidRPr="00BB0579">
        <w:rPr>
          <w:rFonts w:ascii="Times New Roman" w:hAnsi="Times New Roman" w:cs="Times New Roman"/>
          <w:lang w:val="lt-LT"/>
        </w:rPr>
        <w:t>akių dirginimas,</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svaigulys,</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sąmonės netekimas,</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viduriavimas,</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pykinimas,</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lūpų patinimas,</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egzema,</w:t>
      </w:r>
    </w:p>
    <w:p w:rsidR="00FD2361" w:rsidRPr="00BB0579" w:rsidRDefault="00FD2361" w:rsidP="00FD2361">
      <w:pPr>
        <w:tabs>
          <w:tab w:val="left" w:pos="567"/>
        </w:tabs>
        <w:adjustRightInd w:val="0"/>
        <w:snapToGrid w:val="0"/>
        <w:spacing w:after="0" w:line="240" w:lineRule="auto"/>
        <w:rPr>
          <w:rFonts w:ascii="Times New Roman"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dilgėlinė,</w:t>
      </w:r>
    </w:p>
    <w:p w:rsidR="00FD2361" w:rsidRPr="00BB0579" w:rsidRDefault="00FD2361" w:rsidP="00FD2361">
      <w:pPr>
        <w:tabs>
          <w:tab w:val="left" w:pos="567"/>
        </w:tabs>
        <w:adjustRightInd w:val="0"/>
        <w:snapToGrid w:val="0"/>
        <w:spacing w:after="0" w:line="240" w:lineRule="auto"/>
        <w:rPr>
          <w:rFonts w:ascii="Times New Roman" w:eastAsia="Calibri" w:hAnsi="Times New Roman" w:cs="Times New Roman"/>
          <w:lang w:val="lt-LT"/>
        </w:rPr>
      </w:pPr>
      <w:r w:rsidRPr="00BB0579">
        <w:rPr>
          <w:rFonts w:ascii="Times New Roman" w:hAnsi="Times New Roman" w:cs="Times New Roman"/>
          <w:lang w:val="lt-LT"/>
        </w:rPr>
        <w:t>-</w:t>
      </w:r>
      <w:r w:rsidRPr="00BB0579">
        <w:rPr>
          <w:rFonts w:ascii="Times New Roman" w:hAnsi="Times New Roman" w:cs="Times New Roman"/>
          <w:lang w:val="lt-LT"/>
        </w:rPr>
        <w:tab/>
        <w:t>nuovargis.</w:t>
      </w:r>
    </w:p>
    <w:p w:rsidR="00FD2361" w:rsidRPr="00BB0579" w:rsidRDefault="00FD2361" w:rsidP="00FD2361">
      <w:pPr>
        <w:tabs>
          <w:tab w:val="left" w:pos="1560"/>
        </w:tabs>
        <w:adjustRightInd w:val="0"/>
        <w:snapToGrid w:val="0"/>
        <w:spacing w:after="0" w:line="240" w:lineRule="auto"/>
        <w:rPr>
          <w:rFonts w:ascii="Times New Roman" w:eastAsia="Calibri" w:hAnsi="Times New Roman" w:cs="Times New Roman"/>
          <w:lang w:val="lt-LT"/>
        </w:rPr>
      </w:pPr>
    </w:p>
    <w:p w:rsidR="00FD2361" w:rsidRPr="0085154D" w:rsidRDefault="00FD2361" w:rsidP="00FD2361">
      <w:pPr>
        <w:pStyle w:val="BTEMEASMCA"/>
        <w:adjustRightInd w:val="0"/>
        <w:snapToGrid w:val="0"/>
        <w:rPr>
          <w:b/>
          <w:bCs/>
          <w:noProof w:val="0"/>
        </w:rPr>
      </w:pPr>
      <w:r w:rsidRPr="0085154D">
        <w:rPr>
          <w:b/>
          <w:bCs/>
          <w:noProof w:val="0"/>
        </w:rPr>
        <w:t>Pranešimas apie šalutinį poveikį</w:t>
      </w:r>
    </w:p>
    <w:p w:rsidR="00FD2361" w:rsidRPr="00BB0579" w:rsidRDefault="00FD2361" w:rsidP="00FD2361">
      <w:pPr>
        <w:pStyle w:val="BTEMEASMCA"/>
        <w:adjustRightInd w:val="0"/>
        <w:snapToGrid w:val="0"/>
        <w:rPr>
          <w:noProof w:val="0"/>
        </w:rPr>
      </w:pPr>
      <w:r w:rsidRPr="00BB0579">
        <w:rPr>
          <w:noProof w:val="0"/>
        </w:rPr>
        <w:t xml:space="preserve">Jeigu pasireiškė šalutinis poveikis, įskaitant šiame lapelyje nenurodytą, pasakykite gydytojui arba vaistininkui. </w:t>
      </w:r>
      <w:r w:rsidRPr="00BB0579">
        <w:rPr>
          <w:noProof w:val="0"/>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BB0579">
          <w:rPr>
            <w:noProof w:val="0"/>
            <w:snapToGrid w:val="0"/>
            <w:color w:val="0000FF"/>
            <w:u w:val="single"/>
          </w:rPr>
          <w:t>https://vapris.vvkt.lt/vvkt-web/public/nrv</w:t>
        </w:r>
      </w:hyperlink>
      <w:r w:rsidRPr="00BB0579">
        <w:rPr>
          <w:noProof w:val="0"/>
          <w:snapToGrid w:val="0"/>
        </w:rPr>
        <w:t xml:space="preserve"> arba užpildant Paciento pranešimo apie įtariamą nepageidaujamą reakciją (ĮNR) formą, kuri skelbiama </w:t>
      </w:r>
      <w:hyperlink r:id="rId6" w:history="1">
        <w:r w:rsidRPr="00BB0579">
          <w:rPr>
            <w:noProof w:val="0"/>
            <w:snapToGrid w:val="0"/>
            <w:color w:val="0000FF"/>
            <w:u w:val="single"/>
          </w:rPr>
          <w:t>https://www.vvkt.lt/index.php?4004286486</w:t>
        </w:r>
      </w:hyperlink>
      <w:r w:rsidRPr="00BB0579">
        <w:rPr>
          <w:noProof w:val="0"/>
          <w:snapToGrid w:val="0"/>
        </w:rPr>
        <w:t xml:space="preserve">, ir atsiunčiant elektroniniu paštu (adresu </w:t>
      </w:r>
      <w:hyperlink r:id="rId7" w:history="1">
        <w:r w:rsidRPr="00BB0579">
          <w:rPr>
            <w:noProof w:val="0"/>
            <w:snapToGrid w:val="0"/>
            <w:color w:val="0000FF"/>
            <w:u w:val="single"/>
          </w:rPr>
          <w:t>NepageidaujamaR@vvkt.lt</w:t>
        </w:r>
      </w:hyperlink>
      <w:r w:rsidRPr="00BB0579">
        <w:rPr>
          <w:noProof w:val="0"/>
          <w:snapToGrid w:val="0"/>
        </w:rPr>
        <w:t>) arba nemokamu telefonu 8 800 73 568. Pranešdami apie šalutinį poveikį galite mums padėti gauti daugiau informacijos apie šio vaisto saugumą.</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PI-1EMEASMCA"/>
        <w:adjustRightInd w:val="0"/>
        <w:snapToGrid w:val="0"/>
      </w:pPr>
      <w:bookmarkStart w:id="8" w:name="_Toc129243268"/>
      <w:bookmarkStart w:id="9" w:name="_Toc129243143"/>
      <w:r w:rsidRPr="00BB0579">
        <w:t>5.</w:t>
      </w:r>
      <w:r w:rsidRPr="00BB0579">
        <w:tab/>
      </w:r>
      <w:bookmarkEnd w:id="8"/>
      <w:bookmarkEnd w:id="9"/>
      <w:r w:rsidRPr="00BB0579">
        <w:t>Kaip laikyti Opexa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Šį vaistą laikykite vaikams nepastebimoje ir nepasiekiamoje vietoje.</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Ant dėžutės ir lizdinės plokštelės po „Tinka iki / EXP“ nurodytam tinkamumo laikui pasibaigus, šio vaisto vartoti negalima. Vaistas tinkamas vartoti iki paskutinės nurodyto mėnesio dienos.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Šiam vaistui specialių laikymo sąlygų nereikia.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Vaistų negalima išmesti į kanalizaciją arba su buitinėmis atliekomis. Kaip išmesti nereikalingus vaistus, klauskite vaistininko. Šios priemonės padės apsaugoti aplinką.</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PI-1EMEASMCA"/>
        <w:adjustRightInd w:val="0"/>
        <w:snapToGrid w:val="0"/>
      </w:pPr>
      <w:bookmarkStart w:id="10" w:name="_Toc129243269"/>
      <w:bookmarkStart w:id="11" w:name="_Toc129243144"/>
      <w:r w:rsidRPr="00BB0579">
        <w:lastRenderedPageBreak/>
        <w:t>6.</w:t>
      </w:r>
      <w:r w:rsidRPr="00BB0579">
        <w:tab/>
      </w:r>
      <w:bookmarkEnd w:id="10"/>
      <w:bookmarkEnd w:id="11"/>
      <w:r w:rsidRPr="00BB0579">
        <w:t>Pakuotės turinys ir kita informacija</w:t>
      </w:r>
    </w:p>
    <w:p w:rsidR="00FD2361" w:rsidRPr="00BB0579" w:rsidRDefault="00FD2361" w:rsidP="00FD2361">
      <w:pPr>
        <w:pStyle w:val="BTEMEASMCA"/>
        <w:keepNext/>
        <w:adjustRightInd w:val="0"/>
        <w:snapToGrid w:val="0"/>
        <w:rPr>
          <w:noProof w:val="0"/>
        </w:rPr>
      </w:pPr>
    </w:p>
    <w:p w:rsidR="00FD2361" w:rsidRPr="00BB0579" w:rsidRDefault="00FD2361" w:rsidP="00FD2361">
      <w:pPr>
        <w:pStyle w:val="PI-3EMEASMCA"/>
        <w:adjustRightInd w:val="0"/>
        <w:snapToGrid w:val="0"/>
        <w:spacing w:line="240" w:lineRule="auto"/>
      </w:pPr>
      <w:r w:rsidRPr="00BB0579">
        <w:t>Opexa sudėtis</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tabs>
          <w:tab w:val="clear" w:pos="360"/>
        </w:tabs>
        <w:adjustRightInd w:val="0"/>
        <w:snapToGrid w:val="0"/>
        <w:rPr>
          <w:noProof w:val="0"/>
        </w:rPr>
      </w:pPr>
      <w:r w:rsidRPr="00BB0579">
        <w:rPr>
          <w:noProof w:val="0"/>
        </w:rPr>
        <w:t>Veiklioji medžiaga yra bilastinas. Kiekvienoje tabletėje yra 20 mg bilastino.</w:t>
      </w:r>
    </w:p>
    <w:p w:rsidR="00FD2361" w:rsidRPr="00BB0579" w:rsidRDefault="00FD2361" w:rsidP="00FD2361">
      <w:pPr>
        <w:pStyle w:val="BT-EMEASMCA"/>
        <w:tabs>
          <w:tab w:val="clear" w:pos="360"/>
        </w:tabs>
        <w:adjustRightInd w:val="0"/>
        <w:snapToGrid w:val="0"/>
        <w:rPr>
          <w:noProof w:val="0"/>
        </w:rPr>
      </w:pPr>
      <w:r w:rsidRPr="00BB0579">
        <w:rPr>
          <w:noProof w:val="0"/>
        </w:rPr>
        <w:t>Pagalbinės medžiagos yra mikrokristalinė celiuliozė, karboksimetilkrakmolo A natrio druska (iš bulvių), koloidinis bevandenis silicio hidroksidas, magnio stearatas.</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Opexa išvaizda ir kiekis pakuotėje</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Tabletės yra baltos ovalios abipus išgaubtos su vagele (10 mm ilgio ir 5 mm pločio).</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 xml:space="preserve">Tabletės tiekiamos lizdinėmis plokštelėmis po 10 tablečių. </w:t>
      </w:r>
    </w:p>
    <w:p w:rsidR="00FD2361" w:rsidRPr="00BB0579" w:rsidRDefault="00FD2361" w:rsidP="00FD2361">
      <w:pPr>
        <w:pStyle w:val="BTEMEASMCA"/>
        <w:adjustRightInd w:val="0"/>
        <w:snapToGrid w:val="0"/>
        <w:rPr>
          <w:noProof w:val="0"/>
        </w:rPr>
      </w:pPr>
    </w:p>
    <w:p w:rsidR="00FD2361" w:rsidRPr="00BB0579" w:rsidRDefault="00FD2361" w:rsidP="00FD2361">
      <w:pPr>
        <w:pStyle w:val="PI-3EMEASMCA"/>
        <w:adjustRightInd w:val="0"/>
        <w:snapToGrid w:val="0"/>
        <w:spacing w:line="240" w:lineRule="auto"/>
      </w:pPr>
      <w:r w:rsidRPr="00BB0579">
        <w:t>Registruotojas ir gamintojas</w:t>
      </w:r>
    </w:p>
    <w:p w:rsidR="00FD2361" w:rsidRPr="00BB0579" w:rsidRDefault="00FD2361" w:rsidP="00FD2361">
      <w:pPr>
        <w:pStyle w:val="PI-3EMEASMCA"/>
        <w:adjustRightInd w:val="0"/>
        <w:snapToGrid w:val="0"/>
        <w:spacing w:line="240" w:lineRule="auto"/>
        <w:rPr>
          <w:b w:val="0"/>
          <w:i/>
        </w:rPr>
      </w:pPr>
    </w:p>
    <w:p w:rsidR="00FD2361" w:rsidRPr="00BB0579" w:rsidRDefault="00FD2361" w:rsidP="00FD2361">
      <w:pPr>
        <w:pStyle w:val="PI-3EMEASMCA"/>
        <w:adjustRightInd w:val="0"/>
        <w:snapToGrid w:val="0"/>
        <w:spacing w:line="240" w:lineRule="auto"/>
        <w:rPr>
          <w:b w:val="0"/>
          <w:i/>
        </w:rPr>
      </w:pPr>
      <w:r w:rsidRPr="00BB0579">
        <w:rPr>
          <w:b w:val="0"/>
          <w:i/>
        </w:rPr>
        <w:t xml:space="preserve">Registruotojas </w:t>
      </w:r>
    </w:p>
    <w:p w:rsidR="00FD2361" w:rsidRPr="00BB0579" w:rsidRDefault="00FD2361" w:rsidP="00FD2361">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Menarini International Operations Luxembourg S.A.</w:t>
      </w:r>
    </w:p>
    <w:p w:rsidR="00FD2361" w:rsidRPr="00BB0579" w:rsidRDefault="00FD2361" w:rsidP="00FD2361">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1, Avenue de la Gare</w:t>
      </w:r>
    </w:p>
    <w:p w:rsidR="00FD2361" w:rsidRPr="00BB0579" w:rsidRDefault="00FD2361" w:rsidP="00FD2361">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L-1611 Luxembourg</w:t>
      </w:r>
    </w:p>
    <w:p w:rsidR="00FD2361" w:rsidRPr="00BB0579" w:rsidRDefault="00FD2361" w:rsidP="00FD2361">
      <w:pPr>
        <w:adjustRightInd w:val="0"/>
        <w:snapToGrid w:val="0"/>
        <w:spacing w:after="0" w:line="240" w:lineRule="auto"/>
        <w:ind w:left="567" w:hanging="567"/>
        <w:rPr>
          <w:rFonts w:ascii="Times New Roman" w:hAnsi="Times New Roman" w:cs="Times New Roman"/>
          <w:lang w:val="lt-LT"/>
        </w:rPr>
      </w:pPr>
      <w:r w:rsidRPr="00BB0579">
        <w:rPr>
          <w:rFonts w:ascii="Times New Roman" w:hAnsi="Times New Roman" w:cs="Times New Roman"/>
          <w:lang w:val="lt-LT"/>
        </w:rPr>
        <w:t>Liuksemburgas</w:t>
      </w:r>
    </w:p>
    <w:p w:rsidR="00FD2361" w:rsidRPr="00BB0579" w:rsidRDefault="00FD2361" w:rsidP="00FD2361">
      <w:pPr>
        <w:adjustRightInd w:val="0"/>
        <w:snapToGrid w:val="0"/>
        <w:spacing w:after="0" w:line="240" w:lineRule="auto"/>
        <w:ind w:left="567" w:hanging="567"/>
        <w:rPr>
          <w:rFonts w:ascii="Times New Roman" w:hAnsi="Times New Roman" w:cs="Times New Roman"/>
          <w:lang w:val="lt-LT"/>
        </w:rPr>
      </w:pPr>
    </w:p>
    <w:p w:rsidR="00FD2361" w:rsidRPr="00BB0579" w:rsidRDefault="00FD2361" w:rsidP="00FD2361">
      <w:pPr>
        <w:adjustRightInd w:val="0"/>
        <w:snapToGrid w:val="0"/>
        <w:spacing w:after="0" w:line="240" w:lineRule="auto"/>
        <w:ind w:left="567" w:hanging="567"/>
        <w:rPr>
          <w:rFonts w:ascii="Times New Roman" w:hAnsi="Times New Roman" w:cs="Times New Roman"/>
          <w:i/>
          <w:lang w:val="lt-LT"/>
        </w:rPr>
      </w:pPr>
      <w:r w:rsidRPr="00BB0579">
        <w:rPr>
          <w:rFonts w:ascii="Times New Roman" w:hAnsi="Times New Roman" w:cs="Times New Roman"/>
          <w:i/>
          <w:lang w:val="lt-LT"/>
        </w:rPr>
        <w:t>Gamintojas</w:t>
      </w:r>
    </w:p>
    <w:p w:rsidR="00FD2361" w:rsidRPr="00BB0579" w:rsidRDefault="00FD2361" w:rsidP="00FD2361">
      <w:pPr>
        <w:pStyle w:val="BTEMEASMCA"/>
        <w:adjustRightInd w:val="0"/>
        <w:snapToGrid w:val="0"/>
        <w:rPr>
          <w:noProof w:val="0"/>
        </w:rPr>
      </w:pPr>
      <w:r w:rsidRPr="00BB0579">
        <w:rPr>
          <w:noProof w:val="0"/>
        </w:rPr>
        <w:t>Faes Farma S. A.</w:t>
      </w:r>
    </w:p>
    <w:p w:rsidR="00FD2361" w:rsidRPr="00BB0579" w:rsidRDefault="00FD2361" w:rsidP="00FD2361">
      <w:pPr>
        <w:pStyle w:val="BTEMEASMCA"/>
        <w:adjustRightInd w:val="0"/>
        <w:snapToGrid w:val="0"/>
        <w:rPr>
          <w:noProof w:val="0"/>
        </w:rPr>
      </w:pPr>
      <w:r w:rsidRPr="00BB0579">
        <w:rPr>
          <w:noProof w:val="0"/>
        </w:rPr>
        <w:t>Máximo Aguirre, 14</w:t>
      </w:r>
    </w:p>
    <w:p w:rsidR="00FD2361" w:rsidRPr="00BB0579" w:rsidRDefault="00FD2361" w:rsidP="00FD2361">
      <w:pPr>
        <w:pStyle w:val="BTEMEASMCA"/>
        <w:adjustRightInd w:val="0"/>
        <w:snapToGrid w:val="0"/>
        <w:rPr>
          <w:noProof w:val="0"/>
        </w:rPr>
      </w:pPr>
      <w:r w:rsidRPr="00BB0579">
        <w:rPr>
          <w:noProof w:val="0"/>
        </w:rPr>
        <w:t>48940 Lejona (Vizcaya)</w:t>
      </w:r>
    </w:p>
    <w:p w:rsidR="00FD2361" w:rsidRPr="00BB0579" w:rsidRDefault="00FD2361" w:rsidP="00FD2361">
      <w:pPr>
        <w:pStyle w:val="BTEMEASMCA"/>
        <w:adjustRightInd w:val="0"/>
        <w:snapToGrid w:val="0"/>
        <w:rPr>
          <w:noProof w:val="0"/>
        </w:rPr>
      </w:pPr>
      <w:r w:rsidRPr="00BB0579">
        <w:rPr>
          <w:noProof w:val="0"/>
        </w:rPr>
        <w:t>Ispanija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arba</w:t>
      </w:r>
    </w:p>
    <w:p w:rsidR="00FD2361" w:rsidRPr="00BB0579" w:rsidRDefault="00FD2361" w:rsidP="00FD2361">
      <w:pPr>
        <w:pStyle w:val="BTEMEASMCA"/>
        <w:adjustRightInd w:val="0"/>
        <w:snapToGrid w:val="0"/>
        <w:rPr>
          <w:noProof w:val="0"/>
        </w:rPr>
      </w:pPr>
    </w:p>
    <w:p w:rsidR="00FD2361" w:rsidRPr="00BB0579" w:rsidRDefault="00FD2361" w:rsidP="00FD2361">
      <w:pPr>
        <w:pStyle w:val="Default"/>
        <w:snapToGrid w:val="0"/>
        <w:rPr>
          <w:sz w:val="22"/>
          <w:szCs w:val="22"/>
          <w:lang w:val="lt-LT"/>
        </w:rPr>
      </w:pPr>
      <w:r w:rsidRPr="00BB0579">
        <w:rPr>
          <w:sz w:val="22"/>
          <w:szCs w:val="22"/>
          <w:lang w:val="lt-LT"/>
        </w:rPr>
        <w:t xml:space="preserve">Menarini-Von Heyden GmbH </w:t>
      </w:r>
    </w:p>
    <w:p w:rsidR="00FD2361" w:rsidRPr="00BB0579" w:rsidRDefault="00FD2361" w:rsidP="00FD2361">
      <w:pPr>
        <w:pStyle w:val="Default"/>
        <w:snapToGrid w:val="0"/>
        <w:rPr>
          <w:sz w:val="22"/>
          <w:szCs w:val="22"/>
          <w:lang w:val="lt-LT"/>
        </w:rPr>
      </w:pPr>
      <w:r w:rsidRPr="00BB0579">
        <w:rPr>
          <w:sz w:val="22"/>
          <w:szCs w:val="22"/>
          <w:lang w:val="lt-LT"/>
        </w:rPr>
        <w:t xml:space="preserve">Leipziger Strasse 7-13 </w:t>
      </w:r>
    </w:p>
    <w:p w:rsidR="00FD2361" w:rsidRPr="00BB0579" w:rsidRDefault="00FD2361" w:rsidP="00FD2361">
      <w:pPr>
        <w:pStyle w:val="Default"/>
        <w:snapToGrid w:val="0"/>
        <w:rPr>
          <w:sz w:val="22"/>
          <w:szCs w:val="22"/>
          <w:lang w:val="lt-LT"/>
        </w:rPr>
      </w:pPr>
      <w:r w:rsidRPr="00BB0579">
        <w:rPr>
          <w:sz w:val="22"/>
          <w:szCs w:val="22"/>
          <w:lang w:val="lt-LT"/>
        </w:rPr>
        <w:t xml:space="preserve">01097 Dresden </w:t>
      </w:r>
    </w:p>
    <w:p w:rsidR="00FD2361" w:rsidRPr="00BB0579" w:rsidRDefault="00FD2361" w:rsidP="00FD2361">
      <w:pPr>
        <w:pStyle w:val="Default"/>
        <w:snapToGrid w:val="0"/>
        <w:rPr>
          <w:sz w:val="22"/>
          <w:szCs w:val="22"/>
          <w:lang w:val="lt-LT"/>
        </w:rPr>
      </w:pPr>
      <w:r w:rsidRPr="00BB0579">
        <w:rPr>
          <w:sz w:val="22"/>
          <w:szCs w:val="22"/>
          <w:lang w:val="lt-LT"/>
        </w:rPr>
        <w:t>Vokietija</w:t>
      </w:r>
    </w:p>
    <w:p w:rsidR="00FD2361" w:rsidRPr="00BB0579" w:rsidRDefault="00FD2361" w:rsidP="00FD2361">
      <w:pPr>
        <w:pStyle w:val="Default"/>
        <w:snapToGrid w:val="0"/>
        <w:rPr>
          <w:sz w:val="22"/>
          <w:szCs w:val="22"/>
          <w:lang w:val="lt-LT"/>
        </w:rPr>
      </w:pPr>
    </w:p>
    <w:p w:rsidR="00FD2361" w:rsidRPr="00BB0579" w:rsidRDefault="00FD2361" w:rsidP="00FD2361">
      <w:pPr>
        <w:pStyle w:val="Default"/>
        <w:snapToGrid w:val="0"/>
        <w:rPr>
          <w:sz w:val="22"/>
          <w:szCs w:val="22"/>
          <w:lang w:val="lt-LT"/>
        </w:rPr>
      </w:pPr>
      <w:r w:rsidRPr="00BB0579">
        <w:rPr>
          <w:sz w:val="22"/>
          <w:szCs w:val="22"/>
          <w:lang w:val="lt-LT"/>
        </w:rPr>
        <w:t>arba</w:t>
      </w:r>
    </w:p>
    <w:p w:rsidR="00FD2361" w:rsidRPr="00BB0579" w:rsidRDefault="00FD2361" w:rsidP="00FD2361">
      <w:pPr>
        <w:pStyle w:val="Default"/>
        <w:snapToGrid w:val="0"/>
        <w:rPr>
          <w:sz w:val="22"/>
          <w:szCs w:val="22"/>
          <w:lang w:val="lt-LT"/>
        </w:rPr>
      </w:pPr>
    </w:p>
    <w:p w:rsidR="00FD2361" w:rsidRPr="00BB0579" w:rsidRDefault="00FD2361" w:rsidP="00FD2361">
      <w:pPr>
        <w:pStyle w:val="Default"/>
        <w:snapToGrid w:val="0"/>
        <w:rPr>
          <w:sz w:val="22"/>
          <w:szCs w:val="22"/>
          <w:lang w:val="lt-LT"/>
        </w:rPr>
      </w:pPr>
      <w:r w:rsidRPr="00BB0579">
        <w:rPr>
          <w:sz w:val="22"/>
          <w:szCs w:val="22"/>
          <w:lang w:val="lt-LT"/>
        </w:rPr>
        <w:t xml:space="preserve">A. Menarini Manufacturing Logistics and Services S.r.l. </w:t>
      </w:r>
    </w:p>
    <w:p w:rsidR="00FD2361" w:rsidRPr="00BB0579" w:rsidRDefault="00FD2361" w:rsidP="00FD2361">
      <w:pPr>
        <w:pStyle w:val="Default"/>
        <w:snapToGrid w:val="0"/>
        <w:rPr>
          <w:sz w:val="22"/>
          <w:szCs w:val="22"/>
          <w:lang w:val="lt-LT"/>
        </w:rPr>
      </w:pPr>
      <w:r w:rsidRPr="00BB0579">
        <w:rPr>
          <w:sz w:val="22"/>
          <w:szCs w:val="22"/>
          <w:lang w:val="lt-LT"/>
        </w:rPr>
        <w:t xml:space="preserve">Campo di Pile </w:t>
      </w:r>
    </w:p>
    <w:p w:rsidR="00FD2361" w:rsidRPr="00BB0579" w:rsidRDefault="00FD2361" w:rsidP="00FD2361">
      <w:pPr>
        <w:pStyle w:val="Default"/>
        <w:snapToGrid w:val="0"/>
        <w:rPr>
          <w:sz w:val="22"/>
          <w:szCs w:val="22"/>
          <w:lang w:val="lt-LT"/>
        </w:rPr>
      </w:pPr>
      <w:r w:rsidRPr="00BB0579">
        <w:rPr>
          <w:sz w:val="22"/>
          <w:szCs w:val="22"/>
          <w:lang w:val="lt-LT"/>
        </w:rPr>
        <w:t xml:space="preserve">I-67100 L’Aquila (AQ) </w:t>
      </w:r>
    </w:p>
    <w:p w:rsidR="00FD2361" w:rsidRPr="00BB0579" w:rsidRDefault="00FD2361" w:rsidP="00FD2361">
      <w:pPr>
        <w:pStyle w:val="Default"/>
        <w:snapToGrid w:val="0"/>
        <w:rPr>
          <w:sz w:val="22"/>
          <w:szCs w:val="22"/>
          <w:lang w:val="lt-LT"/>
        </w:rPr>
      </w:pPr>
      <w:r w:rsidRPr="00BB0579">
        <w:rPr>
          <w:sz w:val="22"/>
          <w:szCs w:val="22"/>
          <w:lang w:val="lt-LT"/>
        </w:rPr>
        <w:t>Italija</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Jeigu apie šį vaistą norite sužinoti daugiau, kreipkitės į vietinį registruotojo atstovą.</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r w:rsidRPr="00BB0579">
        <w:rPr>
          <w:noProof w:val="0"/>
        </w:rPr>
        <w:t>UAB “BERLIN CHEMIE MENARINI BALTIC</w:t>
      </w:r>
    </w:p>
    <w:p w:rsidR="00FD2361" w:rsidRPr="00BB0579" w:rsidRDefault="00FD2361" w:rsidP="00FD2361">
      <w:pPr>
        <w:pStyle w:val="BTEMEASMCA"/>
        <w:adjustRightInd w:val="0"/>
        <w:snapToGrid w:val="0"/>
        <w:rPr>
          <w:noProof w:val="0"/>
        </w:rPr>
      </w:pPr>
      <w:r w:rsidRPr="00BB0579">
        <w:rPr>
          <w:noProof w:val="0"/>
        </w:rPr>
        <w:t>J. Jasinskio g. 16a, LT-03163 Vilnius</w:t>
      </w:r>
    </w:p>
    <w:p w:rsidR="00FD2361" w:rsidRPr="00BB0579" w:rsidRDefault="00FD2361" w:rsidP="00FD2361">
      <w:pPr>
        <w:pStyle w:val="BTEMEASMCA"/>
        <w:adjustRightInd w:val="0"/>
        <w:snapToGrid w:val="0"/>
        <w:rPr>
          <w:noProof w:val="0"/>
        </w:rPr>
      </w:pPr>
      <w:r w:rsidRPr="00BB0579">
        <w:rPr>
          <w:noProof w:val="0"/>
        </w:rPr>
        <w:t>Lietuva</w:t>
      </w:r>
    </w:p>
    <w:p w:rsidR="00FD2361" w:rsidRPr="00BB0579" w:rsidRDefault="00FD2361" w:rsidP="00FD2361">
      <w:pPr>
        <w:pStyle w:val="BTEMEASMCA"/>
        <w:adjustRightInd w:val="0"/>
        <w:snapToGrid w:val="0"/>
        <w:rPr>
          <w:noProof w:val="0"/>
        </w:rPr>
      </w:pPr>
      <w:r w:rsidRPr="00BB0579">
        <w:rPr>
          <w:noProof w:val="0"/>
        </w:rPr>
        <w:t>Tel.: +370 5 269 19 43</w:t>
      </w:r>
    </w:p>
    <w:p w:rsidR="00FD2361" w:rsidRPr="00BB0579" w:rsidRDefault="00FD2361" w:rsidP="00FD2361">
      <w:pPr>
        <w:pStyle w:val="BTEMEASMCA"/>
        <w:adjustRightInd w:val="0"/>
        <w:snapToGrid w:val="0"/>
        <w:rPr>
          <w:noProof w:val="0"/>
        </w:rPr>
      </w:pPr>
      <w:r w:rsidRPr="00BB0579">
        <w:rPr>
          <w:noProof w:val="0"/>
        </w:rPr>
        <w:t>El. paštas: lt@berlin-chemie.com</w:t>
      </w:r>
      <w:r w:rsidRPr="00BB0579">
        <w:rPr>
          <w:noProof w:val="0"/>
        </w:rPr>
        <w:cr/>
      </w:r>
    </w:p>
    <w:p w:rsidR="00FD2361" w:rsidRPr="0085154D" w:rsidRDefault="00FD2361" w:rsidP="00FD2361">
      <w:pPr>
        <w:pStyle w:val="BTEMEASMCA"/>
        <w:adjustRightInd w:val="0"/>
        <w:snapToGrid w:val="0"/>
        <w:rPr>
          <w:b/>
          <w:bCs/>
          <w:noProof w:val="0"/>
        </w:rPr>
      </w:pPr>
      <w:r w:rsidRPr="0085154D">
        <w:rPr>
          <w:b/>
          <w:bCs/>
          <w:noProof w:val="0"/>
        </w:rPr>
        <w:t>Šis vaistas Europos ekonominės erdvės valstybėse narėse ir Jungtinėje Karalystėje (Šiaurės Airijoje) registruotas tokiais pavadinimais</w:t>
      </w:r>
    </w:p>
    <w:p w:rsidR="00FD2361" w:rsidRPr="00BB0579" w:rsidRDefault="00FD2361" w:rsidP="00FD2361">
      <w:pPr>
        <w:pStyle w:val="BTEMEASMCA"/>
        <w:adjustRightInd w:val="0"/>
        <w:snapToGrid w:val="0"/>
        <w:rPr>
          <w:noProof w:val="0"/>
        </w:rPr>
      </w:pPr>
      <w:r w:rsidRPr="00BB0579">
        <w:rPr>
          <w:noProof w:val="0"/>
        </w:rPr>
        <w:t>Airija: Drynol 20 mg tablets</w:t>
      </w:r>
    </w:p>
    <w:p w:rsidR="00FD2361" w:rsidRPr="00BB0579" w:rsidRDefault="00FD2361" w:rsidP="00FD2361">
      <w:pPr>
        <w:pStyle w:val="BTEMEASMCA"/>
        <w:adjustRightInd w:val="0"/>
        <w:snapToGrid w:val="0"/>
        <w:rPr>
          <w:noProof w:val="0"/>
        </w:rPr>
      </w:pPr>
      <w:r w:rsidRPr="00BB0579">
        <w:rPr>
          <w:noProof w:val="0"/>
        </w:rPr>
        <w:t xml:space="preserve">Austrija: Olisir 20 mg Tabletten </w:t>
      </w:r>
    </w:p>
    <w:p w:rsidR="00FD2361" w:rsidRPr="00BB0579" w:rsidRDefault="00FD2361" w:rsidP="00FD2361">
      <w:pPr>
        <w:pStyle w:val="BTEMEASMCA"/>
        <w:adjustRightInd w:val="0"/>
        <w:snapToGrid w:val="0"/>
        <w:rPr>
          <w:noProof w:val="0"/>
        </w:rPr>
      </w:pPr>
      <w:r w:rsidRPr="00BB0579">
        <w:rPr>
          <w:noProof w:val="0"/>
        </w:rPr>
        <w:t>Belgija: Bellozal 20 mg Tablet</w:t>
      </w:r>
    </w:p>
    <w:p w:rsidR="00FD2361" w:rsidRPr="00BB0579" w:rsidRDefault="00FD2361" w:rsidP="00FD2361">
      <w:pPr>
        <w:pStyle w:val="BTEMEASMCA"/>
        <w:adjustRightInd w:val="0"/>
        <w:snapToGrid w:val="0"/>
        <w:rPr>
          <w:noProof w:val="0"/>
        </w:rPr>
      </w:pPr>
      <w:r w:rsidRPr="00BB0579">
        <w:rPr>
          <w:noProof w:val="0"/>
        </w:rPr>
        <w:t>Bulgarija: Fortecal 20 mg Таблетка</w:t>
      </w:r>
    </w:p>
    <w:p w:rsidR="00FD2361" w:rsidRPr="00BB0579" w:rsidRDefault="00FD2361" w:rsidP="00FD2361">
      <w:pPr>
        <w:pStyle w:val="BTEMEASMCA"/>
        <w:adjustRightInd w:val="0"/>
        <w:snapToGrid w:val="0"/>
        <w:rPr>
          <w:noProof w:val="0"/>
        </w:rPr>
      </w:pPr>
      <w:r w:rsidRPr="00BB0579">
        <w:rPr>
          <w:noProof w:val="0"/>
        </w:rPr>
        <w:t xml:space="preserve">Čekija: Xados </w:t>
      </w:r>
    </w:p>
    <w:p w:rsidR="00FD2361" w:rsidRPr="00BB0579" w:rsidRDefault="00FD2361" w:rsidP="00FD2361">
      <w:pPr>
        <w:pStyle w:val="BTEMEASMCA"/>
        <w:adjustRightInd w:val="0"/>
        <w:snapToGrid w:val="0"/>
        <w:rPr>
          <w:noProof w:val="0"/>
        </w:rPr>
      </w:pPr>
      <w:r w:rsidRPr="00BB0579">
        <w:rPr>
          <w:noProof w:val="0"/>
        </w:rPr>
        <w:lastRenderedPageBreak/>
        <w:t xml:space="preserve">Danija: Revitelle, tabletter 20 mg </w:t>
      </w:r>
    </w:p>
    <w:p w:rsidR="00FD2361" w:rsidRPr="00BB0579" w:rsidRDefault="00FD2361" w:rsidP="00FD2361">
      <w:pPr>
        <w:pStyle w:val="BTEMEASMCA"/>
        <w:adjustRightInd w:val="0"/>
        <w:snapToGrid w:val="0"/>
        <w:rPr>
          <w:noProof w:val="0"/>
        </w:rPr>
      </w:pPr>
      <w:r w:rsidRPr="00BB0579">
        <w:rPr>
          <w:noProof w:val="0"/>
        </w:rPr>
        <w:t>Estija: Opexa</w:t>
      </w:r>
    </w:p>
    <w:p w:rsidR="00FD2361" w:rsidRPr="00BB0579" w:rsidRDefault="00FD2361" w:rsidP="00FD2361">
      <w:pPr>
        <w:pStyle w:val="BTEMEASMCA"/>
        <w:adjustRightInd w:val="0"/>
        <w:snapToGrid w:val="0"/>
        <w:rPr>
          <w:noProof w:val="0"/>
        </w:rPr>
      </w:pPr>
      <w:r w:rsidRPr="00BB0579">
        <w:rPr>
          <w:noProof w:val="0"/>
        </w:rPr>
        <w:t>Graikija: Bilaz 20 mg Δισκίο</w:t>
      </w:r>
    </w:p>
    <w:p w:rsidR="00FD2361" w:rsidRPr="00BB0579" w:rsidRDefault="00FD2361" w:rsidP="00FD2361">
      <w:pPr>
        <w:pStyle w:val="BTEMEASMCA"/>
        <w:adjustRightInd w:val="0"/>
        <w:snapToGrid w:val="0"/>
        <w:rPr>
          <w:noProof w:val="0"/>
        </w:rPr>
      </w:pPr>
      <w:r w:rsidRPr="00BB0579">
        <w:rPr>
          <w:noProof w:val="0"/>
        </w:rPr>
        <w:t>Islandija: Bilaxten 20 mg töflur</w:t>
      </w:r>
    </w:p>
    <w:p w:rsidR="00FD2361" w:rsidRPr="00BB0579" w:rsidRDefault="00FD2361" w:rsidP="00FD2361">
      <w:pPr>
        <w:pStyle w:val="BTEMEASMCA"/>
        <w:adjustRightInd w:val="0"/>
        <w:snapToGrid w:val="0"/>
        <w:rPr>
          <w:noProof w:val="0"/>
        </w:rPr>
      </w:pPr>
      <w:r w:rsidRPr="00BB0579">
        <w:rPr>
          <w:noProof w:val="0"/>
        </w:rPr>
        <w:t>Ispanija: Ibis 20 mg comprimidos</w:t>
      </w:r>
    </w:p>
    <w:p w:rsidR="00FD2361" w:rsidRPr="00BB0579" w:rsidRDefault="00FD2361" w:rsidP="00FD2361">
      <w:pPr>
        <w:pStyle w:val="BTEMEASMCA"/>
        <w:adjustRightInd w:val="0"/>
        <w:snapToGrid w:val="0"/>
        <w:rPr>
          <w:noProof w:val="0"/>
        </w:rPr>
      </w:pPr>
      <w:r w:rsidRPr="00BB0579">
        <w:rPr>
          <w:noProof w:val="0"/>
        </w:rPr>
        <w:t>Italija: Bysabel 20 mg Compressa</w:t>
      </w:r>
    </w:p>
    <w:p w:rsidR="00FD2361" w:rsidRPr="00BB0579" w:rsidRDefault="00FD2361" w:rsidP="00FD2361">
      <w:pPr>
        <w:pStyle w:val="BTEMEASMCA"/>
        <w:adjustRightInd w:val="0"/>
        <w:snapToGrid w:val="0"/>
        <w:rPr>
          <w:noProof w:val="0"/>
        </w:rPr>
      </w:pPr>
      <w:r w:rsidRPr="00BB0579">
        <w:rPr>
          <w:noProof w:val="0"/>
        </w:rPr>
        <w:t>Jungtinė Karalystė (Šiaurės Airija): Ilaxten 20 mg tablets</w:t>
      </w:r>
    </w:p>
    <w:p w:rsidR="00FD2361" w:rsidRPr="00BB0579" w:rsidRDefault="00FD2361" w:rsidP="00FD2361">
      <w:pPr>
        <w:pStyle w:val="BTEMEASMCA"/>
        <w:adjustRightInd w:val="0"/>
        <w:snapToGrid w:val="0"/>
        <w:rPr>
          <w:noProof w:val="0"/>
        </w:rPr>
      </w:pPr>
      <w:r w:rsidRPr="00BB0579">
        <w:rPr>
          <w:noProof w:val="0"/>
        </w:rPr>
        <w:t>Kipras: Bilaz 20 mg Δισκίο</w:t>
      </w:r>
    </w:p>
    <w:p w:rsidR="00FD2361" w:rsidRPr="00BB0579" w:rsidRDefault="00FD2361" w:rsidP="00FD2361">
      <w:pPr>
        <w:pStyle w:val="BTEMEASMCA"/>
        <w:adjustRightInd w:val="0"/>
        <w:snapToGrid w:val="0"/>
        <w:rPr>
          <w:noProof w:val="0"/>
        </w:rPr>
      </w:pPr>
      <w:r w:rsidRPr="00BB0579">
        <w:rPr>
          <w:noProof w:val="0"/>
        </w:rPr>
        <w:t>Latvija: Opexa 20 mg tabletes</w:t>
      </w:r>
    </w:p>
    <w:p w:rsidR="00FD2361" w:rsidRPr="00BB0579" w:rsidRDefault="00FD2361" w:rsidP="00FD2361">
      <w:pPr>
        <w:pStyle w:val="BTEMEASMCA"/>
        <w:adjustRightInd w:val="0"/>
        <w:snapToGrid w:val="0"/>
        <w:rPr>
          <w:noProof w:val="0"/>
        </w:rPr>
      </w:pPr>
      <w:r w:rsidRPr="00BB0579">
        <w:rPr>
          <w:noProof w:val="0"/>
        </w:rPr>
        <w:t>Lenkija: Clatra</w:t>
      </w:r>
    </w:p>
    <w:p w:rsidR="00FD2361" w:rsidRPr="00BB0579" w:rsidRDefault="00FD2361" w:rsidP="00FD2361">
      <w:pPr>
        <w:pStyle w:val="BTEMEASMCA"/>
        <w:adjustRightInd w:val="0"/>
        <w:snapToGrid w:val="0"/>
        <w:rPr>
          <w:noProof w:val="0"/>
        </w:rPr>
      </w:pPr>
      <w:r w:rsidRPr="00BB0579">
        <w:rPr>
          <w:noProof w:val="0"/>
        </w:rPr>
        <w:t>Lietuva: Opexa 20 mg tabletės</w:t>
      </w:r>
    </w:p>
    <w:p w:rsidR="00FD2361" w:rsidRPr="00BB0579" w:rsidRDefault="00FD2361" w:rsidP="00FD2361">
      <w:pPr>
        <w:pStyle w:val="BTEMEASMCA"/>
        <w:adjustRightInd w:val="0"/>
        <w:snapToGrid w:val="0"/>
        <w:rPr>
          <w:noProof w:val="0"/>
        </w:rPr>
      </w:pPr>
      <w:r w:rsidRPr="00BB0579">
        <w:rPr>
          <w:noProof w:val="0"/>
        </w:rPr>
        <w:t>Liuksemburgas: Bellozal 20 mg Tablet</w:t>
      </w:r>
    </w:p>
    <w:p w:rsidR="00FD2361" w:rsidRPr="00BB0579" w:rsidRDefault="00FD2361" w:rsidP="00FD2361">
      <w:pPr>
        <w:pStyle w:val="BTEMEASMCA"/>
        <w:adjustRightInd w:val="0"/>
        <w:snapToGrid w:val="0"/>
        <w:rPr>
          <w:noProof w:val="0"/>
        </w:rPr>
      </w:pPr>
      <w:r w:rsidRPr="00BB0579">
        <w:rPr>
          <w:noProof w:val="0"/>
        </w:rPr>
        <w:t>Malta: Gosall 20 mg tablets</w:t>
      </w:r>
    </w:p>
    <w:p w:rsidR="00FD2361" w:rsidRPr="00BB0579" w:rsidRDefault="00FD2361" w:rsidP="00FD2361">
      <w:pPr>
        <w:pStyle w:val="BTEMEASMCA"/>
        <w:adjustRightInd w:val="0"/>
        <w:snapToGrid w:val="0"/>
        <w:rPr>
          <w:noProof w:val="0"/>
        </w:rPr>
      </w:pPr>
      <w:r w:rsidRPr="00BB0579">
        <w:rPr>
          <w:noProof w:val="0"/>
        </w:rPr>
        <w:t>Norvegija: Zilas 20 mg tablett</w:t>
      </w:r>
    </w:p>
    <w:p w:rsidR="00FD2361" w:rsidRPr="00BB0579" w:rsidRDefault="00FD2361" w:rsidP="00FD2361">
      <w:pPr>
        <w:pStyle w:val="BTEMEASMCA"/>
        <w:adjustRightInd w:val="0"/>
        <w:snapToGrid w:val="0"/>
        <w:rPr>
          <w:noProof w:val="0"/>
        </w:rPr>
      </w:pPr>
      <w:r w:rsidRPr="00BB0579">
        <w:rPr>
          <w:noProof w:val="0"/>
        </w:rPr>
        <w:t>Portugalija: Lergonix 20 mg Comprimido</w:t>
      </w:r>
    </w:p>
    <w:p w:rsidR="00FD2361" w:rsidRPr="00BB0579" w:rsidRDefault="00FD2361" w:rsidP="00FD2361">
      <w:pPr>
        <w:pStyle w:val="BTEMEASMCA"/>
        <w:adjustRightInd w:val="0"/>
        <w:snapToGrid w:val="0"/>
        <w:rPr>
          <w:noProof w:val="0"/>
        </w:rPr>
      </w:pPr>
      <w:r w:rsidRPr="00BB0579">
        <w:rPr>
          <w:noProof w:val="0"/>
        </w:rPr>
        <w:t>Prancūzija: Bilaska 20 mg Comprimé</w:t>
      </w:r>
    </w:p>
    <w:p w:rsidR="00FD2361" w:rsidRPr="00BB0579" w:rsidRDefault="00FD2361" w:rsidP="00FD2361">
      <w:pPr>
        <w:pStyle w:val="BTEMEASMCA"/>
        <w:adjustRightInd w:val="0"/>
        <w:snapToGrid w:val="0"/>
        <w:rPr>
          <w:noProof w:val="0"/>
        </w:rPr>
      </w:pPr>
      <w:r w:rsidRPr="00BB0579">
        <w:rPr>
          <w:noProof w:val="0"/>
        </w:rPr>
        <w:t>Rumunija: Borenar 20 mg comprimate</w:t>
      </w:r>
    </w:p>
    <w:p w:rsidR="00FD2361" w:rsidRPr="00BB0579" w:rsidRDefault="00FD2361" w:rsidP="00FD2361">
      <w:pPr>
        <w:pStyle w:val="BTEMEASMCA"/>
        <w:adjustRightInd w:val="0"/>
        <w:snapToGrid w:val="0"/>
        <w:rPr>
          <w:noProof w:val="0"/>
        </w:rPr>
      </w:pPr>
      <w:r w:rsidRPr="00BB0579">
        <w:rPr>
          <w:noProof w:val="0"/>
        </w:rPr>
        <w:t xml:space="preserve">Slovakija: Omarit </w:t>
      </w:r>
    </w:p>
    <w:p w:rsidR="00FD2361" w:rsidRPr="00BB0579" w:rsidRDefault="00FD2361" w:rsidP="00FD2361">
      <w:pPr>
        <w:pStyle w:val="BTEMEASMCA"/>
        <w:adjustRightInd w:val="0"/>
        <w:snapToGrid w:val="0"/>
        <w:rPr>
          <w:noProof w:val="0"/>
        </w:rPr>
      </w:pPr>
      <w:r w:rsidRPr="00BB0579">
        <w:rPr>
          <w:noProof w:val="0"/>
        </w:rPr>
        <w:t>Slovėnija: Bilador 20 mg tablete</w:t>
      </w:r>
    </w:p>
    <w:p w:rsidR="00FD2361" w:rsidRPr="00BB0579" w:rsidRDefault="00FD2361" w:rsidP="00FD2361">
      <w:pPr>
        <w:pStyle w:val="BTEMEASMCA"/>
        <w:adjustRightInd w:val="0"/>
        <w:snapToGrid w:val="0"/>
        <w:rPr>
          <w:noProof w:val="0"/>
        </w:rPr>
      </w:pPr>
      <w:r w:rsidRPr="00BB0579">
        <w:rPr>
          <w:noProof w:val="0"/>
        </w:rPr>
        <w:t>Suomija: Revitelle 20 mg tabletti</w:t>
      </w:r>
    </w:p>
    <w:p w:rsidR="00FD2361" w:rsidRPr="00BB0579" w:rsidRDefault="00FD2361" w:rsidP="00FD2361">
      <w:pPr>
        <w:pStyle w:val="BTEMEASMCA"/>
        <w:adjustRightInd w:val="0"/>
        <w:snapToGrid w:val="0"/>
        <w:rPr>
          <w:noProof w:val="0"/>
        </w:rPr>
      </w:pPr>
      <w:r w:rsidRPr="00BB0579">
        <w:rPr>
          <w:noProof w:val="0"/>
        </w:rPr>
        <w:t>Švedija: Bilaxten 20 mg tablett</w:t>
      </w:r>
    </w:p>
    <w:p w:rsidR="00FD2361" w:rsidRPr="00BB0579" w:rsidRDefault="00FD2361" w:rsidP="00FD2361">
      <w:pPr>
        <w:pStyle w:val="BTEMEASMCA"/>
        <w:adjustRightInd w:val="0"/>
        <w:snapToGrid w:val="0"/>
        <w:rPr>
          <w:noProof w:val="0"/>
        </w:rPr>
      </w:pPr>
      <w:r w:rsidRPr="00BB0579">
        <w:rPr>
          <w:noProof w:val="0"/>
        </w:rPr>
        <w:t>Vengrija: Lendin 20 mg tabletta</w:t>
      </w:r>
    </w:p>
    <w:p w:rsidR="00FD2361" w:rsidRPr="00BB0579" w:rsidRDefault="00FD2361" w:rsidP="00FD2361">
      <w:pPr>
        <w:pStyle w:val="BTEMEASMCA"/>
        <w:adjustRightInd w:val="0"/>
        <w:snapToGrid w:val="0"/>
        <w:rPr>
          <w:noProof w:val="0"/>
        </w:rPr>
      </w:pPr>
      <w:r w:rsidRPr="00BB0579">
        <w:rPr>
          <w:noProof w:val="0"/>
        </w:rPr>
        <w:t>Vokietija: Bilaxten 20 mg Tabletten</w:t>
      </w:r>
    </w:p>
    <w:p w:rsidR="00FD2361" w:rsidRPr="00BB0579" w:rsidRDefault="00FD2361" w:rsidP="00FD2361">
      <w:pPr>
        <w:pStyle w:val="BTEMEASMCA"/>
        <w:adjustRightInd w:val="0"/>
        <w:snapToGrid w:val="0"/>
        <w:rPr>
          <w:noProof w:val="0"/>
        </w:rPr>
      </w:pPr>
    </w:p>
    <w:p w:rsidR="00FD2361" w:rsidRPr="00BB0579" w:rsidRDefault="00FD2361" w:rsidP="00FD2361">
      <w:pPr>
        <w:pStyle w:val="BTEMEASMCA"/>
        <w:adjustRightInd w:val="0"/>
        <w:snapToGrid w:val="0"/>
        <w:rPr>
          <w:noProof w:val="0"/>
        </w:rPr>
      </w:pPr>
    </w:p>
    <w:p w:rsidR="00FD2361" w:rsidRPr="00BB0579" w:rsidRDefault="00FD2361" w:rsidP="00FD2361">
      <w:pPr>
        <w:pStyle w:val="BTbEMEASMCA"/>
        <w:adjustRightInd w:val="0"/>
        <w:snapToGrid w:val="0"/>
        <w:rPr>
          <w:noProof w:val="0"/>
        </w:rPr>
      </w:pPr>
      <w:r w:rsidRPr="00BB0579">
        <w:rPr>
          <w:noProof w:val="0"/>
        </w:rPr>
        <w:t>Šis pakuotės lapelis paskutinį kartą peržiūrėtas 2025-02-21.</w:t>
      </w:r>
    </w:p>
    <w:p w:rsidR="00FD2361" w:rsidRPr="00BB0579" w:rsidRDefault="00FD2361" w:rsidP="00FD2361">
      <w:pPr>
        <w:adjustRightInd w:val="0"/>
        <w:snapToGrid w:val="0"/>
        <w:spacing w:after="0" w:line="240" w:lineRule="auto"/>
        <w:rPr>
          <w:rFonts w:ascii="Times New Roman" w:hAnsi="Times New Roman" w:cs="Times New Roman"/>
          <w:lang w:val="lt-LT"/>
        </w:rPr>
      </w:pPr>
    </w:p>
    <w:p w:rsidR="00FD2361" w:rsidRPr="00BB0579" w:rsidRDefault="00FD2361" w:rsidP="00FD2361">
      <w:pPr>
        <w:adjustRightInd w:val="0"/>
        <w:snapToGrid w:val="0"/>
        <w:spacing w:after="0" w:line="240" w:lineRule="auto"/>
        <w:rPr>
          <w:rFonts w:ascii="Times New Roman" w:hAnsi="Times New Roman" w:cs="Times New Roman"/>
          <w:lang w:val="lt-LT"/>
        </w:rPr>
      </w:pPr>
    </w:p>
    <w:p w:rsidR="00FD2361" w:rsidRPr="00BB0579" w:rsidRDefault="00FD2361" w:rsidP="00FD2361">
      <w:pPr>
        <w:pStyle w:val="BTEMEASMCA"/>
        <w:adjustRightInd w:val="0"/>
        <w:snapToGrid w:val="0"/>
        <w:rPr>
          <w:noProof w:val="0"/>
        </w:rPr>
      </w:pPr>
      <w:r w:rsidRPr="00BB0579">
        <w:rPr>
          <w:noProof w:val="0"/>
        </w:rPr>
        <w:t xml:space="preserve">Išsami informacija apie šį vaistą pateikiama Valstybinės vaistų kontrolės tarnybos prie Lietuvos Respublikos sveikatos apsaugos ministerijos tinklalapyje </w:t>
      </w:r>
      <w:hyperlink r:id="rId8" w:history="1">
        <w:r w:rsidRPr="00BB0579">
          <w:rPr>
            <w:rStyle w:val="Hipersaitas"/>
            <w:noProof w:val="0"/>
          </w:rPr>
          <w:t>http://www.vvkt.lt/</w:t>
        </w:r>
      </w:hyperlink>
    </w:p>
    <w:p w:rsidR="00FD2361" w:rsidRPr="00BB0579" w:rsidRDefault="00FD2361" w:rsidP="00FD2361">
      <w:pPr>
        <w:pStyle w:val="BTbEMEASMCA"/>
        <w:adjustRightInd w:val="0"/>
        <w:snapToGrid w:val="0"/>
        <w:rPr>
          <w:noProof w:val="0"/>
        </w:rPr>
      </w:pPr>
    </w:p>
    <w:p w:rsidR="00FD2361" w:rsidRPr="00BB0579" w:rsidRDefault="00FD2361" w:rsidP="00FD2361">
      <w:pPr>
        <w:adjustRightInd w:val="0"/>
        <w:snapToGrid w:val="0"/>
        <w:spacing w:after="0" w:line="240" w:lineRule="auto"/>
        <w:rPr>
          <w:rFonts w:ascii="Times New Roman" w:hAnsi="Times New Roman" w:cs="Times New Roman"/>
          <w:lang w:val="lt-LT"/>
        </w:rPr>
      </w:pPr>
    </w:p>
    <w:p w:rsidR="00FD2361" w:rsidRPr="00BB0579" w:rsidRDefault="00FD2361" w:rsidP="00FD2361">
      <w:pPr>
        <w:adjustRightInd w:val="0"/>
        <w:snapToGrid w:val="0"/>
        <w:spacing w:after="0" w:line="240" w:lineRule="auto"/>
        <w:rPr>
          <w:rFonts w:ascii="Times New Roman" w:hAnsi="Times New Roman" w:cs="Times New Roman"/>
          <w:lang w:val="lt-LT"/>
        </w:rPr>
      </w:pPr>
    </w:p>
    <w:p w:rsidR="00FD2361" w:rsidRPr="00BB0579" w:rsidRDefault="00FD2361" w:rsidP="00FD2361">
      <w:pPr>
        <w:adjustRightInd w:val="0"/>
        <w:snapToGrid w:val="0"/>
        <w:spacing w:after="0" w:line="240" w:lineRule="auto"/>
        <w:rPr>
          <w:rFonts w:ascii="Times New Roman" w:hAnsi="Times New Roman" w:cs="Times New Roman"/>
          <w:lang w:val="lt-LT"/>
        </w:rPr>
      </w:pPr>
    </w:p>
    <w:p w:rsidR="00FD2361" w:rsidRPr="00BB0579" w:rsidRDefault="00FD2361" w:rsidP="00FD2361">
      <w:pPr>
        <w:adjustRightInd w:val="0"/>
        <w:snapToGrid w:val="0"/>
        <w:spacing w:after="0" w:line="240" w:lineRule="auto"/>
        <w:rPr>
          <w:rFonts w:ascii="Times New Roman" w:hAnsi="Times New Roman" w:cs="Times New Roman"/>
          <w:lang w:val="lt-LT"/>
        </w:rPr>
      </w:pPr>
    </w:p>
    <w:p w:rsidR="00BA6577" w:rsidRDefault="00BA6577">
      <w:bookmarkStart w:id="12" w:name="_GoBack"/>
      <w:bookmarkEnd w:id="12"/>
    </w:p>
    <w:sectPr w:rsidR="00BA6577" w:rsidSect="0085154D">
      <w:footerReference w:type="default" r:id="rId9"/>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7E1" w:rsidRPr="00AD623E" w:rsidRDefault="00FD2361">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Pr>
        <w:noProof/>
        <w:sz w:val="22"/>
        <w:szCs w:val="22"/>
      </w:rPr>
      <w:t>6</w:t>
    </w:r>
    <w:r w:rsidRPr="00AD623E">
      <w:rPr>
        <w:sz w:val="22"/>
        <w:szCs w:val="22"/>
      </w:rPr>
      <w:fldChar w:fldCharType="end"/>
    </w:r>
  </w:p>
  <w:p w:rsidR="00CD47E1" w:rsidRDefault="00FD2361">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B650B5"/>
    <w:multiLevelType w:val="hybridMultilevel"/>
    <w:tmpl w:val="E3DC1C18"/>
    <w:lvl w:ilvl="0" w:tplc="34D09EF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361"/>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 w:val="00FD23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512D83-5629-4366-BE39-1D56233A9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D2361"/>
    <w:pPr>
      <w:spacing w:after="200" w:line="276" w:lineRule="auto"/>
    </w:pPr>
    <w:rPr>
      <w:rFonts w:eastAsiaTheme="minorHAnsi"/>
      <w:lang w:val="en-US"/>
    </w:rPr>
  </w:style>
  <w:style w:type="paragraph" w:styleId="Antrat1">
    <w:name w:val="heading 1"/>
    <w:basedOn w:val="prastasis"/>
    <w:next w:val="prastasis"/>
    <w:link w:val="Antrat1Diagrama"/>
    <w:uiPriority w:val="9"/>
    <w:qFormat/>
    <w:rsid w:val="00FD236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FD236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basedOn w:val="Numatytasispastraiposriftas"/>
    <w:unhideWhenUsed/>
    <w:rsid w:val="00FD2361"/>
    <w:rPr>
      <w:color w:val="0000FF"/>
      <w:u w:val="single"/>
    </w:rPr>
  </w:style>
  <w:style w:type="paragraph" w:customStyle="1" w:styleId="PI-1EMEASMCA">
    <w:name w:val="PI-1 EMEA_SMCA"/>
    <w:basedOn w:val="Antrat2"/>
    <w:autoRedefine/>
    <w:rsid w:val="00FD2361"/>
    <w:pPr>
      <w:keepLines w:val="0"/>
      <w:tabs>
        <w:tab w:val="left" w:pos="567"/>
      </w:tabs>
      <w:spacing w:before="0" w:line="240" w:lineRule="auto"/>
      <w:ind w:left="567" w:hanging="567"/>
    </w:pPr>
    <w:rPr>
      <w:rFonts w:ascii="Times New Roman" w:eastAsia="Times New Roman" w:hAnsi="Times New Roman" w:cs="Times New Roman"/>
      <w:b/>
      <w:color w:val="auto"/>
      <w:sz w:val="22"/>
      <w:szCs w:val="22"/>
      <w:lang w:val="lt-LT"/>
    </w:rPr>
  </w:style>
  <w:style w:type="character" w:customStyle="1" w:styleId="BTEMEASMCAChar">
    <w:name w:val="BT EMEA_SMCA Char"/>
    <w:basedOn w:val="Numatytasispastraiposriftas"/>
    <w:link w:val="BTEMEASMCA"/>
    <w:locked/>
    <w:rsid w:val="00FD2361"/>
    <w:rPr>
      <w:rFonts w:ascii="Times New Roman" w:eastAsia="Calibri" w:hAnsi="Times New Roman" w:cs="Times New Roman"/>
      <w:noProof/>
    </w:rPr>
  </w:style>
  <w:style w:type="paragraph" w:customStyle="1" w:styleId="BTEMEASMCA">
    <w:name w:val="BT EMEA_SMCA"/>
    <w:basedOn w:val="prastasis"/>
    <w:link w:val="BTEMEASMCAChar"/>
    <w:autoRedefine/>
    <w:rsid w:val="00FD2361"/>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FD2361"/>
    <w:rPr>
      <w:rFonts w:ascii="Times New Roman" w:hAnsi="Times New Roman" w:cs="Times New Roman"/>
      <w:b/>
    </w:rPr>
  </w:style>
  <w:style w:type="paragraph" w:customStyle="1" w:styleId="TTEMEASMCA">
    <w:name w:val="TT EMEA_SMCA"/>
    <w:basedOn w:val="Antrat1"/>
    <w:link w:val="TTEMEASMCAChar"/>
    <w:autoRedefine/>
    <w:rsid w:val="00FD2361"/>
    <w:pPr>
      <w:keepNext w:val="0"/>
      <w:keepLines w:val="0"/>
      <w:tabs>
        <w:tab w:val="left" w:pos="567"/>
      </w:tabs>
      <w:spacing w:before="0" w:line="240" w:lineRule="auto"/>
      <w:ind w:left="567" w:hanging="567"/>
      <w:jc w:val="center"/>
    </w:pPr>
    <w:rPr>
      <w:rFonts w:ascii="Times New Roman" w:eastAsia="Times New Roman" w:hAnsi="Times New Roman" w:cs="Times New Roman"/>
      <w:b/>
      <w:color w:val="auto"/>
      <w:sz w:val="22"/>
      <w:szCs w:val="22"/>
      <w:lang w:val="lt-LT"/>
    </w:rPr>
  </w:style>
  <w:style w:type="paragraph" w:customStyle="1" w:styleId="BT-EMEASMCA">
    <w:name w:val="BT- EMEA_SMCA"/>
    <w:basedOn w:val="BTEMEASMCA"/>
    <w:autoRedefine/>
    <w:rsid w:val="00FD2361"/>
    <w:pPr>
      <w:numPr>
        <w:numId w:val="1"/>
      </w:numPr>
      <w:tabs>
        <w:tab w:val="clear" w:pos="709"/>
        <w:tab w:val="num" w:pos="360"/>
        <w:tab w:val="left" w:pos="567"/>
        <w:tab w:val="left" w:pos="1135"/>
      </w:tabs>
      <w:ind w:left="567" w:hanging="567"/>
    </w:pPr>
  </w:style>
  <w:style w:type="paragraph" w:customStyle="1" w:styleId="PI-3EMEASMCA">
    <w:name w:val="PI-3 EMEA_SMCA"/>
    <w:basedOn w:val="prastasis"/>
    <w:autoRedefine/>
    <w:rsid w:val="00FD2361"/>
    <w:pPr>
      <w:spacing w:after="0" w:line="220" w:lineRule="exact"/>
    </w:pPr>
    <w:rPr>
      <w:rFonts w:ascii="Times New Roman" w:eastAsia="Times New Roman" w:hAnsi="Times New Roman" w:cs="Times New Roman"/>
      <w:b/>
      <w:bCs/>
      <w:lang w:val="lt-LT"/>
    </w:rPr>
  </w:style>
  <w:style w:type="paragraph" w:customStyle="1" w:styleId="BTbEMEASMCA">
    <w:name w:val="BT(b) EMEA_SMCA"/>
    <w:basedOn w:val="BTEMEASMCA"/>
    <w:autoRedefine/>
    <w:rsid w:val="00FD2361"/>
    <w:rPr>
      <w:b/>
    </w:rPr>
  </w:style>
  <w:style w:type="paragraph" w:customStyle="1" w:styleId="BTbeEMEASMCA">
    <w:name w:val="BT(be) EMEA_SMCA"/>
    <w:basedOn w:val="BTEMEASMCA"/>
    <w:autoRedefine/>
    <w:rsid w:val="00FD2361"/>
    <w:pPr>
      <w:jc w:val="center"/>
    </w:pPr>
    <w:rPr>
      <w:b/>
    </w:rPr>
  </w:style>
  <w:style w:type="paragraph" w:customStyle="1" w:styleId="BTeEMEASMCA">
    <w:name w:val="BT(e) EMEA_SMCA"/>
    <w:basedOn w:val="BTEMEASMCA"/>
    <w:autoRedefine/>
    <w:rsid w:val="00FD2361"/>
    <w:pPr>
      <w:jc w:val="center"/>
    </w:pPr>
  </w:style>
  <w:style w:type="paragraph" w:styleId="Porat">
    <w:name w:val="footer"/>
    <w:basedOn w:val="prastasis"/>
    <w:link w:val="PoratDiagrama"/>
    <w:uiPriority w:val="99"/>
    <w:unhideWhenUsed/>
    <w:rsid w:val="00FD2361"/>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FD2361"/>
    <w:rPr>
      <w:rFonts w:ascii="Times New Roman" w:hAnsi="Times New Roman" w:cs="Times New Roman"/>
      <w:sz w:val="24"/>
      <w:szCs w:val="24"/>
    </w:rPr>
  </w:style>
  <w:style w:type="paragraph" w:customStyle="1" w:styleId="Default">
    <w:name w:val="Default"/>
    <w:rsid w:val="00FD2361"/>
    <w:pPr>
      <w:widowControl w:val="0"/>
      <w:autoSpaceDE w:val="0"/>
      <w:autoSpaceDN w:val="0"/>
      <w:adjustRightInd w:val="0"/>
      <w:spacing w:after="0" w:line="240" w:lineRule="auto"/>
    </w:pPr>
    <w:rPr>
      <w:rFonts w:ascii="Times New Roman" w:hAnsi="Times New Roman" w:cs="Times New Roman"/>
      <w:color w:val="000000"/>
      <w:sz w:val="24"/>
      <w:szCs w:val="24"/>
      <w:lang w:val="de-DE" w:eastAsia="de-DE"/>
    </w:rPr>
  </w:style>
  <w:style w:type="character" w:customStyle="1" w:styleId="Antrat2Diagrama">
    <w:name w:val="Antraštė 2 Diagrama"/>
    <w:basedOn w:val="Numatytasispastraiposriftas"/>
    <w:link w:val="Antrat2"/>
    <w:uiPriority w:val="9"/>
    <w:semiHidden/>
    <w:rsid w:val="00FD2361"/>
    <w:rPr>
      <w:rFonts w:asciiTheme="majorHAnsi" w:eastAsiaTheme="majorEastAsia" w:hAnsiTheme="majorHAnsi" w:cstheme="majorBidi"/>
      <w:color w:val="2E74B5" w:themeColor="accent1" w:themeShade="BF"/>
      <w:sz w:val="26"/>
      <w:szCs w:val="26"/>
      <w:lang w:val="en-US"/>
    </w:rPr>
  </w:style>
  <w:style w:type="character" w:customStyle="1" w:styleId="Antrat1Diagrama">
    <w:name w:val="Antraštė 1 Diagrama"/>
    <w:basedOn w:val="Numatytasispastraiposriftas"/>
    <w:link w:val="Antrat1"/>
    <w:uiPriority w:val="9"/>
    <w:rsid w:val="00FD2361"/>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7510</Words>
  <Characters>4282</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2025-06-09T08:20:00Z</dcterms:created>
  <dcterms:modified xsi:type="dcterms:W3CDTF">2025-06-09T08:20:00Z</dcterms:modified>
</cp:coreProperties>
</file>