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B129"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CFF52C8"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A1770D0"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04FB135"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C4E0954"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8C8DBDE"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CA7B355"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8979BFF"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B48507E"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1044B6DC"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727DB88"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F1DC06F"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36C1581"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481ABA9"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DA35C44"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F178FCB"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F43896"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2BA42A"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1645B8A6"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BC98689"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4D3ADB29"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5F67FDF"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C946EE5"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6F1BB6"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I PRIEDAS</w:t>
      </w:r>
    </w:p>
    <w:p w14:paraId="3286EAC3"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CE905EA"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PREPARATO CHARAKTERISTIKŲ SANTRAUKA</w:t>
      </w:r>
    </w:p>
    <w:p w14:paraId="1294E25D"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4BCC31A" w14:textId="77777777" w:rsidR="00E35DF9" w:rsidRPr="00E35DF9" w:rsidRDefault="00E35DF9" w:rsidP="00E35DF9">
      <w:pPr>
        <w:widowControl w:val="0"/>
        <w:spacing w:after="200" w:line="240" w:lineRule="auto"/>
        <w:rPr>
          <w:rFonts w:ascii="Times New Roman" w:eastAsia="Calibri" w:hAnsi="Times New Roman" w:cs="Times New Roman"/>
        </w:rPr>
      </w:pPr>
    </w:p>
    <w:p w14:paraId="0895BAEE"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rPr>
        <w:br w:type="page"/>
      </w:r>
      <w:r w:rsidRPr="00E35DF9">
        <w:rPr>
          <w:rFonts w:ascii="Times New Roman" w:eastAsia="Calibri" w:hAnsi="Times New Roman" w:cs="Times New Roman"/>
          <w:b/>
        </w:rPr>
        <w:lastRenderedPageBreak/>
        <w:t>1.</w:t>
      </w:r>
      <w:r w:rsidRPr="00E35DF9">
        <w:rPr>
          <w:rFonts w:ascii="Times New Roman" w:eastAsia="Calibri" w:hAnsi="Times New Roman" w:cs="Times New Roman"/>
          <w:b/>
        </w:rPr>
        <w:tab/>
        <w:t xml:space="preserve">VAISTINIO PREPARATO PAVADINIMAS </w:t>
      </w:r>
    </w:p>
    <w:p w14:paraId="7330E0F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532B5B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plėvele dengtos tabletės</w:t>
      </w:r>
    </w:p>
    <w:p w14:paraId="7572665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7,5 mg plėvele dengtos tabletės</w:t>
      </w:r>
    </w:p>
    <w:p w14:paraId="40CC827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10 mg plėvele dengtos tabletės</w:t>
      </w:r>
    </w:p>
    <w:p w14:paraId="00B653C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15 mg plėvele dengtos tabletės</w:t>
      </w:r>
    </w:p>
    <w:p w14:paraId="6DB871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20 mg plėvele dengtos tabletės</w:t>
      </w:r>
    </w:p>
    <w:p w14:paraId="57D5DA5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225054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1495DCD"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 xml:space="preserve">KOKYBINĖ IR KIEKYBINĖ SUDĖTIS </w:t>
      </w:r>
    </w:p>
    <w:p w14:paraId="16A03A7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BF0D66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015D229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plėvele dengtoje tabletėje yra 5 mg olanzapino (atitinkančio 7,03 mg olanzapino dihidrochlorido trihidrato).</w:t>
      </w:r>
    </w:p>
    <w:p w14:paraId="6D044B5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8CB8F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14:paraId="1448D0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plėvele dengtoje tabletėje yra 7,5 mg olanzapino (atitinkančio 10,55 mg olanzapino dihidrochlorido trihidrato).</w:t>
      </w:r>
    </w:p>
    <w:p w14:paraId="4879BB5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1159BB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14:paraId="350315B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plėvele dengtoje tabletėje yra 10 mg olanzapino (atitinkančio 14,06 mg olanzapino dihidrochlorido trihidrato).</w:t>
      </w:r>
    </w:p>
    <w:p w14:paraId="5264F8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6A5F3F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278CE9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plėvele dengtoje tabletėje yra 15 mg olanzapino (atitinkančio 21,09 mg olanzapino dihidrochlorido trihidrato).</w:t>
      </w:r>
    </w:p>
    <w:p w14:paraId="63D38D8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5E9366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1ED9F14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plėvele dengtoje tabletėje yra 20 mg olanzapino (atitinkančio 28,12 mg olanzapino dihidrochlorido trihidrato).</w:t>
      </w:r>
    </w:p>
    <w:p w14:paraId="2A09158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98C41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Pagalbinė medžiaga, kurios poveikis žinomas:</w:t>
      </w:r>
    </w:p>
    <w:p w14:paraId="54BB7F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Egolanza 5 mg plėvele dengtoje tabletėje yra 40,98 mg laktozės monohidrato.</w:t>
      </w:r>
    </w:p>
    <w:p w14:paraId="381F398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Egolanza 7,5 mg plėvele dengtoje tabletėje yra 61,47 mg laktozės monohidrato.</w:t>
      </w:r>
    </w:p>
    <w:p w14:paraId="20EE52F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Egolanza 10 mg plėvele dengtoje tabletėje yra 81,97 mg laktozės monohidrato.</w:t>
      </w:r>
    </w:p>
    <w:p w14:paraId="71F1E20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Egolanza 15 mg plėvele dengtoje tabletėje yra 122,95 mg laktozės monohidrato.</w:t>
      </w:r>
    </w:p>
    <w:p w14:paraId="677878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Egolanza 20 mg plėvele dengtoje tabletėje yra 163,94 mg laktozės monohidrato.</w:t>
      </w:r>
    </w:p>
    <w:p w14:paraId="13C08B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CAFAF5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Visos pagalbinės medžiagos išvardytos 6.1 skyriuje.</w:t>
      </w:r>
    </w:p>
    <w:p w14:paraId="5AE6E27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68BCA9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BE82CB8"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 xml:space="preserve">FARMACINĖ FORMA </w:t>
      </w:r>
    </w:p>
    <w:p w14:paraId="3508603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D6001D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Plėvele dengta tabletė.</w:t>
      </w:r>
    </w:p>
    <w:p w14:paraId="073433A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8AD98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36B11DE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 yra geltona, pailga, abipus išgaubta, dengta plėvele, jos vienoje pusėje yra vagelė, o kitoje – įspausta stilizuota raidė „E” ir skaitmuo „402”. </w:t>
      </w:r>
    </w:p>
    <w:p w14:paraId="43D3DAB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Tabletę galima padalyti į lygias dozes.</w:t>
      </w:r>
    </w:p>
    <w:p w14:paraId="317B5FA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510443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 xml:space="preserve">Egolanza 7,5 mg plėvele dengtos tabletės </w:t>
      </w:r>
    </w:p>
    <w:p w14:paraId="3C1673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 yra geltona, apvali, abipus išgaubta, dengta plėvele, jos vienoje pusėje įspausta stilizuota raidė „E” ir skaitmuo „403”.</w:t>
      </w:r>
    </w:p>
    <w:p w14:paraId="4462C7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C7E93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14:paraId="3EF65D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 yra geltona, apvali, abipus išgaubta, dengta plėvele, jos vienoje pusėje įspausta stilizuota raidė „E” ir skaitmuo „404”.</w:t>
      </w:r>
    </w:p>
    <w:p w14:paraId="0C5E851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1238FC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6C4EA9E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 yra geltona, apvali, abipus išgaubta, dengta plėvele, jos vienoje pusėje įspausta stilizuota raidė „E” ir skaitmuo „405”.</w:t>
      </w:r>
    </w:p>
    <w:p w14:paraId="20D8744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AF2C48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3E695F7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 yra geltona, apvali, abipus išgaubta, dengta plėvele, jos vienoje pusėje įspausta stilizuota raidė „E” ir skaitmuo „406”.</w:t>
      </w:r>
    </w:p>
    <w:p w14:paraId="6B80CA9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6EA26E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FE3508D"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r>
      <w:r w:rsidRPr="00E35DF9">
        <w:rPr>
          <w:rFonts w:ascii="Times New Roman" w:eastAsia="Times New Roman" w:hAnsi="Times New Roman" w:cs="Times New Roman"/>
          <w:b/>
          <w:lang w:eastAsia="hu-HU"/>
        </w:rPr>
        <w:t>KLINIKINĖ INFORMACIJA</w:t>
      </w:r>
    </w:p>
    <w:p w14:paraId="6E95E28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7201C74"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4.1</w:t>
      </w:r>
      <w:r w:rsidRPr="00E35DF9">
        <w:rPr>
          <w:rFonts w:ascii="Times New Roman" w:eastAsia="Calibri" w:hAnsi="Times New Roman" w:cs="Times New Roman"/>
          <w:b/>
        </w:rPr>
        <w:tab/>
        <w:t>Terapinės indikacijos</w:t>
      </w:r>
    </w:p>
    <w:p w14:paraId="75F045A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DAD551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Suaugusieji</w:t>
      </w:r>
    </w:p>
    <w:p w14:paraId="1DA60E0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674DEA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skirtas šizofrenijai gydyti.</w:t>
      </w:r>
    </w:p>
    <w:p w14:paraId="4C8DE09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9EED93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veiksmingas kliniškai pagerėjusiai būklei palaikyti tęsiant gydymą pacientams, kurių pradinis gydymas juo buvo sėkmingas.</w:t>
      </w:r>
    </w:p>
    <w:p w14:paraId="5B1059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D33CB4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skirtas vidutinio sunkumo ar sunkios manijos epizodui gydyti.</w:t>
      </w:r>
    </w:p>
    <w:p w14:paraId="670AB1B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051BA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Pacientams, kurių manijos epizodo gydymas olanzapinu buvo sėkmingas, olanzapinas skirtas bipolinio sutrikimo pasikartojimo prevencijai (žr. 5.1 skyrių).</w:t>
      </w:r>
    </w:p>
    <w:p w14:paraId="7A68452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D32A7B1"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4.2</w:t>
      </w:r>
      <w:r w:rsidRPr="00E35DF9">
        <w:rPr>
          <w:rFonts w:ascii="Times New Roman" w:eastAsia="Calibri" w:hAnsi="Times New Roman" w:cs="Times New Roman"/>
          <w:b/>
        </w:rPr>
        <w:tab/>
        <w:t>Dozavimas ir vartojimo metodas</w:t>
      </w:r>
    </w:p>
    <w:p w14:paraId="6B57EAC5"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26D66D9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Dozavimas</w:t>
      </w:r>
    </w:p>
    <w:p w14:paraId="0B382F8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583FB7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Suaugusieji</w:t>
      </w:r>
    </w:p>
    <w:p w14:paraId="3352477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p>
    <w:p w14:paraId="768C6E2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Šizofrenija</w:t>
      </w:r>
      <w:r w:rsidRPr="00E35DF9">
        <w:rPr>
          <w:rFonts w:ascii="Times New Roman" w:eastAsia="Calibri" w:hAnsi="Times New Roman" w:cs="Times New Roman"/>
        </w:rPr>
        <w:t>: rekomenduojama pradinė olanzapino dozė – 10 mg per parą.</w:t>
      </w:r>
    </w:p>
    <w:p w14:paraId="046ACAC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FF1EA7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Manijos epizodas</w:t>
      </w:r>
      <w:r w:rsidRPr="00E35DF9">
        <w:rPr>
          <w:rFonts w:ascii="Times New Roman" w:eastAsia="Calibri" w:hAnsi="Times New Roman" w:cs="Times New Roman"/>
        </w:rPr>
        <w:t>: pradinė dozė yra 15 mg vieną kartą per parą, taikant monoterapiją, arba 10 mg kartą per parą, skiriant kombinuotą terapiją (žr. 5.1 skyrių).</w:t>
      </w:r>
    </w:p>
    <w:p w14:paraId="4EBCBD9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9C1DB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Bipolinio sutrikimo pasikartojimo prevencija</w:t>
      </w:r>
      <w:r w:rsidRPr="00E35DF9">
        <w:rPr>
          <w:rFonts w:ascii="Times New Roman" w:eastAsia="Calibri" w:hAnsi="Times New Roman" w:cs="Times New Roman"/>
        </w:rPr>
        <w:t>: rekomenduojama pradinė dozė yra 10 mg per parą. Pacientams, kurių manijos epizodas yra gydomas olanzapinu, bipolinio sutrikimo pasikartojimo prevencijos gydymą reikia tęsti tomis pačiomis dozėmis. Pasireiškus naujam manijos, mišriam arba depresijos epizodui, reikia tęsti gydymą olanzapinu (jei reikia, parinkti tinkamiausią dozę) kartu pagal klinikines indikacijas taikant papildomą nuotaikos simptomų gydymą.</w:t>
      </w:r>
    </w:p>
    <w:p w14:paraId="5D12F1B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AD112D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Šizofrenijos, manijos epizodo gydymo ir bipolinio sutrikimo recidyvo profilaktikos metu paros dozę galima palaipsniui pritaikyti pasirenkant tarp 5–20 mg per parą ir atsižvelgiant į paciento klinikinę būklę. Didinti dozę iki didesnės nei rekomenduojama pradinė, patariama tik tinkamai pakartotinai įvertinus klinikinę paciento būklę, ir tai turėtų būti daroma ne trumpesniais kaip 24 valandų intervalais. Nutraukiant gydymą olanzapinu, reikia palaipsniui mažinti dozę.</w:t>
      </w:r>
    </w:p>
    <w:p w14:paraId="01CB9B0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B06C00B" w14:textId="77777777" w:rsidR="00E35DF9" w:rsidRPr="00E35DF9" w:rsidRDefault="00E35DF9" w:rsidP="00E35DF9">
      <w:pPr>
        <w:keepNext/>
        <w:tabs>
          <w:tab w:val="left" w:pos="567"/>
        </w:tabs>
        <w:spacing w:after="0" w:line="240" w:lineRule="auto"/>
        <w:rPr>
          <w:rFonts w:ascii="Times New Roman" w:eastAsia="Times New Roman" w:hAnsi="Times New Roman" w:cs="Times New Roman"/>
          <w:i/>
          <w:noProof/>
          <w:color w:val="000000"/>
          <w:u w:val="single"/>
        </w:rPr>
      </w:pPr>
      <w:r w:rsidRPr="00E35DF9">
        <w:rPr>
          <w:rFonts w:ascii="Times New Roman" w:eastAsia="Times New Roman" w:hAnsi="Times New Roman" w:cs="Times New Roman"/>
          <w:i/>
          <w:snapToGrid w:val="0"/>
          <w:color w:val="000000"/>
          <w:szCs w:val="20"/>
        </w:rPr>
        <w:t>Ypatingos populiacijos</w:t>
      </w:r>
    </w:p>
    <w:p w14:paraId="4D024CCD" w14:textId="77777777" w:rsidR="00E35DF9" w:rsidRPr="00E35DF9" w:rsidRDefault="00E35DF9" w:rsidP="00E35DF9">
      <w:pPr>
        <w:keepNext/>
        <w:tabs>
          <w:tab w:val="left" w:pos="567"/>
        </w:tabs>
        <w:spacing w:after="0" w:line="240" w:lineRule="auto"/>
        <w:rPr>
          <w:rFonts w:ascii="Times New Roman" w:eastAsia="Times New Roman" w:hAnsi="Times New Roman" w:cs="Times New Roman"/>
          <w:i/>
          <w:noProof/>
          <w:color w:val="000000"/>
          <w:u w:val="single"/>
        </w:rPr>
      </w:pPr>
    </w:p>
    <w:p w14:paraId="6C49271E" w14:textId="77777777" w:rsidR="00E35DF9" w:rsidRPr="00E35DF9" w:rsidRDefault="00E35DF9" w:rsidP="00E35DF9">
      <w:pPr>
        <w:keepNext/>
        <w:tabs>
          <w:tab w:val="left" w:pos="567"/>
        </w:tabs>
        <w:spacing w:after="0" w:line="240" w:lineRule="auto"/>
        <w:rPr>
          <w:rFonts w:ascii="Times New Roman" w:eastAsia="Times New Roman" w:hAnsi="Times New Roman" w:cs="Times New Roman"/>
          <w:i/>
          <w:noProof/>
          <w:color w:val="000000"/>
        </w:rPr>
      </w:pPr>
      <w:r w:rsidRPr="00E35DF9">
        <w:rPr>
          <w:rFonts w:ascii="Times New Roman" w:eastAsia="Times New Roman" w:hAnsi="Times New Roman" w:cs="Times New Roman"/>
          <w:i/>
          <w:noProof/>
          <w:color w:val="000000"/>
        </w:rPr>
        <w:t>Senyviems pacientams</w:t>
      </w:r>
    </w:p>
    <w:p w14:paraId="4D6E9126" w14:textId="77777777" w:rsidR="00E35DF9" w:rsidRPr="00E35DF9" w:rsidRDefault="00E35DF9" w:rsidP="00E35DF9">
      <w:pPr>
        <w:keepNext/>
        <w:tabs>
          <w:tab w:val="left" w:pos="567"/>
        </w:tabs>
        <w:spacing w:after="0" w:line="240" w:lineRule="auto"/>
        <w:rPr>
          <w:rFonts w:ascii="Times New Roman" w:eastAsia="Times New Roman" w:hAnsi="Times New Roman" w:cs="Times New Roman"/>
          <w:i/>
          <w:noProof/>
          <w:color w:val="000000"/>
          <w:u w:val="single"/>
          <w:lang w:eastAsia="hu-HU"/>
        </w:rPr>
      </w:pPr>
    </w:p>
    <w:p w14:paraId="25C344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Mažesnė pradinė dozė (5 mg per parą) paprastai nėra skiriama, bet dėl tam tikrų klinikinių veiksnių reikėtų apsvarstyti, ar nevertėtų skirti mažesnę pradinę dozę 65 metų ir vyresniems pacientams (žr. 4.4 skyrių).</w:t>
      </w:r>
    </w:p>
    <w:p w14:paraId="4F214F7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BF15E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lastRenderedPageBreak/>
        <w:t>Pacientams, kurių inkstų ir (arba) kepenų funkcijos sutrikusi</w:t>
      </w:r>
    </w:p>
    <w:p w14:paraId="05BE1E7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9A32D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Tokius pacientus reikia pradėti gydyti mažesne (5 mg) pradine doze. Jeigu yra vidutinio sunkumo kepenų nepakankamumas (cirozė, A arba B klasė pagal Child-Pugh), pradinė dozė turi būti 5 mg, ją didinti galima tik atsargiai.</w:t>
      </w:r>
    </w:p>
    <w:p w14:paraId="3427572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447B87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Rūkantieji</w:t>
      </w:r>
    </w:p>
    <w:p w14:paraId="2E7C1DF2"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A95A4A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Pradinė dozė ir tarpai tarp dozių rūkaniems ir nerūkantiems pacientams paprastai nesiskiria. Rūkymas gali skatinti olanzapino metabolizmą. Rekomenduojama stebėti klinikinę būklę ir, prireikus, apsvarstyti olanzapino dozės didinimo galimybę (žr. 4.5 skyrių).</w:t>
      </w:r>
    </w:p>
    <w:p w14:paraId="09DA8F6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0BC62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Kai yra daugiau nei vienas veiksnys, galintis lėtinti metabolizmą (moteriška lytis, senyvas amžius, nerūkymas), reikia apsvarstyti, ar nereikėtų skirti mažesnę pradinę dozę. Jeigu yra indikacijų, dozė tokiems pacientams turi būti didinama atsargiai.</w:t>
      </w:r>
    </w:p>
    <w:p w14:paraId="761A7FB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(Žr. 4.5 ir 5.2 skyrius.)</w:t>
      </w:r>
    </w:p>
    <w:p w14:paraId="71A18AE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D5BC0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Vaikų populiacija</w:t>
      </w:r>
    </w:p>
    <w:p w14:paraId="23EFFCB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Olanzapino nerekomenduojama vartoti vaikams ir paaugliams, jaunesniems kaip 18 metų amžiaus, nes trūksta duomenų apie preparato saugumą ir veiksmingumą šio amžiaus pacientams. Trumpalaikiai tyrimai su paaugliais pacientais parodė didesnę įtaką svorio didėjimui, lipidų ir prolaktino pokyčiams nei tyrimai su suaugusiais pacientais (žr. 4.4, 4.8, 5.1 ir 5.2 skyrius).</w:t>
      </w:r>
    </w:p>
    <w:p w14:paraId="48BECA2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A5E138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Vartojimo metodas</w:t>
      </w:r>
    </w:p>
    <w:p w14:paraId="6621232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204F41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gali būti vartojamas nepriklausomai nuo valgio, nes maistas absorbcijai įtakos neturi.</w:t>
      </w:r>
    </w:p>
    <w:p w14:paraId="1B814E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AAA661E"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4.3</w:t>
      </w:r>
      <w:r w:rsidRPr="00E35DF9">
        <w:rPr>
          <w:rFonts w:ascii="Times New Roman" w:eastAsia="Calibri" w:hAnsi="Times New Roman" w:cs="Times New Roman"/>
          <w:b/>
        </w:rPr>
        <w:tab/>
        <w:t>Kontraindikacijos</w:t>
      </w:r>
    </w:p>
    <w:p w14:paraId="061C61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9D21B8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Padidėjęs jautrumas veikliajai arba bet kuriai 6.1 skyriuje nurodytai pagalbinei medžiagai.</w:t>
      </w:r>
    </w:p>
    <w:p w14:paraId="5C76620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9BA6E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Nustatyta uždarojo kampo glaukomos rizika.</w:t>
      </w:r>
    </w:p>
    <w:p w14:paraId="225E7EC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E334F9F"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4.4</w:t>
      </w:r>
      <w:r w:rsidRPr="00E35DF9">
        <w:rPr>
          <w:rFonts w:ascii="Times New Roman" w:eastAsia="Calibri" w:hAnsi="Times New Roman" w:cs="Times New Roman"/>
          <w:b/>
        </w:rPr>
        <w:tab/>
      </w:r>
      <w:bookmarkStart w:id="0" w:name="_Toc129243105"/>
      <w:bookmarkStart w:id="1" w:name="_Toc129243230"/>
      <w:r w:rsidRPr="00E35DF9">
        <w:rPr>
          <w:rFonts w:ascii="Times New Roman" w:eastAsia="Calibri" w:hAnsi="Times New Roman" w:cs="Times New Roman"/>
          <w:b/>
        </w:rPr>
        <w:t>Specialūs įspėjimai ir atsargumo priemonės</w:t>
      </w:r>
      <w:bookmarkEnd w:id="0"/>
      <w:bookmarkEnd w:id="1"/>
      <w:r w:rsidRPr="00E35DF9">
        <w:rPr>
          <w:rFonts w:ascii="Times New Roman" w:eastAsia="Calibri" w:hAnsi="Times New Roman" w:cs="Times New Roman"/>
          <w:b/>
        </w:rPr>
        <w:t xml:space="preserve"> </w:t>
      </w:r>
    </w:p>
    <w:p w14:paraId="318255BD"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701FF8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Antipsichozinio gydymo metu paciento klinikinė būsena pagerėja per kelias dienas ar kelias savaites. Šiuo laikotarpiu pacientus reikia atidžiai stebėti.</w:t>
      </w:r>
    </w:p>
    <w:p w14:paraId="15881D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1E6013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Su demencija susiję psichozės ir (arba) elgesio sutrikimai</w:t>
      </w:r>
    </w:p>
    <w:p w14:paraId="0FC925E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32C096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Olanzapino nerekomenduojama vartoti pacientams, kuriems pasireiškia su demencija susiję psichozė ir (arba) elgesio sutrikimai, nes padidėja mirtingumas ir galvos smegenų kraujotakos sutrikimų rizika. Placebu kontroliuojamų klinikinių tyrimų metu (6–12 savaičių trukmės) su senyvais (vidutinis amžius 78 metai) sergančiais su demencija susijusiomis psichozėmis ir (arba) turinčiais elgesio sutrikimų pacientais, olanzapinu gydytų pacientų mirčių dažnis buvo 2 kartus didesnis nei pacientų, gavusių placebą (atitinkamai 3,5 % ir 1,5 %). Didesnis mirčių dažnis nebuvo susijęs su olanzapino doze (vidutinė paros dozė – 4,4 mg) ar gydymo trukme. Šios pacientų populiacijos mirštamumo padidėjimą gali lemti tokie rizikos veiksniai kaip amžius &gt;65 metai, disfagija, sedacija, mitybos sutrikimai ir dehidratacija, plaučių ligos (t. y. pneumonija su aspiracija arba be jos), arba kartu vartojami benzodiazepinai. Tačiau mirčių dažnis tarp olanzapinu gydytų pacientų buvo didesnis negu tarp gavusių placebo nepriklausomai nuo šių rizikos veiksnių. </w:t>
      </w:r>
    </w:p>
    <w:p w14:paraId="214CC0E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890AE3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Tų pačių klinikinių tyrimų metu buvo pranešta apie nepageidaujamus cerebrovaskulinius reiškinius (NCVR, pvz., insultą, trumpalaikį išemijos priepuolį), įskaitant mirties atvejus. Olanzapinu gydytiems pacientams NCVR dažnis buvo 3 kartus didesnis nei gavusiems placebą (atitinkamai 1,3 % ir 0,4 %). Visiems olanzapinu ir placebu gydytiems pacientams, patyrusiems cerebrovaskulinių reiškinių, prieš tyrimą buvo rizikos veiksnių. Buvo pripažinta, kad &gt;75 metų amžius ir kraujagyslinė bei mišri </w:t>
      </w:r>
      <w:r w:rsidRPr="00E35DF9">
        <w:rPr>
          <w:rFonts w:ascii="Times New Roman" w:eastAsia="Calibri" w:hAnsi="Times New Roman" w:cs="Times New Roman"/>
        </w:rPr>
        <w:lastRenderedPageBreak/>
        <w:t>demencija gydant olanzapinu yra NCVR rizikos veiksniai. Šių tyrimų metu olanzapino efektyvumas nebuvo nustatytas.</w:t>
      </w:r>
    </w:p>
    <w:p w14:paraId="01774C9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8C21EE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Parkinsono liga</w:t>
      </w:r>
    </w:p>
    <w:p w14:paraId="2A29AE1D"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C0954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Olanzapino nerekomenduojama vartoti dopamino agonistų sukeltoms psichozėms gydyti Parkinsono liga sergantiems pacientams. Klinikinių tyrimų metu pastebėta, kad skiriant olanzapiną labai dažnai ir dažniau nei placebo grupėje (žr. 4.8 skyrių) Parkinsono ligos simptomatika pasunkėjo ir atsirado haliucinacijų, o olanzapinas nebuvo efektyvesnis, palyginti su placebu, gydant psichozės simptomus. Šių klinikinių tyrimų metu iš anksto buvo reikalaujama, kad paciento būklė būtų stabili, vartojant mažiausias veiksmingas vaistų Parkinsono ligai gydyti (dopamino agonistų) dozes ir visų klinikinių tyrimų metu vaistai Parkinsono ligai gydyti ir jų dozės liktų tokios pačios. Gydymas olanzapinu buvo pradėtas nuo 2,5 mg per parą ir tyrėjų nuožiūra titruojamas iki maksimalios 15 mg per parą dozės. </w:t>
      </w:r>
    </w:p>
    <w:p w14:paraId="2CEAFF9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E5C47E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Piktybinis neurolepsinis sindromas (PNS)</w:t>
      </w:r>
    </w:p>
    <w:p w14:paraId="453E5E8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4BD281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PNS – tai gyvybei pavojinga būklė, susijusi su antipsichoziniais vaistiniais preparatais. Žinomi keli atvejai, kai PNS sukėlė olanzapinas. PNS kliniškai pasireiškia hiperpireksija, raumenų rigidiškumu, sutrikusia psichikos būkle ir nestabilios autonominės nervų sistemos požymiais (nereguliariu pulsu ar kraujospūdžiu, tachikardija, prakaitavimu ir širdies ritmo sutrikimu). Kiti požymiai: padidėjusi kreatinfosfokinazės koncentracija, mioglobinurija (rabdomiolizė) ir ūminis inkstų nepakankamumas. Jeigu pacientui pasireiškia PNS simptomai ar be priežasties labai padidėja temperatūra, nors kitų klinikinių PNS požymių nėra, visų antipsichozinių vaistų, taip pat ir olanzapino, vartojimą reikia nutraukti. </w:t>
      </w:r>
    </w:p>
    <w:p w14:paraId="67B7423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C74CF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Hiperglikemija ir diabetas</w:t>
      </w:r>
    </w:p>
    <w:p w14:paraId="28534F1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F0F25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Nedažnais</w:t>
      </w:r>
      <w:r w:rsidRPr="00E35DF9">
        <w:rPr>
          <w:rFonts w:ascii="Times New Roman" w:eastAsia="Calibri" w:hAnsi="Times New Roman" w:cs="Times New Roman"/>
        </w:rPr>
        <w:t xml:space="preserve"> atvejais buvo pastebėta hiperglikemija ir (arba) diabeto paūmėjimas, kartais susiję su ketoacidoze ar koma, tarp jų pasitaikė ir keli mirties atvejai (žr. 4.8 skyrių). Kai kuriais atvejais prieš tai buvo minėtas svorio padidėjimas, kuris galėjo būti predispozicinis faktorius. Patartina tinkama klinikinė priežiūra laikantis vartojamų antipsichotikų rekomendacijų, pvz., išmatuoti gliukozės koncentraciją kraujyje prieš pradedant gydymą, praėjus 12 savaičių nuo gydymo olanzapinu pradžios ir vėliau kiekvienais metais. Gydant bet kuriuo antipsichoziniu vaistiniu preparatu, įskaitant olanzapiną, reikėtų stebėti hiperglikemijos požymius ir simptomus (tokius kaip polidipsija, poliurija, polifagija ir silpnumas), o pacientus, sergančius cukriniu diabetu arba turinčius cukrinio diabeto rizikos veiksnių, reikėtų reguliariai tikrinti dėl pablogėjusios gliukozės kontrolės. Turėtų būti nuolat reguliuojamas svoris, pvz., prieš pradedant gydymą, praėjus 4, 8 ir 12 savaičių nuo gydymo olanzapinu pradžios ir vėliau kas ketvirtį. </w:t>
      </w:r>
    </w:p>
    <w:p w14:paraId="2324B69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27D6B7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Lipidų pokyčiai</w:t>
      </w:r>
    </w:p>
    <w:p w14:paraId="308F847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CD904A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Placebu kontroliuojamų klinikinių tyrimų metu buvo stebimi nepageidaujami lipidų pokyčiai olanzapinu gydomų pacientų (žr. 4.8 skyrių). Lipidų pokyčius reikėtų reguliuoti atsižvelgiant į klinikinius požymius, ypač gydant pacientus, kuriems yra lipidų sutrikimų, ir pacientus, kuriems yra lipidų sutrikimo išsivystymo rizikos veiksnių. Gydant bet kuriuo antipsichoziniu vaistiniu preparatu, įskaitant Egolanza, turi būti reguliariai kontroliuojami lipidai, laikantis antipsichotikų vartojimo rekomendacijų, pvz., prieš pradedant gydymą, praėjus 12 savaičių nuo gydymo olanzapinu pradžios ir vėliau kas 5 metus.</w:t>
      </w:r>
    </w:p>
    <w:p w14:paraId="7C950C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D1173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Anticholinerginis aktyvumas</w:t>
      </w:r>
    </w:p>
    <w:p w14:paraId="217B2E61"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DAF144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Nors </w:t>
      </w:r>
      <w:r w:rsidRPr="00E35DF9">
        <w:rPr>
          <w:rFonts w:ascii="Times New Roman" w:eastAsia="Calibri" w:hAnsi="Times New Roman" w:cs="Times New Roman"/>
          <w:i/>
        </w:rPr>
        <w:t>in vitro</w:t>
      </w:r>
      <w:r w:rsidRPr="00E35DF9">
        <w:rPr>
          <w:rFonts w:ascii="Times New Roman" w:eastAsia="Calibri" w:hAnsi="Times New Roman" w:cs="Times New Roman"/>
        </w:rPr>
        <w:t xml:space="preserve"> olanzapinui būdingas anticholinerginis aktyvumas, tačiau klinikinių tyrimų metu sukaupta patirtis rodo, kad nuo jo priklausomų reiškinių dažnis yra mažas. Vis dėlto ligonių, sergančių ir gretutine liga, gydymo olanzapinu patirties yra nedaug, todėl pacientams, kuriems yra prostatos hipertrofija, paralyžinis žarnų nepraeinamumas ar panaši būklė, šio vaisto skirti vartoti reikia atsargiai.</w:t>
      </w:r>
    </w:p>
    <w:p w14:paraId="10A9EE3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22488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Kepenų funkcija</w:t>
      </w:r>
    </w:p>
    <w:p w14:paraId="2E984C04"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23A8FC6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Dažnai, ypač gydymo pradžioje, būdavo pastebimas laikinas, besimptominis kepenų aminotransferazių (ALT</w:t>
      </w:r>
      <w:r w:rsidRPr="00E35DF9">
        <w:rPr>
          <w:rFonts w:ascii="Times New Roman" w:eastAsia="Times New Roman" w:hAnsi="Times New Roman" w:cs="Times New Roman"/>
          <w:lang w:eastAsia="hu-HU"/>
        </w:rPr>
        <w:t xml:space="preserve">, </w:t>
      </w:r>
      <w:r w:rsidRPr="00E35DF9">
        <w:rPr>
          <w:rFonts w:ascii="Times New Roman" w:eastAsia="Calibri" w:hAnsi="Times New Roman" w:cs="Times New Roman"/>
        </w:rPr>
        <w:t xml:space="preserve">AST) </w:t>
      </w:r>
      <w:r w:rsidRPr="00E35DF9">
        <w:rPr>
          <w:rFonts w:ascii="Times New Roman" w:eastAsia="Times New Roman" w:hAnsi="Times New Roman" w:cs="Times New Roman"/>
          <w:lang w:eastAsia="hu-HU"/>
        </w:rPr>
        <w:t>suaktyvėjimas</w:t>
      </w:r>
      <w:r w:rsidRPr="00E35DF9">
        <w:rPr>
          <w:rFonts w:ascii="Times New Roman" w:eastAsia="Calibri" w:hAnsi="Times New Roman" w:cs="Times New Roman"/>
        </w:rPr>
        <w:t>. Gydant pacientus, kuriems yra padidėjęs ALT ir (arba) AST kiekis, tuos asmenis, kuriems yra kepenų funkcijos sutrikimo požymių ir simptomų, pacientus, kurių būklės susijusios su nedideliu kepenų funkcijos rezervu, ir pacientus, vartojančius potencialiai hepatotoksiškus vaistus, turi būti imamasi atsargumo priemonių ir atliekami pakartotiniai tyrimai. Nustačius hepatitą (įskaitant hepatoceliulinį, cholestazinį ar mišrų kepenų pažeidimą) gydymas olanzapinu turi būti nutrauktas.</w:t>
      </w:r>
    </w:p>
    <w:p w14:paraId="24E8228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880B14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Neutropenija</w:t>
      </w:r>
    </w:p>
    <w:p w14:paraId="7C1F2CF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530CF6F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Vaistą reikėtų atsargiai skirti vartoti pacientams, kurių organizme dėl bet kokios priežasties leukocitų ir (arba) neutrofilų skaičius yra mažas, pacientams, kurie vartoja vaistinius preparatus, sukeliančius neutropeniją, pacientams, kuriems buvo vaistų sukeltas kaulų čiulpų slopinimas ar toksinis poveikis kaulų čiulpams, pacientams, kuriems dėl gretutinių ligų, spindulinės terapijos ar chemoterapijos slopinami kaulų čiulpai, hipereozinofilinės būklės pacientams arba sergantiems mieloproliferacine liga. Kartu vartojant olanzapiną ir valproatą buvo dažnai pranešama apie neutropenijos atvejus (žr. 4.8</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skyrių). </w:t>
      </w:r>
    </w:p>
    <w:p w14:paraId="336A551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14F2F8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Gydymo nutraukimas</w:t>
      </w:r>
    </w:p>
    <w:p w14:paraId="25DEC4D4"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E31C5B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Staiga nutraukus olanzapino vartojimą</w:t>
      </w:r>
      <w:r w:rsidRPr="00E35DF9">
        <w:rPr>
          <w:rFonts w:ascii="Times New Roman" w:eastAsia="Times New Roman" w:hAnsi="Times New Roman" w:cs="Times New Roman"/>
          <w:lang w:eastAsia="hu-HU"/>
        </w:rPr>
        <w:t>,</w:t>
      </w:r>
      <w:r w:rsidRPr="00E35DF9">
        <w:rPr>
          <w:rFonts w:ascii="Times New Roman" w:eastAsia="Calibri" w:hAnsi="Times New Roman" w:cs="Times New Roman"/>
        </w:rPr>
        <w:t xml:space="preserve"> ūminiai simptomai, tokie kaip prakaitavimas, nemiga, tremoras, nerimas, pykinimas ar vėmimas, buvo pastebėti retai </w:t>
      </w:r>
      <w:r w:rsidRPr="00E35DF9">
        <w:rPr>
          <w:rFonts w:ascii="Times New Roman" w:eastAsia="Times New Roman" w:hAnsi="Times New Roman" w:cs="Times New Roman"/>
          <w:lang w:eastAsia="hu-HU"/>
        </w:rPr>
        <w:t>(nuo ≥ </w:t>
      </w:r>
      <w:r w:rsidRPr="00E35DF9">
        <w:rPr>
          <w:rFonts w:ascii="Times New Roman" w:eastAsia="Calibri" w:hAnsi="Times New Roman" w:cs="Times New Roman"/>
        </w:rPr>
        <w:t>0,01</w:t>
      </w:r>
      <w:r w:rsidRPr="00E35DF9">
        <w:rPr>
          <w:rFonts w:ascii="Times New Roman" w:eastAsia="Times New Roman" w:hAnsi="Times New Roman" w:cs="Times New Roman"/>
          <w:lang w:eastAsia="hu-HU"/>
        </w:rPr>
        <w:t> % iki &lt; 0,1</w:t>
      </w:r>
      <w:r w:rsidRPr="00E35DF9">
        <w:rPr>
          <w:rFonts w:ascii="Times New Roman" w:eastAsia="Calibri" w:hAnsi="Times New Roman" w:cs="Times New Roman"/>
        </w:rPr>
        <w:t> %).</w:t>
      </w:r>
    </w:p>
    <w:p w14:paraId="067BE3D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9E1670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QT intervalas</w:t>
      </w:r>
    </w:p>
    <w:p w14:paraId="373A7E44"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5A0AC0C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Klinikinių tyrimų metu, kliniškai reikšmingi QTc pailgėjimai (Fridericia QT korekcija [QTcF]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500</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milisekundžių [ms] bet kuriuo metu po pradinio momento pacientams, kurių pradinis QTcF buvo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500 ms) buvo nedažni (0,1–1 %) pacientų, gydytų olanzapinu, organizme, palyginti su placebu, nebuvo jokių reikšmingų su tuo susijusių nepageidaujamų širdies reiškinių skirtumų. Tačiau olanzapiną reikia atsargiai skirti vartoti kartu su vaistais, ilginančiais QTc intervalą, ypač senyviems pacientams, taip pat asmenims, kuriems yra įgimtas ilgo QT sindromas, stazinis širdies nepakankamumas, širdies hipertrofija, hipokalemija ar hipomagnezemija.</w:t>
      </w:r>
    </w:p>
    <w:p w14:paraId="6993915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D3B0BF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Tromboembolija</w:t>
      </w:r>
    </w:p>
    <w:p w14:paraId="3D471BB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BFFD1B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Buvo gauta nedažnų (≥ 0,1 % ir &lt; 1 % atvejų) pranešimų apie tai, kad gydymas olanzapinu laikinai buvo susijęs su venų tromboembolija. Priežastinio ryšio tarp gydymo olanzapinu ir venų tromboembolijos nebuvo nustatyta. Tačiau atsižvelgiant į tai, kad šizofrenija sergantiems pacientams dažnai būna venų tromboembolijos rizikos veiksnių, reikia nustatyti visus galimus VTE rizikos veiksnius, pvz., pacientų imobilizavimas, ir imtis prevencinių priemonių.</w:t>
      </w:r>
    </w:p>
    <w:p w14:paraId="501C37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583B56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Bendra CNS veikla</w:t>
      </w:r>
    </w:p>
    <w:p w14:paraId="08D253F6"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07EBB24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Jeigu pasirodo pirmieji olanzapino poveikiai CNS, reikia atsargumo, kai šis vaistas vartojamas kartu su kitais preparatais, veikiančiais centrinę nervų sistemą, ir alkoholiu. Kadangi jis </w:t>
      </w:r>
      <w:r w:rsidRPr="00E35DF9">
        <w:rPr>
          <w:rFonts w:ascii="Times New Roman" w:eastAsia="Calibri" w:hAnsi="Times New Roman" w:cs="Times New Roman"/>
          <w:i/>
        </w:rPr>
        <w:t>in vitro</w:t>
      </w:r>
      <w:r w:rsidRPr="00E35DF9">
        <w:rPr>
          <w:rFonts w:ascii="Times New Roman" w:eastAsia="Calibri" w:hAnsi="Times New Roman" w:cs="Times New Roman"/>
        </w:rPr>
        <w:t xml:space="preserve"> rodo dopamino antagonizmą, olanzapino veikimas gali būti antagonistinis tiesioginių ir netiesioginių dopamino agonistų poveikių atžvilgiu.</w:t>
      </w:r>
    </w:p>
    <w:p w14:paraId="7823F4B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66FC19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Traukuliai</w:t>
      </w:r>
    </w:p>
    <w:p w14:paraId="586163E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2B41EC9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Olanzapinas turi būti atsargiai skiriamas vartoti pacientams, kuriems yra buvę traukulių arba kuriems yra traukulių slenkstį mažinančių veiksnių. Pacientams, gydytiems olanzapinu, </w:t>
      </w:r>
      <w:r w:rsidRPr="00E35DF9">
        <w:rPr>
          <w:rFonts w:ascii="Times New Roman" w:eastAsia="Times New Roman" w:hAnsi="Times New Roman" w:cs="Times New Roman"/>
          <w:lang w:eastAsia="hu-HU"/>
        </w:rPr>
        <w:t>nedažnais</w:t>
      </w:r>
      <w:r w:rsidRPr="00E35DF9">
        <w:rPr>
          <w:rFonts w:ascii="Times New Roman" w:eastAsia="Calibri" w:hAnsi="Times New Roman" w:cs="Times New Roman"/>
        </w:rPr>
        <w:t xml:space="preserve"> atvejais pasireikšdavo traukuliai. Tokiais atvejais traukuliai dažniausiai jau buvo minėti anamnezėje ir buvo traukulių atsiradimo rizikos faktorių. </w:t>
      </w:r>
    </w:p>
    <w:p w14:paraId="1B1EDAC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9BC411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Vėlyvoji diskinezija</w:t>
      </w:r>
    </w:p>
    <w:p w14:paraId="161AC530"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1C0B792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Vienerių metų ir trumpesni lyginamieji tyrimai parodė, kad olanzapinas statistiškai reikšmingai rečiau sukelia diskineziją, kurią reikia skubiai gydyti. Vėlyvosios diskinezijos rizika didėja gydant ilgai, todėl jeigu paciento, vartojančio olanzapiną, organizme atsiranda vėlyvosios diskinezijos požymių ar simptomų, reikia nuspręsti, ar mažinti dozę, ar nutraukti vartojimą. Nutraukus gydymą šių simptomų gali atsirasti arba jie gali laikinai sustiprėti. </w:t>
      </w:r>
    </w:p>
    <w:p w14:paraId="7F32FE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24BAC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Ortostazinė hipotenzija</w:t>
      </w:r>
    </w:p>
    <w:p w14:paraId="0C34D1E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164E5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Olanzapino klinikinių tyrimų metu senyviems pacientams ortostazinė hipotenzija pasireiškė retai. Todėl vyresniems nei 65 metų pacientams rekomenduojama reguliariai matuoti kraujospūdį.</w:t>
      </w:r>
    </w:p>
    <w:p w14:paraId="76C933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FCDF2B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Staigi kardialinė mirtis</w:t>
      </w:r>
    </w:p>
    <w:p w14:paraId="3AE61B4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28B1F5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Olanzapiną pateikus į rinką, buvo pranešta apie šį vaistą vartojusių pacientų staigią kardialinę mirtį. Retrospektyvaus apžvalginio bendro tyrimo duomenimis, numanoma staigios kardialinės mirties rizika olanzapinu gydomiems pacientams buvo maždaug dvigubai didesnė nei pacientams, nevartojantiems antipsichozinių preparatų. Tyrimo metu olanzapino vartojimo rizika buvo panaši kaip ir atipinių antipsichozinių preparatų, įtrauktų į bendrą tyrimą. </w:t>
      </w:r>
    </w:p>
    <w:p w14:paraId="4E3330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CD3B91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Vaikų populiacija</w:t>
      </w:r>
    </w:p>
    <w:p w14:paraId="017004D1"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4175838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neskiriamas gydyti vaikams ir paaugliams. Tyrimai su 13–17 metų pacientais parodė įvairias nepageidaujamas reakcijas, įskaitant svorio padidėjimą, medžiagų apykaitos pokyčius ir prolaktino koncentracijos padidėjimą (žr. 4.8 ir 5.1 skyrius).</w:t>
      </w:r>
    </w:p>
    <w:p w14:paraId="544344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3ACCC7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r w:rsidRPr="00E35DF9">
        <w:rPr>
          <w:rFonts w:ascii="Times New Roman" w:eastAsia="Calibri" w:hAnsi="Times New Roman" w:cs="Times New Roman"/>
          <w:i/>
          <w:u w:val="single"/>
        </w:rPr>
        <w:t>Laktozė</w:t>
      </w:r>
    </w:p>
    <w:p w14:paraId="072C2A3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p>
    <w:p w14:paraId="445BB8E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tabletėse yra laktozės. Šio vaisto negalima vartoti pacientams, kuriems nustatytas retas paveldimas sutrikimas – visiškas laktazės stygius arba gliukozės ir galaktozės malabsorbcija.</w:t>
      </w:r>
    </w:p>
    <w:p w14:paraId="0DD034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7849F9E"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4.5</w:t>
      </w:r>
      <w:r w:rsidRPr="00E35DF9">
        <w:rPr>
          <w:rFonts w:ascii="Times New Roman" w:eastAsia="Calibri" w:hAnsi="Times New Roman" w:cs="Times New Roman"/>
          <w:b/>
        </w:rPr>
        <w:tab/>
        <w:t xml:space="preserve">Sąveika su kitais vaistiniais preparatais ir kitokia sąveika </w:t>
      </w:r>
    </w:p>
    <w:p w14:paraId="05EC192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4D8E0C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Vaikų populiacija</w:t>
      </w:r>
    </w:p>
    <w:p w14:paraId="5D83F16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Sąveikos tyrimai atlikti tik suaugusiems žmonėms.</w:t>
      </w:r>
    </w:p>
    <w:p w14:paraId="29D021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0B46AC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Galima sąveika, keičianti olanzapino poveikį</w:t>
      </w:r>
    </w:p>
    <w:p w14:paraId="14724BC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Kadangi olanzapinas yra metabolizuojamas CYP1A2, medžiagos specifiškai indukuojančios ar slopinančios šį izofermentą, gali veikti olanzapino farmakokinetiką.</w:t>
      </w:r>
    </w:p>
    <w:p w14:paraId="7FD1330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79FA6C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CYP1A2 indukcija</w:t>
      </w:r>
    </w:p>
    <w:p w14:paraId="62CDF74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Olanzapino metabolizmą gali greitinti rūkymas ir karbamazepinai, kurie gali mažinti olanzapino koncentraciją. Buvo pastebėtas tik nedidelis ar vidutinis olanzapino klirenso padidėjimas. Klinikinių išvadų yra nedaug, tačiau, jei reikia, rekomenduojama pacientą stebėti ir didinti olanzapino dozę (žr. 4.2 skyrių). </w:t>
      </w:r>
    </w:p>
    <w:p w14:paraId="129480F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62353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CYP1A2 slopinimas</w:t>
      </w:r>
    </w:p>
    <w:p w14:paraId="744FC68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Fluvoksaminas yra specifinis CYP1A2 inhibitorius, galintis stipriai slopinti olanzapino metabolizmą. Fluvoksaminą vartojančioms nerūkančioms moterims Cmax vidutiniškai padidėjo 54 %, o rūkantiems vyrams – 77 %. Olanzapino AUC vidutiniškai padidėjo atitinkamai 52 % ir 108 %. Pacientams, vartojantiems fluvoksaminą ar kitą CYP1A2 inhibitorių, tokį kaip ciprofloksaciną, turi būti skiriama vartoti mažesnė pradinė olanzapino dozė. Jei pradedama gydyti CYP1A2 inhibitoriumi, reikia apsvarstyti olanzapino dozės sumažinimą.</w:t>
      </w:r>
    </w:p>
    <w:p w14:paraId="33813A6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FAB901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Sumažėjęs biologinis prieinamumas</w:t>
      </w:r>
    </w:p>
    <w:p w14:paraId="73C46F9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Aktyvintoji anglis sumažina geriamo olanzapino biologinį prieinamumą 50–60 % ir turi būti vartojama mažiausiai 2 valandas prieš olanzapino vartojimą arba po jo.</w:t>
      </w:r>
    </w:p>
    <w:p w14:paraId="51F8EF0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5F5F7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Fluoksetinas (CYP2D6 inhibitorius), vienkartinės antacidinių preparatų dozės (aliuminis, magnis) arba cimetidinas olanzapino farmakokinetikos pastebimai neveikia. </w:t>
      </w:r>
    </w:p>
    <w:p w14:paraId="582F047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ECA9F5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Galimas olanzapino poveikis kitiems vaistiniams preparatams</w:t>
      </w:r>
    </w:p>
    <w:p w14:paraId="5E4FDE9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gali antagonistiškai veikti tiesioginius ir netiesioginius dopamino agonistus.</w:t>
      </w:r>
    </w:p>
    <w:p w14:paraId="391A343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D52367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neslopina pagrindinių CYP450 izofermentų in vitro (pvz., 1A2, 2D6, 2C9, 2C19, 3A4). Taigi jokia specifinė sąveika nėra tikėtina, kaip nustatyta atliekant visus in vivo tyrimus, kurių metu nebuvo nustatytas šių veikliųjų medžiagų metabolizmo slopinimas: triciklių antidepresantų (labiausiai susijusių su CYP2D6), varfarino (CYP2C9), teofilino (CYP1A2) arba diazepamo (CYP3A4 ir 2C19).</w:t>
      </w:r>
    </w:p>
    <w:p w14:paraId="160133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7292F2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Olanzapiną vartojant kartu su ličiu ar biperidenu sąveikos nebūna.</w:t>
      </w:r>
    </w:p>
    <w:p w14:paraId="120285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5C71D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Terapiniai valproatų plazmos kiekio stebėjimai neparodė, kad valproatų dozę reikėjo keisti pradėjus gydymą kartu su olanzapinu.</w:t>
      </w:r>
    </w:p>
    <w:p w14:paraId="42B2F2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600F8B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 xml:space="preserve">Bendra CNS veikla </w:t>
      </w:r>
    </w:p>
    <w:p w14:paraId="4E518A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Reikia atsargiai skirti vartoti pacientams, geriantiems alkoholį ar vartojantiems vaistinius preparatus, galinčius slopinti centrinę nervų sistemą.</w:t>
      </w:r>
    </w:p>
    <w:p w14:paraId="29382F3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B77627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Olanzapiną vartoti kartu su antiparkinsoniniais vaistiniais preparatais pacientams, sergantiems Parkinsono liga ir demencija, yra nerekomenduojama (žr. 4.4 skyrių). </w:t>
      </w:r>
    </w:p>
    <w:p w14:paraId="5E0925C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FFB262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QTc intevalas</w:t>
      </w:r>
    </w:p>
    <w:p w14:paraId="00F2638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Atsargumo priemonių reikia imtis, jei olanzapinas pradedamas vartoti kartu su vaistiniais preparatais, ilginančiais QTc intervalą (žr. 4.4 skyrių).</w:t>
      </w:r>
    </w:p>
    <w:p w14:paraId="6DE0297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BA2F599"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4.6</w:t>
      </w:r>
      <w:r w:rsidRPr="00E35DF9">
        <w:rPr>
          <w:rFonts w:ascii="Times New Roman" w:eastAsia="Calibri" w:hAnsi="Times New Roman" w:cs="Times New Roman"/>
          <w:b/>
        </w:rPr>
        <w:tab/>
        <w:t>Vaisingumas, nėštumo ir žindymo laikotarpis</w:t>
      </w:r>
    </w:p>
    <w:p w14:paraId="45B4C54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300EE5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Nėštumas</w:t>
      </w:r>
    </w:p>
    <w:p w14:paraId="15C4464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5C85D3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Nėra atlikta tinkamų ir gerai kontroliuojamų tyrimų su nėščiomis moterimis. Pacientės turi pasakyti gydytojui, jei pastoja arba ketina pastoti besigydydamos olanzapinu. Nors vaisto vartojimo patirties yra nedaug, olanzapiną nėštumo metu galima vartoti tik tada, kai galima nauda yra didesnė už galimą riziką vaisiui. </w:t>
      </w:r>
    </w:p>
    <w:p w14:paraId="12AC0D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D89D6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Naujagimiams, kurių motinos trečiąjį nėštumo trimestrą vartojo antipsichozinių vaistinių preparatų (įskaitant olanzapiną),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Tokių naujagimių būklę reikia atidžiai stebėti.</w:t>
      </w:r>
    </w:p>
    <w:p w14:paraId="5C06D44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D0B93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Žindymas</w:t>
      </w:r>
    </w:p>
    <w:p w14:paraId="10291C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43F2F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Atliekant tyrimus su sveikomis žindančiomis moterimis buvo nustatyta, kad olanzapino patenka į motinos pieną. Vidutinis vaisto, patenkančio kūdikiui, kiekis (mg/kg) esant pastoviai vaisto koncentracijai yra 1,8 % motinos olanzapino dozės (mg/kg). Pacientėms, kurios vartoja olanzapiną, reikia patarti nežindyti kūdikio.</w:t>
      </w:r>
    </w:p>
    <w:p w14:paraId="5707B91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E540F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Vaisingumas</w:t>
      </w:r>
    </w:p>
    <w:p w14:paraId="59D071E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Poveikis vaisingumui nežinomas (žr. 5.3 skyriuje informaciją apie ikiklinikinių tyrimų duomenis).</w:t>
      </w:r>
    </w:p>
    <w:p w14:paraId="2CAF85C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4AB5C8F" w14:textId="77777777" w:rsidR="00E35DF9" w:rsidRPr="00E35DF9" w:rsidRDefault="00E35DF9" w:rsidP="00E35DF9">
      <w:pPr>
        <w:keepNext/>
        <w:tabs>
          <w:tab w:val="left" w:pos="567"/>
        </w:tabs>
        <w:spacing w:after="0" w:line="240" w:lineRule="auto"/>
        <w:rPr>
          <w:rFonts w:ascii="Times New Roman" w:eastAsia="Times New Roman" w:hAnsi="Times New Roman" w:cs="Times New Roman"/>
          <w:b/>
          <w:noProof/>
          <w:color w:val="000000"/>
        </w:rPr>
      </w:pPr>
      <w:r w:rsidRPr="00E35DF9">
        <w:rPr>
          <w:rFonts w:ascii="Times New Roman" w:eastAsia="Times New Roman" w:hAnsi="Times New Roman" w:cs="Times New Roman"/>
          <w:b/>
          <w:noProof/>
          <w:color w:val="000000"/>
        </w:rPr>
        <w:lastRenderedPageBreak/>
        <w:t>4.7</w:t>
      </w:r>
      <w:r w:rsidRPr="00E35DF9">
        <w:rPr>
          <w:rFonts w:ascii="Times New Roman" w:eastAsia="Times New Roman" w:hAnsi="Times New Roman" w:cs="Times New Roman"/>
          <w:b/>
          <w:noProof/>
          <w:color w:val="000000"/>
        </w:rPr>
        <w:tab/>
        <w:t>Poveikis gebėjimui vairuoti ir valdyti mechanizmus</w:t>
      </w:r>
    </w:p>
    <w:p w14:paraId="1D0AC82C" w14:textId="77777777" w:rsidR="00E35DF9" w:rsidRPr="00E35DF9" w:rsidRDefault="00E35DF9" w:rsidP="00E35DF9">
      <w:pPr>
        <w:keepNext/>
        <w:tabs>
          <w:tab w:val="left" w:pos="567"/>
        </w:tabs>
        <w:spacing w:after="0" w:line="240" w:lineRule="auto"/>
        <w:rPr>
          <w:rFonts w:ascii="Times New Roman" w:eastAsia="Times New Roman" w:hAnsi="Times New Roman" w:cs="Times New Roman"/>
          <w:noProof/>
          <w:color w:val="000000"/>
        </w:rPr>
      </w:pPr>
    </w:p>
    <w:p w14:paraId="41ADFAE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Poveikio gebėjimui vairuoti ir valdyti mechanizmus tyrimų neatlikta. Olanzapinas gali sukelti mieguistumą ir svaigulį, todėl pacientai turi būti atsargūs valdydami mechanizmus ir vairuodami.</w:t>
      </w:r>
    </w:p>
    <w:p w14:paraId="4A7E5A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C6BC5B2"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Times New Roman" w:hAnsi="Times New Roman" w:cs="Times New Roman"/>
          <w:b/>
          <w:lang w:eastAsia="hu-HU"/>
        </w:rPr>
        <w:t>4.8</w:t>
      </w:r>
      <w:r w:rsidRPr="00E35DF9">
        <w:rPr>
          <w:rFonts w:ascii="Times New Roman" w:eastAsia="Times New Roman" w:hAnsi="Times New Roman" w:cs="Times New Roman"/>
          <w:b/>
          <w:lang w:eastAsia="hu-HU"/>
        </w:rPr>
        <w:tab/>
      </w:r>
      <w:r w:rsidRPr="00E35DF9">
        <w:rPr>
          <w:rFonts w:ascii="Times New Roman" w:eastAsia="Calibri" w:hAnsi="Times New Roman" w:cs="Times New Roman"/>
          <w:b/>
        </w:rPr>
        <w:t>Nepageidaujamas poveikis</w:t>
      </w:r>
    </w:p>
    <w:p w14:paraId="7D8C30F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63FD5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Saugumo duomenų santrauka</w:t>
      </w:r>
    </w:p>
    <w:p w14:paraId="59F3C0E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Suaugusieji</w:t>
      </w:r>
    </w:p>
    <w:p w14:paraId="773D47D2"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04F9299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Nepageidaujamas poveikis, susijęs</w:t>
      </w:r>
      <w:r w:rsidRPr="00E35DF9">
        <w:rPr>
          <w:rFonts w:ascii="Times New Roman" w:eastAsia="Calibri" w:hAnsi="Times New Roman" w:cs="Times New Roman"/>
        </w:rPr>
        <w:t xml:space="preserve"> su olanzapino vartojimu, </w:t>
      </w:r>
      <w:r w:rsidRPr="00E35DF9">
        <w:rPr>
          <w:rFonts w:ascii="Times New Roman" w:eastAsia="Times New Roman" w:hAnsi="Times New Roman" w:cs="Times New Roman"/>
          <w:lang w:eastAsia="hu-HU"/>
        </w:rPr>
        <w:t xml:space="preserve">apie kurį klinikinių tyrimų metu </w:t>
      </w:r>
      <w:r w:rsidRPr="00E35DF9">
        <w:rPr>
          <w:rFonts w:ascii="Times New Roman" w:eastAsia="Calibri" w:hAnsi="Times New Roman" w:cs="Times New Roman"/>
        </w:rPr>
        <w:t xml:space="preserve">buvo </w:t>
      </w:r>
      <w:r w:rsidRPr="00E35DF9">
        <w:rPr>
          <w:rFonts w:ascii="Times New Roman" w:eastAsia="Times New Roman" w:hAnsi="Times New Roman" w:cs="Times New Roman"/>
          <w:lang w:eastAsia="hu-HU"/>
        </w:rPr>
        <w:t xml:space="preserve">pranešta dažniausiai (stebėtas </w:t>
      </w:r>
      <w:r w:rsidRPr="00E35DF9">
        <w:rPr>
          <w:rFonts w:ascii="Times New Roman" w:eastAsia="Times New Roman" w:hAnsi="Times New Roman" w:cs="Times New Roman"/>
          <w:lang w:eastAsia="hu-HU"/>
        </w:rPr>
        <w:sym w:font="Symbol" w:char="F0B3"/>
      </w:r>
      <w:r w:rsidRPr="00E35DF9">
        <w:rPr>
          <w:rFonts w:ascii="Times New Roman" w:eastAsia="Times New Roman" w:hAnsi="Times New Roman" w:cs="Times New Roman"/>
          <w:lang w:eastAsia="hu-HU"/>
        </w:rPr>
        <w:t>1 % pacientų), buvo somnolencija</w:t>
      </w:r>
      <w:r w:rsidRPr="00E35DF9">
        <w:rPr>
          <w:rFonts w:ascii="Times New Roman" w:eastAsia="Calibri" w:hAnsi="Times New Roman" w:cs="Times New Roman"/>
        </w:rPr>
        <w:t xml:space="preserve">, kūno </w:t>
      </w:r>
      <w:r w:rsidRPr="00E35DF9">
        <w:rPr>
          <w:rFonts w:ascii="Times New Roman" w:eastAsia="Times New Roman" w:hAnsi="Times New Roman" w:cs="Times New Roman"/>
          <w:lang w:eastAsia="hu-HU"/>
        </w:rPr>
        <w:t>masės</w:t>
      </w:r>
      <w:r w:rsidRPr="00E35DF9">
        <w:rPr>
          <w:rFonts w:ascii="Times New Roman" w:eastAsia="Calibri" w:hAnsi="Times New Roman" w:cs="Times New Roman"/>
        </w:rPr>
        <w:t xml:space="preserve"> padidėjimas, eozinofilija, padidėjusi prolaktino, cholesterolio, gliukozės ir trigliceridų koncentracija (žr. 4.4 skyrių), gliukozurija, apetito padidėjimas, svaigulys, akatizija, parkinsonizmas</w:t>
      </w:r>
      <w:r w:rsidRPr="00E35DF9">
        <w:rPr>
          <w:rFonts w:ascii="Times New Roman" w:eastAsia="Times New Roman" w:hAnsi="Times New Roman" w:cs="Times New Roman"/>
          <w:lang w:eastAsia="hu-HU"/>
        </w:rPr>
        <w:t>, leukopenija, neutropenija</w:t>
      </w:r>
      <w:r w:rsidRPr="00E35DF9">
        <w:rPr>
          <w:rFonts w:ascii="Times New Roman" w:eastAsia="Calibri" w:hAnsi="Times New Roman" w:cs="Times New Roman"/>
        </w:rPr>
        <w:t xml:space="preserve"> (žr. 4.4 skyrių), diskinezija, ortostazinė hipotenzija, anticholinerginis poveikis, laikinas besimptomis kepenų aminotransferazių </w:t>
      </w:r>
      <w:r w:rsidRPr="00E35DF9">
        <w:rPr>
          <w:rFonts w:ascii="Times New Roman" w:eastAsia="Times New Roman" w:hAnsi="Times New Roman" w:cs="Times New Roman"/>
          <w:lang w:eastAsia="hu-HU"/>
        </w:rPr>
        <w:t>suaktyvėjimas</w:t>
      </w:r>
      <w:r w:rsidRPr="00E35DF9">
        <w:rPr>
          <w:rFonts w:ascii="Times New Roman" w:eastAsia="Calibri" w:hAnsi="Times New Roman" w:cs="Times New Roman"/>
        </w:rPr>
        <w:t xml:space="preserve"> (žr. 4.4 skyrių), bėrimas, astenija, nuovargis</w:t>
      </w:r>
      <w:r w:rsidRPr="00E35DF9">
        <w:rPr>
          <w:rFonts w:ascii="Times New Roman" w:eastAsia="Times New Roman" w:hAnsi="Times New Roman" w:cs="Times New Roman"/>
          <w:lang w:eastAsia="hu-HU"/>
        </w:rPr>
        <w:t>, karščiavimas, artralgija, šarminės fosfatazės suaktyvėjimas, didelis gama gliutamiltransferazės aktyvumas, didelė šlapimo rūgšties koncentracija, didelis kratinfosfokinazės aktyvumas</w:t>
      </w:r>
      <w:r w:rsidRPr="00E35DF9">
        <w:rPr>
          <w:rFonts w:ascii="Times New Roman" w:eastAsia="Calibri" w:hAnsi="Times New Roman" w:cs="Times New Roman"/>
        </w:rPr>
        <w:t xml:space="preserve"> ir edema.</w:t>
      </w:r>
    </w:p>
    <w:p w14:paraId="65BC7744"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A385282"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r w:rsidRPr="00E35DF9">
        <w:rPr>
          <w:rFonts w:ascii="Times New Roman" w:eastAsia="Times New Roman" w:hAnsi="Times New Roman" w:cs="Times New Roman"/>
          <w:u w:val="single"/>
          <w:lang w:eastAsia="hu-HU"/>
        </w:rPr>
        <w:t>Nepageidaujamų reakcijų sąrašas lentelėje</w:t>
      </w:r>
    </w:p>
    <w:p w14:paraId="2DC200C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Toliau pateiktoje lentelėje nurodomi nepageidaujami poveikiai yra nustatyti remiantis savanoriškais pranešimais ir klinikiniais tyrimais. Kiekvienoje dažnio grupėje nepageidaujami poveikiai pateikiami mažėjančio sunkumo tvarka. Dažnumas apibūdinamas taip: labai dažni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1/10); dažni (nuo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1/100 iki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1/10); nedažni (nuo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1/1000 iki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1/100); reti (nuo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1/10000 iki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1/1000); labai reti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1/10000), dažnis nežinomas (negali būti įvertintas pagal turimus duomenis).</w:t>
      </w:r>
    </w:p>
    <w:p w14:paraId="06A5551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984"/>
        <w:gridCol w:w="1843"/>
        <w:gridCol w:w="1276"/>
      </w:tblGrid>
      <w:tr w:rsidR="00E35DF9" w:rsidRPr="00E35DF9" w14:paraId="68A7DFA9" w14:textId="77777777" w:rsidTr="00D82B31">
        <w:trPr>
          <w:tblHeader/>
        </w:trPr>
        <w:tc>
          <w:tcPr>
            <w:tcW w:w="1980" w:type="dxa"/>
          </w:tcPr>
          <w:p w14:paraId="0FBE626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Labai dažni</w:t>
            </w:r>
          </w:p>
        </w:tc>
        <w:tc>
          <w:tcPr>
            <w:tcW w:w="2268" w:type="dxa"/>
          </w:tcPr>
          <w:p w14:paraId="15D18D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Dažni</w:t>
            </w:r>
          </w:p>
        </w:tc>
        <w:tc>
          <w:tcPr>
            <w:tcW w:w="1984" w:type="dxa"/>
          </w:tcPr>
          <w:p w14:paraId="231BA18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Nedažni</w:t>
            </w:r>
          </w:p>
        </w:tc>
        <w:tc>
          <w:tcPr>
            <w:tcW w:w="1843" w:type="dxa"/>
          </w:tcPr>
          <w:p w14:paraId="760F9D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Times New Roman" w:hAnsi="Times New Roman" w:cs="Times New Roman"/>
                <w:b/>
                <w:lang w:eastAsia="hu-HU"/>
              </w:rPr>
              <w:t>Reti</w:t>
            </w:r>
          </w:p>
        </w:tc>
        <w:tc>
          <w:tcPr>
            <w:tcW w:w="1276" w:type="dxa"/>
          </w:tcPr>
          <w:p w14:paraId="501BA281"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Dažnis</w:t>
            </w:r>
          </w:p>
          <w:p w14:paraId="4F3613F1"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nežinomas</w:t>
            </w:r>
          </w:p>
        </w:tc>
      </w:tr>
      <w:tr w:rsidR="00E35DF9" w:rsidRPr="00E35DF9" w14:paraId="3BB00700" w14:textId="77777777" w:rsidTr="00D82B31">
        <w:tc>
          <w:tcPr>
            <w:tcW w:w="8075" w:type="dxa"/>
            <w:gridSpan w:val="4"/>
          </w:tcPr>
          <w:p w14:paraId="0B3C51C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Kraujo ir limfinės sistems sutrikimai</w:t>
            </w:r>
          </w:p>
        </w:tc>
        <w:tc>
          <w:tcPr>
            <w:tcW w:w="1276" w:type="dxa"/>
          </w:tcPr>
          <w:p w14:paraId="241B058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724476FE" w14:textId="77777777" w:rsidTr="00D82B31">
        <w:tc>
          <w:tcPr>
            <w:tcW w:w="1980" w:type="dxa"/>
          </w:tcPr>
          <w:p w14:paraId="6B09679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2D8B8FE"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Calibri" w:hAnsi="Times New Roman" w:cs="Times New Roman"/>
              </w:rPr>
              <w:t>Eozinofilija</w:t>
            </w:r>
          </w:p>
          <w:p w14:paraId="2F3DC2B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Leukopenija</w:t>
            </w:r>
            <w:r w:rsidRPr="00E35DF9">
              <w:rPr>
                <w:rFonts w:ascii="Times New Roman" w:eastAsia="Times New Roman" w:hAnsi="Times New Roman" w:cs="Times New Roman"/>
                <w:vertAlign w:val="superscript"/>
                <w:lang w:eastAsia="hu-HU"/>
              </w:rPr>
              <w:t xml:space="preserve"> 10</w:t>
            </w:r>
          </w:p>
          <w:p w14:paraId="6F63A32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Neutropenija </w:t>
            </w:r>
            <w:r w:rsidRPr="00E35DF9">
              <w:rPr>
                <w:rFonts w:ascii="Times New Roman" w:eastAsia="Times New Roman" w:hAnsi="Times New Roman" w:cs="Times New Roman"/>
                <w:vertAlign w:val="superscript"/>
                <w:lang w:eastAsia="hu-HU"/>
              </w:rPr>
              <w:t>10</w:t>
            </w:r>
          </w:p>
        </w:tc>
        <w:tc>
          <w:tcPr>
            <w:tcW w:w="1984" w:type="dxa"/>
          </w:tcPr>
          <w:p w14:paraId="5C77AD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76522FD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Trombocitopenija</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11</w:t>
            </w:r>
          </w:p>
        </w:tc>
        <w:tc>
          <w:tcPr>
            <w:tcW w:w="1276" w:type="dxa"/>
          </w:tcPr>
          <w:p w14:paraId="4A030E3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4A1281B1" w14:textId="77777777" w:rsidTr="00D82B31">
        <w:tc>
          <w:tcPr>
            <w:tcW w:w="8075" w:type="dxa"/>
            <w:gridSpan w:val="4"/>
          </w:tcPr>
          <w:p w14:paraId="4795DE8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Imuninės sistemos sutrikimai</w:t>
            </w:r>
          </w:p>
        </w:tc>
        <w:tc>
          <w:tcPr>
            <w:tcW w:w="1276" w:type="dxa"/>
          </w:tcPr>
          <w:p w14:paraId="5B864BB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73CAD60F" w14:textId="77777777" w:rsidTr="00D82B31">
        <w:tc>
          <w:tcPr>
            <w:tcW w:w="1980" w:type="dxa"/>
          </w:tcPr>
          <w:p w14:paraId="43064C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3B4851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1F63579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Padidėjęs jautrumas </w:t>
            </w:r>
            <w:r w:rsidRPr="00E35DF9">
              <w:rPr>
                <w:rFonts w:ascii="Times New Roman" w:eastAsia="Times New Roman" w:hAnsi="Times New Roman" w:cs="Times New Roman"/>
                <w:vertAlign w:val="superscript"/>
                <w:lang w:eastAsia="hu-HU"/>
              </w:rPr>
              <w:t>11</w:t>
            </w:r>
          </w:p>
        </w:tc>
        <w:tc>
          <w:tcPr>
            <w:tcW w:w="1843" w:type="dxa"/>
          </w:tcPr>
          <w:p w14:paraId="4125171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46F303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10D5624B" w14:textId="77777777" w:rsidTr="00D82B31">
        <w:tc>
          <w:tcPr>
            <w:tcW w:w="8075" w:type="dxa"/>
            <w:gridSpan w:val="4"/>
          </w:tcPr>
          <w:p w14:paraId="4782E09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Metabolizmo ir mitybos sutrikimai</w:t>
            </w:r>
          </w:p>
        </w:tc>
        <w:tc>
          <w:tcPr>
            <w:tcW w:w="1276" w:type="dxa"/>
          </w:tcPr>
          <w:p w14:paraId="02EE739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44E4E19D" w14:textId="77777777" w:rsidTr="00D82B31">
        <w:tc>
          <w:tcPr>
            <w:tcW w:w="1980" w:type="dxa"/>
          </w:tcPr>
          <w:p w14:paraId="6528831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Svorio padidėjimas1</w:t>
            </w:r>
          </w:p>
        </w:tc>
        <w:tc>
          <w:tcPr>
            <w:tcW w:w="2268" w:type="dxa"/>
          </w:tcPr>
          <w:p w14:paraId="5E3991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Padidėjusi cholesterolio </w:t>
            </w:r>
            <w:r w:rsidRPr="00E35DF9">
              <w:rPr>
                <w:rFonts w:ascii="Times New Roman" w:eastAsia="Times New Roman" w:hAnsi="Times New Roman" w:cs="Times New Roman"/>
                <w:lang w:eastAsia="hu-HU"/>
              </w:rPr>
              <w:t xml:space="preserve">koncentracija </w:t>
            </w:r>
            <w:r w:rsidRPr="00E35DF9">
              <w:rPr>
                <w:rFonts w:ascii="Times New Roman" w:eastAsia="Times New Roman" w:hAnsi="Times New Roman" w:cs="Times New Roman"/>
                <w:vertAlign w:val="superscript"/>
                <w:lang w:eastAsia="hu-HU"/>
              </w:rPr>
              <w:t>2</w:t>
            </w:r>
            <w:r w:rsidRPr="00E35DF9">
              <w:rPr>
                <w:rFonts w:ascii="Times New Roman" w:eastAsia="Calibri" w:hAnsi="Times New Roman" w:cs="Times New Roman"/>
                <w:vertAlign w:val="superscript"/>
              </w:rPr>
              <w:t>, 3</w:t>
            </w:r>
          </w:p>
          <w:p w14:paraId="617F54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Padidėjusi gliukozės </w:t>
            </w:r>
            <w:r w:rsidRPr="00E35DF9">
              <w:rPr>
                <w:rFonts w:ascii="Times New Roman" w:eastAsia="Times New Roman" w:hAnsi="Times New Roman" w:cs="Times New Roman"/>
                <w:lang w:eastAsia="hu-HU"/>
              </w:rPr>
              <w:t xml:space="preserve">koncentracija </w:t>
            </w:r>
            <w:r w:rsidRPr="00E35DF9">
              <w:rPr>
                <w:rFonts w:ascii="Times New Roman" w:eastAsia="Times New Roman" w:hAnsi="Times New Roman" w:cs="Times New Roman"/>
                <w:vertAlign w:val="superscript"/>
                <w:lang w:eastAsia="hu-HU"/>
              </w:rPr>
              <w:t>4</w:t>
            </w:r>
          </w:p>
          <w:p w14:paraId="6CDC80F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Padidėjusi trigliceridų </w:t>
            </w:r>
            <w:r w:rsidRPr="00E35DF9">
              <w:rPr>
                <w:rFonts w:ascii="Times New Roman" w:eastAsia="Times New Roman" w:hAnsi="Times New Roman" w:cs="Times New Roman"/>
                <w:lang w:eastAsia="hu-HU"/>
              </w:rPr>
              <w:t xml:space="preserve">koncentracija </w:t>
            </w:r>
            <w:r w:rsidRPr="00E35DF9">
              <w:rPr>
                <w:rFonts w:ascii="Times New Roman" w:eastAsia="Times New Roman" w:hAnsi="Times New Roman" w:cs="Times New Roman"/>
                <w:vertAlign w:val="superscript"/>
                <w:lang w:eastAsia="hu-HU"/>
              </w:rPr>
              <w:t>2</w:t>
            </w:r>
            <w:r w:rsidRPr="00E35DF9">
              <w:rPr>
                <w:rFonts w:ascii="Times New Roman" w:eastAsia="Calibri" w:hAnsi="Times New Roman" w:cs="Times New Roman"/>
                <w:vertAlign w:val="superscript"/>
              </w:rPr>
              <w:t>, 5</w:t>
            </w:r>
          </w:p>
          <w:p w14:paraId="624C5D5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Gliukozurija </w:t>
            </w:r>
          </w:p>
          <w:p w14:paraId="26A5DC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Padidėjęs apetitas</w:t>
            </w:r>
          </w:p>
          <w:p w14:paraId="43F990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58362ED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Diabeto atsiradimas ar pasunkėjimas, kartais</w:t>
            </w:r>
            <w:r w:rsidRPr="00E35DF9">
              <w:rPr>
                <w:rFonts w:ascii="Times New Roman" w:eastAsia="Calibri" w:hAnsi="Times New Roman" w:cs="Times New Roman"/>
              </w:rPr>
              <w:t xml:space="preserve"> susijęs su ketoacidoze ar koma, įskaitant kai kuriuos mirtinus atvejus (žr. 4.4 skyrių)</w:t>
            </w:r>
          </w:p>
          <w:p w14:paraId="31AFEAC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44CF047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Hipotermija</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12</w:t>
            </w:r>
          </w:p>
        </w:tc>
        <w:tc>
          <w:tcPr>
            <w:tcW w:w="1276" w:type="dxa"/>
          </w:tcPr>
          <w:p w14:paraId="54EA8B0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21DD36B4" w14:textId="77777777" w:rsidTr="00D82B31">
        <w:tc>
          <w:tcPr>
            <w:tcW w:w="8075" w:type="dxa"/>
            <w:gridSpan w:val="4"/>
          </w:tcPr>
          <w:p w14:paraId="1BB01BD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Nervų sistemos sutrikimai</w:t>
            </w:r>
          </w:p>
        </w:tc>
        <w:tc>
          <w:tcPr>
            <w:tcW w:w="1276" w:type="dxa"/>
          </w:tcPr>
          <w:p w14:paraId="4E294F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3846AE40" w14:textId="77777777" w:rsidTr="00D82B31">
        <w:tc>
          <w:tcPr>
            <w:tcW w:w="1980" w:type="dxa"/>
          </w:tcPr>
          <w:p w14:paraId="3E885B8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Mieguistumas</w:t>
            </w:r>
          </w:p>
        </w:tc>
        <w:tc>
          <w:tcPr>
            <w:tcW w:w="2268" w:type="dxa"/>
          </w:tcPr>
          <w:p w14:paraId="102B1B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Svaigulys</w:t>
            </w:r>
          </w:p>
          <w:p w14:paraId="60CF0EE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 xml:space="preserve">Akatizija </w:t>
            </w:r>
            <w:r w:rsidRPr="00E35DF9">
              <w:rPr>
                <w:rFonts w:ascii="Times New Roman" w:eastAsia="Times New Roman" w:hAnsi="Times New Roman" w:cs="Times New Roman"/>
                <w:vertAlign w:val="superscript"/>
                <w:lang w:eastAsia="hu-HU"/>
              </w:rPr>
              <w:t>6</w:t>
            </w:r>
          </w:p>
          <w:p w14:paraId="027BAEF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Parkinsonizmas </w:t>
            </w:r>
            <w:r w:rsidRPr="00E35DF9">
              <w:rPr>
                <w:rFonts w:ascii="Times New Roman" w:eastAsia="Times New Roman" w:hAnsi="Times New Roman" w:cs="Times New Roman"/>
                <w:vertAlign w:val="superscript"/>
                <w:lang w:eastAsia="hu-HU"/>
              </w:rPr>
              <w:t>6</w:t>
            </w:r>
            <w:r w:rsidRPr="00E35DF9">
              <w:rPr>
                <w:rFonts w:ascii="Times New Roman" w:eastAsia="Times New Roman" w:hAnsi="Times New Roman" w:cs="Times New Roman"/>
                <w:lang w:eastAsia="hu-HU"/>
              </w:rPr>
              <w:t xml:space="preserve"> Diskinezija </w:t>
            </w:r>
            <w:r w:rsidRPr="00E35DF9">
              <w:rPr>
                <w:rFonts w:ascii="Times New Roman" w:eastAsia="Times New Roman" w:hAnsi="Times New Roman" w:cs="Times New Roman"/>
                <w:vertAlign w:val="superscript"/>
                <w:lang w:eastAsia="hu-HU"/>
              </w:rPr>
              <w:t>6</w:t>
            </w:r>
          </w:p>
        </w:tc>
        <w:tc>
          <w:tcPr>
            <w:tcW w:w="1984" w:type="dxa"/>
          </w:tcPr>
          <w:p w14:paraId="5DF383D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 xml:space="preserve">Priepuoliai, kurių atveju dažniai buvo pranešta apie anksčiau pasireiškusius priepuolius arba buvusius priepuolių rizikos veiksnius </w:t>
            </w:r>
            <w:r w:rsidRPr="00E35DF9">
              <w:rPr>
                <w:rFonts w:ascii="Times New Roman" w:eastAsia="Times New Roman" w:hAnsi="Times New Roman" w:cs="Times New Roman"/>
                <w:vertAlign w:val="superscript"/>
                <w:lang w:eastAsia="hu-HU"/>
              </w:rPr>
              <w:t>11</w:t>
            </w:r>
          </w:p>
          <w:p w14:paraId="621651C2" w14:textId="77777777" w:rsidR="00E35DF9" w:rsidRPr="00E35DF9" w:rsidRDefault="00E35DF9" w:rsidP="00E35DF9">
            <w:pPr>
              <w:tabs>
                <w:tab w:val="left" w:pos="567"/>
              </w:tabs>
              <w:spacing w:after="0" w:line="240" w:lineRule="auto"/>
              <w:rPr>
                <w:rFonts w:ascii="Times New Roman" w:eastAsia="Times New Roman" w:hAnsi="Times New Roman" w:cs="Times New Roman"/>
                <w:noProof/>
                <w:vertAlign w:val="superscript"/>
              </w:rPr>
            </w:pPr>
            <w:r w:rsidRPr="00E35DF9">
              <w:rPr>
                <w:rFonts w:ascii="Times New Roman" w:eastAsia="Times New Roman" w:hAnsi="Times New Roman" w:cs="Times New Roman"/>
              </w:rPr>
              <w:lastRenderedPageBreak/>
              <w:t>Distonija</w:t>
            </w:r>
            <w:r w:rsidRPr="00E35DF9">
              <w:rPr>
                <w:rFonts w:ascii="Times New Roman" w:eastAsia="Times New Roman" w:hAnsi="Times New Roman" w:cs="Times New Roman"/>
                <w:noProof/>
              </w:rPr>
              <w:t xml:space="preserve"> (įskaitant okulogiraciją)</w:t>
            </w:r>
            <w:r w:rsidRPr="00E35DF9">
              <w:rPr>
                <w:rFonts w:ascii="Times New Roman" w:eastAsia="Times New Roman" w:hAnsi="Times New Roman" w:cs="Times New Roman"/>
                <w:noProof/>
                <w:vertAlign w:val="superscript"/>
              </w:rPr>
              <w:t>11</w:t>
            </w:r>
          </w:p>
          <w:p w14:paraId="0D4B713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vertAlign w:val="superscript"/>
              </w:rPr>
            </w:pPr>
            <w:r w:rsidRPr="00E35DF9">
              <w:rPr>
                <w:rFonts w:ascii="Times New Roman" w:eastAsia="Calibri" w:hAnsi="Times New Roman" w:cs="Times New Roman"/>
              </w:rPr>
              <w:t>Amnezija</w:t>
            </w:r>
            <w:r w:rsidRPr="00E35DF9">
              <w:rPr>
                <w:rFonts w:ascii="Times New Roman" w:eastAsia="Calibri" w:hAnsi="Times New Roman" w:cs="Times New Roman"/>
                <w:vertAlign w:val="superscript"/>
              </w:rPr>
              <w:t>9</w:t>
            </w:r>
          </w:p>
          <w:p w14:paraId="224340D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Kalbos sutrikimai</w:t>
            </w:r>
          </w:p>
          <w:p w14:paraId="091B6D9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Mikčiojimas</w:t>
            </w:r>
            <w:r w:rsidRPr="00E35DF9">
              <w:rPr>
                <w:rFonts w:ascii="Times New Roman" w:eastAsia="Times New Roman" w:hAnsi="Times New Roman" w:cs="Times New Roman"/>
                <w:noProof/>
                <w:vertAlign w:val="superscript"/>
              </w:rPr>
              <w:t>11, 13</w:t>
            </w:r>
          </w:p>
          <w:p w14:paraId="7C4832DC" w14:textId="52253AD8"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Neramių kojų sindromas</w:t>
            </w:r>
            <w:r w:rsidR="00D82B31" w:rsidRPr="00E35DF9">
              <w:rPr>
                <w:rFonts w:ascii="Times New Roman" w:eastAsia="Times New Roman" w:hAnsi="Times New Roman" w:cs="Times New Roman"/>
                <w:noProof/>
                <w:vertAlign w:val="superscript"/>
              </w:rPr>
              <w:t>11</w:t>
            </w:r>
          </w:p>
        </w:tc>
        <w:tc>
          <w:tcPr>
            <w:tcW w:w="1843" w:type="dxa"/>
          </w:tcPr>
          <w:p w14:paraId="78D42F8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Piktybinis neurolepsinis sindromas (žr. 4.4 skyrių)</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12</w:t>
            </w:r>
          </w:p>
          <w:p w14:paraId="7F30804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Nutraukimo simptomai</w:t>
            </w:r>
            <w:r w:rsidRPr="00E35DF9">
              <w:rPr>
                <w:rFonts w:ascii="Times New Roman" w:eastAsia="Calibri" w:hAnsi="Times New Roman" w:cs="Times New Roman"/>
                <w:vertAlign w:val="superscript"/>
              </w:rPr>
              <w:t>7</w:t>
            </w:r>
            <w:r w:rsidRPr="00E35DF9">
              <w:rPr>
                <w:rFonts w:ascii="Times New Roman" w:eastAsia="Times New Roman" w:hAnsi="Times New Roman" w:cs="Times New Roman"/>
                <w:vertAlign w:val="superscript"/>
                <w:lang w:eastAsia="hu-HU"/>
              </w:rPr>
              <w:t>, 12</w:t>
            </w:r>
          </w:p>
        </w:tc>
        <w:tc>
          <w:tcPr>
            <w:tcW w:w="1276" w:type="dxa"/>
          </w:tcPr>
          <w:p w14:paraId="02B6C23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3C92DEB3" w14:textId="77777777" w:rsidTr="00D82B31">
        <w:tc>
          <w:tcPr>
            <w:tcW w:w="8075" w:type="dxa"/>
            <w:gridSpan w:val="4"/>
          </w:tcPr>
          <w:p w14:paraId="0A978C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Širdies sutrikimai</w:t>
            </w:r>
          </w:p>
        </w:tc>
        <w:tc>
          <w:tcPr>
            <w:tcW w:w="1276" w:type="dxa"/>
          </w:tcPr>
          <w:p w14:paraId="72E454B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2872DF93" w14:textId="77777777" w:rsidTr="00D82B31">
        <w:tc>
          <w:tcPr>
            <w:tcW w:w="1980" w:type="dxa"/>
          </w:tcPr>
          <w:p w14:paraId="69765A5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7C75536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3C0CE03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Bradikardija</w:t>
            </w:r>
          </w:p>
          <w:p w14:paraId="55039E4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QTc pailgėjimas (žr. 4.4 skyrių)</w:t>
            </w:r>
          </w:p>
        </w:tc>
        <w:tc>
          <w:tcPr>
            <w:tcW w:w="1843" w:type="dxa"/>
          </w:tcPr>
          <w:p w14:paraId="06DC48B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Skilvelinė tachikardija ar fibriliacija, staigi mirtis (žr. 4.4 skyrių)</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11</w:t>
            </w:r>
          </w:p>
        </w:tc>
        <w:tc>
          <w:tcPr>
            <w:tcW w:w="1276" w:type="dxa"/>
          </w:tcPr>
          <w:p w14:paraId="4BDE411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0F133AC6" w14:textId="77777777" w:rsidTr="00D82B31">
        <w:tc>
          <w:tcPr>
            <w:tcW w:w="8075" w:type="dxa"/>
            <w:gridSpan w:val="4"/>
          </w:tcPr>
          <w:p w14:paraId="59F7DF4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Kraujagyslių sutrikimai</w:t>
            </w:r>
          </w:p>
        </w:tc>
        <w:tc>
          <w:tcPr>
            <w:tcW w:w="1276" w:type="dxa"/>
          </w:tcPr>
          <w:p w14:paraId="153E38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426CB0F6" w14:textId="77777777" w:rsidTr="00D82B31">
        <w:tc>
          <w:tcPr>
            <w:tcW w:w="1980" w:type="dxa"/>
          </w:tcPr>
          <w:p w14:paraId="6FC273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Ortostazinė hipotenzija </w:t>
            </w:r>
            <w:r w:rsidRPr="00E35DF9">
              <w:rPr>
                <w:rFonts w:ascii="Times New Roman" w:eastAsia="Times New Roman" w:hAnsi="Times New Roman" w:cs="Times New Roman"/>
                <w:vertAlign w:val="superscript"/>
                <w:lang w:eastAsia="hu-HU"/>
              </w:rPr>
              <w:t>10</w:t>
            </w:r>
          </w:p>
        </w:tc>
        <w:tc>
          <w:tcPr>
            <w:tcW w:w="2268" w:type="dxa"/>
          </w:tcPr>
          <w:p w14:paraId="11D310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693E8AA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Tromboembolija (įskaitant plaučių emboliją ir giliųjų venų trombozę) (žr. 4.4 skyrių)</w:t>
            </w:r>
          </w:p>
        </w:tc>
        <w:tc>
          <w:tcPr>
            <w:tcW w:w="1843" w:type="dxa"/>
          </w:tcPr>
          <w:p w14:paraId="1F5A07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BF0DD7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590CD386" w14:textId="77777777" w:rsidTr="00D82B31">
        <w:tc>
          <w:tcPr>
            <w:tcW w:w="8075" w:type="dxa"/>
            <w:gridSpan w:val="4"/>
          </w:tcPr>
          <w:p w14:paraId="5ECDB6F1"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Kvėpavimo sistemos, krūtinės ląstos ir tarpuplaučio sutrikimai</w:t>
            </w:r>
          </w:p>
        </w:tc>
        <w:tc>
          <w:tcPr>
            <w:tcW w:w="1276" w:type="dxa"/>
          </w:tcPr>
          <w:p w14:paraId="14F012C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p>
        </w:tc>
      </w:tr>
      <w:tr w:rsidR="00E35DF9" w:rsidRPr="00E35DF9" w14:paraId="1B17264E" w14:textId="77777777" w:rsidTr="00D82B31">
        <w:tc>
          <w:tcPr>
            <w:tcW w:w="1980" w:type="dxa"/>
          </w:tcPr>
          <w:p w14:paraId="5C1BB23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2268" w:type="dxa"/>
          </w:tcPr>
          <w:p w14:paraId="2D90CF75" w14:textId="77777777" w:rsidR="00E35DF9" w:rsidRPr="00E35DF9" w:rsidDel="008E566B"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984" w:type="dxa"/>
          </w:tcPr>
          <w:p w14:paraId="27738F6D"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 xml:space="preserve">Kraujavimas iš nosies </w:t>
            </w:r>
            <w:r w:rsidRPr="00E35DF9">
              <w:rPr>
                <w:rFonts w:ascii="Times New Roman" w:eastAsia="Times New Roman" w:hAnsi="Times New Roman" w:cs="Times New Roman"/>
                <w:vertAlign w:val="superscript"/>
                <w:lang w:eastAsia="hu-HU"/>
              </w:rPr>
              <w:t>9</w:t>
            </w:r>
          </w:p>
        </w:tc>
        <w:tc>
          <w:tcPr>
            <w:tcW w:w="1843" w:type="dxa"/>
          </w:tcPr>
          <w:p w14:paraId="17520CD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276" w:type="dxa"/>
          </w:tcPr>
          <w:p w14:paraId="41C4199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r>
      <w:tr w:rsidR="00E35DF9" w:rsidRPr="00E35DF9" w14:paraId="2AC4D1A4" w14:textId="77777777" w:rsidTr="00D82B31">
        <w:tc>
          <w:tcPr>
            <w:tcW w:w="8075" w:type="dxa"/>
            <w:gridSpan w:val="4"/>
          </w:tcPr>
          <w:p w14:paraId="62252D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Virškinimo trakto sutrikimai</w:t>
            </w:r>
          </w:p>
        </w:tc>
        <w:tc>
          <w:tcPr>
            <w:tcW w:w="1276" w:type="dxa"/>
          </w:tcPr>
          <w:p w14:paraId="474B31D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6D5DA22A" w14:textId="77777777" w:rsidTr="00D82B31">
        <w:tc>
          <w:tcPr>
            <w:tcW w:w="1980" w:type="dxa"/>
          </w:tcPr>
          <w:p w14:paraId="5BAB38B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52AB06B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Lengvas, praeinantis anticholinerginis poveikis, įskaitant vidurių užkietėjimą ir burnos džiūvimą</w:t>
            </w:r>
          </w:p>
        </w:tc>
        <w:tc>
          <w:tcPr>
            <w:tcW w:w="1984" w:type="dxa"/>
          </w:tcPr>
          <w:p w14:paraId="4BA6A091" w14:textId="77777777" w:rsidR="00E35DF9" w:rsidRDefault="00E35DF9" w:rsidP="00E35DF9">
            <w:pPr>
              <w:autoSpaceDE w:val="0"/>
              <w:autoSpaceDN w:val="0"/>
              <w:adjustRightInd w:val="0"/>
              <w:spacing w:after="0" w:line="240" w:lineRule="auto"/>
              <w:rPr>
                <w:rFonts w:ascii="Times New Roman" w:eastAsia="Times New Roman" w:hAnsi="Times New Roman" w:cs="Times New Roman"/>
                <w:vertAlign w:val="superscript"/>
                <w:lang w:eastAsia="hu-HU"/>
              </w:rPr>
            </w:pPr>
            <w:r w:rsidRPr="00E35DF9">
              <w:rPr>
                <w:rFonts w:ascii="Times New Roman" w:eastAsia="Times New Roman" w:hAnsi="Times New Roman" w:cs="Times New Roman"/>
                <w:lang w:eastAsia="hu-HU"/>
              </w:rPr>
              <w:t xml:space="preserve">Pilvo išsipūtimas </w:t>
            </w:r>
            <w:r w:rsidRPr="00E35DF9">
              <w:rPr>
                <w:rFonts w:ascii="Times New Roman" w:eastAsia="Times New Roman" w:hAnsi="Times New Roman" w:cs="Times New Roman"/>
                <w:vertAlign w:val="superscript"/>
                <w:lang w:eastAsia="hu-HU"/>
              </w:rPr>
              <w:t>9</w:t>
            </w:r>
          </w:p>
          <w:p w14:paraId="1815343F" w14:textId="46C8A728" w:rsidR="00D82B31" w:rsidRDefault="00AB5F59" w:rsidP="00D82B31">
            <w:pPr>
              <w:pStyle w:val="Default"/>
              <w:rPr>
                <w:sz w:val="14"/>
                <w:szCs w:val="14"/>
              </w:rPr>
            </w:pPr>
            <w:r>
              <w:rPr>
                <w:sz w:val="22"/>
                <w:szCs w:val="22"/>
              </w:rPr>
              <w:t>S</w:t>
            </w:r>
            <w:r w:rsidR="00D82B31">
              <w:rPr>
                <w:sz w:val="22"/>
                <w:szCs w:val="22"/>
              </w:rPr>
              <w:t xml:space="preserve">eilių </w:t>
            </w:r>
            <w:r>
              <w:rPr>
                <w:sz w:val="22"/>
                <w:szCs w:val="22"/>
              </w:rPr>
              <w:t>hiper</w:t>
            </w:r>
            <w:r w:rsidR="00D82B31">
              <w:rPr>
                <w:sz w:val="22"/>
                <w:szCs w:val="22"/>
              </w:rPr>
              <w:t>sekrecija</w:t>
            </w:r>
            <w:r w:rsidR="00D82B31" w:rsidRPr="00E35DF9">
              <w:rPr>
                <w:noProof/>
                <w:vertAlign w:val="superscript"/>
              </w:rPr>
              <w:t>11</w:t>
            </w:r>
            <w:r w:rsidR="00D82B31">
              <w:rPr>
                <w:sz w:val="14"/>
                <w:szCs w:val="14"/>
              </w:rPr>
              <w:t xml:space="preserve"> </w:t>
            </w:r>
          </w:p>
          <w:p w14:paraId="062E6717" w14:textId="74B12A09" w:rsidR="00D82B31" w:rsidRPr="00D82B31" w:rsidRDefault="00D82B31"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3D359C7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Pankreatitas</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11</w:t>
            </w:r>
          </w:p>
        </w:tc>
        <w:tc>
          <w:tcPr>
            <w:tcW w:w="1276" w:type="dxa"/>
          </w:tcPr>
          <w:p w14:paraId="4CBF99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3A02D891" w14:textId="77777777" w:rsidTr="00D82B31">
        <w:tc>
          <w:tcPr>
            <w:tcW w:w="8075" w:type="dxa"/>
            <w:gridSpan w:val="4"/>
          </w:tcPr>
          <w:p w14:paraId="3C23073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Kepenų, tulžies pūslės ir latakų sutrikimai</w:t>
            </w:r>
          </w:p>
        </w:tc>
        <w:tc>
          <w:tcPr>
            <w:tcW w:w="1276" w:type="dxa"/>
          </w:tcPr>
          <w:p w14:paraId="26D7A5D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103BEA3D" w14:textId="77777777" w:rsidTr="00D82B31">
        <w:tc>
          <w:tcPr>
            <w:tcW w:w="1980" w:type="dxa"/>
          </w:tcPr>
          <w:p w14:paraId="1A3AFEE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450CD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Laikinas, besimptomis kepenų aminotransferazių aktyvumo padidėjimas (ALT, AST), ypač ankstyvojo gydymo metu (žr. 4.4 skyrių)</w:t>
            </w:r>
          </w:p>
        </w:tc>
        <w:tc>
          <w:tcPr>
            <w:tcW w:w="1984" w:type="dxa"/>
          </w:tcPr>
          <w:p w14:paraId="0ADB8C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23A6954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Hepatitas (įskaitant hepatoceliulinį, cholestazinį ar mišrų kepenų pažeidimą)</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11</w:t>
            </w:r>
          </w:p>
        </w:tc>
        <w:tc>
          <w:tcPr>
            <w:tcW w:w="1276" w:type="dxa"/>
          </w:tcPr>
          <w:p w14:paraId="48B9854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4395A43C" w14:textId="77777777" w:rsidTr="00D82B31">
        <w:tc>
          <w:tcPr>
            <w:tcW w:w="8075" w:type="dxa"/>
            <w:gridSpan w:val="4"/>
          </w:tcPr>
          <w:p w14:paraId="6595E50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Odos ir poodinio audinio sutrikimai</w:t>
            </w:r>
          </w:p>
        </w:tc>
        <w:tc>
          <w:tcPr>
            <w:tcW w:w="1276" w:type="dxa"/>
          </w:tcPr>
          <w:p w14:paraId="4280003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48F7007F" w14:textId="77777777" w:rsidTr="00D82B31">
        <w:tc>
          <w:tcPr>
            <w:tcW w:w="1980" w:type="dxa"/>
          </w:tcPr>
          <w:p w14:paraId="5ECA72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179B71D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Bėrimas</w:t>
            </w:r>
          </w:p>
        </w:tc>
        <w:tc>
          <w:tcPr>
            <w:tcW w:w="1984" w:type="dxa"/>
          </w:tcPr>
          <w:p w14:paraId="416BDEB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Padidėjusio jautrumo</w:t>
            </w:r>
            <w:r w:rsidRPr="00E35DF9">
              <w:rPr>
                <w:rFonts w:ascii="Times New Roman" w:eastAsia="Calibri" w:hAnsi="Times New Roman" w:cs="Times New Roman"/>
              </w:rPr>
              <w:t xml:space="preserve"> šviesai reakcija</w:t>
            </w:r>
          </w:p>
          <w:p w14:paraId="624AD0A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Alopecija</w:t>
            </w:r>
          </w:p>
        </w:tc>
        <w:tc>
          <w:tcPr>
            <w:tcW w:w="1843" w:type="dxa"/>
          </w:tcPr>
          <w:p w14:paraId="6B33011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1EBD9D3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lang w:val="en-US"/>
              </w:rPr>
            </w:pPr>
            <w:r w:rsidRPr="00E35DF9">
              <w:rPr>
                <w:rFonts w:ascii="Times New Roman" w:eastAsia="Calibri" w:hAnsi="Times New Roman" w:cs="Times New Roman"/>
              </w:rPr>
              <w:t>Reakcija į vaistą kartu su eozinofilija ir sisteminiais simptomais (</w:t>
            </w:r>
            <w:r w:rsidRPr="00E35DF9">
              <w:rPr>
                <w:rFonts w:ascii="Times New Roman" w:eastAsia="Calibri" w:hAnsi="Times New Roman" w:cs="Times New Roman"/>
                <w:i/>
              </w:rPr>
              <w:t>DRESS</w:t>
            </w:r>
            <w:r w:rsidRPr="00E35DF9">
              <w:rPr>
                <w:rFonts w:ascii="Times New Roman" w:eastAsia="Calibri" w:hAnsi="Times New Roman" w:cs="Times New Roman"/>
              </w:rPr>
              <w:t>)</w:t>
            </w:r>
          </w:p>
          <w:p w14:paraId="6B44C9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70722A69" w14:textId="77777777" w:rsidTr="00D82B31">
        <w:tc>
          <w:tcPr>
            <w:tcW w:w="8075" w:type="dxa"/>
            <w:gridSpan w:val="4"/>
          </w:tcPr>
          <w:p w14:paraId="46DAE32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 xml:space="preserve">Skeleto, raumenų ir jungiamojo audinio sutrikimai </w:t>
            </w:r>
          </w:p>
        </w:tc>
        <w:tc>
          <w:tcPr>
            <w:tcW w:w="1276" w:type="dxa"/>
          </w:tcPr>
          <w:p w14:paraId="564A03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08162F6B" w14:textId="77777777" w:rsidTr="00D82B31">
        <w:tc>
          <w:tcPr>
            <w:tcW w:w="1980" w:type="dxa"/>
          </w:tcPr>
          <w:p w14:paraId="66D1F8B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203FD7B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Artralgija </w:t>
            </w:r>
            <w:r w:rsidRPr="00E35DF9">
              <w:rPr>
                <w:rFonts w:ascii="Times New Roman" w:eastAsia="Times New Roman" w:hAnsi="Times New Roman" w:cs="Times New Roman"/>
                <w:vertAlign w:val="superscript"/>
                <w:lang w:eastAsia="hu-HU"/>
              </w:rPr>
              <w:t>9</w:t>
            </w:r>
          </w:p>
        </w:tc>
        <w:tc>
          <w:tcPr>
            <w:tcW w:w="1984" w:type="dxa"/>
          </w:tcPr>
          <w:p w14:paraId="4C42EFF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3EFC3C2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Rabdomiolizė</w:t>
            </w:r>
            <w:r w:rsidRPr="00E35DF9">
              <w:rPr>
                <w:rFonts w:ascii="Times New Roman" w:eastAsia="Calibri" w:hAnsi="Times New Roman" w:cs="Times New Roman"/>
                <w:vertAlign w:val="superscript"/>
              </w:rPr>
              <w:t>11</w:t>
            </w:r>
          </w:p>
        </w:tc>
        <w:tc>
          <w:tcPr>
            <w:tcW w:w="1276" w:type="dxa"/>
          </w:tcPr>
          <w:p w14:paraId="6D9BABA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45B6E973" w14:textId="77777777" w:rsidTr="00D82B31">
        <w:tc>
          <w:tcPr>
            <w:tcW w:w="8075" w:type="dxa"/>
            <w:gridSpan w:val="4"/>
          </w:tcPr>
          <w:p w14:paraId="5625E3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Inkstų ir šlapimo takų sutrikimai</w:t>
            </w:r>
          </w:p>
        </w:tc>
        <w:tc>
          <w:tcPr>
            <w:tcW w:w="1276" w:type="dxa"/>
          </w:tcPr>
          <w:p w14:paraId="0692B85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3E35F751" w14:textId="77777777" w:rsidTr="00D82B31">
        <w:tc>
          <w:tcPr>
            <w:tcW w:w="1980" w:type="dxa"/>
          </w:tcPr>
          <w:p w14:paraId="1526C6A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0BA0DC4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352E515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Šlapimo nelaikymas</w:t>
            </w:r>
          </w:p>
          <w:p w14:paraId="4CF2C15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Calibri" w:hAnsi="Times New Roman" w:cs="Times New Roman"/>
              </w:rPr>
              <w:t>Šlapimo susilaikymas</w:t>
            </w:r>
          </w:p>
          <w:p w14:paraId="17EFAE1A"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vertAlign w:val="superscript"/>
                <w:lang w:eastAsia="hu-HU"/>
              </w:rPr>
            </w:pPr>
            <w:r w:rsidRPr="00E35DF9">
              <w:rPr>
                <w:rFonts w:ascii="Times New Roman" w:eastAsia="Times New Roman" w:hAnsi="Times New Roman" w:cs="Times New Roman"/>
                <w:lang w:eastAsia="hu-HU"/>
              </w:rPr>
              <w:lastRenderedPageBreak/>
              <w:t xml:space="preserve">Sunkumas pradėti šlapintis </w:t>
            </w:r>
            <w:r w:rsidRPr="00E35DF9">
              <w:rPr>
                <w:rFonts w:ascii="Times New Roman" w:eastAsia="Times New Roman" w:hAnsi="Times New Roman" w:cs="Times New Roman"/>
                <w:vertAlign w:val="superscript"/>
                <w:lang w:eastAsia="hu-HU"/>
              </w:rPr>
              <w:t>11</w:t>
            </w:r>
          </w:p>
          <w:p w14:paraId="60F6D53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785E7A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B8FFEF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22C45A79" w14:textId="77777777" w:rsidTr="00D82B31">
        <w:tc>
          <w:tcPr>
            <w:tcW w:w="8075" w:type="dxa"/>
            <w:gridSpan w:val="4"/>
          </w:tcPr>
          <w:p w14:paraId="375DBC3D"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b/>
                <w:lang w:eastAsia="hu-HU"/>
              </w:rPr>
              <w:t>Būklės nėštumo, pogimdyminiu ir perinataliniu laikotarpiu</w:t>
            </w:r>
          </w:p>
        </w:tc>
        <w:tc>
          <w:tcPr>
            <w:tcW w:w="1276" w:type="dxa"/>
          </w:tcPr>
          <w:p w14:paraId="220B3386"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p>
        </w:tc>
      </w:tr>
      <w:tr w:rsidR="00E35DF9" w:rsidRPr="00E35DF9" w14:paraId="189DE43D" w14:textId="77777777" w:rsidTr="00D82B31">
        <w:tc>
          <w:tcPr>
            <w:tcW w:w="1980" w:type="dxa"/>
          </w:tcPr>
          <w:p w14:paraId="61CF8FA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2268" w:type="dxa"/>
          </w:tcPr>
          <w:p w14:paraId="72C7B0C4"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984" w:type="dxa"/>
          </w:tcPr>
          <w:p w14:paraId="71D555F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843" w:type="dxa"/>
          </w:tcPr>
          <w:p w14:paraId="20510F26"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276" w:type="dxa"/>
          </w:tcPr>
          <w:p w14:paraId="60BEF3DA"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Vaistinio preparato nutraukimo sindromas naujagimiams (žr. 4.6 skyrių)</w:t>
            </w:r>
          </w:p>
        </w:tc>
      </w:tr>
      <w:tr w:rsidR="00E35DF9" w:rsidRPr="00E35DF9" w14:paraId="595D7145" w14:textId="77777777" w:rsidTr="00D82B31">
        <w:tc>
          <w:tcPr>
            <w:tcW w:w="8075" w:type="dxa"/>
            <w:gridSpan w:val="4"/>
          </w:tcPr>
          <w:p w14:paraId="7C49BD2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Lytinės sistemos ir krūties sutrikimai</w:t>
            </w:r>
          </w:p>
        </w:tc>
        <w:tc>
          <w:tcPr>
            <w:tcW w:w="1276" w:type="dxa"/>
          </w:tcPr>
          <w:p w14:paraId="33EAFFA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4096510B" w14:textId="77777777" w:rsidTr="00D82B31">
        <w:tc>
          <w:tcPr>
            <w:tcW w:w="1980" w:type="dxa"/>
          </w:tcPr>
          <w:p w14:paraId="70CF3D3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596CE01E"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Erekcijos funkcijos sutrikimas vyrams</w:t>
            </w:r>
          </w:p>
          <w:p w14:paraId="40DEB71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Lytinio potraukio</w:t>
            </w:r>
          </w:p>
          <w:p w14:paraId="3B22BF2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sumažėjimas vyrams ir moterims </w:t>
            </w:r>
          </w:p>
        </w:tc>
        <w:tc>
          <w:tcPr>
            <w:tcW w:w="1984" w:type="dxa"/>
          </w:tcPr>
          <w:p w14:paraId="3F0D08A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Amenorėja</w:t>
            </w:r>
          </w:p>
          <w:p w14:paraId="72129AD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Krūtų padidėjimas</w:t>
            </w:r>
          </w:p>
          <w:p w14:paraId="4ECAA9E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Galaktorėja</w:t>
            </w:r>
          </w:p>
          <w:p w14:paraId="4FE4081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moterims</w:t>
            </w:r>
          </w:p>
          <w:p w14:paraId="7A17FF2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Ginekomastija /</w:t>
            </w:r>
          </w:p>
          <w:p w14:paraId="05A5357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krūtų padidėjimas</w:t>
            </w:r>
          </w:p>
          <w:p w14:paraId="2E01FC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vyrams</w:t>
            </w:r>
          </w:p>
        </w:tc>
        <w:tc>
          <w:tcPr>
            <w:tcW w:w="1843" w:type="dxa"/>
          </w:tcPr>
          <w:p w14:paraId="1D2DE5B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Priapizmas</w:t>
            </w:r>
            <w:r w:rsidRPr="00E35DF9">
              <w:rPr>
                <w:rFonts w:ascii="Times New Roman" w:eastAsia="Times New Roman" w:hAnsi="Times New Roman" w:cs="Times New Roman"/>
                <w:lang w:eastAsia="hu-HU"/>
              </w:rPr>
              <w:t xml:space="preserve"> </w:t>
            </w:r>
            <w:r w:rsidRPr="00E35DF9">
              <w:rPr>
                <w:rFonts w:ascii="Times New Roman" w:eastAsia="Times New Roman" w:hAnsi="Times New Roman" w:cs="Times New Roman"/>
                <w:vertAlign w:val="superscript"/>
                <w:lang w:eastAsia="hu-HU"/>
              </w:rPr>
              <w:t>12</w:t>
            </w:r>
          </w:p>
        </w:tc>
        <w:tc>
          <w:tcPr>
            <w:tcW w:w="1276" w:type="dxa"/>
          </w:tcPr>
          <w:p w14:paraId="04D37E0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482F4257" w14:textId="77777777" w:rsidTr="00D82B31">
        <w:tc>
          <w:tcPr>
            <w:tcW w:w="8075" w:type="dxa"/>
            <w:gridSpan w:val="4"/>
          </w:tcPr>
          <w:p w14:paraId="61AFFA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Bendrieji sutrikimai ir vartojimo vietos pažeidimai</w:t>
            </w:r>
          </w:p>
        </w:tc>
        <w:tc>
          <w:tcPr>
            <w:tcW w:w="1276" w:type="dxa"/>
          </w:tcPr>
          <w:p w14:paraId="373A071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57D4FF2A" w14:textId="77777777" w:rsidTr="00D82B31">
        <w:trPr>
          <w:trHeight w:val="1188"/>
        </w:trPr>
        <w:tc>
          <w:tcPr>
            <w:tcW w:w="1980" w:type="dxa"/>
          </w:tcPr>
          <w:p w14:paraId="5810F1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1D1CECC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Astenija</w:t>
            </w:r>
          </w:p>
          <w:p w14:paraId="79B4818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Nuovargis</w:t>
            </w:r>
          </w:p>
          <w:p w14:paraId="1CDA262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Calibri" w:hAnsi="Times New Roman" w:cs="Times New Roman"/>
              </w:rPr>
              <w:t>Edema</w:t>
            </w:r>
          </w:p>
          <w:p w14:paraId="77F7A2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Karščiavimas </w:t>
            </w:r>
            <w:r w:rsidRPr="00E35DF9">
              <w:rPr>
                <w:rFonts w:ascii="Times New Roman" w:eastAsia="Times New Roman" w:hAnsi="Times New Roman" w:cs="Times New Roman"/>
                <w:vertAlign w:val="superscript"/>
                <w:lang w:eastAsia="hu-HU"/>
              </w:rPr>
              <w:t>10</w:t>
            </w:r>
          </w:p>
        </w:tc>
        <w:tc>
          <w:tcPr>
            <w:tcW w:w="1984" w:type="dxa"/>
          </w:tcPr>
          <w:p w14:paraId="7224E8D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0D069C7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1AC3E0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E35DF9" w14:paraId="2BBFA6BC" w14:textId="77777777" w:rsidTr="00D82B31">
        <w:tc>
          <w:tcPr>
            <w:tcW w:w="8075" w:type="dxa"/>
            <w:gridSpan w:val="4"/>
          </w:tcPr>
          <w:p w14:paraId="214DDFE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Tyrimai</w:t>
            </w:r>
          </w:p>
        </w:tc>
        <w:tc>
          <w:tcPr>
            <w:tcW w:w="1276" w:type="dxa"/>
          </w:tcPr>
          <w:p w14:paraId="43944FA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E35DF9" w14:paraId="44595523" w14:textId="77777777" w:rsidTr="00D82B31">
        <w:tc>
          <w:tcPr>
            <w:tcW w:w="1980" w:type="dxa"/>
          </w:tcPr>
          <w:p w14:paraId="726C4C9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Padidėjusi prolaktino koncentracija </w:t>
            </w:r>
            <w:r w:rsidRPr="00E35DF9">
              <w:rPr>
                <w:rFonts w:ascii="Times New Roman" w:eastAsia="Times New Roman" w:hAnsi="Times New Roman" w:cs="Times New Roman"/>
                <w:lang w:eastAsia="hu-HU"/>
              </w:rPr>
              <w:t>plazmoje </w:t>
            </w:r>
            <w:r w:rsidRPr="00E35DF9">
              <w:rPr>
                <w:rFonts w:ascii="Times New Roman" w:eastAsia="Times New Roman" w:hAnsi="Times New Roman" w:cs="Times New Roman"/>
                <w:vertAlign w:val="superscript"/>
                <w:lang w:eastAsia="hu-HU"/>
              </w:rPr>
              <w:t>8</w:t>
            </w:r>
          </w:p>
        </w:tc>
        <w:tc>
          <w:tcPr>
            <w:tcW w:w="2268" w:type="dxa"/>
          </w:tcPr>
          <w:p w14:paraId="3FC2417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Šarminės fosfatazės</w:t>
            </w:r>
          </w:p>
          <w:p w14:paraId="1A55AC7A"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 xml:space="preserve">suaktyvėjimas </w:t>
            </w:r>
            <w:r w:rsidRPr="00E35DF9">
              <w:rPr>
                <w:rFonts w:ascii="Times New Roman" w:eastAsia="Times New Roman" w:hAnsi="Times New Roman" w:cs="Times New Roman"/>
                <w:vertAlign w:val="superscript"/>
                <w:lang w:eastAsia="hu-HU"/>
              </w:rPr>
              <w:t>10</w:t>
            </w:r>
          </w:p>
          <w:p w14:paraId="63C673AC"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Didelis</w:t>
            </w:r>
          </w:p>
          <w:p w14:paraId="4F5085E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kreatinfosfokinazės</w:t>
            </w:r>
          </w:p>
          <w:p w14:paraId="5F2D780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aktyvumas</w:t>
            </w:r>
            <w:r w:rsidRPr="00E35DF9">
              <w:rPr>
                <w:rFonts w:ascii="Times New Roman" w:eastAsia="Times New Roman" w:hAnsi="Times New Roman" w:cs="Times New Roman"/>
                <w:vertAlign w:val="superscript"/>
                <w:lang w:eastAsia="hu-HU"/>
              </w:rPr>
              <w:t>11</w:t>
            </w:r>
          </w:p>
          <w:p w14:paraId="6E63B76E"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 xml:space="preserve">Didelis gama gliutamiltransferazės aktyvumas </w:t>
            </w:r>
            <w:r w:rsidRPr="00E35DF9">
              <w:rPr>
                <w:rFonts w:ascii="Times New Roman" w:eastAsia="Times New Roman" w:hAnsi="Times New Roman" w:cs="Times New Roman"/>
                <w:vertAlign w:val="superscript"/>
                <w:lang w:eastAsia="hu-HU"/>
              </w:rPr>
              <w:t>10</w:t>
            </w:r>
          </w:p>
          <w:p w14:paraId="0280EAF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lang w:eastAsia="hu-HU"/>
              </w:rPr>
              <w:t xml:space="preserve">Didelė šlapimo rūgšties koncentracija </w:t>
            </w:r>
            <w:r w:rsidRPr="00E35DF9">
              <w:rPr>
                <w:rFonts w:ascii="Times New Roman" w:eastAsia="Times New Roman" w:hAnsi="Times New Roman" w:cs="Times New Roman"/>
                <w:vertAlign w:val="superscript"/>
                <w:lang w:eastAsia="hu-HU"/>
              </w:rPr>
              <w:t>10</w:t>
            </w:r>
          </w:p>
        </w:tc>
        <w:tc>
          <w:tcPr>
            <w:tcW w:w="1984" w:type="dxa"/>
          </w:tcPr>
          <w:p w14:paraId="26C24D0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lang w:eastAsia="hu-HU"/>
              </w:rPr>
              <w:t xml:space="preserve">Padidėjusi bendroji bilirubino </w:t>
            </w:r>
            <w:r w:rsidRPr="00E35DF9">
              <w:rPr>
                <w:rFonts w:ascii="Times New Roman" w:eastAsia="Calibri" w:hAnsi="Times New Roman" w:cs="Times New Roman"/>
                <w:color w:val="000000"/>
                <w:lang w:val="en-GB"/>
              </w:rPr>
              <w:t>koncentracija</w:t>
            </w:r>
          </w:p>
        </w:tc>
        <w:tc>
          <w:tcPr>
            <w:tcW w:w="1843" w:type="dxa"/>
          </w:tcPr>
          <w:p w14:paraId="071132A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39D1E5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c>
      </w:tr>
    </w:tbl>
    <w:p w14:paraId="322401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A5D20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1</w:t>
      </w:r>
      <w:r w:rsidRPr="00E35DF9">
        <w:rPr>
          <w:rFonts w:ascii="Times New Roman" w:eastAsia="Calibri" w:hAnsi="Times New Roman" w:cs="Times New Roman"/>
        </w:rPr>
        <w:t xml:space="preserve"> Pastebėtas kliniškai reikšmingas svorio padidėjimas visose pagrindinėse kūno masės indekso (KMI) kategorijose. Po trumpalaikio gydymo (vidutinė trukmė 47 dienos), svorio padidėjimas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 pradinės kūno masės buvo labai dažnas (22,2 %),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15 % buvo dažnas (4,2 %) ir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25 % buvo nedažnas (0,8 %). Pacientams svorio padidėjimas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15 % ir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25 % jų pradinės kūno masės, vartojant ilgą laiką (mažiausiai 48 savaites), buvo labai dažnas (atitinkamai 64,4 %, 31,7 % ir 12,3 %).</w:t>
      </w:r>
    </w:p>
    <w:p w14:paraId="51B195A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4C791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2</w:t>
      </w:r>
      <w:r w:rsidRPr="00E35DF9">
        <w:rPr>
          <w:rFonts w:ascii="Times New Roman" w:eastAsia="Calibri" w:hAnsi="Times New Roman" w:cs="Times New Roman"/>
        </w:rPr>
        <w:t xml:space="preserve"> Lipidų koncentracija (bendro cholesterolio, MTL ir trigliceridų) nevalgius vidutiniškai labiau padidėjo pacientams, kuriems nuo pat pradžių nebuvo lipidų disreguliacijos.</w:t>
      </w:r>
    </w:p>
    <w:p w14:paraId="171532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3303C7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3</w:t>
      </w:r>
      <w:r w:rsidRPr="00E35DF9">
        <w:rPr>
          <w:rFonts w:ascii="Times New Roman" w:eastAsia="Calibri" w:hAnsi="Times New Roman" w:cs="Times New Roman"/>
        </w:rPr>
        <w:t xml:space="preserve"> Pastebėta pradinė normali koncentracija nevalgius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5,17 mmol/l) labai padidėja (≥ 6,2 mmol/l). Bendro cholesterolio koncentracijos pokyčiai nevalgius, kai pradinė cholesterolio koncentracija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5,17–&lt;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6,2 mmol</w:t>
      </w:r>
      <w:r w:rsidRPr="00E35DF9">
        <w:rPr>
          <w:rFonts w:ascii="Times New Roman" w:eastAsia="Times New Roman" w:hAnsi="Times New Roman" w:cs="Times New Roman"/>
          <w:lang w:eastAsia="hu-HU"/>
        </w:rPr>
        <w:t>/l</w:t>
      </w:r>
      <w:r w:rsidRPr="00E35DF9">
        <w:rPr>
          <w:rFonts w:ascii="Times New Roman" w:eastAsia="Calibri" w:hAnsi="Times New Roman" w:cs="Times New Roman"/>
        </w:rPr>
        <w:t>) labai padidėjo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6,2 mmol</w:t>
      </w:r>
      <w:r w:rsidRPr="00E35DF9">
        <w:rPr>
          <w:rFonts w:ascii="Times New Roman" w:eastAsia="Times New Roman" w:hAnsi="Times New Roman" w:cs="Times New Roman"/>
          <w:lang w:eastAsia="hu-HU"/>
        </w:rPr>
        <w:t>/l</w:t>
      </w:r>
      <w:r w:rsidRPr="00E35DF9">
        <w:rPr>
          <w:rFonts w:ascii="Times New Roman" w:eastAsia="Calibri" w:hAnsi="Times New Roman" w:cs="Times New Roman"/>
        </w:rPr>
        <w:t>), buvo labai dažni.</w:t>
      </w:r>
    </w:p>
    <w:p w14:paraId="0C8C17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573BED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4</w:t>
      </w:r>
      <w:r w:rsidRPr="00E35DF9">
        <w:rPr>
          <w:rFonts w:ascii="Times New Roman" w:eastAsia="Calibri" w:hAnsi="Times New Roman" w:cs="Times New Roman"/>
        </w:rPr>
        <w:t xml:space="preserve"> Pastebėta pradinė normali koncentracija nevalgius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5,56 mmol/l) labai padidėjo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mmol/l). Gliukozės koncentracijos pokyčiai nevalgius, kai pradinė koncentracija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5,56–&lt;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mmol/l) labai padidėjo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7 mmol/l), buvo labai dažni. </w:t>
      </w:r>
    </w:p>
    <w:p w14:paraId="746C931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453F60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5</w:t>
      </w:r>
      <w:r w:rsidRPr="00E35DF9">
        <w:rPr>
          <w:rFonts w:ascii="Times New Roman" w:eastAsia="Calibri" w:hAnsi="Times New Roman" w:cs="Times New Roman"/>
        </w:rPr>
        <w:t xml:space="preserve"> Pastebėta pradinė normali koncentracija nevalgius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1,69 mmol/l), kuri labai padidėjo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2,26 mmol/l). Trigliceridų koncentracijos pokyčiai nevalgius, kai pradinė koncentracija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1,69 mmol/l–&lt;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2,26 mmol/l) labai padidėjo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2,26 mmol/l), buvo labai dažni.</w:t>
      </w:r>
    </w:p>
    <w:p w14:paraId="2412638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081FF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6</w:t>
      </w:r>
      <w:r w:rsidRPr="00E35DF9">
        <w:rPr>
          <w:rFonts w:ascii="Times New Roman" w:eastAsia="Calibri" w:hAnsi="Times New Roman" w:cs="Times New Roman"/>
        </w:rPr>
        <w:t xml:space="preserve"> Klinikinių tyrimų metu parkinsonizmo ir distonijos dažnis olanzapinu gydytiems pacientams buvo pastebimai didesnis, tačiau statistiškai šiek tiek skyrėsi nuo vartojusiųjų placebą. Olanzapiną vartojusiems pacientams rečiau negu vartojusiems titruotą haloperidolio dozę pasireiškė parkinsonizmas, akatizija ir distonija. Neturint išsamios informacijos apie jau buvusius ūminius ar vėlyvuosius ekstrapiramidinius judėjimo sutrikimus, negalima teigti, kad olanzapinas rečiau sukelia vėlyvąją diskineziją ir (arba) kitus vėlyvuosius ekstrapiramidinius sindromus.</w:t>
      </w:r>
    </w:p>
    <w:p w14:paraId="4632AA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0BD75F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7</w:t>
      </w:r>
      <w:r w:rsidRPr="00E35DF9">
        <w:rPr>
          <w:rFonts w:ascii="Times New Roman" w:eastAsia="Calibri" w:hAnsi="Times New Roman" w:cs="Times New Roman"/>
        </w:rPr>
        <w:t xml:space="preserve"> Ūminiai simptomai, tokie kaip prakaitavimas, nemiga, tremoras, nerimas, pykinimas ir vėmimas, pasireiškia, kai olanzapino vartojimas nutraukiamas staigiai. </w:t>
      </w:r>
    </w:p>
    <w:p w14:paraId="1F626A1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D8C5E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8</w:t>
      </w:r>
      <w:r w:rsidRPr="00E35DF9">
        <w:rPr>
          <w:rFonts w:ascii="Times New Roman" w:eastAsia="Calibri" w:hAnsi="Times New Roman" w:cs="Times New Roman"/>
        </w:rPr>
        <w:t xml:space="preserve"> 12 savaičių trukmės klinikinių tyrimų metu olanzapiną vartojusių pacientų, kurių organizme prolaktino koncentracija plazmoje buvo normali, prolaktino koncentracija plazmoje viršijo normalios koncentracijos viršutinę ribą apie 30 %. Daugumai šių pacientų koncentracijos padidėjimas buvo</w:t>
      </w:r>
    </w:p>
    <w:p w14:paraId="2D19E64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lengvas ir viršutinę normos ribą viršijo mažiau kaip du kartus.</w:t>
      </w:r>
    </w:p>
    <w:p w14:paraId="55A3DED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0AA824DD"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E35DF9">
        <w:rPr>
          <w:rFonts w:ascii="Times New Roman" w:eastAsia="Times New Roman" w:hAnsi="Times New Roman" w:cs="Times New Roman"/>
          <w:color w:val="000000"/>
          <w:vertAlign w:val="superscript"/>
          <w:lang w:eastAsia="hu-HU" w:bidi="te-IN"/>
        </w:rPr>
        <w:t xml:space="preserve">9 </w:t>
      </w:r>
      <w:r w:rsidRPr="00E35DF9">
        <w:rPr>
          <w:rFonts w:ascii="Times New Roman" w:eastAsia="Times New Roman" w:hAnsi="Times New Roman" w:cs="Times New Roman"/>
          <w:color w:val="000000"/>
          <w:lang w:eastAsia="hu-HU" w:bidi="te-IN"/>
        </w:rPr>
        <w:t xml:space="preserve">Nepageidaujamas reiškinys nustatytas pagal klinikinių tyrimų duomenis integruotoje olanzepino duomenų bazėje. </w:t>
      </w:r>
    </w:p>
    <w:p w14:paraId="6F9AEE7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25BAAC8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E35DF9">
        <w:rPr>
          <w:rFonts w:ascii="Times New Roman" w:eastAsia="Times New Roman" w:hAnsi="Times New Roman" w:cs="Times New Roman"/>
          <w:color w:val="000000"/>
          <w:vertAlign w:val="superscript"/>
          <w:lang w:eastAsia="hu-HU" w:bidi="te-IN"/>
        </w:rPr>
        <w:t xml:space="preserve">10 </w:t>
      </w:r>
      <w:r w:rsidRPr="00E35DF9">
        <w:rPr>
          <w:rFonts w:ascii="Times New Roman" w:eastAsia="Times New Roman" w:hAnsi="Times New Roman" w:cs="Times New Roman"/>
          <w:color w:val="000000"/>
          <w:lang w:eastAsia="hu-HU" w:bidi="te-IN"/>
        </w:rPr>
        <w:t>Įvertinta pagal klinikinių tyrimų metu išmatuotų rodmenų duomenis integruotoje olanzepino duomenų bazėje.</w:t>
      </w:r>
    </w:p>
    <w:p w14:paraId="0578E57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0A0727AD"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E35DF9">
        <w:rPr>
          <w:rFonts w:ascii="Times New Roman" w:eastAsia="Times New Roman" w:hAnsi="Times New Roman" w:cs="Times New Roman"/>
          <w:color w:val="000000"/>
          <w:vertAlign w:val="superscript"/>
          <w:lang w:eastAsia="hu-HU" w:bidi="te-IN"/>
        </w:rPr>
        <w:t xml:space="preserve">11 </w:t>
      </w:r>
      <w:r w:rsidRPr="00E35DF9">
        <w:rPr>
          <w:rFonts w:ascii="Times New Roman" w:eastAsia="Times New Roman" w:hAnsi="Times New Roman" w:cs="Times New Roman"/>
          <w:color w:val="000000"/>
          <w:lang w:eastAsia="hu-HU" w:bidi="te-IN"/>
        </w:rPr>
        <w:t>Nepageidaujamas reiškinys nustatytas pagal savanoriškus pranešimus po vaistinio preparato patekimo į rinką, dažnis apskaičiuotas naudojant integruotą olanzepino duomenų bazę.</w:t>
      </w:r>
    </w:p>
    <w:p w14:paraId="4F89C27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72F6D015"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E35DF9">
        <w:rPr>
          <w:rFonts w:ascii="Times New Roman" w:eastAsia="Times New Roman" w:hAnsi="Times New Roman" w:cs="Times New Roman"/>
          <w:color w:val="000000"/>
          <w:vertAlign w:val="superscript"/>
          <w:lang w:eastAsia="hu-HU" w:bidi="te-IN"/>
        </w:rPr>
        <w:t>12</w:t>
      </w:r>
      <w:r w:rsidRPr="00E35DF9">
        <w:rPr>
          <w:rFonts w:ascii="Times New Roman" w:eastAsia="Times New Roman" w:hAnsi="Times New Roman" w:cs="Times New Roman"/>
          <w:color w:val="000000"/>
          <w:lang w:eastAsia="hu-HU" w:bidi="te-IN"/>
        </w:rPr>
        <w:t xml:space="preserve"> Nepageidaujamas reiškinys nustatytas pagal savanoriškus pranešimus po vaistinio preparato patekimo į rinką, dažnis apskaičiuotas įvertinus viršutinę 95% pasikliautinojo intervalo ribą naudojant integruotą olanzepino duomenų bazę.</w:t>
      </w:r>
    </w:p>
    <w:p w14:paraId="0199A8F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color w:val="000000"/>
        </w:rPr>
      </w:pPr>
    </w:p>
    <w:p w14:paraId="7EF3145E"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E35DF9">
        <w:rPr>
          <w:rFonts w:ascii="Times New Roman" w:eastAsia="Times New Roman" w:hAnsi="Times New Roman" w:cs="Times New Roman"/>
          <w:color w:val="000000"/>
          <w:vertAlign w:val="superscript"/>
          <w:lang w:eastAsia="hu-HU" w:bidi="te-IN"/>
        </w:rPr>
        <w:t xml:space="preserve">13 </w:t>
      </w:r>
      <w:r w:rsidRPr="00E35DF9">
        <w:rPr>
          <w:rFonts w:ascii="Times New Roman" w:eastAsia="Times New Roman" w:hAnsi="Times New Roman" w:cs="Times New Roman"/>
          <w:color w:val="000000"/>
          <w:lang w:eastAsia="hu-HU" w:bidi="te-IN"/>
        </w:rPr>
        <w:t>Išvardytas nepageidaujamas poveikis, pastebėtas po per burną vartojamo ar IPĮRL (ilgo poveikio į raumenis leidžiamo) olanzapino pavartojimo, gali pasireikšti ir po GPĮRL (greito poveikio į raumenis leidžiamo) olanzapino pavartojimo.</w:t>
      </w:r>
    </w:p>
    <w:p w14:paraId="4E614CCA"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5CBC35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Ilgalaikis vartojimas (mažiausiai 48 savaitės)</w:t>
      </w:r>
    </w:p>
    <w:p w14:paraId="7510BD6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p>
    <w:p w14:paraId="1E3F4DD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Laikui bėgant pacientų, kuriems pasireiškė šalutiniai kliniškai reikšmingi svorio padidėjimo, gliukozės, bendro / MTL / DTL cholesterolio ar trigliceridų pokyčiai, proporcija padidėjo. Vidutinis gliukozės koncentracijos kraujyje didėjimo greitis suaugusiems pacientams, kurie baigė 9–12 mėnesių gydymą, sulėtėjo maždaug po 6 mėnesių.</w:t>
      </w:r>
    </w:p>
    <w:p w14:paraId="7D9941A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B79D2F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Papildoma informacija apie tam tikras pacientų grupes</w:t>
      </w:r>
    </w:p>
    <w:p w14:paraId="0B9EC890"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58101C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Klinikinių tyrimų metu senyviems demencija sergantiems pacientams gydymas olanzapinu, palyginti su placebu, buvo susijęs su mirties ir nepageidaujamų cerebrovaskulinių reiškinių dažnio padidėjimu (žr. 4.4 skyrių). Labai dažnos nepageidaujamos reakcijos, susijusios su olanzapino vartojimu, šioje pacientų grupėje buvo eisenos sutrikimas ir griuvimas. Dažnai pasireiškė pneumonija, padidėjusi kūno temperatūra, letargija, eritema, vizualios haliucinacijos ir šlapimo nelaikymas.</w:t>
      </w:r>
    </w:p>
    <w:p w14:paraId="212DCB0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4D23A3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Atliekant klinikinius tyrimus su pacientais, sergančiais vaistų sukelta (dopamino agonistų) psichoze, susijusia su Parkinsono liga, nustatytas labai dažnas ir dažnesnis, palyginti su placebu, Parkinsono simptomatikos pasunkėjimas ir haliucinacijos.</w:t>
      </w:r>
    </w:p>
    <w:p w14:paraId="4010EB3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41C412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Atliekant vieną klinikinį tyrimą su pacientais, sergančiais bipoline manija, valproato vartojimas kartu su olanzapinu 4,1 % padidino neutropenijos dažnį; papildomas rizikos veiksnys galėjo būti didelė valproato koncentracija plazmoje. Olanzapino vartojimas kartu su ličiu ar valproatu padidino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10 %) tremoro, burnos džiūvimo, padidėjusio apetito ir svorio padidėjimo dažnį. Dažnai buvo pastebima kalbos sutrikimų. Gydant olanzapinu kartu su ličiu ar divalproeksu 17,4 % pacientų ūminės gydymo fazės metu (iki 6 savaičių) kūno svoris padidėjo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 nuo pradinio lygmens. Ilgalaikis (iki 12</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mėnesių) olanzapino vartojimas bipolinio sutrikimo pasikartojimo prevencijai 39,9 % pacientų buvo susijęs su kūno svorio padidėjimu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 nuo pradinio lygmens.</w:t>
      </w:r>
    </w:p>
    <w:p w14:paraId="2AFD048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7A4B80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Vaikų populiacija</w:t>
      </w:r>
    </w:p>
    <w:p w14:paraId="15354C8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p>
    <w:p w14:paraId="38C571F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Olanzapinas nėra skirtas gydyti vaikams ir paaugliams, jaunesniems kaip 18 metų amžiaus. Nors nėra atlikta klinikinių tyrimų, kurių metu būtų lyginamas poveikis paaugliams ir suaugusiems žmonėms, tačiau tyrimų su paaugliais duomenys buvo palyginti su duomenimis, gautais tyrimų su suaugusiais žmonėmis metu. </w:t>
      </w:r>
    </w:p>
    <w:p w14:paraId="09B10C6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835D4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Lentelėje pateiktos šalutinės reakcijos, paaugliams pacientams (13–17 metų amžiaus) pasireiškusios dažniau negu suaugusiems žmonėms, arba šalutinės reakcijos, pasireiškiančios tik paaugliams pacientams trumpalaikių klinikinių tyrimų metu. Kliniškai reikšmingas svorio padidėjimas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 paaugliams pasireiškia dažniau, palyginti su suaugusiais žmonėmis, nors vartojamos panašios dozės. Svorio padidėjimo dydis ir paauglių pacientų, kuriems kliniškai reikšmingai padidėjo svoris, proporcija buvo didesnė vaistą vartojant ilgai (mažiausiai 24 savaites).</w:t>
      </w:r>
    </w:p>
    <w:p w14:paraId="741915B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161F74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Kiekvienoje dažnio grupėje nepageidaujamas poveikis pateikiamas mažėjančio sunkumo tvarka. Dažnumo terminų reikšmės: labai dažni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 xml:space="preserve">10 %); dažni (nuo </w:t>
      </w:r>
      <w:r w:rsidRPr="00E35DF9">
        <w:rPr>
          <w:rFonts w:ascii="Times New Roman" w:eastAsia="Calibri" w:hAnsi="Times New Roman" w:cs="Times New Roman"/>
        </w:rPr>
        <w:sym w:font="Symbol" w:char="F0B3"/>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1 % iki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10 %).</w:t>
      </w:r>
    </w:p>
    <w:p w14:paraId="265724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E35DF9" w:rsidRPr="00E35DF9" w14:paraId="59889913" w14:textId="77777777" w:rsidTr="00D82B31">
        <w:tc>
          <w:tcPr>
            <w:tcW w:w="9190" w:type="dxa"/>
          </w:tcPr>
          <w:p w14:paraId="782F4C71" w14:textId="77777777" w:rsidR="00E35DF9" w:rsidRPr="00E35DF9" w:rsidRDefault="00E35DF9" w:rsidP="00E35DF9">
            <w:pPr>
              <w:keepNext/>
              <w:tabs>
                <w:tab w:val="left" w:pos="567"/>
              </w:tabs>
              <w:spacing w:after="0" w:line="240" w:lineRule="auto"/>
              <w:rPr>
                <w:rFonts w:ascii="Times New Roman" w:eastAsia="Times New Roman" w:hAnsi="Times New Roman" w:cs="Times New Roman"/>
                <w:b/>
                <w:noProof/>
                <w:color w:val="000000"/>
              </w:rPr>
            </w:pPr>
            <w:r w:rsidRPr="00E35DF9">
              <w:rPr>
                <w:rFonts w:ascii="Times New Roman" w:eastAsia="Times New Roman" w:hAnsi="Times New Roman" w:cs="Times New Roman"/>
                <w:b/>
                <w:noProof/>
                <w:color w:val="000000"/>
              </w:rPr>
              <w:t>Metabolizmo ir mitybos sutrikimai</w:t>
            </w:r>
          </w:p>
          <w:p w14:paraId="49947BE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Labai dažni</w:t>
            </w:r>
            <w:r w:rsidRPr="00E35DF9">
              <w:rPr>
                <w:rFonts w:ascii="Times New Roman" w:eastAsia="Calibri" w:hAnsi="Times New Roman" w:cs="Times New Roman"/>
              </w:rPr>
              <w:t xml:space="preserve">: svorio </w:t>
            </w:r>
            <w:r w:rsidRPr="00E35DF9">
              <w:rPr>
                <w:rFonts w:ascii="Times New Roman" w:eastAsia="Times New Roman" w:hAnsi="Times New Roman" w:cs="Times New Roman"/>
                <w:lang w:eastAsia="hu-HU"/>
              </w:rPr>
              <w:t xml:space="preserve">padidėjimas </w:t>
            </w:r>
            <w:r w:rsidRPr="00E35DF9">
              <w:rPr>
                <w:rFonts w:ascii="Times New Roman" w:eastAsia="Times New Roman" w:hAnsi="Times New Roman" w:cs="Times New Roman"/>
                <w:vertAlign w:val="superscript"/>
                <w:lang w:eastAsia="hu-HU"/>
              </w:rPr>
              <w:t>13</w:t>
            </w:r>
            <w:r w:rsidRPr="00E35DF9">
              <w:rPr>
                <w:rFonts w:ascii="Times New Roman" w:eastAsia="Calibri" w:hAnsi="Times New Roman" w:cs="Times New Roman"/>
              </w:rPr>
              <w:t xml:space="preserve">, padidėjusi trigliceridų </w:t>
            </w:r>
            <w:r w:rsidRPr="00E35DF9">
              <w:rPr>
                <w:rFonts w:ascii="Times New Roman" w:eastAsia="Times New Roman" w:hAnsi="Times New Roman" w:cs="Times New Roman"/>
                <w:lang w:eastAsia="hu-HU"/>
              </w:rPr>
              <w:t xml:space="preserve">koncentracija </w:t>
            </w:r>
            <w:r w:rsidRPr="00E35DF9">
              <w:rPr>
                <w:rFonts w:ascii="Times New Roman" w:eastAsia="Times New Roman" w:hAnsi="Times New Roman" w:cs="Times New Roman"/>
                <w:vertAlign w:val="superscript"/>
                <w:lang w:eastAsia="hu-HU"/>
              </w:rPr>
              <w:t>14</w:t>
            </w:r>
            <w:r w:rsidRPr="00E35DF9">
              <w:rPr>
                <w:rFonts w:ascii="Times New Roman" w:eastAsia="Calibri" w:hAnsi="Times New Roman" w:cs="Times New Roman"/>
              </w:rPr>
              <w:t>, padidėjęs apetitas.</w:t>
            </w:r>
          </w:p>
          <w:p w14:paraId="606338D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Dažni</w:t>
            </w:r>
            <w:r w:rsidRPr="00E35DF9">
              <w:rPr>
                <w:rFonts w:ascii="Times New Roman" w:eastAsia="Calibri" w:hAnsi="Times New Roman" w:cs="Times New Roman"/>
              </w:rPr>
              <w:t xml:space="preserve">: padidėjusi cholesterolio </w:t>
            </w:r>
            <w:r w:rsidRPr="00E35DF9">
              <w:rPr>
                <w:rFonts w:ascii="Times New Roman" w:eastAsia="Times New Roman" w:hAnsi="Times New Roman" w:cs="Times New Roman"/>
                <w:lang w:eastAsia="hu-HU"/>
              </w:rPr>
              <w:t xml:space="preserve">koncentracija </w:t>
            </w:r>
            <w:r w:rsidRPr="00E35DF9">
              <w:rPr>
                <w:rFonts w:ascii="Times New Roman" w:eastAsia="Times New Roman" w:hAnsi="Times New Roman" w:cs="Times New Roman"/>
                <w:vertAlign w:val="superscript"/>
                <w:lang w:eastAsia="hu-HU"/>
              </w:rPr>
              <w:t>15</w:t>
            </w:r>
            <w:r w:rsidRPr="00E35DF9">
              <w:rPr>
                <w:rFonts w:ascii="Times New Roman" w:eastAsia="Calibri" w:hAnsi="Times New Roman" w:cs="Times New Roman"/>
              </w:rPr>
              <w:t>.</w:t>
            </w:r>
          </w:p>
        </w:tc>
      </w:tr>
      <w:tr w:rsidR="00E35DF9" w:rsidRPr="00E35DF9" w14:paraId="6D936CDD" w14:textId="77777777" w:rsidTr="00D82B31">
        <w:tc>
          <w:tcPr>
            <w:tcW w:w="9190" w:type="dxa"/>
          </w:tcPr>
          <w:p w14:paraId="6865493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Nervų sistemos sutrikimai</w:t>
            </w:r>
          </w:p>
          <w:p w14:paraId="10B793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Labai dažni</w:t>
            </w:r>
            <w:r w:rsidRPr="00E35DF9">
              <w:rPr>
                <w:rFonts w:ascii="Times New Roman" w:eastAsia="Calibri" w:hAnsi="Times New Roman" w:cs="Times New Roman"/>
              </w:rPr>
              <w:t>: sedacija (įskaitant hipersomniją, letargiją, mieguistumą).</w:t>
            </w:r>
          </w:p>
        </w:tc>
      </w:tr>
      <w:tr w:rsidR="00E35DF9" w:rsidRPr="00E35DF9" w14:paraId="0CF02209" w14:textId="77777777" w:rsidTr="00D82B31">
        <w:tc>
          <w:tcPr>
            <w:tcW w:w="9190" w:type="dxa"/>
          </w:tcPr>
          <w:p w14:paraId="4BC456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Virškinimo trakto sutrikimai</w:t>
            </w:r>
          </w:p>
          <w:p w14:paraId="4632263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Dažni</w:t>
            </w:r>
            <w:r w:rsidRPr="00E35DF9">
              <w:rPr>
                <w:rFonts w:ascii="Times New Roman" w:eastAsia="Calibri" w:hAnsi="Times New Roman" w:cs="Times New Roman"/>
              </w:rPr>
              <w:t>: burnos džiūvimas.</w:t>
            </w:r>
          </w:p>
        </w:tc>
      </w:tr>
      <w:tr w:rsidR="00E35DF9" w:rsidRPr="00E35DF9" w14:paraId="649526DF" w14:textId="77777777" w:rsidTr="00D82B31">
        <w:tc>
          <w:tcPr>
            <w:tcW w:w="9190" w:type="dxa"/>
          </w:tcPr>
          <w:p w14:paraId="73566C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Kepenų, tulžies pūslės ir latakų sutrikimai</w:t>
            </w:r>
          </w:p>
          <w:p w14:paraId="559C347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Labai dažni</w:t>
            </w:r>
            <w:r w:rsidRPr="00E35DF9">
              <w:rPr>
                <w:rFonts w:ascii="Times New Roman" w:eastAsia="Calibri" w:hAnsi="Times New Roman" w:cs="Times New Roman"/>
              </w:rPr>
              <w:t>: kepenų aminotransferazių koncentracijos padidėjimas (ALT / AST; žr. 4.4 skyrių).</w:t>
            </w:r>
          </w:p>
        </w:tc>
      </w:tr>
      <w:tr w:rsidR="00E35DF9" w:rsidRPr="00E35DF9" w14:paraId="1D60C629" w14:textId="77777777" w:rsidTr="00D82B31">
        <w:tc>
          <w:tcPr>
            <w:tcW w:w="9190" w:type="dxa"/>
            <w:tcBorders>
              <w:top w:val="single" w:sz="4" w:space="0" w:color="auto"/>
              <w:left w:val="single" w:sz="4" w:space="0" w:color="auto"/>
              <w:bottom w:val="single" w:sz="4" w:space="0" w:color="auto"/>
              <w:right w:val="single" w:sz="4" w:space="0" w:color="auto"/>
            </w:tcBorders>
          </w:tcPr>
          <w:p w14:paraId="490125F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Tyrimai</w:t>
            </w:r>
          </w:p>
          <w:p w14:paraId="4C1A05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Labai dažni</w:t>
            </w:r>
            <w:r w:rsidRPr="00E35DF9">
              <w:rPr>
                <w:rFonts w:ascii="Times New Roman" w:eastAsia="Calibri" w:hAnsi="Times New Roman" w:cs="Times New Roman"/>
              </w:rPr>
              <w:t xml:space="preserve">: sumažėjusi bendro bilirubino koncentracija, padidėję GTT ir prolaktino koncentracija </w:t>
            </w:r>
            <w:r w:rsidRPr="00E35DF9">
              <w:rPr>
                <w:rFonts w:ascii="Times New Roman" w:eastAsia="Times New Roman" w:hAnsi="Times New Roman" w:cs="Times New Roman"/>
                <w:lang w:eastAsia="hu-HU"/>
              </w:rPr>
              <w:t xml:space="preserve">plazmoje </w:t>
            </w:r>
            <w:r w:rsidRPr="00E35DF9">
              <w:rPr>
                <w:rFonts w:ascii="Times New Roman" w:eastAsia="Times New Roman" w:hAnsi="Times New Roman" w:cs="Times New Roman"/>
                <w:vertAlign w:val="superscript"/>
                <w:lang w:eastAsia="hu-HU"/>
              </w:rPr>
              <w:t>16</w:t>
            </w:r>
            <w:r w:rsidRPr="00E35DF9">
              <w:rPr>
                <w:rFonts w:ascii="Times New Roman" w:eastAsia="Calibri" w:hAnsi="Times New Roman" w:cs="Times New Roman"/>
              </w:rPr>
              <w:t>.</w:t>
            </w:r>
          </w:p>
        </w:tc>
      </w:tr>
    </w:tbl>
    <w:p w14:paraId="249ECD9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B40EF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vertAlign w:val="superscript"/>
          <w:lang w:eastAsia="hu-HU"/>
        </w:rPr>
        <w:t>13</w:t>
      </w:r>
      <w:r w:rsidRPr="00E35DF9">
        <w:rPr>
          <w:rFonts w:ascii="Times New Roman" w:eastAsia="Calibri" w:hAnsi="Times New Roman" w:cs="Times New Roman"/>
        </w:rPr>
        <w:t xml:space="preserve"> Po trumpalaikio gydymo (vidutinė trukmė 22 dienos) svorio padidėjimas ≥ 7 % pradinės kūno masės (kg) buvo labai dažnas (40,6 %),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15 % pradinės kūno masės buvo dažnas (7,1 %) ir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25 % buvo dažnas (2,5 %). Esant ilgalaikiam vartojimui (mažiausiai 24 savaitės), 89,4 % priaugo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7%, 55,3 % priaugo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15 %, o 29,1 % priaugo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25 % jų pradinės kūno masės.</w:t>
      </w:r>
    </w:p>
    <w:p w14:paraId="053B25F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vertAlign w:val="superscript"/>
        </w:rPr>
        <w:t>10</w:t>
      </w:r>
      <w:r w:rsidRPr="00E35DF9">
        <w:rPr>
          <w:rFonts w:ascii="Times New Roman" w:eastAsia="Calibri" w:hAnsi="Times New Roman" w:cs="Times New Roman"/>
        </w:rPr>
        <w:t xml:space="preserve"> Pastebėta, kad normali pradinė koncentracija nevalgius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1,016 mmol/l) labai padidėja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1,467 mmol/l), o trigliceridų koncentracija nevalgius, kai pradinė koncentracija yra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1,016 mmol/l–&lt;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1,467 mmol/l, padidėja iki ≥</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1,467 mmol/l.</w:t>
      </w:r>
    </w:p>
    <w:p w14:paraId="492C66F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7781E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vertAlign w:val="superscript"/>
          <w:lang w:eastAsia="hu-HU"/>
        </w:rPr>
        <w:t>14</w:t>
      </w:r>
      <w:r w:rsidRPr="00E35DF9">
        <w:rPr>
          <w:rFonts w:ascii="Times New Roman" w:eastAsia="Calibri" w:hAnsi="Times New Roman" w:cs="Times New Roman"/>
        </w:rPr>
        <w:t xml:space="preserve"> Bendro cholesterolio koncentracijos pokyčiai nevalgius, kai pradinė normali cholesterolio koncentracija (&lt; 4,39 mmol/l) padidėjo iki ≥ 5,17 mmol/l, buvo dažni. Bendro cholesterolio koncentracijos pokyčiai nevalgius, kai pradinė koncentracija ≥ 4,39–&lt; 5,17 mmol/l labai padidėjo iki ≥ 5,17 mmol/l, buvo labai dažni.</w:t>
      </w:r>
    </w:p>
    <w:p w14:paraId="6638DFD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EF0F68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vertAlign w:val="superscript"/>
          <w:lang w:eastAsia="hu-HU"/>
        </w:rPr>
        <w:t>15</w:t>
      </w:r>
      <w:r w:rsidRPr="00E35DF9">
        <w:rPr>
          <w:rFonts w:ascii="Times New Roman" w:eastAsia="Calibri" w:hAnsi="Times New Roman" w:cs="Times New Roman"/>
        </w:rPr>
        <w:t xml:space="preserve"> Prolaktino koncentracijos plazmoje padidėjimas pasireiškė 47,4 % paaugliams pacientams.</w:t>
      </w:r>
    </w:p>
    <w:p w14:paraId="6D2F742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50891DA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r w:rsidRPr="00E35DF9">
        <w:rPr>
          <w:rFonts w:ascii="Times New Roman" w:eastAsia="Times New Roman" w:hAnsi="Times New Roman" w:cs="Times New Roman"/>
          <w:u w:val="single"/>
          <w:lang w:eastAsia="hu-HU"/>
        </w:rPr>
        <w:t>Pranešimas apie įtariamas nepageidaujamas reakcijas</w:t>
      </w:r>
    </w:p>
    <w:p w14:paraId="374406DB" w14:textId="77777777" w:rsidR="00E35DF9" w:rsidRPr="00E35DF9" w:rsidRDefault="00E35DF9" w:rsidP="00E35DF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E35DF9">
        <w:rPr>
          <w:rFonts w:ascii="Times New Roman" w:eastAsia="Times New Roman" w:hAnsi="Times New Roman" w:cs="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E35DF9">
        <w:rPr>
          <w:rFonts w:ascii="Times New Roman" w:eastAsia="Times New Roman" w:hAnsi="Times New Roman" w:cs="Times New Roman"/>
          <w:snapToGrid w:val="0"/>
          <w:szCs w:val="24"/>
        </w:rPr>
        <w:t xml:space="preserve"> </w:t>
      </w:r>
      <w:r w:rsidRPr="00E35DF9">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0" w:history="1">
        <w:r w:rsidRPr="00E35DF9">
          <w:rPr>
            <w:rFonts w:ascii="Times New Roman" w:eastAsia="Calibri" w:hAnsi="Times New Roman" w:cs="Times New Roman"/>
          </w:rPr>
          <w:t>www.vvkt.lt</w:t>
        </w:r>
      </w:hyperlink>
      <w:r w:rsidRPr="00E35DF9">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E35DF9">
          <w:rPr>
            <w:rFonts w:ascii="Times New Roman" w:eastAsia="Calibri" w:hAnsi="Times New Roman" w:cs="Times New Roman"/>
          </w:rPr>
          <w:t>NepageidaujamaR@vvkt.lt</w:t>
        </w:r>
      </w:hyperlink>
      <w:r w:rsidRPr="00E35DF9">
        <w:rPr>
          <w:rFonts w:ascii="Times New Roman" w:eastAsia="Times New Roman" w:hAnsi="Times New Roman" w:cs="Times New Roman"/>
          <w:noProof/>
          <w:snapToGrid w:val="0"/>
          <w:szCs w:val="24"/>
        </w:rPr>
        <w:t>), per interneto svetainę (adresu http://www.vvkt.lt).</w:t>
      </w:r>
    </w:p>
    <w:p w14:paraId="47C7E25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A420056"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4.9</w:t>
      </w:r>
      <w:r w:rsidRPr="00E35DF9">
        <w:rPr>
          <w:rFonts w:ascii="Times New Roman" w:eastAsia="Calibri" w:hAnsi="Times New Roman" w:cs="Times New Roman"/>
          <w:b/>
        </w:rPr>
        <w:tab/>
        <w:t>Perdozavimas</w:t>
      </w:r>
    </w:p>
    <w:p w14:paraId="3113C4F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E7772B8" w14:textId="77777777" w:rsidR="00E35DF9" w:rsidRPr="00E35DF9" w:rsidRDefault="00E35DF9" w:rsidP="00E35DF9">
      <w:pPr>
        <w:keepNext/>
        <w:spacing w:after="0" w:line="240" w:lineRule="auto"/>
        <w:outlineLvl w:val="4"/>
        <w:rPr>
          <w:rFonts w:ascii="Times New Roman" w:eastAsia="Times New Roman" w:hAnsi="Times New Roman" w:cs="Times New Roman"/>
          <w:i/>
          <w:iCs/>
          <w:u w:val="single"/>
          <w:lang w:eastAsia="hu-HU"/>
        </w:rPr>
      </w:pPr>
      <w:r w:rsidRPr="00E35DF9">
        <w:rPr>
          <w:rFonts w:ascii="Times New Roman" w:eastAsia="Times New Roman" w:hAnsi="Times New Roman" w:cs="Times New Roman"/>
          <w:i/>
          <w:iCs/>
          <w:u w:val="single"/>
          <w:lang w:eastAsia="hu-HU"/>
        </w:rPr>
        <w:t>Požymiai ir simptomai</w:t>
      </w:r>
    </w:p>
    <w:p w14:paraId="2778F1E2"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5E43A4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Labai dažni perdozavimo simptomai (&gt;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10 % dažnis) yra tachikardija, susijaudinimas ir (arba) agresija, kalbos sutrikimas, įvairūs ekstrapiramidiniai simptomai ir sutrikęs sąmonės lygis, nuo sedacijos iki komos.</w:t>
      </w:r>
    </w:p>
    <w:p w14:paraId="7F9D759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6B4DE9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Kitos mediciniškai svarbios perdozavimo pasekmės yra kliedėjimas, traukuliai, koma, galimas neurolepsinis piktybinis sindromas, kvėpavimo slopinimas, aspiracija, hipertenzija ar hipotenzija, širdies aritmijos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2 % perdozavimo atvejų) ir širdies bei kvėpavimo sustojimas. Esant ūminiam perdozavimui buvo mirties atvejų, suvartojus 450 mg dozę, tačiau buvo ir išgyvenimo atvejis po ūmaus maždaug 2 g olanzapino perdozavimo.</w:t>
      </w:r>
    </w:p>
    <w:p w14:paraId="73CD5F9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8D8F7ED" w14:textId="77777777" w:rsidR="00E35DF9" w:rsidRPr="00E35DF9" w:rsidRDefault="00E35DF9" w:rsidP="00E35DF9">
      <w:pPr>
        <w:keepNext/>
        <w:spacing w:after="0" w:line="240" w:lineRule="auto"/>
        <w:outlineLvl w:val="4"/>
        <w:rPr>
          <w:rFonts w:ascii="Times New Roman" w:eastAsia="Times New Roman" w:hAnsi="Times New Roman" w:cs="Times New Roman"/>
          <w:i/>
          <w:iCs/>
          <w:u w:val="single"/>
          <w:lang w:eastAsia="hu-HU"/>
        </w:rPr>
      </w:pPr>
      <w:r w:rsidRPr="00E35DF9">
        <w:rPr>
          <w:rFonts w:ascii="Times New Roman" w:eastAsia="Times New Roman" w:hAnsi="Times New Roman" w:cs="Times New Roman"/>
          <w:i/>
          <w:iCs/>
          <w:u w:val="single"/>
          <w:lang w:eastAsia="hu-HU"/>
        </w:rPr>
        <w:t>Perdozavimo gydymas</w:t>
      </w:r>
    </w:p>
    <w:p w14:paraId="26AC1172"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32260DC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Nėra specifinio antidoto olanzapinui. Vėmimo skatinti nerekomenduojama. Gali būti taikomos standartinės perdozavimo gydymo priemonės (t. y. skrandžio plovimas, aktyvintosios anglies vartojimas). Buvo pastebėta, kad pavartojus aktyvintosios anglies olanzapino biologinis prieinamumas sumažėjo 50–60 %. </w:t>
      </w:r>
    </w:p>
    <w:p w14:paraId="78EBF43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F05E4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Taikyti simptominį gydymą ir stebėti gyvybines organų funkcijas reikia atsižvelgiant į klinikinę reakciją, be to, turi būti gydoma hipotenzija ir kraujagyslinis kolapsas bei palaikoma kvėpavimo funkcija. Nereikėtų vartoti epinefrino, dopamino ar kitų simpatomimetinių preparatų, išsiskiriančių beta agonistų aktyvumu, nes beta stimuliacija gali pabloginti hipotenziją. Norint nustatyti galimas aritmijas, būtina stebėti širdies ir kraujagyslių sistemą. Kol pacientas atsigaus, turi būti tęsiama atidi medicininė priežiūra ir stebėjimas.</w:t>
      </w:r>
    </w:p>
    <w:p w14:paraId="700919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82D28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Vaikų populiacija</w:t>
      </w:r>
    </w:p>
    <w:p w14:paraId="6779686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7A67C8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Duomenų apie vaikus ir paauglius nėra.</w:t>
      </w:r>
    </w:p>
    <w:p w14:paraId="0904035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A01C2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0983F66"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FARMAKOLOGINĖS SAVYBĖS</w:t>
      </w:r>
    </w:p>
    <w:p w14:paraId="5BC5003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FA57DB1"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5.1</w:t>
      </w:r>
      <w:r w:rsidRPr="00E35DF9">
        <w:rPr>
          <w:rFonts w:ascii="Times New Roman" w:eastAsia="Calibri" w:hAnsi="Times New Roman" w:cs="Times New Roman"/>
          <w:b/>
        </w:rPr>
        <w:tab/>
        <w:t>Farmakodinaminės savybės</w:t>
      </w:r>
    </w:p>
    <w:p w14:paraId="7AD3CE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AB871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Farmakoterapinė grupė – psicholeptikai, neuroleptikai, diazepinai, oksazepinai, tiazepinai ir oksepinai, ATC kodas – N05A H03.</w:t>
      </w:r>
    </w:p>
    <w:p w14:paraId="00ED519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B60B91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Veikimo mechanizmas</w:t>
      </w:r>
    </w:p>
    <w:p w14:paraId="38AA9FD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4C409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Olanzapinas yra antipsichozinis, slopinantis maniją ir stabilizuojantis nuotaiką vaistas, plačiai farmakologiškai veikiantis daugelį receptorių sistemų. </w:t>
      </w:r>
    </w:p>
    <w:p w14:paraId="6FAEB4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C5F87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Farmakodinaminis poveikis</w:t>
      </w:r>
    </w:p>
    <w:p w14:paraId="17E38A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F47134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Ikiklinikiniai olanzapino tyrimai parodė, kad jis turi afinitetą (Ki;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100 nM) serotonino 5HT</w:t>
      </w:r>
      <w:r w:rsidRPr="00E35DF9">
        <w:rPr>
          <w:rFonts w:ascii="Times New Roman" w:eastAsia="Calibri" w:hAnsi="Times New Roman" w:cs="Times New Roman"/>
          <w:vertAlign w:val="subscript"/>
        </w:rPr>
        <w:t>2A/2C</w:t>
      </w:r>
      <w:r w:rsidRPr="00E35DF9">
        <w:rPr>
          <w:rFonts w:ascii="Times New Roman" w:eastAsia="Calibri" w:hAnsi="Times New Roman" w:cs="Times New Roman"/>
        </w:rPr>
        <w:t>, 5HT</w:t>
      </w:r>
      <w:r w:rsidRPr="00E35DF9">
        <w:rPr>
          <w:rFonts w:ascii="Times New Roman" w:eastAsia="Calibri" w:hAnsi="Times New Roman" w:cs="Times New Roman"/>
          <w:vertAlign w:val="subscript"/>
        </w:rPr>
        <w:t>3</w:t>
      </w:r>
      <w:r w:rsidRPr="00E35DF9">
        <w:rPr>
          <w:rFonts w:ascii="Times New Roman" w:eastAsia="Calibri" w:hAnsi="Times New Roman" w:cs="Times New Roman"/>
        </w:rPr>
        <w:t>, 5HT</w:t>
      </w:r>
      <w:r w:rsidRPr="00E35DF9">
        <w:rPr>
          <w:rFonts w:ascii="Times New Roman" w:eastAsia="Calibri" w:hAnsi="Times New Roman" w:cs="Times New Roman"/>
          <w:vertAlign w:val="subscript"/>
        </w:rPr>
        <w:t>6</w:t>
      </w:r>
      <w:r w:rsidRPr="00E35DF9">
        <w:rPr>
          <w:rFonts w:ascii="Times New Roman" w:eastAsia="Calibri" w:hAnsi="Times New Roman" w:cs="Times New Roman"/>
        </w:rPr>
        <w:t>; dopamino D</w:t>
      </w:r>
      <w:r w:rsidRPr="00E35DF9">
        <w:rPr>
          <w:rFonts w:ascii="Times New Roman" w:eastAsia="Calibri" w:hAnsi="Times New Roman" w:cs="Times New Roman"/>
          <w:vertAlign w:val="subscript"/>
        </w:rPr>
        <w:t>1</w:t>
      </w:r>
      <w:r w:rsidRPr="00E35DF9">
        <w:rPr>
          <w:rFonts w:ascii="Times New Roman" w:eastAsia="Calibri" w:hAnsi="Times New Roman" w:cs="Times New Roman"/>
        </w:rPr>
        <w:t>, D</w:t>
      </w:r>
      <w:r w:rsidRPr="00E35DF9">
        <w:rPr>
          <w:rFonts w:ascii="Times New Roman" w:eastAsia="Calibri" w:hAnsi="Times New Roman" w:cs="Times New Roman"/>
          <w:vertAlign w:val="subscript"/>
        </w:rPr>
        <w:t>2</w:t>
      </w:r>
      <w:r w:rsidRPr="00E35DF9">
        <w:rPr>
          <w:rFonts w:ascii="Times New Roman" w:eastAsia="Calibri" w:hAnsi="Times New Roman" w:cs="Times New Roman"/>
        </w:rPr>
        <w:t>, D</w:t>
      </w:r>
      <w:r w:rsidRPr="00E35DF9">
        <w:rPr>
          <w:rFonts w:ascii="Times New Roman" w:eastAsia="Calibri" w:hAnsi="Times New Roman" w:cs="Times New Roman"/>
          <w:vertAlign w:val="subscript"/>
        </w:rPr>
        <w:t>3</w:t>
      </w:r>
      <w:r w:rsidRPr="00E35DF9">
        <w:rPr>
          <w:rFonts w:ascii="Times New Roman" w:eastAsia="Calibri" w:hAnsi="Times New Roman" w:cs="Times New Roman"/>
        </w:rPr>
        <w:t>, D</w:t>
      </w:r>
      <w:r w:rsidRPr="00E35DF9">
        <w:rPr>
          <w:rFonts w:ascii="Times New Roman" w:eastAsia="Calibri" w:hAnsi="Times New Roman" w:cs="Times New Roman"/>
          <w:vertAlign w:val="subscript"/>
        </w:rPr>
        <w:t>4</w:t>
      </w:r>
      <w:r w:rsidRPr="00E35DF9">
        <w:rPr>
          <w:rFonts w:ascii="Times New Roman" w:eastAsia="Calibri" w:hAnsi="Times New Roman" w:cs="Times New Roman"/>
        </w:rPr>
        <w:t>, D</w:t>
      </w:r>
      <w:r w:rsidRPr="00E35DF9">
        <w:rPr>
          <w:rFonts w:ascii="Times New Roman" w:eastAsia="Calibri" w:hAnsi="Times New Roman" w:cs="Times New Roman"/>
          <w:vertAlign w:val="subscript"/>
        </w:rPr>
        <w:t>5</w:t>
      </w:r>
      <w:r w:rsidRPr="00E35DF9">
        <w:rPr>
          <w:rFonts w:ascii="Times New Roman" w:eastAsia="Calibri" w:hAnsi="Times New Roman" w:cs="Times New Roman"/>
        </w:rPr>
        <w:t>, cholinerginiams muskarino m</w:t>
      </w:r>
      <w:r w:rsidRPr="00E35DF9">
        <w:rPr>
          <w:rFonts w:ascii="Times New Roman" w:eastAsia="Calibri" w:hAnsi="Times New Roman" w:cs="Times New Roman"/>
          <w:vertAlign w:val="subscript"/>
        </w:rPr>
        <w:t>1</w:t>
      </w:r>
      <w:r w:rsidRPr="00E35DF9">
        <w:rPr>
          <w:rFonts w:ascii="Times New Roman" w:eastAsia="Calibri" w:hAnsi="Times New Roman" w:cs="Times New Roman"/>
        </w:rPr>
        <w:t>-m</w:t>
      </w:r>
      <w:r w:rsidRPr="00E35DF9">
        <w:rPr>
          <w:rFonts w:ascii="Times New Roman" w:eastAsia="Calibri" w:hAnsi="Times New Roman" w:cs="Times New Roman"/>
          <w:vertAlign w:val="subscript"/>
        </w:rPr>
        <w:t>5</w:t>
      </w:r>
      <w:r w:rsidRPr="00E35DF9">
        <w:rPr>
          <w:rFonts w:ascii="Times New Roman" w:eastAsia="Calibri" w:hAnsi="Times New Roman" w:cs="Times New Roman"/>
        </w:rPr>
        <w:t>, α1 adrenerginiams ir histamino H</w:t>
      </w:r>
      <w:r w:rsidRPr="00E35DF9">
        <w:rPr>
          <w:rFonts w:ascii="Times New Roman" w:eastAsia="Calibri" w:hAnsi="Times New Roman" w:cs="Times New Roman"/>
          <w:vertAlign w:val="subscript"/>
        </w:rPr>
        <w:t>1</w:t>
      </w:r>
      <w:r w:rsidRPr="00E35DF9">
        <w:rPr>
          <w:rFonts w:ascii="Times New Roman" w:eastAsia="Calibri" w:hAnsi="Times New Roman" w:cs="Times New Roman"/>
        </w:rPr>
        <w:t xml:space="preserve"> receptoriams. Olanzapino poveikio gyvūnų elgsenai tyrimai parodė būdingą antagonizmą 5 HT, dopaminui ir cholinerginį antagonizmą, atitinkantį prisijungimą prie receptorių. Tyrimais nustatyta, kad </w:t>
      </w:r>
      <w:r w:rsidRPr="00E35DF9">
        <w:rPr>
          <w:rFonts w:ascii="Times New Roman" w:eastAsia="Calibri" w:hAnsi="Times New Roman" w:cs="Times New Roman"/>
          <w:i/>
        </w:rPr>
        <w:t>in vitro</w:t>
      </w:r>
      <w:r w:rsidRPr="00E35DF9">
        <w:rPr>
          <w:rFonts w:ascii="Times New Roman" w:eastAsia="Calibri" w:hAnsi="Times New Roman" w:cs="Times New Roman"/>
        </w:rPr>
        <w:t xml:space="preserve"> olanzapino afinitetas didesnis serotonino 5HT</w:t>
      </w:r>
      <w:r w:rsidRPr="00E35DF9">
        <w:rPr>
          <w:rFonts w:ascii="Times New Roman" w:eastAsia="Calibri" w:hAnsi="Times New Roman" w:cs="Times New Roman"/>
          <w:vertAlign w:val="subscript"/>
        </w:rPr>
        <w:t>2</w:t>
      </w:r>
      <w:r w:rsidRPr="00E35DF9">
        <w:rPr>
          <w:rFonts w:ascii="Times New Roman" w:eastAsia="Calibri" w:hAnsi="Times New Roman" w:cs="Times New Roman"/>
        </w:rPr>
        <w:t xml:space="preserve"> negu dopamino D</w:t>
      </w:r>
      <w:r w:rsidRPr="00E35DF9">
        <w:rPr>
          <w:rFonts w:ascii="Times New Roman" w:eastAsia="Calibri" w:hAnsi="Times New Roman" w:cs="Times New Roman"/>
          <w:vertAlign w:val="subscript"/>
        </w:rPr>
        <w:t>2</w:t>
      </w:r>
      <w:r w:rsidRPr="00E35DF9">
        <w:rPr>
          <w:rFonts w:ascii="Times New Roman" w:eastAsia="Calibri" w:hAnsi="Times New Roman" w:cs="Times New Roman"/>
        </w:rPr>
        <w:t xml:space="preserve"> receptoriams, </w:t>
      </w:r>
      <w:r w:rsidRPr="00E35DF9">
        <w:rPr>
          <w:rFonts w:ascii="Times New Roman" w:eastAsia="Calibri" w:hAnsi="Times New Roman" w:cs="Times New Roman"/>
          <w:i/>
        </w:rPr>
        <w:t>in vivo</w:t>
      </w:r>
      <w:r w:rsidRPr="00E35DF9">
        <w:rPr>
          <w:rFonts w:ascii="Times New Roman" w:eastAsia="Calibri" w:hAnsi="Times New Roman" w:cs="Times New Roman"/>
        </w:rPr>
        <w:t xml:space="preserve"> – didesnis aktyvumas serotonino 5HT</w:t>
      </w:r>
      <w:r w:rsidRPr="00E35DF9">
        <w:rPr>
          <w:rFonts w:ascii="Times New Roman" w:eastAsia="Calibri" w:hAnsi="Times New Roman" w:cs="Times New Roman"/>
          <w:vertAlign w:val="subscript"/>
        </w:rPr>
        <w:t>2</w:t>
      </w:r>
      <w:r w:rsidRPr="00E35DF9">
        <w:rPr>
          <w:rFonts w:ascii="Times New Roman" w:eastAsia="Calibri" w:hAnsi="Times New Roman" w:cs="Times New Roman"/>
        </w:rPr>
        <w:t xml:space="preserve"> negu dopamino D</w:t>
      </w:r>
      <w:r w:rsidRPr="00E35DF9">
        <w:rPr>
          <w:rFonts w:ascii="Times New Roman" w:eastAsia="Calibri" w:hAnsi="Times New Roman" w:cs="Times New Roman"/>
          <w:vertAlign w:val="subscript"/>
        </w:rPr>
        <w:t>2</w:t>
      </w:r>
      <w:r w:rsidRPr="00E35DF9">
        <w:rPr>
          <w:rFonts w:ascii="Times New Roman" w:eastAsia="Calibri" w:hAnsi="Times New Roman" w:cs="Times New Roman"/>
        </w:rPr>
        <w:t>. Elektrofiziologiniai tyrimai parodė, kad olanzapinas selektyviai mažina mezolimbinių (A10) dopaminerginių neuronų iškrovą ir turi mažą poveikį motorines funkcijas reguliuojančiai dryžuotojo kūno (A9) sistemai. Olanzapino dozės, slopinančios sąlyginį vengimo refleksą (testas, rodantis antipsichozinį aktyvumą), yra mažesnės negu sukeliančios katalepsiją (padarinys, rodantis nepageidaują motorikos poveikį). Atliekant „anksiolitinį” testą, skirtingai negu kai kurie kiti antipsichoziniai vaistai, olanzapinas padidina reakciją.</w:t>
      </w:r>
    </w:p>
    <w:p w14:paraId="34BA31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606FE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Pozitronų emisijos tomografijos (PET) tyrimu nustatyta, kad sveikų savanorių, išgėrusių vienkartinę (10 mg) olanzapino dozę, organizme prie 5 HT</w:t>
      </w:r>
      <w:r w:rsidRPr="00E35DF9">
        <w:rPr>
          <w:rFonts w:ascii="Times New Roman" w:eastAsia="Calibri" w:hAnsi="Times New Roman" w:cs="Times New Roman"/>
          <w:vertAlign w:val="subscript"/>
        </w:rPr>
        <w:t>2A</w:t>
      </w:r>
      <w:r w:rsidRPr="00E35DF9">
        <w:rPr>
          <w:rFonts w:ascii="Times New Roman" w:eastAsia="Calibri" w:hAnsi="Times New Roman" w:cs="Times New Roman"/>
        </w:rPr>
        <w:t xml:space="preserve"> receptorių olanzapino prisijungė daugiau negu prie dopamino D</w:t>
      </w:r>
      <w:r w:rsidRPr="00E35DF9">
        <w:rPr>
          <w:rFonts w:ascii="Times New Roman" w:eastAsia="Calibri" w:hAnsi="Times New Roman" w:cs="Times New Roman"/>
          <w:vertAlign w:val="subscript"/>
        </w:rPr>
        <w:t>2</w:t>
      </w:r>
      <w:r w:rsidRPr="00E35DF9">
        <w:rPr>
          <w:rFonts w:ascii="Times New Roman" w:eastAsia="Calibri" w:hAnsi="Times New Roman" w:cs="Times New Roman"/>
        </w:rPr>
        <w:t xml:space="preserve"> receptorių. Be to, vieno fotono emisijos kompiuterinės tomografijos (SPECT) vaizdo tyrimu, kuriame dalyvavo šizofrenija sergantys ligoniai, nustatyta, kad olanzapinu sėkmingai gydomų pacientų organizmo dryžuotajame kūne buvo mažiau užimtų D</w:t>
      </w:r>
      <w:r w:rsidRPr="00E35DF9">
        <w:rPr>
          <w:rFonts w:ascii="Times New Roman" w:eastAsia="Calibri" w:hAnsi="Times New Roman" w:cs="Times New Roman"/>
          <w:vertAlign w:val="subscript"/>
        </w:rPr>
        <w:t>2</w:t>
      </w:r>
      <w:r w:rsidRPr="00E35DF9">
        <w:rPr>
          <w:rFonts w:ascii="Times New Roman" w:eastAsia="Calibri" w:hAnsi="Times New Roman" w:cs="Times New Roman"/>
        </w:rPr>
        <w:t xml:space="preserve"> receptorių negu pacientų, sėkmingai gydomų kitais antipsichoziniais vaistais ir risperidonu, ir panašiai kaip sėkmingai klozapinu gydomų pacientų. </w:t>
      </w:r>
    </w:p>
    <w:p w14:paraId="3568425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BC6436B" w14:textId="77777777" w:rsidR="00E35DF9" w:rsidRPr="00E35DF9" w:rsidRDefault="00E35DF9" w:rsidP="00E35DF9">
      <w:pPr>
        <w:keepNext/>
        <w:tabs>
          <w:tab w:val="left" w:pos="567"/>
        </w:tabs>
        <w:spacing w:after="0" w:line="240" w:lineRule="auto"/>
        <w:rPr>
          <w:rFonts w:ascii="Times New Roman" w:eastAsia="Times New Roman" w:hAnsi="Times New Roman" w:cs="Times New Roman"/>
          <w:noProof/>
          <w:color w:val="000000"/>
          <w:u w:val="single"/>
        </w:rPr>
      </w:pPr>
      <w:r w:rsidRPr="00E35DF9">
        <w:rPr>
          <w:rFonts w:ascii="Times New Roman" w:eastAsia="Times New Roman" w:hAnsi="Times New Roman" w:cs="Times New Roman"/>
          <w:noProof/>
          <w:color w:val="000000"/>
          <w:u w:val="single"/>
        </w:rPr>
        <w:t>Klinikinis veiksmingumas ir saugumas</w:t>
      </w:r>
    </w:p>
    <w:p w14:paraId="0015601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F138AA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Atliekant du iš dviejų placebu ir du iš trijų lyginamųjų kontroliuojamų tyrimų, dalyvavusiems daugiau nei 2900 šizofrenija sergančių pacientų su teigiamais ir neigiamais simptomais olanzapinas statistiškai reikšmingai palengvino ir teigiamus, ir neigiamus simptomus.</w:t>
      </w:r>
    </w:p>
    <w:p w14:paraId="3BBAE2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B966B8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Tarptautinio lyginamojo dvigubai aklo tyrimo metu dalyvaujant 1481 pacientui, sergančiam šizofrenija, šizoafektiniu ar panašiu sutrikimu, esant įvairaus laipsnio asocijuotų depresijos simptomų (bazinis vidutinis rodiklis pagal </w:t>
      </w:r>
      <w:r w:rsidRPr="00E35DF9">
        <w:rPr>
          <w:rFonts w:ascii="Times New Roman" w:eastAsia="Calibri" w:hAnsi="Times New Roman" w:cs="Times New Roman"/>
          <w:i/>
        </w:rPr>
        <w:t>Montgomery-Asberg</w:t>
      </w:r>
      <w:r w:rsidRPr="00E35DF9">
        <w:rPr>
          <w:rFonts w:ascii="Times New Roman" w:eastAsia="Calibri" w:hAnsi="Times New Roman" w:cs="Times New Roman"/>
        </w:rPr>
        <w:t xml:space="preserve"> depresijos vertinimo skalę buvo 16,6), prospektyvi antrinė nuotaikos skalės rodiklių prieš gydymą ir galutinių tyrimo rezultatų pokyčio analizė parodė statistiškai reikšmingą palengvėjimą (p = 0,001) gydant olanzapinu (–6), palyginti su haloperidoliu (–3,1).</w:t>
      </w:r>
    </w:p>
    <w:p w14:paraId="24A6DBE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04DFA1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Pacientams, sergantiems bipoliniu sutrikimu, manijos ar mišraus epizodo metu olanzapino efektyvumas buvo didesnis nei placebo ir valproato (</w:t>
      </w:r>
      <w:r w:rsidRPr="00E35DF9">
        <w:rPr>
          <w:rFonts w:ascii="Times New Roman" w:eastAsia="Calibri" w:hAnsi="Times New Roman" w:cs="Times New Roman"/>
          <w:i/>
        </w:rPr>
        <w:t>divalproex</w:t>
      </w:r>
      <w:r w:rsidRPr="00E35DF9">
        <w:rPr>
          <w:rFonts w:ascii="Times New Roman" w:eastAsia="Calibri" w:hAnsi="Times New Roman" w:cs="Times New Roman"/>
        </w:rPr>
        <w:t>) slopinant manijos simptomus 3 savaites. Olanzapino efektyvumas buvo panašus kaip haloperidolio lyginant manijos ir depresijos simptomų palengvėjimo santykį per 6 ir 12 savaičių. Atliekant jungtinės terapijos tyrimą, kai pacientams mažiausiai 2 savaites buvo skiriamas vartoti litis arba valproatas, papildomai paskyrus vartoti 10 mg olanzapino (gydymas kartu su ličiu arba valproatu) manijos simptomai buvo slopinami geriau nei 6 savaites vartojant vien litį arba valproatą.</w:t>
      </w:r>
    </w:p>
    <w:p w14:paraId="3A7F21E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A44C94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12 mėnesių pasikartojimo prevencijos tyrimo metu pacientams, kuriems manijos epizodas buvo sėkmingai nuslopintas olanzapinu, buvo atsitiktinai skirtas vartoti olanzapinas arba placebas, olanzapinas statistiškai daug geriau nei placebas nutraukė pirminį bipolinio sutrikimo pasikartojimą. Be to, olanzapinas buvo statistiškai daug pranašesnis už placebą užkertant kelią tiek manijos, tiek depresijos pasikartojimui. </w:t>
      </w:r>
    </w:p>
    <w:p w14:paraId="7BEA764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CC807D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Antro 12 mėnesių pasikartojimo prevencijos tyrimo metu pacientams, kuriems manijos epizodas buvo sėkmingai nuslopintas olanzapino ir ličio deriniu, atsitiktinių imčių būdu buvo skirtas vartoti tik olanzapinas arba tik litis, olanzapinas statistiškai ne blogiau nei litis nutraukė pirminį bipolinio sutrikimo pasikartojimą (olanzapinas – 30,0 %, litis – 38,3 %; p = 0,055).</w:t>
      </w:r>
    </w:p>
    <w:p w14:paraId="50E2782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B29874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18 mėnesių jungtinės terapijos tyrimo metu pacientams, kuriems manijos arba mišrus epizodas buvo sėkmingai stabilizuotas vartojant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(diagnostiniais) nustatymo kriterijais. </w:t>
      </w:r>
    </w:p>
    <w:p w14:paraId="23369C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12B778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Vaikų populiacija</w:t>
      </w:r>
    </w:p>
    <w:p w14:paraId="7B94B82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p>
    <w:p w14:paraId="136988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Kontroliuojamieji veiksmingumo paauglių (13–17 metų amžiaus) duomenys</w:t>
      </w:r>
      <w:r w:rsidRPr="00E35DF9">
        <w:rPr>
          <w:rFonts w:ascii="Calibri" w:eastAsia="Calibri" w:hAnsi="Calibri" w:cs="Times New Roman"/>
        </w:rPr>
        <w:t xml:space="preserve"> </w:t>
      </w:r>
      <w:r w:rsidRPr="00E35DF9">
        <w:rPr>
          <w:rFonts w:ascii="Times New Roman" w:eastAsia="Calibri" w:hAnsi="Times New Roman" w:cs="Times New Roman"/>
        </w:rPr>
        <w:t>yra riboti ir yra pagrįsti</w:t>
      </w:r>
    </w:p>
    <w:p w14:paraId="52AC8E5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trumpalaikių šizofrenijos (6 savaičių) ir manijos, susijusios su bipoliniu I tipo sutrikimu (3 savaičių)</w:t>
      </w:r>
    </w:p>
    <w:p w14:paraId="40DD7C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gydymo veiksmingumo tyrimų, kuriuose dalyvavo mažiau kaip 200 paauglių, duomenimis. Olanzapinas buvo vartojamas pritaikomomis dozėmis, pradedant 2,5 ir tęsiant iki 20 mg per parą. Gydant olanzapinu, paaugliai priaugo gerokai daugiau svorio, palyginti su suaugusiaisiais. Bendro cholesterolio, MTL, trigliceridų ir prolaktino pokyčių reikšmė nevalgius (žr. 4.4 ir 4.8 skyrius) paaugliams buvo didesnė nei suaugusiems. Nėra kontroliuojamųjų duomenų apie poveikio išlaikymą, o ilgalaikio vartojimo saugumo duomenų yra nedaug (žr. 4.4 ir 4.8</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skyrius).</w:t>
      </w:r>
      <w:r w:rsidRPr="00E35DF9">
        <w:rPr>
          <w:rFonts w:ascii="Calibri" w:eastAsia="Calibri" w:hAnsi="Calibri" w:cs="Times New Roman"/>
        </w:rPr>
        <w:t xml:space="preserve"> </w:t>
      </w:r>
      <w:r w:rsidRPr="00E35DF9">
        <w:rPr>
          <w:rFonts w:ascii="Times New Roman" w:eastAsia="Calibri" w:hAnsi="Times New Roman" w:cs="Times New Roman"/>
        </w:rPr>
        <w:t>Informacija apie ilgalaikį saugumą yra ribota, nes visų pirma yra pagrįsta atviru būdu surinktais nekontroliuojamaisiais duomenimis.</w:t>
      </w:r>
    </w:p>
    <w:p w14:paraId="0BF8F7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92A331E"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5.2</w:t>
      </w:r>
      <w:r w:rsidRPr="00E35DF9">
        <w:rPr>
          <w:rFonts w:ascii="Times New Roman" w:eastAsia="Calibri" w:hAnsi="Times New Roman" w:cs="Times New Roman"/>
          <w:b/>
        </w:rPr>
        <w:tab/>
        <w:t>Farmakokinetinės savybės</w:t>
      </w:r>
    </w:p>
    <w:p w14:paraId="12F7E2B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AC222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Absorbcija</w:t>
      </w:r>
    </w:p>
    <w:p w14:paraId="14A54C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483CA6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Išgertas olanzapinas gerai absorbuojamas, didžiausia jo koncentracija kraujo plazmoje susidaro po 5</w:t>
      </w:r>
      <w:r w:rsidRPr="00E35DF9">
        <w:rPr>
          <w:rFonts w:ascii="Times New Roman" w:eastAsia="Times New Roman" w:hAnsi="Times New Roman" w:cs="Times New Roman"/>
          <w:lang w:eastAsia="hu-HU"/>
        </w:rPr>
        <w:noBreakHyphen/>
      </w:r>
      <w:r w:rsidRPr="00E35DF9">
        <w:rPr>
          <w:rFonts w:ascii="Times New Roman" w:eastAsia="Calibri" w:hAnsi="Times New Roman" w:cs="Times New Roman"/>
        </w:rPr>
        <w:t>8</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valandų. Maistas absorbcijos neveikia. Absoliutus išgerto vaisto biologinis prieinamumas, palyginti su sušvirkšto į veną, nenustatytas.</w:t>
      </w:r>
    </w:p>
    <w:p w14:paraId="6EF8A9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495573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Pasiskirstymas</w:t>
      </w:r>
    </w:p>
    <w:p w14:paraId="0040780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499F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Maždaug 93 % olanzapino būna prisijungę prie plazmos baltymų, kai koncentracija kraujyje yra</w:t>
      </w:r>
    </w:p>
    <w:p w14:paraId="577BAD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nuo 7 ng/ml iki 1000 ng/ml ribose. Daugiausia olanzapino prisijungia prie albumino ir α</w:t>
      </w:r>
      <w:r w:rsidRPr="00E35DF9">
        <w:rPr>
          <w:rFonts w:ascii="Times New Roman" w:eastAsia="Calibri" w:hAnsi="Times New Roman" w:cs="Times New Roman"/>
          <w:vertAlign w:val="subscript"/>
        </w:rPr>
        <w:t>1</w:t>
      </w:r>
      <w:r w:rsidRPr="00E35DF9">
        <w:rPr>
          <w:rFonts w:ascii="Times New Roman" w:eastAsia="Calibri" w:hAnsi="Times New Roman" w:cs="Times New Roman"/>
        </w:rPr>
        <w:t xml:space="preserve"> rūgščiojo</w:t>
      </w:r>
    </w:p>
    <w:p w14:paraId="3ECE6DC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glikoproteino.</w:t>
      </w:r>
    </w:p>
    <w:p w14:paraId="1055F48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C92062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Biotransformacija</w:t>
      </w:r>
    </w:p>
    <w:p w14:paraId="1903DC3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240B1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Olanzapinas metabolizuojamas kepenyse konjugacijos ir oksidacijos būdu. Daugiausia cirkuliuoja metabolito 10-N-gliukuronido, kuris neereina per hematoencefalinį barjerą. Veikiant citochromams P450-CYP1A2 ir P450-CYP2D6, susidaro N-desmetilo ir 2-hidroksimetilo metabolitų. Tyrimai su gyvūnais parodė, kad abu metabolitai in vivo farmakologiškai veikia daug silpniau negu olanzapinas. Todėl farmakologinis poveikis daugiausia priklauso nuo pradinio olanzapino. Sveikų asmenų vidutinis išgerto olanzapino pusinės eliminacijos periodas priklausė nuo amžiaus ir lyties.</w:t>
      </w:r>
    </w:p>
    <w:p w14:paraId="35CA34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949B62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Eliminacija</w:t>
      </w:r>
    </w:p>
    <w:p w14:paraId="0BDDC26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57685E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Sveikų senyvų asmenų (65 metų ir daugiau), palyginti su jaunesniais, vidutinis pusinės eliminacijos laikas buvo ilgesnis (atitinkamai 51,8 val. ir 33,8 val.), o klirensas mažesnis (atitinkamai 17,5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ir 18,2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Farmakokinetikos senyvų pacientų organizme kintamumas atitinka jaunesnių pacientų ribas. 44 vyresniems kaip 65 metų pacientams, sergantiems šizofrenija, 5–20 mg paros dozė nesukėlė išskirtinio nepageidaujamo poveikio. </w:t>
      </w:r>
    </w:p>
    <w:p w14:paraId="3EFD105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D68D6B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Moterų, payginti su vyrais, vidutinis pusinės eliminacijos laikas buvo šiek tiek ilgesnis (atitinkamai 36,7 val. ir 32,3 val.), o klirensas mažesnis (atitinkamai 18,9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ir 27,3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Tačiau olanzapinas (5–20 mg) buvo toks pat saugus ir moterims (n = 467), ir vyrams (n = 869).</w:t>
      </w:r>
    </w:p>
    <w:p w14:paraId="0A02D12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91F6D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Sutrikusi inkstų funkcija</w:t>
      </w:r>
    </w:p>
    <w:p w14:paraId="35C75C5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C2DEB9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Pacientams, kuriems buvo inkstų nepakankamumas (kreatinino klirensas &lt;</w:t>
      </w:r>
      <w:r w:rsidRPr="00E35DF9">
        <w:rPr>
          <w:rFonts w:ascii="Times New Roman" w:eastAsia="Times New Roman" w:hAnsi="Times New Roman" w:cs="Times New Roman"/>
          <w:lang w:eastAsia="hu-HU"/>
        </w:rPr>
        <w:t> </w:t>
      </w:r>
      <w:r w:rsidRPr="00E35DF9">
        <w:rPr>
          <w:rFonts w:ascii="Times New Roman" w:eastAsia="Calibri" w:hAnsi="Times New Roman" w:cs="Times New Roman"/>
        </w:rPr>
        <w:t>10 ml/min.), palyginti su sveikaisiais, nustatyta tik neryškių vidutinio pusinio eliminacijos laiko (atitinkamai 37,7 val. ir 32,4 val.) ir vaisto klirenso (atitinkamai 21,2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ir 25,0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skirtumų. Masių pusiausvyros tyrimų metu nustatyta, kad apie 57 % radioaktyviąja medžiaga žymėto olanzapino išsiskiria su šlapimu, daugiausia metabolitų pavidalu.</w:t>
      </w:r>
    </w:p>
    <w:p w14:paraId="48B2E67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240B72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color w:val="000000"/>
          <w:u w:val="single"/>
        </w:rPr>
        <w:lastRenderedPageBreak/>
        <w:t>Sutrikusi kepenų funkcija</w:t>
      </w:r>
    </w:p>
    <w:p w14:paraId="57BE3A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p>
    <w:p w14:paraId="37D899E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Nedidelės apimties tyrimas, kurio metu buvo tirta kepenų funkcijos sutrikimo įtaka 6 tiriamųjų,</w:t>
      </w:r>
    </w:p>
    <w:p w14:paraId="0B94D74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kuriems diagnozuota kliniškai reikšminga (A [n = 5] ar B [n = 1] klasės pagal Child-Pugh</w:t>
      </w:r>
    </w:p>
    <w:p w14:paraId="6812DC7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klasifikaciją) cirozė, organizme, atskleidė nedidelį poveikį per burną pavartoto olanzapino (2,5 – 7,5 mg vienkartinės dozės) farmakokinetinėms savybėms: šiek tiek padidėjo sisteminis klirensas iš tiriamųjų, kuriems buvo diagnozuotas lengvas ar vidutinio sunkumo kepenų funkcijos sutrikimas,</w:t>
      </w:r>
    </w:p>
    <w:p w14:paraId="36A1754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organizmo ir buvo greitesnė pusinė eliminacija, palyginti su tiriamaisiais, kurių kepenų funkcija nebuvo sutrikusi (n = 3). Tiriamųjų, sergančių ciroze, grupėje buvo daugiau rūkančių asmenų (4/6;</w:t>
      </w:r>
    </w:p>
    <w:p w14:paraId="6B1C5A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67 %) nei grupėje tiriamųjų, kurių kepenų funkcija nebuvo sutrikusi (0/3; 0 %).</w:t>
      </w:r>
    </w:p>
    <w:p w14:paraId="39CD199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C5CA17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Rūkymas</w:t>
      </w:r>
    </w:p>
    <w:p w14:paraId="58ABD8C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3A836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Nerūkančių asmenų (vyrų ir moterų), palyginti su rūkančiais, vidutinis pusinės eliminacijos laikas buvo ilgesnis (atitinkamai 38,6 val. ir 30,4 val.), o klirensas mažesnis (atitinkamai 18,6 l/</w:t>
      </w:r>
      <w:r w:rsidRPr="00E35DF9">
        <w:rPr>
          <w:rFonts w:ascii="Times New Roman" w:eastAsia="Times New Roman" w:hAnsi="Times New Roman" w:cs="Times New Roman"/>
          <w:lang w:eastAsia="hu-HU"/>
        </w:rPr>
        <w:t>val.</w:t>
      </w:r>
      <w:r w:rsidRPr="00E35DF9">
        <w:rPr>
          <w:rFonts w:ascii="Times New Roman" w:eastAsia="Calibri" w:hAnsi="Times New Roman" w:cs="Times New Roman"/>
        </w:rPr>
        <w:t xml:space="preserve"> ir 27,7 l/</w:t>
      </w:r>
      <w:r w:rsidRPr="00E35DF9">
        <w:rPr>
          <w:rFonts w:ascii="Times New Roman" w:eastAsia="Times New Roman" w:hAnsi="Times New Roman" w:cs="Times New Roman"/>
          <w:lang w:eastAsia="hu-HU"/>
        </w:rPr>
        <w:t>val.).</w:t>
      </w:r>
    </w:p>
    <w:p w14:paraId="7730DE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8E74B5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Olanzapino klirensas plazmoje yra mažesnis senyvų pacientų, palyginti su jaunesniais, moterų, palyginti su vyrais, ir nerūkančiųjų, palyginti su rūkančiaisiais. Tačiau amžiaus, lyties ir rūkymo įtaka olanzapino klirensui ir pusinės eliminacijos laikui yra nedidelė, palyginti su bendraisiais individų tarpusavio skirtumais.</w:t>
      </w:r>
    </w:p>
    <w:p w14:paraId="4C41B1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F3044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Tiriant trijų populiacijų – baltaodžių, japonų ir kinų – farmakokinetikos rodiklius, skirtumų nenustatyta.</w:t>
      </w:r>
    </w:p>
    <w:p w14:paraId="49CF83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904A4D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Vaikų populiacija</w:t>
      </w:r>
    </w:p>
    <w:p w14:paraId="023497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695E03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Paaugliai (13–17 metų amžiaus): paauglių ir suaugusiųjų organizme olanzapino farmakokinetika yra panaši. Klinikinių tyrimų metu olanzapino ekspozicijos vidurkis paaugliams buvo 27 % didesnis. Tarp paauglių ir suaugusiųjų yra demografinių skirtumų, t. y. mažesnis kūno masės vidurkis ir mažiau rūkančių paauglių. Šie veiksniai tikriausiai prisideda prie didesnio paaugliams nustatyto ekspozicijos vidurkio. </w:t>
      </w:r>
    </w:p>
    <w:p w14:paraId="2EC69B8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449982F"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5.3</w:t>
      </w:r>
      <w:r w:rsidRPr="00E35DF9">
        <w:rPr>
          <w:rFonts w:ascii="Times New Roman" w:eastAsia="Calibri" w:hAnsi="Times New Roman" w:cs="Times New Roman"/>
          <w:b/>
        </w:rPr>
        <w:tab/>
        <w:t>Ikiklinikinių saugumo tyrimų duomenys</w:t>
      </w:r>
    </w:p>
    <w:p w14:paraId="66600C8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DCC8B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Ūminis (vienkartinės dozės) toksinis poveikis</w:t>
      </w:r>
    </w:p>
    <w:p w14:paraId="7AFD6C8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739FFC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Per burną pavartoto preparato toksinis poveikis graužikams buvo toks pat kaip stiprių neuroleptikų derinių – aktyvumo sumažėjimas, koma, tremoras, kloniniai traukuliai, seilėtekis ir svorio augimo slopinimas. Pelėms vidutinė letalinė dozė buvo maždaug 210 mg/kg, žiurkėms </w:t>
      </w:r>
      <w:r w:rsidRPr="00E35DF9">
        <w:rPr>
          <w:rFonts w:ascii="Times New Roman" w:eastAsia="Calibri" w:hAnsi="Times New Roman" w:cs="Times New Roman"/>
        </w:rPr>
        <w:sym w:font="Symbol" w:char="F02D"/>
      </w:r>
      <w:r w:rsidRPr="00E35DF9">
        <w:rPr>
          <w:rFonts w:ascii="Times New Roman" w:eastAsia="Calibri" w:hAnsi="Times New Roman" w:cs="Times New Roman"/>
        </w:rPr>
        <w:t xml:space="preserve"> 175 mg/kg kūno svorio. Šunys toleravo net 100 mg/kg vienkartines dozes ir nenugaišo. Jiems atsirado tokių reiškinių: sedacija, ataksija, tremoras, širdies ritmo padažnėjimas, kvėpavimo pasunkėjimas, miozė ir anoreksija. Beždžionėms ne didesnės kaip 100 mg/kg vienkartinės dozės sukėlė nusilpimą, didesnės dozės </w:t>
      </w:r>
      <w:r w:rsidRPr="00E35DF9">
        <w:rPr>
          <w:rFonts w:ascii="Times New Roman" w:eastAsia="Calibri" w:hAnsi="Times New Roman" w:cs="Times New Roman"/>
        </w:rPr>
        <w:sym w:font="Symbol" w:char="F02D"/>
      </w:r>
      <w:r w:rsidRPr="00E35DF9">
        <w:rPr>
          <w:rFonts w:ascii="Times New Roman" w:eastAsia="Calibri" w:hAnsi="Times New Roman" w:cs="Times New Roman"/>
        </w:rPr>
        <w:t xml:space="preserve"> sąmonės pritemimą.</w:t>
      </w:r>
    </w:p>
    <w:p w14:paraId="3715D2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B2634F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Kartotinių dozių toksinis poveikis</w:t>
      </w:r>
    </w:p>
    <w:p w14:paraId="63CC0329"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24A224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Trijų mėnesių tyrimų metu pelėms ir vienerių metų tyrimų metu žiurkėms bei šunims pagrindinis poveikis buvo CNS slopinimas, anticholinerginis poveikis ir periferinio kraujo pokyčiai. CNS slopinimui pasireiškė tolerancija. Nuo didelių dozių sumažėjo augimo parametrai. Žiurkėms atsirado laikinas poveikis, susijęs su prolaktino kiekio padidėjimu – sumažėjo kiaušidžių ir gimdos svoris, atsirado morfologinių makšties epitelio ir pieno liaukų pokyčių.</w:t>
      </w:r>
    </w:p>
    <w:p w14:paraId="7B64A53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F23B9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Toksinis poveikis kraujodarai</w:t>
      </w:r>
    </w:p>
    <w:p w14:paraId="7898E09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BEE1B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Visų rūšių gyvūnams pasireiškė poveikis kraujo parametrams, įskaitant nuo dozės dydžio priklausantį cirkuliuojančių leukocitų kiekio sumažėjimą pelėms ir nespecifinį cirkuliuojančių leukocitų kiekio sumažėjimą žiurkėms, tačiau įrodymų apie citotoksinį poveikį kaulų čiulpams nebuvo. Keliems šunims, gavusiems 8 mg/kg ar 10 mg/kg paros dozę (bendra olanzapino ekspozicija (AUC) buvo 12–15 kartų didesnė nei 12 mg paros dozę vartojančio žmogaus), atsirado laikina neutropenija, trombocitopenija ar anemija. Šunų, kurių kraujyje buvo sumažėjęs ląstelių kiekis, kaulų čiulpų kamieninėms ir proliferuojančioms ląstelėms nepageidaujamo poveikio nepasireiškė.</w:t>
      </w:r>
    </w:p>
    <w:p w14:paraId="18A6269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923061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Toksinis poveikis reprodukcijai</w:t>
      </w:r>
    </w:p>
    <w:p w14:paraId="0FAD394F"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37C51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Teratogeninio poveikio olanzapinas nesukėlė. Sedacinis poveikis turėjo įtakos žiurkių patinų poravimuisi. 1,1 mg/kg dozės (3 kartus didesnės už didžiausią žmogaus dozę) veikė žiurkių estrogeninius ciklus, 3 mg/kg dozė (9 kartus didesnė už didžiausią žmogaus dozę) veikė reprodukcijos parametrus. Vaikingoms žiurkėms olanzapinas uždelsė vaisiaus vystymąsi, laikinai sumažino atsivestų jauniklių aktyvumą. </w:t>
      </w:r>
    </w:p>
    <w:p w14:paraId="535C32D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3165EF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Mutageniškumas</w:t>
      </w:r>
    </w:p>
    <w:p w14:paraId="5C46A1F7"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CC0785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Atliekant visus įprastinius tyrimus, įskaitant bakterijų mutacijos testus bei </w:t>
      </w:r>
      <w:r w:rsidRPr="00E35DF9">
        <w:rPr>
          <w:rFonts w:ascii="Times New Roman" w:eastAsia="Calibri" w:hAnsi="Times New Roman" w:cs="Times New Roman"/>
          <w:i/>
        </w:rPr>
        <w:t>in vitro</w:t>
      </w:r>
      <w:r w:rsidRPr="00E35DF9">
        <w:rPr>
          <w:rFonts w:ascii="Times New Roman" w:eastAsia="Calibri" w:hAnsi="Times New Roman" w:cs="Times New Roman"/>
        </w:rPr>
        <w:t xml:space="preserve"> ir </w:t>
      </w:r>
      <w:r w:rsidRPr="00E35DF9">
        <w:rPr>
          <w:rFonts w:ascii="Times New Roman" w:eastAsia="Calibri" w:hAnsi="Times New Roman" w:cs="Times New Roman"/>
          <w:i/>
        </w:rPr>
        <w:t>in vivo</w:t>
      </w:r>
      <w:r w:rsidRPr="00E35DF9">
        <w:rPr>
          <w:rFonts w:ascii="Times New Roman" w:eastAsia="Calibri" w:hAnsi="Times New Roman" w:cs="Times New Roman"/>
        </w:rPr>
        <w:t xml:space="preserve"> žinduolių testus, mutageninio ar klastogeninio poveikio olanzapinas neturėjo. </w:t>
      </w:r>
    </w:p>
    <w:p w14:paraId="1ED4915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BD9AA1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u w:val="single"/>
        </w:rPr>
      </w:pPr>
      <w:r w:rsidRPr="00E35DF9">
        <w:rPr>
          <w:rFonts w:ascii="Times New Roman" w:eastAsia="Calibri" w:hAnsi="Times New Roman" w:cs="Times New Roman"/>
          <w:i/>
          <w:u w:val="single"/>
        </w:rPr>
        <w:t>Kancerogeniškumas</w:t>
      </w:r>
    </w:p>
    <w:p w14:paraId="485F70F3"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07CFB6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Remiantis tyrimų su žiurkėmis ir pelėmis rezultatais, galima daryti išvadą, kad olanzapinas nėra kancerogeniškas. </w:t>
      </w:r>
    </w:p>
    <w:p w14:paraId="25C4C80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93A7DD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Rizikos aplinkai vertinimas (RAV)</w:t>
      </w:r>
    </w:p>
    <w:p w14:paraId="23F9D3DB"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424147F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Nesitikima, kad Egolanza, vartojamas pagal pateiktą produkto informaciją, turėtų nepageidaujamą poveikį aplinkai. </w:t>
      </w:r>
    </w:p>
    <w:p w14:paraId="5D7356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CD20E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175FB69"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6.</w:t>
      </w:r>
      <w:r w:rsidRPr="00E35DF9">
        <w:rPr>
          <w:rFonts w:ascii="Times New Roman" w:eastAsia="Calibri" w:hAnsi="Times New Roman" w:cs="Times New Roman"/>
          <w:b/>
        </w:rPr>
        <w:tab/>
        <w:t>FARMACINĖ INFORMACIJA</w:t>
      </w:r>
    </w:p>
    <w:p w14:paraId="763AADA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25D170"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Times New Roman" w:hAnsi="Times New Roman" w:cs="Times New Roman"/>
          <w:b/>
          <w:lang w:eastAsia="hu-HU"/>
        </w:rPr>
        <w:t>6.1</w:t>
      </w:r>
      <w:r w:rsidRPr="00E35DF9">
        <w:rPr>
          <w:rFonts w:ascii="Times New Roman" w:eastAsia="Times New Roman" w:hAnsi="Times New Roman" w:cs="Times New Roman"/>
          <w:b/>
          <w:lang w:eastAsia="hu-HU"/>
        </w:rPr>
        <w:tab/>
      </w:r>
      <w:r w:rsidRPr="00E35DF9">
        <w:rPr>
          <w:rFonts w:ascii="Times New Roman" w:eastAsia="Calibri" w:hAnsi="Times New Roman" w:cs="Times New Roman"/>
          <w:b/>
        </w:rPr>
        <w:t>Pagalbinių medžiagų sąrašas</w:t>
      </w:r>
    </w:p>
    <w:p w14:paraId="79E09EC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939655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69F14A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šerdis:</w:t>
      </w:r>
    </w:p>
    <w:p w14:paraId="68CC2A5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Mikrokristalinė celiuliozė</w:t>
      </w:r>
    </w:p>
    <w:p w14:paraId="7B813F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Laktozė monohidratas</w:t>
      </w:r>
    </w:p>
    <w:p w14:paraId="287FEA4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Hidroksipropilceliuliozė</w:t>
      </w:r>
    </w:p>
    <w:p w14:paraId="4E4C8AA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Krospovidonas </w:t>
      </w:r>
    </w:p>
    <w:p w14:paraId="6970EE9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Magnio stearatas</w:t>
      </w:r>
    </w:p>
    <w:p w14:paraId="2C7E8F6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 xml:space="preserve">Tabletės plėvelė: </w:t>
      </w:r>
    </w:p>
    <w:p w14:paraId="0E4FDC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Hipromeliozė</w:t>
      </w:r>
    </w:p>
    <w:p w14:paraId="28C8070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Chinolino geltonasis (E 104)</w:t>
      </w:r>
    </w:p>
    <w:p w14:paraId="1CC38C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14F3458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3C00D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14:paraId="09D7F0C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šerdis:</w:t>
      </w:r>
    </w:p>
    <w:p w14:paraId="3C3C85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Mikrokristalinė celiuliozė</w:t>
      </w:r>
    </w:p>
    <w:p w14:paraId="78CC8C2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Laktozė monohidratas</w:t>
      </w:r>
    </w:p>
    <w:p w14:paraId="5A2A428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Hidroksipropilceliuliozė</w:t>
      </w:r>
    </w:p>
    <w:p w14:paraId="22465CD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Krospovidonas </w:t>
      </w:r>
    </w:p>
    <w:p w14:paraId="0064F90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Magnio stearatas</w:t>
      </w:r>
    </w:p>
    <w:p w14:paraId="3CB34A1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plėvelė:</w:t>
      </w:r>
    </w:p>
    <w:p w14:paraId="452EB43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Hipromeliozė </w:t>
      </w:r>
    </w:p>
    <w:p w14:paraId="2BC58CD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 xml:space="preserve">Chinolinas geltonasis (E 104) </w:t>
      </w:r>
    </w:p>
    <w:p w14:paraId="54B9A1B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707D185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A1B599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 xml:space="preserve">Egolanza 10 mg plėvele dengtos tabletės </w:t>
      </w:r>
    </w:p>
    <w:p w14:paraId="564887C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šerdis:</w:t>
      </w:r>
    </w:p>
    <w:p w14:paraId="378D2D7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Mikrokristalinė celiuliozė</w:t>
      </w:r>
    </w:p>
    <w:p w14:paraId="3E16F29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Laktozė monohidratas</w:t>
      </w:r>
    </w:p>
    <w:p w14:paraId="116597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Hidroksipropilceliuliozė</w:t>
      </w:r>
    </w:p>
    <w:p w14:paraId="016EDAC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Krospovidonas </w:t>
      </w:r>
    </w:p>
    <w:p w14:paraId="14CC0E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Magnio stearatas</w:t>
      </w:r>
    </w:p>
    <w:p w14:paraId="73595C5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 xml:space="preserve">Tabletės plėvelė: </w:t>
      </w:r>
    </w:p>
    <w:p w14:paraId="4638BA5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Hipromeliozė</w:t>
      </w:r>
    </w:p>
    <w:p w14:paraId="095111A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Chinolino geltonasis (E 104)</w:t>
      </w:r>
    </w:p>
    <w:p w14:paraId="061E945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5E2DF7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46A48B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1C75774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šerdis:</w:t>
      </w:r>
    </w:p>
    <w:p w14:paraId="616D482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Mikrokristalinė celiuliozė</w:t>
      </w:r>
    </w:p>
    <w:p w14:paraId="387652A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Laktozė monohidratas</w:t>
      </w:r>
    </w:p>
    <w:p w14:paraId="2E4D402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Hidroksipropilceliuliozė</w:t>
      </w:r>
    </w:p>
    <w:p w14:paraId="64A4266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Krospovidonas</w:t>
      </w:r>
    </w:p>
    <w:p w14:paraId="0862741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Magnio stearatas</w:t>
      </w:r>
    </w:p>
    <w:p w14:paraId="440C906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 xml:space="preserve">Tabletės plėvelė: </w:t>
      </w:r>
    </w:p>
    <w:p w14:paraId="310D083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Hipromeliozė </w:t>
      </w:r>
    </w:p>
    <w:p w14:paraId="5C016B1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Chinolino geltonasis (E 104)</w:t>
      </w:r>
    </w:p>
    <w:p w14:paraId="3D7733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2109C63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F04ED1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4B075F8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Tabletės šerdis:</w:t>
      </w:r>
    </w:p>
    <w:p w14:paraId="74E9447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Mikrokristalinė celiuliozė</w:t>
      </w:r>
    </w:p>
    <w:p w14:paraId="33F380F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Laktozė monohidratas</w:t>
      </w:r>
    </w:p>
    <w:p w14:paraId="1FA6419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Hidroksipropilceliuliozė</w:t>
      </w:r>
    </w:p>
    <w:p w14:paraId="482F25D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Krospovidonas </w:t>
      </w:r>
    </w:p>
    <w:p w14:paraId="53CC20E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Magnio stearatas</w:t>
      </w:r>
    </w:p>
    <w:p w14:paraId="5916BE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 xml:space="preserve">Tabletės plėvelė: </w:t>
      </w:r>
    </w:p>
    <w:p w14:paraId="58A8F86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Hipromeliozė</w:t>
      </w:r>
    </w:p>
    <w:p w14:paraId="654E45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Chinolino geltonasis (E 104)</w:t>
      </w:r>
    </w:p>
    <w:p w14:paraId="06D7021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0178D5D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3AFB77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6.2</w:t>
      </w:r>
      <w:r w:rsidRPr="00E35DF9">
        <w:rPr>
          <w:rFonts w:ascii="Times New Roman" w:eastAsia="Calibri" w:hAnsi="Times New Roman" w:cs="Times New Roman"/>
          <w:b/>
        </w:rPr>
        <w:tab/>
        <w:t>Nesuderinamumas</w:t>
      </w:r>
    </w:p>
    <w:p w14:paraId="571E83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89A97F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Duomenys nebūtini.</w:t>
      </w:r>
    </w:p>
    <w:p w14:paraId="6DC3EB3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0228D32"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6.3</w:t>
      </w:r>
      <w:r w:rsidRPr="00E35DF9">
        <w:rPr>
          <w:rFonts w:ascii="Times New Roman" w:eastAsia="Calibri" w:hAnsi="Times New Roman" w:cs="Times New Roman"/>
          <w:b/>
        </w:rPr>
        <w:tab/>
        <w:t>Tinkamumo laikas</w:t>
      </w:r>
    </w:p>
    <w:p w14:paraId="188F7B4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3790A8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5 metai.</w:t>
      </w:r>
    </w:p>
    <w:p w14:paraId="65962F5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DA3FDD1"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6.4</w:t>
      </w:r>
      <w:r w:rsidRPr="00E35DF9">
        <w:rPr>
          <w:rFonts w:ascii="Times New Roman" w:eastAsia="Calibri" w:hAnsi="Times New Roman" w:cs="Times New Roman"/>
          <w:b/>
        </w:rPr>
        <w:tab/>
        <w:t>Specialios laikymo sąlygos</w:t>
      </w:r>
    </w:p>
    <w:p w14:paraId="274D1E8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498241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Šiam vaistiniam preparatui specialių laikymo sąlygų nereikia.</w:t>
      </w:r>
    </w:p>
    <w:p w14:paraId="6BAC548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D347DC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Times New Roman" w:hAnsi="Times New Roman" w:cs="Times New Roman"/>
          <w:b/>
          <w:lang w:eastAsia="hu-HU"/>
        </w:rPr>
        <w:t>6.5</w:t>
      </w:r>
      <w:r w:rsidRPr="00E35DF9">
        <w:rPr>
          <w:rFonts w:ascii="Times New Roman" w:eastAsia="Times New Roman" w:hAnsi="Times New Roman" w:cs="Times New Roman"/>
          <w:b/>
          <w:lang w:eastAsia="hu-HU"/>
        </w:rPr>
        <w:tab/>
      </w:r>
      <w:r w:rsidRPr="00E35DF9">
        <w:rPr>
          <w:rFonts w:ascii="Times New Roman" w:eastAsia="Calibri" w:hAnsi="Times New Roman" w:cs="Times New Roman"/>
          <w:b/>
        </w:rPr>
        <w:t>Talpyklės pobūdis ir jos turinys</w:t>
      </w:r>
    </w:p>
    <w:p w14:paraId="71CA7CD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023D80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7A23B76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 56 tabletės kartono dėžutėje, supakuotos OPA/Al/PVC //Al lizdinėje plokštelėje.</w:t>
      </w:r>
    </w:p>
    <w:p w14:paraId="473F8DA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C29765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14:paraId="0DACBB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28, 42, 49 ar 56 tabletės kartono dėžutėje, supakuotos OPA/Al/PVC //Al lizdinėje plokštelėje.</w:t>
      </w:r>
    </w:p>
    <w:p w14:paraId="36A4A81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5D0F18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14:paraId="1BCE1E2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 56 tabletės kartono dėžutėje, supakuotos OPA/Al/PVC //Al lizdinėje plokštelėje.</w:t>
      </w:r>
    </w:p>
    <w:p w14:paraId="4D67D02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2A8558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2EE630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 56 tabletės kartono dėžutėje, supakuotos OPA/Al/PVC //Al lizdinėje plokštelėje.</w:t>
      </w:r>
    </w:p>
    <w:p w14:paraId="4FE16B8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5E655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4072E7C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 56 tabletės kartono dėžutėje, supakuotos OPA/Al/PVC //Al lizdinėje plokštelėje.</w:t>
      </w:r>
    </w:p>
    <w:p w14:paraId="1332B42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B3532F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Gali būti tiekiamos ne visų dydžių pakuotės.</w:t>
      </w:r>
    </w:p>
    <w:p w14:paraId="62F1644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19FFDBC"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6.6</w:t>
      </w:r>
      <w:r w:rsidRPr="00E35DF9">
        <w:rPr>
          <w:rFonts w:ascii="Times New Roman" w:eastAsia="Calibri" w:hAnsi="Times New Roman" w:cs="Times New Roman"/>
          <w:b/>
        </w:rPr>
        <w:tab/>
        <w:t>Specialūs reikalavimai atliekoms tvarkyti ir vaistiniam preparatui ruošti</w:t>
      </w:r>
    </w:p>
    <w:p w14:paraId="51D5F34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7E1FC4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Specialių reikalavimų nėra.</w:t>
      </w:r>
    </w:p>
    <w:p w14:paraId="5397E65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56C7A7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Nesuvartotą vaistinį preparatą ar atliekas reikia tvarkyti laikantis vietinių reikalavimų.</w:t>
      </w:r>
    </w:p>
    <w:p w14:paraId="2DA1E49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6CA6C4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EA81B29"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Times New Roman" w:hAnsi="Times New Roman" w:cs="Times New Roman"/>
          <w:b/>
          <w:lang w:eastAsia="hu-HU"/>
        </w:rPr>
        <w:t>7.</w:t>
      </w:r>
      <w:r w:rsidRPr="00E35DF9">
        <w:rPr>
          <w:rFonts w:ascii="Times New Roman" w:eastAsia="Times New Roman" w:hAnsi="Times New Roman" w:cs="Times New Roman"/>
          <w:b/>
          <w:lang w:eastAsia="hu-HU"/>
        </w:rPr>
        <w:tab/>
      </w:r>
      <w:r w:rsidRPr="00E35DF9">
        <w:rPr>
          <w:rFonts w:ascii="Times New Roman" w:eastAsia="Calibri" w:hAnsi="Times New Roman" w:cs="Times New Roman"/>
          <w:b/>
        </w:rPr>
        <w:t>REGISTRUOTOJAS</w:t>
      </w:r>
    </w:p>
    <w:p w14:paraId="6226BF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37C105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14:paraId="498ACEE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H-1106 Budapest, Keresztúri út 30-38</w:t>
      </w:r>
    </w:p>
    <w:p w14:paraId="6D30B88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14:paraId="012404D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DDB427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F91A134"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 xml:space="preserve">REGISTRACIJOS PAŽYMĖJIMO NUMERIS (-IAI) </w:t>
      </w:r>
    </w:p>
    <w:p w14:paraId="50E2224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E35DF9" w:rsidRPr="00E35DF9" w14:paraId="12E584E5" w14:textId="77777777" w:rsidTr="00D82B31">
        <w:tc>
          <w:tcPr>
            <w:tcW w:w="3095" w:type="dxa"/>
          </w:tcPr>
          <w:p w14:paraId="0E48F3B4"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Egolanza 5 mg</w:t>
            </w:r>
          </w:p>
          <w:p w14:paraId="1FB9FCEF"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N28 – LT/1/10/2178/001</w:t>
            </w:r>
          </w:p>
          <w:p w14:paraId="3D292DAC"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N42 – LT/1/10/2178/011</w:t>
            </w:r>
          </w:p>
          <w:p w14:paraId="6FC9F8F2"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N49 – LT/1/10/2178/012</w:t>
            </w:r>
          </w:p>
          <w:p w14:paraId="32605779"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N56 – LT/1/10/2178/008</w:t>
            </w:r>
          </w:p>
        </w:tc>
        <w:tc>
          <w:tcPr>
            <w:tcW w:w="3095" w:type="dxa"/>
          </w:tcPr>
          <w:p w14:paraId="350884AA"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Egolanza 7,5 mg</w:t>
            </w:r>
          </w:p>
          <w:p w14:paraId="22D64115"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N28 – LT/1/10/2178/002</w:t>
            </w:r>
          </w:p>
          <w:p w14:paraId="108B7582"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N42 – LT/1/10/2178/013</w:t>
            </w:r>
          </w:p>
          <w:p w14:paraId="5127BC84"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N49 – LT/1/10/2178/014</w:t>
            </w:r>
          </w:p>
          <w:p w14:paraId="7C77E7F2"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N56 – LT/1/10/2178/003</w:t>
            </w:r>
          </w:p>
        </w:tc>
        <w:tc>
          <w:tcPr>
            <w:tcW w:w="3096" w:type="dxa"/>
          </w:tcPr>
          <w:p w14:paraId="1F0A2082"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Egolanza 10 mg</w:t>
            </w:r>
          </w:p>
          <w:p w14:paraId="628DDCC9"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N28 – LT/1/10/2178/004</w:t>
            </w:r>
          </w:p>
          <w:p w14:paraId="775C08BF"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N42 – LT/1/10/2178/015</w:t>
            </w:r>
          </w:p>
          <w:p w14:paraId="20C87FA6"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N49 – LT/1/10/2178/016</w:t>
            </w:r>
          </w:p>
          <w:p w14:paraId="46D5CB50"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N56 – LT/1/10/2178/005</w:t>
            </w:r>
          </w:p>
        </w:tc>
      </w:tr>
      <w:tr w:rsidR="00E35DF9" w:rsidRPr="00E35DF9" w14:paraId="57916EB8" w14:textId="77777777" w:rsidTr="00D82B31">
        <w:trPr>
          <w:gridAfter w:val="1"/>
          <w:wAfter w:w="3096" w:type="dxa"/>
        </w:trPr>
        <w:tc>
          <w:tcPr>
            <w:tcW w:w="3095" w:type="dxa"/>
          </w:tcPr>
          <w:p w14:paraId="0A280DF3"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Egolanza 15 mg</w:t>
            </w:r>
          </w:p>
          <w:p w14:paraId="3DABE511"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N28 – LT/1/10/2178/006</w:t>
            </w:r>
          </w:p>
          <w:p w14:paraId="067F8316"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N42 – LT/1/10/2178/017</w:t>
            </w:r>
          </w:p>
          <w:p w14:paraId="64D4A886"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N49 – LT/1/10/2178/018</w:t>
            </w:r>
          </w:p>
          <w:p w14:paraId="4D520C19"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N56 – LT/1/10/2178/009</w:t>
            </w:r>
          </w:p>
        </w:tc>
        <w:tc>
          <w:tcPr>
            <w:tcW w:w="3095" w:type="dxa"/>
          </w:tcPr>
          <w:p w14:paraId="5FA6F8BE"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Egolanza 20 mg</w:t>
            </w:r>
          </w:p>
          <w:p w14:paraId="23A16CD0"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N28 – LT/1/10/2178/007</w:t>
            </w:r>
          </w:p>
          <w:p w14:paraId="02D82E99"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N42 – LT/1/10/2178/019</w:t>
            </w:r>
          </w:p>
          <w:p w14:paraId="3A805E8D"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N49 – LT/1/10/2178/020</w:t>
            </w:r>
          </w:p>
          <w:p w14:paraId="69B81F30" w14:textId="77777777" w:rsidR="00E35DF9" w:rsidRPr="00E35DF9" w:rsidRDefault="00E35DF9" w:rsidP="00E35DF9">
            <w:pPr>
              <w:autoSpaceDE w:val="0"/>
              <w:autoSpaceDN w:val="0"/>
              <w:adjustRightInd w:val="0"/>
              <w:rPr>
                <w:rFonts w:ascii="Times New Roman" w:eastAsia="Calibri" w:hAnsi="Times New Roman" w:cs="Times New Roman"/>
                <w:lang w:val="en-US"/>
              </w:rPr>
            </w:pPr>
            <w:r w:rsidRPr="00E35DF9">
              <w:rPr>
                <w:rFonts w:ascii="Times New Roman" w:eastAsia="Calibri" w:hAnsi="Times New Roman" w:cs="Times New Roman"/>
                <w:lang w:val="en-US"/>
              </w:rPr>
              <w:t>N56 – LT/1/10/2178/010</w:t>
            </w:r>
          </w:p>
        </w:tc>
      </w:tr>
    </w:tbl>
    <w:p w14:paraId="015173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CC7884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DC3E2C8"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REGISTRAVIMO / PERREGISTRAVIMO DATA</w:t>
      </w:r>
    </w:p>
    <w:p w14:paraId="5EE019F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64FF76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Registravimo data 2010 m. spalio 12 d.</w:t>
      </w:r>
    </w:p>
    <w:p w14:paraId="54D34E36" w14:textId="77777777" w:rsidR="00E35DF9" w:rsidRPr="00E35DF9" w:rsidRDefault="00E35DF9" w:rsidP="00E35DF9">
      <w:pPr>
        <w:spacing w:after="0" w:line="240" w:lineRule="auto"/>
        <w:ind w:left="567" w:hanging="567"/>
        <w:rPr>
          <w:rFonts w:ascii="Times New Roman" w:eastAsia="Times New Roman" w:hAnsi="Times New Roman" w:cs="Times New Roman"/>
          <w:noProof/>
        </w:rPr>
      </w:pPr>
      <w:r w:rsidRPr="00E35DF9">
        <w:rPr>
          <w:rFonts w:ascii="Times New Roman" w:eastAsia="Times New Roman" w:hAnsi="Times New Roman" w:cs="Times New Roman"/>
          <w:noProof/>
          <w:szCs w:val="24"/>
        </w:rPr>
        <w:t>Paskutinio perregistravimo data</w:t>
      </w:r>
      <w:r w:rsidRPr="00E35DF9">
        <w:rPr>
          <w:rFonts w:ascii="Times New Roman" w:eastAsia="Times New Roman" w:hAnsi="Times New Roman" w:cs="Times New Roman"/>
          <w:noProof/>
        </w:rPr>
        <w:t xml:space="preserve"> 2015 m. birželio 16 d.</w:t>
      </w:r>
    </w:p>
    <w:p w14:paraId="496C4A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A5FE0C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B3F1905"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10.</w:t>
      </w:r>
      <w:r w:rsidRPr="00E35DF9">
        <w:rPr>
          <w:rFonts w:ascii="Times New Roman" w:eastAsia="Calibri" w:hAnsi="Times New Roman" w:cs="Times New Roman"/>
          <w:b/>
        </w:rPr>
        <w:tab/>
        <w:t>TEKSTO PERŽIŪROS DATA</w:t>
      </w:r>
    </w:p>
    <w:p w14:paraId="2EAFAFC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F2EEB24" w14:textId="3535FF2C" w:rsidR="00E35DF9" w:rsidRDefault="006114FF" w:rsidP="00E35D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2020 m. birželio 23 d.</w:t>
      </w:r>
    </w:p>
    <w:p w14:paraId="32493B7F" w14:textId="77777777" w:rsidR="006114FF" w:rsidRPr="00E35DF9" w:rsidRDefault="006114FF" w:rsidP="00E35DF9">
      <w:pPr>
        <w:autoSpaceDE w:val="0"/>
        <w:autoSpaceDN w:val="0"/>
        <w:adjustRightInd w:val="0"/>
        <w:spacing w:after="0" w:line="240" w:lineRule="auto"/>
        <w:rPr>
          <w:rFonts w:ascii="Times New Roman" w:eastAsia="Calibri" w:hAnsi="Times New Roman" w:cs="Times New Roman"/>
        </w:rPr>
      </w:pPr>
    </w:p>
    <w:p w14:paraId="05FF97ED" w14:textId="0C020EE3"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E35DF9">
        <w:rPr>
          <w:rFonts w:ascii="Times New Roman" w:eastAsia="Calibri" w:hAnsi="Times New Roman" w:cs="Times New Roman"/>
          <w:i/>
        </w:rPr>
        <w:t xml:space="preserve"> </w:t>
      </w:r>
      <w:hyperlink r:id="rId12" w:history="1">
        <w:r w:rsidRPr="00E35DF9">
          <w:rPr>
            <w:rFonts w:ascii="Times New Roman" w:eastAsia="Calibri" w:hAnsi="Times New Roman" w:cs="Times New Roman"/>
            <w:color w:val="0000FF"/>
            <w:u w:val="single"/>
          </w:rPr>
          <w:t>http://www.vvkt.lt</w:t>
        </w:r>
      </w:hyperlink>
    </w:p>
    <w:p w14:paraId="39741C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br w:type="page"/>
      </w:r>
    </w:p>
    <w:p w14:paraId="3671F222"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C62D8F8"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072A7B0A"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03BED30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AB357D6"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5D3D9CD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FB68D6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95B1264"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75DD50BB"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66EFDEF"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B109829"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6AA2AAC"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933D0CA"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3DDBA17"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C38BCA1"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7A92FC6"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09A9D1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68A47B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1EEEE36"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6354B3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59315EF"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6BD37F6"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74188C71" w14:textId="77777777" w:rsidR="00E35DF9" w:rsidRPr="00E35DF9" w:rsidRDefault="00E35DF9" w:rsidP="00E35DF9">
      <w:pPr>
        <w:keepNext/>
        <w:tabs>
          <w:tab w:val="left" w:pos="567"/>
        </w:tabs>
        <w:spacing w:after="0" w:line="276" w:lineRule="auto"/>
        <w:jc w:val="center"/>
        <w:outlineLvl w:val="1"/>
        <w:rPr>
          <w:rFonts w:ascii="Times New Roman" w:eastAsia="Calibri" w:hAnsi="Times New Roman" w:cs="Times New Roman"/>
          <w:b/>
        </w:rPr>
      </w:pPr>
      <w:bookmarkStart w:id="2" w:name="_Toc129243128"/>
      <w:bookmarkStart w:id="3" w:name="_Toc129243253"/>
    </w:p>
    <w:p w14:paraId="6CD0AE1B" w14:textId="77777777" w:rsidR="00E35DF9" w:rsidRPr="00E35DF9" w:rsidRDefault="00E35DF9" w:rsidP="00E35DF9">
      <w:pPr>
        <w:keepNext/>
        <w:tabs>
          <w:tab w:val="left" w:pos="567"/>
        </w:tabs>
        <w:spacing w:after="0" w:line="276" w:lineRule="auto"/>
        <w:jc w:val="center"/>
        <w:outlineLvl w:val="1"/>
        <w:rPr>
          <w:rFonts w:ascii="Times New Roman" w:eastAsia="Calibri" w:hAnsi="Times New Roman" w:cs="Times New Roman"/>
          <w:b/>
        </w:rPr>
      </w:pPr>
      <w:r w:rsidRPr="00E35DF9">
        <w:rPr>
          <w:rFonts w:ascii="Times New Roman" w:eastAsia="Calibri" w:hAnsi="Times New Roman" w:cs="Times New Roman"/>
          <w:b/>
        </w:rPr>
        <w:t>II PRIEDAS</w:t>
      </w:r>
    </w:p>
    <w:p w14:paraId="1CB420BF" w14:textId="77777777" w:rsidR="00E35DF9" w:rsidRPr="00E35DF9" w:rsidRDefault="00E35DF9" w:rsidP="00E35DF9">
      <w:pPr>
        <w:tabs>
          <w:tab w:val="left" w:pos="567"/>
        </w:tabs>
        <w:spacing w:after="0" w:line="260" w:lineRule="exact"/>
        <w:ind w:left="1701" w:right="1416" w:hanging="567"/>
        <w:rPr>
          <w:rFonts w:ascii="Times New Roman" w:eastAsia="Times New Roman" w:hAnsi="Times New Roman" w:cs="Times New Roman"/>
          <w:snapToGrid w:val="0"/>
          <w:szCs w:val="20"/>
        </w:rPr>
      </w:pPr>
    </w:p>
    <w:p w14:paraId="4558F842" w14:textId="77777777" w:rsidR="00E35DF9" w:rsidRPr="00E35DF9" w:rsidRDefault="00E35DF9" w:rsidP="00E35DF9">
      <w:pPr>
        <w:tabs>
          <w:tab w:val="left" w:pos="567"/>
        </w:tabs>
        <w:spacing w:after="0" w:line="260" w:lineRule="exact"/>
        <w:jc w:val="center"/>
        <w:rPr>
          <w:rFonts w:ascii="Times New Roman" w:eastAsia="Times New Roman" w:hAnsi="Times New Roman" w:cs="Times New Roman"/>
          <w:i/>
          <w:snapToGrid w:val="0"/>
          <w:szCs w:val="20"/>
        </w:rPr>
      </w:pPr>
      <w:r w:rsidRPr="00E35DF9">
        <w:rPr>
          <w:rFonts w:ascii="Times New Roman" w:eastAsia="Times New Roman" w:hAnsi="Times New Roman" w:cs="Times New Roman"/>
          <w:b/>
          <w:snapToGrid w:val="0"/>
          <w:szCs w:val="20"/>
        </w:rPr>
        <w:t>REGISTRACIJOS SĄLYGOS</w:t>
      </w:r>
    </w:p>
    <w:p w14:paraId="0138D0A6" w14:textId="77777777" w:rsidR="00E35DF9" w:rsidRPr="00E35DF9" w:rsidRDefault="00E35DF9" w:rsidP="00E35DF9">
      <w:pPr>
        <w:tabs>
          <w:tab w:val="left" w:pos="567"/>
        </w:tabs>
        <w:spacing w:after="0" w:line="260" w:lineRule="exact"/>
        <w:rPr>
          <w:rFonts w:ascii="Times New Roman" w:eastAsia="SimSun" w:hAnsi="Times New Roman" w:cs="Times New Roman"/>
        </w:rPr>
      </w:pPr>
    </w:p>
    <w:p w14:paraId="7BA92D85" w14:textId="77777777" w:rsidR="00E35DF9" w:rsidRPr="00E35DF9" w:rsidRDefault="00E35DF9" w:rsidP="00E35DF9">
      <w:pPr>
        <w:tabs>
          <w:tab w:val="left" w:pos="567"/>
        </w:tabs>
        <w:spacing w:after="0" w:line="276" w:lineRule="auto"/>
        <w:ind w:left="1701" w:right="1416" w:hanging="708"/>
        <w:rPr>
          <w:rFonts w:ascii="Times New Roman" w:eastAsia="SimSun" w:hAnsi="Times New Roman" w:cs="Times New Roman"/>
          <w:b/>
        </w:rPr>
      </w:pPr>
      <w:r w:rsidRPr="00E35DF9">
        <w:rPr>
          <w:rFonts w:ascii="Times New Roman" w:eastAsia="SimSun" w:hAnsi="Times New Roman" w:cs="Times New Roman"/>
          <w:b/>
        </w:rPr>
        <w:t>A.</w:t>
      </w:r>
      <w:r w:rsidRPr="00E35DF9">
        <w:rPr>
          <w:rFonts w:ascii="Times New Roman" w:eastAsia="SimSun" w:hAnsi="Times New Roman" w:cs="Times New Roman"/>
          <w:b/>
        </w:rPr>
        <w:tab/>
      </w:r>
      <w:r w:rsidRPr="00E35DF9">
        <w:rPr>
          <w:rFonts w:ascii="Times New Roman" w:eastAsia="SimSun" w:hAnsi="Times New Roman" w:cs="Times New Roman"/>
          <w:b/>
          <w:snapToGrid w:val="0"/>
          <w:lang w:eastAsia="zh-CN"/>
        </w:rPr>
        <w:t>GAMINTOJAS</w:t>
      </w:r>
      <w:r w:rsidRPr="00E35DF9">
        <w:rPr>
          <w:rFonts w:ascii="Times New Roman" w:eastAsia="SimSun" w:hAnsi="Times New Roman" w:cs="Times New Roman"/>
          <w:b/>
        </w:rPr>
        <w:t xml:space="preserve"> (-AI), ATSAKINGAS (-I) UŽ SERIJŲ IŠLEIDIMĄ</w:t>
      </w:r>
    </w:p>
    <w:p w14:paraId="24443085" w14:textId="77777777" w:rsidR="00E35DF9" w:rsidRPr="00E35DF9" w:rsidRDefault="00E35DF9" w:rsidP="00E35DF9">
      <w:pPr>
        <w:tabs>
          <w:tab w:val="left" w:pos="567"/>
        </w:tabs>
        <w:spacing w:after="0" w:line="260" w:lineRule="exact"/>
        <w:rPr>
          <w:rFonts w:ascii="Times New Roman" w:eastAsia="SimSun" w:hAnsi="Times New Roman" w:cs="Times New Roman"/>
          <w:snapToGrid w:val="0"/>
          <w:lang w:eastAsia="zh-CN"/>
        </w:rPr>
      </w:pPr>
    </w:p>
    <w:p w14:paraId="67061E3A" w14:textId="77777777" w:rsidR="00E35DF9" w:rsidRPr="00E35DF9" w:rsidRDefault="00E35DF9" w:rsidP="00E35DF9">
      <w:pPr>
        <w:suppressLineNumbers/>
        <w:tabs>
          <w:tab w:val="left" w:pos="567"/>
        </w:tabs>
        <w:spacing w:after="0" w:line="276" w:lineRule="auto"/>
        <w:ind w:left="1701" w:right="1416" w:hanging="708"/>
        <w:rPr>
          <w:rFonts w:ascii="Times New Roman" w:eastAsia="SimSun" w:hAnsi="Times New Roman" w:cs="Times New Roman"/>
          <w:snapToGrid w:val="0"/>
          <w:lang w:eastAsia="zh-CN"/>
        </w:rPr>
      </w:pPr>
      <w:r w:rsidRPr="00E35DF9">
        <w:rPr>
          <w:rFonts w:ascii="Times New Roman" w:eastAsia="SimSun" w:hAnsi="Times New Roman" w:cs="Times New Roman"/>
          <w:b/>
        </w:rPr>
        <w:t>B.</w:t>
      </w:r>
      <w:r w:rsidRPr="00E35DF9">
        <w:rPr>
          <w:rFonts w:ascii="Times New Roman" w:eastAsia="SimSun" w:hAnsi="Times New Roman" w:cs="Times New Roman"/>
          <w:b/>
        </w:rPr>
        <w:tab/>
      </w:r>
      <w:r w:rsidRPr="00E35DF9">
        <w:rPr>
          <w:rFonts w:ascii="Times New Roman" w:eastAsia="SimSun" w:hAnsi="Times New Roman" w:cs="Times New Roman"/>
          <w:b/>
          <w:snapToGrid w:val="0"/>
          <w:lang w:eastAsia="zh-CN"/>
        </w:rPr>
        <w:t>TIEKIMO IR VARTOJIMO SĄLYGOS AR APRIBOJIMAI</w:t>
      </w:r>
    </w:p>
    <w:p w14:paraId="70C294F2" w14:textId="77777777" w:rsidR="00E35DF9" w:rsidRPr="00E35DF9" w:rsidRDefault="00E35DF9" w:rsidP="00E35DF9">
      <w:pPr>
        <w:tabs>
          <w:tab w:val="left" w:pos="567"/>
        </w:tabs>
        <w:spacing w:after="0" w:line="260" w:lineRule="exact"/>
        <w:rPr>
          <w:rFonts w:ascii="Times New Roman" w:eastAsia="SimSun" w:hAnsi="Times New Roman" w:cs="Times New Roman"/>
          <w:snapToGrid w:val="0"/>
          <w:lang w:eastAsia="zh-CN"/>
        </w:rPr>
      </w:pPr>
    </w:p>
    <w:p w14:paraId="73D90E1C" w14:textId="77777777" w:rsidR="00E35DF9" w:rsidRPr="00E35DF9" w:rsidRDefault="00E35DF9" w:rsidP="00E35DF9">
      <w:pPr>
        <w:tabs>
          <w:tab w:val="left" w:pos="567"/>
        </w:tabs>
        <w:spacing w:after="0" w:line="260" w:lineRule="exact"/>
        <w:rPr>
          <w:rFonts w:ascii="Times New Roman" w:eastAsia="SimSun" w:hAnsi="Times New Roman" w:cs="Times New Roman"/>
          <w:snapToGrid w:val="0"/>
          <w:lang w:eastAsia="zh-CN"/>
        </w:rPr>
      </w:pPr>
    </w:p>
    <w:bookmarkEnd w:id="2"/>
    <w:bookmarkEnd w:id="3"/>
    <w:p w14:paraId="68FF2E4C" w14:textId="77777777" w:rsidR="00E35DF9" w:rsidRPr="00E35DF9" w:rsidRDefault="00E35DF9" w:rsidP="00E35DF9">
      <w:pPr>
        <w:keepNext/>
        <w:tabs>
          <w:tab w:val="left" w:pos="567"/>
        </w:tabs>
        <w:spacing w:after="0" w:line="240" w:lineRule="auto"/>
        <w:ind w:left="567" w:hanging="567"/>
        <w:outlineLvl w:val="1"/>
        <w:rPr>
          <w:rFonts w:ascii="Times New Roman" w:eastAsia="Times New Roman" w:hAnsi="Times New Roman" w:cs="Times New Roman"/>
          <w:b/>
        </w:rPr>
      </w:pPr>
      <w:r w:rsidRPr="00E35DF9">
        <w:rPr>
          <w:rFonts w:ascii="Times New Roman" w:eastAsia="Times New Roman" w:hAnsi="Times New Roman" w:cs="Times New Roman"/>
          <w:b/>
        </w:rPr>
        <w:br w:type="page"/>
      </w:r>
      <w:r w:rsidRPr="00E35DF9">
        <w:rPr>
          <w:rFonts w:ascii="Times New Roman" w:eastAsia="Times New Roman" w:hAnsi="Times New Roman" w:cs="Times New Roman"/>
          <w:b/>
        </w:rPr>
        <w:lastRenderedPageBreak/>
        <w:t>A.</w:t>
      </w:r>
      <w:r w:rsidRPr="00E35DF9">
        <w:rPr>
          <w:rFonts w:ascii="Times New Roman" w:eastAsia="Times New Roman" w:hAnsi="Times New Roman" w:cs="Times New Roman"/>
          <w:b/>
        </w:rPr>
        <w:tab/>
      </w:r>
      <w:r w:rsidRPr="00E35DF9">
        <w:rPr>
          <w:rFonts w:ascii="Times New Roman" w:eastAsia="Times New Roman" w:hAnsi="Times New Roman" w:cs="Times New Roman"/>
          <w:b/>
          <w:bCs/>
        </w:rPr>
        <w:t>GAMINTOJAS (-AI), ATSAKINGAS (-I) UŽ SERIJŲ IŠLEIDIMĄ</w:t>
      </w:r>
    </w:p>
    <w:p w14:paraId="20A009A1"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69E2E2B" w14:textId="77777777" w:rsidR="00E35DF9" w:rsidRPr="00E35DF9" w:rsidRDefault="00E35DF9" w:rsidP="00E35DF9">
      <w:pPr>
        <w:spacing w:after="0" w:line="240" w:lineRule="auto"/>
        <w:rPr>
          <w:rFonts w:ascii="Times New Roman" w:eastAsia="Times New Roman" w:hAnsi="Times New Roman" w:cs="Times New Roman"/>
          <w:u w:val="single"/>
        </w:rPr>
      </w:pPr>
      <w:r w:rsidRPr="00E35DF9">
        <w:rPr>
          <w:rFonts w:ascii="Times New Roman" w:eastAsia="Times New Roman" w:hAnsi="Times New Roman" w:cs="Times New Roman"/>
          <w:noProof/>
          <w:szCs w:val="20"/>
          <w:u w:val="single"/>
        </w:rPr>
        <w:t>Gamintojų, atsakingų už serijų išleidimą, pavadinimai ir adresai</w:t>
      </w:r>
    </w:p>
    <w:p w14:paraId="6D5E08C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B8490DD"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14:paraId="37B659C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H-1165 Budapest, Bökényföldi út 118-120</w:t>
      </w:r>
    </w:p>
    <w:p w14:paraId="69A026C6"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14:paraId="3FFC6C32"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51CF9414"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3709BE8" w14:textId="77777777" w:rsidR="00E35DF9" w:rsidRPr="00E35DF9" w:rsidRDefault="00E35DF9" w:rsidP="00E35DF9">
      <w:pPr>
        <w:suppressLineNumbers/>
        <w:tabs>
          <w:tab w:val="left" w:pos="567"/>
        </w:tabs>
        <w:spacing w:after="0" w:line="276" w:lineRule="auto"/>
        <w:ind w:left="567" w:hanging="567"/>
        <w:rPr>
          <w:rFonts w:ascii="Times New Roman" w:eastAsia="SimSun" w:hAnsi="Times New Roman" w:cs="Times New Roman"/>
          <w:b/>
        </w:rPr>
      </w:pPr>
      <w:bookmarkStart w:id="4" w:name="_Toc129243130"/>
      <w:bookmarkStart w:id="5" w:name="_Toc129243255"/>
      <w:r w:rsidRPr="00E35DF9">
        <w:rPr>
          <w:rFonts w:ascii="Times New Roman" w:eastAsia="SimSun" w:hAnsi="Times New Roman" w:cs="Times New Roman"/>
          <w:b/>
          <w:snapToGrid w:val="0"/>
          <w:lang w:eastAsia="zh-CN"/>
        </w:rPr>
        <w:t>B.</w:t>
      </w:r>
      <w:r w:rsidRPr="00E35DF9">
        <w:rPr>
          <w:rFonts w:ascii="Times New Roman" w:eastAsia="SimSun" w:hAnsi="Times New Roman" w:cs="Times New Roman"/>
          <w:b/>
        </w:rPr>
        <w:tab/>
        <w:t>TIEKIMO IR VARTOJIMO SĄLYGOS AR APRIBOJIMAI</w:t>
      </w:r>
      <w:bookmarkEnd w:id="4"/>
      <w:bookmarkEnd w:id="5"/>
    </w:p>
    <w:p w14:paraId="3219E88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6FB37D3" w14:textId="77777777" w:rsidR="00E35DF9" w:rsidRPr="00E35DF9" w:rsidRDefault="00E35DF9" w:rsidP="00E35DF9">
      <w:pPr>
        <w:spacing w:after="0" w:line="240" w:lineRule="auto"/>
        <w:rPr>
          <w:rFonts w:ascii="Times New Roman" w:eastAsia="Times New Roman" w:hAnsi="Times New Roman" w:cs="Times New Roman"/>
          <w:noProof/>
          <w:szCs w:val="20"/>
        </w:rPr>
      </w:pPr>
      <w:r w:rsidRPr="00E35DF9">
        <w:rPr>
          <w:rFonts w:ascii="Times New Roman" w:eastAsia="Times New Roman" w:hAnsi="Times New Roman" w:cs="Times New Roman"/>
          <w:noProof/>
          <w:szCs w:val="20"/>
        </w:rPr>
        <w:t>Receptinis vaistinis preparatas.</w:t>
      </w:r>
    </w:p>
    <w:p w14:paraId="0E9961E3"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D4CF8D7" w14:textId="77777777" w:rsidR="00E35DF9" w:rsidRPr="00E35DF9" w:rsidRDefault="00E35DF9" w:rsidP="00E35DF9">
      <w:pPr>
        <w:spacing w:after="0" w:line="240" w:lineRule="auto"/>
        <w:rPr>
          <w:rFonts w:ascii="Times New Roman" w:eastAsia="Times New Roman" w:hAnsi="Times New Roman" w:cs="Times New Roman"/>
          <w:noProof/>
          <w:szCs w:val="20"/>
        </w:rPr>
      </w:pPr>
      <w:r w:rsidRPr="00E35DF9">
        <w:rPr>
          <w:rFonts w:ascii="Times New Roman" w:eastAsia="Times New Roman" w:hAnsi="Times New Roman" w:cs="Times New Roman"/>
          <w:noProof/>
          <w:szCs w:val="20"/>
        </w:rPr>
        <w:br w:type="page"/>
      </w:r>
    </w:p>
    <w:p w14:paraId="7CF30C7F"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3334D6A"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22D96E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A03DD83"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155B52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70131C03"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8269B8C"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C2A187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5F92F1A"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390AFD1"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0B5C7AE"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18BA477D"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3D5541C1"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0AC85D90"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3BA05A0"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52769A53"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B0B3BC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900B155"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5A9FEFA1"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44B8E6F4"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0480F4F6"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62423E6F" w14:textId="77777777" w:rsidR="00E35DF9" w:rsidRPr="00E35DF9" w:rsidRDefault="00E35DF9" w:rsidP="00E35DF9">
      <w:pPr>
        <w:spacing w:after="0" w:line="240" w:lineRule="auto"/>
        <w:rPr>
          <w:rFonts w:ascii="Times New Roman" w:eastAsia="Times New Roman" w:hAnsi="Times New Roman" w:cs="Times New Roman"/>
          <w:noProof/>
          <w:szCs w:val="20"/>
        </w:rPr>
      </w:pPr>
    </w:p>
    <w:p w14:paraId="22620397" w14:textId="77777777" w:rsidR="00E35DF9" w:rsidRPr="00E35DF9"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34"/>
      <w:bookmarkStart w:id="7" w:name="_Toc129243259"/>
    </w:p>
    <w:p w14:paraId="25307479" w14:textId="77777777" w:rsidR="00E35DF9" w:rsidRPr="00E35DF9"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r w:rsidRPr="00E35DF9">
        <w:rPr>
          <w:rFonts w:ascii="Times New Roman" w:eastAsia="Times New Roman" w:hAnsi="Times New Roman" w:cs="Times New Roman"/>
          <w:b/>
          <w:caps/>
        </w:rPr>
        <w:t>III PRIEDAS</w:t>
      </w:r>
      <w:bookmarkEnd w:id="6"/>
      <w:bookmarkEnd w:id="7"/>
    </w:p>
    <w:p w14:paraId="4EF11DC6" w14:textId="77777777" w:rsidR="00E35DF9" w:rsidRPr="00E35DF9" w:rsidRDefault="00E35DF9" w:rsidP="00E35DF9">
      <w:pPr>
        <w:spacing w:after="0" w:line="240" w:lineRule="auto"/>
        <w:jc w:val="center"/>
        <w:rPr>
          <w:rFonts w:ascii="Times New Roman" w:eastAsia="Times New Roman" w:hAnsi="Times New Roman" w:cs="Times New Roman"/>
          <w:noProof/>
          <w:szCs w:val="20"/>
        </w:rPr>
      </w:pPr>
    </w:p>
    <w:p w14:paraId="13100A47" w14:textId="77777777" w:rsidR="00E35DF9" w:rsidRPr="00E35DF9"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5"/>
      <w:bookmarkStart w:id="9" w:name="_Toc129243260"/>
      <w:r w:rsidRPr="00E35DF9">
        <w:rPr>
          <w:rFonts w:ascii="Times New Roman" w:eastAsia="Times New Roman" w:hAnsi="Times New Roman" w:cs="Times New Roman"/>
          <w:b/>
          <w:caps/>
        </w:rPr>
        <w:t>ŽENKLINIMAS IR PAKUOTĖS LAPELIS</w:t>
      </w:r>
      <w:bookmarkEnd w:id="8"/>
      <w:bookmarkEnd w:id="9"/>
    </w:p>
    <w:p w14:paraId="6966F4FF" w14:textId="77777777" w:rsidR="00E35DF9" w:rsidRPr="00E35DF9" w:rsidRDefault="00E35DF9" w:rsidP="00E35DF9">
      <w:pPr>
        <w:spacing w:after="200" w:line="276" w:lineRule="auto"/>
        <w:rPr>
          <w:rFonts w:ascii="Times New Roman" w:eastAsia="Calibri" w:hAnsi="Times New Roman" w:cs="Times New Roman"/>
        </w:rPr>
      </w:pPr>
    </w:p>
    <w:p w14:paraId="2DD1C51C" w14:textId="77777777" w:rsidR="00E35DF9" w:rsidRPr="00E35DF9" w:rsidRDefault="00E35DF9" w:rsidP="00E35DF9">
      <w:pPr>
        <w:spacing w:after="200" w:line="276" w:lineRule="auto"/>
        <w:rPr>
          <w:rFonts w:ascii="Times New Roman" w:eastAsia="Calibri" w:hAnsi="Times New Roman" w:cs="Times New Roman"/>
        </w:rPr>
      </w:pPr>
      <w:r w:rsidRPr="00E35DF9">
        <w:rPr>
          <w:rFonts w:ascii="Times New Roman" w:eastAsia="Calibri" w:hAnsi="Times New Roman" w:cs="Times New Roman"/>
        </w:rPr>
        <w:br w:type="page"/>
      </w:r>
    </w:p>
    <w:p w14:paraId="6383A148" w14:textId="77777777" w:rsidR="00E35DF9" w:rsidRPr="00E35DF9" w:rsidRDefault="00E35DF9" w:rsidP="00E35DF9">
      <w:pPr>
        <w:spacing w:after="0" w:line="276" w:lineRule="auto"/>
        <w:rPr>
          <w:rFonts w:ascii="Times New Roman" w:eastAsia="Calibri" w:hAnsi="Times New Roman" w:cs="Times New Roman"/>
        </w:rPr>
      </w:pPr>
    </w:p>
    <w:p w14:paraId="4BCF2664" w14:textId="77777777" w:rsidR="00E35DF9" w:rsidRPr="00E35DF9" w:rsidRDefault="00E35DF9" w:rsidP="00E35DF9">
      <w:pPr>
        <w:spacing w:after="0" w:line="276" w:lineRule="auto"/>
        <w:rPr>
          <w:rFonts w:ascii="Times New Roman" w:eastAsia="Calibri" w:hAnsi="Times New Roman" w:cs="Times New Roman"/>
        </w:rPr>
      </w:pPr>
    </w:p>
    <w:p w14:paraId="65009EFF" w14:textId="77777777" w:rsidR="00E35DF9" w:rsidRPr="00E35DF9" w:rsidRDefault="00E35DF9" w:rsidP="00E35DF9">
      <w:pPr>
        <w:spacing w:after="0" w:line="276" w:lineRule="auto"/>
        <w:rPr>
          <w:rFonts w:ascii="Times New Roman" w:eastAsia="Calibri" w:hAnsi="Times New Roman" w:cs="Times New Roman"/>
        </w:rPr>
      </w:pPr>
    </w:p>
    <w:p w14:paraId="63E08037" w14:textId="77777777" w:rsidR="00E35DF9" w:rsidRPr="00E35DF9" w:rsidRDefault="00E35DF9" w:rsidP="00E35DF9">
      <w:pPr>
        <w:spacing w:after="0" w:line="276" w:lineRule="auto"/>
        <w:rPr>
          <w:rFonts w:ascii="Times New Roman" w:eastAsia="Calibri" w:hAnsi="Times New Roman" w:cs="Times New Roman"/>
        </w:rPr>
      </w:pPr>
    </w:p>
    <w:p w14:paraId="36A3A72E" w14:textId="77777777" w:rsidR="00E35DF9" w:rsidRPr="00E35DF9" w:rsidRDefault="00E35DF9" w:rsidP="00E35DF9">
      <w:pPr>
        <w:spacing w:after="0" w:line="276" w:lineRule="auto"/>
        <w:rPr>
          <w:rFonts w:ascii="Times New Roman" w:eastAsia="Calibri" w:hAnsi="Times New Roman" w:cs="Times New Roman"/>
        </w:rPr>
      </w:pPr>
    </w:p>
    <w:p w14:paraId="3F516A73" w14:textId="77777777" w:rsidR="00E35DF9" w:rsidRPr="00E35DF9" w:rsidRDefault="00E35DF9" w:rsidP="00E35DF9">
      <w:pPr>
        <w:spacing w:after="0" w:line="276" w:lineRule="auto"/>
        <w:rPr>
          <w:rFonts w:ascii="Times New Roman" w:eastAsia="Calibri" w:hAnsi="Times New Roman" w:cs="Times New Roman"/>
        </w:rPr>
      </w:pPr>
    </w:p>
    <w:p w14:paraId="316D9658" w14:textId="77777777" w:rsidR="00E35DF9" w:rsidRPr="00E35DF9" w:rsidRDefault="00E35DF9" w:rsidP="00E35DF9">
      <w:pPr>
        <w:spacing w:after="0" w:line="276" w:lineRule="auto"/>
        <w:rPr>
          <w:rFonts w:ascii="Times New Roman" w:eastAsia="Calibri" w:hAnsi="Times New Roman" w:cs="Times New Roman"/>
        </w:rPr>
      </w:pPr>
    </w:p>
    <w:p w14:paraId="542D7C45" w14:textId="77777777" w:rsidR="00E35DF9" w:rsidRPr="00E35DF9" w:rsidRDefault="00E35DF9" w:rsidP="00E35DF9">
      <w:pPr>
        <w:spacing w:after="0" w:line="276" w:lineRule="auto"/>
        <w:rPr>
          <w:rFonts w:ascii="Times New Roman" w:eastAsia="Calibri" w:hAnsi="Times New Roman" w:cs="Times New Roman"/>
        </w:rPr>
      </w:pPr>
    </w:p>
    <w:p w14:paraId="700535C9" w14:textId="77777777" w:rsidR="00E35DF9" w:rsidRPr="00E35DF9" w:rsidRDefault="00E35DF9" w:rsidP="00E35DF9">
      <w:pPr>
        <w:spacing w:after="0" w:line="276" w:lineRule="auto"/>
        <w:rPr>
          <w:rFonts w:ascii="Times New Roman" w:eastAsia="Calibri" w:hAnsi="Times New Roman" w:cs="Times New Roman"/>
        </w:rPr>
      </w:pPr>
    </w:p>
    <w:p w14:paraId="12ED4E3E" w14:textId="77777777" w:rsidR="00E35DF9" w:rsidRPr="00E35DF9" w:rsidRDefault="00E35DF9" w:rsidP="00E35DF9">
      <w:pPr>
        <w:spacing w:after="0" w:line="276" w:lineRule="auto"/>
        <w:rPr>
          <w:rFonts w:ascii="Times New Roman" w:eastAsia="Calibri" w:hAnsi="Times New Roman" w:cs="Times New Roman"/>
        </w:rPr>
      </w:pPr>
    </w:p>
    <w:p w14:paraId="34DF5B7E" w14:textId="77777777" w:rsidR="00E35DF9" w:rsidRPr="00E35DF9" w:rsidRDefault="00E35DF9" w:rsidP="00E35DF9">
      <w:pPr>
        <w:spacing w:after="0" w:line="276" w:lineRule="auto"/>
        <w:rPr>
          <w:rFonts w:ascii="Times New Roman" w:eastAsia="Calibri" w:hAnsi="Times New Roman" w:cs="Times New Roman"/>
        </w:rPr>
      </w:pPr>
    </w:p>
    <w:p w14:paraId="77C5C8BC" w14:textId="77777777" w:rsidR="00E35DF9" w:rsidRPr="00E35DF9" w:rsidRDefault="00E35DF9" w:rsidP="00E35DF9">
      <w:pPr>
        <w:spacing w:after="0" w:line="276" w:lineRule="auto"/>
        <w:rPr>
          <w:rFonts w:ascii="Times New Roman" w:eastAsia="Calibri" w:hAnsi="Times New Roman" w:cs="Times New Roman"/>
        </w:rPr>
      </w:pPr>
    </w:p>
    <w:p w14:paraId="79B2DDF0" w14:textId="77777777" w:rsidR="00E35DF9" w:rsidRPr="00E35DF9" w:rsidRDefault="00E35DF9" w:rsidP="00E35DF9">
      <w:pPr>
        <w:spacing w:after="0" w:line="276" w:lineRule="auto"/>
        <w:rPr>
          <w:rFonts w:ascii="Times New Roman" w:eastAsia="Calibri" w:hAnsi="Times New Roman" w:cs="Times New Roman"/>
        </w:rPr>
      </w:pPr>
    </w:p>
    <w:p w14:paraId="5DF933F3"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3C4AE38B"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2008256A"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39005C8"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73AC549"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24AF76A2"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A66FB17"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5BBBA42E"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4896583F"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4AC43311"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63E7E645" w14:textId="77777777" w:rsidR="00E35DF9" w:rsidRPr="00E35DF9" w:rsidRDefault="00E35DF9" w:rsidP="00E35DF9">
      <w:pPr>
        <w:keepNext/>
        <w:spacing w:after="0" w:line="240" w:lineRule="auto"/>
        <w:jc w:val="center"/>
        <w:outlineLvl w:val="4"/>
        <w:rPr>
          <w:rFonts w:ascii="Times New Roman" w:eastAsia="Times New Roman" w:hAnsi="Times New Roman" w:cs="Times New Roman"/>
          <w:b/>
          <w:iCs/>
          <w:lang w:eastAsia="hu-HU"/>
        </w:rPr>
      </w:pPr>
      <w:r w:rsidRPr="00E35DF9">
        <w:rPr>
          <w:rFonts w:ascii="Times New Roman" w:eastAsia="Times New Roman" w:hAnsi="Times New Roman" w:cs="Times New Roman"/>
          <w:b/>
          <w:iCs/>
          <w:lang w:eastAsia="hu-HU"/>
        </w:rPr>
        <w:t>A. ŽENKLINIMAS</w:t>
      </w:r>
    </w:p>
    <w:p w14:paraId="5279CFC3" w14:textId="77777777" w:rsidR="00E35DF9" w:rsidRPr="00E35DF9" w:rsidRDefault="00E35DF9" w:rsidP="00E35DF9">
      <w:pPr>
        <w:tabs>
          <w:tab w:val="left" w:pos="1080"/>
        </w:tabs>
        <w:spacing w:after="0" w:line="276" w:lineRule="auto"/>
        <w:rPr>
          <w:rFonts w:ascii="Times New Roman" w:eastAsia="Calibri" w:hAnsi="Times New Roman" w:cs="Times New Roman"/>
          <w:b/>
        </w:rPr>
      </w:pPr>
      <w:r w:rsidRPr="00E35DF9">
        <w:rPr>
          <w:rFonts w:ascii="Times New Roman" w:eastAsia="Calibri" w:hAnsi="Times New Roman" w:cs="Times New Roman"/>
          <w:b/>
        </w:rPr>
        <w:br w:type="page"/>
      </w:r>
    </w:p>
    <w:p w14:paraId="26245EDB" w14:textId="77777777" w:rsidR="00E35DF9" w:rsidRPr="00E35DF9"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E35DF9">
        <w:rPr>
          <w:rFonts w:ascii="Times New Roman" w:eastAsia="Times New Roman" w:hAnsi="Times New Roman" w:cs="Times New Roman"/>
          <w:b/>
          <w:bCs/>
          <w:iCs/>
          <w:lang w:eastAsia="hu-HU"/>
        </w:rPr>
        <w:lastRenderedPageBreak/>
        <w:t>INFORMACIJA ANT IŠORINĖS PAKUOTĖS</w:t>
      </w:r>
    </w:p>
    <w:p w14:paraId="5C57CA6E"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2EFDB3C1"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t>KARTONO DĖŽUTĖ</w:t>
      </w:r>
    </w:p>
    <w:p w14:paraId="55E5CC21" w14:textId="77777777" w:rsidR="00E35DF9" w:rsidRPr="00E35DF9" w:rsidRDefault="00E35DF9" w:rsidP="00E35DF9">
      <w:pPr>
        <w:spacing w:after="0" w:line="240" w:lineRule="auto"/>
        <w:rPr>
          <w:rFonts w:ascii="Times New Roman" w:eastAsia="Calibri" w:hAnsi="Times New Roman" w:cs="Times New Roman"/>
        </w:rPr>
      </w:pPr>
    </w:p>
    <w:p w14:paraId="6BD4DFBC" w14:textId="77777777" w:rsidR="00E35DF9" w:rsidRPr="00E35DF9" w:rsidRDefault="00E35DF9" w:rsidP="00E35DF9">
      <w:pPr>
        <w:spacing w:after="0" w:line="240" w:lineRule="auto"/>
        <w:rPr>
          <w:rFonts w:ascii="Times New Roman" w:eastAsia="Calibri" w:hAnsi="Times New Roman" w:cs="Times New Roman"/>
        </w:rPr>
      </w:pPr>
    </w:p>
    <w:p w14:paraId="60980FA7"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449D6A4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6034C9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5 mg plėvele dengtos tabletės</w:t>
      </w:r>
    </w:p>
    <w:p w14:paraId="279DD6B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6D42AAC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19E8A0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A212FFE"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r>
      <w:r w:rsidRPr="00E35DF9">
        <w:rPr>
          <w:rFonts w:ascii="Times New Roman" w:eastAsia="Times New Roman" w:hAnsi="Times New Roman" w:cs="Times New Roman"/>
          <w:b/>
          <w:noProof/>
          <w:snapToGrid w:val="0"/>
          <w:szCs w:val="24"/>
        </w:rPr>
        <w:t>VEIKLIOJI (-IOS) MEDŽIAGA (-OS) IR JOS (-Ų) KIEKIS (-IAI)</w:t>
      </w:r>
    </w:p>
    <w:p w14:paraId="563ADEC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B80E79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Vienoje plėvele dengtoje tabletėje yra 5 mg olanzapino (atitinkančio 7,03 mg olanzapino dihidrochlorido trihidrato).</w:t>
      </w:r>
    </w:p>
    <w:p w14:paraId="0B412BE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E3EF30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FFEE5E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PAGALBINIŲ MEDŽIAGŲ SĄRAŠAS</w:t>
      </w:r>
    </w:p>
    <w:p w14:paraId="60C7BBB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97A518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Sudėtyje yra laktozės monohidrato (40,98 mg).</w:t>
      </w:r>
    </w:p>
    <w:p w14:paraId="149651EE" w14:textId="77777777" w:rsidR="00E35DF9" w:rsidRPr="00E35DF9" w:rsidRDefault="00E35DF9" w:rsidP="00E35DF9">
      <w:pPr>
        <w:spacing w:after="0" w:line="240" w:lineRule="auto"/>
        <w:rPr>
          <w:rFonts w:ascii="Times New Roman" w:eastAsia="Calibri" w:hAnsi="Times New Roman" w:cs="Times New Roman"/>
          <w:b/>
        </w:rPr>
      </w:pPr>
      <w:r w:rsidRPr="00E35DF9">
        <w:rPr>
          <w:rFonts w:ascii="Times New Roman" w:eastAsia="Calibri" w:hAnsi="Times New Roman" w:cs="Times New Roman"/>
        </w:rPr>
        <w:t>Daugiau informacijos pateikta pakuotės lapelyje.</w:t>
      </w:r>
    </w:p>
    <w:p w14:paraId="65D1DF8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F79A74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913D33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FARMACINĖ FORMA IR KIEKIS PAKUOTĖJE</w:t>
      </w:r>
    </w:p>
    <w:p w14:paraId="489BDA0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E08E71D"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28 plėvele dengtos tabletės</w:t>
      </w:r>
    </w:p>
    <w:p w14:paraId="5696F476"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42 plėvele dengtos tabletės</w:t>
      </w:r>
    </w:p>
    <w:p w14:paraId="782D4428"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49 plėvele dengtos tabletės</w:t>
      </w:r>
    </w:p>
    <w:p w14:paraId="7B9CA4F2"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56 plėvele dengtos tabletės</w:t>
      </w:r>
    </w:p>
    <w:p w14:paraId="4370BFD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77C728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C433DB9"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VARTOJIMO METODAS IR BŪDAS (-AI)</w:t>
      </w:r>
    </w:p>
    <w:p w14:paraId="1AA3CC6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8E48DD7"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13223A77"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Prieš vartojimą perskaitykite pakuotės lapelį.</w:t>
      </w:r>
    </w:p>
    <w:p w14:paraId="2329940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D210EF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846D5B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6.</w:t>
      </w:r>
      <w:r w:rsidRPr="00E35DF9">
        <w:rPr>
          <w:rFonts w:ascii="Times New Roman" w:eastAsia="Times New Roman" w:hAnsi="Times New Roman" w:cs="Times New Roman"/>
          <w:b/>
          <w:lang w:eastAsia="hu-HU"/>
        </w:rPr>
        <w:tab/>
        <w:t>SPECIALUS ĮSPĖJIMAS, KAD VAISTINĮ PREPARATĄ BŪTINA LAIKYTI VAIKAMS NEPASTEBIMOJE IR NEPASIEKIAMOJE VIETOJE</w:t>
      </w:r>
    </w:p>
    <w:p w14:paraId="6081C71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DBF8FA0"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Laikyti vaikams nepastebimoje ir nepasiekiamoje vietoje.</w:t>
      </w:r>
    </w:p>
    <w:p w14:paraId="68F5D7E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A68664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2277AF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7.</w:t>
      </w:r>
      <w:r w:rsidRPr="00E35DF9">
        <w:rPr>
          <w:rFonts w:ascii="Times New Roman" w:eastAsia="Calibri" w:hAnsi="Times New Roman" w:cs="Times New Roman"/>
          <w:b/>
        </w:rPr>
        <w:tab/>
        <w:t>KITAS (-I) SPECIALUS (-ŪS) ĮSPĖJIMAS (-AI) (JEI REIKIA)</w:t>
      </w:r>
    </w:p>
    <w:p w14:paraId="4FA54E2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3B390F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ACC73E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TINKAMUMO LAIKAS</w:t>
      </w:r>
    </w:p>
    <w:p w14:paraId="40870C2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7EB2172"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326ED8F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1878C8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826BB03"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SPECIALIOS LAIKYMO SĄLYGOS</w:t>
      </w:r>
    </w:p>
    <w:p w14:paraId="70E11CC2" w14:textId="77777777" w:rsidR="00E35DF9" w:rsidRPr="00E35DF9" w:rsidRDefault="00E35DF9" w:rsidP="00E35DF9">
      <w:pPr>
        <w:spacing w:after="0" w:line="240" w:lineRule="auto"/>
        <w:rPr>
          <w:rFonts w:ascii="Times New Roman" w:eastAsia="Calibri" w:hAnsi="Times New Roman" w:cs="Times New Roman"/>
        </w:rPr>
      </w:pPr>
    </w:p>
    <w:p w14:paraId="071920F0" w14:textId="77777777" w:rsidR="00E35DF9" w:rsidRPr="00E35DF9" w:rsidRDefault="00E35DF9" w:rsidP="00E35DF9">
      <w:pPr>
        <w:spacing w:after="0" w:line="240" w:lineRule="auto"/>
        <w:rPr>
          <w:rFonts w:ascii="Times New Roman" w:eastAsia="Calibri" w:hAnsi="Times New Roman" w:cs="Times New Roman"/>
        </w:rPr>
      </w:pPr>
    </w:p>
    <w:p w14:paraId="6A113E5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lastRenderedPageBreak/>
        <w:t>10.</w:t>
      </w:r>
      <w:r w:rsidRPr="00E35DF9">
        <w:rPr>
          <w:rFonts w:ascii="Times New Roman" w:eastAsia="Times New Roman" w:hAnsi="Times New Roman" w:cs="Times New Roman"/>
          <w:b/>
          <w:lang w:eastAsia="hu-HU"/>
        </w:rPr>
        <w:tab/>
        <w:t xml:space="preserve">SPECIALIOS ATSARGUMO PRIEMONĖS DĖL NESUVARTOTO VAISTINIO PREPARATO AR JO ATLIEKŲ TVARKYMO (JEI REIKIA) </w:t>
      </w:r>
    </w:p>
    <w:p w14:paraId="3292C2A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341D84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0131FAB"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11.</w:t>
      </w:r>
      <w:r w:rsidRPr="00E35DF9">
        <w:rPr>
          <w:rFonts w:ascii="Times New Roman" w:eastAsia="Calibri" w:hAnsi="Times New Roman" w:cs="Times New Roman"/>
          <w:b/>
        </w:rPr>
        <w:tab/>
        <w:t>REGISTRUOTOJO PAVADINIMAS IR ADRESAS</w:t>
      </w:r>
    </w:p>
    <w:p w14:paraId="08B2B0F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A3C0FBB"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EGIS Pharmaceuticals PLC</w:t>
      </w:r>
    </w:p>
    <w:p w14:paraId="7D345983"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H-1106 Budapest, Keresztúri út 30-38</w:t>
      </w:r>
    </w:p>
    <w:p w14:paraId="5C5AFBF6"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Vengrija</w:t>
      </w:r>
    </w:p>
    <w:p w14:paraId="2980F27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2E3BBB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5A5438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12.</w:t>
      </w:r>
      <w:r w:rsidRPr="00E35DF9">
        <w:rPr>
          <w:rFonts w:ascii="Times New Roman" w:eastAsia="Calibri" w:hAnsi="Times New Roman" w:cs="Times New Roman"/>
          <w:b/>
        </w:rPr>
        <w:tab/>
        <w:t>REGISTRACIJOS PAŽYMĖJIMO NUMERIS (-IAI)</w:t>
      </w:r>
    </w:p>
    <w:p w14:paraId="301D83E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7598B7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N28 - LT/1/10/2178/001</w:t>
      </w:r>
    </w:p>
    <w:p w14:paraId="4148DCBA"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N42 - LT/1/10/2178/011</w:t>
      </w:r>
    </w:p>
    <w:p w14:paraId="2348ACE7"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N49 - LT/1/10/2178/012</w:t>
      </w:r>
    </w:p>
    <w:p w14:paraId="361DF1E2"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N56 - LT/1/10/2178/008</w:t>
      </w:r>
    </w:p>
    <w:p w14:paraId="35D54E62" w14:textId="77777777" w:rsidR="00E35DF9" w:rsidRPr="00E35DF9" w:rsidRDefault="00E35DF9" w:rsidP="00E35DF9">
      <w:pPr>
        <w:spacing w:after="0" w:line="240" w:lineRule="auto"/>
        <w:rPr>
          <w:rFonts w:ascii="Times New Roman" w:eastAsia="Calibri" w:hAnsi="Times New Roman" w:cs="Times New Roman"/>
        </w:rPr>
      </w:pPr>
    </w:p>
    <w:p w14:paraId="532CD2E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9A4B95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13.</w:t>
      </w:r>
      <w:r w:rsidRPr="00E35DF9">
        <w:rPr>
          <w:rFonts w:ascii="Times New Roman" w:eastAsia="Calibri" w:hAnsi="Times New Roman" w:cs="Times New Roman"/>
          <w:b/>
        </w:rPr>
        <w:tab/>
        <w:t>SERIJOS NUMERIS</w:t>
      </w:r>
    </w:p>
    <w:p w14:paraId="3F6655D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3F88F1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0196721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3A2FB0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E84F0E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14.</w:t>
      </w:r>
      <w:r w:rsidRPr="00E35DF9">
        <w:rPr>
          <w:rFonts w:ascii="Times New Roman" w:eastAsia="Calibri" w:hAnsi="Times New Roman" w:cs="Times New Roman"/>
          <w:b/>
        </w:rPr>
        <w:tab/>
        <w:t>PARDAVIMO (IŠDAVIMO) TVARKA</w:t>
      </w:r>
    </w:p>
    <w:p w14:paraId="6D1A4CC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4FF4E3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Receptinis vaistas</w:t>
      </w:r>
    </w:p>
    <w:p w14:paraId="7168316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3D0B3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1E36CE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15.</w:t>
      </w:r>
      <w:r w:rsidRPr="00E35DF9">
        <w:rPr>
          <w:rFonts w:ascii="Times New Roman" w:eastAsia="Calibri" w:hAnsi="Times New Roman" w:cs="Times New Roman"/>
          <w:b/>
        </w:rPr>
        <w:tab/>
        <w:t xml:space="preserve">VARTOJIMO </w:t>
      </w:r>
      <w:smartTag w:uri="schemas-tilde-lt/tildestengine" w:element="templates">
        <w:smartTagPr>
          <w:attr w:name="text" w:val="INSTRUKCIJA"/>
          <w:attr w:name="id" w:val="-1"/>
          <w:attr w:name="baseform" w:val="instrukcij|a"/>
        </w:smartTagPr>
        <w:r w:rsidRPr="00E35DF9">
          <w:rPr>
            <w:rFonts w:ascii="Times New Roman" w:eastAsia="Calibri" w:hAnsi="Times New Roman" w:cs="Times New Roman"/>
            <w:b/>
          </w:rPr>
          <w:t>INSTRUKCIJA</w:t>
        </w:r>
      </w:smartTag>
    </w:p>
    <w:p w14:paraId="1CD4ED4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F9F61B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07531D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E35DF9">
        <w:rPr>
          <w:rFonts w:ascii="Times New Roman" w:eastAsia="Calibri" w:hAnsi="Times New Roman" w:cs="Times New Roman"/>
          <w:b/>
        </w:rPr>
        <w:t>16.</w:t>
      </w:r>
      <w:r w:rsidRPr="00E35DF9">
        <w:rPr>
          <w:rFonts w:ascii="Times New Roman" w:eastAsia="Calibri" w:hAnsi="Times New Roman" w:cs="Times New Roman"/>
          <w:b/>
        </w:rPr>
        <w:tab/>
        <w:t>INFORMACIJA BRAILIO RAŠTU</w:t>
      </w:r>
    </w:p>
    <w:p w14:paraId="7B056542" w14:textId="77777777" w:rsidR="00E35DF9" w:rsidRPr="00E35DF9" w:rsidRDefault="00E35DF9" w:rsidP="00E35DF9">
      <w:pPr>
        <w:spacing w:after="0" w:line="240" w:lineRule="auto"/>
        <w:rPr>
          <w:rFonts w:ascii="Times New Roman" w:eastAsia="Calibri" w:hAnsi="Times New Roman" w:cs="Times New Roman"/>
          <w:b/>
        </w:rPr>
      </w:pPr>
    </w:p>
    <w:p w14:paraId="190A8D9D"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Egolanza 5 mg</w:t>
      </w:r>
    </w:p>
    <w:p w14:paraId="44E78498" w14:textId="77777777" w:rsidR="00E35DF9" w:rsidRPr="00E35DF9" w:rsidRDefault="00E35DF9" w:rsidP="00E35DF9">
      <w:pPr>
        <w:spacing w:after="0" w:line="240" w:lineRule="auto"/>
        <w:rPr>
          <w:rFonts w:ascii="Times New Roman" w:eastAsia="Calibri" w:hAnsi="Times New Roman" w:cs="Times New Roman"/>
        </w:rPr>
      </w:pPr>
    </w:p>
    <w:p w14:paraId="00D69CC8" w14:textId="77777777" w:rsidR="00E35DF9" w:rsidRPr="00E35DF9" w:rsidRDefault="00E35DF9" w:rsidP="00E35DF9">
      <w:pPr>
        <w:spacing w:after="0" w:line="240" w:lineRule="auto"/>
        <w:rPr>
          <w:rFonts w:ascii="Times New Roman" w:eastAsia="Calibri" w:hAnsi="Times New Roman" w:cs="Times New Roman"/>
        </w:rPr>
      </w:pPr>
    </w:p>
    <w:p w14:paraId="444944C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17.</w:t>
      </w:r>
      <w:r w:rsidRPr="00E35DF9">
        <w:rPr>
          <w:rFonts w:ascii="Times New Roman" w:eastAsia="Calibri" w:hAnsi="Times New Roman" w:cs="Times New Roman"/>
          <w:b/>
        </w:rPr>
        <w:tab/>
        <w:t>UNIKALUS IDENTIFIKATORIUS – 2D BRŪKŠNINIS KODAS</w:t>
      </w:r>
    </w:p>
    <w:p w14:paraId="49E14364" w14:textId="77777777" w:rsidR="00E35DF9" w:rsidRPr="00E35DF9" w:rsidRDefault="00E35DF9" w:rsidP="00E35DF9">
      <w:pPr>
        <w:spacing w:after="0" w:line="240" w:lineRule="auto"/>
        <w:rPr>
          <w:rFonts w:ascii="Times New Roman" w:eastAsia="Calibri" w:hAnsi="Times New Roman" w:cs="Times New Roman"/>
        </w:rPr>
      </w:pPr>
    </w:p>
    <w:p w14:paraId="61E32D3E"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&lt;2D brūkšninis kodas su nurodytu unikaliu identifikatoriumi.&gt;</w:t>
      </w:r>
    </w:p>
    <w:p w14:paraId="634B7C29" w14:textId="77777777" w:rsidR="00E35DF9" w:rsidRPr="00E35DF9" w:rsidRDefault="00E35DF9" w:rsidP="00E35DF9">
      <w:pPr>
        <w:spacing w:after="0" w:line="240" w:lineRule="auto"/>
        <w:rPr>
          <w:rFonts w:ascii="Times New Roman" w:eastAsia="Calibri" w:hAnsi="Times New Roman" w:cs="Times New Roman"/>
        </w:rPr>
      </w:pPr>
    </w:p>
    <w:p w14:paraId="61E72C86" w14:textId="77777777" w:rsidR="00E35DF9" w:rsidRPr="00E35DF9" w:rsidRDefault="00E35DF9" w:rsidP="00E35DF9">
      <w:pPr>
        <w:spacing w:after="0" w:line="240" w:lineRule="auto"/>
        <w:rPr>
          <w:rFonts w:ascii="Times New Roman" w:eastAsia="Calibri" w:hAnsi="Times New Roman" w:cs="Times New Roman"/>
        </w:rPr>
      </w:pPr>
    </w:p>
    <w:p w14:paraId="7CA405A4"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18.</w:t>
      </w:r>
      <w:r w:rsidRPr="00E35DF9">
        <w:rPr>
          <w:rFonts w:ascii="Times New Roman" w:eastAsia="Calibri" w:hAnsi="Times New Roman" w:cs="Times New Roman"/>
          <w:b/>
        </w:rPr>
        <w:tab/>
        <w:t>UNIKALUS IDENTIFIKATORIUS – ŽMONĖMS SUPRANTAMI DUOMENYS</w:t>
      </w:r>
    </w:p>
    <w:p w14:paraId="3B79532C" w14:textId="77777777" w:rsidR="00E35DF9" w:rsidRPr="00E35DF9" w:rsidRDefault="00E35DF9" w:rsidP="00E35DF9">
      <w:pPr>
        <w:spacing w:after="0" w:line="240" w:lineRule="auto"/>
        <w:rPr>
          <w:rFonts w:ascii="Times New Roman" w:eastAsia="Calibri" w:hAnsi="Times New Roman" w:cs="Times New Roman"/>
        </w:rPr>
      </w:pPr>
    </w:p>
    <w:p w14:paraId="38789CB8"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&lt;PC: {numeris} </w:t>
      </w:r>
    </w:p>
    <w:p w14:paraId="0621219A"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SN: {numeris} </w:t>
      </w:r>
    </w:p>
    <w:p w14:paraId="4012D3D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NN: {numeris} &gt;</w:t>
      </w:r>
    </w:p>
    <w:p w14:paraId="2D565A44" w14:textId="77777777" w:rsidR="00E35DF9" w:rsidRPr="00E35DF9" w:rsidRDefault="00E35DF9" w:rsidP="00E35DF9">
      <w:pPr>
        <w:spacing w:after="0" w:line="276" w:lineRule="auto"/>
        <w:rPr>
          <w:rFonts w:ascii="Times New Roman" w:eastAsia="Calibri" w:hAnsi="Times New Roman" w:cs="Times New Roman"/>
          <w:b/>
        </w:rPr>
      </w:pPr>
    </w:p>
    <w:p w14:paraId="64D1B725" w14:textId="77777777" w:rsidR="00E35DF9" w:rsidRPr="00E35DF9" w:rsidRDefault="00E35DF9" w:rsidP="00E35DF9">
      <w:pPr>
        <w:spacing w:after="0" w:line="276" w:lineRule="auto"/>
        <w:rPr>
          <w:rFonts w:ascii="Times New Roman" w:eastAsia="Calibri" w:hAnsi="Times New Roman" w:cs="Times New Roman"/>
          <w:b/>
        </w:rPr>
      </w:pPr>
    </w:p>
    <w:p w14:paraId="5C6BFB7A"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br w:type="page"/>
      </w:r>
      <w:r w:rsidRPr="00E35DF9">
        <w:rPr>
          <w:rFonts w:ascii="Times New Roman" w:eastAsia="Calibri" w:hAnsi="Times New Roman" w:cs="Times New Roman"/>
          <w:b/>
        </w:rPr>
        <w:lastRenderedPageBreak/>
        <w:t>MINIMALI INFORMACIJA ANT LIZDINIŲ PLOKŠTELIŲ ARBA DVISLUOKSNIŲ JUOSTELIŲ</w:t>
      </w:r>
    </w:p>
    <w:p w14:paraId="359B6CE2"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26ACF3B8"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E35DF9">
        <w:rPr>
          <w:rFonts w:ascii="Times New Roman" w:eastAsia="Calibri" w:hAnsi="Times New Roman" w:cs="Times New Roman"/>
          <w:b/>
          <w:caps/>
        </w:rPr>
        <w:t>Lizdinė plokštelė</w:t>
      </w:r>
    </w:p>
    <w:p w14:paraId="540E969C" w14:textId="77777777" w:rsidR="00E35DF9" w:rsidRPr="00E35DF9" w:rsidRDefault="00E35DF9" w:rsidP="00E35DF9">
      <w:pPr>
        <w:spacing w:after="0" w:line="240" w:lineRule="auto"/>
        <w:rPr>
          <w:rFonts w:ascii="Times New Roman" w:eastAsia="Calibri" w:hAnsi="Times New Roman" w:cs="Times New Roman"/>
        </w:rPr>
      </w:pPr>
    </w:p>
    <w:p w14:paraId="4EB4C46D" w14:textId="77777777" w:rsidR="00E35DF9" w:rsidRPr="00E35DF9" w:rsidRDefault="00E35DF9" w:rsidP="00E35DF9">
      <w:pPr>
        <w:spacing w:after="0" w:line="240" w:lineRule="auto"/>
        <w:rPr>
          <w:rFonts w:ascii="Times New Roman" w:eastAsia="Calibri" w:hAnsi="Times New Roman" w:cs="Times New Roman"/>
        </w:rPr>
      </w:pPr>
    </w:p>
    <w:p w14:paraId="07E056B4"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446AE75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439FE6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5 mg plėvele dengtos tabletės</w:t>
      </w:r>
    </w:p>
    <w:p w14:paraId="4FE16A5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15B88869" w14:textId="77777777" w:rsidR="00E35DF9" w:rsidRPr="00E35DF9" w:rsidRDefault="00E35DF9" w:rsidP="00E35DF9">
      <w:pPr>
        <w:spacing w:after="0" w:line="240" w:lineRule="auto"/>
        <w:rPr>
          <w:rFonts w:ascii="Times New Roman" w:eastAsia="Calibri" w:hAnsi="Times New Roman" w:cs="Times New Roman"/>
        </w:rPr>
      </w:pPr>
    </w:p>
    <w:p w14:paraId="6355D59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EF023E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 xml:space="preserve">REGISTRUOTOJO PAVADINIMAS </w:t>
      </w:r>
    </w:p>
    <w:p w14:paraId="0D9F10A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A4F3462"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EGIS </w:t>
      </w:r>
    </w:p>
    <w:p w14:paraId="3B99594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5031C8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369A30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TINKAMUMO LAIKAS</w:t>
      </w:r>
    </w:p>
    <w:p w14:paraId="669F604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B3CD0B2"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371EF4C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9A19EB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853525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 xml:space="preserve">SERIJOS NUMERIS </w:t>
      </w:r>
    </w:p>
    <w:p w14:paraId="7F8B78D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4A900F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0296EA9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2B32535" w14:textId="77777777" w:rsidR="00E35DF9" w:rsidRPr="00E35DF9" w:rsidRDefault="00E35DF9" w:rsidP="00E35DF9">
      <w:pPr>
        <w:spacing w:after="0" w:line="240" w:lineRule="auto"/>
        <w:rPr>
          <w:rFonts w:ascii="Times New Roman" w:eastAsia="Calibri" w:hAnsi="Times New Roman" w:cs="Times New Roman"/>
        </w:rPr>
      </w:pPr>
    </w:p>
    <w:p w14:paraId="5DA7477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b/>
        </w:rPr>
        <w:t>5.</w:t>
      </w:r>
      <w:r w:rsidRPr="00E35DF9">
        <w:rPr>
          <w:rFonts w:ascii="Times New Roman" w:eastAsia="Calibri" w:hAnsi="Times New Roman" w:cs="Times New Roman"/>
          <w:b/>
        </w:rPr>
        <w:tab/>
        <w:t>KITA</w:t>
      </w:r>
    </w:p>
    <w:p w14:paraId="756E39BC" w14:textId="77777777" w:rsidR="00E35DF9" w:rsidRPr="00E35DF9" w:rsidRDefault="00E35DF9" w:rsidP="00E35DF9">
      <w:pPr>
        <w:spacing w:after="0" w:line="240" w:lineRule="auto"/>
        <w:rPr>
          <w:rFonts w:ascii="Times New Roman" w:eastAsia="Calibri" w:hAnsi="Times New Roman" w:cs="Times New Roman"/>
        </w:rPr>
      </w:pPr>
    </w:p>
    <w:p w14:paraId="20A9CB66" w14:textId="77777777" w:rsidR="00E35DF9" w:rsidRPr="00E35DF9" w:rsidRDefault="00E35DF9" w:rsidP="00E35DF9">
      <w:pPr>
        <w:spacing w:after="0" w:line="240" w:lineRule="auto"/>
        <w:rPr>
          <w:rFonts w:ascii="Times New Roman" w:eastAsia="Calibri" w:hAnsi="Times New Roman" w:cs="Times New Roman"/>
        </w:rPr>
      </w:pPr>
    </w:p>
    <w:p w14:paraId="2CECC353" w14:textId="77777777" w:rsidR="00E35DF9" w:rsidRPr="00E35DF9"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E35DF9">
        <w:rPr>
          <w:rFonts w:ascii="Times New Roman" w:eastAsia="Times New Roman" w:hAnsi="Times New Roman" w:cs="Times New Roman"/>
          <w:u w:val="single"/>
          <w:lang w:eastAsia="hu-HU"/>
        </w:rPr>
        <w:br w:type="page"/>
      </w:r>
      <w:r w:rsidRPr="00E35DF9">
        <w:rPr>
          <w:rFonts w:ascii="Times New Roman" w:eastAsia="Times New Roman" w:hAnsi="Times New Roman" w:cs="Times New Roman"/>
          <w:b/>
          <w:bCs/>
          <w:iCs/>
          <w:lang w:eastAsia="hu-HU"/>
        </w:rPr>
        <w:lastRenderedPageBreak/>
        <w:t>INFORMACIJA ANT IŠORINĖS PAKUOTĖS</w:t>
      </w:r>
    </w:p>
    <w:p w14:paraId="120E14A2"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413A3749"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t>KARTONO DĖŽUTĖ</w:t>
      </w:r>
    </w:p>
    <w:p w14:paraId="7167BA57" w14:textId="77777777" w:rsidR="00E35DF9" w:rsidRPr="00E35DF9" w:rsidRDefault="00E35DF9" w:rsidP="00E35DF9">
      <w:pPr>
        <w:spacing w:after="0" w:line="240" w:lineRule="auto"/>
        <w:rPr>
          <w:rFonts w:ascii="Times New Roman" w:eastAsia="Calibri" w:hAnsi="Times New Roman" w:cs="Times New Roman"/>
        </w:rPr>
      </w:pPr>
    </w:p>
    <w:p w14:paraId="33649F1B" w14:textId="77777777" w:rsidR="00E35DF9" w:rsidRPr="00E35DF9" w:rsidRDefault="00E35DF9" w:rsidP="00E35DF9">
      <w:pPr>
        <w:spacing w:after="0" w:line="240" w:lineRule="auto"/>
        <w:rPr>
          <w:rFonts w:ascii="Times New Roman" w:eastAsia="Calibri" w:hAnsi="Times New Roman" w:cs="Times New Roman"/>
        </w:rPr>
      </w:pPr>
    </w:p>
    <w:p w14:paraId="3638A04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3568C87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FDF317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7,5 mg plėvele dengtos tabletės</w:t>
      </w:r>
    </w:p>
    <w:p w14:paraId="00792023"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41D28EE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C0B92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D8C5AA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r>
      <w:r w:rsidRPr="00E35DF9">
        <w:rPr>
          <w:rFonts w:ascii="Times New Roman" w:eastAsia="Times New Roman" w:hAnsi="Times New Roman" w:cs="Times New Roman"/>
          <w:b/>
          <w:noProof/>
          <w:snapToGrid w:val="0"/>
          <w:szCs w:val="24"/>
        </w:rPr>
        <w:t>VEIKLIOJI (-IOS) MEDŽIAGA (-OS) IR JOS (-Ų) KIEKIS (-IAI)</w:t>
      </w:r>
    </w:p>
    <w:p w14:paraId="5C7D61D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11FA4BD"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Vienoje plėvele dengtoje tabletėje yra 7,5 mg olanzapino (atitinkančio 10,55 mg olanzapino dihidrochlorido trihidrato).</w:t>
      </w:r>
    </w:p>
    <w:p w14:paraId="45FFB78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E2FCFB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B3F8E7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PAGALBINIŲ MEDŽIAGŲ SĄRAŠAS</w:t>
      </w:r>
    </w:p>
    <w:p w14:paraId="204A65D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131E2CA"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Sudėtyje yra laktozės monohidrato (61,47 mg).</w:t>
      </w:r>
    </w:p>
    <w:p w14:paraId="51D6389F" w14:textId="77777777" w:rsidR="00E35DF9" w:rsidRPr="00E35DF9" w:rsidRDefault="00E35DF9" w:rsidP="00E35DF9">
      <w:pPr>
        <w:spacing w:after="0" w:line="240" w:lineRule="auto"/>
        <w:rPr>
          <w:rFonts w:ascii="Times New Roman" w:eastAsia="Calibri" w:hAnsi="Times New Roman" w:cs="Times New Roman"/>
          <w:b/>
        </w:rPr>
      </w:pPr>
      <w:r w:rsidRPr="00E35DF9">
        <w:rPr>
          <w:rFonts w:ascii="Times New Roman" w:eastAsia="Calibri" w:hAnsi="Times New Roman" w:cs="Times New Roman"/>
        </w:rPr>
        <w:t>Daugiau informacijos pateikta pakuotės lapelyje.</w:t>
      </w:r>
    </w:p>
    <w:p w14:paraId="2247126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B9A408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7A9601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FARMACINĖ FORMA IR KIEKIS PAKUOTĖJE</w:t>
      </w:r>
    </w:p>
    <w:p w14:paraId="07D83A4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D40B387"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28 plėvele dengtos tabletės</w:t>
      </w:r>
    </w:p>
    <w:p w14:paraId="0633ED95"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42 plėvele dengtos tabletės</w:t>
      </w:r>
    </w:p>
    <w:p w14:paraId="112E0EB3"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49 plėvele dengtos tabletės</w:t>
      </w:r>
    </w:p>
    <w:p w14:paraId="2EF6AAE4"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56 plėvele dengtos tabletės</w:t>
      </w:r>
    </w:p>
    <w:p w14:paraId="4806B9B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0F162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ED2390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VARTOJIMO METODAS IR BŪDAS (-AI)</w:t>
      </w:r>
    </w:p>
    <w:p w14:paraId="11E381D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FF9C28A"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0BA91E60"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Prieš vartojimą perskaitykite pakuotės lapelį.</w:t>
      </w:r>
    </w:p>
    <w:p w14:paraId="71FEEE1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C01B2F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83A8A5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6.</w:t>
      </w:r>
      <w:r w:rsidRPr="00E35DF9">
        <w:rPr>
          <w:rFonts w:ascii="Times New Roman" w:eastAsia="Times New Roman" w:hAnsi="Times New Roman" w:cs="Times New Roman"/>
          <w:b/>
          <w:lang w:eastAsia="hu-HU"/>
        </w:rPr>
        <w:tab/>
        <w:t>SPECIALUS ĮSPĖJIMAS, KAD VAISTINĮ PREPARATĄ BŪTINA LAIKYTI VAIKAMS NEPASTEBIMOJE IR NEPASIEKIAMOJE VIETOJE</w:t>
      </w:r>
    </w:p>
    <w:p w14:paraId="08D8F2D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5E8B212"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Laikyti vaikams nepastebimoje ir nepasiekiamoje vietoje.</w:t>
      </w:r>
    </w:p>
    <w:p w14:paraId="4B04041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41E2FA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184F6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7.</w:t>
      </w:r>
      <w:r w:rsidRPr="00E35DF9">
        <w:rPr>
          <w:rFonts w:ascii="Times New Roman" w:eastAsia="Calibri" w:hAnsi="Times New Roman" w:cs="Times New Roman"/>
          <w:b/>
        </w:rPr>
        <w:tab/>
        <w:t>KITAS (-I) SPECIALUS (-ŪS) ĮSPĖJIMAS (-AI) (JEI REIKIA)</w:t>
      </w:r>
    </w:p>
    <w:p w14:paraId="50AADB9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B6FA0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7A2FE5E"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TINKAMUMO LAIKAS</w:t>
      </w:r>
    </w:p>
    <w:p w14:paraId="6305207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6BC01B3"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059A02E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06E075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81CBA59"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SPECIALIOS LAIKYMO SĄLYGOS</w:t>
      </w:r>
    </w:p>
    <w:p w14:paraId="2125BA15" w14:textId="77777777" w:rsidR="00E35DF9" w:rsidRPr="00E35DF9" w:rsidRDefault="00E35DF9" w:rsidP="00E35DF9">
      <w:pPr>
        <w:spacing w:after="0" w:line="240" w:lineRule="auto"/>
        <w:rPr>
          <w:rFonts w:ascii="Times New Roman" w:eastAsia="Calibri" w:hAnsi="Times New Roman" w:cs="Times New Roman"/>
        </w:rPr>
      </w:pPr>
    </w:p>
    <w:p w14:paraId="3F607D20" w14:textId="77777777" w:rsidR="00E35DF9" w:rsidRPr="00E35DF9" w:rsidRDefault="00E35DF9" w:rsidP="00E35DF9">
      <w:pPr>
        <w:spacing w:after="0" w:line="240" w:lineRule="auto"/>
        <w:rPr>
          <w:rFonts w:ascii="Times New Roman" w:eastAsia="Calibri" w:hAnsi="Times New Roman" w:cs="Times New Roman"/>
        </w:rPr>
      </w:pPr>
    </w:p>
    <w:p w14:paraId="73AD0D6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lastRenderedPageBreak/>
        <w:t>10.</w:t>
      </w:r>
      <w:r w:rsidRPr="00E35DF9">
        <w:rPr>
          <w:rFonts w:ascii="Times New Roman" w:eastAsia="Times New Roman" w:hAnsi="Times New Roman" w:cs="Times New Roman"/>
          <w:b/>
          <w:lang w:eastAsia="hu-HU"/>
        </w:rPr>
        <w:tab/>
        <w:t xml:space="preserve">SPECIALIOS ATSARGUMO PRIEMONĖS DĖL NESUVARTOTO VAISTINIO PREPARATO AR JO ATLIEKŲ TVARKYMO (JEI REIKIA) </w:t>
      </w:r>
    </w:p>
    <w:p w14:paraId="50E70ED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B3033F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346E5A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11.</w:t>
      </w:r>
      <w:r w:rsidRPr="00E35DF9">
        <w:rPr>
          <w:rFonts w:ascii="Times New Roman" w:eastAsia="Calibri" w:hAnsi="Times New Roman" w:cs="Times New Roman"/>
          <w:b/>
        </w:rPr>
        <w:tab/>
        <w:t>REGISTRUOTOJO PAVADINIMAS IR ADRESAS</w:t>
      </w:r>
    </w:p>
    <w:p w14:paraId="21E5C7E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731FF1F"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EGIS Pharmaceuticals PLC</w:t>
      </w:r>
    </w:p>
    <w:p w14:paraId="24150FD2"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H-1106 Budapest, Keresztúri út 30-38</w:t>
      </w:r>
    </w:p>
    <w:p w14:paraId="570CB0AC"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Vengrija</w:t>
      </w:r>
    </w:p>
    <w:p w14:paraId="1CE297F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BECC4A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54055E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12.</w:t>
      </w:r>
      <w:r w:rsidRPr="00E35DF9">
        <w:rPr>
          <w:rFonts w:ascii="Times New Roman" w:eastAsia="Calibri" w:hAnsi="Times New Roman" w:cs="Times New Roman"/>
          <w:b/>
        </w:rPr>
        <w:tab/>
        <w:t>REGISTRACIJOS PAŽYMĖJIMO NUMERIS (-IAI)</w:t>
      </w:r>
    </w:p>
    <w:p w14:paraId="102BD9E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D535718"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N28 – LT/1/10/2178/002</w:t>
      </w:r>
    </w:p>
    <w:p w14:paraId="01412E4E"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N42 – LT/1/10/2178/013</w:t>
      </w:r>
    </w:p>
    <w:p w14:paraId="3C9A201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N49 – LT/1/10/2178/014</w:t>
      </w:r>
    </w:p>
    <w:p w14:paraId="7FCE875E"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N56 – LT/1/10/2178/003</w:t>
      </w:r>
    </w:p>
    <w:p w14:paraId="312C2B78" w14:textId="77777777" w:rsidR="00E35DF9" w:rsidRPr="00E35DF9" w:rsidRDefault="00E35DF9" w:rsidP="00E35DF9">
      <w:pPr>
        <w:spacing w:after="0" w:line="240" w:lineRule="auto"/>
        <w:rPr>
          <w:rFonts w:ascii="Times New Roman" w:eastAsia="Calibri" w:hAnsi="Times New Roman" w:cs="Times New Roman"/>
        </w:rPr>
      </w:pPr>
    </w:p>
    <w:p w14:paraId="068C5A1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167C58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13.</w:t>
      </w:r>
      <w:r w:rsidRPr="00E35DF9">
        <w:rPr>
          <w:rFonts w:ascii="Times New Roman" w:eastAsia="Calibri" w:hAnsi="Times New Roman" w:cs="Times New Roman"/>
          <w:b/>
        </w:rPr>
        <w:tab/>
        <w:t>SERIJOS NUMERIS</w:t>
      </w:r>
    </w:p>
    <w:p w14:paraId="1511518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470F26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0C0FE47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8BB44B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34760B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14.</w:t>
      </w:r>
      <w:r w:rsidRPr="00E35DF9">
        <w:rPr>
          <w:rFonts w:ascii="Times New Roman" w:eastAsia="Calibri" w:hAnsi="Times New Roman" w:cs="Times New Roman"/>
          <w:b/>
        </w:rPr>
        <w:tab/>
        <w:t>PARDAVIMO (IŠDAVIMO) TVARKA</w:t>
      </w:r>
    </w:p>
    <w:p w14:paraId="0456369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A78AD6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Receptinis vaistas</w:t>
      </w:r>
    </w:p>
    <w:p w14:paraId="02A0EF8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312075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5B0E47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15.</w:t>
      </w:r>
      <w:r w:rsidRPr="00E35DF9">
        <w:rPr>
          <w:rFonts w:ascii="Times New Roman" w:eastAsia="Calibri" w:hAnsi="Times New Roman" w:cs="Times New Roman"/>
          <w:b/>
        </w:rPr>
        <w:tab/>
        <w:t xml:space="preserve">VARTOJIMO </w:t>
      </w:r>
      <w:smartTag w:uri="schemas-tilde-lt/tildestengine" w:element="templates">
        <w:smartTagPr>
          <w:attr w:name="text" w:val="INSTRUKCIJA"/>
          <w:attr w:name="id" w:val="-1"/>
          <w:attr w:name="baseform" w:val="instrukcij|a"/>
        </w:smartTagPr>
        <w:r w:rsidRPr="00E35DF9">
          <w:rPr>
            <w:rFonts w:ascii="Times New Roman" w:eastAsia="Calibri" w:hAnsi="Times New Roman" w:cs="Times New Roman"/>
            <w:b/>
          </w:rPr>
          <w:t>INSTRUKCIJA</w:t>
        </w:r>
      </w:smartTag>
    </w:p>
    <w:p w14:paraId="3E39487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69E405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017498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E35DF9">
        <w:rPr>
          <w:rFonts w:ascii="Times New Roman" w:eastAsia="Calibri" w:hAnsi="Times New Roman" w:cs="Times New Roman"/>
          <w:b/>
        </w:rPr>
        <w:t>16.</w:t>
      </w:r>
      <w:r w:rsidRPr="00E35DF9">
        <w:rPr>
          <w:rFonts w:ascii="Times New Roman" w:eastAsia="Calibri" w:hAnsi="Times New Roman" w:cs="Times New Roman"/>
          <w:b/>
        </w:rPr>
        <w:tab/>
        <w:t>INFORMACIJA BRAILIO RAŠTU</w:t>
      </w:r>
    </w:p>
    <w:p w14:paraId="486BDC63" w14:textId="77777777" w:rsidR="00E35DF9" w:rsidRPr="00E35DF9" w:rsidRDefault="00E35DF9" w:rsidP="00E35DF9">
      <w:pPr>
        <w:spacing w:after="0" w:line="240" w:lineRule="auto"/>
        <w:rPr>
          <w:rFonts w:ascii="Times New Roman" w:eastAsia="Calibri" w:hAnsi="Times New Roman" w:cs="Times New Roman"/>
          <w:b/>
        </w:rPr>
      </w:pPr>
    </w:p>
    <w:p w14:paraId="6CF2ABFC"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Egolanza 7,5 mg</w:t>
      </w:r>
    </w:p>
    <w:p w14:paraId="34BCE393" w14:textId="77777777" w:rsidR="00E35DF9" w:rsidRPr="00E35DF9" w:rsidRDefault="00E35DF9" w:rsidP="00E35DF9">
      <w:pPr>
        <w:spacing w:after="0" w:line="240" w:lineRule="auto"/>
        <w:rPr>
          <w:rFonts w:ascii="Times New Roman" w:eastAsia="Calibri" w:hAnsi="Times New Roman" w:cs="Times New Roman"/>
        </w:rPr>
      </w:pPr>
    </w:p>
    <w:p w14:paraId="4D735026" w14:textId="77777777" w:rsidR="00E35DF9" w:rsidRPr="00E35DF9" w:rsidRDefault="00E35DF9" w:rsidP="00E35DF9">
      <w:pPr>
        <w:spacing w:after="0" w:line="240" w:lineRule="auto"/>
        <w:rPr>
          <w:rFonts w:ascii="Times New Roman" w:eastAsia="Calibri" w:hAnsi="Times New Roman" w:cs="Times New Roman"/>
        </w:rPr>
      </w:pPr>
    </w:p>
    <w:p w14:paraId="5BD6A229"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17.</w:t>
      </w:r>
      <w:r w:rsidRPr="00E35DF9">
        <w:rPr>
          <w:rFonts w:ascii="Times New Roman" w:eastAsia="Calibri" w:hAnsi="Times New Roman" w:cs="Times New Roman"/>
          <w:b/>
        </w:rPr>
        <w:tab/>
        <w:t>UNIKALUS IDENTIFIKATORIUS – 2D BRŪKŠNINIS KODAS</w:t>
      </w:r>
    </w:p>
    <w:p w14:paraId="5417EF5C" w14:textId="77777777" w:rsidR="00E35DF9" w:rsidRPr="00E35DF9" w:rsidRDefault="00E35DF9" w:rsidP="00E35DF9">
      <w:pPr>
        <w:spacing w:after="0" w:line="240" w:lineRule="auto"/>
        <w:rPr>
          <w:rFonts w:ascii="Times New Roman" w:eastAsia="Calibri" w:hAnsi="Times New Roman" w:cs="Times New Roman"/>
        </w:rPr>
      </w:pPr>
    </w:p>
    <w:p w14:paraId="35468EEA"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&lt;2D brūkšninis kodas su nurodytu unikaliu identifikatoriumi.&gt;</w:t>
      </w:r>
    </w:p>
    <w:p w14:paraId="6EE56F76" w14:textId="77777777" w:rsidR="00E35DF9" w:rsidRPr="00E35DF9" w:rsidRDefault="00E35DF9" w:rsidP="00E35DF9">
      <w:pPr>
        <w:spacing w:after="0" w:line="240" w:lineRule="auto"/>
        <w:rPr>
          <w:rFonts w:ascii="Times New Roman" w:eastAsia="Calibri" w:hAnsi="Times New Roman" w:cs="Times New Roman"/>
        </w:rPr>
      </w:pPr>
    </w:p>
    <w:p w14:paraId="72F1F481" w14:textId="77777777" w:rsidR="00E35DF9" w:rsidRPr="00E35DF9" w:rsidRDefault="00E35DF9" w:rsidP="00E35DF9">
      <w:pPr>
        <w:spacing w:after="0" w:line="240" w:lineRule="auto"/>
        <w:rPr>
          <w:rFonts w:ascii="Times New Roman" w:eastAsia="Calibri" w:hAnsi="Times New Roman" w:cs="Times New Roman"/>
        </w:rPr>
      </w:pPr>
    </w:p>
    <w:p w14:paraId="473DF5C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18.</w:t>
      </w:r>
      <w:r w:rsidRPr="00E35DF9">
        <w:rPr>
          <w:rFonts w:ascii="Times New Roman" w:eastAsia="Calibri" w:hAnsi="Times New Roman" w:cs="Times New Roman"/>
          <w:b/>
        </w:rPr>
        <w:tab/>
        <w:t>UNIKALUS IDENTIFIKATORIUS – ŽMONĖMS SUPRANTAMI DUOMENYS</w:t>
      </w:r>
    </w:p>
    <w:p w14:paraId="2F0A589D" w14:textId="77777777" w:rsidR="00E35DF9" w:rsidRPr="00E35DF9" w:rsidRDefault="00E35DF9" w:rsidP="00E35DF9">
      <w:pPr>
        <w:spacing w:after="0" w:line="240" w:lineRule="auto"/>
        <w:rPr>
          <w:rFonts w:ascii="Times New Roman" w:eastAsia="Calibri" w:hAnsi="Times New Roman" w:cs="Times New Roman"/>
        </w:rPr>
      </w:pPr>
    </w:p>
    <w:p w14:paraId="3AF654E7"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&lt;PC: {numeris} </w:t>
      </w:r>
    </w:p>
    <w:p w14:paraId="172401E7"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SN: {numeris} </w:t>
      </w:r>
    </w:p>
    <w:p w14:paraId="5B69C88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NN: {numeris} &gt;</w:t>
      </w:r>
    </w:p>
    <w:p w14:paraId="043F5D3C" w14:textId="77777777" w:rsidR="00E35DF9" w:rsidRPr="00E35DF9" w:rsidRDefault="00E35DF9" w:rsidP="00E35DF9">
      <w:pPr>
        <w:spacing w:after="0" w:line="240" w:lineRule="auto"/>
        <w:rPr>
          <w:rFonts w:ascii="Times New Roman" w:eastAsia="Calibri" w:hAnsi="Times New Roman" w:cs="Times New Roman"/>
        </w:rPr>
      </w:pPr>
    </w:p>
    <w:p w14:paraId="0DE86705" w14:textId="77777777" w:rsidR="00E35DF9" w:rsidRPr="00E35DF9" w:rsidRDefault="00E35DF9" w:rsidP="00E35DF9">
      <w:pPr>
        <w:spacing w:after="0" w:line="240" w:lineRule="auto"/>
        <w:rPr>
          <w:rFonts w:ascii="Times New Roman" w:eastAsia="Calibri" w:hAnsi="Times New Roman" w:cs="Times New Roman"/>
        </w:rPr>
      </w:pPr>
    </w:p>
    <w:p w14:paraId="27C4E257"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br w:type="page"/>
      </w:r>
      <w:r w:rsidRPr="00E35DF9">
        <w:rPr>
          <w:rFonts w:ascii="Times New Roman" w:eastAsia="Calibri" w:hAnsi="Times New Roman" w:cs="Times New Roman"/>
          <w:b/>
        </w:rPr>
        <w:lastRenderedPageBreak/>
        <w:t>MINIMALI INFORMACIJA ANT LIZDINIŲ PLOKŠTELIŲ ARBA DVISLUOKSNIŲ JUOSTELIŲ</w:t>
      </w:r>
    </w:p>
    <w:p w14:paraId="472BEDEF"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7B53CADA"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E35DF9">
        <w:rPr>
          <w:rFonts w:ascii="Times New Roman" w:eastAsia="Calibri" w:hAnsi="Times New Roman" w:cs="Times New Roman"/>
          <w:b/>
          <w:caps/>
        </w:rPr>
        <w:t>Lizdinė plokštelė</w:t>
      </w:r>
    </w:p>
    <w:p w14:paraId="589A1603" w14:textId="77777777" w:rsidR="00E35DF9" w:rsidRPr="00E35DF9" w:rsidRDefault="00E35DF9" w:rsidP="00E35DF9">
      <w:pPr>
        <w:spacing w:after="0" w:line="240" w:lineRule="auto"/>
        <w:rPr>
          <w:rFonts w:ascii="Times New Roman" w:eastAsia="Calibri" w:hAnsi="Times New Roman" w:cs="Times New Roman"/>
        </w:rPr>
      </w:pPr>
    </w:p>
    <w:p w14:paraId="2A4B6501" w14:textId="77777777" w:rsidR="00E35DF9" w:rsidRPr="00E35DF9" w:rsidRDefault="00E35DF9" w:rsidP="00E35DF9">
      <w:pPr>
        <w:spacing w:after="0" w:line="240" w:lineRule="auto"/>
        <w:rPr>
          <w:rFonts w:ascii="Times New Roman" w:eastAsia="Calibri" w:hAnsi="Times New Roman" w:cs="Times New Roman"/>
        </w:rPr>
      </w:pPr>
    </w:p>
    <w:p w14:paraId="296EB12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168E09B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216A8CF"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7,5 mg plėvele dengtos tabletės</w:t>
      </w:r>
    </w:p>
    <w:p w14:paraId="1A57016A"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16DE0EC9" w14:textId="77777777" w:rsidR="00E35DF9" w:rsidRPr="00E35DF9" w:rsidRDefault="00E35DF9" w:rsidP="00E35DF9">
      <w:pPr>
        <w:spacing w:after="0" w:line="240" w:lineRule="auto"/>
        <w:rPr>
          <w:rFonts w:ascii="Times New Roman" w:eastAsia="Calibri" w:hAnsi="Times New Roman" w:cs="Times New Roman"/>
        </w:rPr>
      </w:pPr>
    </w:p>
    <w:p w14:paraId="5FE9EF3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C8BD62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 xml:space="preserve">REGISTRUOTOJO PAVADINIMAS </w:t>
      </w:r>
    </w:p>
    <w:p w14:paraId="0BA415C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E3305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EGIS </w:t>
      </w:r>
    </w:p>
    <w:p w14:paraId="16C1EE9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8EAFC2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9D87A8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TINKAMUMO LAIKAS</w:t>
      </w:r>
    </w:p>
    <w:p w14:paraId="60E23BE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220EE19"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245B257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7B97E7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2360144"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 xml:space="preserve">SERIJOS NUMERIS </w:t>
      </w:r>
    </w:p>
    <w:p w14:paraId="6CDB333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49AB7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1542D76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04E83F4" w14:textId="77777777" w:rsidR="00E35DF9" w:rsidRPr="00E35DF9" w:rsidRDefault="00E35DF9" w:rsidP="00E35DF9">
      <w:pPr>
        <w:spacing w:after="0" w:line="240" w:lineRule="auto"/>
        <w:rPr>
          <w:rFonts w:ascii="Times New Roman" w:eastAsia="Calibri" w:hAnsi="Times New Roman" w:cs="Times New Roman"/>
        </w:rPr>
      </w:pPr>
    </w:p>
    <w:p w14:paraId="1F28F2F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b/>
        </w:rPr>
        <w:t>5.</w:t>
      </w:r>
      <w:r w:rsidRPr="00E35DF9">
        <w:rPr>
          <w:rFonts w:ascii="Times New Roman" w:eastAsia="Calibri" w:hAnsi="Times New Roman" w:cs="Times New Roman"/>
          <w:b/>
        </w:rPr>
        <w:tab/>
        <w:t>KITA</w:t>
      </w:r>
    </w:p>
    <w:p w14:paraId="00FCF673" w14:textId="77777777" w:rsidR="00E35DF9" w:rsidRPr="00E35DF9" w:rsidRDefault="00E35DF9" w:rsidP="00E35DF9">
      <w:pPr>
        <w:spacing w:after="0" w:line="240" w:lineRule="auto"/>
        <w:rPr>
          <w:rFonts w:ascii="Times New Roman" w:eastAsia="Calibri" w:hAnsi="Times New Roman" w:cs="Times New Roman"/>
        </w:rPr>
      </w:pPr>
    </w:p>
    <w:p w14:paraId="038746AA" w14:textId="77777777" w:rsidR="00E35DF9" w:rsidRPr="00E35DF9" w:rsidRDefault="00E35DF9" w:rsidP="00E35DF9">
      <w:pPr>
        <w:spacing w:after="0" w:line="240" w:lineRule="auto"/>
        <w:rPr>
          <w:rFonts w:ascii="Times New Roman" w:eastAsia="Calibri" w:hAnsi="Times New Roman" w:cs="Times New Roman"/>
        </w:rPr>
      </w:pPr>
    </w:p>
    <w:p w14:paraId="77AE93AA" w14:textId="77777777" w:rsidR="00E35DF9" w:rsidRPr="00E35DF9"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E35DF9">
        <w:rPr>
          <w:rFonts w:ascii="Times New Roman" w:eastAsia="Times New Roman" w:hAnsi="Times New Roman" w:cs="Times New Roman"/>
          <w:u w:val="single"/>
          <w:lang w:eastAsia="hu-HU"/>
        </w:rPr>
        <w:br w:type="page"/>
      </w:r>
      <w:r w:rsidRPr="00E35DF9">
        <w:rPr>
          <w:rFonts w:ascii="Times New Roman" w:eastAsia="Times New Roman" w:hAnsi="Times New Roman" w:cs="Times New Roman"/>
          <w:b/>
          <w:bCs/>
          <w:iCs/>
          <w:lang w:eastAsia="hu-HU"/>
        </w:rPr>
        <w:lastRenderedPageBreak/>
        <w:t>INFORMACIJA ANT IŠORINĖS PAKUOTĖS</w:t>
      </w:r>
    </w:p>
    <w:p w14:paraId="7F63D706"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343D0248"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t>KARTONO DĖŽUTĖ</w:t>
      </w:r>
    </w:p>
    <w:p w14:paraId="238D5CCC" w14:textId="77777777" w:rsidR="00E35DF9" w:rsidRPr="00E35DF9" w:rsidRDefault="00E35DF9" w:rsidP="00E35DF9">
      <w:pPr>
        <w:spacing w:after="0" w:line="240" w:lineRule="auto"/>
        <w:rPr>
          <w:rFonts w:ascii="Times New Roman" w:eastAsia="Calibri" w:hAnsi="Times New Roman" w:cs="Times New Roman"/>
        </w:rPr>
      </w:pPr>
    </w:p>
    <w:p w14:paraId="012DD362" w14:textId="77777777" w:rsidR="00E35DF9" w:rsidRPr="00E35DF9" w:rsidRDefault="00E35DF9" w:rsidP="00E35DF9">
      <w:pPr>
        <w:spacing w:after="0" w:line="240" w:lineRule="auto"/>
        <w:rPr>
          <w:rFonts w:ascii="Times New Roman" w:eastAsia="Calibri" w:hAnsi="Times New Roman" w:cs="Times New Roman"/>
        </w:rPr>
      </w:pPr>
    </w:p>
    <w:p w14:paraId="5612FED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31C7465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4E23A7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10 mg plėvele dengtos tabletės</w:t>
      </w:r>
    </w:p>
    <w:p w14:paraId="35E8DBCA"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4144ACF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2ABB49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03B647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r>
      <w:r w:rsidRPr="00E35DF9">
        <w:rPr>
          <w:rFonts w:ascii="Times New Roman" w:eastAsia="Times New Roman" w:hAnsi="Times New Roman" w:cs="Times New Roman"/>
          <w:b/>
          <w:noProof/>
          <w:snapToGrid w:val="0"/>
          <w:szCs w:val="24"/>
        </w:rPr>
        <w:t>VEIKLIOJI (-IOS) MEDŽIAGA (-OS) IR JOS (-Ų) KIEKIS (-IAI)</w:t>
      </w:r>
    </w:p>
    <w:p w14:paraId="518AD74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67143F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Vienoje plėvele dengtoje tabletėje yra 10 mg olanzapino (atitinkančio 14,06 mg olanzapino dihidrochlorido trihidrato).</w:t>
      </w:r>
    </w:p>
    <w:p w14:paraId="524922A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AC3959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C4FC1A4"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PAGALBINIŲ MEDŽIAGŲ SĄRAŠAS</w:t>
      </w:r>
    </w:p>
    <w:p w14:paraId="3AC471F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D55E6B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Sudėtyje yra laktozės monohidrato (81,97 mg).</w:t>
      </w:r>
    </w:p>
    <w:p w14:paraId="03806189" w14:textId="77777777" w:rsidR="00E35DF9" w:rsidRPr="00E35DF9" w:rsidRDefault="00E35DF9" w:rsidP="00E35DF9">
      <w:pPr>
        <w:spacing w:after="0" w:line="240" w:lineRule="auto"/>
        <w:rPr>
          <w:rFonts w:ascii="Times New Roman" w:eastAsia="Calibri" w:hAnsi="Times New Roman" w:cs="Times New Roman"/>
          <w:b/>
        </w:rPr>
      </w:pPr>
      <w:r w:rsidRPr="00E35DF9">
        <w:rPr>
          <w:rFonts w:ascii="Times New Roman" w:eastAsia="Calibri" w:hAnsi="Times New Roman" w:cs="Times New Roman"/>
        </w:rPr>
        <w:t>Daugiau informacijos pateikta pakuotės lapelyje.</w:t>
      </w:r>
    </w:p>
    <w:p w14:paraId="6F2A659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8881AC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8777AA4"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FARMACINĖ FORMA IR KIEKIS PAKUOTĖJE</w:t>
      </w:r>
    </w:p>
    <w:p w14:paraId="0AA8AA3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396C225" w14:textId="77777777" w:rsidR="00E35DF9" w:rsidRPr="00E35DF9" w:rsidRDefault="00E35DF9" w:rsidP="00E35DF9">
      <w:pPr>
        <w:tabs>
          <w:tab w:val="left" w:pos="540"/>
        </w:tabs>
        <w:spacing w:after="0" w:line="240" w:lineRule="auto"/>
        <w:rPr>
          <w:rFonts w:ascii="Times New Roman" w:eastAsia="Calibri" w:hAnsi="Times New Roman" w:cs="Times New Roman"/>
        </w:rPr>
      </w:pPr>
      <w:bookmarkStart w:id="10" w:name="OLE_LINK1"/>
      <w:bookmarkStart w:id="11" w:name="OLE_LINK2"/>
      <w:r w:rsidRPr="00E35DF9">
        <w:rPr>
          <w:rFonts w:ascii="Times New Roman" w:eastAsia="Calibri" w:hAnsi="Times New Roman" w:cs="Times New Roman"/>
        </w:rPr>
        <w:t>28 plėvele dengtos tabletės</w:t>
      </w:r>
    </w:p>
    <w:p w14:paraId="49A2C7D4"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42 plėvele dengtos tabletės</w:t>
      </w:r>
    </w:p>
    <w:p w14:paraId="04D8E750"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49 plėvele dengtos tabletės</w:t>
      </w:r>
    </w:p>
    <w:bookmarkEnd w:id="10"/>
    <w:bookmarkEnd w:id="11"/>
    <w:p w14:paraId="102E8CA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56 plėvele dengtos tabletės</w:t>
      </w:r>
    </w:p>
    <w:p w14:paraId="64D5C88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87B3DF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B05BCF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VARTOJIMO METODAS IR BŪDAS (-AI)</w:t>
      </w:r>
    </w:p>
    <w:p w14:paraId="162E660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D0C294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269763E1"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Prieš vartojimą perskaitykite pakuotės lapelį.</w:t>
      </w:r>
    </w:p>
    <w:p w14:paraId="18DF6A3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DFB3BD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A32875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6.</w:t>
      </w:r>
      <w:r w:rsidRPr="00E35DF9">
        <w:rPr>
          <w:rFonts w:ascii="Times New Roman" w:eastAsia="Times New Roman" w:hAnsi="Times New Roman" w:cs="Times New Roman"/>
          <w:b/>
          <w:lang w:eastAsia="hu-HU"/>
        </w:rPr>
        <w:tab/>
        <w:t>SPECIALUS ĮSPĖJIMAS, KAD VAISTINĮ PREPARATĄ BŪTINA LAIKYTI VAIKAMS NEPASTEBIMOJE IR NEPASIEKIAMOJE VIETOJE</w:t>
      </w:r>
    </w:p>
    <w:p w14:paraId="3F7FA45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ED1A31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Laikyti vaikams nepastebimoje ir nepasiekiamoje vietoje.</w:t>
      </w:r>
    </w:p>
    <w:p w14:paraId="6B6A3CE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5AFA02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D9F7BB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7.</w:t>
      </w:r>
      <w:r w:rsidRPr="00E35DF9">
        <w:rPr>
          <w:rFonts w:ascii="Times New Roman" w:eastAsia="Calibri" w:hAnsi="Times New Roman" w:cs="Times New Roman"/>
          <w:b/>
        </w:rPr>
        <w:tab/>
        <w:t>KITAS (-I) SPECIALUS (-ŪS) ĮSPĖJIMAS (-AI) (JEI REIKIA)</w:t>
      </w:r>
    </w:p>
    <w:p w14:paraId="0A58FD6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2FD686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E9AFC0E"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TINKAMUMO LAIKAS</w:t>
      </w:r>
    </w:p>
    <w:p w14:paraId="3AC4674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BB9C4A4"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40B9788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650DE2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767709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SPECIALIOS LAIKYMO SĄLYGOS</w:t>
      </w:r>
    </w:p>
    <w:p w14:paraId="2656EBFB" w14:textId="77777777" w:rsidR="00E35DF9" w:rsidRPr="00E35DF9" w:rsidRDefault="00E35DF9" w:rsidP="00E35DF9">
      <w:pPr>
        <w:spacing w:after="0" w:line="240" w:lineRule="auto"/>
        <w:rPr>
          <w:rFonts w:ascii="Times New Roman" w:eastAsia="Calibri" w:hAnsi="Times New Roman" w:cs="Times New Roman"/>
        </w:rPr>
      </w:pPr>
    </w:p>
    <w:p w14:paraId="6FA7CC94" w14:textId="77777777" w:rsidR="00E35DF9" w:rsidRPr="00E35DF9" w:rsidRDefault="00E35DF9" w:rsidP="00E35DF9">
      <w:pPr>
        <w:spacing w:after="0" w:line="240" w:lineRule="auto"/>
        <w:rPr>
          <w:rFonts w:ascii="Times New Roman" w:eastAsia="Calibri" w:hAnsi="Times New Roman" w:cs="Times New Roman"/>
        </w:rPr>
      </w:pPr>
    </w:p>
    <w:p w14:paraId="1360462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lastRenderedPageBreak/>
        <w:t>10.</w:t>
      </w:r>
      <w:r w:rsidRPr="00E35DF9">
        <w:rPr>
          <w:rFonts w:ascii="Times New Roman" w:eastAsia="Times New Roman" w:hAnsi="Times New Roman" w:cs="Times New Roman"/>
          <w:b/>
          <w:lang w:eastAsia="hu-HU"/>
        </w:rPr>
        <w:tab/>
        <w:t xml:space="preserve">SPECIALIOS ATSARGUMO PRIEMONĖS DĖL NESUVARTOTO VAISTINIO PREPARATO AR JO ATLIEKŲ TVARKYMO (JEI REIKIA) </w:t>
      </w:r>
    </w:p>
    <w:p w14:paraId="6F6FE75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30BA02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00C734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11.</w:t>
      </w:r>
      <w:r w:rsidRPr="00E35DF9">
        <w:rPr>
          <w:rFonts w:ascii="Times New Roman" w:eastAsia="Calibri" w:hAnsi="Times New Roman" w:cs="Times New Roman"/>
          <w:b/>
        </w:rPr>
        <w:tab/>
        <w:t>REGISTRUOTOJO PAVADINIMAS IR ADRESAS</w:t>
      </w:r>
    </w:p>
    <w:p w14:paraId="58AE521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2900F27"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EGIS Pharmaceuticals PLC</w:t>
      </w:r>
    </w:p>
    <w:p w14:paraId="5BA219FE"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H-1106 Budapest, Keresztúri út 30-38</w:t>
      </w:r>
    </w:p>
    <w:p w14:paraId="74CC0268"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Vengrija</w:t>
      </w:r>
    </w:p>
    <w:p w14:paraId="5185478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11576F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F8267D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12.</w:t>
      </w:r>
      <w:r w:rsidRPr="00E35DF9">
        <w:rPr>
          <w:rFonts w:ascii="Times New Roman" w:eastAsia="Calibri" w:hAnsi="Times New Roman" w:cs="Times New Roman"/>
          <w:b/>
        </w:rPr>
        <w:tab/>
        <w:t>REGISTRACIJOS PAŽYMĖJIMO NUMERIS (-IAI)</w:t>
      </w:r>
    </w:p>
    <w:p w14:paraId="38D6186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8729AA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N28 – LT/1/10/2178/004</w:t>
      </w:r>
    </w:p>
    <w:p w14:paraId="2FA373B9"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N42 – LT/1/10/2178/015</w:t>
      </w:r>
    </w:p>
    <w:p w14:paraId="2C9B5A7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N49 – LT/1/10/2178/016</w:t>
      </w:r>
    </w:p>
    <w:p w14:paraId="5EEB8F41"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N56 – LT/1/10/2178/005</w:t>
      </w:r>
    </w:p>
    <w:p w14:paraId="0DE397A5" w14:textId="77777777" w:rsidR="00E35DF9" w:rsidRPr="00E35DF9" w:rsidRDefault="00E35DF9" w:rsidP="00E35DF9">
      <w:pPr>
        <w:spacing w:after="0" w:line="240" w:lineRule="auto"/>
        <w:rPr>
          <w:rFonts w:ascii="Times New Roman" w:eastAsia="Calibri" w:hAnsi="Times New Roman" w:cs="Times New Roman"/>
        </w:rPr>
      </w:pPr>
    </w:p>
    <w:p w14:paraId="6F3D3F0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BA8B2B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13.</w:t>
      </w:r>
      <w:r w:rsidRPr="00E35DF9">
        <w:rPr>
          <w:rFonts w:ascii="Times New Roman" w:eastAsia="Calibri" w:hAnsi="Times New Roman" w:cs="Times New Roman"/>
          <w:b/>
        </w:rPr>
        <w:tab/>
        <w:t>SERIJOS NUMERIS</w:t>
      </w:r>
    </w:p>
    <w:p w14:paraId="31DCB3A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AE3F43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161CBBD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75E390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4BEEEA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14.</w:t>
      </w:r>
      <w:r w:rsidRPr="00E35DF9">
        <w:rPr>
          <w:rFonts w:ascii="Times New Roman" w:eastAsia="Calibri" w:hAnsi="Times New Roman" w:cs="Times New Roman"/>
          <w:b/>
        </w:rPr>
        <w:tab/>
        <w:t>PARDAVIMO (IŠDAVIMO) TVARKA</w:t>
      </w:r>
    </w:p>
    <w:p w14:paraId="4BD5609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3E7735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Receptinis vaistas</w:t>
      </w:r>
    </w:p>
    <w:p w14:paraId="7140E5C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1BC42A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E5623F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15.</w:t>
      </w:r>
      <w:r w:rsidRPr="00E35DF9">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E35DF9">
          <w:rPr>
            <w:rFonts w:ascii="Times New Roman" w:eastAsia="Calibri" w:hAnsi="Times New Roman" w:cs="Times New Roman"/>
            <w:b/>
          </w:rPr>
          <w:t>INSTRUKCIJA</w:t>
        </w:r>
      </w:smartTag>
    </w:p>
    <w:p w14:paraId="19AD802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1A73CC"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1D916DB"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E35DF9">
        <w:rPr>
          <w:rFonts w:ascii="Times New Roman" w:eastAsia="Calibri" w:hAnsi="Times New Roman" w:cs="Times New Roman"/>
          <w:b/>
        </w:rPr>
        <w:t>16.</w:t>
      </w:r>
      <w:r w:rsidRPr="00E35DF9">
        <w:rPr>
          <w:rFonts w:ascii="Times New Roman" w:eastAsia="Calibri" w:hAnsi="Times New Roman" w:cs="Times New Roman"/>
          <w:b/>
        </w:rPr>
        <w:tab/>
        <w:t>INFORMACIJA BRAILIO RAŠTU</w:t>
      </w:r>
    </w:p>
    <w:p w14:paraId="004E7673" w14:textId="77777777" w:rsidR="00E35DF9" w:rsidRPr="00E35DF9" w:rsidRDefault="00E35DF9" w:rsidP="00E35DF9">
      <w:pPr>
        <w:spacing w:after="0" w:line="240" w:lineRule="auto"/>
        <w:rPr>
          <w:rFonts w:ascii="Times New Roman" w:eastAsia="Calibri" w:hAnsi="Times New Roman" w:cs="Times New Roman"/>
          <w:b/>
        </w:rPr>
      </w:pPr>
    </w:p>
    <w:p w14:paraId="5D22D7A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Egolanza 10 mg</w:t>
      </w:r>
    </w:p>
    <w:p w14:paraId="1CB8AD4F" w14:textId="77777777" w:rsidR="00E35DF9" w:rsidRPr="00E35DF9" w:rsidRDefault="00E35DF9" w:rsidP="00E35DF9">
      <w:pPr>
        <w:spacing w:after="0" w:line="240" w:lineRule="auto"/>
        <w:rPr>
          <w:rFonts w:ascii="Times New Roman" w:eastAsia="Calibri" w:hAnsi="Times New Roman" w:cs="Times New Roman"/>
        </w:rPr>
      </w:pPr>
    </w:p>
    <w:p w14:paraId="73DD7262" w14:textId="77777777" w:rsidR="00E35DF9" w:rsidRPr="00E35DF9" w:rsidRDefault="00E35DF9" w:rsidP="00E35DF9">
      <w:pPr>
        <w:spacing w:after="0" w:line="240" w:lineRule="auto"/>
        <w:rPr>
          <w:rFonts w:ascii="Times New Roman" w:eastAsia="Calibri" w:hAnsi="Times New Roman" w:cs="Times New Roman"/>
        </w:rPr>
      </w:pPr>
    </w:p>
    <w:p w14:paraId="117A0CC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17.</w:t>
      </w:r>
      <w:r w:rsidRPr="00E35DF9">
        <w:rPr>
          <w:rFonts w:ascii="Times New Roman" w:eastAsia="Calibri" w:hAnsi="Times New Roman" w:cs="Times New Roman"/>
          <w:b/>
        </w:rPr>
        <w:tab/>
        <w:t>UNIKALUS IDENTIFIKATORIUS – 2D BRŪKŠNINIS KODAS</w:t>
      </w:r>
    </w:p>
    <w:p w14:paraId="12489C17" w14:textId="77777777" w:rsidR="00E35DF9" w:rsidRPr="00E35DF9" w:rsidRDefault="00E35DF9" w:rsidP="00E35DF9">
      <w:pPr>
        <w:spacing w:after="0" w:line="240" w:lineRule="auto"/>
        <w:rPr>
          <w:rFonts w:ascii="Times New Roman" w:eastAsia="Calibri" w:hAnsi="Times New Roman" w:cs="Times New Roman"/>
        </w:rPr>
      </w:pPr>
    </w:p>
    <w:p w14:paraId="0698CC84"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&lt;2D brūkšninis kodas su nurodytu unikaliu identifikatoriumi.&gt;</w:t>
      </w:r>
    </w:p>
    <w:p w14:paraId="2EEA933C" w14:textId="77777777" w:rsidR="00E35DF9" w:rsidRPr="00E35DF9" w:rsidRDefault="00E35DF9" w:rsidP="00E35DF9">
      <w:pPr>
        <w:spacing w:after="0" w:line="240" w:lineRule="auto"/>
        <w:rPr>
          <w:rFonts w:ascii="Times New Roman" w:eastAsia="Calibri" w:hAnsi="Times New Roman" w:cs="Times New Roman"/>
        </w:rPr>
      </w:pPr>
    </w:p>
    <w:p w14:paraId="781F2FDF" w14:textId="77777777" w:rsidR="00E35DF9" w:rsidRPr="00E35DF9" w:rsidRDefault="00E35DF9" w:rsidP="00E35DF9">
      <w:pPr>
        <w:spacing w:after="0" w:line="240" w:lineRule="auto"/>
        <w:rPr>
          <w:rFonts w:ascii="Times New Roman" w:eastAsia="Calibri" w:hAnsi="Times New Roman" w:cs="Times New Roman"/>
        </w:rPr>
      </w:pPr>
    </w:p>
    <w:p w14:paraId="5F7C7E5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18.</w:t>
      </w:r>
      <w:r w:rsidRPr="00E35DF9">
        <w:rPr>
          <w:rFonts w:ascii="Times New Roman" w:eastAsia="Calibri" w:hAnsi="Times New Roman" w:cs="Times New Roman"/>
          <w:b/>
        </w:rPr>
        <w:tab/>
        <w:t>UNIKALUS IDENTIFIKATORIUS – ŽMONĖMS SUPRANTAMI DUOMENYS</w:t>
      </w:r>
    </w:p>
    <w:p w14:paraId="46089578" w14:textId="77777777" w:rsidR="00E35DF9" w:rsidRPr="00E35DF9" w:rsidRDefault="00E35DF9" w:rsidP="00E35DF9">
      <w:pPr>
        <w:spacing w:after="0" w:line="240" w:lineRule="auto"/>
        <w:rPr>
          <w:rFonts w:ascii="Times New Roman" w:eastAsia="Calibri" w:hAnsi="Times New Roman" w:cs="Times New Roman"/>
        </w:rPr>
      </w:pPr>
    </w:p>
    <w:p w14:paraId="525AF4B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&lt;PC: {numeris} </w:t>
      </w:r>
    </w:p>
    <w:p w14:paraId="066AB4F9"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SN: {numeris} </w:t>
      </w:r>
    </w:p>
    <w:p w14:paraId="46AD798A"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NN: {numeris} &gt;</w:t>
      </w:r>
    </w:p>
    <w:p w14:paraId="081C8F1C" w14:textId="77777777" w:rsidR="00E35DF9" w:rsidRPr="00E35DF9" w:rsidRDefault="00E35DF9" w:rsidP="00E35DF9">
      <w:pPr>
        <w:spacing w:after="0" w:line="240" w:lineRule="auto"/>
        <w:rPr>
          <w:rFonts w:ascii="Times New Roman" w:eastAsia="Calibri" w:hAnsi="Times New Roman" w:cs="Times New Roman"/>
        </w:rPr>
      </w:pPr>
    </w:p>
    <w:p w14:paraId="4AAACED5" w14:textId="77777777" w:rsidR="00E35DF9" w:rsidRPr="00E35DF9" w:rsidRDefault="00E35DF9" w:rsidP="00E35DF9">
      <w:pPr>
        <w:spacing w:after="0" w:line="240" w:lineRule="auto"/>
        <w:rPr>
          <w:rFonts w:ascii="Times New Roman" w:eastAsia="Calibri" w:hAnsi="Times New Roman" w:cs="Times New Roman"/>
        </w:rPr>
      </w:pPr>
    </w:p>
    <w:p w14:paraId="15CD9AEC"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br w:type="page"/>
      </w:r>
      <w:r w:rsidRPr="00E35DF9">
        <w:rPr>
          <w:rFonts w:ascii="Times New Roman" w:eastAsia="Calibri" w:hAnsi="Times New Roman" w:cs="Times New Roman"/>
          <w:b/>
        </w:rPr>
        <w:lastRenderedPageBreak/>
        <w:t>MINIMALI INFORMACIJA ANT LIZDINIŲ PLOKŠTELIŲ ARBA DVISLUOKSNIŲ JUOSTELIŲ</w:t>
      </w:r>
    </w:p>
    <w:p w14:paraId="0BBD0589"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6D8A1C47"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E35DF9">
        <w:rPr>
          <w:rFonts w:ascii="Times New Roman" w:eastAsia="Calibri" w:hAnsi="Times New Roman" w:cs="Times New Roman"/>
          <w:b/>
          <w:caps/>
        </w:rPr>
        <w:t>Lizdinė plokštelė</w:t>
      </w:r>
    </w:p>
    <w:p w14:paraId="666BC2E1" w14:textId="77777777" w:rsidR="00E35DF9" w:rsidRPr="00E35DF9" w:rsidRDefault="00E35DF9" w:rsidP="00E35DF9">
      <w:pPr>
        <w:spacing w:after="0" w:line="240" w:lineRule="auto"/>
        <w:rPr>
          <w:rFonts w:ascii="Times New Roman" w:eastAsia="Calibri" w:hAnsi="Times New Roman" w:cs="Times New Roman"/>
        </w:rPr>
      </w:pPr>
    </w:p>
    <w:p w14:paraId="4F2031F1" w14:textId="77777777" w:rsidR="00E35DF9" w:rsidRPr="00E35DF9" w:rsidRDefault="00E35DF9" w:rsidP="00E35DF9">
      <w:pPr>
        <w:spacing w:after="0" w:line="240" w:lineRule="auto"/>
        <w:rPr>
          <w:rFonts w:ascii="Times New Roman" w:eastAsia="Calibri" w:hAnsi="Times New Roman" w:cs="Times New Roman"/>
        </w:rPr>
      </w:pPr>
    </w:p>
    <w:p w14:paraId="2128BC3A"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32C9B01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E757D4E"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10 mg plėvele dengtos tabletės</w:t>
      </w:r>
    </w:p>
    <w:p w14:paraId="7C550B73"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65A52D31" w14:textId="77777777" w:rsidR="00E35DF9" w:rsidRPr="00E35DF9" w:rsidRDefault="00E35DF9" w:rsidP="00E35DF9">
      <w:pPr>
        <w:spacing w:after="0" w:line="240" w:lineRule="auto"/>
        <w:rPr>
          <w:rFonts w:ascii="Times New Roman" w:eastAsia="Calibri" w:hAnsi="Times New Roman" w:cs="Times New Roman"/>
        </w:rPr>
      </w:pPr>
    </w:p>
    <w:p w14:paraId="0CC398B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6C6EEF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 xml:space="preserve">REGISTRUOTOJO PAVADINIMAS </w:t>
      </w:r>
    </w:p>
    <w:p w14:paraId="58C93F1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B85F6ED"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EGIS </w:t>
      </w:r>
    </w:p>
    <w:p w14:paraId="1D5EA3F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2C4E13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601EF4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TINKAMUMO LAIKAS</w:t>
      </w:r>
    </w:p>
    <w:p w14:paraId="7346266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53C178E"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4D60903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C89112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162EA9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 xml:space="preserve">SERIJOS NUMERIS </w:t>
      </w:r>
    </w:p>
    <w:p w14:paraId="4ACE874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027D819"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439A3CAE" w14:textId="77777777" w:rsidR="00E35DF9" w:rsidRPr="00E35DF9" w:rsidRDefault="00E35DF9" w:rsidP="00E35DF9">
      <w:pPr>
        <w:spacing w:after="0" w:line="240" w:lineRule="auto"/>
        <w:rPr>
          <w:rFonts w:ascii="Times New Roman" w:eastAsia="Calibri" w:hAnsi="Times New Roman" w:cs="Times New Roman"/>
        </w:rPr>
      </w:pPr>
    </w:p>
    <w:p w14:paraId="0F16B3F5" w14:textId="77777777" w:rsidR="00E35DF9" w:rsidRPr="00E35DF9" w:rsidRDefault="00E35DF9" w:rsidP="00E35DF9">
      <w:pPr>
        <w:spacing w:after="0" w:line="240" w:lineRule="auto"/>
        <w:rPr>
          <w:rFonts w:ascii="Times New Roman" w:eastAsia="Calibri" w:hAnsi="Times New Roman" w:cs="Times New Roman"/>
        </w:rPr>
      </w:pPr>
    </w:p>
    <w:p w14:paraId="7502823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b/>
        </w:rPr>
        <w:t>5.</w:t>
      </w:r>
      <w:r w:rsidRPr="00E35DF9">
        <w:rPr>
          <w:rFonts w:ascii="Times New Roman" w:eastAsia="Calibri" w:hAnsi="Times New Roman" w:cs="Times New Roman"/>
          <w:b/>
        </w:rPr>
        <w:tab/>
        <w:t>KITA</w:t>
      </w:r>
    </w:p>
    <w:p w14:paraId="7C495083" w14:textId="77777777" w:rsidR="00E35DF9" w:rsidRPr="00E35DF9" w:rsidRDefault="00E35DF9" w:rsidP="00E35DF9">
      <w:pPr>
        <w:spacing w:after="0" w:line="240" w:lineRule="auto"/>
        <w:rPr>
          <w:rFonts w:ascii="Times New Roman" w:eastAsia="Calibri" w:hAnsi="Times New Roman" w:cs="Times New Roman"/>
        </w:rPr>
      </w:pPr>
    </w:p>
    <w:p w14:paraId="23A2B325" w14:textId="77777777" w:rsidR="00E35DF9" w:rsidRPr="00E35DF9" w:rsidRDefault="00E35DF9" w:rsidP="00E35DF9">
      <w:pPr>
        <w:spacing w:after="0" w:line="240" w:lineRule="auto"/>
        <w:rPr>
          <w:rFonts w:ascii="Times New Roman" w:eastAsia="Calibri" w:hAnsi="Times New Roman" w:cs="Times New Roman"/>
        </w:rPr>
      </w:pPr>
    </w:p>
    <w:p w14:paraId="33BF482B" w14:textId="77777777" w:rsidR="00E35DF9" w:rsidRPr="00E35DF9"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E35DF9">
        <w:rPr>
          <w:rFonts w:ascii="Times New Roman" w:eastAsia="Times New Roman" w:hAnsi="Times New Roman" w:cs="Times New Roman"/>
          <w:u w:val="single"/>
          <w:lang w:eastAsia="hu-HU"/>
        </w:rPr>
        <w:br w:type="page"/>
      </w:r>
      <w:r w:rsidRPr="00E35DF9">
        <w:rPr>
          <w:rFonts w:ascii="Times New Roman" w:eastAsia="Times New Roman" w:hAnsi="Times New Roman" w:cs="Times New Roman"/>
          <w:b/>
          <w:bCs/>
          <w:iCs/>
          <w:lang w:eastAsia="hu-HU"/>
        </w:rPr>
        <w:lastRenderedPageBreak/>
        <w:t>INFORMACIJA ANT IŠORINĖS PAKUOTĖS</w:t>
      </w:r>
    </w:p>
    <w:p w14:paraId="4C40562A"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5B365A1B"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t>KARTONO DĖŽUTĖ</w:t>
      </w:r>
    </w:p>
    <w:p w14:paraId="4F2B9746" w14:textId="77777777" w:rsidR="00E35DF9" w:rsidRPr="00E35DF9" w:rsidRDefault="00E35DF9" w:rsidP="00E35DF9">
      <w:pPr>
        <w:spacing w:after="0" w:line="240" w:lineRule="auto"/>
        <w:rPr>
          <w:rFonts w:ascii="Times New Roman" w:eastAsia="Calibri" w:hAnsi="Times New Roman" w:cs="Times New Roman"/>
        </w:rPr>
      </w:pPr>
    </w:p>
    <w:p w14:paraId="56572D9F" w14:textId="77777777" w:rsidR="00E35DF9" w:rsidRPr="00E35DF9" w:rsidRDefault="00E35DF9" w:rsidP="00E35DF9">
      <w:pPr>
        <w:spacing w:after="0" w:line="240" w:lineRule="auto"/>
        <w:rPr>
          <w:rFonts w:ascii="Times New Roman" w:eastAsia="Calibri" w:hAnsi="Times New Roman" w:cs="Times New Roman"/>
        </w:rPr>
      </w:pPr>
    </w:p>
    <w:p w14:paraId="697E1AC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25D550D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38AB26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15 mg plėvele dengtos tabletės</w:t>
      </w:r>
    </w:p>
    <w:p w14:paraId="7AE9F32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7C21F6A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E01776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94EB6E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r>
      <w:r w:rsidRPr="00E35DF9">
        <w:rPr>
          <w:rFonts w:ascii="Times New Roman" w:eastAsia="Times New Roman" w:hAnsi="Times New Roman" w:cs="Times New Roman"/>
          <w:b/>
          <w:noProof/>
          <w:snapToGrid w:val="0"/>
          <w:szCs w:val="24"/>
        </w:rPr>
        <w:t>VEIKLIOJI (-IOS) MEDŽIAGA (-OS) IR JOS (-Ų) KIEKIS (-IAI)</w:t>
      </w:r>
    </w:p>
    <w:p w14:paraId="3BCBD23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54CBCC9"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Vienoje plėvele dengtoje tabletėje yra 15 mg olanzapino (atitinkančio 21,09 mg olanzapino dihidrochlorido trihidrato).</w:t>
      </w:r>
    </w:p>
    <w:p w14:paraId="3BF329F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A9D8C0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9118ADD"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PAGALBINIŲ MEDŽIAGŲ SĄRAŠAS</w:t>
      </w:r>
    </w:p>
    <w:p w14:paraId="0108FB4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09BC494"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Sudėtyje yra laktozės monohidrato (122,95 mg).</w:t>
      </w:r>
    </w:p>
    <w:p w14:paraId="02D1450D" w14:textId="77777777" w:rsidR="00E35DF9" w:rsidRPr="00E35DF9" w:rsidRDefault="00E35DF9" w:rsidP="00E35DF9">
      <w:pPr>
        <w:spacing w:after="0" w:line="240" w:lineRule="auto"/>
        <w:rPr>
          <w:rFonts w:ascii="Times New Roman" w:eastAsia="Calibri" w:hAnsi="Times New Roman" w:cs="Times New Roman"/>
          <w:b/>
        </w:rPr>
      </w:pPr>
      <w:r w:rsidRPr="00E35DF9">
        <w:rPr>
          <w:rFonts w:ascii="Times New Roman" w:eastAsia="Calibri" w:hAnsi="Times New Roman" w:cs="Times New Roman"/>
        </w:rPr>
        <w:t>Daugiau informacijos pateikta pakuotės lapelyje.</w:t>
      </w:r>
    </w:p>
    <w:p w14:paraId="3152B62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D22B30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73A5773"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FARMACINĖ FORMA IR KIEKIS PAKUOTĖJE</w:t>
      </w:r>
    </w:p>
    <w:p w14:paraId="2439BD0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616999A"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28 plėvele dengtos tabletės</w:t>
      </w:r>
    </w:p>
    <w:p w14:paraId="3C0F88C7"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42 plėvele dengtos tabletės</w:t>
      </w:r>
    </w:p>
    <w:p w14:paraId="3AFF2059"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49 plėvele dengtos tabletės</w:t>
      </w:r>
    </w:p>
    <w:p w14:paraId="6888B8F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56 plėvele dengtos tabletės</w:t>
      </w:r>
    </w:p>
    <w:p w14:paraId="602BE1B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E80415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9568D9A"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VARTOJIMO METODAS IR BŪDAS (-AI)</w:t>
      </w:r>
    </w:p>
    <w:p w14:paraId="38832A3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AF7F8BF"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360E6CA9"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Prieš vartojimą perskaitykite pakuotės lapelį.</w:t>
      </w:r>
    </w:p>
    <w:p w14:paraId="626B6ED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E888AC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7407EC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6.</w:t>
      </w:r>
      <w:r w:rsidRPr="00E35DF9">
        <w:rPr>
          <w:rFonts w:ascii="Times New Roman" w:eastAsia="Times New Roman" w:hAnsi="Times New Roman" w:cs="Times New Roman"/>
          <w:b/>
          <w:lang w:eastAsia="hu-HU"/>
        </w:rPr>
        <w:tab/>
        <w:t>SPECIALUS ĮSPĖJIMAS, KAD VAISTINĮ PREPARATĄ BŪTINA LAIKYTI VAIKAMS NEPASTEBIMOJE IR NEPASIEKIAMOJE VIETOJE</w:t>
      </w:r>
    </w:p>
    <w:p w14:paraId="304CA8F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7FB755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Laikyti vaikams nepastebimoje ir nepasiekiamoje vietoje.</w:t>
      </w:r>
    </w:p>
    <w:p w14:paraId="54D20B8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9115AB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9D0FC8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7.</w:t>
      </w:r>
      <w:r w:rsidRPr="00E35DF9">
        <w:rPr>
          <w:rFonts w:ascii="Times New Roman" w:eastAsia="Calibri" w:hAnsi="Times New Roman" w:cs="Times New Roman"/>
          <w:b/>
        </w:rPr>
        <w:tab/>
        <w:t>KITAS (-I) SPECIALUS (-ŪS) ĮSPĖJIMAS (-AI) (JEI REIKIA)</w:t>
      </w:r>
    </w:p>
    <w:p w14:paraId="7175E5F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3053EA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B407BF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TINKAMUMO LAIKAS</w:t>
      </w:r>
    </w:p>
    <w:p w14:paraId="43E12FB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EF552B"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68A3317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7AE13E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C3D4A32"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SPECIALIOS LAIKYMO SĄLYGOS</w:t>
      </w:r>
    </w:p>
    <w:p w14:paraId="6654477D" w14:textId="77777777" w:rsidR="00E35DF9" w:rsidRPr="00E35DF9" w:rsidRDefault="00E35DF9" w:rsidP="00E35DF9">
      <w:pPr>
        <w:spacing w:after="0" w:line="240" w:lineRule="auto"/>
        <w:rPr>
          <w:rFonts w:ascii="Times New Roman" w:eastAsia="Calibri" w:hAnsi="Times New Roman" w:cs="Times New Roman"/>
        </w:rPr>
      </w:pPr>
    </w:p>
    <w:p w14:paraId="4A4772C2" w14:textId="77777777" w:rsidR="00E35DF9" w:rsidRPr="00E35DF9" w:rsidRDefault="00E35DF9" w:rsidP="00E35DF9">
      <w:pPr>
        <w:spacing w:after="0" w:line="240" w:lineRule="auto"/>
        <w:rPr>
          <w:rFonts w:ascii="Times New Roman" w:eastAsia="Calibri" w:hAnsi="Times New Roman" w:cs="Times New Roman"/>
        </w:rPr>
      </w:pPr>
    </w:p>
    <w:p w14:paraId="320A48FB"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lastRenderedPageBreak/>
        <w:t>10.</w:t>
      </w:r>
      <w:r w:rsidRPr="00E35DF9">
        <w:rPr>
          <w:rFonts w:ascii="Times New Roman" w:eastAsia="Times New Roman" w:hAnsi="Times New Roman" w:cs="Times New Roman"/>
          <w:b/>
          <w:lang w:eastAsia="hu-HU"/>
        </w:rPr>
        <w:tab/>
        <w:t xml:space="preserve">SPECIALIOS ATSARGUMO PRIEMONĖS DĖL NESUVARTOTO VAISTINIO PREPARATO AR JO ATLIEKŲ TVARKYMO (JEI REIKIA) </w:t>
      </w:r>
    </w:p>
    <w:p w14:paraId="4F9E8A1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0257EF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9836F1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11.</w:t>
      </w:r>
      <w:r w:rsidRPr="00E35DF9">
        <w:rPr>
          <w:rFonts w:ascii="Times New Roman" w:eastAsia="Calibri" w:hAnsi="Times New Roman" w:cs="Times New Roman"/>
          <w:b/>
        </w:rPr>
        <w:tab/>
        <w:t>REGISTRUOTOJO PAVADINIMAS IR ADRESAS</w:t>
      </w:r>
    </w:p>
    <w:p w14:paraId="12499E2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D44D4A6"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EGIS Pharmaceuticals PLC</w:t>
      </w:r>
    </w:p>
    <w:p w14:paraId="449EAAAA"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H-1106 Budapest, Keresztúri út 30-38</w:t>
      </w:r>
    </w:p>
    <w:p w14:paraId="160604BE"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Vengrija</w:t>
      </w:r>
    </w:p>
    <w:p w14:paraId="7FF09D5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CD1659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833B1F8"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12.</w:t>
      </w:r>
      <w:r w:rsidRPr="00E35DF9">
        <w:rPr>
          <w:rFonts w:ascii="Times New Roman" w:eastAsia="Calibri" w:hAnsi="Times New Roman" w:cs="Times New Roman"/>
          <w:b/>
        </w:rPr>
        <w:tab/>
        <w:t>REGISTRACIJOS PAŽYMĖJIMO NUMERIS (-IAI)</w:t>
      </w:r>
    </w:p>
    <w:p w14:paraId="123F359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DF781B4"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N28 - LT/1/10/2178/006</w:t>
      </w:r>
    </w:p>
    <w:p w14:paraId="3B37916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N42 - LT/1/10/2178/017</w:t>
      </w:r>
    </w:p>
    <w:p w14:paraId="5DD32E42"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N49 - LT/1/10/2178/018</w:t>
      </w:r>
    </w:p>
    <w:p w14:paraId="09A27924"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N56 - LT/1/10/2178/009</w:t>
      </w:r>
    </w:p>
    <w:p w14:paraId="390E016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959273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C42051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13.</w:t>
      </w:r>
      <w:r w:rsidRPr="00E35DF9">
        <w:rPr>
          <w:rFonts w:ascii="Times New Roman" w:eastAsia="Calibri" w:hAnsi="Times New Roman" w:cs="Times New Roman"/>
          <w:b/>
        </w:rPr>
        <w:tab/>
        <w:t>SERIJOS NUMERIS</w:t>
      </w:r>
    </w:p>
    <w:p w14:paraId="2BC9AE8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33937D9"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7520729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8DA221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35AAE9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14.</w:t>
      </w:r>
      <w:r w:rsidRPr="00E35DF9">
        <w:rPr>
          <w:rFonts w:ascii="Times New Roman" w:eastAsia="Calibri" w:hAnsi="Times New Roman" w:cs="Times New Roman"/>
          <w:b/>
        </w:rPr>
        <w:tab/>
        <w:t>PARDAVIMO (IŠDAVIMO) TVARKA</w:t>
      </w:r>
    </w:p>
    <w:p w14:paraId="28E88F6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CD327C1"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Receptinis vaistas</w:t>
      </w:r>
    </w:p>
    <w:p w14:paraId="4BA90B2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F1EA52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5B1860E"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15.</w:t>
      </w:r>
      <w:r w:rsidRPr="00E35DF9">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E35DF9">
          <w:rPr>
            <w:rFonts w:ascii="Times New Roman" w:eastAsia="Calibri" w:hAnsi="Times New Roman" w:cs="Times New Roman"/>
            <w:b/>
          </w:rPr>
          <w:t>INSTRUKCIJA</w:t>
        </w:r>
      </w:smartTag>
    </w:p>
    <w:p w14:paraId="4670A13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9E5F54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5FE878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E35DF9">
        <w:rPr>
          <w:rFonts w:ascii="Times New Roman" w:eastAsia="Calibri" w:hAnsi="Times New Roman" w:cs="Times New Roman"/>
          <w:b/>
        </w:rPr>
        <w:t>16.</w:t>
      </w:r>
      <w:r w:rsidRPr="00E35DF9">
        <w:rPr>
          <w:rFonts w:ascii="Times New Roman" w:eastAsia="Calibri" w:hAnsi="Times New Roman" w:cs="Times New Roman"/>
          <w:b/>
        </w:rPr>
        <w:tab/>
        <w:t>INFORMACIJA BRAILIO RAŠTU</w:t>
      </w:r>
    </w:p>
    <w:p w14:paraId="00A1C90B" w14:textId="77777777" w:rsidR="00E35DF9" w:rsidRPr="00E35DF9" w:rsidRDefault="00E35DF9" w:rsidP="00E35DF9">
      <w:pPr>
        <w:spacing w:after="0" w:line="240" w:lineRule="auto"/>
        <w:rPr>
          <w:rFonts w:ascii="Times New Roman" w:eastAsia="Calibri" w:hAnsi="Times New Roman" w:cs="Times New Roman"/>
          <w:b/>
        </w:rPr>
      </w:pPr>
    </w:p>
    <w:p w14:paraId="59AA68A9"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Egolanza 15 mg</w:t>
      </w:r>
    </w:p>
    <w:p w14:paraId="797E080A" w14:textId="77777777" w:rsidR="00E35DF9" w:rsidRPr="00E35DF9" w:rsidRDefault="00E35DF9" w:rsidP="00E35DF9">
      <w:pPr>
        <w:spacing w:after="0" w:line="240" w:lineRule="auto"/>
        <w:rPr>
          <w:rFonts w:ascii="Times New Roman" w:eastAsia="Calibri" w:hAnsi="Times New Roman" w:cs="Times New Roman"/>
        </w:rPr>
      </w:pPr>
    </w:p>
    <w:p w14:paraId="73075B78" w14:textId="77777777" w:rsidR="00E35DF9" w:rsidRPr="00E35DF9" w:rsidRDefault="00E35DF9" w:rsidP="00E35DF9">
      <w:pPr>
        <w:spacing w:after="0" w:line="240" w:lineRule="auto"/>
        <w:rPr>
          <w:rFonts w:ascii="Times New Roman" w:eastAsia="Calibri" w:hAnsi="Times New Roman" w:cs="Times New Roman"/>
        </w:rPr>
      </w:pPr>
    </w:p>
    <w:p w14:paraId="7C4D03E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17.</w:t>
      </w:r>
      <w:r w:rsidRPr="00E35DF9">
        <w:rPr>
          <w:rFonts w:ascii="Times New Roman" w:eastAsia="Calibri" w:hAnsi="Times New Roman" w:cs="Times New Roman"/>
          <w:b/>
        </w:rPr>
        <w:tab/>
        <w:t>UNIKALUS IDENTIFIKATORIUS – 2D BRŪKŠNINIS KODAS</w:t>
      </w:r>
    </w:p>
    <w:p w14:paraId="319B91C1" w14:textId="77777777" w:rsidR="00E35DF9" w:rsidRPr="00E35DF9" w:rsidRDefault="00E35DF9" w:rsidP="00E35DF9">
      <w:pPr>
        <w:spacing w:after="0" w:line="240" w:lineRule="auto"/>
        <w:rPr>
          <w:rFonts w:ascii="Times New Roman" w:eastAsia="Calibri" w:hAnsi="Times New Roman" w:cs="Times New Roman"/>
        </w:rPr>
      </w:pPr>
    </w:p>
    <w:p w14:paraId="3833750D"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&lt;2D brūkšninis kodas su nurodytu unikaliu identifikatoriumi.&gt;</w:t>
      </w:r>
    </w:p>
    <w:p w14:paraId="291E48B1" w14:textId="77777777" w:rsidR="00E35DF9" w:rsidRPr="00E35DF9" w:rsidRDefault="00E35DF9" w:rsidP="00E35DF9">
      <w:pPr>
        <w:spacing w:after="0" w:line="240" w:lineRule="auto"/>
        <w:rPr>
          <w:rFonts w:ascii="Times New Roman" w:eastAsia="Calibri" w:hAnsi="Times New Roman" w:cs="Times New Roman"/>
        </w:rPr>
      </w:pPr>
    </w:p>
    <w:p w14:paraId="09D78765" w14:textId="77777777" w:rsidR="00E35DF9" w:rsidRPr="00E35DF9" w:rsidRDefault="00E35DF9" w:rsidP="00E35DF9">
      <w:pPr>
        <w:spacing w:after="0" w:line="240" w:lineRule="auto"/>
        <w:rPr>
          <w:rFonts w:ascii="Times New Roman" w:eastAsia="Calibri" w:hAnsi="Times New Roman" w:cs="Times New Roman"/>
        </w:rPr>
      </w:pPr>
    </w:p>
    <w:p w14:paraId="2C71E00B"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18.</w:t>
      </w:r>
      <w:r w:rsidRPr="00E35DF9">
        <w:rPr>
          <w:rFonts w:ascii="Times New Roman" w:eastAsia="Calibri" w:hAnsi="Times New Roman" w:cs="Times New Roman"/>
          <w:b/>
        </w:rPr>
        <w:tab/>
        <w:t>UNIKALUS IDENTIFIKATORIUS – ŽMONĖMS SUPRANTAMI DUOMENYS</w:t>
      </w:r>
    </w:p>
    <w:p w14:paraId="27ACE23C" w14:textId="77777777" w:rsidR="00E35DF9" w:rsidRPr="00E35DF9" w:rsidRDefault="00E35DF9" w:rsidP="00E35DF9">
      <w:pPr>
        <w:spacing w:after="0" w:line="240" w:lineRule="auto"/>
        <w:rPr>
          <w:rFonts w:ascii="Times New Roman" w:eastAsia="Calibri" w:hAnsi="Times New Roman" w:cs="Times New Roman"/>
        </w:rPr>
      </w:pPr>
    </w:p>
    <w:p w14:paraId="2E6FE247"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&lt;PC: {numeris} </w:t>
      </w:r>
    </w:p>
    <w:p w14:paraId="15488667"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SN: {numeris} </w:t>
      </w:r>
    </w:p>
    <w:p w14:paraId="1A58D145"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NN: {numeris} &gt;</w:t>
      </w:r>
    </w:p>
    <w:p w14:paraId="5C611237" w14:textId="77777777" w:rsidR="00E35DF9" w:rsidRPr="00E35DF9" w:rsidRDefault="00E35DF9" w:rsidP="00E35DF9">
      <w:pPr>
        <w:spacing w:after="0" w:line="240" w:lineRule="auto"/>
        <w:rPr>
          <w:rFonts w:ascii="Times New Roman" w:eastAsia="Calibri" w:hAnsi="Times New Roman" w:cs="Times New Roman"/>
        </w:rPr>
      </w:pPr>
    </w:p>
    <w:p w14:paraId="1304B322" w14:textId="77777777" w:rsidR="00E35DF9" w:rsidRPr="00E35DF9" w:rsidRDefault="00E35DF9" w:rsidP="00E35DF9">
      <w:pPr>
        <w:spacing w:after="0" w:line="240" w:lineRule="auto"/>
        <w:rPr>
          <w:rFonts w:ascii="Times New Roman" w:eastAsia="Calibri" w:hAnsi="Times New Roman" w:cs="Times New Roman"/>
        </w:rPr>
      </w:pPr>
    </w:p>
    <w:p w14:paraId="3658C916"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br w:type="page"/>
      </w:r>
      <w:r w:rsidRPr="00E35DF9">
        <w:rPr>
          <w:rFonts w:ascii="Times New Roman" w:eastAsia="Calibri" w:hAnsi="Times New Roman" w:cs="Times New Roman"/>
          <w:b/>
        </w:rPr>
        <w:lastRenderedPageBreak/>
        <w:t>MINIMALI INFORMACIJA ANT LIZDINIŲ PLOKŠTELIŲ ARBA DVISLUOKSNIŲ JUOSTELIŲ</w:t>
      </w:r>
    </w:p>
    <w:p w14:paraId="07273181"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05A2D38B"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E35DF9">
        <w:rPr>
          <w:rFonts w:ascii="Times New Roman" w:eastAsia="Calibri" w:hAnsi="Times New Roman" w:cs="Times New Roman"/>
          <w:b/>
          <w:caps/>
        </w:rPr>
        <w:t>Lizdinė plokštelė</w:t>
      </w:r>
    </w:p>
    <w:p w14:paraId="529A3F61" w14:textId="77777777" w:rsidR="00E35DF9" w:rsidRPr="00E35DF9" w:rsidRDefault="00E35DF9" w:rsidP="00E35DF9">
      <w:pPr>
        <w:spacing w:after="0" w:line="240" w:lineRule="auto"/>
        <w:rPr>
          <w:rFonts w:ascii="Times New Roman" w:eastAsia="Calibri" w:hAnsi="Times New Roman" w:cs="Times New Roman"/>
        </w:rPr>
      </w:pPr>
    </w:p>
    <w:p w14:paraId="027E5BD0" w14:textId="77777777" w:rsidR="00E35DF9" w:rsidRPr="00E35DF9" w:rsidRDefault="00E35DF9" w:rsidP="00E35DF9">
      <w:pPr>
        <w:spacing w:after="0" w:line="240" w:lineRule="auto"/>
        <w:rPr>
          <w:rFonts w:ascii="Times New Roman" w:eastAsia="Calibri" w:hAnsi="Times New Roman" w:cs="Times New Roman"/>
        </w:rPr>
      </w:pPr>
    </w:p>
    <w:p w14:paraId="4494D96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1D664AE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8532BCB"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15 mg plėvele dengtos tabletės</w:t>
      </w:r>
    </w:p>
    <w:p w14:paraId="29C4025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5F9A4CD2" w14:textId="77777777" w:rsidR="00E35DF9" w:rsidRPr="00E35DF9" w:rsidRDefault="00E35DF9" w:rsidP="00E35DF9">
      <w:pPr>
        <w:spacing w:after="0" w:line="240" w:lineRule="auto"/>
        <w:rPr>
          <w:rFonts w:ascii="Times New Roman" w:eastAsia="Calibri" w:hAnsi="Times New Roman" w:cs="Times New Roman"/>
        </w:rPr>
      </w:pPr>
    </w:p>
    <w:p w14:paraId="3D81FB3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E904307"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REGISTRUOTOJO</w:t>
      </w:r>
      <w:r w:rsidRPr="00E35DF9" w:rsidDel="00564600">
        <w:rPr>
          <w:rFonts w:ascii="Times New Roman" w:eastAsia="Calibri" w:hAnsi="Times New Roman" w:cs="Times New Roman"/>
          <w:b/>
        </w:rPr>
        <w:t xml:space="preserve"> </w:t>
      </w:r>
      <w:r w:rsidRPr="00E35DF9">
        <w:rPr>
          <w:rFonts w:ascii="Times New Roman" w:eastAsia="Calibri" w:hAnsi="Times New Roman" w:cs="Times New Roman"/>
          <w:b/>
        </w:rPr>
        <w:t xml:space="preserve">PAVADINIMAS </w:t>
      </w:r>
    </w:p>
    <w:p w14:paraId="3F6844A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E1E7DBB"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EGIS </w:t>
      </w:r>
    </w:p>
    <w:p w14:paraId="12CA383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2DB622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552747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TINKAMUMO LAIKAS</w:t>
      </w:r>
    </w:p>
    <w:p w14:paraId="274C1AA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DA775CD"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0C5EF9F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2A9217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D74F7A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 xml:space="preserve">SERIJOS NUMERIS </w:t>
      </w:r>
    </w:p>
    <w:p w14:paraId="2B4D37A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C5BE84A"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7CEB3FB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7F736D9" w14:textId="77777777" w:rsidR="00E35DF9" w:rsidRPr="00E35DF9" w:rsidRDefault="00E35DF9" w:rsidP="00E35DF9">
      <w:pPr>
        <w:spacing w:after="0" w:line="240" w:lineRule="auto"/>
        <w:rPr>
          <w:rFonts w:ascii="Times New Roman" w:eastAsia="Calibri" w:hAnsi="Times New Roman" w:cs="Times New Roman"/>
        </w:rPr>
      </w:pPr>
    </w:p>
    <w:p w14:paraId="1200230A"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b/>
        </w:rPr>
        <w:t>5.</w:t>
      </w:r>
      <w:r w:rsidRPr="00E35DF9">
        <w:rPr>
          <w:rFonts w:ascii="Times New Roman" w:eastAsia="Calibri" w:hAnsi="Times New Roman" w:cs="Times New Roman"/>
          <w:b/>
        </w:rPr>
        <w:tab/>
        <w:t>KITA</w:t>
      </w:r>
    </w:p>
    <w:p w14:paraId="2A4CE1F1" w14:textId="77777777" w:rsidR="00E35DF9" w:rsidRPr="00E35DF9" w:rsidRDefault="00E35DF9" w:rsidP="00E35DF9">
      <w:pPr>
        <w:spacing w:after="0" w:line="240" w:lineRule="auto"/>
        <w:rPr>
          <w:rFonts w:ascii="Times New Roman" w:eastAsia="Calibri" w:hAnsi="Times New Roman" w:cs="Times New Roman"/>
        </w:rPr>
      </w:pPr>
    </w:p>
    <w:p w14:paraId="6284B3F0" w14:textId="77777777" w:rsidR="00E35DF9" w:rsidRPr="00E35DF9" w:rsidRDefault="00E35DF9" w:rsidP="00E35DF9">
      <w:pPr>
        <w:spacing w:after="0" w:line="240" w:lineRule="auto"/>
        <w:rPr>
          <w:rFonts w:ascii="Times New Roman" w:eastAsia="Calibri" w:hAnsi="Times New Roman" w:cs="Times New Roman"/>
        </w:rPr>
      </w:pPr>
    </w:p>
    <w:p w14:paraId="17F7F2C7" w14:textId="77777777" w:rsidR="00E35DF9" w:rsidRPr="00E35DF9"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E35DF9">
        <w:rPr>
          <w:rFonts w:ascii="Times New Roman" w:eastAsia="Times New Roman" w:hAnsi="Times New Roman" w:cs="Times New Roman"/>
          <w:u w:val="single"/>
          <w:lang w:eastAsia="hu-HU"/>
        </w:rPr>
        <w:br w:type="page"/>
      </w:r>
      <w:r w:rsidRPr="00E35DF9">
        <w:rPr>
          <w:rFonts w:ascii="Times New Roman" w:eastAsia="Times New Roman" w:hAnsi="Times New Roman" w:cs="Times New Roman"/>
          <w:b/>
          <w:bCs/>
          <w:iCs/>
          <w:lang w:eastAsia="hu-HU"/>
        </w:rPr>
        <w:lastRenderedPageBreak/>
        <w:t>INFORMACIJA ANT IŠORINĖS PAKUOTĖS</w:t>
      </w:r>
    </w:p>
    <w:p w14:paraId="1E29880C"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3A550056"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t>KARTONO DĖŽUTĖ</w:t>
      </w:r>
    </w:p>
    <w:p w14:paraId="69FAC41F" w14:textId="77777777" w:rsidR="00E35DF9" w:rsidRPr="00E35DF9" w:rsidRDefault="00E35DF9" w:rsidP="00E35DF9">
      <w:pPr>
        <w:spacing w:after="0" w:line="240" w:lineRule="auto"/>
        <w:rPr>
          <w:rFonts w:ascii="Times New Roman" w:eastAsia="Calibri" w:hAnsi="Times New Roman" w:cs="Times New Roman"/>
        </w:rPr>
      </w:pPr>
    </w:p>
    <w:p w14:paraId="5442D425" w14:textId="77777777" w:rsidR="00E35DF9" w:rsidRPr="00E35DF9" w:rsidRDefault="00E35DF9" w:rsidP="00E35DF9">
      <w:pPr>
        <w:spacing w:after="0" w:line="240" w:lineRule="auto"/>
        <w:rPr>
          <w:rFonts w:ascii="Times New Roman" w:eastAsia="Calibri" w:hAnsi="Times New Roman" w:cs="Times New Roman"/>
        </w:rPr>
      </w:pPr>
    </w:p>
    <w:p w14:paraId="22D1651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561FC81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C4B348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20 mg plėvele dengtos tabletės</w:t>
      </w:r>
    </w:p>
    <w:p w14:paraId="0C2AFEA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68781DD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31CA9E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DAEC7A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r>
      <w:r w:rsidRPr="00E35DF9">
        <w:rPr>
          <w:rFonts w:ascii="Times New Roman" w:eastAsia="Times New Roman" w:hAnsi="Times New Roman" w:cs="Times New Roman"/>
          <w:b/>
          <w:noProof/>
          <w:snapToGrid w:val="0"/>
          <w:szCs w:val="24"/>
        </w:rPr>
        <w:t>VEIKLIOJI (-IOS) MEDŽIAGA (-OS) IR JOS (-Ų) KIEKIS (-IAI)</w:t>
      </w:r>
    </w:p>
    <w:p w14:paraId="152D349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2487608"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Vienoje plėvele dengtoje tabletėje yra 20 mg olanzapino (atitinkančio 28,12 mg olanzapino dihidrochlorido trihidrato).</w:t>
      </w:r>
    </w:p>
    <w:p w14:paraId="30E4C23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2FB590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F932FFF"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PAGALBINIŲ MEDŽIAGŲ SĄRAŠAS</w:t>
      </w:r>
    </w:p>
    <w:p w14:paraId="1CA503E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194A771"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Sudėtyje yra laktozės monohidrato (163,94 mg).</w:t>
      </w:r>
    </w:p>
    <w:p w14:paraId="3EE855B2" w14:textId="77777777" w:rsidR="00E35DF9" w:rsidRPr="00E35DF9" w:rsidRDefault="00E35DF9" w:rsidP="00E35DF9">
      <w:pPr>
        <w:spacing w:after="0" w:line="240" w:lineRule="auto"/>
        <w:rPr>
          <w:rFonts w:ascii="Times New Roman" w:eastAsia="Calibri" w:hAnsi="Times New Roman" w:cs="Times New Roman"/>
          <w:b/>
        </w:rPr>
      </w:pPr>
      <w:r w:rsidRPr="00E35DF9">
        <w:rPr>
          <w:rFonts w:ascii="Times New Roman" w:eastAsia="Calibri" w:hAnsi="Times New Roman" w:cs="Times New Roman"/>
        </w:rPr>
        <w:t>Daugiau informacijos pateikta pakuotės lapelyje.</w:t>
      </w:r>
    </w:p>
    <w:p w14:paraId="722C579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A2A386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C329A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FARMACINĖ FORMA IR KIEKIS PAKUOTĖJE</w:t>
      </w:r>
    </w:p>
    <w:p w14:paraId="4A20C74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689B4B3"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28 plėvele dengtos tabletės</w:t>
      </w:r>
    </w:p>
    <w:p w14:paraId="4BE622EC"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42 plėvele dengtos tabletės</w:t>
      </w:r>
    </w:p>
    <w:p w14:paraId="56D6A727" w14:textId="77777777" w:rsidR="00E35DF9" w:rsidRPr="00E35DF9" w:rsidRDefault="00E35DF9" w:rsidP="00E35DF9">
      <w:pPr>
        <w:tabs>
          <w:tab w:val="left" w:pos="540"/>
        </w:tabs>
        <w:spacing w:after="0" w:line="240" w:lineRule="auto"/>
        <w:rPr>
          <w:rFonts w:ascii="Times New Roman" w:eastAsia="Calibri" w:hAnsi="Times New Roman" w:cs="Times New Roman"/>
          <w:highlight w:val="lightGray"/>
        </w:rPr>
      </w:pPr>
      <w:r w:rsidRPr="00E35DF9">
        <w:rPr>
          <w:rFonts w:ascii="Times New Roman" w:eastAsia="Calibri" w:hAnsi="Times New Roman" w:cs="Times New Roman"/>
          <w:highlight w:val="lightGray"/>
        </w:rPr>
        <w:t>49 plėvele dengtos tabletės</w:t>
      </w:r>
    </w:p>
    <w:p w14:paraId="03D760D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56 plėvele dengtos tabletės</w:t>
      </w:r>
    </w:p>
    <w:p w14:paraId="78AA80C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01C25D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2E596F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VARTOJIMO METODAS IR BŪDAS (-AI)</w:t>
      </w:r>
    </w:p>
    <w:p w14:paraId="0CDDF32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9C5DC16"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Vartoti per burną.</w:t>
      </w:r>
    </w:p>
    <w:p w14:paraId="76990551"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Prieš vartojimą perskaitykite pakuotės lapelį.</w:t>
      </w:r>
    </w:p>
    <w:p w14:paraId="676DDFA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D29BA7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4E28AC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6.</w:t>
      </w:r>
      <w:r w:rsidRPr="00E35DF9">
        <w:rPr>
          <w:rFonts w:ascii="Times New Roman" w:eastAsia="Calibri" w:hAnsi="Times New Roman" w:cs="Times New Roman"/>
          <w:b/>
        </w:rPr>
        <w:tab/>
        <w:t>SPECIALUS ĮSPĖJIMAS, KAD VAISTINĮ PREPARATĄ BŪTINA LAIKYTI VAIKAMS NEPASTEBIMOJE IR NEPASIEKIAMOJE VIETOJE</w:t>
      </w:r>
    </w:p>
    <w:p w14:paraId="41F27C0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E8C4DC5"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Laikyti vaikams nepastebimoje ir nepasiekiamoje vietoje.</w:t>
      </w:r>
    </w:p>
    <w:p w14:paraId="3790276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044740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D243A09"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7.</w:t>
      </w:r>
      <w:r w:rsidRPr="00E35DF9">
        <w:rPr>
          <w:rFonts w:ascii="Times New Roman" w:eastAsia="Calibri" w:hAnsi="Times New Roman" w:cs="Times New Roman"/>
          <w:b/>
        </w:rPr>
        <w:tab/>
        <w:t>KITAS (-I) SPECIALUS (-ŪS) ĮSPĖJIMAS (-AI) (JEI REIKIA)</w:t>
      </w:r>
    </w:p>
    <w:p w14:paraId="01D3510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2D8204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85B407A"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8.</w:t>
      </w:r>
      <w:r w:rsidRPr="00E35DF9">
        <w:rPr>
          <w:rFonts w:ascii="Times New Roman" w:eastAsia="Calibri" w:hAnsi="Times New Roman" w:cs="Times New Roman"/>
          <w:b/>
        </w:rPr>
        <w:tab/>
        <w:t>TINKAMUMO LAIKAS</w:t>
      </w:r>
    </w:p>
    <w:p w14:paraId="3FC55C64"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1763A87"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7FB00A7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F8F0EC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E3729D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9.</w:t>
      </w:r>
      <w:r w:rsidRPr="00E35DF9">
        <w:rPr>
          <w:rFonts w:ascii="Times New Roman" w:eastAsia="Calibri" w:hAnsi="Times New Roman" w:cs="Times New Roman"/>
          <w:b/>
        </w:rPr>
        <w:tab/>
        <w:t>SPECIALIOS LAIKYMO SĄLYGOS</w:t>
      </w:r>
    </w:p>
    <w:p w14:paraId="354CB10A" w14:textId="77777777" w:rsidR="00E35DF9" w:rsidRPr="00E35DF9" w:rsidRDefault="00E35DF9" w:rsidP="00E35DF9">
      <w:pPr>
        <w:spacing w:after="0" w:line="240" w:lineRule="auto"/>
        <w:rPr>
          <w:rFonts w:ascii="Times New Roman" w:eastAsia="Calibri" w:hAnsi="Times New Roman" w:cs="Times New Roman"/>
        </w:rPr>
      </w:pPr>
    </w:p>
    <w:p w14:paraId="5A308C3F" w14:textId="77777777" w:rsidR="00E35DF9" w:rsidRPr="00E35DF9" w:rsidRDefault="00E35DF9" w:rsidP="00E35DF9">
      <w:pPr>
        <w:spacing w:after="0" w:line="240" w:lineRule="auto"/>
        <w:rPr>
          <w:rFonts w:ascii="Times New Roman" w:eastAsia="Calibri" w:hAnsi="Times New Roman" w:cs="Times New Roman"/>
        </w:rPr>
      </w:pPr>
    </w:p>
    <w:p w14:paraId="13812EE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lastRenderedPageBreak/>
        <w:t>10.</w:t>
      </w:r>
      <w:r w:rsidRPr="00E35DF9">
        <w:rPr>
          <w:rFonts w:ascii="Times New Roman" w:eastAsia="Calibri" w:hAnsi="Times New Roman" w:cs="Times New Roman"/>
          <w:b/>
        </w:rPr>
        <w:tab/>
        <w:t xml:space="preserve">SPECIALIOS ATSARGUMO PRIEMONĖS DĖL NESUVARTOTO VAISTINIO PREPARATO AR JO ATLIEKŲ TVARKYMO (JEI REIKIA) </w:t>
      </w:r>
    </w:p>
    <w:p w14:paraId="5DF0D125"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A945CF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8C0735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11.</w:t>
      </w:r>
      <w:r w:rsidRPr="00E35DF9">
        <w:rPr>
          <w:rFonts w:ascii="Times New Roman" w:eastAsia="Calibri" w:hAnsi="Times New Roman" w:cs="Times New Roman"/>
          <w:b/>
        </w:rPr>
        <w:tab/>
        <w:t>REGISTRUOTOJO PAVADINIMAS IR ADRESAS</w:t>
      </w:r>
    </w:p>
    <w:p w14:paraId="7A1575D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456C3E0"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EGIS Pharmaceuticals PLC</w:t>
      </w:r>
    </w:p>
    <w:p w14:paraId="2FA52B23" w14:textId="77777777" w:rsidR="00E35DF9" w:rsidRPr="00E35DF9"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H-1106 Budapest, Keresztúri út 30-38</w:t>
      </w:r>
    </w:p>
    <w:p w14:paraId="6E74B17B" w14:textId="77777777" w:rsidR="00E35DF9" w:rsidRPr="00E35DF9"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Vengrija</w:t>
      </w:r>
    </w:p>
    <w:p w14:paraId="0DC9BEB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FA7004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4C340D3"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12.</w:t>
      </w:r>
      <w:r w:rsidRPr="00E35DF9">
        <w:rPr>
          <w:rFonts w:ascii="Times New Roman" w:eastAsia="Calibri" w:hAnsi="Times New Roman" w:cs="Times New Roman"/>
          <w:b/>
        </w:rPr>
        <w:tab/>
        <w:t>REGISTRACIJOS PAŽYMĖJIMO NUMERIS (-IAI)</w:t>
      </w:r>
    </w:p>
    <w:p w14:paraId="219A90A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1AB503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N28 - LT/1/10/2178/007</w:t>
      </w:r>
    </w:p>
    <w:p w14:paraId="64325FF8"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N42 - LT/1/10/2178/019</w:t>
      </w:r>
    </w:p>
    <w:p w14:paraId="7B989A30"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N49 - LT/1/10/2178/020</w:t>
      </w:r>
    </w:p>
    <w:p w14:paraId="28600F43" w14:textId="77777777" w:rsidR="00E35DF9" w:rsidRPr="00E35DF9" w:rsidRDefault="00E35DF9" w:rsidP="00E35DF9">
      <w:pPr>
        <w:spacing w:after="200" w:line="240" w:lineRule="auto"/>
        <w:rPr>
          <w:rFonts w:ascii="Times New Roman" w:eastAsia="Calibri" w:hAnsi="Times New Roman" w:cs="Times New Roman"/>
        </w:rPr>
      </w:pPr>
      <w:r w:rsidRPr="00E35DF9">
        <w:rPr>
          <w:rFonts w:ascii="Times New Roman" w:eastAsia="Calibri" w:hAnsi="Times New Roman" w:cs="Times New Roman"/>
        </w:rPr>
        <w:t>N56 - LT/1/10/2178/010</w:t>
      </w:r>
    </w:p>
    <w:p w14:paraId="08363F8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42EFA40"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13.</w:t>
      </w:r>
      <w:r w:rsidRPr="00E35DF9">
        <w:rPr>
          <w:rFonts w:ascii="Times New Roman" w:eastAsia="Calibri" w:hAnsi="Times New Roman" w:cs="Times New Roman"/>
          <w:b/>
        </w:rPr>
        <w:tab/>
        <w:t>SERIJOS NUMERIS</w:t>
      </w:r>
    </w:p>
    <w:p w14:paraId="3943408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40FDF6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4FFB24A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0B9DC27"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53FBAEE"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14.</w:t>
      </w:r>
      <w:r w:rsidRPr="00E35DF9">
        <w:rPr>
          <w:rFonts w:ascii="Times New Roman" w:eastAsia="Calibri" w:hAnsi="Times New Roman" w:cs="Times New Roman"/>
          <w:b/>
        </w:rPr>
        <w:tab/>
        <w:t>PARDAVIMO (IŠDAVIMO) TVARKA</w:t>
      </w:r>
    </w:p>
    <w:p w14:paraId="18F3128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01BA01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Receptinis vaistas</w:t>
      </w:r>
    </w:p>
    <w:p w14:paraId="7EDA39CB"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4E828F8"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9786E43"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15.</w:t>
      </w:r>
      <w:r w:rsidRPr="00E35DF9">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E35DF9">
          <w:rPr>
            <w:rFonts w:ascii="Times New Roman" w:eastAsia="Calibri" w:hAnsi="Times New Roman" w:cs="Times New Roman"/>
            <w:b/>
          </w:rPr>
          <w:t>INSTRUKCIJA</w:t>
        </w:r>
      </w:smartTag>
    </w:p>
    <w:p w14:paraId="0C2AD4B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22F11D2"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2CB9EF9"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E35DF9">
        <w:rPr>
          <w:rFonts w:ascii="Times New Roman" w:eastAsia="Calibri" w:hAnsi="Times New Roman" w:cs="Times New Roman"/>
          <w:b/>
        </w:rPr>
        <w:t>16.</w:t>
      </w:r>
      <w:r w:rsidRPr="00E35DF9">
        <w:rPr>
          <w:rFonts w:ascii="Times New Roman" w:eastAsia="Calibri" w:hAnsi="Times New Roman" w:cs="Times New Roman"/>
          <w:b/>
        </w:rPr>
        <w:tab/>
        <w:t>INFORMACIJA BRAILIO RAŠTU</w:t>
      </w:r>
    </w:p>
    <w:p w14:paraId="189E8FB3" w14:textId="77777777" w:rsidR="00E35DF9" w:rsidRPr="00E35DF9" w:rsidRDefault="00E35DF9" w:rsidP="00E35DF9">
      <w:pPr>
        <w:spacing w:after="0" w:line="240" w:lineRule="auto"/>
        <w:rPr>
          <w:rFonts w:ascii="Times New Roman" w:eastAsia="Calibri" w:hAnsi="Times New Roman" w:cs="Times New Roman"/>
          <w:b/>
        </w:rPr>
      </w:pPr>
    </w:p>
    <w:p w14:paraId="15FB8652"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Egolanza 20 mg</w:t>
      </w:r>
    </w:p>
    <w:p w14:paraId="6D5CA56B" w14:textId="77777777" w:rsidR="00E35DF9" w:rsidRPr="00E35DF9" w:rsidRDefault="00E35DF9" w:rsidP="00E35DF9">
      <w:pPr>
        <w:spacing w:after="0" w:line="240" w:lineRule="auto"/>
        <w:rPr>
          <w:rFonts w:ascii="Times New Roman" w:eastAsia="Calibri" w:hAnsi="Times New Roman" w:cs="Times New Roman"/>
        </w:rPr>
      </w:pPr>
    </w:p>
    <w:p w14:paraId="1642EB77" w14:textId="77777777" w:rsidR="00E35DF9" w:rsidRPr="00E35DF9" w:rsidRDefault="00E35DF9" w:rsidP="00E35DF9">
      <w:pPr>
        <w:spacing w:after="0" w:line="240" w:lineRule="auto"/>
        <w:rPr>
          <w:rFonts w:ascii="Times New Roman" w:eastAsia="Calibri" w:hAnsi="Times New Roman" w:cs="Times New Roman"/>
        </w:rPr>
      </w:pPr>
    </w:p>
    <w:p w14:paraId="204FF5C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17.</w:t>
      </w:r>
      <w:r w:rsidRPr="00E35DF9">
        <w:rPr>
          <w:rFonts w:ascii="Times New Roman" w:eastAsia="Calibri" w:hAnsi="Times New Roman" w:cs="Times New Roman"/>
          <w:b/>
        </w:rPr>
        <w:tab/>
        <w:t>UNIKALUS IDENTIFIKATORIUS – 2D BRŪKŠNINIS KODAS</w:t>
      </w:r>
    </w:p>
    <w:p w14:paraId="3695441D" w14:textId="77777777" w:rsidR="00E35DF9" w:rsidRPr="00E35DF9" w:rsidRDefault="00E35DF9" w:rsidP="00E35DF9">
      <w:pPr>
        <w:spacing w:after="0" w:line="240" w:lineRule="auto"/>
        <w:rPr>
          <w:rFonts w:ascii="Times New Roman" w:eastAsia="Calibri" w:hAnsi="Times New Roman" w:cs="Times New Roman"/>
        </w:rPr>
      </w:pPr>
    </w:p>
    <w:p w14:paraId="1762DE6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highlight w:val="lightGray"/>
        </w:rPr>
        <w:t>&lt;2D brūkšninis kodas su nurodytu unikaliu identifikatoriumi.&gt;</w:t>
      </w:r>
    </w:p>
    <w:p w14:paraId="46FC1041" w14:textId="77777777" w:rsidR="00E35DF9" w:rsidRPr="00E35DF9" w:rsidRDefault="00E35DF9" w:rsidP="00E35DF9">
      <w:pPr>
        <w:spacing w:after="0" w:line="240" w:lineRule="auto"/>
        <w:rPr>
          <w:rFonts w:ascii="Times New Roman" w:eastAsia="Calibri" w:hAnsi="Times New Roman" w:cs="Times New Roman"/>
        </w:rPr>
      </w:pPr>
    </w:p>
    <w:p w14:paraId="4F0875D7" w14:textId="77777777" w:rsidR="00E35DF9" w:rsidRPr="00E35DF9" w:rsidRDefault="00E35DF9" w:rsidP="00E35DF9">
      <w:pPr>
        <w:spacing w:after="0" w:line="240" w:lineRule="auto"/>
        <w:rPr>
          <w:rFonts w:ascii="Times New Roman" w:eastAsia="Calibri" w:hAnsi="Times New Roman" w:cs="Times New Roman"/>
        </w:rPr>
      </w:pPr>
    </w:p>
    <w:p w14:paraId="129D85FC"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35DF9">
        <w:rPr>
          <w:rFonts w:ascii="Times New Roman" w:eastAsia="Calibri" w:hAnsi="Times New Roman" w:cs="Times New Roman"/>
          <w:b/>
        </w:rPr>
        <w:t>18.</w:t>
      </w:r>
      <w:r w:rsidRPr="00E35DF9">
        <w:rPr>
          <w:rFonts w:ascii="Times New Roman" w:eastAsia="Calibri" w:hAnsi="Times New Roman" w:cs="Times New Roman"/>
          <w:b/>
        </w:rPr>
        <w:tab/>
        <w:t>UNIKALUS IDENTIFIKATORIUS – ŽMONĖMS SUPRANTAMI DUOMENYS</w:t>
      </w:r>
    </w:p>
    <w:p w14:paraId="4029D5F6" w14:textId="77777777" w:rsidR="00E35DF9" w:rsidRPr="00E35DF9" w:rsidRDefault="00E35DF9" w:rsidP="00E35DF9">
      <w:pPr>
        <w:spacing w:after="0" w:line="240" w:lineRule="auto"/>
        <w:rPr>
          <w:rFonts w:ascii="Times New Roman" w:eastAsia="Calibri" w:hAnsi="Times New Roman" w:cs="Times New Roman"/>
        </w:rPr>
      </w:pPr>
    </w:p>
    <w:p w14:paraId="200207CD"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&lt;PC: {numeris} </w:t>
      </w:r>
    </w:p>
    <w:p w14:paraId="08F1F740"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SN: {numeris} </w:t>
      </w:r>
    </w:p>
    <w:p w14:paraId="45A7196F"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NN: {numeris} &gt;</w:t>
      </w:r>
    </w:p>
    <w:p w14:paraId="3687803B" w14:textId="77777777" w:rsidR="00E35DF9" w:rsidRPr="00E35DF9" w:rsidRDefault="00E35DF9" w:rsidP="00E35DF9">
      <w:pPr>
        <w:spacing w:after="0" w:line="240" w:lineRule="auto"/>
        <w:rPr>
          <w:rFonts w:ascii="Times New Roman" w:eastAsia="Calibri" w:hAnsi="Times New Roman" w:cs="Times New Roman"/>
        </w:rPr>
      </w:pPr>
    </w:p>
    <w:p w14:paraId="074F2729" w14:textId="77777777" w:rsidR="00E35DF9" w:rsidRPr="00E35DF9" w:rsidRDefault="00E35DF9" w:rsidP="00E35DF9">
      <w:pPr>
        <w:spacing w:after="0" w:line="240" w:lineRule="auto"/>
        <w:rPr>
          <w:rFonts w:ascii="Times New Roman" w:eastAsia="Calibri" w:hAnsi="Times New Roman" w:cs="Times New Roman"/>
        </w:rPr>
      </w:pPr>
    </w:p>
    <w:p w14:paraId="029E0D91"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E35DF9">
        <w:rPr>
          <w:rFonts w:ascii="Times New Roman" w:eastAsia="Calibri" w:hAnsi="Times New Roman" w:cs="Times New Roman"/>
          <w:b/>
        </w:rPr>
        <w:br w:type="page"/>
      </w:r>
      <w:r w:rsidRPr="00E35DF9">
        <w:rPr>
          <w:rFonts w:ascii="Times New Roman" w:eastAsia="Calibri" w:hAnsi="Times New Roman" w:cs="Times New Roman"/>
          <w:b/>
        </w:rPr>
        <w:lastRenderedPageBreak/>
        <w:t>MINIMALI INFORMACIJA ANT LIZDINIŲ PLOKŠTELIŲ ARBA DVISLUOKSNIŲ JUOSTELIŲ</w:t>
      </w:r>
    </w:p>
    <w:p w14:paraId="047B1399"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00AB969A" w14:textId="77777777" w:rsidR="00E35DF9" w:rsidRPr="00E35DF9"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E35DF9">
        <w:rPr>
          <w:rFonts w:ascii="Times New Roman" w:eastAsia="Calibri" w:hAnsi="Times New Roman" w:cs="Times New Roman"/>
          <w:b/>
          <w:caps/>
        </w:rPr>
        <w:t>Lizdinė plokštelė</w:t>
      </w:r>
    </w:p>
    <w:p w14:paraId="51BD3706" w14:textId="77777777" w:rsidR="00E35DF9" w:rsidRPr="00E35DF9" w:rsidRDefault="00E35DF9" w:rsidP="00E35DF9">
      <w:pPr>
        <w:spacing w:after="0" w:line="240" w:lineRule="auto"/>
        <w:rPr>
          <w:rFonts w:ascii="Times New Roman" w:eastAsia="Calibri" w:hAnsi="Times New Roman" w:cs="Times New Roman"/>
        </w:rPr>
      </w:pPr>
    </w:p>
    <w:p w14:paraId="62F4CEC1" w14:textId="77777777" w:rsidR="00E35DF9" w:rsidRPr="00E35DF9" w:rsidRDefault="00E35DF9" w:rsidP="00E35DF9">
      <w:pPr>
        <w:spacing w:after="0" w:line="240" w:lineRule="auto"/>
        <w:rPr>
          <w:rFonts w:ascii="Times New Roman" w:eastAsia="Calibri" w:hAnsi="Times New Roman" w:cs="Times New Roman"/>
        </w:rPr>
      </w:pPr>
    </w:p>
    <w:p w14:paraId="64AC9DE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1.</w:t>
      </w:r>
      <w:r w:rsidRPr="00E35DF9">
        <w:rPr>
          <w:rFonts w:ascii="Times New Roman" w:eastAsia="Calibri" w:hAnsi="Times New Roman" w:cs="Times New Roman"/>
          <w:b/>
        </w:rPr>
        <w:tab/>
        <w:t>VAISTINIO PREPARATO PAVADINIMAS</w:t>
      </w:r>
    </w:p>
    <w:p w14:paraId="4D326DF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2B0E49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Egolanza 20 mg plėvele dengtos tabletės</w:t>
      </w:r>
    </w:p>
    <w:p w14:paraId="773F0CA2"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Olanzapinas</w:t>
      </w:r>
    </w:p>
    <w:p w14:paraId="48D4AC7F" w14:textId="77777777" w:rsidR="00E35DF9" w:rsidRPr="00E35DF9" w:rsidRDefault="00E35DF9" w:rsidP="00E35DF9">
      <w:pPr>
        <w:spacing w:after="0" w:line="240" w:lineRule="auto"/>
        <w:rPr>
          <w:rFonts w:ascii="Times New Roman" w:eastAsia="Calibri" w:hAnsi="Times New Roman" w:cs="Times New Roman"/>
        </w:rPr>
      </w:pPr>
    </w:p>
    <w:p w14:paraId="21EA518A"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3546E6F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2.</w:t>
      </w:r>
      <w:r w:rsidRPr="00E35DF9">
        <w:rPr>
          <w:rFonts w:ascii="Times New Roman" w:eastAsia="Calibri" w:hAnsi="Times New Roman" w:cs="Times New Roman"/>
          <w:b/>
        </w:rPr>
        <w:tab/>
        <w:t xml:space="preserve">REGISTRUOTOJO PAVADINIMAS </w:t>
      </w:r>
    </w:p>
    <w:p w14:paraId="7C173E4F"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22BE5FD3" w14:textId="77777777" w:rsidR="00E35DF9" w:rsidRPr="00E35DF9" w:rsidRDefault="00E35DF9" w:rsidP="00E35DF9">
      <w:pPr>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EGIS </w:t>
      </w:r>
    </w:p>
    <w:p w14:paraId="7C6EF6B1"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47FAEAB9"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000B8FF5"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3.</w:t>
      </w:r>
      <w:r w:rsidRPr="00E35DF9">
        <w:rPr>
          <w:rFonts w:ascii="Times New Roman" w:eastAsia="Calibri" w:hAnsi="Times New Roman" w:cs="Times New Roman"/>
          <w:b/>
        </w:rPr>
        <w:tab/>
        <w:t>TINKAMUMO LAIKAS</w:t>
      </w:r>
    </w:p>
    <w:p w14:paraId="569E47D3"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1364EB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EXP {MMMM-mm}</w:t>
      </w:r>
    </w:p>
    <w:p w14:paraId="6B7744AE"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5992C4DD"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6E9743A6"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35DF9">
        <w:rPr>
          <w:rFonts w:ascii="Times New Roman" w:eastAsia="Calibri" w:hAnsi="Times New Roman" w:cs="Times New Roman"/>
          <w:b/>
        </w:rPr>
        <w:t>4.</w:t>
      </w:r>
      <w:r w:rsidRPr="00E35DF9">
        <w:rPr>
          <w:rFonts w:ascii="Times New Roman" w:eastAsia="Calibri" w:hAnsi="Times New Roman" w:cs="Times New Roman"/>
          <w:b/>
        </w:rPr>
        <w:tab/>
        <w:t xml:space="preserve">SERIJOS NUMERIS </w:t>
      </w:r>
    </w:p>
    <w:p w14:paraId="3C0B30B0"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1457B3AC" w14:textId="77777777" w:rsidR="00E35DF9" w:rsidRPr="00E35DF9" w:rsidRDefault="00E35DF9" w:rsidP="00E35DF9">
      <w:pP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rPr>
        <w:t>Lot</w:t>
      </w:r>
    </w:p>
    <w:p w14:paraId="039477E6" w14:textId="77777777" w:rsidR="00E35DF9" w:rsidRPr="00E35DF9" w:rsidRDefault="00E35DF9" w:rsidP="00E35DF9">
      <w:pPr>
        <w:tabs>
          <w:tab w:val="left" w:pos="540"/>
        </w:tabs>
        <w:spacing w:after="0" w:line="240" w:lineRule="auto"/>
        <w:rPr>
          <w:rFonts w:ascii="Times New Roman" w:eastAsia="Calibri" w:hAnsi="Times New Roman" w:cs="Times New Roman"/>
        </w:rPr>
      </w:pPr>
    </w:p>
    <w:p w14:paraId="71C85EAF" w14:textId="77777777" w:rsidR="00E35DF9" w:rsidRPr="00E35DF9" w:rsidRDefault="00E35DF9" w:rsidP="00E35DF9">
      <w:pPr>
        <w:spacing w:after="0" w:line="240" w:lineRule="auto"/>
        <w:rPr>
          <w:rFonts w:ascii="Times New Roman" w:eastAsia="Calibri" w:hAnsi="Times New Roman" w:cs="Times New Roman"/>
        </w:rPr>
      </w:pPr>
    </w:p>
    <w:p w14:paraId="2EE55F41" w14:textId="77777777" w:rsidR="00E35DF9" w:rsidRPr="00E35DF9"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E35DF9">
        <w:rPr>
          <w:rFonts w:ascii="Times New Roman" w:eastAsia="Calibri" w:hAnsi="Times New Roman" w:cs="Times New Roman"/>
          <w:b/>
        </w:rPr>
        <w:t>5.</w:t>
      </w:r>
      <w:r w:rsidRPr="00E35DF9">
        <w:rPr>
          <w:rFonts w:ascii="Times New Roman" w:eastAsia="Calibri" w:hAnsi="Times New Roman" w:cs="Times New Roman"/>
          <w:b/>
        </w:rPr>
        <w:tab/>
        <w:t>KITA</w:t>
      </w:r>
    </w:p>
    <w:p w14:paraId="308407DF" w14:textId="77777777" w:rsidR="00E35DF9" w:rsidRPr="00E35DF9" w:rsidRDefault="00E35DF9" w:rsidP="00E35DF9">
      <w:pPr>
        <w:spacing w:after="0" w:line="240" w:lineRule="auto"/>
        <w:rPr>
          <w:rFonts w:ascii="Times New Roman" w:eastAsia="Calibri" w:hAnsi="Times New Roman" w:cs="Times New Roman"/>
        </w:rPr>
      </w:pPr>
    </w:p>
    <w:p w14:paraId="542EC5E2" w14:textId="77777777" w:rsidR="00E35DF9" w:rsidRPr="00E35DF9" w:rsidRDefault="00E35DF9" w:rsidP="00E35DF9">
      <w:pPr>
        <w:spacing w:after="0" w:line="240" w:lineRule="auto"/>
        <w:rPr>
          <w:rFonts w:ascii="Times New Roman" w:eastAsia="Calibri" w:hAnsi="Times New Roman" w:cs="Times New Roman"/>
        </w:rPr>
      </w:pPr>
    </w:p>
    <w:p w14:paraId="216A61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br w:type="page"/>
      </w:r>
      <w:bookmarkStart w:id="12" w:name="_Toc129243138"/>
      <w:bookmarkStart w:id="13" w:name="_Toc129243263"/>
    </w:p>
    <w:p w14:paraId="091AAD9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F81EF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6DCD1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061B74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FC09FF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BC6A98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F62096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F1006E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4E53B6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925ECA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EF4F95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70E78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137E77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8B8055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6B2BD0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20A226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9D7F05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C2B0DC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ABD11B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25C913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43AA8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969483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7050842"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71A7303"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B. PAKUOTĖS LAPELIS</w:t>
      </w:r>
    </w:p>
    <w:p w14:paraId="7CBB2C47"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rPr>
        <w:br w:type="page"/>
      </w:r>
      <w:bookmarkEnd w:id="12"/>
      <w:bookmarkEnd w:id="13"/>
      <w:r w:rsidRPr="00E35DF9">
        <w:rPr>
          <w:rFonts w:ascii="Times New Roman" w:eastAsia="Calibri" w:hAnsi="Times New Roman" w:cs="Times New Roman"/>
          <w:b/>
        </w:rPr>
        <w:lastRenderedPageBreak/>
        <w:t>Pakuotės lapelis: informacija pacientui</w:t>
      </w:r>
    </w:p>
    <w:p w14:paraId="339E991A"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6645748"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5 mg plėvele dengtos tabletės</w:t>
      </w:r>
    </w:p>
    <w:p w14:paraId="32754105"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7,5 mg plėvele dengtos tabletės</w:t>
      </w:r>
    </w:p>
    <w:p w14:paraId="574C2AD1"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10 mg plėvele dengtos tabletės</w:t>
      </w:r>
    </w:p>
    <w:p w14:paraId="20137124"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15 mg plėvele dengtos tabletės</w:t>
      </w:r>
    </w:p>
    <w:p w14:paraId="24E8240F"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20 mg plėvele dengtos tabletės</w:t>
      </w:r>
    </w:p>
    <w:p w14:paraId="78BC0CD7" w14:textId="77777777" w:rsidR="00E35DF9" w:rsidRPr="00E35DF9" w:rsidRDefault="00E35DF9" w:rsidP="00E35DF9">
      <w:pPr>
        <w:autoSpaceDE w:val="0"/>
        <w:autoSpaceDN w:val="0"/>
        <w:adjustRightInd w:val="0"/>
        <w:spacing w:after="0" w:line="240" w:lineRule="auto"/>
        <w:jc w:val="center"/>
        <w:rPr>
          <w:rFonts w:ascii="Times New Roman" w:eastAsia="Calibri" w:hAnsi="Times New Roman" w:cs="Times New Roman"/>
        </w:rPr>
      </w:pPr>
      <w:r w:rsidRPr="00E35DF9">
        <w:rPr>
          <w:rFonts w:ascii="Times New Roman" w:eastAsia="Calibri" w:hAnsi="Times New Roman" w:cs="Times New Roman"/>
        </w:rPr>
        <w:t>Olanzapinas</w:t>
      </w:r>
    </w:p>
    <w:p w14:paraId="614599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620A36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Atidžiai perskaitykite visą šį lapelį, prieš pradėdami vartoti vaistą, nes jame pateikiama Jums svarbi informacija</w:t>
      </w:r>
    </w:p>
    <w:p w14:paraId="6D29261E"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Neišmeskite šio lapelio, nes vėl gali prireikti jį perskaityti.</w:t>
      </w:r>
    </w:p>
    <w:p w14:paraId="5EA8313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Jeigu kiltų daugiau klausimų, kreipkitės į gydytoją</w:t>
      </w:r>
      <w:r w:rsidRPr="00E35DF9">
        <w:rPr>
          <w:rFonts w:ascii="Times New Roman" w:eastAsia="Times New Roman" w:hAnsi="Times New Roman" w:cs="Times New Roman"/>
          <w:lang w:eastAsia="hu-HU"/>
        </w:rPr>
        <w:t>,</w:t>
      </w:r>
      <w:r w:rsidRPr="00E35DF9">
        <w:rPr>
          <w:rFonts w:ascii="Times New Roman" w:eastAsia="Calibri" w:hAnsi="Times New Roman" w:cs="Times New Roman"/>
        </w:rPr>
        <w:t xml:space="preserve"> vaistininką</w:t>
      </w:r>
      <w:r w:rsidRPr="00E35DF9">
        <w:rPr>
          <w:rFonts w:ascii="Times New Roman" w:eastAsia="Times New Roman" w:hAnsi="Times New Roman" w:cs="Times New Roman"/>
          <w:lang w:eastAsia="hu-HU"/>
        </w:rPr>
        <w:t xml:space="preserve"> arba slaugytoją</w:t>
      </w:r>
      <w:r w:rsidRPr="00E35DF9">
        <w:rPr>
          <w:rFonts w:ascii="Times New Roman" w:eastAsia="Calibri" w:hAnsi="Times New Roman" w:cs="Times New Roman"/>
        </w:rPr>
        <w:t>.</w:t>
      </w:r>
    </w:p>
    <w:p w14:paraId="7575604C"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32FC48D5"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Jeigu pasireiškė šalutinis poveikis (net jeigu jis šiame lapelyje nenurodytas), kreipkitės į gydytoją</w:t>
      </w:r>
      <w:r w:rsidRPr="00E35DF9">
        <w:rPr>
          <w:rFonts w:ascii="Times New Roman" w:eastAsia="Times New Roman" w:hAnsi="Times New Roman" w:cs="Times New Roman"/>
          <w:lang w:eastAsia="hu-HU"/>
        </w:rPr>
        <w:t>,</w:t>
      </w:r>
      <w:r w:rsidRPr="00E35DF9">
        <w:rPr>
          <w:rFonts w:ascii="Times New Roman" w:eastAsia="Calibri" w:hAnsi="Times New Roman" w:cs="Times New Roman"/>
        </w:rPr>
        <w:t xml:space="preserve"> vaistininką</w:t>
      </w:r>
      <w:r w:rsidRPr="00E35DF9">
        <w:rPr>
          <w:rFonts w:ascii="Times New Roman" w:eastAsia="Times New Roman" w:hAnsi="Times New Roman" w:cs="Times New Roman"/>
          <w:lang w:eastAsia="hu-HU"/>
        </w:rPr>
        <w:t xml:space="preserve"> arba slaugytoją. Žr. 4 skyrių</w:t>
      </w:r>
      <w:r w:rsidRPr="00E35DF9">
        <w:rPr>
          <w:rFonts w:ascii="Times New Roman" w:eastAsia="Calibri" w:hAnsi="Times New Roman" w:cs="Times New Roman"/>
        </w:rPr>
        <w:t>.</w:t>
      </w:r>
    </w:p>
    <w:p w14:paraId="1382EBB9"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p>
    <w:p w14:paraId="2099D19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80AE007" w14:textId="77777777" w:rsidR="00E35DF9" w:rsidRPr="00E35DF9" w:rsidRDefault="00E35DF9" w:rsidP="00E35DF9">
      <w:pPr>
        <w:keepNext/>
        <w:spacing w:after="0" w:line="240" w:lineRule="auto"/>
        <w:jc w:val="both"/>
        <w:outlineLvl w:val="3"/>
        <w:rPr>
          <w:rFonts w:ascii="Times New Roman" w:eastAsia="Times New Roman" w:hAnsi="Times New Roman" w:cs="Times New Roman"/>
          <w:b/>
          <w:iCs/>
          <w:lang w:eastAsia="hu-HU"/>
        </w:rPr>
      </w:pPr>
      <w:r w:rsidRPr="00E35DF9">
        <w:rPr>
          <w:rFonts w:ascii="Times New Roman" w:eastAsia="Times New Roman" w:hAnsi="Times New Roman" w:cs="Times New Roman"/>
          <w:b/>
          <w:iCs/>
          <w:lang w:eastAsia="hu-HU"/>
        </w:rPr>
        <w:t>Apie ką rašoma šiame lapelyje?</w:t>
      </w:r>
    </w:p>
    <w:p w14:paraId="644159A3"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1.</w:t>
      </w:r>
      <w:r w:rsidRPr="00E35DF9">
        <w:rPr>
          <w:rFonts w:ascii="Times New Roman" w:eastAsia="Calibri" w:hAnsi="Times New Roman" w:cs="Times New Roman"/>
        </w:rPr>
        <w:tab/>
        <w:t>Kas yra Egolanza ir kam jis vartojamas</w:t>
      </w:r>
    </w:p>
    <w:p w14:paraId="3A18AE0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2.</w:t>
      </w:r>
      <w:r w:rsidRPr="00E35DF9">
        <w:rPr>
          <w:rFonts w:ascii="Times New Roman" w:eastAsia="Calibri" w:hAnsi="Times New Roman" w:cs="Times New Roman"/>
        </w:rPr>
        <w:tab/>
        <w:t>Kas žinotina prieš vartojant Egolanza</w:t>
      </w:r>
    </w:p>
    <w:p w14:paraId="5FD977B8"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3.</w:t>
      </w:r>
      <w:r w:rsidRPr="00E35DF9">
        <w:rPr>
          <w:rFonts w:ascii="Times New Roman" w:eastAsia="Calibri" w:hAnsi="Times New Roman" w:cs="Times New Roman"/>
        </w:rPr>
        <w:tab/>
        <w:t>Kaip vartoti Egolanza</w:t>
      </w:r>
    </w:p>
    <w:p w14:paraId="34D2AFA0"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4.</w:t>
      </w:r>
      <w:r w:rsidRPr="00E35DF9">
        <w:rPr>
          <w:rFonts w:ascii="Times New Roman" w:eastAsia="Calibri" w:hAnsi="Times New Roman" w:cs="Times New Roman"/>
        </w:rPr>
        <w:tab/>
        <w:t>Galimas šalutinis poveikis</w:t>
      </w:r>
    </w:p>
    <w:p w14:paraId="11A8688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5.</w:t>
      </w:r>
      <w:r w:rsidRPr="00E35DF9">
        <w:rPr>
          <w:rFonts w:ascii="Times New Roman" w:eastAsia="Calibri" w:hAnsi="Times New Roman" w:cs="Times New Roman"/>
        </w:rPr>
        <w:tab/>
        <w:t>Kaip laikyti Egolanza</w:t>
      </w:r>
    </w:p>
    <w:p w14:paraId="04BF40B1"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6.</w:t>
      </w:r>
      <w:r w:rsidRPr="00E35DF9">
        <w:rPr>
          <w:rFonts w:ascii="Times New Roman" w:eastAsia="Calibri" w:hAnsi="Times New Roman" w:cs="Times New Roman"/>
        </w:rPr>
        <w:tab/>
        <w:t>Pakuotės turinys ir kita informacija</w:t>
      </w:r>
    </w:p>
    <w:p w14:paraId="38216F8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5BFCAA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9CF6A19" w14:textId="77777777" w:rsidR="00E35DF9" w:rsidRPr="00E35DF9"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 xml:space="preserve">Kas yra Egolanza ir kam jis vartojamas </w:t>
      </w:r>
    </w:p>
    <w:p w14:paraId="052628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3F4899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sudėtyje yra veikliosios medžiagos olanzapino. Egolanza tabletės priklauso vaistų, vadinamų antipsichoziniais, grupei</w:t>
      </w:r>
      <w:r w:rsidRPr="00E35DF9">
        <w:rPr>
          <w:rFonts w:ascii="Calibri" w:eastAsia="Calibri" w:hAnsi="Calibri" w:cs="Times New Roman"/>
        </w:rPr>
        <w:t xml:space="preserve"> </w:t>
      </w:r>
      <w:r w:rsidRPr="00E35DF9">
        <w:rPr>
          <w:rFonts w:ascii="Times New Roman" w:eastAsia="Calibri" w:hAnsi="Times New Roman" w:cs="Times New Roman"/>
        </w:rPr>
        <w:t>ir yra vartojamas toliau išvardytoms būklėms gydyti.</w:t>
      </w:r>
    </w:p>
    <w:p w14:paraId="7750080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451C785" w14:textId="77777777" w:rsidR="00E35DF9" w:rsidRPr="00E35DF9" w:rsidRDefault="00E35DF9" w:rsidP="00E35DF9">
      <w:pPr>
        <w:numPr>
          <w:ilvl w:val="0"/>
          <w:numId w:val="49"/>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 xml:space="preserve">Šizofrenija. Tai yra liga, kuriai būdingi šie simptomai: nesančių garsų girdėjimas, nesančių </w:t>
      </w:r>
    </w:p>
    <w:p w14:paraId="60600943"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daiktų matymas ar jutimas, klaidingi įsitikinimai, neįprastas įtarumas ir nepritapimas. Žmonės,</w:t>
      </w:r>
    </w:p>
    <w:p w14:paraId="5F504846"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 xml:space="preserve">sergantys šia liga, gali jaustis prislėgti, apimti nerimo ar įsitempę. </w:t>
      </w:r>
    </w:p>
    <w:p w14:paraId="25F185B7" w14:textId="77777777" w:rsidR="00E35DF9" w:rsidRPr="00E35DF9" w:rsidRDefault="00E35DF9" w:rsidP="00E35DF9">
      <w:pPr>
        <w:numPr>
          <w:ilvl w:val="0"/>
          <w:numId w:val="47"/>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Vidutinio sunkumo ir sunkūs manijos epizodai. Tai yra būklė, kuriai būdingi susijaudinimo ar</w:t>
      </w:r>
    </w:p>
    <w:p w14:paraId="3DA3809E"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euforijos simptomai.</w:t>
      </w:r>
    </w:p>
    <w:p w14:paraId="4489FDA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CD4916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Nustatyta, kad Egolanza apsaugo nuo šių simptomų pasikartojimo pacientams, kuriems pasireiškia</w:t>
      </w:r>
    </w:p>
    <w:p w14:paraId="01DA52C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bipolinis sutrikimas, jeigu gydant manijos epizodą, buvo reakcija į gydymą olanzapinu. </w:t>
      </w:r>
    </w:p>
    <w:p w14:paraId="2FA5EDE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BA4F32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2108159" w14:textId="77777777" w:rsidR="00E35DF9" w:rsidRPr="00E35DF9"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Kas žinotina prieš vartojant Egolanza</w:t>
      </w:r>
    </w:p>
    <w:p w14:paraId="5E3F01E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239F60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vartoti negalima:</w:t>
      </w:r>
    </w:p>
    <w:p w14:paraId="74A154D1"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jeigu yra alergija olanzapinui arba bet kuriai pagalbinei šio vaisto medžiagai (jos išvardytos 6 skyriuje). Alerginė reakcija gali pasireikšti išbėrimu, niežėjimu, veido ir lūpų patinimu ar dusuliu. Jei Jums tai nutiko, pasakykite gydytojui.</w:t>
      </w:r>
    </w:p>
    <w:p w14:paraId="6C3FDF0B"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Jeigu Jums buvo anksčiau nustatyti akių sutrikimai, tokie kaip tam tikros rūšies glaukoma (padidėjęs akispūdis).</w:t>
      </w:r>
    </w:p>
    <w:p w14:paraId="695C92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F6A029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Įspėjimai ir atsargumo priemonės:</w:t>
      </w:r>
    </w:p>
    <w:p w14:paraId="40F22E0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Pasitarkite su gydytoju arba vaistininku prieš pradėdami vartoti Egolanza.</w:t>
      </w:r>
    </w:p>
    <w:p w14:paraId="25DC8DD9" w14:textId="77777777" w:rsidR="00E35DF9" w:rsidRPr="00E35DF9" w:rsidRDefault="00E35DF9" w:rsidP="00E35DF9">
      <w:pPr>
        <w:numPr>
          <w:ilvl w:val="0"/>
          <w:numId w:val="50"/>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 xml:space="preserve">Egolanza nerekomenduojama vartoti demencija sergantiems senyviems pacientams, nes tai </w:t>
      </w:r>
    </w:p>
    <w:p w14:paraId="193A865E"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gali sukelti sunkų šalutinį poveikį.</w:t>
      </w:r>
    </w:p>
    <w:p w14:paraId="75417107"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lastRenderedPageBreak/>
        <w:t>Šios rūšies vaistai gali sukelti neįprastus judesius, ypač veido ir liežuvio. Jei Jums tai pasireiškė vartojant Egolanza tabletes, kreipkitės į gydytoją.</w:t>
      </w:r>
    </w:p>
    <w:p w14:paraId="6A9A122D"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Labai retai šios grupės vaistai sukelia karščiavimo, kvėpavimo pagreitėjimo, prakaitavimo, raumenų sustingimo ir apsnūdimo bei mieguistumo derinį. Jei Jums tai pasireiškė, nedelsdami kreipkitės į gydytoją.</w:t>
      </w:r>
    </w:p>
    <w:p w14:paraId="33B8334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Egolanza vartojantiems pacientams buvo stebimas kūno svorio didėjimas. Jūs ir Jūsų gydytojas turite reguliariai tikrinti savo kūno svorį.</w:t>
      </w:r>
      <w:r w:rsidRPr="00E35DF9">
        <w:rPr>
          <w:rFonts w:ascii="Calibri" w:eastAsia="Calibri" w:hAnsi="Calibri" w:cs="Times New Roman"/>
        </w:rPr>
        <w:t xml:space="preserve"> </w:t>
      </w:r>
      <w:r w:rsidRPr="00E35DF9">
        <w:rPr>
          <w:rFonts w:ascii="Times New Roman" w:eastAsia="Calibri" w:hAnsi="Times New Roman" w:cs="Times New Roman"/>
        </w:rPr>
        <w:t>Apsvarstykite galimybę kreiptis į dietologą arba pagalbos sudarant dietos planą, jei reikia.</w:t>
      </w:r>
    </w:p>
    <w:p w14:paraId="3C93BFA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Egolanza vartojantiems pacientams buvo nustatytos didelės gliukozės ir riebalinių medžiagų (trigliceridų ir cholesterolio) koncentracijos kraujyje. Gydytojas turės atlikti kraujo tyrimus gliukozės ir tam tikrų riebalinių medžiagų koncentracijoms kraujyje nustatyti prieš pradedant vartoti Egolanza ir reguliariai gydymo metu.</w:t>
      </w:r>
    </w:p>
    <w:p w14:paraId="0B2B23A3"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Pasakykite gydytojui, jeigu Jums arba kuriam nors Jūsų kraujo giminaičiui kraujagyslėse buvo</w:t>
      </w:r>
    </w:p>
    <w:p w14:paraId="1102D4C6"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susiformavę kraujo krešuliai, nes į šį vaistą panašūs vaistai yra susiję su kraujo krešulių</w:t>
      </w:r>
    </w:p>
    <w:p w14:paraId="34A95804"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formavimusi.</w:t>
      </w:r>
    </w:p>
    <w:p w14:paraId="5FA2721C" w14:textId="77777777" w:rsidR="00E35DF9" w:rsidRPr="00E35DF9" w:rsidRDefault="00E35DF9" w:rsidP="00E35DF9">
      <w:pPr>
        <w:autoSpaceDE w:val="0"/>
        <w:autoSpaceDN w:val="0"/>
        <w:adjustRightInd w:val="0"/>
        <w:spacing w:after="0" w:line="240" w:lineRule="auto"/>
        <w:ind w:left="567"/>
        <w:rPr>
          <w:rFonts w:ascii="Times New Roman" w:eastAsia="Calibri" w:hAnsi="Times New Roman" w:cs="Times New Roman"/>
        </w:rPr>
      </w:pPr>
    </w:p>
    <w:p w14:paraId="7600822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Nedelsdami pasakykite gydytojui, jeigu sergate šiomis ligomis:</w:t>
      </w:r>
    </w:p>
    <w:p w14:paraId="0C8DCDD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insultu ar „mikro” insultu (laikini insulto simptomai);</w:t>
      </w:r>
    </w:p>
    <w:p w14:paraId="371D6E8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Parkinsono liga;</w:t>
      </w:r>
    </w:p>
    <w:p w14:paraId="7F25A281"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prostatos ligomis;</w:t>
      </w:r>
    </w:p>
    <w:p w14:paraId="61D825EC"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žarnų nepraeinamumu (žarnų paralyžiniu nepraeinamumu);</w:t>
      </w:r>
    </w:p>
    <w:p w14:paraId="3C33C0B3"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kepenų ar inkstų liga;</w:t>
      </w:r>
    </w:p>
    <w:p w14:paraId="2874776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kraujo sutrikimu;</w:t>
      </w:r>
    </w:p>
    <w:p w14:paraId="1716A017"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širdies liga;</w:t>
      </w:r>
    </w:p>
    <w:p w14:paraId="5A083FC3"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lang w:val="en-US"/>
        </w:rPr>
        <w:t>diabetu;</w:t>
      </w:r>
    </w:p>
    <w:p w14:paraId="0982F888"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traukuliais</w:t>
      </w:r>
      <w:r w:rsidRPr="00E35DF9">
        <w:rPr>
          <w:rFonts w:ascii="Times New Roman" w:eastAsia="Times New Roman" w:hAnsi="Times New Roman" w:cs="Times New Roman"/>
          <w:lang w:eastAsia="hu-HU"/>
        </w:rPr>
        <w:t>;</w:t>
      </w:r>
    </w:p>
    <w:p w14:paraId="008520F9"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 žinote, kad dėl ilgo sunkaus viduriavimo ir vėmimo (šleikštulio) ar diuretikų (šlapimą varančių tablečių) vartojimo jums gali būti druskų stoka.</w:t>
      </w:r>
    </w:p>
    <w:p w14:paraId="0E4EA05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969DF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 sergate demencija ir kada nors Jus buvo ištikęs insultas arba „mikro” insultas, Jūs arba Jumis besirūpinantis asmuo ar giminaitis turi apie tai pasakyti gydytojui.</w:t>
      </w:r>
    </w:p>
    <w:p w14:paraId="6DB7E74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33059C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 esate vyresnis negu 65 metų, dėl atsargumo gydytojas gali reguliariai tikrinti Jūsų kraujospūdį.</w:t>
      </w:r>
    </w:p>
    <w:p w14:paraId="30F1BA3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81479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Vaikams ir paaugliams</w:t>
      </w:r>
    </w:p>
    <w:p w14:paraId="2EA4388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netinka vartoti pacientams, jaunesniems kaip 18 metų.</w:t>
      </w:r>
    </w:p>
    <w:p w14:paraId="6D18A61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5A8E2DF" w14:textId="77777777" w:rsidR="00E35DF9" w:rsidRPr="00E35DF9" w:rsidRDefault="00E35DF9" w:rsidP="00E35DF9">
      <w:pPr>
        <w:keepNext/>
        <w:spacing w:after="0" w:line="240" w:lineRule="auto"/>
        <w:outlineLvl w:val="8"/>
        <w:rPr>
          <w:rFonts w:ascii="Times New Roman" w:eastAsia="Times New Roman" w:hAnsi="Times New Roman" w:cs="Times New Roman"/>
          <w:b/>
          <w:bCs/>
          <w:lang w:eastAsia="hu-HU"/>
        </w:rPr>
      </w:pPr>
      <w:r w:rsidRPr="00E35DF9">
        <w:rPr>
          <w:rFonts w:ascii="Times New Roman" w:eastAsia="Times New Roman" w:hAnsi="Times New Roman" w:cs="Times New Roman"/>
          <w:b/>
          <w:bCs/>
          <w:lang w:eastAsia="hu-HU"/>
        </w:rPr>
        <w:t>Kiti vaistai ir Egolanza</w:t>
      </w:r>
    </w:p>
    <w:p w14:paraId="1B14847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Kitų vaistų kartu su Egolanza galima vartoti tik gydytojui leidus. Jeigu kartu su Egolanza vartosite antidepresantus ar vaistus, mažinančius nerimą arba padedančius užmigti (trankviliantus), galite būti mieguistas.</w:t>
      </w:r>
    </w:p>
    <w:p w14:paraId="7D2AA1F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7939D2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vartojate ar neseniai vartojote kitų vaistų arba dėl to nesate tikri, apie tai pasakykite gydytojui.</w:t>
      </w:r>
    </w:p>
    <w:p w14:paraId="2500AB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5C8A7C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Labai svarbu pasakyti gydytojui, jeigu vartojate:</w:t>
      </w:r>
    </w:p>
    <w:p w14:paraId="1DD979C0"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vaistų Parkinsono ligai gydyti;</w:t>
      </w:r>
    </w:p>
    <w:p w14:paraId="3B208947"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karbamazepiną (antiepilepsinis ir nuotaiką stabilizuojantis vaistas), fluvoksaminą (antidepresantas) arba ciprofloksaciną (antibiotikas). Gali prireikti keisti Egolanza dozę.</w:t>
      </w:r>
    </w:p>
    <w:p w14:paraId="6A3F2A0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43D3CF2" w14:textId="77777777" w:rsidR="00E35DF9" w:rsidRPr="00E35DF9" w:rsidRDefault="00E35DF9" w:rsidP="00E35DF9">
      <w:pPr>
        <w:keepNext/>
        <w:widowControl w:val="0"/>
        <w:autoSpaceDE w:val="0"/>
        <w:autoSpaceDN w:val="0"/>
        <w:adjustRightInd w:val="0"/>
        <w:spacing w:after="0" w:line="240" w:lineRule="auto"/>
        <w:outlineLvl w:val="6"/>
        <w:rPr>
          <w:rFonts w:ascii="Times New Roman" w:eastAsia="Times New Roman" w:hAnsi="Times New Roman" w:cs="Times New Roman"/>
          <w:b/>
          <w:bCs/>
          <w:lang w:eastAsia="hu-HU"/>
        </w:rPr>
      </w:pPr>
      <w:r w:rsidRPr="00E35DF9">
        <w:rPr>
          <w:rFonts w:ascii="Times New Roman" w:eastAsia="Times New Roman" w:hAnsi="Times New Roman" w:cs="Times New Roman"/>
          <w:b/>
          <w:bCs/>
          <w:lang w:eastAsia="hu-HU"/>
        </w:rPr>
        <w:t xml:space="preserve">Egolanza vartojimas su alkoholiu </w:t>
      </w:r>
    </w:p>
    <w:p w14:paraId="0C57CBE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alkoholio vartoti negalima, kadangi kartu vartojamas Egolanza ir alkoholis gali sukelti mieguistumą.</w:t>
      </w:r>
    </w:p>
    <w:p w14:paraId="1F37564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8F4F1E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Nėštumas, žindymo laikotarpis ir vaisingumas</w:t>
      </w:r>
    </w:p>
    <w:p w14:paraId="57F1E3A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esate nėščia</w:t>
      </w:r>
      <w:r w:rsidRPr="00E35DF9">
        <w:rPr>
          <w:rFonts w:ascii="Times New Roman" w:eastAsia="Times New Roman" w:hAnsi="Times New Roman" w:cs="Times New Roman"/>
          <w:lang w:eastAsia="hu-HU"/>
        </w:rPr>
        <w:t>, žindote kūdikį, manote, kad galbūt esate nėščia, arba planuojate pastoti, tai prieš vartodama šį vaistą, pasitarkite su gydytoju.</w:t>
      </w:r>
      <w:r w:rsidRPr="00E35DF9">
        <w:rPr>
          <w:rFonts w:ascii="Times New Roman" w:eastAsia="Calibri" w:hAnsi="Times New Roman" w:cs="Times New Roman"/>
        </w:rPr>
        <w:t xml:space="preserve"> Jei žindote kūdikį, šio vaisto vartoti negalima, nes mažas Egolanza kiekis gali patekti į motinos pieną.</w:t>
      </w:r>
    </w:p>
    <w:p w14:paraId="75B7F76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D9B13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Naujagimiams, kurių motinos vartojo Egolanza paskutinįjį nėštumo trimestrą (paskutiniuosius 3 nėštumo mėnesius), gali būti šių toliau išvardytų simptomų: drebėjimas, raumenų sustingimas ir (arba) silpnumas, mieguistumas, sujaudinimas, kvėpavimo sutrikimas ir apsunkintas žindymas. Jeigu Jūsų kūdikiui atsirastų bet kuris iš šių simptomų, Jums gali reikėti kreiptis į gydytoją.</w:t>
      </w:r>
    </w:p>
    <w:p w14:paraId="3157EE9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56A11D8" w14:textId="77777777" w:rsidR="00E35DF9" w:rsidRPr="00E35DF9"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Vairavimas ir mechanizmų valdymas</w:t>
      </w:r>
    </w:p>
    <w:p w14:paraId="213B5B4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tabletes, galite būti apsnūdę. Jeigu toks poveikis atsirastų, nevairuokite, nevaldykite įrangos ar mechanizmų. Praneškite apie tai gydytojui.</w:t>
      </w:r>
    </w:p>
    <w:p w14:paraId="7D292AB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F57FD8E" w14:textId="77777777" w:rsidR="00E35DF9" w:rsidRPr="00E35DF9"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sudėtyje yra laktozės.</w:t>
      </w:r>
    </w:p>
    <w:p w14:paraId="5DA6F3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gydytojas Jums yra sakęs, kad netoleruojate kokių nors angliavandenių, kreipkitės į jį prieš pradėdami vartoti šį vaistą.</w:t>
      </w:r>
    </w:p>
    <w:p w14:paraId="68C6F19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330279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96AD877" w14:textId="77777777" w:rsidR="00E35DF9" w:rsidRPr="00E35DF9"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Kaip vartoti Egolanza</w:t>
      </w:r>
    </w:p>
    <w:p w14:paraId="72FF318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31D1D1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Visada vartokite ši vaistą tiksliai, kaip nurodė gydytojas. Jeigu abejojate, kreipkitės į gydytoją arba vaistininką.</w:t>
      </w:r>
    </w:p>
    <w:p w14:paraId="4EF26CD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546AB1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 Egolanza tablečių ir kiek laiko jas vartoti, pasakys gydytojas. Egolanza paros dozė yra 5–20 mg. Jeigu ligos simptomai atsinaujintų, kreipkitės į gydytoją, tačiau Egolanza vartojimo nenutraukite, nebent tai padaryti lieptų gydytojas.</w:t>
      </w:r>
    </w:p>
    <w:p w14:paraId="431E0D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3058FF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reikia vartoti vieną kartą per parą taip, kaip nurodė gydytojas. Pasistenkite tabletes kiekvieną dieną vartoti tokiu pačiu laiku, ir nesvarbu, ar Jūs vartosite jas valgio metu ar nevalgę.</w:t>
      </w:r>
    </w:p>
    <w:p w14:paraId="37713D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vartojamas per burną. Reikia nuryti visą Egolanza tabletę, užgeriant vandeniu.</w:t>
      </w:r>
    </w:p>
    <w:p w14:paraId="0E4C070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tabletę galima padalyti į dvi lygias dozes.</w:t>
      </w:r>
    </w:p>
    <w:p w14:paraId="15B592A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1C6AE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Vartojimas vaikams ir paaugliams</w:t>
      </w:r>
    </w:p>
    <w:p w14:paraId="6E2B2FE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nėra skirtas jaunesniems kaip 18 metų pacientams.</w:t>
      </w:r>
    </w:p>
    <w:p w14:paraId="09D897B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54029C1" w14:textId="77777777" w:rsidR="00E35DF9" w:rsidRPr="00E35DF9"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Ką daryti pavartojus per didelę Egolanza dozę?</w:t>
      </w:r>
    </w:p>
    <w:p w14:paraId="198EC3C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Pacientams pavartojus daugiau Egolanza, negu reikia, atsiranda tokių simptomų: dažnas širdies plakimas, susijaudinimas arba agresyvumas, kalbos sutrikimas, neįprasti judesiai (ypač veido ar liežuvio) bei sąmonės pritemimas. Galimi ir kitokie simptomai: ūmus minčių susipainiojimas, traukuliai (epilepsija), koma, simptomų – karščiavimo, kvėpavimo pagreitėjimo, prakaitavimo, raumenų stingulio ir apsnūdimo arba mieguistumo derinys, kvėpavimo sulėtėjimas, skrandžio turinio patekimas į kvėpavimo takus, didelis arba mažas kraujospūdis, nenormalus širdies ritmas. </w:t>
      </w:r>
      <w:r w:rsidRPr="00E35DF9">
        <w:rPr>
          <w:rFonts w:ascii="Times New Roman" w:eastAsia="Times New Roman" w:hAnsi="Times New Roman" w:cs="Times New Roman"/>
          <w:lang w:eastAsia="hu-HU"/>
        </w:rPr>
        <w:t>Jeigu pasireiškė prieš tai nurodyti simptomai</w:t>
      </w:r>
      <w:r w:rsidRPr="00E35DF9">
        <w:rPr>
          <w:rFonts w:ascii="Times New Roman" w:eastAsia="Calibri" w:hAnsi="Times New Roman" w:cs="Times New Roman"/>
        </w:rPr>
        <w:t xml:space="preserve">, tuoj pat kreipkitės į gydytoją ar artimiausią ligoninę. Gydytojui parodykite tablečių pakuotę. </w:t>
      </w:r>
    </w:p>
    <w:p w14:paraId="14F8998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025D444" w14:textId="77777777" w:rsidR="00E35DF9" w:rsidRPr="00E35DF9"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Pamiršus pavartoti Egolanza</w:t>
      </w:r>
    </w:p>
    <w:p w14:paraId="664CE57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Tabletę išgerkite tuoj pat, kai prisiminsite. Negalima vartoti dvigubos dozės norint kompensuoti praleistą tabletę.</w:t>
      </w:r>
    </w:p>
    <w:p w14:paraId="2F0C830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E0BEAEE" w14:textId="77777777" w:rsidR="00E35DF9" w:rsidRPr="00E35DF9"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Nustojus vartoti Egolanza</w:t>
      </w:r>
    </w:p>
    <w:p w14:paraId="7A406D3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Nenustokite vartoti tablečių tik dėl to, kad jaučiatės geriau. Svarbu, kad vartotumėte Egolanza tiek laiko, kiek nurodo gydytojas.</w:t>
      </w:r>
    </w:p>
    <w:p w14:paraId="14AA14F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BF3470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Staiga nustojus vartoti Egolanza, gali pasireikšti šie simptomai: prakaitavimas, negalėjimas užmigti, drebulys, nerimas ar pykinimas ir vėmimas. Prieš baigiant gydymą, gydytojas gali pasiūlyti dozę mažinti palaipsniui.</w:t>
      </w:r>
    </w:p>
    <w:p w14:paraId="1EF8EF0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EF783D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kiltų daugiau klausimų dėl šio vaisto vartojimo, kreipkitės į gydytoją arba vaistininką.</w:t>
      </w:r>
    </w:p>
    <w:p w14:paraId="088998D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1B9196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50FEE63" w14:textId="77777777" w:rsidR="00E35DF9" w:rsidRPr="00E35DF9"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lastRenderedPageBreak/>
        <w:t>Galimas šalutinis poveikis</w:t>
      </w:r>
    </w:p>
    <w:p w14:paraId="5F393CB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1DBB9E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Šis vaistas, kaip ir visi kiti, gali sukelti šalutinį poveikį, nors jis pasireiškia ne visiems žmonėms. </w:t>
      </w:r>
    </w:p>
    <w:p w14:paraId="5578E42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9D5C6A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Nedelsdami kreipkitės į gydytoją, jeigu pasireiškia:</w:t>
      </w:r>
    </w:p>
    <w:p w14:paraId="39337CCA"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neįprasti dažniausiai veido ar liežuvio judesiai (dažnas šalutinis poveikis, kuris gali pasireikšti ne dažniau kaip 1 iš 10 žmonių);</w:t>
      </w:r>
    </w:p>
    <w:p w14:paraId="07473617"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kraujo krešuliai venose, ypač kojų venose (simptomai yra kojų patinimas, skausmas ir paraudimas), iš kur krešuliai gali kraujagyslėmis nukeliauti į plaučius, sukeldami krūtinės skausmą ir kvėpavimo pasunkėjimą (nedažnas šalutinis poveikis, kuris gali pasireikšti ne dažniau kaip 1 iš 100 žmonių). Jeigu pastebėjote kurį nors iš šių simptomų, nedelsdami kreipkitės į gydytoją;</w:t>
      </w:r>
    </w:p>
    <w:p w14:paraId="51F2C8A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karščiavimo, dažno kvėpavimo, prakaitavimo, raumenų sąstingio ir apsnūdimo ar mieguistumo simptomų derinys (šio šalutinio poveikio dažnio negalima nustatyti pagal turimus duomenis).</w:t>
      </w:r>
    </w:p>
    <w:p w14:paraId="6A078BC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E8A091D" w14:textId="4601CFAA" w:rsidR="00E35DF9" w:rsidRPr="00E35DF9"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Labai dažnas šalutinis poveikis: gali pasireik</w:t>
      </w:r>
      <w:r w:rsidR="00567F77">
        <w:rPr>
          <w:rFonts w:ascii="Times New Roman" w:eastAsia="Times New Roman" w:hAnsi="Times New Roman" w:cs="Times New Roman"/>
          <w:i/>
          <w:iCs/>
          <w:lang w:eastAsia="hu-HU"/>
        </w:rPr>
        <w:t>š</w:t>
      </w:r>
      <w:r w:rsidRPr="00E35DF9">
        <w:rPr>
          <w:rFonts w:ascii="Times New Roman" w:eastAsia="Times New Roman" w:hAnsi="Times New Roman" w:cs="Times New Roman"/>
          <w:i/>
          <w:iCs/>
          <w:lang w:eastAsia="hu-HU"/>
        </w:rPr>
        <w:t>ti dažniau kaip 1 iš 10 žmonių</w:t>
      </w:r>
    </w:p>
    <w:p w14:paraId="508C83BD"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Times New Roman" w:hAnsi="Times New Roman" w:cs="Times New Roman"/>
          <w:lang w:eastAsia="hu-HU"/>
        </w:rPr>
        <w:t>Kūno masės</w:t>
      </w:r>
      <w:r w:rsidRPr="00E35DF9">
        <w:rPr>
          <w:rFonts w:ascii="Times New Roman" w:eastAsia="Calibri" w:hAnsi="Times New Roman" w:cs="Times New Roman"/>
        </w:rPr>
        <w:t xml:space="preserve"> padidėjimas.</w:t>
      </w:r>
    </w:p>
    <w:p w14:paraId="39A6BA3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Mieguistumas.</w:t>
      </w:r>
    </w:p>
    <w:p w14:paraId="4C42673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Prolaktino koncentracijos padidėjimas kraujyje (hormono, kuris stimuliuoja pieno gamybą).</w:t>
      </w:r>
    </w:p>
    <w:p w14:paraId="2A7E41E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Gydymo pradžioje kai kuriems žmonėms gali svaigti galva arba jie gali alpti (suretėjus širdies plakimo dažniui), ypač atsistojus iš gulimos ar sėdimos padėties. Tai paprastai praeina savaime, bet jeigu nepraeina, pasakykite savo gydytojui.</w:t>
      </w:r>
    </w:p>
    <w:p w14:paraId="48B433F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3A1871" w14:textId="4E88853F" w:rsidR="00E35DF9" w:rsidRPr="00E35DF9"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Dažnas šalutinis poveikis: gali pasireik</w:t>
      </w:r>
      <w:r w:rsidR="00567F77">
        <w:rPr>
          <w:rFonts w:ascii="Times New Roman" w:eastAsia="Times New Roman" w:hAnsi="Times New Roman" w:cs="Times New Roman"/>
          <w:i/>
          <w:iCs/>
          <w:lang w:eastAsia="hu-HU"/>
        </w:rPr>
        <w:t>š</w:t>
      </w:r>
      <w:r w:rsidRPr="00E35DF9">
        <w:rPr>
          <w:rFonts w:ascii="Times New Roman" w:eastAsia="Times New Roman" w:hAnsi="Times New Roman" w:cs="Times New Roman"/>
          <w:i/>
          <w:iCs/>
          <w:lang w:eastAsia="hu-HU"/>
        </w:rPr>
        <w:t>ti ne dažniau kaip 1 iš 10 žmonių</w:t>
      </w:r>
    </w:p>
    <w:p w14:paraId="03C88A1C"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Kai kurių kraujo ląstelių ir cirkuliuojančių riebalų koncentracijos kraujyje pokyčiai.</w:t>
      </w:r>
    </w:p>
    <w:p w14:paraId="3F670C98"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Laikinas kepenų fermentų suaktyvėjimas gydymo pradžioje.</w:t>
      </w:r>
    </w:p>
    <w:p w14:paraId="6F5AF47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Cukraus koncentracijos kraujyje ir šlapime padidėjimas.</w:t>
      </w:r>
    </w:p>
    <w:p w14:paraId="0F6068F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Šlapimo rūgšties koncentracijos padidėjimas ir kreatinfosfokinazės suaktyvėjimas kraujyje.</w:t>
      </w:r>
    </w:p>
    <w:p w14:paraId="00A8BF4E"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Didesnio alkio pojūtis.</w:t>
      </w:r>
    </w:p>
    <w:p w14:paraId="64BFBD72"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Galvos svaigimas.</w:t>
      </w:r>
    </w:p>
    <w:p w14:paraId="2AD39B67"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Nuovargis.</w:t>
      </w:r>
    </w:p>
    <w:p w14:paraId="12FD8D52"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Drebulys.</w:t>
      </w:r>
    </w:p>
    <w:p w14:paraId="24234088"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Vidurių užkietėjimas.</w:t>
      </w:r>
    </w:p>
    <w:p w14:paraId="776F6EA7"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Burnos džiūvimas.</w:t>
      </w:r>
    </w:p>
    <w:p w14:paraId="08F5074A"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Bėrimas.</w:t>
      </w:r>
    </w:p>
    <w:p w14:paraId="3B2556DC"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Silpnumas.</w:t>
      </w:r>
    </w:p>
    <w:p w14:paraId="2281F982"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Didelis nuovargis.</w:t>
      </w:r>
    </w:p>
    <w:p w14:paraId="6F4DC3EB"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Vandens susilaikymas, pasireiškiantis rankų, kulkšnių ar kojų patinimu.</w:t>
      </w:r>
    </w:p>
    <w:p w14:paraId="15620A7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Karščiavimas.</w:t>
      </w:r>
    </w:p>
    <w:p w14:paraId="6D37D62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Sąnarių skausmas.</w:t>
      </w:r>
    </w:p>
    <w:p w14:paraId="1220C54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Seksualinės funkcijos sutrikimai, tokie kaip lytinio potraukio (libido) sumažėjimas vyrams ar moterims, erekcijos sutrikimai vyrams. </w:t>
      </w:r>
    </w:p>
    <w:p w14:paraId="0E3E21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096D429" w14:textId="77777777" w:rsidR="00E35DF9" w:rsidRPr="00E35DF9"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Nedažnas šalutinis poveikis: pasireiškia 1–10 iš 100 žmonių</w:t>
      </w:r>
    </w:p>
    <w:p w14:paraId="3555DB06"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Padidėjęs jautrumas (pvz., burnos ir gerklės patinimas, niežulys, išbėrimas).</w:t>
      </w:r>
    </w:p>
    <w:p w14:paraId="39C03C83"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Diabetas arba diabeto pasunkėjimas, kartais susijęs su ketoacidoze (ketoniniai kūnai kraujyje ir šlapime) arba koma.</w:t>
      </w:r>
    </w:p>
    <w:p w14:paraId="1EDE4FF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Priepuoliai, dažniausiai susiję su buvusiais priepuoliais (epilepsija).</w:t>
      </w:r>
    </w:p>
    <w:p w14:paraId="51AD59FE"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Raumenų sąstingis arba spazmai (įskaitant akių judesius).</w:t>
      </w:r>
    </w:p>
    <w:p w14:paraId="02623AC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Neramių kojų sindromas.</w:t>
      </w:r>
    </w:p>
    <w:p w14:paraId="0D7554B6"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Kalbos sutrikimai.</w:t>
      </w:r>
    </w:p>
    <w:p w14:paraId="693F85FC"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Mikčiojimas.</w:t>
      </w:r>
    </w:p>
    <w:p w14:paraId="45040A69"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Retas širdies ritmas. </w:t>
      </w:r>
    </w:p>
    <w:p w14:paraId="47102D4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Jautrumas saulės šviesai. </w:t>
      </w:r>
    </w:p>
    <w:p w14:paraId="52A582B6"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Kraujavimas iš nosies.</w:t>
      </w:r>
    </w:p>
    <w:p w14:paraId="3294675F" w14:textId="6398C520" w:rsid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Pilvo išsipūtimas.</w:t>
      </w:r>
    </w:p>
    <w:p w14:paraId="76CF4CDD" w14:textId="666CAF94" w:rsidR="00567F77" w:rsidRPr="00E35DF9" w:rsidRDefault="00AB5F5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Pr>
          <w:rFonts w:ascii="Times New Roman" w:eastAsia="Times New Roman" w:hAnsi="Times New Roman" w:cs="Times New Roman"/>
          <w:lang w:eastAsia="hu-HU"/>
        </w:rPr>
        <w:t>Didelis s</w:t>
      </w:r>
      <w:r w:rsidR="00567F77">
        <w:rPr>
          <w:rFonts w:ascii="Times New Roman" w:eastAsia="Times New Roman" w:hAnsi="Times New Roman" w:cs="Times New Roman"/>
          <w:lang w:eastAsia="hu-HU"/>
        </w:rPr>
        <w:t>eilėtekis.</w:t>
      </w:r>
    </w:p>
    <w:p w14:paraId="024E6688"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lastRenderedPageBreak/>
        <w:t>Atminties netekimas arba užmaršumas.</w:t>
      </w:r>
    </w:p>
    <w:p w14:paraId="14C019AB"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Šlapimo nelaikymas.</w:t>
      </w:r>
    </w:p>
    <w:p w14:paraId="28A579A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Nesugebėjimas šlapintis.</w:t>
      </w:r>
    </w:p>
    <w:p w14:paraId="6F3A00C5"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Plaukų slinkimas.</w:t>
      </w:r>
    </w:p>
    <w:p w14:paraId="1F3C696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Mėnesinių išnykimas ar sumažėjimas.</w:t>
      </w:r>
    </w:p>
    <w:p w14:paraId="6BA33940"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Krūtų sutrikimai vyrams ir moterims, tokie kaip neįprastas pieno išsiskyrimas ar neįprastas krūtų augimas.</w:t>
      </w:r>
    </w:p>
    <w:p w14:paraId="6FD840F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64203C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Times New Roman" w:hAnsi="Times New Roman" w:cs="Times New Roman"/>
          <w:i/>
          <w:lang w:eastAsia="hu-HU"/>
        </w:rPr>
        <w:t>Retas</w:t>
      </w:r>
      <w:r w:rsidRPr="00E35DF9">
        <w:rPr>
          <w:rFonts w:ascii="Times New Roman" w:eastAsia="Calibri" w:hAnsi="Times New Roman" w:cs="Times New Roman"/>
          <w:i/>
        </w:rPr>
        <w:t xml:space="preserve"> šalutinis poveikis</w:t>
      </w:r>
      <w:r w:rsidRPr="00E35DF9">
        <w:rPr>
          <w:rFonts w:ascii="Times New Roman" w:eastAsia="Times New Roman" w:hAnsi="Times New Roman" w:cs="Times New Roman"/>
          <w:i/>
          <w:lang w:eastAsia="hu-HU"/>
        </w:rPr>
        <w:t>: pasireiškia ne dažniau kaip 1 iš 1000 žmonių</w:t>
      </w:r>
    </w:p>
    <w:p w14:paraId="3D96AE7F"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Neįprastas kūno temperatūros sumažėjimas.</w:t>
      </w:r>
    </w:p>
    <w:p w14:paraId="58B11E7E"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Neįprastas širdies ritmas.</w:t>
      </w:r>
    </w:p>
    <w:p w14:paraId="1DEBB83E"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Staigi nepaaiškinama mirtis.</w:t>
      </w:r>
    </w:p>
    <w:p w14:paraId="7707EEA6"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Kasos uždegimas, sukeliantis stiprų skrandžio skausmą, karščiavimą ir pykinimą.</w:t>
      </w:r>
    </w:p>
    <w:p w14:paraId="065B4521"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Kepenų liga, pasireiškianti odos ir baltųjų akies sričių pageltimu.</w:t>
      </w:r>
    </w:p>
    <w:p w14:paraId="7677A8F9"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Raumenų liga, pasireiškianti nepaaiškinamu gėlimu ir skausmais.</w:t>
      </w:r>
    </w:p>
    <w:p w14:paraId="679A5C2E"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Užsitęsusi ir</w:t>
      </w:r>
      <w:r w:rsidRPr="00E35DF9">
        <w:rPr>
          <w:rFonts w:ascii="Times New Roman" w:eastAsia="Times New Roman" w:hAnsi="Times New Roman" w:cs="Times New Roman"/>
          <w:lang w:eastAsia="hu-HU"/>
        </w:rPr>
        <w:t xml:space="preserve"> </w:t>
      </w:r>
      <w:r w:rsidRPr="00E35DF9">
        <w:rPr>
          <w:rFonts w:ascii="Times New Roman" w:eastAsia="Calibri" w:hAnsi="Times New Roman" w:cs="Times New Roman"/>
        </w:rPr>
        <w:t>(ar) skausminga erekcija.</w:t>
      </w:r>
    </w:p>
    <w:p w14:paraId="27CF37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3831F2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vyresnio amžiaus (virš 65 metų), sergantiems demencija, gali pasireikšti insultas, plaučių uždegimas, šlapimo nelaikymas, griuvimai, didžiulis nuovargis, vizualinės haliucinacijos, kūno temperatūros padidėjimas, odos paraudimas, vaikščiojimo sutrikimai. Buvo pranešta ir apie kelis tam tikros grupės pacientų mirties atvejus.</w:t>
      </w:r>
    </w:p>
    <w:p w14:paraId="684F8C3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EC2DA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Pacientams, sergantiems Parkinsono liga, Egolanza gali pabloginti ligos simptomus.</w:t>
      </w:r>
    </w:p>
    <w:p w14:paraId="24421CC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757CDD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Labai retas šalutinis poveikis, apimantis sunkias padidėjusio jautrumo reakcijas, pvz., reakciją į vaistą kartu su eozinofilija ir sisteminiais simptomais (</w:t>
      </w:r>
      <w:r w:rsidRPr="00E35DF9">
        <w:rPr>
          <w:rFonts w:ascii="Times New Roman" w:eastAsia="Calibri" w:hAnsi="Times New Roman" w:cs="Times New Roman"/>
          <w:i/>
        </w:rPr>
        <w:t>DRESS).</w:t>
      </w:r>
      <w:r w:rsidRPr="00E35DF9">
        <w:rPr>
          <w:rFonts w:ascii="Times New Roman" w:eastAsia="Calibri" w:hAnsi="Times New Roman" w:cs="Times New Roman"/>
        </w:rPr>
        <w:t xml:space="preserve"> </w:t>
      </w:r>
      <w:r w:rsidRPr="00E35DF9">
        <w:rPr>
          <w:rFonts w:ascii="Times New Roman" w:eastAsia="Calibri" w:hAnsi="Times New Roman" w:cs="Times New Roman"/>
          <w:i/>
        </w:rPr>
        <w:t>DRESS</w:t>
      </w:r>
      <w:r w:rsidRPr="00E35DF9">
        <w:rPr>
          <w:rFonts w:ascii="Times New Roman" w:eastAsia="Calibri" w:hAnsi="Times New Roman" w:cs="Times New Roman"/>
        </w:rPr>
        <w:t xml:space="preserve"> iš pradžių pasireiškia veido išbėrimu, po to atsiranda išplitęs išbėrimas, karščiavimas, limfmazgių padidėjimas, kraujo tyrimais nustatomas kepenų fermentų aktyvumo padidėjimas bei tam tikrų baltųjų kraujo ląstelių kiekio padidėjimas (eozinofilija).</w:t>
      </w:r>
    </w:p>
    <w:p w14:paraId="1E7FD9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9D9A90E" w14:textId="77777777" w:rsidR="00E35DF9" w:rsidRPr="00E35DF9"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Pranešimas apie šalutinį poveikį</w:t>
      </w:r>
    </w:p>
    <w:p w14:paraId="1E374D2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E35DF9">
          <w:rPr>
            <w:rFonts w:ascii="Times New Roman" w:eastAsia="Calibri" w:hAnsi="Times New Roman" w:cs="Times New Roman"/>
            <w:color w:val="0000FF"/>
            <w:u w:val="single"/>
          </w:rPr>
          <w:t>www.vvkt.lt</w:t>
        </w:r>
      </w:hyperlink>
      <w:r w:rsidRPr="00E35DF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E35DF9">
          <w:rPr>
            <w:rFonts w:ascii="Times New Roman" w:eastAsia="Calibri" w:hAnsi="Times New Roman" w:cs="Times New Roman"/>
            <w:color w:val="0000FF"/>
            <w:u w:val="single"/>
          </w:rPr>
          <w:t>NepageidaujamaR@vvkt.lt</w:t>
        </w:r>
      </w:hyperlink>
      <w:r w:rsidRPr="00E35DF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5" w:history="1">
        <w:r w:rsidRPr="00E35DF9">
          <w:rPr>
            <w:rFonts w:ascii="Times New Roman" w:eastAsia="Calibri" w:hAnsi="Times New Roman" w:cs="Times New Roman"/>
            <w:color w:val="0000FF"/>
            <w:u w:val="single"/>
          </w:rPr>
          <w:t>http://www.vvkt.lt</w:t>
        </w:r>
      </w:hyperlink>
      <w:r w:rsidRPr="00E35DF9">
        <w:rPr>
          <w:rFonts w:ascii="Times New Roman" w:eastAsia="Calibri" w:hAnsi="Times New Roman" w:cs="Times New Roman"/>
        </w:rPr>
        <w:t>). Pranešdami apie šalutinį poveikį galite mums padėti gauti daugiau informacijos apie šio vaisto saugumą.</w:t>
      </w:r>
    </w:p>
    <w:p w14:paraId="4A9703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E69FE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35CFE07"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Kaip laikyti Egolanza</w:t>
      </w:r>
    </w:p>
    <w:p w14:paraId="018A4D0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1BAC4E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Šiam vaistiniam preparatui specialių laikymo sąlygų nereikia.</w:t>
      </w:r>
    </w:p>
    <w:p w14:paraId="6520182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B4B4D6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Šį vaistą laikykite vaikams nepastebimoje ir nepasiekiamoje vietoje.</w:t>
      </w:r>
    </w:p>
    <w:p w14:paraId="32E601B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CDC053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Ant kartono dėžutės po „EXP” nurodytam tinkamumo laikui pasibaigus, šio vaisto vartoti negalima. Vaistas tinkamas vartoti iki paskutinės nurodyto mėnesio dienos. </w:t>
      </w:r>
    </w:p>
    <w:p w14:paraId="5FC123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Pastebėjus matomų gedimo požymių (pvz., spalvos pakitimų), šio vaisto vartoti negalima. </w:t>
      </w:r>
    </w:p>
    <w:p w14:paraId="0F758CF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BAD705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7BC861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66FEB5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EA3D55A" w14:textId="77777777" w:rsidR="00E35DF9" w:rsidRPr="00E35DF9"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lastRenderedPageBreak/>
        <w:t>6.</w:t>
      </w:r>
      <w:r w:rsidRPr="00E35DF9">
        <w:rPr>
          <w:rFonts w:ascii="Times New Roman" w:eastAsia="Calibri" w:hAnsi="Times New Roman" w:cs="Times New Roman"/>
          <w:b/>
        </w:rPr>
        <w:tab/>
        <w:t>Pakuotės turinys ir kita informacija</w:t>
      </w:r>
    </w:p>
    <w:p w14:paraId="0E3C9D6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p w14:paraId="466EA1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 xml:space="preserve">Egolanza sudėtis </w:t>
      </w:r>
    </w:p>
    <w:p w14:paraId="1D39709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FA18283"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Veiklioji medžiaga yra olanzapinas. Kiekvienoje Egolanza tabletėje yra 5 mg, 7,5 mg, 10 mg, 15 mg ar 20 mg veikliosios medžiagos. Tikslus kiekis yra nurodytas ant Egolanza tablečių pakuotės. </w:t>
      </w:r>
    </w:p>
    <w:p w14:paraId="3218A8C4" w14:textId="77777777" w:rsidR="00E35DF9" w:rsidRPr="00E35DF9"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Pagalbinės medžiagos:</w:t>
      </w:r>
    </w:p>
    <w:p w14:paraId="770F447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FC34E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22AFC47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(40,98 mg), hidroksipropilceliuliozė, krospovidonas, magnio stearatas.</w:t>
      </w:r>
    </w:p>
    <w:p w14:paraId="4C1182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56BA88A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D1945E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14:paraId="5D9AD9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(61,47 mg), hidroksipropilceliuliozė, krospovidonas, magnio stearatas.</w:t>
      </w:r>
    </w:p>
    <w:p w14:paraId="1893FAC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00083F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7675CE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14:paraId="336467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(81,97 mg), hidroksipropilceliuliozė, krospovidonas, magnio stearatas.</w:t>
      </w:r>
    </w:p>
    <w:p w14:paraId="2DE8852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4C49C23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4ACEB5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38CDFC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(122,95 mg), hidroksipropilceliuliozė, krospovidonas, magnio stearatas.</w:t>
      </w:r>
    </w:p>
    <w:p w14:paraId="5159601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6CC8870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3F02F1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104B7DC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(163,94 mg), hidroksipropilceliuliozė, krospovidonas, magnio stearatas.</w:t>
      </w:r>
    </w:p>
    <w:p w14:paraId="3B249E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14:paraId="06D0F88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9DAFA4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išvaizda ir kiekis pakuotėje</w:t>
      </w:r>
    </w:p>
    <w:p w14:paraId="00C1631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602702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Išvaizda:</w:t>
      </w:r>
    </w:p>
    <w:p w14:paraId="7694332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E7B0EA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14:paraId="41ED4C9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Geltona, pailga, abipus išgaubta plėvele dengta tabletė, kurios vienoje pusėje yra vagelė, o kitoje – įspausta stilizuota raidė „E” ir skaitmuo „402”. </w:t>
      </w:r>
    </w:p>
    <w:p w14:paraId="479F503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Tabletę galima padalyti į lygias dozes.</w:t>
      </w:r>
    </w:p>
    <w:p w14:paraId="45D4F2E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578104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14:paraId="3A14D3F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„403”.</w:t>
      </w:r>
    </w:p>
    <w:p w14:paraId="4C13E38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20D5C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14:paraId="45A7867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„404”.</w:t>
      </w:r>
    </w:p>
    <w:p w14:paraId="46DE9EB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657B5B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14:paraId="4882423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Geltona, apvali, abipus išgaubta plėvele dengta tabletė, kurios vienoje pusėje įspausta stilizuota raidė „E” ir skaitmuo „405”.</w:t>
      </w:r>
    </w:p>
    <w:p w14:paraId="48338E9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CF17FA1"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14:paraId="57BA48B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„406”.</w:t>
      </w:r>
    </w:p>
    <w:p w14:paraId="2084467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0D8FD64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Pakuotės dydžiai:</w:t>
      </w:r>
    </w:p>
    <w:p w14:paraId="621BA76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plėvele dengtos tabletės</w:t>
      </w:r>
    </w:p>
    <w:p w14:paraId="59F2C75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14:paraId="51D5CD5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23344B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7,5 mg plėvele dengtos tabletės</w:t>
      </w:r>
    </w:p>
    <w:p w14:paraId="53DF1C1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14:paraId="31452D0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5DDC98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10 mg plėvele dengtos tabletės</w:t>
      </w:r>
    </w:p>
    <w:p w14:paraId="6889F5C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14:paraId="0FA7693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247BBE6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15 mg plėvele dengtos tabletės</w:t>
      </w:r>
    </w:p>
    <w:p w14:paraId="3A44D02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14:paraId="7CF18A3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594FF5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20 mg plėvele dengtos tabletės</w:t>
      </w:r>
    </w:p>
    <w:p w14:paraId="6B8F34B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14:paraId="6FE6741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701BE1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Gali būti tiekiamos ne visų dydžių pakuotės.</w:t>
      </w:r>
    </w:p>
    <w:p w14:paraId="18E5BFA3"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0F596D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Registruotojas ir gamintojas</w:t>
      </w:r>
    </w:p>
    <w:p w14:paraId="28A9CDD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54B83D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Registruotojas</w:t>
      </w:r>
    </w:p>
    <w:p w14:paraId="0D0E49F8"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14:paraId="783867A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H-1106 Budapest, Keresztúri út 30-38</w:t>
      </w:r>
    </w:p>
    <w:p w14:paraId="26EDC3E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14:paraId="0A81DC3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2EA45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Gamintojas</w:t>
      </w:r>
    </w:p>
    <w:p w14:paraId="608B8EC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14:paraId="64F0D436"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H-1165 Budapest, Bökényföldi út 118-120</w:t>
      </w:r>
    </w:p>
    <w:p w14:paraId="060A01C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14:paraId="48F1C5F7"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7E447CCD"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apie šį vaistą norite sužinoti daugiau, kreipkitės į vietinį registruotojo atstovą.</w:t>
      </w:r>
    </w:p>
    <w:p w14:paraId="2474D02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3061BEB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 atstovybė</w:t>
      </w:r>
    </w:p>
    <w:p w14:paraId="30DEFAF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Latvių g. 11-2</w:t>
      </w:r>
    </w:p>
    <w:p w14:paraId="754F2A00"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LT-08123 Vilnius</w:t>
      </w:r>
    </w:p>
    <w:p w14:paraId="790B326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Tel. +370 5 231 4658</w:t>
      </w:r>
    </w:p>
    <w:p w14:paraId="3D9911D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b/>
        </w:rPr>
      </w:pPr>
    </w:p>
    <w:p w14:paraId="344EA4D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b/>
          <w:snapToGrid w:val="0"/>
          <w:szCs w:val="20"/>
        </w:rPr>
        <w:t>Šis vaistas EEE valstybėse narėse registruotas tokiais pavadinimais</w:t>
      </w:r>
      <w:r w:rsidRPr="00E35DF9">
        <w:rPr>
          <w:rFonts w:ascii="Times New Roman" w:eastAsia="Times New Roman" w:hAnsi="Times New Roman" w:cs="Times New Roman"/>
          <w:snapToGrid w:val="0"/>
          <w:szCs w:val="20"/>
        </w:rPr>
        <w:t>:</w:t>
      </w:r>
    </w:p>
    <w:tbl>
      <w:tblPr>
        <w:tblW w:w="0" w:type="auto"/>
        <w:tblLook w:val="04A0" w:firstRow="1" w:lastRow="0" w:firstColumn="1" w:lastColumn="0" w:noHBand="0" w:noVBand="1"/>
      </w:tblPr>
      <w:tblGrid>
        <w:gridCol w:w="1526"/>
        <w:gridCol w:w="7087"/>
      </w:tblGrid>
      <w:tr w:rsidR="00E35DF9" w:rsidRPr="00E35DF9" w14:paraId="3BC19A17" w14:textId="77777777" w:rsidTr="00D82B31">
        <w:tc>
          <w:tcPr>
            <w:tcW w:w="1526" w:type="dxa"/>
          </w:tcPr>
          <w:p w14:paraId="4816EBB4"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Bulgarija</w:t>
            </w:r>
          </w:p>
        </w:tc>
        <w:tc>
          <w:tcPr>
            <w:tcW w:w="7087" w:type="dxa"/>
          </w:tcPr>
          <w:p w14:paraId="325D2E2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филмирани таблетки</w:t>
            </w:r>
          </w:p>
        </w:tc>
      </w:tr>
      <w:tr w:rsidR="00E35DF9" w:rsidRPr="00E35DF9" w14:paraId="44929FF1" w14:textId="77777777" w:rsidTr="00D82B31">
        <w:tc>
          <w:tcPr>
            <w:tcW w:w="1526" w:type="dxa"/>
          </w:tcPr>
          <w:p w14:paraId="0D41361B"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Čekija</w:t>
            </w:r>
          </w:p>
        </w:tc>
        <w:tc>
          <w:tcPr>
            <w:tcW w:w="7087" w:type="dxa"/>
          </w:tcPr>
          <w:p w14:paraId="19C563C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lang w:val="hu-HU"/>
              </w:rPr>
            </w:pPr>
            <w:r w:rsidRPr="00E35DF9">
              <w:rPr>
                <w:rFonts w:ascii="Times New Roman" w:eastAsia="Calibri" w:hAnsi="Times New Roman" w:cs="Times New Roman"/>
              </w:rPr>
              <w:t xml:space="preserve">Egolanza </w:t>
            </w:r>
            <w:r w:rsidRPr="00E35DF9">
              <w:rPr>
                <w:rFonts w:ascii="Times New Roman" w:eastAsia="Calibri" w:hAnsi="Times New Roman" w:cs="Times New Roman"/>
                <w:lang w:val="hu-HU"/>
              </w:rPr>
              <w:t xml:space="preserve">5 mg, 7,5 mg, 10 mg, 15 mg, 20 mg </w:t>
            </w:r>
          </w:p>
        </w:tc>
      </w:tr>
      <w:tr w:rsidR="00E35DF9" w:rsidRPr="00E35DF9" w14:paraId="79470765" w14:textId="77777777" w:rsidTr="00D82B31">
        <w:tc>
          <w:tcPr>
            <w:tcW w:w="1526" w:type="dxa"/>
          </w:tcPr>
          <w:p w14:paraId="480EACA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tc>
        <w:tc>
          <w:tcPr>
            <w:tcW w:w="7087" w:type="dxa"/>
          </w:tcPr>
          <w:p w14:paraId="760357AA"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lang w:val="en-US"/>
              </w:rPr>
            </w:pPr>
            <w:r w:rsidRPr="00E35DF9">
              <w:rPr>
                <w:rFonts w:ascii="Times New Roman" w:eastAsia="Calibri" w:hAnsi="Times New Roman" w:cs="Times New Roman"/>
              </w:rPr>
              <w:t xml:space="preserve">Egolanza </w:t>
            </w:r>
            <w:r w:rsidRPr="00E35DF9">
              <w:rPr>
                <w:rFonts w:ascii="Times New Roman" w:eastAsia="Calibri" w:hAnsi="Times New Roman" w:cs="Times New Roman"/>
                <w:lang w:val="en-US"/>
              </w:rPr>
              <w:t xml:space="preserve">5 mg, 7,5 mg, 10 mg, 15 mg, 20 mg </w:t>
            </w:r>
            <w:r w:rsidRPr="00E35DF9">
              <w:rPr>
                <w:rFonts w:ascii="Times New Roman" w:eastAsia="Calibri" w:hAnsi="Times New Roman" w:cs="Times New Roman"/>
                <w:lang w:val="pl-PL"/>
              </w:rPr>
              <w:t>filmtabletta</w:t>
            </w:r>
          </w:p>
        </w:tc>
      </w:tr>
      <w:tr w:rsidR="00E35DF9" w:rsidRPr="00E35DF9" w14:paraId="134DD35C" w14:textId="77777777" w:rsidTr="00D82B31">
        <w:tc>
          <w:tcPr>
            <w:tcW w:w="1526" w:type="dxa"/>
          </w:tcPr>
          <w:p w14:paraId="34F3AA9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Latvija</w:t>
            </w:r>
          </w:p>
        </w:tc>
        <w:tc>
          <w:tcPr>
            <w:tcW w:w="7087" w:type="dxa"/>
          </w:tcPr>
          <w:p w14:paraId="02E481A2"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apvalkotās tabletes</w:t>
            </w:r>
          </w:p>
        </w:tc>
      </w:tr>
      <w:tr w:rsidR="00E35DF9" w:rsidRPr="00E35DF9" w14:paraId="45CDEDCB" w14:textId="77777777" w:rsidTr="00D82B31">
        <w:tc>
          <w:tcPr>
            <w:tcW w:w="1526" w:type="dxa"/>
          </w:tcPr>
          <w:p w14:paraId="2BB22A0C"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Lietuva</w:t>
            </w:r>
          </w:p>
        </w:tc>
        <w:tc>
          <w:tcPr>
            <w:tcW w:w="7087" w:type="dxa"/>
          </w:tcPr>
          <w:p w14:paraId="6D03CC9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plėvele dengtos tabletės</w:t>
            </w:r>
          </w:p>
        </w:tc>
      </w:tr>
      <w:tr w:rsidR="00E35DF9" w:rsidRPr="00E35DF9" w14:paraId="7028A153" w14:textId="77777777" w:rsidTr="00D82B31">
        <w:tc>
          <w:tcPr>
            <w:tcW w:w="1526" w:type="dxa"/>
          </w:tcPr>
          <w:p w14:paraId="08284C4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Lenkija</w:t>
            </w:r>
          </w:p>
        </w:tc>
        <w:tc>
          <w:tcPr>
            <w:tcW w:w="7087" w:type="dxa"/>
          </w:tcPr>
          <w:p w14:paraId="0D0411B9"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w:t>
            </w:r>
          </w:p>
        </w:tc>
      </w:tr>
      <w:tr w:rsidR="00E35DF9" w:rsidRPr="00E35DF9" w14:paraId="6EADE8B3" w14:textId="77777777" w:rsidTr="00D82B31">
        <w:tc>
          <w:tcPr>
            <w:tcW w:w="1526" w:type="dxa"/>
          </w:tcPr>
          <w:p w14:paraId="61C1D30E"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Rumunija</w:t>
            </w:r>
          </w:p>
        </w:tc>
        <w:tc>
          <w:tcPr>
            <w:tcW w:w="7087" w:type="dxa"/>
          </w:tcPr>
          <w:p w14:paraId="63CA9B1F"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comprimate filmate</w:t>
            </w:r>
          </w:p>
        </w:tc>
      </w:tr>
    </w:tbl>
    <w:p w14:paraId="20C4FF3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407F688C" w14:textId="0F47344E" w:rsidR="00E35DF9" w:rsidRPr="00E35DF9" w:rsidRDefault="00E35DF9" w:rsidP="00E35DF9">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b/>
        </w:rPr>
        <w:t>Šis pakuotės lapelis paskutinį kartą peržiūrėtas</w:t>
      </w:r>
      <w:r w:rsidR="006114FF">
        <w:rPr>
          <w:rFonts w:ascii="Times New Roman" w:eastAsia="Calibri" w:hAnsi="Times New Roman" w:cs="Times New Roman"/>
          <w:b/>
        </w:rPr>
        <w:t xml:space="preserve"> 2020-06-23</w:t>
      </w:r>
      <w:r w:rsidRPr="00E35DF9">
        <w:rPr>
          <w:rFonts w:ascii="Times New Roman" w:eastAsia="Calibri" w:hAnsi="Times New Roman" w:cs="Times New Roman"/>
          <w:b/>
        </w:rPr>
        <w:t>.</w:t>
      </w:r>
    </w:p>
    <w:p w14:paraId="72DAA9F5" w14:textId="77777777" w:rsidR="00E35DF9" w:rsidRPr="00E35DF9" w:rsidRDefault="00E35DF9" w:rsidP="00E35DF9">
      <w:pPr>
        <w:autoSpaceDE w:val="0"/>
        <w:autoSpaceDN w:val="0"/>
        <w:adjustRightInd w:val="0"/>
        <w:spacing w:after="0" w:line="240" w:lineRule="auto"/>
        <w:rPr>
          <w:rFonts w:ascii="Times New Roman" w:eastAsia="Calibri" w:hAnsi="Times New Roman" w:cs="Times New Roman"/>
        </w:rPr>
      </w:pPr>
    </w:p>
    <w:p w14:paraId="1065F324" w14:textId="67392F1E" w:rsidR="00867275" w:rsidRDefault="00E35DF9" w:rsidP="006114FF">
      <w:pPr>
        <w:autoSpaceDE w:val="0"/>
        <w:autoSpaceDN w:val="0"/>
        <w:adjustRightInd w:val="0"/>
        <w:spacing w:after="0" w:line="240" w:lineRule="auto"/>
      </w:pPr>
      <w:r w:rsidRPr="00E35DF9">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35DF9">
        <w:rPr>
          <w:rFonts w:ascii="Times New Roman" w:eastAsia="Calibri" w:hAnsi="Times New Roman" w:cs="Times New Roman"/>
          <w:i/>
        </w:rPr>
        <w:t xml:space="preserve"> </w:t>
      </w:r>
      <w:hyperlink r:id="rId16" w:history="1">
        <w:r w:rsidRPr="00E35DF9">
          <w:rPr>
            <w:rFonts w:ascii="Times New Roman" w:eastAsia="Calibri" w:hAnsi="Times New Roman" w:cs="Times New Roman"/>
            <w:color w:val="0000FF"/>
            <w:u w:val="single"/>
          </w:rPr>
          <w:t>http://www.vvkt.lt</w:t>
        </w:r>
      </w:hyperlink>
      <w:r w:rsidRPr="00E35DF9">
        <w:rPr>
          <w:rFonts w:ascii="Times New Roman" w:eastAsia="Calibri" w:hAnsi="Times New Roman" w:cs="Times New Roman"/>
          <w:color w:val="0000FF"/>
          <w:u w:val="single"/>
        </w:rPr>
        <w:t xml:space="preserve"> </w:t>
      </w:r>
      <w:r w:rsidR="004C5416">
        <w:rPr>
          <w:rFonts w:ascii="Times New Roman" w:eastAsia="Calibri" w:hAnsi="Times New Roman" w:cs="Times New Roman"/>
          <w:color w:val="0000FF"/>
          <w:u w:val="single"/>
        </w:rPr>
        <w:t xml:space="preserve">       </w:t>
      </w:r>
      <w:bookmarkStart w:id="14" w:name="_GoBack"/>
      <w:bookmarkEnd w:id="14"/>
    </w:p>
    <w:sectPr w:rsidR="00867275" w:rsidSect="00D82B31">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232F" w14:textId="77777777" w:rsidR="00C31FFF" w:rsidRDefault="00C31FFF">
      <w:pPr>
        <w:spacing w:after="0" w:line="240" w:lineRule="auto"/>
      </w:pPr>
      <w:r>
        <w:separator/>
      </w:r>
    </w:p>
  </w:endnote>
  <w:endnote w:type="continuationSeparator" w:id="0">
    <w:p w14:paraId="2FA1474C" w14:textId="77777777" w:rsidR="00C31FFF" w:rsidRDefault="00C3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35DA" w14:textId="77777777" w:rsidR="00D82B31" w:rsidRDefault="00D82B31" w:rsidP="00D82B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B5CCB4" w14:textId="77777777" w:rsidR="00D82B31" w:rsidRDefault="00D82B31" w:rsidP="00D82B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7F36" w14:textId="64A4B4BE" w:rsidR="00D82B31" w:rsidRPr="009B5AD8" w:rsidRDefault="00D82B31" w:rsidP="00D82B31">
    <w:pPr>
      <w:pStyle w:val="Porat"/>
      <w:framePr w:wrap="around" w:vAnchor="text" w:hAnchor="page" w:x="10537" w:y="39"/>
      <w:jc w:val="center"/>
      <w:rPr>
        <w:rStyle w:val="Puslapionumeris"/>
        <w:rFonts w:ascii="Times New Roman" w:hAnsi="Times New Roman"/>
      </w:rPr>
    </w:pPr>
    <w:r w:rsidRPr="009B5AD8">
      <w:rPr>
        <w:rStyle w:val="Puslapionumeris"/>
        <w:rFonts w:ascii="Times New Roman" w:hAnsi="Times New Roman"/>
      </w:rPr>
      <w:fldChar w:fldCharType="begin"/>
    </w:r>
    <w:r w:rsidRPr="009B5AD8">
      <w:rPr>
        <w:rStyle w:val="Puslapionumeris"/>
        <w:rFonts w:ascii="Times New Roman" w:hAnsi="Times New Roman"/>
      </w:rPr>
      <w:instrText xml:space="preserve">PAGE  </w:instrText>
    </w:r>
    <w:r w:rsidRPr="009B5AD8">
      <w:rPr>
        <w:rStyle w:val="Puslapionumeris"/>
        <w:rFonts w:ascii="Times New Roman" w:hAnsi="Times New Roman"/>
      </w:rPr>
      <w:fldChar w:fldCharType="separate"/>
    </w:r>
    <w:r w:rsidR="004C5416">
      <w:rPr>
        <w:rStyle w:val="Puslapionumeris"/>
        <w:rFonts w:ascii="Times New Roman" w:hAnsi="Times New Roman"/>
        <w:noProof/>
      </w:rPr>
      <w:t>47</w:t>
    </w:r>
    <w:r w:rsidRPr="009B5AD8">
      <w:rPr>
        <w:rStyle w:val="Puslapionumeris"/>
        <w:rFonts w:ascii="Times New Roman" w:hAnsi="Times New Roman"/>
      </w:rPr>
      <w:fldChar w:fldCharType="end"/>
    </w:r>
  </w:p>
  <w:p w14:paraId="176403D3" w14:textId="77777777" w:rsidR="00D82B31" w:rsidRDefault="00D82B31" w:rsidP="00D82B31">
    <w:pPr>
      <w:framePr w:wrap="around" w:vAnchor="text" w:hAnchor="margin" w:xAlign="center" w:y="1"/>
      <w:rPr>
        <w:rStyle w:val="Puslapionumeris"/>
        <w:sz w:val="16"/>
        <w:szCs w:val="16"/>
      </w:rPr>
    </w:pPr>
  </w:p>
  <w:p w14:paraId="72F37AE2" w14:textId="77777777" w:rsidR="00D82B31" w:rsidRPr="009B5AD8" w:rsidRDefault="00D82B31">
    <w:pP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CCEEF" w14:textId="77777777" w:rsidR="00C31FFF" w:rsidRDefault="00C31FFF">
      <w:pPr>
        <w:spacing w:after="0" w:line="240" w:lineRule="auto"/>
      </w:pPr>
      <w:r>
        <w:separator/>
      </w:r>
    </w:p>
  </w:footnote>
  <w:footnote w:type="continuationSeparator" w:id="0">
    <w:p w14:paraId="24C028B7" w14:textId="77777777" w:rsidR="00C31FFF" w:rsidRDefault="00C3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2ADB" w14:textId="77777777" w:rsidR="00D82B31" w:rsidRDefault="00D82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1B7F89"/>
    <w:multiLevelType w:val="multilevel"/>
    <w:tmpl w:val="DA7A349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F83BCD"/>
    <w:multiLevelType w:val="hybridMultilevel"/>
    <w:tmpl w:val="CE80A7AA"/>
    <w:lvl w:ilvl="0" w:tplc="886E6E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9885590"/>
    <w:multiLevelType w:val="hybridMultilevel"/>
    <w:tmpl w:val="EC307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7AE2B9B"/>
    <w:multiLevelType w:val="hybridMultilevel"/>
    <w:tmpl w:val="AF445590"/>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9B026C5"/>
    <w:multiLevelType w:val="hybridMultilevel"/>
    <w:tmpl w:val="3CAE58BA"/>
    <w:lvl w:ilvl="0" w:tplc="C6DC8C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F61D7F"/>
    <w:multiLevelType w:val="hybridMultilevel"/>
    <w:tmpl w:val="9014D53E"/>
    <w:lvl w:ilvl="0" w:tplc="955C5704">
      <w:numFmt w:val="bullet"/>
      <w:lvlText w:val="-"/>
      <w:lvlJc w:val="left"/>
      <w:pPr>
        <w:ind w:left="585" w:hanging="22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4D3691"/>
    <w:multiLevelType w:val="hybridMultilevel"/>
    <w:tmpl w:val="3BA6B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790057"/>
    <w:multiLevelType w:val="hybridMultilevel"/>
    <w:tmpl w:val="9F96D334"/>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0" w15:restartNumberingAfterBreak="0">
    <w:nsid w:val="3268032B"/>
    <w:multiLevelType w:val="hybridMultilevel"/>
    <w:tmpl w:val="8B4E92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E21DC"/>
    <w:multiLevelType w:val="hybridMultilevel"/>
    <w:tmpl w:val="791EF534"/>
    <w:lvl w:ilvl="0" w:tplc="54247E56">
      <w:start w:val="1"/>
      <w:numFmt w:val="bullet"/>
      <w:lvlText w:val=""/>
      <w:lvlJc w:val="left"/>
      <w:pPr>
        <w:tabs>
          <w:tab w:val="num" w:pos="284"/>
        </w:tabs>
        <w:ind w:left="284" w:hanging="284"/>
      </w:pPr>
      <w:rPr>
        <w:rFonts w:ascii="Symbol" w:hAnsi="Symbol" w:hint="default"/>
      </w:rPr>
    </w:lvl>
    <w:lvl w:ilvl="1" w:tplc="344810B0" w:tentative="1">
      <w:start w:val="1"/>
      <w:numFmt w:val="bullet"/>
      <w:lvlText w:val="o"/>
      <w:lvlJc w:val="left"/>
      <w:pPr>
        <w:tabs>
          <w:tab w:val="num" w:pos="1440"/>
        </w:tabs>
        <w:ind w:left="1440" w:hanging="360"/>
      </w:pPr>
      <w:rPr>
        <w:rFonts w:ascii="Courier New" w:hAnsi="Courier New" w:cs="Courier New" w:hint="default"/>
      </w:rPr>
    </w:lvl>
    <w:lvl w:ilvl="2" w:tplc="9D10E928" w:tentative="1">
      <w:start w:val="1"/>
      <w:numFmt w:val="bullet"/>
      <w:lvlText w:val=""/>
      <w:lvlJc w:val="left"/>
      <w:pPr>
        <w:tabs>
          <w:tab w:val="num" w:pos="2160"/>
        </w:tabs>
        <w:ind w:left="2160" w:hanging="360"/>
      </w:pPr>
      <w:rPr>
        <w:rFonts w:ascii="Wingdings" w:hAnsi="Wingdings" w:hint="default"/>
      </w:rPr>
    </w:lvl>
    <w:lvl w:ilvl="3" w:tplc="613CBD18" w:tentative="1">
      <w:start w:val="1"/>
      <w:numFmt w:val="bullet"/>
      <w:lvlText w:val=""/>
      <w:lvlJc w:val="left"/>
      <w:pPr>
        <w:tabs>
          <w:tab w:val="num" w:pos="2880"/>
        </w:tabs>
        <w:ind w:left="2880" w:hanging="360"/>
      </w:pPr>
      <w:rPr>
        <w:rFonts w:ascii="Symbol" w:hAnsi="Symbol" w:hint="default"/>
      </w:rPr>
    </w:lvl>
    <w:lvl w:ilvl="4" w:tplc="E508E88A" w:tentative="1">
      <w:start w:val="1"/>
      <w:numFmt w:val="bullet"/>
      <w:lvlText w:val="o"/>
      <w:lvlJc w:val="left"/>
      <w:pPr>
        <w:tabs>
          <w:tab w:val="num" w:pos="3600"/>
        </w:tabs>
        <w:ind w:left="3600" w:hanging="360"/>
      </w:pPr>
      <w:rPr>
        <w:rFonts w:ascii="Courier New" w:hAnsi="Courier New" w:cs="Courier New" w:hint="default"/>
      </w:rPr>
    </w:lvl>
    <w:lvl w:ilvl="5" w:tplc="8EA25B6C" w:tentative="1">
      <w:start w:val="1"/>
      <w:numFmt w:val="bullet"/>
      <w:lvlText w:val=""/>
      <w:lvlJc w:val="left"/>
      <w:pPr>
        <w:tabs>
          <w:tab w:val="num" w:pos="4320"/>
        </w:tabs>
        <w:ind w:left="4320" w:hanging="360"/>
      </w:pPr>
      <w:rPr>
        <w:rFonts w:ascii="Wingdings" w:hAnsi="Wingdings" w:hint="default"/>
      </w:rPr>
    </w:lvl>
    <w:lvl w:ilvl="6" w:tplc="B3624202" w:tentative="1">
      <w:start w:val="1"/>
      <w:numFmt w:val="bullet"/>
      <w:lvlText w:val=""/>
      <w:lvlJc w:val="left"/>
      <w:pPr>
        <w:tabs>
          <w:tab w:val="num" w:pos="5040"/>
        </w:tabs>
        <w:ind w:left="5040" w:hanging="360"/>
      </w:pPr>
      <w:rPr>
        <w:rFonts w:ascii="Symbol" w:hAnsi="Symbol" w:hint="default"/>
      </w:rPr>
    </w:lvl>
    <w:lvl w:ilvl="7" w:tplc="B92C586E" w:tentative="1">
      <w:start w:val="1"/>
      <w:numFmt w:val="bullet"/>
      <w:lvlText w:val="o"/>
      <w:lvlJc w:val="left"/>
      <w:pPr>
        <w:tabs>
          <w:tab w:val="num" w:pos="5760"/>
        </w:tabs>
        <w:ind w:left="5760" w:hanging="360"/>
      </w:pPr>
      <w:rPr>
        <w:rFonts w:ascii="Courier New" w:hAnsi="Courier New" w:cs="Courier New" w:hint="default"/>
      </w:rPr>
    </w:lvl>
    <w:lvl w:ilvl="8" w:tplc="E21268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38BB13AD"/>
    <w:multiLevelType w:val="hybridMultilevel"/>
    <w:tmpl w:val="334671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0703D09"/>
    <w:multiLevelType w:val="hybridMultilevel"/>
    <w:tmpl w:val="7008650A"/>
    <w:lvl w:ilvl="0" w:tplc="778A816A">
      <w:start w:val="1"/>
      <w:numFmt w:val="bullet"/>
      <w:lvlText w:val=""/>
      <w:lvlJc w:val="left"/>
      <w:pPr>
        <w:tabs>
          <w:tab w:val="num" w:pos="360"/>
        </w:tabs>
        <w:ind w:left="357" w:hanging="357"/>
      </w:pPr>
      <w:rPr>
        <w:rFonts w:ascii="Symbol" w:hAnsi="Symbol" w:hint="default"/>
      </w:rPr>
    </w:lvl>
    <w:lvl w:ilvl="1" w:tplc="4ABEB6AE" w:tentative="1">
      <w:start w:val="1"/>
      <w:numFmt w:val="bullet"/>
      <w:lvlText w:val="o"/>
      <w:lvlJc w:val="left"/>
      <w:pPr>
        <w:tabs>
          <w:tab w:val="num" w:pos="1440"/>
        </w:tabs>
        <w:ind w:left="1440" w:hanging="360"/>
      </w:pPr>
      <w:rPr>
        <w:rFonts w:ascii="Courier New" w:hAnsi="Courier New" w:hint="default"/>
      </w:rPr>
    </w:lvl>
    <w:lvl w:ilvl="2" w:tplc="BB786C46" w:tentative="1">
      <w:start w:val="1"/>
      <w:numFmt w:val="bullet"/>
      <w:lvlText w:val=""/>
      <w:lvlJc w:val="left"/>
      <w:pPr>
        <w:tabs>
          <w:tab w:val="num" w:pos="2160"/>
        </w:tabs>
        <w:ind w:left="2160" w:hanging="360"/>
      </w:pPr>
      <w:rPr>
        <w:rFonts w:ascii="Wingdings" w:hAnsi="Wingdings" w:hint="default"/>
      </w:rPr>
    </w:lvl>
    <w:lvl w:ilvl="3" w:tplc="2862B510" w:tentative="1">
      <w:start w:val="1"/>
      <w:numFmt w:val="bullet"/>
      <w:lvlText w:val=""/>
      <w:lvlJc w:val="left"/>
      <w:pPr>
        <w:tabs>
          <w:tab w:val="num" w:pos="2880"/>
        </w:tabs>
        <w:ind w:left="2880" w:hanging="360"/>
      </w:pPr>
      <w:rPr>
        <w:rFonts w:ascii="Symbol" w:hAnsi="Symbol" w:hint="default"/>
      </w:rPr>
    </w:lvl>
    <w:lvl w:ilvl="4" w:tplc="A4FE43DE" w:tentative="1">
      <w:start w:val="1"/>
      <w:numFmt w:val="bullet"/>
      <w:lvlText w:val="o"/>
      <w:lvlJc w:val="left"/>
      <w:pPr>
        <w:tabs>
          <w:tab w:val="num" w:pos="3600"/>
        </w:tabs>
        <w:ind w:left="3600" w:hanging="360"/>
      </w:pPr>
      <w:rPr>
        <w:rFonts w:ascii="Courier New" w:hAnsi="Courier New" w:hint="default"/>
      </w:rPr>
    </w:lvl>
    <w:lvl w:ilvl="5" w:tplc="1B2A615C" w:tentative="1">
      <w:start w:val="1"/>
      <w:numFmt w:val="bullet"/>
      <w:lvlText w:val=""/>
      <w:lvlJc w:val="left"/>
      <w:pPr>
        <w:tabs>
          <w:tab w:val="num" w:pos="4320"/>
        </w:tabs>
        <w:ind w:left="4320" w:hanging="360"/>
      </w:pPr>
      <w:rPr>
        <w:rFonts w:ascii="Wingdings" w:hAnsi="Wingdings" w:hint="default"/>
      </w:rPr>
    </w:lvl>
    <w:lvl w:ilvl="6" w:tplc="66E609D0" w:tentative="1">
      <w:start w:val="1"/>
      <w:numFmt w:val="bullet"/>
      <w:lvlText w:val=""/>
      <w:lvlJc w:val="left"/>
      <w:pPr>
        <w:tabs>
          <w:tab w:val="num" w:pos="5040"/>
        </w:tabs>
        <w:ind w:left="5040" w:hanging="360"/>
      </w:pPr>
      <w:rPr>
        <w:rFonts w:ascii="Symbol" w:hAnsi="Symbol" w:hint="default"/>
      </w:rPr>
    </w:lvl>
    <w:lvl w:ilvl="7" w:tplc="BE24F5C2" w:tentative="1">
      <w:start w:val="1"/>
      <w:numFmt w:val="bullet"/>
      <w:lvlText w:val="o"/>
      <w:lvlJc w:val="left"/>
      <w:pPr>
        <w:tabs>
          <w:tab w:val="num" w:pos="5760"/>
        </w:tabs>
        <w:ind w:left="5760" w:hanging="360"/>
      </w:pPr>
      <w:rPr>
        <w:rFonts w:ascii="Courier New" w:hAnsi="Courier New" w:hint="default"/>
      </w:rPr>
    </w:lvl>
    <w:lvl w:ilvl="8" w:tplc="9D868B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373A9"/>
    <w:multiLevelType w:val="hybridMultilevel"/>
    <w:tmpl w:val="E3BA04EE"/>
    <w:lvl w:ilvl="0" w:tplc="20C2FDE6">
      <w:start w:val="1"/>
      <w:numFmt w:val="decimal"/>
      <w:lvlText w:val="%1."/>
      <w:lvlJc w:val="left"/>
      <w:pPr>
        <w:tabs>
          <w:tab w:val="num" w:pos="930"/>
        </w:tabs>
        <w:ind w:left="930" w:hanging="570"/>
      </w:pPr>
      <w:rPr>
        <w:rFonts w:hint="default"/>
      </w:rPr>
    </w:lvl>
    <w:lvl w:ilvl="1" w:tplc="04090003">
      <w:start w:val="5"/>
      <w:numFmt w:val="decimal"/>
      <w:lvlText w:val="%2"/>
      <w:lvlJc w:val="left"/>
      <w:pPr>
        <w:tabs>
          <w:tab w:val="num" w:pos="1650"/>
        </w:tabs>
        <w:ind w:left="1650" w:hanging="57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48EA040E"/>
    <w:multiLevelType w:val="hybridMultilevel"/>
    <w:tmpl w:val="1726832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D2F3EC1"/>
    <w:multiLevelType w:val="hybridMultilevel"/>
    <w:tmpl w:val="4984DC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364EA"/>
    <w:multiLevelType w:val="hybridMultilevel"/>
    <w:tmpl w:val="77C8BA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F996B388">
      <w:start w:val="2"/>
      <w:numFmt w:val="decimal"/>
      <w:lvlText w:val="%1."/>
      <w:lvlJc w:val="left"/>
      <w:pPr>
        <w:tabs>
          <w:tab w:val="num" w:pos="570"/>
        </w:tabs>
        <w:ind w:left="570" w:hanging="570"/>
      </w:pPr>
      <w:rPr>
        <w:rFonts w:hint="default"/>
      </w:rPr>
    </w:lvl>
    <w:lvl w:ilvl="1" w:tplc="017C4ECA" w:tentative="1">
      <w:start w:val="1"/>
      <w:numFmt w:val="lowerLetter"/>
      <w:lvlText w:val="%2."/>
      <w:lvlJc w:val="left"/>
      <w:pPr>
        <w:tabs>
          <w:tab w:val="num" w:pos="1080"/>
        </w:tabs>
        <w:ind w:left="1080" w:hanging="360"/>
      </w:pPr>
    </w:lvl>
    <w:lvl w:ilvl="2" w:tplc="0032FA64" w:tentative="1">
      <w:start w:val="1"/>
      <w:numFmt w:val="lowerRoman"/>
      <w:lvlText w:val="%3."/>
      <w:lvlJc w:val="right"/>
      <w:pPr>
        <w:tabs>
          <w:tab w:val="num" w:pos="1800"/>
        </w:tabs>
        <w:ind w:left="1800" w:hanging="180"/>
      </w:pPr>
    </w:lvl>
    <w:lvl w:ilvl="3" w:tplc="7F7EADCA" w:tentative="1">
      <w:start w:val="1"/>
      <w:numFmt w:val="decimal"/>
      <w:lvlText w:val="%4."/>
      <w:lvlJc w:val="left"/>
      <w:pPr>
        <w:tabs>
          <w:tab w:val="num" w:pos="2520"/>
        </w:tabs>
        <w:ind w:left="2520" w:hanging="360"/>
      </w:pPr>
    </w:lvl>
    <w:lvl w:ilvl="4" w:tplc="B596AC26" w:tentative="1">
      <w:start w:val="1"/>
      <w:numFmt w:val="lowerLetter"/>
      <w:lvlText w:val="%5."/>
      <w:lvlJc w:val="left"/>
      <w:pPr>
        <w:tabs>
          <w:tab w:val="num" w:pos="3240"/>
        </w:tabs>
        <w:ind w:left="3240" w:hanging="360"/>
      </w:pPr>
    </w:lvl>
    <w:lvl w:ilvl="5" w:tplc="D8E0AA9E" w:tentative="1">
      <w:start w:val="1"/>
      <w:numFmt w:val="lowerRoman"/>
      <w:lvlText w:val="%6."/>
      <w:lvlJc w:val="right"/>
      <w:pPr>
        <w:tabs>
          <w:tab w:val="num" w:pos="3960"/>
        </w:tabs>
        <w:ind w:left="3960" w:hanging="180"/>
      </w:pPr>
    </w:lvl>
    <w:lvl w:ilvl="6" w:tplc="F05A3972" w:tentative="1">
      <w:start w:val="1"/>
      <w:numFmt w:val="decimal"/>
      <w:lvlText w:val="%7."/>
      <w:lvlJc w:val="left"/>
      <w:pPr>
        <w:tabs>
          <w:tab w:val="num" w:pos="4680"/>
        </w:tabs>
        <w:ind w:left="4680" w:hanging="360"/>
      </w:pPr>
    </w:lvl>
    <w:lvl w:ilvl="7" w:tplc="45C04002" w:tentative="1">
      <w:start w:val="1"/>
      <w:numFmt w:val="lowerLetter"/>
      <w:lvlText w:val="%8."/>
      <w:lvlJc w:val="left"/>
      <w:pPr>
        <w:tabs>
          <w:tab w:val="num" w:pos="5400"/>
        </w:tabs>
        <w:ind w:left="5400" w:hanging="360"/>
      </w:pPr>
    </w:lvl>
    <w:lvl w:ilvl="8" w:tplc="1E3C5C32" w:tentative="1">
      <w:start w:val="1"/>
      <w:numFmt w:val="lowerRoman"/>
      <w:lvlText w:val="%9."/>
      <w:lvlJc w:val="right"/>
      <w:pPr>
        <w:tabs>
          <w:tab w:val="num" w:pos="6120"/>
        </w:tabs>
        <w:ind w:left="6120" w:hanging="180"/>
      </w:p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5" w15:restartNumberingAfterBreak="0">
    <w:nsid w:val="612225B2"/>
    <w:multiLevelType w:val="hybridMultilevel"/>
    <w:tmpl w:val="946A1BA6"/>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341A0F8C">
      <w:start w:val="1"/>
      <w:numFmt w:val="lowerLetter"/>
      <w:lvlText w:val="%1)"/>
      <w:lvlJc w:val="left"/>
      <w:pPr>
        <w:tabs>
          <w:tab w:val="num" w:pos="1800"/>
        </w:tabs>
        <w:ind w:left="1800" w:hanging="360"/>
      </w:pPr>
    </w:lvl>
    <w:lvl w:ilvl="1" w:tplc="04090003">
      <w:start w:val="1"/>
      <w:numFmt w:val="lowerRoman"/>
      <w:lvlText w:val="%2."/>
      <w:lvlJc w:val="right"/>
      <w:pPr>
        <w:tabs>
          <w:tab w:val="num" w:pos="2520"/>
        </w:tabs>
        <w:ind w:left="2520" w:hanging="360"/>
      </w:pPr>
    </w:lvl>
    <w:lvl w:ilvl="2" w:tplc="04090005">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7" w15:restartNumberingAfterBreak="0">
    <w:nsid w:val="638649FD"/>
    <w:multiLevelType w:val="hybridMultilevel"/>
    <w:tmpl w:val="4A945CDA"/>
    <w:lvl w:ilvl="0" w:tplc="04090017">
      <w:start w:val="1"/>
      <w:numFmt w:val="decimal"/>
      <w:lvlText w:val="%1."/>
      <w:lvlJc w:val="left"/>
      <w:pPr>
        <w:tabs>
          <w:tab w:val="num" w:pos="1353"/>
        </w:tabs>
        <w:ind w:left="1353" w:hanging="360"/>
      </w:pPr>
    </w:lvl>
    <w:lvl w:ilvl="1" w:tplc="0409001B"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6518235F"/>
    <w:multiLevelType w:val="hybridMultilevel"/>
    <w:tmpl w:val="42E4AA10"/>
    <w:lvl w:ilvl="0" w:tplc="0409000F">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140459"/>
    <w:multiLevelType w:val="hybridMultilevel"/>
    <w:tmpl w:val="03CCF600"/>
    <w:lvl w:ilvl="0" w:tplc="FFFFFFFF">
      <w:start w:val="7"/>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70DF6AB4"/>
    <w:multiLevelType w:val="hybridMultilevel"/>
    <w:tmpl w:val="2E48CBBC"/>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4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4"/>
  </w:num>
  <w:num w:numId="4">
    <w:abstractNumId w:val="43"/>
  </w:num>
  <w:num w:numId="5">
    <w:abstractNumId w:val="17"/>
  </w:num>
  <w:num w:numId="6">
    <w:abstractNumId w:val="31"/>
  </w:num>
  <w:num w:numId="7">
    <w:abstractNumId w:val="28"/>
  </w:num>
  <w:num w:numId="8">
    <w:abstractNumId w:val="12"/>
  </w:num>
  <w:num w:numId="9">
    <w:abstractNumId w:val="41"/>
  </w:num>
  <w:num w:numId="10">
    <w:abstractNumId w:val="42"/>
  </w:num>
  <w:num w:numId="11">
    <w:abstractNumId w:val="22"/>
  </w:num>
  <w:num w:numId="12">
    <w:abstractNumId w:val="19"/>
  </w:num>
  <w:num w:numId="13">
    <w:abstractNumId w:val="3"/>
  </w:num>
  <w:num w:numId="14">
    <w:abstractNumId w:val="39"/>
  </w:num>
  <w:num w:numId="15">
    <w:abstractNumId w:val="26"/>
  </w:num>
  <w:num w:numId="16">
    <w:abstractNumId w:val="46"/>
  </w:num>
  <w:num w:numId="17">
    <w:abstractNumId w:val="13"/>
  </w:num>
  <w:num w:numId="18">
    <w:abstractNumId w:val="1"/>
  </w:num>
  <w:num w:numId="19">
    <w:abstractNumId w:val="23"/>
  </w:num>
  <w:num w:numId="20">
    <w:abstractNumId w:val="5"/>
  </w:num>
  <w:num w:numId="21">
    <w:abstractNumId w:val="8"/>
  </w:num>
  <w:num w:numId="22">
    <w:abstractNumId w:val="34"/>
  </w:num>
  <w:num w:numId="23">
    <w:abstractNumId w:val="38"/>
  </w:num>
  <w:num w:numId="24">
    <w:abstractNumId w:val="33"/>
  </w:num>
  <w:num w:numId="25">
    <w:abstractNumId w:val="18"/>
  </w:num>
  <w:num w:numId="26">
    <w:abstractNumId w:val="14"/>
  </w:num>
  <w:num w:numId="27">
    <w:abstractNumId w:val="27"/>
  </w:num>
  <w:num w:numId="28">
    <w:abstractNumId w:val="32"/>
  </w:num>
  <w:num w:numId="29">
    <w:abstractNumId w:val="20"/>
  </w:num>
  <w:num w:numId="30">
    <w:abstractNumId w:val="36"/>
  </w:num>
  <w:num w:numId="31">
    <w:abstractNumId w:val="37"/>
  </w:num>
  <w:num w:numId="32">
    <w:abstractNumId w:val="35"/>
  </w:num>
  <w:num w:numId="33">
    <w:abstractNumId w:val="21"/>
  </w:num>
  <w:num w:numId="34">
    <w:abstractNumId w:val="6"/>
  </w:num>
  <w:num w:numId="35">
    <w:abstractNumId w:val="47"/>
  </w:num>
  <w:num w:numId="36">
    <w:abstractNumId w:val="25"/>
  </w:num>
  <w:num w:numId="37">
    <w:abstractNumId w:val="29"/>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2"/>
  </w:num>
  <w:num w:numId="40">
    <w:abstractNumId w:val="40"/>
  </w:num>
  <w:num w:numId="41">
    <w:abstractNumId w:val="4"/>
  </w:num>
  <w:num w:numId="42">
    <w:abstractNumId w:val="9"/>
  </w:num>
  <w:num w:numId="43">
    <w:abstractNumId w:val="45"/>
  </w:num>
  <w:num w:numId="44">
    <w:abstractNumId w:val="16"/>
  </w:num>
  <w:num w:numId="45">
    <w:abstractNumId w:val="7"/>
  </w:num>
  <w:num w:numId="46">
    <w:abstractNumId w:val="10"/>
  </w:num>
  <w:num w:numId="47">
    <w:abstractNumId w:val="15"/>
  </w:num>
  <w:num w:numId="48">
    <w:abstractNumId w:val="11"/>
  </w:num>
  <w:num w:numId="49">
    <w:abstractNumId w:val="2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F9"/>
    <w:rsid w:val="0013158C"/>
    <w:rsid w:val="00324C8C"/>
    <w:rsid w:val="004C5416"/>
    <w:rsid w:val="00567F77"/>
    <w:rsid w:val="006114FF"/>
    <w:rsid w:val="00867275"/>
    <w:rsid w:val="009E3ECB"/>
    <w:rsid w:val="00AB5F59"/>
    <w:rsid w:val="00C31FFF"/>
    <w:rsid w:val="00D82B31"/>
    <w:rsid w:val="00E35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6274D0F"/>
  <w15:chartTrackingRefBased/>
  <w15:docId w15:val="{E80682B9-7574-4E94-8460-DC9C78C0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35DF9"/>
    <w:pPr>
      <w:keepNext/>
      <w:spacing w:after="0" w:line="240" w:lineRule="auto"/>
      <w:outlineLvl w:val="0"/>
    </w:pPr>
    <w:rPr>
      <w:rFonts w:ascii="Times New Roman" w:eastAsia="Times New Roman" w:hAnsi="Times New Roman" w:cs="Times New Roman"/>
      <w:sz w:val="20"/>
      <w:szCs w:val="24"/>
      <w:u w:val="single"/>
      <w:lang w:val="hu-HU" w:eastAsia="hu-HU"/>
    </w:rPr>
  </w:style>
  <w:style w:type="paragraph" w:styleId="Antrat2">
    <w:name w:val="heading 2"/>
    <w:basedOn w:val="prastasis"/>
    <w:next w:val="prastasis"/>
    <w:link w:val="Antrat2Diagrama"/>
    <w:qFormat/>
    <w:rsid w:val="00E35DF9"/>
    <w:pPr>
      <w:keepNext/>
      <w:spacing w:after="0" w:line="240" w:lineRule="auto"/>
      <w:jc w:val="both"/>
      <w:outlineLvl w:val="1"/>
    </w:pPr>
    <w:rPr>
      <w:rFonts w:ascii="Times New Roman" w:eastAsia="Times New Roman" w:hAnsi="Times New Roman" w:cs="Times New Roman"/>
      <w:sz w:val="20"/>
      <w:szCs w:val="24"/>
      <w:u w:val="single"/>
      <w:lang w:val="hu-HU" w:eastAsia="hu-HU"/>
    </w:rPr>
  </w:style>
  <w:style w:type="paragraph" w:styleId="Antrat3">
    <w:name w:val="heading 3"/>
    <w:basedOn w:val="prastasis"/>
    <w:next w:val="prastasis"/>
    <w:link w:val="Antrat3Diagrama"/>
    <w:qFormat/>
    <w:rsid w:val="00E35DF9"/>
    <w:pPr>
      <w:keepNext/>
      <w:spacing w:after="0" w:line="240" w:lineRule="auto"/>
      <w:jc w:val="both"/>
      <w:outlineLvl w:val="2"/>
    </w:pPr>
    <w:rPr>
      <w:rFonts w:ascii="Times New Roman" w:eastAsia="Times New Roman" w:hAnsi="Times New Roman" w:cs="Times New Roman"/>
      <w:i/>
      <w:iCs/>
      <w:sz w:val="20"/>
      <w:szCs w:val="24"/>
      <w:lang w:val="hu-HU" w:eastAsia="hu-HU"/>
    </w:rPr>
  </w:style>
  <w:style w:type="paragraph" w:styleId="Antrat4">
    <w:name w:val="heading 4"/>
    <w:basedOn w:val="prastasis"/>
    <w:next w:val="prastasis"/>
    <w:link w:val="Antrat4Diagrama"/>
    <w:qFormat/>
    <w:rsid w:val="00E35DF9"/>
    <w:pPr>
      <w:keepNext/>
      <w:spacing w:after="0" w:line="240" w:lineRule="auto"/>
      <w:jc w:val="both"/>
      <w:outlineLvl w:val="3"/>
    </w:pPr>
    <w:rPr>
      <w:rFonts w:ascii="Times New Roman" w:eastAsia="Times New Roman" w:hAnsi="Times New Roman" w:cs="Times New Roman"/>
      <w:i/>
      <w:iCs/>
      <w:color w:val="0000FF"/>
      <w:sz w:val="20"/>
      <w:szCs w:val="24"/>
      <w:lang w:val="hu-HU" w:eastAsia="hu-HU"/>
    </w:rPr>
  </w:style>
  <w:style w:type="paragraph" w:styleId="Antrat5">
    <w:name w:val="heading 5"/>
    <w:basedOn w:val="prastasis"/>
    <w:next w:val="prastasis"/>
    <w:link w:val="Antrat5Diagrama"/>
    <w:qFormat/>
    <w:rsid w:val="00E35DF9"/>
    <w:pPr>
      <w:keepNext/>
      <w:spacing w:after="0" w:line="240" w:lineRule="auto"/>
      <w:jc w:val="both"/>
      <w:outlineLvl w:val="4"/>
    </w:pPr>
    <w:rPr>
      <w:rFonts w:ascii="Times New Roman" w:eastAsia="Times New Roman" w:hAnsi="Times New Roman" w:cs="Times New Roman"/>
      <w:i/>
      <w:iCs/>
      <w:color w:val="0000FF"/>
      <w:sz w:val="20"/>
      <w:szCs w:val="24"/>
      <w:u w:val="single"/>
      <w:lang w:val="hu-HU" w:eastAsia="hu-HU"/>
    </w:rPr>
  </w:style>
  <w:style w:type="paragraph" w:styleId="Antrat6">
    <w:name w:val="heading 6"/>
    <w:basedOn w:val="prastasis"/>
    <w:next w:val="prastasis"/>
    <w:link w:val="Antrat6Diagrama"/>
    <w:qFormat/>
    <w:rsid w:val="00E35DF9"/>
    <w:pPr>
      <w:keepNext/>
      <w:spacing w:after="0" w:line="240" w:lineRule="auto"/>
      <w:jc w:val="both"/>
      <w:outlineLvl w:val="5"/>
    </w:pPr>
    <w:rPr>
      <w:rFonts w:ascii="Times New Roman" w:eastAsia="Times New Roman" w:hAnsi="Times New Roman" w:cs="Times New Roman"/>
      <w:b/>
      <w:bCs/>
      <w:sz w:val="24"/>
      <w:szCs w:val="20"/>
      <w:lang w:val="hu-HU" w:eastAsia="hu-HU"/>
    </w:rPr>
  </w:style>
  <w:style w:type="paragraph" w:styleId="Antrat7">
    <w:name w:val="heading 7"/>
    <w:basedOn w:val="prastasis"/>
    <w:next w:val="prastasis"/>
    <w:link w:val="Antrat7Diagrama"/>
    <w:qFormat/>
    <w:rsid w:val="00E35DF9"/>
    <w:pPr>
      <w:keepNext/>
      <w:spacing w:after="0" w:line="240" w:lineRule="auto"/>
      <w:jc w:val="both"/>
      <w:outlineLvl w:val="6"/>
    </w:pPr>
    <w:rPr>
      <w:rFonts w:ascii="Times New Roman" w:eastAsia="Times New Roman" w:hAnsi="Times New Roman" w:cs="Times New Roman"/>
      <w:b/>
      <w:bCs/>
      <w:sz w:val="20"/>
      <w:szCs w:val="24"/>
      <w:lang w:val="hu-HU" w:eastAsia="hu-HU"/>
    </w:rPr>
  </w:style>
  <w:style w:type="paragraph" w:styleId="Antrat8">
    <w:name w:val="heading 8"/>
    <w:basedOn w:val="prastasis"/>
    <w:next w:val="prastasis"/>
    <w:link w:val="Antrat8Diagrama"/>
    <w:qFormat/>
    <w:rsid w:val="00E35DF9"/>
    <w:pPr>
      <w:keepNext/>
      <w:spacing w:after="0" w:line="240" w:lineRule="auto"/>
      <w:jc w:val="both"/>
      <w:outlineLvl w:val="7"/>
    </w:pPr>
    <w:rPr>
      <w:rFonts w:ascii="Times New Roman" w:eastAsia="Times New Roman" w:hAnsi="Times New Roman" w:cs="Times New Roman"/>
      <w:i/>
      <w:iCs/>
      <w:sz w:val="20"/>
      <w:szCs w:val="24"/>
      <w:u w:val="single"/>
      <w:lang w:val="hu-HU" w:eastAsia="hu-HU"/>
    </w:rPr>
  </w:style>
  <w:style w:type="paragraph" w:styleId="Antrat9">
    <w:name w:val="heading 9"/>
    <w:basedOn w:val="prastasis"/>
    <w:next w:val="prastasis"/>
    <w:link w:val="Antrat9Diagrama"/>
    <w:qFormat/>
    <w:rsid w:val="00E35DF9"/>
    <w:pPr>
      <w:keepNext/>
      <w:spacing w:after="0" w:line="360" w:lineRule="auto"/>
      <w:outlineLvl w:val="8"/>
    </w:pPr>
    <w:rPr>
      <w:rFonts w:ascii="Times New Roman" w:eastAsia="Times New Roman" w:hAnsi="Times New Roman" w:cs="Times New Roman"/>
      <w:b/>
      <w:bCs/>
      <w:sz w:val="20"/>
      <w:szCs w:val="24"/>
      <w:lang w:val="en-US" w:eastAsia="hu-H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5DF9"/>
    <w:rPr>
      <w:rFonts w:ascii="Times New Roman" w:eastAsia="Times New Roman" w:hAnsi="Times New Roman" w:cs="Times New Roman"/>
      <w:sz w:val="20"/>
      <w:szCs w:val="24"/>
      <w:u w:val="single"/>
      <w:lang w:val="hu-HU" w:eastAsia="hu-HU"/>
    </w:rPr>
  </w:style>
  <w:style w:type="character" w:customStyle="1" w:styleId="Antrat2Diagrama">
    <w:name w:val="Antraštė 2 Diagrama"/>
    <w:basedOn w:val="Numatytasispastraiposriftas"/>
    <w:link w:val="Antrat2"/>
    <w:rsid w:val="00E35DF9"/>
    <w:rPr>
      <w:rFonts w:ascii="Times New Roman" w:eastAsia="Times New Roman" w:hAnsi="Times New Roman" w:cs="Times New Roman"/>
      <w:sz w:val="20"/>
      <w:szCs w:val="24"/>
      <w:u w:val="single"/>
      <w:lang w:val="hu-HU" w:eastAsia="hu-HU"/>
    </w:rPr>
  </w:style>
  <w:style w:type="character" w:customStyle="1" w:styleId="Antrat3Diagrama">
    <w:name w:val="Antraštė 3 Diagrama"/>
    <w:basedOn w:val="Numatytasispastraiposriftas"/>
    <w:link w:val="Antrat3"/>
    <w:rsid w:val="00E35DF9"/>
    <w:rPr>
      <w:rFonts w:ascii="Times New Roman" w:eastAsia="Times New Roman" w:hAnsi="Times New Roman" w:cs="Times New Roman"/>
      <w:i/>
      <w:iCs/>
      <w:sz w:val="20"/>
      <w:szCs w:val="24"/>
      <w:lang w:val="hu-HU" w:eastAsia="hu-HU"/>
    </w:rPr>
  </w:style>
  <w:style w:type="character" w:customStyle="1" w:styleId="Antrat4Diagrama">
    <w:name w:val="Antraštė 4 Diagrama"/>
    <w:basedOn w:val="Numatytasispastraiposriftas"/>
    <w:link w:val="Antrat4"/>
    <w:rsid w:val="00E35DF9"/>
    <w:rPr>
      <w:rFonts w:ascii="Times New Roman" w:eastAsia="Times New Roman" w:hAnsi="Times New Roman" w:cs="Times New Roman"/>
      <w:i/>
      <w:iCs/>
      <w:color w:val="0000FF"/>
      <w:sz w:val="20"/>
      <w:szCs w:val="24"/>
      <w:lang w:val="hu-HU" w:eastAsia="hu-HU"/>
    </w:rPr>
  </w:style>
  <w:style w:type="character" w:customStyle="1" w:styleId="Antrat5Diagrama">
    <w:name w:val="Antraštė 5 Diagrama"/>
    <w:basedOn w:val="Numatytasispastraiposriftas"/>
    <w:link w:val="Antrat5"/>
    <w:rsid w:val="00E35DF9"/>
    <w:rPr>
      <w:rFonts w:ascii="Times New Roman" w:eastAsia="Times New Roman" w:hAnsi="Times New Roman" w:cs="Times New Roman"/>
      <w:i/>
      <w:iCs/>
      <w:color w:val="0000FF"/>
      <w:sz w:val="20"/>
      <w:szCs w:val="24"/>
      <w:u w:val="single"/>
      <w:lang w:val="hu-HU" w:eastAsia="hu-HU"/>
    </w:rPr>
  </w:style>
  <w:style w:type="character" w:customStyle="1" w:styleId="Antrat6Diagrama">
    <w:name w:val="Antraštė 6 Diagrama"/>
    <w:basedOn w:val="Numatytasispastraiposriftas"/>
    <w:link w:val="Antrat6"/>
    <w:rsid w:val="00E35DF9"/>
    <w:rPr>
      <w:rFonts w:ascii="Times New Roman" w:eastAsia="Times New Roman" w:hAnsi="Times New Roman" w:cs="Times New Roman"/>
      <w:b/>
      <w:bCs/>
      <w:sz w:val="24"/>
      <w:szCs w:val="20"/>
      <w:lang w:val="hu-HU" w:eastAsia="hu-HU"/>
    </w:rPr>
  </w:style>
  <w:style w:type="character" w:customStyle="1" w:styleId="Antrat7Diagrama">
    <w:name w:val="Antraštė 7 Diagrama"/>
    <w:basedOn w:val="Numatytasispastraiposriftas"/>
    <w:link w:val="Antrat7"/>
    <w:rsid w:val="00E35DF9"/>
    <w:rPr>
      <w:rFonts w:ascii="Times New Roman" w:eastAsia="Times New Roman" w:hAnsi="Times New Roman" w:cs="Times New Roman"/>
      <w:b/>
      <w:bCs/>
      <w:sz w:val="20"/>
      <w:szCs w:val="24"/>
      <w:lang w:val="hu-HU" w:eastAsia="hu-HU"/>
    </w:rPr>
  </w:style>
  <w:style w:type="character" w:customStyle="1" w:styleId="Antrat8Diagrama">
    <w:name w:val="Antraštė 8 Diagrama"/>
    <w:basedOn w:val="Numatytasispastraiposriftas"/>
    <w:link w:val="Antrat8"/>
    <w:rsid w:val="00E35DF9"/>
    <w:rPr>
      <w:rFonts w:ascii="Times New Roman" w:eastAsia="Times New Roman" w:hAnsi="Times New Roman" w:cs="Times New Roman"/>
      <w:i/>
      <w:iCs/>
      <w:sz w:val="20"/>
      <w:szCs w:val="24"/>
      <w:u w:val="single"/>
      <w:lang w:val="hu-HU" w:eastAsia="hu-HU"/>
    </w:rPr>
  </w:style>
  <w:style w:type="character" w:customStyle="1" w:styleId="Antrat9Diagrama">
    <w:name w:val="Antraštė 9 Diagrama"/>
    <w:basedOn w:val="Numatytasispastraiposriftas"/>
    <w:link w:val="Antrat9"/>
    <w:rsid w:val="00E35DF9"/>
    <w:rPr>
      <w:rFonts w:ascii="Times New Roman" w:eastAsia="Times New Roman" w:hAnsi="Times New Roman" w:cs="Times New Roman"/>
      <w:b/>
      <w:bCs/>
      <w:sz w:val="20"/>
      <w:szCs w:val="24"/>
      <w:lang w:val="en-US" w:eastAsia="hu-HU"/>
    </w:rPr>
  </w:style>
  <w:style w:type="numbering" w:customStyle="1" w:styleId="NoList1">
    <w:name w:val="No List1"/>
    <w:next w:val="Sraonra"/>
    <w:uiPriority w:val="99"/>
    <w:semiHidden/>
    <w:unhideWhenUsed/>
    <w:rsid w:val="00E35DF9"/>
  </w:style>
  <w:style w:type="paragraph" w:styleId="Antrats">
    <w:name w:val="header"/>
    <w:basedOn w:val="prastasis"/>
    <w:link w:val="AntratsDiagrama"/>
    <w:unhideWhenUsed/>
    <w:rsid w:val="00E35DF9"/>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rsid w:val="00E35DF9"/>
    <w:rPr>
      <w:rFonts w:ascii="Calibri" w:eastAsia="Calibri" w:hAnsi="Calibri" w:cs="Times New Roman"/>
    </w:rPr>
  </w:style>
  <w:style w:type="paragraph" w:styleId="Porat">
    <w:name w:val="footer"/>
    <w:basedOn w:val="prastasis"/>
    <w:link w:val="PoratDiagrama"/>
    <w:unhideWhenUsed/>
    <w:rsid w:val="00E35DF9"/>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rsid w:val="00E35DF9"/>
    <w:rPr>
      <w:rFonts w:ascii="Calibri" w:eastAsia="Calibri" w:hAnsi="Calibri" w:cs="Times New Roman"/>
    </w:rPr>
  </w:style>
  <w:style w:type="paragraph" w:customStyle="1" w:styleId="AHeader1">
    <w:name w:val="AHeader 1"/>
    <w:basedOn w:val="prastasis"/>
    <w:rsid w:val="00E35DF9"/>
    <w:pPr>
      <w:tabs>
        <w:tab w:val="num" w:pos="720"/>
      </w:tabs>
      <w:spacing w:after="120" w:line="240" w:lineRule="auto"/>
      <w:ind w:left="284" w:hanging="284"/>
    </w:pPr>
    <w:rPr>
      <w:rFonts w:ascii="Arial" w:eastAsia="Times New Roman" w:hAnsi="Arial" w:cs="Arial"/>
      <w:b/>
      <w:bCs/>
      <w:szCs w:val="20"/>
      <w:lang w:val="en-GB"/>
    </w:rPr>
  </w:style>
  <w:style w:type="paragraph" w:customStyle="1" w:styleId="AHeader2">
    <w:name w:val="AHeader 2"/>
    <w:basedOn w:val="AHeader1"/>
    <w:rsid w:val="00E35DF9"/>
    <w:pPr>
      <w:tabs>
        <w:tab w:val="clear" w:pos="720"/>
        <w:tab w:val="num" w:pos="360"/>
      </w:tabs>
      <w:ind w:left="709" w:hanging="425"/>
    </w:pPr>
  </w:style>
  <w:style w:type="paragraph" w:customStyle="1" w:styleId="AHeader3">
    <w:name w:val="AHeader 3"/>
    <w:basedOn w:val="AHeader2"/>
    <w:rsid w:val="00E35DF9"/>
    <w:pPr>
      <w:ind w:left="1276" w:hanging="567"/>
    </w:pPr>
  </w:style>
  <w:style w:type="paragraph" w:customStyle="1" w:styleId="AHeader2abc">
    <w:name w:val="AHeader 2 abc"/>
    <w:basedOn w:val="AHeader3"/>
    <w:rsid w:val="00E35DF9"/>
    <w:pPr>
      <w:jc w:val="both"/>
    </w:pPr>
    <w:rPr>
      <w:b w:val="0"/>
      <w:bCs w:val="0"/>
    </w:rPr>
  </w:style>
  <w:style w:type="paragraph" w:customStyle="1" w:styleId="AHeader3abc">
    <w:name w:val="AHeader 3 abc"/>
    <w:basedOn w:val="AHeader2abc"/>
    <w:rsid w:val="00E35DF9"/>
    <w:pPr>
      <w:ind w:left="1701" w:hanging="425"/>
    </w:pPr>
  </w:style>
  <w:style w:type="paragraph" w:styleId="Pagrindinistekstas2">
    <w:name w:val="Body Text 2"/>
    <w:basedOn w:val="prastasis"/>
    <w:link w:val="Pagrindinistekstas2Diagrama"/>
    <w:rsid w:val="00E35DF9"/>
    <w:pPr>
      <w:spacing w:after="0" w:line="240" w:lineRule="auto"/>
    </w:pPr>
    <w:rPr>
      <w:rFonts w:ascii="Times New Roman" w:eastAsia="Times New Roman" w:hAnsi="Times New Roman" w:cs="Times New Roman"/>
      <w:color w:val="0000FF"/>
      <w:sz w:val="24"/>
      <w:szCs w:val="24"/>
      <w:lang w:val="hu-HU" w:eastAsia="hu-HU"/>
    </w:rPr>
  </w:style>
  <w:style w:type="character" w:customStyle="1" w:styleId="Pagrindinistekstas2Diagrama">
    <w:name w:val="Pagrindinis tekstas 2 Diagrama"/>
    <w:basedOn w:val="Numatytasispastraiposriftas"/>
    <w:link w:val="Pagrindinistekstas2"/>
    <w:rsid w:val="00E35DF9"/>
    <w:rPr>
      <w:rFonts w:ascii="Times New Roman" w:eastAsia="Times New Roman" w:hAnsi="Times New Roman" w:cs="Times New Roman"/>
      <w:color w:val="0000FF"/>
      <w:sz w:val="24"/>
      <w:szCs w:val="24"/>
      <w:lang w:val="hu-HU" w:eastAsia="hu-HU"/>
    </w:rPr>
  </w:style>
  <w:style w:type="paragraph" w:styleId="Dokumentoinaostekstas">
    <w:name w:val="endnote text"/>
    <w:basedOn w:val="prastasis"/>
    <w:link w:val="DokumentoinaostekstasDiagrama"/>
    <w:semiHidden/>
    <w:rsid w:val="00E35DF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E35DF9"/>
    <w:rPr>
      <w:rFonts w:ascii="Times New Roman" w:eastAsia="Times New Roman" w:hAnsi="Times New Roman" w:cs="Times New Roman"/>
      <w:sz w:val="20"/>
      <w:szCs w:val="20"/>
      <w:lang w:val="en-GB"/>
    </w:rPr>
  </w:style>
  <w:style w:type="paragraph" w:styleId="Pavadinimas">
    <w:name w:val="Title"/>
    <w:basedOn w:val="prastasis"/>
    <w:link w:val="PavadinimasDiagrama"/>
    <w:qFormat/>
    <w:rsid w:val="00E35DF9"/>
    <w:pPr>
      <w:spacing w:after="0" w:line="240" w:lineRule="auto"/>
      <w:jc w:val="center"/>
    </w:pPr>
    <w:rPr>
      <w:rFonts w:ascii="Times New Roman" w:eastAsia="Times New Roman" w:hAnsi="Times New Roman" w:cs="Times New Roman"/>
      <w:b/>
      <w:sz w:val="20"/>
      <w:szCs w:val="20"/>
      <w:lang w:val="en-GB"/>
    </w:rPr>
  </w:style>
  <w:style w:type="character" w:customStyle="1" w:styleId="PavadinimasDiagrama">
    <w:name w:val="Pavadinimas Diagrama"/>
    <w:basedOn w:val="Numatytasispastraiposriftas"/>
    <w:link w:val="Pavadinimas"/>
    <w:rsid w:val="00E35DF9"/>
    <w:rPr>
      <w:rFonts w:ascii="Times New Roman" w:eastAsia="Times New Roman" w:hAnsi="Times New Roman" w:cs="Times New Roman"/>
      <w:b/>
      <w:sz w:val="20"/>
      <w:szCs w:val="20"/>
      <w:lang w:val="en-GB"/>
    </w:rPr>
  </w:style>
  <w:style w:type="paragraph" w:styleId="Pagrindinistekstas3">
    <w:name w:val="Body Text 3"/>
    <w:basedOn w:val="prastasis"/>
    <w:link w:val="Pagrindinistekstas3Diagrama"/>
    <w:rsid w:val="00E35DF9"/>
    <w:pPr>
      <w:spacing w:after="0" w:line="240" w:lineRule="auto"/>
      <w:jc w:val="both"/>
    </w:pPr>
    <w:rPr>
      <w:rFonts w:ascii="Times New Roman" w:eastAsia="Times New Roman" w:hAnsi="Times New Roman" w:cs="Times New Roman"/>
      <w:color w:val="0000FF"/>
      <w:sz w:val="24"/>
      <w:szCs w:val="24"/>
      <w:lang w:val="hu-HU" w:eastAsia="hu-HU"/>
    </w:rPr>
  </w:style>
  <w:style w:type="character" w:customStyle="1" w:styleId="Pagrindinistekstas3Diagrama">
    <w:name w:val="Pagrindinis tekstas 3 Diagrama"/>
    <w:basedOn w:val="Numatytasispastraiposriftas"/>
    <w:link w:val="Pagrindinistekstas3"/>
    <w:rsid w:val="00E35DF9"/>
    <w:rPr>
      <w:rFonts w:ascii="Times New Roman" w:eastAsia="Times New Roman" w:hAnsi="Times New Roman" w:cs="Times New Roman"/>
      <w:color w:val="0000FF"/>
      <w:sz w:val="24"/>
      <w:szCs w:val="24"/>
      <w:lang w:val="hu-HU" w:eastAsia="hu-HU"/>
    </w:rPr>
  </w:style>
  <w:style w:type="paragraph" w:styleId="Pagrindinistekstas">
    <w:name w:val="Body Text"/>
    <w:basedOn w:val="prastasis"/>
    <w:link w:val="PagrindinistekstasDiagrama"/>
    <w:rsid w:val="00E35DF9"/>
    <w:pPr>
      <w:numPr>
        <w:ilvl w:val="12"/>
      </w:numPr>
      <w:spacing w:after="0" w:line="240" w:lineRule="auto"/>
      <w:ind w:right="-2"/>
    </w:pPr>
    <w:rPr>
      <w:rFonts w:ascii="Times New Roman" w:eastAsia="Times New Roman" w:hAnsi="Times New Roman" w:cs="Times New Roman"/>
      <w:noProof/>
      <w:sz w:val="20"/>
      <w:szCs w:val="24"/>
      <w:lang w:val="hu-HU" w:eastAsia="hu-HU"/>
    </w:rPr>
  </w:style>
  <w:style w:type="character" w:customStyle="1" w:styleId="PagrindinistekstasDiagrama">
    <w:name w:val="Pagrindinis tekstas Diagrama"/>
    <w:basedOn w:val="Numatytasispastraiposriftas"/>
    <w:link w:val="Pagrindinistekstas"/>
    <w:rsid w:val="00E35DF9"/>
    <w:rPr>
      <w:rFonts w:ascii="Times New Roman" w:eastAsia="Times New Roman" w:hAnsi="Times New Roman" w:cs="Times New Roman"/>
      <w:noProof/>
      <w:sz w:val="20"/>
      <w:szCs w:val="24"/>
      <w:lang w:val="hu-HU" w:eastAsia="hu-HU"/>
    </w:rPr>
  </w:style>
  <w:style w:type="paragraph" w:styleId="prastasiniatinklio">
    <w:name w:val="Normal (Web)"/>
    <w:basedOn w:val="prastasis"/>
    <w:rsid w:val="00E35DF9"/>
    <w:pPr>
      <w:spacing w:before="100" w:beforeAutospacing="1" w:after="100" w:afterAutospacing="1" w:line="240" w:lineRule="auto"/>
    </w:pPr>
    <w:rPr>
      <w:rFonts w:ascii="Arial Unicode MS" w:eastAsia="Arial Unicode MS" w:hAnsi="Arial Unicode MS" w:cs="Arial Unicode MS"/>
      <w:szCs w:val="24"/>
      <w:lang w:eastAsia="hu-HU"/>
    </w:rPr>
  </w:style>
  <w:style w:type="paragraph" w:customStyle="1" w:styleId="EMEAEnBodyText">
    <w:name w:val="EMEA En Body Text"/>
    <w:basedOn w:val="prastasis"/>
    <w:rsid w:val="00E35DF9"/>
    <w:pPr>
      <w:spacing w:before="120" w:after="120" w:line="240" w:lineRule="auto"/>
      <w:jc w:val="both"/>
    </w:pPr>
    <w:rPr>
      <w:rFonts w:ascii="Times New Roman" w:eastAsia="Times New Roman" w:hAnsi="Times New Roman" w:cs="Times New Roman"/>
      <w:szCs w:val="20"/>
      <w:lang w:val="en-US"/>
    </w:rPr>
  </w:style>
  <w:style w:type="character" w:styleId="Puslapionumeris">
    <w:name w:val="page number"/>
    <w:basedOn w:val="Numatytasispastraiposriftas"/>
    <w:rsid w:val="00E35DF9"/>
  </w:style>
  <w:style w:type="paragraph" w:customStyle="1" w:styleId="Tblzat-szveg2CharCharChar">
    <w:name w:val="Táblázat-szöveg2 Char Char Char"/>
    <w:basedOn w:val="prastasis"/>
    <w:rsid w:val="00E35DF9"/>
    <w:pPr>
      <w:spacing w:before="60" w:after="60" w:line="240" w:lineRule="auto"/>
      <w:ind w:right="274"/>
    </w:pPr>
    <w:rPr>
      <w:rFonts w:ascii="Times New Roman" w:eastAsia="MS Mincho" w:hAnsi="Times New Roman" w:cs="Times New Roman"/>
      <w:szCs w:val="24"/>
    </w:rPr>
  </w:style>
  <w:style w:type="paragraph" w:customStyle="1" w:styleId="szvegCharCharCharCharChar">
    <w:name w:val="szöveg Char Char Char Char Char"/>
    <w:rsid w:val="00E35DF9"/>
    <w:pPr>
      <w:spacing w:after="0" w:line="360" w:lineRule="auto"/>
      <w:jc w:val="both"/>
    </w:pPr>
    <w:rPr>
      <w:rFonts w:ascii="Times New Roman" w:eastAsia="MS Mincho" w:hAnsi="Times New Roman" w:cs="Times New Roman"/>
      <w:snapToGrid w:val="0"/>
      <w:sz w:val="24"/>
      <w:szCs w:val="24"/>
      <w:lang w:val="en-GB"/>
    </w:rPr>
  </w:style>
  <w:style w:type="character" w:customStyle="1" w:styleId="Tblzatszveg1Char2">
    <w:name w:val="Táblázat szöveg1 Char2"/>
    <w:rsid w:val="00E35DF9"/>
    <w:rPr>
      <w:noProof w:val="0"/>
      <w:sz w:val="24"/>
      <w:lang w:val="hu-HU"/>
    </w:rPr>
  </w:style>
  <w:style w:type="character" w:customStyle="1" w:styleId="f14sb1">
    <w:name w:val="f14sb1"/>
    <w:rsid w:val="00E35DF9"/>
    <w:rPr>
      <w:rFonts w:ascii="Arial" w:hAnsi="Arial" w:cs="Arial" w:hint="default"/>
      <w:b/>
      <w:bCs/>
      <w:sz w:val="28"/>
      <w:szCs w:val="28"/>
    </w:rPr>
  </w:style>
  <w:style w:type="paragraph" w:customStyle="1" w:styleId="Tblzatszveg-kzpre">
    <w:name w:val="Táblázat szöveg - középre"/>
    <w:basedOn w:val="prastasis"/>
    <w:rsid w:val="00E35DF9"/>
    <w:pPr>
      <w:spacing w:before="60" w:after="60" w:line="240" w:lineRule="auto"/>
      <w:ind w:right="274"/>
      <w:jc w:val="center"/>
    </w:pPr>
    <w:rPr>
      <w:rFonts w:ascii="Times New Roman" w:eastAsia="MS Mincho" w:hAnsi="Times New Roman" w:cs="Times New Roman"/>
      <w:szCs w:val="20"/>
    </w:rPr>
  </w:style>
  <w:style w:type="paragraph" w:customStyle="1" w:styleId="BodyTextIndent31">
    <w:name w:val="Body Text Indent 31"/>
    <w:basedOn w:val="prastasis"/>
    <w:rsid w:val="00E35DF9"/>
    <w:pPr>
      <w:suppressAutoHyphens/>
      <w:overflowPunct w:val="0"/>
      <w:autoSpaceDE w:val="0"/>
      <w:autoSpaceDN w:val="0"/>
      <w:adjustRightInd w:val="0"/>
      <w:spacing w:after="0" w:line="240" w:lineRule="auto"/>
      <w:ind w:left="426"/>
      <w:textAlignment w:val="baseline"/>
    </w:pPr>
    <w:rPr>
      <w:rFonts w:ascii="Times New Roman" w:eastAsia="Times New Roman" w:hAnsi="Times New Roman" w:cs="Times New Roman"/>
      <w:szCs w:val="20"/>
      <w:lang w:val="en-GB" w:eastAsia="hu-HU"/>
    </w:rPr>
  </w:style>
  <w:style w:type="paragraph" w:styleId="Pagrindiniotekstotrauka2">
    <w:name w:val="Body Text Indent 2"/>
    <w:basedOn w:val="prastasis"/>
    <w:link w:val="Pagrindiniotekstotrauka2Diagrama"/>
    <w:rsid w:val="00E35DF9"/>
    <w:pPr>
      <w:suppressAutoHyphens/>
      <w:spacing w:after="0" w:line="360" w:lineRule="exact"/>
      <w:ind w:left="708"/>
    </w:pPr>
    <w:rPr>
      <w:rFonts w:ascii="Times New Roman" w:eastAsia="Times New Roman" w:hAnsi="Times New Roman" w:cs="Times New Roman"/>
      <w:b/>
      <w:color w:val="0000FF"/>
      <w:sz w:val="24"/>
      <w:szCs w:val="20"/>
      <w:lang w:val="en-GB" w:eastAsia="ar-SA"/>
    </w:rPr>
  </w:style>
  <w:style w:type="character" w:customStyle="1" w:styleId="Pagrindiniotekstotrauka2Diagrama">
    <w:name w:val="Pagrindinio teksto įtrauka 2 Diagrama"/>
    <w:basedOn w:val="Numatytasispastraiposriftas"/>
    <w:link w:val="Pagrindiniotekstotrauka2"/>
    <w:rsid w:val="00E35DF9"/>
    <w:rPr>
      <w:rFonts w:ascii="Times New Roman" w:eastAsia="Times New Roman" w:hAnsi="Times New Roman" w:cs="Times New Roman"/>
      <w:b/>
      <w:color w:val="0000FF"/>
      <w:sz w:val="24"/>
      <w:szCs w:val="20"/>
      <w:lang w:val="en-GB" w:eastAsia="ar-SA"/>
    </w:rPr>
  </w:style>
  <w:style w:type="character" w:customStyle="1" w:styleId="Ksztmnynv">
    <w:name w:val="Készítménynév"/>
    <w:rsid w:val="00E35DF9"/>
    <w:rPr>
      <w:b/>
      <w:bCs/>
      <w:sz w:val="30"/>
    </w:rPr>
  </w:style>
  <w:style w:type="paragraph" w:customStyle="1" w:styleId="StyleTblzat-szveg210pt">
    <w:name w:val="Style Táblázat-szöveg2 + 10 pt"/>
    <w:basedOn w:val="prastasis"/>
    <w:rsid w:val="00E35DF9"/>
    <w:pPr>
      <w:spacing w:before="60" w:after="60" w:line="240" w:lineRule="auto"/>
    </w:pPr>
    <w:rPr>
      <w:rFonts w:ascii="Times New Roman" w:eastAsia="Times New Roman" w:hAnsi="Times New Roman" w:cs="Times New Roman"/>
      <w:sz w:val="20"/>
      <w:szCs w:val="20"/>
      <w:lang w:eastAsia="hu-HU"/>
    </w:rPr>
  </w:style>
  <w:style w:type="character" w:customStyle="1" w:styleId="norm00e1lchar1">
    <w:name w:val="norm_00e1l__char1"/>
    <w:rsid w:val="00E35DF9"/>
    <w:rPr>
      <w:rFonts w:ascii="Times New Roman" w:hAnsi="Times New Roman" w:cs="Times New Roman" w:hint="default"/>
      <w:sz w:val="24"/>
      <w:szCs w:val="24"/>
    </w:rPr>
  </w:style>
  <w:style w:type="paragraph" w:styleId="Debesliotekstas">
    <w:name w:val="Balloon Text"/>
    <w:basedOn w:val="prastasis"/>
    <w:link w:val="DebesliotekstasDiagrama"/>
    <w:semiHidden/>
    <w:rsid w:val="00E35DF9"/>
    <w:pPr>
      <w:spacing w:after="0" w:line="240" w:lineRule="auto"/>
    </w:pPr>
    <w:rPr>
      <w:rFonts w:ascii="Tahoma" w:eastAsia="Times New Roman" w:hAnsi="Tahoma" w:cs="Times New Roman"/>
      <w:sz w:val="16"/>
      <w:szCs w:val="16"/>
      <w:lang w:val="hu-HU" w:eastAsia="hu-HU"/>
    </w:rPr>
  </w:style>
  <w:style w:type="character" w:customStyle="1" w:styleId="DebesliotekstasDiagrama">
    <w:name w:val="Debesėlio tekstas Diagrama"/>
    <w:basedOn w:val="Numatytasispastraiposriftas"/>
    <w:link w:val="Debesliotekstas"/>
    <w:semiHidden/>
    <w:rsid w:val="00E35DF9"/>
    <w:rPr>
      <w:rFonts w:ascii="Tahoma" w:eastAsia="Times New Roman" w:hAnsi="Tahoma" w:cs="Times New Roman"/>
      <w:sz w:val="16"/>
      <w:szCs w:val="16"/>
      <w:lang w:val="hu-HU" w:eastAsia="hu-HU"/>
    </w:rPr>
  </w:style>
  <w:style w:type="character" w:customStyle="1" w:styleId="CommentTextChar">
    <w:name w:val="Comment Text Char"/>
    <w:link w:val="CommentText1"/>
    <w:semiHidden/>
    <w:rsid w:val="00E35DF9"/>
    <w:rPr>
      <w:rFonts w:ascii="Times New Roman" w:eastAsia="Times New Roman" w:hAnsi="Times New Roman"/>
      <w:lang w:val="hu-HU" w:eastAsia="hu-HU"/>
    </w:rPr>
  </w:style>
  <w:style w:type="paragraph" w:customStyle="1" w:styleId="CommentText1">
    <w:name w:val="Comment Text1"/>
    <w:basedOn w:val="prastasis"/>
    <w:next w:val="Komentarotekstas"/>
    <w:link w:val="CommentTextChar"/>
    <w:semiHidden/>
    <w:rsid w:val="00E35DF9"/>
    <w:pPr>
      <w:spacing w:after="0" w:line="240" w:lineRule="auto"/>
    </w:pPr>
    <w:rPr>
      <w:rFonts w:ascii="Times New Roman" w:eastAsia="Times New Roman" w:hAnsi="Times New Roman"/>
      <w:lang w:val="hu-HU" w:eastAsia="hu-HU"/>
    </w:rPr>
  </w:style>
  <w:style w:type="character" w:customStyle="1" w:styleId="CommentTextChar1">
    <w:name w:val="Comment Text Char1"/>
    <w:basedOn w:val="Numatytasispastraiposriftas"/>
    <w:uiPriority w:val="99"/>
    <w:semiHidden/>
    <w:rsid w:val="00E35DF9"/>
    <w:rPr>
      <w:rFonts w:ascii="Calibri" w:eastAsia="Calibri" w:hAnsi="Calibri" w:cs="Times New Roman"/>
      <w:sz w:val="20"/>
      <w:szCs w:val="20"/>
    </w:rPr>
  </w:style>
  <w:style w:type="character" w:customStyle="1" w:styleId="KomentarotemaDiagrama">
    <w:name w:val="Komentaro tema Diagrama"/>
    <w:link w:val="Komentarotema"/>
    <w:semiHidden/>
    <w:rsid w:val="00E35DF9"/>
    <w:rPr>
      <w:rFonts w:ascii="Times New Roman" w:eastAsia="Times New Roman" w:hAnsi="Times New Roman"/>
      <w:b/>
      <w:bCs/>
      <w:lang w:val="hu-HU" w:eastAsia="hu-HU"/>
    </w:rPr>
  </w:style>
  <w:style w:type="paragraph" w:styleId="Komentarotekstas">
    <w:name w:val="annotation text"/>
    <w:basedOn w:val="prastasis"/>
    <w:link w:val="KomentarotekstasDiagrama"/>
    <w:uiPriority w:val="99"/>
    <w:semiHidden/>
    <w:unhideWhenUsed/>
    <w:rsid w:val="00E35DF9"/>
    <w:pPr>
      <w:spacing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E35DF9"/>
    <w:rPr>
      <w:sz w:val="20"/>
      <w:szCs w:val="20"/>
      <w:lang w:val="en-US"/>
    </w:rPr>
  </w:style>
  <w:style w:type="paragraph" w:styleId="Komentarotema">
    <w:name w:val="annotation subject"/>
    <w:basedOn w:val="Komentarotekstas"/>
    <w:next w:val="Komentarotekstas"/>
    <w:link w:val="KomentarotemaDiagrama"/>
    <w:semiHidden/>
    <w:rsid w:val="00E35DF9"/>
    <w:pPr>
      <w:spacing w:after="0"/>
    </w:pPr>
    <w:rPr>
      <w:rFonts w:ascii="Times New Roman" w:eastAsia="Times New Roman" w:hAnsi="Times New Roman"/>
      <w:b/>
      <w:bCs/>
      <w:sz w:val="22"/>
      <w:szCs w:val="22"/>
      <w:lang w:val="hu-HU" w:eastAsia="hu-HU"/>
    </w:rPr>
  </w:style>
  <w:style w:type="character" w:customStyle="1" w:styleId="CommentSubjectChar1">
    <w:name w:val="Comment Subject Char1"/>
    <w:basedOn w:val="KomentarotekstasDiagrama"/>
    <w:uiPriority w:val="99"/>
    <w:semiHidden/>
    <w:rsid w:val="00E35DF9"/>
    <w:rPr>
      <w:b/>
      <w:bCs/>
      <w:sz w:val="20"/>
      <w:szCs w:val="20"/>
      <w:lang w:val="en-US"/>
    </w:rPr>
  </w:style>
  <w:style w:type="paragraph" w:customStyle="1" w:styleId="Text">
    <w:name w:val="Text"/>
    <w:basedOn w:val="prastasis"/>
    <w:link w:val="TextZchn"/>
    <w:rsid w:val="00E35DF9"/>
    <w:pPr>
      <w:spacing w:before="14" w:after="144" w:line="300" w:lineRule="atLeast"/>
      <w:ind w:left="720" w:right="360" w:hanging="720"/>
    </w:pPr>
    <w:rPr>
      <w:rFonts w:ascii="Times New Roman" w:eastAsia="Times New Roman" w:hAnsi="Times New Roman" w:cs="Times New Roman"/>
      <w:noProof/>
      <w:color w:val="000000"/>
      <w:sz w:val="24"/>
      <w:szCs w:val="20"/>
      <w:lang w:val="en-GB"/>
    </w:rPr>
  </w:style>
  <w:style w:type="character" w:customStyle="1" w:styleId="TextZchn">
    <w:name w:val="Text Zchn"/>
    <w:link w:val="Text"/>
    <w:rsid w:val="00E35DF9"/>
    <w:rPr>
      <w:rFonts w:ascii="Times New Roman" w:eastAsia="Times New Roman" w:hAnsi="Times New Roman" w:cs="Times New Roman"/>
      <w:noProof/>
      <w:color w:val="000000"/>
      <w:sz w:val="24"/>
      <w:szCs w:val="20"/>
      <w:lang w:val="en-GB"/>
    </w:rPr>
  </w:style>
  <w:style w:type="paragraph" w:customStyle="1" w:styleId="BTEMEASMCA">
    <w:name w:val="BT EMEA_SMCA"/>
    <w:basedOn w:val="prastasis"/>
    <w:link w:val="BTEMEASMCAChar"/>
    <w:autoRedefine/>
    <w:rsid w:val="00E35DF9"/>
    <w:pPr>
      <w:spacing w:after="0" w:line="240" w:lineRule="auto"/>
    </w:pPr>
    <w:rPr>
      <w:rFonts w:ascii="Times New Roman" w:eastAsia="Times New Roman" w:hAnsi="Times New Roman" w:cs="Times New Roman"/>
      <w:noProof/>
      <w:sz w:val="20"/>
      <w:szCs w:val="20"/>
    </w:rPr>
  </w:style>
  <w:style w:type="character" w:customStyle="1" w:styleId="BTEMEASMCAChar">
    <w:name w:val="BT EMEA_SMCA Char"/>
    <w:link w:val="BTEMEASMCA"/>
    <w:rsid w:val="00E35DF9"/>
    <w:rPr>
      <w:rFonts w:ascii="Times New Roman" w:eastAsia="Times New Roman" w:hAnsi="Times New Roman" w:cs="Times New Roman"/>
      <w:noProof/>
      <w:sz w:val="20"/>
      <w:szCs w:val="20"/>
    </w:rPr>
  </w:style>
  <w:style w:type="paragraph" w:customStyle="1" w:styleId="PI-1EMEASMCA">
    <w:name w:val="PI-1 EMEA_SMCA"/>
    <w:basedOn w:val="Antrat2"/>
    <w:autoRedefine/>
    <w:rsid w:val="00E35DF9"/>
    <w:pPr>
      <w:tabs>
        <w:tab w:val="left" w:pos="567"/>
      </w:tabs>
      <w:ind w:left="567" w:hanging="567"/>
      <w:jc w:val="left"/>
    </w:pPr>
    <w:rPr>
      <w:b/>
      <w:szCs w:val="22"/>
      <w:u w:val="none"/>
      <w:lang w:eastAsia="en-US"/>
    </w:rPr>
  </w:style>
  <w:style w:type="paragraph" w:customStyle="1" w:styleId="PI-2EMEASMCA">
    <w:name w:val="PI-2 EMEA_SMCA"/>
    <w:basedOn w:val="Antrat3"/>
    <w:autoRedefine/>
    <w:rsid w:val="00E35DF9"/>
    <w:pPr>
      <w:keepLines/>
      <w:tabs>
        <w:tab w:val="left" w:pos="567"/>
      </w:tabs>
      <w:ind w:left="567" w:hanging="567"/>
      <w:jc w:val="left"/>
    </w:pPr>
    <w:rPr>
      <w:b/>
      <w:i w:val="0"/>
      <w:iCs w:val="0"/>
      <w:kern w:val="28"/>
      <w:szCs w:val="22"/>
      <w:lang w:eastAsia="en-US"/>
    </w:rPr>
  </w:style>
  <w:style w:type="paragraph" w:customStyle="1" w:styleId="TTEMEASMCA">
    <w:name w:val="TT EMEA_SMCA"/>
    <w:basedOn w:val="Antrat1"/>
    <w:autoRedefine/>
    <w:rsid w:val="00E35DF9"/>
    <w:pPr>
      <w:keepNext w:val="0"/>
      <w:tabs>
        <w:tab w:val="left" w:pos="567"/>
      </w:tabs>
      <w:ind w:left="567" w:hanging="567"/>
      <w:jc w:val="center"/>
    </w:pPr>
    <w:rPr>
      <w:b/>
      <w:caps/>
      <w:szCs w:val="22"/>
      <w:u w:val="none"/>
      <w:lang w:val="en-US" w:eastAsia="en-US"/>
    </w:rPr>
  </w:style>
  <w:style w:type="paragraph" w:customStyle="1" w:styleId="BTAnIIEMEASMCA">
    <w:name w:val="BT(AnII) EMEA_SMCA"/>
    <w:basedOn w:val="Debesliotekstas"/>
    <w:autoRedefine/>
    <w:rsid w:val="00E35DF9"/>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35DF9"/>
    <w:rPr>
      <w:u w:val="single"/>
    </w:rPr>
  </w:style>
  <w:style w:type="character" w:styleId="Hipersaitas">
    <w:name w:val="Hyperlink"/>
    <w:rsid w:val="00E35DF9"/>
    <w:rPr>
      <w:color w:val="0000FF"/>
      <w:u w:val="single"/>
    </w:rPr>
  </w:style>
  <w:style w:type="paragraph" w:customStyle="1" w:styleId="BTgEMEASMCA">
    <w:name w:val="BT(g) EMEA_SMCA"/>
    <w:basedOn w:val="BTEMEASMCA"/>
    <w:link w:val="BTgEMEASMCAChar"/>
    <w:autoRedefine/>
    <w:rsid w:val="00E35DF9"/>
    <w:rPr>
      <w:i/>
      <w:color w:val="008000"/>
    </w:rPr>
  </w:style>
  <w:style w:type="character" w:customStyle="1" w:styleId="BTgEMEASMCAChar">
    <w:name w:val="BT(g) EMEA_SMCA Char"/>
    <w:link w:val="BTgEMEASMCA"/>
    <w:rsid w:val="00E35DF9"/>
    <w:rPr>
      <w:rFonts w:ascii="Times New Roman" w:eastAsia="Times New Roman" w:hAnsi="Times New Roman" w:cs="Times New Roman"/>
      <w:i/>
      <w:noProof/>
      <w:color w:val="008000"/>
      <w:sz w:val="20"/>
      <w:szCs w:val="20"/>
    </w:rPr>
  </w:style>
  <w:style w:type="paragraph" w:customStyle="1" w:styleId="Default">
    <w:name w:val="Default"/>
    <w:rsid w:val="00E35DF9"/>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 w:type="character" w:styleId="Komentaronuoroda">
    <w:name w:val="annotation reference"/>
    <w:semiHidden/>
    <w:rsid w:val="00E35DF9"/>
    <w:rPr>
      <w:sz w:val="16"/>
      <w:szCs w:val="16"/>
    </w:rPr>
  </w:style>
  <w:style w:type="paragraph" w:styleId="Puslapioinaostekstas">
    <w:name w:val="footnote text"/>
    <w:basedOn w:val="prastasis"/>
    <w:link w:val="PuslapioinaostekstasDiagrama"/>
    <w:uiPriority w:val="99"/>
    <w:semiHidden/>
    <w:unhideWhenUsed/>
    <w:rsid w:val="00E35DF9"/>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35DF9"/>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E35DF9"/>
    <w:rPr>
      <w:vertAlign w:val="superscript"/>
    </w:rPr>
  </w:style>
  <w:style w:type="paragraph" w:styleId="Sraopastraipa">
    <w:name w:val="List Paragraph"/>
    <w:basedOn w:val="prastasis"/>
    <w:uiPriority w:val="34"/>
    <w:qFormat/>
    <w:rsid w:val="00E35DF9"/>
    <w:pPr>
      <w:spacing w:after="200" w:line="276" w:lineRule="auto"/>
      <w:ind w:left="720"/>
      <w:contextualSpacing/>
    </w:pPr>
    <w:rPr>
      <w:rFonts w:ascii="Calibri" w:eastAsia="Calibri" w:hAnsi="Calibri" w:cs="Times New Roman"/>
    </w:rPr>
  </w:style>
  <w:style w:type="paragraph" w:styleId="Pataisymai">
    <w:name w:val="Revision"/>
    <w:hidden/>
    <w:uiPriority w:val="99"/>
    <w:semiHidden/>
    <w:rsid w:val="00E35DF9"/>
    <w:pPr>
      <w:spacing w:after="0" w:line="240" w:lineRule="auto"/>
    </w:pPr>
    <w:rPr>
      <w:rFonts w:ascii="Calibri" w:eastAsia="Calibri" w:hAnsi="Calibri" w:cs="Times New Roman"/>
    </w:rPr>
  </w:style>
  <w:style w:type="table" w:styleId="Lentelstinklelis">
    <w:name w:val="Table Grid"/>
    <w:basedOn w:val="prastojilentel"/>
    <w:uiPriority w:val="59"/>
    <w:rsid w:val="00E3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
    <w:uiPriority w:val="99"/>
    <w:semiHidden/>
    <w:rsid w:val="00E35DF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BF0C9-8E5C-4289-9AF8-056237439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ACC19-86CD-4D1D-A54F-CF3E54824F60}">
  <ds:schemaRefs>
    <ds:schemaRef ds:uri="http://purl.org/dc/dcmitype/"/>
    <ds:schemaRef ds:uri="http://schemas.openxmlformats.org/package/2006/metadata/core-properties"/>
    <ds:schemaRef ds:uri="http://schemas.microsoft.com/office/2006/documentManagement/types"/>
    <ds:schemaRef ds:uri="8c54d1d4-8a50-4b16-b050-2289fc7c4d80"/>
    <ds:schemaRef ds:uri="cb0b4dfd-1452-42df-bcc2-835b32a0f636"/>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691801-5FD6-466F-B793-EE6E8DF6E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52218</Words>
  <Characters>29765</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Albina Burkauskaitė</cp:lastModifiedBy>
  <cp:revision>3</cp:revision>
  <dcterms:created xsi:type="dcterms:W3CDTF">2020-07-09T10:42:00Z</dcterms:created>
  <dcterms:modified xsi:type="dcterms:W3CDTF">2020-07-09T10:44:00Z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