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6AC" w:rsidRPr="00E35DF9" w:rsidRDefault="002946AC" w:rsidP="002946AC">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b/>
        </w:rPr>
        <w:t>Pakuotės lapelis: informacija pacientui</w:t>
      </w:r>
    </w:p>
    <w:p w:rsidR="002946AC" w:rsidRPr="00E35DF9" w:rsidRDefault="002946AC" w:rsidP="002946AC">
      <w:pPr>
        <w:autoSpaceDE w:val="0"/>
        <w:autoSpaceDN w:val="0"/>
        <w:adjustRightInd w:val="0"/>
        <w:spacing w:after="0" w:line="240" w:lineRule="auto"/>
        <w:jc w:val="center"/>
        <w:rPr>
          <w:rFonts w:ascii="Times New Roman" w:eastAsia="Calibri" w:hAnsi="Times New Roman" w:cs="Times New Roman"/>
          <w:b/>
        </w:rPr>
      </w:pPr>
    </w:p>
    <w:p w:rsidR="002946AC" w:rsidRPr="00E35DF9" w:rsidRDefault="002946AC" w:rsidP="002946AC">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b/>
        </w:rPr>
        <w:t>Egolanza 5 mg plėvele dengtos tabletės</w:t>
      </w:r>
    </w:p>
    <w:p w:rsidR="002946AC" w:rsidRPr="00E35DF9" w:rsidRDefault="002946AC" w:rsidP="002946AC">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b/>
        </w:rPr>
        <w:t>Egolanza 7,5 mg plėvele dengtos tabletės</w:t>
      </w:r>
    </w:p>
    <w:p w:rsidR="002946AC" w:rsidRPr="00E35DF9" w:rsidRDefault="002946AC" w:rsidP="002946AC">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b/>
        </w:rPr>
        <w:t>Egolanza 10 mg plėvele dengtos tabletės</w:t>
      </w:r>
    </w:p>
    <w:p w:rsidR="002946AC" w:rsidRPr="00E35DF9" w:rsidRDefault="002946AC" w:rsidP="002946AC">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b/>
        </w:rPr>
        <w:t>Egolanza 15 mg plėvele dengtos tabletės</w:t>
      </w:r>
    </w:p>
    <w:p w:rsidR="002946AC" w:rsidRPr="00E35DF9" w:rsidRDefault="002946AC" w:rsidP="002946AC">
      <w:pPr>
        <w:autoSpaceDE w:val="0"/>
        <w:autoSpaceDN w:val="0"/>
        <w:adjustRightInd w:val="0"/>
        <w:spacing w:after="0" w:line="240" w:lineRule="auto"/>
        <w:jc w:val="center"/>
        <w:rPr>
          <w:rFonts w:ascii="Times New Roman" w:eastAsia="Calibri" w:hAnsi="Times New Roman" w:cs="Times New Roman"/>
          <w:b/>
        </w:rPr>
      </w:pPr>
      <w:r w:rsidRPr="00E35DF9">
        <w:rPr>
          <w:rFonts w:ascii="Times New Roman" w:eastAsia="Calibri" w:hAnsi="Times New Roman" w:cs="Times New Roman"/>
          <w:b/>
        </w:rPr>
        <w:t>Egolanza 20 mg plėvele dengtos tabletės</w:t>
      </w:r>
    </w:p>
    <w:p w:rsidR="002946AC" w:rsidRPr="00E35DF9" w:rsidRDefault="002946AC" w:rsidP="002946AC">
      <w:pPr>
        <w:autoSpaceDE w:val="0"/>
        <w:autoSpaceDN w:val="0"/>
        <w:adjustRightInd w:val="0"/>
        <w:spacing w:after="0" w:line="240" w:lineRule="auto"/>
        <w:jc w:val="center"/>
        <w:rPr>
          <w:rFonts w:ascii="Times New Roman" w:eastAsia="Calibri" w:hAnsi="Times New Roman" w:cs="Times New Roman"/>
        </w:rPr>
      </w:pPr>
      <w:r w:rsidRPr="00E35DF9">
        <w:rPr>
          <w:rFonts w:ascii="Times New Roman" w:eastAsia="Calibri" w:hAnsi="Times New Roman" w:cs="Times New Roman"/>
        </w:rPr>
        <w:t>Olanzapinas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Atidžiai perskaitykite visą šį lapelį, prieš pradėdami vartoti vaistą, nes jame pateikiama Jums svarbi informacija</w:t>
      </w: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w:t>
      </w:r>
      <w:r w:rsidRPr="00E35DF9">
        <w:rPr>
          <w:rFonts w:ascii="Times New Roman" w:eastAsia="Calibri" w:hAnsi="Times New Roman" w:cs="Times New Roman"/>
        </w:rPr>
        <w:tab/>
        <w:t>Neišmeskite šio lapelio, nes vėl gali prireikti jį perskaityti.</w:t>
      </w: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w:t>
      </w:r>
      <w:r w:rsidRPr="00E35DF9">
        <w:rPr>
          <w:rFonts w:ascii="Times New Roman" w:eastAsia="Calibri" w:hAnsi="Times New Roman" w:cs="Times New Roman"/>
        </w:rPr>
        <w:tab/>
        <w:t>Jeigu kiltų daugiau klausimų, kreipkitės į gydytoją</w:t>
      </w:r>
      <w:r w:rsidRPr="00E35DF9">
        <w:rPr>
          <w:rFonts w:ascii="Times New Roman" w:eastAsia="Times New Roman" w:hAnsi="Times New Roman" w:cs="Times New Roman"/>
          <w:lang w:eastAsia="hu-HU"/>
        </w:rPr>
        <w:t>,</w:t>
      </w:r>
      <w:r w:rsidRPr="00E35DF9">
        <w:rPr>
          <w:rFonts w:ascii="Times New Roman" w:eastAsia="Calibri" w:hAnsi="Times New Roman" w:cs="Times New Roman"/>
        </w:rPr>
        <w:t xml:space="preserve"> vaistininką</w:t>
      </w:r>
      <w:r w:rsidRPr="00E35DF9">
        <w:rPr>
          <w:rFonts w:ascii="Times New Roman" w:eastAsia="Times New Roman" w:hAnsi="Times New Roman" w:cs="Times New Roman"/>
          <w:lang w:eastAsia="hu-HU"/>
        </w:rPr>
        <w:t xml:space="preserve"> arba slaugytoją</w:t>
      </w:r>
      <w:r w:rsidRPr="00E35DF9">
        <w:rPr>
          <w:rFonts w:ascii="Times New Roman" w:eastAsia="Calibri" w:hAnsi="Times New Roman" w:cs="Times New Roman"/>
        </w:rPr>
        <w:t>.</w:t>
      </w: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w:t>
      </w:r>
      <w:r w:rsidRPr="00E35DF9">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w:t>
      </w:r>
      <w:r w:rsidRPr="00E35DF9">
        <w:rPr>
          <w:rFonts w:ascii="Times New Roman" w:eastAsia="Calibri" w:hAnsi="Times New Roman" w:cs="Times New Roman"/>
        </w:rPr>
        <w:tab/>
        <w:t>Jeigu pasireiškė šalutinis poveikis (net jeigu jis šiame lapelyje nenurodytas), kreipkitės į gydytoją</w:t>
      </w:r>
      <w:r w:rsidRPr="00E35DF9">
        <w:rPr>
          <w:rFonts w:ascii="Times New Roman" w:eastAsia="Times New Roman" w:hAnsi="Times New Roman" w:cs="Times New Roman"/>
          <w:lang w:eastAsia="hu-HU"/>
        </w:rPr>
        <w:t>,</w:t>
      </w:r>
      <w:r w:rsidRPr="00E35DF9">
        <w:rPr>
          <w:rFonts w:ascii="Times New Roman" w:eastAsia="Calibri" w:hAnsi="Times New Roman" w:cs="Times New Roman"/>
        </w:rPr>
        <w:t xml:space="preserve"> vaistininką</w:t>
      </w:r>
      <w:r w:rsidRPr="00E35DF9">
        <w:rPr>
          <w:rFonts w:ascii="Times New Roman" w:eastAsia="Times New Roman" w:hAnsi="Times New Roman" w:cs="Times New Roman"/>
          <w:lang w:eastAsia="hu-HU"/>
        </w:rPr>
        <w:t xml:space="preserve"> arba slaugytoją. Žr. 4 skyrių</w:t>
      </w:r>
      <w:r w:rsidRPr="00E35DF9">
        <w:rPr>
          <w:rFonts w:ascii="Times New Roman" w:eastAsia="Calibri" w:hAnsi="Times New Roman" w:cs="Times New Roman"/>
        </w:rPr>
        <w:t>.</w:t>
      </w: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keepNext/>
        <w:spacing w:after="0" w:line="240" w:lineRule="auto"/>
        <w:jc w:val="both"/>
        <w:outlineLvl w:val="3"/>
        <w:rPr>
          <w:rFonts w:ascii="Times New Roman" w:eastAsia="Times New Roman" w:hAnsi="Times New Roman" w:cs="Times New Roman"/>
          <w:b/>
          <w:iCs/>
          <w:lang w:eastAsia="hu-HU"/>
        </w:rPr>
      </w:pPr>
      <w:r w:rsidRPr="00E35DF9">
        <w:rPr>
          <w:rFonts w:ascii="Times New Roman" w:eastAsia="Times New Roman" w:hAnsi="Times New Roman" w:cs="Times New Roman"/>
          <w:b/>
          <w:iCs/>
          <w:lang w:eastAsia="hu-HU"/>
        </w:rPr>
        <w:t>Apie ką rašoma šiame lapelyje?</w:t>
      </w: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1.</w:t>
      </w:r>
      <w:r w:rsidRPr="00E35DF9">
        <w:rPr>
          <w:rFonts w:ascii="Times New Roman" w:eastAsia="Calibri" w:hAnsi="Times New Roman" w:cs="Times New Roman"/>
        </w:rPr>
        <w:tab/>
        <w:t>Kas yra Egolanza ir kam jis vartojamas</w:t>
      </w: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2.</w:t>
      </w:r>
      <w:r w:rsidRPr="00E35DF9">
        <w:rPr>
          <w:rFonts w:ascii="Times New Roman" w:eastAsia="Calibri" w:hAnsi="Times New Roman" w:cs="Times New Roman"/>
        </w:rPr>
        <w:tab/>
        <w:t>Kas žinotina prieš vartojant Egolanza</w:t>
      </w: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3.</w:t>
      </w:r>
      <w:r w:rsidRPr="00E35DF9">
        <w:rPr>
          <w:rFonts w:ascii="Times New Roman" w:eastAsia="Calibri" w:hAnsi="Times New Roman" w:cs="Times New Roman"/>
        </w:rPr>
        <w:tab/>
        <w:t>Kaip vartoti Egolanza</w:t>
      </w: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4.</w:t>
      </w:r>
      <w:r w:rsidRPr="00E35DF9">
        <w:rPr>
          <w:rFonts w:ascii="Times New Roman" w:eastAsia="Calibri" w:hAnsi="Times New Roman" w:cs="Times New Roman"/>
        </w:rPr>
        <w:tab/>
        <w:t>Galimas šalutinis poveikis</w:t>
      </w: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5.</w:t>
      </w:r>
      <w:r w:rsidRPr="00E35DF9">
        <w:rPr>
          <w:rFonts w:ascii="Times New Roman" w:eastAsia="Calibri" w:hAnsi="Times New Roman" w:cs="Times New Roman"/>
        </w:rPr>
        <w:tab/>
        <w:t>Kaip laikyti Egolanza</w:t>
      </w: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6.</w:t>
      </w:r>
      <w:r w:rsidRPr="00E35DF9">
        <w:rPr>
          <w:rFonts w:ascii="Times New Roman" w:eastAsia="Calibri" w:hAnsi="Times New Roman" w:cs="Times New Roman"/>
        </w:rPr>
        <w:tab/>
        <w:t>Pakuotės turinys ir kita informacija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numPr>
          <w:ilvl w:val="0"/>
          <w:numId w:val="1"/>
        </w:num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 xml:space="preserve">Kas yra Egolanza ir kam jis vartojamas </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sudėtyje yra veikliosios medžiagos olanzapino. Egolanza tabletės priklauso vaistų, vadinamų antipsichoziniais, grupei</w:t>
      </w:r>
      <w:r w:rsidRPr="00E35DF9">
        <w:rPr>
          <w:rFonts w:ascii="Calibri" w:eastAsia="Calibri" w:hAnsi="Calibri" w:cs="Times New Roman"/>
        </w:rPr>
        <w:t xml:space="preserve"> </w:t>
      </w:r>
      <w:r w:rsidRPr="00E35DF9">
        <w:rPr>
          <w:rFonts w:ascii="Times New Roman" w:eastAsia="Calibri" w:hAnsi="Times New Roman" w:cs="Times New Roman"/>
        </w:rPr>
        <w:t>ir yra vartojamas toliau išvardytoms būklėms gydyti.</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rPr>
      </w:pPr>
      <w:r w:rsidRPr="00E35DF9">
        <w:rPr>
          <w:rFonts w:ascii="Times New Roman" w:eastAsia="Calibri" w:hAnsi="Times New Roman" w:cs="Times New Roman"/>
        </w:rPr>
        <w:t xml:space="preserve">Šizofrenija. Tai yra liga, kuriai būdingi šie simptomai: nesančių garsų girdėjimas, nesančių </w:t>
      </w:r>
    </w:p>
    <w:p w:rsidR="002946AC" w:rsidRPr="00E35DF9" w:rsidRDefault="002946AC" w:rsidP="002946AC">
      <w:pPr>
        <w:autoSpaceDE w:val="0"/>
        <w:autoSpaceDN w:val="0"/>
        <w:adjustRightInd w:val="0"/>
        <w:spacing w:after="0" w:line="240" w:lineRule="auto"/>
        <w:ind w:left="567"/>
        <w:rPr>
          <w:rFonts w:ascii="Times New Roman" w:eastAsia="Calibri" w:hAnsi="Times New Roman" w:cs="Times New Roman"/>
        </w:rPr>
      </w:pPr>
      <w:r w:rsidRPr="00E35DF9">
        <w:rPr>
          <w:rFonts w:ascii="Times New Roman" w:eastAsia="Calibri" w:hAnsi="Times New Roman" w:cs="Times New Roman"/>
        </w:rPr>
        <w:t>daiktų matymas ar jutimas, klaidingi įsitikinimai, neįprastas įtarumas ir nepritapimas. Žmonės,</w:t>
      </w:r>
    </w:p>
    <w:p w:rsidR="002946AC" w:rsidRPr="00E35DF9" w:rsidRDefault="002946AC" w:rsidP="002946AC">
      <w:pPr>
        <w:autoSpaceDE w:val="0"/>
        <w:autoSpaceDN w:val="0"/>
        <w:adjustRightInd w:val="0"/>
        <w:spacing w:after="0" w:line="240" w:lineRule="auto"/>
        <w:ind w:left="567"/>
        <w:rPr>
          <w:rFonts w:ascii="Times New Roman" w:eastAsia="Calibri" w:hAnsi="Times New Roman" w:cs="Times New Roman"/>
        </w:rPr>
      </w:pPr>
      <w:r w:rsidRPr="00E35DF9">
        <w:rPr>
          <w:rFonts w:ascii="Times New Roman" w:eastAsia="Calibri" w:hAnsi="Times New Roman" w:cs="Times New Roman"/>
        </w:rPr>
        <w:t xml:space="preserve">sergantys šia liga, gali jaustis prislėgti, apimti nerimo ar įsitempę. </w:t>
      </w:r>
    </w:p>
    <w:p w:rsidR="002946AC" w:rsidRPr="00E35DF9" w:rsidRDefault="002946AC" w:rsidP="002946AC">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rPr>
      </w:pPr>
      <w:r w:rsidRPr="00E35DF9">
        <w:rPr>
          <w:rFonts w:ascii="Times New Roman" w:eastAsia="Calibri" w:hAnsi="Times New Roman" w:cs="Times New Roman"/>
        </w:rPr>
        <w:t>Vidutinio sunkumo ir sunkūs manijos epizodai. Tai yra būklė, kuriai būdingi susijaudinimo ar</w:t>
      </w:r>
    </w:p>
    <w:p w:rsidR="002946AC" w:rsidRPr="00E35DF9" w:rsidRDefault="002946AC" w:rsidP="002946AC">
      <w:pPr>
        <w:autoSpaceDE w:val="0"/>
        <w:autoSpaceDN w:val="0"/>
        <w:adjustRightInd w:val="0"/>
        <w:spacing w:after="0" w:line="240" w:lineRule="auto"/>
        <w:ind w:left="567"/>
        <w:rPr>
          <w:rFonts w:ascii="Times New Roman" w:eastAsia="Calibri" w:hAnsi="Times New Roman" w:cs="Times New Roman"/>
        </w:rPr>
      </w:pPr>
      <w:r w:rsidRPr="00E35DF9">
        <w:rPr>
          <w:rFonts w:ascii="Times New Roman" w:eastAsia="Calibri" w:hAnsi="Times New Roman" w:cs="Times New Roman"/>
        </w:rPr>
        <w:t>euforijos simptomai.</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Nustatyta, kad Egolanza apsaugo nuo šių simptomų pasikartojimo pacientams, kuriems pasireiškia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bipolinis sutrikimas, jeigu gydant manijos epizodą, buvo reakcija į gydymą olanzapinu. </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numPr>
          <w:ilvl w:val="0"/>
          <w:numId w:val="1"/>
        </w:num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Kas žinotina prieš vartojant Egolanza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Egolanza vartoti negalima:</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jeigu yra alergija olanzapinui arba bet kuriai pagalbinei šio vaisto medžiagai (jos išvardytos 6 skyriuje). Alerginė reakcija gali pasireikšti išbėrimu, niežėjimu, veido ir lūpų patinimu ar dusuliu. Jei Jums tai nutiko, pasakykite gydytojui.</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Jeigu Jums buvo anksčiau nustatyti akių sutrikimai, tokie kaip tam tikros rūšies glaukoma (padidėjęs akispūdis).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Įspėjimai ir atsargumo priemonės: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Pasitarkite su gydytoju arba vaistininku prieš pradėdami vartoti Egolanza.</w:t>
      </w:r>
    </w:p>
    <w:p w:rsidR="002946AC" w:rsidRPr="00E35DF9" w:rsidRDefault="002946AC" w:rsidP="002946AC">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E35DF9">
        <w:rPr>
          <w:rFonts w:ascii="Times New Roman" w:eastAsia="Calibri" w:hAnsi="Times New Roman" w:cs="Times New Roman"/>
        </w:rPr>
        <w:t xml:space="preserve">Egolanza nerekomenduojama vartoti demencija sergantiems senyviems pacientams, nes tai </w:t>
      </w:r>
    </w:p>
    <w:p w:rsidR="002946AC" w:rsidRPr="00E35DF9" w:rsidRDefault="002946AC" w:rsidP="002946AC">
      <w:pPr>
        <w:autoSpaceDE w:val="0"/>
        <w:autoSpaceDN w:val="0"/>
        <w:adjustRightInd w:val="0"/>
        <w:spacing w:after="0" w:line="240" w:lineRule="auto"/>
        <w:ind w:left="567"/>
        <w:rPr>
          <w:rFonts w:ascii="Times New Roman" w:eastAsia="Calibri" w:hAnsi="Times New Roman" w:cs="Times New Roman"/>
        </w:rPr>
      </w:pPr>
      <w:r w:rsidRPr="00E35DF9">
        <w:rPr>
          <w:rFonts w:ascii="Times New Roman" w:eastAsia="Calibri" w:hAnsi="Times New Roman" w:cs="Times New Roman"/>
        </w:rPr>
        <w:t>gali sukelti sunkų šalutinį poveikį.</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lastRenderedPageBreak/>
        <w:t>Šios rūšies vaistai gali sukelti neįprastus judesius, ypač veido ir liežuvio. Jei Jums tai pasireiškė vartojant Egolanza tabletes, kreipkitės į gydytoją.</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Labai retai šios grupės vaistai sukelia karščiavimo, kvėpavimo pagreitėjimo, prakaitavimo, raumenų sustingimo ir apsnūdimo bei mieguistumo derinį. Jei Jums tai pasireiškė, nedelsdami kreipkitės į gydytoją.</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Egolanza vartojantiems pacientams buvo stebimas kūno svorio didėjimas. Jūs ir Jūsų gydytojas turite reguliariai tikrinti savo kūno svorį.</w:t>
      </w:r>
      <w:r w:rsidRPr="00E35DF9">
        <w:rPr>
          <w:rFonts w:ascii="Calibri" w:eastAsia="Calibri" w:hAnsi="Calibri" w:cs="Times New Roman"/>
        </w:rPr>
        <w:t xml:space="preserve"> </w:t>
      </w:r>
      <w:r w:rsidRPr="00E35DF9">
        <w:rPr>
          <w:rFonts w:ascii="Times New Roman" w:eastAsia="Calibri" w:hAnsi="Times New Roman" w:cs="Times New Roman"/>
        </w:rPr>
        <w:t>Apsvarstykite galimybę kreiptis į dietologą arba pagalbos sudarant dietos planą, jei reikia.</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Egolanza vartojantiems pacientams buvo nustatytos didelės gliukozės ir riebalinių medžiagų (trigliceridų ir cholesterolio) koncentracijos kraujyje. Gydytojas turės atlikti kraujo tyrimus gliukozės ir tam tikrų riebalinių medžiagų koncentracijoms kraujyje nustatyti prieš pradedant vartoti Egolanza ir reguliariai gydymo metu.</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Pasakykite gydytojui, jeigu Jums arba kuriam nors Jūsų kraujo giminaičiui kraujagyslėse buvo</w:t>
      </w:r>
    </w:p>
    <w:p w:rsidR="002946AC" w:rsidRPr="00E35DF9" w:rsidRDefault="002946AC" w:rsidP="002946AC">
      <w:pPr>
        <w:autoSpaceDE w:val="0"/>
        <w:autoSpaceDN w:val="0"/>
        <w:adjustRightInd w:val="0"/>
        <w:spacing w:after="0" w:line="240" w:lineRule="auto"/>
        <w:ind w:left="567"/>
        <w:rPr>
          <w:rFonts w:ascii="Times New Roman" w:eastAsia="Calibri" w:hAnsi="Times New Roman" w:cs="Times New Roman"/>
        </w:rPr>
      </w:pPr>
      <w:r w:rsidRPr="00E35DF9">
        <w:rPr>
          <w:rFonts w:ascii="Times New Roman" w:eastAsia="Calibri" w:hAnsi="Times New Roman" w:cs="Times New Roman"/>
        </w:rPr>
        <w:t>susiformavę kraujo krešuliai, nes į šį vaistą panašūs vaistai yra susiję su kraujo krešulių</w:t>
      </w:r>
    </w:p>
    <w:p w:rsidR="002946AC" w:rsidRPr="00E35DF9" w:rsidRDefault="002946AC" w:rsidP="002946AC">
      <w:pPr>
        <w:autoSpaceDE w:val="0"/>
        <w:autoSpaceDN w:val="0"/>
        <w:adjustRightInd w:val="0"/>
        <w:spacing w:after="0" w:line="240" w:lineRule="auto"/>
        <w:ind w:left="567"/>
        <w:rPr>
          <w:rFonts w:ascii="Times New Roman" w:eastAsia="Calibri" w:hAnsi="Times New Roman" w:cs="Times New Roman"/>
        </w:rPr>
      </w:pPr>
      <w:r w:rsidRPr="00E35DF9">
        <w:rPr>
          <w:rFonts w:ascii="Times New Roman" w:eastAsia="Calibri" w:hAnsi="Times New Roman" w:cs="Times New Roman"/>
        </w:rPr>
        <w:t>formavimusi.</w:t>
      </w:r>
    </w:p>
    <w:p w:rsidR="002946AC" w:rsidRPr="00E35DF9" w:rsidRDefault="002946AC" w:rsidP="002946AC">
      <w:pPr>
        <w:autoSpaceDE w:val="0"/>
        <w:autoSpaceDN w:val="0"/>
        <w:adjustRightInd w:val="0"/>
        <w:spacing w:after="0" w:line="240" w:lineRule="auto"/>
        <w:ind w:left="567"/>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Nedelsdami pasakykite gydytojui, jeigu sergate šiomis ligomis: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insultu ar „mikro” insultu (laikini insulto simptomai);</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Parkinsono liga;</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prostatos ligomis;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žarnų nepraeinamumu (žarnų paralyžiniu nepraeinamumu);</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kepenų ar inkstų liga;</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kraujo sutrikimu;</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širdies liga;</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lang w:val="en-US"/>
        </w:rPr>
        <w:t>diabetu;</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traukuliais</w:t>
      </w:r>
      <w:r w:rsidRPr="00E35DF9">
        <w:rPr>
          <w:rFonts w:ascii="Times New Roman" w:eastAsia="Times New Roman" w:hAnsi="Times New Roman" w:cs="Times New Roman"/>
          <w:lang w:eastAsia="hu-HU"/>
        </w:rPr>
        <w:t>;</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jei žinote, kad dėl ilgo sunkaus viduriavimo ir vėmimo (šleikštulio) ar diuretikų (šlapimą varančių tablečių) vartojimo jums gali būti druskų stoka.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Jei sergate demencija ir kada nors Jus buvo ištikęs insultas arba „mikro” insultas, Jūs arba Jumis besirūpinantis asmuo ar giminaitis turi apie tai pasakyti gydytojui.</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Jei esate vyresnis negu 65 metų, dėl atsargumo gydytojas gali reguliariai tikrinti Jūsų kraujospūdį.</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Vaikams ir paaugliams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netinka vartoti pacientams, jaunesniems kaip 18 metų.</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keepNext/>
        <w:spacing w:after="0" w:line="240" w:lineRule="auto"/>
        <w:outlineLvl w:val="8"/>
        <w:rPr>
          <w:rFonts w:ascii="Times New Roman" w:eastAsia="Times New Roman" w:hAnsi="Times New Roman" w:cs="Times New Roman"/>
          <w:b/>
          <w:bCs/>
          <w:lang w:eastAsia="hu-HU"/>
        </w:rPr>
      </w:pPr>
      <w:r w:rsidRPr="00E35DF9">
        <w:rPr>
          <w:rFonts w:ascii="Times New Roman" w:eastAsia="Times New Roman" w:hAnsi="Times New Roman" w:cs="Times New Roman"/>
          <w:b/>
          <w:bCs/>
          <w:lang w:eastAsia="hu-HU"/>
        </w:rPr>
        <w:t>Kiti vaistai ir Egolanza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Kitų vaistų kartu su Egolanza galima vartoti tik gydytojui leidus. Jeigu kartu su Egolanza vartosite antidepresantus ar vaistus, mažinančius nerimą arba padedančius užmigti (trankviliantus), galite būti mieguistas.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Jeigu vartojate ar neseniai vartojote kitų vaistų arba dėl to nesate tikri, apie tai pasakykite gydytojui.</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Labai svarbu pasakyti gydytojui, jeigu vartojate:</w:t>
      </w: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w:t>
      </w:r>
      <w:r w:rsidRPr="00E35DF9">
        <w:rPr>
          <w:rFonts w:ascii="Times New Roman" w:eastAsia="Calibri" w:hAnsi="Times New Roman" w:cs="Times New Roman"/>
        </w:rPr>
        <w:tab/>
        <w:t>vaistų Parkinsono ligai gydyti;</w:t>
      </w: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w:t>
      </w:r>
      <w:r w:rsidRPr="00E35DF9">
        <w:rPr>
          <w:rFonts w:ascii="Times New Roman" w:eastAsia="Calibri" w:hAnsi="Times New Roman" w:cs="Times New Roman"/>
        </w:rPr>
        <w:tab/>
        <w:t>karbamazepiną (antiepilepsinis ir nuotaiką stabilizuojantis vaistas), fluvoksaminą (antidepresantas) arba ciprofloksaciną (antibiotikas). Gali prireikti keisti Egolanza dozę.</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keepNext/>
        <w:widowControl w:val="0"/>
        <w:autoSpaceDE w:val="0"/>
        <w:autoSpaceDN w:val="0"/>
        <w:adjustRightInd w:val="0"/>
        <w:spacing w:after="0" w:line="240" w:lineRule="auto"/>
        <w:outlineLvl w:val="6"/>
        <w:rPr>
          <w:rFonts w:ascii="Times New Roman" w:eastAsia="Times New Roman" w:hAnsi="Times New Roman" w:cs="Times New Roman"/>
          <w:b/>
          <w:bCs/>
          <w:lang w:eastAsia="hu-HU"/>
        </w:rPr>
      </w:pPr>
      <w:r w:rsidRPr="00E35DF9">
        <w:rPr>
          <w:rFonts w:ascii="Times New Roman" w:eastAsia="Times New Roman" w:hAnsi="Times New Roman" w:cs="Times New Roman"/>
          <w:b/>
          <w:bCs/>
          <w:lang w:eastAsia="hu-HU"/>
        </w:rPr>
        <w:t xml:space="preserve">Egolanza vartojimas su alkoholiu </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Vartojant Egolanza, alkoholio vartoti negalima, kadangi kartu vartojamas Egolanza ir alkoholis gali sukelti mieguistumą.</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Nėštumas, žindymo laikotarpis ir vaisingumas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Jeigu esate nėščia</w:t>
      </w:r>
      <w:r w:rsidRPr="00E35DF9">
        <w:rPr>
          <w:rFonts w:ascii="Times New Roman" w:eastAsia="Times New Roman" w:hAnsi="Times New Roman" w:cs="Times New Roman"/>
          <w:lang w:eastAsia="hu-HU"/>
        </w:rPr>
        <w:t>, žindote kūdikį, manote, kad galbūt esate nėščia, arba planuojate pastoti, tai prieš vartodama šį vaistą, pasitarkite su gydytoju.</w:t>
      </w:r>
      <w:r w:rsidRPr="00E35DF9">
        <w:rPr>
          <w:rFonts w:ascii="Times New Roman" w:eastAsia="Calibri" w:hAnsi="Times New Roman" w:cs="Times New Roman"/>
        </w:rPr>
        <w:t xml:space="preserve"> Jei žindote kūdikį, šio vaisto vartoti negalima, nes mažas Egolanza kiekis gali patekti į motinos pieną.</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Naujagimiams, kurių motinos vartojo Egolanza paskutinįjį nėštumo trimestrą (paskutiniuosius 3 nėštumo mėnesius), gali būti šių toliau išvardytų simptomų: drebėjimas, raumenų sustingimas ir (arba) silpnumas, mieguistumas, sujaudinimas, kvėpavimo sutrikimas ir apsunkintas žindymas. Jeigu Jūsų kūdikiui atsirastų bet kuris iš šių simptomų, Jums gali reikėti kreiptis į gydytoją.</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keepNext/>
        <w:widowControl w:val="0"/>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Vairavimas ir mechanizmų valdymas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Vartojant Egolanza tabletes, galite būti apsnūdę. Jeigu toks poveikis atsirastų, nevairuokite, nevaldykite įrangos ar mechanizmų. Praneškite apie tai gydytojui.</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keepNext/>
        <w:widowControl w:val="0"/>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Egolanza sudėtyje yra laktozės.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Jeigu gydytojas Jums yra sakęs, kad netoleruojate kokių nors angliavandenių, kreipkitės į jį prieš pradėdami vartoti šį vaistą.</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numPr>
          <w:ilvl w:val="0"/>
          <w:numId w:val="1"/>
        </w:num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Kaip vartoti Egolanza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Visada vartokite ši vaistą tiksliai, kaip nurodė gydytojas. Jeigu abejojate, kreipkitės į gydytoją arba vaistininką.</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Kiek Egolanza tablečių ir kiek laiko jas vartoti, pasakys gydytojas. Egolanza paros dozė yra 5–20 mg. Jeigu ligos simptomai atsinaujintų, kreipkitės į gydytoją, tačiau Egolanza vartojimo nenutraukite, nebent tai padaryti lieptų gydytojas.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reikia vartoti vieną kartą per parą taip, kaip nurodė gydytojas. Pasistenkite tabletes kiekvieną dieną vartoti tokiu pačiu laiku, ir nesvarbu, ar Jūs vartosite jas valgio metu ar nevalgę.</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vartojamas per burną. Reikia nuryti visą Egolanza tabletę, užgeriant vandeniu.</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5 mg tabletę galima padalyti į dvi lygias dozes.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Vartojimas vaikams ir paaugliams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nėra skirtas jaunesniems kaip 18 metų pacientams.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keepNext/>
        <w:widowControl w:val="0"/>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Ką daryti pavartojus per didelę Egolanza dozę?</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Pacientams pavartojus daugiau Egolanza, negu reikia, atsiranda tokių simptomų: dažnas širdies plakimas, susijaudinimas arba agresyvumas, kalbos sutrikimas, neįprasti judesiai (ypač veido ar liežuvio) bei sąmonės pritemimas. Galimi ir kitokie simptomai: ūmus minčių susipainiojimas, traukuliai (epilepsija), koma, simptomų – karščiavimo, kvėpavimo pagreitėjimo, prakaitavimo, raumenų stingulio ir apsnūdimo arba mieguistumo derinys, kvėpavimo sulėtėjimas, skrandžio turinio patekimas į kvėpavimo takus, didelis arba mažas kraujospūdis, nenormalus širdies ritmas. </w:t>
      </w:r>
      <w:r w:rsidRPr="00E35DF9">
        <w:rPr>
          <w:rFonts w:ascii="Times New Roman" w:eastAsia="Times New Roman" w:hAnsi="Times New Roman" w:cs="Times New Roman"/>
          <w:lang w:eastAsia="hu-HU"/>
        </w:rPr>
        <w:t>Jeigu pasireiškė prieš tai nurodyti simptomai</w:t>
      </w:r>
      <w:r w:rsidRPr="00E35DF9">
        <w:rPr>
          <w:rFonts w:ascii="Times New Roman" w:eastAsia="Calibri" w:hAnsi="Times New Roman" w:cs="Times New Roman"/>
        </w:rPr>
        <w:t xml:space="preserve">, tuoj pat kreipkitės į gydytoją ar artimiausią ligoninę. Gydytojui parodykite tablečių pakuotę. </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keepNext/>
        <w:widowControl w:val="0"/>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Pamiršus pavartoti Egolanza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Tabletę išgerkite tuoj pat, kai prisiminsite. Negalima vartoti dvigubos dozės norint kompensuoti praleistą tabletę.</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keepNext/>
        <w:widowControl w:val="0"/>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Nustojus vartoti Egolanza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Nenustokite vartoti tablečių tik dėl to, kad jaučiatės geriau. Svarbu, kad vartotumėte Egolanza tiek laiko, kiek nurodo gydytojas.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Staiga nustojus vartoti Egolanza, gali pasireikšti šie simptomai: prakaitavimas, negalėjimas užmigti, drebulys, nerimas ar pykinimas ir vėmimas. Prieš baigiant gydymą, gydytojas gali pasiūlyti dozę mažinti palaipsniui.</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Jeigu kiltų daugiau klausimų dėl šio vaisto vartojimo, kreipkitės į gydytoją arba vaistininką.</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numPr>
          <w:ilvl w:val="0"/>
          <w:numId w:val="1"/>
        </w:num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lastRenderedPageBreak/>
        <w:t>Galimas šalutinis poveikis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Šis vaistas, kaip ir visi kiti, gali sukelti šalutinį poveikį, nors jis pasireiškia ne visiems žmonėms. </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Nedelsdami kreipkitės į gydytoją, jeigu pasireiškia:</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neįprasti dažniausiai veido ar liežuvio judesiai (dažnas šalutinis poveikis, kuris gali pasireikšti ne dažniau kaip 1 iš 10 žmonių);</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kraujo krešuliai venose, ypač kojų venose (simptomai yra kojų patinimas, skausmas ir paraudimas), iš kur krešuliai gali kraujagyslėmis nukeliauti į plaučius, sukeldami krūtinės skausmą ir kvėpavimo pasunkėjimą (nedažnas šalutinis poveikis, kuris gali pasireikšti ne dažniau kaip 1 iš 100 žmonių). Jeigu pastebėjote kurį nors iš šių simptomų, nedelsdami kreipkitės į gydytoją;</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karščiavimo, dažno kvėpavimo, prakaitavimo, raumenų sąstingio ir apsnūdimo ar mieguistumo simptomų derinys (šio šalutinio poveikio dažnio negalima nustatyti pagal turimus duomenis).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keepNext/>
        <w:widowControl w:val="0"/>
        <w:autoSpaceDE w:val="0"/>
        <w:autoSpaceDN w:val="0"/>
        <w:adjustRightInd w:val="0"/>
        <w:spacing w:after="0" w:line="240" w:lineRule="auto"/>
        <w:outlineLvl w:val="2"/>
        <w:rPr>
          <w:rFonts w:ascii="Times New Roman" w:eastAsia="Times New Roman" w:hAnsi="Times New Roman" w:cs="Times New Roman"/>
          <w:i/>
          <w:iCs/>
          <w:lang w:eastAsia="hu-HU"/>
        </w:rPr>
      </w:pPr>
      <w:r w:rsidRPr="00E35DF9">
        <w:rPr>
          <w:rFonts w:ascii="Times New Roman" w:eastAsia="Times New Roman" w:hAnsi="Times New Roman" w:cs="Times New Roman"/>
          <w:i/>
          <w:iCs/>
          <w:lang w:eastAsia="hu-HU"/>
        </w:rPr>
        <w:t>Labai dažnas šalutinis poveikis: gali pasireik</w:t>
      </w:r>
      <w:r>
        <w:rPr>
          <w:rFonts w:ascii="Times New Roman" w:eastAsia="Times New Roman" w:hAnsi="Times New Roman" w:cs="Times New Roman"/>
          <w:i/>
          <w:iCs/>
          <w:lang w:eastAsia="hu-HU"/>
        </w:rPr>
        <w:t>š</w:t>
      </w:r>
      <w:r w:rsidRPr="00E35DF9">
        <w:rPr>
          <w:rFonts w:ascii="Times New Roman" w:eastAsia="Times New Roman" w:hAnsi="Times New Roman" w:cs="Times New Roman"/>
          <w:i/>
          <w:iCs/>
          <w:lang w:eastAsia="hu-HU"/>
        </w:rPr>
        <w:t>ti dažniau kaip 1 iš 10 žmonių</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Times New Roman" w:hAnsi="Times New Roman" w:cs="Times New Roman"/>
          <w:lang w:eastAsia="hu-HU"/>
        </w:rPr>
        <w:t>Kūno masės</w:t>
      </w:r>
      <w:r w:rsidRPr="00E35DF9">
        <w:rPr>
          <w:rFonts w:ascii="Times New Roman" w:eastAsia="Calibri" w:hAnsi="Times New Roman" w:cs="Times New Roman"/>
        </w:rPr>
        <w:t xml:space="preserve"> padidėjimas.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Mieguistumas.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Prolaktino koncentracijos padidėjimas kraujyje (hormono, kuris stimuliuoja pieno gamybą).</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Gydymo pradžioje kai kuriems žmonėms gali svaigti galva arba jie gali alpti (suretėjus širdies plakimo dažniui), ypač atsistojus iš gulimos ar sėdimos padėties. Tai paprastai praeina savaime, bet jeigu nepraeina, pasakykite savo gydytojui.</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keepNext/>
        <w:widowControl w:val="0"/>
        <w:autoSpaceDE w:val="0"/>
        <w:autoSpaceDN w:val="0"/>
        <w:adjustRightInd w:val="0"/>
        <w:spacing w:after="0" w:line="240" w:lineRule="auto"/>
        <w:outlineLvl w:val="2"/>
        <w:rPr>
          <w:rFonts w:ascii="Times New Roman" w:eastAsia="Times New Roman" w:hAnsi="Times New Roman" w:cs="Times New Roman"/>
          <w:i/>
          <w:iCs/>
          <w:lang w:eastAsia="hu-HU"/>
        </w:rPr>
      </w:pPr>
      <w:r w:rsidRPr="00E35DF9">
        <w:rPr>
          <w:rFonts w:ascii="Times New Roman" w:eastAsia="Times New Roman" w:hAnsi="Times New Roman" w:cs="Times New Roman"/>
          <w:i/>
          <w:iCs/>
          <w:lang w:eastAsia="hu-HU"/>
        </w:rPr>
        <w:t>Dažnas šalutinis poveikis: gali pasireik</w:t>
      </w:r>
      <w:r>
        <w:rPr>
          <w:rFonts w:ascii="Times New Roman" w:eastAsia="Times New Roman" w:hAnsi="Times New Roman" w:cs="Times New Roman"/>
          <w:i/>
          <w:iCs/>
          <w:lang w:eastAsia="hu-HU"/>
        </w:rPr>
        <w:t>š</w:t>
      </w:r>
      <w:r w:rsidRPr="00E35DF9">
        <w:rPr>
          <w:rFonts w:ascii="Times New Roman" w:eastAsia="Times New Roman" w:hAnsi="Times New Roman" w:cs="Times New Roman"/>
          <w:i/>
          <w:iCs/>
          <w:lang w:eastAsia="hu-HU"/>
        </w:rPr>
        <w:t>ti ne dažniau kaip 1 iš 10 žmonių</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Kai kurių kraujo ląstelių ir cirkuliuojančių riebalų koncentracijos kraujyje pokyčiai.</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Laikinas kepenų fermentų suaktyvėjimas gydymo pradžioje.</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Cukraus koncentracijos kraujyje ir šlapime padidėjimas.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Šlapimo rūgšties koncentracijos padidėjimas ir kreatinfosfokinazės suaktyvėjimas kraujyje.</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Didesnio alkio pojūtis.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Galvos svaigimas.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Nuovargis.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Drebulys.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Vidurių užkietėjimas.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Burnos džiūvimas.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Bėrimas.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Silpnumas.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Didelis nuovargis.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Vandens susilaikymas, pasireiškiantis rankų, kulkšnių ar kojų patinimu.</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Karščiavimas.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Sąnarių skausmas.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 xml:space="preserve">Seksualinės funkcijos sutrikimai, tokie kaip lytinio potraukio (libido) sumažėjimas vyrams ar moterims, erekcijos sutrikimai vyrams. </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keepNext/>
        <w:widowControl w:val="0"/>
        <w:autoSpaceDE w:val="0"/>
        <w:autoSpaceDN w:val="0"/>
        <w:adjustRightInd w:val="0"/>
        <w:spacing w:after="0" w:line="240" w:lineRule="auto"/>
        <w:outlineLvl w:val="2"/>
        <w:rPr>
          <w:rFonts w:ascii="Times New Roman" w:eastAsia="Times New Roman" w:hAnsi="Times New Roman" w:cs="Times New Roman"/>
          <w:i/>
          <w:iCs/>
          <w:lang w:eastAsia="hu-HU"/>
        </w:rPr>
      </w:pPr>
      <w:r w:rsidRPr="00E35DF9">
        <w:rPr>
          <w:rFonts w:ascii="Times New Roman" w:eastAsia="Times New Roman" w:hAnsi="Times New Roman" w:cs="Times New Roman"/>
          <w:i/>
          <w:iCs/>
          <w:lang w:eastAsia="hu-HU"/>
        </w:rPr>
        <w:t>Nedažnas šalutinis poveikis: pasireiškia 1–10 iš 100 žmonių</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Padidėjęs jautrumas (pvz., burnos ir gerklės patinimas, niežulys, išbėrimas).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Diabetas arba diabeto pasunkėjimas, kartais susijęs su ketoacidoze (ketoniniai kūnai kraujyje ir šlapime) arba koma.</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Priepuoliai, dažniausiai susiję su buvusiais priepuoliais (epilepsija).</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Raumenų sąstingis arba spazmai (įskaitant akių judesius).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Neramių kojų sindromas.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Kalbos sutrikimai.</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Mikčiojimas.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 xml:space="preserve">Retas širdies ritmas. </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 xml:space="preserve">Jautrumas saulės šviesai. </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Kraujavimas iš nosies.</w:t>
      </w:r>
    </w:p>
    <w:p w:rsidR="002946AC" w:rsidRDefault="002946AC" w:rsidP="002946AC">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t>Pilvo išsipūtimas.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Pr>
          <w:rFonts w:ascii="Times New Roman" w:eastAsia="Times New Roman" w:hAnsi="Times New Roman" w:cs="Times New Roman"/>
          <w:lang w:eastAsia="hu-HU"/>
        </w:rPr>
        <w:t>Didelis seilėtekis.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Times New Roman" w:hAnsi="Times New Roman" w:cs="Times New Roman"/>
          <w:lang w:eastAsia="hu-HU"/>
        </w:rPr>
      </w:pPr>
      <w:r w:rsidRPr="00E35DF9">
        <w:rPr>
          <w:rFonts w:ascii="Times New Roman" w:eastAsia="Times New Roman" w:hAnsi="Times New Roman" w:cs="Times New Roman"/>
          <w:lang w:eastAsia="hu-HU"/>
        </w:rPr>
        <w:lastRenderedPageBreak/>
        <w:t>Atminties netekimas arba užmaršumas.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Šlapimo nelaikymas.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Nesugebėjimas šlapintis.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Plaukų slinkimas.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Mėnesinių išnykimas ar sumažėjimas.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Krūtų sutrikimai vyrams ir moterims, tokie kaip neįprastas pieno išsiskyrimas ar neįprastas krūtų augimas.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i/>
        </w:rPr>
      </w:pPr>
      <w:r w:rsidRPr="00E35DF9">
        <w:rPr>
          <w:rFonts w:ascii="Times New Roman" w:eastAsia="Times New Roman" w:hAnsi="Times New Roman" w:cs="Times New Roman"/>
          <w:i/>
          <w:lang w:eastAsia="hu-HU"/>
        </w:rPr>
        <w:t>Retas</w:t>
      </w:r>
      <w:r w:rsidRPr="00E35DF9">
        <w:rPr>
          <w:rFonts w:ascii="Times New Roman" w:eastAsia="Calibri" w:hAnsi="Times New Roman" w:cs="Times New Roman"/>
          <w:i/>
        </w:rPr>
        <w:t xml:space="preserve"> šalutinis poveikis</w:t>
      </w:r>
      <w:r w:rsidRPr="00E35DF9">
        <w:rPr>
          <w:rFonts w:ascii="Times New Roman" w:eastAsia="Times New Roman" w:hAnsi="Times New Roman" w:cs="Times New Roman"/>
          <w:i/>
          <w:lang w:eastAsia="hu-HU"/>
        </w:rPr>
        <w:t>: pasireiškia ne dažniau kaip 1 iš 1000 žmonių</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Neįprastas kūno temperatūros sumažėjimas.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Neįprastas širdies ritmas.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Staigi nepaaiškinama mirtis.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Kasos uždegimas, sukeliantis stiprų skrandžio skausmą, karščiavimą ir pykinimą.</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Kepenų liga, pasireiškianti odos ir baltųjų akies sričių pageltimu.</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Raumenų liga, pasireiškianti nepaaiškinamu gėlimu ir skausmais.</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Užsitęsusi ir</w:t>
      </w:r>
      <w:r w:rsidRPr="00E35DF9">
        <w:rPr>
          <w:rFonts w:ascii="Times New Roman" w:eastAsia="Times New Roman" w:hAnsi="Times New Roman" w:cs="Times New Roman"/>
          <w:lang w:eastAsia="hu-HU"/>
        </w:rPr>
        <w:t xml:space="preserve"> </w:t>
      </w:r>
      <w:r w:rsidRPr="00E35DF9">
        <w:rPr>
          <w:rFonts w:ascii="Times New Roman" w:eastAsia="Calibri" w:hAnsi="Times New Roman" w:cs="Times New Roman"/>
        </w:rPr>
        <w:t>(ar) skausminga erekcija.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Vartojant Egolanza, vyresnio amžiaus (virš 65 metų), sergantiems demencija, gali pasireikšti insultas, plaučių uždegimas, šlapimo nelaikymas, griuvimai, didžiulis nuovargis, vizualinės haliucinacijos, kūno temperatūros padidėjimas, odos paraudimas, vaikščiojimo sutrikimai. Buvo pranešta ir apie kelis tam tikros grupės pacientų mirties atvejus.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Pacientams, sergantiems Parkinsono liga, Egolanza gali pabloginti ligos simptomus.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Labai retas šalutinis poveikis, apimantis sunkias padidėjusio jautrumo reakcijas, pvz., reakciją į vaistą kartu su eozinofilija ir sisteminiais simptomais (</w:t>
      </w:r>
      <w:r w:rsidRPr="00E35DF9">
        <w:rPr>
          <w:rFonts w:ascii="Times New Roman" w:eastAsia="Calibri" w:hAnsi="Times New Roman" w:cs="Times New Roman"/>
          <w:i/>
        </w:rPr>
        <w:t>DRESS).</w:t>
      </w:r>
      <w:r w:rsidRPr="00E35DF9">
        <w:rPr>
          <w:rFonts w:ascii="Times New Roman" w:eastAsia="Calibri" w:hAnsi="Times New Roman" w:cs="Times New Roman"/>
        </w:rPr>
        <w:t xml:space="preserve"> </w:t>
      </w:r>
      <w:r w:rsidRPr="00E35DF9">
        <w:rPr>
          <w:rFonts w:ascii="Times New Roman" w:eastAsia="Calibri" w:hAnsi="Times New Roman" w:cs="Times New Roman"/>
          <w:i/>
        </w:rPr>
        <w:t>DRESS</w:t>
      </w:r>
      <w:r w:rsidRPr="00E35DF9">
        <w:rPr>
          <w:rFonts w:ascii="Times New Roman" w:eastAsia="Calibri" w:hAnsi="Times New Roman" w:cs="Times New Roman"/>
        </w:rPr>
        <w:t xml:space="preserve"> iš pradžių pasireiškia veido išbėrimu, po to atsiranda išplitęs išbėrimas, karščiavimas, limfmazgių padidėjimas, kraujo tyrimais nustatomas kepenų fermentų aktyvumo padidėjimas bei tam tikrų baltųjų kraujo ląstelių kiekio padidėjimas (eozinofilija).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Times New Roman" w:hAnsi="Times New Roman" w:cs="Times New Roman"/>
          <w:b/>
          <w:lang w:eastAsia="hu-HU"/>
        </w:rPr>
      </w:pPr>
      <w:r w:rsidRPr="00E35DF9">
        <w:rPr>
          <w:rFonts w:ascii="Times New Roman" w:eastAsia="Times New Roman" w:hAnsi="Times New Roman" w:cs="Times New Roman"/>
          <w:b/>
          <w:lang w:eastAsia="hu-HU"/>
        </w:rPr>
        <w:t>Pranešimas apie šalutinį poveikį</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E35DF9">
          <w:rPr>
            <w:rFonts w:ascii="Times New Roman" w:eastAsia="Calibri" w:hAnsi="Times New Roman" w:cs="Times New Roman"/>
            <w:color w:val="0000FF"/>
            <w:u w:val="single"/>
          </w:rPr>
          <w:t>www.vvkt.lt</w:t>
        </w:r>
      </w:hyperlink>
      <w:r w:rsidRPr="00E35DF9">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35DF9">
          <w:rPr>
            <w:rFonts w:ascii="Times New Roman" w:eastAsia="Calibri" w:hAnsi="Times New Roman" w:cs="Times New Roman"/>
            <w:color w:val="0000FF"/>
            <w:u w:val="single"/>
          </w:rPr>
          <w:t>NepageidaujamaR@vvkt.lt</w:t>
        </w:r>
      </w:hyperlink>
      <w:r w:rsidRPr="00E35DF9">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E35DF9">
          <w:rPr>
            <w:rFonts w:ascii="Times New Roman" w:eastAsia="Calibri" w:hAnsi="Times New Roman" w:cs="Times New Roman"/>
            <w:color w:val="0000FF"/>
            <w:u w:val="single"/>
          </w:rPr>
          <w:t>http://www.vvkt.lt</w:t>
        </w:r>
      </w:hyperlink>
      <w:r w:rsidRPr="00E35DF9">
        <w:rPr>
          <w:rFonts w:ascii="Times New Roman" w:eastAsia="Calibri" w:hAnsi="Times New Roman" w:cs="Times New Roman"/>
        </w:rPr>
        <w:t>). Pranešdami apie šalutinį poveikį galite mums padėti gauti daugiau informacijos apie šio vaisto saugumą.</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t>5.</w:t>
      </w:r>
      <w:r w:rsidRPr="00E35DF9">
        <w:rPr>
          <w:rFonts w:ascii="Times New Roman" w:eastAsia="Calibri" w:hAnsi="Times New Roman" w:cs="Times New Roman"/>
          <w:b/>
        </w:rPr>
        <w:tab/>
        <w:t>Kaip laikyti Egolanza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Šiam vaistiniam preparatui specialių laikymo sąlygų nereikia.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Šį vaistą laikykite vaikams nepastebimoje ir nepasiekiamoje vietoje.</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Ant kartono dėžutės po „EXP” nurodytam tinkamumo laikui pasibaigus, šio vaisto vartoti negalima. Vaistas tinkamas vartoti iki paskutinės nurodyto mėnesio dienos. </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Pastebėjus matomų gedimo požymių (pvz., spalvos pakitimų), šio vaisto vartoti negalima. </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ind w:left="567" w:hanging="567"/>
        <w:rPr>
          <w:rFonts w:ascii="Times New Roman" w:eastAsia="Calibri" w:hAnsi="Times New Roman" w:cs="Times New Roman"/>
          <w:b/>
        </w:rPr>
      </w:pPr>
      <w:r w:rsidRPr="00E35DF9">
        <w:rPr>
          <w:rFonts w:ascii="Times New Roman" w:eastAsia="Calibri" w:hAnsi="Times New Roman" w:cs="Times New Roman"/>
          <w:b/>
        </w:rPr>
        <w:lastRenderedPageBreak/>
        <w:t>6.</w:t>
      </w:r>
      <w:r w:rsidRPr="00E35DF9">
        <w:rPr>
          <w:rFonts w:ascii="Times New Roman" w:eastAsia="Calibri" w:hAnsi="Times New Roman" w:cs="Times New Roman"/>
          <w:b/>
        </w:rPr>
        <w:tab/>
        <w:t>Pakuotės turinys ir kita informacija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b/>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 xml:space="preserve">Egolanza sudėtis </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 xml:space="preserve">Veiklioji medžiaga yra olanzapinas. Kiekvienoje Egolanza tabletėje yra 5 mg, 7,5 mg, 10 mg, 15 mg ar 20 mg veikliosios medžiagos. Tikslus kiekis yra nurodytas ant Egolanza tablečių pakuotės. </w:t>
      </w:r>
    </w:p>
    <w:p w:rsidR="002946AC" w:rsidRPr="00E35DF9" w:rsidRDefault="002946AC" w:rsidP="002946AC">
      <w:pPr>
        <w:numPr>
          <w:ilvl w:val="0"/>
          <w:numId w:val="2"/>
        </w:numPr>
        <w:autoSpaceDE w:val="0"/>
        <w:autoSpaceDN w:val="0"/>
        <w:adjustRightInd w:val="0"/>
        <w:spacing w:after="0" w:line="240" w:lineRule="auto"/>
        <w:ind w:left="567" w:hanging="567"/>
        <w:rPr>
          <w:rFonts w:ascii="Times New Roman" w:eastAsia="Calibri" w:hAnsi="Times New Roman" w:cs="Times New Roman"/>
        </w:rPr>
      </w:pPr>
      <w:r w:rsidRPr="00E35DF9">
        <w:rPr>
          <w:rFonts w:ascii="Times New Roman" w:eastAsia="Calibri" w:hAnsi="Times New Roman" w:cs="Times New Roman"/>
        </w:rPr>
        <w:t>Pagalbinės medžiagos: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5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Tabletės šerdis: mikrokristalinė celiuliozė, laktozė monohidratas (40,98 mg), hidroksipropilceliuliozė, krospovidonas, magnio stearatas.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Tabletės plėvelė: hipromeliozė, chinolino geltonasis, (E 104), </w:t>
      </w: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7,5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Tabletės šerdis: mikrokristalinė celiuliozė, laktozė monohidratas (61,47 mg), hidroksipropilceliuliozė, krospovidonas, magnio stearatas.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Tabletės plėvelė: hipromeliozė, chinolino geltonasis, (E 104), </w:t>
      </w: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10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Tabletės šerdis: mikrokristalinė celiuliozė, laktozė monohidratas (81,97 mg), hidroksipropilceliuliozė, krospovidonas, magnio stearatas.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Tabletės plėvelė: hipromeliozė, chinolino geltonasis, (E 104), </w:t>
      </w: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15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Tabletės šerdis: mikrokristalinė celiuliozė, laktozė monohidratas (122,95 mg), hidroksipropilceliuliozė, krospovidonas, magnio stearatas.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Tabletės plėvelė: hipromeliozė, chinolino geltonasis, (E 104), </w:t>
      </w: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20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Tabletės šerdis: mikrokristalinė celiuliozė, laktozė monohidratas (163,94 mg), hidroksipropilceliuliozė, krospovidonas, magnio stearatas.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Tabletės plėvelė: hipromeliozė, chinolino geltonasis, (E 104), </w:t>
      </w:r>
      <w:r w:rsidRPr="00E35DF9">
        <w:rPr>
          <w:rFonts w:ascii="Times New Roman" w:eastAsia="Calibri" w:hAnsi="Times New Roman" w:cs="Times New Roman"/>
          <w:i/>
        </w:rPr>
        <w:t>Opadry</w:t>
      </w:r>
      <w:r w:rsidRPr="00E35DF9">
        <w:rPr>
          <w:rFonts w:ascii="Times New Roman" w:eastAsia="Calibri" w:hAnsi="Times New Roman" w:cs="Times New Roman"/>
        </w:rPr>
        <w:t>-Y-1-7000 baltasis (hipromeliozė, titano dioksidas (E 171), makrogolis 400).</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Egolanza išvaizda ir kiekis pakuotėje</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Išvaizda: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5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 xml:space="preserve">Geltona, pailga, abipus išgaubta plėvele dengta tabletė, kurios vienoje pusėje yra vagelė, o kitoje – įspausta stilizuota raidė „E” ir skaitmuo „402”. </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Tabletę galima padalyti į lygias dozes.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7,5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Geltona, apvali, abipus išgaubta plėvele dengta tabletė, kurios vienoje pusėje įspausta stilizuota raidė „E” ir skaitmuo „403”.</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10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Geltona, apvali, abipus išgaubta plėvele dengta tabletė, kurios vienoje pusėje įspausta stilizuota raidė „E” ir skaitmuo „404”.</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15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lastRenderedPageBreak/>
        <w:t>Geltona, apvali, abipus išgaubta plėvele dengta tabletė, kurios vienoje pusėje įspausta stilizuota raidė „E” ir skaitmuo „405”.</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Egolanza 20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Geltona, apvali, abipus išgaubta plėvele dengta tabletė, kurios vienoje pusėje įspausta stilizuota raidė „E” ir skaitmuo „406”.</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u w:val="single"/>
        </w:rPr>
      </w:pPr>
      <w:r w:rsidRPr="00E35DF9">
        <w:rPr>
          <w:rFonts w:ascii="Times New Roman" w:eastAsia="Calibri" w:hAnsi="Times New Roman" w:cs="Times New Roman"/>
          <w:u w:val="single"/>
        </w:rPr>
        <w:t>Pakuotės dydžiai:</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5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28, 42, 49 arba 56 tabletės kartono dėžutėje, supakuotos OPA/Al/PVC //Al lizdinėje plokštelėje.</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7,5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28, 42, 49 arba 56 tabletės kartono dėžutėje, supakuotos OPA/Al/PVC //Al lizdinėje plokštelėje.</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10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28, 42, 49 arba 56 tabletės kartono dėžutėje, supakuotos OPA/Al/PVC //Al lizdinėje plokštelėje.</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15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28, 42, 49 arba 56 tabletės kartono dėžutėje, supakuotos OPA/Al/PVC //Al lizdinėje plokštelėje.</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20 mg plėvele dengtos tabletės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28, 42, 49 arba 56 tabletės kartono dėžutėje, supakuotos OPA/Al/PVC //Al lizdinėje plokštelėje.</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Gali būti tiekiamos ne visų dydžių pakuotės.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b/>
        </w:rPr>
      </w:pPr>
      <w:r w:rsidRPr="00E35DF9">
        <w:rPr>
          <w:rFonts w:ascii="Times New Roman" w:eastAsia="Calibri" w:hAnsi="Times New Roman" w:cs="Times New Roman"/>
          <w:b/>
        </w:rPr>
        <w:t>Registruotojas ir gamintojas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Registruotojas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EGIS Pharmaceuticals PLC</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H-1106 Budapest, Keresztúri út 30-38</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Vengrija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i/>
        </w:rPr>
      </w:pPr>
      <w:r w:rsidRPr="00E35DF9">
        <w:rPr>
          <w:rFonts w:ascii="Times New Roman" w:eastAsia="Calibri" w:hAnsi="Times New Roman" w:cs="Times New Roman"/>
          <w:i/>
        </w:rPr>
        <w:t>Gamintojas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EGIS Pharmaceuticals PLC</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H-1165 Budapest, Bökényföldi út 118-120</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Vengrija</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Jeigu apie šį vaistą norite sužinoti daugiau, kreipkitės į vietinį registruotojo atstovą.</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EGIS Pharmaceuticals PLC atstovybė</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Latvių g. 11-2</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LT-08123 Vilnius</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Tel. +370 5 231 4658</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b/>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Times New Roman" w:hAnsi="Times New Roman" w:cs="Times New Roman"/>
          <w:b/>
          <w:snapToGrid w:val="0"/>
          <w:szCs w:val="20"/>
        </w:rPr>
        <w:t>Šis vaistas EEE valstybėse narėse registruotas tokiais pavadinimais</w:t>
      </w:r>
      <w:r w:rsidRPr="00E35DF9">
        <w:rPr>
          <w:rFonts w:ascii="Times New Roman" w:eastAsia="Times New Roman" w:hAnsi="Times New Roman" w:cs="Times New Roman"/>
          <w:snapToGrid w:val="0"/>
          <w:szCs w:val="20"/>
        </w:rPr>
        <w:t>:</w:t>
      </w:r>
    </w:p>
    <w:tbl>
      <w:tblPr>
        <w:tblW w:w="0" w:type="auto"/>
        <w:tblLook w:val="04A0" w:firstRow="1" w:lastRow="0" w:firstColumn="1" w:lastColumn="0" w:noHBand="0" w:noVBand="1"/>
      </w:tblPr>
      <w:tblGrid>
        <w:gridCol w:w="1526"/>
        <w:gridCol w:w="7087"/>
      </w:tblGrid>
      <w:tr w:rsidR="002946AC" w:rsidRPr="00E35DF9" w:rsidTr="00221BDF">
        <w:tc>
          <w:tcPr>
            <w:tcW w:w="1526" w:type="dxa"/>
          </w:tcPr>
          <w:p w:rsidR="002946AC" w:rsidRPr="00E35DF9" w:rsidRDefault="002946AC" w:rsidP="00221BDF">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Bulgarija</w:t>
            </w:r>
          </w:p>
        </w:tc>
        <w:tc>
          <w:tcPr>
            <w:tcW w:w="7087" w:type="dxa"/>
          </w:tcPr>
          <w:p w:rsidR="002946AC" w:rsidRPr="00E35DF9" w:rsidRDefault="002946AC" w:rsidP="00221BDF">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5 mg, 7,5 mg, 10 mg, 15 mg, 20 mg филмирани таблетки</w:t>
            </w:r>
          </w:p>
        </w:tc>
      </w:tr>
      <w:tr w:rsidR="002946AC" w:rsidRPr="00E35DF9" w:rsidTr="00221BDF">
        <w:tc>
          <w:tcPr>
            <w:tcW w:w="1526" w:type="dxa"/>
          </w:tcPr>
          <w:p w:rsidR="002946AC" w:rsidRPr="00E35DF9" w:rsidRDefault="002946AC" w:rsidP="00221BDF">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Čekija</w:t>
            </w:r>
          </w:p>
        </w:tc>
        <w:tc>
          <w:tcPr>
            <w:tcW w:w="7087" w:type="dxa"/>
          </w:tcPr>
          <w:p w:rsidR="002946AC" w:rsidRPr="00E35DF9" w:rsidRDefault="002946AC" w:rsidP="00221BDF">
            <w:pPr>
              <w:autoSpaceDE w:val="0"/>
              <w:autoSpaceDN w:val="0"/>
              <w:adjustRightInd w:val="0"/>
              <w:spacing w:after="0" w:line="240" w:lineRule="auto"/>
              <w:rPr>
                <w:rFonts w:ascii="Times New Roman" w:eastAsia="Calibri" w:hAnsi="Times New Roman" w:cs="Times New Roman"/>
                <w:lang w:val="hu-HU"/>
              </w:rPr>
            </w:pPr>
            <w:r w:rsidRPr="00E35DF9">
              <w:rPr>
                <w:rFonts w:ascii="Times New Roman" w:eastAsia="Calibri" w:hAnsi="Times New Roman" w:cs="Times New Roman"/>
              </w:rPr>
              <w:t xml:space="preserve">Egolanza </w:t>
            </w:r>
            <w:r w:rsidRPr="00E35DF9">
              <w:rPr>
                <w:rFonts w:ascii="Times New Roman" w:eastAsia="Calibri" w:hAnsi="Times New Roman" w:cs="Times New Roman"/>
                <w:lang w:val="hu-HU"/>
              </w:rPr>
              <w:t xml:space="preserve">5 mg, 7,5 mg, 10 mg, 15 mg, 20 mg </w:t>
            </w:r>
          </w:p>
        </w:tc>
      </w:tr>
      <w:tr w:rsidR="002946AC" w:rsidRPr="00E35DF9" w:rsidTr="00221BDF">
        <w:tc>
          <w:tcPr>
            <w:tcW w:w="1526" w:type="dxa"/>
          </w:tcPr>
          <w:p w:rsidR="002946AC" w:rsidRPr="00E35DF9" w:rsidRDefault="002946AC" w:rsidP="00221BDF">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Vengrija</w:t>
            </w:r>
          </w:p>
        </w:tc>
        <w:tc>
          <w:tcPr>
            <w:tcW w:w="7087" w:type="dxa"/>
          </w:tcPr>
          <w:p w:rsidR="002946AC" w:rsidRPr="00E35DF9" w:rsidRDefault="002946AC" w:rsidP="00221BDF">
            <w:pPr>
              <w:autoSpaceDE w:val="0"/>
              <w:autoSpaceDN w:val="0"/>
              <w:adjustRightInd w:val="0"/>
              <w:spacing w:after="0" w:line="240" w:lineRule="auto"/>
              <w:rPr>
                <w:rFonts w:ascii="Times New Roman" w:eastAsia="Calibri" w:hAnsi="Times New Roman" w:cs="Times New Roman"/>
                <w:lang w:val="en-US"/>
              </w:rPr>
            </w:pPr>
            <w:r w:rsidRPr="00E35DF9">
              <w:rPr>
                <w:rFonts w:ascii="Times New Roman" w:eastAsia="Calibri" w:hAnsi="Times New Roman" w:cs="Times New Roman"/>
              </w:rPr>
              <w:t xml:space="preserve">Egolanza </w:t>
            </w:r>
            <w:r w:rsidRPr="00E35DF9">
              <w:rPr>
                <w:rFonts w:ascii="Times New Roman" w:eastAsia="Calibri" w:hAnsi="Times New Roman" w:cs="Times New Roman"/>
                <w:lang w:val="en-US"/>
              </w:rPr>
              <w:t xml:space="preserve">5 mg, 7,5 mg, 10 mg, 15 mg, 20 mg </w:t>
            </w:r>
            <w:r w:rsidRPr="00E35DF9">
              <w:rPr>
                <w:rFonts w:ascii="Times New Roman" w:eastAsia="Calibri" w:hAnsi="Times New Roman" w:cs="Times New Roman"/>
                <w:lang w:val="pl-PL"/>
              </w:rPr>
              <w:t>filmtabletta</w:t>
            </w:r>
          </w:p>
        </w:tc>
      </w:tr>
      <w:tr w:rsidR="002946AC" w:rsidRPr="00E35DF9" w:rsidTr="00221BDF">
        <w:tc>
          <w:tcPr>
            <w:tcW w:w="1526" w:type="dxa"/>
          </w:tcPr>
          <w:p w:rsidR="002946AC" w:rsidRPr="00E35DF9" w:rsidRDefault="002946AC" w:rsidP="00221BDF">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Latvija</w:t>
            </w:r>
          </w:p>
        </w:tc>
        <w:tc>
          <w:tcPr>
            <w:tcW w:w="7087" w:type="dxa"/>
          </w:tcPr>
          <w:p w:rsidR="002946AC" w:rsidRPr="00E35DF9" w:rsidRDefault="002946AC" w:rsidP="00221BDF">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5 mg, 7,5 mg, 10 mg, 15 mg, 20 mg apvalkotās tabletes</w:t>
            </w:r>
          </w:p>
        </w:tc>
      </w:tr>
      <w:tr w:rsidR="002946AC" w:rsidRPr="00E35DF9" w:rsidTr="00221BDF">
        <w:tc>
          <w:tcPr>
            <w:tcW w:w="1526" w:type="dxa"/>
          </w:tcPr>
          <w:p w:rsidR="002946AC" w:rsidRPr="00E35DF9" w:rsidRDefault="002946AC" w:rsidP="00221BDF">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Lietuva</w:t>
            </w:r>
          </w:p>
        </w:tc>
        <w:tc>
          <w:tcPr>
            <w:tcW w:w="7087" w:type="dxa"/>
          </w:tcPr>
          <w:p w:rsidR="002946AC" w:rsidRPr="00E35DF9" w:rsidRDefault="002946AC" w:rsidP="00221BDF">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5 mg, 7,5 mg, 10 mg, 15 mg, 20 mg plėvele dengtos tabletės</w:t>
            </w:r>
          </w:p>
        </w:tc>
      </w:tr>
      <w:tr w:rsidR="002946AC" w:rsidRPr="00E35DF9" w:rsidTr="00221BDF">
        <w:tc>
          <w:tcPr>
            <w:tcW w:w="1526" w:type="dxa"/>
          </w:tcPr>
          <w:p w:rsidR="002946AC" w:rsidRPr="00E35DF9" w:rsidRDefault="002946AC" w:rsidP="00221BDF">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Lenkija</w:t>
            </w:r>
          </w:p>
        </w:tc>
        <w:tc>
          <w:tcPr>
            <w:tcW w:w="7087" w:type="dxa"/>
          </w:tcPr>
          <w:p w:rsidR="002946AC" w:rsidRPr="00E35DF9" w:rsidRDefault="002946AC" w:rsidP="00221BDF">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w:t>
            </w:r>
          </w:p>
        </w:tc>
      </w:tr>
      <w:tr w:rsidR="002946AC" w:rsidRPr="00E35DF9" w:rsidTr="00221BDF">
        <w:tc>
          <w:tcPr>
            <w:tcW w:w="1526" w:type="dxa"/>
          </w:tcPr>
          <w:p w:rsidR="002946AC" w:rsidRPr="00E35DF9" w:rsidRDefault="002946AC" w:rsidP="00221BDF">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Rumunija</w:t>
            </w:r>
          </w:p>
        </w:tc>
        <w:tc>
          <w:tcPr>
            <w:tcW w:w="7087" w:type="dxa"/>
          </w:tcPr>
          <w:p w:rsidR="002946AC" w:rsidRPr="00E35DF9" w:rsidRDefault="002946AC" w:rsidP="00221BDF">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rPr>
              <w:t>Egolanza 5 mg, 7,5 mg, 10 mg, 15 mg, 20 mg comprimate filmate</w:t>
            </w:r>
          </w:p>
        </w:tc>
      </w:tr>
    </w:tbl>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r w:rsidRPr="00E35DF9">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2020-06-23</w:t>
      </w:r>
      <w:r w:rsidRPr="00E35DF9">
        <w:rPr>
          <w:rFonts w:ascii="Times New Roman" w:eastAsia="Calibri" w:hAnsi="Times New Roman" w:cs="Times New Roman"/>
          <w:b/>
        </w:rPr>
        <w:t>.</w:t>
      </w:r>
    </w:p>
    <w:p w:rsidR="002946AC" w:rsidRPr="00E35DF9" w:rsidRDefault="002946AC" w:rsidP="002946AC">
      <w:pPr>
        <w:autoSpaceDE w:val="0"/>
        <w:autoSpaceDN w:val="0"/>
        <w:adjustRightInd w:val="0"/>
        <w:spacing w:after="0" w:line="240" w:lineRule="auto"/>
        <w:rPr>
          <w:rFonts w:ascii="Times New Roman" w:eastAsia="Calibri" w:hAnsi="Times New Roman" w:cs="Times New Roman"/>
        </w:rPr>
      </w:pPr>
    </w:p>
    <w:p w:rsidR="004807AC" w:rsidRDefault="002946AC" w:rsidP="002946AC">
      <w:pPr>
        <w:autoSpaceDE w:val="0"/>
        <w:autoSpaceDN w:val="0"/>
        <w:adjustRightInd w:val="0"/>
        <w:spacing w:after="0" w:line="240" w:lineRule="auto"/>
      </w:pPr>
      <w:r w:rsidRPr="00E35DF9">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E35DF9">
        <w:rPr>
          <w:rFonts w:ascii="Times New Roman" w:eastAsia="Calibri" w:hAnsi="Times New Roman" w:cs="Times New Roman"/>
          <w:i/>
        </w:rPr>
        <w:t xml:space="preserve"> </w:t>
      </w:r>
      <w:hyperlink r:id="rId8" w:history="1">
        <w:r w:rsidRPr="00E35DF9">
          <w:rPr>
            <w:rFonts w:ascii="Times New Roman" w:eastAsia="Calibri" w:hAnsi="Times New Roman" w:cs="Times New Roman"/>
            <w:color w:val="0000FF"/>
            <w:u w:val="single"/>
          </w:rPr>
          <w:t>http://www.vvkt.lt</w:t>
        </w:r>
      </w:hyperlink>
      <w:r w:rsidRPr="00E35DF9">
        <w:rPr>
          <w:rFonts w:ascii="Times New Roman" w:eastAsia="Calibri" w:hAnsi="Times New Roman" w:cs="Times New Roman"/>
          <w:color w:val="0000FF"/>
          <w:u w:val="single"/>
        </w:rPr>
        <w:t xml:space="preserve"> </w:t>
      </w:r>
      <w:r>
        <w:rPr>
          <w:rFonts w:ascii="Times New Roman" w:eastAsia="Calibri" w:hAnsi="Times New Roman" w:cs="Times New Roman"/>
          <w:color w:val="0000FF"/>
          <w:u w:val="single"/>
        </w:rPr>
        <w:t xml:space="preserve">       </w:t>
      </w:r>
      <w:bookmarkStart w:id="0" w:name="_GoBack"/>
      <w:bookmarkEnd w:id="0"/>
    </w:p>
    <w:sectPr w:rsidR="004807AC" w:rsidSect="00D82B31">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B31" w:rsidRDefault="002946AC" w:rsidP="00D82B3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82B31" w:rsidRDefault="002946AC" w:rsidP="00D82B3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B31" w:rsidRPr="009B5AD8" w:rsidRDefault="002946AC" w:rsidP="00D82B31">
    <w:pPr>
      <w:pStyle w:val="Porat"/>
      <w:framePr w:wrap="around" w:vAnchor="text" w:hAnchor="page" w:x="10537" w:y="39"/>
      <w:jc w:val="center"/>
      <w:rPr>
        <w:rStyle w:val="Puslapionumeris"/>
        <w:rFonts w:ascii="Times New Roman" w:hAnsi="Times New Roman"/>
      </w:rPr>
    </w:pPr>
    <w:r w:rsidRPr="009B5AD8">
      <w:rPr>
        <w:rStyle w:val="Puslapionumeris"/>
        <w:rFonts w:ascii="Times New Roman" w:hAnsi="Times New Roman"/>
      </w:rPr>
      <w:fldChar w:fldCharType="begin"/>
    </w:r>
    <w:r w:rsidRPr="009B5AD8">
      <w:rPr>
        <w:rStyle w:val="Puslapionumeris"/>
        <w:rFonts w:ascii="Times New Roman" w:hAnsi="Times New Roman"/>
      </w:rPr>
      <w:instrText xml:space="preserve">PAGE  </w:instrText>
    </w:r>
    <w:r w:rsidRPr="009B5AD8">
      <w:rPr>
        <w:rStyle w:val="Puslapionumeris"/>
        <w:rFonts w:ascii="Times New Roman" w:hAnsi="Times New Roman"/>
      </w:rPr>
      <w:fldChar w:fldCharType="separate"/>
    </w:r>
    <w:r>
      <w:rPr>
        <w:rStyle w:val="Puslapionumeris"/>
        <w:rFonts w:ascii="Times New Roman" w:hAnsi="Times New Roman"/>
        <w:noProof/>
      </w:rPr>
      <w:t>7</w:t>
    </w:r>
    <w:r w:rsidRPr="009B5AD8">
      <w:rPr>
        <w:rStyle w:val="Puslapionumeris"/>
        <w:rFonts w:ascii="Times New Roman" w:hAnsi="Times New Roman"/>
      </w:rPr>
      <w:fldChar w:fldCharType="end"/>
    </w:r>
  </w:p>
  <w:p w:rsidR="00D82B31" w:rsidRDefault="002946AC" w:rsidP="00D82B31">
    <w:pPr>
      <w:framePr w:wrap="around" w:vAnchor="text" w:hAnchor="margin" w:xAlign="center" w:y="1"/>
      <w:rPr>
        <w:rStyle w:val="Puslapionumeris"/>
        <w:sz w:val="16"/>
        <w:szCs w:val="16"/>
      </w:rPr>
    </w:pPr>
  </w:p>
  <w:p w:rsidR="00D82B31" w:rsidRPr="009B5AD8" w:rsidRDefault="002946AC">
    <w:pPr>
      <w:rPr>
        <w:rFonts w:ascii="Times New Roman" w:hAnsi="Times New Roman"/>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B31" w:rsidRDefault="002946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5590"/>
    <w:multiLevelType w:val="hybridMultilevel"/>
    <w:tmpl w:val="EC3076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B026C5"/>
    <w:multiLevelType w:val="hybridMultilevel"/>
    <w:tmpl w:val="3CAE58BA"/>
    <w:lvl w:ilvl="0" w:tplc="C6DC8C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4D3691"/>
    <w:multiLevelType w:val="hybridMultilevel"/>
    <w:tmpl w:val="3BA6B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BB13AD"/>
    <w:multiLevelType w:val="hybridMultilevel"/>
    <w:tmpl w:val="3346714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35364EA"/>
    <w:multiLevelType w:val="hybridMultilevel"/>
    <w:tmpl w:val="77C8BA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AC"/>
    <w:rsid w:val="002946AC"/>
    <w:rsid w:val="00480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0670"/>
  <w15:chartTrackingRefBased/>
  <w15:docId w15:val="{CAAB0E5E-3EA9-4A3E-BB4E-DEF5047A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46A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2946AC"/>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rsid w:val="002946AC"/>
    <w:rPr>
      <w:rFonts w:ascii="Calibri" w:eastAsia="Calibri" w:hAnsi="Calibri" w:cs="Times New Roman"/>
    </w:rPr>
  </w:style>
  <w:style w:type="paragraph" w:styleId="Porat">
    <w:name w:val="footer"/>
    <w:basedOn w:val="prastasis"/>
    <w:link w:val="PoratDiagrama"/>
    <w:unhideWhenUsed/>
    <w:rsid w:val="002946AC"/>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rsid w:val="002946AC"/>
    <w:rPr>
      <w:rFonts w:ascii="Calibri" w:eastAsia="Calibri" w:hAnsi="Calibri" w:cs="Times New Roman"/>
    </w:rPr>
  </w:style>
  <w:style w:type="character" w:styleId="Puslapionumeris">
    <w:name w:val="page number"/>
    <w:basedOn w:val="Numatytasispastraiposriftas"/>
    <w:rsid w:val="0029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12050</Words>
  <Characters>6869</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2020-07-09T10:44:00Z</dcterms:created>
  <dcterms:modified xsi:type="dcterms:W3CDTF">2020-07-09T10:44:00Z</dcterms:modified>
</cp:coreProperties>
</file>