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D36F7" w14:textId="77777777" w:rsidR="00302C06" w:rsidRPr="005E49A1" w:rsidRDefault="00302C06" w:rsidP="00302C06">
      <w:pPr>
        <w:tabs>
          <w:tab w:val="left" w:pos="567"/>
        </w:tabs>
        <w:rPr>
          <w:szCs w:val="22"/>
        </w:rPr>
      </w:pPr>
      <w:bookmarkStart w:id="0" w:name="_GoBack"/>
      <w:bookmarkEnd w:id="0"/>
    </w:p>
    <w:p w14:paraId="58328A08" w14:textId="77777777" w:rsidR="00302C06" w:rsidRPr="005E49A1" w:rsidRDefault="00302C06" w:rsidP="00302C06">
      <w:pPr>
        <w:tabs>
          <w:tab w:val="left" w:pos="567"/>
        </w:tabs>
        <w:rPr>
          <w:szCs w:val="22"/>
        </w:rPr>
      </w:pPr>
    </w:p>
    <w:p w14:paraId="25E628C1" w14:textId="77777777" w:rsidR="00302C06" w:rsidRPr="005E49A1" w:rsidRDefault="00302C06" w:rsidP="00302C06">
      <w:pPr>
        <w:tabs>
          <w:tab w:val="left" w:pos="567"/>
        </w:tabs>
        <w:rPr>
          <w:szCs w:val="22"/>
        </w:rPr>
      </w:pPr>
    </w:p>
    <w:p w14:paraId="09B63169" w14:textId="77777777" w:rsidR="00302C06" w:rsidRPr="005E49A1" w:rsidRDefault="00302C06" w:rsidP="00302C06">
      <w:pPr>
        <w:tabs>
          <w:tab w:val="left" w:pos="567"/>
        </w:tabs>
        <w:rPr>
          <w:szCs w:val="22"/>
        </w:rPr>
      </w:pPr>
    </w:p>
    <w:p w14:paraId="2D922C96" w14:textId="77777777" w:rsidR="00302C06" w:rsidRPr="005E49A1" w:rsidRDefault="00302C06" w:rsidP="00302C06">
      <w:pPr>
        <w:tabs>
          <w:tab w:val="left" w:pos="567"/>
        </w:tabs>
        <w:rPr>
          <w:szCs w:val="22"/>
        </w:rPr>
      </w:pPr>
    </w:p>
    <w:p w14:paraId="5BC54D1C" w14:textId="77777777" w:rsidR="00302C06" w:rsidRPr="005E49A1" w:rsidRDefault="00302C06" w:rsidP="00302C06">
      <w:pPr>
        <w:tabs>
          <w:tab w:val="left" w:pos="567"/>
        </w:tabs>
        <w:rPr>
          <w:szCs w:val="22"/>
        </w:rPr>
      </w:pPr>
    </w:p>
    <w:p w14:paraId="3B2C041D" w14:textId="77777777" w:rsidR="00302C06" w:rsidRPr="005E49A1" w:rsidRDefault="00302C06" w:rsidP="00302C06">
      <w:pPr>
        <w:tabs>
          <w:tab w:val="left" w:pos="567"/>
        </w:tabs>
        <w:rPr>
          <w:szCs w:val="22"/>
        </w:rPr>
      </w:pPr>
    </w:p>
    <w:p w14:paraId="22A69751" w14:textId="77777777" w:rsidR="00302C06" w:rsidRPr="005E49A1" w:rsidRDefault="00302C06" w:rsidP="00302C06">
      <w:pPr>
        <w:tabs>
          <w:tab w:val="left" w:pos="567"/>
        </w:tabs>
        <w:rPr>
          <w:szCs w:val="22"/>
        </w:rPr>
      </w:pPr>
    </w:p>
    <w:p w14:paraId="6C07BC8A" w14:textId="77777777" w:rsidR="00302C06" w:rsidRPr="005E49A1" w:rsidRDefault="00302C06" w:rsidP="00302C06">
      <w:pPr>
        <w:tabs>
          <w:tab w:val="left" w:pos="567"/>
        </w:tabs>
        <w:rPr>
          <w:szCs w:val="22"/>
        </w:rPr>
      </w:pPr>
    </w:p>
    <w:p w14:paraId="7FD8EA39" w14:textId="77777777" w:rsidR="00302C06" w:rsidRPr="005E49A1" w:rsidRDefault="00302C06" w:rsidP="00302C06">
      <w:pPr>
        <w:tabs>
          <w:tab w:val="left" w:pos="567"/>
        </w:tabs>
        <w:rPr>
          <w:szCs w:val="22"/>
        </w:rPr>
      </w:pPr>
    </w:p>
    <w:p w14:paraId="3F9E82B8" w14:textId="77777777" w:rsidR="00302C06" w:rsidRPr="005E49A1" w:rsidRDefault="00302C06" w:rsidP="00302C06">
      <w:pPr>
        <w:tabs>
          <w:tab w:val="left" w:pos="567"/>
        </w:tabs>
        <w:rPr>
          <w:szCs w:val="22"/>
        </w:rPr>
      </w:pPr>
    </w:p>
    <w:p w14:paraId="3F09A9FB" w14:textId="77777777" w:rsidR="00302C06" w:rsidRPr="005E49A1" w:rsidRDefault="00302C06" w:rsidP="00302C06">
      <w:pPr>
        <w:tabs>
          <w:tab w:val="left" w:pos="567"/>
        </w:tabs>
        <w:rPr>
          <w:szCs w:val="22"/>
        </w:rPr>
      </w:pPr>
    </w:p>
    <w:p w14:paraId="70CAD38E" w14:textId="77777777" w:rsidR="00302C06" w:rsidRPr="005E49A1" w:rsidRDefault="00302C06" w:rsidP="00302C06">
      <w:pPr>
        <w:tabs>
          <w:tab w:val="left" w:pos="567"/>
        </w:tabs>
        <w:rPr>
          <w:szCs w:val="22"/>
        </w:rPr>
      </w:pPr>
    </w:p>
    <w:p w14:paraId="3022D277" w14:textId="77777777" w:rsidR="00302C06" w:rsidRPr="005E49A1" w:rsidRDefault="00302C06" w:rsidP="00302C06">
      <w:pPr>
        <w:tabs>
          <w:tab w:val="left" w:pos="567"/>
        </w:tabs>
        <w:rPr>
          <w:szCs w:val="22"/>
        </w:rPr>
      </w:pPr>
    </w:p>
    <w:p w14:paraId="42F0FE04" w14:textId="77777777" w:rsidR="00302C06" w:rsidRPr="005E49A1" w:rsidRDefault="00302C06" w:rsidP="00302C06">
      <w:pPr>
        <w:tabs>
          <w:tab w:val="left" w:pos="567"/>
        </w:tabs>
        <w:rPr>
          <w:szCs w:val="22"/>
        </w:rPr>
      </w:pPr>
    </w:p>
    <w:p w14:paraId="324DB0AD" w14:textId="77777777" w:rsidR="00302C06" w:rsidRPr="005E49A1" w:rsidRDefault="00302C06" w:rsidP="00302C06">
      <w:pPr>
        <w:tabs>
          <w:tab w:val="left" w:pos="567"/>
        </w:tabs>
        <w:rPr>
          <w:szCs w:val="22"/>
        </w:rPr>
      </w:pPr>
    </w:p>
    <w:p w14:paraId="697FB2CA" w14:textId="77777777" w:rsidR="00302C06" w:rsidRPr="005E49A1" w:rsidRDefault="00302C06" w:rsidP="00302C06">
      <w:pPr>
        <w:tabs>
          <w:tab w:val="left" w:pos="567"/>
        </w:tabs>
        <w:rPr>
          <w:szCs w:val="22"/>
        </w:rPr>
      </w:pPr>
    </w:p>
    <w:p w14:paraId="62FAD655" w14:textId="77777777" w:rsidR="00302C06" w:rsidRPr="005E49A1" w:rsidRDefault="00302C06" w:rsidP="00302C06">
      <w:pPr>
        <w:tabs>
          <w:tab w:val="left" w:pos="567"/>
        </w:tabs>
        <w:rPr>
          <w:szCs w:val="22"/>
        </w:rPr>
      </w:pPr>
    </w:p>
    <w:p w14:paraId="4BFD6ABF" w14:textId="77777777" w:rsidR="00302C06" w:rsidRPr="005E49A1" w:rsidRDefault="00302C06" w:rsidP="00302C06">
      <w:pPr>
        <w:tabs>
          <w:tab w:val="left" w:pos="567"/>
        </w:tabs>
        <w:rPr>
          <w:szCs w:val="22"/>
        </w:rPr>
      </w:pPr>
    </w:p>
    <w:p w14:paraId="53F5027E" w14:textId="77777777" w:rsidR="00302C06" w:rsidRPr="005E49A1" w:rsidRDefault="00302C06" w:rsidP="00302C06">
      <w:pPr>
        <w:tabs>
          <w:tab w:val="left" w:pos="567"/>
        </w:tabs>
        <w:rPr>
          <w:szCs w:val="22"/>
        </w:rPr>
      </w:pPr>
    </w:p>
    <w:p w14:paraId="796D8532" w14:textId="77777777" w:rsidR="00302C06" w:rsidRPr="005E49A1" w:rsidRDefault="00302C06" w:rsidP="00302C06">
      <w:pPr>
        <w:tabs>
          <w:tab w:val="left" w:pos="567"/>
        </w:tabs>
        <w:rPr>
          <w:szCs w:val="22"/>
        </w:rPr>
      </w:pPr>
    </w:p>
    <w:p w14:paraId="799BBECE" w14:textId="77777777" w:rsidR="00302C06" w:rsidRPr="005E49A1" w:rsidRDefault="00302C06" w:rsidP="00302C06">
      <w:pPr>
        <w:tabs>
          <w:tab w:val="left" w:pos="567"/>
        </w:tabs>
        <w:rPr>
          <w:szCs w:val="22"/>
        </w:rPr>
      </w:pPr>
    </w:p>
    <w:p w14:paraId="66F3D78D" w14:textId="77777777" w:rsidR="00302C06" w:rsidRPr="005E49A1" w:rsidRDefault="00302C06" w:rsidP="00302C06">
      <w:pPr>
        <w:tabs>
          <w:tab w:val="left" w:pos="567"/>
        </w:tabs>
        <w:jc w:val="center"/>
        <w:rPr>
          <w:b/>
          <w:szCs w:val="22"/>
        </w:rPr>
      </w:pPr>
    </w:p>
    <w:p w14:paraId="33A119A9" w14:textId="77777777" w:rsidR="00302C06" w:rsidRPr="005E49A1" w:rsidRDefault="00302C06" w:rsidP="00302C06">
      <w:pPr>
        <w:tabs>
          <w:tab w:val="left" w:pos="567"/>
        </w:tabs>
        <w:jc w:val="center"/>
        <w:rPr>
          <w:b/>
          <w:szCs w:val="22"/>
        </w:rPr>
      </w:pPr>
      <w:r w:rsidRPr="005E49A1">
        <w:rPr>
          <w:b/>
          <w:szCs w:val="22"/>
        </w:rPr>
        <w:t>I PRIEDAS</w:t>
      </w:r>
    </w:p>
    <w:p w14:paraId="46622F47" w14:textId="77777777" w:rsidR="00302C06" w:rsidRPr="005E49A1" w:rsidRDefault="00302C06" w:rsidP="00302C06">
      <w:pPr>
        <w:tabs>
          <w:tab w:val="left" w:pos="567"/>
        </w:tabs>
        <w:jc w:val="center"/>
        <w:rPr>
          <w:b/>
          <w:szCs w:val="22"/>
        </w:rPr>
      </w:pPr>
    </w:p>
    <w:p w14:paraId="3FBC8A30" w14:textId="77777777" w:rsidR="00302C06" w:rsidRPr="005E49A1" w:rsidRDefault="00302C06" w:rsidP="00302C06">
      <w:pPr>
        <w:tabs>
          <w:tab w:val="left" w:pos="567"/>
        </w:tabs>
        <w:jc w:val="center"/>
        <w:rPr>
          <w:b/>
          <w:szCs w:val="22"/>
        </w:rPr>
      </w:pPr>
      <w:r w:rsidRPr="005E49A1">
        <w:rPr>
          <w:b/>
          <w:szCs w:val="22"/>
        </w:rPr>
        <w:t>PREPARATO CHARAKTERISTIKŲ SANTRAUKA</w:t>
      </w:r>
    </w:p>
    <w:p w14:paraId="3F0E33A5" w14:textId="77777777" w:rsidR="00302C06" w:rsidRPr="005E49A1" w:rsidRDefault="00302C06" w:rsidP="00302C06">
      <w:pPr>
        <w:tabs>
          <w:tab w:val="left" w:pos="567"/>
        </w:tabs>
        <w:rPr>
          <w:noProof/>
          <w:szCs w:val="22"/>
        </w:rPr>
      </w:pPr>
      <w:r w:rsidRPr="005E49A1">
        <w:rPr>
          <w:szCs w:val="22"/>
        </w:rPr>
        <w:br w:type="page"/>
      </w:r>
      <w:r w:rsidRPr="005E49A1">
        <w:rPr>
          <w:b/>
          <w:noProof/>
          <w:szCs w:val="22"/>
        </w:rPr>
        <w:lastRenderedPageBreak/>
        <w:t>1.</w:t>
      </w:r>
      <w:r w:rsidRPr="005E49A1">
        <w:rPr>
          <w:b/>
          <w:noProof/>
          <w:szCs w:val="22"/>
        </w:rPr>
        <w:tab/>
      </w:r>
      <w:r w:rsidRPr="005E49A1">
        <w:rPr>
          <w:b/>
          <w:szCs w:val="22"/>
        </w:rPr>
        <w:t>VAISTINIO PREPARATO PAVADINIMAS</w:t>
      </w:r>
    </w:p>
    <w:p w14:paraId="1EE02379" w14:textId="77777777" w:rsidR="00302C06" w:rsidRPr="005E49A1" w:rsidRDefault="00302C06" w:rsidP="00302C06">
      <w:pPr>
        <w:tabs>
          <w:tab w:val="left" w:pos="567"/>
        </w:tabs>
        <w:rPr>
          <w:noProof/>
          <w:szCs w:val="22"/>
        </w:rPr>
      </w:pPr>
    </w:p>
    <w:p w14:paraId="17BDAD54" w14:textId="77777777" w:rsidR="00302C06" w:rsidRPr="005E49A1" w:rsidRDefault="00302C06" w:rsidP="00302C06">
      <w:pPr>
        <w:widowControl w:val="0"/>
        <w:tabs>
          <w:tab w:val="left" w:pos="567"/>
        </w:tabs>
        <w:rPr>
          <w:noProof/>
          <w:szCs w:val="22"/>
        </w:rPr>
      </w:pPr>
      <w:r w:rsidRPr="005E49A1">
        <w:rPr>
          <w:szCs w:val="22"/>
        </w:rPr>
        <w:t>BAXOGAR 150 mg plėvele dengtos tabletės</w:t>
      </w:r>
    </w:p>
    <w:p w14:paraId="62AF3738" w14:textId="77777777" w:rsidR="00302C06" w:rsidRPr="00444E1A" w:rsidRDefault="00302C06" w:rsidP="00302C06">
      <w:pPr>
        <w:tabs>
          <w:tab w:val="left" w:pos="567"/>
        </w:tabs>
        <w:rPr>
          <w:szCs w:val="22"/>
        </w:rPr>
      </w:pPr>
    </w:p>
    <w:p w14:paraId="76E65906" w14:textId="77777777" w:rsidR="00302C06" w:rsidRPr="00444E1A" w:rsidRDefault="00302C06" w:rsidP="00302C06">
      <w:pPr>
        <w:tabs>
          <w:tab w:val="left" w:pos="567"/>
        </w:tabs>
        <w:rPr>
          <w:szCs w:val="22"/>
        </w:rPr>
      </w:pPr>
    </w:p>
    <w:p w14:paraId="7DF23AC7" w14:textId="77777777" w:rsidR="00302C06" w:rsidRPr="005E49A1" w:rsidRDefault="00302C06" w:rsidP="00302C06">
      <w:pPr>
        <w:widowControl w:val="0"/>
        <w:tabs>
          <w:tab w:val="left" w:pos="567"/>
        </w:tabs>
        <w:rPr>
          <w:noProof/>
          <w:szCs w:val="22"/>
        </w:rPr>
      </w:pPr>
      <w:r w:rsidRPr="005E49A1">
        <w:rPr>
          <w:b/>
          <w:noProof/>
          <w:szCs w:val="22"/>
        </w:rPr>
        <w:t>2.</w:t>
      </w:r>
      <w:r w:rsidRPr="005E49A1">
        <w:rPr>
          <w:b/>
          <w:noProof/>
          <w:szCs w:val="22"/>
        </w:rPr>
        <w:tab/>
      </w:r>
      <w:r w:rsidRPr="005E49A1">
        <w:rPr>
          <w:b/>
          <w:szCs w:val="22"/>
        </w:rPr>
        <w:t>KOKYBINĖ IR KIEKYBINĖ SUDĖTIS</w:t>
      </w:r>
    </w:p>
    <w:p w14:paraId="50C5F162" w14:textId="77777777" w:rsidR="00302C06" w:rsidRPr="005E49A1" w:rsidRDefault="00302C06" w:rsidP="00302C06">
      <w:pPr>
        <w:widowControl w:val="0"/>
        <w:tabs>
          <w:tab w:val="left" w:pos="567"/>
        </w:tabs>
        <w:rPr>
          <w:noProof/>
          <w:szCs w:val="22"/>
        </w:rPr>
      </w:pPr>
    </w:p>
    <w:p w14:paraId="54CA17A3" w14:textId="77777777" w:rsidR="00302C06" w:rsidRPr="00444E1A" w:rsidRDefault="00302C06" w:rsidP="00302C06">
      <w:pPr>
        <w:tabs>
          <w:tab w:val="left" w:pos="567"/>
        </w:tabs>
        <w:rPr>
          <w:szCs w:val="22"/>
        </w:rPr>
      </w:pPr>
      <w:r w:rsidRPr="005E49A1">
        <w:rPr>
          <w:szCs w:val="22"/>
        </w:rPr>
        <w:t xml:space="preserve">Kiekvienoje plėvele dengtoje tabletėje yra 150 mg ibandrono rūgšties (natrio druskos monohidrato pavidalu). </w:t>
      </w:r>
    </w:p>
    <w:p w14:paraId="67F9BCA7" w14:textId="77777777" w:rsidR="00302C06" w:rsidRPr="00444E1A" w:rsidRDefault="00302C06" w:rsidP="00302C06">
      <w:pPr>
        <w:tabs>
          <w:tab w:val="left" w:pos="567"/>
        </w:tabs>
        <w:rPr>
          <w:szCs w:val="22"/>
        </w:rPr>
      </w:pPr>
    </w:p>
    <w:p w14:paraId="72C736D8" w14:textId="77777777" w:rsidR="00302C06" w:rsidRPr="0022545A" w:rsidRDefault="00302C06" w:rsidP="00302C06">
      <w:pPr>
        <w:tabs>
          <w:tab w:val="left" w:pos="567"/>
        </w:tabs>
        <w:autoSpaceDE w:val="0"/>
        <w:autoSpaceDN w:val="0"/>
        <w:adjustRightInd w:val="0"/>
        <w:rPr>
          <w:u w:val="single"/>
        </w:rPr>
      </w:pPr>
      <w:r w:rsidRPr="0022545A">
        <w:rPr>
          <w:u w:val="single"/>
        </w:rPr>
        <w:t>Pagalbinės medžiagos, kurių poveikis žinomas:</w:t>
      </w:r>
    </w:p>
    <w:p w14:paraId="5F8FF70D" w14:textId="5F32E21E" w:rsidR="00302C06" w:rsidRDefault="007E1A03" w:rsidP="00302C06">
      <w:pPr>
        <w:tabs>
          <w:tab w:val="left" w:pos="567"/>
        </w:tabs>
        <w:autoSpaceDE w:val="0"/>
        <w:autoSpaceDN w:val="0"/>
        <w:adjustRightInd w:val="0"/>
        <w:rPr>
          <w:szCs w:val="22"/>
        </w:rPr>
      </w:pPr>
      <w:r>
        <w:rPr>
          <w:szCs w:val="22"/>
        </w:rPr>
        <w:t>Kiekvienoje plėvele dengtoje tabletėje</w:t>
      </w:r>
      <w:r w:rsidRPr="005E49A1">
        <w:rPr>
          <w:szCs w:val="22"/>
        </w:rPr>
        <w:t xml:space="preserve"> </w:t>
      </w:r>
      <w:r w:rsidR="00302C06" w:rsidRPr="005E49A1">
        <w:rPr>
          <w:szCs w:val="22"/>
        </w:rPr>
        <w:t>yra 2,56</w:t>
      </w:r>
      <w:r w:rsidR="00302C06">
        <w:rPr>
          <w:szCs w:val="22"/>
        </w:rPr>
        <w:t> </w:t>
      </w:r>
      <w:r w:rsidR="00302C06" w:rsidRPr="005E49A1">
        <w:rPr>
          <w:szCs w:val="22"/>
        </w:rPr>
        <w:t>mg bevandenės laktozės (atitinka 2,7</w:t>
      </w:r>
      <w:r w:rsidR="00302C06">
        <w:rPr>
          <w:szCs w:val="22"/>
        </w:rPr>
        <w:t> </w:t>
      </w:r>
      <w:r w:rsidR="00302C06" w:rsidRPr="005E49A1">
        <w:rPr>
          <w:szCs w:val="22"/>
        </w:rPr>
        <w:t>mg laktozės monohidrato).</w:t>
      </w:r>
    </w:p>
    <w:p w14:paraId="31058DDB" w14:textId="77777777" w:rsidR="007E1A03" w:rsidRPr="007E1A03" w:rsidRDefault="007E1A03" w:rsidP="00302C06">
      <w:pPr>
        <w:tabs>
          <w:tab w:val="left" w:pos="567"/>
        </w:tabs>
        <w:autoSpaceDE w:val="0"/>
        <w:autoSpaceDN w:val="0"/>
        <w:adjustRightInd w:val="0"/>
        <w:rPr>
          <w:szCs w:val="22"/>
        </w:rPr>
      </w:pPr>
      <w:r>
        <w:rPr>
          <w:szCs w:val="22"/>
        </w:rPr>
        <w:t>Kiekvienoje plėvele dengtoje tabletėje</w:t>
      </w:r>
      <w:r w:rsidRPr="005E49A1">
        <w:rPr>
          <w:szCs w:val="22"/>
        </w:rPr>
        <w:t xml:space="preserve"> yra</w:t>
      </w:r>
      <w:r>
        <w:rPr>
          <w:szCs w:val="22"/>
        </w:rPr>
        <w:t xml:space="preserve"> 0,</w:t>
      </w:r>
      <w:r w:rsidRPr="00C71C79">
        <w:rPr>
          <w:szCs w:val="22"/>
        </w:rPr>
        <w:t xml:space="preserve">47 mmol (10,8 mg) </w:t>
      </w:r>
      <w:r w:rsidRPr="004248B8">
        <w:rPr>
          <w:szCs w:val="22"/>
        </w:rPr>
        <w:t>natrio</w:t>
      </w:r>
      <w:r w:rsidRPr="00C71C79">
        <w:rPr>
          <w:szCs w:val="22"/>
        </w:rPr>
        <w:t>.</w:t>
      </w:r>
    </w:p>
    <w:p w14:paraId="3D1FE61F" w14:textId="77777777" w:rsidR="00302C06" w:rsidRPr="00444E1A" w:rsidRDefault="00302C06" w:rsidP="00302C06">
      <w:pPr>
        <w:tabs>
          <w:tab w:val="left" w:pos="567"/>
        </w:tabs>
        <w:autoSpaceDE w:val="0"/>
        <w:autoSpaceDN w:val="0"/>
        <w:adjustRightInd w:val="0"/>
        <w:rPr>
          <w:szCs w:val="22"/>
        </w:rPr>
      </w:pPr>
    </w:p>
    <w:p w14:paraId="0BCC0BC1" w14:textId="77777777" w:rsidR="00302C06" w:rsidRPr="00444E1A" w:rsidRDefault="00302C06" w:rsidP="00302C06">
      <w:pPr>
        <w:tabs>
          <w:tab w:val="left" w:pos="567"/>
        </w:tabs>
        <w:autoSpaceDE w:val="0"/>
        <w:autoSpaceDN w:val="0"/>
        <w:adjustRightInd w:val="0"/>
        <w:rPr>
          <w:szCs w:val="22"/>
        </w:rPr>
      </w:pPr>
      <w:r w:rsidRPr="005E49A1">
        <w:rPr>
          <w:szCs w:val="22"/>
        </w:rPr>
        <w:t>Visos pagalbinės medžiagos išvardytos 6.1 skyriuje.</w:t>
      </w:r>
    </w:p>
    <w:p w14:paraId="2DEBB272" w14:textId="77777777" w:rsidR="00302C06" w:rsidRPr="00444E1A" w:rsidRDefault="00302C06" w:rsidP="00302C06">
      <w:pPr>
        <w:tabs>
          <w:tab w:val="left" w:pos="567"/>
        </w:tabs>
        <w:rPr>
          <w:szCs w:val="22"/>
        </w:rPr>
      </w:pPr>
    </w:p>
    <w:p w14:paraId="46299642" w14:textId="77777777" w:rsidR="00302C06" w:rsidRPr="00444E1A" w:rsidRDefault="00302C06" w:rsidP="00302C06">
      <w:pPr>
        <w:tabs>
          <w:tab w:val="left" w:pos="567"/>
        </w:tabs>
        <w:rPr>
          <w:szCs w:val="22"/>
        </w:rPr>
      </w:pPr>
    </w:p>
    <w:p w14:paraId="44762975" w14:textId="77777777" w:rsidR="00302C06" w:rsidRPr="005E49A1" w:rsidRDefault="00302C06" w:rsidP="00302C06">
      <w:pPr>
        <w:tabs>
          <w:tab w:val="left" w:pos="567"/>
        </w:tabs>
        <w:ind w:left="567" w:hanging="567"/>
        <w:rPr>
          <w:caps/>
          <w:noProof/>
          <w:szCs w:val="22"/>
        </w:rPr>
      </w:pPr>
      <w:r w:rsidRPr="005E49A1">
        <w:rPr>
          <w:b/>
          <w:noProof/>
          <w:szCs w:val="22"/>
        </w:rPr>
        <w:t>3.</w:t>
      </w:r>
      <w:r w:rsidRPr="005E49A1">
        <w:rPr>
          <w:b/>
          <w:noProof/>
          <w:szCs w:val="22"/>
        </w:rPr>
        <w:tab/>
      </w:r>
      <w:r w:rsidRPr="005E49A1">
        <w:rPr>
          <w:b/>
          <w:szCs w:val="22"/>
        </w:rPr>
        <w:t>FARMACINĖ FORMA</w:t>
      </w:r>
    </w:p>
    <w:p w14:paraId="04215249" w14:textId="77777777" w:rsidR="00302C06" w:rsidRPr="005E49A1" w:rsidRDefault="00302C06" w:rsidP="00302C06">
      <w:pPr>
        <w:tabs>
          <w:tab w:val="left" w:pos="567"/>
        </w:tabs>
        <w:rPr>
          <w:noProof/>
          <w:szCs w:val="22"/>
        </w:rPr>
      </w:pPr>
    </w:p>
    <w:p w14:paraId="0D5E79C3" w14:textId="77777777" w:rsidR="00302C06" w:rsidRPr="005E49A1" w:rsidRDefault="00302C06" w:rsidP="00302C06">
      <w:pPr>
        <w:tabs>
          <w:tab w:val="left" w:pos="567"/>
        </w:tabs>
        <w:rPr>
          <w:noProof/>
          <w:szCs w:val="22"/>
        </w:rPr>
      </w:pPr>
      <w:r w:rsidRPr="005E49A1">
        <w:rPr>
          <w:szCs w:val="22"/>
        </w:rPr>
        <w:t>Plėvele dengta tabletė</w:t>
      </w:r>
      <w:r w:rsidRPr="005E49A1">
        <w:rPr>
          <w:noProof/>
          <w:szCs w:val="22"/>
        </w:rPr>
        <w:t xml:space="preserve"> </w:t>
      </w:r>
    </w:p>
    <w:p w14:paraId="7C71ED00" w14:textId="77777777" w:rsidR="00302C06" w:rsidRPr="005E49A1" w:rsidRDefault="00302C06" w:rsidP="00302C06">
      <w:pPr>
        <w:tabs>
          <w:tab w:val="left" w:pos="567"/>
        </w:tabs>
        <w:rPr>
          <w:noProof/>
          <w:szCs w:val="22"/>
        </w:rPr>
      </w:pPr>
      <w:r>
        <w:rPr>
          <w:szCs w:val="22"/>
        </w:rPr>
        <w:t>B</w:t>
      </w:r>
      <w:r w:rsidRPr="005E49A1">
        <w:rPr>
          <w:szCs w:val="22"/>
        </w:rPr>
        <w:t>altos, apskritos, abipus išgaubtos</w:t>
      </w:r>
      <w:r>
        <w:rPr>
          <w:szCs w:val="22"/>
        </w:rPr>
        <w:t xml:space="preserve"> tabletės</w:t>
      </w:r>
      <w:r w:rsidRPr="005E49A1">
        <w:rPr>
          <w:szCs w:val="22"/>
        </w:rPr>
        <w:t>.</w:t>
      </w:r>
    </w:p>
    <w:p w14:paraId="399E1DEC" w14:textId="77777777" w:rsidR="00302C06" w:rsidRPr="00444E1A" w:rsidRDefault="00302C06" w:rsidP="00302C06">
      <w:pPr>
        <w:tabs>
          <w:tab w:val="left" w:pos="567"/>
        </w:tabs>
        <w:rPr>
          <w:szCs w:val="22"/>
        </w:rPr>
      </w:pPr>
    </w:p>
    <w:p w14:paraId="01EEC992" w14:textId="77777777" w:rsidR="00302C06" w:rsidRPr="00444E1A" w:rsidRDefault="00302C06" w:rsidP="00302C06">
      <w:pPr>
        <w:tabs>
          <w:tab w:val="left" w:pos="567"/>
        </w:tabs>
        <w:rPr>
          <w:szCs w:val="22"/>
        </w:rPr>
      </w:pPr>
    </w:p>
    <w:p w14:paraId="40B7898E" w14:textId="77777777" w:rsidR="00302C06" w:rsidRPr="005E49A1" w:rsidRDefault="00302C06" w:rsidP="00302C06">
      <w:pPr>
        <w:tabs>
          <w:tab w:val="left" w:pos="567"/>
        </w:tabs>
        <w:ind w:left="567" w:hanging="567"/>
        <w:rPr>
          <w:caps/>
          <w:noProof/>
          <w:szCs w:val="22"/>
        </w:rPr>
      </w:pPr>
      <w:r w:rsidRPr="005E49A1">
        <w:rPr>
          <w:b/>
          <w:caps/>
          <w:noProof/>
          <w:szCs w:val="22"/>
        </w:rPr>
        <w:t>4.</w:t>
      </w:r>
      <w:r w:rsidRPr="005E49A1">
        <w:rPr>
          <w:b/>
          <w:szCs w:val="22"/>
        </w:rPr>
        <w:tab/>
        <w:t>KLINIKINĖ INFORMACIJA</w:t>
      </w:r>
    </w:p>
    <w:p w14:paraId="5C24EA2C" w14:textId="77777777" w:rsidR="00302C06" w:rsidRPr="005E49A1" w:rsidRDefault="00302C06" w:rsidP="00302C06">
      <w:pPr>
        <w:tabs>
          <w:tab w:val="left" w:pos="567"/>
        </w:tabs>
        <w:rPr>
          <w:noProof/>
          <w:szCs w:val="22"/>
        </w:rPr>
      </w:pPr>
    </w:p>
    <w:p w14:paraId="0F3885CF" w14:textId="77777777" w:rsidR="00302C06" w:rsidRPr="005E49A1" w:rsidRDefault="00302C06" w:rsidP="00302C06">
      <w:pPr>
        <w:tabs>
          <w:tab w:val="left" w:pos="567"/>
        </w:tabs>
        <w:ind w:left="567" w:hanging="567"/>
        <w:outlineLvl w:val="0"/>
        <w:rPr>
          <w:noProof/>
          <w:szCs w:val="22"/>
        </w:rPr>
      </w:pPr>
      <w:r w:rsidRPr="005E49A1">
        <w:rPr>
          <w:b/>
          <w:noProof/>
          <w:szCs w:val="22"/>
        </w:rPr>
        <w:t>4.1</w:t>
      </w:r>
      <w:r w:rsidRPr="005E49A1">
        <w:rPr>
          <w:b/>
          <w:noProof/>
          <w:szCs w:val="22"/>
        </w:rPr>
        <w:tab/>
      </w:r>
      <w:r w:rsidRPr="005E49A1">
        <w:rPr>
          <w:b/>
          <w:szCs w:val="22"/>
        </w:rPr>
        <w:t>Terapinės indikacijos</w:t>
      </w:r>
    </w:p>
    <w:p w14:paraId="0672184A" w14:textId="77777777" w:rsidR="00302C06" w:rsidRPr="005E49A1" w:rsidRDefault="00302C06" w:rsidP="00302C06">
      <w:pPr>
        <w:tabs>
          <w:tab w:val="left" w:pos="567"/>
        </w:tabs>
        <w:rPr>
          <w:noProof/>
          <w:szCs w:val="22"/>
        </w:rPr>
      </w:pPr>
    </w:p>
    <w:p w14:paraId="621A8A4D" w14:textId="77777777" w:rsidR="00302C06" w:rsidRPr="005E49A1" w:rsidRDefault="00302C06" w:rsidP="00302C06">
      <w:pPr>
        <w:tabs>
          <w:tab w:val="left" w:pos="567"/>
        </w:tabs>
        <w:rPr>
          <w:color w:val="000000"/>
          <w:spacing w:val="-3"/>
          <w:szCs w:val="22"/>
        </w:rPr>
      </w:pPr>
      <w:r w:rsidRPr="005E49A1">
        <w:rPr>
          <w:color w:val="000000"/>
          <w:spacing w:val="-3"/>
          <w:szCs w:val="22"/>
        </w:rPr>
        <w:t xml:space="preserve">Moterų po menopauzės, kurioms padidėjusi kaulų lūžių rizika, osteoporozės gydymas (žr. 5.1 skyrių). </w:t>
      </w:r>
    </w:p>
    <w:p w14:paraId="2F388763" w14:textId="77777777" w:rsidR="00302C06" w:rsidRPr="005E49A1" w:rsidRDefault="00302C06" w:rsidP="00302C06">
      <w:pPr>
        <w:autoSpaceDE w:val="0"/>
        <w:autoSpaceDN w:val="0"/>
        <w:adjustRightInd w:val="0"/>
        <w:rPr>
          <w:color w:val="000000"/>
          <w:szCs w:val="22"/>
          <w:lang w:eastAsia="lt-LT"/>
        </w:rPr>
      </w:pPr>
    </w:p>
    <w:p w14:paraId="26AEAB85" w14:textId="77777777" w:rsidR="00302C06" w:rsidRPr="005E49A1" w:rsidRDefault="00302C06" w:rsidP="00302C06">
      <w:pPr>
        <w:autoSpaceDE w:val="0"/>
        <w:autoSpaceDN w:val="0"/>
        <w:adjustRightInd w:val="0"/>
        <w:rPr>
          <w:szCs w:val="22"/>
          <w:lang w:eastAsia="lt-LT"/>
        </w:rPr>
      </w:pPr>
      <w:r w:rsidRPr="005E49A1">
        <w:rPr>
          <w:color w:val="000000"/>
          <w:szCs w:val="22"/>
          <w:lang w:eastAsia="lt-LT"/>
        </w:rPr>
        <w:t xml:space="preserve">Įrodytas veiksmingumas mažinant stuburo slankstelių lūžių riziką; veiksmingumas mažinant šlaunikaulio kaklelio lūžių riziką nenustatytas. </w:t>
      </w:r>
    </w:p>
    <w:p w14:paraId="15F6DCE5" w14:textId="77777777" w:rsidR="00302C06" w:rsidRPr="005E49A1" w:rsidRDefault="00302C06" w:rsidP="00302C06">
      <w:pPr>
        <w:tabs>
          <w:tab w:val="left" w:pos="567"/>
        </w:tabs>
        <w:rPr>
          <w:szCs w:val="22"/>
        </w:rPr>
      </w:pPr>
    </w:p>
    <w:p w14:paraId="3A84ECEC" w14:textId="77777777" w:rsidR="00302C06" w:rsidRPr="005E49A1" w:rsidRDefault="00302C06" w:rsidP="00302C06">
      <w:pPr>
        <w:numPr>
          <w:ilvl w:val="1"/>
          <w:numId w:val="8"/>
        </w:numPr>
        <w:tabs>
          <w:tab w:val="clear" w:pos="570"/>
          <w:tab w:val="left" w:pos="567"/>
        </w:tabs>
        <w:outlineLvl w:val="0"/>
        <w:rPr>
          <w:b/>
          <w:noProof/>
          <w:szCs w:val="22"/>
        </w:rPr>
      </w:pPr>
      <w:r w:rsidRPr="005E49A1">
        <w:rPr>
          <w:b/>
          <w:szCs w:val="22"/>
        </w:rPr>
        <w:t>Dozavimas ir vartojimo metodas</w:t>
      </w:r>
    </w:p>
    <w:p w14:paraId="1881E843" w14:textId="77777777" w:rsidR="00302C06" w:rsidRPr="005E49A1" w:rsidRDefault="00302C06" w:rsidP="00302C06">
      <w:pPr>
        <w:tabs>
          <w:tab w:val="left" w:pos="567"/>
        </w:tabs>
        <w:rPr>
          <w:b/>
          <w:noProof/>
          <w:szCs w:val="22"/>
        </w:rPr>
      </w:pPr>
    </w:p>
    <w:p w14:paraId="4AB8139A" w14:textId="77777777" w:rsidR="00302C06" w:rsidRPr="0022545A" w:rsidRDefault="00302C06" w:rsidP="00302C06">
      <w:pPr>
        <w:tabs>
          <w:tab w:val="left" w:pos="567"/>
        </w:tabs>
        <w:rPr>
          <w:u w:val="single"/>
        </w:rPr>
      </w:pPr>
      <w:r w:rsidRPr="0022545A">
        <w:rPr>
          <w:u w:val="single"/>
        </w:rPr>
        <w:t xml:space="preserve">Dozavimas </w:t>
      </w:r>
    </w:p>
    <w:p w14:paraId="12D4DCCE" w14:textId="77777777" w:rsidR="00302C06" w:rsidRPr="00444E1A" w:rsidRDefault="00302C06" w:rsidP="00302C06">
      <w:pPr>
        <w:tabs>
          <w:tab w:val="left" w:pos="567"/>
        </w:tabs>
        <w:rPr>
          <w:szCs w:val="22"/>
        </w:rPr>
      </w:pPr>
      <w:r w:rsidRPr="005E49A1">
        <w:rPr>
          <w:szCs w:val="22"/>
        </w:rPr>
        <w:t>Rekomenduojama dozė yra viena 150 mg plėvele dengta tabletė vieną kartą per mėnesį.</w:t>
      </w:r>
      <w:r w:rsidRPr="00444E1A">
        <w:rPr>
          <w:szCs w:val="22"/>
        </w:rPr>
        <w:t xml:space="preserve"> </w:t>
      </w:r>
      <w:r w:rsidRPr="005E49A1">
        <w:rPr>
          <w:color w:val="000000"/>
          <w:spacing w:val="-3"/>
          <w:szCs w:val="22"/>
        </w:rPr>
        <w:t xml:space="preserve">Tabletę būtų geriau </w:t>
      </w:r>
      <w:r w:rsidRPr="005E49A1">
        <w:rPr>
          <w:color w:val="000000"/>
          <w:spacing w:val="-4"/>
          <w:szCs w:val="22"/>
        </w:rPr>
        <w:t>išgerti tą pačią kiekvieno mėnesio dieną.</w:t>
      </w:r>
      <w:r w:rsidRPr="00444E1A">
        <w:rPr>
          <w:szCs w:val="22"/>
        </w:rPr>
        <w:t xml:space="preserve"> </w:t>
      </w:r>
    </w:p>
    <w:p w14:paraId="0B2786DB" w14:textId="77777777" w:rsidR="00302C06" w:rsidRPr="00444E1A" w:rsidRDefault="00302C06" w:rsidP="00302C06">
      <w:pPr>
        <w:tabs>
          <w:tab w:val="left" w:pos="567"/>
        </w:tabs>
        <w:rPr>
          <w:szCs w:val="22"/>
        </w:rPr>
      </w:pPr>
    </w:p>
    <w:p w14:paraId="066D45FF" w14:textId="77777777" w:rsidR="00302C06" w:rsidRPr="005E49A1" w:rsidRDefault="00302C06" w:rsidP="00302C06">
      <w:pPr>
        <w:tabs>
          <w:tab w:val="left" w:pos="567"/>
        </w:tabs>
        <w:rPr>
          <w:szCs w:val="22"/>
        </w:rPr>
      </w:pPr>
      <w:r w:rsidRPr="005E49A1">
        <w:rPr>
          <w:szCs w:val="22"/>
        </w:rPr>
        <w:t>BAXOGAR</w:t>
      </w:r>
      <w:r w:rsidRPr="005E49A1">
        <w:rPr>
          <w:color w:val="000000"/>
          <w:spacing w:val="-3"/>
          <w:szCs w:val="22"/>
        </w:rPr>
        <w:t xml:space="preserve"> reikėtų gerti ryte, naktį nevalgius (bent 6 valandas), o išgėrus tabletę bent </w:t>
      </w:r>
      <w:r w:rsidRPr="005E49A1">
        <w:rPr>
          <w:color w:val="000000"/>
          <w:spacing w:val="-4"/>
          <w:szCs w:val="22"/>
        </w:rPr>
        <w:t>1 valandą</w:t>
      </w:r>
      <w:r w:rsidRPr="005E49A1">
        <w:rPr>
          <w:color w:val="000000"/>
          <w:spacing w:val="-3"/>
          <w:szCs w:val="22"/>
        </w:rPr>
        <w:t xml:space="preserve"> nevalgyti ir negerti (išskyrus vandenį)</w:t>
      </w:r>
      <w:r w:rsidRPr="005E49A1">
        <w:rPr>
          <w:color w:val="000000"/>
          <w:spacing w:val="-4"/>
          <w:szCs w:val="22"/>
        </w:rPr>
        <w:t xml:space="preserve"> (žr. 4.5 skyrių)</w:t>
      </w:r>
      <w:r w:rsidRPr="005E49A1">
        <w:rPr>
          <w:color w:val="000000"/>
          <w:spacing w:val="-3"/>
          <w:szCs w:val="22"/>
        </w:rPr>
        <w:t>, taip pat nevartoti kitų vaistinių preparatų ar papildų (įskaitant kalcį)</w:t>
      </w:r>
      <w:r w:rsidRPr="005E49A1">
        <w:rPr>
          <w:color w:val="000000"/>
          <w:spacing w:val="-4"/>
          <w:szCs w:val="22"/>
        </w:rPr>
        <w:t>.</w:t>
      </w:r>
      <w:r w:rsidRPr="005E49A1">
        <w:rPr>
          <w:szCs w:val="22"/>
        </w:rPr>
        <w:t xml:space="preserve"> </w:t>
      </w:r>
    </w:p>
    <w:p w14:paraId="2922F139" w14:textId="77777777" w:rsidR="00302C06" w:rsidRPr="005E49A1" w:rsidRDefault="00302C06" w:rsidP="00302C06">
      <w:pPr>
        <w:tabs>
          <w:tab w:val="left" w:pos="567"/>
        </w:tabs>
        <w:rPr>
          <w:szCs w:val="22"/>
        </w:rPr>
      </w:pPr>
    </w:p>
    <w:p w14:paraId="3C8CEA47" w14:textId="77777777" w:rsidR="00302C06" w:rsidRPr="005E49A1" w:rsidRDefault="00302C06" w:rsidP="00302C06">
      <w:pPr>
        <w:tabs>
          <w:tab w:val="left" w:pos="567"/>
        </w:tabs>
        <w:rPr>
          <w:szCs w:val="22"/>
        </w:rPr>
      </w:pPr>
      <w:r w:rsidRPr="005E49A1">
        <w:rPr>
          <w:color w:val="000000"/>
          <w:spacing w:val="-3"/>
          <w:szCs w:val="22"/>
        </w:rPr>
        <w:t xml:space="preserve">Dozės praleidimo atveju pacientams turėtų būti nurodyta išgerti vieną </w:t>
      </w:r>
      <w:r w:rsidRPr="005E49A1">
        <w:rPr>
          <w:szCs w:val="22"/>
        </w:rPr>
        <w:t>BAXOGAR</w:t>
      </w:r>
      <w:r w:rsidRPr="005E49A1">
        <w:rPr>
          <w:color w:val="000000"/>
          <w:spacing w:val="-3"/>
          <w:szCs w:val="22"/>
        </w:rPr>
        <w:t xml:space="preserve"> 150 mg tabletę kitos dienos ryte po to, kai prisiminė, išskyrus, tuos atvejus, kai iki kitos dozės pagal planą liko mažiau nei 7 paros.</w:t>
      </w:r>
      <w:r w:rsidRPr="005E49A1">
        <w:rPr>
          <w:szCs w:val="22"/>
        </w:rPr>
        <w:t xml:space="preserve"> </w:t>
      </w:r>
      <w:r w:rsidRPr="005E49A1">
        <w:rPr>
          <w:color w:val="000000"/>
          <w:spacing w:val="-3"/>
          <w:szCs w:val="22"/>
        </w:rPr>
        <w:t xml:space="preserve">Tokiu atveju pacientai turėtų toliau vartoti savo dozę vieną kartą per mėnesį, tomis dienomis, kurios buvo numatytos iš </w:t>
      </w:r>
      <w:r w:rsidRPr="005E49A1">
        <w:rPr>
          <w:color w:val="000000"/>
          <w:spacing w:val="-4"/>
          <w:szCs w:val="22"/>
        </w:rPr>
        <w:t>pradžių.</w:t>
      </w:r>
      <w:r w:rsidRPr="005E49A1">
        <w:rPr>
          <w:szCs w:val="22"/>
        </w:rPr>
        <w:t xml:space="preserve"> </w:t>
      </w:r>
    </w:p>
    <w:p w14:paraId="05048614" w14:textId="77777777" w:rsidR="00302C06" w:rsidRPr="005E49A1" w:rsidRDefault="00302C06" w:rsidP="00302C06">
      <w:pPr>
        <w:tabs>
          <w:tab w:val="left" w:pos="567"/>
        </w:tabs>
        <w:rPr>
          <w:szCs w:val="22"/>
        </w:rPr>
      </w:pPr>
      <w:r w:rsidRPr="005E49A1">
        <w:rPr>
          <w:color w:val="000000"/>
          <w:spacing w:val="-3"/>
          <w:szCs w:val="22"/>
        </w:rPr>
        <w:t>Jeigu iki kitos dozės pagal planą liko mažiau nei 7 paros, pacientai turėtų palaukti, kol bus laikas gerti kitą dozę ir toliau vartoti po vieną tabletę kas mėnesį, taip, kaip buvo numatyta iš pradžių.</w:t>
      </w:r>
      <w:r w:rsidRPr="005E49A1">
        <w:rPr>
          <w:szCs w:val="22"/>
        </w:rPr>
        <w:t xml:space="preserve"> </w:t>
      </w:r>
    </w:p>
    <w:p w14:paraId="19987067" w14:textId="77777777" w:rsidR="00302C06" w:rsidRPr="005E49A1" w:rsidRDefault="00302C06" w:rsidP="00302C06">
      <w:pPr>
        <w:tabs>
          <w:tab w:val="left" w:pos="567"/>
        </w:tabs>
        <w:rPr>
          <w:szCs w:val="22"/>
        </w:rPr>
      </w:pPr>
      <w:r w:rsidRPr="005E49A1">
        <w:rPr>
          <w:color w:val="000000"/>
          <w:spacing w:val="-4"/>
          <w:szCs w:val="22"/>
        </w:rPr>
        <w:t>Pacientai neturėtų vartoti dviejų tablečių per vieną savaitę.</w:t>
      </w:r>
      <w:r w:rsidRPr="005E49A1">
        <w:rPr>
          <w:szCs w:val="22"/>
        </w:rPr>
        <w:t xml:space="preserve"> </w:t>
      </w:r>
    </w:p>
    <w:p w14:paraId="081CEFAB" w14:textId="77777777" w:rsidR="00302C06" w:rsidRPr="005E49A1" w:rsidRDefault="00302C06" w:rsidP="00302C06">
      <w:pPr>
        <w:tabs>
          <w:tab w:val="left" w:pos="567"/>
        </w:tabs>
        <w:rPr>
          <w:szCs w:val="22"/>
        </w:rPr>
      </w:pPr>
    </w:p>
    <w:p w14:paraId="59233B33" w14:textId="77777777" w:rsidR="00302C06" w:rsidRPr="005E49A1" w:rsidRDefault="00302C06" w:rsidP="00302C06">
      <w:pPr>
        <w:tabs>
          <w:tab w:val="left" w:pos="567"/>
        </w:tabs>
        <w:rPr>
          <w:szCs w:val="22"/>
        </w:rPr>
      </w:pPr>
      <w:r w:rsidRPr="005E49A1">
        <w:rPr>
          <w:color w:val="000000"/>
          <w:spacing w:val="-3"/>
          <w:szCs w:val="22"/>
        </w:rPr>
        <w:t xml:space="preserve">Pacientams, kurie negauna pakankamai kalcio ir/ ar vitamino D su maistu, šių medžiagų reikia skirti </w:t>
      </w:r>
      <w:r w:rsidRPr="005E49A1">
        <w:rPr>
          <w:color w:val="000000"/>
          <w:spacing w:val="-4"/>
          <w:szCs w:val="22"/>
        </w:rPr>
        <w:t>papildomai (žr. 4.4 skyrių ir 4.5 skyrių).</w:t>
      </w:r>
      <w:r w:rsidRPr="005E49A1">
        <w:rPr>
          <w:szCs w:val="22"/>
        </w:rPr>
        <w:t xml:space="preserve"> </w:t>
      </w:r>
    </w:p>
    <w:p w14:paraId="37A309B1" w14:textId="77777777" w:rsidR="00302C06" w:rsidRPr="005E49A1" w:rsidRDefault="00302C06" w:rsidP="00302C06">
      <w:pPr>
        <w:tabs>
          <w:tab w:val="left" w:pos="567"/>
        </w:tabs>
        <w:rPr>
          <w:szCs w:val="22"/>
        </w:rPr>
      </w:pPr>
    </w:p>
    <w:p w14:paraId="04B78FF0" w14:textId="77777777" w:rsidR="00302C06" w:rsidRPr="005E49A1" w:rsidRDefault="00302C06" w:rsidP="00302C06">
      <w:pPr>
        <w:rPr>
          <w:szCs w:val="22"/>
        </w:rPr>
      </w:pPr>
      <w:r w:rsidRPr="005E49A1">
        <w:rPr>
          <w:szCs w:val="22"/>
        </w:rPr>
        <w:t>Optimali osteoporozės gydymo bisfosfonatais trukmė nėra nustatyta. Gydymo pratęsimo būtinybę, remiantis BAXOGAR gydymo nauda ir galima rizika konkrečiam pacientui, reikia vertinti periodiškai, ypač praėjus 5 ar daugiau gydymo metų.</w:t>
      </w:r>
    </w:p>
    <w:p w14:paraId="1119AC5A" w14:textId="77777777" w:rsidR="00302C06" w:rsidRPr="005E49A1" w:rsidRDefault="00302C06" w:rsidP="00302C06">
      <w:pPr>
        <w:tabs>
          <w:tab w:val="left" w:pos="567"/>
        </w:tabs>
        <w:rPr>
          <w:szCs w:val="22"/>
        </w:rPr>
      </w:pPr>
    </w:p>
    <w:p w14:paraId="20F5BB16" w14:textId="77777777" w:rsidR="00302C06" w:rsidRPr="005E49A1" w:rsidRDefault="00302C06" w:rsidP="00302C06">
      <w:pPr>
        <w:tabs>
          <w:tab w:val="left" w:pos="567"/>
        </w:tabs>
        <w:rPr>
          <w:szCs w:val="22"/>
        </w:rPr>
      </w:pPr>
    </w:p>
    <w:p w14:paraId="0E16EBEC" w14:textId="690277CD" w:rsidR="00302C06" w:rsidRPr="005E49A1" w:rsidRDefault="00712A10" w:rsidP="00302C06">
      <w:pPr>
        <w:tabs>
          <w:tab w:val="left" w:pos="567"/>
        </w:tabs>
        <w:rPr>
          <w:szCs w:val="22"/>
        </w:rPr>
      </w:pPr>
      <w:r>
        <w:rPr>
          <w:szCs w:val="22"/>
          <w:u w:val="single"/>
        </w:rPr>
        <w:t>Ypatingos populiacijos</w:t>
      </w:r>
    </w:p>
    <w:p w14:paraId="206587AA" w14:textId="77777777" w:rsidR="00302C06" w:rsidRPr="005E49A1" w:rsidRDefault="00302C06" w:rsidP="00302C06">
      <w:pPr>
        <w:tabs>
          <w:tab w:val="left" w:pos="567"/>
        </w:tabs>
        <w:rPr>
          <w:i/>
          <w:szCs w:val="22"/>
        </w:rPr>
      </w:pPr>
    </w:p>
    <w:p w14:paraId="721250CF" w14:textId="77777777" w:rsidR="00302C06" w:rsidRPr="005E49A1" w:rsidRDefault="00302C06" w:rsidP="00302C06">
      <w:pPr>
        <w:tabs>
          <w:tab w:val="left" w:pos="567"/>
        </w:tabs>
        <w:rPr>
          <w:szCs w:val="22"/>
        </w:rPr>
      </w:pPr>
      <w:r w:rsidRPr="005E49A1">
        <w:rPr>
          <w:i/>
          <w:szCs w:val="22"/>
        </w:rPr>
        <w:t>Pacientams, kurių inkstų funkcija pakenkta</w:t>
      </w:r>
    </w:p>
    <w:p w14:paraId="43B2FD0D" w14:textId="77777777" w:rsidR="00302C06" w:rsidRPr="005E49A1" w:rsidRDefault="00302C06" w:rsidP="00302C06">
      <w:pPr>
        <w:tabs>
          <w:tab w:val="left" w:pos="567"/>
        </w:tabs>
      </w:pPr>
      <w:r w:rsidRPr="005E49A1">
        <w:rPr>
          <w:szCs w:val="22"/>
        </w:rPr>
        <w:t>Dėl nedidėlės klinikinės patirties BAXOGAR</w:t>
      </w:r>
      <w:r w:rsidRPr="005E49A1">
        <w:rPr>
          <w:color w:val="000000"/>
          <w:spacing w:val="-3"/>
          <w:szCs w:val="22"/>
        </w:rPr>
        <w:t xml:space="preserve"> nerekomenduojama vartoti pacientams, kurių kreatinino klirensas mažesnis kaip 30 ml/min.</w:t>
      </w:r>
      <w:r w:rsidRPr="005E49A1">
        <w:rPr>
          <w:color w:val="000000"/>
          <w:spacing w:val="-4"/>
          <w:szCs w:val="22"/>
        </w:rPr>
        <w:t xml:space="preserve"> (žr. 4.4 skyrių ir 4.5 skyrių).</w:t>
      </w:r>
      <w:r w:rsidRPr="005E49A1">
        <w:rPr>
          <w:szCs w:val="22"/>
        </w:rPr>
        <w:t xml:space="preserve"> </w:t>
      </w:r>
    </w:p>
    <w:p w14:paraId="44A2AC45" w14:textId="77777777" w:rsidR="00302C06" w:rsidRPr="005E49A1" w:rsidRDefault="00302C06" w:rsidP="00302C06">
      <w:pPr>
        <w:tabs>
          <w:tab w:val="left" w:pos="567"/>
        </w:tabs>
        <w:rPr>
          <w:szCs w:val="22"/>
        </w:rPr>
      </w:pPr>
      <w:r w:rsidRPr="005E49A1">
        <w:rPr>
          <w:szCs w:val="22"/>
        </w:rPr>
        <w:t xml:space="preserve">Pacientams, kuriems yra lengvas ar vidutinio sunkumo inkstų funkcijos pakenkimas, kuriam esant kreatinino klirensas lygus ar didesnis negu 30 ml/min., dozės priderinimas nereikalingas. </w:t>
      </w:r>
    </w:p>
    <w:p w14:paraId="2FB7B706" w14:textId="77777777" w:rsidR="00302C06" w:rsidRPr="005E49A1" w:rsidRDefault="00302C06" w:rsidP="00302C06">
      <w:pPr>
        <w:tabs>
          <w:tab w:val="left" w:pos="567"/>
        </w:tabs>
        <w:rPr>
          <w:i/>
          <w:szCs w:val="22"/>
        </w:rPr>
      </w:pPr>
    </w:p>
    <w:p w14:paraId="35F5207F" w14:textId="77777777" w:rsidR="00302C06" w:rsidRPr="005E49A1" w:rsidRDefault="00302C06" w:rsidP="00302C06">
      <w:pPr>
        <w:tabs>
          <w:tab w:val="left" w:pos="567"/>
        </w:tabs>
        <w:rPr>
          <w:szCs w:val="22"/>
        </w:rPr>
      </w:pPr>
      <w:r w:rsidRPr="005E49A1">
        <w:rPr>
          <w:i/>
          <w:szCs w:val="22"/>
        </w:rPr>
        <w:t>Pacientams, kurių kepenų funkcija pakenkta</w:t>
      </w:r>
    </w:p>
    <w:p w14:paraId="17EC6E46" w14:textId="77777777" w:rsidR="00302C06" w:rsidRPr="005E49A1" w:rsidRDefault="00302C06" w:rsidP="00302C06">
      <w:pPr>
        <w:tabs>
          <w:tab w:val="left" w:pos="567"/>
        </w:tabs>
        <w:rPr>
          <w:szCs w:val="22"/>
        </w:rPr>
      </w:pPr>
      <w:r w:rsidRPr="005E49A1">
        <w:rPr>
          <w:szCs w:val="22"/>
        </w:rPr>
        <w:t xml:space="preserve">Dozės priderinimas nereikalingas (žr. 5.2 skyrių). </w:t>
      </w:r>
    </w:p>
    <w:p w14:paraId="644F2781" w14:textId="77777777" w:rsidR="00302C06" w:rsidRPr="005E49A1" w:rsidRDefault="00302C06" w:rsidP="00302C06">
      <w:pPr>
        <w:tabs>
          <w:tab w:val="left" w:pos="567"/>
        </w:tabs>
        <w:rPr>
          <w:i/>
          <w:szCs w:val="22"/>
        </w:rPr>
      </w:pPr>
    </w:p>
    <w:p w14:paraId="4BAB62EB" w14:textId="77777777" w:rsidR="00302C06" w:rsidRPr="005E49A1" w:rsidRDefault="00302C06" w:rsidP="00302C06">
      <w:pPr>
        <w:tabs>
          <w:tab w:val="left" w:pos="567"/>
        </w:tabs>
        <w:rPr>
          <w:i/>
          <w:szCs w:val="22"/>
        </w:rPr>
      </w:pPr>
      <w:r w:rsidRPr="005E49A1">
        <w:rPr>
          <w:i/>
          <w:color w:val="000000"/>
          <w:spacing w:val="-4"/>
          <w:szCs w:val="22"/>
        </w:rPr>
        <w:t>Senyviems pacientams</w:t>
      </w:r>
      <w:r w:rsidRPr="005E49A1">
        <w:rPr>
          <w:i/>
          <w:szCs w:val="22"/>
        </w:rPr>
        <w:t xml:space="preserve"> </w:t>
      </w:r>
      <w:r w:rsidRPr="005E49A1">
        <w:rPr>
          <w:i/>
        </w:rPr>
        <w:t>(vyresniems nei 65 metų)</w:t>
      </w:r>
    </w:p>
    <w:p w14:paraId="08FEB029" w14:textId="77777777" w:rsidR="00302C06" w:rsidRPr="005E49A1" w:rsidRDefault="00302C06" w:rsidP="00302C06">
      <w:pPr>
        <w:tabs>
          <w:tab w:val="left" w:pos="567"/>
        </w:tabs>
        <w:rPr>
          <w:szCs w:val="22"/>
        </w:rPr>
      </w:pPr>
      <w:r w:rsidRPr="005E49A1">
        <w:rPr>
          <w:szCs w:val="22"/>
        </w:rPr>
        <w:t xml:space="preserve">Dozės priderinimas nereikalingas (žr. 5.2 skyrių). </w:t>
      </w:r>
    </w:p>
    <w:p w14:paraId="2DB8BFC1" w14:textId="77777777" w:rsidR="00302C06" w:rsidRPr="005E49A1" w:rsidRDefault="00302C06" w:rsidP="00302C06">
      <w:pPr>
        <w:tabs>
          <w:tab w:val="left" w:pos="567"/>
        </w:tabs>
        <w:rPr>
          <w:i/>
          <w:szCs w:val="22"/>
        </w:rPr>
      </w:pPr>
    </w:p>
    <w:p w14:paraId="23A1250F" w14:textId="7624B6D9" w:rsidR="00302C06" w:rsidRPr="005E49A1" w:rsidRDefault="00302C06" w:rsidP="00302C06">
      <w:pPr>
        <w:tabs>
          <w:tab w:val="left" w:pos="567"/>
        </w:tabs>
        <w:rPr>
          <w:szCs w:val="22"/>
        </w:rPr>
      </w:pPr>
      <w:r w:rsidRPr="005E49A1">
        <w:rPr>
          <w:i/>
          <w:szCs w:val="22"/>
        </w:rPr>
        <w:t>Vaik</w:t>
      </w:r>
      <w:r w:rsidR="00712A10">
        <w:rPr>
          <w:i/>
          <w:szCs w:val="22"/>
        </w:rPr>
        <w:t>ų populiacija</w:t>
      </w:r>
      <w:r w:rsidRPr="005E49A1">
        <w:rPr>
          <w:i/>
          <w:szCs w:val="22"/>
        </w:rPr>
        <w:t xml:space="preserve"> </w:t>
      </w:r>
    </w:p>
    <w:p w14:paraId="78177109" w14:textId="77777777" w:rsidR="00302C06" w:rsidRPr="005E49A1" w:rsidRDefault="00302C06" w:rsidP="00302C06">
      <w:pPr>
        <w:tabs>
          <w:tab w:val="left" w:pos="567"/>
        </w:tabs>
        <w:rPr>
          <w:szCs w:val="22"/>
        </w:rPr>
      </w:pPr>
      <w:r w:rsidRPr="005E49A1">
        <w:rPr>
          <w:color w:val="000000"/>
          <w:spacing w:val="-3"/>
          <w:szCs w:val="22"/>
        </w:rPr>
        <w:t xml:space="preserve">Jaunesniems kaip 18 metų vaikams aktualių </w:t>
      </w:r>
      <w:r w:rsidRPr="005E49A1">
        <w:rPr>
          <w:szCs w:val="22"/>
        </w:rPr>
        <w:t>BAXOGAR</w:t>
      </w:r>
      <w:r w:rsidRPr="005E49A1">
        <w:rPr>
          <w:color w:val="000000"/>
          <w:spacing w:val="-3"/>
          <w:szCs w:val="22"/>
        </w:rPr>
        <w:t xml:space="preserve"> indikacijų nėra ir </w:t>
      </w:r>
      <w:r w:rsidRPr="005E49A1">
        <w:rPr>
          <w:szCs w:val="22"/>
        </w:rPr>
        <w:t>BAXOGAR</w:t>
      </w:r>
      <w:r w:rsidRPr="005E49A1">
        <w:rPr>
          <w:color w:val="000000"/>
          <w:spacing w:val="-3"/>
          <w:szCs w:val="22"/>
        </w:rPr>
        <w:t xml:space="preserve"> šioje populiacijoje netirtas </w:t>
      </w:r>
      <w:r w:rsidRPr="005E49A1">
        <w:rPr>
          <w:noProof/>
        </w:rPr>
        <w:t>(žr. 5.1 ir 5.2 skyrius)</w:t>
      </w:r>
      <w:r w:rsidRPr="005E49A1">
        <w:rPr>
          <w:color w:val="000000"/>
          <w:spacing w:val="-3"/>
          <w:szCs w:val="22"/>
        </w:rPr>
        <w:t>.</w:t>
      </w:r>
      <w:r w:rsidRPr="005E49A1">
        <w:rPr>
          <w:szCs w:val="22"/>
        </w:rPr>
        <w:t xml:space="preserve"> </w:t>
      </w:r>
    </w:p>
    <w:p w14:paraId="36585623" w14:textId="77777777" w:rsidR="00302C06" w:rsidRPr="005E49A1" w:rsidRDefault="00302C06" w:rsidP="00302C06">
      <w:pPr>
        <w:tabs>
          <w:tab w:val="left" w:pos="567"/>
        </w:tabs>
        <w:rPr>
          <w:szCs w:val="22"/>
        </w:rPr>
      </w:pPr>
    </w:p>
    <w:p w14:paraId="75ED5DE5" w14:textId="77777777" w:rsidR="00302C06" w:rsidRPr="00444E1A" w:rsidRDefault="00302C06" w:rsidP="00302C06">
      <w:pPr>
        <w:pStyle w:val="Default"/>
        <w:tabs>
          <w:tab w:val="left" w:pos="567"/>
        </w:tabs>
        <w:rPr>
          <w:color w:val="auto"/>
          <w:sz w:val="22"/>
          <w:szCs w:val="22"/>
          <w:lang w:val="lt-LT"/>
        </w:rPr>
      </w:pPr>
      <w:r w:rsidRPr="005E49A1">
        <w:rPr>
          <w:color w:val="auto"/>
          <w:sz w:val="22"/>
          <w:szCs w:val="22"/>
          <w:u w:val="single"/>
          <w:lang w:val="lt-LT"/>
        </w:rPr>
        <w:t xml:space="preserve">Vartojimo metodas </w:t>
      </w:r>
    </w:p>
    <w:p w14:paraId="2E380A96" w14:textId="77777777" w:rsidR="00302C06" w:rsidRPr="00444E1A" w:rsidRDefault="00302C06" w:rsidP="00302C06">
      <w:pPr>
        <w:pStyle w:val="Default"/>
        <w:tabs>
          <w:tab w:val="left" w:pos="567"/>
        </w:tabs>
        <w:rPr>
          <w:color w:val="auto"/>
          <w:sz w:val="22"/>
          <w:szCs w:val="22"/>
          <w:lang w:val="lt-LT"/>
        </w:rPr>
      </w:pPr>
      <w:r w:rsidRPr="005E49A1">
        <w:rPr>
          <w:color w:val="auto"/>
          <w:sz w:val="22"/>
          <w:szCs w:val="22"/>
          <w:lang w:val="lt-LT"/>
        </w:rPr>
        <w:t>Vartoti per burną.</w:t>
      </w:r>
      <w:r w:rsidRPr="00444E1A">
        <w:rPr>
          <w:color w:val="auto"/>
          <w:sz w:val="22"/>
          <w:szCs w:val="22"/>
          <w:lang w:val="lt-LT"/>
        </w:rPr>
        <w:t xml:space="preserve"> </w:t>
      </w:r>
    </w:p>
    <w:p w14:paraId="36FAE1A7" w14:textId="77777777" w:rsidR="00302C06" w:rsidRPr="00444E1A" w:rsidRDefault="00302C06" w:rsidP="00302C06">
      <w:pPr>
        <w:pStyle w:val="Default"/>
        <w:tabs>
          <w:tab w:val="left" w:pos="567"/>
        </w:tabs>
        <w:rPr>
          <w:color w:val="auto"/>
          <w:sz w:val="22"/>
          <w:szCs w:val="22"/>
          <w:lang w:val="lt-LT"/>
        </w:rPr>
      </w:pPr>
    </w:p>
    <w:p w14:paraId="51AF903E" w14:textId="77777777" w:rsidR="00302C06" w:rsidRPr="00444E1A" w:rsidRDefault="00302C06" w:rsidP="00302C06">
      <w:pPr>
        <w:pStyle w:val="Default"/>
        <w:numPr>
          <w:ilvl w:val="0"/>
          <w:numId w:val="20"/>
        </w:numPr>
        <w:tabs>
          <w:tab w:val="clear" w:pos="1080"/>
          <w:tab w:val="left" w:pos="0"/>
          <w:tab w:val="num" w:pos="540"/>
        </w:tabs>
        <w:ind w:left="540" w:hanging="540"/>
        <w:rPr>
          <w:color w:val="auto"/>
          <w:sz w:val="22"/>
          <w:szCs w:val="22"/>
          <w:lang w:val="lt-LT"/>
        </w:rPr>
      </w:pPr>
      <w:r w:rsidRPr="005E49A1">
        <w:rPr>
          <w:spacing w:val="-3"/>
          <w:sz w:val="22"/>
          <w:szCs w:val="22"/>
          <w:lang w:val="lt-LT"/>
        </w:rPr>
        <w:t>Tabletę reikia nuryti sveiką, užgeriant i stikline vandens (180 ml -240 ml) pacientui sėdint arba stovint.</w:t>
      </w:r>
      <w:r w:rsidRPr="00444E1A">
        <w:rPr>
          <w:color w:val="auto"/>
          <w:sz w:val="22"/>
          <w:szCs w:val="22"/>
          <w:lang w:val="lt-LT"/>
        </w:rPr>
        <w:t xml:space="preserve"> </w:t>
      </w:r>
      <w:r w:rsidRPr="005E49A1">
        <w:rPr>
          <w:sz w:val="22"/>
          <w:szCs w:val="22"/>
          <w:lang w:val="lt-LT"/>
        </w:rPr>
        <w:t>Negalima užgerti vandeniu, kuriame yra didelė kalcio koncentracija. Jeigu manote, kad vandentiekio vandenyje gali būti didelė kalcio koncentracija (kietas vanduo), tuomet patartina vartoti mažos mineralizacijos buteliuose išpilstytą vandenį.</w:t>
      </w:r>
    </w:p>
    <w:p w14:paraId="573D8CCA" w14:textId="77777777" w:rsidR="00302C06" w:rsidRPr="00444E1A" w:rsidRDefault="00302C06" w:rsidP="00302C06">
      <w:pPr>
        <w:pStyle w:val="Default"/>
        <w:numPr>
          <w:ilvl w:val="0"/>
          <w:numId w:val="20"/>
        </w:numPr>
        <w:tabs>
          <w:tab w:val="clear" w:pos="1080"/>
          <w:tab w:val="left" w:pos="0"/>
          <w:tab w:val="num" w:pos="540"/>
        </w:tabs>
        <w:ind w:left="540" w:hanging="540"/>
        <w:rPr>
          <w:color w:val="auto"/>
          <w:sz w:val="22"/>
          <w:szCs w:val="22"/>
          <w:lang w:val="lt-LT"/>
        </w:rPr>
      </w:pPr>
      <w:r w:rsidRPr="00444E1A">
        <w:rPr>
          <w:color w:val="auto"/>
          <w:sz w:val="22"/>
          <w:szCs w:val="22"/>
          <w:lang w:val="lt-LT"/>
        </w:rPr>
        <w:t xml:space="preserve">Pacientas po </w:t>
      </w:r>
      <w:r w:rsidRPr="00444E1A">
        <w:rPr>
          <w:sz w:val="22"/>
          <w:szCs w:val="22"/>
          <w:lang w:val="lt-LT"/>
        </w:rPr>
        <w:t>BAXOGAR</w:t>
      </w:r>
      <w:r w:rsidRPr="00444E1A">
        <w:rPr>
          <w:spacing w:val="-3"/>
          <w:sz w:val="22"/>
          <w:szCs w:val="22"/>
          <w:lang w:val="lt-LT"/>
        </w:rPr>
        <w:t xml:space="preserve"> išgėrimo turėtų </w:t>
      </w:r>
      <w:r w:rsidRPr="005E49A1">
        <w:rPr>
          <w:color w:val="auto"/>
          <w:sz w:val="22"/>
          <w:szCs w:val="22"/>
          <w:lang w:val="lt-LT"/>
        </w:rPr>
        <w:t>nesigulti 1 valandą.</w:t>
      </w:r>
      <w:r w:rsidRPr="00444E1A">
        <w:rPr>
          <w:color w:val="auto"/>
          <w:sz w:val="22"/>
          <w:szCs w:val="22"/>
          <w:lang w:val="lt-LT"/>
        </w:rPr>
        <w:t xml:space="preserve"> </w:t>
      </w:r>
    </w:p>
    <w:p w14:paraId="6F4EFB4B" w14:textId="77777777" w:rsidR="00302C06" w:rsidRPr="005E49A1" w:rsidRDefault="00302C06" w:rsidP="00302C06">
      <w:pPr>
        <w:numPr>
          <w:ilvl w:val="0"/>
          <w:numId w:val="20"/>
        </w:numPr>
        <w:tabs>
          <w:tab w:val="clear" w:pos="1080"/>
          <w:tab w:val="left" w:pos="0"/>
          <w:tab w:val="num" w:pos="540"/>
        </w:tabs>
        <w:ind w:left="540" w:hanging="540"/>
        <w:rPr>
          <w:szCs w:val="22"/>
        </w:rPr>
      </w:pPr>
      <w:r w:rsidRPr="005E49A1">
        <w:rPr>
          <w:szCs w:val="22"/>
        </w:rPr>
        <w:t xml:space="preserve">Vanduo yra vienintelis gėrimas, kuriuo galima užsigerti BAXOGAR. </w:t>
      </w:r>
    </w:p>
    <w:p w14:paraId="440B6B40" w14:textId="77777777" w:rsidR="00302C06" w:rsidRPr="005E49A1" w:rsidRDefault="00302C06" w:rsidP="00302C06">
      <w:pPr>
        <w:numPr>
          <w:ilvl w:val="0"/>
          <w:numId w:val="20"/>
        </w:numPr>
        <w:tabs>
          <w:tab w:val="clear" w:pos="1080"/>
          <w:tab w:val="left" w:pos="0"/>
          <w:tab w:val="num" w:pos="540"/>
        </w:tabs>
        <w:ind w:left="540" w:hanging="540"/>
        <w:rPr>
          <w:szCs w:val="22"/>
        </w:rPr>
      </w:pPr>
      <w:r w:rsidRPr="005E49A1">
        <w:rPr>
          <w:color w:val="000000"/>
          <w:spacing w:val="-4"/>
          <w:szCs w:val="22"/>
        </w:rPr>
        <w:t>Pacientai turėtų tabletės nečiulpti ir nekramtyti, nes gali išopėti burna bei ryklė.</w:t>
      </w:r>
      <w:r w:rsidRPr="005E49A1">
        <w:rPr>
          <w:szCs w:val="22"/>
        </w:rPr>
        <w:t xml:space="preserve"> </w:t>
      </w:r>
    </w:p>
    <w:p w14:paraId="051E4B99" w14:textId="77777777" w:rsidR="00302C06" w:rsidRPr="005E49A1" w:rsidRDefault="00302C06" w:rsidP="00302C06">
      <w:pPr>
        <w:tabs>
          <w:tab w:val="left" w:pos="567"/>
        </w:tabs>
        <w:rPr>
          <w:szCs w:val="22"/>
        </w:rPr>
      </w:pPr>
    </w:p>
    <w:p w14:paraId="7646DBC9" w14:textId="77777777" w:rsidR="00302C06" w:rsidRPr="005E49A1" w:rsidRDefault="00302C06" w:rsidP="00302C06">
      <w:pPr>
        <w:tabs>
          <w:tab w:val="left" w:pos="567"/>
        </w:tabs>
        <w:ind w:left="567" w:hanging="567"/>
        <w:rPr>
          <w:noProof/>
          <w:szCs w:val="22"/>
        </w:rPr>
      </w:pPr>
      <w:r w:rsidRPr="005E49A1">
        <w:rPr>
          <w:b/>
          <w:noProof/>
          <w:szCs w:val="22"/>
        </w:rPr>
        <w:t>4.3</w:t>
      </w:r>
      <w:r w:rsidRPr="005E49A1">
        <w:rPr>
          <w:b/>
          <w:noProof/>
          <w:szCs w:val="22"/>
        </w:rPr>
        <w:tab/>
      </w:r>
      <w:r w:rsidRPr="005E49A1">
        <w:rPr>
          <w:b/>
          <w:szCs w:val="22"/>
        </w:rPr>
        <w:t>Kontraindikacijos</w:t>
      </w:r>
    </w:p>
    <w:p w14:paraId="176A987F" w14:textId="77777777" w:rsidR="00302C06" w:rsidRPr="005E49A1" w:rsidRDefault="00302C06" w:rsidP="00302C06">
      <w:pPr>
        <w:tabs>
          <w:tab w:val="left" w:pos="567"/>
        </w:tabs>
        <w:ind w:left="567" w:hanging="567"/>
        <w:outlineLvl w:val="0"/>
        <w:rPr>
          <w:szCs w:val="22"/>
        </w:rPr>
      </w:pPr>
    </w:p>
    <w:p w14:paraId="6F68F7F5" w14:textId="77777777" w:rsidR="00302C06" w:rsidRPr="005E49A1" w:rsidRDefault="00302C06" w:rsidP="00302C06">
      <w:pPr>
        <w:numPr>
          <w:ilvl w:val="0"/>
          <w:numId w:val="21"/>
        </w:numPr>
        <w:tabs>
          <w:tab w:val="clear" w:pos="1080"/>
          <w:tab w:val="num" w:pos="540"/>
        </w:tabs>
        <w:autoSpaceDE w:val="0"/>
        <w:autoSpaceDN w:val="0"/>
        <w:adjustRightInd w:val="0"/>
        <w:ind w:left="540" w:hanging="540"/>
        <w:rPr>
          <w:color w:val="000000"/>
          <w:szCs w:val="22"/>
          <w:lang w:eastAsia="lt-LT"/>
        </w:rPr>
      </w:pPr>
      <w:r w:rsidRPr="005E49A1">
        <w:rPr>
          <w:color w:val="000000"/>
          <w:szCs w:val="22"/>
          <w:lang w:eastAsia="lt-LT"/>
        </w:rPr>
        <w:t xml:space="preserve">Padidėjęs jautrumas veikliajai arba bet kuriai </w:t>
      </w:r>
      <w:r w:rsidRPr="005E49A1">
        <w:t>6.1 skyriuje nurodytai</w:t>
      </w:r>
      <w:r w:rsidRPr="005E49A1">
        <w:rPr>
          <w:color w:val="000000"/>
          <w:szCs w:val="22"/>
          <w:lang w:eastAsia="lt-LT"/>
        </w:rPr>
        <w:t xml:space="preserve"> pagalbinei medžiagai. </w:t>
      </w:r>
    </w:p>
    <w:p w14:paraId="28FD5835" w14:textId="77777777" w:rsidR="00302C06" w:rsidRPr="005E49A1" w:rsidRDefault="00302C06" w:rsidP="00302C06">
      <w:pPr>
        <w:numPr>
          <w:ilvl w:val="0"/>
          <w:numId w:val="21"/>
        </w:numPr>
        <w:tabs>
          <w:tab w:val="clear" w:pos="1080"/>
          <w:tab w:val="num" w:pos="540"/>
        </w:tabs>
        <w:autoSpaceDE w:val="0"/>
        <w:autoSpaceDN w:val="0"/>
        <w:adjustRightInd w:val="0"/>
        <w:ind w:left="540" w:hanging="540"/>
        <w:rPr>
          <w:color w:val="000000"/>
          <w:szCs w:val="22"/>
          <w:lang w:eastAsia="lt-LT"/>
        </w:rPr>
      </w:pPr>
      <w:r w:rsidRPr="005E49A1">
        <w:rPr>
          <w:color w:val="000000"/>
          <w:szCs w:val="22"/>
          <w:lang w:eastAsia="lt-LT"/>
        </w:rPr>
        <w:t xml:space="preserve">Hipokalcemija. </w:t>
      </w:r>
    </w:p>
    <w:p w14:paraId="1A2DB9CE" w14:textId="77777777" w:rsidR="00302C06" w:rsidRPr="005E49A1" w:rsidRDefault="00302C06" w:rsidP="00302C06">
      <w:pPr>
        <w:numPr>
          <w:ilvl w:val="0"/>
          <w:numId w:val="21"/>
        </w:numPr>
        <w:tabs>
          <w:tab w:val="clear" w:pos="1080"/>
          <w:tab w:val="num" w:pos="540"/>
        </w:tabs>
        <w:autoSpaceDE w:val="0"/>
        <w:autoSpaceDN w:val="0"/>
        <w:adjustRightInd w:val="0"/>
        <w:ind w:left="540" w:hanging="540"/>
        <w:rPr>
          <w:color w:val="000000"/>
          <w:szCs w:val="22"/>
          <w:lang w:eastAsia="lt-LT"/>
        </w:rPr>
      </w:pPr>
      <w:r w:rsidRPr="005E49A1">
        <w:rPr>
          <w:color w:val="000000"/>
          <w:szCs w:val="22"/>
          <w:lang w:eastAsia="lt-LT"/>
        </w:rPr>
        <w:t xml:space="preserve">Stemplės sutrikimai, uždelsiantys jos išsituštinimą, tokie kaip </w:t>
      </w:r>
      <w:r w:rsidRPr="005E49A1">
        <w:t>tokie kaip striktūra ar achalazija</w:t>
      </w:r>
      <w:r w:rsidRPr="005E49A1">
        <w:rPr>
          <w:color w:val="000000"/>
          <w:szCs w:val="22"/>
          <w:lang w:eastAsia="lt-LT"/>
        </w:rPr>
        <w:t xml:space="preserve">. </w:t>
      </w:r>
    </w:p>
    <w:p w14:paraId="673DD16D" w14:textId="77777777" w:rsidR="00302C06" w:rsidRPr="005E49A1" w:rsidRDefault="00302C06" w:rsidP="00302C06">
      <w:pPr>
        <w:numPr>
          <w:ilvl w:val="0"/>
          <w:numId w:val="21"/>
        </w:numPr>
        <w:tabs>
          <w:tab w:val="clear" w:pos="1080"/>
          <w:tab w:val="num" w:pos="540"/>
        </w:tabs>
        <w:autoSpaceDE w:val="0"/>
        <w:autoSpaceDN w:val="0"/>
        <w:adjustRightInd w:val="0"/>
        <w:ind w:left="540" w:hanging="540"/>
        <w:rPr>
          <w:color w:val="000000"/>
          <w:szCs w:val="22"/>
          <w:lang w:eastAsia="lt-LT"/>
        </w:rPr>
      </w:pPr>
      <w:r w:rsidRPr="005E49A1">
        <w:rPr>
          <w:color w:val="000000"/>
          <w:szCs w:val="22"/>
          <w:lang w:eastAsia="lt-LT"/>
        </w:rPr>
        <w:t xml:space="preserve">Negalėjimas bent 60 minučių išbūti vertikalioje padėtyje stovint ar sėdint. </w:t>
      </w:r>
    </w:p>
    <w:p w14:paraId="49982846" w14:textId="77777777" w:rsidR="00302C06" w:rsidRPr="005E49A1" w:rsidRDefault="00302C06" w:rsidP="00302C06">
      <w:pPr>
        <w:tabs>
          <w:tab w:val="left" w:pos="567"/>
        </w:tabs>
        <w:ind w:left="567" w:hanging="567"/>
        <w:outlineLvl w:val="0"/>
        <w:rPr>
          <w:szCs w:val="22"/>
        </w:rPr>
      </w:pPr>
    </w:p>
    <w:p w14:paraId="6D4DF1EC" w14:textId="77777777" w:rsidR="00302C06" w:rsidRPr="005E49A1" w:rsidRDefault="00302C06" w:rsidP="00302C06">
      <w:pPr>
        <w:tabs>
          <w:tab w:val="left" w:pos="567"/>
        </w:tabs>
        <w:ind w:left="567" w:hanging="567"/>
        <w:outlineLvl w:val="0"/>
        <w:rPr>
          <w:noProof/>
          <w:szCs w:val="22"/>
        </w:rPr>
      </w:pPr>
      <w:r w:rsidRPr="005E49A1">
        <w:rPr>
          <w:b/>
          <w:noProof/>
          <w:szCs w:val="22"/>
        </w:rPr>
        <w:t>4.4</w:t>
      </w:r>
      <w:r w:rsidRPr="005E49A1">
        <w:rPr>
          <w:b/>
          <w:noProof/>
          <w:szCs w:val="22"/>
        </w:rPr>
        <w:tab/>
      </w:r>
      <w:r w:rsidRPr="005E49A1">
        <w:rPr>
          <w:b/>
          <w:szCs w:val="22"/>
        </w:rPr>
        <w:t>Specialūs įspėjimai ir atsargumo priemonės</w:t>
      </w:r>
    </w:p>
    <w:p w14:paraId="6246EB89" w14:textId="77777777" w:rsidR="00302C06" w:rsidRPr="005E49A1" w:rsidRDefault="00302C06" w:rsidP="00302C06">
      <w:pPr>
        <w:tabs>
          <w:tab w:val="left" w:pos="567"/>
        </w:tabs>
        <w:rPr>
          <w:szCs w:val="22"/>
        </w:rPr>
      </w:pPr>
    </w:p>
    <w:p w14:paraId="55C6C9E6" w14:textId="77777777" w:rsidR="00302C06" w:rsidRPr="005E49A1" w:rsidRDefault="00302C06" w:rsidP="00302C06">
      <w:pPr>
        <w:autoSpaceDE w:val="0"/>
        <w:autoSpaceDN w:val="0"/>
        <w:adjustRightInd w:val="0"/>
        <w:rPr>
          <w:color w:val="000000"/>
          <w:szCs w:val="22"/>
          <w:u w:val="single"/>
          <w:lang w:eastAsia="lt-LT"/>
        </w:rPr>
      </w:pPr>
      <w:r w:rsidRPr="005E49A1">
        <w:rPr>
          <w:iCs/>
          <w:color w:val="000000"/>
          <w:szCs w:val="22"/>
          <w:u w:val="single"/>
          <w:lang w:eastAsia="lt-LT"/>
        </w:rPr>
        <w:t xml:space="preserve">Hipokalcemija </w:t>
      </w:r>
    </w:p>
    <w:p w14:paraId="463C624F" w14:textId="77777777" w:rsidR="00302C06" w:rsidRPr="005E49A1" w:rsidRDefault="00302C06" w:rsidP="00302C06">
      <w:pPr>
        <w:autoSpaceDE w:val="0"/>
        <w:autoSpaceDN w:val="0"/>
        <w:adjustRightInd w:val="0"/>
        <w:rPr>
          <w:color w:val="000000"/>
          <w:szCs w:val="22"/>
          <w:lang w:eastAsia="lt-LT"/>
        </w:rPr>
      </w:pPr>
      <w:r w:rsidRPr="005E49A1">
        <w:rPr>
          <w:color w:val="000000"/>
          <w:szCs w:val="22"/>
          <w:lang w:eastAsia="lt-LT"/>
        </w:rPr>
        <w:t xml:space="preserve">Jei yra hipokalcemija, ją reikia pašalinti prieš pradedant gydymą </w:t>
      </w:r>
      <w:r w:rsidRPr="005E49A1">
        <w:rPr>
          <w:szCs w:val="22"/>
        </w:rPr>
        <w:t>BAXOGAR</w:t>
      </w:r>
      <w:r w:rsidRPr="005E49A1">
        <w:rPr>
          <w:color w:val="000000"/>
          <w:szCs w:val="22"/>
          <w:lang w:eastAsia="lt-LT"/>
        </w:rPr>
        <w:t xml:space="preserve">. Kiti kaulų ir mineralų metabolizmo sutrikimai tai pat turi būti veiksmingai gydomi. Svarbu, kad visi pacientai vartotų pakankamą kalcio ir vitamino D kiekį. </w:t>
      </w:r>
    </w:p>
    <w:p w14:paraId="15943DCE" w14:textId="77777777" w:rsidR="00302C06" w:rsidRPr="005E49A1" w:rsidRDefault="00302C06" w:rsidP="00302C06">
      <w:pPr>
        <w:autoSpaceDE w:val="0"/>
        <w:autoSpaceDN w:val="0"/>
        <w:adjustRightInd w:val="0"/>
        <w:rPr>
          <w:color w:val="000000"/>
          <w:szCs w:val="22"/>
          <w:lang w:eastAsia="lt-LT"/>
        </w:rPr>
      </w:pPr>
    </w:p>
    <w:p w14:paraId="7313B7CA" w14:textId="77777777" w:rsidR="00302C06" w:rsidRPr="005E49A1" w:rsidRDefault="00302C06" w:rsidP="00302C06">
      <w:pPr>
        <w:tabs>
          <w:tab w:val="left" w:pos="567"/>
        </w:tabs>
        <w:rPr>
          <w:szCs w:val="22"/>
          <w:u w:val="single"/>
        </w:rPr>
      </w:pPr>
      <w:r w:rsidRPr="005E49A1">
        <w:rPr>
          <w:szCs w:val="22"/>
          <w:u w:val="single"/>
        </w:rPr>
        <w:t xml:space="preserve">Virškinimo trakto sudirginimas </w:t>
      </w:r>
    </w:p>
    <w:p w14:paraId="567EA3D0" w14:textId="77777777" w:rsidR="00302C06" w:rsidRPr="005E49A1" w:rsidRDefault="00302C06" w:rsidP="00302C06">
      <w:pPr>
        <w:autoSpaceDE w:val="0"/>
        <w:autoSpaceDN w:val="0"/>
        <w:adjustRightInd w:val="0"/>
        <w:rPr>
          <w:color w:val="000000"/>
          <w:szCs w:val="22"/>
          <w:lang w:eastAsia="lt-LT"/>
        </w:rPr>
      </w:pPr>
      <w:r w:rsidRPr="005E49A1">
        <w:rPr>
          <w:color w:val="000000"/>
          <w:szCs w:val="22"/>
          <w:lang w:eastAsia="lt-LT"/>
        </w:rPr>
        <w:t xml:space="preserve">Geriamieji bisfosfonatai gali vietiškai dirginti viršutinės virškinimo trakto dalies gleivinę. Dėl šio galimo dirginančio poveikio ir galimo pagrindinės ligos pablogėjimo reikia būti atsargiems </w:t>
      </w:r>
      <w:r w:rsidRPr="005E49A1">
        <w:rPr>
          <w:szCs w:val="22"/>
        </w:rPr>
        <w:t>BAXOGAR</w:t>
      </w:r>
      <w:r w:rsidRPr="005E49A1">
        <w:rPr>
          <w:color w:val="000000"/>
          <w:szCs w:val="22"/>
          <w:lang w:eastAsia="lt-LT"/>
        </w:rPr>
        <w:t xml:space="preserve"> skiriant pacientams, sergantiems viršutinės virškinimo trakto dalies ligomis, pvz., patvirtinta </w:t>
      </w:r>
      <w:r w:rsidRPr="005E49A1">
        <w:rPr>
          <w:iCs/>
          <w:color w:val="000000"/>
          <w:szCs w:val="22"/>
          <w:lang w:eastAsia="lt-LT"/>
        </w:rPr>
        <w:t>Baretto stemple</w:t>
      </w:r>
      <w:r w:rsidRPr="005E49A1">
        <w:rPr>
          <w:color w:val="000000"/>
          <w:szCs w:val="22"/>
          <w:lang w:eastAsia="lt-LT"/>
        </w:rPr>
        <w:t xml:space="preserve">, disfagija, kitomis stemplės ligomis, gastritu, duodenitu ar opomis. </w:t>
      </w:r>
    </w:p>
    <w:p w14:paraId="535F3DE6" w14:textId="77777777" w:rsidR="00302C06" w:rsidRPr="005E49A1" w:rsidRDefault="00302C06" w:rsidP="00302C06">
      <w:pPr>
        <w:autoSpaceDE w:val="0"/>
        <w:autoSpaceDN w:val="0"/>
        <w:adjustRightInd w:val="0"/>
        <w:rPr>
          <w:color w:val="000000"/>
          <w:szCs w:val="22"/>
          <w:lang w:eastAsia="lt-LT"/>
        </w:rPr>
      </w:pPr>
      <w:r w:rsidRPr="005E49A1">
        <w:rPr>
          <w:color w:val="000000"/>
          <w:szCs w:val="22"/>
          <w:lang w:eastAsia="lt-LT"/>
        </w:rPr>
        <w:t xml:space="preserve">Gauta pranešimų, kad geriamaisiais bisfosfonatais gydomiems pacientams buvo pastebėtos nepageidaujamos reakcijos, tokios, kaip stemplės uždegimas, stemplės opos ir stemplės erozijos, kurios kai kuriais atvejais buvo sunkios ir reikalaujančios gydymo ligoninėje, retais atvejais pasireiškė kraujavimu ar vėliau sukėlė stemplės susiaurėjimą ar prakiurimą. Nustatyta, kad sunkių stemplės nepageidaujamų reakcijų rizika yra didesnė pacientams, kurie nesilaiko dozavimo nurodymų ir/ ar kurie, pasireiškus simptomams, verčiantiems galvoti apie stemplės dirginimą, toliau vartoja geriamųjų </w:t>
      </w:r>
      <w:r w:rsidRPr="005E49A1">
        <w:rPr>
          <w:color w:val="000000"/>
          <w:szCs w:val="22"/>
          <w:lang w:eastAsia="lt-LT"/>
        </w:rPr>
        <w:lastRenderedPageBreak/>
        <w:t>bisfosfonatų. Pacientai turi atkreipti ypatingą dėmesį į dozavimo nurodymus ir sugebėti jų laikytis (žr. 4.2 skyrių).</w:t>
      </w:r>
    </w:p>
    <w:p w14:paraId="07D68A82" w14:textId="77777777" w:rsidR="00302C06" w:rsidRPr="005E49A1" w:rsidRDefault="00302C06" w:rsidP="00302C06">
      <w:pPr>
        <w:autoSpaceDE w:val="0"/>
        <w:autoSpaceDN w:val="0"/>
        <w:adjustRightInd w:val="0"/>
        <w:rPr>
          <w:color w:val="000000"/>
          <w:szCs w:val="22"/>
          <w:lang w:eastAsia="lt-LT"/>
        </w:rPr>
      </w:pPr>
    </w:p>
    <w:p w14:paraId="4C8C4A8F" w14:textId="77777777" w:rsidR="00302C06" w:rsidRPr="005E49A1" w:rsidRDefault="00302C06" w:rsidP="00302C06">
      <w:pPr>
        <w:autoSpaceDE w:val="0"/>
        <w:autoSpaceDN w:val="0"/>
        <w:adjustRightInd w:val="0"/>
        <w:rPr>
          <w:color w:val="000000"/>
          <w:szCs w:val="22"/>
          <w:lang w:eastAsia="lt-LT"/>
        </w:rPr>
      </w:pPr>
      <w:r w:rsidRPr="005E49A1">
        <w:rPr>
          <w:color w:val="000000"/>
          <w:szCs w:val="22"/>
          <w:lang w:eastAsia="lt-LT"/>
        </w:rPr>
        <w:t xml:space="preserve">Gydytojai turi budriai reaguoti į visus požymius ar simptomus, rodančius galimą stemplės reakciją į gydymą ir pacientai turėtų būti informuoti, kad pasireiškus rijimo sutrikimams, skausmui ryjant, skausmui už krūtinkaulio, atsiradus ar paūmėjus rėmeniui, nutrauktų </w:t>
      </w:r>
      <w:r w:rsidRPr="005E49A1">
        <w:rPr>
          <w:szCs w:val="22"/>
        </w:rPr>
        <w:t>BAXOGAR</w:t>
      </w:r>
      <w:r w:rsidRPr="005E49A1">
        <w:rPr>
          <w:color w:val="000000"/>
          <w:szCs w:val="22"/>
          <w:lang w:eastAsia="lt-LT"/>
        </w:rPr>
        <w:t xml:space="preserve"> vartojimą ir kreiptųsi į medikus. </w:t>
      </w:r>
    </w:p>
    <w:p w14:paraId="3D1525AB" w14:textId="77777777" w:rsidR="00302C06" w:rsidRPr="005E49A1" w:rsidRDefault="00302C06" w:rsidP="00302C06">
      <w:pPr>
        <w:autoSpaceDE w:val="0"/>
        <w:autoSpaceDN w:val="0"/>
        <w:adjustRightInd w:val="0"/>
        <w:rPr>
          <w:color w:val="000000"/>
          <w:szCs w:val="22"/>
          <w:lang w:eastAsia="lt-LT"/>
        </w:rPr>
      </w:pPr>
      <w:r w:rsidRPr="005E49A1">
        <w:rPr>
          <w:color w:val="000000"/>
          <w:szCs w:val="22"/>
          <w:lang w:eastAsia="lt-LT"/>
        </w:rPr>
        <w:t>Nors kontroliuojamų klinikinių tyrimų metu padidėjusios rizikos nenustatyta, po to, kai vaistas pateko į rinką, gauta susijusių pranešimų apie skrandžio ar dvylikapirštės žarnos opas (kai kuriais atvejais sunkias ir su komplikacijomis), susijusias su bisfosfonatų vartojimu.</w:t>
      </w:r>
    </w:p>
    <w:p w14:paraId="6F52E32A" w14:textId="77777777" w:rsidR="00302C06" w:rsidRPr="005E49A1" w:rsidRDefault="00302C06" w:rsidP="00302C06">
      <w:pPr>
        <w:autoSpaceDE w:val="0"/>
        <w:autoSpaceDN w:val="0"/>
        <w:adjustRightInd w:val="0"/>
        <w:rPr>
          <w:color w:val="000000"/>
          <w:szCs w:val="22"/>
          <w:lang w:eastAsia="lt-LT"/>
        </w:rPr>
      </w:pPr>
    </w:p>
    <w:p w14:paraId="59E1BE7D" w14:textId="77777777" w:rsidR="00302C06" w:rsidRPr="005E49A1" w:rsidRDefault="00302C06" w:rsidP="00302C06">
      <w:pPr>
        <w:autoSpaceDE w:val="0"/>
        <w:autoSpaceDN w:val="0"/>
        <w:adjustRightInd w:val="0"/>
        <w:rPr>
          <w:color w:val="000000"/>
          <w:szCs w:val="22"/>
          <w:lang w:eastAsia="lt-LT"/>
        </w:rPr>
      </w:pPr>
      <w:r w:rsidRPr="005E49A1">
        <w:rPr>
          <w:color w:val="000000"/>
          <w:szCs w:val="22"/>
          <w:lang w:eastAsia="lt-LT"/>
        </w:rPr>
        <w:t xml:space="preserve">Bisfosfonatai ir nesteroidiniai vaistiniai preparatai nuo uždegimo dirgina virškinimo traktą, todėl jų vartoti kartu reikia atsargiai. </w:t>
      </w:r>
    </w:p>
    <w:p w14:paraId="4455A18B" w14:textId="77777777" w:rsidR="00302C06" w:rsidRPr="005E49A1" w:rsidRDefault="00302C06" w:rsidP="00302C06">
      <w:pPr>
        <w:autoSpaceDE w:val="0"/>
        <w:autoSpaceDN w:val="0"/>
        <w:adjustRightInd w:val="0"/>
        <w:rPr>
          <w:szCs w:val="22"/>
          <w:lang w:eastAsia="lt-LT"/>
        </w:rPr>
      </w:pPr>
    </w:p>
    <w:p w14:paraId="24232D0F" w14:textId="77777777" w:rsidR="00302C06" w:rsidRPr="005E49A1" w:rsidRDefault="00302C06" w:rsidP="00302C06">
      <w:pPr>
        <w:autoSpaceDE w:val="0"/>
        <w:autoSpaceDN w:val="0"/>
        <w:adjustRightInd w:val="0"/>
        <w:rPr>
          <w:color w:val="000000"/>
          <w:szCs w:val="22"/>
          <w:u w:val="single"/>
          <w:lang w:eastAsia="lt-LT"/>
        </w:rPr>
      </w:pPr>
      <w:r w:rsidRPr="005E49A1">
        <w:rPr>
          <w:iCs/>
          <w:color w:val="000000"/>
          <w:szCs w:val="22"/>
          <w:u w:val="single"/>
          <w:lang w:eastAsia="lt-LT"/>
        </w:rPr>
        <w:t xml:space="preserve">Žandikaulio osteonekrozė </w:t>
      </w:r>
    </w:p>
    <w:p w14:paraId="15C23469" w14:textId="19F3AF1E" w:rsidR="00F83703" w:rsidRPr="004248B8" w:rsidRDefault="00F83703" w:rsidP="00F83703">
      <w:pPr>
        <w:spacing w:line="100" w:lineRule="atLeast"/>
        <w:rPr>
          <w:color w:val="000000"/>
        </w:rPr>
      </w:pPr>
      <w:r w:rsidRPr="004248B8">
        <w:rPr>
          <w:color w:val="000000"/>
        </w:rPr>
        <w:t>Vaistui jau esant rinkoje yra pastebėta labai retų žandikaulio osteonekrozės (ŽON) atvejų pacientams, kurie ibandrono rūgštimi buvo gydomi nuo osteoporozės (žr. 4.8 skyrių).</w:t>
      </w:r>
    </w:p>
    <w:p w14:paraId="56616BAC" w14:textId="77777777" w:rsidR="00F83703" w:rsidRPr="004248B8" w:rsidRDefault="00F83703" w:rsidP="00F83703">
      <w:pPr>
        <w:spacing w:line="100" w:lineRule="atLeast"/>
        <w:rPr>
          <w:color w:val="000000"/>
        </w:rPr>
      </w:pPr>
    </w:p>
    <w:p w14:paraId="726C82EB" w14:textId="77777777" w:rsidR="00F83703" w:rsidRPr="004248B8" w:rsidRDefault="00F83703" w:rsidP="00F83703">
      <w:pPr>
        <w:spacing w:line="100" w:lineRule="atLeast"/>
        <w:rPr>
          <w:color w:val="000000"/>
        </w:rPr>
      </w:pPr>
      <w:r w:rsidRPr="004248B8">
        <w:rPr>
          <w:color w:val="000000"/>
        </w:rPr>
        <w:t>Pacientams, kurių burnoje yra neužgijusių atvirų minkštųjų audinių pažaidų, gydymo ar naujo gydymo kurso pradžią reikia atidėti.</w:t>
      </w:r>
    </w:p>
    <w:p w14:paraId="47E75E9E" w14:textId="77777777" w:rsidR="00F83703" w:rsidRPr="004248B8" w:rsidRDefault="00F83703" w:rsidP="00F83703">
      <w:pPr>
        <w:spacing w:line="100" w:lineRule="atLeast"/>
        <w:rPr>
          <w:color w:val="000000"/>
        </w:rPr>
      </w:pPr>
    </w:p>
    <w:p w14:paraId="1225A6F2" w14:textId="109F29FB" w:rsidR="00F83703" w:rsidRPr="0022545A" w:rsidRDefault="00F83703" w:rsidP="0022545A">
      <w:pPr>
        <w:spacing w:line="100" w:lineRule="atLeast"/>
        <w:rPr>
          <w:color w:val="000000"/>
        </w:rPr>
      </w:pPr>
      <w:r w:rsidRPr="004248B8">
        <w:rPr>
          <w:color w:val="000000"/>
        </w:rPr>
        <w:t xml:space="preserve">Prieš gydymą </w:t>
      </w:r>
      <w:r w:rsidR="004248B8">
        <w:rPr>
          <w:color w:val="000000"/>
        </w:rPr>
        <w:t>BAXOGAR</w:t>
      </w:r>
      <w:r w:rsidRPr="004248B8">
        <w:rPr>
          <w:color w:val="000000"/>
        </w:rPr>
        <w:t xml:space="preserve"> rekomenduojama ištirti lydinčių</w:t>
      </w:r>
      <w:r w:rsidRPr="0022545A">
        <w:rPr>
          <w:color w:val="000000"/>
        </w:rPr>
        <w:t xml:space="preserve"> rizikos </w:t>
      </w:r>
      <w:r w:rsidRPr="004248B8">
        <w:rPr>
          <w:color w:val="000000"/>
        </w:rPr>
        <w:t>veiksnių turinčių pacientų dantų būklę ir taikyti</w:t>
      </w:r>
      <w:r w:rsidRPr="0022545A">
        <w:rPr>
          <w:color w:val="000000"/>
        </w:rPr>
        <w:t xml:space="preserve"> profilaktinį gydymą</w:t>
      </w:r>
      <w:r w:rsidRPr="004248B8">
        <w:rPr>
          <w:color w:val="000000"/>
        </w:rPr>
        <w:t>, remiantis individualiu</w:t>
      </w:r>
      <w:r w:rsidRPr="0022545A">
        <w:rPr>
          <w:color w:val="000000"/>
        </w:rPr>
        <w:t xml:space="preserve"> naudos ir rizikos įvertinimu.</w:t>
      </w:r>
    </w:p>
    <w:p w14:paraId="498259B2" w14:textId="77777777" w:rsidR="00F83703" w:rsidRPr="004248B8" w:rsidRDefault="00F83703" w:rsidP="00F83703">
      <w:pPr>
        <w:spacing w:line="100" w:lineRule="atLeast"/>
        <w:rPr>
          <w:color w:val="000000"/>
        </w:rPr>
      </w:pPr>
    </w:p>
    <w:p w14:paraId="28B7DBF4" w14:textId="77777777" w:rsidR="00F83703" w:rsidRPr="004248B8" w:rsidRDefault="00F83703" w:rsidP="00F83703">
      <w:pPr>
        <w:spacing w:line="100" w:lineRule="atLeast"/>
        <w:rPr>
          <w:color w:val="000000"/>
        </w:rPr>
      </w:pPr>
      <w:r w:rsidRPr="004248B8">
        <w:rPr>
          <w:color w:val="000000"/>
        </w:rPr>
        <w:t>Rizikos veiksniai, į kuriuos reikia atsižvelgti vertinant paciento riziką susirgti ŽON, yra šie:</w:t>
      </w:r>
    </w:p>
    <w:p w14:paraId="307DF4C3" w14:textId="77777777" w:rsidR="00F83703" w:rsidRPr="004248B8" w:rsidRDefault="00F83703" w:rsidP="00F83703">
      <w:pPr>
        <w:pStyle w:val="Sraopastraipa"/>
        <w:numPr>
          <w:ilvl w:val="0"/>
          <w:numId w:val="30"/>
        </w:numPr>
        <w:suppressAutoHyphens/>
        <w:spacing w:line="100" w:lineRule="atLeast"/>
        <w:ind w:left="567" w:hanging="567"/>
        <w:rPr>
          <w:color w:val="000000"/>
        </w:rPr>
      </w:pPr>
      <w:r w:rsidRPr="004248B8">
        <w:rPr>
          <w:color w:val="000000"/>
        </w:rPr>
        <w:t>stiprumas kaulų rezorbciją slopinančio vaisto (didesnę riziką kelia labai stiprūs junginiai), vartojimo būdas (didesnė rizika kyla vartojant parenteraliai) ir kaulų rezorbcijos terapijos sukauptoji dozė;</w:t>
      </w:r>
    </w:p>
    <w:p w14:paraId="6B239D80" w14:textId="77777777" w:rsidR="00F83703" w:rsidRPr="004248B8" w:rsidRDefault="00F83703" w:rsidP="00F83703">
      <w:pPr>
        <w:pStyle w:val="Sraopastraipa"/>
        <w:numPr>
          <w:ilvl w:val="0"/>
          <w:numId w:val="30"/>
        </w:numPr>
        <w:suppressAutoHyphens/>
        <w:spacing w:line="100" w:lineRule="atLeast"/>
        <w:ind w:left="567" w:hanging="567"/>
        <w:rPr>
          <w:color w:val="000000"/>
        </w:rPr>
      </w:pPr>
      <w:r w:rsidRPr="004248B8">
        <w:rPr>
          <w:color w:val="000000"/>
        </w:rPr>
        <w:t>vėžio liga, lydinčios patologinės būklės (pvz., anemija, koaguliacijos sutrikimai, infekcija), rūkymas;</w:t>
      </w:r>
    </w:p>
    <w:p w14:paraId="505E2E56" w14:textId="77777777" w:rsidR="00F83703" w:rsidRPr="004248B8" w:rsidRDefault="00F83703" w:rsidP="00F83703">
      <w:pPr>
        <w:pStyle w:val="Sraopastraipa"/>
        <w:numPr>
          <w:ilvl w:val="0"/>
          <w:numId w:val="30"/>
        </w:numPr>
        <w:suppressAutoHyphens/>
        <w:spacing w:line="100" w:lineRule="atLeast"/>
        <w:ind w:left="567" w:hanging="567"/>
        <w:rPr>
          <w:color w:val="000000"/>
        </w:rPr>
      </w:pPr>
      <w:r w:rsidRPr="004248B8">
        <w:rPr>
          <w:color w:val="000000"/>
        </w:rPr>
        <w:t>gretutinis gydymas kortikosteroidais, chemoterapija, angiogenezės inhibitoriais, galvos ir kaklo radioterapija;</w:t>
      </w:r>
    </w:p>
    <w:p w14:paraId="48247661" w14:textId="77777777" w:rsidR="00F83703" w:rsidRPr="004248B8" w:rsidRDefault="00F83703" w:rsidP="00F83703">
      <w:pPr>
        <w:pStyle w:val="Sraopastraipa"/>
        <w:numPr>
          <w:ilvl w:val="0"/>
          <w:numId w:val="30"/>
        </w:numPr>
        <w:suppressAutoHyphens/>
        <w:spacing w:line="100" w:lineRule="atLeast"/>
        <w:ind w:left="567" w:hanging="567"/>
        <w:rPr>
          <w:color w:val="000000"/>
        </w:rPr>
      </w:pPr>
      <w:r w:rsidRPr="004248B8">
        <w:rPr>
          <w:color w:val="000000"/>
        </w:rPr>
        <w:t>prasta burnos higiena, periodonto ligos, blogai pritaikyti protezai, buvusios dantų ligos, invazinės odontologinės procedūros, pvz., danties traukimas.</w:t>
      </w:r>
    </w:p>
    <w:p w14:paraId="39DE389C" w14:textId="77777777" w:rsidR="00F83703" w:rsidRPr="0022545A" w:rsidRDefault="00F83703" w:rsidP="0022545A">
      <w:pPr>
        <w:spacing w:line="100" w:lineRule="atLeast"/>
        <w:rPr>
          <w:color w:val="000000"/>
        </w:rPr>
      </w:pPr>
    </w:p>
    <w:p w14:paraId="1D2E9C8E" w14:textId="4A269A0D" w:rsidR="00F83703" w:rsidRPr="004248B8" w:rsidRDefault="00F83703" w:rsidP="00F83703">
      <w:pPr>
        <w:spacing w:line="100" w:lineRule="atLeast"/>
        <w:rPr>
          <w:color w:val="000000"/>
        </w:rPr>
      </w:pPr>
      <w:r w:rsidRPr="0022545A">
        <w:rPr>
          <w:color w:val="000000"/>
        </w:rPr>
        <w:t xml:space="preserve">Gydymo </w:t>
      </w:r>
      <w:r w:rsidRPr="004248B8">
        <w:rPr>
          <w:color w:val="000000"/>
        </w:rPr>
        <w:t>ibandrono rūgštimi metu visi pacientai turi būti skatinami palaikyti gerą burnos higieną, reguliariai tikrintis dantis ir iš karto pranešti apie visus burnos simptomus, tokius kaip dantų išklibimas, skausmas ar patinimas, negyjančios opos ar išskyros. Gydymo metu invazines dant</w:t>
      </w:r>
      <w:r w:rsidR="004248B8">
        <w:rPr>
          <w:color w:val="000000"/>
        </w:rPr>
        <w:t>ų gydymo procedūras galima atli</w:t>
      </w:r>
      <w:r w:rsidRPr="004248B8">
        <w:rPr>
          <w:color w:val="000000"/>
        </w:rPr>
        <w:t xml:space="preserve">kti nuodugniai apsvarsčius ir kuo toliau nuo </w:t>
      </w:r>
      <w:r w:rsidR="004248B8">
        <w:rPr>
          <w:color w:val="000000"/>
        </w:rPr>
        <w:t>BAXOGAR</w:t>
      </w:r>
      <w:r w:rsidRPr="004248B8">
        <w:rPr>
          <w:color w:val="000000"/>
        </w:rPr>
        <w:t xml:space="preserve"> vartojimo vietos. </w:t>
      </w:r>
    </w:p>
    <w:p w14:paraId="2038ABEF" w14:textId="77777777" w:rsidR="00F83703" w:rsidRPr="004248B8" w:rsidRDefault="00F83703" w:rsidP="00F83703">
      <w:pPr>
        <w:spacing w:line="100" w:lineRule="atLeast"/>
        <w:rPr>
          <w:color w:val="000000"/>
        </w:rPr>
      </w:pPr>
    </w:p>
    <w:p w14:paraId="3928BA14" w14:textId="3AAFB3C1" w:rsidR="00F83703" w:rsidRPr="00B259BA" w:rsidRDefault="00F83703" w:rsidP="00F83703">
      <w:pPr>
        <w:spacing w:line="100" w:lineRule="atLeast"/>
      </w:pPr>
      <w:r w:rsidRPr="004248B8">
        <w:rPr>
          <w:color w:val="000000"/>
        </w:rPr>
        <w:t xml:space="preserve">Pacientų, kuriems atsirado ŽON, gydymo planas turi būti parengtas glaudžiai bendradarbiaujant gydančiam gydytojui ir gydytojui odontologui ar burnos chirurgui, turinčiam ŽON gydymo patirties. Reikia apsvarstyti, ar nevertėtų gydymo </w:t>
      </w:r>
      <w:r w:rsidR="004248B8">
        <w:rPr>
          <w:color w:val="000000"/>
        </w:rPr>
        <w:t>BAXOGAR</w:t>
      </w:r>
      <w:r w:rsidRPr="004248B8">
        <w:rPr>
          <w:color w:val="000000"/>
        </w:rPr>
        <w:t xml:space="preserve"> laikinai</w:t>
      </w:r>
      <w:r w:rsidRPr="00B259BA">
        <w:rPr>
          <w:color w:val="000000"/>
          <w:lang w:val="cs-CZ"/>
        </w:rPr>
        <w:t xml:space="preserve"> nutraukti, jeigu įmanoma, kol būklė pagerės ar susiję rizikos veiksniai bus sušvelninti.</w:t>
      </w:r>
    </w:p>
    <w:p w14:paraId="5A9ACEB1" w14:textId="77777777" w:rsidR="00302C06" w:rsidRPr="00444E1A" w:rsidRDefault="00302C06" w:rsidP="00302C06">
      <w:pPr>
        <w:pStyle w:val="Pagrindinistekstas"/>
        <w:spacing w:after="0"/>
      </w:pPr>
    </w:p>
    <w:p w14:paraId="7FF83ADB" w14:textId="77777777" w:rsidR="00302C06" w:rsidRPr="005E49A1" w:rsidRDefault="00302C06" w:rsidP="00302C06">
      <w:pPr>
        <w:pStyle w:val="Pagrindinistekstas"/>
        <w:spacing w:after="0"/>
        <w:rPr>
          <w:szCs w:val="22"/>
        </w:rPr>
      </w:pPr>
      <w:r w:rsidRPr="005E49A1">
        <w:rPr>
          <w:szCs w:val="22"/>
          <w:u w:val="single"/>
        </w:rPr>
        <w:t>Išorinio ausies kanalo osteonekrozė</w:t>
      </w:r>
    </w:p>
    <w:p w14:paraId="70F6EC9A" w14:textId="77777777" w:rsidR="00302C06" w:rsidRPr="005E49A1" w:rsidRDefault="00302C06" w:rsidP="00302C06">
      <w:pPr>
        <w:pStyle w:val="Pagrindinistekstas"/>
        <w:spacing w:after="0"/>
        <w:rPr>
          <w:szCs w:val="22"/>
        </w:rPr>
      </w:pPr>
      <w:r w:rsidRPr="005E49A1">
        <w:rPr>
          <w:szCs w:val="22"/>
        </w:rPr>
        <w:t xml:space="preserve">Vartojant bisfosfonatus, tarp pacientų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reikėtų turėti omenyje gydant tuos bisfosfonatų vartojančius pacientus, kuriems pasireiškia su ausimi susijusių simptomų, įskaitant simptomus, kuriuos sukelia lėtinės ausų infekcijos. </w:t>
      </w:r>
    </w:p>
    <w:p w14:paraId="4BDFB253" w14:textId="77777777" w:rsidR="00302C06" w:rsidRPr="005E49A1" w:rsidRDefault="00302C06" w:rsidP="00302C06">
      <w:pPr>
        <w:autoSpaceDE w:val="0"/>
        <w:autoSpaceDN w:val="0"/>
        <w:adjustRightInd w:val="0"/>
        <w:rPr>
          <w:color w:val="000000"/>
          <w:szCs w:val="22"/>
          <w:lang w:eastAsia="lt-LT"/>
        </w:rPr>
      </w:pPr>
    </w:p>
    <w:p w14:paraId="5FC90706" w14:textId="77777777" w:rsidR="00302C06" w:rsidRPr="00444E1A" w:rsidRDefault="00302C06" w:rsidP="00302C06">
      <w:pPr>
        <w:pStyle w:val="Default"/>
        <w:rPr>
          <w:sz w:val="22"/>
          <w:szCs w:val="22"/>
          <w:u w:val="single"/>
          <w:lang w:val="lt-LT"/>
        </w:rPr>
      </w:pPr>
      <w:r w:rsidRPr="00444E1A">
        <w:rPr>
          <w:sz w:val="22"/>
          <w:szCs w:val="22"/>
          <w:u w:val="single"/>
          <w:lang w:val="lt-LT"/>
        </w:rPr>
        <w:t>Atipiniai šlaunikaulio lūžiai</w:t>
      </w:r>
    </w:p>
    <w:p w14:paraId="3E1F4819" w14:textId="77777777" w:rsidR="00302C06" w:rsidRPr="00444E1A" w:rsidRDefault="00302C06" w:rsidP="00302C06">
      <w:pPr>
        <w:pStyle w:val="Default"/>
        <w:rPr>
          <w:sz w:val="22"/>
          <w:szCs w:val="22"/>
          <w:lang w:val="lt-LT"/>
        </w:rPr>
      </w:pPr>
      <w:r w:rsidRPr="00444E1A">
        <w:rPr>
          <w:sz w:val="22"/>
          <w:szCs w:val="22"/>
          <w:lang w:val="lt-LT"/>
        </w:rPr>
        <w:t xml:space="preserve">Gydant bisfosfonatais buvo pastebėti atipiniai šlaunikaulio pogūbriniai ar diafizės lūžiai, visų pirma ilgai nuo osteoporozės gydytiems pacientams. Šie skersiniai ar trumpi įstrižiniai lūžiai gali pasireikšti </w:t>
      </w:r>
      <w:r w:rsidRPr="00444E1A">
        <w:rPr>
          <w:sz w:val="22"/>
          <w:szCs w:val="22"/>
          <w:lang w:val="lt-LT"/>
        </w:rPr>
        <w:lastRenderedPageBreak/>
        <w:t>bet kurioje šlaunikaulio vietoje – nuo pat mažojo gūbrio iki pat virškrumplinės keteros. Šie lūžiai įvyksta po mažos traumos arba ne dėl jos, o kai kurie pacientai kelias savaites ar mėnesius iki pilno šlaunikaulio lūžio jaučia šlaunies ar kirkšnies skausmą, dažnai susijusį su stresini</w:t>
      </w:r>
      <w:r w:rsidRPr="005E49A1">
        <w:rPr>
          <w:sz w:val="22"/>
          <w:szCs w:val="22"/>
          <w:lang w:val="lt-LT"/>
        </w:rPr>
        <w:t>ų</w:t>
      </w:r>
      <w:r w:rsidRPr="00444E1A">
        <w:rPr>
          <w:sz w:val="22"/>
          <w:szCs w:val="22"/>
          <w:lang w:val="lt-LT"/>
        </w:rPr>
        <w:t xml:space="preserve"> lūžių radiologiniais požymiais. Lūžiai dažnai būna abipusiai, todėl reikia ištirti bisfosfonatais gydomų pacientų, kuriems yra lūžęs šlaunikaulio kūnas, priešingos pusės šlaunikaulį. Be to, buvo pastebėtas blogas tokių lūžių gijimas. Reikia apsvarstyti, ar pacientams, kuriems įtariamas atipinis šlaunikaulio lūžis, gydymo bisfosfonatais nevertėtų nutraukti, kol jam individualiai bus įvertintas naudos ir rizikos santykis.</w:t>
      </w:r>
    </w:p>
    <w:p w14:paraId="511DB588" w14:textId="77777777" w:rsidR="00302C06" w:rsidRPr="00444E1A" w:rsidRDefault="00302C06" w:rsidP="00302C06">
      <w:pPr>
        <w:rPr>
          <w:szCs w:val="22"/>
        </w:rPr>
      </w:pPr>
      <w:r w:rsidRPr="00444E1A">
        <w:rPr>
          <w:szCs w:val="22"/>
        </w:rPr>
        <w:t>Pacientams reikia patarti, kad bisfosfonatų vartojimo metu praneštų apie bet kokį šlaunies, klubo ar kirkšnies skausmą, o visus pacientus, kuriems pasireiškia tokie simptomai, reikia ištirti, ar jie nepatyrė nepilno šlaunikaulio lūžio.</w:t>
      </w:r>
    </w:p>
    <w:p w14:paraId="7BCA030F" w14:textId="77777777" w:rsidR="00302C06" w:rsidRPr="00444E1A" w:rsidRDefault="00302C06" w:rsidP="00302C06">
      <w:pPr>
        <w:autoSpaceDE w:val="0"/>
        <w:autoSpaceDN w:val="0"/>
        <w:adjustRightInd w:val="0"/>
        <w:rPr>
          <w:iCs/>
          <w:color w:val="000000"/>
          <w:szCs w:val="22"/>
          <w:u w:val="single"/>
          <w:lang w:eastAsia="lt-LT"/>
        </w:rPr>
      </w:pPr>
    </w:p>
    <w:p w14:paraId="0FE462CB" w14:textId="77777777" w:rsidR="00302C06" w:rsidRPr="005E49A1" w:rsidRDefault="00302C06" w:rsidP="00302C06">
      <w:pPr>
        <w:autoSpaceDE w:val="0"/>
        <w:autoSpaceDN w:val="0"/>
        <w:adjustRightInd w:val="0"/>
        <w:rPr>
          <w:color w:val="000000"/>
          <w:szCs w:val="22"/>
          <w:u w:val="single"/>
          <w:lang w:eastAsia="lt-LT"/>
        </w:rPr>
      </w:pPr>
      <w:r w:rsidRPr="005E49A1">
        <w:rPr>
          <w:iCs/>
          <w:color w:val="000000"/>
          <w:szCs w:val="22"/>
          <w:u w:val="single"/>
          <w:lang w:eastAsia="lt-LT"/>
        </w:rPr>
        <w:t xml:space="preserve">Inkstų pakenkimas </w:t>
      </w:r>
    </w:p>
    <w:p w14:paraId="47AEC177" w14:textId="77777777" w:rsidR="00302C06" w:rsidRPr="005E49A1" w:rsidRDefault="00302C06" w:rsidP="00302C06">
      <w:pPr>
        <w:autoSpaceDE w:val="0"/>
        <w:autoSpaceDN w:val="0"/>
        <w:adjustRightInd w:val="0"/>
        <w:rPr>
          <w:color w:val="000000"/>
          <w:szCs w:val="22"/>
          <w:lang w:eastAsia="lt-LT"/>
        </w:rPr>
      </w:pPr>
      <w:r w:rsidRPr="005E49A1">
        <w:rPr>
          <w:color w:val="000000"/>
          <w:szCs w:val="22"/>
          <w:lang w:eastAsia="lt-LT"/>
        </w:rPr>
        <w:t xml:space="preserve">Kadangi klinikinės patirties yra nedaug, </w:t>
      </w:r>
      <w:r w:rsidRPr="005E49A1">
        <w:rPr>
          <w:szCs w:val="22"/>
        </w:rPr>
        <w:t>BAXOGAR</w:t>
      </w:r>
      <w:r w:rsidRPr="005E49A1">
        <w:rPr>
          <w:color w:val="000000"/>
          <w:szCs w:val="22"/>
          <w:lang w:eastAsia="lt-LT"/>
        </w:rPr>
        <w:t xml:space="preserve"> nerekomenduojama vartoti pacientams, kurių kreatinino klirensas mažesnis negu 30 ml/min (žr. 5.2 skyrių). </w:t>
      </w:r>
    </w:p>
    <w:p w14:paraId="1640C328" w14:textId="77777777" w:rsidR="00302C06" w:rsidRPr="005E49A1" w:rsidRDefault="00302C06" w:rsidP="00302C06">
      <w:pPr>
        <w:autoSpaceDE w:val="0"/>
        <w:autoSpaceDN w:val="0"/>
        <w:adjustRightInd w:val="0"/>
        <w:rPr>
          <w:i/>
          <w:iCs/>
          <w:color w:val="000000"/>
          <w:szCs w:val="22"/>
          <w:lang w:eastAsia="lt-LT"/>
        </w:rPr>
      </w:pPr>
    </w:p>
    <w:p w14:paraId="4D8B8F9A" w14:textId="77777777" w:rsidR="00302C06" w:rsidRPr="005E49A1" w:rsidRDefault="00302C06" w:rsidP="00302C06">
      <w:pPr>
        <w:pStyle w:val="Pagrindinistekstas"/>
        <w:spacing w:before="120" w:after="0"/>
        <w:rPr>
          <w:szCs w:val="22"/>
          <w:u w:val="single"/>
        </w:rPr>
      </w:pPr>
      <w:r w:rsidRPr="005E49A1">
        <w:rPr>
          <w:szCs w:val="22"/>
          <w:u w:val="single"/>
        </w:rPr>
        <w:t xml:space="preserve">Galaktozės netoleravimas </w:t>
      </w:r>
    </w:p>
    <w:p w14:paraId="7E10D804" w14:textId="77777777" w:rsidR="00302C06" w:rsidRDefault="00302C06" w:rsidP="00302C06">
      <w:pPr>
        <w:autoSpaceDE w:val="0"/>
        <w:autoSpaceDN w:val="0"/>
        <w:adjustRightInd w:val="0"/>
        <w:rPr>
          <w:szCs w:val="22"/>
        </w:rPr>
      </w:pPr>
      <w:r w:rsidRPr="005E49A1">
        <w:t xml:space="preserve">Šio vaistinio preparato sudėtyje yra laktozės. </w:t>
      </w:r>
      <w:r w:rsidRPr="000D7C83">
        <w:rPr>
          <w:szCs w:val="22"/>
        </w:rPr>
        <w:t>Šio vaistinio preparato</w:t>
      </w:r>
      <w:r>
        <w:rPr>
          <w:szCs w:val="22"/>
        </w:rPr>
        <w:t xml:space="preserve"> </w:t>
      </w:r>
      <w:r w:rsidRPr="000D7C83">
        <w:rPr>
          <w:szCs w:val="22"/>
        </w:rPr>
        <w:t>negalima vartoti pacientams, kuriems nustatytas</w:t>
      </w:r>
      <w:r>
        <w:rPr>
          <w:szCs w:val="22"/>
        </w:rPr>
        <w:t xml:space="preserve"> </w:t>
      </w:r>
      <w:r w:rsidRPr="000D7C83">
        <w:rPr>
          <w:szCs w:val="22"/>
        </w:rPr>
        <w:t>retas paveldimas sutrikimas – galaktozės</w:t>
      </w:r>
      <w:r>
        <w:rPr>
          <w:szCs w:val="22"/>
        </w:rPr>
        <w:t xml:space="preserve"> </w:t>
      </w:r>
      <w:r w:rsidRPr="000D7C83">
        <w:rPr>
          <w:szCs w:val="22"/>
        </w:rPr>
        <w:t>netoleravimas, visiškas laktazės stygius arba</w:t>
      </w:r>
      <w:r>
        <w:rPr>
          <w:szCs w:val="22"/>
        </w:rPr>
        <w:t xml:space="preserve"> </w:t>
      </w:r>
      <w:r w:rsidRPr="000D7C83">
        <w:rPr>
          <w:szCs w:val="22"/>
        </w:rPr>
        <w:t>gliukozės ir galaktozės malabsorbcija.</w:t>
      </w:r>
    </w:p>
    <w:p w14:paraId="20066875" w14:textId="77777777" w:rsidR="004451DE" w:rsidRPr="0022545A" w:rsidRDefault="004451DE" w:rsidP="0022545A">
      <w:pPr>
        <w:autoSpaceDE w:val="0"/>
        <w:autoSpaceDN w:val="0"/>
        <w:adjustRightInd w:val="0"/>
      </w:pPr>
    </w:p>
    <w:p w14:paraId="30E2209A" w14:textId="427205DA" w:rsidR="004451DE" w:rsidRDefault="004451DE" w:rsidP="00302C06">
      <w:pPr>
        <w:autoSpaceDE w:val="0"/>
        <w:autoSpaceDN w:val="0"/>
        <w:adjustRightInd w:val="0"/>
        <w:rPr>
          <w:szCs w:val="22"/>
          <w:u w:val="single"/>
        </w:rPr>
      </w:pPr>
      <w:r>
        <w:rPr>
          <w:szCs w:val="22"/>
          <w:u w:val="single"/>
        </w:rPr>
        <w:t>Natris</w:t>
      </w:r>
    </w:p>
    <w:p w14:paraId="673BFFD2" w14:textId="050D5945" w:rsidR="00302C06" w:rsidRDefault="004451DE" w:rsidP="004451DE">
      <w:pPr>
        <w:autoSpaceDE w:val="0"/>
        <w:autoSpaceDN w:val="0"/>
        <w:adjustRightInd w:val="0"/>
        <w:rPr>
          <w:szCs w:val="22"/>
        </w:rPr>
      </w:pPr>
      <w:r>
        <w:rPr>
          <w:szCs w:val="22"/>
        </w:rPr>
        <w:t xml:space="preserve">Vienoje šio vaisto plėvele dengtoje tabletėje yra mažiau nei 1 mmol natrio (23 mg), t. y., šis vaistinis preparatas iš esmės yra be natrio. </w:t>
      </w:r>
    </w:p>
    <w:p w14:paraId="2B574D58" w14:textId="77777777" w:rsidR="004451DE" w:rsidRPr="005E49A1" w:rsidRDefault="004451DE" w:rsidP="004451DE">
      <w:pPr>
        <w:autoSpaceDE w:val="0"/>
        <w:autoSpaceDN w:val="0"/>
        <w:adjustRightInd w:val="0"/>
        <w:rPr>
          <w:b/>
          <w:szCs w:val="22"/>
        </w:rPr>
      </w:pPr>
    </w:p>
    <w:p w14:paraId="03D20A90" w14:textId="77777777" w:rsidR="00302C06" w:rsidRPr="005E49A1" w:rsidRDefault="00302C06" w:rsidP="00302C06">
      <w:pPr>
        <w:tabs>
          <w:tab w:val="left" w:pos="567"/>
        </w:tabs>
        <w:ind w:left="567" w:hanging="567"/>
        <w:outlineLvl w:val="0"/>
        <w:rPr>
          <w:noProof/>
          <w:szCs w:val="22"/>
        </w:rPr>
      </w:pPr>
      <w:r w:rsidRPr="005E49A1">
        <w:rPr>
          <w:b/>
          <w:noProof/>
          <w:szCs w:val="22"/>
        </w:rPr>
        <w:t>4.5</w:t>
      </w:r>
      <w:r w:rsidRPr="005E49A1">
        <w:rPr>
          <w:b/>
          <w:noProof/>
          <w:szCs w:val="22"/>
        </w:rPr>
        <w:tab/>
      </w:r>
      <w:r w:rsidRPr="005E49A1">
        <w:rPr>
          <w:b/>
          <w:szCs w:val="22"/>
        </w:rPr>
        <w:t>Sąveika su kitais vaistiniais preparatais ir kitokia sąveika</w:t>
      </w:r>
    </w:p>
    <w:p w14:paraId="2BEBDFAD" w14:textId="77777777" w:rsidR="00302C06" w:rsidRPr="00444E1A" w:rsidRDefault="00302C06" w:rsidP="00302C06">
      <w:pPr>
        <w:tabs>
          <w:tab w:val="left" w:pos="567"/>
        </w:tabs>
        <w:rPr>
          <w:szCs w:val="22"/>
        </w:rPr>
      </w:pPr>
    </w:p>
    <w:p w14:paraId="12F0AD84" w14:textId="77777777" w:rsidR="00302C06" w:rsidRPr="005E49A1" w:rsidRDefault="00302C06" w:rsidP="00302C06">
      <w:pPr>
        <w:rPr>
          <w:i/>
          <w:u w:val="single"/>
        </w:rPr>
      </w:pPr>
      <w:r w:rsidRPr="005E49A1">
        <w:rPr>
          <w:i/>
          <w:u w:val="single"/>
        </w:rPr>
        <w:t>Vaistinio preparato sąveika su maistu</w:t>
      </w:r>
    </w:p>
    <w:p w14:paraId="363D673D" w14:textId="77777777" w:rsidR="00302C06" w:rsidRPr="005E49A1" w:rsidRDefault="00302C06" w:rsidP="00302C06">
      <w:pPr>
        <w:tabs>
          <w:tab w:val="left" w:pos="567"/>
        </w:tabs>
        <w:rPr>
          <w:szCs w:val="22"/>
        </w:rPr>
      </w:pPr>
      <w:r w:rsidRPr="005E49A1">
        <w:rPr>
          <w:color w:val="000000"/>
          <w:spacing w:val="-3"/>
          <w:szCs w:val="22"/>
        </w:rPr>
        <w:t>Maistas dažniausiai sumažina išgertos ibandrono rūgšties biologinį pasisavinimą.</w:t>
      </w:r>
      <w:r w:rsidRPr="00444E1A">
        <w:rPr>
          <w:szCs w:val="22"/>
        </w:rPr>
        <w:t xml:space="preserve"> </w:t>
      </w:r>
      <w:r w:rsidRPr="005E49A1">
        <w:rPr>
          <w:color w:val="000000"/>
          <w:spacing w:val="-3"/>
          <w:szCs w:val="22"/>
        </w:rPr>
        <w:t>Ypač produktai, kuriuose yra kalcio, tarp jų ir pieno ir kitų daugiavalenčių katijonų (tokių, kaip aliuminio, magnio, geležies katijonai), blogina ibandrono rūgšties absorbciją. Tai patvirtina tyrimų su gyvūnais duomenys.</w:t>
      </w:r>
      <w:r w:rsidRPr="005E49A1">
        <w:rPr>
          <w:szCs w:val="22"/>
        </w:rPr>
        <w:t xml:space="preserve"> </w:t>
      </w:r>
      <w:r w:rsidRPr="005E49A1">
        <w:rPr>
          <w:color w:val="000000"/>
          <w:spacing w:val="-3"/>
          <w:szCs w:val="22"/>
        </w:rPr>
        <w:t xml:space="preserve">Vadinasi, pacientai turi gerti ibandrono rūgštį ryte, prieš tai naktį nevalgę (bent 6 valandas) ir išgėrę ibandrono rūgšties dozę nevalgyti dar 1 valandą (žr. 4.2 </w:t>
      </w:r>
      <w:r w:rsidRPr="005E49A1">
        <w:rPr>
          <w:color w:val="000000"/>
          <w:spacing w:val="-4"/>
          <w:szCs w:val="22"/>
        </w:rPr>
        <w:t>skyrių).</w:t>
      </w:r>
      <w:r w:rsidRPr="005E49A1">
        <w:rPr>
          <w:szCs w:val="22"/>
        </w:rPr>
        <w:t xml:space="preserve"> </w:t>
      </w:r>
    </w:p>
    <w:p w14:paraId="6CAE512B" w14:textId="77777777" w:rsidR="00302C06" w:rsidRPr="005E49A1" w:rsidRDefault="00302C06" w:rsidP="00302C06">
      <w:pPr>
        <w:tabs>
          <w:tab w:val="left" w:pos="567"/>
        </w:tabs>
        <w:rPr>
          <w:szCs w:val="22"/>
        </w:rPr>
      </w:pPr>
    </w:p>
    <w:p w14:paraId="766CDFCB" w14:textId="77777777" w:rsidR="00302C06" w:rsidRPr="005E49A1" w:rsidRDefault="00302C06" w:rsidP="00302C06">
      <w:pPr>
        <w:rPr>
          <w:i/>
          <w:u w:val="single"/>
        </w:rPr>
      </w:pPr>
      <w:r w:rsidRPr="005E49A1">
        <w:rPr>
          <w:i/>
          <w:u w:val="single"/>
        </w:rPr>
        <w:t>Sąveika su kitais vaistiniais preparatais</w:t>
      </w:r>
    </w:p>
    <w:p w14:paraId="49D274A5" w14:textId="77777777" w:rsidR="00302C06" w:rsidRPr="005E49A1" w:rsidRDefault="00302C06" w:rsidP="00302C06">
      <w:r w:rsidRPr="005E49A1">
        <w:t>Manoma, kad metabolinės sąveikos neturėtų būti, kadangi ibandrono rūgštis neslopina pagrindinių žmogaus kepenų P450 izofermentų ir nesužadina žiurkių kepenų citochromo P450 sistemos fermentų (žr. 5.2 skyrių). Ibandrono rūgštis pašalinama tik ekskrecijos per inkstus būdu, jos biotransformacija nevyksta.</w:t>
      </w:r>
    </w:p>
    <w:p w14:paraId="29D1A832" w14:textId="77777777" w:rsidR="00302C06" w:rsidRPr="005E49A1" w:rsidRDefault="00302C06" w:rsidP="00302C06">
      <w:pPr>
        <w:tabs>
          <w:tab w:val="left" w:pos="567"/>
        </w:tabs>
        <w:rPr>
          <w:szCs w:val="22"/>
        </w:rPr>
      </w:pPr>
    </w:p>
    <w:p w14:paraId="6B2E603A" w14:textId="77777777" w:rsidR="00302C06" w:rsidRPr="005E49A1" w:rsidRDefault="00302C06" w:rsidP="00302C06">
      <w:pPr>
        <w:tabs>
          <w:tab w:val="left" w:pos="567"/>
        </w:tabs>
        <w:rPr>
          <w:color w:val="000000"/>
          <w:spacing w:val="-3"/>
          <w:szCs w:val="22"/>
          <w:u w:val="single"/>
        </w:rPr>
      </w:pPr>
      <w:r w:rsidRPr="005E49A1">
        <w:rPr>
          <w:color w:val="000000"/>
          <w:spacing w:val="-3"/>
          <w:szCs w:val="22"/>
          <w:u w:val="single"/>
        </w:rPr>
        <w:t>Kalcio papildai, antacidiniai vaistai ir kai kurie geriamieji medicininiai produktai, kuriuose yra daugiavalenčių katijonų</w:t>
      </w:r>
    </w:p>
    <w:p w14:paraId="6D2E77A5" w14:textId="77777777" w:rsidR="00302C06" w:rsidRPr="005E49A1" w:rsidRDefault="00302C06" w:rsidP="00302C06">
      <w:pPr>
        <w:tabs>
          <w:tab w:val="left" w:pos="567"/>
        </w:tabs>
        <w:rPr>
          <w:szCs w:val="22"/>
        </w:rPr>
      </w:pPr>
      <w:r w:rsidRPr="005E49A1">
        <w:rPr>
          <w:color w:val="000000"/>
          <w:spacing w:val="-3"/>
          <w:szCs w:val="22"/>
        </w:rPr>
        <w:t xml:space="preserve">Kalcio papildai, antacidiniai vaistai ir kai kurie geriamieji medicininiai produktai, kuriuose yra daugiavalenčių katijonų (tokių, kaip aliuminio, magnio, geležies katijonai), tikriausiai blogina </w:t>
      </w:r>
      <w:r w:rsidRPr="005E49A1">
        <w:rPr>
          <w:szCs w:val="22"/>
        </w:rPr>
        <w:t>BAXOGAR</w:t>
      </w:r>
      <w:r w:rsidRPr="005E49A1">
        <w:rPr>
          <w:color w:val="000000"/>
          <w:szCs w:val="22"/>
          <w:lang w:eastAsia="lt-LT"/>
        </w:rPr>
        <w:t xml:space="preserve"> </w:t>
      </w:r>
      <w:r w:rsidRPr="005E49A1">
        <w:rPr>
          <w:color w:val="000000"/>
          <w:spacing w:val="-3"/>
          <w:szCs w:val="22"/>
        </w:rPr>
        <w:t>absorbciją.</w:t>
      </w:r>
      <w:r w:rsidRPr="005E49A1">
        <w:rPr>
          <w:szCs w:val="22"/>
        </w:rPr>
        <w:t xml:space="preserve"> </w:t>
      </w:r>
      <w:r w:rsidRPr="005E49A1">
        <w:rPr>
          <w:color w:val="000000"/>
          <w:spacing w:val="-3"/>
          <w:szCs w:val="22"/>
        </w:rPr>
        <w:t xml:space="preserve">Vadinasi, pacientai turėtų nevartoti kitų geriamųjų medicininių produktų bent 6 valandas iki </w:t>
      </w:r>
      <w:r w:rsidRPr="005E49A1">
        <w:rPr>
          <w:szCs w:val="22"/>
        </w:rPr>
        <w:t>ibandrono rūgšties</w:t>
      </w:r>
      <w:r w:rsidRPr="005E49A1">
        <w:rPr>
          <w:color w:val="000000"/>
          <w:szCs w:val="22"/>
          <w:lang w:eastAsia="lt-LT"/>
        </w:rPr>
        <w:t xml:space="preserve"> </w:t>
      </w:r>
      <w:r w:rsidRPr="005E49A1">
        <w:rPr>
          <w:color w:val="000000"/>
          <w:spacing w:val="-3"/>
          <w:szCs w:val="22"/>
        </w:rPr>
        <w:t xml:space="preserve">vartojimo </w:t>
      </w:r>
      <w:r w:rsidRPr="005E49A1">
        <w:rPr>
          <w:color w:val="000000"/>
          <w:spacing w:val="-4"/>
          <w:szCs w:val="22"/>
        </w:rPr>
        <w:t>ir dar 1 valandą po šios rūgšties suvartojimo.</w:t>
      </w:r>
      <w:r w:rsidRPr="005E49A1">
        <w:rPr>
          <w:szCs w:val="22"/>
        </w:rPr>
        <w:t xml:space="preserve"> </w:t>
      </w:r>
    </w:p>
    <w:p w14:paraId="2AB0E868" w14:textId="77777777" w:rsidR="00302C06" w:rsidRPr="005E49A1" w:rsidRDefault="00302C06" w:rsidP="00302C06">
      <w:pPr>
        <w:tabs>
          <w:tab w:val="left" w:pos="567"/>
        </w:tabs>
        <w:rPr>
          <w:szCs w:val="22"/>
        </w:rPr>
      </w:pPr>
    </w:p>
    <w:p w14:paraId="5FD0B42C" w14:textId="77777777" w:rsidR="00302C06" w:rsidRPr="005E49A1" w:rsidRDefault="00302C06" w:rsidP="00302C06">
      <w:pPr>
        <w:tabs>
          <w:tab w:val="left" w:pos="567"/>
        </w:tabs>
        <w:rPr>
          <w:szCs w:val="22"/>
        </w:rPr>
      </w:pPr>
    </w:p>
    <w:p w14:paraId="649CE661" w14:textId="77777777" w:rsidR="00302C06" w:rsidRPr="005E49A1" w:rsidRDefault="00302C06" w:rsidP="00302C06">
      <w:pPr>
        <w:rPr>
          <w:u w:val="single"/>
        </w:rPr>
      </w:pPr>
      <w:r w:rsidRPr="005E49A1">
        <w:rPr>
          <w:u w:val="single"/>
        </w:rPr>
        <w:t>Acetilsalicilo rūgštis ir NVNU</w:t>
      </w:r>
    </w:p>
    <w:p w14:paraId="723F14BE" w14:textId="77777777" w:rsidR="00302C06" w:rsidRPr="005E49A1" w:rsidRDefault="00302C06" w:rsidP="00302C06">
      <w:r w:rsidRPr="005E49A1">
        <w:t>Kadangi acetilsalicilo rūgštis, nesteroidiniai vaistiniai preparatai nuo uždegimo ir bisfosfonatai susiję su virškinimo trakto dirginimu, reikia imtis atsargumo priemonių juos vartojant kartu (žr. 4.4 skyrių).</w:t>
      </w:r>
    </w:p>
    <w:p w14:paraId="4E147DAF" w14:textId="77777777" w:rsidR="00302C06" w:rsidRPr="005E49A1" w:rsidRDefault="00302C06" w:rsidP="00302C06">
      <w:pPr>
        <w:tabs>
          <w:tab w:val="left" w:pos="567"/>
        </w:tabs>
        <w:rPr>
          <w:szCs w:val="22"/>
        </w:rPr>
      </w:pPr>
    </w:p>
    <w:p w14:paraId="03267154" w14:textId="77777777" w:rsidR="00302C06" w:rsidRPr="005E49A1" w:rsidRDefault="00302C06" w:rsidP="00302C06">
      <w:pPr>
        <w:tabs>
          <w:tab w:val="left" w:pos="567"/>
        </w:tabs>
        <w:rPr>
          <w:color w:val="000000"/>
          <w:spacing w:val="-3"/>
          <w:szCs w:val="22"/>
        </w:rPr>
      </w:pPr>
      <w:r w:rsidRPr="005E49A1">
        <w:t>H2 receptorių blokatoriai ar protonų siurblio inhibitoriai</w:t>
      </w:r>
    </w:p>
    <w:p w14:paraId="74D65351" w14:textId="77777777" w:rsidR="00302C06" w:rsidRPr="005E49A1" w:rsidRDefault="00302C06" w:rsidP="00302C06">
      <w:pPr>
        <w:tabs>
          <w:tab w:val="left" w:pos="567"/>
        </w:tabs>
        <w:rPr>
          <w:szCs w:val="22"/>
        </w:rPr>
      </w:pPr>
      <w:r w:rsidRPr="005E49A1">
        <w:rPr>
          <w:color w:val="000000"/>
          <w:spacing w:val="-3"/>
          <w:szCs w:val="22"/>
        </w:rPr>
        <w:t>Iš 1500 pacienčių, dalyvavusių BM 16549 tyrime, kurio metu buvo lyginamas ibandrono rūgšties dozavimas kartą per mėnesį ir kartą per parą, 14% ir 18% vartojo histamino (H2), blokatorius ar protonų siurblio inhibitorius atitinkamai po vienerių ir dvejų metų.</w:t>
      </w:r>
      <w:r w:rsidRPr="005E49A1">
        <w:rPr>
          <w:szCs w:val="22"/>
        </w:rPr>
        <w:t xml:space="preserve"> </w:t>
      </w:r>
      <w:r w:rsidRPr="005E49A1">
        <w:rPr>
          <w:color w:val="000000"/>
          <w:spacing w:val="-3"/>
          <w:szCs w:val="22"/>
        </w:rPr>
        <w:t xml:space="preserve">Šioms pacientėms viršutinio virškinimo trakto aukšto sutrikimų dažnis pacientėms, kurios buvo gydomos kartą per mėnesį vartojama 150 mg ibandrono </w:t>
      </w:r>
      <w:r w:rsidRPr="005E49A1">
        <w:rPr>
          <w:color w:val="000000"/>
          <w:spacing w:val="-3"/>
          <w:szCs w:val="22"/>
        </w:rPr>
        <w:lastRenderedPageBreak/>
        <w:t>rūgšties doze, ir toms, kurios kartą per parą vartojo 2,5 mg ibandrono rūgšties, viršutinės virškinimo trakto dalies sutrikimų dažnis buvo panašus.</w:t>
      </w:r>
    </w:p>
    <w:p w14:paraId="5D474648" w14:textId="77777777" w:rsidR="00302C06" w:rsidRPr="005E49A1" w:rsidRDefault="00302C06" w:rsidP="00302C06">
      <w:pPr>
        <w:tabs>
          <w:tab w:val="left" w:pos="567"/>
        </w:tabs>
        <w:rPr>
          <w:szCs w:val="22"/>
        </w:rPr>
      </w:pPr>
    </w:p>
    <w:p w14:paraId="126032AB" w14:textId="77777777" w:rsidR="00302C06" w:rsidRPr="005E49A1" w:rsidRDefault="00302C06" w:rsidP="00302C06">
      <w:pPr>
        <w:tabs>
          <w:tab w:val="left" w:pos="567"/>
        </w:tabs>
        <w:rPr>
          <w:szCs w:val="22"/>
        </w:rPr>
      </w:pPr>
      <w:r w:rsidRPr="005E49A1">
        <w:rPr>
          <w:szCs w:val="22"/>
        </w:rPr>
        <w:t xml:space="preserve">Sušvirkštus ranitidino į veną sveikiems savanoriams vyrams ir moterims po menopauzės, biologinis </w:t>
      </w:r>
      <w:r w:rsidRPr="005E49A1">
        <w:rPr>
          <w:color w:val="000000"/>
          <w:spacing w:val="-3"/>
          <w:szCs w:val="22"/>
        </w:rPr>
        <w:t>ibandrono rūgšties</w:t>
      </w:r>
      <w:r w:rsidRPr="005E49A1">
        <w:rPr>
          <w:szCs w:val="22"/>
        </w:rPr>
        <w:t xml:space="preserve"> prieinamumas padidėjo maždaug 20%, tikriausiai dėl sumažėjusio skrandžio sulčių rūgštingumo. </w:t>
      </w:r>
      <w:r w:rsidRPr="005E49A1">
        <w:rPr>
          <w:color w:val="000000"/>
          <w:spacing w:val="-3"/>
          <w:szCs w:val="22"/>
        </w:rPr>
        <w:t xml:space="preserve">Vis dėlto, šis padidėjimas patenka į normalių </w:t>
      </w:r>
      <w:r w:rsidRPr="005E49A1">
        <w:rPr>
          <w:szCs w:val="22"/>
        </w:rPr>
        <w:t xml:space="preserve">biologinio </w:t>
      </w:r>
      <w:r w:rsidRPr="005E49A1">
        <w:rPr>
          <w:color w:val="000000"/>
          <w:spacing w:val="-3"/>
          <w:szCs w:val="22"/>
        </w:rPr>
        <w:t>ibandrono rūgšties</w:t>
      </w:r>
      <w:r w:rsidRPr="005E49A1">
        <w:rPr>
          <w:szCs w:val="22"/>
        </w:rPr>
        <w:t xml:space="preserve"> prieinamumo reikšmių kintamumo diapazoną</w:t>
      </w:r>
      <w:r w:rsidRPr="005E49A1">
        <w:rPr>
          <w:color w:val="000000"/>
          <w:spacing w:val="-3"/>
          <w:szCs w:val="22"/>
        </w:rPr>
        <w:t xml:space="preserve">, todėl manoma, kad </w:t>
      </w:r>
      <w:r w:rsidRPr="005E49A1">
        <w:rPr>
          <w:szCs w:val="22"/>
        </w:rPr>
        <w:t>BAXOGAR</w:t>
      </w:r>
      <w:r w:rsidRPr="005E49A1">
        <w:rPr>
          <w:color w:val="000000"/>
          <w:spacing w:val="-3"/>
          <w:szCs w:val="22"/>
        </w:rPr>
        <w:t xml:space="preserve"> vartojant kartu su H</w:t>
      </w:r>
      <w:r w:rsidRPr="005E49A1">
        <w:rPr>
          <w:color w:val="000000"/>
          <w:spacing w:val="-3"/>
          <w:szCs w:val="22"/>
          <w:vertAlign w:val="subscript"/>
        </w:rPr>
        <w:t>2</w:t>
      </w:r>
      <w:r w:rsidRPr="005E49A1">
        <w:rPr>
          <w:color w:val="000000"/>
          <w:spacing w:val="-3"/>
          <w:szCs w:val="22"/>
        </w:rPr>
        <w:t xml:space="preserve"> antagonistais ar su kitomis aktyviomis medžiagomis, kuris didina skrandžio pH, </w:t>
      </w:r>
      <w:r w:rsidRPr="005E49A1">
        <w:rPr>
          <w:color w:val="000000"/>
          <w:spacing w:val="-4"/>
          <w:szCs w:val="22"/>
        </w:rPr>
        <w:t>dozės keisti nereikia.</w:t>
      </w:r>
      <w:r w:rsidRPr="005E49A1">
        <w:rPr>
          <w:szCs w:val="22"/>
        </w:rPr>
        <w:t xml:space="preserve"> </w:t>
      </w:r>
    </w:p>
    <w:p w14:paraId="0F847CED" w14:textId="77777777" w:rsidR="00302C06" w:rsidRPr="005E49A1" w:rsidRDefault="00302C06" w:rsidP="00302C06">
      <w:pPr>
        <w:tabs>
          <w:tab w:val="left" w:pos="567"/>
        </w:tabs>
        <w:rPr>
          <w:szCs w:val="22"/>
        </w:rPr>
      </w:pPr>
    </w:p>
    <w:p w14:paraId="68B9496A" w14:textId="77777777" w:rsidR="00302C06" w:rsidRPr="005E49A1" w:rsidRDefault="00302C06" w:rsidP="00302C06">
      <w:pPr>
        <w:tabs>
          <w:tab w:val="left" w:pos="567"/>
        </w:tabs>
        <w:ind w:left="567" w:hanging="567"/>
        <w:outlineLvl w:val="0"/>
        <w:rPr>
          <w:noProof/>
          <w:szCs w:val="22"/>
        </w:rPr>
      </w:pPr>
      <w:r w:rsidRPr="005E49A1">
        <w:rPr>
          <w:b/>
          <w:noProof/>
          <w:szCs w:val="22"/>
        </w:rPr>
        <w:t>4.6</w:t>
      </w:r>
      <w:r w:rsidRPr="005E49A1">
        <w:rPr>
          <w:b/>
          <w:noProof/>
          <w:szCs w:val="22"/>
        </w:rPr>
        <w:tab/>
      </w:r>
      <w:r w:rsidRPr="005E49A1">
        <w:rPr>
          <w:b/>
          <w:szCs w:val="22"/>
        </w:rPr>
        <w:t>Vaisingumas, nėštumo ir žindymo laikotarpis</w:t>
      </w:r>
    </w:p>
    <w:p w14:paraId="274265FD" w14:textId="77777777" w:rsidR="00302C06" w:rsidRPr="005E49A1" w:rsidRDefault="00302C06" w:rsidP="00302C06">
      <w:pPr>
        <w:tabs>
          <w:tab w:val="left" w:pos="567"/>
        </w:tabs>
        <w:rPr>
          <w:szCs w:val="22"/>
        </w:rPr>
      </w:pPr>
    </w:p>
    <w:p w14:paraId="394F65C4" w14:textId="77777777" w:rsidR="00302C06" w:rsidRPr="005E49A1" w:rsidRDefault="00302C06" w:rsidP="00302C06">
      <w:pPr>
        <w:autoSpaceDE w:val="0"/>
        <w:autoSpaceDN w:val="0"/>
        <w:adjustRightInd w:val="0"/>
        <w:rPr>
          <w:color w:val="000000"/>
          <w:szCs w:val="22"/>
          <w:u w:val="single"/>
          <w:lang w:eastAsia="lt-LT"/>
        </w:rPr>
      </w:pPr>
      <w:r w:rsidRPr="005E49A1">
        <w:rPr>
          <w:color w:val="000000"/>
          <w:szCs w:val="22"/>
          <w:u w:val="single"/>
          <w:lang w:eastAsia="lt-LT"/>
        </w:rPr>
        <w:t xml:space="preserve">Nėštumas </w:t>
      </w:r>
    </w:p>
    <w:p w14:paraId="35FFD54A" w14:textId="77777777" w:rsidR="00302C06" w:rsidRPr="005E49A1" w:rsidRDefault="00302C06" w:rsidP="00302C06">
      <w:pPr>
        <w:rPr>
          <w:color w:val="000000"/>
          <w:szCs w:val="22"/>
          <w:lang w:eastAsia="lt-LT"/>
        </w:rPr>
      </w:pPr>
      <w:r w:rsidRPr="005E49A1">
        <w:rPr>
          <w:color w:val="000000"/>
          <w:szCs w:val="22"/>
          <w:lang w:eastAsia="lt-LT"/>
        </w:rPr>
        <w:t xml:space="preserve">BAXOGAR </w:t>
      </w:r>
      <w:r w:rsidRPr="005E49A1">
        <w:t>yra skirtas tik moterims po menopauzės gydyti ir neturi būti skiriamas vaisingo amžiaus moterims.</w:t>
      </w:r>
    </w:p>
    <w:p w14:paraId="32A63D7E" w14:textId="77777777" w:rsidR="00302C06" w:rsidRPr="005E49A1" w:rsidRDefault="00302C06" w:rsidP="00302C06">
      <w:pPr>
        <w:autoSpaceDE w:val="0"/>
        <w:autoSpaceDN w:val="0"/>
        <w:adjustRightInd w:val="0"/>
        <w:rPr>
          <w:color w:val="000000"/>
          <w:szCs w:val="22"/>
          <w:lang w:eastAsia="lt-LT"/>
        </w:rPr>
      </w:pPr>
      <w:r w:rsidRPr="005E49A1">
        <w:rPr>
          <w:color w:val="000000"/>
          <w:szCs w:val="22"/>
          <w:lang w:eastAsia="lt-LT"/>
        </w:rPr>
        <w:t xml:space="preserve">Duomenų apie ibandrono rūgšties vartojimą nėštumo metu nepakanka. Tyrimai su žiurkėmis parodė toksinį poveikį reprodukcijai (žr. 5.3 skyrių). Galima rizika žmogui nežinoma. </w:t>
      </w:r>
    </w:p>
    <w:p w14:paraId="2E91DACC" w14:textId="77777777" w:rsidR="00302C06" w:rsidRPr="005E49A1" w:rsidRDefault="00302C06" w:rsidP="00302C06">
      <w:pPr>
        <w:autoSpaceDE w:val="0"/>
        <w:autoSpaceDN w:val="0"/>
        <w:adjustRightInd w:val="0"/>
        <w:rPr>
          <w:color w:val="000000"/>
          <w:szCs w:val="22"/>
          <w:lang w:eastAsia="lt-LT"/>
        </w:rPr>
      </w:pPr>
      <w:r w:rsidRPr="005E49A1">
        <w:rPr>
          <w:szCs w:val="22"/>
        </w:rPr>
        <w:t>BAXOGAR</w:t>
      </w:r>
      <w:r w:rsidRPr="005E49A1">
        <w:rPr>
          <w:color w:val="000000"/>
          <w:szCs w:val="22"/>
          <w:lang w:eastAsia="lt-LT"/>
        </w:rPr>
        <w:t xml:space="preserve"> nėščios moterys turėtų nevartoti. </w:t>
      </w:r>
    </w:p>
    <w:p w14:paraId="2C839DA6" w14:textId="77777777" w:rsidR="00302C06" w:rsidRPr="005E49A1" w:rsidRDefault="00302C06" w:rsidP="00302C06">
      <w:pPr>
        <w:autoSpaceDE w:val="0"/>
        <w:autoSpaceDN w:val="0"/>
        <w:adjustRightInd w:val="0"/>
        <w:rPr>
          <w:color w:val="000000"/>
          <w:szCs w:val="22"/>
          <w:lang w:eastAsia="lt-LT"/>
        </w:rPr>
      </w:pPr>
    </w:p>
    <w:p w14:paraId="5043C577" w14:textId="77777777" w:rsidR="00302C06" w:rsidRPr="005E49A1" w:rsidRDefault="00302C06" w:rsidP="00302C06">
      <w:pPr>
        <w:autoSpaceDE w:val="0"/>
        <w:autoSpaceDN w:val="0"/>
        <w:adjustRightInd w:val="0"/>
        <w:rPr>
          <w:color w:val="000000"/>
          <w:szCs w:val="22"/>
          <w:u w:val="single"/>
          <w:lang w:eastAsia="lt-LT"/>
        </w:rPr>
      </w:pPr>
      <w:r w:rsidRPr="005E49A1">
        <w:rPr>
          <w:color w:val="000000"/>
          <w:szCs w:val="22"/>
          <w:u w:val="single"/>
          <w:lang w:eastAsia="lt-LT"/>
        </w:rPr>
        <w:t xml:space="preserve">Žindymas </w:t>
      </w:r>
    </w:p>
    <w:p w14:paraId="52FB501A" w14:textId="77777777" w:rsidR="00302C06" w:rsidRPr="005E49A1" w:rsidRDefault="00302C06" w:rsidP="00302C06">
      <w:pPr>
        <w:autoSpaceDE w:val="0"/>
        <w:autoSpaceDN w:val="0"/>
        <w:adjustRightInd w:val="0"/>
        <w:rPr>
          <w:color w:val="000000"/>
          <w:szCs w:val="22"/>
          <w:lang w:eastAsia="lt-LT"/>
        </w:rPr>
      </w:pPr>
      <w:r w:rsidRPr="005E49A1">
        <w:rPr>
          <w:color w:val="000000"/>
          <w:szCs w:val="22"/>
          <w:lang w:eastAsia="lt-LT"/>
        </w:rPr>
        <w:t xml:space="preserve">Nežinoma, ar ibandrono rūgštis išsiskiria su moters pienu. Turimai su jauniklius maitinančioms žiurkių patelėmis įrodė, kad su pienu išskiriamas nedidelis į veną suleistos ibandrono rūgšties kiekis. </w:t>
      </w:r>
    </w:p>
    <w:p w14:paraId="0E3CE88A" w14:textId="77777777" w:rsidR="00302C06" w:rsidRPr="00444E1A" w:rsidRDefault="00302C06" w:rsidP="00302C06">
      <w:pPr>
        <w:tabs>
          <w:tab w:val="left" w:pos="567"/>
        </w:tabs>
        <w:rPr>
          <w:szCs w:val="22"/>
        </w:rPr>
      </w:pPr>
      <w:r w:rsidRPr="005E49A1">
        <w:rPr>
          <w:szCs w:val="22"/>
        </w:rPr>
        <w:t>BAXOGAR</w:t>
      </w:r>
      <w:r w:rsidRPr="005E49A1">
        <w:rPr>
          <w:color w:val="000000"/>
          <w:szCs w:val="22"/>
          <w:lang w:eastAsia="lt-LT"/>
        </w:rPr>
        <w:t xml:space="preserve"> žindyvės turėtų nevartoti. </w:t>
      </w:r>
    </w:p>
    <w:p w14:paraId="51B1A99C" w14:textId="77777777" w:rsidR="00302C06" w:rsidRPr="00444E1A" w:rsidRDefault="00302C06" w:rsidP="00302C06">
      <w:pPr>
        <w:tabs>
          <w:tab w:val="left" w:pos="567"/>
        </w:tabs>
        <w:rPr>
          <w:szCs w:val="22"/>
        </w:rPr>
      </w:pPr>
    </w:p>
    <w:p w14:paraId="27C49758" w14:textId="77777777" w:rsidR="00302C06" w:rsidRPr="005E49A1" w:rsidRDefault="00302C06" w:rsidP="00302C06">
      <w:pPr>
        <w:keepNext/>
        <w:keepLines/>
        <w:overflowPunct w:val="0"/>
        <w:autoSpaceDE w:val="0"/>
        <w:autoSpaceDN w:val="0"/>
        <w:adjustRightInd w:val="0"/>
        <w:rPr>
          <w:color w:val="000000"/>
          <w:u w:val="single"/>
        </w:rPr>
      </w:pPr>
      <w:r w:rsidRPr="005E49A1">
        <w:rPr>
          <w:color w:val="000000"/>
          <w:u w:val="single"/>
        </w:rPr>
        <w:t>Vaisingumas</w:t>
      </w:r>
    </w:p>
    <w:p w14:paraId="3BEEE45C" w14:textId="77777777" w:rsidR="00302C06" w:rsidRPr="005E49A1" w:rsidRDefault="00302C06" w:rsidP="00302C06">
      <w:pPr>
        <w:keepNext/>
        <w:keepLines/>
        <w:overflowPunct w:val="0"/>
        <w:autoSpaceDE w:val="0"/>
        <w:autoSpaceDN w:val="0"/>
        <w:adjustRightInd w:val="0"/>
        <w:rPr>
          <w:color w:val="000000"/>
        </w:rPr>
      </w:pPr>
      <w:r w:rsidRPr="005E49A1">
        <w:rPr>
          <w:color w:val="000000"/>
        </w:rPr>
        <w:t>Duomenų apie ibandrono rūgšties poveikius žmonėms nėra. Poveikio žiurkių reprodukcijai tyrimų metu geriamoji ibandrono rūgštis vaisingumą sumažino. Tyrimų su žiurkėmis metu suleistos į veną didelės ibandrono rūgšties paros dozės vaisingumą sumažino (žr. 5.3 skyrių).</w:t>
      </w:r>
    </w:p>
    <w:p w14:paraId="56BB6BA5" w14:textId="77777777" w:rsidR="00302C06" w:rsidRPr="005E49A1" w:rsidRDefault="00302C06" w:rsidP="00302C06">
      <w:pPr>
        <w:tabs>
          <w:tab w:val="left" w:pos="567"/>
        </w:tabs>
        <w:rPr>
          <w:szCs w:val="22"/>
        </w:rPr>
      </w:pPr>
    </w:p>
    <w:p w14:paraId="6F1D8B0E" w14:textId="77777777" w:rsidR="00302C06" w:rsidRPr="005E49A1" w:rsidRDefault="00302C06" w:rsidP="00302C06">
      <w:pPr>
        <w:tabs>
          <w:tab w:val="left" w:pos="567"/>
        </w:tabs>
        <w:ind w:left="567" w:hanging="567"/>
        <w:outlineLvl w:val="0"/>
        <w:rPr>
          <w:noProof/>
          <w:szCs w:val="22"/>
        </w:rPr>
      </w:pPr>
      <w:r w:rsidRPr="005E49A1">
        <w:rPr>
          <w:b/>
          <w:noProof/>
          <w:szCs w:val="22"/>
        </w:rPr>
        <w:t>4.7</w:t>
      </w:r>
      <w:r w:rsidRPr="005E49A1">
        <w:rPr>
          <w:b/>
          <w:noProof/>
          <w:szCs w:val="22"/>
        </w:rPr>
        <w:tab/>
      </w:r>
      <w:r w:rsidRPr="005E49A1">
        <w:rPr>
          <w:b/>
          <w:szCs w:val="22"/>
        </w:rPr>
        <w:t>Poveikis gebėjimui vairuoti ir valdyti mechanizmus</w:t>
      </w:r>
    </w:p>
    <w:p w14:paraId="5B6C8A6D" w14:textId="77777777" w:rsidR="00302C06" w:rsidRPr="005E49A1" w:rsidRDefault="00302C06" w:rsidP="00302C06">
      <w:pPr>
        <w:tabs>
          <w:tab w:val="left" w:pos="567"/>
        </w:tabs>
        <w:rPr>
          <w:noProof/>
          <w:szCs w:val="22"/>
        </w:rPr>
      </w:pPr>
    </w:p>
    <w:p w14:paraId="6E0758A1" w14:textId="77777777" w:rsidR="00302C06" w:rsidRPr="005E49A1" w:rsidRDefault="00302C06" w:rsidP="00302C06">
      <w:r w:rsidRPr="005E49A1">
        <w:rPr>
          <w:noProof/>
        </w:rPr>
        <w:t xml:space="preserve">Remiantis farmakodinamika ir farmakokinetika bei pastebėtomis nepageidaujamomis reakcijomis manoma, kad BAXOGAR </w:t>
      </w:r>
      <w:r w:rsidRPr="005E49A1">
        <w:t>gebėjimo vairuoti ir valdyti mechanizmus neveikia arba veikia nereikšmingai</w:t>
      </w:r>
      <w:r w:rsidRPr="005E49A1">
        <w:rPr>
          <w:noProof/>
        </w:rPr>
        <w:t>.</w:t>
      </w:r>
    </w:p>
    <w:p w14:paraId="2ADFFAF2" w14:textId="77777777" w:rsidR="00302C06" w:rsidRPr="005E49A1" w:rsidRDefault="00302C06" w:rsidP="00302C06">
      <w:pPr>
        <w:tabs>
          <w:tab w:val="left" w:pos="567"/>
        </w:tabs>
        <w:rPr>
          <w:szCs w:val="22"/>
        </w:rPr>
      </w:pPr>
    </w:p>
    <w:p w14:paraId="6DAAE376" w14:textId="77777777" w:rsidR="00302C06" w:rsidRPr="005E49A1" w:rsidRDefault="00302C06" w:rsidP="00302C06">
      <w:pPr>
        <w:numPr>
          <w:ilvl w:val="1"/>
          <w:numId w:val="9"/>
        </w:numPr>
        <w:tabs>
          <w:tab w:val="clear" w:pos="570"/>
          <w:tab w:val="left" w:pos="567"/>
        </w:tabs>
        <w:outlineLvl w:val="0"/>
        <w:rPr>
          <w:b/>
          <w:noProof/>
          <w:szCs w:val="22"/>
        </w:rPr>
      </w:pPr>
      <w:r w:rsidRPr="005E49A1">
        <w:rPr>
          <w:b/>
          <w:szCs w:val="22"/>
        </w:rPr>
        <w:t>Nepageidaujamas poveikis</w:t>
      </w:r>
    </w:p>
    <w:p w14:paraId="4FE525FE" w14:textId="77777777" w:rsidR="00302C06" w:rsidRPr="005E49A1" w:rsidRDefault="00302C06" w:rsidP="00302C06">
      <w:pPr>
        <w:tabs>
          <w:tab w:val="left" w:pos="567"/>
        </w:tabs>
        <w:outlineLvl w:val="0"/>
        <w:rPr>
          <w:b/>
          <w:noProof/>
          <w:szCs w:val="22"/>
        </w:rPr>
      </w:pPr>
    </w:p>
    <w:p w14:paraId="24EF727E" w14:textId="77777777" w:rsidR="00302C06" w:rsidRPr="005E49A1" w:rsidRDefault="00302C06" w:rsidP="00302C06">
      <w:pPr>
        <w:keepNext/>
        <w:keepLines/>
        <w:rPr>
          <w:u w:val="single"/>
        </w:rPr>
      </w:pPr>
      <w:r w:rsidRPr="005E49A1">
        <w:rPr>
          <w:u w:val="single"/>
        </w:rPr>
        <w:t>Saugumo duomenų santrauka</w:t>
      </w:r>
    </w:p>
    <w:p w14:paraId="110810DC" w14:textId="77777777" w:rsidR="00302C06" w:rsidRPr="005E49A1" w:rsidRDefault="00302C06" w:rsidP="00302C06">
      <w:pPr>
        <w:rPr>
          <w:szCs w:val="22"/>
          <w:u w:val="single"/>
        </w:rPr>
      </w:pPr>
      <w:r w:rsidRPr="005E49A1">
        <w:t>Sunkiausios nepageidaujamos reakcijos yra anafilaksinė reakcija ar šokas, atipiniai šlaunikaulio lūžiai, žandikaulio osteonekrozė, virškinimo trakto dirginimas, akių uždegimas (žiūrėkite paragrafą „</w:t>
      </w:r>
      <w:r w:rsidRPr="005E49A1">
        <w:rPr>
          <w:szCs w:val="22"/>
        </w:rPr>
        <w:t>Atrinktų nepageidaujamų reakcijų apibūdinimas” ir 4.4 skyrių).</w:t>
      </w:r>
    </w:p>
    <w:p w14:paraId="7D7B8D87" w14:textId="77777777" w:rsidR="00302C06" w:rsidRPr="005E49A1" w:rsidRDefault="00302C06" w:rsidP="00302C06">
      <w:pPr>
        <w:tabs>
          <w:tab w:val="left" w:pos="567"/>
        </w:tabs>
        <w:rPr>
          <w:szCs w:val="22"/>
        </w:rPr>
      </w:pPr>
      <w:r w:rsidRPr="005E49A1">
        <w:t xml:space="preserve">Dažniausiai pastebėtos nepageidaujamos reakcijos buvo sąnarių skausmas bei į gripą panašūs simptomai. Šie simptomai paprastai būna susiję su pirmąja doze, </w:t>
      </w:r>
      <w:r w:rsidRPr="005E49A1">
        <w:rPr>
          <w:szCs w:val="22"/>
        </w:rPr>
        <w:t>trunka neilgai, yra nesunkūs ar vidutinio sunkumo, toliau vartojant preparatą paprastai praeina savaime be gydymo vaistais (žiūrėkite paragrafą „Į gripą panaši liga“).</w:t>
      </w:r>
    </w:p>
    <w:p w14:paraId="07F16A6F" w14:textId="77777777" w:rsidR="00302C06" w:rsidRPr="005E49A1" w:rsidRDefault="00302C06" w:rsidP="00302C06">
      <w:pPr>
        <w:tabs>
          <w:tab w:val="left" w:pos="567"/>
        </w:tabs>
        <w:rPr>
          <w:color w:val="000000"/>
          <w:spacing w:val="-3"/>
          <w:szCs w:val="22"/>
        </w:rPr>
      </w:pPr>
    </w:p>
    <w:p w14:paraId="538CD780" w14:textId="77777777" w:rsidR="00302C06" w:rsidRPr="005E49A1" w:rsidRDefault="00302C06" w:rsidP="00302C06">
      <w:pPr>
        <w:keepNext/>
        <w:keepLines/>
        <w:rPr>
          <w:u w:val="single"/>
        </w:rPr>
      </w:pPr>
      <w:r w:rsidRPr="005E49A1">
        <w:rPr>
          <w:szCs w:val="22"/>
          <w:u w:val="single"/>
        </w:rPr>
        <w:t>Nepageidaujamų reakcijų santrauka lentelėje</w:t>
      </w:r>
    </w:p>
    <w:p w14:paraId="01BD37E7" w14:textId="451A2CAB" w:rsidR="00052F44" w:rsidRDefault="00302C06" w:rsidP="00302C06">
      <w:pPr>
        <w:tabs>
          <w:tab w:val="left" w:pos="567"/>
        </w:tabs>
        <w:rPr>
          <w:color w:val="000000"/>
          <w:spacing w:val="-3"/>
          <w:szCs w:val="22"/>
        </w:rPr>
      </w:pPr>
      <w:r w:rsidRPr="005E49A1">
        <w:t xml:space="preserve">Visų žinomų nepageidaujamų reakcijų sąrašas yra pateiktas 1-oje lentelėje. </w:t>
      </w:r>
      <w:r w:rsidRPr="005E49A1">
        <w:rPr>
          <w:color w:val="000000"/>
          <w:spacing w:val="-3"/>
          <w:szCs w:val="22"/>
        </w:rPr>
        <w:t xml:space="preserve">Geriamosios ibandrono rūgšties 2,5 mg per parą saugumas buvo vertinamas pagal 1251 pacientės, vartojusios preparatą keturių placebu kontroliuojamų klinikinių tyrimų, metu, duomenis; didžioji dauguma pacienčių dalyvavo pagrindiniame trejų metų </w:t>
      </w:r>
      <w:r w:rsidR="00052F44">
        <w:rPr>
          <w:color w:val="000000"/>
          <w:spacing w:val="-3"/>
          <w:szCs w:val="22"/>
        </w:rPr>
        <w:t>lūžių</w:t>
      </w:r>
      <w:r w:rsidR="00052F44" w:rsidRPr="005E49A1">
        <w:rPr>
          <w:color w:val="000000"/>
          <w:spacing w:val="-3"/>
          <w:szCs w:val="22"/>
        </w:rPr>
        <w:t xml:space="preserve"> </w:t>
      </w:r>
      <w:r w:rsidRPr="005E49A1">
        <w:rPr>
          <w:color w:val="000000"/>
          <w:spacing w:val="-3"/>
          <w:szCs w:val="22"/>
        </w:rPr>
        <w:t>tyrime (MF 4411).</w:t>
      </w:r>
    </w:p>
    <w:p w14:paraId="5D3425A9" w14:textId="531638D6" w:rsidR="00302C06" w:rsidRPr="005E49A1" w:rsidRDefault="00302C06" w:rsidP="00302C06">
      <w:pPr>
        <w:tabs>
          <w:tab w:val="left" w:pos="567"/>
        </w:tabs>
        <w:rPr>
          <w:noProof/>
          <w:szCs w:val="22"/>
        </w:rPr>
      </w:pPr>
      <w:r w:rsidRPr="005E49A1">
        <w:rPr>
          <w:color w:val="000000"/>
          <w:spacing w:val="-3"/>
          <w:szCs w:val="22"/>
        </w:rPr>
        <w:t xml:space="preserve"> </w:t>
      </w:r>
    </w:p>
    <w:p w14:paraId="3495AE45" w14:textId="77777777" w:rsidR="00302C06" w:rsidRPr="005E49A1" w:rsidRDefault="00302C06" w:rsidP="00302C06">
      <w:pPr>
        <w:tabs>
          <w:tab w:val="left" w:pos="567"/>
        </w:tabs>
        <w:rPr>
          <w:noProof/>
          <w:szCs w:val="22"/>
        </w:rPr>
      </w:pPr>
      <w:r w:rsidRPr="005E49A1">
        <w:rPr>
          <w:color w:val="000000"/>
          <w:spacing w:val="-3"/>
          <w:szCs w:val="22"/>
        </w:rPr>
        <w:t>Dvejų metų trukmės osteoporoze sergančių moterų po menopauzės tyrimo (BM 16549) metu 150 mg ibandrono rūgšties, vartojamos kartą per mėnesį, ir 2,5 mg ibandrono rūgšties, vartojamos kartą per parą bendrasis saugumas buvo panašus.</w:t>
      </w:r>
      <w:r w:rsidRPr="005E49A1">
        <w:rPr>
          <w:noProof/>
          <w:szCs w:val="22"/>
        </w:rPr>
        <w:t xml:space="preserve"> </w:t>
      </w:r>
      <w:r w:rsidRPr="005E49A1">
        <w:rPr>
          <w:color w:val="000000"/>
          <w:spacing w:val="-3"/>
          <w:szCs w:val="22"/>
        </w:rPr>
        <w:t>Bendra pacienčių, kurioms pasireiškė nepageidaujama reakcija, dalis vartojančių 150 mg ibandrono rūgšties paros dozę kartą per mėnesį grupėje po vienerių ir dvejų metų buvo atitinkamai 22,7 % ir 25 %.</w:t>
      </w:r>
      <w:r w:rsidRPr="005E49A1">
        <w:rPr>
          <w:noProof/>
          <w:szCs w:val="22"/>
        </w:rPr>
        <w:t xml:space="preserve"> </w:t>
      </w:r>
      <w:r w:rsidRPr="005E49A1">
        <w:rPr>
          <w:color w:val="000000"/>
          <w:spacing w:val="-3"/>
          <w:szCs w:val="22"/>
        </w:rPr>
        <w:t xml:space="preserve">Daugeliu atvejų </w:t>
      </w:r>
      <w:r w:rsidRPr="005E49A1">
        <w:rPr>
          <w:color w:val="000000"/>
          <w:spacing w:val="-4"/>
          <w:szCs w:val="22"/>
        </w:rPr>
        <w:t>gydymo nutraukti nereikėjo.</w:t>
      </w:r>
      <w:r w:rsidRPr="005E49A1">
        <w:rPr>
          <w:noProof/>
          <w:szCs w:val="22"/>
        </w:rPr>
        <w:t xml:space="preserve"> </w:t>
      </w:r>
    </w:p>
    <w:p w14:paraId="6D4B59CA" w14:textId="77777777" w:rsidR="00302C06" w:rsidRPr="005E49A1" w:rsidRDefault="00302C06" w:rsidP="00302C06">
      <w:pPr>
        <w:tabs>
          <w:tab w:val="left" w:pos="567"/>
        </w:tabs>
        <w:rPr>
          <w:noProof/>
          <w:szCs w:val="22"/>
        </w:rPr>
      </w:pPr>
    </w:p>
    <w:p w14:paraId="7EC09A95" w14:textId="5A7260A2" w:rsidR="00302C06" w:rsidRPr="005E49A1" w:rsidRDefault="009F6655" w:rsidP="00302C06">
      <w:pPr>
        <w:keepNext/>
        <w:keepLines/>
        <w:autoSpaceDE w:val="0"/>
        <w:autoSpaceDN w:val="0"/>
        <w:adjustRightInd w:val="0"/>
        <w:rPr>
          <w:szCs w:val="22"/>
        </w:rPr>
      </w:pPr>
      <w:r>
        <w:rPr>
          <w:color w:val="000000"/>
          <w:szCs w:val="22"/>
        </w:rPr>
        <w:lastRenderedPageBreak/>
        <w:t xml:space="preserve">Nepageidaujamos reakcijos yra išvardytos pagal MedDRA organų sistemų klases ir dažnį. </w:t>
      </w:r>
      <w:r w:rsidR="00302C06" w:rsidRPr="005E49A1">
        <w:rPr>
          <w:snapToGrid w:val="0"/>
          <w:szCs w:val="22"/>
        </w:rPr>
        <w:t xml:space="preserve">Nepageidaujamo poveikio </w:t>
      </w:r>
      <w:r w:rsidR="00302C06" w:rsidRPr="005E49A1">
        <w:rPr>
          <w:snapToGrid w:val="0"/>
        </w:rPr>
        <w:t>dažnis apibūdinamas taip: labai dažnas (≥ 1/10), dažnas (nuo ≥ 1/100 iki &lt; 1/10), nedažnas (nuo ≥ 1/1000 iki &lt; 1/100), retas (nuo ≥ 1/10000 iki &lt; 1/1000), labai retas (&lt; 1/10000) ir nežinomas (negali būti apskaičiuotas pagal turimus duomenis).</w:t>
      </w:r>
      <w:r w:rsidR="00302C06" w:rsidRPr="005E49A1">
        <w:rPr>
          <w:szCs w:val="22"/>
        </w:rPr>
        <w:t xml:space="preserve"> Kiekvienoje dažnio grupėje nepageidaujamos reakcijos išdėstytos mažėjančio sunkumo tvarka.</w:t>
      </w:r>
    </w:p>
    <w:p w14:paraId="3DF73E3D" w14:textId="77777777" w:rsidR="00302C06" w:rsidRPr="005E49A1" w:rsidRDefault="00302C06" w:rsidP="00302C06">
      <w:pPr>
        <w:pStyle w:val="Normal11pt"/>
        <w:spacing w:line="240" w:lineRule="auto"/>
        <w:rPr>
          <w:lang w:val="lt-LT"/>
        </w:rPr>
      </w:pPr>
      <w:r w:rsidRPr="005E49A1">
        <w:rPr>
          <w:lang w:val="lt-LT"/>
        </w:rPr>
        <w:t>1 lentelė. Nepageidaujamos reakcijos, pasireiškusios III fazės BM 16549 ir MF 4411 tyrimų metu moterims po menopauzės, kurios vartojo 150 mg ibandrono rūgšties</w:t>
      </w:r>
      <w:r w:rsidRPr="005E49A1">
        <w:rPr>
          <w:color w:val="000000"/>
          <w:lang w:val="lt-LT" w:eastAsia="lt-LT"/>
        </w:rPr>
        <w:t xml:space="preserve"> </w:t>
      </w:r>
      <w:r w:rsidRPr="005E49A1">
        <w:rPr>
          <w:lang w:val="lt-LT"/>
        </w:rPr>
        <w:t xml:space="preserve">kartą per mėnesį arba kasdien gėrė 2,5 mg ibandrono rūgšties </w:t>
      </w:r>
      <w:r w:rsidRPr="005E49A1">
        <w:rPr>
          <w:rFonts w:ascii="Times New Roman" w:hAnsi="Times New Roman"/>
          <w:lang w:val="lt-LT"/>
        </w:rPr>
        <w:t>ir nustatytos ir patirties, sukauptos po vaisto patekimo į rinką</w:t>
      </w:r>
      <w:r w:rsidRPr="005E49A1">
        <w:rPr>
          <w:lang w:val="lt-LT"/>
        </w:rPr>
        <w:t xml:space="preserve">. </w:t>
      </w:r>
    </w:p>
    <w:p w14:paraId="511B8A98" w14:textId="77777777" w:rsidR="00302C06" w:rsidRPr="005E49A1" w:rsidRDefault="00302C06" w:rsidP="00302C06">
      <w:pPr>
        <w:pStyle w:val="Normal11pt"/>
        <w:spacing w:line="240" w:lineRule="auto"/>
        <w:rPr>
          <w:lang w:val="lt-LT"/>
        </w:rPr>
      </w:pPr>
    </w:p>
    <w:tbl>
      <w:tblPr>
        <w:tblW w:w="9142"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22"/>
        <w:gridCol w:w="1980"/>
        <w:gridCol w:w="1440"/>
        <w:gridCol w:w="1980"/>
        <w:gridCol w:w="1620"/>
      </w:tblGrid>
      <w:tr w:rsidR="00302C06" w:rsidRPr="005E49A1" w14:paraId="55E4F9D6" w14:textId="77777777" w:rsidTr="009818C1">
        <w:trPr>
          <w:tblHeader/>
        </w:trPr>
        <w:tc>
          <w:tcPr>
            <w:tcW w:w="2122" w:type="dxa"/>
            <w:tcBorders>
              <w:top w:val="single" w:sz="4" w:space="0" w:color="auto"/>
              <w:bottom w:val="single" w:sz="4" w:space="0" w:color="auto"/>
              <w:right w:val="single" w:sz="4" w:space="0" w:color="auto"/>
            </w:tcBorders>
          </w:tcPr>
          <w:p w14:paraId="28A0BA4B" w14:textId="77777777" w:rsidR="00302C06" w:rsidRPr="005E49A1" w:rsidRDefault="00302C06" w:rsidP="00794B16">
            <w:pPr>
              <w:jc w:val="center"/>
              <w:rPr>
                <w:b/>
                <w:szCs w:val="22"/>
              </w:rPr>
            </w:pPr>
            <w:r w:rsidRPr="005E49A1">
              <w:rPr>
                <w:b/>
                <w:szCs w:val="22"/>
              </w:rPr>
              <w:t>Organų sistemų klasės</w:t>
            </w:r>
          </w:p>
        </w:tc>
        <w:tc>
          <w:tcPr>
            <w:tcW w:w="1980" w:type="dxa"/>
            <w:tcBorders>
              <w:top w:val="single" w:sz="4" w:space="0" w:color="auto"/>
              <w:left w:val="single" w:sz="4" w:space="0" w:color="auto"/>
              <w:bottom w:val="single" w:sz="4" w:space="0" w:color="auto"/>
              <w:right w:val="single" w:sz="4" w:space="0" w:color="auto"/>
            </w:tcBorders>
          </w:tcPr>
          <w:p w14:paraId="39179741" w14:textId="77777777" w:rsidR="00302C06" w:rsidRPr="005E49A1" w:rsidRDefault="00302C06" w:rsidP="00794B16">
            <w:pPr>
              <w:jc w:val="center"/>
              <w:rPr>
                <w:b/>
                <w:szCs w:val="22"/>
              </w:rPr>
            </w:pPr>
            <w:r w:rsidRPr="005E49A1">
              <w:rPr>
                <w:b/>
                <w:szCs w:val="22"/>
              </w:rPr>
              <w:t>Dažnas</w:t>
            </w:r>
          </w:p>
        </w:tc>
        <w:tc>
          <w:tcPr>
            <w:tcW w:w="1440" w:type="dxa"/>
            <w:tcBorders>
              <w:top w:val="single" w:sz="4" w:space="0" w:color="auto"/>
              <w:left w:val="single" w:sz="4" w:space="0" w:color="auto"/>
              <w:bottom w:val="single" w:sz="4" w:space="0" w:color="auto"/>
              <w:right w:val="single" w:sz="4" w:space="0" w:color="auto"/>
            </w:tcBorders>
          </w:tcPr>
          <w:p w14:paraId="59126171" w14:textId="77777777" w:rsidR="00302C06" w:rsidRPr="005E49A1" w:rsidRDefault="00302C06" w:rsidP="00794B16">
            <w:pPr>
              <w:jc w:val="center"/>
              <w:rPr>
                <w:b/>
                <w:szCs w:val="22"/>
              </w:rPr>
            </w:pPr>
            <w:r w:rsidRPr="005E49A1">
              <w:rPr>
                <w:b/>
                <w:szCs w:val="22"/>
              </w:rPr>
              <w:t>Nedažnas</w:t>
            </w:r>
          </w:p>
        </w:tc>
        <w:tc>
          <w:tcPr>
            <w:tcW w:w="1980" w:type="dxa"/>
            <w:tcBorders>
              <w:top w:val="single" w:sz="4" w:space="0" w:color="auto"/>
              <w:left w:val="single" w:sz="4" w:space="0" w:color="auto"/>
              <w:bottom w:val="single" w:sz="4" w:space="0" w:color="auto"/>
              <w:right w:val="single" w:sz="4" w:space="0" w:color="auto"/>
            </w:tcBorders>
          </w:tcPr>
          <w:p w14:paraId="31311B2C" w14:textId="77777777" w:rsidR="00302C06" w:rsidRPr="005E49A1" w:rsidRDefault="00302C06" w:rsidP="00794B16">
            <w:pPr>
              <w:jc w:val="center"/>
              <w:rPr>
                <w:b/>
                <w:szCs w:val="22"/>
              </w:rPr>
            </w:pPr>
            <w:r w:rsidRPr="005E49A1">
              <w:rPr>
                <w:b/>
                <w:szCs w:val="22"/>
              </w:rPr>
              <w:t>Retas</w:t>
            </w:r>
          </w:p>
        </w:tc>
        <w:tc>
          <w:tcPr>
            <w:tcW w:w="1620" w:type="dxa"/>
            <w:tcBorders>
              <w:top w:val="single" w:sz="4" w:space="0" w:color="auto"/>
              <w:left w:val="single" w:sz="4" w:space="0" w:color="auto"/>
              <w:bottom w:val="single" w:sz="4" w:space="0" w:color="auto"/>
              <w:right w:val="single" w:sz="4" w:space="0" w:color="auto"/>
            </w:tcBorders>
          </w:tcPr>
          <w:p w14:paraId="43EC28C6" w14:textId="77777777" w:rsidR="00302C06" w:rsidRPr="005E49A1" w:rsidRDefault="00302C06" w:rsidP="00794B16">
            <w:pPr>
              <w:jc w:val="center"/>
              <w:rPr>
                <w:b/>
                <w:szCs w:val="22"/>
              </w:rPr>
            </w:pPr>
            <w:r w:rsidRPr="005E49A1">
              <w:rPr>
                <w:b/>
                <w:szCs w:val="22"/>
              </w:rPr>
              <w:t>Labai retas</w:t>
            </w:r>
          </w:p>
        </w:tc>
      </w:tr>
      <w:tr w:rsidR="00302C06" w:rsidRPr="005E49A1" w14:paraId="46B79B2E" w14:textId="77777777" w:rsidTr="009818C1">
        <w:tc>
          <w:tcPr>
            <w:tcW w:w="2122" w:type="dxa"/>
            <w:tcBorders>
              <w:top w:val="single" w:sz="4" w:space="0" w:color="auto"/>
              <w:bottom w:val="single" w:sz="4" w:space="0" w:color="auto"/>
              <w:right w:val="single" w:sz="4" w:space="0" w:color="auto"/>
            </w:tcBorders>
          </w:tcPr>
          <w:p w14:paraId="4C5172A3" w14:textId="77777777" w:rsidR="00302C06" w:rsidRPr="005E49A1" w:rsidRDefault="00302C06" w:rsidP="00794B16">
            <w:pPr>
              <w:rPr>
                <w:szCs w:val="22"/>
              </w:rPr>
            </w:pPr>
            <w:r w:rsidRPr="005E49A1">
              <w:rPr>
                <w:noProof/>
              </w:rPr>
              <w:t xml:space="preserve">Imuninės sistemos sutrikimai </w:t>
            </w:r>
          </w:p>
        </w:tc>
        <w:tc>
          <w:tcPr>
            <w:tcW w:w="1980" w:type="dxa"/>
            <w:tcBorders>
              <w:top w:val="single" w:sz="4" w:space="0" w:color="auto"/>
              <w:left w:val="single" w:sz="4" w:space="0" w:color="auto"/>
              <w:bottom w:val="single" w:sz="4" w:space="0" w:color="auto"/>
              <w:right w:val="single" w:sz="4" w:space="0" w:color="auto"/>
            </w:tcBorders>
          </w:tcPr>
          <w:p w14:paraId="6BA7C6A2" w14:textId="77777777" w:rsidR="00302C06" w:rsidRPr="005E49A1" w:rsidRDefault="00302C06" w:rsidP="00794B16">
            <w:pPr>
              <w:rPr>
                <w:szCs w:val="22"/>
              </w:rPr>
            </w:pPr>
          </w:p>
        </w:tc>
        <w:tc>
          <w:tcPr>
            <w:tcW w:w="1440" w:type="dxa"/>
            <w:tcBorders>
              <w:top w:val="single" w:sz="4" w:space="0" w:color="auto"/>
              <w:left w:val="single" w:sz="4" w:space="0" w:color="auto"/>
              <w:bottom w:val="single" w:sz="4" w:space="0" w:color="auto"/>
              <w:right w:val="single" w:sz="4" w:space="0" w:color="auto"/>
            </w:tcBorders>
          </w:tcPr>
          <w:p w14:paraId="1E7C1284" w14:textId="77777777" w:rsidR="00302C06" w:rsidRPr="005E49A1" w:rsidRDefault="00302C06" w:rsidP="00794B16">
            <w:pPr>
              <w:rPr>
                <w:szCs w:val="22"/>
              </w:rPr>
            </w:pPr>
            <w:r w:rsidRPr="005E49A1">
              <w:rPr>
                <w:szCs w:val="22"/>
              </w:rPr>
              <w:t>Astmos paūmėjimas</w:t>
            </w:r>
          </w:p>
        </w:tc>
        <w:tc>
          <w:tcPr>
            <w:tcW w:w="1980" w:type="dxa"/>
            <w:tcBorders>
              <w:top w:val="single" w:sz="4" w:space="0" w:color="auto"/>
              <w:left w:val="single" w:sz="4" w:space="0" w:color="auto"/>
              <w:bottom w:val="single" w:sz="4" w:space="0" w:color="auto"/>
              <w:right w:val="single" w:sz="4" w:space="0" w:color="auto"/>
            </w:tcBorders>
          </w:tcPr>
          <w:p w14:paraId="18DF0788" w14:textId="77777777" w:rsidR="00302C06" w:rsidRPr="005E49A1" w:rsidRDefault="00302C06" w:rsidP="00794B16">
            <w:pPr>
              <w:rPr>
                <w:szCs w:val="22"/>
              </w:rPr>
            </w:pPr>
            <w:r w:rsidRPr="005E49A1">
              <w:rPr>
                <w:szCs w:val="22"/>
              </w:rPr>
              <w:t>Padidėjusio jautrumo reakcija</w:t>
            </w:r>
          </w:p>
        </w:tc>
        <w:tc>
          <w:tcPr>
            <w:tcW w:w="1620" w:type="dxa"/>
            <w:tcBorders>
              <w:top w:val="single" w:sz="4" w:space="0" w:color="auto"/>
              <w:left w:val="single" w:sz="4" w:space="0" w:color="auto"/>
              <w:bottom w:val="single" w:sz="4" w:space="0" w:color="auto"/>
              <w:right w:val="single" w:sz="4" w:space="0" w:color="auto"/>
            </w:tcBorders>
          </w:tcPr>
          <w:p w14:paraId="3F309B03" w14:textId="77777777" w:rsidR="00302C06" w:rsidRPr="005E49A1" w:rsidRDefault="00302C06" w:rsidP="00794B16">
            <w:pPr>
              <w:rPr>
                <w:szCs w:val="22"/>
              </w:rPr>
            </w:pPr>
            <w:r w:rsidRPr="005E49A1">
              <w:rPr>
                <w:szCs w:val="22"/>
              </w:rPr>
              <w:t>Anafilaksinė reakcija ar šokas</w:t>
            </w:r>
            <w:r w:rsidRPr="00444E1A">
              <w:rPr>
                <w:sz w:val="20"/>
              </w:rPr>
              <w:t>*†</w:t>
            </w:r>
          </w:p>
        </w:tc>
      </w:tr>
      <w:tr w:rsidR="00302C06" w:rsidRPr="005E49A1" w14:paraId="1E4920F2" w14:textId="77777777" w:rsidTr="009818C1">
        <w:tc>
          <w:tcPr>
            <w:tcW w:w="2122" w:type="dxa"/>
            <w:tcBorders>
              <w:top w:val="single" w:sz="4" w:space="0" w:color="auto"/>
              <w:bottom w:val="single" w:sz="4" w:space="0" w:color="auto"/>
              <w:right w:val="single" w:sz="4" w:space="0" w:color="auto"/>
            </w:tcBorders>
          </w:tcPr>
          <w:p w14:paraId="0CC90C6E" w14:textId="77777777" w:rsidR="00302C06" w:rsidRPr="005E49A1" w:rsidRDefault="00302C06" w:rsidP="00794B16">
            <w:pPr>
              <w:rPr>
                <w:szCs w:val="22"/>
              </w:rPr>
            </w:pPr>
            <w:r w:rsidRPr="005E49A1">
              <w:rPr>
                <w:noProof/>
              </w:rPr>
              <w:t xml:space="preserve">Nervų sistemos sutrikimai </w:t>
            </w:r>
          </w:p>
        </w:tc>
        <w:tc>
          <w:tcPr>
            <w:tcW w:w="1980" w:type="dxa"/>
            <w:tcBorders>
              <w:top w:val="single" w:sz="4" w:space="0" w:color="auto"/>
              <w:left w:val="single" w:sz="4" w:space="0" w:color="auto"/>
              <w:bottom w:val="single" w:sz="4" w:space="0" w:color="auto"/>
              <w:right w:val="single" w:sz="4" w:space="0" w:color="auto"/>
            </w:tcBorders>
          </w:tcPr>
          <w:p w14:paraId="17EE8DD6" w14:textId="77777777" w:rsidR="00302C06" w:rsidRPr="005E49A1" w:rsidRDefault="00302C06" w:rsidP="00794B16">
            <w:pPr>
              <w:rPr>
                <w:szCs w:val="22"/>
              </w:rPr>
            </w:pPr>
            <w:r w:rsidRPr="005E49A1">
              <w:rPr>
                <w:szCs w:val="22"/>
              </w:rPr>
              <w:t>Galvos skausmas</w:t>
            </w:r>
          </w:p>
        </w:tc>
        <w:tc>
          <w:tcPr>
            <w:tcW w:w="1440" w:type="dxa"/>
            <w:tcBorders>
              <w:top w:val="single" w:sz="4" w:space="0" w:color="auto"/>
              <w:left w:val="single" w:sz="4" w:space="0" w:color="auto"/>
              <w:bottom w:val="single" w:sz="4" w:space="0" w:color="auto"/>
              <w:right w:val="single" w:sz="4" w:space="0" w:color="auto"/>
            </w:tcBorders>
          </w:tcPr>
          <w:p w14:paraId="35C41539" w14:textId="77777777" w:rsidR="00302C06" w:rsidRPr="005E49A1" w:rsidRDefault="00302C06" w:rsidP="00794B16">
            <w:pPr>
              <w:rPr>
                <w:szCs w:val="22"/>
              </w:rPr>
            </w:pPr>
            <w:r w:rsidRPr="005E49A1">
              <w:rPr>
                <w:szCs w:val="22"/>
              </w:rPr>
              <w:t>Galvos sukimasis</w:t>
            </w:r>
          </w:p>
        </w:tc>
        <w:tc>
          <w:tcPr>
            <w:tcW w:w="1980" w:type="dxa"/>
            <w:tcBorders>
              <w:top w:val="single" w:sz="4" w:space="0" w:color="auto"/>
              <w:left w:val="single" w:sz="4" w:space="0" w:color="auto"/>
              <w:bottom w:val="single" w:sz="4" w:space="0" w:color="auto"/>
              <w:right w:val="single" w:sz="4" w:space="0" w:color="auto"/>
            </w:tcBorders>
          </w:tcPr>
          <w:p w14:paraId="3E6EF450" w14:textId="77777777" w:rsidR="00302C06" w:rsidRPr="005E49A1" w:rsidRDefault="00302C06" w:rsidP="00794B16">
            <w:pPr>
              <w:rPr>
                <w:szCs w:val="22"/>
              </w:rPr>
            </w:pPr>
          </w:p>
        </w:tc>
        <w:tc>
          <w:tcPr>
            <w:tcW w:w="1620" w:type="dxa"/>
            <w:tcBorders>
              <w:top w:val="single" w:sz="4" w:space="0" w:color="auto"/>
              <w:left w:val="single" w:sz="4" w:space="0" w:color="auto"/>
              <w:bottom w:val="single" w:sz="4" w:space="0" w:color="auto"/>
              <w:right w:val="single" w:sz="4" w:space="0" w:color="auto"/>
            </w:tcBorders>
          </w:tcPr>
          <w:p w14:paraId="419F7B47" w14:textId="77777777" w:rsidR="00302C06" w:rsidRPr="005E49A1" w:rsidRDefault="00302C06" w:rsidP="00794B16">
            <w:pPr>
              <w:rPr>
                <w:szCs w:val="22"/>
              </w:rPr>
            </w:pPr>
          </w:p>
        </w:tc>
      </w:tr>
      <w:tr w:rsidR="00302C06" w:rsidRPr="005E49A1" w14:paraId="600D3C2C" w14:textId="77777777" w:rsidTr="009818C1">
        <w:tc>
          <w:tcPr>
            <w:tcW w:w="2122" w:type="dxa"/>
            <w:tcBorders>
              <w:top w:val="single" w:sz="4" w:space="0" w:color="auto"/>
              <w:bottom w:val="single" w:sz="4" w:space="0" w:color="auto"/>
              <w:right w:val="single" w:sz="4" w:space="0" w:color="auto"/>
            </w:tcBorders>
          </w:tcPr>
          <w:p w14:paraId="7681A8B2" w14:textId="77777777" w:rsidR="00302C06" w:rsidRPr="005E49A1" w:rsidRDefault="00302C06" w:rsidP="00794B16">
            <w:pPr>
              <w:rPr>
                <w:szCs w:val="22"/>
              </w:rPr>
            </w:pPr>
            <w:r w:rsidRPr="005E49A1">
              <w:rPr>
                <w:szCs w:val="22"/>
              </w:rPr>
              <w:t>Akių sutrikimai</w:t>
            </w:r>
          </w:p>
        </w:tc>
        <w:tc>
          <w:tcPr>
            <w:tcW w:w="1980" w:type="dxa"/>
            <w:tcBorders>
              <w:top w:val="single" w:sz="4" w:space="0" w:color="auto"/>
              <w:left w:val="single" w:sz="4" w:space="0" w:color="auto"/>
              <w:bottom w:val="single" w:sz="4" w:space="0" w:color="auto"/>
              <w:right w:val="single" w:sz="4" w:space="0" w:color="auto"/>
            </w:tcBorders>
          </w:tcPr>
          <w:p w14:paraId="6731AB20" w14:textId="77777777" w:rsidR="00302C06" w:rsidRPr="005E49A1" w:rsidRDefault="00302C06" w:rsidP="00794B16">
            <w:pPr>
              <w:rPr>
                <w:szCs w:val="22"/>
              </w:rPr>
            </w:pPr>
          </w:p>
        </w:tc>
        <w:tc>
          <w:tcPr>
            <w:tcW w:w="1440" w:type="dxa"/>
            <w:tcBorders>
              <w:top w:val="single" w:sz="4" w:space="0" w:color="auto"/>
              <w:left w:val="single" w:sz="4" w:space="0" w:color="auto"/>
              <w:bottom w:val="single" w:sz="4" w:space="0" w:color="auto"/>
              <w:right w:val="single" w:sz="4" w:space="0" w:color="auto"/>
            </w:tcBorders>
          </w:tcPr>
          <w:p w14:paraId="777ECB34" w14:textId="77777777" w:rsidR="00302C06" w:rsidRPr="005E49A1" w:rsidRDefault="00302C06" w:rsidP="00794B16">
            <w:pPr>
              <w:rPr>
                <w:szCs w:val="22"/>
              </w:rPr>
            </w:pPr>
          </w:p>
        </w:tc>
        <w:tc>
          <w:tcPr>
            <w:tcW w:w="1980" w:type="dxa"/>
            <w:tcBorders>
              <w:top w:val="single" w:sz="4" w:space="0" w:color="auto"/>
              <w:left w:val="single" w:sz="4" w:space="0" w:color="auto"/>
              <w:bottom w:val="single" w:sz="4" w:space="0" w:color="auto"/>
              <w:right w:val="single" w:sz="4" w:space="0" w:color="auto"/>
            </w:tcBorders>
          </w:tcPr>
          <w:p w14:paraId="56468F43" w14:textId="77777777" w:rsidR="00302C06" w:rsidRPr="005E49A1" w:rsidRDefault="00302C06" w:rsidP="00794B16">
            <w:pPr>
              <w:rPr>
                <w:szCs w:val="22"/>
              </w:rPr>
            </w:pPr>
            <w:r w:rsidRPr="005E49A1">
              <w:rPr>
                <w:szCs w:val="22"/>
              </w:rPr>
              <w:t>Akių uždegimas*</w:t>
            </w:r>
            <w:r w:rsidRPr="005E49A1">
              <w:t>†</w:t>
            </w:r>
          </w:p>
        </w:tc>
        <w:tc>
          <w:tcPr>
            <w:tcW w:w="1620" w:type="dxa"/>
            <w:tcBorders>
              <w:top w:val="single" w:sz="4" w:space="0" w:color="auto"/>
              <w:left w:val="single" w:sz="4" w:space="0" w:color="auto"/>
              <w:bottom w:val="single" w:sz="4" w:space="0" w:color="auto"/>
              <w:right w:val="single" w:sz="4" w:space="0" w:color="auto"/>
            </w:tcBorders>
          </w:tcPr>
          <w:p w14:paraId="6BF2E377" w14:textId="77777777" w:rsidR="00302C06" w:rsidRPr="005E49A1" w:rsidRDefault="00302C06" w:rsidP="00794B16">
            <w:pPr>
              <w:rPr>
                <w:szCs w:val="22"/>
              </w:rPr>
            </w:pPr>
          </w:p>
        </w:tc>
      </w:tr>
      <w:tr w:rsidR="00302C06" w:rsidRPr="005E49A1" w14:paraId="11E2D7D2" w14:textId="77777777" w:rsidTr="009818C1">
        <w:tc>
          <w:tcPr>
            <w:tcW w:w="2122" w:type="dxa"/>
            <w:tcBorders>
              <w:top w:val="single" w:sz="4" w:space="0" w:color="auto"/>
              <w:bottom w:val="single" w:sz="4" w:space="0" w:color="auto"/>
              <w:right w:val="single" w:sz="4" w:space="0" w:color="auto"/>
            </w:tcBorders>
          </w:tcPr>
          <w:p w14:paraId="76CA4C35" w14:textId="77777777" w:rsidR="00302C06" w:rsidRPr="005E49A1" w:rsidRDefault="00302C06" w:rsidP="00794B16">
            <w:pPr>
              <w:rPr>
                <w:szCs w:val="22"/>
              </w:rPr>
            </w:pPr>
            <w:r w:rsidRPr="005E49A1">
              <w:rPr>
                <w:szCs w:val="22"/>
              </w:rPr>
              <w:t>Virškinimo trakto sutrikimai*</w:t>
            </w:r>
          </w:p>
        </w:tc>
        <w:tc>
          <w:tcPr>
            <w:tcW w:w="1980" w:type="dxa"/>
            <w:tcBorders>
              <w:top w:val="single" w:sz="4" w:space="0" w:color="auto"/>
              <w:left w:val="single" w:sz="4" w:space="0" w:color="auto"/>
              <w:bottom w:val="single" w:sz="4" w:space="0" w:color="auto"/>
              <w:right w:val="single" w:sz="4" w:space="0" w:color="auto"/>
            </w:tcBorders>
          </w:tcPr>
          <w:p w14:paraId="49DA807E" w14:textId="77777777" w:rsidR="00302C06" w:rsidRPr="005E49A1" w:rsidRDefault="00302C06" w:rsidP="00794B16">
            <w:pPr>
              <w:rPr>
                <w:szCs w:val="22"/>
              </w:rPr>
            </w:pPr>
            <w:r w:rsidRPr="005E49A1">
              <w:rPr>
                <w:szCs w:val="22"/>
              </w:rPr>
              <w:t xml:space="preserve">Stemplės uždegimas, </w:t>
            </w:r>
            <w:r w:rsidRPr="005E49A1">
              <w:t>s</w:t>
            </w:r>
            <w:r w:rsidRPr="005E49A1">
              <w:rPr>
                <w:szCs w:val="22"/>
              </w:rPr>
              <w:t>krandžio uždegimas,</w:t>
            </w:r>
          </w:p>
          <w:p w14:paraId="5E8049B3" w14:textId="77777777" w:rsidR="00302C06" w:rsidRPr="005E49A1" w:rsidRDefault="00302C06" w:rsidP="00794B16">
            <w:r w:rsidRPr="005E49A1">
              <w:t>gastroezofaginio refliukso liga, Dispepsija, Viduriavimas,</w:t>
            </w:r>
          </w:p>
          <w:p w14:paraId="7A982F64" w14:textId="77777777" w:rsidR="00302C06" w:rsidRPr="005E49A1" w:rsidRDefault="00302C06" w:rsidP="00794B16">
            <w:pPr>
              <w:rPr>
                <w:szCs w:val="22"/>
              </w:rPr>
            </w:pPr>
            <w:r w:rsidRPr="005E49A1">
              <w:t>pilvo skausmas, pykinimas</w:t>
            </w:r>
          </w:p>
        </w:tc>
        <w:tc>
          <w:tcPr>
            <w:tcW w:w="1440" w:type="dxa"/>
            <w:tcBorders>
              <w:top w:val="single" w:sz="4" w:space="0" w:color="auto"/>
              <w:left w:val="single" w:sz="4" w:space="0" w:color="auto"/>
              <w:bottom w:val="single" w:sz="4" w:space="0" w:color="auto"/>
              <w:right w:val="single" w:sz="4" w:space="0" w:color="auto"/>
            </w:tcBorders>
          </w:tcPr>
          <w:p w14:paraId="3B5F0797" w14:textId="77777777" w:rsidR="00302C06" w:rsidRPr="005E49A1" w:rsidRDefault="00302C06" w:rsidP="00794B16">
            <w:r w:rsidRPr="005E49A1">
              <w:rPr>
                <w:szCs w:val="22"/>
              </w:rPr>
              <w:t>Stemplės uždegimas</w:t>
            </w:r>
            <w:r w:rsidRPr="005E49A1">
              <w:t>, įskaitant stemplės išopėjimą arba susiaurėjimą ir rijimo sutrikimą, vėmimas,</w:t>
            </w:r>
          </w:p>
          <w:p w14:paraId="47B2F3DD" w14:textId="77777777" w:rsidR="00302C06" w:rsidRPr="005E49A1" w:rsidRDefault="00302C06" w:rsidP="00794B16">
            <w:pPr>
              <w:rPr>
                <w:szCs w:val="22"/>
              </w:rPr>
            </w:pPr>
            <w:r w:rsidRPr="005E49A1">
              <w:t>dujų kaupimasis virškinimo trakte</w:t>
            </w:r>
            <w:r w:rsidRPr="005E49A1">
              <w:rPr>
                <w:szCs w:val="22"/>
              </w:rPr>
              <w:t xml:space="preserve"> </w:t>
            </w:r>
          </w:p>
        </w:tc>
        <w:tc>
          <w:tcPr>
            <w:tcW w:w="1980" w:type="dxa"/>
            <w:tcBorders>
              <w:top w:val="single" w:sz="4" w:space="0" w:color="auto"/>
              <w:left w:val="single" w:sz="4" w:space="0" w:color="auto"/>
              <w:bottom w:val="single" w:sz="4" w:space="0" w:color="auto"/>
              <w:right w:val="single" w:sz="4" w:space="0" w:color="auto"/>
            </w:tcBorders>
          </w:tcPr>
          <w:p w14:paraId="37422E1E" w14:textId="77777777" w:rsidR="00302C06" w:rsidRPr="005E49A1" w:rsidRDefault="00302C06" w:rsidP="00794B16">
            <w:pPr>
              <w:rPr>
                <w:szCs w:val="22"/>
              </w:rPr>
            </w:pPr>
            <w:r w:rsidRPr="005E49A1">
              <w:t>Dvylikapirštės žarnos uždegimas</w:t>
            </w:r>
          </w:p>
        </w:tc>
        <w:tc>
          <w:tcPr>
            <w:tcW w:w="1620" w:type="dxa"/>
            <w:tcBorders>
              <w:top w:val="single" w:sz="4" w:space="0" w:color="auto"/>
              <w:left w:val="single" w:sz="4" w:space="0" w:color="auto"/>
              <w:bottom w:val="single" w:sz="4" w:space="0" w:color="auto"/>
              <w:right w:val="single" w:sz="4" w:space="0" w:color="auto"/>
            </w:tcBorders>
          </w:tcPr>
          <w:p w14:paraId="00EFFDA8" w14:textId="77777777" w:rsidR="00302C06" w:rsidRPr="005E49A1" w:rsidRDefault="00302C06" w:rsidP="00794B16">
            <w:pPr>
              <w:rPr>
                <w:szCs w:val="22"/>
              </w:rPr>
            </w:pPr>
          </w:p>
        </w:tc>
      </w:tr>
      <w:tr w:rsidR="00302C06" w:rsidRPr="005E49A1" w14:paraId="5177A28A" w14:textId="77777777" w:rsidTr="009818C1">
        <w:tc>
          <w:tcPr>
            <w:tcW w:w="2122" w:type="dxa"/>
            <w:tcBorders>
              <w:top w:val="single" w:sz="4" w:space="0" w:color="auto"/>
              <w:bottom w:val="single" w:sz="4" w:space="0" w:color="auto"/>
              <w:right w:val="single" w:sz="4" w:space="0" w:color="auto"/>
            </w:tcBorders>
          </w:tcPr>
          <w:p w14:paraId="467E5933" w14:textId="77777777" w:rsidR="00302C06" w:rsidRPr="005E49A1" w:rsidRDefault="00302C06" w:rsidP="00794B16">
            <w:pPr>
              <w:rPr>
                <w:szCs w:val="22"/>
              </w:rPr>
            </w:pPr>
            <w:r w:rsidRPr="005E49A1">
              <w:t>Odos ir poodinio audinio sutrikimai</w:t>
            </w:r>
          </w:p>
        </w:tc>
        <w:tc>
          <w:tcPr>
            <w:tcW w:w="1980" w:type="dxa"/>
            <w:tcBorders>
              <w:top w:val="single" w:sz="4" w:space="0" w:color="auto"/>
              <w:left w:val="single" w:sz="4" w:space="0" w:color="auto"/>
              <w:bottom w:val="single" w:sz="4" w:space="0" w:color="auto"/>
              <w:right w:val="single" w:sz="4" w:space="0" w:color="auto"/>
            </w:tcBorders>
          </w:tcPr>
          <w:p w14:paraId="7830CA8F" w14:textId="77777777" w:rsidR="00302C06" w:rsidRPr="005E49A1" w:rsidRDefault="00302C06" w:rsidP="00794B16">
            <w:pPr>
              <w:rPr>
                <w:szCs w:val="22"/>
              </w:rPr>
            </w:pPr>
            <w:r w:rsidRPr="005E49A1">
              <w:t>Išbėrimas</w:t>
            </w:r>
          </w:p>
        </w:tc>
        <w:tc>
          <w:tcPr>
            <w:tcW w:w="1440" w:type="dxa"/>
            <w:tcBorders>
              <w:top w:val="single" w:sz="4" w:space="0" w:color="auto"/>
              <w:left w:val="single" w:sz="4" w:space="0" w:color="auto"/>
              <w:bottom w:val="single" w:sz="4" w:space="0" w:color="auto"/>
              <w:right w:val="single" w:sz="4" w:space="0" w:color="auto"/>
            </w:tcBorders>
          </w:tcPr>
          <w:p w14:paraId="02D7CDFC" w14:textId="77777777" w:rsidR="00302C06" w:rsidRPr="005E49A1" w:rsidRDefault="00302C06" w:rsidP="00794B16">
            <w:pPr>
              <w:rPr>
                <w:szCs w:val="22"/>
              </w:rPr>
            </w:pPr>
          </w:p>
        </w:tc>
        <w:tc>
          <w:tcPr>
            <w:tcW w:w="1980" w:type="dxa"/>
            <w:tcBorders>
              <w:top w:val="single" w:sz="4" w:space="0" w:color="auto"/>
              <w:left w:val="single" w:sz="4" w:space="0" w:color="auto"/>
              <w:bottom w:val="single" w:sz="4" w:space="0" w:color="auto"/>
              <w:right w:val="single" w:sz="4" w:space="0" w:color="auto"/>
            </w:tcBorders>
          </w:tcPr>
          <w:p w14:paraId="2C05DDBE" w14:textId="77777777" w:rsidR="00302C06" w:rsidRPr="005E49A1" w:rsidRDefault="00302C06" w:rsidP="00794B16">
            <w:r w:rsidRPr="005E49A1">
              <w:t>Angioneurozinė edema,</w:t>
            </w:r>
          </w:p>
          <w:p w14:paraId="78188768" w14:textId="77777777" w:rsidR="00302C06" w:rsidRPr="005E49A1" w:rsidRDefault="00302C06" w:rsidP="00794B16">
            <w:pPr>
              <w:rPr>
                <w:szCs w:val="22"/>
              </w:rPr>
            </w:pPr>
            <w:r w:rsidRPr="005E49A1">
              <w:t>veido edema, dilgėlinė</w:t>
            </w:r>
          </w:p>
        </w:tc>
        <w:tc>
          <w:tcPr>
            <w:tcW w:w="1620" w:type="dxa"/>
            <w:tcBorders>
              <w:top w:val="single" w:sz="4" w:space="0" w:color="auto"/>
              <w:left w:val="single" w:sz="4" w:space="0" w:color="auto"/>
              <w:bottom w:val="single" w:sz="4" w:space="0" w:color="auto"/>
              <w:right w:val="single" w:sz="4" w:space="0" w:color="auto"/>
            </w:tcBorders>
          </w:tcPr>
          <w:p w14:paraId="600F9944" w14:textId="77777777" w:rsidR="00302C06" w:rsidRPr="005E49A1" w:rsidRDefault="00302C06" w:rsidP="00794B16">
            <w:pPr>
              <w:rPr>
                <w:szCs w:val="22"/>
              </w:rPr>
            </w:pPr>
            <w:r w:rsidRPr="005E49A1">
              <w:rPr>
                <w:i/>
                <w:szCs w:val="22"/>
              </w:rPr>
              <w:t>Stevens – Johnson</w:t>
            </w:r>
            <w:r w:rsidRPr="005E49A1">
              <w:rPr>
                <w:szCs w:val="22"/>
              </w:rPr>
              <w:t xml:space="preserve"> sindromas </w:t>
            </w:r>
            <w:r w:rsidRPr="005E49A1">
              <w:t>†, daugiaformė raudonė (eritema) †, pūslelinis dermatitas †</w:t>
            </w:r>
          </w:p>
        </w:tc>
      </w:tr>
      <w:tr w:rsidR="00302C06" w:rsidRPr="005E49A1" w14:paraId="1847FDCD" w14:textId="77777777" w:rsidTr="009818C1">
        <w:tc>
          <w:tcPr>
            <w:tcW w:w="2122" w:type="dxa"/>
            <w:tcBorders>
              <w:top w:val="single" w:sz="4" w:space="0" w:color="auto"/>
              <w:bottom w:val="single" w:sz="4" w:space="0" w:color="auto"/>
              <w:right w:val="single" w:sz="4" w:space="0" w:color="auto"/>
            </w:tcBorders>
          </w:tcPr>
          <w:p w14:paraId="75A363FE" w14:textId="77777777" w:rsidR="00302C06" w:rsidRPr="00444E1A" w:rsidRDefault="00302C06" w:rsidP="00794B16">
            <w:pPr>
              <w:rPr>
                <w:szCs w:val="22"/>
              </w:rPr>
            </w:pPr>
            <w:r w:rsidRPr="005E49A1">
              <w:t xml:space="preserve">Skeleto, raumenų ir jungiamojo audinio sutrikimai </w:t>
            </w:r>
          </w:p>
        </w:tc>
        <w:tc>
          <w:tcPr>
            <w:tcW w:w="1980" w:type="dxa"/>
            <w:tcBorders>
              <w:top w:val="single" w:sz="4" w:space="0" w:color="auto"/>
              <w:left w:val="single" w:sz="4" w:space="0" w:color="auto"/>
              <w:bottom w:val="single" w:sz="4" w:space="0" w:color="auto"/>
              <w:right w:val="single" w:sz="4" w:space="0" w:color="auto"/>
            </w:tcBorders>
          </w:tcPr>
          <w:p w14:paraId="183FFBA4" w14:textId="77777777" w:rsidR="00302C06" w:rsidRPr="005E49A1" w:rsidRDefault="00302C06" w:rsidP="00794B16">
            <w:r w:rsidRPr="005E49A1">
              <w:t>Sąnarių skausmas,</w:t>
            </w:r>
          </w:p>
          <w:p w14:paraId="69A57980" w14:textId="77777777" w:rsidR="00302C06" w:rsidRPr="005E49A1" w:rsidRDefault="00302C06" w:rsidP="00794B16">
            <w:r w:rsidRPr="005E49A1">
              <w:t xml:space="preserve">raumenų skausmas, </w:t>
            </w:r>
          </w:p>
          <w:p w14:paraId="0C3302D0" w14:textId="77777777" w:rsidR="00302C06" w:rsidRPr="005E49A1" w:rsidRDefault="00302C06" w:rsidP="00794B16">
            <w:r w:rsidRPr="005E49A1">
              <w:t>skeleto raumenų skausmas,</w:t>
            </w:r>
          </w:p>
          <w:p w14:paraId="1BFF9AD7" w14:textId="77777777" w:rsidR="00302C06" w:rsidRPr="005E49A1" w:rsidRDefault="00302C06" w:rsidP="00794B16">
            <w:r w:rsidRPr="005E49A1">
              <w:t>mėšlungis,</w:t>
            </w:r>
          </w:p>
          <w:p w14:paraId="37E3E334" w14:textId="77777777" w:rsidR="00302C06" w:rsidRPr="005E49A1" w:rsidRDefault="00302C06" w:rsidP="00794B16">
            <w:pPr>
              <w:rPr>
                <w:szCs w:val="22"/>
              </w:rPr>
            </w:pPr>
            <w:r w:rsidRPr="005E49A1">
              <w:t>skeleto raumenų stingulys.</w:t>
            </w:r>
          </w:p>
        </w:tc>
        <w:tc>
          <w:tcPr>
            <w:tcW w:w="1440" w:type="dxa"/>
            <w:tcBorders>
              <w:top w:val="single" w:sz="4" w:space="0" w:color="auto"/>
              <w:left w:val="single" w:sz="4" w:space="0" w:color="auto"/>
              <w:bottom w:val="single" w:sz="4" w:space="0" w:color="auto"/>
              <w:right w:val="single" w:sz="4" w:space="0" w:color="auto"/>
            </w:tcBorders>
          </w:tcPr>
          <w:p w14:paraId="3C90051A" w14:textId="77777777" w:rsidR="00302C06" w:rsidRPr="005E49A1" w:rsidRDefault="00302C06" w:rsidP="00794B16">
            <w:pPr>
              <w:rPr>
                <w:szCs w:val="22"/>
              </w:rPr>
            </w:pPr>
            <w:r w:rsidRPr="005E49A1">
              <w:t>Nugaros skausmas</w:t>
            </w:r>
          </w:p>
        </w:tc>
        <w:tc>
          <w:tcPr>
            <w:tcW w:w="1980" w:type="dxa"/>
            <w:tcBorders>
              <w:top w:val="single" w:sz="4" w:space="0" w:color="auto"/>
              <w:left w:val="single" w:sz="4" w:space="0" w:color="auto"/>
              <w:bottom w:val="single" w:sz="4" w:space="0" w:color="auto"/>
              <w:right w:val="single" w:sz="4" w:space="0" w:color="auto"/>
            </w:tcBorders>
          </w:tcPr>
          <w:p w14:paraId="7C208DA9" w14:textId="77777777" w:rsidR="00302C06" w:rsidRPr="005E49A1" w:rsidRDefault="00302C06" w:rsidP="00794B16">
            <w:pPr>
              <w:rPr>
                <w:szCs w:val="22"/>
              </w:rPr>
            </w:pPr>
            <w:r w:rsidRPr="005E49A1">
              <w:t xml:space="preserve">Netipiški šlaunikaulio pogūbriniai ir kūno (diafizės) lūžiai† </w:t>
            </w:r>
          </w:p>
        </w:tc>
        <w:tc>
          <w:tcPr>
            <w:tcW w:w="1620" w:type="dxa"/>
            <w:tcBorders>
              <w:top w:val="single" w:sz="4" w:space="0" w:color="auto"/>
              <w:left w:val="single" w:sz="4" w:space="0" w:color="auto"/>
              <w:bottom w:val="single" w:sz="4" w:space="0" w:color="auto"/>
              <w:right w:val="single" w:sz="4" w:space="0" w:color="auto"/>
            </w:tcBorders>
          </w:tcPr>
          <w:p w14:paraId="07E776B9" w14:textId="77777777" w:rsidR="00302C06" w:rsidRPr="005E49A1" w:rsidRDefault="00302C06" w:rsidP="00794B16">
            <w:r w:rsidRPr="005E49A1">
              <w:t>Žandikaulio osteonekrozė</w:t>
            </w:r>
            <w:r w:rsidRPr="005E49A1">
              <w:rPr>
                <w:szCs w:val="22"/>
              </w:rPr>
              <w:t>*</w:t>
            </w:r>
            <w:r w:rsidRPr="005E49A1">
              <w:t>†, išorinio ausies kanalo osteonekrozė (bisfosfonatų grupės vaist</w:t>
            </w:r>
            <w:r>
              <w:t>ini</w:t>
            </w:r>
            <w:r w:rsidRPr="005E49A1">
              <w:t xml:space="preserve">ams </w:t>
            </w:r>
            <w:r>
              <w:t xml:space="preserve">preparatams </w:t>
            </w:r>
            <w:r w:rsidRPr="005E49A1">
              <w:t>būdinga nepageidaujama reakcija)</w:t>
            </w:r>
          </w:p>
          <w:p w14:paraId="55C24117" w14:textId="77777777" w:rsidR="00302C06" w:rsidRPr="005E49A1" w:rsidRDefault="00302C06" w:rsidP="00794B16">
            <w:pPr>
              <w:rPr>
                <w:szCs w:val="22"/>
              </w:rPr>
            </w:pPr>
          </w:p>
        </w:tc>
      </w:tr>
      <w:tr w:rsidR="00302C06" w:rsidRPr="005E49A1" w14:paraId="2E95D8AE" w14:textId="77777777" w:rsidTr="009818C1">
        <w:tc>
          <w:tcPr>
            <w:tcW w:w="2122" w:type="dxa"/>
            <w:tcBorders>
              <w:top w:val="single" w:sz="4" w:space="0" w:color="auto"/>
              <w:bottom w:val="single" w:sz="4" w:space="0" w:color="auto"/>
              <w:right w:val="single" w:sz="4" w:space="0" w:color="auto"/>
            </w:tcBorders>
          </w:tcPr>
          <w:p w14:paraId="1CE07146" w14:textId="77777777" w:rsidR="00302C06" w:rsidRPr="00444E1A" w:rsidRDefault="00302C06" w:rsidP="00794B16">
            <w:pPr>
              <w:rPr>
                <w:szCs w:val="22"/>
              </w:rPr>
            </w:pPr>
            <w:r w:rsidRPr="00444E1A">
              <w:t>Bendrieji sutrikimai ir vartojimo vietos pažeidimai</w:t>
            </w:r>
          </w:p>
        </w:tc>
        <w:tc>
          <w:tcPr>
            <w:tcW w:w="1980" w:type="dxa"/>
            <w:tcBorders>
              <w:top w:val="single" w:sz="4" w:space="0" w:color="auto"/>
              <w:left w:val="single" w:sz="4" w:space="0" w:color="auto"/>
              <w:bottom w:val="single" w:sz="4" w:space="0" w:color="auto"/>
              <w:right w:val="single" w:sz="4" w:space="0" w:color="auto"/>
            </w:tcBorders>
          </w:tcPr>
          <w:p w14:paraId="69664F10" w14:textId="77777777" w:rsidR="00302C06" w:rsidRPr="005E49A1" w:rsidRDefault="00302C06" w:rsidP="00794B16">
            <w:pPr>
              <w:rPr>
                <w:szCs w:val="22"/>
              </w:rPr>
            </w:pPr>
            <w:r w:rsidRPr="005E49A1">
              <w:t>Į gripą panaši liga</w:t>
            </w:r>
            <w:r w:rsidRPr="005E49A1">
              <w:rPr>
                <w:szCs w:val="22"/>
              </w:rPr>
              <w:t>*</w:t>
            </w:r>
          </w:p>
        </w:tc>
        <w:tc>
          <w:tcPr>
            <w:tcW w:w="1440" w:type="dxa"/>
            <w:tcBorders>
              <w:top w:val="single" w:sz="4" w:space="0" w:color="auto"/>
              <w:left w:val="single" w:sz="4" w:space="0" w:color="auto"/>
              <w:bottom w:val="single" w:sz="4" w:space="0" w:color="auto"/>
              <w:right w:val="single" w:sz="4" w:space="0" w:color="auto"/>
            </w:tcBorders>
          </w:tcPr>
          <w:p w14:paraId="14F40157" w14:textId="77777777" w:rsidR="00302C06" w:rsidRPr="005E49A1" w:rsidRDefault="00302C06" w:rsidP="00794B16">
            <w:pPr>
              <w:rPr>
                <w:szCs w:val="22"/>
              </w:rPr>
            </w:pPr>
            <w:r w:rsidRPr="005E49A1">
              <w:t>Nuovargis</w:t>
            </w:r>
          </w:p>
        </w:tc>
        <w:tc>
          <w:tcPr>
            <w:tcW w:w="1980" w:type="dxa"/>
            <w:tcBorders>
              <w:top w:val="single" w:sz="4" w:space="0" w:color="auto"/>
              <w:left w:val="single" w:sz="4" w:space="0" w:color="auto"/>
              <w:bottom w:val="single" w:sz="4" w:space="0" w:color="auto"/>
              <w:right w:val="single" w:sz="4" w:space="0" w:color="auto"/>
            </w:tcBorders>
          </w:tcPr>
          <w:p w14:paraId="6FE428FD" w14:textId="77777777" w:rsidR="00302C06" w:rsidRPr="005E49A1" w:rsidRDefault="00302C06" w:rsidP="00794B16">
            <w:pPr>
              <w:rPr>
                <w:szCs w:val="22"/>
              </w:rPr>
            </w:pPr>
          </w:p>
        </w:tc>
        <w:tc>
          <w:tcPr>
            <w:tcW w:w="1620" w:type="dxa"/>
            <w:tcBorders>
              <w:top w:val="single" w:sz="4" w:space="0" w:color="auto"/>
              <w:left w:val="single" w:sz="4" w:space="0" w:color="auto"/>
              <w:bottom w:val="single" w:sz="4" w:space="0" w:color="auto"/>
              <w:right w:val="single" w:sz="4" w:space="0" w:color="auto"/>
            </w:tcBorders>
          </w:tcPr>
          <w:p w14:paraId="1F056F91" w14:textId="77777777" w:rsidR="00302C06" w:rsidRPr="005E49A1" w:rsidRDefault="00302C06" w:rsidP="00794B16">
            <w:pPr>
              <w:rPr>
                <w:szCs w:val="22"/>
              </w:rPr>
            </w:pPr>
          </w:p>
        </w:tc>
      </w:tr>
    </w:tbl>
    <w:p w14:paraId="45A65E3B" w14:textId="77777777" w:rsidR="00302C06" w:rsidRPr="005E49A1" w:rsidRDefault="00302C06" w:rsidP="00302C06">
      <w:pPr>
        <w:pStyle w:val="Normal11pt"/>
        <w:spacing w:line="240" w:lineRule="auto"/>
        <w:rPr>
          <w:rFonts w:ascii="Times New Roman" w:hAnsi="Times New Roman"/>
          <w:lang w:val="lt-LT"/>
        </w:rPr>
      </w:pPr>
      <w:r w:rsidRPr="005E49A1">
        <w:rPr>
          <w:rFonts w:ascii="Times New Roman" w:hAnsi="Times New Roman"/>
          <w:lang w:val="lt-LT"/>
        </w:rPr>
        <w:t>*Daugiau informacijos žr. žemiau</w:t>
      </w:r>
    </w:p>
    <w:p w14:paraId="1A79E12A" w14:textId="77777777" w:rsidR="00302C06" w:rsidRPr="00444E1A" w:rsidRDefault="00302C06" w:rsidP="00302C06">
      <w:pPr>
        <w:pStyle w:val="Normal11pt"/>
        <w:spacing w:line="240" w:lineRule="auto"/>
        <w:rPr>
          <w:rFonts w:ascii="Times New Roman" w:hAnsi="Times New Roman"/>
          <w:lang w:val="lt-LT"/>
        </w:rPr>
      </w:pPr>
      <w:r w:rsidRPr="00444E1A">
        <w:rPr>
          <w:rFonts w:ascii="Times New Roman" w:hAnsi="Times New Roman"/>
          <w:lang w:val="lt-LT"/>
        </w:rPr>
        <w:t xml:space="preserve">†Nustatyta </w:t>
      </w:r>
      <w:r>
        <w:rPr>
          <w:rFonts w:ascii="Times New Roman" w:hAnsi="Times New Roman"/>
          <w:lang w:val="lt-LT"/>
        </w:rPr>
        <w:t>poregistracinio stebėjimo metu</w:t>
      </w:r>
      <w:r w:rsidRPr="00444E1A">
        <w:rPr>
          <w:rFonts w:ascii="Times New Roman" w:hAnsi="Times New Roman"/>
          <w:lang w:val="lt-LT"/>
        </w:rPr>
        <w:t>.</w:t>
      </w:r>
    </w:p>
    <w:p w14:paraId="50BFD908" w14:textId="77777777" w:rsidR="00302C06" w:rsidRPr="00444E1A" w:rsidRDefault="00302C06" w:rsidP="00302C06">
      <w:pPr>
        <w:pStyle w:val="Normal11pt"/>
        <w:spacing w:line="240" w:lineRule="auto"/>
        <w:rPr>
          <w:lang w:val="lt-LT"/>
        </w:rPr>
      </w:pPr>
    </w:p>
    <w:p w14:paraId="6AF5DA66" w14:textId="77777777" w:rsidR="00302C06" w:rsidRPr="005E49A1" w:rsidRDefault="00302C06" w:rsidP="00302C06">
      <w:pPr>
        <w:tabs>
          <w:tab w:val="left" w:pos="567"/>
        </w:tabs>
        <w:rPr>
          <w:noProof/>
          <w:szCs w:val="22"/>
          <w:u w:val="single"/>
        </w:rPr>
      </w:pPr>
    </w:p>
    <w:p w14:paraId="74C87ABB" w14:textId="77777777" w:rsidR="00302C06" w:rsidRPr="005E49A1" w:rsidRDefault="00302C06" w:rsidP="00302C06">
      <w:pPr>
        <w:rPr>
          <w:szCs w:val="22"/>
          <w:u w:val="single"/>
        </w:rPr>
      </w:pPr>
      <w:r w:rsidRPr="005E49A1">
        <w:rPr>
          <w:szCs w:val="22"/>
          <w:u w:val="single"/>
        </w:rPr>
        <w:t>Atrinktų nepageidaujamų reakcijų apibūdinimas</w:t>
      </w:r>
    </w:p>
    <w:p w14:paraId="4A19458E" w14:textId="77777777" w:rsidR="00302C06" w:rsidRPr="005E49A1" w:rsidRDefault="00302C06" w:rsidP="00302C06">
      <w:pPr>
        <w:rPr>
          <w:szCs w:val="22"/>
          <w:u w:val="single"/>
        </w:rPr>
      </w:pPr>
    </w:p>
    <w:p w14:paraId="468E2889" w14:textId="77777777" w:rsidR="00302C06" w:rsidRPr="005E49A1" w:rsidRDefault="00302C06" w:rsidP="00302C06">
      <w:pPr>
        <w:rPr>
          <w:i/>
          <w:u w:val="single"/>
        </w:rPr>
      </w:pPr>
      <w:r w:rsidRPr="005E49A1">
        <w:rPr>
          <w:i/>
          <w:szCs w:val="22"/>
          <w:u w:val="single"/>
        </w:rPr>
        <w:t>Vir</w:t>
      </w:r>
      <w:r w:rsidRPr="005E49A1">
        <w:rPr>
          <w:i/>
          <w:u w:val="single"/>
        </w:rPr>
        <w:t>škinimo trakto nepageidaujamos reakcijos</w:t>
      </w:r>
    </w:p>
    <w:p w14:paraId="56B5E257" w14:textId="18307597" w:rsidR="00302C06" w:rsidRPr="005E49A1" w:rsidRDefault="00302C06" w:rsidP="00302C06">
      <w:pPr>
        <w:tabs>
          <w:tab w:val="left" w:pos="567"/>
        </w:tabs>
        <w:rPr>
          <w:noProof/>
          <w:szCs w:val="22"/>
        </w:rPr>
      </w:pPr>
      <w:r w:rsidRPr="005E49A1">
        <w:rPr>
          <w:color w:val="000000"/>
          <w:spacing w:val="-3"/>
          <w:szCs w:val="22"/>
        </w:rPr>
        <w:t>Gydymo kartą per mėnesį vartojama doze tyrime dalyvavo pacientai, įskaitant anksčiau sirgusius virškinimo trakto ligomis pacientus tai pat ir sirgusius pepsine opa, iš kurios nekraujavo, ar dėl kurios nereikėjo gydytis ligoninėje, ir pacientais, kuriems buvo vaist</w:t>
      </w:r>
      <w:r w:rsidR="009F6655">
        <w:rPr>
          <w:color w:val="000000"/>
          <w:spacing w:val="-3"/>
          <w:szCs w:val="22"/>
        </w:rPr>
        <w:t>iniais preparatais</w:t>
      </w:r>
      <w:r w:rsidRPr="005E49A1">
        <w:rPr>
          <w:color w:val="000000"/>
          <w:spacing w:val="-3"/>
          <w:szCs w:val="22"/>
        </w:rPr>
        <w:t xml:space="preserve"> kontroliuojama dispepsija ar refliuksas.</w:t>
      </w:r>
      <w:r w:rsidRPr="005E49A1">
        <w:rPr>
          <w:noProof/>
          <w:szCs w:val="22"/>
        </w:rPr>
        <w:t xml:space="preserve"> </w:t>
      </w:r>
      <w:r w:rsidRPr="005E49A1">
        <w:rPr>
          <w:color w:val="000000"/>
          <w:spacing w:val="-3"/>
          <w:szCs w:val="22"/>
        </w:rPr>
        <w:t xml:space="preserve">Šiems pacientams vartojant ibandrono rūgšties 150 mg dozę kartą per mėnesį ar </w:t>
      </w:r>
      <w:r w:rsidRPr="005E49A1">
        <w:rPr>
          <w:color w:val="000000"/>
          <w:spacing w:val="-4"/>
          <w:szCs w:val="22"/>
        </w:rPr>
        <w:t>2,5 mg dozę kartą per parą</w:t>
      </w:r>
      <w:r w:rsidRPr="005E49A1">
        <w:rPr>
          <w:noProof/>
          <w:szCs w:val="22"/>
        </w:rPr>
        <w:t xml:space="preserve"> </w:t>
      </w:r>
      <w:r w:rsidRPr="005E49A1">
        <w:rPr>
          <w:color w:val="000000"/>
          <w:spacing w:val="-3"/>
          <w:szCs w:val="22"/>
        </w:rPr>
        <w:t>viršutinės virškinimo trakto dalies sutrikimų dažnis buvo panašus.</w:t>
      </w:r>
    </w:p>
    <w:p w14:paraId="1AB903E4" w14:textId="77777777" w:rsidR="00302C06" w:rsidRPr="005E49A1" w:rsidRDefault="00302C06" w:rsidP="00302C06">
      <w:pPr>
        <w:tabs>
          <w:tab w:val="left" w:pos="567"/>
        </w:tabs>
        <w:rPr>
          <w:noProof/>
          <w:szCs w:val="22"/>
          <w:u w:val="single"/>
        </w:rPr>
      </w:pPr>
    </w:p>
    <w:p w14:paraId="46D704F7" w14:textId="77777777" w:rsidR="00302C06" w:rsidRPr="0022545A" w:rsidRDefault="00302C06" w:rsidP="00302C06">
      <w:pPr>
        <w:pStyle w:val="Normal11pt"/>
        <w:spacing w:line="240" w:lineRule="auto"/>
        <w:rPr>
          <w:rFonts w:ascii="Times New Roman" w:hAnsi="Times New Roman"/>
          <w:i/>
          <w:u w:val="single"/>
          <w:lang w:val="lt-LT"/>
        </w:rPr>
      </w:pPr>
      <w:r w:rsidRPr="0022545A">
        <w:rPr>
          <w:rFonts w:ascii="Times New Roman" w:hAnsi="Times New Roman"/>
          <w:i/>
          <w:u w:val="single"/>
          <w:lang w:val="lt-LT"/>
        </w:rPr>
        <w:t>Į gripą panaši liga</w:t>
      </w:r>
    </w:p>
    <w:p w14:paraId="41E647FB" w14:textId="77777777" w:rsidR="00302C06" w:rsidRPr="005E49A1" w:rsidRDefault="00302C06" w:rsidP="00302C06">
      <w:pPr>
        <w:tabs>
          <w:tab w:val="left" w:pos="567"/>
        </w:tabs>
        <w:rPr>
          <w:color w:val="000000"/>
          <w:spacing w:val="-2"/>
        </w:rPr>
      </w:pPr>
      <w:r w:rsidRPr="005E49A1">
        <w:rPr>
          <w:color w:val="000000"/>
          <w:spacing w:val="-2"/>
        </w:rPr>
        <w:t>Į gripą panašus negalavimas apima reiškinius, pateiktus kaip ūminės fazės reakcija ar simptomai, įskaitant raumenų skausmą, sąnarių skausmą, karščiavimą, drebulį, nuovargį, pykinimą, apetito netekimą ar kaulų skausmą.</w:t>
      </w:r>
    </w:p>
    <w:p w14:paraId="3A643044" w14:textId="77777777" w:rsidR="00302C06" w:rsidRPr="005E49A1" w:rsidRDefault="00302C06" w:rsidP="00302C06">
      <w:pPr>
        <w:tabs>
          <w:tab w:val="left" w:pos="567"/>
        </w:tabs>
        <w:rPr>
          <w:noProof/>
          <w:szCs w:val="22"/>
          <w:u w:val="single"/>
        </w:rPr>
      </w:pPr>
    </w:p>
    <w:p w14:paraId="309C7081" w14:textId="77777777" w:rsidR="00302C06" w:rsidRPr="005E49A1" w:rsidRDefault="00302C06" w:rsidP="00302C06">
      <w:pPr>
        <w:pStyle w:val="Normal11pt"/>
        <w:spacing w:line="240" w:lineRule="auto"/>
        <w:rPr>
          <w:rFonts w:ascii="Times New Roman" w:hAnsi="Times New Roman"/>
          <w:i/>
          <w:noProof/>
          <w:lang w:val="lt-LT"/>
        </w:rPr>
      </w:pPr>
      <w:r w:rsidRPr="005E49A1">
        <w:rPr>
          <w:rFonts w:ascii="Times New Roman" w:hAnsi="Times New Roman"/>
          <w:i/>
          <w:u w:val="single"/>
          <w:lang w:val="lt-LT"/>
        </w:rPr>
        <w:t>Žandikaulio osteonekrozė</w:t>
      </w:r>
    </w:p>
    <w:p w14:paraId="52536E81" w14:textId="77777777" w:rsidR="00F86FA0" w:rsidRDefault="00F86FA0" w:rsidP="00F86FA0">
      <w:pPr>
        <w:tabs>
          <w:tab w:val="left" w:pos="567"/>
        </w:tabs>
        <w:rPr>
          <w:szCs w:val="22"/>
        </w:rPr>
      </w:pPr>
      <w:r w:rsidRPr="002238D1">
        <w:rPr>
          <w:szCs w:val="22"/>
        </w:rPr>
        <w:t xml:space="preserve">Yra pastebėta žandikaulio osteonekrozės atvejų, dauguma jų registruota vėžiu sirgusiems pacientams, gydytiems kaulų rezorbciją slopinančiais vaistiniais preparatais, tokiais kaip ibandrono rūgštis (žr. 4.4 skyrių). </w:t>
      </w:r>
      <w:r w:rsidRPr="002B7661">
        <w:rPr>
          <w:szCs w:val="22"/>
        </w:rPr>
        <w:t>ŽON atvejų yra pastebėta ibandrono rūgšties preparatams jau esant rinkoje.</w:t>
      </w:r>
    </w:p>
    <w:p w14:paraId="7302F5A9" w14:textId="77777777" w:rsidR="00302C06" w:rsidRPr="005E49A1" w:rsidRDefault="00302C06" w:rsidP="00302C06">
      <w:pPr>
        <w:pStyle w:val="Normal11pt"/>
        <w:spacing w:line="240" w:lineRule="auto"/>
        <w:rPr>
          <w:rFonts w:ascii="Times New Roman" w:hAnsi="Times New Roman"/>
          <w:noProof/>
          <w:u w:val="single"/>
          <w:lang w:val="lt-LT"/>
        </w:rPr>
      </w:pPr>
    </w:p>
    <w:p w14:paraId="53973D38" w14:textId="77777777" w:rsidR="00302C06" w:rsidRPr="0022545A" w:rsidRDefault="00302C06" w:rsidP="00302C06">
      <w:pPr>
        <w:pStyle w:val="Normal11pt"/>
        <w:spacing w:line="240" w:lineRule="auto"/>
        <w:rPr>
          <w:rFonts w:ascii="Times New Roman" w:hAnsi="Times New Roman"/>
          <w:i/>
          <w:u w:val="single"/>
          <w:lang w:val="lt-LT"/>
        </w:rPr>
      </w:pPr>
      <w:r w:rsidRPr="0022545A">
        <w:rPr>
          <w:rFonts w:ascii="Times New Roman" w:hAnsi="Times New Roman"/>
          <w:i/>
          <w:u w:val="single"/>
          <w:lang w:val="lt-LT"/>
        </w:rPr>
        <w:t>Akių uždegimas</w:t>
      </w:r>
    </w:p>
    <w:p w14:paraId="6C146BAD" w14:textId="77777777" w:rsidR="00302C06" w:rsidRPr="005E49A1" w:rsidRDefault="00302C06" w:rsidP="00302C06">
      <w:pPr>
        <w:pStyle w:val="Normal11pt"/>
        <w:spacing w:line="240" w:lineRule="auto"/>
        <w:rPr>
          <w:rFonts w:ascii="Times New Roman" w:hAnsi="Times New Roman"/>
          <w:noProof/>
          <w:lang w:val="lt-LT"/>
        </w:rPr>
      </w:pPr>
      <w:r w:rsidRPr="005E49A1">
        <w:rPr>
          <w:rFonts w:ascii="Times New Roman" w:hAnsi="Times New Roman"/>
          <w:noProof/>
          <w:lang w:val="lt-LT"/>
        </w:rPr>
        <w:t>Gauta prenešimų apie akių uždegimo reiškinius, tokius, kaip uveitas, episkleritas ir skleritas, pasireiškusius gydymo ibandrono rūgštimi metu. Kai kuriais atvejais šie reiškiniai išnyko tik nutraukus ibandrono rūgšties vartojimą.</w:t>
      </w:r>
    </w:p>
    <w:p w14:paraId="0199155F" w14:textId="77777777" w:rsidR="00302C06" w:rsidRPr="005E49A1" w:rsidRDefault="00302C06" w:rsidP="00302C06">
      <w:pPr>
        <w:tabs>
          <w:tab w:val="left" w:pos="567"/>
        </w:tabs>
        <w:rPr>
          <w:szCs w:val="22"/>
        </w:rPr>
      </w:pPr>
    </w:p>
    <w:p w14:paraId="68D5836C" w14:textId="77777777" w:rsidR="00302C06" w:rsidRPr="005E49A1" w:rsidRDefault="00302C06" w:rsidP="00302C06">
      <w:pPr>
        <w:rPr>
          <w:i/>
          <w:iCs/>
          <w:color w:val="000000"/>
          <w:u w:val="single"/>
        </w:rPr>
      </w:pPr>
      <w:r w:rsidRPr="005E49A1">
        <w:rPr>
          <w:i/>
          <w:iCs/>
          <w:color w:val="000000"/>
          <w:u w:val="single"/>
        </w:rPr>
        <w:t>Anafilaksinė reakcija ar šokas</w:t>
      </w:r>
    </w:p>
    <w:p w14:paraId="621FC2FD" w14:textId="77777777" w:rsidR="00302C06" w:rsidRPr="005E49A1" w:rsidRDefault="00302C06" w:rsidP="00302C06">
      <w:pPr>
        <w:rPr>
          <w:iCs/>
          <w:color w:val="000000"/>
        </w:rPr>
      </w:pPr>
      <w:r w:rsidRPr="005E49A1">
        <w:rPr>
          <w:iCs/>
          <w:color w:val="000000"/>
        </w:rPr>
        <w:t>Ibandrono rūgštimi į veną gydytiems pacientams buvo pastebėti anafilaksinės reakcijos ar šoko atvejai, įskaitant mirtį nulėmusius atvejus.</w:t>
      </w:r>
    </w:p>
    <w:p w14:paraId="778859C5" w14:textId="77777777" w:rsidR="00302C06" w:rsidRPr="005E49A1" w:rsidRDefault="00302C06" w:rsidP="00302C06">
      <w:pPr>
        <w:tabs>
          <w:tab w:val="left" w:pos="567"/>
        </w:tabs>
        <w:rPr>
          <w:szCs w:val="22"/>
        </w:rPr>
      </w:pPr>
    </w:p>
    <w:p w14:paraId="44E8D00E" w14:textId="77777777" w:rsidR="00302C06" w:rsidRPr="005E49A1" w:rsidRDefault="00302C06" w:rsidP="00302C06">
      <w:pPr>
        <w:autoSpaceDE w:val="0"/>
        <w:autoSpaceDN w:val="0"/>
        <w:adjustRightInd w:val="0"/>
        <w:jc w:val="both"/>
        <w:rPr>
          <w:szCs w:val="24"/>
          <w:u w:val="single"/>
        </w:rPr>
      </w:pPr>
      <w:r w:rsidRPr="005E49A1">
        <w:rPr>
          <w:noProof/>
          <w:szCs w:val="24"/>
          <w:u w:val="single"/>
        </w:rPr>
        <w:t>Pranešimas apie įtariamas nepageidaujamas reakcijas</w:t>
      </w:r>
    </w:p>
    <w:p w14:paraId="32827BBC" w14:textId="77777777" w:rsidR="00302C06" w:rsidRPr="005E49A1" w:rsidRDefault="00302C06" w:rsidP="00302C06">
      <w:pPr>
        <w:autoSpaceDE w:val="0"/>
        <w:autoSpaceDN w:val="0"/>
        <w:adjustRightInd w:val="0"/>
        <w:jc w:val="both"/>
        <w:rPr>
          <w:noProof/>
          <w:szCs w:val="24"/>
        </w:rPr>
      </w:pPr>
      <w:r w:rsidRPr="005E49A1">
        <w:rPr>
          <w:noProof/>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5E49A1">
          <w:rPr>
            <w:rStyle w:val="Hipersaitas"/>
            <w:noProof/>
            <w:szCs w:val="24"/>
          </w:rPr>
          <w:t>www.vvkt.lt</w:t>
        </w:r>
      </w:hyperlink>
      <w:r w:rsidRPr="005E49A1">
        <w:rPr>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5E49A1">
          <w:rPr>
            <w:rStyle w:val="Hipersaitas"/>
            <w:noProof/>
            <w:szCs w:val="24"/>
          </w:rPr>
          <w:t>NepageidaujamaR@vvkt.lt</w:t>
        </w:r>
      </w:hyperlink>
      <w:r w:rsidRPr="005E49A1">
        <w:rPr>
          <w:noProof/>
          <w:szCs w:val="24"/>
        </w:rPr>
        <w:t xml:space="preserve">), per interneto svetainę (adresu </w:t>
      </w:r>
      <w:hyperlink r:id="rId9" w:history="1">
        <w:r w:rsidRPr="00EC4EB8">
          <w:rPr>
            <w:rStyle w:val="Hipersaitas"/>
            <w:noProof/>
            <w:szCs w:val="24"/>
          </w:rPr>
          <w:t>http://www.vvkt.lt</w:t>
        </w:r>
      </w:hyperlink>
      <w:r>
        <w:rPr>
          <w:noProof/>
          <w:szCs w:val="24"/>
        </w:rPr>
        <w:t xml:space="preserve"> </w:t>
      </w:r>
      <w:r w:rsidRPr="005E49A1">
        <w:rPr>
          <w:noProof/>
          <w:szCs w:val="24"/>
        </w:rPr>
        <w:t>).</w:t>
      </w:r>
    </w:p>
    <w:p w14:paraId="52D19C2F" w14:textId="77777777" w:rsidR="00302C06" w:rsidRPr="005E49A1" w:rsidRDefault="00302C06" w:rsidP="00302C06">
      <w:pPr>
        <w:tabs>
          <w:tab w:val="left" w:pos="567"/>
        </w:tabs>
        <w:rPr>
          <w:szCs w:val="22"/>
        </w:rPr>
      </w:pPr>
    </w:p>
    <w:p w14:paraId="4E619C74" w14:textId="77777777" w:rsidR="00302C06" w:rsidRPr="005E49A1" w:rsidRDefault="00302C06" w:rsidP="00302C06">
      <w:pPr>
        <w:tabs>
          <w:tab w:val="left" w:pos="567"/>
        </w:tabs>
        <w:ind w:left="567" w:hanging="567"/>
        <w:outlineLvl w:val="0"/>
        <w:rPr>
          <w:noProof/>
          <w:szCs w:val="22"/>
        </w:rPr>
      </w:pPr>
      <w:r w:rsidRPr="005E49A1">
        <w:rPr>
          <w:b/>
          <w:noProof/>
          <w:szCs w:val="22"/>
        </w:rPr>
        <w:t>4.9</w:t>
      </w:r>
      <w:r w:rsidRPr="005E49A1">
        <w:rPr>
          <w:b/>
          <w:noProof/>
          <w:szCs w:val="22"/>
        </w:rPr>
        <w:tab/>
      </w:r>
      <w:r w:rsidRPr="005E49A1">
        <w:rPr>
          <w:b/>
          <w:szCs w:val="22"/>
        </w:rPr>
        <w:t>Perdozavimas</w:t>
      </w:r>
    </w:p>
    <w:p w14:paraId="11BBDEC4" w14:textId="77777777" w:rsidR="00302C06" w:rsidRPr="005E49A1" w:rsidRDefault="00302C06" w:rsidP="00302C06">
      <w:pPr>
        <w:tabs>
          <w:tab w:val="left" w:pos="567"/>
        </w:tabs>
        <w:rPr>
          <w:noProof/>
          <w:szCs w:val="22"/>
        </w:rPr>
      </w:pPr>
    </w:p>
    <w:p w14:paraId="6F5DC9C3" w14:textId="77777777" w:rsidR="00302C06" w:rsidRPr="005E49A1" w:rsidRDefault="00302C06" w:rsidP="00302C06">
      <w:pPr>
        <w:tabs>
          <w:tab w:val="left" w:pos="567"/>
        </w:tabs>
        <w:rPr>
          <w:szCs w:val="22"/>
        </w:rPr>
      </w:pPr>
      <w:r w:rsidRPr="005E49A1">
        <w:rPr>
          <w:color w:val="000000"/>
          <w:spacing w:val="-3"/>
          <w:szCs w:val="22"/>
        </w:rPr>
        <w:t>Specifinės informacijos apie ibandrono rūgšties perdozavimo gydymą nėra.</w:t>
      </w:r>
      <w:r w:rsidRPr="005E49A1">
        <w:rPr>
          <w:szCs w:val="22"/>
        </w:rPr>
        <w:t xml:space="preserve"> </w:t>
      </w:r>
    </w:p>
    <w:p w14:paraId="7C121F65" w14:textId="77777777" w:rsidR="00302C06" w:rsidRPr="005E49A1" w:rsidRDefault="00302C06" w:rsidP="00302C06">
      <w:pPr>
        <w:tabs>
          <w:tab w:val="left" w:pos="567"/>
        </w:tabs>
        <w:rPr>
          <w:noProof/>
          <w:szCs w:val="22"/>
        </w:rPr>
      </w:pPr>
      <w:r w:rsidRPr="005E49A1">
        <w:rPr>
          <w:color w:val="000000"/>
          <w:spacing w:val="-3"/>
          <w:szCs w:val="22"/>
        </w:rPr>
        <w:t>Vis dėlto, remiantis duomenimis apie šios grupės junginius, išgerta per didelė dozė gali sukelti nepageidaujamas viršutinės virškinimo trakto dalies reakcijas (pvz., skrandžio negalavimą, virškinimo sutrikimą, ezofagitą, gastritą ar opą) ar hipokalcemiją.</w:t>
      </w:r>
      <w:r w:rsidRPr="005E49A1">
        <w:rPr>
          <w:szCs w:val="22"/>
        </w:rPr>
        <w:t xml:space="preserve"> </w:t>
      </w:r>
      <w:r w:rsidRPr="005E49A1">
        <w:rPr>
          <w:color w:val="000000"/>
          <w:spacing w:val="-3"/>
          <w:szCs w:val="22"/>
        </w:rPr>
        <w:t>Ibandrono rūgščiai surišti turėtų būti sugirdoma pieno ar antacidinių preparatų ir simptomiškai gydomos bet kokios nepageidaujamos reakcijos.</w:t>
      </w:r>
      <w:r w:rsidRPr="005E49A1">
        <w:rPr>
          <w:szCs w:val="22"/>
        </w:rPr>
        <w:t xml:space="preserve"> </w:t>
      </w:r>
      <w:r w:rsidRPr="005E49A1">
        <w:rPr>
          <w:color w:val="000000"/>
          <w:spacing w:val="-3"/>
          <w:szCs w:val="22"/>
        </w:rPr>
        <w:t>Dėl stemplės dirginimo rizikos negalima sukelti vėmimo, pacientas turi išlikti vertikalioje padėtyje.</w:t>
      </w:r>
    </w:p>
    <w:p w14:paraId="5E4B52B6" w14:textId="77777777" w:rsidR="00302C06" w:rsidRPr="005E49A1" w:rsidRDefault="00302C06" w:rsidP="00302C06">
      <w:pPr>
        <w:tabs>
          <w:tab w:val="left" w:pos="567"/>
        </w:tabs>
        <w:rPr>
          <w:szCs w:val="22"/>
        </w:rPr>
      </w:pPr>
    </w:p>
    <w:p w14:paraId="0AB0F50D" w14:textId="77777777" w:rsidR="00302C06" w:rsidRPr="005E49A1" w:rsidRDefault="00302C06" w:rsidP="00302C06">
      <w:pPr>
        <w:tabs>
          <w:tab w:val="left" w:pos="567"/>
        </w:tabs>
        <w:rPr>
          <w:szCs w:val="22"/>
        </w:rPr>
      </w:pPr>
    </w:p>
    <w:p w14:paraId="41B59A89" w14:textId="77777777" w:rsidR="00302C06" w:rsidRPr="005E49A1" w:rsidRDefault="00302C06" w:rsidP="00302C06">
      <w:pPr>
        <w:tabs>
          <w:tab w:val="left" w:pos="567"/>
        </w:tabs>
        <w:ind w:left="567" w:hanging="567"/>
        <w:rPr>
          <w:noProof/>
          <w:szCs w:val="22"/>
        </w:rPr>
      </w:pPr>
      <w:r w:rsidRPr="005E49A1">
        <w:rPr>
          <w:b/>
          <w:noProof/>
          <w:szCs w:val="22"/>
        </w:rPr>
        <w:t>5.</w:t>
      </w:r>
      <w:r w:rsidRPr="005E49A1">
        <w:rPr>
          <w:b/>
          <w:noProof/>
          <w:szCs w:val="22"/>
        </w:rPr>
        <w:tab/>
      </w:r>
      <w:r w:rsidRPr="005E49A1">
        <w:rPr>
          <w:b/>
          <w:szCs w:val="22"/>
        </w:rPr>
        <w:t>FARMAKOLOGINĖS SAVYBĖS</w:t>
      </w:r>
    </w:p>
    <w:p w14:paraId="6EF6570D" w14:textId="77777777" w:rsidR="00302C06" w:rsidRPr="005E49A1" w:rsidRDefault="00302C06" w:rsidP="00302C06">
      <w:pPr>
        <w:tabs>
          <w:tab w:val="left" w:pos="567"/>
        </w:tabs>
        <w:rPr>
          <w:noProof/>
          <w:szCs w:val="22"/>
        </w:rPr>
      </w:pPr>
    </w:p>
    <w:p w14:paraId="7B769364" w14:textId="77777777" w:rsidR="00302C06" w:rsidRPr="005E49A1" w:rsidRDefault="00302C06" w:rsidP="00302C06">
      <w:pPr>
        <w:tabs>
          <w:tab w:val="left" w:pos="567"/>
        </w:tabs>
        <w:ind w:left="567" w:hanging="567"/>
        <w:outlineLvl w:val="0"/>
        <w:rPr>
          <w:noProof/>
          <w:szCs w:val="22"/>
        </w:rPr>
      </w:pPr>
      <w:r w:rsidRPr="005E49A1">
        <w:rPr>
          <w:b/>
          <w:noProof/>
          <w:szCs w:val="22"/>
        </w:rPr>
        <w:t xml:space="preserve">5.1 </w:t>
      </w:r>
      <w:r w:rsidRPr="005E49A1">
        <w:rPr>
          <w:b/>
          <w:noProof/>
          <w:szCs w:val="22"/>
        </w:rPr>
        <w:tab/>
      </w:r>
      <w:r w:rsidRPr="005E49A1">
        <w:rPr>
          <w:b/>
          <w:szCs w:val="22"/>
        </w:rPr>
        <w:t>Farmakodinaminės savybės</w:t>
      </w:r>
    </w:p>
    <w:p w14:paraId="0F016555" w14:textId="77777777" w:rsidR="00302C06" w:rsidRPr="005E49A1" w:rsidRDefault="00302C06" w:rsidP="00302C06">
      <w:pPr>
        <w:tabs>
          <w:tab w:val="left" w:pos="567"/>
        </w:tabs>
        <w:rPr>
          <w:noProof/>
          <w:szCs w:val="22"/>
        </w:rPr>
      </w:pPr>
    </w:p>
    <w:p w14:paraId="4399270D" w14:textId="77777777" w:rsidR="00302C06" w:rsidRPr="005E49A1" w:rsidRDefault="00302C06" w:rsidP="00302C06">
      <w:pPr>
        <w:tabs>
          <w:tab w:val="left" w:pos="567"/>
        </w:tabs>
        <w:rPr>
          <w:iCs/>
          <w:szCs w:val="22"/>
        </w:rPr>
      </w:pPr>
      <w:r w:rsidRPr="005E49A1">
        <w:rPr>
          <w:iCs/>
          <w:szCs w:val="22"/>
        </w:rPr>
        <w:t xml:space="preserve">Farmakoterapinė grupė </w:t>
      </w:r>
      <w:r w:rsidRPr="005E49A1">
        <w:rPr>
          <w:iCs/>
          <w:szCs w:val="22"/>
        </w:rPr>
        <w:sym w:font="Symbol" w:char="F02D"/>
      </w:r>
      <w:r w:rsidRPr="005E49A1">
        <w:rPr>
          <w:szCs w:val="22"/>
        </w:rPr>
        <w:t xml:space="preserve"> </w:t>
      </w:r>
      <w:r w:rsidRPr="005E49A1">
        <w:t>vaistai kaulų ligoms gydyti, b</w:t>
      </w:r>
      <w:r w:rsidRPr="005E49A1">
        <w:rPr>
          <w:szCs w:val="22"/>
        </w:rPr>
        <w:t>isfosfonatai</w:t>
      </w:r>
      <w:r w:rsidRPr="005E49A1">
        <w:rPr>
          <w:iCs/>
          <w:szCs w:val="22"/>
        </w:rPr>
        <w:t xml:space="preserve">, ATC kodas </w:t>
      </w:r>
      <w:r w:rsidRPr="005E49A1">
        <w:rPr>
          <w:iCs/>
          <w:szCs w:val="22"/>
        </w:rPr>
        <w:sym w:font="Symbol" w:char="F02D"/>
      </w:r>
      <w:r w:rsidRPr="005E49A1">
        <w:rPr>
          <w:iCs/>
          <w:szCs w:val="22"/>
        </w:rPr>
        <w:t xml:space="preserve"> M05BA06</w:t>
      </w:r>
      <w:r>
        <w:rPr>
          <w:iCs/>
          <w:szCs w:val="22"/>
        </w:rPr>
        <w:t>.</w:t>
      </w:r>
      <w:r w:rsidRPr="005E49A1">
        <w:rPr>
          <w:iCs/>
          <w:szCs w:val="22"/>
        </w:rPr>
        <w:t xml:space="preserve"> </w:t>
      </w:r>
    </w:p>
    <w:p w14:paraId="657BE7E6" w14:textId="77777777" w:rsidR="00302C06" w:rsidRPr="005E49A1" w:rsidRDefault="00302C06" w:rsidP="00302C06">
      <w:pPr>
        <w:tabs>
          <w:tab w:val="left" w:pos="567"/>
        </w:tabs>
        <w:rPr>
          <w:i/>
          <w:szCs w:val="22"/>
        </w:rPr>
      </w:pPr>
    </w:p>
    <w:p w14:paraId="5D7C5C03" w14:textId="77777777" w:rsidR="00302C06" w:rsidRPr="0022545A" w:rsidRDefault="00302C06" w:rsidP="00302C06">
      <w:pPr>
        <w:tabs>
          <w:tab w:val="left" w:pos="567"/>
        </w:tabs>
        <w:rPr>
          <w:u w:val="single"/>
        </w:rPr>
      </w:pPr>
      <w:r w:rsidRPr="0022545A">
        <w:rPr>
          <w:u w:val="single"/>
        </w:rPr>
        <w:t>Veikimo mechanizmas</w:t>
      </w:r>
    </w:p>
    <w:p w14:paraId="06E2C9CB" w14:textId="77777777" w:rsidR="00302C06" w:rsidRPr="005E49A1" w:rsidRDefault="00302C06" w:rsidP="00302C06">
      <w:pPr>
        <w:tabs>
          <w:tab w:val="left" w:pos="567"/>
        </w:tabs>
        <w:rPr>
          <w:szCs w:val="22"/>
        </w:rPr>
      </w:pPr>
      <w:r w:rsidRPr="005E49A1">
        <w:rPr>
          <w:color w:val="000000"/>
          <w:spacing w:val="-3"/>
          <w:szCs w:val="22"/>
        </w:rPr>
        <w:lastRenderedPageBreak/>
        <w:t>Ibandrono rūgštis yra stiprų poveikį sukeliantis bisfosfonatas, priklausantis bisfosfonatų, kurių sudėtyje yra azoto, grupei. Šios grupės medžiagos selektyviai veikia kaulinį audinį ir specifiškai slopina osteoklastų aktyvumą, tiesiogiai neveikdama kaulų formavimosi.</w:t>
      </w:r>
      <w:r w:rsidRPr="005E49A1">
        <w:rPr>
          <w:szCs w:val="22"/>
        </w:rPr>
        <w:t xml:space="preserve"> </w:t>
      </w:r>
      <w:r w:rsidRPr="005E49A1">
        <w:rPr>
          <w:color w:val="000000"/>
          <w:spacing w:val="-3"/>
          <w:szCs w:val="22"/>
        </w:rPr>
        <w:t>Jos neslopina osteoklastų proliferacijos.</w:t>
      </w:r>
      <w:r w:rsidRPr="005E49A1">
        <w:rPr>
          <w:szCs w:val="22"/>
        </w:rPr>
        <w:t xml:space="preserve"> Ibandrono </w:t>
      </w:r>
      <w:r w:rsidRPr="005E49A1">
        <w:rPr>
          <w:color w:val="000000"/>
          <w:spacing w:val="-3"/>
          <w:szCs w:val="22"/>
        </w:rPr>
        <w:t xml:space="preserve">slopina moterų po menopauzės suaktyvėjusią </w:t>
      </w:r>
      <w:r w:rsidRPr="005E49A1">
        <w:rPr>
          <w:color w:val="000000"/>
          <w:spacing w:val="-4"/>
          <w:szCs w:val="22"/>
        </w:rPr>
        <w:t>kaulų apykaitą iki to lygio, kuris buvo prieš menopauzę, todėl</w:t>
      </w:r>
      <w:r w:rsidRPr="005E49A1">
        <w:rPr>
          <w:szCs w:val="22"/>
        </w:rPr>
        <w:t xml:space="preserve"> </w:t>
      </w:r>
      <w:r w:rsidRPr="005E49A1">
        <w:rPr>
          <w:color w:val="000000"/>
          <w:spacing w:val="-3"/>
          <w:szCs w:val="22"/>
        </w:rPr>
        <w:t>laipsniškai didina bendrą kaulų masę ir mažina lūžių dažnį</w:t>
      </w:r>
      <w:r w:rsidRPr="005E49A1">
        <w:rPr>
          <w:color w:val="000000"/>
          <w:spacing w:val="-4"/>
          <w:szCs w:val="22"/>
        </w:rPr>
        <w:t>.</w:t>
      </w:r>
      <w:r w:rsidRPr="005E49A1">
        <w:rPr>
          <w:szCs w:val="22"/>
        </w:rPr>
        <w:t xml:space="preserve"> </w:t>
      </w:r>
    </w:p>
    <w:p w14:paraId="45641709" w14:textId="77777777" w:rsidR="00302C06" w:rsidRPr="005E49A1" w:rsidRDefault="00302C06" w:rsidP="00302C06">
      <w:pPr>
        <w:tabs>
          <w:tab w:val="left" w:pos="567"/>
        </w:tabs>
        <w:rPr>
          <w:i/>
          <w:szCs w:val="22"/>
        </w:rPr>
      </w:pPr>
    </w:p>
    <w:p w14:paraId="2BD48724" w14:textId="77777777" w:rsidR="00302C06" w:rsidRPr="0022545A" w:rsidRDefault="00302C06" w:rsidP="00302C06">
      <w:pPr>
        <w:tabs>
          <w:tab w:val="left" w:pos="567"/>
        </w:tabs>
        <w:rPr>
          <w:u w:val="single"/>
        </w:rPr>
      </w:pPr>
      <w:r w:rsidRPr="0022545A">
        <w:rPr>
          <w:u w:val="single"/>
        </w:rPr>
        <w:t>Farmakodinaminis poveikis</w:t>
      </w:r>
    </w:p>
    <w:p w14:paraId="135145E0" w14:textId="77777777" w:rsidR="00302C06" w:rsidRPr="005E49A1" w:rsidRDefault="00302C06" w:rsidP="00302C06">
      <w:pPr>
        <w:tabs>
          <w:tab w:val="left" w:pos="567"/>
        </w:tabs>
        <w:rPr>
          <w:szCs w:val="22"/>
        </w:rPr>
      </w:pPr>
      <w:r w:rsidRPr="005E49A1">
        <w:rPr>
          <w:color w:val="000000"/>
          <w:spacing w:val="-3"/>
          <w:szCs w:val="22"/>
        </w:rPr>
        <w:t>Farmakodinaminis ibandrono rūgšties poveikis yra kaulų rezorbcijos slopinimas.</w:t>
      </w:r>
      <w:r w:rsidRPr="005E49A1">
        <w:rPr>
          <w:szCs w:val="22"/>
        </w:rPr>
        <w:t xml:space="preserve"> </w:t>
      </w:r>
      <w:r w:rsidRPr="005E49A1">
        <w:rPr>
          <w:i/>
          <w:color w:val="000000"/>
          <w:spacing w:val="-3"/>
          <w:szCs w:val="22"/>
        </w:rPr>
        <w:t>In vivo</w:t>
      </w:r>
      <w:r w:rsidRPr="005E49A1">
        <w:rPr>
          <w:color w:val="000000"/>
          <w:spacing w:val="-3"/>
          <w:szCs w:val="22"/>
        </w:rPr>
        <w:t xml:space="preserve"> ibandrono rūgštis stabdo eksperimentiškai indukuotą lytinių liaukų funkcijos sustabdymu, retinoidais, navikais ar navikų ekstraktais kaulų destrukciją.</w:t>
      </w:r>
      <w:r w:rsidRPr="005E49A1">
        <w:rPr>
          <w:szCs w:val="22"/>
        </w:rPr>
        <w:t xml:space="preserve"> </w:t>
      </w:r>
      <w:r w:rsidRPr="005E49A1">
        <w:rPr>
          <w:color w:val="000000"/>
          <w:spacing w:val="-3"/>
          <w:szCs w:val="22"/>
        </w:rPr>
        <w:t xml:space="preserve">Jaunoms (greitai augančioms) žiurkėms taip pat slopinama endogeninė kaulų rezorbcija, dėl to padidėja normali kaulų masė, aplyginti su gyvūnų, kurie </w:t>
      </w:r>
      <w:r w:rsidRPr="005E49A1">
        <w:rPr>
          <w:color w:val="000000"/>
          <w:spacing w:val="-4"/>
          <w:szCs w:val="22"/>
        </w:rPr>
        <w:t>negavo preparato, normalia kaulų mase.</w:t>
      </w:r>
      <w:r w:rsidRPr="005E49A1">
        <w:rPr>
          <w:szCs w:val="22"/>
        </w:rPr>
        <w:t xml:space="preserve"> </w:t>
      </w:r>
    </w:p>
    <w:p w14:paraId="2FF25507" w14:textId="77777777" w:rsidR="00302C06" w:rsidRPr="005E49A1" w:rsidRDefault="00302C06" w:rsidP="00302C06">
      <w:pPr>
        <w:tabs>
          <w:tab w:val="left" w:pos="567"/>
        </w:tabs>
        <w:rPr>
          <w:szCs w:val="22"/>
        </w:rPr>
      </w:pPr>
      <w:r w:rsidRPr="005E49A1">
        <w:rPr>
          <w:color w:val="000000"/>
          <w:spacing w:val="-3"/>
          <w:szCs w:val="22"/>
        </w:rPr>
        <w:t>Gyvūnų modeliai patvirtino, kad ibandrono rūgštis stipriai slopina osteoklastų aktyvumą.</w:t>
      </w:r>
      <w:r w:rsidRPr="005E49A1">
        <w:rPr>
          <w:szCs w:val="22"/>
        </w:rPr>
        <w:t xml:space="preserve"> </w:t>
      </w:r>
      <w:r w:rsidRPr="005E49A1">
        <w:rPr>
          <w:color w:val="000000"/>
          <w:spacing w:val="-3"/>
          <w:szCs w:val="22"/>
        </w:rPr>
        <w:t xml:space="preserve">Jokie duomenys nerodo, kad augančioms žiurkėms būtų slopinama mineralizacija, net kai vartojamos daugiau nei </w:t>
      </w:r>
      <w:r w:rsidRPr="005E49A1">
        <w:rPr>
          <w:color w:val="000000"/>
          <w:spacing w:val="-4"/>
          <w:szCs w:val="22"/>
        </w:rPr>
        <w:t>5000</w:t>
      </w:r>
      <w:r>
        <w:rPr>
          <w:color w:val="000000"/>
          <w:spacing w:val="-4"/>
          <w:szCs w:val="22"/>
        </w:rPr>
        <w:t> </w:t>
      </w:r>
      <w:r w:rsidRPr="005E49A1">
        <w:rPr>
          <w:color w:val="000000"/>
          <w:spacing w:val="-4"/>
          <w:szCs w:val="22"/>
        </w:rPr>
        <w:t>kartų didesnės dozės, negu osteoporozei gydyti reikalinga dozė.</w:t>
      </w:r>
      <w:r w:rsidRPr="005E49A1">
        <w:rPr>
          <w:szCs w:val="22"/>
        </w:rPr>
        <w:t xml:space="preserve"> </w:t>
      </w:r>
    </w:p>
    <w:p w14:paraId="7EB4BF49" w14:textId="77777777" w:rsidR="00302C06" w:rsidRPr="005E49A1" w:rsidRDefault="00302C06" w:rsidP="00302C06">
      <w:pPr>
        <w:tabs>
          <w:tab w:val="left" w:pos="567"/>
        </w:tabs>
        <w:rPr>
          <w:szCs w:val="22"/>
        </w:rPr>
      </w:pPr>
      <w:r w:rsidRPr="005E49A1">
        <w:rPr>
          <w:color w:val="000000"/>
          <w:spacing w:val="-3"/>
          <w:szCs w:val="22"/>
        </w:rPr>
        <w:t>Ilgai kasdien ar su pertraukomis (ilgi intervalai tarp dozių) preparatą gavusioms žiurkėms, šunims ir beždžionėms formavosi naujas, normalus kaulinis audinys, kurio mechaninis atsparumas išliko toks pat arba padidėjo net skiriant toksines dozes.</w:t>
      </w:r>
      <w:r w:rsidRPr="005E49A1">
        <w:rPr>
          <w:szCs w:val="22"/>
        </w:rPr>
        <w:t xml:space="preserve"> </w:t>
      </w:r>
      <w:r w:rsidRPr="005E49A1">
        <w:rPr>
          <w:color w:val="000000"/>
          <w:spacing w:val="-3"/>
          <w:szCs w:val="22"/>
        </w:rPr>
        <w:t>Žmonėms ibandrono rūgšties veiksmingumas, jos vartojant kasdien ar su pertraukomis, kai intervalas tarp dozių yra 9 - 10 savaičių, patvirtintas klinikiniame tyrime (MF 4411), kuriame įrodytas ibandrono rūgšties veiksmingumas kaulų lūžių prevencijai.</w:t>
      </w:r>
      <w:r w:rsidRPr="005E49A1">
        <w:rPr>
          <w:szCs w:val="22"/>
        </w:rPr>
        <w:t xml:space="preserve"> </w:t>
      </w:r>
    </w:p>
    <w:p w14:paraId="771B5A3D" w14:textId="77777777" w:rsidR="00302C06" w:rsidRPr="005E49A1" w:rsidRDefault="00302C06" w:rsidP="00302C06">
      <w:pPr>
        <w:tabs>
          <w:tab w:val="left" w:pos="567"/>
        </w:tabs>
        <w:rPr>
          <w:szCs w:val="22"/>
        </w:rPr>
      </w:pPr>
    </w:p>
    <w:p w14:paraId="6F61C6C6" w14:textId="77777777" w:rsidR="00302C06" w:rsidRPr="005E49A1" w:rsidRDefault="00302C06" w:rsidP="00302C06">
      <w:pPr>
        <w:tabs>
          <w:tab w:val="left" w:pos="567"/>
        </w:tabs>
        <w:rPr>
          <w:szCs w:val="22"/>
        </w:rPr>
      </w:pPr>
      <w:r w:rsidRPr="005E49A1">
        <w:rPr>
          <w:color w:val="000000"/>
          <w:spacing w:val="-3"/>
          <w:szCs w:val="22"/>
        </w:rPr>
        <w:t>Modeliuose su gyvūnais ibandrono rūgštis sukėlė biocheminių rodiklių įskaitant sumažėjusį biocheminių kolageno irimo žymenų (pavyzdžiui, deoksipiridinolino ir kryžminių I tipo kolageno N-telopeptidų (NTX) kiekį šlapime, pokyčius, kurie rodė nuo dozės priklausomą kaulų rezorbcijos slopinimą.</w:t>
      </w:r>
      <w:r w:rsidRPr="005E49A1">
        <w:rPr>
          <w:szCs w:val="22"/>
        </w:rPr>
        <w:t xml:space="preserve"> </w:t>
      </w:r>
    </w:p>
    <w:p w14:paraId="15139A6F" w14:textId="77777777" w:rsidR="00302C06" w:rsidRPr="005E49A1" w:rsidRDefault="00302C06" w:rsidP="00302C06">
      <w:pPr>
        <w:tabs>
          <w:tab w:val="left" w:pos="567"/>
        </w:tabs>
        <w:rPr>
          <w:szCs w:val="22"/>
        </w:rPr>
      </w:pPr>
    </w:p>
    <w:p w14:paraId="2C185B95" w14:textId="77777777" w:rsidR="00302C06" w:rsidRPr="005E49A1" w:rsidRDefault="00302C06" w:rsidP="00302C06">
      <w:pPr>
        <w:tabs>
          <w:tab w:val="left" w:pos="567"/>
        </w:tabs>
        <w:rPr>
          <w:szCs w:val="22"/>
        </w:rPr>
      </w:pPr>
      <w:r w:rsidRPr="005E49A1">
        <w:rPr>
          <w:color w:val="000000"/>
          <w:spacing w:val="-3"/>
          <w:szCs w:val="22"/>
        </w:rPr>
        <w:t>I fazės bioekvivalentiškumo tyrime dalyvavo 72 moterys po menopauzės, kurios kas 28 dienas gėrė po 150 mg, iš viso keturias dozes. CTX slopinimas serume po pirmosios dozės nustatytas po 24 valandų (slopinimo mediana 28%), didžiausio slopinimo mediana (69%) nustatyta po 6 parų.</w:t>
      </w:r>
      <w:r w:rsidRPr="005E49A1">
        <w:rPr>
          <w:szCs w:val="22"/>
        </w:rPr>
        <w:t xml:space="preserve"> </w:t>
      </w:r>
      <w:r w:rsidRPr="005E49A1">
        <w:rPr>
          <w:color w:val="000000"/>
          <w:spacing w:val="-3"/>
          <w:szCs w:val="22"/>
        </w:rPr>
        <w:t>Praėjus 6 paroms po trečiosios ir ketvirtosios dozių, didžiausio slopinimo mediana buvo 74%, praėjus 28 paroms po ketvirtosios dozės slopinimo mediana sumažėjo iki 56%.</w:t>
      </w:r>
      <w:r w:rsidRPr="005E49A1">
        <w:rPr>
          <w:szCs w:val="22"/>
        </w:rPr>
        <w:t xml:space="preserve"> </w:t>
      </w:r>
      <w:r w:rsidRPr="005E49A1">
        <w:rPr>
          <w:color w:val="000000"/>
          <w:spacing w:val="-3"/>
          <w:szCs w:val="22"/>
        </w:rPr>
        <w:t xml:space="preserve">Jeigu vėliau vaisto </w:t>
      </w:r>
      <w:r w:rsidRPr="005E49A1">
        <w:rPr>
          <w:color w:val="000000"/>
          <w:spacing w:val="-4"/>
          <w:szCs w:val="22"/>
        </w:rPr>
        <w:t>nebevartojama, biocheminiai kaulų rezorbcijos žymenys nebeslopinami.</w:t>
      </w:r>
      <w:r w:rsidRPr="005E49A1">
        <w:rPr>
          <w:szCs w:val="22"/>
        </w:rPr>
        <w:t xml:space="preserve"> </w:t>
      </w:r>
    </w:p>
    <w:p w14:paraId="3D7E3301" w14:textId="77777777" w:rsidR="00302C06" w:rsidRPr="005E49A1" w:rsidRDefault="00302C06" w:rsidP="00302C06">
      <w:pPr>
        <w:tabs>
          <w:tab w:val="left" w:pos="567"/>
        </w:tabs>
        <w:rPr>
          <w:i/>
          <w:szCs w:val="22"/>
        </w:rPr>
      </w:pPr>
    </w:p>
    <w:p w14:paraId="2D7778F8" w14:textId="77777777" w:rsidR="00302C06" w:rsidRPr="0022545A" w:rsidRDefault="00302C06" w:rsidP="00302C06">
      <w:pPr>
        <w:tabs>
          <w:tab w:val="left" w:pos="567"/>
        </w:tabs>
        <w:rPr>
          <w:u w:val="single"/>
        </w:rPr>
      </w:pPr>
      <w:r w:rsidRPr="0022545A">
        <w:rPr>
          <w:u w:val="single"/>
        </w:rPr>
        <w:t>Klinikinis veiksmingumas ir saugumas</w:t>
      </w:r>
    </w:p>
    <w:p w14:paraId="5B688022" w14:textId="77777777" w:rsidR="00302C06" w:rsidRPr="005E49A1" w:rsidRDefault="00302C06" w:rsidP="00302C06">
      <w:pPr>
        <w:tabs>
          <w:tab w:val="left" w:pos="567"/>
        </w:tabs>
        <w:rPr>
          <w:szCs w:val="22"/>
        </w:rPr>
      </w:pPr>
      <w:r w:rsidRPr="005E49A1">
        <w:rPr>
          <w:color w:val="000000"/>
          <w:spacing w:val="-3"/>
          <w:szCs w:val="22"/>
        </w:rPr>
        <w:t>Nustatinėjant moteris, kurioms yra padidėjusi kaulų lūžių dėl osteoporozės rizika, reikia atsižvelgti į nepriklausomus rizikos veiksnius, pvz., mažą KMT, amžių, anksčiau buvusius kaulų lūžius, buvusius kaulų lūžius kraujo giminaičiams, greitą kaulų apykaitą ir mažą kūno masės indeksą.</w:t>
      </w:r>
      <w:r w:rsidRPr="005E49A1">
        <w:rPr>
          <w:szCs w:val="22"/>
        </w:rPr>
        <w:t xml:space="preserve"> </w:t>
      </w:r>
    </w:p>
    <w:p w14:paraId="5308817A" w14:textId="77777777" w:rsidR="00302C06" w:rsidRPr="005E49A1" w:rsidRDefault="00302C06" w:rsidP="00302C06">
      <w:pPr>
        <w:tabs>
          <w:tab w:val="left" w:pos="567"/>
        </w:tabs>
        <w:rPr>
          <w:b/>
          <w:szCs w:val="22"/>
          <w:u w:val="single"/>
        </w:rPr>
      </w:pPr>
    </w:p>
    <w:p w14:paraId="085BF918" w14:textId="77777777" w:rsidR="00302C06" w:rsidRPr="005E49A1" w:rsidRDefault="00302C06" w:rsidP="00302C06">
      <w:pPr>
        <w:tabs>
          <w:tab w:val="left" w:pos="567"/>
        </w:tabs>
        <w:rPr>
          <w:szCs w:val="22"/>
          <w:u w:val="single"/>
        </w:rPr>
      </w:pPr>
      <w:r w:rsidRPr="005E49A1">
        <w:rPr>
          <w:szCs w:val="22"/>
          <w:u w:val="single"/>
        </w:rPr>
        <w:t>150 mg ibandrono rūgšties dozės vartojimas kartą per mėnesį</w:t>
      </w:r>
    </w:p>
    <w:p w14:paraId="4B6FC40B" w14:textId="77777777" w:rsidR="00302C06" w:rsidRPr="005E49A1" w:rsidRDefault="00302C06" w:rsidP="00302C06">
      <w:pPr>
        <w:tabs>
          <w:tab w:val="left" w:pos="567"/>
        </w:tabs>
        <w:rPr>
          <w:i/>
          <w:szCs w:val="22"/>
        </w:rPr>
      </w:pPr>
    </w:p>
    <w:p w14:paraId="19C0A7ED" w14:textId="77777777" w:rsidR="00302C06" w:rsidRPr="0022545A" w:rsidRDefault="00302C06" w:rsidP="00302C06">
      <w:pPr>
        <w:tabs>
          <w:tab w:val="left" w:pos="567"/>
        </w:tabs>
        <w:rPr>
          <w:i/>
        </w:rPr>
      </w:pPr>
      <w:r w:rsidRPr="0022545A">
        <w:rPr>
          <w:i/>
          <w:color w:val="000000"/>
          <w:spacing w:val="-4"/>
        </w:rPr>
        <w:t>Kaulų mineralų tankis (KMT)</w:t>
      </w:r>
    </w:p>
    <w:p w14:paraId="0EF6DEFB" w14:textId="77777777" w:rsidR="00302C06" w:rsidRPr="005E49A1" w:rsidRDefault="00302C06" w:rsidP="00302C06">
      <w:pPr>
        <w:tabs>
          <w:tab w:val="left" w:pos="567"/>
        </w:tabs>
        <w:rPr>
          <w:szCs w:val="22"/>
        </w:rPr>
      </w:pPr>
      <w:r w:rsidRPr="005E49A1">
        <w:rPr>
          <w:color w:val="000000"/>
          <w:spacing w:val="-3"/>
          <w:szCs w:val="22"/>
        </w:rPr>
        <w:t>Dvejų metų trukmės, dvigubai aklo daugiacentrio BM 16549 tyrimo, kuriame dalyvavo osteoporoze sergančios moterys po menopauzės (pradinis juosmens slankstelių KMT T lygmuo mažesnis nei -2,5 SD), metu įrodyta, kad KMT didinimui 150</w:t>
      </w:r>
      <w:r>
        <w:rPr>
          <w:color w:val="000000"/>
          <w:spacing w:val="-3"/>
          <w:szCs w:val="22"/>
        </w:rPr>
        <w:t> </w:t>
      </w:r>
      <w:r w:rsidRPr="005E49A1">
        <w:rPr>
          <w:color w:val="000000"/>
          <w:spacing w:val="-3"/>
          <w:szCs w:val="22"/>
        </w:rPr>
        <w:t>mg ibandrono dozė, vartojama kartą per mėnesį, yra bent jau tokia pat veiksminga, kaip kartą per parą vartojama 2,5</w:t>
      </w:r>
      <w:r>
        <w:rPr>
          <w:color w:val="000000"/>
          <w:spacing w:val="-3"/>
          <w:szCs w:val="22"/>
        </w:rPr>
        <w:t> </w:t>
      </w:r>
      <w:r w:rsidRPr="005E49A1">
        <w:rPr>
          <w:color w:val="000000"/>
          <w:spacing w:val="-3"/>
          <w:szCs w:val="22"/>
        </w:rPr>
        <w:t>mg ibandrono rūgšties dozė.</w:t>
      </w:r>
      <w:r w:rsidRPr="005E49A1">
        <w:rPr>
          <w:szCs w:val="22"/>
        </w:rPr>
        <w:t xml:space="preserve"> </w:t>
      </w:r>
      <w:r w:rsidRPr="005E49A1">
        <w:rPr>
          <w:color w:val="000000"/>
          <w:spacing w:val="-3"/>
          <w:szCs w:val="22"/>
        </w:rPr>
        <w:t>Tai parodė ir po vienerių metų atlikta pirminė analizė, ir po dviejų metų atlikta vertinamosios baigties analizė</w:t>
      </w:r>
      <w:r w:rsidRPr="005E49A1">
        <w:rPr>
          <w:color w:val="000000"/>
          <w:spacing w:val="-4"/>
          <w:szCs w:val="22"/>
        </w:rPr>
        <w:t xml:space="preserve"> (2 lentelė).</w:t>
      </w:r>
    </w:p>
    <w:p w14:paraId="2FD4F948" w14:textId="77777777" w:rsidR="00302C06" w:rsidRPr="005E49A1" w:rsidRDefault="00302C06" w:rsidP="00302C06">
      <w:pPr>
        <w:tabs>
          <w:tab w:val="left" w:pos="567"/>
        </w:tabs>
        <w:rPr>
          <w:szCs w:val="22"/>
        </w:rPr>
      </w:pPr>
    </w:p>
    <w:p w14:paraId="186C1E8B" w14:textId="77777777" w:rsidR="00302C06" w:rsidRPr="005E49A1" w:rsidRDefault="00302C06" w:rsidP="00302C06">
      <w:pPr>
        <w:tabs>
          <w:tab w:val="left" w:pos="567"/>
        </w:tabs>
        <w:rPr>
          <w:color w:val="000000"/>
          <w:spacing w:val="-4"/>
          <w:szCs w:val="22"/>
        </w:rPr>
      </w:pPr>
      <w:r w:rsidRPr="005E49A1">
        <w:rPr>
          <w:color w:val="000000"/>
          <w:spacing w:val="-3"/>
          <w:szCs w:val="22"/>
        </w:rPr>
        <w:t xml:space="preserve">2 lentelė. Vidutinis santykinis juosmens slankstelių, bendro klubo kaulų, šlaunikaulio kaklelio ir gumburo srities KMT pokytis, lyginant su pradine verte po vienerių (pirminė analizė) ir po dvejų </w:t>
      </w:r>
      <w:r w:rsidRPr="005E49A1">
        <w:rPr>
          <w:color w:val="000000"/>
          <w:spacing w:val="-4"/>
          <w:szCs w:val="22"/>
        </w:rPr>
        <w:t>(protokolo populiacijos) BM 16549 tyrimo metų.</w:t>
      </w:r>
    </w:p>
    <w:p w14:paraId="06DC76BE" w14:textId="77777777" w:rsidR="00302C06" w:rsidRPr="005E49A1" w:rsidRDefault="00302C06" w:rsidP="00302C06">
      <w:pPr>
        <w:tabs>
          <w:tab w:val="left" w:pos="567"/>
        </w:tabs>
        <w:rPr>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00"/>
        <w:gridCol w:w="1620"/>
        <w:gridCol w:w="1440"/>
        <w:gridCol w:w="1662"/>
        <w:gridCol w:w="1578"/>
      </w:tblGrid>
      <w:tr w:rsidR="00302C06" w:rsidRPr="005E49A1" w14:paraId="05ABB429" w14:textId="77777777" w:rsidTr="009818C1">
        <w:tc>
          <w:tcPr>
            <w:tcW w:w="2700" w:type="dxa"/>
          </w:tcPr>
          <w:p w14:paraId="52C40BFF" w14:textId="77777777" w:rsidR="00302C06" w:rsidRPr="005E49A1" w:rsidRDefault="00302C06" w:rsidP="00794B16">
            <w:pPr>
              <w:tabs>
                <w:tab w:val="left" w:pos="567"/>
              </w:tabs>
              <w:rPr>
                <w:szCs w:val="22"/>
              </w:rPr>
            </w:pPr>
          </w:p>
        </w:tc>
        <w:tc>
          <w:tcPr>
            <w:tcW w:w="3060" w:type="dxa"/>
            <w:gridSpan w:val="2"/>
          </w:tcPr>
          <w:p w14:paraId="460D1F96" w14:textId="77777777" w:rsidR="00302C06" w:rsidRPr="005E49A1" w:rsidRDefault="00302C06" w:rsidP="00794B16">
            <w:pPr>
              <w:tabs>
                <w:tab w:val="left" w:pos="567"/>
              </w:tabs>
              <w:rPr>
                <w:szCs w:val="22"/>
              </w:rPr>
            </w:pPr>
            <w:r w:rsidRPr="005E49A1">
              <w:rPr>
                <w:szCs w:val="22"/>
              </w:rPr>
              <w:t>Vienų metų BM 16549 tyrimo duomenys</w:t>
            </w:r>
          </w:p>
        </w:tc>
        <w:tc>
          <w:tcPr>
            <w:tcW w:w="3240" w:type="dxa"/>
            <w:gridSpan w:val="2"/>
          </w:tcPr>
          <w:p w14:paraId="00819131" w14:textId="77777777" w:rsidR="00302C06" w:rsidRPr="005E49A1" w:rsidRDefault="00302C06" w:rsidP="00794B16">
            <w:pPr>
              <w:tabs>
                <w:tab w:val="left" w:pos="567"/>
              </w:tabs>
              <w:rPr>
                <w:szCs w:val="22"/>
              </w:rPr>
            </w:pPr>
            <w:r w:rsidRPr="005E49A1">
              <w:rPr>
                <w:szCs w:val="22"/>
              </w:rPr>
              <w:t>Dvejų metų BM 16549 tyrimo duomenys</w:t>
            </w:r>
          </w:p>
        </w:tc>
      </w:tr>
      <w:tr w:rsidR="00302C06" w:rsidRPr="005E49A1" w14:paraId="40C290F4" w14:textId="77777777" w:rsidTr="009818C1">
        <w:tc>
          <w:tcPr>
            <w:tcW w:w="2700" w:type="dxa"/>
          </w:tcPr>
          <w:p w14:paraId="272B3495" w14:textId="77777777" w:rsidR="00302C06" w:rsidRPr="00444E1A" w:rsidRDefault="00302C06" w:rsidP="00794B16">
            <w:pPr>
              <w:tabs>
                <w:tab w:val="left" w:pos="567"/>
              </w:tabs>
              <w:rPr>
                <w:szCs w:val="22"/>
              </w:rPr>
            </w:pPr>
            <w:r w:rsidRPr="005E49A1">
              <w:rPr>
                <w:color w:val="000000"/>
                <w:spacing w:val="-3"/>
                <w:position w:val="-4"/>
                <w:szCs w:val="22"/>
              </w:rPr>
              <w:t xml:space="preserve">Vidutinis santykinis pokytis lyginant su pradine verte </w:t>
            </w:r>
            <w:r w:rsidRPr="005E49A1">
              <w:rPr>
                <w:szCs w:val="22"/>
              </w:rPr>
              <w:t xml:space="preserve">% [95 % PI] </w:t>
            </w:r>
          </w:p>
        </w:tc>
        <w:tc>
          <w:tcPr>
            <w:tcW w:w="1620" w:type="dxa"/>
          </w:tcPr>
          <w:p w14:paraId="3F8CF321" w14:textId="77777777" w:rsidR="00302C06" w:rsidRPr="00444E1A" w:rsidRDefault="00302C06" w:rsidP="00794B16">
            <w:pPr>
              <w:pStyle w:val="Default"/>
              <w:tabs>
                <w:tab w:val="left" w:pos="567"/>
              </w:tabs>
              <w:rPr>
                <w:sz w:val="22"/>
                <w:szCs w:val="22"/>
                <w:lang w:val="lt-LT"/>
              </w:rPr>
            </w:pPr>
            <w:r w:rsidRPr="005E49A1">
              <w:rPr>
                <w:sz w:val="22"/>
                <w:szCs w:val="22"/>
                <w:lang w:val="lt-LT"/>
              </w:rPr>
              <w:t xml:space="preserve">Ibandrono rūgštis 2,5 mg kartą per parą </w:t>
            </w:r>
          </w:p>
          <w:p w14:paraId="1D581FFB" w14:textId="77777777" w:rsidR="00302C06" w:rsidRPr="00444E1A" w:rsidRDefault="00302C06" w:rsidP="00794B16">
            <w:pPr>
              <w:tabs>
                <w:tab w:val="left" w:pos="567"/>
              </w:tabs>
              <w:rPr>
                <w:szCs w:val="22"/>
              </w:rPr>
            </w:pPr>
            <w:r w:rsidRPr="005E49A1">
              <w:rPr>
                <w:szCs w:val="22"/>
              </w:rPr>
              <w:t xml:space="preserve">(N=318) </w:t>
            </w:r>
          </w:p>
        </w:tc>
        <w:tc>
          <w:tcPr>
            <w:tcW w:w="1440" w:type="dxa"/>
          </w:tcPr>
          <w:p w14:paraId="58CF9A07" w14:textId="77777777" w:rsidR="00302C06" w:rsidRPr="00444E1A" w:rsidRDefault="00302C06" w:rsidP="00794B16">
            <w:pPr>
              <w:pStyle w:val="Default"/>
              <w:tabs>
                <w:tab w:val="left" w:pos="567"/>
              </w:tabs>
              <w:rPr>
                <w:sz w:val="22"/>
                <w:szCs w:val="22"/>
                <w:lang w:val="lt-LT"/>
              </w:rPr>
            </w:pPr>
            <w:r w:rsidRPr="005E49A1">
              <w:rPr>
                <w:sz w:val="22"/>
                <w:szCs w:val="22"/>
                <w:lang w:val="lt-LT"/>
              </w:rPr>
              <w:t xml:space="preserve">Ibandrono rūgštis 150 mg kartą per mėnesį </w:t>
            </w:r>
          </w:p>
          <w:p w14:paraId="2F54E113" w14:textId="77777777" w:rsidR="00302C06" w:rsidRPr="00444E1A" w:rsidRDefault="00302C06" w:rsidP="00794B16">
            <w:pPr>
              <w:tabs>
                <w:tab w:val="left" w:pos="567"/>
              </w:tabs>
              <w:rPr>
                <w:szCs w:val="22"/>
              </w:rPr>
            </w:pPr>
            <w:r w:rsidRPr="005E49A1">
              <w:rPr>
                <w:szCs w:val="22"/>
              </w:rPr>
              <w:t xml:space="preserve">(N=320) </w:t>
            </w:r>
          </w:p>
        </w:tc>
        <w:tc>
          <w:tcPr>
            <w:tcW w:w="1662" w:type="dxa"/>
          </w:tcPr>
          <w:p w14:paraId="664B6A45" w14:textId="77777777" w:rsidR="00302C06" w:rsidRPr="005E49A1" w:rsidRDefault="00302C06" w:rsidP="00794B16">
            <w:pPr>
              <w:pStyle w:val="Debesliotekstas"/>
              <w:tabs>
                <w:tab w:val="left" w:pos="567"/>
              </w:tabs>
              <w:rPr>
                <w:rFonts w:ascii="Times New Roman" w:hAnsi="Times New Roman" w:cs="Times New Roman"/>
                <w:sz w:val="22"/>
                <w:szCs w:val="22"/>
              </w:rPr>
            </w:pPr>
            <w:r w:rsidRPr="005E49A1">
              <w:rPr>
                <w:rFonts w:ascii="Times New Roman" w:hAnsi="Times New Roman" w:cs="Times New Roman"/>
                <w:sz w:val="22"/>
                <w:szCs w:val="22"/>
              </w:rPr>
              <w:t xml:space="preserve">Ibandrono rūgštis 2,5 mg kartą per parą </w:t>
            </w:r>
          </w:p>
          <w:p w14:paraId="7638C722" w14:textId="77777777" w:rsidR="00302C06" w:rsidRPr="005E49A1" w:rsidRDefault="00302C06" w:rsidP="00794B16">
            <w:pPr>
              <w:pStyle w:val="Debesliotekstas"/>
              <w:tabs>
                <w:tab w:val="left" w:pos="567"/>
              </w:tabs>
              <w:autoSpaceDE w:val="0"/>
              <w:autoSpaceDN w:val="0"/>
              <w:adjustRightInd w:val="0"/>
              <w:rPr>
                <w:rFonts w:ascii="Times New Roman" w:hAnsi="Times New Roman" w:cs="Times New Roman"/>
                <w:color w:val="000000"/>
                <w:sz w:val="22"/>
                <w:szCs w:val="22"/>
              </w:rPr>
            </w:pPr>
            <w:r w:rsidRPr="005E49A1">
              <w:rPr>
                <w:rFonts w:ascii="Times New Roman" w:hAnsi="Times New Roman" w:cs="Times New Roman"/>
                <w:sz w:val="22"/>
                <w:szCs w:val="22"/>
              </w:rPr>
              <w:t xml:space="preserve">(N=294) </w:t>
            </w:r>
          </w:p>
        </w:tc>
        <w:tc>
          <w:tcPr>
            <w:tcW w:w="1578" w:type="dxa"/>
          </w:tcPr>
          <w:p w14:paraId="7B3C5D08" w14:textId="77777777" w:rsidR="00302C06" w:rsidRPr="005E49A1" w:rsidRDefault="00302C06" w:rsidP="00794B16">
            <w:pPr>
              <w:pStyle w:val="Debesliotekstas"/>
              <w:tabs>
                <w:tab w:val="left" w:pos="567"/>
              </w:tabs>
              <w:rPr>
                <w:rFonts w:ascii="Times New Roman" w:hAnsi="Times New Roman" w:cs="Times New Roman"/>
                <w:sz w:val="22"/>
                <w:szCs w:val="22"/>
              </w:rPr>
            </w:pPr>
            <w:r w:rsidRPr="005E49A1">
              <w:rPr>
                <w:rFonts w:ascii="Times New Roman" w:hAnsi="Times New Roman" w:cs="Times New Roman"/>
                <w:sz w:val="22"/>
                <w:szCs w:val="22"/>
              </w:rPr>
              <w:t xml:space="preserve">Ibandrono rūgštis 150 mg kartą per mėnesį </w:t>
            </w:r>
          </w:p>
          <w:p w14:paraId="55C9FB82" w14:textId="77777777" w:rsidR="00302C06" w:rsidRPr="005E49A1" w:rsidRDefault="00302C06" w:rsidP="00794B16">
            <w:pPr>
              <w:pStyle w:val="Debesliotekstas"/>
              <w:tabs>
                <w:tab w:val="left" w:pos="567"/>
              </w:tabs>
              <w:autoSpaceDE w:val="0"/>
              <w:autoSpaceDN w:val="0"/>
              <w:adjustRightInd w:val="0"/>
              <w:rPr>
                <w:rFonts w:ascii="Times New Roman" w:hAnsi="Times New Roman" w:cs="Times New Roman"/>
                <w:color w:val="000000"/>
                <w:sz w:val="22"/>
                <w:szCs w:val="22"/>
              </w:rPr>
            </w:pPr>
            <w:r w:rsidRPr="005E49A1">
              <w:rPr>
                <w:rFonts w:ascii="Times New Roman" w:hAnsi="Times New Roman" w:cs="Times New Roman"/>
                <w:sz w:val="22"/>
                <w:szCs w:val="22"/>
              </w:rPr>
              <w:t xml:space="preserve">(N=291) </w:t>
            </w:r>
          </w:p>
        </w:tc>
      </w:tr>
      <w:tr w:rsidR="00302C06" w:rsidRPr="005E49A1" w14:paraId="235C94A6" w14:textId="77777777" w:rsidTr="009818C1">
        <w:tc>
          <w:tcPr>
            <w:tcW w:w="2700" w:type="dxa"/>
          </w:tcPr>
          <w:p w14:paraId="033FBB9C" w14:textId="77777777" w:rsidR="00302C06" w:rsidRPr="00444E1A" w:rsidRDefault="00302C06" w:rsidP="00794B16">
            <w:pPr>
              <w:tabs>
                <w:tab w:val="left" w:pos="567"/>
              </w:tabs>
              <w:rPr>
                <w:szCs w:val="22"/>
              </w:rPr>
            </w:pPr>
            <w:r w:rsidRPr="005E49A1">
              <w:rPr>
                <w:color w:val="000000"/>
                <w:spacing w:val="-3"/>
                <w:szCs w:val="22"/>
              </w:rPr>
              <w:lastRenderedPageBreak/>
              <w:t>Juosmeninių slankstelių L2-L4 KMT</w:t>
            </w:r>
          </w:p>
        </w:tc>
        <w:tc>
          <w:tcPr>
            <w:tcW w:w="1620" w:type="dxa"/>
          </w:tcPr>
          <w:p w14:paraId="3F0CF06A" w14:textId="77777777" w:rsidR="00302C06" w:rsidRPr="00444E1A" w:rsidRDefault="00302C06" w:rsidP="00794B16">
            <w:pPr>
              <w:tabs>
                <w:tab w:val="left" w:pos="567"/>
              </w:tabs>
              <w:rPr>
                <w:szCs w:val="22"/>
              </w:rPr>
            </w:pPr>
            <w:r w:rsidRPr="005E49A1">
              <w:rPr>
                <w:szCs w:val="22"/>
              </w:rPr>
              <w:t xml:space="preserve">3,9 [3,4, 4,3] </w:t>
            </w:r>
          </w:p>
        </w:tc>
        <w:tc>
          <w:tcPr>
            <w:tcW w:w="1440" w:type="dxa"/>
          </w:tcPr>
          <w:p w14:paraId="6E6FFACF" w14:textId="77777777" w:rsidR="00302C06" w:rsidRPr="00444E1A" w:rsidRDefault="00302C06" w:rsidP="00794B16">
            <w:pPr>
              <w:tabs>
                <w:tab w:val="left" w:pos="567"/>
              </w:tabs>
              <w:rPr>
                <w:szCs w:val="22"/>
              </w:rPr>
            </w:pPr>
            <w:r w:rsidRPr="005E49A1">
              <w:rPr>
                <w:szCs w:val="22"/>
              </w:rPr>
              <w:t xml:space="preserve">4,9 [4,4, 5,3] </w:t>
            </w:r>
          </w:p>
        </w:tc>
        <w:tc>
          <w:tcPr>
            <w:tcW w:w="1662" w:type="dxa"/>
          </w:tcPr>
          <w:p w14:paraId="58F5C20C" w14:textId="77777777" w:rsidR="00302C06" w:rsidRPr="00444E1A" w:rsidRDefault="00302C06" w:rsidP="00794B16">
            <w:pPr>
              <w:tabs>
                <w:tab w:val="left" w:pos="567"/>
              </w:tabs>
              <w:rPr>
                <w:szCs w:val="22"/>
              </w:rPr>
            </w:pPr>
            <w:r w:rsidRPr="005E49A1">
              <w:rPr>
                <w:szCs w:val="22"/>
              </w:rPr>
              <w:t xml:space="preserve">5 [4,4, 5,5] </w:t>
            </w:r>
          </w:p>
        </w:tc>
        <w:tc>
          <w:tcPr>
            <w:tcW w:w="1578" w:type="dxa"/>
          </w:tcPr>
          <w:p w14:paraId="67222118" w14:textId="77777777" w:rsidR="00302C06" w:rsidRPr="00444E1A" w:rsidRDefault="00302C06" w:rsidP="00794B16">
            <w:pPr>
              <w:tabs>
                <w:tab w:val="left" w:pos="567"/>
              </w:tabs>
              <w:rPr>
                <w:szCs w:val="22"/>
              </w:rPr>
            </w:pPr>
            <w:r w:rsidRPr="005E49A1">
              <w:rPr>
                <w:szCs w:val="22"/>
              </w:rPr>
              <w:t xml:space="preserve">6,6 [6, 7,1] </w:t>
            </w:r>
          </w:p>
        </w:tc>
      </w:tr>
      <w:tr w:rsidR="00302C06" w:rsidRPr="005E49A1" w14:paraId="20E8A9AB" w14:textId="77777777" w:rsidTr="009818C1">
        <w:tc>
          <w:tcPr>
            <w:tcW w:w="2700" w:type="dxa"/>
          </w:tcPr>
          <w:p w14:paraId="31BF729B" w14:textId="77777777" w:rsidR="00302C06" w:rsidRPr="005E49A1" w:rsidRDefault="00302C06" w:rsidP="00794B16">
            <w:pPr>
              <w:tabs>
                <w:tab w:val="left" w:pos="567"/>
              </w:tabs>
              <w:rPr>
                <w:szCs w:val="22"/>
              </w:rPr>
            </w:pPr>
            <w:r w:rsidRPr="005E49A1">
              <w:rPr>
                <w:color w:val="000000"/>
                <w:spacing w:val="-3"/>
                <w:szCs w:val="22"/>
              </w:rPr>
              <w:t>Bendras šlaunikaulio KMT</w:t>
            </w:r>
          </w:p>
        </w:tc>
        <w:tc>
          <w:tcPr>
            <w:tcW w:w="1620" w:type="dxa"/>
          </w:tcPr>
          <w:p w14:paraId="189C7708" w14:textId="77777777" w:rsidR="00302C06" w:rsidRPr="00444E1A" w:rsidRDefault="00302C06" w:rsidP="00794B16">
            <w:pPr>
              <w:tabs>
                <w:tab w:val="left" w:pos="567"/>
              </w:tabs>
              <w:rPr>
                <w:szCs w:val="22"/>
              </w:rPr>
            </w:pPr>
            <w:r w:rsidRPr="005E49A1">
              <w:rPr>
                <w:szCs w:val="22"/>
              </w:rPr>
              <w:t xml:space="preserve">2 [1,7, 2,3] </w:t>
            </w:r>
          </w:p>
        </w:tc>
        <w:tc>
          <w:tcPr>
            <w:tcW w:w="1440" w:type="dxa"/>
          </w:tcPr>
          <w:p w14:paraId="458F35C3" w14:textId="77777777" w:rsidR="00302C06" w:rsidRPr="00444E1A" w:rsidRDefault="00302C06" w:rsidP="00794B16">
            <w:pPr>
              <w:tabs>
                <w:tab w:val="left" w:pos="567"/>
              </w:tabs>
              <w:rPr>
                <w:szCs w:val="22"/>
              </w:rPr>
            </w:pPr>
            <w:r w:rsidRPr="005E49A1">
              <w:rPr>
                <w:szCs w:val="22"/>
              </w:rPr>
              <w:t xml:space="preserve">3,1 [2,8, 3,4] </w:t>
            </w:r>
          </w:p>
        </w:tc>
        <w:tc>
          <w:tcPr>
            <w:tcW w:w="1662" w:type="dxa"/>
          </w:tcPr>
          <w:p w14:paraId="220E5B19" w14:textId="77777777" w:rsidR="00302C06" w:rsidRPr="00444E1A" w:rsidRDefault="00302C06" w:rsidP="00794B16">
            <w:pPr>
              <w:tabs>
                <w:tab w:val="left" w:pos="567"/>
              </w:tabs>
              <w:rPr>
                <w:szCs w:val="22"/>
              </w:rPr>
            </w:pPr>
            <w:r w:rsidRPr="005E49A1">
              <w:rPr>
                <w:szCs w:val="22"/>
              </w:rPr>
              <w:t xml:space="preserve">2,5 [2,1, 2,9] </w:t>
            </w:r>
          </w:p>
        </w:tc>
        <w:tc>
          <w:tcPr>
            <w:tcW w:w="1578" w:type="dxa"/>
          </w:tcPr>
          <w:p w14:paraId="1BC99F15" w14:textId="77777777" w:rsidR="00302C06" w:rsidRPr="00444E1A" w:rsidRDefault="00302C06" w:rsidP="00794B16">
            <w:pPr>
              <w:tabs>
                <w:tab w:val="left" w:pos="567"/>
              </w:tabs>
              <w:rPr>
                <w:szCs w:val="22"/>
              </w:rPr>
            </w:pPr>
            <w:r w:rsidRPr="005E49A1">
              <w:rPr>
                <w:szCs w:val="22"/>
              </w:rPr>
              <w:t xml:space="preserve">4,2 [3,8, 4,5] </w:t>
            </w:r>
          </w:p>
        </w:tc>
      </w:tr>
      <w:tr w:rsidR="00302C06" w:rsidRPr="005E49A1" w14:paraId="051312D8" w14:textId="77777777" w:rsidTr="009818C1">
        <w:tc>
          <w:tcPr>
            <w:tcW w:w="2700" w:type="dxa"/>
          </w:tcPr>
          <w:p w14:paraId="18C1D213" w14:textId="77777777" w:rsidR="00302C06" w:rsidRPr="00444E1A" w:rsidRDefault="00302C06" w:rsidP="00794B16">
            <w:pPr>
              <w:tabs>
                <w:tab w:val="left" w:pos="567"/>
              </w:tabs>
              <w:rPr>
                <w:szCs w:val="22"/>
              </w:rPr>
            </w:pPr>
            <w:r w:rsidRPr="005E49A1">
              <w:rPr>
                <w:color w:val="000000"/>
                <w:spacing w:val="-3"/>
                <w:szCs w:val="22"/>
              </w:rPr>
              <w:t>Šlaunikaulio kaklelio KMT</w:t>
            </w:r>
          </w:p>
        </w:tc>
        <w:tc>
          <w:tcPr>
            <w:tcW w:w="1620" w:type="dxa"/>
          </w:tcPr>
          <w:p w14:paraId="5EA4EB48" w14:textId="77777777" w:rsidR="00302C06" w:rsidRPr="00444E1A" w:rsidRDefault="00302C06" w:rsidP="00794B16">
            <w:pPr>
              <w:tabs>
                <w:tab w:val="left" w:pos="567"/>
              </w:tabs>
              <w:rPr>
                <w:szCs w:val="22"/>
              </w:rPr>
            </w:pPr>
            <w:r w:rsidRPr="00444E1A">
              <w:rPr>
                <w:szCs w:val="22"/>
              </w:rPr>
              <w:t>1,7</w:t>
            </w:r>
            <w:r w:rsidRPr="005E49A1">
              <w:rPr>
                <w:szCs w:val="22"/>
              </w:rPr>
              <w:t xml:space="preserve"> [1,3</w:t>
            </w:r>
            <w:r w:rsidRPr="00444E1A">
              <w:rPr>
                <w:szCs w:val="22"/>
              </w:rPr>
              <w:t xml:space="preserve">, </w:t>
            </w:r>
            <w:r w:rsidRPr="005E49A1">
              <w:rPr>
                <w:szCs w:val="22"/>
              </w:rPr>
              <w:t xml:space="preserve">2,1] </w:t>
            </w:r>
          </w:p>
        </w:tc>
        <w:tc>
          <w:tcPr>
            <w:tcW w:w="1440" w:type="dxa"/>
          </w:tcPr>
          <w:p w14:paraId="77E314D3" w14:textId="77777777" w:rsidR="00302C06" w:rsidRPr="00444E1A" w:rsidRDefault="00302C06" w:rsidP="00794B16">
            <w:pPr>
              <w:tabs>
                <w:tab w:val="left" w:pos="567"/>
              </w:tabs>
              <w:rPr>
                <w:szCs w:val="22"/>
              </w:rPr>
            </w:pPr>
            <w:r w:rsidRPr="005E49A1">
              <w:rPr>
                <w:szCs w:val="22"/>
              </w:rPr>
              <w:t xml:space="preserve">2,2 [1,9, 2,6] </w:t>
            </w:r>
          </w:p>
        </w:tc>
        <w:tc>
          <w:tcPr>
            <w:tcW w:w="1662" w:type="dxa"/>
          </w:tcPr>
          <w:p w14:paraId="5DA2E387" w14:textId="77777777" w:rsidR="00302C06" w:rsidRPr="00444E1A" w:rsidRDefault="00302C06" w:rsidP="00794B16">
            <w:pPr>
              <w:tabs>
                <w:tab w:val="left" w:pos="567"/>
              </w:tabs>
              <w:rPr>
                <w:szCs w:val="22"/>
              </w:rPr>
            </w:pPr>
            <w:r w:rsidRPr="005E49A1">
              <w:rPr>
                <w:szCs w:val="22"/>
              </w:rPr>
              <w:t xml:space="preserve">1,9 [1l4, 2l4] </w:t>
            </w:r>
          </w:p>
        </w:tc>
        <w:tc>
          <w:tcPr>
            <w:tcW w:w="1578" w:type="dxa"/>
          </w:tcPr>
          <w:p w14:paraId="4CFF9C11" w14:textId="77777777" w:rsidR="00302C06" w:rsidRPr="00444E1A" w:rsidRDefault="00302C06" w:rsidP="00794B16">
            <w:pPr>
              <w:tabs>
                <w:tab w:val="left" w:pos="567"/>
              </w:tabs>
              <w:rPr>
                <w:szCs w:val="22"/>
              </w:rPr>
            </w:pPr>
            <w:r w:rsidRPr="005E49A1">
              <w:rPr>
                <w:szCs w:val="22"/>
              </w:rPr>
              <w:t xml:space="preserve">3,1 [2,7, 3,6] </w:t>
            </w:r>
          </w:p>
        </w:tc>
      </w:tr>
      <w:tr w:rsidR="00302C06" w:rsidRPr="005E49A1" w14:paraId="7F4B6356" w14:textId="77777777" w:rsidTr="009818C1">
        <w:tc>
          <w:tcPr>
            <w:tcW w:w="2700" w:type="dxa"/>
          </w:tcPr>
          <w:p w14:paraId="47C693B4" w14:textId="77777777" w:rsidR="00302C06" w:rsidRPr="00444E1A" w:rsidRDefault="00302C06" w:rsidP="00794B16">
            <w:pPr>
              <w:tabs>
                <w:tab w:val="left" w:pos="567"/>
              </w:tabs>
              <w:rPr>
                <w:szCs w:val="22"/>
              </w:rPr>
            </w:pPr>
            <w:r w:rsidRPr="005E49A1">
              <w:rPr>
                <w:color w:val="000000"/>
                <w:spacing w:val="-3"/>
                <w:szCs w:val="22"/>
              </w:rPr>
              <w:t>Gumburo srities KMT</w:t>
            </w:r>
          </w:p>
        </w:tc>
        <w:tc>
          <w:tcPr>
            <w:tcW w:w="1620" w:type="dxa"/>
          </w:tcPr>
          <w:p w14:paraId="281D32D0" w14:textId="77777777" w:rsidR="00302C06" w:rsidRPr="00444E1A" w:rsidRDefault="00302C06" w:rsidP="00794B16">
            <w:pPr>
              <w:tabs>
                <w:tab w:val="left" w:pos="567"/>
              </w:tabs>
              <w:rPr>
                <w:szCs w:val="22"/>
              </w:rPr>
            </w:pPr>
            <w:r w:rsidRPr="005E49A1">
              <w:rPr>
                <w:szCs w:val="22"/>
              </w:rPr>
              <w:t xml:space="preserve">3,2 [2,8, 3,7] </w:t>
            </w:r>
          </w:p>
        </w:tc>
        <w:tc>
          <w:tcPr>
            <w:tcW w:w="1440" w:type="dxa"/>
          </w:tcPr>
          <w:p w14:paraId="033327EA" w14:textId="77777777" w:rsidR="00302C06" w:rsidRPr="00444E1A" w:rsidRDefault="00302C06" w:rsidP="00794B16">
            <w:pPr>
              <w:tabs>
                <w:tab w:val="left" w:pos="567"/>
              </w:tabs>
              <w:rPr>
                <w:szCs w:val="22"/>
              </w:rPr>
            </w:pPr>
            <w:r w:rsidRPr="005E49A1">
              <w:rPr>
                <w:szCs w:val="22"/>
              </w:rPr>
              <w:t xml:space="preserve">4,6 [4,2, 5,1] </w:t>
            </w:r>
          </w:p>
        </w:tc>
        <w:tc>
          <w:tcPr>
            <w:tcW w:w="1662" w:type="dxa"/>
          </w:tcPr>
          <w:p w14:paraId="5C8EE105" w14:textId="77777777" w:rsidR="00302C06" w:rsidRPr="00444E1A" w:rsidRDefault="00302C06" w:rsidP="00794B16">
            <w:pPr>
              <w:tabs>
                <w:tab w:val="left" w:pos="567"/>
              </w:tabs>
              <w:rPr>
                <w:szCs w:val="22"/>
              </w:rPr>
            </w:pPr>
            <w:r w:rsidRPr="005E49A1">
              <w:rPr>
                <w:szCs w:val="22"/>
              </w:rPr>
              <w:t xml:space="preserve">4 [3l5, 4l5] </w:t>
            </w:r>
          </w:p>
        </w:tc>
        <w:tc>
          <w:tcPr>
            <w:tcW w:w="1578" w:type="dxa"/>
          </w:tcPr>
          <w:p w14:paraId="705B72AE" w14:textId="77777777" w:rsidR="00302C06" w:rsidRPr="00444E1A" w:rsidRDefault="00302C06" w:rsidP="00794B16">
            <w:pPr>
              <w:tabs>
                <w:tab w:val="left" w:pos="567"/>
              </w:tabs>
              <w:rPr>
                <w:szCs w:val="22"/>
              </w:rPr>
            </w:pPr>
            <w:r w:rsidRPr="005E49A1">
              <w:rPr>
                <w:szCs w:val="22"/>
              </w:rPr>
              <w:t xml:space="preserve">6,2 [5,7, 6,7] </w:t>
            </w:r>
          </w:p>
        </w:tc>
      </w:tr>
    </w:tbl>
    <w:p w14:paraId="0A2ECA43" w14:textId="77777777" w:rsidR="00302C06" w:rsidRPr="00444E1A" w:rsidRDefault="00302C06" w:rsidP="00302C06">
      <w:pPr>
        <w:tabs>
          <w:tab w:val="left" w:pos="567"/>
        </w:tabs>
        <w:rPr>
          <w:szCs w:val="22"/>
        </w:rPr>
      </w:pPr>
    </w:p>
    <w:p w14:paraId="40123518" w14:textId="77777777" w:rsidR="00302C06" w:rsidRPr="00444E1A" w:rsidRDefault="00302C06" w:rsidP="00302C06">
      <w:pPr>
        <w:tabs>
          <w:tab w:val="left" w:pos="567"/>
        </w:tabs>
        <w:rPr>
          <w:szCs w:val="22"/>
        </w:rPr>
      </w:pPr>
      <w:r w:rsidRPr="005E49A1">
        <w:rPr>
          <w:color w:val="000000"/>
          <w:spacing w:val="-3"/>
          <w:szCs w:val="22"/>
        </w:rPr>
        <w:t xml:space="preserve">Be to, perspektyvinės planinės analizės būdu įrodyta, kad juosmens slankstelių KMT didėjimui vartojamos kartą per mėnesį 150 mg ibandrono rūgšties poveikis buvo stipresnis už kartą per parą vartojamos 2,5 mg ibandrono rūgšties dozės poveikį po </w:t>
      </w:r>
      <w:r w:rsidRPr="005E49A1">
        <w:rPr>
          <w:color w:val="000000"/>
          <w:spacing w:val="-4"/>
          <w:szCs w:val="22"/>
        </w:rPr>
        <w:t xml:space="preserve">vienerių metų (p=0,002) ir po dvejų metų, </w:t>
      </w:r>
      <w:r w:rsidRPr="005E49A1">
        <w:rPr>
          <w:color w:val="000000"/>
          <w:spacing w:val="-4"/>
          <w:szCs w:val="22"/>
        </w:rPr>
        <w:br/>
        <w:t>p &lt; 0,001.</w:t>
      </w:r>
      <w:r w:rsidRPr="00444E1A">
        <w:rPr>
          <w:szCs w:val="22"/>
        </w:rPr>
        <w:t xml:space="preserve"> </w:t>
      </w:r>
    </w:p>
    <w:p w14:paraId="158BC1DF" w14:textId="77777777" w:rsidR="00302C06" w:rsidRPr="00444E1A" w:rsidRDefault="00302C06" w:rsidP="00302C06">
      <w:pPr>
        <w:tabs>
          <w:tab w:val="left" w:pos="567"/>
        </w:tabs>
        <w:rPr>
          <w:szCs w:val="22"/>
        </w:rPr>
      </w:pPr>
    </w:p>
    <w:p w14:paraId="2D994DEC" w14:textId="77777777" w:rsidR="00302C06" w:rsidRPr="00444E1A" w:rsidRDefault="00302C06" w:rsidP="00302C06">
      <w:pPr>
        <w:tabs>
          <w:tab w:val="left" w:pos="567"/>
        </w:tabs>
        <w:rPr>
          <w:szCs w:val="22"/>
        </w:rPr>
      </w:pPr>
      <w:r w:rsidRPr="005E49A1">
        <w:rPr>
          <w:color w:val="000000"/>
          <w:spacing w:val="-3"/>
          <w:szCs w:val="22"/>
        </w:rPr>
        <w:t>Po vienerių metų (pirminė analizė) juosmens slankstelių KMT padidėjo ar nepakito lyginant su pradine reikšme (gautas KMT atsakas) 91,3% (p=0,005) pacientų, vartojusių kartą per mėnesį 150 mg ibandrono rūgšties, lyginant su 84% pacientų, vartojusių kartą per parą 2,5</w:t>
      </w:r>
      <w:r>
        <w:rPr>
          <w:color w:val="000000"/>
          <w:spacing w:val="-3"/>
          <w:szCs w:val="22"/>
        </w:rPr>
        <w:t> </w:t>
      </w:r>
      <w:r w:rsidRPr="005E49A1">
        <w:rPr>
          <w:color w:val="000000"/>
          <w:spacing w:val="-3"/>
          <w:szCs w:val="22"/>
        </w:rPr>
        <w:t>mg ibandrono rūgšties.</w:t>
      </w:r>
      <w:r w:rsidRPr="00444E1A">
        <w:rPr>
          <w:szCs w:val="22"/>
        </w:rPr>
        <w:t xml:space="preserve"> </w:t>
      </w:r>
      <w:r w:rsidRPr="005E49A1">
        <w:rPr>
          <w:color w:val="000000"/>
          <w:spacing w:val="-3"/>
          <w:szCs w:val="22"/>
        </w:rPr>
        <w:t>Po dvejų metų atsakas gautas atitinkamai 93,5% (p=0,004) ir 86,4% pacientų, vartojusių kartą per mėnesį 150 mg ibandrono rūgšties ar kartą per parą 2,5 mg ibandrono rūgšties.</w:t>
      </w:r>
      <w:r w:rsidRPr="00444E1A">
        <w:rPr>
          <w:szCs w:val="22"/>
        </w:rPr>
        <w:t xml:space="preserve"> </w:t>
      </w:r>
    </w:p>
    <w:p w14:paraId="6D4F1C44" w14:textId="77777777" w:rsidR="00302C06" w:rsidRPr="00444E1A" w:rsidRDefault="00302C06" w:rsidP="00302C06">
      <w:pPr>
        <w:tabs>
          <w:tab w:val="left" w:pos="567"/>
        </w:tabs>
        <w:rPr>
          <w:szCs w:val="22"/>
        </w:rPr>
      </w:pPr>
    </w:p>
    <w:p w14:paraId="0EFC4C20" w14:textId="77777777" w:rsidR="00302C06" w:rsidRPr="00444E1A" w:rsidRDefault="00302C06" w:rsidP="00302C06">
      <w:pPr>
        <w:tabs>
          <w:tab w:val="left" w:pos="567"/>
        </w:tabs>
        <w:rPr>
          <w:szCs w:val="22"/>
        </w:rPr>
      </w:pPr>
      <w:r w:rsidRPr="005E49A1">
        <w:rPr>
          <w:color w:val="000000"/>
          <w:spacing w:val="-3"/>
          <w:szCs w:val="22"/>
        </w:rPr>
        <w:t>Po vienerių metų bendras šlaunikaulio KMT padidėjo ar nepakito lyginant su pradine reikšme 90 % pacientų, vartojusių kartą per mėnesį 150 mg ibandrono rūgšties, lyginant su 76,7% pacientų, vartojusių kartą per parą 2,5 mg ibandrono rūgšties (p &lt;0,001).</w:t>
      </w:r>
      <w:r w:rsidRPr="00444E1A">
        <w:rPr>
          <w:szCs w:val="22"/>
        </w:rPr>
        <w:t xml:space="preserve"> </w:t>
      </w:r>
      <w:r w:rsidRPr="005E49A1">
        <w:rPr>
          <w:color w:val="000000"/>
          <w:spacing w:val="-3"/>
          <w:szCs w:val="22"/>
        </w:rPr>
        <w:t>Po dvejų metų bendras šlaunikaulio KMT padidėjo ar nepakito lyginant su pradine reikšme 93,4% (p &lt;0,001) pacientų, vartojusių kartą per mėnesį 150</w:t>
      </w:r>
      <w:r>
        <w:rPr>
          <w:color w:val="000000"/>
          <w:spacing w:val="-3"/>
          <w:szCs w:val="22"/>
        </w:rPr>
        <w:t> mg</w:t>
      </w:r>
      <w:r w:rsidRPr="005E49A1">
        <w:rPr>
          <w:color w:val="000000"/>
          <w:spacing w:val="-3"/>
          <w:szCs w:val="22"/>
        </w:rPr>
        <w:t xml:space="preserve"> ibandrono rūgšties ir 78,4% pacientų, vartojusių kartą per parą 2,5</w:t>
      </w:r>
      <w:r>
        <w:rPr>
          <w:color w:val="000000"/>
          <w:spacing w:val="-3"/>
          <w:szCs w:val="22"/>
        </w:rPr>
        <w:t> mg</w:t>
      </w:r>
      <w:r w:rsidRPr="005E49A1">
        <w:rPr>
          <w:color w:val="000000"/>
          <w:spacing w:val="-3"/>
          <w:szCs w:val="22"/>
        </w:rPr>
        <w:t xml:space="preserve"> ibandrono rūgšties.</w:t>
      </w:r>
      <w:r w:rsidRPr="00444E1A">
        <w:rPr>
          <w:szCs w:val="22"/>
        </w:rPr>
        <w:t xml:space="preserve"> </w:t>
      </w:r>
    </w:p>
    <w:p w14:paraId="00011F00" w14:textId="77777777" w:rsidR="00302C06" w:rsidRPr="00444E1A" w:rsidRDefault="00302C06" w:rsidP="00302C06">
      <w:pPr>
        <w:tabs>
          <w:tab w:val="left" w:pos="567"/>
        </w:tabs>
        <w:rPr>
          <w:szCs w:val="22"/>
        </w:rPr>
      </w:pPr>
    </w:p>
    <w:p w14:paraId="460EFF64" w14:textId="77777777" w:rsidR="00302C06" w:rsidRPr="005E49A1" w:rsidRDefault="00302C06" w:rsidP="00302C06">
      <w:pPr>
        <w:tabs>
          <w:tab w:val="left" w:pos="567"/>
        </w:tabs>
        <w:rPr>
          <w:szCs w:val="22"/>
        </w:rPr>
      </w:pPr>
      <w:r w:rsidRPr="005E49A1">
        <w:rPr>
          <w:color w:val="000000"/>
          <w:spacing w:val="-3"/>
          <w:szCs w:val="22"/>
        </w:rPr>
        <w:t>Įvertinus svaresnį kriterijų, kuris apjungia ir juosmens slankstelių, ir į bendrą šlaunikaulio KMT, per vienerius metus atsakas buvo gautas 83,9% (p &lt;0,001)pacientų, vartojusių kartą per mėnesį 150</w:t>
      </w:r>
      <w:r>
        <w:rPr>
          <w:color w:val="000000"/>
          <w:spacing w:val="-3"/>
          <w:szCs w:val="22"/>
        </w:rPr>
        <w:t> mg</w:t>
      </w:r>
      <w:r w:rsidRPr="005E49A1">
        <w:rPr>
          <w:color w:val="000000"/>
          <w:spacing w:val="-3"/>
          <w:szCs w:val="22"/>
        </w:rPr>
        <w:t xml:space="preserve"> ibandrono rūgšties, palyginti ir su 65,7% pacientų, vartojusių kartą per parą 2,5</w:t>
      </w:r>
      <w:r>
        <w:rPr>
          <w:color w:val="000000"/>
          <w:spacing w:val="-3"/>
          <w:szCs w:val="22"/>
        </w:rPr>
        <w:t> mg</w:t>
      </w:r>
      <w:r w:rsidRPr="005E49A1">
        <w:rPr>
          <w:color w:val="000000"/>
          <w:spacing w:val="-3"/>
          <w:szCs w:val="22"/>
        </w:rPr>
        <w:t xml:space="preserve"> ibandrono rūgšties.</w:t>
      </w:r>
      <w:r w:rsidRPr="005E49A1">
        <w:rPr>
          <w:szCs w:val="22"/>
        </w:rPr>
        <w:t xml:space="preserve"> </w:t>
      </w:r>
      <w:r w:rsidRPr="005E49A1">
        <w:rPr>
          <w:color w:val="000000"/>
          <w:spacing w:val="-3"/>
          <w:szCs w:val="22"/>
        </w:rPr>
        <w:t xml:space="preserve">Po dvejų metų šį kriterijų atitiko 87,1% </w:t>
      </w:r>
      <w:r w:rsidRPr="005E49A1">
        <w:rPr>
          <w:color w:val="000000"/>
          <w:spacing w:val="-4"/>
          <w:szCs w:val="22"/>
        </w:rPr>
        <w:t>(p &lt;0,001).</w:t>
      </w:r>
      <w:r w:rsidRPr="005E49A1">
        <w:rPr>
          <w:szCs w:val="22"/>
        </w:rPr>
        <w:t xml:space="preserve"> </w:t>
      </w:r>
      <w:r w:rsidRPr="005E49A1">
        <w:rPr>
          <w:color w:val="000000"/>
          <w:spacing w:val="-3"/>
          <w:szCs w:val="22"/>
        </w:rPr>
        <w:t>ir 70,5% pacientų, vartojusių atitinkamai kartą per mėnesį 150</w:t>
      </w:r>
      <w:r>
        <w:rPr>
          <w:color w:val="000000"/>
          <w:spacing w:val="-3"/>
          <w:szCs w:val="22"/>
        </w:rPr>
        <w:t> mg</w:t>
      </w:r>
      <w:r w:rsidRPr="005E49A1">
        <w:rPr>
          <w:color w:val="000000"/>
          <w:spacing w:val="-3"/>
          <w:szCs w:val="22"/>
        </w:rPr>
        <w:t xml:space="preserve"> ibandrono rūgšties ir kartą per parą 2,5</w:t>
      </w:r>
      <w:r>
        <w:rPr>
          <w:color w:val="000000"/>
          <w:spacing w:val="-3"/>
          <w:szCs w:val="22"/>
        </w:rPr>
        <w:t> mg</w:t>
      </w:r>
      <w:r w:rsidRPr="005E49A1">
        <w:rPr>
          <w:color w:val="000000"/>
          <w:spacing w:val="-3"/>
          <w:szCs w:val="22"/>
        </w:rPr>
        <w:t xml:space="preserve"> ibandrono rūgšties </w:t>
      </w:r>
      <w:r w:rsidRPr="005E49A1">
        <w:rPr>
          <w:color w:val="000000"/>
          <w:spacing w:val="-4"/>
          <w:szCs w:val="22"/>
        </w:rPr>
        <w:t xml:space="preserve">grupėse. </w:t>
      </w:r>
    </w:p>
    <w:p w14:paraId="4868889B" w14:textId="77777777" w:rsidR="00302C06" w:rsidRPr="005E49A1" w:rsidRDefault="00302C06" w:rsidP="00302C06">
      <w:pPr>
        <w:tabs>
          <w:tab w:val="left" w:pos="567"/>
        </w:tabs>
        <w:rPr>
          <w:szCs w:val="22"/>
          <w:u w:val="single"/>
        </w:rPr>
      </w:pPr>
    </w:p>
    <w:p w14:paraId="6D4D6B83" w14:textId="77777777" w:rsidR="00302C06" w:rsidRPr="0022545A" w:rsidRDefault="00302C06" w:rsidP="00302C06">
      <w:pPr>
        <w:tabs>
          <w:tab w:val="left" w:pos="567"/>
        </w:tabs>
        <w:rPr>
          <w:i/>
        </w:rPr>
      </w:pPr>
      <w:r w:rsidRPr="0022545A">
        <w:rPr>
          <w:i/>
          <w:color w:val="000000"/>
          <w:spacing w:val="-4"/>
        </w:rPr>
        <w:t>Biocheminiai kaulų apykaitos žymenys</w:t>
      </w:r>
    </w:p>
    <w:p w14:paraId="4E226C30" w14:textId="77777777" w:rsidR="00302C06" w:rsidRPr="005E49A1" w:rsidRDefault="00302C06" w:rsidP="00302C06">
      <w:pPr>
        <w:tabs>
          <w:tab w:val="left" w:pos="567"/>
        </w:tabs>
        <w:rPr>
          <w:szCs w:val="22"/>
        </w:rPr>
      </w:pPr>
      <w:r w:rsidRPr="005E49A1">
        <w:rPr>
          <w:color w:val="000000"/>
          <w:spacing w:val="-3"/>
          <w:szCs w:val="22"/>
        </w:rPr>
        <w:t>Kliniškai reikšmingas CTX kiekio sumažėjimas serume stebėtas kaskart, kai jis buvo tiriamas, t.y. 3-ą, 6-ą, 12-ą ir 24-ą mėnesį. Po vienerių metų (pirminė analizė) santykinio pokyčio mediana, lyginant su pradine reikšme buvo – 76 % tais atvejais, kai buvo vartojama kartą per mėnesį 150</w:t>
      </w:r>
      <w:r>
        <w:rPr>
          <w:color w:val="000000"/>
          <w:spacing w:val="-3"/>
          <w:szCs w:val="22"/>
        </w:rPr>
        <w:t> mg</w:t>
      </w:r>
      <w:r w:rsidRPr="005E49A1">
        <w:rPr>
          <w:color w:val="000000"/>
          <w:spacing w:val="-3"/>
          <w:szCs w:val="22"/>
        </w:rPr>
        <w:t xml:space="preserve"> ibandrono rūgšties, ir – 67 %, kai buvo vartojama kartą per parą 2,5</w:t>
      </w:r>
      <w:r>
        <w:rPr>
          <w:color w:val="000000"/>
          <w:spacing w:val="-3"/>
          <w:szCs w:val="22"/>
        </w:rPr>
        <w:t> mg</w:t>
      </w:r>
      <w:r w:rsidRPr="005E49A1">
        <w:rPr>
          <w:color w:val="000000"/>
          <w:spacing w:val="-3"/>
          <w:szCs w:val="22"/>
        </w:rPr>
        <w:t xml:space="preserve"> ibandrono rūgšties.</w:t>
      </w:r>
      <w:r w:rsidRPr="005E49A1">
        <w:rPr>
          <w:szCs w:val="22"/>
        </w:rPr>
        <w:t xml:space="preserve"> </w:t>
      </w:r>
      <w:r w:rsidRPr="005E49A1">
        <w:rPr>
          <w:color w:val="000000"/>
          <w:spacing w:val="-3"/>
          <w:szCs w:val="22"/>
        </w:rPr>
        <w:t>Po dvejų metų vidutinis santykinio pokyčio mediana buvo – 68 % ir – 62 % atitinkamai 150</w:t>
      </w:r>
      <w:r>
        <w:rPr>
          <w:color w:val="000000"/>
          <w:spacing w:val="-3"/>
          <w:szCs w:val="22"/>
        </w:rPr>
        <w:t> mg</w:t>
      </w:r>
      <w:r w:rsidRPr="005E49A1">
        <w:rPr>
          <w:color w:val="000000"/>
          <w:spacing w:val="-3"/>
          <w:szCs w:val="22"/>
        </w:rPr>
        <w:t xml:space="preserve"> kartą per mėnesį ir 2,5</w:t>
      </w:r>
      <w:r>
        <w:rPr>
          <w:color w:val="000000"/>
          <w:spacing w:val="-3"/>
          <w:szCs w:val="22"/>
        </w:rPr>
        <w:t> mg</w:t>
      </w:r>
      <w:r w:rsidRPr="005E49A1">
        <w:rPr>
          <w:color w:val="000000"/>
          <w:spacing w:val="-3"/>
          <w:szCs w:val="22"/>
        </w:rPr>
        <w:t xml:space="preserve"> kartą per parą vartojusių ibandrono rūgšties pacientų grupėse.</w:t>
      </w:r>
      <w:r w:rsidRPr="005E49A1">
        <w:rPr>
          <w:szCs w:val="22"/>
        </w:rPr>
        <w:t xml:space="preserve"> </w:t>
      </w:r>
    </w:p>
    <w:p w14:paraId="199D40FC" w14:textId="77777777" w:rsidR="00302C06" w:rsidRPr="005E49A1" w:rsidRDefault="00302C06" w:rsidP="00302C06">
      <w:pPr>
        <w:tabs>
          <w:tab w:val="left" w:pos="567"/>
        </w:tabs>
        <w:rPr>
          <w:szCs w:val="22"/>
        </w:rPr>
      </w:pPr>
    </w:p>
    <w:p w14:paraId="40D2CB54" w14:textId="77777777" w:rsidR="00302C06" w:rsidRPr="005E49A1" w:rsidRDefault="00302C06" w:rsidP="00302C06">
      <w:pPr>
        <w:tabs>
          <w:tab w:val="left" w:pos="567"/>
        </w:tabs>
        <w:rPr>
          <w:szCs w:val="22"/>
        </w:rPr>
      </w:pPr>
      <w:r w:rsidRPr="005E49A1">
        <w:rPr>
          <w:color w:val="000000"/>
          <w:spacing w:val="-3"/>
          <w:szCs w:val="22"/>
        </w:rPr>
        <w:t>Po vienerių metų atsakas (apibūdinamas kaip ≥50 % sumažėjimas nuo pradinės reikšmės) nustatytas 83,5 % (p=0,006) ibandrono rūgšties 150</w:t>
      </w:r>
      <w:r>
        <w:rPr>
          <w:color w:val="000000"/>
          <w:spacing w:val="-3"/>
          <w:szCs w:val="22"/>
        </w:rPr>
        <w:t> mg</w:t>
      </w:r>
      <w:r w:rsidRPr="005E49A1">
        <w:rPr>
          <w:color w:val="000000"/>
          <w:spacing w:val="-3"/>
          <w:szCs w:val="22"/>
        </w:rPr>
        <w:t xml:space="preserve"> per mėnesį vartojusių pacientų ir 73,9% pacientų, vartojusių 2,5</w:t>
      </w:r>
      <w:r>
        <w:rPr>
          <w:color w:val="000000"/>
          <w:spacing w:val="-3"/>
          <w:szCs w:val="22"/>
        </w:rPr>
        <w:t> mg</w:t>
      </w:r>
      <w:r w:rsidRPr="005E49A1">
        <w:rPr>
          <w:color w:val="000000"/>
          <w:spacing w:val="-3"/>
          <w:szCs w:val="22"/>
        </w:rPr>
        <w:t xml:space="preserve"> ibandrono rūgšties paros dozę. Po dvejų metų atsakas buvo nustatytas 78,7% (p=0,002) ir 65,6 % pacientų, vartojusių atitinkamai 150</w:t>
      </w:r>
      <w:r>
        <w:rPr>
          <w:color w:val="000000"/>
          <w:spacing w:val="-3"/>
          <w:szCs w:val="22"/>
        </w:rPr>
        <w:t> mg</w:t>
      </w:r>
      <w:r w:rsidRPr="005E49A1">
        <w:rPr>
          <w:color w:val="000000"/>
          <w:spacing w:val="-3"/>
          <w:szCs w:val="22"/>
        </w:rPr>
        <w:t xml:space="preserve"> kartą per mėnesį ir 2,5</w:t>
      </w:r>
      <w:r>
        <w:rPr>
          <w:color w:val="000000"/>
          <w:spacing w:val="-3"/>
          <w:szCs w:val="22"/>
        </w:rPr>
        <w:t> mg</w:t>
      </w:r>
      <w:r w:rsidRPr="005E49A1">
        <w:rPr>
          <w:color w:val="000000"/>
          <w:spacing w:val="-3"/>
          <w:szCs w:val="22"/>
        </w:rPr>
        <w:t xml:space="preserve"> kartą per parą ibandrono rūgšties grupėse.</w:t>
      </w:r>
      <w:r w:rsidRPr="005E49A1">
        <w:rPr>
          <w:szCs w:val="22"/>
        </w:rPr>
        <w:t xml:space="preserve"> </w:t>
      </w:r>
    </w:p>
    <w:p w14:paraId="71CF2FCD" w14:textId="77777777" w:rsidR="00302C06" w:rsidRPr="005E49A1" w:rsidRDefault="00302C06" w:rsidP="00302C06">
      <w:pPr>
        <w:tabs>
          <w:tab w:val="left" w:pos="567"/>
        </w:tabs>
        <w:rPr>
          <w:szCs w:val="22"/>
        </w:rPr>
      </w:pPr>
    </w:p>
    <w:p w14:paraId="3469C6F5" w14:textId="77777777" w:rsidR="00302C06" w:rsidRPr="005E49A1" w:rsidRDefault="00302C06" w:rsidP="00302C06">
      <w:pPr>
        <w:tabs>
          <w:tab w:val="left" w:pos="567"/>
        </w:tabs>
        <w:rPr>
          <w:szCs w:val="22"/>
        </w:rPr>
      </w:pPr>
      <w:r w:rsidRPr="005E49A1">
        <w:rPr>
          <w:color w:val="000000"/>
          <w:spacing w:val="-3"/>
          <w:szCs w:val="22"/>
        </w:rPr>
        <w:t>Remiantis BM 16549 tyrimo duomenimis, manoma, kad vartojama kartą per mėnesį 150</w:t>
      </w:r>
      <w:r>
        <w:rPr>
          <w:color w:val="000000"/>
          <w:spacing w:val="-3"/>
          <w:szCs w:val="22"/>
        </w:rPr>
        <w:t> mg</w:t>
      </w:r>
      <w:r w:rsidRPr="005E49A1">
        <w:rPr>
          <w:color w:val="000000"/>
          <w:spacing w:val="-3"/>
          <w:szCs w:val="22"/>
        </w:rPr>
        <w:t xml:space="preserve"> ibandrono rūgšties dozė yra bent jau tokia pat veiksminga lūžių profilaktikai kaip ir kasdien vartojama 2,5</w:t>
      </w:r>
      <w:r>
        <w:rPr>
          <w:color w:val="000000"/>
          <w:spacing w:val="-3"/>
          <w:szCs w:val="22"/>
        </w:rPr>
        <w:t> mg</w:t>
      </w:r>
      <w:r w:rsidRPr="005E49A1">
        <w:rPr>
          <w:color w:val="000000"/>
          <w:spacing w:val="-3"/>
          <w:szCs w:val="22"/>
        </w:rPr>
        <w:t xml:space="preserve"> ibandrono rūgšties dozė.</w:t>
      </w:r>
      <w:r w:rsidRPr="005E49A1">
        <w:rPr>
          <w:szCs w:val="22"/>
        </w:rPr>
        <w:t xml:space="preserve"> </w:t>
      </w:r>
    </w:p>
    <w:p w14:paraId="590265AA" w14:textId="77777777" w:rsidR="00302C06" w:rsidRPr="005E49A1" w:rsidRDefault="00302C06" w:rsidP="00302C06">
      <w:pPr>
        <w:tabs>
          <w:tab w:val="left" w:pos="567"/>
        </w:tabs>
        <w:rPr>
          <w:szCs w:val="22"/>
        </w:rPr>
      </w:pPr>
    </w:p>
    <w:p w14:paraId="4C032198" w14:textId="77777777" w:rsidR="00302C06" w:rsidRPr="005E49A1" w:rsidRDefault="00302C06" w:rsidP="00302C06">
      <w:pPr>
        <w:tabs>
          <w:tab w:val="left" w:pos="567"/>
        </w:tabs>
        <w:rPr>
          <w:szCs w:val="22"/>
          <w:u w:val="single"/>
        </w:rPr>
      </w:pPr>
      <w:r w:rsidRPr="005E49A1">
        <w:rPr>
          <w:szCs w:val="22"/>
          <w:u w:val="single"/>
        </w:rPr>
        <w:t>Kartą per parą vartojama ibandrono rūgšties 2,5 mg dozė</w:t>
      </w:r>
    </w:p>
    <w:p w14:paraId="2F2CA135" w14:textId="77777777" w:rsidR="00302C06" w:rsidRPr="005E49A1" w:rsidRDefault="00302C06" w:rsidP="00302C06">
      <w:pPr>
        <w:tabs>
          <w:tab w:val="left" w:pos="567"/>
        </w:tabs>
        <w:rPr>
          <w:szCs w:val="22"/>
          <w:u w:val="single"/>
        </w:rPr>
      </w:pPr>
    </w:p>
    <w:p w14:paraId="5E3131B0" w14:textId="77777777" w:rsidR="00302C06" w:rsidRPr="005E49A1" w:rsidRDefault="00302C06" w:rsidP="00302C06">
      <w:pPr>
        <w:tabs>
          <w:tab w:val="left" w:pos="567"/>
        </w:tabs>
        <w:rPr>
          <w:szCs w:val="22"/>
        </w:rPr>
      </w:pPr>
      <w:r w:rsidRPr="005E49A1">
        <w:rPr>
          <w:color w:val="000000"/>
          <w:spacing w:val="-3"/>
          <w:szCs w:val="22"/>
        </w:rPr>
        <w:t>Pradinio trejų metų trukmės randomizuoto, dvigubai aklo, placebu kontroliuojamo kaulų lūžių tyrimo (MF 4411) metu statistiškai patikimai ir kliniškai reikšmingai sumažėjo naujų radiografinių morfometrinių ir klinikinių stuburo slankstelių lūžių dažnis (4 lentelė). Šio tyrimo metu ibandrono rūgšties buvo geriama po 2,5</w:t>
      </w:r>
      <w:r>
        <w:rPr>
          <w:color w:val="000000"/>
          <w:spacing w:val="-3"/>
          <w:szCs w:val="22"/>
        </w:rPr>
        <w:t> mg</w:t>
      </w:r>
      <w:r w:rsidRPr="005E49A1">
        <w:rPr>
          <w:color w:val="000000"/>
          <w:spacing w:val="-3"/>
          <w:szCs w:val="22"/>
        </w:rPr>
        <w:t xml:space="preserve"> per parą kasdien arba po 20</w:t>
      </w:r>
      <w:r>
        <w:rPr>
          <w:color w:val="000000"/>
          <w:spacing w:val="-3"/>
          <w:szCs w:val="22"/>
        </w:rPr>
        <w:t> mg</w:t>
      </w:r>
      <w:r w:rsidRPr="005E49A1">
        <w:rPr>
          <w:color w:val="000000"/>
          <w:spacing w:val="-3"/>
          <w:szCs w:val="22"/>
        </w:rPr>
        <w:t xml:space="preserve"> su pertraukomis (tiriamasis dozavimas).</w:t>
      </w:r>
      <w:r w:rsidRPr="005E49A1">
        <w:rPr>
          <w:szCs w:val="22"/>
        </w:rPr>
        <w:t xml:space="preserve"> </w:t>
      </w:r>
      <w:r w:rsidRPr="005E49A1">
        <w:rPr>
          <w:color w:val="000000"/>
          <w:spacing w:val="-3"/>
          <w:szCs w:val="22"/>
        </w:rPr>
        <w:t>Ibandrono rūgšties pacientės gėrė ryte nevalgiusios, išgėrusios vaistą nevalgė ir negėrė dar 60 minučių (badavimo laikas išgėrus dozę).</w:t>
      </w:r>
      <w:r w:rsidRPr="005E49A1">
        <w:rPr>
          <w:szCs w:val="22"/>
        </w:rPr>
        <w:t xml:space="preserve"> </w:t>
      </w:r>
      <w:r w:rsidRPr="005E49A1">
        <w:rPr>
          <w:color w:val="000000"/>
          <w:spacing w:val="-3"/>
          <w:szCs w:val="22"/>
        </w:rPr>
        <w:t xml:space="preserve">Tyrime dalyvavo moterys nuo 55 metų iki 80 metų, kurioms menopauzė prasidėjo mažiausiai prieš 5 metus, kurių juosmens slankstelių KMT bent viename slankstelyje [L1-L4] buvo nuo 2 iki 5 SN mažesnis už vidurkį prieš menopauzę (T lygmuo) ir kurioms buvo nuo vieno iki </w:t>
      </w:r>
      <w:r w:rsidRPr="005E49A1">
        <w:rPr>
          <w:color w:val="000000"/>
          <w:spacing w:val="-3"/>
          <w:szCs w:val="22"/>
        </w:rPr>
        <w:lastRenderedPageBreak/>
        <w:t>keturių slankstelių lūžių.</w:t>
      </w:r>
      <w:r w:rsidRPr="005E49A1">
        <w:rPr>
          <w:szCs w:val="22"/>
        </w:rPr>
        <w:t xml:space="preserve"> </w:t>
      </w:r>
      <w:r w:rsidRPr="005E49A1">
        <w:rPr>
          <w:color w:val="000000"/>
          <w:spacing w:val="-3"/>
          <w:szCs w:val="22"/>
        </w:rPr>
        <w:t>Visos pacientės vartojo po 500</w:t>
      </w:r>
      <w:r>
        <w:rPr>
          <w:color w:val="000000"/>
          <w:spacing w:val="-3"/>
          <w:szCs w:val="22"/>
        </w:rPr>
        <w:t> mg</w:t>
      </w:r>
      <w:r w:rsidRPr="005E49A1">
        <w:rPr>
          <w:color w:val="000000"/>
          <w:spacing w:val="-3"/>
          <w:szCs w:val="22"/>
        </w:rPr>
        <w:t xml:space="preserve"> kalcio ir 400 TV vitamino D per parą.</w:t>
      </w:r>
      <w:r w:rsidRPr="00444E1A">
        <w:rPr>
          <w:szCs w:val="22"/>
        </w:rPr>
        <w:t xml:space="preserve"> </w:t>
      </w:r>
      <w:r w:rsidRPr="005E49A1">
        <w:rPr>
          <w:color w:val="000000"/>
          <w:spacing w:val="-3"/>
          <w:szCs w:val="22"/>
        </w:rPr>
        <w:t>Veiksmingumas buvo įvertintas 2928 pacientėms.</w:t>
      </w:r>
      <w:r w:rsidRPr="00444E1A">
        <w:rPr>
          <w:szCs w:val="22"/>
        </w:rPr>
        <w:t xml:space="preserve"> </w:t>
      </w:r>
      <w:r w:rsidRPr="005E49A1">
        <w:rPr>
          <w:szCs w:val="22"/>
        </w:rPr>
        <w:t>Kiekvieną dieną v</w:t>
      </w:r>
      <w:r w:rsidRPr="005E49A1">
        <w:rPr>
          <w:color w:val="000000"/>
          <w:spacing w:val="-3"/>
          <w:szCs w:val="22"/>
        </w:rPr>
        <w:t>artojant 2,5</w:t>
      </w:r>
      <w:r>
        <w:rPr>
          <w:color w:val="000000"/>
          <w:spacing w:val="-3"/>
          <w:szCs w:val="22"/>
        </w:rPr>
        <w:t> mg</w:t>
      </w:r>
      <w:r w:rsidRPr="005E49A1">
        <w:rPr>
          <w:color w:val="000000"/>
          <w:spacing w:val="-3"/>
          <w:szCs w:val="22"/>
        </w:rPr>
        <w:t xml:space="preserve"> ibandrono rūgšties dozę, statistiškai patikimai ir kliniškai reikšmingai sumažėjo naujų slankstelių lūžių dažnis.</w:t>
      </w:r>
      <w:r w:rsidRPr="00444E1A">
        <w:rPr>
          <w:szCs w:val="22"/>
        </w:rPr>
        <w:t xml:space="preserve"> </w:t>
      </w:r>
      <w:r w:rsidRPr="005E49A1">
        <w:rPr>
          <w:color w:val="000000"/>
          <w:spacing w:val="-3"/>
          <w:szCs w:val="22"/>
        </w:rPr>
        <w:t>Per trejus tyrimo metus gydant 62% (p=0,0001 ) sumažėjo naujų radiografinių slankstelinių lūžių dažnis.</w:t>
      </w:r>
      <w:r w:rsidRPr="00444E1A">
        <w:rPr>
          <w:szCs w:val="22"/>
        </w:rPr>
        <w:t xml:space="preserve"> </w:t>
      </w:r>
      <w:r w:rsidRPr="005E49A1">
        <w:rPr>
          <w:color w:val="000000"/>
          <w:spacing w:val="-3"/>
          <w:szCs w:val="22"/>
        </w:rPr>
        <w:t>Po 2 metų santykinė rizika sumažėjo 61% (p=0,0006). Po vienerių gydymo metų statistiškai patikimo skirtumo nebuvo (p=0,056). Lūžių dažnį mažinantis poveikis nekito per visą tyrimą. Poveikio mažėjimo per laiką požymių nebuvo.</w:t>
      </w:r>
      <w:r w:rsidRPr="005E49A1">
        <w:rPr>
          <w:i/>
          <w:szCs w:val="22"/>
        </w:rPr>
        <w:t xml:space="preserve"> </w:t>
      </w:r>
    </w:p>
    <w:p w14:paraId="204C1910" w14:textId="77777777" w:rsidR="00302C06" w:rsidRPr="005E49A1" w:rsidRDefault="00302C06" w:rsidP="00302C06">
      <w:pPr>
        <w:tabs>
          <w:tab w:val="left" w:pos="567"/>
        </w:tabs>
        <w:rPr>
          <w:color w:val="000000"/>
          <w:spacing w:val="-3"/>
          <w:szCs w:val="22"/>
        </w:rPr>
      </w:pPr>
    </w:p>
    <w:p w14:paraId="226A3269" w14:textId="77777777" w:rsidR="00302C06" w:rsidRPr="005E49A1" w:rsidRDefault="00302C06" w:rsidP="00302C06">
      <w:pPr>
        <w:tabs>
          <w:tab w:val="left" w:pos="567"/>
        </w:tabs>
        <w:rPr>
          <w:szCs w:val="22"/>
        </w:rPr>
      </w:pPr>
      <w:r w:rsidRPr="005E49A1">
        <w:rPr>
          <w:color w:val="000000"/>
          <w:spacing w:val="-3"/>
          <w:szCs w:val="22"/>
        </w:rPr>
        <w:t xml:space="preserve">Klinikinių stuburo slankstelių lūžių dažnis taip pat sumažėjo reikšmingai – 49 % (p=0,011). Stiprų vaisto poveikį slankstelių lūžiams atspindi ir statistiškai patikimai sulėtėjęs ūgio mažėjimas </w:t>
      </w:r>
      <w:r w:rsidRPr="005E49A1">
        <w:rPr>
          <w:color w:val="000000"/>
          <w:spacing w:val="-4"/>
          <w:szCs w:val="22"/>
        </w:rPr>
        <w:t>pacientėms, palyginti su placebu (p&lt;0,0001).</w:t>
      </w:r>
    </w:p>
    <w:p w14:paraId="5F1CB771" w14:textId="77777777" w:rsidR="00302C06" w:rsidRPr="005E49A1" w:rsidRDefault="00302C06" w:rsidP="00302C06">
      <w:pPr>
        <w:tabs>
          <w:tab w:val="left" w:pos="567"/>
        </w:tabs>
        <w:rPr>
          <w:szCs w:val="22"/>
        </w:rPr>
      </w:pPr>
    </w:p>
    <w:p w14:paraId="6BB646F6" w14:textId="77777777" w:rsidR="00302C06" w:rsidRPr="005E49A1" w:rsidRDefault="00302C06" w:rsidP="00302C06">
      <w:pPr>
        <w:tabs>
          <w:tab w:val="left" w:pos="567"/>
        </w:tabs>
        <w:rPr>
          <w:szCs w:val="22"/>
        </w:rPr>
      </w:pPr>
      <w:r w:rsidRPr="005E49A1">
        <w:rPr>
          <w:color w:val="000000"/>
          <w:spacing w:val="-3"/>
          <w:szCs w:val="22"/>
        </w:rPr>
        <w:t>3 lentelė. Trejų metų trukmės lūžių tyrimo MF 4411 rezultatai (%, 95% PI)</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20"/>
        <w:gridCol w:w="2160"/>
        <w:gridCol w:w="2520"/>
      </w:tblGrid>
      <w:tr w:rsidR="00302C06" w:rsidRPr="005E49A1" w14:paraId="7A309E36" w14:textId="77777777" w:rsidTr="009818C1">
        <w:tc>
          <w:tcPr>
            <w:tcW w:w="4320" w:type="dxa"/>
          </w:tcPr>
          <w:p w14:paraId="4ACD2E33" w14:textId="77777777" w:rsidR="00302C06" w:rsidRPr="005E49A1" w:rsidRDefault="00302C06" w:rsidP="00794B16">
            <w:pPr>
              <w:tabs>
                <w:tab w:val="left" w:pos="567"/>
              </w:tabs>
              <w:rPr>
                <w:szCs w:val="22"/>
              </w:rPr>
            </w:pPr>
          </w:p>
        </w:tc>
        <w:tc>
          <w:tcPr>
            <w:tcW w:w="2160" w:type="dxa"/>
          </w:tcPr>
          <w:p w14:paraId="3C72247B" w14:textId="77777777" w:rsidR="00302C06" w:rsidRPr="00444E1A" w:rsidRDefault="00302C06" w:rsidP="00794B16">
            <w:pPr>
              <w:pStyle w:val="Default"/>
              <w:tabs>
                <w:tab w:val="left" w:pos="567"/>
              </w:tabs>
              <w:rPr>
                <w:sz w:val="22"/>
                <w:szCs w:val="22"/>
                <w:lang w:val="lt-LT"/>
              </w:rPr>
            </w:pPr>
            <w:r w:rsidRPr="005E49A1">
              <w:rPr>
                <w:sz w:val="22"/>
                <w:szCs w:val="22"/>
                <w:lang w:val="lt-LT"/>
              </w:rPr>
              <w:t xml:space="preserve">Placebas </w:t>
            </w:r>
          </w:p>
          <w:p w14:paraId="01EE673E" w14:textId="77777777" w:rsidR="00302C06" w:rsidRPr="00444E1A" w:rsidRDefault="00302C06" w:rsidP="00794B16">
            <w:pPr>
              <w:tabs>
                <w:tab w:val="left" w:pos="567"/>
              </w:tabs>
              <w:rPr>
                <w:szCs w:val="22"/>
              </w:rPr>
            </w:pPr>
            <w:r w:rsidRPr="005E49A1">
              <w:rPr>
                <w:szCs w:val="22"/>
              </w:rPr>
              <w:t xml:space="preserve">(N=974) </w:t>
            </w:r>
          </w:p>
        </w:tc>
        <w:tc>
          <w:tcPr>
            <w:tcW w:w="2520" w:type="dxa"/>
          </w:tcPr>
          <w:p w14:paraId="31FB5FDC" w14:textId="77777777" w:rsidR="00302C06" w:rsidRPr="005E49A1" w:rsidRDefault="00302C06" w:rsidP="00794B16">
            <w:pPr>
              <w:pStyle w:val="Debesliotekstas"/>
              <w:tabs>
                <w:tab w:val="left" w:pos="567"/>
              </w:tabs>
              <w:rPr>
                <w:rFonts w:ascii="Times New Roman" w:hAnsi="Times New Roman" w:cs="Times New Roman"/>
                <w:sz w:val="22"/>
                <w:szCs w:val="22"/>
              </w:rPr>
            </w:pPr>
            <w:r w:rsidRPr="005E49A1">
              <w:rPr>
                <w:rFonts w:ascii="Times New Roman" w:hAnsi="Times New Roman" w:cs="Times New Roman"/>
                <w:sz w:val="22"/>
                <w:szCs w:val="22"/>
              </w:rPr>
              <w:t xml:space="preserve">2,5 mg ibandrono rūgšties kartą per parą </w:t>
            </w:r>
          </w:p>
          <w:p w14:paraId="13994674" w14:textId="77777777" w:rsidR="00302C06" w:rsidRPr="005E49A1" w:rsidRDefault="00302C06" w:rsidP="00794B16">
            <w:pPr>
              <w:pStyle w:val="Debesliotekstas"/>
              <w:tabs>
                <w:tab w:val="left" w:pos="567"/>
              </w:tabs>
              <w:autoSpaceDE w:val="0"/>
              <w:autoSpaceDN w:val="0"/>
              <w:adjustRightInd w:val="0"/>
              <w:rPr>
                <w:rFonts w:ascii="Times New Roman" w:hAnsi="Times New Roman" w:cs="Times New Roman"/>
                <w:color w:val="000000"/>
                <w:sz w:val="22"/>
                <w:szCs w:val="22"/>
              </w:rPr>
            </w:pPr>
            <w:r w:rsidRPr="005E49A1">
              <w:rPr>
                <w:rFonts w:ascii="Times New Roman" w:hAnsi="Times New Roman" w:cs="Times New Roman"/>
                <w:sz w:val="22"/>
                <w:szCs w:val="22"/>
              </w:rPr>
              <w:t>(N=977)</w:t>
            </w:r>
          </w:p>
        </w:tc>
      </w:tr>
      <w:tr w:rsidR="00302C06" w:rsidRPr="005E49A1" w14:paraId="196CEE45" w14:textId="77777777" w:rsidTr="009818C1">
        <w:tc>
          <w:tcPr>
            <w:tcW w:w="4320" w:type="dxa"/>
          </w:tcPr>
          <w:p w14:paraId="36328829" w14:textId="77777777" w:rsidR="00302C06" w:rsidRPr="005E49A1" w:rsidRDefault="00302C06" w:rsidP="00794B16">
            <w:pPr>
              <w:tabs>
                <w:tab w:val="left" w:pos="567"/>
              </w:tabs>
              <w:rPr>
                <w:szCs w:val="22"/>
              </w:rPr>
            </w:pPr>
            <w:r w:rsidRPr="005E49A1">
              <w:rPr>
                <w:color w:val="000000"/>
                <w:spacing w:val="-3"/>
                <w:szCs w:val="22"/>
              </w:rPr>
              <w:t>Santykinės rizikos sumažėjimas</w:t>
            </w:r>
            <w:r w:rsidRPr="005E49A1">
              <w:rPr>
                <w:szCs w:val="22"/>
              </w:rPr>
              <w:t xml:space="preserve"> </w:t>
            </w:r>
          </w:p>
          <w:p w14:paraId="4B9E6130" w14:textId="77777777" w:rsidR="00302C06" w:rsidRPr="005E49A1" w:rsidRDefault="00302C06" w:rsidP="00794B16">
            <w:pPr>
              <w:tabs>
                <w:tab w:val="left" w:pos="567"/>
              </w:tabs>
              <w:rPr>
                <w:szCs w:val="22"/>
              </w:rPr>
            </w:pPr>
            <w:r w:rsidRPr="005E49A1">
              <w:rPr>
                <w:color w:val="000000"/>
                <w:spacing w:val="-3"/>
                <w:szCs w:val="22"/>
              </w:rPr>
              <w:t>Nauji morfometriniai slankstelių lūžiai</w:t>
            </w:r>
          </w:p>
        </w:tc>
        <w:tc>
          <w:tcPr>
            <w:tcW w:w="2160" w:type="dxa"/>
          </w:tcPr>
          <w:p w14:paraId="1603558B" w14:textId="77777777" w:rsidR="00302C06" w:rsidRPr="005E49A1" w:rsidRDefault="00302C06" w:rsidP="00794B16">
            <w:pPr>
              <w:tabs>
                <w:tab w:val="left" w:pos="567"/>
              </w:tabs>
              <w:rPr>
                <w:szCs w:val="22"/>
              </w:rPr>
            </w:pPr>
          </w:p>
        </w:tc>
        <w:tc>
          <w:tcPr>
            <w:tcW w:w="2520" w:type="dxa"/>
          </w:tcPr>
          <w:p w14:paraId="18F56694" w14:textId="77777777" w:rsidR="00302C06" w:rsidRPr="00444E1A" w:rsidRDefault="00302C06" w:rsidP="00794B16">
            <w:pPr>
              <w:tabs>
                <w:tab w:val="left" w:pos="567"/>
              </w:tabs>
              <w:rPr>
                <w:szCs w:val="22"/>
              </w:rPr>
            </w:pPr>
            <w:r w:rsidRPr="005E49A1">
              <w:rPr>
                <w:szCs w:val="22"/>
              </w:rPr>
              <w:t>62% (40,9, 75,1)</w:t>
            </w:r>
          </w:p>
        </w:tc>
      </w:tr>
      <w:tr w:rsidR="00302C06" w:rsidRPr="005E49A1" w14:paraId="5B71FFB9" w14:textId="77777777" w:rsidTr="009818C1">
        <w:tc>
          <w:tcPr>
            <w:tcW w:w="4320" w:type="dxa"/>
          </w:tcPr>
          <w:p w14:paraId="02FD90E1" w14:textId="77777777" w:rsidR="00302C06" w:rsidRPr="005E49A1" w:rsidRDefault="00302C06" w:rsidP="00794B16">
            <w:pPr>
              <w:tabs>
                <w:tab w:val="left" w:pos="567"/>
              </w:tabs>
              <w:rPr>
                <w:szCs w:val="22"/>
              </w:rPr>
            </w:pPr>
            <w:r w:rsidRPr="005E49A1">
              <w:rPr>
                <w:szCs w:val="22"/>
              </w:rPr>
              <w:t>Naujų morfometrinių slankstelių lūžių dažnis</w:t>
            </w:r>
          </w:p>
        </w:tc>
        <w:tc>
          <w:tcPr>
            <w:tcW w:w="2160" w:type="dxa"/>
          </w:tcPr>
          <w:p w14:paraId="54ABC9F9" w14:textId="77777777" w:rsidR="00302C06" w:rsidRPr="005E49A1" w:rsidRDefault="00302C06" w:rsidP="00794B16">
            <w:pPr>
              <w:tabs>
                <w:tab w:val="left" w:pos="567"/>
              </w:tabs>
              <w:rPr>
                <w:szCs w:val="22"/>
              </w:rPr>
            </w:pPr>
            <w:r w:rsidRPr="005E49A1">
              <w:rPr>
                <w:szCs w:val="22"/>
              </w:rPr>
              <w:t>9,56%</w:t>
            </w:r>
          </w:p>
          <w:p w14:paraId="5D70452D" w14:textId="77777777" w:rsidR="00302C06" w:rsidRPr="00444E1A" w:rsidRDefault="00302C06" w:rsidP="00794B16">
            <w:pPr>
              <w:tabs>
                <w:tab w:val="left" w:pos="567"/>
              </w:tabs>
              <w:rPr>
                <w:szCs w:val="22"/>
              </w:rPr>
            </w:pPr>
            <w:r w:rsidRPr="005E49A1">
              <w:rPr>
                <w:szCs w:val="22"/>
              </w:rPr>
              <w:t xml:space="preserve">(7,5, 11,7) </w:t>
            </w:r>
          </w:p>
        </w:tc>
        <w:tc>
          <w:tcPr>
            <w:tcW w:w="2520" w:type="dxa"/>
          </w:tcPr>
          <w:p w14:paraId="371AB986" w14:textId="77777777" w:rsidR="00302C06" w:rsidRPr="005E49A1" w:rsidRDefault="00302C06" w:rsidP="00794B16">
            <w:pPr>
              <w:tabs>
                <w:tab w:val="left" w:pos="567"/>
              </w:tabs>
              <w:rPr>
                <w:szCs w:val="22"/>
              </w:rPr>
            </w:pPr>
            <w:r w:rsidRPr="005E49A1">
              <w:rPr>
                <w:szCs w:val="22"/>
              </w:rPr>
              <w:t xml:space="preserve">4,68% </w:t>
            </w:r>
          </w:p>
          <w:p w14:paraId="174C0BEB" w14:textId="77777777" w:rsidR="00302C06" w:rsidRPr="00444E1A" w:rsidRDefault="00302C06" w:rsidP="00794B16">
            <w:pPr>
              <w:tabs>
                <w:tab w:val="left" w:pos="567"/>
              </w:tabs>
              <w:rPr>
                <w:szCs w:val="22"/>
              </w:rPr>
            </w:pPr>
            <w:r w:rsidRPr="005E49A1">
              <w:rPr>
                <w:szCs w:val="22"/>
              </w:rPr>
              <w:t xml:space="preserve">(3,2, 6,2) </w:t>
            </w:r>
          </w:p>
        </w:tc>
      </w:tr>
      <w:tr w:rsidR="00302C06" w:rsidRPr="005E49A1" w14:paraId="2C802F9B" w14:textId="77777777" w:rsidTr="009818C1">
        <w:tc>
          <w:tcPr>
            <w:tcW w:w="4320" w:type="dxa"/>
          </w:tcPr>
          <w:p w14:paraId="3F6C55BE" w14:textId="77777777" w:rsidR="00302C06" w:rsidRPr="005E49A1" w:rsidRDefault="00302C06" w:rsidP="00794B16">
            <w:pPr>
              <w:tabs>
                <w:tab w:val="left" w:pos="567"/>
              </w:tabs>
              <w:rPr>
                <w:szCs w:val="22"/>
              </w:rPr>
            </w:pPr>
            <w:r w:rsidRPr="005E49A1">
              <w:rPr>
                <w:color w:val="000000"/>
                <w:spacing w:val="-3"/>
                <w:szCs w:val="22"/>
              </w:rPr>
              <w:t>Klinikinių slankstelių lūžių santykinės rizikos sumažėjimas</w:t>
            </w:r>
          </w:p>
        </w:tc>
        <w:tc>
          <w:tcPr>
            <w:tcW w:w="2160" w:type="dxa"/>
          </w:tcPr>
          <w:p w14:paraId="3A222554" w14:textId="77777777" w:rsidR="00302C06" w:rsidRPr="005E49A1" w:rsidRDefault="00302C06" w:rsidP="00794B16">
            <w:pPr>
              <w:tabs>
                <w:tab w:val="left" w:pos="567"/>
              </w:tabs>
              <w:rPr>
                <w:szCs w:val="22"/>
              </w:rPr>
            </w:pPr>
          </w:p>
        </w:tc>
        <w:tc>
          <w:tcPr>
            <w:tcW w:w="2520" w:type="dxa"/>
          </w:tcPr>
          <w:p w14:paraId="4AFED00C" w14:textId="77777777" w:rsidR="00302C06" w:rsidRPr="00444E1A" w:rsidRDefault="00302C06" w:rsidP="00794B16">
            <w:pPr>
              <w:tabs>
                <w:tab w:val="left" w:pos="567"/>
              </w:tabs>
              <w:rPr>
                <w:szCs w:val="22"/>
              </w:rPr>
            </w:pPr>
            <w:r w:rsidRPr="005E49A1">
              <w:rPr>
                <w:szCs w:val="22"/>
              </w:rPr>
              <w:t>49 % (14,03, 69,49)</w:t>
            </w:r>
          </w:p>
        </w:tc>
      </w:tr>
      <w:tr w:rsidR="00302C06" w:rsidRPr="005E49A1" w14:paraId="2DBEB5C9" w14:textId="77777777" w:rsidTr="009818C1">
        <w:tc>
          <w:tcPr>
            <w:tcW w:w="4320" w:type="dxa"/>
          </w:tcPr>
          <w:p w14:paraId="4CAF1F94" w14:textId="77777777" w:rsidR="00302C06" w:rsidRPr="00444E1A" w:rsidRDefault="00302C06" w:rsidP="00794B16">
            <w:pPr>
              <w:tabs>
                <w:tab w:val="left" w:pos="567"/>
              </w:tabs>
              <w:rPr>
                <w:szCs w:val="22"/>
              </w:rPr>
            </w:pPr>
            <w:r w:rsidRPr="005E49A1">
              <w:rPr>
                <w:color w:val="000000"/>
                <w:spacing w:val="-3"/>
                <w:szCs w:val="22"/>
              </w:rPr>
              <w:t>Klinikinių slankstelių lūžių dažnis</w:t>
            </w:r>
          </w:p>
        </w:tc>
        <w:tc>
          <w:tcPr>
            <w:tcW w:w="2160" w:type="dxa"/>
          </w:tcPr>
          <w:p w14:paraId="755B5B89" w14:textId="77777777" w:rsidR="00302C06" w:rsidRPr="005E49A1" w:rsidRDefault="00302C06" w:rsidP="00794B16">
            <w:pPr>
              <w:tabs>
                <w:tab w:val="left" w:pos="567"/>
              </w:tabs>
              <w:rPr>
                <w:szCs w:val="22"/>
              </w:rPr>
            </w:pPr>
            <w:r w:rsidRPr="005E49A1">
              <w:rPr>
                <w:szCs w:val="22"/>
              </w:rPr>
              <w:t xml:space="preserve">5,33% </w:t>
            </w:r>
          </w:p>
          <w:p w14:paraId="4CD390C1" w14:textId="77777777" w:rsidR="00302C06" w:rsidRPr="00444E1A" w:rsidRDefault="00302C06" w:rsidP="00794B16">
            <w:pPr>
              <w:tabs>
                <w:tab w:val="left" w:pos="567"/>
              </w:tabs>
              <w:rPr>
                <w:szCs w:val="22"/>
              </w:rPr>
            </w:pPr>
            <w:r w:rsidRPr="005E49A1">
              <w:rPr>
                <w:szCs w:val="22"/>
              </w:rPr>
              <w:t xml:space="preserve">(3,73, 6,92) </w:t>
            </w:r>
          </w:p>
        </w:tc>
        <w:tc>
          <w:tcPr>
            <w:tcW w:w="2520" w:type="dxa"/>
          </w:tcPr>
          <w:p w14:paraId="6B650ADC" w14:textId="77777777" w:rsidR="00302C06" w:rsidRPr="005E49A1" w:rsidRDefault="00302C06" w:rsidP="00794B16">
            <w:pPr>
              <w:tabs>
                <w:tab w:val="left" w:pos="567"/>
              </w:tabs>
              <w:rPr>
                <w:szCs w:val="22"/>
              </w:rPr>
            </w:pPr>
            <w:r w:rsidRPr="005E49A1">
              <w:rPr>
                <w:szCs w:val="22"/>
              </w:rPr>
              <w:t xml:space="preserve">2,75% </w:t>
            </w:r>
          </w:p>
          <w:p w14:paraId="1E5E9675" w14:textId="77777777" w:rsidR="00302C06" w:rsidRPr="00444E1A" w:rsidRDefault="00302C06" w:rsidP="00794B16">
            <w:pPr>
              <w:tabs>
                <w:tab w:val="left" w:pos="567"/>
              </w:tabs>
              <w:rPr>
                <w:szCs w:val="22"/>
              </w:rPr>
            </w:pPr>
            <w:r w:rsidRPr="005E49A1">
              <w:rPr>
                <w:szCs w:val="22"/>
              </w:rPr>
              <w:t xml:space="preserve">(1,61, 3,89) </w:t>
            </w:r>
          </w:p>
        </w:tc>
      </w:tr>
      <w:tr w:rsidR="00302C06" w:rsidRPr="005E49A1" w14:paraId="078F04F5" w14:textId="77777777" w:rsidTr="009818C1">
        <w:tc>
          <w:tcPr>
            <w:tcW w:w="4320" w:type="dxa"/>
          </w:tcPr>
          <w:p w14:paraId="0850AB1A" w14:textId="77777777" w:rsidR="00302C06" w:rsidRPr="005E49A1" w:rsidRDefault="00302C06" w:rsidP="00794B16">
            <w:pPr>
              <w:tabs>
                <w:tab w:val="left" w:pos="567"/>
              </w:tabs>
              <w:rPr>
                <w:szCs w:val="22"/>
              </w:rPr>
            </w:pPr>
            <w:r w:rsidRPr="005E49A1">
              <w:rPr>
                <w:color w:val="000000"/>
                <w:spacing w:val="-1"/>
                <w:szCs w:val="22"/>
              </w:rPr>
              <w:t xml:space="preserve">KMT – vidutinis juosmens </w:t>
            </w:r>
            <w:r w:rsidRPr="005E49A1">
              <w:rPr>
                <w:color w:val="000000"/>
                <w:spacing w:val="-3"/>
                <w:szCs w:val="22"/>
              </w:rPr>
              <w:t>slankstelių pokytis per 3 metus lyginant su pradine verte</w:t>
            </w:r>
          </w:p>
        </w:tc>
        <w:tc>
          <w:tcPr>
            <w:tcW w:w="2160" w:type="dxa"/>
          </w:tcPr>
          <w:p w14:paraId="19C0B813" w14:textId="77777777" w:rsidR="00302C06" w:rsidRPr="00444E1A" w:rsidRDefault="00302C06" w:rsidP="00794B16">
            <w:pPr>
              <w:tabs>
                <w:tab w:val="left" w:pos="567"/>
              </w:tabs>
              <w:rPr>
                <w:szCs w:val="22"/>
              </w:rPr>
            </w:pPr>
            <w:r w:rsidRPr="005E49A1">
              <w:rPr>
                <w:szCs w:val="22"/>
              </w:rPr>
              <w:t xml:space="preserve">1,26% (0,8, 1,7) </w:t>
            </w:r>
          </w:p>
        </w:tc>
        <w:tc>
          <w:tcPr>
            <w:tcW w:w="2520" w:type="dxa"/>
          </w:tcPr>
          <w:p w14:paraId="11626A27" w14:textId="77777777" w:rsidR="00302C06" w:rsidRPr="00444E1A" w:rsidRDefault="00302C06" w:rsidP="00794B16">
            <w:pPr>
              <w:tabs>
                <w:tab w:val="left" w:pos="567"/>
              </w:tabs>
              <w:rPr>
                <w:szCs w:val="22"/>
              </w:rPr>
            </w:pPr>
            <w:r w:rsidRPr="005E49A1">
              <w:rPr>
                <w:szCs w:val="22"/>
              </w:rPr>
              <w:t xml:space="preserve">6,54% (6,1, 7) </w:t>
            </w:r>
          </w:p>
        </w:tc>
      </w:tr>
      <w:tr w:rsidR="00302C06" w:rsidRPr="005E49A1" w14:paraId="71335B70" w14:textId="77777777" w:rsidTr="009818C1">
        <w:tc>
          <w:tcPr>
            <w:tcW w:w="4320" w:type="dxa"/>
          </w:tcPr>
          <w:p w14:paraId="14BDD39E" w14:textId="77777777" w:rsidR="00302C06" w:rsidRPr="00444E1A" w:rsidRDefault="00302C06" w:rsidP="00794B16">
            <w:pPr>
              <w:tabs>
                <w:tab w:val="left" w:pos="567"/>
              </w:tabs>
              <w:rPr>
                <w:szCs w:val="22"/>
              </w:rPr>
            </w:pPr>
            <w:r w:rsidRPr="005E49A1">
              <w:rPr>
                <w:color w:val="000000"/>
                <w:spacing w:val="-2"/>
                <w:szCs w:val="22"/>
              </w:rPr>
              <w:t xml:space="preserve">KMT – vidutinis bendras šlaunikaulio </w:t>
            </w:r>
            <w:r w:rsidRPr="005E49A1">
              <w:rPr>
                <w:color w:val="000000"/>
                <w:spacing w:val="-3"/>
                <w:szCs w:val="22"/>
              </w:rPr>
              <w:t>pokytis per 3 metus lyginant su pradine verte</w:t>
            </w:r>
          </w:p>
        </w:tc>
        <w:tc>
          <w:tcPr>
            <w:tcW w:w="2160" w:type="dxa"/>
          </w:tcPr>
          <w:p w14:paraId="516C191B" w14:textId="77777777" w:rsidR="00302C06" w:rsidRPr="00444E1A" w:rsidRDefault="00302C06" w:rsidP="00794B16">
            <w:pPr>
              <w:pStyle w:val="Default"/>
              <w:tabs>
                <w:tab w:val="left" w:pos="567"/>
              </w:tabs>
              <w:rPr>
                <w:sz w:val="22"/>
                <w:szCs w:val="22"/>
                <w:lang w:val="lt-LT"/>
              </w:rPr>
            </w:pPr>
            <w:r w:rsidRPr="00444E1A">
              <w:rPr>
                <w:sz w:val="22"/>
                <w:szCs w:val="22"/>
                <w:lang w:val="lt-LT"/>
              </w:rPr>
              <w:t xml:space="preserve">-0,69% </w:t>
            </w:r>
          </w:p>
          <w:p w14:paraId="3B0C104D" w14:textId="77777777" w:rsidR="00302C06" w:rsidRPr="00444E1A" w:rsidRDefault="00302C06" w:rsidP="00794B16">
            <w:pPr>
              <w:pStyle w:val="Default"/>
              <w:tabs>
                <w:tab w:val="left" w:pos="567"/>
              </w:tabs>
              <w:rPr>
                <w:sz w:val="22"/>
                <w:szCs w:val="22"/>
                <w:lang w:val="lt-LT"/>
              </w:rPr>
            </w:pPr>
            <w:r w:rsidRPr="00444E1A">
              <w:rPr>
                <w:sz w:val="22"/>
                <w:szCs w:val="22"/>
                <w:lang w:val="lt-LT"/>
              </w:rPr>
              <w:t xml:space="preserve">(-1, -0,4) </w:t>
            </w:r>
          </w:p>
        </w:tc>
        <w:tc>
          <w:tcPr>
            <w:tcW w:w="2520" w:type="dxa"/>
          </w:tcPr>
          <w:p w14:paraId="58DA3E9A" w14:textId="77777777" w:rsidR="00302C06" w:rsidRPr="00444E1A" w:rsidRDefault="00302C06" w:rsidP="00794B16">
            <w:pPr>
              <w:pStyle w:val="Default"/>
              <w:tabs>
                <w:tab w:val="left" w:pos="567"/>
              </w:tabs>
              <w:rPr>
                <w:sz w:val="22"/>
                <w:szCs w:val="22"/>
                <w:lang w:val="lt-LT"/>
              </w:rPr>
            </w:pPr>
            <w:r w:rsidRPr="00444E1A">
              <w:rPr>
                <w:sz w:val="22"/>
                <w:szCs w:val="22"/>
                <w:lang w:val="lt-LT"/>
              </w:rPr>
              <w:t xml:space="preserve">3,36% </w:t>
            </w:r>
          </w:p>
          <w:p w14:paraId="47A0719C" w14:textId="77777777" w:rsidR="00302C06" w:rsidRPr="00444E1A" w:rsidRDefault="00302C06" w:rsidP="00794B16">
            <w:pPr>
              <w:pStyle w:val="Default"/>
              <w:tabs>
                <w:tab w:val="left" w:pos="567"/>
              </w:tabs>
              <w:rPr>
                <w:sz w:val="22"/>
                <w:szCs w:val="22"/>
                <w:lang w:val="lt-LT"/>
              </w:rPr>
            </w:pPr>
            <w:r w:rsidRPr="00444E1A">
              <w:rPr>
                <w:sz w:val="22"/>
                <w:szCs w:val="22"/>
                <w:lang w:val="lt-LT"/>
              </w:rPr>
              <w:t xml:space="preserve">(3, 3,7) </w:t>
            </w:r>
          </w:p>
        </w:tc>
      </w:tr>
    </w:tbl>
    <w:p w14:paraId="5A47DBDC" w14:textId="77777777" w:rsidR="00302C06" w:rsidRPr="00444E1A" w:rsidRDefault="00302C06" w:rsidP="00302C06">
      <w:pPr>
        <w:tabs>
          <w:tab w:val="left" w:pos="567"/>
        </w:tabs>
        <w:rPr>
          <w:szCs w:val="22"/>
        </w:rPr>
      </w:pPr>
    </w:p>
    <w:p w14:paraId="11CA70A6" w14:textId="77777777" w:rsidR="00302C06" w:rsidRPr="005E49A1" w:rsidRDefault="00302C06" w:rsidP="00302C06">
      <w:pPr>
        <w:tabs>
          <w:tab w:val="left" w:pos="567"/>
        </w:tabs>
        <w:rPr>
          <w:szCs w:val="22"/>
        </w:rPr>
      </w:pPr>
      <w:r w:rsidRPr="005E49A1">
        <w:rPr>
          <w:color w:val="000000"/>
          <w:spacing w:val="-3"/>
          <w:szCs w:val="22"/>
        </w:rPr>
        <w:t xml:space="preserve">Toliau gydomasis ibandrono rūgšties poveikis buvo įvertintas analizuojant pacienčių, kurių pradinis juosmens slankstelių KMT T lygmuo buvo mažesnis kaip -2,5, pogrupį. Slankstelių lūžių rizikos </w:t>
      </w:r>
      <w:r w:rsidRPr="005E49A1">
        <w:rPr>
          <w:color w:val="000000"/>
          <w:spacing w:val="-4"/>
          <w:szCs w:val="22"/>
        </w:rPr>
        <w:t>sumažėjimas buvo panašus į analogišką rodmenį, stebėtą bendroje populiacijoje.</w:t>
      </w:r>
      <w:r w:rsidRPr="005E49A1">
        <w:rPr>
          <w:szCs w:val="22"/>
        </w:rPr>
        <w:t xml:space="preserve"> </w:t>
      </w:r>
    </w:p>
    <w:p w14:paraId="1E504F19" w14:textId="77777777" w:rsidR="00302C06" w:rsidRPr="005E49A1" w:rsidRDefault="00302C06" w:rsidP="00302C06">
      <w:pPr>
        <w:tabs>
          <w:tab w:val="left" w:pos="567"/>
        </w:tabs>
        <w:rPr>
          <w:szCs w:val="22"/>
        </w:rPr>
      </w:pPr>
    </w:p>
    <w:p w14:paraId="09F72DCE" w14:textId="77777777" w:rsidR="00302C06" w:rsidRPr="005E49A1" w:rsidRDefault="00302C06" w:rsidP="00302C06">
      <w:pPr>
        <w:tabs>
          <w:tab w:val="left" w:pos="567"/>
        </w:tabs>
        <w:rPr>
          <w:szCs w:val="22"/>
        </w:rPr>
      </w:pPr>
      <w:r w:rsidRPr="005E49A1">
        <w:rPr>
          <w:color w:val="000000"/>
          <w:spacing w:val="-3"/>
          <w:szCs w:val="22"/>
        </w:rPr>
        <w:t xml:space="preserve">4 lentelė. Pacienčių, kurių </w:t>
      </w:r>
      <w:r w:rsidRPr="005E49A1">
        <w:rPr>
          <w:color w:val="000000"/>
          <w:spacing w:val="-4"/>
          <w:szCs w:val="22"/>
        </w:rPr>
        <w:t xml:space="preserve">pradinis juosmeninių slankstelių KMT T lygmuo buvo mažesnis kaip –2,5, </w:t>
      </w:r>
      <w:r w:rsidRPr="005E49A1">
        <w:rPr>
          <w:color w:val="000000"/>
          <w:spacing w:val="-3"/>
          <w:szCs w:val="22"/>
        </w:rPr>
        <w:t xml:space="preserve">trejų metų trukmės lūžių tyrimo MF 4411 rezultatai (%, 95 % PI)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20"/>
        <w:gridCol w:w="2340"/>
        <w:gridCol w:w="2340"/>
      </w:tblGrid>
      <w:tr w:rsidR="00302C06" w:rsidRPr="005E49A1" w14:paraId="4DAF7433" w14:textId="77777777" w:rsidTr="009818C1">
        <w:tc>
          <w:tcPr>
            <w:tcW w:w="4320" w:type="dxa"/>
          </w:tcPr>
          <w:p w14:paraId="6AA4E265" w14:textId="77777777" w:rsidR="00302C06" w:rsidRPr="005E49A1" w:rsidRDefault="00302C06" w:rsidP="00794B16">
            <w:pPr>
              <w:tabs>
                <w:tab w:val="left" w:pos="567"/>
              </w:tabs>
              <w:rPr>
                <w:szCs w:val="22"/>
              </w:rPr>
            </w:pPr>
          </w:p>
        </w:tc>
        <w:tc>
          <w:tcPr>
            <w:tcW w:w="2340" w:type="dxa"/>
          </w:tcPr>
          <w:p w14:paraId="528E1D20" w14:textId="77777777" w:rsidR="00302C06" w:rsidRPr="00444E1A" w:rsidRDefault="00302C06" w:rsidP="00794B16">
            <w:pPr>
              <w:pStyle w:val="Default"/>
              <w:tabs>
                <w:tab w:val="left" w:pos="567"/>
              </w:tabs>
              <w:jc w:val="both"/>
              <w:rPr>
                <w:sz w:val="22"/>
                <w:szCs w:val="22"/>
                <w:lang w:val="lt-LT"/>
              </w:rPr>
            </w:pPr>
            <w:r w:rsidRPr="005E49A1">
              <w:rPr>
                <w:sz w:val="22"/>
                <w:szCs w:val="22"/>
                <w:lang w:val="lt-LT"/>
              </w:rPr>
              <w:t xml:space="preserve">Placebas </w:t>
            </w:r>
          </w:p>
          <w:p w14:paraId="310025B3" w14:textId="77777777" w:rsidR="00302C06" w:rsidRPr="00444E1A" w:rsidRDefault="00302C06" w:rsidP="00794B16">
            <w:pPr>
              <w:tabs>
                <w:tab w:val="left" w:pos="567"/>
              </w:tabs>
              <w:rPr>
                <w:szCs w:val="22"/>
              </w:rPr>
            </w:pPr>
            <w:r w:rsidRPr="005E49A1">
              <w:rPr>
                <w:szCs w:val="22"/>
              </w:rPr>
              <w:t xml:space="preserve">(N=587) </w:t>
            </w:r>
          </w:p>
        </w:tc>
        <w:tc>
          <w:tcPr>
            <w:tcW w:w="2340" w:type="dxa"/>
          </w:tcPr>
          <w:p w14:paraId="6DB30C08" w14:textId="77777777" w:rsidR="00302C06" w:rsidRPr="005E49A1" w:rsidRDefault="00302C06" w:rsidP="00794B16">
            <w:pPr>
              <w:pStyle w:val="Debesliotekstas"/>
              <w:tabs>
                <w:tab w:val="left" w:pos="567"/>
              </w:tabs>
              <w:jc w:val="both"/>
              <w:rPr>
                <w:rFonts w:ascii="Times New Roman" w:hAnsi="Times New Roman" w:cs="Times New Roman"/>
                <w:sz w:val="22"/>
                <w:szCs w:val="22"/>
              </w:rPr>
            </w:pPr>
            <w:r w:rsidRPr="005E49A1">
              <w:rPr>
                <w:rFonts w:ascii="Times New Roman" w:hAnsi="Times New Roman" w:cs="Times New Roman"/>
                <w:sz w:val="22"/>
                <w:szCs w:val="22"/>
              </w:rPr>
              <w:t xml:space="preserve">o rūgštis 2,5 mg kartą per parą </w:t>
            </w:r>
          </w:p>
          <w:p w14:paraId="08E17E1B" w14:textId="77777777" w:rsidR="00302C06" w:rsidRPr="00444E1A" w:rsidRDefault="00302C06" w:rsidP="00794B16">
            <w:pPr>
              <w:tabs>
                <w:tab w:val="left" w:pos="567"/>
              </w:tabs>
              <w:rPr>
                <w:szCs w:val="22"/>
              </w:rPr>
            </w:pPr>
            <w:r w:rsidRPr="005E49A1">
              <w:rPr>
                <w:szCs w:val="22"/>
              </w:rPr>
              <w:t>(N=575)</w:t>
            </w:r>
          </w:p>
        </w:tc>
      </w:tr>
      <w:tr w:rsidR="00302C06" w:rsidRPr="005E49A1" w14:paraId="54465EEB" w14:textId="77777777" w:rsidTr="009818C1">
        <w:tc>
          <w:tcPr>
            <w:tcW w:w="4320" w:type="dxa"/>
          </w:tcPr>
          <w:p w14:paraId="5F09B0AD" w14:textId="77777777" w:rsidR="00302C06" w:rsidRPr="005E49A1" w:rsidRDefault="00302C06" w:rsidP="00794B16">
            <w:pPr>
              <w:tabs>
                <w:tab w:val="left" w:pos="567"/>
              </w:tabs>
              <w:rPr>
                <w:szCs w:val="22"/>
              </w:rPr>
            </w:pPr>
            <w:r w:rsidRPr="005E49A1">
              <w:rPr>
                <w:color w:val="000000"/>
                <w:spacing w:val="-3"/>
                <w:szCs w:val="22"/>
              </w:rPr>
              <w:t>Santykinės rizikos sumažėjimas</w:t>
            </w:r>
            <w:r w:rsidRPr="005E49A1">
              <w:rPr>
                <w:szCs w:val="22"/>
              </w:rPr>
              <w:t xml:space="preserve"> </w:t>
            </w:r>
          </w:p>
          <w:p w14:paraId="11CBC91F" w14:textId="77777777" w:rsidR="00302C06" w:rsidRPr="005E49A1" w:rsidRDefault="00302C06" w:rsidP="00794B16">
            <w:pPr>
              <w:tabs>
                <w:tab w:val="left" w:pos="567"/>
              </w:tabs>
              <w:rPr>
                <w:szCs w:val="22"/>
              </w:rPr>
            </w:pPr>
            <w:r w:rsidRPr="005E49A1">
              <w:rPr>
                <w:color w:val="000000"/>
                <w:spacing w:val="-3"/>
                <w:szCs w:val="22"/>
              </w:rPr>
              <w:t>Nauji morfometriniai slankstelių lūžiai</w:t>
            </w:r>
          </w:p>
        </w:tc>
        <w:tc>
          <w:tcPr>
            <w:tcW w:w="2340" w:type="dxa"/>
          </w:tcPr>
          <w:p w14:paraId="51EF6FCB" w14:textId="77777777" w:rsidR="00302C06" w:rsidRPr="005E49A1" w:rsidRDefault="00302C06" w:rsidP="00794B16">
            <w:pPr>
              <w:tabs>
                <w:tab w:val="left" w:pos="567"/>
              </w:tabs>
              <w:rPr>
                <w:szCs w:val="22"/>
              </w:rPr>
            </w:pPr>
          </w:p>
        </w:tc>
        <w:tc>
          <w:tcPr>
            <w:tcW w:w="2340" w:type="dxa"/>
          </w:tcPr>
          <w:p w14:paraId="69A0AE2A" w14:textId="77777777" w:rsidR="00302C06" w:rsidRPr="00444E1A" w:rsidRDefault="00302C06" w:rsidP="00794B16">
            <w:pPr>
              <w:tabs>
                <w:tab w:val="left" w:pos="567"/>
              </w:tabs>
              <w:rPr>
                <w:szCs w:val="22"/>
              </w:rPr>
            </w:pPr>
            <w:r w:rsidRPr="005E49A1">
              <w:rPr>
                <w:szCs w:val="22"/>
              </w:rPr>
              <w:t>59% (34,5, 74,3)</w:t>
            </w:r>
          </w:p>
        </w:tc>
      </w:tr>
      <w:tr w:rsidR="00302C06" w:rsidRPr="005E49A1" w14:paraId="55D58590" w14:textId="77777777" w:rsidTr="009818C1">
        <w:tc>
          <w:tcPr>
            <w:tcW w:w="4320" w:type="dxa"/>
          </w:tcPr>
          <w:p w14:paraId="2AB43929" w14:textId="77777777" w:rsidR="00302C06" w:rsidRPr="005E49A1" w:rsidRDefault="00302C06" w:rsidP="00794B16">
            <w:pPr>
              <w:tabs>
                <w:tab w:val="left" w:pos="567"/>
              </w:tabs>
              <w:rPr>
                <w:szCs w:val="22"/>
              </w:rPr>
            </w:pPr>
            <w:r w:rsidRPr="005E49A1">
              <w:rPr>
                <w:szCs w:val="22"/>
              </w:rPr>
              <w:t>Naujų morfometrinių slankstelių lūžių dažnis</w:t>
            </w:r>
          </w:p>
        </w:tc>
        <w:tc>
          <w:tcPr>
            <w:tcW w:w="2340" w:type="dxa"/>
          </w:tcPr>
          <w:p w14:paraId="5F01A0ED" w14:textId="77777777" w:rsidR="00302C06" w:rsidRPr="005E49A1" w:rsidRDefault="00302C06" w:rsidP="00794B16">
            <w:pPr>
              <w:tabs>
                <w:tab w:val="left" w:pos="567"/>
              </w:tabs>
              <w:rPr>
                <w:szCs w:val="22"/>
              </w:rPr>
            </w:pPr>
            <w:r w:rsidRPr="005E49A1">
              <w:rPr>
                <w:szCs w:val="22"/>
              </w:rPr>
              <w:t xml:space="preserve">12,54% </w:t>
            </w:r>
          </w:p>
          <w:p w14:paraId="5C87856E" w14:textId="77777777" w:rsidR="00302C06" w:rsidRPr="00444E1A" w:rsidRDefault="00302C06" w:rsidP="00794B16">
            <w:pPr>
              <w:tabs>
                <w:tab w:val="left" w:pos="567"/>
              </w:tabs>
              <w:rPr>
                <w:szCs w:val="22"/>
              </w:rPr>
            </w:pPr>
            <w:r w:rsidRPr="005E49A1">
              <w:rPr>
                <w:szCs w:val="22"/>
              </w:rPr>
              <w:t xml:space="preserve">(9,53, 15,55) </w:t>
            </w:r>
          </w:p>
        </w:tc>
        <w:tc>
          <w:tcPr>
            <w:tcW w:w="2340" w:type="dxa"/>
          </w:tcPr>
          <w:p w14:paraId="5616A4ED" w14:textId="77777777" w:rsidR="00302C06" w:rsidRPr="005E49A1" w:rsidRDefault="00302C06" w:rsidP="00794B16">
            <w:pPr>
              <w:tabs>
                <w:tab w:val="left" w:pos="567"/>
              </w:tabs>
              <w:rPr>
                <w:szCs w:val="22"/>
              </w:rPr>
            </w:pPr>
            <w:r w:rsidRPr="005E49A1">
              <w:rPr>
                <w:szCs w:val="22"/>
              </w:rPr>
              <w:t xml:space="preserve">5,36% </w:t>
            </w:r>
          </w:p>
          <w:p w14:paraId="3DC1FB61" w14:textId="77777777" w:rsidR="00302C06" w:rsidRPr="00444E1A" w:rsidRDefault="00302C06" w:rsidP="00794B16">
            <w:pPr>
              <w:tabs>
                <w:tab w:val="left" w:pos="567"/>
              </w:tabs>
              <w:rPr>
                <w:szCs w:val="22"/>
              </w:rPr>
            </w:pPr>
            <w:r w:rsidRPr="005E49A1">
              <w:rPr>
                <w:szCs w:val="22"/>
              </w:rPr>
              <w:t xml:space="preserve">(3,31, 7,41) </w:t>
            </w:r>
          </w:p>
        </w:tc>
      </w:tr>
      <w:tr w:rsidR="00302C06" w:rsidRPr="005E49A1" w14:paraId="7B0FDE24" w14:textId="77777777" w:rsidTr="009818C1">
        <w:tc>
          <w:tcPr>
            <w:tcW w:w="4320" w:type="dxa"/>
          </w:tcPr>
          <w:p w14:paraId="7B71D088" w14:textId="77777777" w:rsidR="00302C06" w:rsidRPr="005E49A1" w:rsidRDefault="00302C06" w:rsidP="00794B16">
            <w:pPr>
              <w:tabs>
                <w:tab w:val="left" w:pos="567"/>
              </w:tabs>
              <w:rPr>
                <w:szCs w:val="22"/>
              </w:rPr>
            </w:pPr>
            <w:r w:rsidRPr="005E49A1">
              <w:rPr>
                <w:color w:val="000000"/>
                <w:spacing w:val="-3"/>
                <w:szCs w:val="22"/>
              </w:rPr>
              <w:t>Klinikinių slankstelių lūžių santykinės rizikos sumažėjimas</w:t>
            </w:r>
          </w:p>
        </w:tc>
        <w:tc>
          <w:tcPr>
            <w:tcW w:w="2340" w:type="dxa"/>
          </w:tcPr>
          <w:p w14:paraId="5859EED6" w14:textId="77777777" w:rsidR="00302C06" w:rsidRPr="005E49A1" w:rsidRDefault="00302C06" w:rsidP="00794B16">
            <w:pPr>
              <w:tabs>
                <w:tab w:val="left" w:pos="567"/>
              </w:tabs>
              <w:rPr>
                <w:szCs w:val="22"/>
              </w:rPr>
            </w:pPr>
          </w:p>
        </w:tc>
        <w:tc>
          <w:tcPr>
            <w:tcW w:w="2340" w:type="dxa"/>
          </w:tcPr>
          <w:p w14:paraId="0D2C6448" w14:textId="77777777" w:rsidR="00302C06" w:rsidRPr="00444E1A" w:rsidRDefault="00302C06" w:rsidP="00794B16">
            <w:pPr>
              <w:tabs>
                <w:tab w:val="left" w:pos="567"/>
              </w:tabs>
              <w:rPr>
                <w:szCs w:val="22"/>
              </w:rPr>
            </w:pPr>
            <w:r w:rsidRPr="005E49A1">
              <w:rPr>
                <w:szCs w:val="22"/>
              </w:rPr>
              <w:t>50% (9.49, 71,91)</w:t>
            </w:r>
          </w:p>
        </w:tc>
      </w:tr>
      <w:tr w:rsidR="00302C06" w:rsidRPr="005E49A1" w14:paraId="5D065261" w14:textId="77777777" w:rsidTr="009818C1">
        <w:tc>
          <w:tcPr>
            <w:tcW w:w="4320" w:type="dxa"/>
          </w:tcPr>
          <w:p w14:paraId="2ACA0FED" w14:textId="77777777" w:rsidR="00302C06" w:rsidRPr="00444E1A" w:rsidRDefault="00302C06" w:rsidP="00794B16">
            <w:pPr>
              <w:tabs>
                <w:tab w:val="left" w:pos="567"/>
              </w:tabs>
              <w:rPr>
                <w:szCs w:val="22"/>
              </w:rPr>
            </w:pPr>
            <w:r w:rsidRPr="005E49A1">
              <w:rPr>
                <w:color w:val="000000"/>
                <w:spacing w:val="-3"/>
                <w:szCs w:val="22"/>
              </w:rPr>
              <w:t>Klinikinių slankstelių lūžių dažnis</w:t>
            </w:r>
          </w:p>
        </w:tc>
        <w:tc>
          <w:tcPr>
            <w:tcW w:w="2340" w:type="dxa"/>
          </w:tcPr>
          <w:p w14:paraId="24D1D2E3" w14:textId="77777777" w:rsidR="00302C06" w:rsidRPr="005E49A1" w:rsidRDefault="00302C06" w:rsidP="00794B16">
            <w:pPr>
              <w:tabs>
                <w:tab w:val="left" w:pos="567"/>
              </w:tabs>
              <w:rPr>
                <w:szCs w:val="22"/>
              </w:rPr>
            </w:pPr>
            <w:r w:rsidRPr="005E49A1">
              <w:rPr>
                <w:szCs w:val="22"/>
              </w:rPr>
              <w:t xml:space="preserve">6,97% </w:t>
            </w:r>
          </w:p>
          <w:p w14:paraId="20941580" w14:textId="77777777" w:rsidR="00302C06" w:rsidRPr="00444E1A" w:rsidRDefault="00302C06" w:rsidP="00794B16">
            <w:pPr>
              <w:tabs>
                <w:tab w:val="left" w:pos="567"/>
              </w:tabs>
              <w:rPr>
                <w:szCs w:val="22"/>
              </w:rPr>
            </w:pPr>
            <w:r w:rsidRPr="005E49A1">
              <w:rPr>
                <w:szCs w:val="22"/>
              </w:rPr>
              <w:t xml:space="preserve">(4,67, 9,27) </w:t>
            </w:r>
          </w:p>
        </w:tc>
        <w:tc>
          <w:tcPr>
            <w:tcW w:w="2340" w:type="dxa"/>
          </w:tcPr>
          <w:p w14:paraId="6C098A77" w14:textId="77777777" w:rsidR="00302C06" w:rsidRPr="005E49A1" w:rsidRDefault="00302C06" w:rsidP="00794B16">
            <w:pPr>
              <w:tabs>
                <w:tab w:val="left" w:pos="567"/>
              </w:tabs>
              <w:rPr>
                <w:szCs w:val="22"/>
              </w:rPr>
            </w:pPr>
            <w:r w:rsidRPr="005E49A1">
              <w:rPr>
                <w:szCs w:val="22"/>
              </w:rPr>
              <w:t xml:space="preserve">3,57% </w:t>
            </w:r>
          </w:p>
          <w:p w14:paraId="4511F58F" w14:textId="77777777" w:rsidR="00302C06" w:rsidRPr="00444E1A" w:rsidRDefault="00302C06" w:rsidP="00794B16">
            <w:pPr>
              <w:tabs>
                <w:tab w:val="left" w:pos="567"/>
              </w:tabs>
              <w:rPr>
                <w:szCs w:val="22"/>
              </w:rPr>
            </w:pPr>
            <w:r w:rsidRPr="005E49A1">
              <w:rPr>
                <w:szCs w:val="22"/>
              </w:rPr>
              <w:t xml:space="preserve">(1,89, 5,24) </w:t>
            </w:r>
          </w:p>
        </w:tc>
      </w:tr>
      <w:tr w:rsidR="00302C06" w:rsidRPr="005E49A1" w14:paraId="2FE657BE" w14:textId="77777777" w:rsidTr="009818C1">
        <w:tc>
          <w:tcPr>
            <w:tcW w:w="4320" w:type="dxa"/>
          </w:tcPr>
          <w:p w14:paraId="56932E80" w14:textId="77777777" w:rsidR="00302C06" w:rsidRPr="005E49A1" w:rsidRDefault="00302C06" w:rsidP="00794B16">
            <w:pPr>
              <w:tabs>
                <w:tab w:val="left" w:pos="567"/>
              </w:tabs>
              <w:rPr>
                <w:szCs w:val="22"/>
              </w:rPr>
            </w:pPr>
            <w:r w:rsidRPr="005E49A1">
              <w:rPr>
                <w:color w:val="000000"/>
                <w:spacing w:val="-1"/>
                <w:szCs w:val="22"/>
              </w:rPr>
              <w:t xml:space="preserve">KMT – vidutinis juosmens </w:t>
            </w:r>
            <w:r w:rsidRPr="005E49A1">
              <w:rPr>
                <w:color w:val="000000"/>
                <w:spacing w:val="-3"/>
                <w:szCs w:val="22"/>
              </w:rPr>
              <w:t>slankstelių pokytis per 3 metus lyginant su pradine verte</w:t>
            </w:r>
          </w:p>
        </w:tc>
        <w:tc>
          <w:tcPr>
            <w:tcW w:w="2340" w:type="dxa"/>
          </w:tcPr>
          <w:p w14:paraId="676BC77A" w14:textId="77777777" w:rsidR="00302C06" w:rsidRPr="005E49A1" w:rsidRDefault="00302C06" w:rsidP="00794B16">
            <w:pPr>
              <w:tabs>
                <w:tab w:val="left" w:pos="567"/>
              </w:tabs>
              <w:rPr>
                <w:szCs w:val="22"/>
              </w:rPr>
            </w:pPr>
            <w:r w:rsidRPr="005E49A1">
              <w:rPr>
                <w:szCs w:val="22"/>
              </w:rPr>
              <w:t xml:space="preserve">1,13% </w:t>
            </w:r>
          </w:p>
          <w:p w14:paraId="2CD09180" w14:textId="77777777" w:rsidR="00302C06" w:rsidRPr="00444E1A" w:rsidRDefault="00302C06" w:rsidP="00794B16">
            <w:pPr>
              <w:tabs>
                <w:tab w:val="left" w:pos="567"/>
              </w:tabs>
              <w:rPr>
                <w:szCs w:val="22"/>
              </w:rPr>
            </w:pPr>
            <w:r w:rsidRPr="005E49A1">
              <w:rPr>
                <w:szCs w:val="22"/>
              </w:rPr>
              <w:t xml:space="preserve">(0,6, 1,7) </w:t>
            </w:r>
          </w:p>
        </w:tc>
        <w:tc>
          <w:tcPr>
            <w:tcW w:w="2340" w:type="dxa"/>
          </w:tcPr>
          <w:p w14:paraId="586AB0D8" w14:textId="77777777" w:rsidR="00302C06" w:rsidRPr="005E49A1" w:rsidRDefault="00302C06" w:rsidP="00794B16">
            <w:pPr>
              <w:tabs>
                <w:tab w:val="left" w:pos="567"/>
              </w:tabs>
              <w:rPr>
                <w:szCs w:val="22"/>
              </w:rPr>
            </w:pPr>
            <w:r w:rsidRPr="005E49A1">
              <w:rPr>
                <w:szCs w:val="22"/>
              </w:rPr>
              <w:t xml:space="preserve">7,01% </w:t>
            </w:r>
          </w:p>
          <w:p w14:paraId="100F240A" w14:textId="77777777" w:rsidR="00302C06" w:rsidRPr="00444E1A" w:rsidRDefault="00302C06" w:rsidP="00794B16">
            <w:pPr>
              <w:tabs>
                <w:tab w:val="left" w:pos="567"/>
              </w:tabs>
              <w:rPr>
                <w:szCs w:val="22"/>
              </w:rPr>
            </w:pPr>
            <w:r w:rsidRPr="005E49A1">
              <w:rPr>
                <w:szCs w:val="22"/>
              </w:rPr>
              <w:t xml:space="preserve">(6,5, 7,6) </w:t>
            </w:r>
          </w:p>
        </w:tc>
      </w:tr>
      <w:tr w:rsidR="00302C06" w:rsidRPr="005E49A1" w14:paraId="70A43C23" w14:textId="77777777" w:rsidTr="009818C1">
        <w:tc>
          <w:tcPr>
            <w:tcW w:w="4320" w:type="dxa"/>
          </w:tcPr>
          <w:p w14:paraId="32C0F222" w14:textId="77777777" w:rsidR="00302C06" w:rsidRPr="00444E1A" w:rsidRDefault="00302C06" w:rsidP="00794B16">
            <w:pPr>
              <w:tabs>
                <w:tab w:val="left" w:pos="567"/>
              </w:tabs>
              <w:rPr>
                <w:szCs w:val="22"/>
              </w:rPr>
            </w:pPr>
            <w:r w:rsidRPr="005E49A1">
              <w:rPr>
                <w:color w:val="000000"/>
                <w:spacing w:val="-2"/>
                <w:szCs w:val="22"/>
              </w:rPr>
              <w:t xml:space="preserve">KMT – vidutinis bendras šlaunikaulio </w:t>
            </w:r>
            <w:r w:rsidRPr="005E49A1">
              <w:rPr>
                <w:color w:val="000000"/>
                <w:spacing w:val="-3"/>
                <w:szCs w:val="22"/>
              </w:rPr>
              <w:t>pokytis per 3 metus lyginant su pradine verte</w:t>
            </w:r>
          </w:p>
        </w:tc>
        <w:tc>
          <w:tcPr>
            <w:tcW w:w="2340" w:type="dxa"/>
          </w:tcPr>
          <w:p w14:paraId="2F15E196" w14:textId="77777777" w:rsidR="00302C06" w:rsidRPr="005E49A1" w:rsidRDefault="00302C06" w:rsidP="00794B16">
            <w:pPr>
              <w:tabs>
                <w:tab w:val="left" w:pos="567"/>
              </w:tabs>
              <w:rPr>
                <w:szCs w:val="22"/>
              </w:rPr>
            </w:pPr>
            <w:r w:rsidRPr="005E49A1">
              <w:rPr>
                <w:szCs w:val="22"/>
              </w:rPr>
              <w:t xml:space="preserve">-0,7% </w:t>
            </w:r>
          </w:p>
          <w:p w14:paraId="757C0C29" w14:textId="77777777" w:rsidR="00302C06" w:rsidRPr="00444E1A" w:rsidRDefault="00302C06" w:rsidP="00794B16">
            <w:pPr>
              <w:tabs>
                <w:tab w:val="left" w:pos="567"/>
              </w:tabs>
              <w:rPr>
                <w:szCs w:val="22"/>
              </w:rPr>
            </w:pPr>
            <w:r w:rsidRPr="005E49A1">
              <w:rPr>
                <w:szCs w:val="22"/>
              </w:rPr>
              <w:t xml:space="preserve">(-1,1, -0,2) </w:t>
            </w:r>
          </w:p>
        </w:tc>
        <w:tc>
          <w:tcPr>
            <w:tcW w:w="2340" w:type="dxa"/>
          </w:tcPr>
          <w:p w14:paraId="32EB647A" w14:textId="77777777" w:rsidR="00302C06" w:rsidRPr="005E49A1" w:rsidRDefault="00302C06" w:rsidP="00794B16">
            <w:pPr>
              <w:tabs>
                <w:tab w:val="left" w:pos="567"/>
              </w:tabs>
              <w:rPr>
                <w:szCs w:val="22"/>
              </w:rPr>
            </w:pPr>
            <w:r w:rsidRPr="005E49A1">
              <w:rPr>
                <w:szCs w:val="22"/>
              </w:rPr>
              <w:t xml:space="preserve">3,59% </w:t>
            </w:r>
          </w:p>
          <w:p w14:paraId="0B7A5F3C" w14:textId="77777777" w:rsidR="00302C06" w:rsidRPr="00444E1A" w:rsidRDefault="00302C06" w:rsidP="00794B16">
            <w:pPr>
              <w:tabs>
                <w:tab w:val="left" w:pos="567"/>
              </w:tabs>
              <w:rPr>
                <w:szCs w:val="22"/>
              </w:rPr>
            </w:pPr>
            <w:r w:rsidRPr="005E49A1">
              <w:rPr>
                <w:szCs w:val="22"/>
              </w:rPr>
              <w:t xml:space="preserve">(3,1, 4,1) </w:t>
            </w:r>
          </w:p>
        </w:tc>
      </w:tr>
    </w:tbl>
    <w:p w14:paraId="67A40585" w14:textId="77777777" w:rsidR="00302C06" w:rsidRPr="00444E1A" w:rsidRDefault="00302C06" w:rsidP="00302C06">
      <w:pPr>
        <w:tabs>
          <w:tab w:val="left" w:pos="567"/>
        </w:tabs>
        <w:rPr>
          <w:szCs w:val="22"/>
        </w:rPr>
      </w:pPr>
    </w:p>
    <w:p w14:paraId="1A74B46F" w14:textId="77777777" w:rsidR="00302C06" w:rsidRPr="00444E1A" w:rsidRDefault="00302C06" w:rsidP="00302C06">
      <w:pPr>
        <w:tabs>
          <w:tab w:val="left" w:pos="567"/>
        </w:tabs>
        <w:rPr>
          <w:szCs w:val="22"/>
        </w:rPr>
      </w:pPr>
      <w:r w:rsidRPr="005E49A1">
        <w:rPr>
          <w:color w:val="000000"/>
          <w:spacing w:val="-3"/>
          <w:szCs w:val="22"/>
        </w:rPr>
        <w:t>Visoje MF4411 tyrimo pacientų populiacijoje neslankstelinių lūžių dažnis nesumažėjo, tačiau kasdien vartojama ibandrono rūgštis buvo veiksmingas didelės rizikos subpopuliacijoje (šlaunikaulio kaklelio KMT T lygmuo mažesnis kaip -3), kurioje neslankstelinių lūžių rizika sumažėjo 69 %.</w:t>
      </w:r>
      <w:r w:rsidRPr="00444E1A">
        <w:rPr>
          <w:szCs w:val="22"/>
        </w:rPr>
        <w:t xml:space="preserve"> </w:t>
      </w:r>
    </w:p>
    <w:p w14:paraId="0A3AB622" w14:textId="77777777" w:rsidR="00302C06" w:rsidRPr="00444E1A" w:rsidRDefault="00302C06" w:rsidP="00302C06">
      <w:pPr>
        <w:tabs>
          <w:tab w:val="left" w:pos="567"/>
        </w:tabs>
        <w:rPr>
          <w:szCs w:val="22"/>
        </w:rPr>
      </w:pPr>
    </w:p>
    <w:p w14:paraId="0969E57C" w14:textId="77777777" w:rsidR="00302C06" w:rsidRPr="00444E1A" w:rsidRDefault="00302C06" w:rsidP="00302C06">
      <w:pPr>
        <w:tabs>
          <w:tab w:val="left" w:pos="567"/>
        </w:tabs>
        <w:rPr>
          <w:szCs w:val="22"/>
        </w:rPr>
      </w:pPr>
      <w:r w:rsidRPr="005E49A1">
        <w:rPr>
          <w:color w:val="000000"/>
          <w:spacing w:val="-3"/>
          <w:szCs w:val="22"/>
        </w:rPr>
        <w:t>Kasdien vartojant 2,5</w:t>
      </w:r>
      <w:r>
        <w:rPr>
          <w:color w:val="000000"/>
          <w:spacing w:val="-3"/>
          <w:szCs w:val="22"/>
        </w:rPr>
        <w:t> mg</w:t>
      </w:r>
      <w:r w:rsidRPr="005E49A1">
        <w:rPr>
          <w:color w:val="000000"/>
          <w:spacing w:val="-3"/>
          <w:szCs w:val="22"/>
        </w:rPr>
        <w:t xml:space="preserve"> vaisto, nuolat didėjo stuburo slankstelių ir kitų kaulų KMT.</w:t>
      </w:r>
      <w:r w:rsidRPr="00444E1A">
        <w:rPr>
          <w:szCs w:val="22"/>
        </w:rPr>
        <w:t xml:space="preserve"> </w:t>
      </w:r>
    </w:p>
    <w:p w14:paraId="3E958330" w14:textId="77777777" w:rsidR="00302C06" w:rsidRPr="00444E1A" w:rsidRDefault="00302C06" w:rsidP="00302C06">
      <w:pPr>
        <w:tabs>
          <w:tab w:val="left" w:pos="567"/>
        </w:tabs>
        <w:rPr>
          <w:szCs w:val="22"/>
        </w:rPr>
      </w:pPr>
    </w:p>
    <w:p w14:paraId="08D6AAAC" w14:textId="77777777" w:rsidR="00302C06" w:rsidRPr="00444E1A" w:rsidRDefault="00302C06" w:rsidP="00302C06">
      <w:pPr>
        <w:tabs>
          <w:tab w:val="left" w:pos="567"/>
        </w:tabs>
        <w:rPr>
          <w:szCs w:val="22"/>
        </w:rPr>
      </w:pPr>
      <w:r w:rsidRPr="005E49A1">
        <w:rPr>
          <w:color w:val="000000"/>
          <w:spacing w:val="-3"/>
          <w:szCs w:val="22"/>
        </w:rPr>
        <w:t>Per trejus metus juosmens slankstelių KMT padidėjo 5,3%, palyginti su placebu, ir 6,5 % , palyginti su pradine verte.</w:t>
      </w:r>
      <w:r w:rsidRPr="00444E1A">
        <w:rPr>
          <w:szCs w:val="22"/>
        </w:rPr>
        <w:t xml:space="preserve"> </w:t>
      </w:r>
      <w:r w:rsidRPr="005E49A1">
        <w:rPr>
          <w:color w:val="000000"/>
          <w:spacing w:val="-3"/>
          <w:szCs w:val="22"/>
        </w:rPr>
        <w:t>Šlaunikaulio KMT padidėjimas, lyginant su pradine verte, buvo toks: 2,8 % –šlaunikaulio kaklelio, 3,4% – bendras šlaunikaulio ir 5,5% – gūbro srities.</w:t>
      </w:r>
      <w:r w:rsidRPr="00444E1A">
        <w:rPr>
          <w:szCs w:val="22"/>
        </w:rPr>
        <w:t xml:space="preserve"> </w:t>
      </w:r>
    </w:p>
    <w:p w14:paraId="2E5E40FB" w14:textId="77777777" w:rsidR="00302C06" w:rsidRPr="00444E1A" w:rsidRDefault="00302C06" w:rsidP="00302C06">
      <w:pPr>
        <w:tabs>
          <w:tab w:val="left" w:pos="567"/>
        </w:tabs>
        <w:rPr>
          <w:szCs w:val="22"/>
        </w:rPr>
      </w:pPr>
      <w:r w:rsidRPr="005E49A1">
        <w:rPr>
          <w:color w:val="000000"/>
          <w:spacing w:val="-3"/>
          <w:szCs w:val="22"/>
        </w:rPr>
        <w:t>Kaip tikėtasi, biocheminiai kaulų apykaitos žymenys (pavyzdžiui, šlapimo CTX ir serumo osteokalcinas) rodė sulėtėjusią apykaitą iki lygio, buvusio prieš menopauzę, ir stipriausias poveikis pasireiškė</w:t>
      </w:r>
      <w:r w:rsidRPr="005E49A1">
        <w:rPr>
          <w:color w:val="000000"/>
          <w:spacing w:val="-4"/>
          <w:szCs w:val="22"/>
        </w:rPr>
        <w:t xml:space="preserve"> per 3–6 mėnesius.</w:t>
      </w:r>
      <w:r w:rsidRPr="00444E1A">
        <w:rPr>
          <w:szCs w:val="22"/>
        </w:rPr>
        <w:t xml:space="preserve"> </w:t>
      </w:r>
    </w:p>
    <w:p w14:paraId="70EFB55F" w14:textId="77777777" w:rsidR="00302C06" w:rsidRPr="00444E1A" w:rsidRDefault="00302C06" w:rsidP="00302C06">
      <w:pPr>
        <w:tabs>
          <w:tab w:val="left" w:pos="567"/>
        </w:tabs>
        <w:rPr>
          <w:szCs w:val="22"/>
        </w:rPr>
      </w:pPr>
      <w:r w:rsidRPr="005E49A1">
        <w:rPr>
          <w:color w:val="000000"/>
          <w:spacing w:val="-3"/>
          <w:szCs w:val="22"/>
        </w:rPr>
        <w:t xml:space="preserve">Kliniškai reikšmingai 50% sumažėjo biocheminių kaulų rezorbcijos žymenų praėjus vienam mėnesiui </w:t>
      </w:r>
      <w:r w:rsidRPr="005E49A1">
        <w:rPr>
          <w:color w:val="000000"/>
          <w:spacing w:val="-4"/>
          <w:szCs w:val="22"/>
        </w:rPr>
        <w:t>nuo gydymo 2,5</w:t>
      </w:r>
      <w:r>
        <w:rPr>
          <w:color w:val="000000"/>
          <w:spacing w:val="-4"/>
          <w:szCs w:val="22"/>
        </w:rPr>
        <w:t> mg</w:t>
      </w:r>
      <w:r w:rsidRPr="005E49A1">
        <w:rPr>
          <w:color w:val="000000"/>
          <w:spacing w:val="-4"/>
          <w:szCs w:val="22"/>
        </w:rPr>
        <w:t xml:space="preserve"> ibandrono rūgšties doze pradžios.</w:t>
      </w:r>
      <w:r w:rsidRPr="00444E1A">
        <w:rPr>
          <w:szCs w:val="22"/>
        </w:rPr>
        <w:t xml:space="preserve"> </w:t>
      </w:r>
    </w:p>
    <w:p w14:paraId="370DF5B3" w14:textId="77777777" w:rsidR="00302C06" w:rsidRPr="00444E1A" w:rsidRDefault="00302C06" w:rsidP="00302C06">
      <w:pPr>
        <w:tabs>
          <w:tab w:val="left" w:pos="567"/>
        </w:tabs>
        <w:rPr>
          <w:szCs w:val="22"/>
        </w:rPr>
      </w:pPr>
      <w:r w:rsidRPr="005E49A1">
        <w:rPr>
          <w:color w:val="000000"/>
          <w:spacing w:val="-3"/>
          <w:szCs w:val="22"/>
        </w:rPr>
        <w:t xml:space="preserve">Nutraukus gydymą, kaulų reabsorbcija vėl padidėjo iki prieš gydymą buvusio patologiškai </w:t>
      </w:r>
      <w:r w:rsidRPr="005E49A1">
        <w:rPr>
          <w:color w:val="000000"/>
          <w:spacing w:val="-4"/>
          <w:szCs w:val="22"/>
        </w:rPr>
        <w:t>suintensyvėjusio lygio, susijusio su osteoporoze po menopauzės.</w:t>
      </w:r>
      <w:r w:rsidRPr="00444E1A">
        <w:rPr>
          <w:szCs w:val="22"/>
        </w:rPr>
        <w:t xml:space="preserve"> </w:t>
      </w:r>
    </w:p>
    <w:p w14:paraId="2D9794FE" w14:textId="77777777" w:rsidR="00302C06" w:rsidRPr="005E49A1" w:rsidRDefault="00302C06" w:rsidP="00302C06">
      <w:pPr>
        <w:numPr>
          <w:ilvl w:val="12"/>
          <w:numId w:val="0"/>
        </w:numPr>
        <w:tabs>
          <w:tab w:val="left" w:pos="567"/>
        </w:tabs>
        <w:ind w:right="-2"/>
        <w:rPr>
          <w:color w:val="000000"/>
          <w:spacing w:val="-3"/>
          <w:szCs w:val="22"/>
        </w:rPr>
      </w:pPr>
      <w:r w:rsidRPr="005E49A1">
        <w:rPr>
          <w:color w:val="000000"/>
          <w:spacing w:val="-3"/>
          <w:szCs w:val="22"/>
        </w:rPr>
        <w:t>Atliekant histologinius moterų po menopauzės, kurios buvo gydytos dvejus ir trejus metus, kaulų biopsijų tyrimus, nustatyta, kad kaulinis audinys yra normalus, be mineralizacijos defektų.</w:t>
      </w:r>
    </w:p>
    <w:p w14:paraId="2B3B9A42" w14:textId="77777777" w:rsidR="00302C06" w:rsidRPr="005E49A1" w:rsidRDefault="00302C06" w:rsidP="00302C06">
      <w:pPr>
        <w:numPr>
          <w:ilvl w:val="12"/>
          <w:numId w:val="0"/>
        </w:numPr>
        <w:tabs>
          <w:tab w:val="left" w:pos="567"/>
        </w:tabs>
        <w:ind w:right="-2"/>
        <w:rPr>
          <w:color w:val="000000"/>
          <w:spacing w:val="-3"/>
          <w:szCs w:val="22"/>
        </w:rPr>
      </w:pPr>
    </w:p>
    <w:p w14:paraId="2899A27B" w14:textId="77777777" w:rsidR="00302C06" w:rsidRPr="0022545A" w:rsidRDefault="00302C06" w:rsidP="00302C06">
      <w:pPr>
        <w:pStyle w:val="Normal11pt"/>
        <w:spacing w:line="240" w:lineRule="auto"/>
        <w:rPr>
          <w:rFonts w:ascii="Times New Roman" w:hAnsi="Times New Roman"/>
          <w:u w:val="single"/>
          <w:lang w:val="lt-LT"/>
        </w:rPr>
      </w:pPr>
      <w:r w:rsidRPr="0022545A">
        <w:rPr>
          <w:rFonts w:ascii="Times New Roman" w:hAnsi="Times New Roman"/>
          <w:u w:val="single"/>
          <w:lang w:val="lt-LT"/>
        </w:rPr>
        <w:t xml:space="preserve">Vaikų populiacija </w:t>
      </w:r>
      <w:r w:rsidRPr="0022545A">
        <w:rPr>
          <w:u w:val="single"/>
          <w:lang w:val="lt-LT"/>
        </w:rPr>
        <w:t>(žr. 4.2 ir 5.2 skyrius)</w:t>
      </w:r>
    </w:p>
    <w:p w14:paraId="28FB0D9F" w14:textId="77777777" w:rsidR="00302C06" w:rsidRPr="005E49A1" w:rsidRDefault="00302C06" w:rsidP="00302C06">
      <w:pPr>
        <w:pStyle w:val="Normal11pt"/>
        <w:spacing w:line="240" w:lineRule="auto"/>
        <w:rPr>
          <w:rFonts w:ascii="Times New Roman" w:hAnsi="Times New Roman"/>
          <w:lang w:val="lt-LT"/>
        </w:rPr>
      </w:pPr>
      <w:r w:rsidRPr="005E49A1">
        <w:rPr>
          <w:rFonts w:ascii="Times New Roman" w:hAnsi="Times New Roman"/>
          <w:lang w:val="lt-LT"/>
        </w:rPr>
        <w:t>BAXOGAR vaikų populiacijoje netirtas, todėl veiksmingumo ir saugumo duomenų šiai pacientų populiacijai nėra.</w:t>
      </w:r>
    </w:p>
    <w:p w14:paraId="1CBC2E98" w14:textId="77777777" w:rsidR="00302C06" w:rsidRPr="00444E1A" w:rsidRDefault="00302C06" w:rsidP="00302C06">
      <w:pPr>
        <w:numPr>
          <w:ilvl w:val="12"/>
          <w:numId w:val="0"/>
        </w:numPr>
        <w:tabs>
          <w:tab w:val="left" w:pos="567"/>
        </w:tabs>
        <w:ind w:right="-2"/>
        <w:rPr>
          <w:szCs w:val="22"/>
        </w:rPr>
      </w:pPr>
    </w:p>
    <w:p w14:paraId="7A542FA4" w14:textId="77777777" w:rsidR="00302C06" w:rsidRPr="005E49A1" w:rsidRDefault="00302C06" w:rsidP="00302C06">
      <w:pPr>
        <w:tabs>
          <w:tab w:val="left" w:pos="567"/>
        </w:tabs>
        <w:ind w:left="567" w:hanging="567"/>
        <w:outlineLvl w:val="0"/>
        <w:rPr>
          <w:noProof/>
          <w:szCs w:val="22"/>
        </w:rPr>
      </w:pPr>
      <w:r w:rsidRPr="005E49A1">
        <w:rPr>
          <w:b/>
          <w:noProof/>
          <w:szCs w:val="22"/>
        </w:rPr>
        <w:t>5.2</w:t>
      </w:r>
      <w:r w:rsidRPr="005E49A1">
        <w:rPr>
          <w:b/>
          <w:noProof/>
          <w:szCs w:val="22"/>
        </w:rPr>
        <w:tab/>
      </w:r>
      <w:r w:rsidRPr="005E49A1">
        <w:rPr>
          <w:b/>
          <w:szCs w:val="22"/>
        </w:rPr>
        <w:t>Farmakokinetinės savybės</w:t>
      </w:r>
    </w:p>
    <w:p w14:paraId="0AB4B026" w14:textId="77777777" w:rsidR="00302C06" w:rsidRPr="00444E1A" w:rsidRDefault="00302C06" w:rsidP="00302C06">
      <w:pPr>
        <w:tabs>
          <w:tab w:val="left" w:pos="567"/>
        </w:tabs>
        <w:rPr>
          <w:szCs w:val="22"/>
        </w:rPr>
      </w:pPr>
    </w:p>
    <w:p w14:paraId="50D66829" w14:textId="77777777" w:rsidR="00302C06" w:rsidRPr="00444E1A" w:rsidRDefault="00302C06" w:rsidP="00302C06">
      <w:pPr>
        <w:tabs>
          <w:tab w:val="left" w:pos="567"/>
        </w:tabs>
        <w:rPr>
          <w:szCs w:val="22"/>
        </w:rPr>
      </w:pPr>
      <w:r w:rsidRPr="005E49A1">
        <w:rPr>
          <w:color w:val="000000"/>
          <w:spacing w:val="-3"/>
          <w:szCs w:val="22"/>
        </w:rPr>
        <w:t>Įvairių gyvūnų ir žmonių tyrimų duomenimis, pirminis farmakologinis ibandrono rūgšties poveikis kauliniam audiniui nėra tiesiogiai proporcingas faktinei vaisto koncentracijai plazmoje.</w:t>
      </w:r>
      <w:r w:rsidRPr="00444E1A">
        <w:rPr>
          <w:szCs w:val="22"/>
        </w:rPr>
        <w:t xml:space="preserve"> </w:t>
      </w:r>
    </w:p>
    <w:p w14:paraId="4C66DC3D" w14:textId="77777777" w:rsidR="00302C06" w:rsidRPr="00444E1A" w:rsidRDefault="00302C06" w:rsidP="00302C06">
      <w:pPr>
        <w:tabs>
          <w:tab w:val="left" w:pos="567"/>
        </w:tabs>
        <w:rPr>
          <w:i/>
          <w:szCs w:val="22"/>
        </w:rPr>
      </w:pPr>
    </w:p>
    <w:p w14:paraId="211BE6DB" w14:textId="77777777" w:rsidR="00302C06" w:rsidRPr="0022545A" w:rsidRDefault="00302C06" w:rsidP="00302C06">
      <w:pPr>
        <w:tabs>
          <w:tab w:val="left" w:pos="567"/>
        </w:tabs>
        <w:rPr>
          <w:u w:val="single"/>
        </w:rPr>
      </w:pPr>
      <w:r w:rsidRPr="0022545A">
        <w:rPr>
          <w:u w:val="single"/>
        </w:rPr>
        <w:t xml:space="preserve">Absorbcija </w:t>
      </w:r>
    </w:p>
    <w:p w14:paraId="4674191A" w14:textId="77777777" w:rsidR="00302C06" w:rsidRPr="005E49A1" w:rsidRDefault="00302C06" w:rsidP="00302C06">
      <w:pPr>
        <w:tabs>
          <w:tab w:val="left" w:pos="567"/>
        </w:tabs>
        <w:rPr>
          <w:szCs w:val="22"/>
        </w:rPr>
      </w:pPr>
      <w:r w:rsidRPr="005E49A1">
        <w:rPr>
          <w:color w:val="000000"/>
          <w:spacing w:val="-3"/>
          <w:szCs w:val="22"/>
        </w:rPr>
        <w:t>Išgerta ibandrono rūgštis greitai absorbuojama viršutinėje virškinimo trakto dalyje ir koncentracija plazmoje didėja proporcingai dozei, jei ši yra ne didesnė kaip 50</w:t>
      </w:r>
      <w:r>
        <w:rPr>
          <w:color w:val="000000"/>
          <w:spacing w:val="-3"/>
          <w:szCs w:val="22"/>
        </w:rPr>
        <w:t> mg</w:t>
      </w:r>
      <w:r w:rsidRPr="005E49A1">
        <w:rPr>
          <w:color w:val="000000"/>
          <w:spacing w:val="-3"/>
          <w:szCs w:val="22"/>
        </w:rPr>
        <w:t>, jei dozė didesnė – koncentracija didėja labiau, nei būtų proporcinga dozei.</w:t>
      </w:r>
      <w:r w:rsidRPr="00444E1A">
        <w:rPr>
          <w:szCs w:val="22"/>
        </w:rPr>
        <w:t xml:space="preserve"> </w:t>
      </w:r>
      <w:r w:rsidRPr="005E49A1">
        <w:rPr>
          <w:color w:val="000000"/>
          <w:spacing w:val="-3"/>
          <w:szCs w:val="22"/>
        </w:rPr>
        <w:t>Didžiausia koncentracija plazmoje atsiranda per 0,5–2 valandas (vidutiniškai per 1 valandą), jei pacientas nevalgęs, absoliutus biologinis prieinamumas yra maždaug 0,6 %.</w:t>
      </w:r>
      <w:r w:rsidRPr="00444E1A">
        <w:rPr>
          <w:szCs w:val="22"/>
        </w:rPr>
        <w:t xml:space="preserve"> </w:t>
      </w:r>
      <w:r w:rsidRPr="005E49A1">
        <w:rPr>
          <w:color w:val="000000"/>
          <w:spacing w:val="-3"/>
          <w:szCs w:val="22"/>
        </w:rPr>
        <w:t>Absorbcija blogėja, jei vaisto vartojama kartu su maistu ar gėrimais (išskyrus paprastą vandenį). Ibandrono rūgšties, išgertos standartinių pusryčių metu, biologinis prieinamumas sumažėja beveik 90 %, palyginti su biologiniu prieinamumu, kai vaisto vartojama nevalgius.</w:t>
      </w:r>
      <w:r w:rsidRPr="005E49A1">
        <w:rPr>
          <w:szCs w:val="22"/>
        </w:rPr>
        <w:t xml:space="preserve"> </w:t>
      </w:r>
      <w:r w:rsidRPr="005E49A1">
        <w:rPr>
          <w:color w:val="000000"/>
          <w:spacing w:val="-3"/>
          <w:szCs w:val="22"/>
        </w:rPr>
        <w:t>Biologinis prieinamumas reikšmingai nesumažėja, jei ibandrono rūgšties geriama 60 minučių prieš pirmąjį dienos valgį.</w:t>
      </w:r>
      <w:r w:rsidRPr="005E49A1">
        <w:rPr>
          <w:szCs w:val="22"/>
        </w:rPr>
        <w:t xml:space="preserve"> </w:t>
      </w:r>
      <w:r w:rsidRPr="005E49A1">
        <w:rPr>
          <w:color w:val="000000"/>
          <w:spacing w:val="-3"/>
          <w:szCs w:val="22"/>
        </w:rPr>
        <w:t xml:space="preserve">Biologinis prieinamumas mažėja, KMT didėja lėčiau, jeigu valgoma ar geriama nepraėjus </w:t>
      </w:r>
      <w:r w:rsidRPr="005E49A1">
        <w:rPr>
          <w:color w:val="000000"/>
          <w:spacing w:val="-4"/>
          <w:szCs w:val="22"/>
        </w:rPr>
        <w:t>60 minučių po ibandrono rūgšties išgėrimo.</w:t>
      </w:r>
      <w:r w:rsidRPr="005E49A1">
        <w:rPr>
          <w:szCs w:val="22"/>
        </w:rPr>
        <w:t xml:space="preserve"> </w:t>
      </w:r>
    </w:p>
    <w:p w14:paraId="6EF3E777" w14:textId="77777777" w:rsidR="00302C06" w:rsidRPr="005E49A1" w:rsidRDefault="00302C06" w:rsidP="00302C06">
      <w:pPr>
        <w:tabs>
          <w:tab w:val="left" w:pos="567"/>
        </w:tabs>
        <w:rPr>
          <w:i/>
          <w:szCs w:val="22"/>
        </w:rPr>
      </w:pPr>
    </w:p>
    <w:p w14:paraId="1E03A516" w14:textId="77777777" w:rsidR="00302C06" w:rsidRPr="0022545A" w:rsidRDefault="00302C06" w:rsidP="00302C06">
      <w:pPr>
        <w:tabs>
          <w:tab w:val="left" w:pos="567"/>
        </w:tabs>
        <w:rPr>
          <w:u w:val="single"/>
        </w:rPr>
      </w:pPr>
      <w:r w:rsidRPr="0022545A">
        <w:rPr>
          <w:u w:val="single"/>
        </w:rPr>
        <w:t>Pasiskirstymas</w:t>
      </w:r>
    </w:p>
    <w:p w14:paraId="0CE1035A" w14:textId="77777777" w:rsidR="00302C06" w:rsidRPr="005E49A1" w:rsidRDefault="00302C06" w:rsidP="00302C06">
      <w:pPr>
        <w:tabs>
          <w:tab w:val="left" w:pos="567"/>
        </w:tabs>
        <w:rPr>
          <w:szCs w:val="22"/>
        </w:rPr>
      </w:pPr>
      <w:r w:rsidRPr="005E49A1">
        <w:rPr>
          <w:color w:val="000000"/>
          <w:spacing w:val="-3"/>
          <w:szCs w:val="22"/>
        </w:rPr>
        <w:t>Iš pradžių patekusi į sisteminę kraujotaką ibandrono rūgštis greitai prisijungia prie kaulinio audinio audiniu arba išskiriama su šlapimu.</w:t>
      </w:r>
      <w:r w:rsidRPr="005E49A1">
        <w:rPr>
          <w:szCs w:val="22"/>
        </w:rPr>
        <w:t xml:space="preserve"> </w:t>
      </w:r>
      <w:r w:rsidRPr="005E49A1">
        <w:rPr>
          <w:color w:val="000000"/>
          <w:spacing w:val="-3"/>
          <w:szCs w:val="22"/>
        </w:rPr>
        <w:t>Žmonėms nustatytas galutinis pasiskirstymo tūris yra mažiausiai 90 l, o į kaulus patenka apytikriai 40–50 % cirkuliuojančios vaisto dozės.</w:t>
      </w:r>
      <w:r w:rsidRPr="005E49A1">
        <w:rPr>
          <w:szCs w:val="22"/>
        </w:rPr>
        <w:t xml:space="preserve"> </w:t>
      </w:r>
      <w:r w:rsidRPr="005E49A1">
        <w:rPr>
          <w:color w:val="000000"/>
          <w:spacing w:val="-3"/>
          <w:szCs w:val="22"/>
        </w:rPr>
        <w:t xml:space="preserve">Prie žmogaus plazmos baltymų prisijungia maždaug 85–87 % vaisto (nustatyta </w:t>
      </w:r>
      <w:r w:rsidRPr="005E49A1">
        <w:rPr>
          <w:i/>
          <w:color w:val="000000"/>
          <w:spacing w:val="-3"/>
          <w:szCs w:val="22"/>
        </w:rPr>
        <w:t>in vitro</w:t>
      </w:r>
      <w:r w:rsidRPr="005E49A1">
        <w:rPr>
          <w:color w:val="000000"/>
          <w:spacing w:val="-3"/>
          <w:szCs w:val="22"/>
        </w:rPr>
        <w:t xml:space="preserve">, esant gydomajai koncentracijai), todėl sąveika su kitais </w:t>
      </w:r>
      <w:r w:rsidRPr="005E49A1">
        <w:rPr>
          <w:color w:val="000000"/>
          <w:spacing w:val="-4"/>
          <w:szCs w:val="22"/>
        </w:rPr>
        <w:t>vaistiniais preparatais dėl išstūmimo mažai tikėtina.</w:t>
      </w:r>
      <w:r w:rsidRPr="005E49A1">
        <w:rPr>
          <w:szCs w:val="22"/>
        </w:rPr>
        <w:t xml:space="preserve"> </w:t>
      </w:r>
    </w:p>
    <w:p w14:paraId="2F4A5CAD" w14:textId="77777777" w:rsidR="00302C06" w:rsidRPr="005E49A1" w:rsidRDefault="00302C06" w:rsidP="00302C06">
      <w:pPr>
        <w:tabs>
          <w:tab w:val="left" w:pos="567"/>
        </w:tabs>
        <w:rPr>
          <w:i/>
          <w:szCs w:val="22"/>
        </w:rPr>
      </w:pPr>
    </w:p>
    <w:p w14:paraId="52D22F8A" w14:textId="77777777" w:rsidR="00302C06" w:rsidRPr="0022545A" w:rsidRDefault="00302C06" w:rsidP="00302C06">
      <w:pPr>
        <w:tabs>
          <w:tab w:val="left" w:pos="567"/>
        </w:tabs>
        <w:rPr>
          <w:u w:val="single"/>
        </w:rPr>
      </w:pPr>
      <w:r w:rsidRPr="0022545A">
        <w:rPr>
          <w:u w:val="single"/>
        </w:rPr>
        <w:t>Biotransformacija</w:t>
      </w:r>
    </w:p>
    <w:p w14:paraId="6476A10A" w14:textId="77777777" w:rsidR="00302C06" w:rsidRPr="005E49A1" w:rsidRDefault="00302C06" w:rsidP="00302C06">
      <w:pPr>
        <w:tabs>
          <w:tab w:val="left" w:pos="567"/>
        </w:tabs>
        <w:rPr>
          <w:szCs w:val="22"/>
        </w:rPr>
      </w:pPr>
      <w:r w:rsidRPr="005E49A1">
        <w:rPr>
          <w:color w:val="000000"/>
          <w:spacing w:val="-3"/>
          <w:szCs w:val="22"/>
        </w:rPr>
        <w:t>Ibandrono rūgštis metabolizmo gyvūnų ar žmonių organizme įrodymų nėra.</w:t>
      </w:r>
      <w:r w:rsidRPr="005E49A1">
        <w:rPr>
          <w:szCs w:val="22"/>
        </w:rPr>
        <w:t xml:space="preserve"> </w:t>
      </w:r>
    </w:p>
    <w:p w14:paraId="360CE9A8" w14:textId="77777777" w:rsidR="00302C06" w:rsidRPr="005E49A1" w:rsidRDefault="00302C06" w:rsidP="00302C06">
      <w:pPr>
        <w:tabs>
          <w:tab w:val="left" w:pos="567"/>
        </w:tabs>
        <w:rPr>
          <w:i/>
          <w:szCs w:val="22"/>
        </w:rPr>
      </w:pPr>
    </w:p>
    <w:p w14:paraId="286C9086" w14:textId="77777777" w:rsidR="00302C06" w:rsidRPr="0022545A" w:rsidRDefault="00302C06" w:rsidP="00302C06">
      <w:pPr>
        <w:tabs>
          <w:tab w:val="left" w:pos="567"/>
        </w:tabs>
        <w:rPr>
          <w:u w:val="single"/>
        </w:rPr>
      </w:pPr>
      <w:r w:rsidRPr="0022545A">
        <w:rPr>
          <w:u w:val="single"/>
        </w:rPr>
        <w:t>Eliminacija</w:t>
      </w:r>
    </w:p>
    <w:p w14:paraId="67F12AE3" w14:textId="77777777" w:rsidR="00302C06" w:rsidRPr="005E49A1" w:rsidRDefault="00302C06" w:rsidP="00302C06">
      <w:pPr>
        <w:tabs>
          <w:tab w:val="left" w:pos="567"/>
        </w:tabs>
        <w:rPr>
          <w:szCs w:val="22"/>
        </w:rPr>
      </w:pPr>
      <w:r w:rsidRPr="005E49A1">
        <w:rPr>
          <w:color w:val="000000"/>
          <w:spacing w:val="-3"/>
          <w:szCs w:val="22"/>
        </w:rPr>
        <w:t>Dalį absorbuotos ibandrono rūgšties iš kraujotakos absorbuoja kaulai (moterų po menopauzės organizme maždaug 40–50%), likusi dalis nepakitusiu pavidalu pašalinama pro inkstus.</w:t>
      </w:r>
      <w:r w:rsidRPr="005E49A1">
        <w:rPr>
          <w:szCs w:val="22"/>
        </w:rPr>
        <w:t xml:space="preserve"> </w:t>
      </w:r>
      <w:r w:rsidRPr="005E49A1">
        <w:rPr>
          <w:color w:val="000000"/>
          <w:spacing w:val="-3"/>
          <w:szCs w:val="22"/>
        </w:rPr>
        <w:t xml:space="preserve">Neabsorbuota </w:t>
      </w:r>
      <w:r w:rsidRPr="005E49A1">
        <w:rPr>
          <w:color w:val="000000"/>
          <w:spacing w:val="-4"/>
          <w:szCs w:val="22"/>
        </w:rPr>
        <w:t>ibandrono rūgštis nepakitusiu pavidalu šalinama su išmatomis.</w:t>
      </w:r>
      <w:r w:rsidRPr="005E49A1">
        <w:rPr>
          <w:szCs w:val="22"/>
        </w:rPr>
        <w:t xml:space="preserve"> </w:t>
      </w:r>
    </w:p>
    <w:p w14:paraId="2A0727E0" w14:textId="77777777" w:rsidR="00302C06" w:rsidRPr="005E49A1" w:rsidRDefault="00302C06" w:rsidP="00302C06">
      <w:pPr>
        <w:tabs>
          <w:tab w:val="left" w:pos="567"/>
        </w:tabs>
        <w:rPr>
          <w:szCs w:val="22"/>
        </w:rPr>
      </w:pPr>
    </w:p>
    <w:p w14:paraId="6F9174F1" w14:textId="77777777" w:rsidR="00302C06" w:rsidRPr="005E49A1" w:rsidRDefault="00302C06" w:rsidP="00302C06">
      <w:pPr>
        <w:tabs>
          <w:tab w:val="left" w:pos="567"/>
        </w:tabs>
        <w:rPr>
          <w:szCs w:val="22"/>
        </w:rPr>
      </w:pPr>
      <w:r w:rsidRPr="005E49A1">
        <w:rPr>
          <w:color w:val="000000"/>
          <w:spacing w:val="-3"/>
          <w:szCs w:val="22"/>
        </w:rPr>
        <w:t>Nustatytų tariamųjų pusinės eliminacijos periodų diapazonas yra platus, tariamasis galutinis pusinės eliminacijos periodas paprastai truko 10 – 72 valandas.</w:t>
      </w:r>
      <w:r w:rsidRPr="005E49A1">
        <w:rPr>
          <w:szCs w:val="22"/>
        </w:rPr>
        <w:t xml:space="preserve"> </w:t>
      </w:r>
      <w:r w:rsidRPr="005E49A1">
        <w:rPr>
          <w:color w:val="000000"/>
          <w:spacing w:val="-3"/>
          <w:szCs w:val="22"/>
        </w:rPr>
        <w:t>Kadangi apskaičiuotos reikšmės dažniausiai yra tyrimo trukmės, vartotos dozės ir tyrimo metodo jautrumo funkcija, manoma, kad tikrasis galutinis pusinės eliminacijos periodas yra gerokai ilgesnis, taip pat, kaip ir kitų bisfosfonatų.</w:t>
      </w:r>
      <w:r w:rsidRPr="005E49A1">
        <w:rPr>
          <w:szCs w:val="22"/>
        </w:rPr>
        <w:t xml:space="preserve"> </w:t>
      </w:r>
      <w:r w:rsidRPr="005E49A1">
        <w:rPr>
          <w:color w:val="000000"/>
          <w:spacing w:val="-3"/>
          <w:szCs w:val="22"/>
        </w:rPr>
        <w:t xml:space="preserve">Ankstyvoji plazmos koncentracija mažėja greitai, vaisto suleidus į veną ar išgėrus didžiausios vertės </w:t>
      </w:r>
      <w:r w:rsidRPr="005E49A1">
        <w:rPr>
          <w:color w:val="000000"/>
          <w:spacing w:val="-4"/>
          <w:szCs w:val="22"/>
        </w:rPr>
        <w:t xml:space="preserve">sumažėja </w:t>
      </w:r>
      <w:r w:rsidRPr="005E49A1">
        <w:rPr>
          <w:color w:val="000000"/>
          <w:spacing w:val="-3"/>
          <w:szCs w:val="22"/>
        </w:rPr>
        <w:t xml:space="preserve">iki 10% </w:t>
      </w:r>
      <w:r w:rsidRPr="005E49A1">
        <w:rPr>
          <w:color w:val="000000"/>
          <w:spacing w:val="-4"/>
          <w:szCs w:val="22"/>
        </w:rPr>
        <w:t>atitinkamai per 3 ir per 8 valandas.</w:t>
      </w:r>
      <w:r w:rsidRPr="005E49A1">
        <w:rPr>
          <w:szCs w:val="22"/>
        </w:rPr>
        <w:t xml:space="preserve"> </w:t>
      </w:r>
    </w:p>
    <w:p w14:paraId="3A404713" w14:textId="77777777" w:rsidR="00302C06" w:rsidRPr="005E49A1" w:rsidRDefault="00302C06" w:rsidP="00302C06">
      <w:pPr>
        <w:tabs>
          <w:tab w:val="left" w:pos="567"/>
        </w:tabs>
        <w:rPr>
          <w:szCs w:val="22"/>
        </w:rPr>
      </w:pPr>
      <w:r w:rsidRPr="005E49A1">
        <w:rPr>
          <w:color w:val="000000"/>
          <w:spacing w:val="-3"/>
          <w:szCs w:val="22"/>
        </w:rPr>
        <w:lastRenderedPageBreak/>
        <w:t>Bendrasis ibandrono rūgšties klirensas yra mažas, vidutinės reikšmės kintamumo diapazonas yra 84–160 ml/min.</w:t>
      </w:r>
      <w:r w:rsidRPr="005E49A1">
        <w:rPr>
          <w:szCs w:val="22"/>
        </w:rPr>
        <w:t xml:space="preserve"> </w:t>
      </w:r>
      <w:r w:rsidRPr="005E49A1">
        <w:rPr>
          <w:color w:val="000000"/>
          <w:spacing w:val="-3"/>
          <w:szCs w:val="22"/>
        </w:rPr>
        <w:t>Inkstų klirensas (sveikų moterų po menopauzės apie 60 ml/min.) atitinka 50–60 % bendrojo klirenso ir yra susijęs su kreatinino klirensu.</w:t>
      </w:r>
      <w:r w:rsidRPr="005E49A1">
        <w:rPr>
          <w:szCs w:val="22"/>
        </w:rPr>
        <w:t xml:space="preserve"> </w:t>
      </w:r>
      <w:r w:rsidRPr="005E49A1">
        <w:rPr>
          <w:color w:val="000000"/>
          <w:spacing w:val="-3"/>
          <w:szCs w:val="22"/>
        </w:rPr>
        <w:t xml:space="preserve">Manoma, kad skirtumas tarp bendrojo ir inkstų klirenso atspindi vaisto </w:t>
      </w:r>
      <w:r w:rsidRPr="005E49A1">
        <w:rPr>
          <w:color w:val="000000"/>
          <w:spacing w:val="-4"/>
          <w:szCs w:val="22"/>
        </w:rPr>
        <w:t>pasisavinimą kauluose.</w:t>
      </w:r>
      <w:r w:rsidRPr="005E49A1">
        <w:rPr>
          <w:szCs w:val="22"/>
        </w:rPr>
        <w:t xml:space="preserve"> </w:t>
      </w:r>
    </w:p>
    <w:p w14:paraId="4EF371C1" w14:textId="77777777" w:rsidR="00302C06" w:rsidRPr="005E49A1" w:rsidRDefault="00302C06" w:rsidP="00302C06">
      <w:pPr>
        <w:tabs>
          <w:tab w:val="left" w:pos="567"/>
        </w:tabs>
        <w:rPr>
          <w:szCs w:val="22"/>
        </w:rPr>
      </w:pPr>
    </w:p>
    <w:p w14:paraId="6C5FC863" w14:textId="77777777" w:rsidR="00302C06" w:rsidRPr="005E49A1" w:rsidRDefault="00302C06" w:rsidP="00302C06">
      <w:pPr>
        <w:pStyle w:val="Komentarotekstas"/>
        <w:rPr>
          <w:sz w:val="22"/>
          <w:szCs w:val="22"/>
        </w:rPr>
      </w:pPr>
      <w:r w:rsidRPr="005E49A1">
        <w:rPr>
          <w:sz w:val="22"/>
          <w:szCs w:val="22"/>
        </w:rPr>
        <w:t>Atrodo, kad sekrecijoje nedalyvauja žinomos rūgščių ar šarmų transporto sistemos, dalyvaujančios šalinant kitas veikliąsias medžiagas. Be to, ibandrono rūgštis neslopina daugumos žmogaus kepenų P450 izofermentų bei neindukuoja žiurkių kepenų citochromų P450.</w:t>
      </w:r>
    </w:p>
    <w:p w14:paraId="31975E8C" w14:textId="77777777" w:rsidR="00302C06" w:rsidRPr="005E49A1" w:rsidRDefault="00302C06" w:rsidP="00302C06">
      <w:pPr>
        <w:tabs>
          <w:tab w:val="left" w:pos="567"/>
        </w:tabs>
        <w:rPr>
          <w:b/>
          <w:szCs w:val="22"/>
        </w:rPr>
      </w:pPr>
    </w:p>
    <w:p w14:paraId="1712FFF2" w14:textId="77777777" w:rsidR="00302C06" w:rsidRPr="005E49A1" w:rsidRDefault="00302C06" w:rsidP="00302C06">
      <w:pPr>
        <w:tabs>
          <w:tab w:val="left" w:pos="567"/>
        </w:tabs>
        <w:rPr>
          <w:i/>
          <w:szCs w:val="22"/>
          <w:u w:val="single"/>
        </w:rPr>
      </w:pPr>
      <w:r w:rsidRPr="005E49A1">
        <w:rPr>
          <w:color w:val="000000"/>
          <w:spacing w:val="-4"/>
          <w:szCs w:val="22"/>
          <w:u w:val="single"/>
        </w:rPr>
        <w:t>Farmakokinetika tam tikrose klinikinėse situacijose</w:t>
      </w:r>
    </w:p>
    <w:p w14:paraId="4EF1ADA5" w14:textId="77777777" w:rsidR="00302C06" w:rsidRPr="005E49A1" w:rsidRDefault="00302C06" w:rsidP="00302C06">
      <w:pPr>
        <w:tabs>
          <w:tab w:val="left" w:pos="567"/>
        </w:tabs>
        <w:rPr>
          <w:i/>
          <w:szCs w:val="22"/>
        </w:rPr>
      </w:pPr>
    </w:p>
    <w:p w14:paraId="289F7EC4" w14:textId="77777777" w:rsidR="00302C06" w:rsidRPr="005E49A1" w:rsidRDefault="00302C06" w:rsidP="00302C06">
      <w:pPr>
        <w:tabs>
          <w:tab w:val="left" w:pos="567"/>
        </w:tabs>
        <w:rPr>
          <w:szCs w:val="22"/>
        </w:rPr>
      </w:pPr>
      <w:r w:rsidRPr="005E49A1">
        <w:rPr>
          <w:i/>
          <w:szCs w:val="22"/>
        </w:rPr>
        <w:t>Lytis</w:t>
      </w:r>
    </w:p>
    <w:p w14:paraId="09CEE74B" w14:textId="77777777" w:rsidR="00302C06" w:rsidRPr="005E49A1" w:rsidRDefault="00302C06" w:rsidP="00302C06">
      <w:pPr>
        <w:tabs>
          <w:tab w:val="left" w:pos="567"/>
        </w:tabs>
        <w:rPr>
          <w:szCs w:val="22"/>
        </w:rPr>
      </w:pPr>
      <w:r w:rsidRPr="005E49A1">
        <w:rPr>
          <w:color w:val="000000"/>
          <w:spacing w:val="-3"/>
          <w:szCs w:val="22"/>
        </w:rPr>
        <w:t>Moterų ir vyrų biologinis ibandrono rūgšties prieinamumas ir farmakokinetika yra panašūs.</w:t>
      </w:r>
      <w:r w:rsidRPr="005E49A1">
        <w:rPr>
          <w:szCs w:val="22"/>
        </w:rPr>
        <w:t xml:space="preserve"> </w:t>
      </w:r>
    </w:p>
    <w:p w14:paraId="618BE3AA" w14:textId="77777777" w:rsidR="00302C06" w:rsidRPr="005E49A1" w:rsidRDefault="00302C06" w:rsidP="00302C06">
      <w:pPr>
        <w:tabs>
          <w:tab w:val="left" w:pos="567"/>
        </w:tabs>
        <w:rPr>
          <w:i/>
          <w:szCs w:val="22"/>
        </w:rPr>
      </w:pPr>
    </w:p>
    <w:p w14:paraId="4EA9CC2B" w14:textId="77777777" w:rsidR="00302C06" w:rsidRPr="005E49A1" w:rsidRDefault="00302C06" w:rsidP="00302C06">
      <w:pPr>
        <w:tabs>
          <w:tab w:val="left" w:pos="567"/>
        </w:tabs>
        <w:rPr>
          <w:szCs w:val="22"/>
        </w:rPr>
      </w:pPr>
      <w:r w:rsidRPr="005E49A1">
        <w:rPr>
          <w:i/>
          <w:szCs w:val="22"/>
        </w:rPr>
        <w:t>Rasė</w:t>
      </w:r>
    </w:p>
    <w:p w14:paraId="630A7E89" w14:textId="77777777" w:rsidR="00302C06" w:rsidRPr="005E49A1" w:rsidRDefault="00302C06" w:rsidP="00302C06">
      <w:pPr>
        <w:tabs>
          <w:tab w:val="left" w:pos="567"/>
        </w:tabs>
        <w:rPr>
          <w:szCs w:val="22"/>
        </w:rPr>
      </w:pPr>
      <w:r w:rsidRPr="005E49A1">
        <w:rPr>
          <w:color w:val="000000"/>
          <w:spacing w:val="-3"/>
          <w:szCs w:val="22"/>
        </w:rPr>
        <w:t>Nėra duomenų apie kliniškai svarbius etninius azijiečių ir europiečių rasės ibandrono rūgšties kinetikos skirtumus.</w:t>
      </w:r>
      <w:r w:rsidRPr="005E49A1">
        <w:rPr>
          <w:szCs w:val="22"/>
        </w:rPr>
        <w:t xml:space="preserve"> </w:t>
      </w:r>
      <w:r w:rsidRPr="005E49A1">
        <w:rPr>
          <w:color w:val="000000"/>
          <w:spacing w:val="-3"/>
          <w:szCs w:val="22"/>
        </w:rPr>
        <w:t>Apie juodaodžių rasės pacientus duomenų yra mažai.</w:t>
      </w:r>
      <w:r w:rsidRPr="005E49A1">
        <w:rPr>
          <w:szCs w:val="22"/>
        </w:rPr>
        <w:t xml:space="preserve"> </w:t>
      </w:r>
    </w:p>
    <w:p w14:paraId="24A543B5" w14:textId="77777777" w:rsidR="00302C06" w:rsidRPr="005E49A1" w:rsidRDefault="00302C06" w:rsidP="00302C06">
      <w:pPr>
        <w:tabs>
          <w:tab w:val="left" w:pos="567"/>
        </w:tabs>
        <w:rPr>
          <w:i/>
          <w:szCs w:val="22"/>
        </w:rPr>
      </w:pPr>
    </w:p>
    <w:p w14:paraId="73234CD8" w14:textId="77777777" w:rsidR="00302C06" w:rsidRPr="005E49A1" w:rsidRDefault="00302C06" w:rsidP="00302C06">
      <w:pPr>
        <w:tabs>
          <w:tab w:val="left" w:pos="567"/>
        </w:tabs>
        <w:rPr>
          <w:szCs w:val="22"/>
        </w:rPr>
      </w:pPr>
      <w:r w:rsidRPr="005E49A1">
        <w:rPr>
          <w:i/>
          <w:szCs w:val="22"/>
        </w:rPr>
        <w:t xml:space="preserve">Pacientai, kurių inkstų veikla pakenkta </w:t>
      </w:r>
    </w:p>
    <w:p w14:paraId="2C47EF5C" w14:textId="77777777" w:rsidR="00302C06" w:rsidRPr="005E49A1" w:rsidRDefault="00302C06" w:rsidP="00302C06">
      <w:pPr>
        <w:tabs>
          <w:tab w:val="left" w:pos="567"/>
        </w:tabs>
        <w:rPr>
          <w:szCs w:val="22"/>
        </w:rPr>
      </w:pPr>
      <w:r w:rsidRPr="005E49A1">
        <w:rPr>
          <w:color w:val="000000"/>
          <w:spacing w:val="-3"/>
          <w:szCs w:val="22"/>
        </w:rPr>
        <w:t xml:space="preserve">Ibandrono rūgšties inkstų klirensas pacientams, kuriems yra įvairaus laipsnio inkstų pakenkimas, yra </w:t>
      </w:r>
      <w:r w:rsidRPr="005E49A1">
        <w:rPr>
          <w:color w:val="000000"/>
          <w:spacing w:val="-4"/>
          <w:szCs w:val="22"/>
        </w:rPr>
        <w:t>tiesiogiai proporcingas kreatinino klirensui (KK).</w:t>
      </w:r>
      <w:r w:rsidRPr="005E49A1">
        <w:rPr>
          <w:szCs w:val="22"/>
        </w:rPr>
        <w:t xml:space="preserve"> </w:t>
      </w:r>
    </w:p>
    <w:p w14:paraId="5EB65DAF" w14:textId="77777777" w:rsidR="00302C06" w:rsidRPr="005E49A1" w:rsidRDefault="00302C06" w:rsidP="00302C06">
      <w:pPr>
        <w:tabs>
          <w:tab w:val="left" w:pos="567"/>
        </w:tabs>
        <w:rPr>
          <w:szCs w:val="22"/>
        </w:rPr>
      </w:pPr>
      <w:r w:rsidRPr="005E49A1">
        <w:rPr>
          <w:color w:val="000000"/>
          <w:spacing w:val="-3"/>
          <w:szCs w:val="22"/>
        </w:rPr>
        <w:t>Kaip parodė BM 16549 tyrimo, kuriame daugumai dalyvavusių pacienčių buvo nedidelio ar vidutinio laipsnio inkstų pakenkimas, duomenys, jeigu inkstų pakenkimas nedidelio ar vidutinio laipsnio (kreatinino klirensas lygus ar didesnis kaip 30 ml/min.), dozės keisti nereikia.</w:t>
      </w:r>
      <w:r w:rsidRPr="005E49A1">
        <w:rPr>
          <w:szCs w:val="22"/>
        </w:rPr>
        <w:t xml:space="preserve"> </w:t>
      </w:r>
    </w:p>
    <w:p w14:paraId="1534E46F" w14:textId="77777777" w:rsidR="00302C06" w:rsidRPr="005E49A1" w:rsidRDefault="00302C06" w:rsidP="00302C06">
      <w:pPr>
        <w:tabs>
          <w:tab w:val="left" w:pos="567"/>
        </w:tabs>
        <w:rPr>
          <w:szCs w:val="22"/>
        </w:rPr>
      </w:pPr>
      <w:r w:rsidRPr="005E49A1">
        <w:rPr>
          <w:color w:val="000000"/>
          <w:spacing w:val="-3"/>
          <w:szCs w:val="22"/>
        </w:rPr>
        <w:t>Tiriamiesiems, kuriems buvo sunkus inkstų pakenkimas (kreatinino klirensas mažesnis kaip 30 ml/min.), 21 parą geriant po 10</w:t>
      </w:r>
      <w:r>
        <w:rPr>
          <w:color w:val="000000"/>
          <w:spacing w:val="-3"/>
          <w:szCs w:val="22"/>
        </w:rPr>
        <w:t> mg</w:t>
      </w:r>
      <w:r w:rsidRPr="005E49A1">
        <w:rPr>
          <w:color w:val="000000"/>
          <w:spacing w:val="-3"/>
          <w:szCs w:val="22"/>
        </w:rPr>
        <w:t xml:space="preserve"> ibandrono rūgšties, buvo nustatyta 2–3 kartus didesnė preparato koncentracija plazmoje, negu tiriamiesiems, kurių inkstų funkcija normali, o bendrasis ibandrono rūgšties klirensas buvo 44 ml/min.</w:t>
      </w:r>
      <w:r w:rsidRPr="005E49A1">
        <w:rPr>
          <w:szCs w:val="22"/>
        </w:rPr>
        <w:t xml:space="preserve"> </w:t>
      </w:r>
      <w:r w:rsidRPr="005E49A1">
        <w:rPr>
          <w:color w:val="000000"/>
          <w:spacing w:val="-3"/>
          <w:szCs w:val="22"/>
        </w:rPr>
        <w:t>Tiriamųjų, kuriems buvo sunkus inkstų pakenkimas ir kuriems į veną buvo suleista 0,5</w:t>
      </w:r>
      <w:r>
        <w:rPr>
          <w:color w:val="000000"/>
          <w:spacing w:val="-3"/>
          <w:szCs w:val="22"/>
        </w:rPr>
        <w:t> mg</w:t>
      </w:r>
      <w:r w:rsidRPr="005E49A1">
        <w:rPr>
          <w:color w:val="000000"/>
          <w:spacing w:val="-3"/>
          <w:szCs w:val="22"/>
        </w:rPr>
        <w:t xml:space="preserve"> vaisto, bendrasis, inkstų ir ne inkstų klirensas sumažėjo atitinkamai 67 %, 77 % ir 50 %, tačiau tolerancijos sumažėjimo, susijusio su padidėjusia ekspozicija, nenustatyta.</w:t>
      </w:r>
      <w:r w:rsidRPr="005E49A1">
        <w:rPr>
          <w:szCs w:val="22"/>
        </w:rPr>
        <w:t xml:space="preserve"> </w:t>
      </w:r>
      <w:r w:rsidRPr="005E49A1">
        <w:rPr>
          <w:color w:val="000000"/>
          <w:spacing w:val="-3"/>
          <w:szCs w:val="22"/>
        </w:rPr>
        <w:t>Kadangi nepakanka klinikinės patirties, ibandrono rūgšties nerekomenduojama pacientams, kuriems yra sunkus inkstų pakenkimas (žr. 4.2 skyrių ir 4.4 skyrių). Ibandrono rūgšties farmakokinetika neįvertinta pacientams, kuriems yra galutinė inkstų pakenkimo stadija, koreguojamas kitu būdu negu hemodializė.</w:t>
      </w:r>
      <w:r w:rsidRPr="005E49A1">
        <w:rPr>
          <w:szCs w:val="22"/>
        </w:rPr>
        <w:t xml:space="preserve"> </w:t>
      </w:r>
      <w:r w:rsidRPr="005E49A1">
        <w:rPr>
          <w:color w:val="000000"/>
          <w:spacing w:val="-3"/>
          <w:szCs w:val="22"/>
        </w:rPr>
        <w:t xml:space="preserve">Tokiems pacientams ibandrono rūgšties farmakokinetika nežinoma, todėl jie šiais atvejais ibandrono rūgšties turėtų nevartoti. </w:t>
      </w:r>
    </w:p>
    <w:p w14:paraId="292C3258" w14:textId="77777777" w:rsidR="00302C06" w:rsidRPr="005E49A1" w:rsidRDefault="00302C06" w:rsidP="00302C06">
      <w:pPr>
        <w:tabs>
          <w:tab w:val="left" w:pos="567"/>
        </w:tabs>
        <w:rPr>
          <w:i/>
          <w:szCs w:val="22"/>
        </w:rPr>
      </w:pPr>
    </w:p>
    <w:p w14:paraId="1F942067" w14:textId="77777777" w:rsidR="00302C06" w:rsidRPr="005E49A1" w:rsidRDefault="00302C06" w:rsidP="00302C06">
      <w:pPr>
        <w:tabs>
          <w:tab w:val="left" w:pos="567"/>
        </w:tabs>
        <w:rPr>
          <w:szCs w:val="22"/>
        </w:rPr>
      </w:pPr>
      <w:r w:rsidRPr="005E49A1">
        <w:rPr>
          <w:i/>
          <w:szCs w:val="22"/>
        </w:rPr>
        <w:t xml:space="preserve">Pacientai, kurių kepenų veikla pakenkta </w:t>
      </w:r>
      <w:r w:rsidRPr="005E49A1">
        <w:rPr>
          <w:i/>
          <w:color w:val="000000"/>
        </w:rPr>
        <w:t>(žr. 4.2 skyrių)</w:t>
      </w:r>
    </w:p>
    <w:p w14:paraId="10ABDF5F" w14:textId="77777777" w:rsidR="00302C06" w:rsidRPr="005E49A1" w:rsidRDefault="00302C06" w:rsidP="00302C06">
      <w:pPr>
        <w:tabs>
          <w:tab w:val="left" w:pos="567"/>
        </w:tabs>
        <w:rPr>
          <w:szCs w:val="22"/>
        </w:rPr>
      </w:pPr>
      <w:r w:rsidRPr="005E49A1">
        <w:rPr>
          <w:color w:val="000000"/>
          <w:spacing w:val="-3"/>
          <w:szCs w:val="22"/>
        </w:rPr>
        <w:t>Ibandrono rūgšties farmakokinetikos duomenų pacientų, kurių kepenys pakenktos, organizme nėra.</w:t>
      </w:r>
      <w:r w:rsidRPr="005E49A1">
        <w:rPr>
          <w:szCs w:val="22"/>
        </w:rPr>
        <w:t xml:space="preserve"> </w:t>
      </w:r>
      <w:r w:rsidRPr="005E49A1">
        <w:rPr>
          <w:color w:val="000000"/>
          <w:spacing w:val="-3"/>
          <w:szCs w:val="22"/>
        </w:rPr>
        <w:t>Kepenys nedaro įtakos ibandrono rūgšties klirensui, kadangi ji nemetabolizuojama, o šalinama per inkstus arba pasisavinama kauluose.</w:t>
      </w:r>
      <w:r w:rsidRPr="005E49A1">
        <w:rPr>
          <w:szCs w:val="22"/>
        </w:rPr>
        <w:t xml:space="preserve"> </w:t>
      </w:r>
      <w:r w:rsidRPr="005E49A1">
        <w:rPr>
          <w:color w:val="000000"/>
          <w:spacing w:val="-3"/>
          <w:szCs w:val="22"/>
        </w:rPr>
        <w:t xml:space="preserve">Vadinasi pacientams, kurių kepenys pakenktos, dozės </w:t>
      </w:r>
      <w:r w:rsidRPr="005E49A1">
        <w:rPr>
          <w:color w:val="000000"/>
          <w:spacing w:val="-4"/>
          <w:szCs w:val="22"/>
        </w:rPr>
        <w:t>keisti nereikia.</w:t>
      </w:r>
      <w:r w:rsidRPr="005E49A1">
        <w:rPr>
          <w:szCs w:val="22"/>
        </w:rPr>
        <w:t xml:space="preserve"> </w:t>
      </w:r>
    </w:p>
    <w:p w14:paraId="2CA4EBB9" w14:textId="77777777" w:rsidR="00302C06" w:rsidRPr="005E49A1" w:rsidRDefault="00302C06" w:rsidP="00302C06">
      <w:pPr>
        <w:tabs>
          <w:tab w:val="left" w:pos="567"/>
        </w:tabs>
        <w:rPr>
          <w:i/>
          <w:szCs w:val="22"/>
        </w:rPr>
      </w:pPr>
    </w:p>
    <w:p w14:paraId="4DF3D220" w14:textId="77777777" w:rsidR="00302C06" w:rsidRPr="005E49A1" w:rsidRDefault="00302C06" w:rsidP="00302C06">
      <w:pPr>
        <w:tabs>
          <w:tab w:val="left" w:pos="567"/>
        </w:tabs>
        <w:rPr>
          <w:szCs w:val="22"/>
        </w:rPr>
      </w:pPr>
      <w:r w:rsidRPr="005E49A1">
        <w:rPr>
          <w:i/>
          <w:szCs w:val="22"/>
        </w:rPr>
        <w:t xml:space="preserve">Senyvi pacientai </w:t>
      </w:r>
      <w:r w:rsidRPr="005E49A1">
        <w:rPr>
          <w:i/>
          <w:color w:val="000000"/>
        </w:rPr>
        <w:t>(žr. 4.2 skyrių)</w:t>
      </w:r>
    </w:p>
    <w:p w14:paraId="1DD0FF20" w14:textId="77777777" w:rsidR="00302C06" w:rsidRPr="005E49A1" w:rsidRDefault="00302C06" w:rsidP="00302C06">
      <w:pPr>
        <w:tabs>
          <w:tab w:val="left" w:pos="567"/>
        </w:tabs>
        <w:rPr>
          <w:szCs w:val="22"/>
        </w:rPr>
      </w:pPr>
      <w:r w:rsidRPr="005E49A1">
        <w:rPr>
          <w:color w:val="000000"/>
          <w:spacing w:val="-3"/>
          <w:szCs w:val="22"/>
        </w:rPr>
        <w:t>Dispersinės analizės metu nenustatyta, kad amžius, kaip nepriklausomas veiksnys, būtų susijęs su bet kurio iš tirtų farmakokinetikos rodmenų.</w:t>
      </w:r>
      <w:r w:rsidRPr="005E49A1">
        <w:rPr>
          <w:szCs w:val="22"/>
        </w:rPr>
        <w:t xml:space="preserve"> Kadangi s</w:t>
      </w:r>
      <w:r w:rsidRPr="005E49A1">
        <w:rPr>
          <w:color w:val="000000"/>
          <w:spacing w:val="-3"/>
          <w:szCs w:val="22"/>
        </w:rPr>
        <w:t>enstant inkstų funkcija silpnėja. Tai ir yra vienintelis veiksnys, į kurį reikėtų atkreipti dėmesį (žr. skyrių apie inkstų veiklos pakenkimą).</w:t>
      </w:r>
      <w:r w:rsidRPr="005E49A1">
        <w:rPr>
          <w:szCs w:val="22"/>
        </w:rPr>
        <w:t xml:space="preserve"> </w:t>
      </w:r>
    </w:p>
    <w:p w14:paraId="75D83EDF" w14:textId="77777777" w:rsidR="00302C06" w:rsidRPr="005E49A1" w:rsidRDefault="00302C06" w:rsidP="00302C06">
      <w:pPr>
        <w:tabs>
          <w:tab w:val="left" w:pos="567"/>
        </w:tabs>
        <w:rPr>
          <w:i/>
          <w:szCs w:val="22"/>
        </w:rPr>
      </w:pPr>
    </w:p>
    <w:p w14:paraId="03F0DF76" w14:textId="77777777" w:rsidR="00302C06" w:rsidRPr="005E49A1" w:rsidRDefault="00302C06" w:rsidP="00302C06">
      <w:pPr>
        <w:tabs>
          <w:tab w:val="left" w:pos="567"/>
        </w:tabs>
        <w:rPr>
          <w:szCs w:val="22"/>
        </w:rPr>
      </w:pPr>
      <w:r w:rsidRPr="005E49A1">
        <w:rPr>
          <w:i/>
          <w:szCs w:val="22"/>
        </w:rPr>
        <w:t xml:space="preserve">Vaikų populiacija </w:t>
      </w:r>
      <w:r w:rsidRPr="005E49A1">
        <w:rPr>
          <w:i/>
          <w:color w:val="000000"/>
        </w:rPr>
        <w:t>(žr. 4.2 ir 5.1 skyrius)</w:t>
      </w:r>
    </w:p>
    <w:p w14:paraId="4AB95B74" w14:textId="77777777" w:rsidR="00302C06" w:rsidRPr="005E49A1" w:rsidRDefault="00302C06" w:rsidP="00302C06">
      <w:pPr>
        <w:numPr>
          <w:ilvl w:val="12"/>
          <w:numId w:val="0"/>
        </w:numPr>
        <w:tabs>
          <w:tab w:val="left" w:pos="567"/>
        </w:tabs>
        <w:ind w:right="-2"/>
        <w:rPr>
          <w:szCs w:val="22"/>
        </w:rPr>
      </w:pPr>
      <w:r w:rsidRPr="005E49A1">
        <w:rPr>
          <w:color w:val="000000"/>
          <w:spacing w:val="-4"/>
          <w:szCs w:val="22"/>
        </w:rPr>
        <w:t>Informacijos apie ibandrono rūgšties vartojimą šių amžiaus grupių pacientams nėra.</w:t>
      </w:r>
    </w:p>
    <w:p w14:paraId="43F643B6" w14:textId="77777777" w:rsidR="00302C06" w:rsidRPr="005E49A1" w:rsidRDefault="00302C06" w:rsidP="00302C06">
      <w:pPr>
        <w:tabs>
          <w:tab w:val="left" w:pos="567"/>
        </w:tabs>
        <w:rPr>
          <w:szCs w:val="22"/>
        </w:rPr>
      </w:pPr>
    </w:p>
    <w:p w14:paraId="59907D66" w14:textId="77777777" w:rsidR="00302C06" w:rsidRPr="005E49A1" w:rsidRDefault="00302C06" w:rsidP="00302C06">
      <w:pPr>
        <w:tabs>
          <w:tab w:val="left" w:pos="567"/>
        </w:tabs>
        <w:ind w:left="567" w:hanging="567"/>
        <w:outlineLvl w:val="0"/>
        <w:rPr>
          <w:noProof/>
          <w:szCs w:val="22"/>
        </w:rPr>
      </w:pPr>
      <w:r w:rsidRPr="005E49A1">
        <w:rPr>
          <w:b/>
          <w:noProof/>
          <w:szCs w:val="22"/>
        </w:rPr>
        <w:t>5.3</w:t>
      </w:r>
      <w:r w:rsidRPr="005E49A1">
        <w:rPr>
          <w:b/>
          <w:noProof/>
          <w:szCs w:val="22"/>
        </w:rPr>
        <w:tab/>
      </w:r>
      <w:r w:rsidRPr="005E49A1">
        <w:rPr>
          <w:b/>
          <w:szCs w:val="22"/>
        </w:rPr>
        <w:t>Ikiklinikinių saugumo tyrimų duomenys</w:t>
      </w:r>
    </w:p>
    <w:p w14:paraId="17279B8E" w14:textId="77777777" w:rsidR="00302C06" w:rsidRPr="005E49A1" w:rsidRDefault="00302C06" w:rsidP="00302C06">
      <w:pPr>
        <w:tabs>
          <w:tab w:val="left" w:pos="567"/>
        </w:tabs>
        <w:rPr>
          <w:noProof/>
          <w:szCs w:val="22"/>
        </w:rPr>
      </w:pPr>
    </w:p>
    <w:p w14:paraId="658766D5" w14:textId="77777777" w:rsidR="00302C06" w:rsidRPr="005E49A1" w:rsidRDefault="00302C06" w:rsidP="00302C06">
      <w:pPr>
        <w:autoSpaceDE w:val="0"/>
        <w:autoSpaceDN w:val="0"/>
        <w:adjustRightInd w:val="0"/>
        <w:rPr>
          <w:color w:val="000000"/>
          <w:szCs w:val="22"/>
          <w:lang w:eastAsia="lt-LT"/>
        </w:rPr>
      </w:pPr>
      <w:r w:rsidRPr="005E49A1">
        <w:rPr>
          <w:color w:val="000000"/>
          <w:szCs w:val="22"/>
          <w:lang w:eastAsia="lt-LT"/>
        </w:rPr>
        <w:t>Toksinis poveikis, pvz., inkstų pažeidimo požymiai, nustatytas tik šunų organizme esant ekspozicijai, kuri yra pakankamai didesnė už didžiausią ekspoziciją žmogaus organizme, rodo mažą jo reikšmingumą klinikiniam vartojimui.</w:t>
      </w:r>
    </w:p>
    <w:p w14:paraId="1680E7D3" w14:textId="77777777" w:rsidR="00302C06" w:rsidRPr="005E49A1" w:rsidRDefault="00302C06" w:rsidP="00302C06">
      <w:pPr>
        <w:autoSpaceDE w:val="0"/>
        <w:autoSpaceDN w:val="0"/>
        <w:adjustRightInd w:val="0"/>
        <w:rPr>
          <w:color w:val="000000"/>
          <w:szCs w:val="22"/>
          <w:lang w:eastAsia="lt-LT"/>
        </w:rPr>
      </w:pPr>
    </w:p>
    <w:p w14:paraId="6A4A5973" w14:textId="77777777" w:rsidR="00302C06" w:rsidRPr="005E49A1" w:rsidRDefault="00302C06" w:rsidP="00302C06">
      <w:pPr>
        <w:autoSpaceDE w:val="0"/>
        <w:autoSpaceDN w:val="0"/>
        <w:adjustRightInd w:val="0"/>
        <w:rPr>
          <w:color w:val="000000"/>
          <w:szCs w:val="22"/>
          <w:lang w:eastAsia="lt-LT"/>
        </w:rPr>
      </w:pPr>
      <w:r w:rsidRPr="005E49A1">
        <w:rPr>
          <w:i/>
          <w:iCs/>
          <w:color w:val="000000"/>
          <w:szCs w:val="22"/>
          <w:lang w:eastAsia="lt-LT"/>
        </w:rPr>
        <w:t xml:space="preserve">Mutageniškumas/kancerogeniškumas </w:t>
      </w:r>
    </w:p>
    <w:p w14:paraId="41567BC6" w14:textId="77777777" w:rsidR="00302C06" w:rsidRPr="005E49A1" w:rsidRDefault="00302C06" w:rsidP="00302C06">
      <w:pPr>
        <w:autoSpaceDE w:val="0"/>
        <w:autoSpaceDN w:val="0"/>
        <w:adjustRightInd w:val="0"/>
        <w:rPr>
          <w:color w:val="000000"/>
          <w:szCs w:val="22"/>
          <w:lang w:eastAsia="lt-LT"/>
        </w:rPr>
      </w:pPr>
      <w:r w:rsidRPr="005E49A1">
        <w:rPr>
          <w:color w:val="000000"/>
          <w:szCs w:val="22"/>
          <w:lang w:eastAsia="lt-LT"/>
        </w:rPr>
        <w:t>Galimo kancerogeninio poveikio nepastebėta. Genotoksiškumo tyrimų metu genetinio ibandrono rūgšties aktyvumo požymių nenustatyta.</w:t>
      </w:r>
    </w:p>
    <w:p w14:paraId="2DD74375" w14:textId="77777777" w:rsidR="00302C06" w:rsidRPr="005E49A1" w:rsidRDefault="00302C06" w:rsidP="00302C06">
      <w:pPr>
        <w:autoSpaceDE w:val="0"/>
        <w:autoSpaceDN w:val="0"/>
        <w:adjustRightInd w:val="0"/>
        <w:rPr>
          <w:i/>
          <w:iCs/>
          <w:color w:val="000000"/>
          <w:szCs w:val="22"/>
          <w:lang w:eastAsia="lt-LT"/>
        </w:rPr>
      </w:pPr>
    </w:p>
    <w:p w14:paraId="3643A1E4" w14:textId="77777777" w:rsidR="00302C06" w:rsidRPr="005E49A1" w:rsidRDefault="00302C06" w:rsidP="00302C06">
      <w:pPr>
        <w:autoSpaceDE w:val="0"/>
        <w:autoSpaceDN w:val="0"/>
        <w:adjustRightInd w:val="0"/>
        <w:rPr>
          <w:color w:val="000000"/>
          <w:szCs w:val="22"/>
          <w:lang w:eastAsia="lt-LT"/>
        </w:rPr>
      </w:pPr>
      <w:r w:rsidRPr="005E49A1">
        <w:rPr>
          <w:i/>
          <w:iCs/>
          <w:color w:val="000000"/>
          <w:szCs w:val="22"/>
          <w:lang w:eastAsia="lt-LT"/>
        </w:rPr>
        <w:t xml:space="preserve">Toksiškumas reprodukcijai </w:t>
      </w:r>
    </w:p>
    <w:p w14:paraId="5BA67F1E" w14:textId="4895EB52" w:rsidR="00302C06" w:rsidRPr="00444E1A" w:rsidRDefault="00302C06" w:rsidP="00302C06">
      <w:pPr>
        <w:autoSpaceDE w:val="0"/>
        <w:autoSpaceDN w:val="0"/>
        <w:adjustRightInd w:val="0"/>
        <w:rPr>
          <w:sz w:val="24"/>
        </w:rPr>
      </w:pPr>
      <w:r w:rsidRPr="005E49A1">
        <w:rPr>
          <w:color w:val="000000"/>
          <w:szCs w:val="22"/>
          <w:lang w:eastAsia="lt-LT"/>
        </w:rPr>
        <w:t xml:space="preserve">Tyrimų su žiurkėmis ir triušiais, kuriems ibandrono rūgšties buvo sugirdoma, metu, tiesioginio toksinio ar teratogeninio poveikio vaisiui požymių nenustatyta, taip pat nestebėta nepageidaujamų </w:t>
      </w:r>
      <w:r w:rsidR="00B77DD6">
        <w:rPr>
          <w:color w:val="000000"/>
          <w:szCs w:val="22"/>
          <w:lang w:eastAsia="lt-LT"/>
        </w:rPr>
        <w:t>reakcijų</w:t>
      </w:r>
      <w:r w:rsidR="00B77DD6" w:rsidRPr="005E49A1">
        <w:rPr>
          <w:color w:val="000000"/>
          <w:szCs w:val="22"/>
          <w:lang w:eastAsia="lt-LT"/>
        </w:rPr>
        <w:t xml:space="preserve"> </w:t>
      </w:r>
      <w:r w:rsidRPr="005E49A1">
        <w:rPr>
          <w:color w:val="000000"/>
          <w:szCs w:val="22"/>
          <w:lang w:eastAsia="lt-LT"/>
        </w:rPr>
        <w:t>F</w:t>
      </w:r>
      <w:r w:rsidRPr="0022545A">
        <w:rPr>
          <w:color w:val="000000"/>
          <w:vertAlign w:val="subscript"/>
        </w:rPr>
        <w:t>1</w:t>
      </w:r>
      <w:r w:rsidRPr="005E49A1">
        <w:rPr>
          <w:color w:val="000000"/>
          <w:position w:val="-8"/>
          <w:szCs w:val="22"/>
          <w:vertAlign w:val="subscript"/>
          <w:lang w:eastAsia="lt-LT"/>
        </w:rPr>
        <w:t xml:space="preserve"> </w:t>
      </w:r>
      <w:r w:rsidRPr="005E49A1">
        <w:rPr>
          <w:color w:val="000000"/>
          <w:szCs w:val="22"/>
          <w:lang w:eastAsia="lt-LT"/>
        </w:rPr>
        <w:t xml:space="preserve">kartos žiurkių jauniklių raidai, kai numanoma vaisto ekspozicija buvo bent 35 kartus didesnė negu žmogaus organizme. </w:t>
      </w:r>
      <w:r w:rsidRPr="005E49A1">
        <w:rPr>
          <w:color w:val="000000"/>
        </w:rPr>
        <w:t xml:space="preserve">1 mg/kg/per parą ir didesnių geriamosios ibandrono rūgšties dozių poveikio reprodukcijai tyrimų su žiurkėmis metu nustatyti poveikiai vaisingumui buvo padažnėję preimplantaciniai netekimai. 0,3 mg/kg ir 1 mg/kg per parą vartojamos į veną ibandrono rūgšties dozių poveikio reprodukcijai tyrimų su žiurkėmis metu ibandrono rūgštis sumažino spermatozoidų skaičių, 1 mg/kg per parą dozės sumažino patinėlių vaisingumą, o 1,2 mg/kg per parą dozės – patelių vaisingumą. </w:t>
      </w:r>
      <w:r w:rsidRPr="005E49A1">
        <w:rPr>
          <w:color w:val="000000"/>
          <w:szCs w:val="22"/>
          <w:lang w:eastAsia="lt-LT"/>
        </w:rPr>
        <w:t xml:space="preserve">Tiriant toksiškumą žiurkių reprodukcijai, nustatyta nepageidaujamų </w:t>
      </w:r>
      <w:r w:rsidR="009C7310">
        <w:rPr>
          <w:color w:val="000000"/>
          <w:szCs w:val="22"/>
          <w:lang w:eastAsia="lt-LT"/>
        </w:rPr>
        <w:t>reakcijų</w:t>
      </w:r>
      <w:r w:rsidRPr="005E49A1">
        <w:rPr>
          <w:color w:val="000000"/>
          <w:szCs w:val="22"/>
          <w:lang w:eastAsia="lt-LT"/>
        </w:rPr>
        <w:t xml:space="preserve">, būdingų bisfosfonatų grupės medžiagoms. Tai sumažėjęs implantacijos vietų skaičius, pasunkėjęs natūralus jauniklių atsivedimas (distocija) ir padažnėję vidaus organų pokyčiai (inkstų geldelių ir šlapimtakių sindromas). </w:t>
      </w:r>
    </w:p>
    <w:p w14:paraId="1D679331" w14:textId="77777777" w:rsidR="00302C06" w:rsidRPr="005E49A1" w:rsidRDefault="00302C06" w:rsidP="00302C06">
      <w:pPr>
        <w:tabs>
          <w:tab w:val="left" w:pos="567"/>
        </w:tabs>
        <w:ind w:left="567" w:hanging="567"/>
        <w:outlineLvl w:val="0"/>
        <w:rPr>
          <w:szCs w:val="22"/>
        </w:rPr>
      </w:pPr>
    </w:p>
    <w:p w14:paraId="29868ADB" w14:textId="77777777" w:rsidR="00302C06" w:rsidRPr="005E49A1" w:rsidRDefault="00302C06" w:rsidP="00302C06">
      <w:pPr>
        <w:tabs>
          <w:tab w:val="left" w:pos="567"/>
        </w:tabs>
        <w:ind w:left="567" w:hanging="567"/>
        <w:outlineLvl w:val="0"/>
        <w:rPr>
          <w:szCs w:val="22"/>
        </w:rPr>
      </w:pPr>
    </w:p>
    <w:p w14:paraId="2989B50C" w14:textId="77777777" w:rsidR="00302C06" w:rsidRPr="005E49A1" w:rsidRDefault="00302C06" w:rsidP="00302C06">
      <w:pPr>
        <w:tabs>
          <w:tab w:val="left" w:pos="567"/>
        </w:tabs>
        <w:ind w:left="567" w:hanging="567"/>
        <w:rPr>
          <w:b/>
          <w:noProof/>
          <w:szCs w:val="22"/>
        </w:rPr>
      </w:pPr>
      <w:r w:rsidRPr="005E49A1">
        <w:rPr>
          <w:b/>
          <w:noProof/>
          <w:szCs w:val="22"/>
        </w:rPr>
        <w:t>6.</w:t>
      </w:r>
      <w:r w:rsidRPr="005E49A1">
        <w:rPr>
          <w:b/>
          <w:noProof/>
          <w:szCs w:val="22"/>
        </w:rPr>
        <w:tab/>
      </w:r>
      <w:r w:rsidRPr="005E49A1">
        <w:rPr>
          <w:b/>
          <w:szCs w:val="22"/>
        </w:rPr>
        <w:t>FARMACINĖ INFORMACIJA</w:t>
      </w:r>
    </w:p>
    <w:p w14:paraId="22F35DC2" w14:textId="77777777" w:rsidR="00302C06" w:rsidRPr="005E49A1" w:rsidRDefault="00302C06" w:rsidP="00302C06">
      <w:pPr>
        <w:tabs>
          <w:tab w:val="left" w:pos="567"/>
        </w:tabs>
        <w:rPr>
          <w:noProof/>
          <w:szCs w:val="22"/>
        </w:rPr>
      </w:pPr>
    </w:p>
    <w:p w14:paraId="6D60B17E" w14:textId="77777777" w:rsidR="00302C06" w:rsidRPr="005E49A1" w:rsidRDefault="00302C06" w:rsidP="00302C06">
      <w:pPr>
        <w:numPr>
          <w:ilvl w:val="1"/>
          <w:numId w:val="10"/>
        </w:numPr>
        <w:tabs>
          <w:tab w:val="clear" w:pos="570"/>
          <w:tab w:val="left" w:pos="567"/>
        </w:tabs>
        <w:outlineLvl w:val="0"/>
        <w:rPr>
          <w:b/>
          <w:noProof/>
          <w:szCs w:val="22"/>
        </w:rPr>
      </w:pPr>
      <w:r w:rsidRPr="005E49A1">
        <w:rPr>
          <w:b/>
          <w:szCs w:val="22"/>
        </w:rPr>
        <w:t>Pagalbinių medžiagų sąrašas</w:t>
      </w:r>
    </w:p>
    <w:p w14:paraId="31861CB2" w14:textId="77777777" w:rsidR="00302C06" w:rsidRPr="005E49A1" w:rsidRDefault="00302C06" w:rsidP="00302C06">
      <w:pPr>
        <w:tabs>
          <w:tab w:val="left" w:pos="567"/>
        </w:tabs>
        <w:outlineLvl w:val="0"/>
        <w:rPr>
          <w:noProof/>
          <w:szCs w:val="22"/>
        </w:rPr>
      </w:pPr>
    </w:p>
    <w:p w14:paraId="01079E20" w14:textId="202C7EBA" w:rsidR="00302C06" w:rsidRPr="0022545A" w:rsidRDefault="00302C06" w:rsidP="00302C06">
      <w:pPr>
        <w:tabs>
          <w:tab w:val="left" w:pos="567"/>
        </w:tabs>
        <w:rPr>
          <w:u w:val="single"/>
        </w:rPr>
      </w:pPr>
      <w:r w:rsidRPr="0022545A">
        <w:rPr>
          <w:i/>
          <w:u w:val="single"/>
        </w:rPr>
        <w:t>Tabletės branduolys</w:t>
      </w:r>
      <w:r w:rsidR="009C7310">
        <w:rPr>
          <w:i/>
          <w:szCs w:val="22"/>
          <w:u w:val="single"/>
        </w:rPr>
        <w:t>:</w:t>
      </w:r>
    </w:p>
    <w:p w14:paraId="1C49F3B7" w14:textId="77777777" w:rsidR="00302C06" w:rsidRPr="00444E1A" w:rsidRDefault="00302C06" w:rsidP="00302C06">
      <w:pPr>
        <w:tabs>
          <w:tab w:val="left" w:pos="567"/>
        </w:tabs>
        <w:rPr>
          <w:szCs w:val="22"/>
        </w:rPr>
      </w:pPr>
      <w:r w:rsidRPr="005E49A1">
        <w:rPr>
          <w:szCs w:val="22"/>
        </w:rPr>
        <w:t>Povidonas</w:t>
      </w:r>
      <w:r w:rsidRPr="00444E1A">
        <w:rPr>
          <w:szCs w:val="22"/>
        </w:rPr>
        <w:t xml:space="preserve"> </w:t>
      </w:r>
    </w:p>
    <w:p w14:paraId="5C176EE6" w14:textId="77777777" w:rsidR="00302C06" w:rsidRPr="00444E1A" w:rsidRDefault="00302C06" w:rsidP="00302C06">
      <w:pPr>
        <w:tabs>
          <w:tab w:val="left" w:pos="567"/>
        </w:tabs>
        <w:rPr>
          <w:szCs w:val="22"/>
        </w:rPr>
      </w:pPr>
      <w:r w:rsidRPr="005E49A1">
        <w:rPr>
          <w:szCs w:val="22"/>
        </w:rPr>
        <w:t>Mikrokristalinė celiuliozė</w:t>
      </w:r>
      <w:r w:rsidRPr="00444E1A">
        <w:rPr>
          <w:szCs w:val="22"/>
        </w:rPr>
        <w:t xml:space="preserve"> </w:t>
      </w:r>
    </w:p>
    <w:p w14:paraId="0A065479" w14:textId="77777777" w:rsidR="00302C06" w:rsidRPr="00444E1A" w:rsidRDefault="00302C06" w:rsidP="00302C06">
      <w:pPr>
        <w:tabs>
          <w:tab w:val="left" w:pos="567"/>
        </w:tabs>
        <w:rPr>
          <w:szCs w:val="22"/>
        </w:rPr>
      </w:pPr>
      <w:r w:rsidRPr="005E49A1">
        <w:rPr>
          <w:szCs w:val="22"/>
        </w:rPr>
        <w:t xml:space="preserve">Pregelifikuotas kukurūzų krakmolas </w:t>
      </w:r>
    </w:p>
    <w:p w14:paraId="2FE358C2" w14:textId="77777777" w:rsidR="00302C06" w:rsidRPr="00444E1A" w:rsidRDefault="00302C06" w:rsidP="00302C06">
      <w:pPr>
        <w:tabs>
          <w:tab w:val="left" w:pos="567"/>
        </w:tabs>
        <w:rPr>
          <w:szCs w:val="22"/>
        </w:rPr>
      </w:pPr>
      <w:r w:rsidRPr="005E49A1">
        <w:rPr>
          <w:szCs w:val="22"/>
        </w:rPr>
        <w:t>Krospovidonas</w:t>
      </w:r>
      <w:r w:rsidRPr="00444E1A">
        <w:rPr>
          <w:szCs w:val="22"/>
        </w:rPr>
        <w:t xml:space="preserve"> </w:t>
      </w:r>
    </w:p>
    <w:p w14:paraId="3FD0EA29" w14:textId="77777777" w:rsidR="00302C06" w:rsidRPr="00444E1A" w:rsidRDefault="00302C06" w:rsidP="00302C06">
      <w:pPr>
        <w:tabs>
          <w:tab w:val="left" w:pos="567"/>
        </w:tabs>
        <w:rPr>
          <w:szCs w:val="22"/>
        </w:rPr>
      </w:pPr>
      <w:r w:rsidRPr="005E49A1">
        <w:rPr>
          <w:szCs w:val="22"/>
        </w:rPr>
        <w:t>Bevandenis koloidinis</w:t>
      </w:r>
      <w:r w:rsidRPr="005E49A1" w:rsidDel="0095775F">
        <w:rPr>
          <w:szCs w:val="22"/>
        </w:rPr>
        <w:t xml:space="preserve"> </w:t>
      </w:r>
      <w:r w:rsidRPr="005E49A1">
        <w:rPr>
          <w:szCs w:val="22"/>
        </w:rPr>
        <w:t xml:space="preserve">silicio dioksidas </w:t>
      </w:r>
    </w:p>
    <w:p w14:paraId="4CB3FF02" w14:textId="77777777" w:rsidR="00302C06" w:rsidRPr="00444E1A" w:rsidRDefault="00302C06" w:rsidP="00302C06">
      <w:pPr>
        <w:tabs>
          <w:tab w:val="left" w:pos="567"/>
        </w:tabs>
        <w:rPr>
          <w:szCs w:val="22"/>
        </w:rPr>
      </w:pPr>
      <w:r w:rsidRPr="00444E1A">
        <w:rPr>
          <w:szCs w:val="22"/>
        </w:rPr>
        <w:t>Glicerolio dibehenatas</w:t>
      </w:r>
    </w:p>
    <w:p w14:paraId="304AE0F2" w14:textId="77777777" w:rsidR="00302C06" w:rsidRPr="005E49A1" w:rsidRDefault="00302C06" w:rsidP="00302C06">
      <w:pPr>
        <w:tabs>
          <w:tab w:val="left" w:pos="567"/>
        </w:tabs>
        <w:rPr>
          <w:i/>
          <w:szCs w:val="22"/>
        </w:rPr>
      </w:pPr>
    </w:p>
    <w:p w14:paraId="43A46900" w14:textId="660657C5" w:rsidR="00302C06" w:rsidRPr="0022545A" w:rsidRDefault="00302C06" w:rsidP="00302C06">
      <w:pPr>
        <w:tabs>
          <w:tab w:val="left" w:pos="567"/>
        </w:tabs>
        <w:rPr>
          <w:u w:val="single"/>
        </w:rPr>
      </w:pPr>
      <w:r w:rsidRPr="0022545A">
        <w:rPr>
          <w:i/>
          <w:u w:val="single"/>
        </w:rPr>
        <w:t>Tabletės plėvelė</w:t>
      </w:r>
      <w:r w:rsidR="009C7310">
        <w:rPr>
          <w:i/>
          <w:szCs w:val="22"/>
          <w:u w:val="single"/>
        </w:rPr>
        <w:t>:</w:t>
      </w:r>
    </w:p>
    <w:p w14:paraId="155CEA9C" w14:textId="77777777" w:rsidR="00302C06" w:rsidRPr="005E49A1" w:rsidRDefault="00302C06" w:rsidP="00302C06">
      <w:pPr>
        <w:tabs>
          <w:tab w:val="left" w:pos="567"/>
        </w:tabs>
        <w:rPr>
          <w:szCs w:val="22"/>
        </w:rPr>
      </w:pPr>
      <w:r w:rsidRPr="005E49A1">
        <w:rPr>
          <w:i/>
          <w:szCs w:val="22"/>
        </w:rPr>
        <w:t>Opadry</w:t>
      </w:r>
      <w:r w:rsidRPr="005E49A1">
        <w:rPr>
          <w:szCs w:val="22"/>
        </w:rPr>
        <w:t xml:space="preserve"> OY-LS-28908 (II baltasis). Jo sudėtis: </w:t>
      </w:r>
    </w:p>
    <w:p w14:paraId="28A132B2" w14:textId="77777777" w:rsidR="00302C06" w:rsidRPr="005E49A1" w:rsidRDefault="00302C06" w:rsidP="00302C06">
      <w:pPr>
        <w:tabs>
          <w:tab w:val="left" w:pos="567"/>
        </w:tabs>
        <w:rPr>
          <w:szCs w:val="22"/>
        </w:rPr>
      </w:pPr>
      <w:r w:rsidRPr="005E49A1">
        <w:rPr>
          <w:szCs w:val="22"/>
        </w:rPr>
        <w:t>Hipromeliozė</w:t>
      </w:r>
    </w:p>
    <w:p w14:paraId="4B22B034" w14:textId="77777777" w:rsidR="00302C06" w:rsidRPr="005E49A1" w:rsidRDefault="00302C06" w:rsidP="00302C06">
      <w:pPr>
        <w:tabs>
          <w:tab w:val="left" w:pos="567"/>
        </w:tabs>
        <w:rPr>
          <w:szCs w:val="22"/>
        </w:rPr>
      </w:pPr>
      <w:r w:rsidRPr="005E49A1">
        <w:rPr>
          <w:szCs w:val="22"/>
        </w:rPr>
        <w:t xml:space="preserve">Laktozė monohidratas </w:t>
      </w:r>
    </w:p>
    <w:p w14:paraId="0CCE970E" w14:textId="77777777" w:rsidR="00302C06" w:rsidRPr="005E49A1" w:rsidRDefault="00302C06" w:rsidP="00302C06">
      <w:pPr>
        <w:tabs>
          <w:tab w:val="left" w:pos="567"/>
        </w:tabs>
        <w:rPr>
          <w:szCs w:val="22"/>
        </w:rPr>
      </w:pPr>
      <w:r w:rsidRPr="005E49A1">
        <w:rPr>
          <w:szCs w:val="22"/>
        </w:rPr>
        <w:t xml:space="preserve">Titano dioksidas (E171) </w:t>
      </w:r>
    </w:p>
    <w:p w14:paraId="6C85B798" w14:textId="77777777" w:rsidR="00302C06" w:rsidRPr="005E49A1" w:rsidRDefault="00302C06" w:rsidP="00302C06">
      <w:pPr>
        <w:tabs>
          <w:tab w:val="left" w:pos="567"/>
        </w:tabs>
        <w:rPr>
          <w:szCs w:val="22"/>
        </w:rPr>
      </w:pPr>
      <w:r w:rsidRPr="005E49A1">
        <w:rPr>
          <w:szCs w:val="22"/>
        </w:rPr>
        <w:t>Makrogolis 4000</w:t>
      </w:r>
    </w:p>
    <w:p w14:paraId="60E1354F" w14:textId="77777777" w:rsidR="00302C06" w:rsidRPr="005E49A1" w:rsidRDefault="00302C06" w:rsidP="00302C06">
      <w:pPr>
        <w:tabs>
          <w:tab w:val="left" w:pos="567"/>
        </w:tabs>
        <w:rPr>
          <w:szCs w:val="22"/>
        </w:rPr>
      </w:pPr>
    </w:p>
    <w:p w14:paraId="3AC6F18A" w14:textId="77777777" w:rsidR="00302C06" w:rsidRPr="005E49A1" w:rsidRDefault="00302C06" w:rsidP="00302C06">
      <w:pPr>
        <w:tabs>
          <w:tab w:val="left" w:pos="567"/>
        </w:tabs>
        <w:ind w:left="567" w:hanging="567"/>
        <w:outlineLvl w:val="0"/>
        <w:rPr>
          <w:noProof/>
          <w:szCs w:val="22"/>
        </w:rPr>
      </w:pPr>
      <w:r w:rsidRPr="005E49A1">
        <w:rPr>
          <w:b/>
          <w:noProof/>
          <w:szCs w:val="22"/>
        </w:rPr>
        <w:t>6.2</w:t>
      </w:r>
      <w:r w:rsidRPr="005E49A1">
        <w:rPr>
          <w:b/>
          <w:noProof/>
          <w:szCs w:val="22"/>
        </w:rPr>
        <w:tab/>
      </w:r>
      <w:r w:rsidRPr="005E49A1">
        <w:rPr>
          <w:b/>
          <w:szCs w:val="22"/>
        </w:rPr>
        <w:t>Nesuderinamumas</w:t>
      </w:r>
    </w:p>
    <w:p w14:paraId="7D2D0CCD" w14:textId="77777777" w:rsidR="00302C06" w:rsidRPr="005E49A1" w:rsidRDefault="00302C06" w:rsidP="00302C06">
      <w:pPr>
        <w:tabs>
          <w:tab w:val="left" w:pos="567"/>
        </w:tabs>
        <w:rPr>
          <w:noProof/>
          <w:szCs w:val="22"/>
        </w:rPr>
      </w:pPr>
    </w:p>
    <w:p w14:paraId="4451143A" w14:textId="77777777" w:rsidR="00302C06" w:rsidRPr="005E49A1" w:rsidRDefault="00302C06" w:rsidP="00302C06">
      <w:pPr>
        <w:tabs>
          <w:tab w:val="left" w:pos="567"/>
        </w:tabs>
        <w:rPr>
          <w:noProof/>
          <w:szCs w:val="22"/>
        </w:rPr>
      </w:pPr>
      <w:r w:rsidRPr="005E49A1">
        <w:rPr>
          <w:szCs w:val="22"/>
        </w:rPr>
        <w:t>Duomenys nebūtini.</w:t>
      </w:r>
      <w:r w:rsidRPr="005E49A1">
        <w:rPr>
          <w:noProof/>
          <w:szCs w:val="22"/>
        </w:rPr>
        <w:t xml:space="preserve"> </w:t>
      </w:r>
    </w:p>
    <w:p w14:paraId="7581C35E" w14:textId="77777777" w:rsidR="00302C06" w:rsidRPr="005E49A1" w:rsidRDefault="00302C06" w:rsidP="00302C06">
      <w:pPr>
        <w:tabs>
          <w:tab w:val="left" w:pos="567"/>
        </w:tabs>
        <w:rPr>
          <w:szCs w:val="22"/>
        </w:rPr>
      </w:pPr>
    </w:p>
    <w:p w14:paraId="0E30E63C" w14:textId="77777777" w:rsidR="00302C06" w:rsidRPr="005E49A1" w:rsidRDefault="00302C06" w:rsidP="00302C06">
      <w:pPr>
        <w:tabs>
          <w:tab w:val="left" w:pos="567"/>
        </w:tabs>
        <w:ind w:left="567" w:hanging="567"/>
        <w:outlineLvl w:val="0"/>
        <w:rPr>
          <w:noProof/>
          <w:szCs w:val="22"/>
        </w:rPr>
      </w:pPr>
      <w:r w:rsidRPr="005E49A1">
        <w:rPr>
          <w:b/>
          <w:noProof/>
          <w:szCs w:val="22"/>
        </w:rPr>
        <w:t>6.3</w:t>
      </w:r>
      <w:r w:rsidRPr="005E49A1">
        <w:rPr>
          <w:b/>
          <w:noProof/>
          <w:szCs w:val="22"/>
        </w:rPr>
        <w:tab/>
      </w:r>
      <w:r w:rsidRPr="005E49A1">
        <w:rPr>
          <w:b/>
          <w:szCs w:val="22"/>
        </w:rPr>
        <w:t>Tinkamumo laikas</w:t>
      </w:r>
    </w:p>
    <w:p w14:paraId="04FD53A8" w14:textId="77777777" w:rsidR="00302C06" w:rsidRPr="005E49A1" w:rsidRDefault="00302C06" w:rsidP="00302C06">
      <w:pPr>
        <w:tabs>
          <w:tab w:val="left" w:pos="567"/>
        </w:tabs>
        <w:rPr>
          <w:noProof/>
          <w:szCs w:val="22"/>
        </w:rPr>
      </w:pPr>
    </w:p>
    <w:p w14:paraId="057F0EEE" w14:textId="77777777" w:rsidR="00302C06" w:rsidRPr="005E49A1" w:rsidRDefault="00302C06" w:rsidP="00302C06">
      <w:pPr>
        <w:tabs>
          <w:tab w:val="left" w:pos="567"/>
        </w:tabs>
        <w:ind w:left="567" w:hanging="567"/>
        <w:outlineLvl w:val="0"/>
        <w:rPr>
          <w:b/>
          <w:noProof/>
          <w:szCs w:val="22"/>
        </w:rPr>
      </w:pPr>
      <w:r w:rsidRPr="005E49A1">
        <w:rPr>
          <w:szCs w:val="22"/>
        </w:rPr>
        <w:t>2 metai.</w:t>
      </w:r>
      <w:r w:rsidRPr="005E49A1">
        <w:rPr>
          <w:b/>
          <w:noProof/>
          <w:szCs w:val="22"/>
        </w:rPr>
        <w:t xml:space="preserve"> </w:t>
      </w:r>
    </w:p>
    <w:p w14:paraId="766C6B18" w14:textId="77777777" w:rsidR="00302C06" w:rsidRPr="00444E1A" w:rsidRDefault="00302C06" w:rsidP="00302C06">
      <w:pPr>
        <w:tabs>
          <w:tab w:val="left" w:pos="567"/>
        </w:tabs>
        <w:rPr>
          <w:szCs w:val="22"/>
        </w:rPr>
      </w:pPr>
    </w:p>
    <w:p w14:paraId="38555F1F" w14:textId="77777777" w:rsidR="00302C06" w:rsidRPr="005E49A1" w:rsidRDefault="00302C06" w:rsidP="00302C06">
      <w:pPr>
        <w:numPr>
          <w:ilvl w:val="1"/>
          <w:numId w:val="12"/>
        </w:numPr>
        <w:tabs>
          <w:tab w:val="clear" w:pos="570"/>
          <w:tab w:val="left" w:pos="567"/>
        </w:tabs>
        <w:outlineLvl w:val="0"/>
        <w:rPr>
          <w:b/>
          <w:noProof/>
          <w:szCs w:val="22"/>
        </w:rPr>
      </w:pPr>
      <w:r w:rsidRPr="005E49A1">
        <w:rPr>
          <w:b/>
          <w:szCs w:val="22"/>
        </w:rPr>
        <w:t>Specialios laikymo sąlygos</w:t>
      </w:r>
    </w:p>
    <w:p w14:paraId="3E2EF537" w14:textId="77777777" w:rsidR="00302C06" w:rsidRPr="005E49A1" w:rsidRDefault="00302C06" w:rsidP="00302C06">
      <w:pPr>
        <w:tabs>
          <w:tab w:val="left" w:pos="567"/>
        </w:tabs>
        <w:outlineLvl w:val="0"/>
        <w:rPr>
          <w:noProof/>
          <w:szCs w:val="22"/>
        </w:rPr>
      </w:pPr>
    </w:p>
    <w:p w14:paraId="2A82075D" w14:textId="77777777" w:rsidR="00302C06" w:rsidRPr="005E49A1" w:rsidRDefault="00302C06" w:rsidP="00302C06">
      <w:pPr>
        <w:tabs>
          <w:tab w:val="left" w:pos="567"/>
        </w:tabs>
        <w:rPr>
          <w:szCs w:val="22"/>
        </w:rPr>
      </w:pPr>
      <w:r w:rsidRPr="005E49A1">
        <w:rPr>
          <w:szCs w:val="22"/>
        </w:rPr>
        <w:t>Šiam vaistiniam preparatui specialių laikymo sąlygų nereikia.</w:t>
      </w:r>
    </w:p>
    <w:p w14:paraId="59614018" w14:textId="77777777" w:rsidR="00302C06" w:rsidRPr="005E49A1" w:rsidRDefault="00302C06" w:rsidP="00302C06">
      <w:pPr>
        <w:tabs>
          <w:tab w:val="left" w:pos="567"/>
        </w:tabs>
        <w:rPr>
          <w:szCs w:val="22"/>
        </w:rPr>
      </w:pPr>
    </w:p>
    <w:p w14:paraId="02E4B33C" w14:textId="77777777" w:rsidR="00302C06" w:rsidRPr="005E49A1" w:rsidRDefault="00302C06" w:rsidP="00302C06">
      <w:pPr>
        <w:numPr>
          <w:ilvl w:val="1"/>
          <w:numId w:val="11"/>
        </w:numPr>
        <w:tabs>
          <w:tab w:val="clear" w:pos="570"/>
          <w:tab w:val="left" w:pos="567"/>
        </w:tabs>
        <w:outlineLvl w:val="0"/>
        <w:rPr>
          <w:b/>
          <w:noProof/>
          <w:szCs w:val="22"/>
        </w:rPr>
      </w:pPr>
      <w:r w:rsidRPr="005E49A1">
        <w:rPr>
          <w:b/>
          <w:szCs w:val="22"/>
        </w:rPr>
        <w:t>Talpyklės pobūdis ir jos turinys</w:t>
      </w:r>
    </w:p>
    <w:p w14:paraId="1ABCC876" w14:textId="77777777" w:rsidR="00302C06" w:rsidRPr="005E49A1" w:rsidRDefault="00302C06" w:rsidP="00302C06">
      <w:pPr>
        <w:tabs>
          <w:tab w:val="left" w:pos="567"/>
        </w:tabs>
        <w:rPr>
          <w:noProof/>
          <w:szCs w:val="22"/>
        </w:rPr>
      </w:pPr>
    </w:p>
    <w:p w14:paraId="57630B2B" w14:textId="03FDBFDE" w:rsidR="00302C06" w:rsidRPr="005E49A1" w:rsidRDefault="00302C06" w:rsidP="00302C06">
      <w:pPr>
        <w:tabs>
          <w:tab w:val="left" w:pos="567"/>
        </w:tabs>
        <w:rPr>
          <w:szCs w:val="22"/>
        </w:rPr>
      </w:pPr>
      <w:r w:rsidRPr="005E49A1">
        <w:rPr>
          <w:szCs w:val="22"/>
        </w:rPr>
        <w:t>BAXOGAR 150</w:t>
      </w:r>
      <w:r>
        <w:rPr>
          <w:szCs w:val="22"/>
        </w:rPr>
        <w:t> </w:t>
      </w:r>
      <w:r w:rsidRPr="005E49A1">
        <w:rPr>
          <w:szCs w:val="22"/>
        </w:rPr>
        <w:t xml:space="preserve">mg plėvele dengtos tabletės yra tiekiamos </w:t>
      </w:r>
      <w:r w:rsidR="00F9125B">
        <w:rPr>
          <w:szCs w:val="22"/>
        </w:rPr>
        <w:t>kartono dėžutėmis, kurių kiekvienoje</w:t>
      </w:r>
      <w:r w:rsidR="009C7310">
        <w:rPr>
          <w:szCs w:val="22"/>
        </w:rPr>
        <w:t xml:space="preserve"> </w:t>
      </w:r>
      <w:r w:rsidRPr="005E49A1">
        <w:rPr>
          <w:szCs w:val="22"/>
        </w:rPr>
        <w:t>PA/aliuminio/PVC-aliuminio folijos lizdin</w:t>
      </w:r>
      <w:r w:rsidR="00F9125B">
        <w:rPr>
          <w:szCs w:val="22"/>
        </w:rPr>
        <w:t>ėje</w:t>
      </w:r>
      <w:r w:rsidRPr="005E49A1">
        <w:rPr>
          <w:szCs w:val="22"/>
        </w:rPr>
        <w:t xml:space="preserve"> plokštel</w:t>
      </w:r>
      <w:r w:rsidR="00F9125B">
        <w:rPr>
          <w:szCs w:val="22"/>
        </w:rPr>
        <w:t>ėje</w:t>
      </w:r>
      <w:r w:rsidRPr="005E49A1">
        <w:rPr>
          <w:szCs w:val="22"/>
        </w:rPr>
        <w:t xml:space="preserve"> (aliuminio-aliuminio lizdin</w:t>
      </w:r>
      <w:r w:rsidR="00F9125B">
        <w:rPr>
          <w:szCs w:val="22"/>
        </w:rPr>
        <w:t>ėje</w:t>
      </w:r>
      <w:r w:rsidRPr="005E49A1">
        <w:rPr>
          <w:szCs w:val="22"/>
        </w:rPr>
        <w:t xml:space="preserve"> plokštel</w:t>
      </w:r>
      <w:r w:rsidR="00F9125B">
        <w:rPr>
          <w:szCs w:val="22"/>
        </w:rPr>
        <w:t>ėje</w:t>
      </w:r>
      <w:r w:rsidRPr="005E49A1">
        <w:rPr>
          <w:szCs w:val="22"/>
        </w:rPr>
        <w:t xml:space="preserve">) yra 1 ar 3 tabletės. </w:t>
      </w:r>
    </w:p>
    <w:p w14:paraId="0DB05939" w14:textId="77777777" w:rsidR="00302C06" w:rsidRPr="005E49A1" w:rsidRDefault="00302C06" w:rsidP="00302C06">
      <w:pPr>
        <w:tabs>
          <w:tab w:val="left" w:pos="567"/>
        </w:tabs>
        <w:rPr>
          <w:szCs w:val="22"/>
        </w:rPr>
      </w:pPr>
    </w:p>
    <w:p w14:paraId="415BA910" w14:textId="77777777" w:rsidR="00302C06" w:rsidRPr="005E49A1" w:rsidRDefault="00302C06" w:rsidP="00302C06">
      <w:pPr>
        <w:tabs>
          <w:tab w:val="left" w:pos="567"/>
        </w:tabs>
        <w:rPr>
          <w:szCs w:val="22"/>
        </w:rPr>
      </w:pPr>
      <w:r w:rsidRPr="005E49A1">
        <w:rPr>
          <w:szCs w:val="22"/>
        </w:rPr>
        <w:t>Gali būti tiekiamos ne visų dydžių pakuotės.</w:t>
      </w:r>
    </w:p>
    <w:p w14:paraId="74719DFB" w14:textId="77777777" w:rsidR="00302C06" w:rsidRPr="005E49A1" w:rsidRDefault="00302C06" w:rsidP="00302C06">
      <w:pPr>
        <w:tabs>
          <w:tab w:val="left" w:pos="567"/>
        </w:tabs>
        <w:rPr>
          <w:szCs w:val="22"/>
        </w:rPr>
      </w:pPr>
    </w:p>
    <w:p w14:paraId="45C697DA" w14:textId="77777777" w:rsidR="00302C06" w:rsidRPr="005E49A1" w:rsidRDefault="00302C06" w:rsidP="00302C06">
      <w:pPr>
        <w:tabs>
          <w:tab w:val="left" w:pos="567"/>
        </w:tabs>
        <w:ind w:left="567" w:hanging="567"/>
        <w:outlineLvl w:val="0"/>
        <w:rPr>
          <w:noProof/>
          <w:szCs w:val="22"/>
        </w:rPr>
      </w:pPr>
      <w:r w:rsidRPr="005E49A1">
        <w:rPr>
          <w:b/>
          <w:noProof/>
          <w:szCs w:val="22"/>
        </w:rPr>
        <w:t>6.6</w:t>
      </w:r>
      <w:r w:rsidRPr="005E49A1">
        <w:rPr>
          <w:b/>
          <w:noProof/>
          <w:szCs w:val="22"/>
        </w:rPr>
        <w:tab/>
      </w:r>
      <w:r w:rsidRPr="005E49A1">
        <w:rPr>
          <w:b/>
          <w:szCs w:val="22"/>
        </w:rPr>
        <w:t xml:space="preserve">Specialūs reikalavimai atliekoms tvarkyti </w:t>
      </w:r>
    </w:p>
    <w:p w14:paraId="6EBC4ECC" w14:textId="77777777" w:rsidR="00302C06" w:rsidRPr="005E49A1" w:rsidRDefault="00302C06" w:rsidP="00302C06">
      <w:pPr>
        <w:tabs>
          <w:tab w:val="left" w:pos="567"/>
        </w:tabs>
        <w:rPr>
          <w:noProof/>
          <w:szCs w:val="22"/>
        </w:rPr>
      </w:pPr>
    </w:p>
    <w:p w14:paraId="4927E8B0" w14:textId="77777777" w:rsidR="00302C06" w:rsidRPr="005E49A1" w:rsidRDefault="00302C06" w:rsidP="00302C06">
      <w:pPr>
        <w:overflowPunct w:val="0"/>
        <w:autoSpaceDE w:val="0"/>
        <w:autoSpaceDN w:val="0"/>
        <w:adjustRightInd w:val="0"/>
        <w:rPr>
          <w:i/>
          <w:noProof/>
          <w:color w:val="000000"/>
        </w:rPr>
      </w:pPr>
      <w:r w:rsidRPr="005E49A1">
        <w:rPr>
          <w:noProof/>
          <w:color w:val="000000"/>
        </w:rPr>
        <w:lastRenderedPageBreak/>
        <w:t>Nesuvartotą vaistinį preparatą ar atliekas reikia tvarkyti laikantis vietinių reikalavimų. Vaistinio preparato patekimą į aplinką būtina kiek įmanoma sumažinti.</w:t>
      </w:r>
    </w:p>
    <w:p w14:paraId="1B167617" w14:textId="77777777" w:rsidR="00302C06" w:rsidRPr="005E49A1" w:rsidRDefault="00302C06" w:rsidP="00302C06">
      <w:pPr>
        <w:tabs>
          <w:tab w:val="left" w:pos="567"/>
        </w:tabs>
        <w:rPr>
          <w:szCs w:val="22"/>
        </w:rPr>
      </w:pPr>
    </w:p>
    <w:p w14:paraId="47BD1524" w14:textId="77777777" w:rsidR="00302C06" w:rsidRPr="005E49A1" w:rsidRDefault="00302C06" w:rsidP="00302C06">
      <w:pPr>
        <w:tabs>
          <w:tab w:val="left" w:pos="567"/>
        </w:tabs>
        <w:rPr>
          <w:szCs w:val="22"/>
        </w:rPr>
      </w:pPr>
    </w:p>
    <w:p w14:paraId="3BE0D62D" w14:textId="77777777" w:rsidR="00302C06" w:rsidRPr="005E49A1" w:rsidRDefault="00302C06" w:rsidP="00302C06">
      <w:pPr>
        <w:tabs>
          <w:tab w:val="left" w:pos="567"/>
        </w:tabs>
        <w:ind w:left="567" w:hanging="567"/>
        <w:rPr>
          <w:noProof/>
          <w:szCs w:val="22"/>
        </w:rPr>
      </w:pPr>
      <w:r w:rsidRPr="005E49A1">
        <w:rPr>
          <w:b/>
          <w:noProof/>
          <w:szCs w:val="22"/>
        </w:rPr>
        <w:t>7.</w:t>
      </w:r>
      <w:r w:rsidRPr="005E49A1">
        <w:rPr>
          <w:b/>
          <w:noProof/>
          <w:szCs w:val="22"/>
        </w:rPr>
        <w:tab/>
      </w:r>
      <w:r w:rsidRPr="005E49A1">
        <w:rPr>
          <w:b/>
          <w:szCs w:val="22"/>
        </w:rPr>
        <w:t>REGISTRUOTOJAS</w:t>
      </w:r>
    </w:p>
    <w:p w14:paraId="3B855CDB" w14:textId="77777777" w:rsidR="00302C06" w:rsidRPr="005E49A1" w:rsidRDefault="00302C06" w:rsidP="00302C06"/>
    <w:p w14:paraId="0AA4A3B8" w14:textId="77777777" w:rsidR="00AC765C" w:rsidRPr="00AC765C" w:rsidRDefault="00AC765C" w:rsidP="00AC765C">
      <w:pPr>
        <w:rPr>
          <w:iCs/>
          <w:szCs w:val="22"/>
        </w:rPr>
      </w:pPr>
      <w:r w:rsidRPr="00AC765C">
        <w:rPr>
          <w:iCs/>
          <w:szCs w:val="22"/>
        </w:rPr>
        <w:t>Zentiva, k.s.</w:t>
      </w:r>
    </w:p>
    <w:p w14:paraId="69297886" w14:textId="77777777" w:rsidR="00AC765C" w:rsidRPr="00AC765C" w:rsidRDefault="00AC765C" w:rsidP="00AC765C">
      <w:pPr>
        <w:rPr>
          <w:iCs/>
          <w:szCs w:val="22"/>
        </w:rPr>
      </w:pPr>
      <w:r w:rsidRPr="00AC765C">
        <w:rPr>
          <w:iCs/>
          <w:szCs w:val="22"/>
        </w:rPr>
        <w:t>U kabelovny 130</w:t>
      </w:r>
    </w:p>
    <w:p w14:paraId="77018CBC" w14:textId="77777777" w:rsidR="00AC765C" w:rsidRPr="00AC765C" w:rsidRDefault="00AC765C" w:rsidP="00AC765C">
      <w:pPr>
        <w:rPr>
          <w:iCs/>
          <w:szCs w:val="22"/>
        </w:rPr>
      </w:pPr>
      <w:r w:rsidRPr="00AC765C">
        <w:rPr>
          <w:iCs/>
          <w:szCs w:val="22"/>
        </w:rPr>
        <w:t>Dolní Měcholupy</w:t>
      </w:r>
    </w:p>
    <w:p w14:paraId="11810342" w14:textId="77777777" w:rsidR="00AC765C" w:rsidRPr="00AC765C" w:rsidRDefault="00AC765C" w:rsidP="00AC765C">
      <w:pPr>
        <w:rPr>
          <w:iCs/>
          <w:szCs w:val="22"/>
        </w:rPr>
      </w:pPr>
      <w:r w:rsidRPr="00AC765C">
        <w:rPr>
          <w:iCs/>
          <w:szCs w:val="22"/>
        </w:rPr>
        <w:t>102 37 Praha 10</w:t>
      </w:r>
    </w:p>
    <w:p w14:paraId="1D66B14D" w14:textId="77777777" w:rsidR="00AC765C" w:rsidRPr="00AC765C" w:rsidRDefault="00AC765C" w:rsidP="00AC765C">
      <w:pPr>
        <w:rPr>
          <w:iCs/>
          <w:szCs w:val="22"/>
        </w:rPr>
      </w:pPr>
      <w:r w:rsidRPr="00AC765C">
        <w:rPr>
          <w:iCs/>
          <w:szCs w:val="22"/>
        </w:rPr>
        <w:t>Čekija</w:t>
      </w:r>
      <w:r w:rsidRPr="00AC765C" w:rsidDel="00BE4B3C">
        <w:rPr>
          <w:iCs/>
          <w:szCs w:val="22"/>
        </w:rPr>
        <w:t xml:space="preserve"> </w:t>
      </w:r>
    </w:p>
    <w:p w14:paraId="5345421D" w14:textId="77777777" w:rsidR="00302C06" w:rsidRPr="005E49A1" w:rsidRDefault="00302C06" w:rsidP="00302C06">
      <w:pPr>
        <w:tabs>
          <w:tab w:val="left" w:pos="567"/>
        </w:tabs>
        <w:rPr>
          <w:szCs w:val="22"/>
        </w:rPr>
      </w:pPr>
    </w:p>
    <w:p w14:paraId="230640AF" w14:textId="77777777" w:rsidR="00302C06" w:rsidRPr="005E49A1" w:rsidRDefault="00302C06" w:rsidP="00302C06">
      <w:pPr>
        <w:tabs>
          <w:tab w:val="left" w:pos="567"/>
        </w:tabs>
        <w:rPr>
          <w:szCs w:val="22"/>
        </w:rPr>
      </w:pPr>
    </w:p>
    <w:p w14:paraId="41EC2D80" w14:textId="77777777" w:rsidR="00302C06" w:rsidRPr="005E49A1" w:rsidRDefault="00302C06" w:rsidP="00302C06">
      <w:pPr>
        <w:tabs>
          <w:tab w:val="left" w:pos="567"/>
        </w:tabs>
        <w:ind w:left="567" w:hanging="567"/>
        <w:rPr>
          <w:b/>
          <w:noProof/>
          <w:szCs w:val="22"/>
        </w:rPr>
      </w:pPr>
      <w:r w:rsidRPr="005E49A1">
        <w:rPr>
          <w:b/>
          <w:noProof/>
          <w:szCs w:val="22"/>
        </w:rPr>
        <w:t>8.</w:t>
      </w:r>
      <w:r w:rsidRPr="005E49A1">
        <w:rPr>
          <w:b/>
          <w:noProof/>
          <w:szCs w:val="22"/>
        </w:rPr>
        <w:tab/>
      </w:r>
      <w:r w:rsidRPr="005E49A1">
        <w:rPr>
          <w:b/>
          <w:szCs w:val="22"/>
        </w:rPr>
        <w:t>REGISTRACIJOS PAŽYMĖJIMO NUMERIS (-IAI)</w:t>
      </w:r>
      <w:r w:rsidRPr="005E49A1">
        <w:rPr>
          <w:b/>
          <w:noProof/>
          <w:szCs w:val="22"/>
        </w:rPr>
        <w:t xml:space="preserve"> </w:t>
      </w:r>
    </w:p>
    <w:p w14:paraId="1C9A5C9F" w14:textId="77777777" w:rsidR="00302C06" w:rsidRPr="005E49A1" w:rsidRDefault="00302C06" w:rsidP="00302C06">
      <w:pPr>
        <w:tabs>
          <w:tab w:val="left" w:pos="567"/>
        </w:tabs>
        <w:rPr>
          <w:noProof/>
          <w:szCs w:val="22"/>
        </w:rPr>
      </w:pPr>
    </w:p>
    <w:p w14:paraId="68E0006C" w14:textId="77777777" w:rsidR="00302C06" w:rsidRPr="005E49A1" w:rsidRDefault="00302C06" w:rsidP="00302C06">
      <w:pPr>
        <w:tabs>
          <w:tab w:val="left" w:pos="567"/>
        </w:tabs>
        <w:rPr>
          <w:noProof/>
          <w:szCs w:val="22"/>
        </w:rPr>
      </w:pPr>
      <w:r w:rsidRPr="005E49A1">
        <w:rPr>
          <w:noProof/>
          <w:szCs w:val="22"/>
        </w:rPr>
        <w:t>LT/1/10/2233/001</w:t>
      </w:r>
      <w:r>
        <w:rPr>
          <w:noProof/>
          <w:szCs w:val="22"/>
        </w:rPr>
        <w:t xml:space="preserve"> – N1</w:t>
      </w:r>
    </w:p>
    <w:p w14:paraId="747D2611" w14:textId="77777777" w:rsidR="00302C06" w:rsidRPr="005E49A1" w:rsidRDefault="00302C06" w:rsidP="00302C06">
      <w:pPr>
        <w:tabs>
          <w:tab w:val="left" w:pos="567"/>
        </w:tabs>
        <w:rPr>
          <w:noProof/>
          <w:szCs w:val="22"/>
        </w:rPr>
      </w:pPr>
      <w:r w:rsidRPr="005E49A1">
        <w:rPr>
          <w:noProof/>
          <w:szCs w:val="22"/>
        </w:rPr>
        <w:t>LT/1/10/2233/002</w:t>
      </w:r>
      <w:r>
        <w:rPr>
          <w:noProof/>
          <w:szCs w:val="22"/>
        </w:rPr>
        <w:t xml:space="preserve"> – N3</w:t>
      </w:r>
    </w:p>
    <w:p w14:paraId="002A5D88" w14:textId="77777777" w:rsidR="00302C06" w:rsidRPr="005E49A1" w:rsidRDefault="00302C06" w:rsidP="00302C06">
      <w:pPr>
        <w:tabs>
          <w:tab w:val="left" w:pos="567"/>
        </w:tabs>
        <w:rPr>
          <w:noProof/>
          <w:szCs w:val="22"/>
        </w:rPr>
      </w:pPr>
    </w:p>
    <w:p w14:paraId="7452C78D" w14:textId="77777777" w:rsidR="00302C06" w:rsidRPr="005E49A1" w:rsidRDefault="00302C06" w:rsidP="00302C06">
      <w:pPr>
        <w:tabs>
          <w:tab w:val="left" w:pos="567"/>
        </w:tabs>
        <w:rPr>
          <w:szCs w:val="22"/>
        </w:rPr>
      </w:pPr>
    </w:p>
    <w:p w14:paraId="26BE5F51" w14:textId="77777777" w:rsidR="00302C06" w:rsidRPr="005E49A1" w:rsidRDefault="00302C06" w:rsidP="00302C06">
      <w:pPr>
        <w:tabs>
          <w:tab w:val="left" w:pos="567"/>
        </w:tabs>
        <w:ind w:left="567" w:hanging="567"/>
        <w:rPr>
          <w:noProof/>
          <w:szCs w:val="22"/>
        </w:rPr>
      </w:pPr>
      <w:r w:rsidRPr="005E49A1">
        <w:rPr>
          <w:b/>
          <w:noProof/>
          <w:szCs w:val="22"/>
        </w:rPr>
        <w:t>9.</w:t>
      </w:r>
      <w:r w:rsidRPr="005E49A1">
        <w:rPr>
          <w:b/>
          <w:noProof/>
          <w:szCs w:val="22"/>
        </w:rPr>
        <w:tab/>
      </w:r>
      <w:r w:rsidRPr="005E49A1">
        <w:rPr>
          <w:b/>
          <w:szCs w:val="22"/>
        </w:rPr>
        <w:t>REGISTRAVIMO / PERREGISTRAVIMO DATA</w:t>
      </w:r>
    </w:p>
    <w:p w14:paraId="705B6849" w14:textId="77777777" w:rsidR="00302C06" w:rsidRPr="005E49A1" w:rsidRDefault="00302C06" w:rsidP="00302C06">
      <w:pPr>
        <w:tabs>
          <w:tab w:val="left" w:pos="567"/>
        </w:tabs>
        <w:rPr>
          <w:noProof/>
          <w:szCs w:val="22"/>
        </w:rPr>
      </w:pPr>
    </w:p>
    <w:p w14:paraId="7DBCABC1" w14:textId="77777777" w:rsidR="00302C06" w:rsidRDefault="00302C06" w:rsidP="00302C06">
      <w:pPr>
        <w:tabs>
          <w:tab w:val="left" w:pos="567"/>
        </w:tabs>
        <w:rPr>
          <w:noProof/>
          <w:szCs w:val="22"/>
        </w:rPr>
      </w:pPr>
      <w:r w:rsidRPr="005E49A1">
        <w:rPr>
          <w:noProof/>
          <w:szCs w:val="22"/>
        </w:rPr>
        <w:t>Registravimo data 2010</w:t>
      </w:r>
      <w:r>
        <w:rPr>
          <w:noProof/>
          <w:szCs w:val="22"/>
        </w:rPr>
        <w:t xml:space="preserve"> m.</w:t>
      </w:r>
      <w:r w:rsidRPr="005E49A1">
        <w:rPr>
          <w:noProof/>
          <w:szCs w:val="22"/>
        </w:rPr>
        <w:t xml:space="preserve"> lapkričio 24 d.</w:t>
      </w:r>
    </w:p>
    <w:p w14:paraId="4A161967" w14:textId="77777777" w:rsidR="00302C06" w:rsidRPr="005E49A1" w:rsidRDefault="00302C06" w:rsidP="00302C06">
      <w:pPr>
        <w:tabs>
          <w:tab w:val="left" w:pos="567"/>
        </w:tabs>
        <w:rPr>
          <w:noProof/>
          <w:szCs w:val="22"/>
        </w:rPr>
      </w:pPr>
      <w:r>
        <w:t>Paskutinio perregistravimo data 2018 m. rugsėjo 10 d.</w:t>
      </w:r>
    </w:p>
    <w:p w14:paraId="4CD95BDC" w14:textId="77777777" w:rsidR="00302C06" w:rsidRPr="005E49A1" w:rsidRDefault="00302C06" w:rsidP="00302C06">
      <w:pPr>
        <w:tabs>
          <w:tab w:val="left" w:pos="567"/>
        </w:tabs>
        <w:rPr>
          <w:noProof/>
          <w:szCs w:val="22"/>
        </w:rPr>
      </w:pPr>
    </w:p>
    <w:p w14:paraId="49A5DFC9" w14:textId="77777777" w:rsidR="00302C06" w:rsidRPr="005E49A1" w:rsidRDefault="00302C06" w:rsidP="00302C06">
      <w:pPr>
        <w:tabs>
          <w:tab w:val="left" w:pos="567"/>
        </w:tabs>
        <w:rPr>
          <w:szCs w:val="22"/>
        </w:rPr>
      </w:pPr>
    </w:p>
    <w:p w14:paraId="7B870C31" w14:textId="77777777" w:rsidR="00302C06" w:rsidRPr="005E49A1" w:rsidRDefault="00302C06" w:rsidP="00302C06">
      <w:pPr>
        <w:tabs>
          <w:tab w:val="left" w:pos="567"/>
        </w:tabs>
        <w:ind w:left="567" w:hanging="567"/>
        <w:rPr>
          <w:b/>
          <w:noProof/>
          <w:szCs w:val="22"/>
        </w:rPr>
      </w:pPr>
      <w:r w:rsidRPr="005E49A1">
        <w:rPr>
          <w:b/>
          <w:noProof/>
          <w:szCs w:val="22"/>
        </w:rPr>
        <w:t>10.</w:t>
      </w:r>
      <w:r w:rsidRPr="005E49A1">
        <w:rPr>
          <w:b/>
          <w:noProof/>
          <w:szCs w:val="22"/>
        </w:rPr>
        <w:tab/>
      </w:r>
      <w:r w:rsidRPr="005E49A1">
        <w:rPr>
          <w:b/>
          <w:szCs w:val="22"/>
        </w:rPr>
        <w:t>TEKSTO PERŽIŪROS DATA</w:t>
      </w:r>
    </w:p>
    <w:p w14:paraId="06EB9C68" w14:textId="77777777" w:rsidR="00302C06" w:rsidRPr="005E49A1" w:rsidRDefault="00302C06" w:rsidP="00302C06">
      <w:pPr>
        <w:tabs>
          <w:tab w:val="left" w:pos="567"/>
        </w:tabs>
        <w:rPr>
          <w:noProof/>
          <w:szCs w:val="22"/>
        </w:rPr>
      </w:pPr>
    </w:p>
    <w:p w14:paraId="69E45319" w14:textId="6C65FB7B" w:rsidR="00302C06" w:rsidRDefault="00925B43" w:rsidP="00302C06">
      <w:pPr>
        <w:tabs>
          <w:tab w:val="left" w:pos="567"/>
        </w:tabs>
        <w:rPr>
          <w:szCs w:val="22"/>
        </w:rPr>
      </w:pPr>
      <w:r>
        <w:rPr>
          <w:szCs w:val="22"/>
        </w:rPr>
        <w:t xml:space="preserve">2022 m. sausio 1 d. </w:t>
      </w:r>
    </w:p>
    <w:p w14:paraId="7754D7BF" w14:textId="77777777" w:rsidR="00302C06" w:rsidRPr="005E49A1" w:rsidRDefault="00302C06" w:rsidP="00302C06">
      <w:pPr>
        <w:tabs>
          <w:tab w:val="left" w:pos="567"/>
        </w:tabs>
        <w:rPr>
          <w:szCs w:val="22"/>
        </w:rPr>
      </w:pPr>
    </w:p>
    <w:p w14:paraId="0CE5A949" w14:textId="77777777" w:rsidR="00302C06" w:rsidRPr="005E49A1" w:rsidRDefault="00302C06" w:rsidP="00302C06">
      <w:pPr>
        <w:tabs>
          <w:tab w:val="left" w:pos="567"/>
        </w:tabs>
        <w:rPr>
          <w:szCs w:val="22"/>
        </w:rPr>
      </w:pPr>
      <w:r w:rsidRPr="005E49A1">
        <w:rPr>
          <w:szCs w:val="22"/>
        </w:rPr>
        <w:t xml:space="preserve">Išsami informacija apie šį vaistinį preparatą pateikiama Valstybinės vaistų kontrolės tarnybos prie Lietuvos Respublikos sveikatos apsaugos ministerijos tinklalapyje </w:t>
      </w:r>
      <w:hyperlink r:id="rId10" w:history="1">
        <w:r w:rsidRPr="000D7C83">
          <w:rPr>
            <w:noProof/>
            <w:snapToGrid w:val="0"/>
            <w:color w:val="0000FF"/>
            <w:szCs w:val="22"/>
            <w:u w:val="single"/>
          </w:rPr>
          <w:t>http://www.</w:t>
        </w:r>
        <w:r w:rsidRPr="000D7C83">
          <w:rPr>
            <w:snapToGrid w:val="0"/>
            <w:color w:val="0000FF"/>
            <w:szCs w:val="22"/>
            <w:u w:val="single"/>
          </w:rPr>
          <w:t>vvkt.lt</w:t>
        </w:r>
      </w:hyperlink>
    </w:p>
    <w:p w14:paraId="619C0266" w14:textId="77777777" w:rsidR="00302C06" w:rsidRPr="005E49A1" w:rsidRDefault="00302C06" w:rsidP="00302C06">
      <w:pPr>
        <w:pStyle w:val="BTEMEASMCA"/>
      </w:pPr>
      <w:r w:rsidRPr="005E49A1">
        <w:br w:type="page"/>
      </w:r>
    </w:p>
    <w:p w14:paraId="3914FBB1" w14:textId="77777777" w:rsidR="00302C06" w:rsidRPr="005E49A1" w:rsidRDefault="00302C06" w:rsidP="00302C06">
      <w:pPr>
        <w:pStyle w:val="BTEMEASMCA"/>
      </w:pPr>
    </w:p>
    <w:p w14:paraId="750879B5" w14:textId="77777777" w:rsidR="00302C06" w:rsidRPr="005E49A1" w:rsidRDefault="00302C06" w:rsidP="00302C06">
      <w:pPr>
        <w:pStyle w:val="BTEMEASMCA"/>
      </w:pPr>
    </w:p>
    <w:p w14:paraId="61320EBC" w14:textId="77777777" w:rsidR="00302C06" w:rsidRPr="005E49A1" w:rsidRDefault="00302C06" w:rsidP="00302C06">
      <w:pPr>
        <w:pStyle w:val="BTEMEASMCA"/>
      </w:pPr>
    </w:p>
    <w:p w14:paraId="586C3769" w14:textId="77777777" w:rsidR="00302C06" w:rsidRPr="005E49A1" w:rsidRDefault="00302C06" w:rsidP="00302C06">
      <w:pPr>
        <w:pStyle w:val="BTEMEASMCA"/>
      </w:pPr>
    </w:p>
    <w:p w14:paraId="4A968D50" w14:textId="77777777" w:rsidR="00302C06" w:rsidRPr="005E49A1" w:rsidRDefault="00302C06" w:rsidP="00302C06">
      <w:pPr>
        <w:pStyle w:val="BTEMEASMCA"/>
      </w:pPr>
    </w:p>
    <w:p w14:paraId="0CB80B8F" w14:textId="77777777" w:rsidR="00302C06" w:rsidRPr="005E49A1" w:rsidRDefault="00302C06" w:rsidP="00302C06">
      <w:pPr>
        <w:pStyle w:val="BTEMEASMCA"/>
      </w:pPr>
    </w:p>
    <w:p w14:paraId="0BA02A18" w14:textId="77777777" w:rsidR="00302C06" w:rsidRPr="005E49A1" w:rsidRDefault="00302C06" w:rsidP="00302C06">
      <w:pPr>
        <w:pStyle w:val="BTEMEASMCA"/>
      </w:pPr>
    </w:p>
    <w:p w14:paraId="1A7B9697" w14:textId="77777777" w:rsidR="00302C06" w:rsidRPr="005E49A1" w:rsidRDefault="00302C06" w:rsidP="00302C06">
      <w:pPr>
        <w:pStyle w:val="BTEMEASMCA"/>
      </w:pPr>
    </w:p>
    <w:p w14:paraId="124CD75B" w14:textId="77777777" w:rsidR="00302C06" w:rsidRPr="005E49A1" w:rsidRDefault="00302C06" w:rsidP="00302C06">
      <w:pPr>
        <w:pStyle w:val="BTEMEASMCA"/>
      </w:pPr>
    </w:p>
    <w:p w14:paraId="28EE6FE3" w14:textId="77777777" w:rsidR="00302C06" w:rsidRPr="005E49A1" w:rsidRDefault="00302C06" w:rsidP="00302C06">
      <w:pPr>
        <w:pStyle w:val="BTEMEASMCA"/>
      </w:pPr>
    </w:p>
    <w:p w14:paraId="5E472949" w14:textId="77777777" w:rsidR="00302C06" w:rsidRPr="005E49A1" w:rsidRDefault="00302C06" w:rsidP="00302C06">
      <w:pPr>
        <w:pStyle w:val="BTEMEASMCA"/>
      </w:pPr>
    </w:p>
    <w:p w14:paraId="6B07BCD8" w14:textId="77777777" w:rsidR="00302C06" w:rsidRPr="005E49A1" w:rsidRDefault="00302C06" w:rsidP="00302C06">
      <w:pPr>
        <w:pStyle w:val="BTEMEASMCA"/>
      </w:pPr>
    </w:p>
    <w:p w14:paraId="22E496D1" w14:textId="77777777" w:rsidR="00302C06" w:rsidRPr="005E49A1" w:rsidRDefault="00302C06" w:rsidP="00302C06">
      <w:pPr>
        <w:pStyle w:val="BTEMEASMCA"/>
      </w:pPr>
    </w:p>
    <w:p w14:paraId="367A9C94" w14:textId="77777777" w:rsidR="00302C06" w:rsidRPr="005E49A1" w:rsidRDefault="00302C06" w:rsidP="00302C06">
      <w:pPr>
        <w:pStyle w:val="BTEMEASMCA"/>
      </w:pPr>
    </w:p>
    <w:p w14:paraId="18D5ACA4" w14:textId="77777777" w:rsidR="00302C06" w:rsidRPr="005E49A1" w:rsidRDefault="00302C06" w:rsidP="00302C06">
      <w:pPr>
        <w:pStyle w:val="BTEMEASMCA"/>
      </w:pPr>
    </w:p>
    <w:p w14:paraId="584CBF02" w14:textId="77777777" w:rsidR="00302C06" w:rsidRPr="005E49A1" w:rsidRDefault="00302C06" w:rsidP="00302C06">
      <w:pPr>
        <w:pStyle w:val="BTEMEASMCA"/>
      </w:pPr>
    </w:p>
    <w:p w14:paraId="134888BF" w14:textId="77777777" w:rsidR="00302C06" w:rsidRPr="005E49A1" w:rsidRDefault="00302C06" w:rsidP="00302C06">
      <w:pPr>
        <w:pStyle w:val="BTEMEASMCA"/>
      </w:pPr>
    </w:p>
    <w:p w14:paraId="60B2B2C5" w14:textId="77777777" w:rsidR="00302C06" w:rsidRPr="005E49A1" w:rsidRDefault="00302C06" w:rsidP="00302C06">
      <w:pPr>
        <w:pStyle w:val="BTEMEASMCA"/>
      </w:pPr>
    </w:p>
    <w:p w14:paraId="42810FED" w14:textId="77777777" w:rsidR="00302C06" w:rsidRPr="005E49A1" w:rsidRDefault="00302C06" w:rsidP="00302C06">
      <w:pPr>
        <w:pStyle w:val="BTEMEASMCA"/>
      </w:pPr>
    </w:p>
    <w:p w14:paraId="6C4CC133" w14:textId="77777777" w:rsidR="00302C06" w:rsidRPr="005E49A1" w:rsidRDefault="00302C06" w:rsidP="00302C06">
      <w:pPr>
        <w:pStyle w:val="BTEMEASMCA"/>
      </w:pPr>
    </w:p>
    <w:p w14:paraId="579CB404" w14:textId="77777777" w:rsidR="00302C06" w:rsidRPr="005E49A1" w:rsidRDefault="00302C06" w:rsidP="00302C06">
      <w:pPr>
        <w:pStyle w:val="BTEMEASMCA"/>
      </w:pPr>
    </w:p>
    <w:p w14:paraId="31B2EC46" w14:textId="77777777" w:rsidR="00302C06" w:rsidRPr="005E49A1" w:rsidRDefault="00302C06" w:rsidP="00302C06">
      <w:pPr>
        <w:pStyle w:val="BTEMEASMCA"/>
      </w:pPr>
    </w:p>
    <w:p w14:paraId="381F05B5" w14:textId="77777777" w:rsidR="00302C06" w:rsidRDefault="00302C06" w:rsidP="00302C06">
      <w:pPr>
        <w:pStyle w:val="TTEMEASMCA"/>
        <w:rPr>
          <w:lang w:val="lt-LT"/>
        </w:rPr>
      </w:pPr>
      <w:bookmarkStart w:id="1" w:name="_Toc129243128"/>
      <w:bookmarkStart w:id="2" w:name="_Toc129243253"/>
    </w:p>
    <w:p w14:paraId="192AC726" w14:textId="77777777" w:rsidR="00302C06" w:rsidRPr="005E49A1" w:rsidRDefault="00302C06" w:rsidP="00302C06">
      <w:pPr>
        <w:pStyle w:val="TTEMEASMCA"/>
        <w:rPr>
          <w:lang w:val="lt-LT"/>
        </w:rPr>
      </w:pPr>
      <w:r w:rsidRPr="005E49A1">
        <w:rPr>
          <w:lang w:val="lt-LT"/>
        </w:rPr>
        <w:t>II PRIEDAS</w:t>
      </w:r>
      <w:bookmarkEnd w:id="1"/>
      <w:bookmarkEnd w:id="2"/>
    </w:p>
    <w:p w14:paraId="1926C0D8" w14:textId="77777777" w:rsidR="00302C06" w:rsidRPr="005E49A1" w:rsidRDefault="00302C06" w:rsidP="00302C06">
      <w:pPr>
        <w:pStyle w:val="TTEMEASMCA"/>
        <w:rPr>
          <w:lang w:val="lt-LT"/>
        </w:rPr>
      </w:pPr>
    </w:p>
    <w:p w14:paraId="7EC0CF3E" w14:textId="77777777" w:rsidR="00302C06" w:rsidRPr="005E49A1" w:rsidRDefault="00302C06" w:rsidP="00302C06">
      <w:pPr>
        <w:pStyle w:val="TTEMEASMCA"/>
        <w:rPr>
          <w:lang w:val="lt-LT"/>
        </w:rPr>
      </w:pPr>
      <w:r w:rsidRPr="005E49A1">
        <w:rPr>
          <w:lang w:val="lt-LT"/>
        </w:rPr>
        <w:t>REGISTRACIJOS</w:t>
      </w:r>
      <w:r w:rsidRPr="005E49A1" w:rsidDel="008D4ED8">
        <w:rPr>
          <w:lang w:val="lt-LT"/>
        </w:rPr>
        <w:t xml:space="preserve"> </w:t>
      </w:r>
      <w:r w:rsidRPr="005E49A1">
        <w:rPr>
          <w:lang w:val="lt-LT"/>
        </w:rPr>
        <w:t>SĄLYGOS</w:t>
      </w:r>
    </w:p>
    <w:p w14:paraId="45DB873E" w14:textId="77777777" w:rsidR="00302C06" w:rsidRPr="005E49A1" w:rsidRDefault="00302C06" w:rsidP="00302C06">
      <w:pPr>
        <w:pStyle w:val="BTEMEASMCA"/>
      </w:pPr>
    </w:p>
    <w:p w14:paraId="11E029F9" w14:textId="77777777" w:rsidR="00302C06" w:rsidRPr="005E49A1" w:rsidRDefault="00302C06" w:rsidP="00302C06">
      <w:pPr>
        <w:pStyle w:val="BTAnIIEMEASMCA"/>
        <w:rPr>
          <w:rFonts w:cs="Times New Roman"/>
          <w:highlight w:val="yellow"/>
          <w:lang w:val="lt-LT"/>
        </w:rPr>
      </w:pPr>
      <w:r w:rsidRPr="005E49A1">
        <w:rPr>
          <w:rFonts w:cs="Times New Roman"/>
          <w:lang w:val="lt-LT"/>
        </w:rPr>
        <w:t>A.</w:t>
      </w:r>
      <w:r w:rsidRPr="005E49A1">
        <w:rPr>
          <w:rFonts w:cs="Times New Roman"/>
          <w:lang w:val="lt-LT"/>
        </w:rPr>
        <w:tab/>
        <w:t>GAMINTOJAS (-AI), ATSAKINGAS (-I) UŽ SERIJŲ IŠLEIDIMĄ</w:t>
      </w:r>
    </w:p>
    <w:p w14:paraId="5FB6DDC4" w14:textId="77777777" w:rsidR="00302C06" w:rsidRPr="005E49A1" w:rsidRDefault="00302C06" w:rsidP="00302C06">
      <w:pPr>
        <w:pStyle w:val="BTEMEASMCA"/>
        <w:rPr>
          <w:highlight w:val="yellow"/>
        </w:rPr>
      </w:pPr>
    </w:p>
    <w:p w14:paraId="05669DC5" w14:textId="77777777" w:rsidR="00302C06" w:rsidRPr="005E49A1" w:rsidRDefault="00302C06" w:rsidP="00302C06">
      <w:pPr>
        <w:pStyle w:val="BTAnIIEMEASMCA"/>
        <w:rPr>
          <w:rFonts w:cs="Times New Roman"/>
          <w:lang w:val="lt-LT"/>
        </w:rPr>
      </w:pPr>
      <w:r w:rsidRPr="005E49A1">
        <w:rPr>
          <w:rFonts w:cs="Times New Roman"/>
          <w:lang w:val="lt-LT"/>
        </w:rPr>
        <w:t>B.</w:t>
      </w:r>
      <w:r w:rsidRPr="005E49A1">
        <w:rPr>
          <w:rFonts w:cs="Times New Roman"/>
          <w:lang w:val="lt-LT"/>
        </w:rPr>
        <w:tab/>
        <w:t>TIEKIMO IR VARTOJIMO SĄLYGOS AR APRIBOJIMAI</w:t>
      </w:r>
    </w:p>
    <w:p w14:paraId="4CBF41D1" w14:textId="77777777" w:rsidR="00302C06" w:rsidRPr="005E49A1" w:rsidRDefault="00302C06" w:rsidP="00302C06">
      <w:pPr>
        <w:pStyle w:val="BTEMEASMCA"/>
        <w:rPr>
          <w:highlight w:val="yellow"/>
        </w:rPr>
      </w:pPr>
    </w:p>
    <w:p w14:paraId="604CD20E" w14:textId="77777777" w:rsidR="00302C06" w:rsidRPr="005E49A1" w:rsidRDefault="00302C06" w:rsidP="00302C06">
      <w:pPr>
        <w:pStyle w:val="PI-1EMEASMCA"/>
      </w:pPr>
      <w:r w:rsidRPr="005E49A1">
        <w:br w:type="page"/>
      </w:r>
      <w:r w:rsidRPr="005E49A1">
        <w:lastRenderedPageBreak/>
        <w:t>A.</w:t>
      </w:r>
      <w:r w:rsidRPr="005E49A1">
        <w:tab/>
      </w:r>
      <w:r>
        <w:rPr>
          <w:snapToGrid w:val="0"/>
          <w:szCs w:val="20"/>
        </w:rPr>
        <w:t>GAMINTOJAS (-AI),</w:t>
      </w:r>
      <w:r w:rsidRPr="005E49A1">
        <w:t xml:space="preserve"> ATSAKINGAS (-I) UŽ SERIJŲ IŠLEIDIMĄ</w:t>
      </w:r>
    </w:p>
    <w:p w14:paraId="7E2348D6" w14:textId="77777777" w:rsidR="00302C06" w:rsidRPr="005E49A1" w:rsidRDefault="00302C06" w:rsidP="00302C06">
      <w:pPr>
        <w:pStyle w:val="BTuEMEASMCA"/>
      </w:pPr>
    </w:p>
    <w:p w14:paraId="2AAE2D35" w14:textId="77777777" w:rsidR="00302C06" w:rsidRPr="000D7C83" w:rsidRDefault="00302C06" w:rsidP="00302C06">
      <w:pPr>
        <w:tabs>
          <w:tab w:val="left" w:pos="567"/>
        </w:tabs>
        <w:jc w:val="both"/>
        <w:rPr>
          <w:snapToGrid w:val="0"/>
          <w:szCs w:val="24"/>
        </w:rPr>
      </w:pPr>
      <w:r w:rsidRPr="000D7C83">
        <w:rPr>
          <w:noProof/>
          <w:snapToGrid w:val="0"/>
          <w:szCs w:val="24"/>
          <w:u w:val="single"/>
        </w:rPr>
        <w:t>Gamintojo (-ų), atsakingo (-ų) už serijų išleidimą, pavadinimas (-ai) ir adresas (-ai)</w:t>
      </w:r>
    </w:p>
    <w:p w14:paraId="770920A5" w14:textId="77777777" w:rsidR="00302C06" w:rsidRPr="00444E1A" w:rsidRDefault="00302C06" w:rsidP="00302C06"/>
    <w:p w14:paraId="34364457" w14:textId="77777777" w:rsidR="00302C06" w:rsidRPr="005E49A1" w:rsidRDefault="00302C06" w:rsidP="00302C06">
      <w:r w:rsidRPr="005E49A1">
        <w:t>Pharmathen S.A.</w:t>
      </w:r>
    </w:p>
    <w:p w14:paraId="20E894C0" w14:textId="77777777" w:rsidR="00302C06" w:rsidRPr="005E49A1" w:rsidRDefault="00302C06" w:rsidP="00302C06">
      <w:r w:rsidRPr="005E49A1">
        <w:t>6 Dervenakion Str.</w:t>
      </w:r>
    </w:p>
    <w:p w14:paraId="159F46BF" w14:textId="77777777" w:rsidR="00302C06" w:rsidRPr="005E49A1" w:rsidRDefault="00302C06" w:rsidP="00302C06">
      <w:r w:rsidRPr="005E49A1">
        <w:t>153 51 Pallini, Attiki</w:t>
      </w:r>
    </w:p>
    <w:p w14:paraId="1A69BB52" w14:textId="77777777" w:rsidR="00302C06" w:rsidRPr="00444E1A" w:rsidRDefault="00302C06" w:rsidP="00302C06">
      <w:r w:rsidRPr="00444E1A">
        <w:t>Graikija</w:t>
      </w:r>
    </w:p>
    <w:p w14:paraId="6543F986" w14:textId="77777777" w:rsidR="00302C06" w:rsidRPr="000D7C83" w:rsidRDefault="00302C06" w:rsidP="00302C06">
      <w:pPr>
        <w:pStyle w:val="BTEMEASMCA"/>
      </w:pPr>
    </w:p>
    <w:p w14:paraId="7BC8877B" w14:textId="77777777" w:rsidR="00302C06" w:rsidRPr="000D7C83" w:rsidRDefault="00302C06" w:rsidP="00302C06">
      <w:pPr>
        <w:pStyle w:val="BTEMEASMCA"/>
      </w:pPr>
      <w:r w:rsidRPr="000D7C83">
        <w:t>arba</w:t>
      </w:r>
    </w:p>
    <w:p w14:paraId="570278E9" w14:textId="77777777" w:rsidR="00302C06" w:rsidRPr="000D7C83" w:rsidRDefault="00302C06" w:rsidP="00302C06">
      <w:pPr>
        <w:pStyle w:val="BTEMEASMCA"/>
      </w:pPr>
    </w:p>
    <w:p w14:paraId="14E56CF9" w14:textId="77777777" w:rsidR="00302C06" w:rsidRPr="005E49A1" w:rsidRDefault="00302C06" w:rsidP="00302C06">
      <w:r w:rsidRPr="005E49A1">
        <w:t>Pharmathen International SA</w:t>
      </w:r>
    </w:p>
    <w:p w14:paraId="40923644" w14:textId="77777777" w:rsidR="00302C06" w:rsidRPr="005E49A1" w:rsidRDefault="00302C06" w:rsidP="00302C06">
      <w:r w:rsidRPr="005E49A1">
        <w:t xml:space="preserve">Sapes Industrial Park </w:t>
      </w:r>
    </w:p>
    <w:p w14:paraId="4438B62E" w14:textId="77777777" w:rsidR="00302C06" w:rsidRPr="005E49A1" w:rsidRDefault="00302C06" w:rsidP="00302C06">
      <w:r w:rsidRPr="005E49A1">
        <w:t xml:space="preserve">Block 5 </w:t>
      </w:r>
    </w:p>
    <w:p w14:paraId="4EB1D6A1" w14:textId="77777777" w:rsidR="00302C06" w:rsidRPr="005E49A1" w:rsidRDefault="00302C06" w:rsidP="00302C06">
      <w:r w:rsidRPr="005E49A1">
        <w:t xml:space="preserve">69300 Rodopi </w:t>
      </w:r>
    </w:p>
    <w:p w14:paraId="1783C91D" w14:textId="77777777" w:rsidR="00302C06" w:rsidRPr="005E49A1" w:rsidRDefault="00302C06" w:rsidP="00302C06">
      <w:pPr>
        <w:rPr>
          <w:highlight w:val="yellow"/>
        </w:rPr>
      </w:pPr>
      <w:r w:rsidRPr="005E49A1">
        <w:t>Graikija</w:t>
      </w:r>
    </w:p>
    <w:p w14:paraId="35C72338" w14:textId="77777777" w:rsidR="00302C06" w:rsidRPr="005E49A1" w:rsidRDefault="00302C06" w:rsidP="00302C06">
      <w:pPr>
        <w:pStyle w:val="BTEMEASMCA"/>
        <w:rPr>
          <w:highlight w:val="yellow"/>
        </w:rPr>
      </w:pPr>
    </w:p>
    <w:p w14:paraId="339EF256" w14:textId="77777777" w:rsidR="00302C06" w:rsidRPr="000D7C83" w:rsidRDefault="00302C06" w:rsidP="00302C06">
      <w:pPr>
        <w:tabs>
          <w:tab w:val="left" w:pos="567"/>
        </w:tabs>
        <w:jc w:val="both"/>
        <w:rPr>
          <w:snapToGrid w:val="0"/>
          <w:szCs w:val="24"/>
        </w:rPr>
      </w:pPr>
      <w:r w:rsidRPr="000D7C83">
        <w:rPr>
          <w:noProof/>
          <w:snapToGrid w:val="0"/>
          <w:szCs w:val="24"/>
        </w:rPr>
        <w:t>Su pakuote pateikiamame lapelyje nurodomas gamintojo, atsakingo už konkrečios serijos išleidimą, pavadinimas ir adresas.</w:t>
      </w:r>
    </w:p>
    <w:p w14:paraId="73C3A2A8" w14:textId="77777777" w:rsidR="00302C06" w:rsidRDefault="00302C06" w:rsidP="00302C06">
      <w:pPr>
        <w:pStyle w:val="BTEMEASMCA"/>
        <w:rPr>
          <w:highlight w:val="yellow"/>
        </w:rPr>
      </w:pPr>
    </w:p>
    <w:p w14:paraId="334409EF" w14:textId="77777777" w:rsidR="00302C06" w:rsidRPr="005E49A1" w:rsidRDefault="00302C06" w:rsidP="00302C06">
      <w:pPr>
        <w:pStyle w:val="BTEMEASMCA"/>
        <w:rPr>
          <w:highlight w:val="yellow"/>
        </w:rPr>
      </w:pPr>
    </w:p>
    <w:p w14:paraId="543DD5E3" w14:textId="77777777" w:rsidR="00302C06" w:rsidRPr="005E49A1" w:rsidRDefault="00302C06" w:rsidP="00302C06">
      <w:pPr>
        <w:pStyle w:val="PI-1EMEASMCA"/>
      </w:pPr>
      <w:bookmarkStart w:id="3" w:name="_Toc129243129"/>
      <w:bookmarkStart w:id="4" w:name="_Toc129243254"/>
      <w:r w:rsidRPr="005E49A1">
        <w:t>B.</w:t>
      </w:r>
      <w:r w:rsidRPr="005E49A1">
        <w:tab/>
      </w:r>
      <w:bookmarkStart w:id="5" w:name="_Toc129243130"/>
      <w:bookmarkStart w:id="6" w:name="_Toc129243255"/>
      <w:bookmarkEnd w:id="3"/>
      <w:bookmarkEnd w:id="4"/>
      <w:r w:rsidRPr="005E49A1">
        <w:t>TIEKIMO IR VARTOJIMO SĄLYGOS AR APRIBOJIMAI</w:t>
      </w:r>
      <w:bookmarkEnd w:id="5"/>
      <w:bookmarkEnd w:id="6"/>
    </w:p>
    <w:p w14:paraId="63434AEA" w14:textId="77777777" w:rsidR="00302C06" w:rsidRPr="005E49A1" w:rsidRDefault="00302C06" w:rsidP="00302C06">
      <w:pPr>
        <w:pStyle w:val="BTEMEASMCA"/>
      </w:pPr>
    </w:p>
    <w:p w14:paraId="279DF0F7" w14:textId="77777777" w:rsidR="00302C06" w:rsidRPr="005E49A1" w:rsidRDefault="00302C06" w:rsidP="00302C06">
      <w:pPr>
        <w:tabs>
          <w:tab w:val="left" w:pos="567"/>
        </w:tabs>
        <w:rPr>
          <w:szCs w:val="22"/>
        </w:rPr>
      </w:pPr>
      <w:r w:rsidRPr="005E49A1">
        <w:rPr>
          <w:szCs w:val="22"/>
        </w:rPr>
        <w:t>Receptinis vaistinis preparatas.</w:t>
      </w:r>
    </w:p>
    <w:p w14:paraId="7131F42B" w14:textId="77777777" w:rsidR="00302C06" w:rsidRPr="005E49A1" w:rsidRDefault="00302C06" w:rsidP="00302C06">
      <w:pPr>
        <w:pStyle w:val="Pagrindinistekstas"/>
        <w:tabs>
          <w:tab w:val="left" w:pos="567"/>
        </w:tabs>
        <w:spacing w:after="0"/>
        <w:rPr>
          <w:szCs w:val="22"/>
        </w:rPr>
      </w:pPr>
    </w:p>
    <w:p w14:paraId="2470F78E" w14:textId="77777777" w:rsidR="00302C06" w:rsidRPr="005E49A1" w:rsidRDefault="00302C06" w:rsidP="00302C06">
      <w:pPr>
        <w:pStyle w:val="BTEMEASMCA"/>
      </w:pPr>
    </w:p>
    <w:p w14:paraId="1CD5C5A6" w14:textId="77777777" w:rsidR="00302C06" w:rsidRPr="005E49A1" w:rsidRDefault="00302C06" w:rsidP="00302C06">
      <w:pPr>
        <w:tabs>
          <w:tab w:val="left" w:pos="567"/>
        </w:tabs>
        <w:rPr>
          <w:szCs w:val="22"/>
        </w:rPr>
      </w:pPr>
      <w:r w:rsidRPr="005E49A1">
        <w:rPr>
          <w:szCs w:val="22"/>
        </w:rPr>
        <w:br w:type="page"/>
      </w:r>
    </w:p>
    <w:p w14:paraId="500C3A95" w14:textId="77777777" w:rsidR="00302C06" w:rsidRPr="005E49A1" w:rsidRDefault="00302C06" w:rsidP="00302C06">
      <w:pPr>
        <w:tabs>
          <w:tab w:val="left" w:pos="567"/>
        </w:tabs>
        <w:rPr>
          <w:szCs w:val="22"/>
        </w:rPr>
      </w:pPr>
    </w:p>
    <w:p w14:paraId="003058B3" w14:textId="77777777" w:rsidR="00302C06" w:rsidRPr="005E49A1" w:rsidRDefault="00302C06" w:rsidP="00302C06">
      <w:pPr>
        <w:tabs>
          <w:tab w:val="left" w:pos="567"/>
        </w:tabs>
        <w:rPr>
          <w:szCs w:val="22"/>
        </w:rPr>
      </w:pPr>
    </w:p>
    <w:p w14:paraId="59C77416" w14:textId="77777777" w:rsidR="00302C06" w:rsidRPr="005E49A1" w:rsidRDefault="00302C06" w:rsidP="00302C06">
      <w:pPr>
        <w:tabs>
          <w:tab w:val="left" w:pos="567"/>
        </w:tabs>
        <w:rPr>
          <w:szCs w:val="22"/>
        </w:rPr>
      </w:pPr>
    </w:p>
    <w:p w14:paraId="53BD5E83" w14:textId="77777777" w:rsidR="00302C06" w:rsidRPr="005E49A1" w:rsidRDefault="00302C06" w:rsidP="00302C06">
      <w:pPr>
        <w:tabs>
          <w:tab w:val="left" w:pos="567"/>
        </w:tabs>
        <w:rPr>
          <w:szCs w:val="22"/>
        </w:rPr>
      </w:pPr>
    </w:p>
    <w:p w14:paraId="22DFACBF" w14:textId="77777777" w:rsidR="00302C06" w:rsidRPr="005E49A1" w:rsidRDefault="00302C06" w:rsidP="00302C06">
      <w:pPr>
        <w:tabs>
          <w:tab w:val="left" w:pos="567"/>
        </w:tabs>
        <w:rPr>
          <w:szCs w:val="22"/>
        </w:rPr>
      </w:pPr>
    </w:p>
    <w:p w14:paraId="79F2D71A" w14:textId="77777777" w:rsidR="00302C06" w:rsidRPr="005E49A1" w:rsidRDefault="00302C06" w:rsidP="00302C06">
      <w:pPr>
        <w:tabs>
          <w:tab w:val="left" w:pos="567"/>
        </w:tabs>
        <w:rPr>
          <w:szCs w:val="22"/>
        </w:rPr>
      </w:pPr>
    </w:p>
    <w:p w14:paraId="7432F7BA" w14:textId="77777777" w:rsidR="00302C06" w:rsidRPr="005E49A1" w:rsidRDefault="00302C06" w:rsidP="00302C06">
      <w:pPr>
        <w:tabs>
          <w:tab w:val="left" w:pos="567"/>
        </w:tabs>
        <w:rPr>
          <w:szCs w:val="22"/>
        </w:rPr>
      </w:pPr>
    </w:p>
    <w:p w14:paraId="6256A15D" w14:textId="77777777" w:rsidR="00302C06" w:rsidRPr="005E49A1" w:rsidRDefault="00302C06" w:rsidP="00302C06">
      <w:pPr>
        <w:tabs>
          <w:tab w:val="left" w:pos="567"/>
        </w:tabs>
        <w:rPr>
          <w:szCs w:val="22"/>
        </w:rPr>
      </w:pPr>
    </w:p>
    <w:p w14:paraId="3079644C" w14:textId="77777777" w:rsidR="00302C06" w:rsidRPr="005E49A1" w:rsidRDefault="00302C06" w:rsidP="00302C06">
      <w:pPr>
        <w:tabs>
          <w:tab w:val="left" w:pos="567"/>
        </w:tabs>
        <w:rPr>
          <w:szCs w:val="22"/>
        </w:rPr>
      </w:pPr>
    </w:p>
    <w:p w14:paraId="3C098696" w14:textId="77777777" w:rsidR="00302C06" w:rsidRPr="005E49A1" w:rsidRDefault="00302C06" w:rsidP="00302C06">
      <w:pPr>
        <w:tabs>
          <w:tab w:val="left" w:pos="567"/>
        </w:tabs>
        <w:rPr>
          <w:szCs w:val="22"/>
        </w:rPr>
      </w:pPr>
    </w:p>
    <w:p w14:paraId="547CED33" w14:textId="77777777" w:rsidR="00302C06" w:rsidRPr="005E49A1" w:rsidRDefault="00302C06" w:rsidP="00302C06">
      <w:pPr>
        <w:tabs>
          <w:tab w:val="left" w:pos="567"/>
        </w:tabs>
        <w:rPr>
          <w:szCs w:val="22"/>
        </w:rPr>
      </w:pPr>
    </w:p>
    <w:p w14:paraId="57A4AD05" w14:textId="77777777" w:rsidR="00302C06" w:rsidRPr="005E49A1" w:rsidRDefault="00302C06" w:rsidP="00302C06">
      <w:pPr>
        <w:tabs>
          <w:tab w:val="left" w:pos="567"/>
        </w:tabs>
        <w:rPr>
          <w:szCs w:val="22"/>
        </w:rPr>
      </w:pPr>
    </w:p>
    <w:p w14:paraId="638E7D71" w14:textId="77777777" w:rsidR="00302C06" w:rsidRPr="005E49A1" w:rsidRDefault="00302C06" w:rsidP="00302C06">
      <w:pPr>
        <w:tabs>
          <w:tab w:val="left" w:pos="567"/>
        </w:tabs>
        <w:rPr>
          <w:szCs w:val="22"/>
        </w:rPr>
      </w:pPr>
    </w:p>
    <w:p w14:paraId="6C6F5614" w14:textId="77777777" w:rsidR="00302C06" w:rsidRPr="005E49A1" w:rsidRDefault="00302C06" w:rsidP="00302C06">
      <w:pPr>
        <w:tabs>
          <w:tab w:val="left" w:pos="567"/>
        </w:tabs>
        <w:rPr>
          <w:szCs w:val="22"/>
        </w:rPr>
      </w:pPr>
    </w:p>
    <w:p w14:paraId="06462B0A" w14:textId="77777777" w:rsidR="00302C06" w:rsidRPr="005E49A1" w:rsidRDefault="00302C06" w:rsidP="00302C06">
      <w:pPr>
        <w:tabs>
          <w:tab w:val="left" w:pos="567"/>
        </w:tabs>
        <w:rPr>
          <w:szCs w:val="22"/>
        </w:rPr>
      </w:pPr>
    </w:p>
    <w:p w14:paraId="4CEDD627" w14:textId="77777777" w:rsidR="00302C06" w:rsidRPr="005E49A1" w:rsidRDefault="00302C06" w:rsidP="00302C06">
      <w:pPr>
        <w:tabs>
          <w:tab w:val="left" w:pos="567"/>
        </w:tabs>
        <w:rPr>
          <w:szCs w:val="22"/>
        </w:rPr>
      </w:pPr>
    </w:p>
    <w:p w14:paraId="5B3D86DC" w14:textId="77777777" w:rsidR="00302C06" w:rsidRPr="005E49A1" w:rsidRDefault="00302C06" w:rsidP="00302C06">
      <w:pPr>
        <w:tabs>
          <w:tab w:val="left" w:pos="567"/>
        </w:tabs>
        <w:rPr>
          <w:szCs w:val="22"/>
        </w:rPr>
      </w:pPr>
    </w:p>
    <w:p w14:paraId="626B86F4" w14:textId="77777777" w:rsidR="00302C06" w:rsidRPr="005E49A1" w:rsidRDefault="00302C06" w:rsidP="00302C06">
      <w:pPr>
        <w:tabs>
          <w:tab w:val="left" w:pos="567"/>
        </w:tabs>
        <w:rPr>
          <w:szCs w:val="22"/>
        </w:rPr>
      </w:pPr>
    </w:p>
    <w:p w14:paraId="52252118" w14:textId="77777777" w:rsidR="00302C06" w:rsidRPr="005E49A1" w:rsidRDefault="00302C06" w:rsidP="00302C06">
      <w:pPr>
        <w:tabs>
          <w:tab w:val="left" w:pos="567"/>
        </w:tabs>
        <w:rPr>
          <w:szCs w:val="22"/>
        </w:rPr>
      </w:pPr>
    </w:p>
    <w:p w14:paraId="7573897B" w14:textId="77777777" w:rsidR="00302C06" w:rsidRPr="005E49A1" w:rsidRDefault="00302C06" w:rsidP="00302C06">
      <w:pPr>
        <w:tabs>
          <w:tab w:val="left" w:pos="567"/>
        </w:tabs>
        <w:rPr>
          <w:szCs w:val="22"/>
        </w:rPr>
      </w:pPr>
    </w:p>
    <w:p w14:paraId="6C6E25DF" w14:textId="77777777" w:rsidR="00302C06" w:rsidRPr="005E49A1" w:rsidRDefault="00302C06" w:rsidP="00302C06">
      <w:pPr>
        <w:tabs>
          <w:tab w:val="left" w:pos="567"/>
        </w:tabs>
        <w:rPr>
          <w:szCs w:val="22"/>
        </w:rPr>
      </w:pPr>
    </w:p>
    <w:p w14:paraId="58AFD552" w14:textId="77777777" w:rsidR="00302C06" w:rsidRPr="005E49A1" w:rsidRDefault="00302C06" w:rsidP="00302C06">
      <w:pPr>
        <w:tabs>
          <w:tab w:val="left" w:pos="567"/>
        </w:tabs>
        <w:rPr>
          <w:szCs w:val="22"/>
        </w:rPr>
      </w:pPr>
    </w:p>
    <w:p w14:paraId="6C97879F" w14:textId="77777777" w:rsidR="00302C06" w:rsidRDefault="00302C06" w:rsidP="00302C06">
      <w:pPr>
        <w:pStyle w:val="TTEMEASMCA"/>
        <w:rPr>
          <w:lang w:val="lt-LT"/>
        </w:rPr>
      </w:pPr>
      <w:bookmarkStart w:id="7" w:name="_Toc129243134"/>
      <w:bookmarkStart w:id="8" w:name="_Toc129243259"/>
    </w:p>
    <w:p w14:paraId="0C3AE0FE" w14:textId="77777777" w:rsidR="00302C06" w:rsidRPr="005E49A1" w:rsidRDefault="00302C06" w:rsidP="00302C06">
      <w:pPr>
        <w:pStyle w:val="TTEMEASMCA"/>
        <w:rPr>
          <w:lang w:val="lt-LT"/>
        </w:rPr>
      </w:pPr>
      <w:r w:rsidRPr="005E49A1">
        <w:rPr>
          <w:lang w:val="lt-LT"/>
        </w:rPr>
        <w:t>III PRIEDAS</w:t>
      </w:r>
      <w:bookmarkEnd w:id="7"/>
      <w:bookmarkEnd w:id="8"/>
    </w:p>
    <w:p w14:paraId="49D6180F" w14:textId="77777777" w:rsidR="00302C06" w:rsidRPr="005E49A1" w:rsidRDefault="00302C06" w:rsidP="00302C06">
      <w:pPr>
        <w:pStyle w:val="BTEMEASMCA"/>
      </w:pPr>
    </w:p>
    <w:p w14:paraId="3565E299" w14:textId="77777777" w:rsidR="00302C06" w:rsidRPr="005E49A1" w:rsidRDefault="00302C06" w:rsidP="00302C06">
      <w:pPr>
        <w:pStyle w:val="TTEMEASMCA"/>
        <w:rPr>
          <w:lang w:val="lt-LT"/>
        </w:rPr>
      </w:pPr>
      <w:r w:rsidRPr="005E49A1">
        <w:rPr>
          <w:lang w:val="lt-LT"/>
        </w:rPr>
        <w:t>ŽENKLINIMAS IR PAKUOTĖS LAPELIS</w:t>
      </w:r>
    </w:p>
    <w:p w14:paraId="20B2D7AF" w14:textId="77777777" w:rsidR="00302C06" w:rsidRPr="005E49A1" w:rsidRDefault="00302C06" w:rsidP="00302C06">
      <w:pPr>
        <w:pStyle w:val="BTEMEASMCA"/>
      </w:pPr>
      <w:r w:rsidRPr="005E49A1">
        <w:br w:type="page"/>
      </w:r>
    </w:p>
    <w:p w14:paraId="08090EB9" w14:textId="77777777" w:rsidR="00302C06" w:rsidRPr="005E49A1" w:rsidRDefault="00302C06" w:rsidP="00302C06">
      <w:pPr>
        <w:tabs>
          <w:tab w:val="left" w:pos="567"/>
        </w:tabs>
        <w:jc w:val="center"/>
        <w:rPr>
          <w:szCs w:val="22"/>
        </w:rPr>
      </w:pPr>
    </w:p>
    <w:p w14:paraId="5E8680E2" w14:textId="77777777" w:rsidR="00302C06" w:rsidRPr="005E49A1" w:rsidRDefault="00302C06" w:rsidP="00302C06">
      <w:pPr>
        <w:tabs>
          <w:tab w:val="left" w:pos="567"/>
        </w:tabs>
        <w:jc w:val="center"/>
        <w:rPr>
          <w:szCs w:val="22"/>
        </w:rPr>
      </w:pPr>
    </w:p>
    <w:p w14:paraId="690B4859" w14:textId="77777777" w:rsidR="00302C06" w:rsidRPr="005E49A1" w:rsidRDefault="00302C06" w:rsidP="00302C06">
      <w:pPr>
        <w:tabs>
          <w:tab w:val="left" w:pos="567"/>
        </w:tabs>
        <w:jc w:val="center"/>
        <w:rPr>
          <w:szCs w:val="22"/>
        </w:rPr>
      </w:pPr>
    </w:p>
    <w:p w14:paraId="70E36DE6" w14:textId="77777777" w:rsidR="00302C06" w:rsidRPr="005E49A1" w:rsidRDefault="00302C06" w:rsidP="00302C06">
      <w:pPr>
        <w:tabs>
          <w:tab w:val="left" w:pos="567"/>
        </w:tabs>
        <w:jc w:val="center"/>
        <w:rPr>
          <w:szCs w:val="22"/>
        </w:rPr>
      </w:pPr>
    </w:p>
    <w:p w14:paraId="5FFBFC26" w14:textId="77777777" w:rsidR="00302C06" w:rsidRPr="005E49A1" w:rsidRDefault="00302C06" w:rsidP="00302C06">
      <w:pPr>
        <w:tabs>
          <w:tab w:val="left" w:pos="567"/>
        </w:tabs>
        <w:jc w:val="center"/>
        <w:rPr>
          <w:szCs w:val="22"/>
        </w:rPr>
      </w:pPr>
    </w:p>
    <w:p w14:paraId="610537B6" w14:textId="77777777" w:rsidR="00302C06" w:rsidRPr="005E49A1" w:rsidRDefault="00302C06" w:rsidP="00302C06">
      <w:pPr>
        <w:tabs>
          <w:tab w:val="left" w:pos="567"/>
        </w:tabs>
        <w:jc w:val="center"/>
        <w:rPr>
          <w:szCs w:val="22"/>
        </w:rPr>
      </w:pPr>
    </w:p>
    <w:p w14:paraId="20372F44" w14:textId="77777777" w:rsidR="00302C06" w:rsidRPr="005E49A1" w:rsidRDefault="00302C06" w:rsidP="00302C06">
      <w:pPr>
        <w:tabs>
          <w:tab w:val="left" w:pos="567"/>
        </w:tabs>
        <w:jc w:val="center"/>
        <w:rPr>
          <w:szCs w:val="22"/>
        </w:rPr>
      </w:pPr>
    </w:p>
    <w:p w14:paraId="001CF7A2" w14:textId="77777777" w:rsidR="00302C06" w:rsidRPr="005E49A1" w:rsidRDefault="00302C06" w:rsidP="00302C06">
      <w:pPr>
        <w:tabs>
          <w:tab w:val="left" w:pos="567"/>
        </w:tabs>
        <w:jc w:val="center"/>
        <w:rPr>
          <w:szCs w:val="22"/>
        </w:rPr>
      </w:pPr>
    </w:p>
    <w:p w14:paraId="7254B09B" w14:textId="77777777" w:rsidR="00302C06" w:rsidRPr="005E49A1" w:rsidRDefault="00302C06" w:rsidP="00302C06">
      <w:pPr>
        <w:tabs>
          <w:tab w:val="left" w:pos="567"/>
        </w:tabs>
        <w:jc w:val="center"/>
        <w:rPr>
          <w:szCs w:val="22"/>
        </w:rPr>
      </w:pPr>
    </w:p>
    <w:p w14:paraId="36081156" w14:textId="77777777" w:rsidR="00302C06" w:rsidRPr="005E49A1" w:rsidRDefault="00302C06" w:rsidP="00302C06">
      <w:pPr>
        <w:tabs>
          <w:tab w:val="left" w:pos="567"/>
        </w:tabs>
        <w:jc w:val="center"/>
        <w:rPr>
          <w:szCs w:val="22"/>
        </w:rPr>
      </w:pPr>
    </w:p>
    <w:p w14:paraId="6E8DEF2C" w14:textId="77777777" w:rsidR="00302C06" w:rsidRPr="005E49A1" w:rsidRDefault="00302C06" w:rsidP="00302C06">
      <w:pPr>
        <w:tabs>
          <w:tab w:val="left" w:pos="567"/>
        </w:tabs>
        <w:jc w:val="center"/>
        <w:rPr>
          <w:szCs w:val="22"/>
        </w:rPr>
      </w:pPr>
    </w:p>
    <w:p w14:paraId="561D7081" w14:textId="77777777" w:rsidR="00302C06" w:rsidRPr="005E49A1" w:rsidRDefault="00302C06" w:rsidP="00302C06">
      <w:pPr>
        <w:tabs>
          <w:tab w:val="left" w:pos="567"/>
        </w:tabs>
        <w:jc w:val="center"/>
        <w:rPr>
          <w:szCs w:val="22"/>
        </w:rPr>
      </w:pPr>
    </w:p>
    <w:p w14:paraId="4271F914" w14:textId="77777777" w:rsidR="00302C06" w:rsidRPr="005E49A1" w:rsidRDefault="00302C06" w:rsidP="00302C06">
      <w:pPr>
        <w:tabs>
          <w:tab w:val="left" w:pos="567"/>
        </w:tabs>
        <w:jc w:val="center"/>
        <w:rPr>
          <w:szCs w:val="22"/>
        </w:rPr>
      </w:pPr>
    </w:p>
    <w:p w14:paraId="296D438B" w14:textId="77777777" w:rsidR="00302C06" w:rsidRPr="005E49A1" w:rsidRDefault="00302C06" w:rsidP="00302C06">
      <w:pPr>
        <w:tabs>
          <w:tab w:val="left" w:pos="567"/>
        </w:tabs>
        <w:jc w:val="center"/>
        <w:rPr>
          <w:szCs w:val="22"/>
        </w:rPr>
      </w:pPr>
    </w:p>
    <w:p w14:paraId="5FC4E5B7" w14:textId="77777777" w:rsidR="00302C06" w:rsidRPr="005E49A1" w:rsidRDefault="00302C06" w:rsidP="00302C06">
      <w:pPr>
        <w:tabs>
          <w:tab w:val="left" w:pos="567"/>
        </w:tabs>
        <w:jc w:val="center"/>
        <w:rPr>
          <w:szCs w:val="22"/>
        </w:rPr>
      </w:pPr>
    </w:p>
    <w:p w14:paraId="1FAD7C7E" w14:textId="77777777" w:rsidR="00302C06" w:rsidRPr="005E49A1" w:rsidRDefault="00302C06" w:rsidP="00302C06">
      <w:pPr>
        <w:tabs>
          <w:tab w:val="left" w:pos="567"/>
        </w:tabs>
        <w:jc w:val="center"/>
        <w:rPr>
          <w:szCs w:val="22"/>
        </w:rPr>
      </w:pPr>
    </w:p>
    <w:p w14:paraId="5D8DAD89" w14:textId="77777777" w:rsidR="00302C06" w:rsidRPr="005E49A1" w:rsidRDefault="00302C06" w:rsidP="00302C06">
      <w:pPr>
        <w:tabs>
          <w:tab w:val="left" w:pos="567"/>
        </w:tabs>
        <w:jc w:val="center"/>
        <w:rPr>
          <w:szCs w:val="22"/>
        </w:rPr>
      </w:pPr>
    </w:p>
    <w:p w14:paraId="1F4750B7" w14:textId="77777777" w:rsidR="00302C06" w:rsidRPr="005E49A1" w:rsidRDefault="00302C06" w:rsidP="00302C06">
      <w:pPr>
        <w:tabs>
          <w:tab w:val="left" w:pos="567"/>
        </w:tabs>
        <w:jc w:val="center"/>
        <w:rPr>
          <w:szCs w:val="22"/>
        </w:rPr>
      </w:pPr>
    </w:p>
    <w:p w14:paraId="0DF03E32" w14:textId="77777777" w:rsidR="00302C06" w:rsidRPr="005E49A1" w:rsidRDefault="00302C06" w:rsidP="00302C06">
      <w:pPr>
        <w:tabs>
          <w:tab w:val="left" w:pos="567"/>
        </w:tabs>
        <w:jc w:val="center"/>
        <w:rPr>
          <w:szCs w:val="22"/>
        </w:rPr>
      </w:pPr>
    </w:p>
    <w:p w14:paraId="548EC31A" w14:textId="77777777" w:rsidR="00302C06" w:rsidRPr="005E49A1" w:rsidRDefault="00302C06" w:rsidP="00302C06">
      <w:pPr>
        <w:tabs>
          <w:tab w:val="left" w:pos="567"/>
        </w:tabs>
        <w:jc w:val="center"/>
        <w:rPr>
          <w:szCs w:val="22"/>
        </w:rPr>
      </w:pPr>
    </w:p>
    <w:p w14:paraId="03DFAC78" w14:textId="77777777" w:rsidR="00302C06" w:rsidRPr="005E49A1" w:rsidRDefault="00302C06" w:rsidP="00302C06">
      <w:pPr>
        <w:tabs>
          <w:tab w:val="left" w:pos="567"/>
        </w:tabs>
        <w:jc w:val="center"/>
        <w:rPr>
          <w:szCs w:val="22"/>
        </w:rPr>
      </w:pPr>
    </w:p>
    <w:p w14:paraId="36E819E9" w14:textId="77777777" w:rsidR="00302C06" w:rsidRPr="005E49A1" w:rsidRDefault="00302C06" w:rsidP="00302C06">
      <w:pPr>
        <w:pStyle w:val="BTEMEASMCA"/>
      </w:pPr>
    </w:p>
    <w:p w14:paraId="0136E0D5" w14:textId="77777777" w:rsidR="00302C06" w:rsidRDefault="00302C06" w:rsidP="00302C06">
      <w:pPr>
        <w:pStyle w:val="TTEMEASMCA"/>
        <w:ind w:left="0" w:firstLine="0"/>
        <w:rPr>
          <w:lang w:val="lt-LT"/>
        </w:rPr>
      </w:pPr>
      <w:bookmarkStart w:id="9" w:name="_Toc129243135"/>
      <w:bookmarkStart w:id="10" w:name="_Toc129243260"/>
    </w:p>
    <w:p w14:paraId="315BEF0C" w14:textId="77777777" w:rsidR="00302C06" w:rsidRPr="005E49A1" w:rsidRDefault="00302C06" w:rsidP="00302C06">
      <w:pPr>
        <w:pStyle w:val="TTEMEASMCA"/>
        <w:ind w:left="0" w:firstLine="0"/>
        <w:rPr>
          <w:lang w:val="lt-LT"/>
        </w:rPr>
      </w:pPr>
      <w:r w:rsidRPr="005E49A1">
        <w:rPr>
          <w:lang w:val="lt-LT"/>
        </w:rPr>
        <w:t xml:space="preserve">A. ŽENKLINIMAS </w:t>
      </w:r>
      <w:bookmarkEnd w:id="9"/>
      <w:bookmarkEnd w:id="10"/>
    </w:p>
    <w:p w14:paraId="2EEE6485" w14:textId="77777777" w:rsidR="00302C06" w:rsidRPr="005E49A1" w:rsidRDefault="00302C06" w:rsidP="00302C06">
      <w:pPr>
        <w:pStyle w:val="PI-1labEMEASMCA"/>
        <w:tabs>
          <w:tab w:val="left" w:pos="567"/>
        </w:tabs>
      </w:pPr>
      <w:r w:rsidRPr="005E49A1">
        <w:br w:type="page"/>
      </w:r>
      <w:r w:rsidRPr="005E49A1">
        <w:lastRenderedPageBreak/>
        <w:t>INFORMACIJA ANT IŠORINĖS PAKUOTĖS</w:t>
      </w:r>
    </w:p>
    <w:p w14:paraId="0A931A66" w14:textId="77777777" w:rsidR="00302C06" w:rsidRPr="005E49A1" w:rsidRDefault="00302C06" w:rsidP="00302C06">
      <w:pPr>
        <w:pStyle w:val="PI-1labEMEASMCA"/>
        <w:tabs>
          <w:tab w:val="left" w:pos="567"/>
        </w:tabs>
      </w:pPr>
    </w:p>
    <w:p w14:paraId="48686F3E" w14:textId="77777777" w:rsidR="00302C06" w:rsidRPr="005E49A1" w:rsidRDefault="00302C06" w:rsidP="00302C06">
      <w:pPr>
        <w:pStyle w:val="PI-1labEMEASMCA"/>
        <w:tabs>
          <w:tab w:val="left" w:pos="567"/>
        </w:tabs>
        <w:rPr>
          <w:bCs/>
          <w:caps/>
        </w:rPr>
      </w:pPr>
      <w:r w:rsidRPr="005E49A1">
        <w:rPr>
          <w:bCs/>
          <w:caps/>
        </w:rPr>
        <w:t>Kartono dėžutė</w:t>
      </w:r>
    </w:p>
    <w:p w14:paraId="698077D9" w14:textId="77777777" w:rsidR="00302C06" w:rsidRPr="005E49A1" w:rsidRDefault="00302C06" w:rsidP="00302C06">
      <w:pPr>
        <w:pStyle w:val="BTEMEASMCA"/>
      </w:pPr>
    </w:p>
    <w:p w14:paraId="0082AB95" w14:textId="77777777" w:rsidR="00302C06" w:rsidRPr="005E49A1" w:rsidRDefault="00302C06" w:rsidP="00302C06">
      <w:pPr>
        <w:pStyle w:val="BTEMEASMCA"/>
      </w:pPr>
    </w:p>
    <w:p w14:paraId="2FFD2E40" w14:textId="77777777" w:rsidR="00302C06" w:rsidRPr="005E49A1" w:rsidRDefault="00302C06" w:rsidP="00302C06">
      <w:pPr>
        <w:pStyle w:val="PI-1labEMEASMCA"/>
        <w:tabs>
          <w:tab w:val="left" w:pos="567"/>
        </w:tabs>
      </w:pPr>
      <w:r w:rsidRPr="005E49A1">
        <w:t>1.</w:t>
      </w:r>
      <w:r w:rsidRPr="005E49A1">
        <w:tab/>
        <w:t>VAISTINIO PREPARATO PAVADINIMAS</w:t>
      </w:r>
    </w:p>
    <w:p w14:paraId="1EE40CCB" w14:textId="77777777" w:rsidR="00302C06" w:rsidRPr="005E49A1" w:rsidRDefault="00302C06" w:rsidP="00302C06">
      <w:pPr>
        <w:pStyle w:val="BTEMEASMCA"/>
      </w:pPr>
    </w:p>
    <w:p w14:paraId="2DCB87EC" w14:textId="77777777" w:rsidR="00302C06" w:rsidRPr="005E49A1" w:rsidRDefault="00302C06" w:rsidP="00302C06">
      <w:pPr>
        <w:tabs>
          <w:tab w:val="left" w:pos="567"/>
          <w:tab w:val="left" w:pos="1800"/>
        </w:tabs>
        <w:rPr>
          <w:szCs w:val="22"/>
        </w:rPr>
      </w:pPr>
      <w:r w:rsidRPr="005E49A1">
        <w:rPr>
          <w:szCs w:val="22"/>
        </w:rPr>
        <w:t xml:space="preserve">BAXOGAR 150 mg </w:t>
      </w:r>
      <w:r w:rsidRPr="005E49A1">
        <w:rPr>
          <w:noProof/>
          <w:szCs w:val="22"/>
        </w:rPr>
        <w:t>plėvele</w:t>
      </w:r>
      <w:r w:rsidRPr="005E49A1">
        <w:rPr>
          <w:szCs w:val="22"/>
        </w:rPr>
        <w:t xml:space="preserve"> dengtos tabletės</w:t>
      </w:r>
    </w:p>
    <w:p w14:paraId="742A4575" w14:textId="77777777" w:rsidR="00302C06" w:rsidRPr="00444E1A" w:rsidRDefault="00302C06" w:rsidP="00302C06">
      <w:pPr>
        <w:tabs>
          <w:tab w:val="left" w:pos="425"/>
          <w:tab w:val="left" w:pos="567"/>
        </w:tabs>
        <w:rPr>
          <w:bCs/>
          <w:noProof/>
          <w:color w:val="000000"/>
          <w:spacing w:val="2"/>
          <w:szCs w:val="22"/>
        </w:rPr>
      </w:pPr>
      <w:r w:rsidRPr="00444E1A">
        <w:rPr>
          <w:bCs/>
          <w:noProof/>
          <w:color w:val="000000"/>
          <w:spacing w:val="2"/>
          <w:szCs w:val="22"/>
        </w:rPr>
        <w:t>Acidum ibandronicum</w:t>
      </w:r>
    </w:p>
    <w:p w14:paraId="14B77E19" w14:textId="77777777" w:rsidR="00302C06" w:rsidRPr="005E49A1" w:rsidRDefault="00302C06" w:rsidP="00302C06">
      <w:pPr>
        <w:pStyle w:val="BTEMEASMCA"/>
      </w:pPr>
    </w:p>
    <w:p w14:paraId="5E6D4631" w14:textId="77777777" w:rsidR="00302C06" w:rsidRPr="005E49A1" w:rsidRDefault="00302C06" w:rsidP="00302C06">
      <w:pPr>
        <w:pStyle w:val="BTEMEASMCA"/>
      </w:pPr>
    </w:p>
    <w:p w14:paraId="212AC016" w14:textId="77777777" w:rsidR="00302C06" w:rsidRPr="005E49A1" w:rsidRDefault="00302C06" w:rsidP="00302C06">
      <w:pPr>
        <w:pStyle w:val="PI-1labEMEASMCA"/>
        <w:tabs>
          <w:tab w:val="left" w:pos="567"/>
        </w:tabs>
      </w:pPr>
      <w:r w:rsidRPr="005E49A1">
        <w:t>2.</w:t>
      </w:r>
      <w:r w:rsidRPr="005E49A1">
        <w:tab/>
      </w:r>
      <w:r w:rsidRPr="002311B8">
        <w:t>VEIKLIOJI (-IOS) MEDŽIAGA (-OS) IR JOS (-Ų) KIEKIS (-IAI)</w:t>
      </w:r>
    </w:p>
    <w:p w14:paraId="0017D042" w14:textId="77777777" w:rsidR="00302C06" w:rsidRPr="005E49A1" w:rsidRDefault="00302C06" w:rsidP="00302C06">
      <w:pPr>
        <w:pStyle w:val="BTEMEASMCA"/>
      </w:pPr>
    </w:p>
    <w:p w14:paraId="2C9D134C" w14:textId="77777777" w:rsidR="00302C06" w:rsidRPr="00444E1A" w:rsidRDefault="00302C06" w:rsidP="00302C06">
      <w:pPr>
        <w:tabs>
          <w:tab w:val="left" w:pos="567"/>
        </w:tabs>
        <w:autoSpaceDE w:val="0"/>
        <w:autoSpaceDN w:val="0"/>
        <w:adjustRightInd w:val="0"/>
        <w:rPr>
          <w:szCs w:val="22"/>
          <w:lang w:eastAsia="hu-HU"/>
        </w:rPr>
      </w:pPr>
      <w:r w:rsidRPr="00444E1A">
        <w:rPr>
          <w:szCs w:val="22"/>
          <w:lang w:eastAsia="hu-HU"/>
        </w:rPr>
        <w:t xml:space="preserve">Kiekvienoje plėvele dengtoje tabletėje yra 150 mg ibandrono rūgšties (natrio druskos monohidrato pavidalu). </w:t>
      </w:r>
    </w:p>
    <w:p w14:paraId="20FA219B" w14:textId="77777777" w:rsidR="00302C06" w:rsidRPr="00444E1A" w:rsidRDefault="00302C06" w:rsidP="00302C06">
      <w:pPr>
        <w:pStyle w:val="BTEMEASMCA"/>
      </w:pPr>
    </w:p>
    <w:p w14:paraId="36E7F400" w14:textId="77777777" w:rsidR="00302C06" w:rsidRPr="005E49A1" w:rsidRDefault="00302C06" w:rsidP="00302C06">
      <w:pPr>
        <w:pStyle w:val="BTEMEASMCA"/>
      </w:pPr>
    </w:p>
    <w:p w14:paraId="7B8882C8" w14:textId="77777777" w:rsidR="00302C06" w:rsidRPr="005E49A1" w:rsidRDefault="00302C06" w:rsidP="00302C06">
      <w:pPr>
        <w:pStyle w:val="PI-1labEMEASMCA"/>
        <w:tabs>
          <w:tab w:val="left" w:pos="567"/>
        </w:tabs>
        <w:rPr>
          <w:highlight w:val="lightGray"/>
        </w:rPr>
      </w:pPr>
      <w:r w:rsidRPr="005E49A1">
        <w:t>3.</w:t>
      </w:r>
      <w:r w:rsidRPr="005E49A1">
        <w:tab/>
        <w:t>PAGALBINIŲ MEDŽIAGŲ SĄRAŠAS</w:t>
      </w:r>
    </w:p>
    <w:p w14:paraId="3F0E2A3E" w14:textId="77777777" w:rsidR="00302C06" w:rsidRPr="005E49A1" w:rsidRDefault="00302C06" w:rsidP="00302C06">
      <w:pPr>
        <w:pStyle w:val="BTEMEASMCA"/>
      </w:pPr>
    </w:p>
    <w:p w14:paraId="1D776278" w14:textId="38B66B9C" w:rsidR="00302C06" w:rsidRPr="005E49A1" w:rsidRDefault="00302C06" w:rsidP="00302C06">
      <w:pPr>
        <w:pStyle w:val="BTEMEASMCA"/>
      </w:pPr>
      <w:r w:rsidRPr="005E49A1">
        <w:t>Sudėtyje</w:t>
      </w:r>
      <w:r w:rsidR="00400D61">
        <w:t xml:space="preserve"> </w:t>
      </w:r>
      <w:r w:rsidRPr="005E49A1">
        <w:t>yra laktozės</w:t>
      </w:r>
      <w:r w:rsidR="00400D61">
        <w:t>.</w:t>
      </w:r>
    </w:p>
    <w:p w14:paraId="08095630" w14:textId="77777777" w:rsidR="00302C06" w:rsidRPr="005E49A1" w:rsidRDefault="00302C06" w:rsidP="00302C06">
      <w:pPr>
        <w:pStyle w:val="BTEMEASMCA"/>
      </w:pPr>
    </w:p>
    <w:p w14:paraId="693C1294" w14:textId="77777777" w:rsidR="00302C06" w:rsidRPr="005E49A1" w:rsidRDefault="00302C06" w:rsidP="00302C06">
      <w:pPr>
        <w:pStyle w:val="BTEMEASMCA"/>
      </w:pPr>
    </w:p>
    <w:p w14:paraId="40A198DF" w14:textId="77777777" w:rsidR="00302C06" w:rsidRPr="005E49A1" w:rsidRDefault="00302C06" w:rsidP="00302C06">
      <w:pPr>
        <w:pStyle w:val="PI-1labEMEASMCA"/>
        <w:tabs>
          <w:tab w:val="left" w:pos="567"/>
        </w:tabs>
      </w:pPr>
      <w:r w:rsidRPr="005E49A1">
        <w:t>4.</w:t>
      </w:r>
      <w:r w:rsidRPr="005E49A1">
        <w:tab/>
        <w:t>FARMACINĖ FORMA IR KIEKIS PAKUOTĖJE</w:t>
      </w:r>
    </w:p>
    <w:p w14:paraId="12728C70" w14:textId="77777777" w:rsidR="00302C06" w:rsidRPr="005E49A1" w:rsidRDefault="00302C06" w:rsidP="00302C06">
      <w:pPr>
        <w:pStyle w:val="BTEMEASMCA"/>
      </w:pPr>
    </w:p>
    <w:p w14:paraId="4F826DF7" w14:textId="77777777" w:rsidR="00302C06" w:rsidRPr="005E49A1" w:rsidRDefault="00302C06" w:rsidP="00302C06">
      <w:pPr>
        <w:pStyle w:val="BTEMEASMCA"/>
      </w:pPr>
      <w:r w:rsidRPr="0022545A">
        <w:rPr>
          <w:highlight w:val="lightGray"/>
        </w:rPr>
        <w:t>Plėvele dengta tabletė.</w:t>
      </w:r>
    </w:p>
    <w:p w14:paraId="59C18F4B" w14:textId="77777777" w:rsidR="00302C06" w:rsidRPr="005E49A1" w:rsidRDefault="00302C06" w:rsidP="00302C06">
      <w:pPr>
        <w:pStyle w:val="BTEMEASMCA"/>
      </w:pPr>
    </w:p>
    <w:p w14:paraId="71A32608" w14:textId="77777777" w:rsidR="00302C06" w:rsidRPr="005E49A1" w:rsidRDefault="00302C06" w:rsidP="00302C06">
      <w:pPr>
        <w:pStyle w:val="BTEMEASMCA"/>
      </w:pPr>
      <w:r w:rsidRPr="005E49A1">
        <w:t>1 plėvele dengta tabletė</w:t>
      </w:r>
    </w:p>
    <w:p w14:paraId="1AF6EF6E" w14:textId="77777777" w:rsidR="00302C06" w:rsidRPr="005E49A1" w:rsidRDefault="00302C06" w:rsidP="00302C06">
      <w:pPr>
        <w:pStyle w:val="BTEMEASMCA"/>
      </w:pPr>
      <w:r w:rsidRPr="005E49A1">
        <w:rPr>
          <w:highlight w:val="lightGray"/>
        </w:rPr>
        <w:t>3 plėvele dengtos tabletės</w:t>
      </w:r>
    </w:p>
    <w:p w14:paraId="0E4BFF71" w14:textId="77777777" w:rsidR="00302C06" w:rsidRPr="005E49A1" w:rsidRDefault="00302C06" w:rsidP="00302C06">
      <w:pPr>
        <w:pStyle w:val="BTEMEASMCA"/>
      </w:pPr>
    </w:p>
    <w:p w14:paraId="14935989" w14:textId="77777777" w:rsidR="00302C06" w:rsidRPr="005E49A1" w:rsidRDefault="00302C06" w:rsidP="00302C06">
      <w:pPr>
        <w:pStyle w:val="BTEMEASMCA"/>
      </w:pPr>
    </w:p>
    <w:p w14:paraId="73DE9B2F" w14:textId="77777777" w:rsidR="00302C06" w:rsidRPr="005E49A1" w:rsidRDefault="00302C06" w:rsidP="00302C06">
      <w:pPr>
        <w:pStyle w:val="PI-1labEMEASMCA"/>
        <w:tabs>
          <w:tab w:val="left" w:pos="567"/>
        </w:tabs>
        <w:rPr>
          <w:highlight w:val="lightGray"/>
        </w:rPr>
      </w:pPr>
      <w:r w:rsidRPr="005E49A1">
        <w:t>5.</w:t>
      </w:r>
      <w:r w:rsidRPr="005E49A1">
        <w:tab/>
        <w:t>VARTOJIMO METODAS IR BŪDAS (-AI)</w:t>
      </w:r>
    </w:p>
    <w:p w14:paraId="3DF43FAD" w14:textId="77777777" w:rsidR="00302C06" w:rsidRPr="005E49A1" w:rsidRDefault="00302C06" w:rsidP="00302C06">
      <w:pPr>
        <w:pStyle w:val="BTEMEASMCA"/>
      </w:pPr>
    </w:p>
    <w:p w14:paraId="343040A4" w14:textId="77777777" w:rsidR="001A391E" w:rsidRPr="005E49A1" w:rsidRDefault="001A391E" w:rsidP="001A391E">
      <w:pPr>
        <w:tabs>
          <w:tab w:val="left" w:pos="567"/>
        </w:tabs>
        <w:rPr>
          <w:szCs w:val="22"/>
        </w:rPr>
      </w:pPr>
      <w:r w:rsidRPr="005E49A1">
        <w:rPr>
          <w:szCs w:val="22"/>
        </w:rPr>
        <w:t>Kartą per mėnesį vartojama tabletė.</w:t>
      </w:r>
    </w:p>
    <w:p w14:paraId="5E3BB560" w14:textId="60B095AB" w:rsidR="00302C06" w:rsidRPr="005E49A1" w:rsidRDefault="00302C06" w:rsidP="00302C06">
      <w:r w:rsidRPr="005E49A1">
        <w:t>Nečiulpkite, nekramtykite ar nesmulkinkite tablečių</w:t>
      </w:r>
      <w:r w:rsidR="001A391E">
        <w:t>.</w:t>
      </w:r>
    </w:p>
    <w:p w14:paraId="33AA0270" w14:textId="77777777" w:rsidR="00302C06" w:rsidRPr="005E49A1" w:rsidRDefault="00302C06" w:rsidP="00302C06">
      <w:pPr>
        <w:pStyle w:val="BTEMEASMCA"/>
      </w:pPr>
      <w:r w:rsidRPr="005E49A1">
        <w:t>Prieš vartojimą perskaitykite pakuotės lapelį.</w:t>
      </w:r>
    </w:p>
    <w:p w14:paraId="6879EBAB" w14:textId="77777777" w:rsidR="00302C06" w:rsidRPr="005E49A1" w:rsidRDefault="00302C06" w:rsidP="00302C06">
      <w:pPr>
        <w:tabs>
          <w:tab w:val="left" w:pos="567"/>
        </w:tabs>
        <w:rPr>
          <w:szCs w:val="22"/>
        </w:rPr>
      </w:pPr>
      <w:r w:rsidRPr="005E49A1">
        <w:rPr>
          <w:szCs w:val="22"/>
        </w:rPr>
        <w:t>Vartoti per burną.</w:t>
      </w:r>
    </w:p>
    <w:p w14:paraId="2852E4F3" w14:textId="77777777" w:rsidR="00302C06" w:rsidRPr="005E49A1" w:rsidRDefault="00302C06" w:rsidP="00302C06">
      <w:pPr>
        <w:pStyle w:val="BTEMEASMCA"/>
      </w:pPr>
    </w:p>
    <w:p w14:paraId="0F26125A" w14:textId="77777777" w:rsidR="00302C06" w:rsidRPr="005E49A1" w:rsidRDefault="00302C06" w:rsidP="00302C06">
      <w:pPr>
        <w:pStyle w:val="BTEMEASMCA"/>
      </w:pPr>
    </w:p>
    <w:p w14:paraId="429AB287" w14:textId="77777777" w:rsidR="00302C06" w:rsidRPr="005E49A1" w:rsidRDefault="00302C06" w:rsidP="00302C06">
      <w:pPr>
        <w:pStyle w:val="PI-1labEMEASMCA"/>
        <w:tabs>
          <w:tab w:val="left" w:pos="567"/>
        </w:tabs>
      </w:pPr>
      <w:r w:rsidRPr="005E49A1">
        <w:t>6.</w:t>
      </w:r>
      <w:r w:rsidRPr="005E49A1">
        <w:tab/>
        <w:t>SPECIALUS ĮSPĖJIMAS, KAD VAISTINĮ PREPARATĄ BŪTINA LAIKYTI VAIKAMS NEPASTEBIMOJE IR NEPASIEKIAMOJE VIETOJE</w:t>
      </w:r>
    </w:p>
    <w:p w14:paraId="43BFC8D9" w14:textId="77777777" w:rsidR="00302C06" w:rsidRPr="005E49A1" w:rsidRDefault="00302C06" w:rsidP="00302C06">
      <w:pPr>
        <w:pStyle w:val="BTEMEASMCA"/>
      </w:pPr>
    </w:p>
    <w:p w14:paraId="2F890493" w14:textId="77777777" w:rsidR="00302C06" w:rsidRPr="005E49A1" w:rsidRDefault="00302C06" w:rsidP="00302C06">
      <w:pPr>
        <w:pStyle w:val="BTEMEASMCA"/>
      </w:pPr>
      <w:r w:rsidRPr="005E49A1">
        <w:t>Laikyti vaikams nepastebimoje ir nepasiekiamoje vietoje.</w:t>
      </w:r>
    </w:p>
    <w:p w14:paraId="368149C7" w14:textId="77777777" w:rsidR="00302C06" w:rsidRPr="005E49A1" w:rsidRDefault="00302C06" w:rsidP="00302C06">
      <w:pPr>
        <w:pStyle w:val="BTEMEASMCA"/>
      </w:pPr>
    </w:p>
    <w:p w14:paraId="18F830FC" w14:textId="77777777" w:rsidR="00302C06" w:rsidRPr="005E49A1" w:rsidRDefault="00302C06" w:rsidP="00302C06">
      <w:pPr>
        <w:pStyle w:val="BTEMEASMCA"/>
      </w:pPr>
    </w:p>
    <w:p w14:paraId="047BF749" w14:textId="77777777" w:rsidR="00302C06" w:rsidRPr="005E49A1" w:rsidRDefault="00302C06" w:rsidP="00302C06">
      <w:pPr>
        <w:pStyle w:val="PI-1labEMEASMCA"/>
        <w:tabs>
          <w:tab w:val="left" w:pos="567"/>
        </w:tabs>
        <w:rPr>
          <w:highlight w:val="lightGray"/>
        </w:rPr>
      </w:pPr>
      <w:r w:rsidRPr="005E49A1">
        <w:t>7.</w:t>
      </w:r>
      <w:r w:rsidRPr="005E49A1">
        <w:tab/>
        <w:t>KITAS (-I) SPECIALUS (-ŪS) ĮSPĖJIMAS (-AI) (JEI REIKIA)</w:t>
      </w:r>
    </w:p>
    <w:p w14:paraId="22CA66CA" w14:textId="77777777" w:rsidR="00302C06" w:rsidRPr="005E49A1" w:rsidRDefault="00302C06" w:rsidP="00302C06">
      <w:pPr>
        <w:pStyle w:val="BTEMEASMCA"/>
      </w:pPr>
    </w:p>
    <w:p w14:paraId="49D620DC" w14:textId="77777777" w:rsidR="00302C06" w:rsidRPr="005E49A1" w:rsidRDefault="00302C06" w:rsidP="00302C06">
      <w:pPr>
        <w:pStyle w:val="BTEMEASMCA"/>
      </w:pPr>
    </w:p>
    <w:p w14:paraId="36B76AB8" w14:textId="77777777" w:rsidR="00302C06" w:rsidRPr="005E49A1" w:rsidRDefault="00302C06" w:rsidP="00302C06">
      <w:pPr>
        <w:pStyle w:val="PI-1labEMEASMCA"/>
        <w:tabs>
          <w:tab w:val="left" w:pos="567"/>
        </w:tabs>
        <w:rPr>
          <w:highlight w:val="lightGray"/>
        </w:rPr>
      </w:pPr>
      <w:r w:rsidRPr="005E49A1">
        <w:t>8.</w:t>
      </w:r>
      <w:r w:rsidRPr="005E49A1">
        <w:tab/>
        <w:t>TINKAMUMO LAIKAS</w:t>
      </w:r>
    </w:p>
    <w:p w14:paraId="3585E3AB" w14:textId="77777777" w:rsidR="00302C06" w:rsidRPr="005E49A1" w:rsidRDefault="00302C06" w:rsidP="00302C06">
      <w:pPr>
        <w:pStyle w:val="BTEMEASMCA"/>
      </w:pPr>
    </w:p>
    <w:p w14:paraId="6C7BF441" w14:textId="77777777" w:rsidR="00302C06" w:rsidRPr="005E49A1" w:rsidRDefault="00302C06" w:rsidP="00302C06">
      <w:pPr>
        <w:tabs>
          <w:tab w:val="left" w:pos="567"/>
        </w:tabs>
        <w:rPr>
          <w:szCs w:val="22"/>
        </w:rPr>
      </w:pPr>
      <w:r>
        <w:rPr>
          <w:szCs w:val="22"/>
        </w:rPr>
        <w:t>EXP</w:t>
      </w:r>
      <w:r w:rsidRPr="005E49A1">
        <w:rPr>
          <w:szCs w:val="22"/>
        </w:rPr>
        <w:t xml:space="preserve"> {mm/MMMM}</w:t>
      </w:r>
    </w:p>
    <w:p w14:paraId="6A565959" w14:textId="77777777" w:rsidR="00302C06" w:rsidRPr="005E49A1" w:rsidRDefault="00302C06" w:rsidP="00302C06">
      <w:pPr>
        <w:tabs>
          <w:tab w:val="left" w:pos="567"/>
        </w:tabs>
        <w:rPr>
          <w:szCs w:val="22"/>
        </w:rPr>
      </w:pPr>
    </w:p>
    <w:p w14:paraId="0DAE8F5D" w14:textId="77777777" w:rsidR="00302C06" w:rsidRPr="005E49A1" w:rsidRDefault="00302C06" w:rsidP="00302C06">
      <w:pPr>
        <w:pStyle w:val="BTEMEASMCA"/>
      </w:pPr>
    </w:p>
    <w:p w14:paraId="7CBEA911" w14:textId="77777777" w:rsidR="00302C06" w:rsidRPr="005E49A1" w:rsidRDefault="00302C06" w:rsidP="00302C06">
      <w:pPr>
        <w:pStyle w:val="PI-1labEMEASMCA"/>
        <w:tabs>
          <w:tab w:val="left" w:pos="567"/>
        </w:tabs>
      </w:pPr>
      <w:r w:rsidRPr="005E49A1">
        <w:t>9.</w:t>
      </w:r>
      <w:r w:rsidRPr="005E49A1">
        <w:tab/>
        <w:t>SPECIALIOS LAIKYMO SĄLYGOS</w:t>
      </w:r>
    </w:p>
    <w:p w14:paraId="3968D98D" w14:textId="77777777" w:rsidR="00302C06" w:rsidRPr="005E49A1" w:rsidRDefault="00302C06" w:rsidP="00302C06">
      <w:pPr>
        <w:pStyle w:val="BTEMEASMCA"/>
      </w:pPr>
    </w:p>
    <w:p w14:paraId="066ED11D" w14:textId="77777777" w:rsidR="00302C06" w:rsidRPr="005E49A1" w:rsidRDefault="00302C06" w:rsidP="00302C06">
      <w:pPr>
        <w:pStyle w:val="BTEMEASMCA"/>
      </w:pPr>
    </w:p>
    <w:p w14:paraId="645905AC" w14:textId="77777777" w:rsidR="00302C06" w:rsidRPr="005E49A1" w:rsidRDefault="00302C06" w:rsidP="00302C06">
      <w:pPr>
        <w:pStyle w:val="PI-1labEMEASMCA"/>
        <w:tabs>
          <w:tab w:val="left" w:pos="567"/>
        </w:tabs>
      </w:pPr>
      <w:r w:rsidRPr="005E49A1">
        <w:lastRenderedPageBreak/>
        <w:t>10.</w:t>
      </w:r>
      <w:r w:rsidRPr="005E49A1">
        <w:tab/>
        <w:t xml:space="preserve">SPECIALIOS ATSARGUMO PRIEMONĖS DĖL NESUVARTOTO </w:t>
      </w:r>
      <w:r w:rsidRPr="005E49A1">
        <w:rPr>
          <w:bCs/>
        </w:rPr>
        <w:t xml:space="preserve">VAISTINIO PREPARATO AR JO ATLIEKŲ </w:t>
      </w:r>
      <w:r w:rsidRPr="005E49A1">
        <w:t>TVARKYMO (JEI REIKIA)</w:t>
      </w:r>
    </w:p>
    <w:p w14:paraId="463B83E8" w14:textId="77777777" w:rsidR="00302C06" w:rsidRPr="005E49A1" w:rsidRDefault="00302C06" w:rsidP="00302C06">
      <w:pPr>
        <w:pStyle w:val="BTEMEASMCA"/>
      </w:pPr>
    </w:p>
    <w:p w14:paraId="74402EC0" w14:textId="77777777" w:rsidR="00302C06" w:rsidRPr="005E49A1" w:rsidRDefault="00302C06" w:rsidP="00302C06">
      <w:pPr>
        <w:pStyle w:val="BTEMEASMCA"/>
      </w:pPr>
    </w:p>
    <w:p w14:paraId="5D4E62ED" w14:textId="77777777" w:rsidR="00302C06" w:rsidRPr="005E49A1" w:rsidRDefault="00302C06" w:rsidP="00302C06">
      <w:pPr>
        <w:pStyle w:val="PI-1labEMEASMCA"/>
        <w:tabs>
          <w:tab w:val="left" w:pos="567"/>
        </w:tabs>
      </w:pPr>
      <w:r w:rsidRPr="005E49A1">
        <w:t>11.</w:t>
      </w:r>
      <w:r w:rsidRPr="005E49A1">
        <w:tab/>
        <w:t>REGISTRUOTOJO PAVADINIMAS IR ADRESAS</w:t>
      </w:r>
    </w:p>
    <w:p w14:paraId="2335FC96" w14:textId="77777777" w:rsidR="00302C06" w:rsidRPr="005E49A1" w:rsidRDefault="00302C06" w:rsidP="00302C06">
      <w:pPr>
        <w:pStyle w:val="BTEMEASMCA"/>
      </w:pPr>
    </w:p>
    <w:p w14:paraId="4A73C6D4" w14:textId="77777777" w:rsidR="00AC765C" w:rsidRPr="00AC765C" w:rsidRDefault="00AC765C" w:rsidP="00AC765C">
      <w:pPr>
        <w:rPr>
          <w:iCs/>
          <w:szCs w:val="22"/>
        </w:rPr>
      </w:pPr>
      <w:r w:rsidRPr="00AC765C">
        <w:rPr>
          <w:iCs/>
          <w:szCs w:val="22"/>
        </w:rPr>
        <w:t>Zentiva, k.s.</w:t>
      </w:r>
    </w:p>
    <w:p w14:paraId="569F9FBC" w14:textId="77777777" w:rsidR="00AC765C" w:rsidRPr="00AC765C" w:rsidRDefault="00AC765C" w:rsidP="00AC765C">
      <w:pPr>
        <w:rPr>
          <w:iCs/>
          <w:szCs w:val="22"/>
        </w:rPr>
      </w:pPr>
      <w:r w:rsidRPr="00AC765C">
        <w:rPr>
          <w:iCs/>
          <w:szCs w:val="22"/>
        </w:rPr>
        <w:t>U kabelovny 130</w:t>
      </w:r>
    </w:p>
    <w:p w14:paraId="44BFDEA4" w14:textId="77777777" w:rsidR="00AC765C" w:rsidRPr="00AC765C" w:rsidRDefault="00AC765C" w:rsidP="00AC765C">
      <w:pPr>
        <w:rPr>
          <w:iCs/>
          <w:szCs w:val="22"/>
        </w:rPr>
      </w:pPr>
      <w:r w:rsidRPr="00AC765C">
        <w:rPr>
          <w:iCs/>
          <w:szCs w:val="22"/>
        </w:rPr>
        <w:t>Dolní Měcholupy</w:t>
      </w:r>
    </w:p>
    <w:p w14:paraId="0FCD1046" w14:textId="77777777" w:rsidR="00AC765C" w:rsidRPr="00AC765C" w:rsidRDefault="00AC765C" w:rsidP="00AC765C">
      <w:pPr>
        <w:rPr>
          <w:iCs/>
          <w:szCs w:val="22"/>
        </w:rPr>
      </w:pPr>
      <w:r w:rsidRPr="00AC765C">
        <w:rPr>
          <w:iCs/>
          <w:szCs w:val="22"/>
        </w:rPr>
        <w:t>102 37 Praha 10</w:t>
      </w:r>
    </w:p>
    <w:p w14:paraId="48F606F9" w14:textId="77777777" w:rsidR="00AC765C" w:rsidRPr="00AC765C" w:rsidRDefault="00AC765C" w:rsidP="00AC765C">
      <w:pPr>
        <w:rPr>
          <w:iCs/>
          <w:szCs w:val="22"/>
        </w:rPr>
      </w:pPr>
      <w:r w:rsidRPr="00AC765C">
        <w:rPr>
          <w:iCs/>
          <w:szCs w:val="22"/>
        </w:rPr>
        <w:t>Čekija</w:t>
      </w:r>
      <w:r w:rsidRPr="00AC765C" w:rsidDel="00BE4B3C">
        <w:rPr>
          <w:iCs/>
          <w:szCs w:val="22"/>
        </w:rPr>
        <w:t xml:space="preserve"> </w:t>
      </w:r>
    </w:p>
    <w:p w14:paraId="164AF265" w14:textId="77777777" w:rsidR="00302C06" w:rsidRPr="005E49A1" w:rsidRDefault="00302C06" w:rsidP="00302C06">
      <w:pPr>
        <w:pStyle w:val="BTEMEASMCA"/>
      </w:pPr>
    </w:p>
    <w:p w14:paraId="5441C842" w14:textId="77777777" w:rsidR="00302C06" w:rsidRPr="005E49A1" w:rsidRDefault="00302C06" w:rsidP="00302C06">
      <w:pPr>
        <w:pStyle w:val="BTEMEASMCA"/>
      </w:pPr>
    </w:p>
    <w:p w14:paraId="7AAC7553" w14:textId="77777777" w:rsidR="00302C06" w:rsidRPr="005E49A1" w:rsidRDefault="00302C06" w:rsidP="00302C06">
      <w:pPr>
        <w:pStyle w:val="PI-1labEMEASMCA"/>
        <w:tabs>
          <w:tab w:val="left" w:pos="567"/>
        </w:tabs>
      </w:pPr>
      <w:r w:rsidRPr="005E49A1">
        <w:t>12.</w:t>
      </w:r>
      <w:r w:rsidRPr="005E49A1">
        <w:tab/>
        <w:t xml:space="preserve">REGISTRACIJOS PAŽYMĖJIMO NUMERIS </w:t>
      </w:r>
      <w:r>
        <w:t>(-IAI)</w:t>
      </w:r>
    </w:p>
    <w:p w14:paraId="451DD9D4" w14:textId="77777777" w:rsidR="00302C06" w:rsidRPr="005E49A1" w:rsidRDefault="00302C06" w:rsidP="00302C06">
      <w:pPr>
        <w:pStyle w:val="BTEMEASMCA"/>
      </w:pPr>
    </w:p>
    <w:p w14:paraId="253A6A6A" w14:textId="77777777" w:rsidR="00302C06" w:rsidRPr="00252839" w:rsidRDefault="00302C06" w:rsidP="00302C06">
      <w:pPr>
        <w:tabs>
          <w:tab w:val="left" w:pos="567"/>
        </w:tabs>
        <w:rPr>
          <w:noProof/>
          <w:szCs w:val="22"/>
          <w:highlight w:val="lightGray"/>
        </w:rPr>
      </w:pPr>
      <w:r w:rsidRPr="005E49A1">
        <w:rPr>
          <w:noProof/>
          <w:szCs w:val="22"/>
        </w:rPr>
        <w:t>LT/1/10/2233/001</w:t>
      </w:r>
      <w:r>
        <w:rPr>
          <w:noProof/>
          <w:szCs w:val="22"/>
        </w:rPr>
        <w:t xml:space="preserve"> </w:t>
      </w:r>
      <w:r w:rsidRPr="00252839">
        <w:rPr>
          <w:noProof/>
          <w:szCs w:val="22"/>
          <w:highlight w:val="lightGray"/>
        </w:rPr>
        <w:t>– N1</w:t>
      </w:r>
    </w:p>
    <w:p w14:paraId="4D113A86" w14:textId="77777777" w:rsidR="00302C06" w:rsidRPr="005E49A1" w:rsidRDefault="00302C06" w:rsidP="00302C06">
      <w:pPr>
        <w:tabs>
          <w:tab w:val="left" w:pos="567"/>
        </w:tabs>
        <w:rPr>
          <w:noProof/>
          <w:szCs w:val="22"/>
        </w:rPr>
      </w:pPr>
      <w:r w:rsidRPr="00252839">
        <w:rPr>
          <w:noProof/>
          <w:szCs w:val="22"/>
          <w:highlight w:val="lightGray"/>
        </w:rPr>
        <w:t>LT/1/10/2233/002 – N3</w:t>
      </w:r>
    </w:p>
    <w:p w14:paraId="28FF149A" w14:textId="77777777" w:rsidR="00302C06" w:rsidRPr="005E49A1" w:rsidRDefault="00302C06" w:rsidP="00302C06">
      <w:pPr>
        <w:pStyle w:val="BTEMEASMCA"/>
      </w:pPr>
    </w:p>
    <w:p w14:paraId="5CC61D54" w14:textId="77777777" w:rsidR="00302C06" w:rsidRPr="005E49A1" w:rsidRDefault="00302C06" w:rsidP="00302C06">
      <w:pPr>
        <w:pStyle w:val="BTEMEASMCA"/>
      </w:pPr>
    </w:p>
    <w:p w14:paraId="37600100" w14:textId="77777777" w:rsidR="00302C06" w:rsidRPr="005E49A1" w:rsidRDefault="00302C06" w:rsidP="00302C06">
      <w:pPr>
        <w:pStyle w:val="PI-1labEMEASMCA"/>
        <w:tabs>
          <w:tab w:val="left" w:pos="567"/>
        </w:tabs>
      </w:pPr>
      <w:r w:rsidRPr="005E49A1">
        <w:t>13.</w:t>
      </w:r>
      <w:r w:rsidRPr="005E49A1">
        <w:tab/>
        <w:t>SERIJOS NUMERIS</w:t>
      </w:r>
    </w:p>
    <w:p w14:paraId="79131C89" w14:textId="77777777" w:rsidR="00302C06" w:rsidRPr="005E49A1" w:rsidRDefault="00302C06" w:rsidP="00302C06">
      <w:pPr>
        <w:pStyle w:val="BTEMEASMCA"/>
      </w:pPr>
    </w:p>
    <w:p w14:paraId="6D3AB52B" w14:textId="77777777" w:rsidR="00302C06" w:rsidRPr="005E49A1" w:rsidRDefault="00302C06" w:rsidP="00302C06">
      <w:pPr>
        <w:pStyle w:val="BTEMEASMCA"/>
      </w:pPr>
      <w:r>
        <w:t>Lot</w:t>
      </w:r>
    </w:p>
    <w:p w14:paraId="00452724" w14:textId="77777777" w:rsidR="00302C06" w:rsidRPr="005E49A1" w:rsidRDefault="00302C06" w:rsidP="00302C06">
      <w:pPr>
        <w:pStyle w:val="BTEMEASMCA"/>
      </w:pPr>
    </w:p>
    <w:p w14:paraId="77FB2E92" w14:textId="77777777" w:rsidR="00302C06" w:rsidRPr="005E49A1" w:rsidRDefault="00302C06" w:rsidP="00302C06">
      <w:pPr>
        <w:pStyle w:val="BTEMEASMCA"/>
      </w:pPr>
    </w:p>
    <w:p w14:paraId="7A369478" w14:textId="77777777" w:rsidR="00302C06" w:rsidRPr="005E49A1" w:rsidRDefault="00302C06" w:rsidP="00302C06">
      <w:pPr>
        <w:pStyle w:val="PI-1labEMEASMCA"/>
        <w:tabs>
          <w:tab w:val="left" w:pos="567"/>
        </w:tabs>
      </w:pPr>
      <w:r w:rsidRPr="005E49A1">
        <w:t>14.</w:t>
      </w:r>
      <w:r w:rsidRPr="005E49A1">
        <w:tab/>
        <w:t>PARDAVIMO (IŠDAVIMO) TVARKA</w:t>
      </w:r>
    </w:p>
    <w:p w14:paraId="1AEAAA5F" w14:textId="77777777" w:rsidR="00302C06" w:rsidRPr="005E49A1" w:rsidRDefault="00302C06" w:rsidP="00302C06">
      <w:pPr>
        <w:pStyle w:val="BTEMEASMCA"/>
      </w:pPr>
    </w:p>
    <w:p w14:paraId="3796ABD8" w14:textId="77777777" w:rsidR="00302C06" w:rsidRPr="005E49A1" w:rsidRDefault="00302C06" w:rsidP="00302C06">
      <w:pPr>
        <w:pStyle w:val="BTEMEASMCA"/>
      </w:pPr>
      <w:r w:rsidRPr="005E49A1">
        <w:t>Receptinis vaist</w:t>
      </w:r>
      <w:r>
        <w:t>as</w:t>
      </w:r>
      <w:r w:rsidRPr="005E49A1">
        <w:t>.</w:t>
      </w:r>
    </w:p>
    <w:p w14:paraId="2A4B5330" w14:textId="77777777" w:rsidR="00302C06" w:rsidRPr="005E49A1" w:rsidRDefault="00302C06" w:rsidP="00302C06">
      <w:pPr>
        <w:pStyle w:val="BTEMEASMCA"/>
      </w:pPr>
    </w:p>
    <w:p w14:paraId="26C32A7C" w14:textId="77777777" w:rsidR="00302C06" w:rsidRPr="005E49A1" w:rsidRDefault="00302C06" w:rsidP="00302C06">
      <w:pPr>
        <w:pStyle w:val="BTEMEASMCA"/>
      </w:pPr>
    </w:p>
    <w:p w14:paraId="2841ACEB" w14:textId="77777777" w:rsidR="00302C06" w:rsidRPr="005E49A1" w:rsidRDefault="00302C06" w:rsidP="00302C06">
      <w:pPr>
        <w:pStyle w:val="PI-1labEMEASMCA"/>
        <w:tabs>
          <w:tab w:val="left" w:pos="567"/>
        </w:tabs>
      </w:pPr>
      <w:r w:rsidRPr="005E49A1">
        <w:t>15.</w:t>
      </w:r>
      <w:r w:rsidRPr="005E49A1">
        <w:tab/>
        <w:t>VARTOJIMO INSTRUKCIJA</w:t>
      </w:r>
    </w:p>
    <w:p w14:paraId="7A936CFD" w14:textId="77777777" w:rsidR="00302C06" w:rsidRPr="005E49A1" w:rsidRDefault="00302C06" w:rsidP="00302C06">
      <w:pPr>
        <w:pStyle w:val="BTEMEASMCA"/>
      </w:pPr>
    </w:p>
    <w:p w14:paraId="04C919E7" w14:textId="77777777" w:rsidR="00302C06" w:rsidRPr="005E49A1" w:rsidRDefault="00302C06" w:rsidP="00302C06">
      <w:pPr>
        <w:pStyle w:val="BTEMEASMCA"/>
      </w:pPr>
    </w:p>
    <w:p w14:paraId="31F36D4A" w14:textId="77777777" w:rsidR="00302C06" w:rsidRPr="005E49A1" w:rsidRDefault="00302C06" w:rsidP="00302C06">
      <w:pPr>
        <w:pStyle w:val="PI-1labEMEASMCA"/>
        <w:pBdr>
          <w:top w:val="single" w:sz="4" w:space="3" w:color="auto"/>
        </w:pBdr>
        <w:tabs>
          <w:tab w:val="left" w:pos="567"/>
        </w:tabs>
      </w:pPr>
      <w:r w:rsidRPr="005E49A1">
        <w:t>16.</w:t>
      </w:r>
      <w:r w:rsidRPr="005E49A1">
        <w:tab/>
        <w:t>INFORMACIJA BRAILIO RAŠTU</w:t>
      </w:r>
    </w:p>
    <w:p w14:paraId="62B47677" w14:textId="77777777" w:rsidR="00302C06" w:rsidRPr="005E49A1" w:rsidRDefault="00302C06" w:rsidP="00302C06">
      <w:pPr>
        <w:pStyle w:val="BTEMEASMCA"/>
      </w:pPr>
    </w:p>
    <w:p w14:paraId="4031911E" w14:textId="77777777" w:rsidR="00302C06" w:rsidRPr="005E49A1" w:rsidRDefault="00302C06" w:rsidP="00302C06">
      <w:pPr>
        <w:pStyle w:val="BTEMEASMCA"/>
      </w:pPr>
      <w:r>
        <w:t>baxogar</w:t>
      </w:r>
      <w:r w:rsidRPr="005E49A1">
        <w:t xml:space="preserve"> 150</w:t>
      </w:r>
      <w:r>
        <w:t> </w:t>
      </w:r>
      <w:r w:rsidRPr="005E49A1">
        <w:t>mg</w:t>
      </w:r>
    </w:p>
    <w:p w14:paraId="4898F63A" w14:textId="77777777" w:rsidR="00302C06" w:rsidRDefault="00302C06" w:rsidP="00302C06">
      <w:pPr>
        <w:pStyle w:val="BTEMEASMCA"/>
      </w:pPr>
    </w:p>
    <w:p w14:paraId="2F2AF01B" w14:textId="77777777" w:rsidR="00302C06" w:rsidRPr="005E49A1" w:rsidRDefault="00302C06" w:rsidP="00302C06">
      <w:pPr>
        <w:pStyle w:val="BTEMEASMCA"/>
      </w:pPr>
    </w:p>
    <w:p w14:paraId="1D49F7E7" w14:textId="77777777" w:rsidR="00302C06" w:rsidRPr="00180034" w:rsidRDefault="00302C06" w:rsidP="00302C06">
      <w:pPr>
        <w:pStyle w:val="Sraopastraipa"/>
        <w:keepNext/>
        <w:numPr>
          <w:ilvl w:val="0"/>
          <w:numId w:val="29"/>
        </w:numPr>
        <w:pBdr>
          <w:top w:val="single" w:sz="4" w:space="1" w:color="auto"/>
          <w:left w:val="single" w:sz="4" w:space="4" w:color="auto"/>
          <w:bottom w:val="single" w:sz="4" w:space="1" w:color="auto"/>
          <w:right w:val="single" w:sz="4" w:space="4" w:color="auto"/>
        </w:pBdr>
        <w:tabs>
          <w:tab w:val="left" w:pos="0"/>
        </w:tabs>
        <w:ind w:left="0" w:firstLine="0"/>
        <w:outlineLvl w:val="0"/>
        <w:rPr>
          <w:i/>
        </w:rPr>
      </w:pPr>
      <w:r w:rsidRPr="00E70E85">
        <w:rPr>
          <w:b/>
        </w:rPr>
        <w:t>UNIKALUS IDENTIFIKATORIUS – 2D BRŪKŠNINIS KODAS</w:t>
      </w:r>
    </w:p>
    <w:p w14:paraId="39B82652" w14:textId="77777777" w:rsidR="00302C06" w:rsidRPr="00C937E7" w:rsidRDefault="00302C06" w:rsidP="00302C06"/>
    <w:p w14:paraId="68A2E39D" w14:textId="77777777" w:rsidR="00302C06" w:rsidRPr="00C937E7" w:rsidRDefault="00302C06" w:rsidP="00302C06">
      <w:pPr>
        <w:rPr>
          <w:szCs w:val="22"/>
          <w:shd w:val="clear" w:color="auto" w:fill="CCCCCC"/>
        </w:rPr>
      </w:pPr>
      <w:r>
        <w:rPr>
          <w:highlight w:val="lightGray"/>
        </w:rPr>
        <w:t>2D brūkšninis kodas su nurodytu unikaliu identifikatoriumi.</w:t>
      </w:r>
    </w:p>
    <w:p w14:paraId="4C02F758" w14:textId="77777777" w:rsidR="00302C06" w:rsidRPr="00C937E7" w:rsidRDefault="00302C06" w:rsidP="00302C06"/>
    <w:p w14:paraId="28D7C7BB" w14:textId="77777777" w:rsidR="00302C06" w:rsidRPr="00C937E7" w:rsidRDefault="00302C06" w:rsidP="00302C06"/>
    <w:p w14:paraId="791625D3" w14:textId="77777777" w:rsidR="00302C06" w:rsidRPr="00180034" w:rsidRDefault="00302C06" w:rsidP="00302C06">
      <w:pPr>
        <w:pStyle w:val="Sraopastraipa"/>
        <w:keepNext/>
        <w:numPr>
          <w:ilvl w:val="0"/>
          <w:numId w:val="29"/>
        </w:numPr>
        <w:pBdr>
          <w:top w:val="single" w:sz="4" w:space="1" w:color="auto"/>
          <w:left w:val="single" w:sz="4" w:space="4" w:color="auto"/>
          <w:bottom w:val="single" w:sz="4" w:space="1" w:color="auto"/>
          <w:right w:val="single" w:sz="4" w:space="4" w:color="auto"/>
        </w:pBdr>
        <w:tabs>
          <w:tab w:val="left" w:pos="567"/>
        </w:tabs>
        <w:ind w:hanging="1440"/>
        <w:outlineLvl w:val="0"/>
        <w:rPr>
          <w:i/>
        </w:rPr>
      </w:pPr>
      <w:r w:rsidRPr="00E70E85">
        <w:rPr>
          <w:b/>
        </w:rPr>
        <w:t>UNIKALUS IDENTIFIKATORIUS – ŽMONĖMS SUPRANTAMI DUOMENYS</w:t>
      </w:r>
    </w:p>
    <w:p w14:paraId="61B60823" w14:textId="77777777" w:rsidR="00302C06" w:rsidRPr="00C937E7" w:rsidRDefault="00302C06" w:rsidP="00302C06"/>
    <w:p w14:paraId="1F63038E" w14:textId="77777777" w:rsidR="00302C06" w:rsidRDefault="00302C06" w:rsidP="00302C06">
      <w:pPr>
        <w:rPr>
          <w:color w:val="008000"/>
        </w:rPr>
      </w:pPr>
      <w:r>
        <w:t>PC: {numeris}</w:t>
      </w:r>
    </w:p>
    <w:p w14:paraId="348C1416" w14:textId="77777777" w:rsidR="00302C06" w:rsidRPr="00C937E7" w:rsidRDefault="00302C06" w:rsidP="00302C06">
      <w:pPr>
        <w:rPr>
          <w:szCs w:val="22"/>
        </w:rPr>
      </w:pPr>
      <w:r>
        <w:t>SN: {numeris}</w:t>
      </w:r>
    </w:p>
    <w:p w14:paraId="7CEB5DFD" w14:textId="77777777" w:rsidR="00302C06" w:rsidRPr="00C937E7" w:rsidRDefault="00302C06" w:rsidP="00302C06">
      <w:pPr>
        <w:rPr>
          <w:szCs w:val="22"/>
        </w:rPr>
      </w:pPr>
      <w:r w:rsidRPr="00E70E85">
        <w:rPr>
          <w:highlight w:val="lightGray"/>
        </w:rPr>
        <w:t>NN: {numeris}</w:t>
      </w:r>
    </w:p>
    <w:p w14:paraId="6C81B67B" w14:textId="77777777" w:rsidR="00302C06" w:rsidRPr="005E49A1" w:rsidRDefault="00302C06" w:rsidP="00302C06">
      <w:pPr>
        <w:pStyle w:val="BTEMEASMCA"/>
      </w:pPr>
    </w:p>
    <w:p w14:paraId="47428B63" w14:textId="77777777" w:rsidR="00302C06" w:rsidRPr="005E49A1" w:rsidRDefault="00302C06" w:rsidP="00302C06">
      <w:pPr>
        <w:pStyle w:val="BTEMEASMCA"/>
      </w:pPr>
    </w:p>
    <w:p w14:paraId="5EEA34CC" w14:textId="77777777" w:rsidR="00302C06" w:rsidRPr="005E49A1" w:rsidRDefault="00302C06" w:rsidP="00302C06">
      <w:pPr>
        <w:pStyle w:val="BTEMEASMCA"/>
      </w:pPr>
    </w:p>
    <w:p w14:paraId="59F85C29" w14:textId="77777777" w:rsidR="00302C06" w:rsidRPr="005E49A1" w:rsidRDefault="00302C06" w:rsidP="00302C06">
      <w:pPr>
        <w:pStyle w:val="BTEMEASMCA"/>
      </w:pPr>
    </w:p>
    <w:p w14:paraId="27F479DF" w14:textId="77777777" w:rsidR="00302C06" w:rsidRPr="005E49A1" w:rsidRDefault="00302C06" w:rsidP="00302C06">
      <w:pPr>
        <w:pStyle w:val="BTEMEASMCA"/>
      </w:pPr>
    </w:p>
    <w:p w14:paraId="68F425D8" w14:textId="77777777" w:rsidR="00302C06" w:rsidRPr="005E49A1" w:rsidRDefault="00302C06" w:rsidP="00302C06">
      <w:pPr>
        <w:pStyle w:val="BTEMEASMCA"/>
      </w:pPr>
      <w:r w:rsidRPr="005E49A1">
        <w:br w:type="page"/>
      </w:r>
    </w:p>
    <w:p w14:paraId="795CB465" w14:textId="77777777" w:rsidR="00302C06" w:rsidRPr="005E49A1" w:rsidRDefault="00302C06" w:rsidP="00302C06">
      <w:pPr>
        <w:pStyle w:val="PI-1labEMEASMCA"/>
        <w:tabs>
          <w:tab w:val="left" w:pos="567"/>
        </w:tabs>
      </w:pPr>
      <w:r w:rsidRPr="005E49A1">
        <w:rPr>
          <w:bCs/>
          <w:caps/>
        </w:rPr>
        <w:lastRenderedPageBreak/>
        <w:t>MINIMALI informacija ant LIZDINIŲ</w:t>
      </w:r>
      <w:r w:rsidRPr="005E49A1">
        <w:t xml:space="preserve"> PLOKŠTELIŲ ARBA DVISLUOKSNIŲ JUOSTELIŲ</w:t>
      </w:r>
    </w:p>
    <w:p w14:paraId="74817A3A" w14:textId="77777777" w:rsidR="00302C06" w:rsidRPr="005E49A1" w:rsidRDefault="00302C06" w:rsidP="00302C06">
      <w:pPr>
        <w:pStyle w:val="PI-1labEMEASMCA"/>
        <w:tabs>
          <w:tab w:val="left" w:pos="567"/>
        </w:tabs>
      </w:pPr>
    </w:p>
    <w:p w14:paraId="263B06DF" w14:textId="77777777" w:rsidR="00302C06" w:rsidRPr="005E49A1" w:rsidRDefault="00302C06" w:rsidP="00302C06">
      <w:pPr>
        <w:pStyle w:val="PI-1labEMEASMCA"/>
        <w:tabs>
          <w:tab w:val="left" w:pos="567"/>
        </w:tabs>
        <w:rPr>
          <w:bCs/>
          <w:caps/>
        </w:rPr>
      </w:pPr>
      <w:r w:rsidRPr="005E49A1">
        <w:rPr>
          <w:bCs/>
          <w:caps/>
        </w:rPr>
        <w:t>Lizdinė plokštelė</w:t>
      </w:r>
    </w:p>
    <w:p w14:paraId="41835FF8" w14:textId="77777777" w:rsidR="00302C06" w:rsidRPr="005E49A1" w:rsidRDefault="00302C06" w:rsidP="00302C06">
      <w:pPr>
        <w:pStyle w:val="BTEMEASMCA"/>
      </w:pPr>
    </w:p>
    <w:p w14:paraId="68058775" w14:textId="77777777" w:rsidR="00302C06" w:rsidRPr="005E49A1" w:rsidRDefault="00302C06" w:rsidP="00302C06">
      <w:pPr>
        <w:pStyle w:val="BTEMEASMCA"/>
      </w:pPr>
    </w:p>
    <w:p w14:paraId="372A6F97" w14:textId="77777777" w:rsidR="00302C06" w:rsidRPr="005E49A1" w:rsidRDefault="00302C06" w:rsidP="00302C06">
      <w:pPr>
        <w:pStyle w:val="PI-1labEMEASMCA"/>
        <w:tabs>
          <w:tab w:val="left" w:pos="567"/>
        </w:tabs>
      </w:pPr>
      <w:r w:rsidRPr="005E49A1">
        <w:t>1.</w:t>
      </w:r>
      <w:r w:rsidRPr="005E49A1">
        <w:tab/>
        <w:t>VAISTINIO PREPARATO PAVADINIMAS</w:t>
      </w:r>
    </w:p>
    <w:p w14:paraId="7207D6C2" w14:textId="77777777" w:rsidR="00302C06" w:rsidRPr="005E49A1" w:rsidRDefault="00302C06" w:rsidP="00302C06">
      <w:pPr>
        <w:pStyle w:val="BTEMEASMCA"/>
      </w:pPr>
    </w:p>
    <w:p w14:paraId="31C6C7B0" w14:textId="77777777" w:rsidR="00302C06" w:rsidRPr="005E49A1" w:rsidRDefault="00302C06" w:rsidP="00302C06">
      <w:pPr>
        <w:tabs>
          <w:tab w:val="left" w:pos="567"/>
          <w:tab w:val="left" w:pos="1800"/>
        </w:tabs>
        <w:rPr>
          <w:szCs w:val="22"/>
        </w:rPr>
      </w:pPr>
      <w:r w:rsidRPr="005E49A1">
        <w:rPr>
          <w:szCs w:val="22"/>
        </w:rPr>
        <w:t>BAXOGAR 150</w:t>
      </w:r>
      <w:r>
        <w:rPr>
          <w:szCs w:val="22"/>
        </w:rPr>
        <w:t> </w:t>
      </w:r>
      <w:r w:rsidRPr="005E49A1">
        <w:rPr>
          <w:szCs w:val="22"/>
        </w:rPr>
        <w:t xml:space="preserve">mg </w:t>
      </w:r>
      <w:r w:rsidRPr="005E49A1">
        <w:rPr>
          <w:noProof/>
          <w:szCs w:val="22"/>
        </w:rPr>
        <w:t>plėvele</w:t>
      </w:r>
      <w:r w:rsidRPr="005E49A1">
        <w:rPr>
          <w:szCs w:val="22"/>
        </w:rPr>
        <w:t xml:space="preserve"> dengtos tabletės</w:t>
      </w:r>
    </w:p>
    <w:p w14:paraId="31E7847A" w14:textId="77777777" w:rsidR="00302C06" w:rsidRPr="00444E1A" w:rsidRDefault="00302C06" w:rsidP="00302C06">
      <w:pPr>
        <w:tabs>
          <w:tab w:val="left" w:pos="425"/>
          <w:tab w:val="left" w:pos="567"/>
        </w:tabs>
        <w:rPr>
          <w:bCs/>
          <w:noProof/>
          <w:color w:val="000000"/>
          <w:spacing w:val="2"/>
          <w:szCs w:val="22"/>
        </w:rPr>
      </w:pPr>
      <w:r w:rsidRPr="00444E1A">
        <w:rPr>
          <w:bCs/>
          <w:noProof/>
          <w:color w:val="000000"/>
          <w:spacing w:val="2"/>
          <w:szCs w:val="22"/>
        </w:rPr>
        <w:t>Acidum ibandronicum</w:t>
      </w:r>
    </w:p>
    <w:p w14:paraId="19D2187C" w14:textId="77777777" w:rsidR="00302C06" w:rsidRPr="00444E1A" w:rsidRDefault="00302C06" w:rsidP="00302C06">
      <w:pPr>
        <w:pStyle w:val="BTEMEASMCA"/>
      </w:pPr>
    </w:p>
    <w:p w14:paraId="2C02108F" w14:textId="77777777" w:rsidR="00302C06" w:rsidRPr="00444E1A" w:rsidRDefault="00302C06" w:rsidP="00302C06">
      <w:pPr>
        <w:pStyle w:val="BTEMEASMCA"/>
      </w:pPr>
    </w:p>
    <w:p w14:paraId="66420AAC" w14:textId="77777777" w:rsidR="00302C06" w:rsidRPr="005E49A1" w:rsidRDefault="00302C06" w:rsidP="00302C06">
      <w:pPr>
        <w:pStyle w:val="PI-1labEMEASMCA"/>
        <w:tabs>
          <w:tab w:val="left" w:pos="567"/>
        </w:tabs>
      </w:pPr>
      <w:r w:rsidRPr="005E49A1">
        <w:t>2.</w:t>
      </w:r>
      <w:r w:rsidRPr="005E49A1">
        <w:tab/>
        <w:t xml:space="preserve"> REGISTRUOTOJO PAVADINIMAS</w:t>
      </w:r>
    </w:p>
    <w:p w14:paraId="0EA068B1" w14:textId="77777777" w:rsidR="00302C06" w:rsidRPr="005E49A1" w:rsidRDefault="00302C06" w:rsidP="00302C06"/>
    <w:p w14:paraId="3ADCF99C" w14:textId="6023B9CA" w:rsidR="00302C06" w:rsidRPr="005E49A1" w:rsidRDefault="00AC765C" w:rsidP="00302C06">
      <w:pPr>
        <w:pStyle w:val="prastojitrauka"/>
        <w:spacing w:after="0"/>
        <w:ind w:left="0"/>
        <w:rPr>
          <w:iCs/>
          <w:szCs w:val="22"/>
          <w:lang w:val="lt-LT"/>
        </w:rPr>
      </w:pPr>
      <w:r>
        <w:rPr>
          <w:iCs/>
          <w:szCs w:val="22"/>
          <w:lang w:val="lt-LT"/>
        </w:rPr>
        <w:t>Zentiva</w:t>
      </w:r>
      <w:r w:rsidR="00302C06" w:rsidRPr="005E49A1">
        <w:rPr>
          <w:iCs/>
          <w:szCs w:val="22"/>
          <w:lang w:val="lt-LT"/>
        </w:rPr>
        <w:t xml:space="preserve"> </w:t>
      </w:r>
      <w:r w:rsidRPr="00AC765C">
        <w:rPr>
          <w:iCs/>
          <w:szCs w:val="22"/>
          <w:lang w:val="lt-LT"/>
        </w:rPr>
        <w:t>{logotipas}</w:t>
      </w:r>
    </w:p>
    <w:p w14:paraId="4A60AF10" w14:textId="77777777" w:rsidR="00302C06" w:rsidRPr="005E49A1" w:rsidRDefault="00302C06" w:rsidP="00302C06">
      <w:pPr>
        <w:pStyle w:val="BTEMEASMCA"/>
      </w:pPr>
    </w:p>
    <w:p w14:paraId="7A28C709" w14:textId="77777777" w:rsidR="00302C06" w:rsidRPr="00444E1A" w:rsidRDefault="00302C06" w:rsidP="00302C06">
      <w:pPr>
        <w:pStyle w:val="BTEMEASMCA"/>
      </w:pPr>
    </w:p>
    <w:p w14:paraId="09689664" w14:textId="77777777" w:rsidR="00302C06" w:rsidRPr="005E49A1" w:rsidRDefault="00302C06" w:rsidP="00302C06">
      <w:pPr>
        <w:pStyle w:val="PI-1labEMEASMCA"/>
        <w:tabs>
          <w:tab w:val="left" w:pos="567"/>
        </w:tabs>
      </w:pPr>
      <w:r w:rsidRPr="005E49A1">
        <w:t>3.</w:t>
      </w:r>
      <w:r w:rsidRPr="005E49A1">
        <w:tab/>
        <w:t>TINKAMUMO LAIKAS</w:t>
      </w:r>
    </w:p>
    <w:p w14:paraId="0C5E2005" w14:textId="77777777" w:rsidR="00302C06" w:rsidRPr="00444E1A" w:rsidRDefault="00302C06" w:rsidP="00302C06">
      <w:pPr>
        <w:pStyle w:val="BTEMEASMCA"/>
      </w:pPr>
    </w:p>
    <w:p w14:paraId="11FF214F" w14:textId="77777777" w:rsidR="00302C06" w:rsidRPr="00444E1A" w:rsidRDefault="00302C06" w:rsidP="00302C06">
      <w:pPr>
        <w:pStyle w:val="BTEMEASMCA"/>
      </w:pPr>
      <w:r w:rsidRPr="00444E1A">
        <w:t xml:space="preserve">EXP </w:t>
      </w:r>
      <w:r w:rsidRPr="005E49A1">
        <w:t>{mm/MMMM}</w:t>
      </w:r>
    </w:p>
    <w:p w14:paraId="03AD7DBD" w14:textId="77777777" w:rsidR="00302C06" w:rsidRPr="00444E1A" w:rsidRDefault="00302C06" w:rsidP="00302C06">
      <w:pPr>
        <w:pStyle w:val="BTEMEASMCA"/>
      </w:pPr>
    </w:p>
    <w:p w14:paraId="31BD6B51" w14:textId="77777777" w:rsidR="00302C06" w:rsidRPr="00444E1A" w:rsidRDefault="00302C06" w:rsidP="00302C06">
      <w:pPr>
        <w:pStyle w:val="BTEMEASMCA"/>
      </w:pPr>
    </w:p>
    <w:p w14:paraId="4ACAC9FB" w14:textId="77777777" w:rsidR="00302C06" w:rsidRPr="005E49A1" w:rsidRDefault="00302C06" w:rsidP="00302C06">
      <w:pPr>
        <w:pStyle w:val="PI-1labEMEASMCA"/>
        <w:tabs>
          <w:tab w:val="left" w:pos="567"/>
        </w:tabs>
      </w:pPr>
      <w:r w:rsidRPr="005E49A1">
        <w:t>4.</w:t>
      </w:r>
      <w:r w:rsidRPr="005E49A1">
        <w:tab/>
        <w:t>SERIJOS NUMERIS</w:t>
      </w:r>
    </w:p>
    <w:p w14:paraId="60B38DEE" w14:textId="77777777" w:rsidR="00302C06" w:rsidRPr="00444E1A" w:rsidRDefault="00302C06" w:rsidP="00302C06">
      <w:pPr>
        <w:pStyle w:val="BTEMEASMCA"/>
      </w:pPr>
    </w:p>
    <w:p w14:paraId="6358C4F1" w14:textId="77777777" w:rsidR="00302C06" w:rsidRPr="00444E1A" w:rsidRDefault="00302C06" w:rsidP="00302C06">
      <w:pPr>
        <w:pStyle w:val="BTEMEASMCA"/>
      </w:pPr>
      <w:r w:rsidRPr="00444E1A">
        <w:t>Lot</w:t>
      </w:r>
    </w:p>
    <w:p w14:paraId="5F883774" w14:textId="77777777" w:rsidR="00302C06" w:rsidRPr="00444E1A" w:rsidRDefault="00302C06" w:rsidP="00302C06">
      <w:pPr>
        <w:pStyle w:val="BTEMEASMCA"/>
      </w:pPr>
    </w:p>
    <w:p w14:paraId="07C4382F" w14:textId="77777777" w:rsidR="00302C06" w:rsidRPr="00444E1A" w:rsidRDefault="00302C06" w:rsidP="00302C06">
      <w:pPr>
        <w:pStyle w:val="BTEMEASMCA"/>
      </w:pPr>
    </w:p>
    <w:p w14:paraId="0DAC0ACA" w14:textId="77777777" w:rsidR="00302C06" w:rsidRPr="005E49A1" w:rsidRDefault="00302C06" w:rsidP="00302C06">
      <w:pPr>
        <w:pStyle w:val="PI-1labEMEASMCA"/>
        <w:tabs>
          <w:tab w:val="left" w:pos="567"/>
        </w:tabs>
      </w:pPr>
      <w:r w:rsidRPr="005E49A1">
        <w:t>5.</w:t>
      </w:r>
      <w:r w:rsidRPr="005E49A1">
        <w:tab/>
        <w:t>KITA</w:t>
      </w:r>
    </w:p>
    <w:p w14:paraId="1C26A533" w14:textId="77777777" w:rsidR="00302C06" w:rsidRPr="005E49A1" w:rsidRDefault="00302C06" w:rsidP="00302C06">
      <w:pPr>
        <w:tabs>
          <w:tab w:val="left" w:pos="567"/>
        </w:tabs>
        <w:rPr>
          <w:szCs w:val="22"/>
        </w:rPr>
      </w:pPr>
    </w:p>
    <w:p w14:paraId="119C69C0" w14:textId="38C8FDE8" w:rsidR="00302C06" w:rsidRPr="005E49A1" w:rsidRDefault="00302C06" w:rsidP="00302C06">
      <w:pPr>
        <w:tabs>
          <w:tab w:val="left" w:pos="567"/>
        </w:tabs>
        <w:rPr>
          <w:szCs w:val="22"/>
        </w:rPr>
      </w:pPr>
    </w:p>
    <w:p w14:paraId="3891A485" w14:textId="77777777" w:rsidR="00302C06" w:rsidRPr="005E49A1" w:rsidRDefault="00302C06" w:rsidP="00302C06">
      <w:pPr>
        <w:tabs>
          <w:tab w:val="left" w:pos="567"/>
        </w:tabs>
        <w:rPr>
          <w:szCs w:val="22"/>
        </w:rPr>
      </w:pPr>
    </w:p>
    <w:p w14:paraId="46615DE1" w14:textId="77777777" w:rsidR="00302C06" w:rsidRPr="005E49A1" w:rsidRDefault="00302C06" w:rsidP="00302C06">
      <w:pPr>
        <w:tabs>
          <w:tab w:val="left" w:pos="567"/>
        </w:tabs>
        <w:rPr>
          <w:szCs w:val="22"/>
        </w:rPr>
      </w:pPr>
    </w:p>
    <w:p w14:paraId="205B593B" w14:textId="77777777" w:rsidR="00302C06" w:rsidRPr="005E49A1" w:rsidRDefault="00302C06" w:rsidP="00302C06">
      <w:pPr>
        <w:tabs>
          <w:tab w:val="left" w:pos="567"/>
        </w:tabs>
        <w:rPr>
          <w:szCs w:val="22"/>
        </w:rPr>
      </w:pPr>
    </w:p>
    <w:p w14:paraId="6B7AF3C3" w14:textId="77777777" w:rsidR="00302C06" w:rsidRPr="005E49A1" w:rsidRDefault="00302C06" w:rsidP="00302C06">
      <w:pPr>
        <w:tabs>
          <w:tab w:val="left" w:pos="567"/>
        </w:tabs>
        <w:rPr>
          <w:szCs w:val="22"/>
        </w:rPr>
      </w:pPr>
    </w:p>
    <w:p w14:paraId="66E67D0B" w14:textId="77777777" w:rsidR="00302C06" w:rsidRPr="005E49A1" w:rsidRDefault="00302C06" w:rsidP="00302C06">
      <w:pPr>
        <w:tabs>
          <w:tab w:val="left" w:pos="567"/>
        </w:tabs>
        <w:rPr>
          <w:szCs w:val="22"/>
        </w:rPr>
      </w:pPr>
    </w:p>
    <w:p w14:paraId="3357FCEB" w14:textId="77777777" w:rsidR="00302C06" w:rsidRPr="005E49A1" w:rsidRDefault="00302C06" w:rsidP="00302C06">
      <w:pPr>
        <w:tabs>
          <w:tab w:val="left" w:pos="567"/>
        </w:tabs>
        <w:jc w:val="center"/>
        <w:rPr>
          <w:szCs w:val="22"/>
        </w:rPr>
      </w:pPr>
      <w:r w:rsidRPr="00444E1A">
        <w:rPr>
          <w:szCs w:val="22"/>
        </w:rPr>
        <w:br w:type="page"/>
      </w:r>
    </w:p>
    <w:p w14:paraId="518E88C1" w14:textId="77777777" w:rsidR="00302C06" w:rsidRPr="005E49A1" w:rsidRDefault="00302C06" w:rsidP="00302C06">
      <w:pPr>
        <w:tabs>
          <w:tab w:val="left" w:pos="567"/>
        </w:tabs>
        <w:jc w:val="center"/>
        <w:rPr>
          <w:szCs w:val="22"/>
        </w:rPr>
      </w:pPr>
    </w:p>
    <w:p w14:paraId="64213598" w14:textId="77777777" w:rsidR="00302C06" w:rsidRPr="005E49A1" w:rsidRDefault="00302C06" w:rsidP="00302C06">
      <w:pPr>
        <w:tabs>
          <w:tab w:val="left" w:pos="567"/>
        </w:tabs>
        <w:jc w:val="center"/>
        <w:rPr>
          <w:szCs w:val="22"/>
        </w:rPr>
      </w:pPr>
    </w:p>
    <w:p w14:paraId="6911EE1E" w14:textId="77777777" w:rsidR="00302C06" w:rsidRPr="005E49A1" w:rsidRDefault="00302C06" w:rsidP="00302C06">
      <w:pPr>
        <w:tabs>
          <w:tab w:val="left" w:pos="567"/>
        </w:tabs>
        <w:jc w:val="center"/>
        <w:rPr>
          <w:szCs w:val="22"/>
        </w:rPr>
      </w:pPr>
    </w:p>
    <w:p w14:paraId="6FE8F64C" w14:textId="77777777" w:rsidR="00302C06" w:rsidRPr="005E49A1" w:rsidRDefault="00302C06" w:rsidP="00302C06">
      <w:pPr>
        <w:tabs>
          <w:tab w:val="left" w:pos="567"/>
        </w:tabs>
        <w:jc w:val="center"/>
        <w:rPr>
          <w:szCs w:val="22"/>
        </w:rPr>
      </w:pPr>
    </w:p>
    <w:p w14:paraId="573DB60C" w14:textId="77777777" w:rsidR="00302C06" w:rsidRPr="005E49A1" w:rsidRDefault="00302C06" w:rsidP="00302C06">
      <w:pPr>
        <w:tabs>
          <w:tab w:val="left" w:pos="567"/>
        </w:tabs>
        <w:jc w:val="center"/>
        <w:rPr>
          <w:szCs w:val="22"/>
        </w:rPr>
      </w:pPr>
    </w:p>
    <w:p w14:paraId="757DCEAF" w14:textId="77777777" w:rsidR="00302C06" w:rsidRPr="005E49A1" w:rsidRDefault="00302C06" w:rsidP="00302C06">
      <w:pPr>
        <w:tabs>
          <w:tab w:val="left" w:pos="567"/>
        </w:tabs>
        <w:jc w:val="center"/>
        <w:rPr>
          <w:szCs w:val="22"/>
        </w:rPr>
      </w:pPr>
    </w:p>
    <w:p w14:paraId="766F1817" w14:textId="77777777" w:rsidR="00302C06" w:rsidRPr="005E49A1" w:rsidRDefault="00302C06" w:rsidP="00302C06">
      <w:pPr>
        <w:tabs>
          <w:tab w:val="left" w:pos="567"/>
        </w:tabs>
        <w:jc w:val="center"/>
        <w:rPr>
          <w:szCs w:val="22"/>
        </w:rPr>
      </w:pPr>
    </w:p>
    <w:p w14:paraId="1EFC28C3" w14:textId="77777777" w:rsidR="00302C06" w:rsidRPr="005E49A1" w:rsidRDefault="00302C06" w:rsidP="00302C06">
      <w:pPr>
        <w:tabs>
          <w:tab w:val="left" w:pos="567"/>
        </w:tabs>
        <w:jc w:val="center"/>
        <w:rPr>
          <w:szCs w:val="22"/>
        </w:rPr>
      </w:pPr>
    </w:p>
    <w:p w14:paraId="4AB484CD" w14:textId="77777777" w:rsidR="00302C06" w:rsidRPr="005E49A1" w:rsidRDefault="00302C06" w:rsidP="00302C06">
      <w:pPr>
        <w:tabs>
          <w:tab w:val="left" w:pos="567"/>
        </w:tabs>
        <w:jc w:val="center"/>
        <w:rPr>
          <w:szCs w:val="22"/>
        </w:rPr>
      </w:pPr>
    </w:p>
    <w:p w14:paraId="0A577CA6" w14:textId="77777777" w:rsidR="00302C06" w:rsidRPr="005E49A1" w:rsidRDefault="00302C06" w:rsidP="00302C06">
      <w:pPr>
        <w:tabs>
          <w:tab w:val="left" w:pos="567"/>
        </w:tabs>
        <w:jc w:val="center"/>
        <w:rPr>
          <w:szCs w:val="22"/>
        </w:rPr>
      </w:pPr>
    </w:p>
    <w:p w14:paraId="5955AD6B" w14:textId="77777777" w:rsidR="00302C06" w:rsidRPr="005E49A1" w:rsidRDefault="00302C06" w:rsidP="00302C06">
      <w:pPr>
        <w:tabs>
          <w:tab w:val="left" w:pos="567"/>
        </w:tabs>
        <w:jc w:val="center"/>
        <w:rPr>
          <w:szCs w:val="22"/>
        </w:rPr>
      </w:pPr>
    </w:p>
    <w:p w14:paraId="46EAB5CA" w14:textId="77777777" w:rsidR="00302C06" w:rsidRPr="005E49A1" w:rsidRDefault="00302C06" w:rsidP="00302C06">
      <w:pPr>
        <w:tabs>
          <w:tab w:val="left" w:pos="567"/>
        </w:tabs>
        <w:jc w:val="center"/>
        <w:rPr>
          <w:szCs w:val="22"/>
        </w:rPr>
      </w:pPr>
    </w:p>
    <w:p w14:paraId="354CF102" w14:textId="77777777" w:rsidR="00302C06" w:rsidRPr="005E49A1" w:rsidRDefault="00302C06" w:rsidP="00302C06">
      <w:pPr>
        <w:tabs>
          <w:tab w:val="left" w:pos="567"/>
        </w:tabs>
        <w:jc w:val="center"/>
        <w:rPr>
          <w:szCs w:val="22"/>
        </w:rPr>
      </w:pPr>
    </w:p>
    <w:p w14:paraId="63C69F68" w14:textId="77777777" w:rsidR="00302C06" w:rsidRPr="005E49A1" w:rsidRDefault="00302C06" w:rsidP="00302C06">
      <w:pPr>
        <w:tabs>
          <w:tab w:val="left" w:pos="567"/>
        </w:tabs>
        <w:jc w:val="center"/>
        <w:rPr>
          <w:szCs w:val="22"/>
        </w:rPr>
      </w:pPr>
    </w:p>
    <w:p w14:paraId="55DE5623" w14:textId="77777777" w:rsidR="00302C06" w:rsidRPr="005E49A1" w:rsidRDefault="00302C06" w:rsidP="00302C06">
      <w:pPr>
        <w:tabs>
          <w:tab w:val="left" w:pos="567"/>
        </w:tabs>
        <w:jc w:val="center"/>
        <w:rPr>
          <w:szCs w:val="22"/>
        </w:rPr>
      </w:pPr>
    </w:p>
    <w:p w14:paraId="4D9B5222" w14:textId="77777777" w:rsidR="00302C06" w:rsidRPr="005E49A1" w:rsidRDefault="00302C06" w:rsidP="00302C06">
      <w:pPr>
        <w:tabs>
          <w:tab w:val="left" w:pos="567"/>
        </w:tabs>
        <w:jc w:val="center"/>
        <w:rPr>
          <w:szCs w:val="22"/>
        </w:rPr>
      </w:pPr>
    </w:p>
    <w:p w14:paraId="5AAABEE3" w14:textId="77777777" w:rsidR="00302C06" w:rsidRPr="005E49A1" w:rsidRDefault="00302C06" w:rsidP="00302C06">
      <w:pPr>
        <w:tabs>
          <w:tab w:val="left" w:pos="567"/>
        </w:tabs>
        <w:jc w:val="center"/>
        <w:rPr>
          <w:szCs w:val="22"/>
        </w:rPr>
      </w:pPr>
    </w:p>
    <w:p w14:paraId="6369F0D1" w14:textId="77777777" w:rsidR="00302C06" w:rsidRPr="005E49A1" w:rsidRDefault="00302C06" w:rsidP="00302C06">
      <w:pPr>
        <w:tabs>
          <w:tab w:val="left" w:pos="567"/>
        </w:tabs>
        <w:jc w:val="center"/>
        <w:rPr>
          <w:szCs w:val="22"/>
        </w:rPr>
      </w:pPr>
    </w:p>
    <w:p w14:paraId="72486068" w14:textId="77777777" w:rsidR="00302C06" w:rsidRPr="005E49A1" w:rsidRDefault="00302C06" w:rsidP="00302C06">
      <w:pPr>
        <w:tabs>
          <w:tab w:val="left" w:pos="567"/>
        </w:tabs>
        <w:jc w:val="center"/>
        <w:rPr>
          <w:szCs w:val="22"/>
        </w:rPr>
      </w:pPr>
    </w:p>
    <w:p w14:paraId="5DA777DB" w14:textId="77777777" w:rsidR="00302C06" w:rsidRPr="005E49A1" w:rsidRDefault="00302C06" w:rsidP="00302C06">
      <w:pPr>
        <w:tabs>
          <w:tab w:val="left" w:pos="567"/>
        </w:tabs>
        <w:jc w:val="center"/>
        <w:rPr>
          <w:szCs w:val="22"/>
        </w:rPr>
      </w:pPr>
    </w:p>
    <w:p w14:paraId="7CADF2FB" w14:textId="77777777" w:rsidR="00302C06" w:rsidRPr="005E49A1" w:rsidRDefault="00302C06" w:rsidP="00302C06">
      <w:pPr>
        <w:tabs>
          <w:tab w:val="left" w:pos="567"/>
        </w:tabs>
        <w:jc w:val="center"/>
        <w:rPr>
          <w:szCs w:val="22"/>
        </w:rPr>
      </w:pPr>
    </w:p>
    <w:p w14:paraId="384F9300" w14:textId="77777777" w:rsidR="00302C06" w:rsidRPr="005E49A1" w:rsidRDefault="00302C06" w:rsidP="00302C06">
      <w:pPr>
        <w:tabs>
          <w:tab w:val="left" w:pos="567"/>
        </w:tabs>
        <w:rPr>
          <w:szCs w:val="22"/>
        </w:rPr>
      </w:pPr>
    </w:p>
    <w:p w14:paraId="5FC73EBD" w14:textId="77777777" w:rsidR="00302C06" w:rsidRPr="005E49A1" w:rsidRDefault="00302C06" w:rsidP="00302C06">
      <w:pPr>
        <w:pStyle w:val="TTEMEASMCA"/>
        <w:ind w:left="0" w:firstLine="0"/>
        <w:rPr>
          <w:lang w:val="lt-LT"/>
        </w:rPr>
      </w:pPr>
      <w:bookmarkStart w:id="11" w:name="_Toc129243137"/>
      <w:bookmarkStart w:id="12" w:name="_Toc129243262"/>
      <w:r w:rsidRPr="005E49A1">
        <w:rPr>
          <w:lang w:val="lt-LT"/>
        </w:rPr>
        <w:t>B. PAKUOTĖS LAPELIS</w:t>
      </w:r>
      <w:bookmarkEnd w:id="11"/>
      <w:bookmarkEnd w:id="12"/>
    </w:p>
    <w:p w14:paraId="79BECD65" w14:textId="77777777" w:rsidR="00302C06" w:rsidRPr="005E49A1" w:rsidRDefault="00302C06" w:rsidP="00302C06">
      <w:pPr>
        <w:widowControl w:val="0"/>
        <w:tabs>
          <w:tab w:val="left" w:pos="567"/>
        </w:tabs>
        <w:autoSpaceDE w:val="0"/>
        <w:autoSpaceDN w:val="0"/>
        <w:adjustRightInd w:val="0"/>
        <w:jc w:val="center"/>
        <w:rPr>
          <w:szCs w:val="22"/>
        </w:rPr>
      </w:pPr>
      <w:r w:rsidRPr="005E49A1">
        <w:rPr>
          <w:szCs w:val="22"/>
        </w:rPr>
        <w:br w:type="page"/>
      </w:r>
      <w:r w:rsidRPr="005E49A1">
        <w:rPr>
          <w:b/>
        </w:rPr>
        <w:lastRenderedPageBreak/>
        <w:t>Pakuotės</w:t>
      </w:r>
      <w:r w:rsidRPr="005E49A1">
        <w:rPr>
          <w:b/>
          <w:noProof/>
        </w:rPr>
        <w:t xml:space="preserve"> lapelis: informacija vartotojui</w:t>
      </w:r>
    </w:p>
    <w:p w14:paraId="27DA9BBF" w14:textId="77777777" w:rsidR="00302C06" w:rsidRPr="005E49A1" w:rsidRDefault="00302C06" w:rsidP="00302C06">
      <w:pPr>
        <w:widowControl w:val="0"/>
        <w:tabs>
          <w:tab w:val="left" w:pos="567"/>
        </w:tabs>
        <w:autoSpaceDE w:val="0"/>
        <w:autoSpaceDN w:val="0"/>
        <w:adjustRightInd w:val="0"/>
        <w:jc w:val="center"/>
        <w:rPr>
          <w:szCs w:val="22"/>
        </w:rPr>
      </w:pPr>
    </w:p>
    <w:p w14:paraId="0895B233" w14:textId="77777777" w:rsidR="00302C06" w:rsidRPr="005E49A1" w:rsidRDefault="00302C06" w:rsidP="00302C06">
      <w:pPr>
        <w:widowControl w:val="0"/>
        <w:tabs>
          <w:tab w:val="left" w:pos="567"/>
        </w:tabs>
        <w:autoSpaceDE w:val="0"/>
        <w:autoSpaceDN w:val="0"/>
        <w:adjustRightInd w:val="0"/>
        <w:jc w:val="center"/>
        <w:rPr>
          <w:szCs w:val="22"/>
        </w:rPr>
      </w:pPr>
      <w:r w:rsidRPr="005E49A1">
        <w:rPr>
          <w:b/>
          <w:szCs w:val="22"/>
        </w:rPr>
        <w:t>BAXOGAR 150 mg plėvele dengtos tabletės</w:t>
      </w:r>
      <w:r w:rsidRPr="005E49A1">
        <w:rPr>
          <w:szCs w:val="22"/>
        </w:rPr>
        <w:t xml:space="preserve"> </w:t>
      </w:r>
    </w:p>
    <w:p w14:paraId="71E210C3" w14:textId="77777777" w:rsidR="00302C06" w:rsidRPr="005E49A1" w:rsidRDefault="00302C06" w:rsidP="00302C06">
      <w:pPr>
        <w:widowControl w:val="0"/>
        <w:tabs>
          <w:tab w:val="left" w:pos="567"/>
        </w:tabs>
        <w:autoSpaceDE w:val="0"/>
        <w:autoSpaceDN w:val="0"/>
        <w:adjustRightInd w:val="0"/>
        <w:jc w:val="center"/>
        <w:rPr>
          <w:szCs w:val="22"/>
        </w:rPr>
      </w:pPr>
      <w:r w:rsidRPr="005E49A1">
        <w:rPr>
          <w:szCs w:val="22"/>
        </w:rPr>
        <w:t xml:space="preserve">Ibandrono rūgštis </w:t>
      </w:r>
    </w:p>
    <w:p w14:paraId="08A9F890" w14:textId="77777777" w:rsidR="00302C06" w:rsidRPr="005E49A1" w:rsidRDefault="00302C06" w:rsidP="00302C06">
      <w:pPr>
        <w:widowControl w:val="0"/>
        <w:tabs>
          <w:tab w:val="left" w:pos="567"/>
        </w:tabs>
        <w:autoSpaceDE w:val="0"/>
        <w:autoSpaceDN w:val="0"/>
        <w:adjustRightInd w:val="0"/>
        <w:rPr>
          <w:szCs w:val="22"/>
        </w:rPr>
      </w:pPr>
    </w:p>
    <w:p w14:paraId="7BB15931" w14:textId="77777777" w:rsidR="00302C06" w:rsidRPr="005E49A1" w:rsidRDefault="00302C06" w:rsidP="00302C06">
      <w:pPr>
        <w:widowControl w:val="0"/>
        <w:tabs>
          <w:tab w:val="left" w:pos="567"/>
        </w:tabs>
        <w:autoSpaceDE w:val="0"/>
        <w:autoSpaceDN w:val="0"/>
        <w:adjustRightInd w:val="0"/>
        <w:rPr>
          <w:szCs w:val="22"/>
        </w:rPr>
      </w:pPr>
      <w:r w:rsidRPr="005E49A1">
        <w:rPr>
          <w:b/>
          <w:szCs w:val="22"/>
        </w:rPr>
        <w:t>Atidžiai perskaitykite visą šį lapelį, prieš pradėdami vartoti vaistą</w:t>
      </w:r>
      <w:r w:rsidRPr="005E49A1">
        <w:rPr>
          <w:b/>
          <w:szCs w:val="24"/>
        </w:rPr>
        <w:t>, nes jame pateikiama Jums svarbi informacija</w:t>
      </w:r>
      <w:r w:rsidRPr="005E49A1">
        <w:rPr>
          <w:b/>
          <w:szCs w:val="22"/>
        </w:rPr>
        <w:t>.</w:t>
      </w:r>
      <w:r w:rsidRPr="005E49A1">
        <w:rPr>
          <w:szCs w:val="22"/>
        </w:rPr>
        <w:t xml:space="preserve"> </w:t>
      </w:r>
    </w:p>
    <w:p w14:paraId="5DB7A56F" w14:textId="77777777" w:rsidR="00302C06" w:rsidRPr="005E49A1" w:rsidRDefault="00302C06" w:rsidP="00302C06">
      <w:pPr>
        <w:widowControl w:val="0"/>
        <w:numPr>
          <w:ilvl w:val="0"/>
          <w:numId w:val="14"/>
        </w:numPr>
        <w:tabs>
          <w:tab w:val="clear" w:pos="360"/>
          <w:tab w:val="left" w:pos="567"/>
        </w:tabs>
        <w:autoSpaceDE w:val="0"/>
        <w:autoSpaceDN w:val="0"/>
        <w:adjustRightInd w:val="0"/>
        <w:ind w:left="540" w:hanging="540"/>
        <w:rPr>
          <w:szCs w:val="22"/>
        </w:rPr>
      </w:pPr>
      <w:r w:rsidRPr="005E49A1">
        <w:rPr>
          <w:szCs w:val="22"/>
        </w:rPr>
        <w:t xml:space="preserve">Neišmeskite šio lapelio, nes vėl gali prireikti jį perskaityti. </w:t>
      </w:r>
    </w:p>
    <w:p w14:paraId="69527E3F" w14:textId="77777777" w:rsidR="00302C06" w:rsidRPr="005E49A1" w:rsidRDefault="00302C06" w:rsidP="00302C06">
      <w:pPr>
        <w:widowControl w:val="0"/>
        <w:numPr>
          <w:ilvl w:val="0"/>
          <w:numId w:val="14"/>
        </w:numPr>
        <w:tabs>
          <w:tab w:val="clear" w:pos="360"/>
          <w:tab w:val="left" w:pos="567"/>
        </w:tabs>
        <w:autoSpaceDE w:val="0"/>
        <w:autoSpaceDN w:val="0"/>
        <w:adjustRightInd w:val="0"/>
        <w:ind w:left="540" w:hanging="540"/>
        <w:rPr>
          <w:szCs w:val="22"/>
        </w:rPr>
      </w:pPr>
      <w:r w:rsidRPr="005E49A1">
        <w:rPr>
          <w:szCs w:val="22"/>
        </w:rPr>
        <w:t xml:space="preserve">Jeigu kiltų daugiau klausimų, kreipkitės į gydytoją arba vaistininką. </w:t>
      </w:r>
    </w:p>
    <w:p w14:paraId="1CC21872" w14:textId="77777777" w:rsidR="00302C06" w:rsidRPr="005E49A1" w:rsidRDefault="00302C06" w:rsidP="00302C06">
      <w:pPr>
        <w:widowControl w:val="0"/>
        <w:numPr>
          <w:ilvl w:val="0"/>
          <w:numId w:val="14"/>
        </w:numPr>
        <w:tabs>
          <w:tab w:val="clear" w:pos="360"/>
          <w:tab w:val="left" w:pos="567"/>
        </w:tabs>
        <w:autoSpaceDE w:val="0"/>
        <w:autoSpaceDN w:val="0"/>
        <w:adjustRightInd w:val="0"/>
        <w:ind w:left="540" w:hanging="540"/>
        <w:rPr>
          <w:szCs w:val="22"/>
        </w:rPr>
      </w:pPr>
      <w:r w:rsidRPr="005E49A1">
        <w:rPr>
          <w:szCs w:val="22"/>
        </w:rPr>
        <w:t xml:space="preserve">Šis vaistas skirtas tik Jums, todėl kitiems žmonėms jo duoti negalima. Vaistas gali jiems pakenkti (net tiems, kurių ligos požymiai yra tokie patys kaip Jūsų). </w:t>
      </w:r>
    </w:p>
    <w:p w14:paraId="5D3093EC" w14:textId="77777777" w:rsidR="00302C06" w:rsidRPr="005E49A1" w:rsidRDefault="00302C06" w:rsidP="00302C06">
      <w:pPr>
        <w:widowControl w:val="0"/>
        <w:numPr>
          <w:ilvl w:val="0"/>
          <w:numId w:val="14"/>
        </w:numPr>
        <w:tabs>
          <w:tab w:val="clear" w:pos="360"/>
          <w:tab w:val="left" w:pos="567"/>
        </w:tabs>
        <w:autoSpaceDE w:val="0"/>
        <w:autoSpaceDN w:val="0"/>
        <w:adjustRightInd w:val="0"/>
        <w:ind w:left="540" w:hanging="540"/>
        <w:rPr>
          <w:szCs w:val="22"/>
        </w:rPr>
      </w:pPr>
      <w:r w:rsidRPr="005E49A1">
        <w:rPr>
          <w:szCs w:val="22"/>
        </w:rPr>
        <w:t>Jeigu pasireiškė šalutinis</w:t>
      </w:r>
      <w:r>
        <w:rPr>
          <w:szCs w:val="22"/>
        </w:rPr>
        <w:t xml:space="preserve"> poveikis</w:t>
      </w:r>
      <w:r w:rsidRPr="005E49A1">
        <w:rPr>
          <w:szCs w:val="22"/>
        </w:rPr>
        <w:t xml:space="preserve"> </w:t>
      </w:r>
      <w:r w:rsidRPr="000D7C83">
        <w:rPr>
          <w:noProof/>
          <w:snapToGrid w:val="0"/>
          <w:szCs w:val="24"/>
        </w:rPr>
        <w:t>(net jeigu jis šiame lapel</w:t>
      </w:r>
      <w:r>
        <w:rPr>
          <w:noProof/>
          <w:snapToGrid w:val="0"/>
          <w:szCs w:val="24"/>
        </w:rPr>
        <w:t>yje nenurodytas), kreipkitės į gydytoją</w:t>
      </w:r>
      <w:r w:rsidRPr="000D7C83">
        <w:rPr>
          <w:noProof/>
          <w:snapToGrid w:val="0"/>
          <w:szCs w:val="24"/>
        </w:rPr>
        <w:t xml:space="preserve"> arba vaistininką</w:t>
      </w:r>
      <w:r w:rsidRPr="005E49A1">
        <w:rPr>
          <w:szCs w:val="22"/>
        </w:rPr>
        <w:t xml:space="preserve">. </w:t>
      </w:r>
      <w:r w:rsidRPr="005E49A1">
        <w:rPr>
          <w:noProof/>
          <w:szCs w:val="24"/>
        </w:rPr>
        <w:t>Žr. 4 skyrių.</w:t>
      </w:r>
    </w:p>
    <w:p w14:paraId="2BA79BA7" w14:textId="77777777" w:rsidR="00302C06" w:rsidRDefault="00302C06" w:rsidP="00302C06">
      <w:pPr>
        <w:widowControl w:val="0"/>
        <w:tabs>
          <w:tab w:val="left" w:pos="567"/>
        </w:tabs>
        <w:autoSpaceDE w:val="0"/>
        <w:autoSpaceDN w:val="0"/>
        <w:adjustRightInd w:val="0"/>
        <w:ind w:left="560" w:hanging="560"/>
        <w:rPr>
          <w:szCs w:val="22"/>
        </w:rPr>
      </w:pPr>
    </w:p>
    <w:p w14:paraId="2EDD60C9" w14:textId="77777777" w:rsidR="007B48B2" w:rsidRPr="005E49A1" w:rsidRDefault="007B48B2" w:rsidP="00302C06">
      <w:pPr>
        <w:widowControl w:val="0"/>
        <w:tabs>
          <w:tab w:val="left" w:pos="567"/>
        </w:tabs>
        <w:autoSpaceDE w:val="0"/>
        <w:autoSpaceDN w:val="0"/>
        <w:adjustRightInd w:val="0"/>
        <w:ind w:left="560" w:hanging="560"/>
        <w:rPr>
          <w:szCs w:val="22"/>
        </w:rPr>
      </w:pPr>
    </w:p>
    <w:p w14:paraId="580B241E" w14:textId="77777777" w:rsidR="00302C06" w:rsidRDefault="00302C06" w:rsidP="00302C06">
      <w:pPr>
        <w:numPr>
          <w:ilvl w:val="12"/>
          <w:numId w:val="0"/>
        </w:numPr>
        <w:ind w:left="5040" w:right="-2" w:hanging="5040"/>
        <w:rPr>
          <w:b/>
        </w:rPr>
      </w:pPr>
      <w:r w:rsidRPr="005E49A1">
        <w:rPr>
          <w:b/>
        </w:rPr>
        <w:t>Apie ką rašoma šiame lapelyje?</w:t>
      </w:r>
    </w:p>
    <w:p w14:paraId="3E75738E" w14:textId="77777777" w:rsidR="00302C06" w:rsidRPr="005E49A1" w:rsidRDefault="00302C06" w:rsidP="00302C06">
      <w:pPr>
        <w:numPr>
          <w:ilvl w:val="12"/>
          <w:numId w:val="0"/>
        </w:numPr>
        <w:ind w:left="5040" w:right="-2" w:hanging="5040"/>
      </w:pPr>
    </w:p>
    <w:p w14:paraId="3ADEF490" w14:textId="77777777" w:rsidR="00302C06" w:rsidRPr="00444E1A" w:rsidRDefault="00302C06" w:rsidP="00302C06">
      <w:pPr>
        <w:widowControl w:val="0"/>
        <w:numPr>
          <w:ilvl w:val="0"/>
          <w:numId w:val="13"/>
        </w:numPr>
        <w:tabs>
          <w:tab w:val="clear" w:pos="360"/>
          <w:tab w:val="left" w:pos="567"/>
        </w:tabs>
        <w:autoSpaceDE w:val="0"/>
        <w:autoSpaceDN w:val="0"/>
        <w:adjustRightInd w:val="0"/>
        <w:ind w:left="540" w:right="-20" w:hanging="540"/>
        <w:rPr>
          <w:szCs w:val="22"/>
        </w:rPr>
      </w:pPr>
      <w:r w:rsidRPr="005E49A1">
        <w:rPr>
          <w:szCs w:val="22"/>
        </w:rPr>
        <w:t xml:space="preserve">Kas yra BAXOGAR ir kam jis vartojamos </w:t>
      </w:r>
    </w:p>
    <w:p w14:paraId="16591A52" w14:textId="77777777" w:rsidR="00302C06" w:rsidRPr="00444E1A" w:rsidRDefault="00302C06" w:rsidP="00302C06">
      <w:pPr>
        <w:widowControl w:val="0"/>
        <w:numPr>
          <w:ilvl w:val="0"/>
          <w:numId w:val="13"/>
        </w:numPr>
        <w:tabs>
          <w:tab w:val="clear" w:pos="360"/>
          <w:tab w:val="left" w:pos="567"/>
        </w:tabs>
        <w:autoSpaceDE w:val="0"/>
        <w:autoSpaceDN w:val="0"/>
        <w:adjustRightInd w:val="0"/>
        <w:ind w:left="540" w:right="-20" w:hanging="540"/>
        <w:rPr>
          <w:szCs w:val="22"/>
        </w:rPr>
      </w:pPr>
      <w:r w:rsidRPr="005E49A1">
        <w:rPr>
          <w:szCs w:val="22"/>
        </w:rPr>
        <w:t xml:space="preserve">Kas žinotina prieš vartojant BAXOGAR </w:t>
      </w:r>
    </w:p>
    <w:p w14:paraId="735385BE" w14:textId="77777777" w:rsidR="00302C06" w:rsidRPr="00444E1A" w:rsidRDefault="00302C06" w:rsidP="00302C06">
      <w:pPr>
        <w:widowControl w:val="0"/>
        <w:numPr>
          <w:ilvl w:val="0"/>
          <w:numId w:val="13"/>
        </w:numPr>
        <w:tabs>
          <w:tab w:val="clear" w:pos="360"/>
          <w:tab w:val="left" w:pos="567"/>
        </w:tabs>
        <w:autoSpaceDE w:val="0"/>
        <w:autoSpaceDN w:val="0"/>
        <w:adjustRightInd w:val="0"/>
        <w:ind w:left="540" w:right="-20" w:hanging="540"/>
        <w:rPr>
          <w:szCs w:val="22"/>
        </w:rPr>
      </w:pPr>
      <w:r w:rsidRPr="005E49A1">
        <w:rPr>
          <w:szCs w:val="22"/>
        </w:rPr>
        <w:t xml:space="preserve">Kaip vartoti BAXOGAR </w:t>
      </w:r>
    </w:p>
    <w:p w14:paraId="663EAE93" w14:textId="77777777" w:rsidR="00302C06" w:rsidRPr="00444E1A" w:rsidRDefault="00302C06" w:rsidP="00302C06">
      <w:pPr>
        <w:widowControl w:val="0"/>
        <w:numPr>
          <w:ilvl w:val="0"/>
          <w:numId w:val="13"/>
        </w:numPr>
        <w:tabs>
          <w:tab w:val="clear" w:pos="360"/>
          <w:tab w:val="left" w:pos="567"/>
        </w:tabs>
        <w:autoSpaceDE w:val="0"/>
        <w:autoSpaceDN w:val="0"/>
        <w:adjustRightInd w:val="0"/>
        <w:ind w:left="540" w:right="-20" w:hanging="540"/>
        <w:rPr>
          <w:szCs w:val="22"/>
        </w:rPr>
      </w:pPr>
      <w:r w:rsidRPr="005E49A1">
        <w:rPr>
          <w:szCs w:val="22"/>
        </w:rPr>
        <w:t>Galimas šalutinis poveikis</w:t>
      </w:r>
      <w:r w:rsidRPr="00444E1A">
        <w:rPr>
          <w:szCs w:val="22"/>
        </w:rPr>
        <w:t xml:space="preserve"> </w:t>
      </w:r>
    </w:p>
    <w:p w14:paraId="0DBC349E" w14:textId="77777777" w:rsidR="00302C06" w:rsidRPr="00444E1A" w:rsidRDefault="00302C06" w:rsidP="00302C06">
      <w:pPr>
        <w:widowControl w:val="0"/>
        <w:numPr>
          <w:ilvl w:val="0"/>
          <w:numId w:val="13"/>
        </w:numPr>
        <w:tabs>
          <w:tab w:val="clear" w:pos="360"/>
          <w:tab w:val="left" w:pos="567"/>
        </w:tabs>
        <w:autoSpaceDE w:val="0"/>
        <w:autoSpaceDN w:val="0"/>
        <w:adjustRightInd w:val="0"/>
        <w:ind w:left="540" w:right="-20" w:hanging="540"/>
        <w:rPr>
          <w:szCs w:val="22"/>
        </w:rPr>
      </w:pPr>
      <w:r w:rsidRPr="005E49A1">
        <w:rPr>
          <w:szCs w:val="22"/>
        </w:rPr>
        <w:t xml:space="preserve">Kaip laikyti BAXOGAR </w:t>
      </w:r>
    </w:p>
    <w:p w14:paraId="083B4481" w14:textId="77777777" w:rsidR="00302C06" w:rsidRPr="00444E1A" w:rsidRDefault="00302C06" w:rsidP="00302C06">
      <w:pPr>
        <w:widowControl w:val="0"/>
        <w:numPr>
          <w:ilvl w:val="0"/>
          <w:numId w:val="13"/>
        </w:numPr>
        <w:tabs>
          <w:tab w:val="clear" w:pos="360"/>
          <w:tab w:val="left" w:pos="567"/>
        </w:tabs>
        <w:autoSpaceDE w:val="0"/>
        <w:autoSpaceDN w:val="0"/>
        <w:adjustRightInd w:val="0"/>
        <w:ind w:left="540" w:right="-20" w:hanging="540"/>
        <w:rPr>
          <w:szCs w:val="22"/>
        </w:rPr>
      </w:pPr>
      <w:r w:rsidRPr="005E49A1">
        <w:t>Pakuotės turinys ir kita informacija</w:t>
      </w:r>
      <w:r w:rsidRPr="005E49A1" w:rsidDel="00660A8F">
        <w:rPr>
          <w:szCs w:val="22"/>
        </w:rPr>
        <w:t xml:space="preserve"> </w:t>
      </w:r>
      <w:r w:rsidRPr="00444E1A">
        <w:rPr>
          <w:szCs w:val="22"/>
        </w:rPr>
        <w:t xml:space="preserve"> </w:t>
      </w:r>
    </w:p>
    <w:p w14:paraId="64BFB7B1" w14:textId="77777777" w:rsidR="00302C06" w:rsidRPr="00444E1A" w:rsidRDefault="00302C06" w:rsidP="00302C06">
      <w:pPr>
        <w:numPr>
          <w:ilvl w:val="12"/>
          <w:numId w:val="0"/>
        </w:numPr>
        <w:tabs>
          <w:tab w:val="left" w:pos="567"/>
          <w:tab w:val="left" w:pos="708"/>
        </w:tabs>
        <w:rPr>
          <w:szCs w:val="22"/>
        </w:rPr>
      </w:pPr>
    </w:p>
    <w:p w14:paraId="29F6EF4C" w14:textId="77777777" w:rsidR="00302C06" w:rsidRPr="00444E1A" w:rsidRDefault="00302C06" w:rsidP="00302C06">
      <w:pPr>
        <w:numPr>
          <w:ilvl w:val="12"/>
          <w:numId w:val="0"/>
        </w:numPr>
        <w:tabs>
          <w:tab w:val="left" w:pos="567"/>
          <w:tab w:val="left" w:pos="708"/>
        </w:tabs>
        <w:rPr>
          <w:szCs w:val="22"/>
        </w:rPr>
      </w:pPr>
    </w:p>
    <w:p w14:paraId="014702F7" w14:textId="77777777" w:rsidR="00302C06" w:rsidRPr="005E49A1" w:rsidRDefault="00302C06" w:rsidP="00302C06">
      <w:pPr>
        <w:widowControl w:val="0"/>
        <w:autoSpaceDE w:val="0"/>
        <w:autoSpaceDN w:val="0"/>
        <w:adjustRightInd w:val="0"/>
        <w:ind w:left="540" w:hanging="540"/>
        <w:rPr>
          <w:b/>
          <w:szCs w:val="22"/>
        </w:rPr>
      </w:pPr>
      <w:r w:rsidRPr="005E49A1">
        <w:rPr>
          <w:b/>
          <w:szCs w:val="22"/>
        </w:rPr>
        <w:t>1.</w:t>
      </w:r>
      <w:r w:rsidRPr="005E49A1">
        <w:rPr>
          <w:b/>
          <w:szCs w:val="22"/>
        </w:rPr>
        <w:tab/>
      </w:r>
      <w:r w:rsidRPr="005E49A1">
        <w:rPr>
          <w:b/>
        </w:rPr>
        <w:t>Kas yra BAXOGAR ir kam jis vartojamas</w:t>
      </w:r>
    </w:p>
    <w:p w14:paraId="1C4974BB" w14:textId="77777777" w:rsidR="00302C06" w:rsidRPr="00444E1A" w:rsidRDefault="00302C06" w:rsidP="00302C06">
      <w:pPr>
        <w:pStyle w:val="Default"/>
        <w:tabs>
          <w:tab w:val="left" w:pos="567"/>
        </w:tabs>
        <w:ind w:left="560" w:hanging="560"/>
        <w:rPr>
          <w:color w:val="auto"/>
          <w:sz w:val="22"/>
          <w:szCs w:val="22"/>
          <w:lang w:val="lt-LT"/>
        </w:rPr>
      </w:pPr>
    </w:p>
    <w:p w14:paraId="490FE9D9" w14:textId="77777777" w:rsidR="00302C06" w:rsidRPr="00444E1A" w:rsidRDefault="00302C06" w:rsidP="00302C06">
      <w:pPr>
        <w:pStyle w:val="Default"/>
        <w:tabs>
          <w:tab w:val="left" w:pos="567"/>
        </w:tabs>
        <w:rPr>
          <w:color w:val="auto"/>
          <w:sz w:val="22"/>
          <w:szCs w:val="22"/>
          <w:lang w:val="lt-LT"/>
        </w:rPr>
      </w:pPr>
      <w:r w:rsidRPr="005E49A1">
        <w:rPr>
          <w:spacing w:val="-3"/>
          <w:sz w:val="22"/>
          <w:szCs w:val="22"/>
          <w:lang w:val="lt-LT"/>
        </w:rPr>
        <w:t>BAXOGAR priklauso vaistų grupei, vadinamai bisfosfonatais.</w:t>
      </w:r>
      <w:r w:rsidRPr="00444E1A">
        <w:rPr>
          <w:color w:val="auto"/>
          <w:sz w:val="22"/>
          <w:szCs w:val="22"/>
          <w:lang w:val="lt-LT"/>
        </w:rPr>
        <w:t xml:space="preserve"> Jo </w:t>
      </w:r>
      <w:r w:rsidRPr="005E49A1">
        <w:rPr>
          <w:spacing w:val="-3"/>
          <w:sz w:val="22"/>
          <w:szCs w:val="22"/>
          <w:lang w:val="lt-LT"/>
        </w:rPr>
        <w:t xml:space="preserve">sudėtyje yra </w:t>
      </w:r>
      <w:r w:rsidRPr="005E49A1">
        <w:rPr>
          <w:sz w:val="22"/>
          <w:szCs w:val="22"/>
          <w:lang w:val="lt-LT"/>
        </w:rPr>
        <w:t>veikliosios medžiagos</w:t>
      </w:r>
      <w:r w:rsidRPr="005E49A1">
        <w:rPr>
          <w:spacing w:val="-3"/>
          <w:sz w:val="22"/>
          <w:szCs w:val="22"/>
          <w:lang w:val="lt-LT"/>
        </w:rPr>
        <w:t xml:space="preserve"> ibandrono rūgšties.</w:t>
      </w:r>
      <w:r w:rsidRPr="00444E1A">
        <w:rPr>
          <w:sz w:val="22"/>
          <w:szCs w:val="22"/>
          <w:lang w:val="lt-LT"/>
        </w:rPr>
        <w:t xml:space="preserve"> </w:t>
      </w:r>
    </w:p>
    <w:p w14:paraId="028B0CDB" w14:textId="77777777" w:rsidR="00302C06" w:rsidRPr="00444E1A" w:rsidRDefault="00302C06" w:rsidP="00302C06">
      <w:pPr>
        <w:pStyle w:val="Default"/>
        <w:tabs>
          <w:tab w:val="left" w:pos="567"/>
        </w:tabs>
        <w:rPr>
          <w:sz w:val="22"/>
          <w:szCs w:val="22"/>
          <w:lang w:val="lt-LT"/>
        </w:rPr>
      </w:pPr>
      <w:r w:rsidRPr="005E49A1">
        <w:rPr>
          <w:spacing w:val="-3"/>
          <w:sz w:val="22"/>
          <w:szCs w:val="22"/>
          <w:lang w:val="lt-LT"/>
        </w:rPr>
        <w:t>BAXOGAR gali panaikinti kaulų retėjimą sustabdydama kaulinio audinio nykimą ir didindama kaulų masę daugumai moterų, kurios vartoja šį vaistą, net jeigu jos ir negalės pastebėti ar pajusti skirtumo.</w:t>
      </w:r>
      <w:r w:rsidRPr="00444E1A">
        <w:rPr>
          <w:sz w:val="22"/>
          <w:szCs w:val="22"/>
          <w:lang w:val="lt-LT"/>
        </w:rPr>
        <w:t xml:space="preserve"> </w:t>
      </w:r>
      <w:r w:rsidRPr="005E49A1">
        <w:rPr>
          <w:spacing w:val="-3"/>
          <w:sz w:val="22"/>
          <w:szCs w:val="22"/>
          <w:lang w:val="lt-LT"/>
        </w:rPr>
        <w:t>BAXOGAR gali sumažinti kaulų lūžių riziką.</w:t>
      </w:r>
      <w:r w:rsidRPr="00444E1A">
        <w:rPr>
          <w:sz w:val="22"/>
          <w:szCs w:val="22"/>
          <w:lang w:val="lt-LT"/>
        </w:rPr>
        <w:t xml:space="preserve"> </w:t>
      </w:r>
      <w:r w:rsidRPr="005E49A1">
        <w:rPr>
          <w:spacing w:val="-3"/>
          <w:sz w:val="22"/>
          <w:szCs w:val="22"/>
          <w:lang w:val="lt-LT"/>
        </w:rPr>
        <w:t>Įrodyta, kad vaistas sumažina stuburo slankstelių, bet ne šlaunikaulio</w:t>
      </w:r>
      <w:r w:rsidRPr="005E49A1">
        <w:rPr>
          <w:spacing w:val="-4"/>
          <w:sz w:val="22"/>
          <w:szCs w:val="22"/>
          <w:lang w:val="lt-LT"/>
        </w:rPr>
        <w:t>, lūžių riziką.</w:t>
      </w:r>
    </w:p>
    <w:p w14:paraId="2B78CF47" w14:textId="77777777" w:rsidR="00302C06" w:rsidRPr="00444E1A" w:rsidRDefault="00302C06" w:rsidP="00302C06">
      <w:pPr>
        <w:pStyle w:val="Default"/>
        <w:tabs>
          <w:tab w:val="left" w:pos="567"/>
        </w:tabs>
        <w:ind w:left="560" w:hanging="560"/>
        <w:rPr>
          <w:color w:val="auto"/>
          <w:sz w:val="22"/>
          <w:szCs w:val="22"/>
          <w:lang w:val="lt-LT"/>
        </w:rPr>
      </w:pPr>
    </w:p>
    <w:p w14:paraId="54B4A698" w14:textId="77777777" w:rsidR="00302C06" w:rsidRPr="00444E1A" w:rsidRDefault="00302C06" w:rsidP="00302C06">
      <w:pPr>
        <w:pStyle w:val="Default"/>
        <w:tabs>
          <w:tab w:val="left" w:pos="567"/>
        </w:tabs>
        <w:rPr>
          <w:color w:val="auto"/>
          <w:sz w:val="22"/>
          <w:szCs w:val="22"/>
          <w:lang w:val="lt-LT"/>
        </w:rPr>
      </w:pPr>
      <w:r w:rsidRPr="005E49A1">
        <w:rPr>
          <w:b/>
          <w:spacing w:val="-3"/>
          <w:sz w:val="22"/>
          <w:szCs w:val="22"/>
          <w:lang w:val="lt-LT"/>
        </w:rPr>
        <w:t xml:space="preserve">BAXOGAR </w:t>
      </w:r>
      <w:r w:rsidRPr="005E49A1">
        <w:rPr>
          <w:b/>
          <w:sz w:val="22"/>
          <w:szCs w:val="22"/>
          <w:lang w:val="lt-LT"/>
        </w:rPr>
        <w:t>skiriama osteoporozės po menopauzės gydymui, kai kaulų lūžių rizika yra padidėjusi</w:t>
      </w:r>
      <w:r w:rsidRPr="005E49A1">
        <w:rPr>
          <w:b/>
          <w:spacing w:val="-3"/>
          <w:sz w:val="22"/>
          <w:szCs w:val="22"/>
          <w:lang w:val="lt-LT"/>
        </w:rPr>
        <w:t>.</w:t>
      </w:r>
      <w:r w:rsidRPr="00444E1A">
        <w:rPr>
          <w:color w:val="auto"/>
          <w:sz w:val="22"/>
          <w:szCs w:val="22"/>
          <w:lang w:val="lt-LT"/>
        </w:rPr>
        <w:t xml:space="preserve"> </w:t>
      </w:r>
      <w:r w:rsidRPr="005E49A1">
        <w:rPr>
          <w:spacing w:val="-3"/>
          <w:sz w:val="22"/>
          <w:szCs w:val="22"/>
          <w:lang w:val="lt-LT"/>
        </w:rPr>
        <w:t>Osteoporozė yra kaulų išretėjimas ir susilpnėjimas. Šis sutrikimas būdingas moterims po menopauzės.</w:t>
      </w:r>
      <w:r w:rsidRPr="00444E1A">
        <w:rPr>
          <w:color w:val="auto"/>
          <w:sz w:val="22"/>
          <w:szCs w:val="22"/>
          <w:lang w:val="lt-LT"/>
        </w:rPr>
        <w:t xml:space="preserve"> </w:t>
      </w:r>
      <w:r w:rsidRPr="005E49A1">
        <w:rPr>
          <w:spacing w:val="-3"/>
          <w:sz w:val="22"/>
          <w:szCs w:val="22"/>
          <w:lang w:val="lt-LT"/>
        </w:rPr>
        <w:t>Menopauzės metu moters kiaušidės nustoja gaminti moteriškąjį lytinį hormoną estrogeną, kuris padeda išlaikyti jos skeletą sveiką.</w:t>
      </w:r>
    </w:p>
    <w:p w14:paraId="3167F0DB" w14:textId="77777777" w:rsidR="00302C06" w:rsidRPr="00444E1A" w:rsidRDefault="00302C06" w:rsidP="00302C06">
      <w:pPr>
        <w:pStyle w:val="Default"/>
        <w:tabs>
          <w:tab w:val="left" w:pos="567"/>
        </w:tabs>
        <w:ind w:left="560" w:hanging="560"/>
        <w:rPr>
          <w:color w:val="auto"/>
          <w:sz w:val="22"/>
          <w:szCs w:val="22"/>
          <w:lang w:val="lt-LT"/>
        </w:rPr>
      </w:pPr>
    </w:p>
    <w:p w14:paraId="7B8FE104" w14:textId="77777777" w:rsidR="00302C06" w:rsidRPr="00444E1A" w:rsidRDefault="00302C06" w:rsidP="00302C06">
      <w:pPr>
        <w:pStyle w:val="Default"/>
        <w:tabs>
          <w:tab w:val="left" w:pos="567"/>
        </w:tabs>
        <w:rPr>
          <w:color w:val="auto"/>
          <w:sz w:val="22"/>
          <w:szCs w:val="22"/>
          <w:lang w:val="lt-LT"/>
        </w:rPr>
      </w:pPr>
      <w:r w:rsidRPr="005E49A1">
        <w:rPr>
          <w:spacing w:val="-3"/>
          <w:sz w:val="22"/>
          <w:szCs w:val="22"/>
          <w:lang w:val="lt-LT"/>
        </w:rPr>
        <w:t>Kuo anksčiau moteriai prasideda menopauzė, tuo didesnė osteoporozės pažeistų kaulų lūžių rizika.</w:t>
      </w:r>
      <w:r w:rsidRPr="00444E1A">
        <w:rPr>
          <w:color w:val="auto"/>
          <w:sz w:val="22"/>
          <w:szCs w:val="22"/>
          <w:lang w:val="lt-LT"/>
        </w:rPr>
        <w:t xml:space="preserve"> </w:t>
      </w:r>
      <w:r w:rsidRPr="005E49A1">
        <w:rPr>
          <w:spacing w:val="-4"/>
          <w:sz w:val="22"/>
          <w:szCs w:val="22"/>
          <w:lang w:val="lt-LT"/>
        </w:rPr>
        <w:t>Kiti veiksniai, kurie gali didinti kaulų lūžių riziką, yra:</w:t>
      </w:r>
      <w:r w:rsidRPr="00444E1A">
        <w:rPr>
          <w:color w:val="auto"/>
          <w:sz w:val="22"/>
          <w:szCs w:val="22"/>
          <w:lang w:val="lt-LT"/>
        </w:rPr>
        <w:t xml:space="preserve"> </w:t>
      </w:r>
    </w:p>
    <w:p w14:paraId="59B84007" w14:textId="77777777" w:rsidR="00302C06" w:rsidRPr="00444E1A" w:rsidRDefault="00302C06" w:rsidP="00302C06">
      <w:pPr>
        <w:pStyle w:val="Default"/>
        <w:widowControl w:val="0"/>
        <w:numPr>
          <w:ilvl w:val="0"/>
          <w:numId w:val="16"/>
        </w:numPr>
        <w:tabs>
          <w:tab w:val="clear" w:pos="360"/>
          <w:tab w:val="left" w:pos="567"/>
        </w:tabs>
        <w:ind w:left="540" w:hanging="540"/>
        <w:rPr>
          <w:color w:val="auto"/>
          <w:sz w:val="22"/>
          <w:szCs w:val="22"/>
          <w:lang w:val="lt-LT"/>
        </w:rPr>
      </w:pPr>
      <w:r w:rsidRPr="005E49A1">
        <w:rPr>
          <w:spacing w:val="-3"/>
          <w:sz w:val="22"/>
          <w:szCs w:val="22"/>
          <w:lang w:val="lt-LT"/>
        </w:rPr>
        <w:t>nepakankamas kalcio ir vitamino D kiekis maiste;</w:t>
      </w:r>
      <w:r w:rsidRPr="00444E1A">
        <w:rPr>
          <w:color w:val="auto"/>
          <w:sz w:val="22"/>
          <w:szCs w:val="22"/>
          <w:lang w:val="lt-LT"/>
        </w:rPr>
        <w:t xml:space="preserve"> </w:t>
      </w:r>
    </w:p>
    <w:p w14:paraId="0C7D23D7" w14:textId="77777777" w:rsidR="00302C06" w:rsidRPr="00444E1A" w:rsidRDefault="00302C06" w:rsidP="00302C06">
      <w:pPr>
        <w:pStyle w:val="Default"/>
        <w:widowControl w:val="0"/>
        <w:numPr>
          <w:ilvl w:val="0"/>
          <w:numId w:val="16"/>
        </w:numPr>
        <w:tabs>
          <w:tab w:val="clear" w:pos="360"/>
          <w:tab w:val="left" w:pos="567"/>
        </w:tabs>
        <w:ind w:left="540" w:hanging="540"/>
        <w:rPr>
          <w:color w:val="auto"/>
          <w:sz w:val="22"/>
          <w:szCs w:val="22"/>
          <w:lang w:val="lt-LT"/>
        </w:rPr>
      </w:pPr>
      <w:r w:rsidRPr="005E49A1">
        <w:rPr>
          <w:spacing w:val="-3"/>
          <w:sz w:val="22"/>
          <w:szCs w:val="22"/>
          <w:lang w:val="lt-LT"/>
        </w:rPr>
        <w:t>rūkymas ar per gausus alkoholio vartojimas;</w:t>
      </w:r>
      <w:r w:rsidRPr="00444E1A">
        <w:rPr>
          <w:color w:val="auto"/>
          <w:sz w:val="22"/>
          <w:szCs w:val="22"/>
          <w:lang w:val="lt-LT"/>
        </w:rPr>
        <w:t xml:space="preserve"> </w:t>
      </w:r>
    </w:p>
    <w:p w14:paraId="37D493AC" w14:textId="77777777" w:rsidR="00302C06" w:rsidRPr="00444E1A" w:rsidRDefault="00302C06" w:rsidP="00302C06">
      <w:pPr>
        <w:pStyle w:val="Default"/>
        <w:widowControl w:val="0"/>
        <w:numPr>
          <w:ilvl w:val="0"/>
          <w:numId w:val="16"/>
        </w:numPr>
        <w:tabs>
          <w:tab w:val="clear" w:pos="360"/>
          <w:tab w:val="left" w:pos="567"/>
        </w:tabs>
        <w:ind w:left="540" w:hanging="540"/>
        <w:rPr>
          <w:color w:val="auto"/>
          <w:sz w:val="22"/>
          <w:szCs w:val="22"/>
          <w:lang w:val="lt-LT"/>
        </w:rPr>
      </w:pPr>
      <w:r w:rsidRPr="005E49A1">
        <w:rPr>
          <w:spacing w:val="-3"/>
          <w:sz w:val="22"/>
          <w:szCs w:val="22"/>
          <w:lang w:val="lt-LT"/>
        </w:rPr>
        <w:t>vaikščiojimo ar kitų kūno svorį palaikančių pratimų stoka;</w:t>
      </w:r>
      <w:r w:rsidRPr="00444E1A">
        <w:rPr>
          <w:color w:val="auto"/>
          <w:sz w:val="22"/>
          <w:szCs w:val="22"/>
          <w:lang w:val="lt-LT"/>
        </w:rPr>
        <w:t xml:space="preserve"> </w:t>
      </w:r>
    </w:p>
    <w:p w14:paraId="7131F989" w14:textId="77777777" w:rsidR="00302C06" w:rsidRPr="00444E1A" w:rsidRDefault="00302C06" w:rsidP="00302C06">
      <w:pPr>
        <w:pStyle w:val="Default"/>
        <w:widowControl w:val="0"/>
        <w:numPr>
          <w:ilvl w:val="0"/>
          <w:numId w:val="16"/>
        </w:numPr>
        <w:tabs>
          <w:tab w:val="clear" w:pos="360"/>
          <w:tab w:val="left" w:pos="567"/>
        </w:tabs>
        <w:ind w:left="540" w:hanging="540"/>
        <w:rPr>
          <w:color w:val="auto"/>
          <w:sz w:val="22"/>
          <w:lang w:val="lt-LT"/>
        </w:rPr>
      </w:pPr>
      <w:r w:rsidRPr="005E49A1">
        <w:rPr>
          <w:spacing w:val="-3"/>
          <w:sz w:val="22"/>
          <w:szCs w:val="22"/>
          <w:lang w:val="lt-LT"/>
        </w:rPr>
        <w:t>buvusi osteoporozė kraujo giminaičiams.</w:t>
      </w:r>
      <w:r w:rsidRPr="00444E1A">
        <w:rPr>
          <w:color w:val="auto"/>
          <w:sz w:val="22"/>
          <w:szCs w:val="22"/>
          <w:lang w:val="lt-LT"/>
        </w:rPr>
        <w:t xml:space="preserve"> </w:t>
      </w:r>
    </w:p>
    <w:p w14:paraId="253EE49F" w14:textId="77777777" w:rsidR="00302C06" w:rsidRPr="00444E1A" w:rsidRDefault="00302C06" w:rsidP="00302C06">
      <w:pPr>
        <w:pStyle w:val="Default"/>
        <w:tabs>
          <w:tab w:val="left" w:pos="567"/>
        </w:tabs>
        <w:rPr>
          <w:color w:val="auto"/>
          <w:sz w:val="22"/>
          <w:lang w:val="lt-LT"/>
        </w:rPr>
      </w:pPr>
    </w:p>
    <w:p w14:paraId="78D5784E" w14:textId="77777777" w:rsidR="00302C06" w:rsidRPr="005E49A1" w:rsidRDefault="00302C06" w:rsidP="00302C06">
      <w:pPr>
        <w:pStyle w:val="Default"/>
        <w:tabs>
          <w:tab w:val="left" w:pos="567"/>
        </w:tabs>
        <w:rPr>
          <w:spacing w:val="-3"/>
          <w:sz w:val="22"/>
          <w:szCs w:val="22"/>
          <w:lang w:val="lt-LT"/>
        </w:rPr>
      </w:pPr>
      <w:r w:rsidRPr="005E49A1">
        <w:rPr>
          <w:b/>
          <w:spacing w:val="-3"/>
          <w:sz w:val="22"/>
          <w:szCs w:val="22"/>
          <w:lang w:val="lt-LT"/>
        </w:rPr>
        <w:t>Sveikas gyvenimo būdas</w:t>
      </w:r>
      <w:r w:rsidRPr="005E49A1">
        <w:rPr>
          <w:spacing w:val="-3"/>
          <w:sz w:val="22"/>
          <w:szCs w:val="22"/>
          <w:lang w:val="lt-LT"/>
        </w:rPr>
        <w:t xml:space="preserve"> taip pat padės padidinti Jūsų gydymo naudą.</w:t>
      </w:r>
      <w:r w:rsidRPr="005E49A1">
        <w:rPr>
          <w:color w:val="auto"/>
          <w:sz w:val="22"/>
          <w:szCs w:val="22"/>
          <w:lang w:val="lt-LT"/>
        </w:rPr>
        <w:t xml:space="preserve"> </w:t>
      </w:r>
      <w:r w:rsidRPr="005E49A1">
        <w:rPr>
          <w:spacing w:val="-3"/>
          <w:sz w:val="22"/>
          <w:szCs w:val="22"/>
          <w:lang w:val="lt-LT"/>
        </w:rPr>
        <w:t>Vadinasi, reikia:</w:t>
      </w:r>
    </w:p>
    <w:p w14:paraId="307552A8" w14:textId="77777777" w:rsidR="00302C06" w:rsidRPr="005E49A1" w:rsidRDefault="00302C06" w:rsidP="00302C06">
      <w:pPr>
        <w:pStyle w:val="Default"/>
        <w:numPr>
          <w:ilvl w:val="0"/>
          <w:numId w:val="25"/>
        </w:numPr>
        <w:tabs>
          <w:tab w:val="left" w:pos="567"/>
        </w:tabs>
        <w:rPr>
          <w:color w:val="auto"/>
          <w:sz w:val="22"/>
          <w:szCs w:val="22"/>
          <w:lang w:val="lt-LT"/>
        </w:rPr>
      </w:pPr>
      <w:r w:rsidRPr="005E49A1">
        <w:rPr>
          <w:spacing w:val="-3"/>
          <w:sz w:val="22"/>
          <w:szCs w:val="22"/>
          <w:lang w:val="lt-LT"/>
        </w:rPr>
        <w:t xml:space="preserve">valgyti subalansuotą  maistą, kuriame gausu kalcio ir vitamino D, </w:t>
      </w:r>
    </w:p>
    <w:p w14:paraId="1FF0B67F" w14:textId="77777777" w:rsidR="00302C06" w:rsidRPr="005E49A1" w:rsidRDefault="00302C06" w:rsidP="00302C06">
      <w:pPr>
        <w:pStyle w:val="Default"/>
        <w:numPr>
          <w:ilvl w:val="0"/>
          <w:numId w:val="25"/>
        </w:numPr>
        <w:tabs>
          <w:tab w:val="left" w:pos="567"/>
        </w:tabs>
        <w:rPr>
          <w:color w:val="auto"/>
          <w:sz w:val="22"/>
          <w:szCs w:val="22"/>
          <w:lang w:val="lt-LT"/>
        </w:rPr>
      </w:pPr>
      <w:r w:rsidRPr="005E49A1">
        <w:rPr>
          <w:spacing w:val="-3"/>
          <w:sz w:val="22"/>
          <w:szCs w:val="22"/>
          <w:lang w:val="lt-LT"/>
        </w:rPr>
        <w:t xml:space="preserve">vaikščioti ar daryti kitus kūno svorį reguliuojančius pratimus, </w:t>
      </w:r>
    </w:p>
    <w:p w14:paraId="7095FA34" w14:textId="77777777" w:rsidR="00302C06" w:rsidRPr="005E49A1" w:rsidRDefault="00302C06" w:rsidP="00302C06">
      <w:pPr>
        <w:pStyle w:val="Default"/>
        <w:numPr>
          <w:ilvl w:val="0"/>
          <w:numId w:val="25"/>
        </w:numPr>
        <w:tabs>
          <w:tab w:val="left" w:pos="567"/>
        </w:tabs>
        <w:rPr>
          <w:color w:val="auto"/>
          <w:sz w:val="22"/>
          <w:szCs w:val="22"/>
          <w:lang w:val="lt-LT"/>
        </w:rPr>
      </w:pPr>
      <w:r w:rsidRPr="005E49A1">
        <w:rPr>
          <w:spacing w:val="-3"/>
          <w:sz w:val="22"/>
          <w:szCs w:val="22"/>
          <w:lang w:val="lt-LT"/>
        </w:rPr>
        <w:t xml:space="preserve">nerūkyti ir </w:t>
      </w:r>
      <w:r w:rsidRPr="005E49A1">
        <w:rPr>
          <w:spacing w:val="-4"/>
          <w:sz w:val="22"/>
          <w:szCs w:val="22"/>
          <w:lang w:val="lt-LT"/>
        </w:rPr>
        <w:t>negerti per daug alkoholio.</w:t>
      </w:r>
      <w:r w:rsidRPr="005E49A1">
        <w:rPr>
          <w:color w:val="auto"/>
          <w:sz w:val="22"/>
          <w:szCs w:val="22"/>
          <w:lang w:val="lt-LT"/>
        </w:rPr>
        <w:t xml:space="preserve"> </w:t>
      </w:r>
    </w:p>
    <w:p w14:paraId="44AC9573" w14:textId="77777777" w:rsidR="00302C06" w:rsidRPr="005E49A1" w:rsidRDefault="00302C06" w:rsidP="00302C06">
      <w:pPr>
        <w:tabs>
          <w:tab w:val="left" w:pos="567"/>
          <w:tab w:val="left" w:pos="1290"/>
        </w:tabs>
        <w:ind w:right="-2"/>
        <w:rPr>
          <w:szCs w:val="22"/>
        </w:rPr>
      </w:pPr>
    </w:p>
    <w:p w14:paraId="2BEE40A9" w14:textId="77777777" w:rsidR="00302C06" w:rsidRPr="005E49A1" w:rsidRDefault="00302C06" w:rsidP="00302C06">
      <w:pPr>
        <w:tabs>
          <w:tab w:val="left" w:pos="567"/>
          <w:tab w:val="left" w:pos="1290"/>
        </w:tabs>
        <w:ind w:right="-2"/>
        <w:rPr>
          <w:szCs w:val="22"/>
        </w:rPr>
      </w:pPr>
    </w:p>
    <w:p w14:paraId="6E334BBD" w14:textId="77777777" w:rsidR="00302C06" w:rsidRPr="00444E1A" w:rsidRDefault="00302C06" w:rsidP="00302C06">
      <w:pPr>
        <w:widowControl w:val="0"/>
        <w:tabs>
          <w:tab w:val="left" w:pos="567"/>
        </w:tabs>
        <w:autoSpaceDE w:val="0"/>
        <w:autoSpaceDN w:val="0"/>
        <w:adjustRightInd w:val="0"/>
        <w:ind w:left="540" w:hanging="540"/>
        <w:rPr>
          <w:b/>
        </w:rPr>
      </w:pPr>
      <w:r w:rsidRPr="005E49A1">
        <w:rPr>
          <w:b/>
          <w:szCs w:val="22"/>
        </w:rPr>
        <w:t>2.</w:t>
      </w:r>
      <w:r w:rsidRPr="005E49A1">
        <w:rPr>
          <w:b/>
          <w:szCs w:val="22"/>
        </w:rPr>
        <w:tab/>
      </w:r>
      <w:r w:rsidRPr="005E49A1">
        <w:rPr>
          <w:b/>
        </w:rPr>
        <w:t xml:space="preserve">Kas žinotina prieš vartojant </w:t>
      </w:r>
      <w:r w:rsidRPr="005E49A1">
        <w:rPr>
          <w:b/>
          <w:szCs w:val="22"/>
        </w:rPr>
        <w:t xml:space="preserve">BAXOGAR </w:t>
      </w:r>
    </w:p>
    <w:p w14:paraId="40ED8247" w14:textId="77777777" w:rsidR="00302C06" w:rsidRPr="00444E1A" w:rsidRDefault="00302C06" w:rsidP="00302C06">
      <w:pPr>
        <w:widowControl w:val="0"/>
        <w:tabs>
          <w:tab w:val="left" w:pos="567"/>
        </w:tabs>
        <w:autoSpaceDE w:val="0"/>
        <w:autoSpaceDN w:val="0"/>
        <w:adjustRightInd w:val="0"/>
        <w:ind w:left="540" w:hanging="540"/>
        <w:rPr>
          <w:szCs w:val="22"/>
        </w:rPr>
      </w:pPr>
    </w:p>
    <w:p w14:paraId="72ABB7EE" w14:textId="77777777" w:rsidR="00302C06" w:rsidRPr="00444E1A" w:rsidRDefault="00302C06" w:rsidP="00302C06">
      <w:pPr>
        <w:widowControl w:val="0"/>
        <w:tabs>
          <w:tab w:val="left" w:pos="567"/>
        </w:tabs>
        <w:autoSpaceDE w:val="0"/>
        <w:autoSpaceDN w:val="0"/>
        <w:adjustRightInd w:val="0"/>
        <w:ind w:left="560" w:hanging="560"/>
        <w:rPr>
          <w:szCs w:val="22"/>
        </w:rPr>
      </w:pPr>
      <w:r w:rsidRPr="005E49A1">
        <w:rPr>
          <w:b/>
          <w:szCs w:val="22"/>
        </w:rPr>
        <w:t>BAXOGAR vartoti negalima:</w:t>
      </w:r>
    </w:p>
    <w:p w14:paraId="40BC1302" w14:textId="77777777" w:rsidR="00302C06" w:rsidRPr="005E49A1" w:rsidRDefault="00302C06" w:rsidP="00302C06">
      <w:pPr>
        <w:widowControl w:val="0"/>
        <w:numPr>
          <w:ilvl w:val="0"/>
          <w:numId w:val="17"/>
        </w:numPr>
        <w:tabs>
          <w:tab w:val="clear" w:pos="360"/>
          <w:tab w:val="left" w:pos="567"/>
        </w:tabs>
        <w:autoSpaceDE w:val="0"/>
        <w:autoSpaceDN w:val="0"/>
        <w:adjustRightInd w:val="0"/>
        <w:ind w:left="540" w:hanging="540"/>
        <w:rPr>
          <w:szCs w:val="22"/>
        </w:rPr>
      </w:pPr>
      <w:r w:rsidRPr="005E49A1">
        <w:rPr>
          <w:szCs w:val="22"/>
        </w:rPr>
        <w:t xml:space="preserve">jeigu yra alergija ibandrono rūgščiai arba bet kuriai pagalbinei šio vaisto medžiagai (jos išvardytos 6 skyriuje); </w:t>
      </w:r>
    </w:p>
    <w:p w14:paraId="0A31FCC9" w14:textId="77777777" w:rsidR="00302C06" w:rsidRPr="005E49A1" w:rsidRDefault="00302C06" w:rsidP="00302C06">
      <w:pPr>
        <w:numPr>
          <w:ilvl w:val="0"/>
          <w:numId w:val="17"/>
        </w:numPr>
        <w:tabs>
          <w:tab w:val="clear" w:pos="360"/>
          <w:tab w:val="num" w:pos="540"/>
        </w:tabs>
        <w:autoSpaceDE w:val="0"/>
        <w:autoSpaceDN w:val="0"/>
        <w:adjustRightInd w:val="0"/>
        <w:ind w:left="540" w:hanging="540"/>
        <w:rPr>
          <w:color w:val="000000"/>
          <w:szCs w:val="22"/>
          <w:lang w:eastAsia="lt-LT"/>
        </w:rPr>
      </w:pPr>
      <w:r w:rsidRPr="005E49A1">
        <w:rPr>
          <w:color w:val="000000"/>
          <w:szCs w:val="22"/>
          <w:lang w:eastAsia="lt-LT"/>
        </w:rPr>
        <w:lastRenderedPageBreak/>
        <w:t>jeigu Jums yra tam tikrų stemplės (</w:t>
      </w:r>
      <w:r w:rsidRPr="005E49A1">
        <w:t>burną su skrandžiu jungiančio organo</w:t>
      </w:r>
      <w:r w:rsidRPr="005E49A1" w:rsidDel="00DC3DF4">
        <w:rPr>
          <w:color w:val="000000"/>
          <w:szCs w:val="22"/>
          <w:lang w:eastAsia="lt-LT"/>
        </w:rPr>
        <w:t xml:space="preserve"> </w:t>
      </w:r>
      <w:r w:rsidRPr="005E49A1">
        <w:rPr>
          <w:color w:val="000000"/>
          <w:szCs w:val="22"/>
          <w:lang w:eastAsia="lt-LT"/>
        </w:rPr>
        <w:t xml:space="preserve">) veiklos sutrikimų, tokių, kaip jos susiaurėjimas ar rijimo sunkumai; </w:t>
      </w:r>
    </w:p>
    <w:p w14:paraId="3ABB6251" w14:textId="77777777" w:rsidR="00302C06" w:rsidRPr="005E49A1" w:rsidRDefault="00302C06" w:rsidP="00302C06">
      <w:pPr>
        <w:numPr>
          <w:ilvl w:val="0"/>
          <w:numId w:val="17"/>
        </w:numPr>
        <w:tabs>
          <w:tab w:val="clear" w:pos="360"/>
          <w:tab w:val="num" w:pos="540"/>
        </w:tabs>
        <w:autoSpaceDE w:val="0"/>
        <w:autoSpaceDN w:val="0"/>
        <w:adjustRightInd w:val="0"/>
        <w:ind w:left="540" w:hanging="540"/>
        <w:rPr>
          <w:color w:val="000000"/>
          <w:szCs w:val="22"/>
          <w:lang w:eastAsia="lt-LT"/>
        </w:rPr>
      </w:pPr>
      <w:r w:rsidRPr="005E49A1">
        <w:rPr>
          <w:color w:val="000000"/>
          <w:szCs w:val="22"/>
          <w:lang w:eastAsia="lt-LT"/>
        </w:rPr>
        <w:t>jeigu Jūs negalite kartais bent vieną valandą (60 minučių) pastovėti ar tiesiai pasėdėti;</w:t>
      </w:r>
    </w:p>
    <w:p w14:paraId="41B79937" w14:textId="77777777" w:rsidR="00302C06" w:rsidRPr="005E49A1" w:rsidRDefault="00302C06" w:rsidP="00302C06">
      <w:pPr>
        <w:numPr>
          <w:ilvl w:val="0"/>
          <w:numId w:val="17"/>
        </w:numPr>
        <w:tabs>
          <w:tab w:val="clear" w:pos="360"/>
          <w:tab w:val="num" w:pos="540"/>
        </w:tabs>
        <w:autoSpaceDE w:val="0"/>
        <w:autoSpaceDN w:val="0"/>
        <w:adjustRightInd w:val="0"/>
        <w:ind w:left="540" w:hanging="540"/>
        <w:rPr>
          <w:color w:val="000000"/>
          <w:szCs w:val="22"/>
          <w:lang w:eastAsia="lt-LT"/>
        </w:rPr>
      </w:pPr>
      <w:r w:rsidRPr="005E49A1">
        <w:rPr>
          <w:b/>
          <w:bCs/>
          <w:color w:val="000000"/>
          <w:szCs w:val="22"/>
          <w:lang w:eastAsia="lt-LT"/>
        </w:rPr>
        <w:t>jeigu Jūsų kraujyje yra ar anksčiau buvo maža kalcio koncentracija</w:t>
      </w:r>
      <w:r w:rsidRPr="005E49A1">
        <w:rPr>
          <w:color w:val="000000"/>
          <w:szCs w:val="22"/>
          <w:lang w:eastAsia="lt-LT"/>
        </w:rPr>
        <w:t>. Pasitarkite su savo gydytoju.</w:t>
      </w:r>
    </w:p>
    <w:p w14:paraId="3B7D9A03" w14:textId="77777777" w:rsidR="00302C06" w:rsidRPr="00444E1A" w:rsidRDefault="00302C06" w:rsidP="00302C06">
      <w:pPr>
        <w:autoSpaceDE w:val="0"/>
        <w:autoSpaceDN w:val="0"/>
        <w:adjustRightInd w:val="0"/>
        <w:rPr>
          <w:sz w:val="24"/>
        </w:rPr>
      </w:pPr>
    </w:p>
    <w:p w14:paraId="5C8A466C" w14:textId="77777777" w:rsidR="00302C06" w:rsidRPr="00444E1A" w:rsidRDefault="00302C06" w:rsidP="00302C06">
      <w:pPr>
        <w:ind w:left="567" w:right="-2" w:hanging="567"/>
      </w:pPr>
      <w:r w:rsidRPr="005E49A1">
        <w:rPr>
          <w:b/>
        </w:rPr>
        <w:t>Įspėjimai ir atsargumo priemonės</w:t>
      </w:r>
    </w:p>
    <w:p w14:paraId="5FC842A6" w14:textId="446F2516" w:rsidR="007B48B2" w:rsidRPr="000643D3" w:rsidRDefault="007B48B2" w:rsidP="007B48B2">
      <w:pPr>
        <w:numPr>
          <w:ilvl w:val="12"/>
          <w:numId w:val="0"/>
        </w:numPr>
        <w:rPr>
          <w:noProof/>
        </w:rPr>
      </w:pPr>
      <w:r>
        <w:t>Pasitarkite su gydytoju arba vaistininku, prieš pradėdami vartoti BAXOGAR.</w:t>
      </w:r>
    </w:p>
    <w:p w14:paraId="26E2A45D" w14:textId="77777777" w:rsidR="007B48B2" w:rsidRDefault="007B48B2" w:rsidP="007B48B2">
      <w:pPr>
        <w:autoSpaceDE w:val="0"/>
        <w:autoSpaceDN w:val="0"/>
        <w:adjustRightInd w:val="0"/>
        <w:rPr>
          <w:szCs w:val="22"/>
          <w:lang w:val="hu-HU" w:eastAsia="hu-HU"/>
        </w:rPr>
      </w:pPr>
    </w:p>
    <w:p w14:paraId="1E755F6A" w14:textId="77777777" w:rsidR="00E56D2D" w:rsidRDefault="007B48B2" w:rsidP="007B48B2">
      <w:pPr>
        <w:autoSpaceDE w:val="0"/>
        <w:autoSpaceDN w:val="0"/>
        <w:adjustRightInd w:val="0"/>
        <w:rPr>
          <w:szCs w:val="22"/>
          <w:lang w:val="hu-HU" w:eastAsia="hu-HU"/>
        </w:rPr>
      </w:pPr>
      <w:r w:rsidRPr="002B7661">
        <w:rPr>
          <w:szCs w:val="22"/>
          <w:lang w:val="hu-HU" w:eastAsia="hu-HU"/>
        </w:rPr>
        <w:t xml:space="preserve">Ibandrono </w:t>
      </w:r>
      <w:r w:rsidRPr="002238D1">
        <w:rPr>
          <w:szCs w:val="22"/>
        </w:rPr>
        <w:t>rūgšties</w:t>
      </w:r>
      <w:r w:rsidRPr="002B7661">
        <w:rPr>
          <w:szCs w:val="22"/>
          <w:lang w:val="hu-HU" w:eastAsia="hu-HU"/>
        </w:rPr>
        <w:t xml:space="preserve"> nuo osteoporozės vartojantiems pacientams yra pastebėtas labai retas šalutinis poveikis, vadinamas žandikaulio osteonekroze (ŽON) (kaulo pažaida žandikaulyje) jau vaistui esant rinkoje. ŽON taip pat gali pasireikšti po gydymo nutraukimo.</w:t>
      </w:r>
    </w:p>
    <w:p w14:paraId="01A0435F" w14:textId="17DA3802" w:rsidR="007B48B2" w:rsidRPr="002B7661" w:rsidRDefault="007B48B2" w:rsidP="007B48B2">
      <w:pPr>
        <w:autoSpaceDE w:val="0"/>
        <w:autoSpaceDN w:val="0"/>
        <w:adjustRightInd w:val="0"/>
        <w:rPr>
          <w:szCs w:val="22"/>
          <w:lang w:val="hu-HU" w:eastAsia="hu-HU"/>
        </w:rPr>
      </w:pPr>
      <w:r w:rsidRPr="002B7661">
        <w:rPr>
          <w:szCs w:val="22"/>
          <w:lang w:val="hu-HU" w:eastAsia="hu-HU"/>
        </w:rPr>
        <w:t xml:space="preserve"> </w:t>
      </w:r>
    </w:p>
    <w:p w14:paraId="29A357AE" w14:textId="77777777" w:rsidR="00E56D2D" w:rsidRDefault="007B48B2" w:rsidP="007B48B2">
      <w:pPr>
        <w:autoSpaceDE w:val="0"/>
        <w:autoSpaceDN w:val="0"/>
        <w:adjustRightInd w:val="0"/>
        <w:rPr>
          <w:szCs w:val="22"/>
          <w:lang w:val="hu-HU" w:eastAsia="hu-HU"/>
        </w:rPr>
      </w:pPr>
      <w:r w:rsidRPr="002B7661">
        <w:rPr>
          <w:szCs w:val="22"/>
          <w:lang w:val="hu-HU" w:eastAsia="hu-HU"/>
        </w:rPr>
        <w:t>Svarbu stengtis išvengti ŽON atsiradimo, nes tai yra skausminga būklė, kurią gali būti sunku gydyti. Norint sumažinti žandikaulio osteonekrozės atsiradimo pavojų, yra keletas atsargumo priemonių, kurių Jums reikia imtis.</w:t>
      </w:r>
    </w:p>
    <w:p w14:paraId="7C45531F" w14:textId="7A677577" w:rsidR="007B48B2" w:rsidRPr="002B7661" w:rsidRDefault="007B48B2" w:rsidP="007B48B2">
      <w:pPr>
        <w:autoSpaceDE w:val="0"/>
        <w:autoSpaceDN w:val="0"/>
        <w:adjustRightInd w:val="0"/>
        <w:rPr>
          <w:szCs w:val="22"/>
          <w:lang w:val="hu-HU" w:eastAsia="hu-HU"/>
        </w:rPr>
      </w:pPr>
      <w:r w:rsidRPr="002B7661">
        <w:rPr>
          <w:szCs w:val="22"/>
          <w:lang w:val="hu-HU" w:eastAsia="hu-HU"/>
        </w:rPr>
        <w:t xml:space="preserve"> </w:t>
      </w:r>
    </w:p>
    <w:p w14:paraId="0A92D4A3" w14:textId="77777777" w:rsidR="007B48B2" w:rsidRPr="002B7661" w:rsidRDefault="007B48B2" w:rsidP="007B48B2">
      <w:pPr>
        <w:autoSpaceDE w:val="0"/>
        <w:autoSpaceDN w:val="0"/>
        <w:adjustRightInd w:val="0"/>
        <w:rPr>
          <w:szCs w:val="22"/>
          <w:lang w:val="hu-HU" w:eastAsia="hu-HU"/>
        </w:rPr>
      </w:pPr>
      <w:r w:rsidRPr="002B7661">
        <w:rPr>
          <w:szCs w:val="22"/>
          <w:lang w:val="hu-HU" w:eastAsia="hu-HU"/>
        </w:rPr>
        <w:t xml:space="preserve">Prieš pradėdami gydytis pasakykite gydytojui ar slaugytojui (sveikatos priežiūros specialistui), jeigu: </w:t>
      </w:r>
    </w:p>
    <w:p w14:paraId="3DF42058" w14:textId="77777777" w:rsidR="007B48B2" w:rsidRPr="002B7661" w:rsidRDefault="007B48B2" w:rsidP="007B48B2">
      <w:pPr>
        <w:autoSpaceDE w:val="0"/>
        <w:autoSpaceDN w:val="0"/>
        <w:adjustRightInd w:val="0"/>
        <w:ind w:left="426" w:hanging="426"/>
        <w:rPr>
          <w:szCs w:val="22"/>
          <w:lang w:val="hu-HU" w:eastAsia="hu-HU"/>
        </w:rPr>
      </w:pPr>
      <w:r w:rsidRPr="002B7661">
        <w:rPr>
          <w:szCs w:val="22"/>
          <w:lang w:val="hu-HU" w:eastAsia="hu-HU"/>
        </w:rPr>
        <w:t xml:space="preserve">• </w:t>
      </w:r>
      <w:r w:rsidRPr="002B7661">
        <w:rPr>
          <w:szCs w:val="22"/>
          <w:lang w:val="hu-HU" w:eastAsia="hu-HU"/>
        </w:rPr>
        <w:tab/>
        <w:t xml:space="preserve">turite kokių nors burnos ar dantų problemų, tokių kaip prasta dantų būklė, dantenų liga ar planuojamas danties ištraukimas; </w:t>
      </w:r>
    </w:p>
    <w:p w14:paraId="5989B379" w14:textId="77777777" w:rsidR="007B48B2" w:rsidRPr="002B7661" w:rsidRDefault="007B48B2" w:rsidP="007B48B2">
      <w:pPr>
        <w:autoSpaceDE w:val="0"/>
        <w:autoSpaceDN w:val="0"/>
        <w:adjustRightInd w:val="0"/>
        <w:ind w:left="426" w:hanging="426"/>
        <w:rPr>
          <w:szCs w:val="22"/>
          <w:lang w:val="hu-HU" w:eastAsia="hu-HU"/>
        </w:rPr>
      </w:pPr>
      <w:r w:rsidRPr="002B7661">
        <w:rPr>
          <w:szCs w:val="22"/>
          <w:lang w:val="hu-HU" w:eastAsia="hu-HU"/>
        </w:rPr>
        <w:t xml:space="preserve">• </w:t>
      </w:r>
      <w:r w:rsidRPr="002B7661">
        <w:rPr>
          <w:szCs w:val="22"/>
          <w:lang w:val="hu-HU" w:eastAsia="hu-HU"/>
        </w:rPr>
        <w:tab/>
        <w:t xml:space="preserve">kasdien nevalote dantų arba senai buvote pas odontologą; </w:t>
      </w:r>
    </w:p>
    <w:p w14:paraId="12B70B31" w14:textId="77777777" w:rsidR="007B48B2" w:rsidRPr="002B7661" w:rsidRDefault="007B48B2" w:rsidP="007B48B2">
      <w:pPr>
        <w:autoSpaceDE w:val="0"/>
        <w:autoSpaceDN w:val="0"/>
        <w:adjustRightInd w:val="0"/>
        <w:ind w:left="426" w:hanging="426"/>
        <w:rPr>
          <w:szCs w:val="22"/>
          <w:lang w:val="hu-HU" w:eastAsia="hu-HU"/>
        </w:rPr>
      </w:pPr>
      <w:r w:rsidRPr="002B7661">
        <w:rPr>
          <w:szCs w:val="22"/>
          <w:lang w:val="hu-HU" w:eastAsia="hu-HU"/>
        </w:rPr>
        <w:t xml:space="preserve">• </w:t>
      </w:r>
      <w:r w:rsidRPr="002B7661">
        <w:rPr>
          <w:szCs w:val="22"/>
          <w:lang w:val="hu-HU" w:eastAsia="hu-HU"/>
        </w:rPr>
        <w:tab/>
        <w:t xml:space="preserve">esate rūkalius (rūkymas gali padidinti dantų ligų pavojų); </w:t>
      </w:r>
    </w:p>
    <w:p w14:paraId="13350F4D" w14:textId="77777777" w:rsidR="007B48B2" w:rsidRPr="002B7661" w:rsidRDefault="007B48B2" w:rsidP="007B48B2">
      <w:pPr>
        <w:numPr>
          <w:ilvl w:val="0"/>
          <w:numId w:val="31"/>
        </w:numPr>
        <w:autoSpaceDE w:val="0"/>
        <w:autoSpaceDN w:val="0"/>
        <w:adjustRightInd w:val="0"/>
        <w:rPr>
          <w:szCs w:val="22"/>
          <w:lang w:val="hu-HU" w:eastAsia="hu-HU"/>
        </w:rPr>
      </w:pPr>
      <w:r w:rsidRPr="002B7661">
        <w:rPr>
          <w:szCs w:val="22"/>
          <w:lang w:val="hu-HU" w:eastAsia="hu-HU"/>
        </w:rPr>
        <w:t xml:space="preserve"> anksčiau buvote gydomas bisfosfonatais (jie vartojami gydyti arba užkirsti kelią kaulų ligoms); </w:t>
      </w:r>
    </w:p>
    <w:p w14:paraId="7598AECC" w14:textId="77777777" w:rsidR="007B48B2" w:rsidRPr="002B7661" w:rsidRDefault="007B48B2" w:rsidP="007B48B2">
      <w:pPr>
        <w:tabs>
          <w:tab w:val="left" w:pos="426"/>
        </w:tabs>
        <w:autoSpaceDE w:val="0"/>
        <w:autoSpaceDN w:val="0"/>
        <w:adjustRightInd w:val="0"/>
        <w:ind w:left="567" w:hanging="560"/>
        <w:rPr>
          <w:szCs w:val="22"/>
          <w:lang w:val="hu-HU" w:eastAsia="hu-HU"/>
        </w:rPr>
      </w:pPr>
      <w:r w:rsidRPr="002B7661">
        <w:rPr>
          <w:szCs w:val="22"/>
          <w:lang w:val="hu-HU" w:eastAsia="hu-HU"/>
        </w:rPr>
        <w:t xml:space="preserve">• </w:t>
      </w:r>
      <w:r w:rsidRPr="002B7661">
        <w:rPr>
          <w:szCs w:val="22"/>
          <w:lang w:val="hu-HU" w:eastAsia="hu-HU"/>
        </w:rPr>
        <w:tab/>
        <w:t xml:space="preserve">vartojate vaistus, vadinamus kortikosteroidais (pavyzdžiui, prednizolono arba deksametazono); </w:t>
      </w:r>
    </w:p>
    <w:p w14:paraId="7D76C04A" w14:textId="77777777" w:rsidR="007B48B2" w:rsidRPr="002B7661" w:rsidRDefault="007B48B2" w:rsidP="007B48B2">
      <w:pPr>
        <w:widowControl w:val="0"/>
        <w:numPr>
          <w:ilvl w:val="0"/>
          <w:numId w:val="31"/>
        </w:numPr>
        <w:autoSpaceDE w:val="0"/>
        <w:autoSpaceDN w:val="0"/>
        <w:adjustRightInd w:val="0"/>
        <w:rPr>
          <w:szCs w:val="22"/>
        </w:rPr>
      </w:pPr>
      <w:r w:rsidRPr="002B7661">
        <w:rPr>
          <w:szCs w:val="22"/>
          <w:lang w:val="hu-HU" w:eastAsia="hu-HU"/>
        </w:rPr>
        <w:t xml:space="preserve"> sergate vėžiu. </w:t>
      </w:r>
    </w:p>
    <w:p w14:paraId="4FBBE492" w14:textId="77777777" w:rsidR="007B48B2" w:rsidRPr="002B7661" w:rsidRDefault="007B48B2" w:rsidP="007B48B2">
      <w:pPr>
        <w:autoSpaceDE w:val="0"/>
        <w:autoSpaceDN w:val="0"/>
        <w:adjustRightInd w:val="0"/>
        <w:rPr>
          <w:szCs w:val="22"/>
        </w:rPr>
      </w:pPr>
    </w:p>
    <w:p w14:paraId="763CA175" w14:textId="4F0C6358" w:rsidR="007B48B2" w:rsidRPr="002B7661" w:rsidRDefault="007B48B2" w:rsidP="007B48B2">
      <w:pPr>
        <w:autoSpaceDE w:val="0"/>
        <w:autoSpaceDN w:val="0"/>
        <w:adjustRightInd w:val="0"/>
        <w:rPr>
          <w:szCs w:val="22"/>
        </w:rPr>
      </w:pPr>
      <w:r w:rsidRPr="002B7661">
        <w:rPr>
          <w:szCs w:val="22"/>
        </w:rPr>
        <w:t xml:space="preserve">Prieš paskirdamas gydymą </w:t>
      </w:r>
      <w:r w:rsidR="00E56D2D">
        <w:rPr>
          <w:szCs w:val="22"/>
        </w:rPr>
        <w:t>BAXOGAR</w:t>
      </w:r>
      <w:r w:rsidRPr="002B7661">
        <w:rPr>
          <w:szCs w:val="22"/>
        </w:rPr>
        <w:t xml:space="preserve"> gydytojas gali Jūsų paprašyti pasitikrinti dantis. </w:t>
      </w:r>
    </w:p>
    <w:p w14:paraId="0F0AFF57" w14:textId="77777777" w:rsidR="007B48B2" w:rsidRDefault="007B48B2" w:rsidP="007B48B2">
      <w:pPr>
        <w:autoSpaceDE w:val="0"/>
        <w:autoSpaceDN w:val="0"/>
        <w:adjustRightInd w:val="0"/>
        <w:rPr>
          <w:color w:val="000000"/>
          <w:szCs w:val="22"/>
        </w:rPr>
      </w:pPr>
    </w:p>
    <w:p w14:paraId="33F26D92" w14:textId="4EC2AE8A" w:rsidR="007B48B2" w:rsidRPr="00F90984" w:rsidRDefault="007B48B2" w:rsidP="007B48B2">
      <w:pPr>
        <w:autoSpaceDE w:val="0"/>
        <w:autoSpaceDN w:val="0"/>
        <w:adjustRightInd w:val="0"/>
        <w:rPr>
          <w:color w:val="000000"/>
          <w:szCs w:val="22"/>
        </w:rPr>
      </w:pPr>
      <w:r w:rsidRPr="00F90984">
        <w:rPr>
          <w:color w:val="000000"/>
          <w:szCs w:val="22"/>
        </w:rPr>
        <w:t xml:space="preserve">Gydymo metu Jūs turite palaikyti gerą burnos higieną (įskaitant ir reguliarų dantų valymą) ir reguliariai tikrintis dantis. Jeigu naudojate dantų protezus, </w:t>
      </w:r>
      <w:r>
        <w:rPr>
          <w:color w:val="000000"/>
          <w:szCs w:val="22"/>
        </w:rPr>
        <w:t xml:space="preserve">įsitikinkite, kad jie </w:t>
      </w:r>
      <w:r w:rsidRPr="00F90984">
        <w:rPr>
          <w:color w:val="000000"/>
          <w:szCs w:val="22"/>
        </w:rPr>
        <w:t>tinkamai pritaikyti. Jeigu gydotės dantis arba rengiatės odontologinei operacijai (pvz.,</w:t>
      </w:r>
      <w:r w:rsidR="00E56D2D">
        <w:rPr>
          <w:color w:val="000000"/>
          <w:szCs w:val="22"/>
        </w:rPr>
        <w:t xml:space="preserve"> </w:t>
      </w:r>
      <w:r w:rsidRPr="00F90984">
        <w:rPr>
          <w:color w:val="000000"/>
          <w:szCs w:val="22"/>
        </w:rPr>
        <w:t>dantų traukimui), apie tai praneškite savo gydytojui ir pasakykite odontologui, kad esate gydomi</w:t>
      </w:r>
      <w:r>
        <w:rPr>
          <w:color w:val="000000"/>
          <w:szCs w:val="22"/>
        </w:rPr>
        <w:t xml:space="preserve"> </w:t>
      </w:r>
      <w:r w:rsidR="00E56D2D">
        <w:rPr>
          <w:color w:val="000000"/>
          <w:szCs w:val="22"/>
        </w:rPr>
        <w:t>BAXOGAR</w:t>
      </w:r>
      <w:r w:rsidRPr="00F90984">
        <w:rPr>
          <w:color w:val="000000"/>
          <w:szCs w:val="22"/>
        </w:rPr>
        <w:t xml:space="preserve">. </w:t>
      </w:r>
    </w:p>
    <w:p w14:paraId="76624005" w14:textId="77777777" w:rsidR="007B48B2" w:rsidRDefault="007B48B2" w:rsidP="007B48B2">
      <w:pPr>
        <w:autoSpaceDE w:val="0"/>
        <w:autoSpaceDN w:val="0"/>
        <w:adjustRightInd w:val="0"/>
        <w:rPr>
          <w:color w:val="000000"/>
          <w:szCs w:val="22"/>
        </w:rPr>
      </w:pPr>
    </w:p>
    <w:p w14:paraId="323EF2AF" w14:textId="77777777" w:rsidR="007B48B2" w:rsidRPr="00F90984" w:rsidRDefault="007B48B2" w:rsidP="007B48B2">
      <w:pPr>
        <w:autoSpaceDE w:val="0"/>
        <w:autoSpaceDN w:val="0"/>
        <w:adjustRightInd w:val="0"/>
        <w:rPr>
          <w:color w:val="000000"/>
          <w:szCs w:val="22"/>
        </w:rPr>
      </w:pPr>
      <w:r w:rsidRPr="00F90984">
        <w:rPr>
          <w:color w:val="000000"/>
          <w:szCs w:val="22"/>
        </w:rPr>
        <w:t>Pajutę kokių nors burnos ar dantų negalavimų, tokių kaip skausmas ar patinimas, negyjančios opelės arba išskyros,</w:t>
      </w:r>
      <w:r>
        <w:rPr>
          <w:color w:val="000000"/>
          <w:szCs w:val="22"/>
        </w:rPr>
        <w:t xml:space="preserve"> arba krenta dantys,</w:t>
      </w:r>
      <w:r w:rsidRPr="00F90984">
        <w:rPr>
          <w:color w:val="000000"/>
          <w:szCs w:val="22"/>
        </w:rPr>
        <w:t xml:space="preserve"> nedelsdami kreipkitės į gydytoją ir odontologą, nes tai galėtų būti žandikaulio osteonekrozės požymiai. </w:t>
      </w:r>
    </w:p>
    <w:p w14:paraId="3FBC7533" w14:textId="77777777" w:rsidR="00302C06" w:rsidRPr="00444E1A" w:rsidRDefault="00302C06" w:rsidP="00302C06">
      <w:pPr>
        <w:widowControl w:val="0"/>
        <w:tabs>
          <w:tab w:val="left" w:pos="567"/>
        </w:tabs>
        <w:autoSpaceDE w:val="0"/>
        <w:autoSpaceDN w:val="0"/>
        <w:adjustRightInd w:val="0"/>
        <w:ind w:left="560" w:hanging="560"/>
        <w:rPr>
          <w:szCs w:val="22"/>
        </w:rPr>
      </w:pPr>
    </w:p>
    <w:p w14:paraId="3BE908CF" w14:textId="77777777" w:rsidR="00302C06" w:rsidRPr="005E49A1" w:rsidRDefault="00302C06" w:rsidP="00302C06">
      <w:pPr>
        <w:widowControl w:val="0"/>
        <w:tabs>
          <w:tab w:val="left" w:pos="567"/>
        </w:tabs>
        <w:autoSpaceDE w:val="0"/>
        <w:autoSpaceDN w:val="0"/>
        <w:adjustRightInd w:val="0"/>
        <w:rPr>
          <w:szCs w:val="22"/>
        </w:rPr>
      </w:pPr>
      <w:r w:rsidRPr="005E49A1">
        <w:rPr>
          <w:color w:val="000000"/>
          <w:spacing w:val="-2"/>
          <w:szCs w:val="22"/>
        </w:rPr>
        <w:t>Kai kurie žmonės turi ypač atsargiai vartoti BAXOGAR. Pasitarkite su gydytoju, prieš pradėdami vartoti BAXOGAR:</w:t>
      </w:r>
    </w:p>
    <w:p w14:paraId="7603BA86" w14:textId="77777777" w:rsidR="00302C06" w:rsidRPr="005E49A1" w:rsidRDefault="00302C06" w:rsidP="00302C06">
      <w:pPr>
        <w:widowControl w:val="0"/>
        <w:numPr>
          <w:ilvl w:val="0"/>
          <w:numId w:val="18"/>
        </w:numPr>
        <w:tabs>
          <w:tab w:val="clear" w:pos="360"/>
          <w:tab w:val="left" w:pos="567"/>
        </w:tabs>
        <w:autoSpaceDE w:val="0"/>
        <w:autoSpaceDN w:val="0"/>
        <w:adjustRightInd w:val="0"/>
        <w:ind w:left="540" w:hanging="540"/>
        <w:rPr>
          <w:szCs w:val="22"/>
        </w:rPr>
      </w:pPr>
      <w:r w:rsidRPr="005E49A1">
        <w:rPr>
          <w:szCs w:val="22"/>
        </w:rPr>
        <w:t>jeigu Jums yra bet kokių mineralinių medžiagų metabolizmo sutrikimų (tokių, kaip vitamino D stoka);</w:t>
      </w:r>
      <w:r w:rsidRPr="005E49A1">
        <w:rPr>
          <w:b/>
          <w:szCs w:val="22"/>
        </w:rPr>
        <w:t xml:space="preserve"> </w:t>
      </w:r>
    </w:p>
    <w:p w14:paraId="081791E8" w14:textId="77777777" w:rsidR="00302C06" w:rsidRPr="005E49A1" w:rsidRDefault="00302C06" w:rsidP="00302C06">
      <w:pPr>
        <w:widowControl w:val="0"/>
        <w:numPr>
          <w:ilvl w:val="0"/>
          <w:numId w:val="18"/>
        </w:numPr>
        <w:tabs>
          <w:tab w:val="clear" w:pos="360"/>
          <w:tab w:val="left" w:pos="567"/>
        </w:tabs>
        <w:autoSpaceDE w:val="0"/>
        <w:autoSpaceDN w:val="0"/>
        <w:adjustRightInd w:val="0"/>
        <w:ind w:left="540" w:hanging="540"/>
        <w:rPr>
          <w:szCs w:val="22"/>
        </w:rPr>
      </w:pPr>
      <w:r w:rsidRPr="005E49A1">
        <w:rPr>
          <w:szCs w:val="22"/>
        </w:rPr>
        <w:t>jeigu neveikia normaliai Jūsų inkstai;</w:t>
      </w:r>
    </w:p>
    <w:p w14:paraId="0B452210" w14:textId="77777777" w:rsidR="00302C06" w:rsidRPr="005E49A1" w:rsidRDefault="00302C06" w:rsidP="00302C06">
      <w:pPr>
        <w:widowControl w:val="0"/>
        <w:numPr>
          <w:ilvl w:val="0"/>
          <w:numId w:val="18"/>
        </w:numPr>
        <w:tabs>
          <w:tab w:val="clear" w:pos="360"/>
          <w:tab w:val="left" w:pos="567"/>
        </w:tabs>
        <w:autoSpaceDE w:val="0"/>
        <w:autoSpaceDN w:val="0"/>
        <w:adjustRightInd w:val="0"/>
        <w:ind w:left="540" w:hanging="540"/>
        <w:rPr>
          <w:szCs w:val="22"/>
        </w:rPr>
      </w:pPr>
      <w:r w:rsidRPr="005E49A1">
        <w:rPr>
          <w:szCs w:val="22"/>
        </w:rPr>
        <w:t>jeigu Jums yra kokių nors rijimo ar virškinimo problemų;</w:t>
      </w:r>
    </w:p>
    <w:p w14:paraId="76387CCD" w14:textId="77777777" w:rsidR="00302C06" w:rsidRPr="005E49A1" w:rsidRDefault="00302C06" w:rsidP="00302C06">
      <w:pPr>
        <w:widowControl w:val="0"/>
        <w:numPr>
          <w:ilvl w:val="0"/>
          <w:numId w:val="18"/>
        </w:numPr>
        <w:tabs>
          <w:tab w:val="clear" w:pos="360"/>
          <w:tab w:val="left" w:pos="567"/>
        </w:tabs>
        <w:autoSpaceDE w:val="0"/>
        <w:autoSpaceDN w:val="0"/>
        <w:adjustRightInd w:val="0"/>
        <w:ind w:left="540" w:hanging="540"/>
        <w:rPr>
          <w:szCs w:val="22"/>
        </w:rPr>
      </w:pPr>
      <w:r w:rsidRPr="005E49A1">
        <w:rPr>
          <w:szCs w:val="22"/>
        </w:rPr>
        <w:t xml:space="preserve">jeigu yra gydomi Jūsų dantys ar reikės daryti odontologinę operaciją, pasakykite savo odontologui, jog esate gydomas BAXOGAR. </w:t>
      </w:r>
      <w:r w:rsidRPr="005E49A1">
        <w:rPr>
          <w:rFonts w:eastAsia="MS Mincho" w:cs="Arial"/>
          <w:lang w:bidi="th-TH"/>
        </w:rPr>
        <w:t>Jei sergate vėžiu, taip pat pasakykite odontologui.</w:t>
      </w:r>
    </w:p>
    <w:p w14:paraId="7018BF21" w14:textId="77777777" w:rsidR="00302C06" w:rsidRPr="005E49A1" w:rsidRDefault="00302C06" w:rsidP="00302C06">
      <w:pPr>
        <w:widowControl w:val="0"/>
        <w:tabs>
          <w:tab w:val="left" w:pos="567"/>
        </w:tabs>
        <w:autoSpaceDE w:val="0"/>
        <w:autoSpaceDN w:val="0"/>
        <w:adjustRightInd w:val="0"/>
        <w:rPr>
          <w:szCs w:val="22"/>
        </w:rPr>
      </w:pPr>
    </w:p>
    <w:p w14:paraId="00693C2B" w14:textId="5FABB8F1" w:rsidR="00302C06" w:rsidRPr="005E49A1" w:rsidRDefault="00302C06" w:rsidP="00302C06">
      <w:pPr>
        <w:autoSpaceDE w:val="0"/>
        <w:autoSpaceDN w:val="0"/>
        <w:adjustRightInd w:val="0"/>
        <w:rPr>
          <w:rFonts w:ascii="TimesNewRomanPSMT" w:hAnsi="TimesNewRomanPSMT" w:cs="TimesNewRomanPSMT"/>
          <w:szCs w:val="22"/>
          <w:lang w:eastAsia="lt-LT"/>
        </w:rPr>
      </w:pPr>
      <w:r w:rsidRPr="005E49A1">
        <w:rPr>
          <w:rFonts w:ascii="TimesNewRomanPSMT" w:hAnsi="TimesNewRomanPSMT" w:cs="TimesNewRomanPSMT"/>
          <w:szCs w:val="22"/>
          <w:lang w:eastAsia="lt-LT"/>
        </w:rPr>
        <w:t xml:space="preserve">Gali pasireikšti stemplės </w:t>
      </w:r>
      <w:r w:rsidRPr="005E49A1">
        <w:rPr>
          <w:color w:val="000000"/>
          <w:szCs w:val="22"/>
          <w:lang w:eastAsia="lt-LT"/>
        </w:rPr>
        <w:t>(</w:t>
      </w:r>
      <w:r w:rsidRPr="005E49A1">
        <w:t>burną su skrandžiu jungiančio organo</w:t>
      </w:r>
      <w:r w:rsidRPr="005E49A1">
        <w:rPr>
          <w:color w:val="000000"/>
          <w:szCs w:val="22"/>
          <w:lang w:eastAsia="lt-LT"/>
        </w:rPr>
        <w:t>)</w:t>
      </w:r>
      <w:r w:rsidRPr="005E49A1">
        <w:rPr>
          <w:rFonts w:ascii="TimesNewRomanPSMT CE" w:hAnsi="TimesNewRomanPSMT CE" w:cs="TimesNewRomanPSMT CE"/>
          <w:szCs w:val="22"/>
          <w:lang w:eastAsia="lt-LT"/>
        </w:rPr>
        <w:t xml:space="preserve"> dirginimas, uždegimas ar išopėjimas, dažnai susijęs su tokiais simptom</w:t>
      </w:r>
      <w:r w:rsidRPr="005E49A1">
        <w:rPr>
          <w:rFonts w:ascii="TimesNewRomanPSMT" w:hAnsi="TimesNewRomanPSMT" w:cs="TimesNewRomanPSMT"/>
          <w:szCs w:val="22"/>
          <w:lang w:eastAsia="lt-LT"/>
        </w:rPr>
        <w:t>ais, kaip stiprus skausmas krūtinėje, stiprus skausmas nurij</w:t>
      </w:r>
      <w:r w:rsidRPr="005E49A1">
        <w:rPr>
          <w:rFonts w:ascii="TimesNewRomanPSMT CE" w:hAnsi="TimesNewRomanPSMT CE" w:cs="TimesNewRomanPSMT CE"/>
          <w:szCs w:val="22"/>
          <w:lang w:eastAsia="lt-LT"/>
        </w:rPr>
        <w:t xml:space="preserve">us maistą ir/ ar gėrimą, stiprus pykinimas ar vėmimas, ypač jeigu Jūs neužgeriate tabletės pilna stikline vandens ir/ ar atsigulate </w:t>
      </w:r>
      <w:r w:rsidRPr="005E49A1">
        <w:rPr>
          <w:rFonts w:ascii="TimesNewRomanPSMT" w:hAnsi="TimesNewRomanPSMT" w:cs="TimesNewRomanPSMT"/>
          <w:szCs w:val="22"/>
          <w:lang w:eastAsia="lt-LT"/>
        </w:rPr>
        <w:t xml:space="preserve">valandos laikotarpyje po </w:t>
      </w:r>
      <w:r w:rsidRPr="005E49A1">
        <w:rPr>
          <w:szCs w:val="22"/>
        </w:rPr>
        <w:t>BAXOGAR suvartojimo</w:t>
      </w:r>
      <w:r w:rsidRPr="005E49A1">
        <w:rPr>
          <w:rFonts w:ascii="TimesNewRomanPSMT" w:hAnsi="TimesNewRomanPSMT" w:cs="TimesNewRomanPSMT"/>
          <w:szCs w:val="22"/>
          <w:lang w:eastAsia="lt-LT"/>
        </w:rPr>
        <w:t xml:space="preserve">. Jeigu Jums atsiranda minėtų simptomų, </w:t>
      </w:r>
      <w:r w:rsidR="00070708">
        <w:rPr>
          <w:rFonts w:ascii="TimesNewRomanPSMT" w:hAnsi="TimesNewRomanPSMT" w:cs="TimesNewRomanPSMT"/>
          <w:szCs w:val="22"/>
          <w:lang w:eastAsia="lt-LT"/>
        </w:rPr>
        <w:t xml:space="preserve">nebevartokite BAXOGAR ir </w:t>
      </w:r>
      <w:r w:rsidRPr="005E49A1">
        <w:rPr>
          <w:rFonts w:ascii="TimesNewRomanPSMT" w:hAnsi="TimesNewRomanPSMT" w:cs="TimesNewRomanPSMT"/>
          <w:szCs w:val="22"/>
          <w:lang w:eastAsia="lt-LT"/>
        </w:rPr>
        <w:t>nedels</w:t>
      </w:r>
      <w:r w:rsidR="00070708">
        <w:rPr>
          <w:rFonts w:ascii="TimesNewRomanPSMT" w:hAnsi="TimesNewRomanPSMT" w:cs="TimesNewRomanPSMT"/>
          <w:szCs w:val="22"/>
          <w:lang w:eastAsia="lt-LT"/>
        </w:rPr>
        <w:t>dami</w:t>
      </w:r>
      <w:r w:rsidRPr="005E49A1">
        <w:rPr>
          <w:rFonts w:ascii="TimesNewRomanPSMT" w:hAnsi="TimesNewRomanPSMT" w:cs="TimesNewRomanPSMT"/>
          <w:szCs w:val="22"/>
          <w:lang w:eastAsia="lt-LT"/>
        </w:rPr>
        <w:t xml:space="preserve"> </w:t>
      </w:r>
      <w:r w:rsidR="00070708">
        <w:rPr>
          <w:rFonts w:ascii="TimesNewRomanPSMT" w:hAnsi="TimesNewRomanPSMT" w:cs="TimesNewRomanPSMT"/>
          <w:szCs w:val="22"/>
          <w:lang w:eastAsia="lt-LT"/>
        </w:rPr>
        <w:t>kreipkitės</w:t>
      </w:r>
      <w:r w:rsidR="00070708" w:rsidRPr="005E49A1">
        <w:rPr>
          <w:rFonts w:ascii="TimesNewRomanPSMT" w:hAnsi="TimesNewRomanPSMT" w:cs="TimesNewRomanPSMT"/>
          <w:szCs w:val="22"/>
          <w:lang w:eastAsia="lt-LT"/>
        </w:rPr>
        <w:t xml:space="preserve"> </w:t>
      </w:r>
      <w:r w:rsidR="00070708">
        <w:rPr>
          <w:rFonts w:ascii="TimesNewRomanPSMT" w:hAnsi="TimesNewRomanPSMT" w:cs="TimesNewRomanPSMT"/>
          <w:szCs w:val="22"/>
          <w:lang w:eastAsia="lt-LT"/>
        </w:rPr>
        <w:t>į</w:t>
      </w:r>
      <w:r w:rsidRPr="005E49A1">
        <w:rPr>
          <w:rFonts w:ascii="TimesNewRomanPSMT" w:hAnsi="TimesNewRomanPSMT" w:cs="TimesNewRomanPSMT"/>
          <w:szCs w:val="22"/>
          <w:lang w:eastAsia="lt-LT"/>
        </w:rPr>
        <w:t xml:space="preserve"> gydytoj</w:t>
      </w:r>
      <w:r w:rsidR="00070708">
        <w:rPr>
          <w:rFonts w:ascii="TimesNewRomanPSMT" w:hAnsi="TimesNewRomanPSMT" w:cs="TimesNewRomanPSMT"/>
          <w:szCs w:val="22"/>
          <w:lang w:eastAsia="lt-LT"/>
        </w:rPr>
        <w:t>ą</w:t>
      </w:r>
      <w:r w:rsidRPr="005E49A1">
        <w:rPr>
          <w:rFonts w:ascii="TimesNewRomanPSMT" w:hAnsi="TimesNewRomanPSMT" w:cs="TimesNewRomanPSMT"/>
          <w:szCs w:val="22"/>
          <w:lang w:eastAsia="lt-LT"/>
        </w:rPr>
        <w:t xml:space="preserve"> </w:t>
      </w:r>
      <w:r w:rsidRPr="005E49A1">
        <w:t>(žr. 3 skyrių)</w:t>
      </w:r>
      <w:r w:rsidRPr="005E49A1">
        <w:rPr>
          <w:rFonts w:ascii="TimesNewRomanPSMT" w:hAnsi="TimesNewRomanPSMT" w:cs="TimesNewRomanPSMT"/>
          <w:szCs w:val="22"/>
          <w:lang w:eastAsia="lt-LT"/>
        </w:rPr>
        <w:t xml:space="preserve">. </w:t>
      </w:r>
    </w:p>
    <w:p w14:paraId="6035F5BE" w14:textId="77777777" w:rsidR="00302C06" w:rsidRPr="005E49A1" w:rsidRDefault="00302C06" w:rsidP="00302C06">
      <w:pPr>
        <w:autoSpaceDE w:val="0"/>
        <w:autoSpaceDN w:val="0"/>
        <w:adjustRightInd w:val="0"/>
        <w:rPr>
          <w:rFonts w:ascii="TimesNewRomanPSMT" w:hAnsi="TimesNewRomanPSMT" w:cs="TimesNewRomanPSMT"/>
          <w:szCs w:val="22"/>
          <w:lang w:eastAsia="lt-LT"/>
        </w:rPr>
      </w:pPr>
    </w:p>
    <w:p w14:paraId="112155BE" w14:textId="77777777" w:rsidR="00302C06" w:rsidRPr="005E49A1" w:rsidRDefault="00302C06" w:rsidP="00302C06">
      <w:pPr>
        <w:ind w:left="567" w:right="-2" w:hanging="567"/>
        <w:rPr>
          <w:b/>
        </w:rPr>
      </w:pPr>
      <w:r w:rsidRPr="005E49A1">
        <w:rPr>
          <w:b/>
        </w:rPr>
        <w:t>Vaikams ir paaugliams</w:t>
      </w:r>
    </w:p>
    <w:p w14:paraId="46E3021C" w14:textId="77777777" w:rsidR="00302C06" w:rsidRPr="005E49A1" w:rsidRDefault="00302C06" w:rsidP="00302C06">
      <w:pPr>
        <w:ind w:left="567" w:right="-2" w:hanging="567"/>
      </w:pPr>
      <w:r w:rsidRPr="005E49A1">
        <w:t>Neduokite BAXOGAR jaunesniems nei 18 metų vaikams ir paaugliams.</w:t>
      </w:r>
    </w:p>
    <w:p w14:paraId="0DD4CCD5" w14:textId="77777777" w:rsidR="00302C06" w:rsidRPr="005E49A1" w:rsidRDefault="00302C06" w:rsidP="00302C06">
      <w:pPr>
        <w:widowControl w:val="0"/>
        <w:tabs>
          <w:tab w:val="left" w:pos="567"/>
        </w:tabs>
        <w:autoSpaceDE w:val="0"/>
        <w:autoSpaceDN w:val="0"/>
        <w:adjustRightInd w:val="0"/>
        <w:rPr>
          <w:szCs w:val="22"/>
        </w:rPr>
      </w:pPr>
    </w:p>
    <w:p w14:paraId="37C2C6FE" w14:textId="77777777" w:rsidR="00302C06" w:rsidRPr="005E49A1" w:rsidRDefault="00302C06" w:rsidP="00302C06">
      <w:pPr>
        <w:ind w:left="567" w:right="-2" w:hanging="567"/>
        <w:rPr>
          <w:b/>
        </w:rPr>
      </w:pPr>
      <w:r w:rsidRPr="005E49A1">
        <w:rPr>
          <w:b/>
        </w:rPr>
        <w:t>Kiti vaistai ir BAXOGAR</w:t>
      </w:r>
    </w:p>
    <w:p w14:paraId="4658E048" w14:textId="77777777" w:rsidR="00302C06" w:rsidRPr="00444E1A" w:rsidRDefault="00302C06" w:rsidP="00302C06">
      <w:pPr>
        <w:pStyle w:val="Default"/>
        <w:tabs>
          <w:tab w:val="left" w:pos="567"/>
        </w:tabs>
        <w:rPr>
          <w:color w:val="auto"/>
          <w:sz w:val="22"/>
          <w:szCs w:val="22"/>
          <w:lang w:val="lt-LT"/>
        </w:rPr>
      </w:pPr>
      <w:r w:rsidRPr="005E49A1">
        <w:rPr>
          <w:sz w:val="22"/>
          <w:szCs w:val="22"/>
          <w:lang w:val="lt-LT"/>
        </w:rPr>
        <w:lastRenderedPageBreak/>
        <w:t>Jeigu vartojate arba neseniai vartojote kitų vaistų, arba dėl to nesate tikri, pasakykite gydytojui arba vaistininkui.</w:t>
      </w:r>
      <w:r w:rsidRPr="00444E1A">
        <w:rPr>
          <w:color w:val="auto"/>
          <w:sz w:val="22"/>
          <w:szCs w:val="22"/>
          <w:lang w:val="lt-LT"/>
        </w:rPr>
        <w:t xml:space="preserve"> </w:t>
      </w:r>
      <w:r w:rsidRPr="005E49A1">
        <w:rPr>
          <w:spacing w:val="-4"/>
          <w:sz w:val="22"/>
          <w:szCs w:val="22"/>
          <w:lang w:val="lt-LT"/>
        </w:rPr>
        <w:t>Ypač svarbu pasakyti apie:</w:t>
      </w:r>
      <w:r w:rsidRPr="00444E1A">
        <w:rPr>
          <w:color w:val="auto"/>
          <w:sz w:val="22"/>
          <w:szCs w:val="22"/>
          <w:lang w:val="lt-LT"/>
        </w:rPr>
        <w:t xml:space="preserve"> </w:t>
      </w:r>
    </w:p>
    <w:p w14:paraId="5AA0F41C" w14:textId="77777777" w:rsidR="00302C06" w:rsidRPr="005E49A1" w:rsidRDefault="00302C06" w:rsidP="00302C06">
      <w:pPr>
        <w:widowControl w:val="0"/>
        <w:tabs>
          <w:tab w:val="left" w:pos="567"/>
        </w:tabs>
        <w:autoSpaceDE w:val="0"/>
        <w:autoSpaceDN w:val="0"/>
        <w:adjustRightInd w:val="0"/>
        <w:ind w:left="540" w:hanging="540"/>
        <w:rPr>
          <w:szCs w:val="22"/>
        </w:rPr>
      </w:pPr>
      <w:r w:rsidRPr="005E49A1">
        <w:rPr>
          <w:szCs w:val="22"/>
        </w:rPr>
        <w:t>-</w:t>
      </w:r>
      <w:r w:rsidRPr="005E49A1">
        <w:rPr>
          <w:szCs w:val="22"/>
        </w:rPr>
        <w:tab/>
      </w:r>
      <w:r w:rsidRPr="005E49A1">
        <w:rPr>
          <w:b/>
          <w:color w:val="000000"/>
          <w:spacing w:val="-3"/>
          <w:szCs w:val="22"/>
        </w:rPr>
        <w:t>papildus, kuriuose yra kalcio, magnio, geležies arba aliuminio</w:t>
      </w:r>
      <w:r w:rsidRPr="005E49A1">
        <w:rPr>
          <w:color w:val="000000"/>
          <w:spacing w:val="-3"/>
          <w:szCs w:val="22"/>
        </w:rPr>
        <w:t xml:space="preserve">, nes jie gali daryti įtaką BAXOGAR </w:t>
      </w:r>
      <w:r w:rsidRPr="005E49A1">
        <w:rPr>
          <w:color w:val="000000"/>
          <w:spacing w:val="-4"/>
          <w:szCs w:val="22"/>
        </w:rPr>
        <w:t>poveikiui;</w:t>
      </w:r>
      <w:r w:rsidRPr="005E49A1">
        <w:rPr>
          <w:b/>
          <w:szCs w:val="22"/>
        </w:rPr>
        <w:t xml:space="preserve"> </w:t>
      </w:r>
    </w:p>
    <w:p w14:paraId="6BC1BAB9" w14:textId="77777777" w:rsidR="00302C06" w:rsidRPr="005E49A1" w:rsidRDefault="00302C06" w:rsidP="00302C06">
      <w:pPr>
        <w:widowControl w:val="0"/>
        <w:tabs>
          <w:tab w:val="left" w:pos="567"/>
        </w:tabs>
        <w:autoSpaceDE w:val="0"/>
        <w:autoSpaceDN w:val="0"/>
        <w:adjustRightInd w:val="0"/>
        <w:ind w:left="540" w:hanging="540"/>
        <w:rPr>
          <w:szCs w:val="22"/>
        </w:rPr>
      </w:pPr>
      <w:r w:rsidRPr="005E49A1">
        <w:rPr>
          <w:szCs w:val="22"/>
        </w:rPr>
        <w:t>-</w:t>
      </w:r>
      <w:r w:rsidRPr="005E49A1">
        <w:rPr>
          <w:szCs w:val="22"/>
        </w:rPr>
        <w:tab/>
      </w:r>
      <w:r w:rsidRPr="005E49A1">
        <w:t xml:space="preserve">acetilsalicilo rūgštį ir kitus nesteroidinius vaistus nuo uždegimo (NVNU) </w:t>
      </w:r>
      <w:r w:rsidRPr="005E49A1">
        <w:rPr>
          <w:color w:val="000000"/>
          <w:spacing w:val="-3"/>
          <w:szCs w:val="22"/>
        </w:rPr>
        <w:t>(įskaitant ibuprofeną, diklofenaką ir naprokseną), kadangi jie gali dirginti skrandį ir žarnyną.</w:t>
      </w:r>
      <w:r w:rsidRPr="005E49A1">
        <w:rPr>
          <w:szCs w:val="22"/>
        </w:rPr>
        <w:t xml:space="preserve"> BAXOGAR</w:t>
      </w:r>
      <w:r w:rsidRPr="005E49A1">
        <w:rPr>
          <w:color w:val="000000"/>
          <w:spacing w:val="-3"/>
          <w:szCs w:val="22"/>
        </w:rPr>
        <w:t xml:space="preserve"> taip gali sukelti šiuos reiškinius.</w:t>
      </w:r>
      <w:r w:rsidRPr="005E49A1">
        <w:rPr>
          <w:szCs w:val="22"/>
        </w:rPr>
        <w:t xml:space="preserve"> </w:t>
      </w:r>
      <w:r w:rsidRPr="005E49A1">
        <w:rPr>
          <w:color w:val="000000"/>
          <w:spacing w:val="-3"/>
          <w:szCs w:val="22"/>
        </w:rPr>
        <w:t xml:space="preserve">Taigi, būkite ypač atsargus, jeigu gydymo </w:t>
      </w:r>
      <w:r w:rsidRPr="005E49A1">
        <w:rPr>
          <w:szCs w:val="22"/>
        </w:rPr>
        <w:t xml:space="preserve">BAXOGAR metu vartojate </w:t>
      </w:r>
      <w:r w:rsidRPr="005E49A1">
        <w:rPr>
          <w:color w:val="000000"/>
          <w:spacing w:val="-3"/>
          <w:szCs w:val="22"/>
        </w:rPr>
        <w:t xml:space="preserve">skausmą </w:t>
      </w:r>
      <w:r w:rsidRPr="005E49A1">
        <w:rPr>
          <w:color w:val="000000"/>
          <w:spacing w:val="-4"/>
          <w:szCs w:val="22"/>
        </w:rPr>
        <w:t>malšinančių preparatų ar vaistų nuo uždegimo</w:t>
      </w:r>
      <w:r w:rsidRPr="005E49A1">
        <w:rPr>
          <w:szCs w:val="22"/>
        </w:rPr>
        <w:t xml:space="preserve">. </w:t>
      </w:r>
    </w:p>
    <w:p w14:paraId="02254246" w14:textId="77777777" w:rsidR="00302C06" w:rsidRPr="005E49A1" w:rsidRDefault="00302C06" w:rsidP="00302C06">
      <w:pPr>
        <w:widowControl w:val="0"/>
        <w:tabs>
          <w:tab w:val="left" w:pos="567"/>
        </w:tabs>
        <w:autoSpaceDE w:val="0"/>
        <w:autoSpaceDN w:val="0"/>
        <w:adjustRightInd w:val="0"/>
        <w:ind w:left="560" w:hanging="560"/>
        <w:rPr>
          <w:szCs w:val="22"/>
        </w:rPr>
      </w:pPr>
    </w:p>
    <w:p w14:paraId="6A6C1CAB" w14:textId="77777777" w:rsidR="00302C06" w:rsidRPr="005E49A1" w:rsidRDefault="00302C06" w:rsidP="00302C06">
      <w:pPr>
        <w:widowControl w:val="0"/>
        <w:tabs>
          <w:tab w:val="left" w:pos="567"/>
        </w:tabs>
        <w:autoSpaceDE w:val="0"/>
        <w:autoSpaceDN w:val="0"/>
        <w:adjustRightInd w:val="0"/>
        <w:rPr>
          <w:szCs w:val="22"/>
        </w:rPr>
      </w:pPr>
      <w:r w:rsidRPr="005E49A1">
        <w:rPr>
          <w:color w:val="000000"/>
          <w:spacing w:val="-3"/>
          <w:szCs w:val="22"/>
        </w:rPr>
        <w:t xml:space="preserve">Kas mėnesį išgėrę savo </w:t>
      </w:r>
      <w:r w:rsidRPr="005E49A1">
        <w:rPr>
          <w:szCs w:val="22"/>
        </w:rPr>
        <w:t>BAXOGAR tabletę,</w:t>
      </w:r>
      <w:r w:rsidRPr="005E49A1">
        <w:rPr>
          <w:color w:val="000000"/>
          <w:spacing w:val="-3"/>
          <w:szCs w:val="22"/>
        </w:rPr>
        <w:t xml:space="preserve"> </w:t>
      </w:r>
      <w:r w:rsidRPr="005E49A1">
        <w:rPr>
          <w:b/>
          <w:color w:val="000000"/>
          <w:spacing w:val="-3"/>
          <w:szCs w:val="22"/>
        </w:rPr>
        <w:t>palaukite bent 1 valandą ir tik po to vartokite bet kokių kitų vaistų</w:t>
      </w:r>
      <w:r w:rsidRPr="005E49A1">
        <w:rPr>
          <w:color w:val="000000"/>
          <w:spacing w:val="-3"/>
          <w:szCs w:val="22"/>
        </w:rPr>
        <w:t xml:space="preserve">, įskaitant </w:t>
      </w:r>
      <w:r w:rsidRPr="005E49A1">
        <w:rPr>
          <w:color w:val="000000"/>
          <w:spacing w:val="-4"/>
          <w:szCs w:val="22"/>
        </w:rPr>
        <w:t>tabletes nuo skrandžio veiklos sutrikimo ar vaistus, kalcio papildus ar vitaminus.</w:t>
      </w:r>
      <w:r w:rsidRPr="005E49A1">
        <w:rPr>
          <w:szCs w:val="22"/>
        </w:rPr>
        <w:t xml:space="preserve"> </w:t>
      </w:r>
    </w:p>
    <w:p w14:paraId="5094B087" w14:textId="77777777" w:rsidR="00302C06" w:rsidRPr="00444E1A" w:rsidRDefault="00302C06" w:rsidP="00302C06">
      <w:pPr>
        <w:pStyle w:val="Default"/>
        <w:tabs>
          <w:tab w:val="left" w:pos="567"/>
        </w:tabs>
        <w:ind w:left="560" w:hanging="560"/>
        <w:rPr>
          <w:b/>
          <w:color w:val="auto"/>
          <w:sz w:val="22"/>
          <w:szCs w:val="22"/>
          <w:lang w:val="lt-LT"/>
        </w:rPr>
      </w:pPr>
    </w:p>
    <w:p w14:paraId="734504CE" w14:textId="77777777" w:rsidR="00302C06" w:rsidRPr="00444E1A" w:rsidRDefault="00302C06" w:rsidP="00302C06">
      <w:pPr>
        <w:pStyle w:val="Default"/>
        <w:tabs>
          <w:tab w:val="left" w:pos="567"/>
        </w:tabs>
        <w:ind w:left="560" w:hanging="560"/>
        <w:rPr>
          <w:color w:val="auto"/>
          <w:sz w:val="22"/>
          <w:szCs w:val="22"/>
          <w:lang w:val="lt-LT"/>
        </w:rPr>
      </w:pPr>
      <w:r w:rsidRPr="005E49A1">
        <w:rPr>
          <w:b/>
          <w:color w:val="auto"/>
          <w:sz w:val="22"/>
          <w:szCs w:val="22"/>
          <w:lang w:val="lt-LT"/>
        </w:rPr>
        <w:t>BAXOGAR vartojimas su maistu ir gėrimais</w:t>
      </w:r>
      <w:r w:rsidRPr="00444E1A">
        <w:rPr>
          <w:b/>
          <w:color w:val="auto"/>
          <w:sz w:val="22"/>
          <w:szCs w:val="22"/>
          <w:lang w:val="lt-LT"/>
        </w:rPr>
        <w:t xml:space="preserve"> </w:t>
      </w:r>
    </w:p>
    <w:p w14:paraId="39D643E7" w14:textId="77777777" w:rsidR="00302C06" w:rsidRPr="00444E1A" w:rsidRDefault="00302C06" w:rsidP="00302C06">
      <w:pPr>
        <w:pStyle w:val="Default"/>
        <w:tabs>
          <w:tab w:val="left" w:pos="0"/>
        </w:tabs>
        <w:rPr>
          <w:color w:val="auto"/>
          <w:sz w:val="22"/>
          <w:szCs w:val="22"/>
          <w:lang w:val="lt-LT"/>
        </w:rPr>
      </w:pPr>
      <w:r w:rsidRPr="005E49A1">
        <w:rPr>
          <w:b/>
          <w:spacing w:val="-3"/>
          <w:sz w:val="22"/>
          <w:szCs w:val="22"/>
          <w:lang w:val="lt-LT"/>
        </w:rPr>
        <w:t xml:space="preserve">Nevartokite </w:t>
      </w:r>
      <w:r w:rsidRPr="005E49A1">
        <w:rPr>
          <w:b/>
          <w:color w:val="auto"/>
          <w:sz w:val="22"/>
          <w:szCs w:val="22"/>
          <w:lang w:val="lt-LT"/>
        </w:rPr>
        <w:t xml:space="preserve">BAXOGAR </w:t>
      </w:r>
      <w:r w:rsidRPr="005E49A1">
        <w:rPr>
          <w:b/>
          <w:spacing w:val="-3"/>
          <w:sz w:val="22"/>
          <w:szCs w:val="22"/>
          <w:lang w:val="lt-LT"/>
        </w:rPr>
        <w:t>kartu su maistu.</w:t>
      </w:r>
      <w:r w:rsidRPr="005E49A1">
        <w:rPr>
          <w:spacing w:val="-3"/>
          <w:sz w:val="22"/>
          <w:szCs w:val="22"/>
          <w:lang w:val="lt-LT"/>
        </w:rPr>
        <w:t xml:space="preserve"> Vartojamas kartu su maistu</w:t>
      </w:r>
      <w:r w:rsidRPr="005E49A1">
        <w:rPr>
          <w:color w:val="auto"/>
          <w:sz w:val="22"/>
          <w:szCs w:val="22"/>
          <w:lang w:val="lt-LT"/>
        </w:rPr>
        <w:t xml:space="preserve"> BAXOGAR</w:t>
      </w:r>
      <w:r w:rsidRPr="005E49A1">
        <w:rPr>
          <w:spacing w:val="-3"/>
          <w:sz w:val="22"/>
          <w:szCs w:val="22"/>
          <w:lang w:val="lt-LT"/>
        </w:rPr>
        <w:t xml:space="preserve"> yra mažiau veiksmingas.</w:t>
      </w:r>
      <w:r w:rsidRPr="00444E1A">
        <w:rPr>
          <w:color w:val="auto"/>
          <w:sz w:val="22"/>
          <w:szCs w:val="22"/>
          <w:lang w:val="lt-LT"/>
        </w:rPr>
        <w:t xml:space="preserve"> </w:t>
      </w:r>
    </w:p>
    <w:p w14:paraId="6BF7D280" w14:textId="59E2EFD5" w:rsidR="00302C06" w:rsidRPr="00444E1A" w:rsidRDefault="00302C06" w:rsidP="00302C06">
      <w:pPr>
        <w:widowControl w:val="0"/>
        <w:tabs>
          <w:tab w:val="left" w:pos="567"/>
        </w:tabs>
        <w:autoSpaceDE w:val="0"/>
        <w:autoSpaceDN w:val="0"/>
        <w:adjustRightInd w:val="0"/>
        <w:rPr>
          <w:szCs w:val="22"/>
        </w:rPr>
      </w:pPr>
      <w:r w:rsidRPr="005E49A1">
        <w:rPr>
          <w:b/>
          <w:color w:val="000000"/>
          <w:spacing w:val="-3"/>
          <w:szCs w:val="22"/>
        </w:rPr>
        <w:t>Galima gerti vandens, bet ne kitų gėrimų</w:t>
      </w:r>
      <w:r w:rsidRPr="005E49A1">
        <w:rPr>
          <w:color w:val="000000"/>
          <w:spacing w:val="-3"/>
          <w:szCs w:val="22"/>
        </w:rPr>
        <w:t xml:space="preserve"> (žr. 3 skyrių </w:t>
      </w:r>
      <w:r w:rsidR="00AB0C9B">
        <w:rPr>
          <w:color w:val="000000"/>
          <w:spacing w:val="-3"/>
          <w:szCs w:val="22"/>
        </w:rPr>
        <w:t>“</w:t>
      </w:r>
      <w:r w:rsidRPr="005E49A1">
        <w:rPr>
          <w:color w:val="000000"/>
          <w:spacing w:val="-3"/>
          <w:szCs w:val="22"/>
        </w:rPr>
        <w:t>Kaip vartoti BAXOGAR</w:t>
      </w:r>
      <w:r w:rsidR="00AB0C9B">
        <w:rPr>
          <w:color w:val="000000"/>
          <w:spacing w:val="-3"/>
          <w:szCs w:val="22"/>
        </w:rPr>
        <w:t>”</w:t>
      </w:r>
      <w:r w:rsidRPr="005E49A1">
        <w:rPr>
          <w:color w:val="000000"/>
          <w:spacing w:val="-3"/>
          <w:szCs w:val="22"/>
        </w:rPr>
        <w:t>).</w:t>
      </w:r>
      <w:r w:rsidRPr="00444E1A">
        <w:rPr>
          <w:szCs w:val="22"/>
        </w:rPr>
        <w:t xml:space="preserve"> </w:t>
      </w:r>
    </w:p>
    <w:p w14:paraId="1D5373AF" w14:textId="77777777" w:rsidR="00302C06" w:rsidRPr="00444E1A" w:rsidRDefault="00302C06" w:rsidP="00302C06">
      <w:pPr>
        <w:widowControl w:val="0"/>
        <w:tabs>
          <w:tab w:val="left" w:pos="567"/>
        </w:tabs>
        <w:autoSpaceDE w:val="0"/>
        <w:autoSpaceDN w:val="0"/>
        <w:adjustRightInd w:val="0"/>
        <w:rPr>
          <w:szCs w:val="22"/>
        </w:rPr>
      </w:pPr>
    </w:p>
    <w:p w14:paraId="2589CBBB" w14:textId="77777777" w:rsidR="00302C06" w:rsidRPr="00444E1A" w:rsidRDefault="00302C06" w:rsidP="00302C06">
      <w:pPr>
        <w:widowControl w:val="0"/>
        <w:tabs>
          <w:tab w:val="left" w:pos="567"/>
        </w:tabs>
        <w:autoSpaceDE w:val="0"/>
        <w:autoSpaceDN w:val="0"/>
        <w:adjustRightInd w:val="0"/>
        <w:rPr>
          <w:szCs w:val="22"/>
        </w:rPr>
      </w:pPr>
      <w:r w:rsidRPr="005E49A1">
        <w:t>Išgėrę BAXOGAR, prašom palaukite bent 1 valandą ir tik tada galite pirmą kartą tą dieną pavalgyti ar gerti kitus gėrimus (žr. 3 skyrių Kaip vartoti BAXOGAR).</w:t>
      </w:r>
    </w:p>
    <w:p w14:paraId="32597F87" w14:textId="77777777" w:rsidR="00302C06" w:rsidRPr="00444E1A" w:rsidRDefault="00302C06" w:rsidP="00302C06">
      <w:pPr>
        <w:widowControl w:val="0"/>
        <w:tabs>
          <w:tab w:val="left" w:pos="567"/>
        </w:tabs>
        <w:autoSpaceDE w:val="0"/>
        <w:autoSpaceDN w:val="0"/>
        <w:adjustRightInd w:val="0"/>
        <w:rPr>
          <w:b/>
          <w:szCs w:val="22"/>
        </w:rPr>
      </w:pPr>
    </w:p>
    <w:p w14:paraId="2E7E3988" w14:textId="77777777" w:rsidR="00302C06" w:rsidRPr="005E49A1" w:rsidRDefault="00302C06" w:rsidP="00302C06">
      <w:pPr>
        <w:widowControl w:val="0"/>
        <w:tabs>
          <w:tab w:val="left" w:pos="567"/>
        </w:tabs>
        <w:autoSpaceDE w:val="0"/>
        <w:autoSpaceDN w:val="0"/>
        <w:adjustRightInd w:val="0"/>
        <w:rPr>
          <w:b/>
          <w:szCs w:val="22"/>
        </w:rPr>
      </w:pPr>
      <w:r w:rsidRPr="005E49A1">
        <w:rPr>
          <w:b/>
          <w:szCs w:val="22"/>
        </w:rPr>
        <w:t>Nėštumas ir žindymo laikotarpis</w:t>
      </w:r>
    </w:p>
    <w:p w14:paraId="3B71E7EE" w14:textId="77777777" w:rsidR="00302C06" w:rsidRPr="00444E1A" w:rsidRDefault="00302C06" w:rsidP="00302C06">
      <w:pPr>
        <w:widowControl w:val="0"/>
        <w:tabs>
          <w:tab w:val="left" w:pos="567"/>
        </w:tabs>
        <w:autoSpaceDE w:val="0"/>
        <w:autoSpaceDN w:val="0"/>
        <w:adjustRightInd w:val="0"/>
        <w:rPr>
          <w:szCs w:val="22"/>
        </w:rPr>
      </w:pPr>
      <w:r w:rsidRPr="005E49A1">
        <w:t xml:space="preserve">BAXOGAR yra skirtas tik moterims po menopauzės gydyti ir neturi būti skiriamas vaisingo amžiaus moterims. </w:t>
      </w:r>
      <w:r w:rsidRPr="00444E1A">
        <w:rPr>
          <w:b/>
          <w:szCs w:val="22"/>
        </w:rPr>
        <w:t xml:space="preserve"> </w:t>
      </w:r>
    </w:p>
    <w:p w14:paraId="1BDB60EB" w14:textId="77777777" w:rsidR="00302C06" w:rsidRPr="00444E1A" w:rsidRDefault="00302C06" w:rsidP="00302C06">
      <w:pPr>
        <w:widowControl w:val="0"/>
        <w:tabs>
          <w:tab w:val="left" w:pos="567"/>
        </w:tabs>
        <w:autoSpaceDE w:val="0"/>
        <w:autoSpaceDN w:val="0"/>
        <w:adjustRightInd w:val="0"/>
        <w:rPr>
          <w:b/>
          <w:szCs w:val="22"/>
        </w:rPr>
      </w:pPr>
      <w:r w:rsidRPr="005E49A1">
        <w:rPr>
          <w:color w:val="000000"/>
          <w:spacing w:val="-3"/>
          <w:szCs w:val="22"/>
        </w:rPr>
        <w:t>Nevartokite BAXOGAR, jeigu esate nėščia ar žindote kūdikį.</w:t>
      </w:r>
      <w:r w:rsidRPr="00444E1A">
        <w:rPr>
          <w:szCs w:val="22"/>
        </w:rPr>
        <w:t xml:space="preserve"> </w:t>
      </w:r>
    </w:p>
    <w:p w14:paraId="4A21C77A" w14:textId="77777777" w:rsidR="00302C06" w:rsidRPr="005E49A1" w:rsidRDefault="00302C06" w:rsidP="00302C06">
      <w:r w:rsidRPr="005E49A1">
        <w:t>Prieš vartodama šį vaistą, pasitarkite su gydytoju ar vaistininku.</w:t>
      </w:r>
    </w:p>
    <w:p w14:paraId="0CEE5E54" w14:textId="77777777" w:rsidR="00302C06" w:rsidRPr="00444E1A" w:rsidRDefault="00302C06" w:rsidP="00302C06">
      <w:pPr>
        <w:widowControl w:val="0"/>
        <w:tabs>
          <w:tab w:val="left" w:pos="567"/>
        </w:tabs>
        <w:autoSpaceDE w:val="0"/>
        <w:autoSpaceDN w:val="0"/>
        <w:adjustRightInd w:val="0"/>
        <w:rPr>
          <w:szCs w:val="22"/>
        </w:rPr>
      </w:pPr>
    </w:p>
    <w:p w14:paraId="2FA5692D" w14:textId="77777777" w:rsidR="00302C06" w:rsidRPr="00444E1A" w:rsidRDefault="00302C06" w:rsidP="00302C06">
      <w:pPr>
        <w:widowControl w:val="0"/>
        <w:tabs>
          <w:tab w:val="left" w:pos="567"/>
        </w:tabs>
        <w:autoSpaceDE w:val="0"/>
        <w:autoSpaceDN w:val="0"/>
        <w:adjustRightInd w:val="0"/>
        <w:ind w:left="560" w:hanging="560"/>
        <w:rPr>
          <w:szCs w:val="22"/>
        </w:rPr>
      </w:pPr>
      <w:r w:rsidRPr="005E49A1">
        <w:rPr>
          <w:b/>
          <w:szCs w:val="22"/>
        </w:rPr>
        <w:t>Vairavimas ir mechanizmų valdymas</w:t>
      </w:r>
      <w:r w:rsidRPr="00444E1A">
        <w:rPr>
          <w:b/>
          <w:szCs w:val="22"/>
        </w:rPr>
        <w:t xml:space="preserve"> </w:t>
      </w:r>
    </w:p>
    <w:p w14:paraId="77C0A0B6" w14:textId="10BB510D" w:rsidR="00302C06" w:rsidRPr="00444E1A" w:rsidRDefault="00302C06" w:rsidP="00302C06">
      <w:pPr>
        <w:widowControl w:val="0"/>
        <w:tabs>
          <w:tab w:val="left" w:pos="567"/>
        </w:tabs>
        <w:autoSpaceDE w:val="0"/>
        <w:autoSpaceDN w:val="0"/>
        <w:adjustRightInd w:val="0"/>
        <w:rPr>
          <w:szCs w:val="22"/>
        </w:rPr>
      </w:pPr>
      <w:r w:rsidRPr="005E49A1">
        <w:rPr>
          <w:color w:val="000000"/>
          <w:spacing w:val="-3"/>
          <w:szCs w:val="22"/>
        </w:rPr>
        <w:t xml:space="preserve">Jūs galite vairuoti ir valdyti mechanizmus, nes manoma, kad </w:t>
      </w:r>
      <w:r w:rsidRPr="005E49A1">
        <w:rPr>
          <w:szCs w:val="22"/>
        </w:rPr>
        <w:t xml:space="preserve">BAXOGAR </w:t>
      </w:r>
      <w:r w:rsidRPr="005E49A1">
        <w:t>gebėjimo vairuoti ir valdyti mechanizmus neveikia arba veikia nereikšmingai.</w:t>
      </w:r>
      <w:r w:rsidRPr="00444E1A">
        <w:rPr>
          <w:szCs w:val="22"/>
        </w:rPr>
        <w:t xml:space="preserve"> </w:t>
      </w:r>
    </w:p>
    <w:p w14:paraId="33E25D41" w14:textId="77777777" w:rsidR="00302C06" w:rsidRPr="00444E1A" w:rsidRDefault="00302C06" w:rsidP="00302C06">
      <w:pPr>
        <w:widowControl w:val="0"/>
        <w:tabs>
          <w:tab w:val="left" w:pos="567"/>
        </w:tabs>
        <w:autoSpaceDE w:val="0"/>
        <w:autoSpaceDN w:val="0"/>
        <w:adjustRightInd w:val="0"/>
        <w:rPr>
          <w:szCs w:val="22"/>
        </w:rPr>
      </w:pPr>
    </w:p>
    <w:p w14:paraId="0E205943" w14:textId="77777777" w:rsidR="00302C06" w:rsidRPr="00444E1A" w:rsidRDefault="00302C06" w:rsidP="00302C06">
      <w:pPr>
        <w:widowControl w:val="0"/>
        <w:tabs>
          <w:tab w:val="left" w:pos="567"/>
        </w:tabs>
        <w:autoSpaceDE w:val="0"/>
        <w:autoSpaceDN w:val="0"/>
        <w:adjustRightInd w:val="0"/>
        <w:rPr>
          <w:szCs w:val="22"/>
        </w:rPr>
      </w:pPr>
      <w:r w:rsidRPr="005E49A1">
        <w:rPr>
          <w:b/>
          <w:szCs w:val="22"/>
        </w:rPr>
        <w:t>BAXOGAR sudėtyje yra laktozės</w:t>
      </w:r>
    </w:p>
    <w:p w14:paraId="0A0D203B" w14:textId="50876A76" w:rsidR="00302C06" w:rsidRDefault="00302C06" w:rsidP="00302C06">
      <w:pPr>
        <w:ind w:right="-2"/>
      </w:pPr>
      <w:r w:rsidRPr="005E49A1">
        <w:t xml:space="preserve">Jeigu gydytojas Jums yra sakęs, kad netoleruojate ar nevirškinate kokių nors </w:t>
      </w:r>
      <w:r w:rsidR="001F08F4">
        <w:t>rūšių cukraus</w:t>
      </w:r>
      <w:r w:rsidRPr="005E49A1">
        <w:t xml:space="preserve">, </w:t>
      </w:r>
      <w:r>
        <w:t>prieš pradėdami vartoti šį vaistą</w:t>
      </w:r>
      <w:r w:rsidR="001F08F4">
        <w:t xml:space="preserve"> pasitarkite su savo gydytoju</w:t>
      </w:r>
      <w:r w:rsidRPr="005E49A1">
        <w:t>.</w:t>
      </w:r>
    </w:p>
    <w:p w14:paraId="04FE0AC8" w14:textId="77777777" w:rsidR="00316B4C" w:rsidRDefault="00316B4C" w:rsidP="00302C06">
      <w:pPr>
        <w:ind w:right="-2"/>
      </w:pPr>
    </w:p>
    <w:p w14:paraId="20F03E66" w14:textId="3B969B2F" w:rsidR="00316B4C" w:rsidRDefault="00316B4C" w:rsidP="00302C06">
      <w:pPr>
        <w:ind w:right="-2"/>
      </w:pPr>
      <w:r>
        <w:rPr>
          <w:b/>
        </w:rPr>
        <w:t>BAXOGAR sudėtyje yra natrio</w:t>
      </w:r>
    </w:p>
    <w:p w14:paraId="1BCC2288" w14:textId="1F7965C0" w:rsidR="00316B4C" w:rsidRPr="00C71C79" w:rsidRDefault="00316B4C" w:rsidP="00C71C79">
      <w:pPr>
        <w:autoSpaceDE w:val="0"/>
        <w:autoSpaceDN w:val="0"/>
        <w:adjustRightInd w:val="0"/>
        <w:rPr>
          <w:szCs w:val="22"/>
        </w:rPr>
      </w:pPr>
      <w:r>
        <w:rPr>
          <w:szCs w:val="22"/>
        </w:rPr>
        <w:t xml:space="preserve">Vienoje šio vaisto plėvele dengtoje tabletėje yra mažiau nei 1 mmol natrio (23 mg), t. y., šis vaistinis preparatas iš esmės yra be natrio. </w:t>
      </w:r>
    </w:p>
    <w:p w14:paraId="349A3673" w14:textId="77777777" w:rsidR="00302C06" w:rsidRPr="00444E1A" w:rsidRDefault="00302C06" w:rsidP="00302C06">
      <w:pPr>
        <w:tabs>
          <w:tab w:val="left" w:pos="567"/>
        </w:tabs>
        <w:rPr>
          <w:szCs w:val="22"/>
        </w:rPr>
      </w:pPr>
    </w:p>
    <w:p w14:paraId="1B27AA67" w14:textId="77777777" w:rsidR="00302C06" w:rsidRPr="00444E1A" w:rsidRDefault="00302C06" w:rsidP="00302C06">
      <w:pPr>
        <w:tabs>
          <w:tab w:val="left" w:pos="567"/>
        </w:tabs>
        <w:rPr>
          <w:szCs w:val="22"/>
        </w:rPr>
      </w:pPr>
    </w:p>
    <w:p w14:paraId="5BC0F5FA" w14:textId="77777777" w:rsidR="00302C06" w:rsidRPr="005E49A1" w:rsidRDefault="00302C06" w:rsidP="00302C06">
      <w:pPr>
        <w:widowControl w:val="0"/>
        <w:tabs>
          <w:tab w:val="left" w:pos="567"/>
        </w:tabs>
        <w:autoSpaceDE w:val="0"/>
        <w:autoSpaceDN w:val="0"/>
        <w:adjustRightInd w:val="0"/>
        <w:ind w:left="540" w:hanging="540"/>
        <w:rPr>
          <w:b/>
          <w:szCs w:val="22"/>
        </w:rPr>
      </w:pPr>
      <w:r w:rsidRPr="005E49A1">
        <w:rPr>
          <w:b/>
          <w:szCs w:val="22"/>
        </w:rPr>
        <w:t>3.</w:t>
      </w:r>
      <w:r w:rsidRPr="005E49A1">
        <w:rPr>
          <w:b/>
          <w:szCs w:val="22"/>
        </w:rPr>
        <w:tab/>
        <w:t xml:space="preserve">Kaip vartoti BAXOGAR </w:t>
      </w:r>
    </w:p>
    <w:p w14:paraId="14A95961" w14:textId="77777777" w:rsidR="00302C06" w:rsidRPr="00444E1A" w:rsidRDefault="00302C06" w:rsidP="00302C06">
      <w:pPr>
        <w:widowControl w:val="0"/>
        <w:tabs>
          <w:tab w:val="left" w:pos="567"/>
        </w:tabs>
        <w:autoSpaceDE w:val="0"/>
        <w:autoSpaceDN w:val="0"/>
        <w:adjustRightInd w:val="0"/>
        <w:ind w:left="560" w:hanging="560"/>
        <w:rPr>
          <w:szCs w:val="22"/>
        </w:rPr>
      </w:pPr>
    </w:p>
    <w:p w14:paraId="3FD6A4BF" w14:textId="77777777" w:rsidR="00302C06" w:rsidRPr="005E49A1" w:rsidRDefault="00302C06" w:rsidP="00302C06">
      <w:pPr>
        <w:widowControl w:val="0"/>
        <w:tabs>
          <w:tab w:val="left" w:pos="567"/>
        </w:tabs>
        <w:autoSpaceDE w:val="0"/>
        <w:autoSpaceDN w:val="0"/>
        <w:adjustRightInd w:val="0"/>
        <w:rPr>
          <w:szCs w:val="22"/>
        </w:rPr>
      </w:pPr>
      <w:r w:rsidRPr="005E49A1">
        <w:rPr>
          <w:szCs w:val="22"/>
        </w:rPr>
        <w:t xml:space="preserve">Visada vartokite šį vaistą tiksliai taip, kaip nurodė gydytojas. </w:t>
      </w:r>
      <w:r w:rsidRPr="005E49A1">
        <w:rPr>
          <w:color w:val="000000"/>
          <w:spacing w:val="-3"/>
          <w:szCs w:val="22"/>
        </w:rPr>
        <w:t xml:space="preserve">Jeigu abejojate, kreipkitės į gydytoją </w:t>
      </w:r>
      <w:r w:rsidRPr="005E49A1">
        <w:rPr>
          <w:color w:val="000000"/>
          <w:spacing w:val="-4"/>
          <w:szCs w:val="22"/>
        </w:rPr>
        <w:t>arba vaistininką.</w:t>
      </w:r>
      <w:r w:rsidRPr="005E49A1">
        <w:rPr>
          <w:szCs w:val="22"/>
        </w:rPr>
        <w:t xml:space="preserve"> </w:t>
      </w:r>
    </w:p>
    <w:p w14:paraId="287B0A4E" w14:textId="77777777" w:rsidR="00302C06" w:rsidRPr="005E49A1" w:rsidRDefault="00302C06" w:rsidP="00302C06">
      <w:pPr>
        <w:widowControl w:val="0"/>
        <w:tabs>
          <w:tab w:val="left" w:pos="567"/>
        </w:tabs>
        <w:autoSpaceDE w:val="0"/>
        <w:autoSpaceDN w:val="0"/>
        <w:adjustRightInd w:val="0"/>
        <w:rPr>
          <w:szCs w:val="22"/>
        </w:rPr>
      </w:pPr>
    </w:p>
    <w:p w14:paraId="134720CA" w14:textId="760C09E1" w:rsidR="00302C06" w:rsidRPr="00444E1A" w:rsidRDefault="00316B4C" w:rsidP="00302C06">
      <w:pPr>
        <w:widowControl w:val="0"/>
        <w:tabs>
          <w:tab w:val="left" w:pos="567"/>
        </w:tabs>
        <w:autoSpaceDE w:val="0"/>
        <w:autoSpaceDN w:val="0"/>
        <w:adjustRightInd w:val="0"/>
        <w:ind w:left="560" w:hanging="560"/>
        <w:rPr>
          <w:szCs w:val="22"/>
        </w:rPr>
      </w:pPr>
      <w:r>
        <w:rPr>
          <w:b/>
          <w:color w:val="000000"/>
          <w:spacing w:val="-4"/>
          <w:szCs w:val="22"/>
        </w:rPr>
        <w:t>Rekomenduojama</w:t>
      </w:r>
      <w:r w:rsidRPr="005E49A1">
        <w:rPr>
          <w:b/>
          <w:color w:val="000000"/>
          <w:spacing w:val="-4"/>
          <w:szCs w:val="22"/>
        </w:rPr>
        <w:t xml:space="preserve"> </w:t>
      </w:r>
      <w:r w:rsidR="00302C06" w:rsidRPr="005E49A1">
        <w:rPr>
          <w:b/>
          <w:szCs w:val="22"/>
        </w:rPr>
        <w:t xml:space="preserve">BAXOGAR </w:t>
      </w:r>
      <w:r w:rsidR="00302C06" w:rsidRPr="005E49A1">
        <w:rPr>
          <w:b/>
          <w:color w:val="000000"/>
          <w:spacing w:val="-4"/>
          <w:szCs w:val="22"/>
        </w:rPr>
        <w:t>dozė yra viena tabletė kartą per mėnesį</w:t>
      </w:r>
      <w:r w:rsidR="00302C06" w:rsidRPr="005E49A1">
        <w:rPr>
          <w:color w:val="000000"/>
          <w:spacing w:val="-4"/>
          <w:szCs w:val="22"/>
        </w:rPr>
        <w:t>.</w:t>
      </w:r>
      <w:r w:rsidR="00302C06" w:rsidRPr="00444E1A">
        <w:rPr>
          <w:szCs w:val="22"/>
        </w:rPr>
        <w:t xml:space="preserve"> </w:t>
      </w:r>
    </w:p>
    <w:p w14:paraId="2AC19FAE" w14:textId="77777777" w:rsidR="00302C06" w:rsidRPr="00444E1A" w:rsidRDefault="00302C06" w:rsidP="00302C06">
      <w:pPr>
        <w:widowControl w:val="0"/>
        <w:tabs>
          <w:tab w:val="left" w:pos="567"/>
        </w:tabs>
        <w:autoSpaceDE w:val="0"/>
        <w:autoSpaceDN w:val="0"/>
        <w:adjustRightInd w:val="0"/>
        <w:rPr>
          <w:szCs w:val="22"/>
        </w:rPr>
      </w:pPr>
    </w:p>
    <w:p w14:paraId="611795D3" w14:textId="77777777" w:rsidR="00302C06" w:rsidRPr="00444E1A" w:rsidRDefault="00302C06" w:rsidP="00302C06">
      <w:pPr>
        <w:widowControl w:val="0"/>
        <w:tabs>
          <w:tab w:val="left" w:pos="567"/>
        </w:tabs>
        <w:autoSpaceDE w:val="0"/>
        <w:autoSpaceDN w:val="0"/>
        <w:adjustRightInd w:val="0"/>
        <w:ind w:left="560" w:hanging="560"/>
        <w:rPr>
          <w:b/>
          <w:szCs w:val="22"/>
        </w:rPr>
      </w:pPr>
      <w:r w:rsidRPr="005E49A1">
        <w:rPr>
          <w:b/>
          <w:color w:val="000000"/>
          <w:spacing w:val="-4"/>
          <w:szCs w:val="22"/>
        </w:rPr>
        <w:t>Jūsų tabletės vartojimas kas mėnesį</w:t>
      </w:r>
      <w:r w:rsidRPr="00444E1A">
        <w:rPr>
          <w:b/>
          <w:szCs w:val="22"/>
        </w:rPr>
        <w:t xml:space="preserve"> </w:t>
      </w:r>
    </w:p>
    <w:p w14:paraId="60DBA1A8" w14:textId="77777777" w:rsidR="00302C06" w:rsidRPr="00444E1A" w:rsidRDefault="00302C06" w:rsidP="00302C06">
      <w:pPr>
        <w:widowControl w:val="0"/>
        <w:tabs>
          <w:tab w:val="left" w:pos="567"/>
        </w:tabs>
        <w:autoSpaceDE w:val="0"/>
        <w:autoSpaceDN w:val="0"/>
        <w:adjustRightInd w:val="0"/>
        <w:rPr>
          <w:szCs w:val="22"/>
        </w:rPr>
      </w:pPr>
      <w:r w:rsidRPr="005E49A1">
        <w:rPr>
          <w:color w:val="000000"/>
          <w:spacing w:val="-3"/>
          <w:szCs w:val="22"/>
        </w:rPr>
        <w:t>Svarbu tiksliai laikytis šių nurodymų.</w:t>
      </w:r>
      <w:r w:rsidRPr="00444E1A">
        <w:rPr>
          <w:szCs w:val="22"/>
        </w:rPr>
        <w:t xml:space="preserve"> </w:t>
      </w:r>
      <w:r w:rsidRPr="005E49A1">
        <w:rPr>
          <w:color w:val="000000"/>
          <w:spacing w:val="-3"/>
          <w:szCs w:val="22"/>
        </w:rPr>
        <w:t xml:space="preserve">Jie yra skirti padėti BAXOGAR tabletei greitai patekti į Jūsų skrandį, </w:t>
      </w:r>
      <w:r w:rsidRPr="005E49A1">
        <w:rPr>
          <w:color w:val="000000"/>
          <w:spacing w:val="-4"/>
          <w:szCs w:val="22"/>
        </w:rPr>
        <w:t>taigi sumažinti tikimybę sukelti dirginimą.</w:t>
      </w:r>
      <w:r w:rsidRPr="00444E1A">
        <w:rPr>
          <w:b/>
          <w:szCs w:val="22"/>
        </w:rPr>
        <w:t xml:space="preserve"> </w:t>
      </w:r>
    </w:p>
    <w:p w14:paraId="64D59A59" w14:textId="77777777" w:rsidR="00302C06" w:rsidRPr="00444E1A" w:rsidRDefault="00302C06" w:rsidP="00302C06">
      <w:pPr>
        <w:widowControl w:val="0"/>
        <w:tabs>
          <w:tab w:val="left" w:pos="567"/>
        </w:tabs>
        <w:autoSpaceDE w:val="0"/>
        <w:autoSpaceDN w:val="0"/>
        <w:adjustRightInd w:val="0"/>
        <w:rPr>
          <w:szCs w:val="22"/>
        </w:rPr>
      </w:pPr>
    </w:p>
    <w:p w14:paraId="718F2CE2" w14:textId="46E3F4D9" w:rsidR="00302C06" w:rsidRPr="008E048C" w:rsidRDefault="00302C06" w:rsidP="0022545A">
      <w:pPr>
        <w:pStyle w:val="Sraopastraipa"/>
        <w:widowControl w:val="0"/>
        <w:numPr>
          <w:ilvl w:val="0"/>
          <w:numId w:val="32"/>
        </w:numPr>
        <w:tabs>
          <w:tab w:val="left" w:pos="567"/>
        </w:tabs>
        <w:autoSpaceDE w:val="0"/>
        <w:autoSpaceDN w:val="0"/>
        <w:adjustRightInd w:val="0"/>
        <w:ind w:left="567" w:hanging="567"/>
        <w:rPr>
          <w:szCs w:val="22"/>
        </w:rPr>
      </w:pPr>
      <w:r w:rsidRPr="00C71C79">
        <w:rPr>
          <w:b/>
          <w:color w:val="000000"/>
          <w:spacing w:val="-3"/>
          <w:szCs w:val="22"/>
        </w:rPr>
        <w:t>Gerkite po vieną BAXOGAR 150 mg tabletę kartą per mėnesį.</w:t>
      </w:r>
      <w:r w:rsidRPr="008E048C">
        <w:rPr>
          <w:szCs w:val="22"/>
        </w:rPr>
        <w:t xml:space="preserve"> </w:t>
      </w:r>
    </w:p>
    <w:p w14:paraId="1CB9D12A" w14:textId="77777777" w:rsidR="00302C06" w:rsidRPr="00444E1A" w:rsidRDefault="00302C06" w:rsidP="00302C06">
      <w:pPr>
        <w:widowControl w:val="0"/>
        <w:tabs>
          <w:tab w:val="left" w:pos="567"/>
        </w:tabs>
        <w:autoSpaceDE w:val="0"/>
        <w:autoSpaceDN w:val="0"/>
        <w:adjustRightInd w:val="0"/>
        <w:ind w:left="540" w:hanging="540"/>
        <w:rPr>
          <w:szCs w:val="22"/>
        </w:rPr>
      </w:pPr>
    </w:p>
    <w:p w14:paraId="1F9A03DD" w14:textId="32350944" w:rsidR="00302C06" w:rsidRPr="008E048C" w:rsidRDefault="00302C06" w:rsidP="0022545A">
      <w:pPr>
        <w:pStyle w:val="Sraopastraipa"/>
        <w:widowControl w:val="0"/>
        <w:numPr>
          <w:ilvl w:val="0"/>
          <w:numId w:val="32"/>
        </w:numPr>
        <w:tabs>
          <w:tab w:val="left" w:pos="567"/>
        </w:tabs>
        <w:autoSpaceDE w:val="0"/>
        <w:autoSpaceDN w:val="0"/>
        <w:adjustRightInd w:val="0"/>
        <w:ind w:left="567" w:hanging="567"/>
        <w:rPr>
          <w:szCs w:val="22"/>
        </w:rPr>
      </w:pPr>
      <w:r w:rsidRPr="00C71C79">
        <w:rPr>
          <w:b/>
          <w:color w:val="000000"/>
          <w:spacing w:val="-2"/>
          <w:szCs w:val="22"/>
        </w:rPr>
        <w:t>Pasirinkite tokią mėnesio dieną</w:t>
      </w:r>
      <w:r w:rsidRPr="00C71C79">
        <w:rPr>
          <w:color w:val="000000"/>
          <w:spacing w:val="-2"/>
          <w:szCs w:val="22"/>
        </w:rPr>
        <w:t>, kurią būtų lengva prisiminti.</w:t>
      </w:r>
      <w:r w:rsidRPr="008E048C">
        <w:rPr>
          <w:szCs w:val="22"/>
        </w:rPr>
        <w:t xml:space="preserve"> Savo </w:t>
      </w:r>
      <w:r w:rsidRPr="00C71C79">
        <w:rPr>
          <w:color w:val="000000"/>
          <w:spacing w:val="-2"/>
          <w:szCs w:val="22"/>
        </w:rPr>
        <w:t>BAXOGAR tabletei išgerti pasirinkite arba tą pačią datą (pvz., kiekvieno mėnesio 1-ąją dieną) arba tą pačią mėnesio dieną (pvz., pirmąjį kiekvieno mėnesio sekmadienį).</w:t>
      </w:r>
      <w:r w:rsidRPr="008E048C">
        <w:rPr>
          <w:szCs w:val="22"/>
        </w:rPr>
        <w:t xml:space="preserve"> </w:t>
      </w:r>
      <w:r w:rsidRPr="00C71C79">
        <w:rPr>
          <w:color w:val="000000"/>
          <w:spacing w:val="-2"/>
          <w:szCs w:val="22"/>
        </w:rPr>
        <w:t>Pasirinkite datą, kuri geriausiai dera prie Jūsų seniai nusistovėjusios tvarkos.</w:t>
      </w:r>
    </w:p>
    <w:p w14:paraId="7292F353" w14:textId="77777777" w:rsidR="00302C06" w:rsidRPr="005E49A1" w:rsidRDefault="00302C06" w:rsidP="00302C06">
      <w:pPr>
        <w:widowControl w:val="0"/>
        <w:tabs>
          <w:tab w:val="left" w:pos="567"/>
        </w:tabs>
        <w:autoSpaceDE w:val="0"/>
        <w:autoSpaceDN w:val="0"/>
        <w:adjustRightInd w:val="0"/>
        <w:ind w:left="540" w:hanging="540"/>
        <w:rPr>
          <w:szCs w:val="22"/>
        </w:rPr>
      </w:pPr>
    </w:p>
    <w:p w14:paraId="0A8DA048" w14:textId="37B146C7" w:rsidR="00302C06" w:rsidRPr="008E048C" w:rsidRDefault="00302C06" w:rsidP="0022545A">
      <w:pPr>
        <w:pStyle w:val="Sraopastraipa"/>
        <w:widowControl w:val="0"/>
        <w:numPr>
          <w:ilvl w:val="0"/>
          <w:numId w:val="32"/>
        </w:numPr>
        <w:tabs>
          <w:tab w:val="left" w:pos="567"/>
        </w:tabs>
        <w:autoSpaceDE w:val="0"/>
        <w:autoSpaceDN w:val="0"/>
        <w:adjustRightInd w:val="0"/>
        <w:ind w:left="567" w:hanging="567"/>
        <w:rPr>
          <w:szCs w:val="22"/>
        </w:rPr>
      </w:pPr>
      <w:r w:rsidRPr="008E048C">
        <w:rPr>
          <w:szCs w:val="22"/>
        </w:rPr>
        <w:lastRenderedPageBreak/>
        <w:t xml:space="preserve">Savo </w:t>
      </w:r>
      <w:r w:rsidRPr="00C71C79">
        <w:rPr>
          <w:color w:val="000000"/>
          <w:spacing w:val="-2"/>
          <w:szCs w:val="22"/>
        </w:rPr>
        <w:t xml:space="preserve">BAXOGAR tabletę vartokite </w:t>
      </w:r>
      <w:r w:rsidRPr="00C71C79">
        <w:rPr>
          <w:b/>
          <w:color w:val="000000"/>
          <w:spacing w:val="-2"/>
          <w:szCs w:val="22"/>
        </w:rPr>
        <w:t>praėjus bent 6 valandoms, kai Jūs paskutinį kartą ką nors valgėte</w:t>
      </w:r>
      <w:r w:rsidRPr="00C71C79">
        <w:rPr>
          <w:color w:val="000000"/>
          <w:spacing w:val="-2"/>
          <w:szCs w:val="22"/>
        </w:rPr>
        <w:t xml:space="preserve"> </w:t>
      </w:r>
      <w:r w:rsidRPr="00C71C79">
        <w:rPr>
          <w:color w:val="000000"/>
          <w:spacing w:val="-3"/>
          <w:szCs w:val="22"/>
        </w:rPr>
        <w:t>ar gėrėte, išskyrus vandenį.</w:t>
      </w:r>
      <w:r w:rsidRPr="008E048C">
        <w:rPr>
          <w:szCs w:val="22"/>
        </w:rPr>
        <w:t xml:space="preserve"> </w:t>
      </w:r>
    </w:p>
    <w:p w14:paraId="764A97A2" w14:textId="77777777" w:rsidR="00302C06" w:rsidRPr="005E49A1" w:rsidRDefault="00302C06" w:rsidP="00302C06">
      <w:pPr>
        <w:widowControl w:val="0"/>
        <w:tabs>
          <w:tab w:val="left" w:pos="567"/>
        </w:tabs>
        <w:autoSpaceDE w:val="0"/>
        <w:autoSpaceDN w:val="0"/>
        <w:adjustRightInd w:val="0"/>
        <w:ind w:left="540" w:hanging="540"/>
        <w:rPr>
          <w:szCs w:val="22"/>
        </w:rPr>
      </w:pPr>
    </w:p>
    <w:p w14:paraId="26A82BDF" w14:textId="26F5084D" w:rsidR="00302C06" w:rsidRPr="008E048C" w:rsidRDefault="00302C06" w:rsidP="0022545A">
      <w:pPr>
        <w:pStyle w:val="Sraopastraipa"/>
        <w:widowControl w:val="0"/>
        <w:numPr>
          <w:ilvl w:val="0"/>
          <w:numId w:val="32"/>
        </w:numPr>
        <w:tabs>
          <w:tab w:val="left" w:pos="567"/>
        </w:tabs>
        <w:autoSpaceDE w:val="0"/>
        <w:autoSpaceDN w:val="0"/>
        <w:adjustRightInd w:val="0"/>
        <w:ind w:left="567" w:hanging="567"/>
        <w:rPr>
          <w:szCs w:val="22"/>
        </w:rPr>
      </w:pPr>
      <w:r w:rsidRPr="00C71C79">
        <w:rPr>
          <w:color w:val="000000"/>
          <w:spacing w:val="-3"/>
          <w:szCs w:val="22"/>
        </w:rPr>
        <w:t>Nurykite savo BAXOGAR g tabletę</w:t>
      </w:r>
      <w:r w:rsidRPr="008E048C">
        <w:rPr>
          <w:szCs w:val="22"/>
        </w:rPr>
        <w:t xml:space="preserve"> </w:t>
      </w:r>
    </w:p>
    <w:p w14:paraId="1CA7D3F8" w14:textId="214C3ACE" w:rsidR="00302C06" w:rsidRPr="008E048C" w:rsidRDefault="00302C06" w:rsidP="0022545A">
      <w:pPr>
        <w:pStyle w:val="Sraopastraipa"/>
        <w:widowControl w:val="0"/>
        <w:numPr>
          <w:ilvl w:val="0"/>
          <w:numId w:val="32"/>
        </w:numPr>
        <w:tabs>
          <w:tab w:val="left" w:pos="567"/>
          <w:tab w:val="left" w:pos="1134"/>
        </w:tabs>
        <w:autoSpaceDE w:val="0"/>
        <w:autoSpaceDN w:val="0"/>
        <w:adjustRightInd w:val="0"/>
        <w:ind w:firstLine="131"/>
        <w:rPr>
          <w:szCs w:val="22"/>
        </w:rPr>
      </w:pPr>
      <w:r w:rsidRPr="00C71C79">
        <w:rPr>
          <w:b/>
          <w:color w:val="000000"/>
          <w:spacing w:val="-3"/>
          <w:szCs w:val="22"/>
        </w:rPr>
        <w:t>ryte tik atsikėlę</w:t>
      </w:r>
      <w:r w:rsidRPr="00C71C79">
        <w:rPr>
          <w:color w:val="000000"/>
          <w:spacing w:val="-3"/>
          <w:szCs w:val="22"/>
        </w:rPr>
        <w:t xml:space="preserve"> ir</w:t>
      </w:r>
      <w:r w:rsidRPr="008E048C">
        <w:rPr>
          <w:szCs w:val="22"/>
        </w:rPr>
        <w:t xml:space="preserve"> </w:t>
      </w:r>
    </w:p>
    <w:p w14:paraId="6D7B8F48" w14:textId="0478B998" w:rsidR="00302C06" w:rsidRPr="008E048C" w:rsidRDefault="00302C06" w:rsidP="0022545A">
      <w:pPr>
        <w:pStyle w:val="Sraopastraipa"/>
        <w:widowControl w:val="0"/>
        <w:numPr>
          <w:ilvl w:val="0"/>
          <w:numId w:val="32"/>
        </w:numPr>
        <w:tabs>
          <w:tab w:val="left" w:pos="567"/>
          <w:tab w:val="left" w:pos="1134"/>
        </w:tabs>
        <w:autoSpaceDE w:val="0"/>
        <w:autoSpaceDN w:val="0"/>
        <w:adjustRightInd w:val="0"/>
        <w:ind w:firstLine="131"/>
        <w:rPr>
          <w:szCs w:val="22"/>
        </w:rPr>
      </w:pPr>
      <w:r w:rsidRPr="00C71C79">
        <w:rPr>
          <w:b/>
          <w:color w:val="000000"/>
          <w:spacing w:val="-3"/>
          <w:szCs w:val="22"/>
        </w:rPr>
        <w:t>nieko nevalgę ir negėrę</w:t>
      </w:r>
      <w:r w:rsidRPr="00C71C79">
        <w:rPr>
          <w:color w:val="000000"/>
          <w:spacing w:val="-3"/>
          <w:szCs w:val="22"/>
        </w:rPr>
        <w:t xml:space="preserve"> (skrandis turi būti tuščias).</w:t>
      </w:r>
      <w:r w:rsidRPr="008E048C">
        <w:rPr>
          <w:szCs w:val="22"/>
        </w:rPr>
        <w:t xml:space="preserve"> </w:t>
      </w:r>
    </w:p>
    <w:p w14:paraId="3834B438" w14:textId="77777777" w:rsidR="00302C06" w:rsidRPr="00444E1A" w:rsidRDefault="00302C06" w:rsidP="00302C06">
      <w:pPr>
        <w:widowControl w:val="0"/>
        <w:tabs>
          <w:tab w:val="left" w:pos="567"/>
        </w:tabs>
        <w:autoSpaceDE w:val="0"/>
        <w:autoSpaceDN w:val="0"/>
        <w:adjustRightInd w:val="0"/>
        <w:ind w:left="896" w:hanging="357"/>
        <w:rPr>
          <w:szCs w:val="22"/>
        </w:rPr>
      </w:pPr>
    </w:p>
    <w:p w14:paraId="58F293F2" w14:textId="2674BE02" w:rsidR="00302C06" w:rsidRPr="008E048C" w:rsidRDefault="00302C06" w:rsidP="0022545A">
      <w:pPr>
        <w:pStyle w:val="Sraopastraipa"/>
        <w:widowControl w:val="0"/>
        <w:numPr>
          <w:ilvl w:val="0"/>
          <w:numId w:val="32"/>
        </w:numPr>
        <w:tabs>
          <w:tab w:val="left" w:pos="567"/>
        </w:tabs>
        <w:autoSpaceDE w:val="0"/>
        <w:autoSpaceDN w:val="0"/>
        <w:adjustRightInd w:val="0"/>
        <w:ind w:left="567" w:hanging="567"/>
        <w:rPr>
          <w:szCs w:val="22"/>
        </w:rPr>
      </w:pPr>
      <w:r w:rsidRPr="00C71C79">
        <w:rPr>
          <w:b/>
          <w:color w:val="000000"/>
          <w:spacing w:val="-2"/>
          <w:szCs w:val="22"/>
        </w:rPr>
        <w:t>Nurykite savo tabletę užsigeriant pilna stikline vandens</w:t>
      </w:r>
      <w:r w:rsidRPr="00C71C79">
        <w:rPr>
          <w:color w:val="000000"/>
          <w:spacing w:val="-2"/>
          <w:szCs w:val="22"/>
        </w:rPr>
        <w:t xml:space="preserve"> (bent 180  ml).</w:t>
      </w:r>
      <w:r w:rsidRPr="00C71C79">
        <w:rPr>
          <w:color w:val="000000"/>
          <w:spacing w:val="-2"/>
          <w:szCs w:val="22"/>
        </w:rPr>
        <w:br/>
      </w:r>
    </w:p>
    <w:p w14:paraId="6D228F51" w14:textId="77777777" w:rsidR="00302C06" w:rsidRPr="005E49A1" w:rsidRDefault="00302C06" w:rsidP="00302C06">
      <w:pPr>
        <w:rPr>
          <w:szCs w:val="22"/>
        </w:rPr>
      </w:pPr>
      <w:r w:rsidRPr="005E49A1">
        <w:t xml:space="preserve">Tabletės </w:t>
      </w:r>
      <w:r w:rsidRPr="005E49A1">
        <w:rPr>
          <w:b/>
        </w:rPr>
        <w:t>neužsigerkite</w:t>
      </w:r>
      <w:r w:rsidRPr="005E49A1">
        <w:t xml:space="preserve"> vandeniu, kuriame yra daug kalcio, vaisių sultimis ar bet kokiu kitu gėrimu. Jeigu manote, kad vandentiekio vandenyje yra daug kalcio (kietas vanduo), patartina užsigerti mažos mineralizacijos buteliuose išpilstytu vandeniu.</w:t>
      </w:r>
    </w:p>
    <w:p w14:paraId="61E0FF8C" w14:textId="77777777" w:rsidR="00302C06" w:rsidRPr="005E49A1" w:rsidRDefault="00302C06" w:rsidP="00302C06">
      <w:pPr>
        <w:widowControl w:val="0"/>
        <w:tabs>
          <w:tab w:val="left" w:pos="567"/>
        </w:tabs>
        <w:autoSpaceDE w:val="0"/>
        <w:autoSpaceDN w:val="0"/>
        <w:adjustRightInd w:val="0"/>
        <w:ind w:left="540" w:hanging="540"/>
      </w:pPr>
    </w:p>
    <w:p w14:paraId="0FB89812" w14:textId="67AA18A2" w:rsidR="00302C06" w:rsidRPr="00E30F75" w:rsidRDefault="00302C06" w:rsidP="0022545A">
      <w:pPr>
        <w:pStyle w:val="Sraopastraipa"/>
        <w:widowControl w:val="0"/>
        <w:numPr>
          <w:ilvl w:val="0"/>
          <w:numId w:val="33"/>
        </w:numPr>
        <w:tabs>
          <w:tab w:val="left" w:pos="567"/>
        </w:tabs>
        <w:autoSpaceDE w:val="0"/>
        <w:autoSpaceDN w:val="0"/>
        <w:adjustRightInd w:val="0"/>
        <w:ind w:left="567" w:hanging="567"/>
        <w:rPr>
          <w:szCs w:val="22"/>
        </w:rPr>
      </w:pPr>
      <w:r w:rsidRPr="00C71C79">
        <w:rPr>
          <w:b/>
          <w:color w:val="000000"/>
          <w:spacing w:val="-2"/>
          <w:szCs w:val="22"/>
        </w:rPr>
        <w:t xml:space="preserve">Nurykite savo tabletę sveiką </w:t>
      </w:r>
      <w:r w:rsidRPr="00C71C79">
        <w:rPr>
          <w:color w:val="000000"/>
          <w:spacing w:val="-2"/>
          <w:szCs w:val="22"/>
        </w:rPr>
        <w:t>– jos nekramtykite, nesmulkinkite ir neleiskite jai ištirpti Jūsų burnoje.</w:t>
      </w:r>
      <w:r w:rsidRPr="00E30F75">
        <w:rPr>
          <w:szCs w:val="22"/>
        </w:rPr>
        <w:t xml:space="preserve"> </w:t>
      </w:r>
    </w:p>
    <w:p w14:paraId="37AEA7D5" w14:textId="77777777" w:rsidR="00302C06" w:rsidRPr="00444E1A" w:rsidRDefault="00302C06" w:rsidP="00302C06">
      <w:pPr>
        <w:widowControl w:val="0"/>
        <w:tabs>
          <w:tab w:val="left" w:pos="567"/>
        </w:tabs>
        <w:autoSpaceDE w:val="0"/>
        <w:autoSpaceDN w:val="0"/>
        <w:adjustRightInd w:val="0"/>
        <w:ind w:left="540" w:hanging="540"/>
        <w:rPr>
          <w:szCs w:val="22"/>
        </w:rPr>
      </w:pPr>
    </w:p>
    <w:p w14:paraId="4269602F" w14:textId="037FEAC1" w:rsidR="00302C06" w:rsidRPr="00E30F75" w:rsidRDefault="00302C06" w:rsidP="0022545A">
      <w:pPr>
        <w:pStyle w:val="Sraopastraipa"/>
        <w:widowControl w:val="0"/>
        <w:numPr>
          <w:ilvl w:val="0"/>
          <w:numId w:val="34"/>
        </w:numPr>
        <w:tabs>
          <w:tab w:val="left" w:pos="567"/>
        </w:tabs>
        <w:autoSpaceDE w:val="0"/>
        <w:autoSpaceDN w:val="0"/>
        <w:adjustRightInd w:val="0"/>
        <w:ind w:left="567" w:hanging="567"/>
        <w:rPr>
          <w:szCs w:val="22"/>
        </w:rPr>
      </w:pPr>
      <w:r w:rsidRPr="00E30F75">
        <w:rPr>
          <w:b/>
          <w:szCs w:val="22"/>
        </w:rPr>
        <w:t xml:space="preserve">Kitą </w:t>
      </w:r>
      <w:r w:rsidRPr="00E30F75">
        <w:rPr>
          <w:b/>
          <w:color w:val="000000"/>
          <w:spacing w:val="-3"/>
          <w:szCs w:val="22"/>
        </w:rPr>
        <w:t>valandą (60 minučių)</w:t>
      </w:r>
      <w:r w:rsidRPr="00E30F75">
        <w:rPr>
          <w:szCs w:val="22"/>
        </w:rPr>
        <w:t xml:space="preserve"> po savo tabletės išgėrimo:</w:t>
      </w:r>
      <w:r w:rsidRPr="00E30F75">
        <w:rPr>
          <w:b/>
          <w:color w:val="000000"/>
          <w:spacing w:val="-3"/>
          <w:szCs w:val="22"/>
        </w:rPr>
        <w:t xml:space="preserve"> </w:t>
      </w:r>
    </w:p>
    <w:p w14:paraId="5F9BC1B1" w14:textId="77777777" w:rsidR="00302C06" w:rsidRPr="00444E1A" w:rsidRDefault="00302C06" w:rsidP="0022545A">
      <w:pPr>
        <w:widowControl w:val="0"/>
        <w:numPr>
          <w:ilvl w:val="0"/>
          <w:numId w:val="35"/>
        </w:numPr>
        <w:autoSpaceDE w:val="0"/>
        <w:autoSpaceDN w:val="0"/>
        <w:adjustRightInd w:val="0"/>
        <w:ind w:left="851" w:hanging="284"/>
        <w:rPr>
          <w:szCs w:val="22"/>
        </w:rPr>
      </w:pPr>
      <w:r w:rsidRPr="005E49A1">
        <w:rPr>
          <w:b/>
          <w:color w:val="000000"/>
          <w:spacing w:val="-2"/>
          <w:szCs w:val="22"/>
        </w:rPr>
        <w:t>nesigulkite</w:t>
      </w:r>
      <w:r w:rsidRPr="005E49A1">
        <w:rPr>
          <w:color w:val="000000"/>
          <w:spacing w:val="-2"/>
          <w:szCs w:val="22"/>
        </w:rPr>
        <w:t>; jeigu Jūs nepasiliksite vertikalioje padėtyje (stovintis ar sėdintis), dalis vaisto gali nutekėti atgal į stemplę</w:t>
      </w:r>
      <w:r w:rsidRPr="005E49A1">
        <w:rPr>
          <w:color w:val="000000"/>
          <w:spacing w:val="-3"/>
          <w:szCs w:val="22"/>
        </w:rPr>
        <w:t>;</w:t>
      </w:r>
    </w:p>
    <w:p w14:paraId="75627C3D" w14:textId="77777777" w:rsidR="00302C06" w:rsidRPr="00444E1A" w:rsidRDefault="00302C06" w:rsidP="00302C06">
      <w:pPr>
        <w:widowControl w:val="0"/>
        <w:autoSpaceDE w:val="0"/>
        <w:autoSpaceDN w:val="0"/>
        <w:adjustRightInd w:val="0"/>
        <w:ind w:left="900"/>
        <w:rPr>
          <w:szCs w:val="22"/>
        </w:rPr>
      </w:pPr>
      <w:r w:rsidRPr="005E49A1">
        <w:rPr>
          <w:noProof/>
          <w:lang w:eastAsia="lt-LT"/>
        </w:rPr>
        <w:drawing>
          <wp:inline distT="0" distB="0" distL="0" distR="0" wp14:anchorId="0868EEA1" wp14:editId="3C975E45">
            <wp:extent cx="771525" cy="857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857250"/>
                    </a:xfrm>
                    <a:prstGeom prst="rect">
                      <a:avLst/>
                    </a:prstGeom>
                    <a:noFill/>
                    <a:ln>
                      <a:noFill/>
                    </a:ln>
                  </pic:spPr>
                </pic:pic>
              </a:graphicData>
            </a:graphic>
          </wp:inline>
        </w:drawing>
      </w:r>
    </w:p>
    <w:p w14:paraId="5E45214D" w14:textId="77777777" w:rsidR="00302C06" w:rsidRPr="00444E1A" w:rsidRDefault="00302C06" w:rsidP="0022545A">
      <w:pPr>
        <w:widowControl w:val="0"/>
        <w:numPr>
          <w:ilvl w:val="0"/>
          <w:numId w:val="36"/>
        </w:numPr>
        <w:autoSpaceDE w:val="0"/>
        <w:autoSpaceDN w:val="0"/>
        <w:adjustRightInd w:val="0"/>
        <w:ind w:left="851" w:hanging="284"/>
        <w:rPr>
          <w:szCs w:val="22"/>
        </w:rPr>
      </w:pPr>
      <w:r w:rsidRPr="005E49A1">
        <w:rPr>
          <w:b/>
          <w:color w:val="000000"/>
          <w:spacing w:val="-3"/>
          <w:szCs w:val="22"/>
        </w:rPr>
        <w:t>nieko nevalgykite;</w:t>
      </w:r>
    </w:p>
    <w:p w14:paraId="1D1B6B9B" w14:textId="77777777" w:rsidR="00302C06" w:rsidRPr="005E49A1" w:rsidRDefault="00302C06" w:rsidP="00302C06">
      <w:pPr>
        <w:widowControl w:val="0"/>
        <w:autoSpaceDE w:val="0"/>
        <w:autoSpaceDN w:val="0"/>
        <w:adjustRightInd w:val="0"/>
        <w:ind w:left="900"/>
        <w:rPr>
          <w:b/>
          <w:color w:val="000000"/>
          <w:spacing w:val="-3"/>
          <w:szCs w:val="22"/>
        </w:rPr>
      </w:pPr>
      <w:r w:rsidRPr="005E49A1">
        <w:rPr>
          <w:b/>
          <w:noProof/>
          <w:lang w:eastAsia="lt-LT"/>
        </w:rPr>
        <w:drawing>
          <wp:inline distT="0" distB="0" distL="0" distR="0" wp14:anchorId="1608575C" wp14:editId="590C132D">
            <wp:extent cx="82867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733425"/>
                    </a:xfrm>
                    <a:prstGeom prst="rect">
                      <a:avLst/>
                    </a:prstGeom>
                    <a:noFill/>
                    <a:ln>
                      <a:noFill/>
                    </a:ln>
                  </pic:spPr>
                </pic:pic>
              </a:graphicData>
            </a:graphic>
          </wp:inline>
        </w:drawing>
      </w:r>
    </w:p>
    <w:p w14:paraId="3FFBCA9D" w14:textId="77777777" w:rsidR="00302C06" w:rsidRPr="00444E1A" w:rsidRDefault="00302C06" w:rsidP="0022545A">
      <w:pPr>
        <w:widowControl w:val="0"/>
        <w:numPr>
          <w:ilvl w:val="0"/>
          <w:numId w:val="37"/>
        </w:numPr>
        <w:autoSpaceDE w:val="0"/>
        <w:autoSpaceDN w:val="0"/>
        <w:adjustRightInd w:val="0"/>
        <w:ind w:left="851" w:hanging="284"/>
        <w:rPr>
          <w:szCs w:val="22"/>
        </w:rPr>
      </w:pPr>
      <w:r w:rsidRPr="005E49A1">
        <w:rPr>
          <w:b/>
          <w:color w:val="000000"/>
          <w:spacing w:val="-3"/>
          <w:szCs w:val="22"/>
        </w:rPr>
        <w:t>nieko negerkite</w:t>
      </w:r>
      <w:r w:rsidRPr="005E49A1">
        <w:rPr>
          <w:color w:val="000000"/>
          <w:spacing w:val="-3"/>
          <w:szCs w:val="22"/>
        </w:rPr>
        <w:t xml:space="preserve"> (išskyrus vandenį, jei reikia);</w:t>
      </w:r>
    </w:p>
    <w:p w14:paraId="3998B071" w14:textId="77777777" w:rsidR="00302C06" w:rsidRPr="00444E1A" w:rsidRDefault="00302C06" w:rsidP="0022545A">
      <w:pPr>
        <w:widowControl w:val="0"/>
        <w:numPr>
          <w:ilvl w:val="0"/>
          <w:numId w:val="37"/>
        </w:numPr>
        <w:autoSpaceDE w:val="0"/>
        <w:autoSpaceDN w:val="0"/>
        <w:adjustRightInd w:val="0"/>
        <w:ind w:left="851" w:hanging="284"/>
        <w:rPr>
          <w:szCs w:val="22"/>
        </w:rPr>
      </w:pPr>
      <w:r w:rsidRPr="005E49A1">
        <w:rPr>
          <w:b/>
          <w:color w:val="000000"/>
          <w:spacing w:val="-3"/>
          <w:szCs w:val="22"/>
        </w:rPr>
        <w:t>nevartokite jokių kitų vaistų.</w:t>
      </w:r>
    </w:p>
    <w:p w14:paraId="31B5BCDD" w14:textId="77777777" w:rsidR="00302C06" w:rsidRPr="00444E1A" w:rsidRDefault="00302C06" w:rsidP="00302C06">
      <w:pPr>
        <w:widowControl w:val="0"/>
        <w:autoSpaceDE w:val="0"/>
        <w:autoSpaceDN w:val="0"/>
        <w:adjustRightInd w:val="0"/>
        <w:rPr>
          <w:szCs w:val="22"/>
        </w:rPr>
      </w:pPr>
    </w:p>
    <w:p w14:paraId="241B2DA6" w14:textId="5D5D90CE" w:rsidR="00302C06" w:rsidRPr="00E30F75" w:rsidRDefault="00302C06" w:rsidP="0022545A">
      <w:pPr>
        <w:pStyle w:val="Sraopastraipa"/>
        <w:widowControl w:val="0"/>
        <w:numPr>
          <w:ilvl w:val="1"/>
          <w:numId w:val="39"/>
        </w:numPr>
        <w:tabs>
          <w:tab w:val="left" w:pos="567"/>
        </w:tabs>
        <w:autoSpaceDE w:val="0"/>
        <w:autoSpaceDN w:val="0"/>
        <w:adjustRightInd w:val="0"/>
        <w:ind w:left="567" w:hanging="567"/>
        <w:rPr>
          <w:szCs w:val="22"/>
        </w:rPr>
      </w:pPr>
      <w:r w:rsidRPr="00C71C79">
        <w:rPr>
          <w:color w:val="000000"/>
          <w:spacing w:val="-2"/>
          <w:szCs w:val="22"/>
        </w:rPr>
        <w:t>Po to, kai pralaukėte valandą, Jūs galite pirmą kartą tą dieną pavalgyti ir atsigerti.</w:t>
      </w:r>
      <w:r w:rsidRPr="00E30F75">
        <w:rPr>
          <w:szCs w:val="22"/>
        </w:rPr>
        <w:t xml:space="preserve"> </w:t>
      </w:r>
      <w:r w:rsidRPr="00C71C79">
        <w:rPr>
          <w:color w:val="000000"/>
          <w:spacing w:val="-2"/>
          <w:szCs w:val="22"/>
        </w:rPr>
        <w:t xml:space="preserve">Pavalgę galite atsigulti, jei </w:t>
      </w:r>
      <w:r w:rsidRPr="00C71C79">
        <w:rPr>
          <w:color w:val="000000"/>
          <w:spacing w:val="-4"/>
          <w:szCs w:val="22"/>
        </w:rPr>
        <w:t>norite, ir vartoti bet kokių kitų Jums reikalingų vaistų.</w:t>
      </w:r>
      <w:r w:rsidRPr="00E30F75">
        <w:rPr>
          <w:szCs w:val="22"/>
        </w:rPr>
        <w:t xml:space="preserve"> </w:t>
      </w:r>
    </w:p>
    <w:p w14:paraId="41B2F818" w14:textId="77777777" w:rsidR="00302C06" w:rsidRPr="00444E1A" w:rsidRDefault="00302C06" w:rsidP="00302C06">
      <w:pPr>
        <w:widowControl w:val="0"/>
        <w:tabs>
          <w:tab w:val="left" w:pos="567"/>
        </w:tabs>
        <w:autoSpaceDE w:val="0"/>
        <w:autoSpaceDN w:val="0"/>
        <w:adjustRightInd w:val="0"/>
        <w:rPr>
          <w:szCs w:val="22"/>
        </w:rPr>
      </w:pPr>
    </w:p>
    <w:p w14:paraId="09E492CE" w14:textId="77777777" w:rsidR="00302C06" w:rsidRPr="00444E1A" w:rsidRDefault="00302C06" w:rsidP="00302C06">
      <w:pPr>
        <w:widowControl w:val="0"/>
        <w:tabs>
          <w:tab w:val="left" w:pos="567"/>
        </w:tabs>
        <w:autoSpaceDE w:val="0"/>
        <w:autoSpaceDN w:val="0"/>
        <w:adjustRightInd w:val="0"/>
        <w:ind w:left="560" w:hanging="560"/>
        <w:rPr>
          <w:szCs w:val="22"/>
        </w:rPr>
      </w:pPr>
      <w:r w:rsidRPr="005E49A1">
        <w:rPr>
          <w:b/>
          <w:color w:val="000000"/>
          <w:spacing w:val="-4"/>
          <w:szCs w:val="22"/>
        </w:rPr>
        <w:t>BAXOGAR vartojimo tęsimas</w:t>
      </w:r>
      <w:r w:rsidRPr="00444E1A">
        <w:rPr>
          <w:b/>
          <w:szCs w:val="22"/>
        </w:rPr>
        <w:t xml:space="preserve"> </w:t>
      </w:r>
    </w:p>
    <w:p w14:paraId="20E09366" w14:textId="77777777" w:rsidR="00302C06" w:rsidRPr="00444E1A" w:rsidRDefault="00302C06" w:rsidP="00302C06">
      <w:pPr>
        <w:widowControl w:val="0"/>
        <w:tabs>
          <w:tab w:val="left" w:pos="567"/>
        </w:tabs>
        <w:autoSpaceDE w:val="0"/>
        <w:autoSpaceDN w:val="0"/>
        <w:adjustRightInd w:val="0"/>
        <w:rPr>
          <w:szCs w:val="22"/>
        </w:rPr>
      </w:pPr>
      <w:r w:rsidRPr="005E49A1">
        <w:rPr>
          <w:color w:val="000000"/>
          <w:spacing w:val="-4"/>
          <w:szCs w:val="22"/>
        </w:rPr>
        <w:t>Svarbu vartoti BAXOGAR kas mėnesį tiek laiko, kiek Jums paskiria Jūsų gydytojas.</w:t>
      </w:r>
      <w:r w:rsidRPr="00444E1A">
        <w:rPr>
          <w:b/>
          <w:szCs w:val="22"/>
        </w:rPr>
        <w:t xml:space="preserve"> </w:t>
      </w:r>
      <w:r w:rsidRPr="005E49A1">
        <w:t xml:space="preserve">Po 5 metų BAXOGAR  vartojimo, prašome pasitarti su gydytoju ar Jums reikia toliau vartoti BAXOGAR. </w:t>
      </w:r>
    </w:p>
    <w:p w14:paraId="62836A1F" w14:textId="77777777" w:rsidR="00302C06" w:rsidRPr="00444E1A" w:rsidRDefault="00302C06" w:rsidP="00302C06">
      <w:pPr>
        <w:widowControl w:val="0"/>
        <w:tabs>
          <w:tab w:val="left" w:pos="567"/>
        </w:tabs>
        <w:autoSpaceDE w:val="0"/>
        <w:autoSpaceDN w:val="0"/>
        <w:adjustRightInd w:val="0"/>
        <w:rPr>
          <w:szCs w:val="22"/>
        </w:rPr>
      </w:pPr>
    </w:p>
    <w:p w14:paraId="668B1EB2" w14:textId="77777777" w:rsidR="00302C06" w:rsidRPr="00444E1A" w:rsidRDefault="00302C06" w:rsidP="00302C06">
      <w:pPr>
        <w:widowControl w:val="0"/>
        <w:tabs>
          <w:tab w:val="left" w:pos="567"/>
        </w:tabs>
        <w:autoSpaceDE w:val="0"/>
        <w:autoSpaceDN w:val="0"/>
        <w:adjustRightInd w:val="0"/>
        <w:rPr>
          <w:szCs w:val="22"/>
        </w:rPr>
      </w:pPr>
      <w:r w:rsidRPr="005E49A1">
        <w:rPr>
          <w:b/>
          <w:szCs w:val="22"/>
        </w:rPr>
        <w:t>Ką daryti pavartojus per didelę BAXOGAR dozę</w:t>
      </w:r>
      <w:r>
        <w:rPr>
          <w:b/>
          <w:szCs w:val="22"/>
        </w:rPr>
        <w:t>?</w:t>
      </w:r>
    </w:p>
    <w:p w14:paraId="0225810A" w14:textId="77777777" w:rsidR="00302C06" w:rsidRPr="00444E1A" w:rsidRDefault="00302C06" w:rsidP="00302C06">
      <w:pPr>
        <w:widowControl w:val="0"/>
        <w:tabs>
          <w:tab w:val="left" w:pos="567"/>
        </w:tabs>
        <w:autoSpaceDE w:val="0"/>
        <w:autoSpaceDN w:val="0"/>
        <w:adjustRightInd w:val="0"/>
        <w:rPr>
          <w:szCs w:val="22"/>
        </w:rPr>
      </w:pPr>
      <w:r w:rsidRPr="005E49A1">
        <w:rPr>
          <w:color w:val="000000"/>
          <w:spacing w:val="-3"/>
          <w:szCs w:val="22"/>
        </w:rPr>
        <w:t xml:space="preserve">Jei per apsirikimą išgėrėte daugiau nei vieną tabletę, </w:t>
      </w:r>
      <w:r w:rsidRPr="005E49A1">
        <w:rPr>
          <w:b/>
          <w:color w:val="000000"/>
          <w:spacing w:val="-3"/>
          <w:szCs w:val="22"/>
        </w:rPr>
        <w:t xml:space="preserve">išgerkite pilną stiklinę pieno ir nedelsiant kreipkitės </w:t>
      </w:r>
      <w:r w:rsidRPr="005E49A1">
        <w:rPr>
          <w:b/>
          <w:color w:val="000000"/>
          <w:spacing w:val="-4"/>
          <w:szCs w:val="22"/>
        </w:rPr>
        <w:t>į savo gydytoją.</w:t>
      </w:r>
      <w:r w:rsidRPr="00444E1A">
        <w:rPr>
          <w:b/>
          <w:szCs w:val="22"/>
        </w:rPr>
        <w:t xml:space="preserve"> </w:t>
      </w:r>
    </w:p>
    <w:p w14:paraId="73D3FF19" w14:textId="77777777" w:rsidR="00302C06" w:rsidRPr="00444E1A" w:rsidRDefault="00302C06" w:rsidP="00302C06">
      <w:pPr>
        <w:widowControl w:val="0"/>
        <w:tabs>
          <w:tab w:val="left" w:pos="567"/>
        </w:tabs>
        <w:autoSpaceDE w:val="0"/>
        <w:autoSpaceDN w:val="0"/>
        <w:adjustRightInd w:val="0"/>
        <w:rPr>
          <w:b/>
          <w:szCs w:val="22"/>
        </w:rPr>
      </w:pPr>
    </w:p>
    <w:p w14:paraId="26EE5134" w14:textId="77777777" w:rsidR="00302C06" w:rsidRPr="00444E1A" w:rsidRDefault="00302C06" w:rsidP="00302C06">
      <w:pPr>
        <w:widowControl w:val="0"/>
        <w:tabs>
          <w:tab w:val="left" w:pos="567"/>
        </w:tabs>
        <w:autoSpaceDE w:val="0"/>
        <w:autoSpaceDN w:val="0"/>
        <w:adjustRightInd w:val="0"/>
        <w:rPr>
          <w:szCs w:val="22"/>
        </w:rPr>
      </w:pPr>
      <w:r w:rsidRPr="005E49A1">
        <w:rPr>
          <w:b/>
          <w:color w:val="000000"/>
          <w:spacing w:val="-3"/>
          <w:szCs w:val="22"/>
        </w:rPr>
        <w:t>Nemėginkite sau sukelti vėmimo ir negulkite</w:t>
      </w:r>
      <w:r w:rsidRPr="005E49A1">
        <w:rPr>
          <w:color w:val="000000"/>
          <w:spacing w:val="-3"/>
          <w:szCs w:val="22"/>
        </w:rPr>
        <w:t xml:space="preserve"> – tai gali būti priežastis BAXOGAR dirginti jūsų stemplę dirginti stemplę.</w:t>
      </w:r>
      <w:r w:rsidRPr="00444E1A">
        <w:rPr>
          <w:b/>
          <w:szCs w:val="22"/>
        </w:rPr>
        <w:t xml:space="preserve"> </w:t>
      </w:r>
    </w:p>
    <w:p w14:paraId="1FAE10AF" w14:textId="77777777" w:rsidR="00302C06" w:rsidRPr="00444E1A" w:rsidRDefault="00302C06" w:rsidP="00302C06">
      <w:pPr>
        <w:widowControl w:val="0"/>
        <w:tabs>
          <w:tab w:val="left" w:pos="567"/>
        </w:tabs>
        <w:autoSpaceDE w:val="0"/>
        <w:autoSpaceDN w:val="0"/>
        <w:adjustRightInd w:val="0"/>
        <w:rPr>
          <w:szCs w:val="22"/>
        </w:rPr>
      </w:pPr>
    </w:p>
    <w:p w14:paraId="73C2C66A" w14:textId="77777777" w:rsidR="00302C06" w:rsidRPr="00444E1A" w:rsidRDefault="00302C06" w:rsidP="00302C06">
      <w:pPr>
        <w:widowControl w:val="0"/>
        <w:tabs>
          <w:tab w:val="left" w:pos="567"/>
        </w:tabs>
        <w:autoSpaceDE w:val="0"/>
        <w:autoSpaceDN w:val="0"/>
        <w:adjustRightInd w:val="0"/>
        <w:ind w:left="560" w:hanging="560"/>
        <w:rPr>
          <w:szCs w:val="22"/>
        </w:rPr>
      </w:pPr>
      <w:r w:rsidRPr="005E49A1">
        <w:rPr>
          <w:b/>
          <w:color w:val="000000"/>
          <w:spacing w:val="-4"/>
          <w:szCs w:val="22"/>
        </w:rPr>
        <w:t>Pamiršus pavartoti BAXOGAR</w:t>
      </w:r>
      <w:r w:rsidRPr="005E49A1">
        <w:rPr>
          <w:b/>
          <w:szCs w:val="22"/>
        </w:rPr>
        <w:t xml:space="preserve"> </w:t>
      </w:r>
    </w:p>
    <w:p w14:paraId="1242BD3B" w14:textId="77777777" w:rsidR="00302C06" w:rsidRPr="005E49A1" w:rsidRDefault="00302C06" w:rsidP="0022545A">
      <w:pPr>
        <w:pStyle w:val="Sraopastraipa"/>
        <w:widowControl w:val="0"/>
        <w:numPr>
          <w:ilvl w:val="0"/>
          <w:numId w:val="27"/>
        </w:numPr>
        <w:tabs>
          <w:tab w:val="left" w:pos="567"/>
        </w:tabs>
        <w:autoSpaceDE w:val="0"/>
        <w:autoSpaceDN w:val="0"/>
        <w:adjustRightInd w:val="0"/>
        <w:ind w:left="567" w:hanging="283"/>
        <w:rPr>
          <w:szCs w:val="22"/>
        </w:rPr>
      </w:pPr>
      <w:r w:rsidRPr="005E49A1">
        <w:rPr>
          <w:color w:val="000000"/>
          <w:spacing w:val="-3"/>
          <w:szCs w:val="22"/>
        </w:rPr>
        <w:t xml:space="preserve">Pamiršus išgerti savo tabletę pasirinktos dienos rytą, </w:t>
      </w:r>
      <w:r w:rsidRPr="005E49A1">
        <w:rPr>
          <w:b/>
          <w:color w:val="000000"/>
          <w:spacing w:val="-3"/>
          <w:szCs w:val="22"/>
        </w:rPr>
        <w:t>negalima</w:t>
      </w:r>
      <w:r w:rsidRPr="005E49A1">
        <w:rPr>
          <w:color w:val="000000"/>
          <w:spacing w:val="-3"/>
          <w:szCs w:val="22"/>
        </w:rPr>
        <w:t xml:space="preserve"> </w:t>
      </w:r>
      <w:r w:rsidRPr="005E49A1">
        <w:rPr>
          <w:b/>
          <w:color w:val="000000"/>
          <w:spacing w:val="-3"/>
          <w:szCs w:val="22"/>
        </w:rPr>
        <w:t>gerti tabletės tą dieną vėliau</w:t>
      </w:r>
      <w:r w:rsidRPr="005E49A1">
        <w:rPr>
          <w:color w:val="000000"/>
          <w:spacing w:val="-3"/>
          <w:szCs w:val="22"/>
        </w:rPr>
        <w:t>.</w:t>
      </w:r>
      <w:r w:rsidRPr="00444E1A">
        <w:rPr>
          <w:szCs w:val="22"/>
        </w:rPr>
        <w:t xml:space="preserve"> </w:t>
      </w:r>
      <w:r w:rsidRPr="005E49A1">
        <w:rPr>
          <w:color w:val="000000"/>
          <w:spacing w:val="-3"/>
          <w:szCs w:val="22"/>
        </w:rPr>
        <w:t xml:space="preserve">Vietoj to, </w:t>
      </w:r>
      <w:r w:rsidRPr="005E49A1">
        <w:rPr>
          <w:color w:val="000000"/>
          <w:spacing w:val="-4"/>
          <w:szCs w:val="22"/>
        </w:rPr>
        <w:t>pažiūrėkite į kalendorių, kada pagal planą reikės gerti kitą dozę:</w:t>
      </w:r>
      <w:r w:rsidRPr="005E49A1">
        <w:rPr>
          <w:b/>
          <w:szCs w:val="22"/>
        </w:rPr>
        <w:t xml:space="preserve"> </w:t>
      </w:r>
    </w:p>
    <w:p w14:paraId="2562497E" w14:textId="77777777" w:rsidR="00302C06" w:rsidRPr="005E49A1" w:rsidRDefault="00302C06" w:rsidP="00302C06">
      <w:pPr>
        <w:widowControl w:val="0"/>
        <w:tabs>
          <w:tab w:val="left" w:pos="567"/>
        </w:tabs>
        <w:autoSpaceDE w:val="0"/>
        <w:autoSpaceDN w:val="0"/>
        <w:adjustRightInd w:val="0"/>
        <w:rPr>
          <w:szCs w:val="22"/>
        </w:rPr>
      </w:pPr>
    </w:p>
    <w:p w14:paraId="46AA1E12" w14:textId="77777777" w:rsidR="00302C06" w:rsidRPr="005E49A1" w:rsidRDefault="00302C06" w:rsidP="0022545A">
      <w:pPr>
        <w:pStyle w:val="Sraopastraipa"/>
        <w:widowControl w:val="0"/>
        <w:numPr>
          <w:ilvl w:val="0"/>
          <w:numId w:val="27"/>
        </w:numPr>
        <w:tabs>
          <w:tab w:val="left" w:pos="567"/>
        </w:tabs>
        <w:autoSpaceDE w:val="0"/>
        <w:autoSpaceDN w:val="0"/>
        <w:adjustRightInd w:val="0"/>
        <w:ind w:left="567" w:hanging="283"/>
        <w:rPr>
          <w:szCs w:val="22"/>
        </w:rPr>
      </w:pPr>
      <w:r w:rsidRPr="005E49A1">
        <w:rPr>
          <w:b/>
          <w:color w:val="000000"/>
          <w:spacing w:val="-4"/>
          <w:szCs w:val="22"/>
        </w:rPr>
        <w:t xml:space="preserve">Jeigu, </w:t>
      </w:r>
      <w:r w:rsidRPr="005E49A1">
        <w:rPr>
          <w:b/>
        </w:rPr>
        <w:t>pamiršus išgerti tabletę pasirinktos dienos rytą,</w:t>
      </w:r>
      <w:r w:rsidRPr="005E49A1">
        <w:rPr>
          <w:b/>
          <w:color w:val="000000"/>
          <w:spacing w:val="-4"/>
          <w:szCs w:val="22"/>
        </w:rPr>
        <w:t xml:space="preserve"> iki kitos dozės pagal planą liko tik nuo 1 iki 7 parų</w:t>
      </w:r>
      <w:r>
        <w:rPr>
          <w:b/>
          <w:color w:val="000000"/>
          <w:spacing w:val="-4"/>
          <w:szCs w:val="22"/>
        </w:rPr>
        <w:t>.</w:t>
      </w:r>
      <w:r w:rsidRPr="005E49A1">
        <w:rPr>
          <w:b/>
          <w:szCs w:val="22"/>
        </w:rPr>
        <w:t xml:space="preserve"> </w:t>
      </w:r>
    </w:p>
    <w:p w14:paraId="07507454" w14:textId="77777777" w:rsidR="00302C06" w:rsidRPr="005E49A1" w:rsidRDefault="00302C06" w:rsidP="0022545A">
      <w:pPr>
        <w:pStyle w:val="Sraopastraipa"/>
        <w:widowControl w:val="0"/>
        <w:tabs>
          <w:tab w:val="left" w:pos="567"/>
        </w:tabs>
        <w:autoSpaceDE w:val="0"/>
        <w:autoSpaceDN w:val="0"/>
        <w:adjustRightInd w:val="0"/>
        <w:ind w:left="567"/>
        <w:rPr>
          <w:szCs w:val="22"/>
        </w:rPr>
      </w:pPr>
      <w:r w:rsidRPr="005E49A1">
        <w:rPr>
          <w:b/>
        </w:rPr>
        <w:t>Niekada negerkite dviejų BAXOGAR tablečių tą pačią savaitę.</w:t>
      </w:r>
      <w:r w:rsidRPr="005E49A1">
        <w:t xml:space="preserve">  </w:t>
      </w:r>
      <w:r w:rsidRPr="005E49A1">
        <w:rPr>
          <w:color w:val="000000"/>
          <w:spacing w:val="-3"/>
          <w:szCs w:val="22"/>
        </w:rPr>
        <w:t xml:space="preserve">Palaukite, kol ateis laikas gerti tabletę ir išgerkite ją kaip įprasta; vėliau vėl vartokite po vieną tabletę </w:t>
      </w:r>
      <w:r w:rsidRPr="005E49A1">
        <w:rPr>
          <w:color w:val="000000"/>
          <w:spacing w:val="-4"/>
          <w:szCs w:val="22"/>
        </w:rPr>
        <w:t>per mėnesį numatytomis dienomis, kurias Jūs pažymėjote savo kalendoriuje.</w:t>
      </w:r>
      <w:r w:rsidRPr="005E49A1">
        <w:rPr>
          <w:b/>
          <w:szCs w:val="22"/>
        </w:rPr>
        <w:t xml:space="preserve"> </w:t>
      </w:r>
    </w:p>
    <w:p w14:paraId="348B818C" w14:textId="77777777" w:rsidR="00302C06" w:rsidRPr="005E49A1" w:rsidRDefault="00302C06" w:rsidP="00302C06">
      <w:pPr>
        <w:widowControl w:val="0"/>
        <w:tabs>
          <w:tab w:val="left" w:pos="567"/>
        </w:tabs>
        <w:autoSpaceDE w:val="0"/>
        <w:autoSpaceDN w:val="0"/>
        <w:adjustRightInd w:val="0"/>
        <w:rPr>
          <w:b/>
          <w:szCs w:val="22"/>
        </w:rPr>
      </w:pPr>
    </w:p>
    <w:p w14:paraId="66F5B930" w14:textId="77777777" w:rsidR="00302C06" w:rsidRPr="005E49A1" w:rsidRDefault="00302C06" w:rsidP="0022545A">
      <w:pPr>
        <w:pStyle w:val="Sraopastraipa"/>
        <w:widowControl w:val="0"/>
        <w:numPr>
          <w:ilvl w:val="0"/>
          <w:numId w:val="27"/>
        </w:numPr>
        <w:tabs>
          <w:tab w:val="left" w:pos="567"/>
        </w:tabs>
        <w:autoSpaceDE w:val="0"/>
        <w:autoSpaceDN w:val="0"/>
        <w:adjustRightInd w:val="0"/>
        <w:ind w:left="567" w:hanging="283"/>
        <w:rPr>
          <w:b/>
          <w:szCs w:val="22"/>
        </w:rPr>
      </w:pPr>
      <w:r w:rsidRPr="005E49A1">
        <w:rPr>
          <w:b/>
          <w:szCs w:val="22"/>
        </w:rPr>
        <w:t xml:space="preserve">Jeigu, </w:t>
      </w:r>
      <w:r w:rsidRPr="005E49A1">
        <w:rPr>
          <w:b/>
        </w:rPr>
        <w:t>pamiršus išgerti tabletę pasirinktos dienos rytą,</w:t>
      </w:r>
      <w:r w:rsidRPr="005E49A1">
        <w:rPr>
          <w:b/>
          <w:color w:val="000000"/>
          <w:spacing w:val="-4"/>
          <w:szCs w:val="22"/>
        </w:rPr>
        <w:t xml:space="preserve"> </w:t>
      </w:r>
      <w:r w:rsidRPr="005E49A1">
        <w:rPr>
          <w:b/>
          <w:szCs w:val="22"/>
        </w:rPr>
        <w:t xml:space="preserve"> iki kitos dozės pagal planą liko daugiau kaip 7 paros</w:t>
      </w:r>
      <w:r>
        <w:rPr>
          <w:b/>
          <w:szCs w:val="22"/>
        </w:rPr>
        <w:t>.</w:t>
      </w:r>
    </w:p>
    <w:p w14:paraId="7BCE64C3" w14:textId="77777777" w:rsidR="00302C06" w:rsidRPr="005E49A1" w:rsidRDefault="00302C06" w:rsidP="0022545A">
      <w:pPr>
        <w:pStyle w:val="Sraopastraipa"/>
        <w:widowControl w:val="0"/>
        <w:tabs>
          <w:tab w:val="left" w:pos="567"/>
        </w:tabs>
        <w:autoSpaceDE w:val="0"/>
        <w:autoSpaceDN w:val="0"/>
        <w:adjustRightInd w:val="0"/>
        <w:ind w:left="567"/>
      </w:pPr>
      <w:r w:rsidRPr="005E49A1">
        <w:rPr>
          <w:color w:val="000000"/>
          <w:spacing w:val="-3"/>
          <w:szCs w:val="22"/>
        </w:rPr>
        <w:t xml:space="preserve">Išgerkite tabletę kitos dienos ryte po to, kai prisiminėte. Po to tęskite vartojimą po vieną tabletę per </w:t>
      </w:r>
      <w:r w:rsidRPr="005E49A1">
        <w:rPr>
          <w:color w:val="000000"/>
          <w:spacing w:val="-4"/>
          <w:szCs w:val="22"/>
        </w:rPr>
        <w:t>mėnesį numatytomis dienomis, kurias Jūs pažymėjote savo kalendoriuje.</w:t>
      </w:r>
    </w:p>
    <w:p w14:paraId="37FC967C" w14:textId="77777777" w:rsidR="00302C06" w:rsidRDefault="00302C06" w:rsidP="00302C06">
      <w:pPr>
        <w:numPr>
          <w:ilvl w:val="12"/>
          <w:numId w:val="0"/>
        </w:numPr>
        <w:tabs>
          <w:tab w:val="left" w:pos="567"/>
          <w:tab w:val="left" w:pos="708"/>
        </w:tabs>
        <w:ind w:right="-2"/>
      </w:pPr>
    </w:p>
    <w:p w14:paraId="1D6C9184" w14:textId="0F3D4808" w:rsidR="00584375" w:rsidRPr="00444E1A" w:rsidRDefault="00584375" w:rsidP="00302C06">
      <w:pPr>
        <w:numPr>
          <w:ilvl w:val="12"/>
          <w:numId w:val="0"/>
        </w:numPr>
        <w:tabs>
          <w:tab w:val="left" w:pos="567"/>
          <w:tab w:val="left" w:pos="708"/>
        </w:tabs>
        <w:ind w:right="-2"/>
      </w:pPr>
      <w:r>
        <w:t>Jeigu kiltų daugiau klausimų dėl šio vaisto vartojimo, kreipkitės į gydytoją arba vaistininką.</w:t>
      </w:r>
    </w:p>
    <w:p w14:paraId="7025E072" w14:textId="77777777" w:rsidR="00302C06" w:rsidRDefault="00302C06" w:rsidP="00302C06">
      <w:pPr>
        <w:numPr>
          <w:ilvl w:val="12"/>
          <w:numId w:val="0"/>
        </w:numPr>
        <w:tabs>
          <w:tab w:val="left" w:pos="567"/>
          <w:tab w:val="left" w:pos="708"/>
        </w:tabs>
        <w:ind w:right="-2"/>
        <w:rPr>
          <w:szCs w:val="22"/>
        </w:rPr>
      </w:pPr>
    </w:p>
    <w:p w14:paraId="56E5DC33" w14:textId="77777777" w:rsidR="00C97633" w:rsidRPr="005E49A1" w:rsidRDefault="00C97633" w:rsidP="00302C06">
      <w:pPr>
        <w:numPr>
          <w:ilvl w:val="12"/>
          <w:numId w:val="0"/>
        </w:numPr>
        <w:tabs>
          <w:tab w:val="left" w:pos="567"/>
          <w:tab w:val="left" w:pos="708"/>
        </w:tabs>
        <w:ind w:right="-2"/>
        <w:rPr>
          <w:szCs w:val="22"/>
        </w:rPr>
      </w:pPr>
    </w:p>
    <w:p w14:paraId="7820679A" w14:textId="77777777" w:rsidR="00302C06" w:rsidRPr="005E49A1" w:rsidRDefault="00302C06" w:rsidP="00302C06">
      <w:pPr>
        <w:widowControl w:val="0"/>
        <w:tabs>
          <w:tab w:val="left" w:pos="567"/>
        </w:tabs>
        <w:autoSpaceDE w:val="0"/>
        <w:autoSpaceDN w:val="0"/>
        <w:adjustRightInd w:val="0"/>
        <w:ind w:left="540" w:hanging="540"/>
        <w:rPr>
          <w:b/>
          <w:szCs w:val="22"/>
        </w:rPr>
      </w:pPr>
      <w:r w:rsidRPr="005E49A1">
        <w:rPr>
          <w:b/>
          <w:szCs w:val="22"/>
        </w:rPr>
        <w:t>4.</w:t>
      </w:r>
      <w:r w:rsidRPr="005E49A1">
        <w:rPr>
          <w:b/>
          <w:szCs w:val="22"/>
        </w:rPr>
        <w:tab/>
      </w:r>
      <w:r w:rsidRPr="005E49A1">
        <w:rPr>
          <w:b/>
        </w:rPr>
        <w:t>Galimas šalutinis poveikis</w:t>
      </w:r>
    </w:p>
    <w:p w14:paraId="0E337842" w14:textId="77777777" w:rsidR="00302C06" w:rsidRPr="005E49A1" w:rsidRDefault="00302C06" w:rsidP="00302C06">
      <w:pPr>
        <w:pStyle w:val="Default"/>
        <w:tabs>
          <w:tab w:val="left" w:pos="567"/>
        </w:tabs>
        <w:ind w:left="560" w:hanging="560"/>
        <w:rPr>
          <w:color w:val="auto"/>
          <w:sz w:val="22"/>
          <w:szCs w:val="22"/>
          <w:lang w:val="lt-LT"/>
        </w:rPr>
      </w:pPr>
    </w:p>
    <w:p w14:paraId="67993273" w14:textId="77777777" w:rsidR="00302C06" w:rsidRPr="005E49A1" w:rsidRDefault="00302C06" w:rsidP="00302C06">
      <w:pPr>
        <w:pStyle w:val="Default"/>
        <w:tabs>
          <w:tab w:val="left" w:pos="567"/>
        </w:tabs>
        <w:rPr>
          <w:color w:val="auto"/>
          <w:sz w:val="22"/>
          <w:szCs w:val="22"/>
          <w:lang w:val="lt-LT"/>
        </w:rPr>
      </w:pPr>
      <w:r w:rsidRPr="005E49A1">
        <w:rPr>
          <w:sz w:val="22"/>
          <w:szCs w:val="22"/>
          <w:lang w:val="lt-LT"/>
        </w:rPr>
        <w:t>Šis vaistas</w:t>
      </w:r>
      <w:r w:rsidRPr="005E49A1">
        <w:rPr>
          <w:color w:val="auto"/>
          <w:sz w:val="22"/>
          <w:szCs w:val="22"/>
          <w:lang w:val="lt-LT"/>
        </w:rPr>
        <w:t>, kaip ir visi kiti, gali sukelti šalutinį poveikį, nors jis pasireiškia ne visiems žmonėms.</w:t>
      </w:r>
    </w:p>
    <w:p w14:paraId="7B3141A3" w14:textId="77777777" w:rsidR="00302C06" w:rsidRPr="005E49A1" w:rsidRDefault="00302C06" w:rsidP="00302C06">
      <w:pPr>
        <w:pStyle w:val="Default"/>
        <w:tabs>
          <w:tab w:val="left" w:pos="567"/>
        </w:tabs>
        <w:ind w:left="560" w:hanging="560"/>
        <w:rPr>
          <w:color w:val="auto"/>
          <w:sz w:val="22"/>
          <w:szCs w:val="22"/>
          <w:lang w:val="lt-LT"/>
        </w:rPr>
      </w:pPr>
    </w:p>
    <w:p w14:paraId="2BAFFE94" w14:textId="77777777" w:rsidR="00302C06" w:rsidRPr="005E49A1" w:rsidRDefault="00302C06" w:rsidP="00302C06">
      <w:pPr>
        <w:overflowPunct w:val="0"/>
        <w:autoSpaceDE w:val="0"/>
        <w:autoSpaceDN w:val="0"/>
        <w:adjustRightInd w:val="0"/>
        <w:ind w:right="-29"/>
        <w:rPr>
          <w:b/>
          <w:color w:val="000000"/>
        </w:rPr>
      </w:pPr>
      <w:r w:rsidRPr="005E49A1">
        <w:rPr>
          <w:b/>
        </w:rPr>
        <w:t>Jeigu pastebėjote bet kurį iš šių šalutinių poveikių, nedelsdami</w:t>
      </w:r>
      <w:r w:rsidRPr="005E49A1">
        <w:rPr>
          <w:b/>
          <w:i/>
        </w:rPr>
        <w:t xml:space="preserve"> </w:t>
      </w:r>
      <w:r w:rsidRPr="005E49A1">
        <w:rPr>
          <w:b/>
          <w:color w:val="000000"/>
        </w:rPr>
        <w:t>pasakykite slaugytojui arba gydytojui, nes Jums gali reikėti skubios medicininės pagalbos:</w:t>
      </w:r>
    </w:p>
    <w:p w14:paraId="19C6510E" w14:textId="77777777" w:rsidR="00302C06" w:rsidRPr="005E49A1" w:rsidRDefault="00302C06" w:rsidP="00302C06">
      <w:pPr>
        <w:overflowPunct w:val="0"/>
        <w:autoSpaceDE w:val="0"/>
        <w:autoSpaceDN w:val="0"/>
        <w:adjustRightInd w:val="0"/>
        <w:ind w:right="-29"/>
        <w:rPr>
          <w:b/>
          <w:color w:val="000000"/>
        </w:rPr>
      </w:pPr>
    </w:p>
    <w:p w14:paraId="68203F08" w14:textId="77777777" w:rsidR="00302C06" w:rsidRPr="005E49A1" w:rsidRDefault="00302C06" w:rsidP="00302C06">
      <w:pPr>
        <w:overflowPunct w:val="0"/>
        <w:autoSpaceDE w:val="0"/>
        <w:autoSpaceDN w:val="0"/>
        <w:adjustRightInd w:val="0"/>
        <w:ind w:right="-29"/>
        <w:rPr>
          <w:b/>
          <w:color w:val="000000"/>
        </w:rPr>
      </w:pPr>
      <w:r w:rsidRPr="005E49A1">
        <w:rPr>
          <w:b/>
          <w:color w:val="000000"/>
        </w:rPr>
        <w:t xml:space="preserve">Nedažni </w:t>
      </w:r>
      <w:r w:rsidRPr="005E49A1">
        <w:rPr>
          <w:color w:val="000000"/>
        </w:rPr>
        <w:t xml:space="preserve">(gali pasireikšti </w:t>
      </w:r>
      <w:r>
        <w:rPr>
          <w:color w:val="000000"/>
        </w:rPr>
        <w:t>rečiau</w:t>
      </w:r>
      <w:r w:rsidRPr="005E49A1">
        <w:rPr>
          <w:color w:val="000000"/>
        </w:rPr>
        <w:t xml:space="preserve"> kaip 1 iš 100 pacientų):</w:t>
      </w:r>
    </w:p>
    <w:p w14:paraId="381EF18B" w14:textId="77777777" w:rsidR="00302C06" w:rsidRPr="00444E1A" w:rsidRDefault="00302C06" w:rsidP="00302C06">
      <w:pPr>
        <w:ind w:left="540" w:hanging="540"/>
        <w:rPr>
          <w:noProof/>
          <w:szCs w:val="22"/>
        </w:rPr>
      </w:pPr>
      <w:r w:rsidRPr="005E49A1">
        <w:rPr>
          <w:noProof/>
          <w:szCs w:val="22"/>
        </w:rPr>
        <w:sym w:font="Symbol" w:char="F0B7"/>
      </w:r>
      <w:r w:rsidRPr="005E49A1">
        <w:rPr>
          <w:noProof/>
          <w:szCs w:val="22"/>
        </w:rPr>
        <w:tab/>
        <w:t xml:space="preserve">stiprus skausmas krūtinėje, stiprus skausmas nurijus maisto ar gėrimo, stiprus pykinimas arba vėmimas, pasunkėjęs rijimas. Jums gali atsirasti stiprus stemplės uždegimas, galimai su stemplės žaizdomis arba susiaurėjimu. </w:t>
      </w:r>
    </w:p>
    <w:p w14:paraId="162540F5" w14:textId="77777777" w:rsidR="00302C06" w:rsidRPr="00444E1A" w:rsidRDefault="00302C06" w:rsidP="00302C06">
      <w:pPr>
        <w:ind w:left="539" w:hanging="540"/>
      </w:pPr>
    </w:p>
    <w:p w14:paraId="2E39BA37" w14:textId="77777777" w:rsidR="00302C06" w:rsidRPr="005E49A1" w:rsidRDefault="00302C06" w:rsidP="00302C06">
      <w:pPr>
        <w:overflowPunct w:val="0"/>
        <w:autoSpaceDE w:val="0"/>
        <w:autoSpaceDN w:val="0"/>
        <w:adjustRightInd w:val="0"/>
        <w:ind w:right="-29"/>
        <w:rPr>
          <w:color w:val="000000"/>
        </w:rPr>
      </w:pPr>
      <w:r w:rsidRPr="005E49A1">
        <w:rPr>
          <w:b/>
          <w:color w:val="000000"/>
        </w:rPr>
        <w:t xml:space="preserve">Reti </w:t>
      </w:r>
      <w:r w:rsidRPr="005E49A1">
        <w:rPr>
          <w:color w:val="000000"/>
        </w:rPr>
        <w:t xml:space="preserve">(gali pasireikšti </w:t>
      </w:r>
      <w:r>
        <w:rPr>
          <w:color w:val="000000"/>
        </w:rPr>
        <w:t>rečiau</w:t>
      </w:r>
      <w:r w:rsidRPr="005E49A1">
        <w:rPr>
          <w:color w:val="000000"/>
        </w:rPr>
        <w:t xml:space="preserve"> kaip 1 iš 1000 pacientų):</w:t>
      </w:r>
    </w:p>
    <w:p w14:paraId="77A9A732" w14:textId="77777777" w:rsidR="00302C06" w:rsidRPr="005E49A1" w:rsidRDefault="00302C06" w:rsidP="00302C06">
      <w:pPr>
        <w:ind w:left="562" w:hanging="562"/>
      </w:pPr>
      <w:r w:rsidRPr="005E49A1">
        <w:rPr>
          <w:szCs w:val="22"/>
        </w:rPr>
        <w:sym w:font="Symbol" w:char="F0B7"/>
      </w:r>
      <w:r w:rsidRPr="005E49A1">
        <w:tab/>
      </w:r>
      <w:r w:rsidRPr="005E49A1">
        <w:rPr>
          <w:color w:val="000000"/>
        </w:rPr>
        <w:t>niežėjimas, veido, lūpų, liežuvio ar gerklės patinimas, sunkinantis kvėpavimą;</w:t>
      </w:r>
      <w:r w:rsidRPr="005E49A1">
        <w:t xml:space="preserve"> </w:t>
      </w:r>
    </w:p>
    <w:p w14:paraId="4280137D" w14:textId="77777777" w:rsidR="00302C06" w:rsidRPr="005E49A1" w:rsidRDefault="00302C06" w:rsidP="00302C06">
      <w:pPr>
        <w:tabs>
          <w:tab w:val="left" w:pos="567"/>
        </w:tabs>
      </w:pPr>
      <w:r w:rsidRPr="005E49A1">
        <w:rPr>
          <w:szCs w:val="22"/>
        </w:rPr>
        <w:sym w:font="Symbol" w:char="F0B7"/>
      </w:r>
      <w:r w:rsidRPr="005E49A1">
        <w:tab/>
        <w:t xml:space="preserve">užsitęsęs akių skausmas ir uždegimas; </w:t>
      </w:r>
    </w:p>
    <w:p w14:paraId="467872A9" w14:textId="77777777" w:rsidR="00302C06" w:rsidRPr="005E49A1" w:rsidRDefault="00302C06" w:rsidP="00302C06">
      <w:pPr>
        <w:ind w:left="562" w:hanging="562"/>
      </w:pPr>
      <w:r w:rsidRPr="005E49A1">
        <w:rPr>
          <w:szCs w:val="22"/>
        </w:rPr>
        <w:sym w:font="Symbol" w:char="F0B7"/>
      </w:r>
      <w:r w:rsidRPr="005E49A1">
        <w:tab/>
        <w:t>naujai atsiradęs skausmas, silpnumas ar nemalonus pojūtis šlaunies, klubo ar kirkšnies srityje. Tai gali būti ankstyvieji galimo neįprasto šlaunikaulio lūžio požymiai.</w:t>
      </w:r>
    </w:p>
    <w:p w14:paraId="15D3857A" w14:textId="77777777" w:rsidR="00302C06" w:rsidRPr="005E49A1" w:rsidRDefault="00302C06" w:rsidP="00302C06"/>
    <w:p w14:paraId="6EB4691E" w14:textId="77777777" w:rsidR="00302C06" w:rsidRPr="005E49A1" w:rsidRDefault="00302C06" w:rsidP="00302C06">
      <w:pPr>
        <w:overflowPunct w:val="0"/>
        <w:autoSpaceDE w:val="0"/>
        <w:autoSpaceDN w:val="0"/>
        <w:adjustRightInd w:val="0"/>
        <w:ind w:right="-29"/>
      </w:pPr>
      <w:r w:rsidRPr="005E49A1">
        <w:rPr>
          <w:b/>
          <w:color w:val="000000"/>
        </w:rPr>
        <w:t xml:space="preserve">Labai reti </w:t>
      </w:r>
      <w:r w:rsidRPr="005E49A1">
        <w:rPr>
          <w:color w:val="000000"/>
        </w:rPr>
        <w:t xml:space="preserve">(gali pasireikšti </w:t>
      </w:r>
      <w:r>
        <w:rPr>
          <w:color w:val="000000"/>
        </w:rPr>
        <w:t>rečiau</w:t>
      </w:r>
      <w:r w:rsidRPr="005E49A1">
        <w:rPr>
          <w:color w:val="000000"/>
        </w:rPr>
        <w:t xml:space="preserve"> kaip 1 iš 10000 pacientų):</w:t>
      </w:r>
    </w:p>
    <w:p w14:paraId="72A12BE1" w14:textId="77777777" w:rsidR="00B87091" w:rsidRDefault="00302C06" w:rsidP="00B87091">
      <w:pPr>
        <w:pStyle w:val="Sraopastraipa"/>
        <w:numPr>
          <w:ilvl w:val="0"/>
          <w:numId w:val="28"/>
        </w:numPr>
        <w:tabs>
          <w:tab w:val="left" w:pos="567"/>
        </w:tabs>
        <w:ind w:left="567" w:hanging="567"/>
      </w:pPr>
      <w:r w:rsidRPr="00444E1A">
        <w:rPr>
          <w:color w:val="000000"/>
        </w:rPr>
        <w:t>skausmas ar žaizda burnoje ar žandikaulyje. Tai gali būti ankstyvieji sunkios žandikaulio ligos (nekrozės (žuvusio kaulinio audinio)  žandikaulyje požymiai);</w:t>
      </w:r>
      <w:r w:rsidR="00B87091" w:rsidRPr="00B87091">
        <w:t xml:space="preserve"> </w:t>
      </w:r>
    </w:p>
    <w:p w14:paraId="5ED5DFAE" w14:textId="3E31F8EA" w:rsidR="00B87091" w:rsidRPr="005E49A1" w:rsidRDefault="00B87091" w:rsidP="00B87091">
      <w:pPr>
        <w:pStyle w:val="Sraopastraipa"/>
        <w:numPr>
          <w:ilvl w:val="0"/>
          <w:numId w:val="28"/>
        </w:numPr>
        <w:tabs>
          <w:tab w:val="left" w:pos="567"/>
        </w:tabs>
        <w:ind w:left="567" w:hanging="567"/>
      </w:pPr>
      <w:r w:rsidRPr="00444E1A">
        <w:t>pasikalbėkite su savo gydytoju, jeigu Jums skauda ausį, iš kurios teka išskyros ir (arba) Jums prasidėjęs ausies uždegimas. Tai gali būti ausyje esančio kaulo pažeidimo požymiai</w:t>
      </w:r>
      <w:r>
        <w:t>;</w:t>
      </w:r>
      <w:r w:rsidRPr="00444E1A">
        <w:t xml:space="preserve"> </w:t>
      </w:r>
    </w:p>
    <w:p w14:paraId="7A43CFB7" w14:textId="54BB5E08" w:rsidR="00302C06" w:rsidRDefault="00302C06" w:rsidP="00302C06">
      <w:pPr>
        <w:tabs>
          <w:tab w:val="left" w:pos="567"/>
        </w:tabs>
        <w:ind w:left="567" w:hanging="567"/>
      </w:pPr>
      <w:r w:rsidRPr="005E49A1">
        <w:rPr>
          <w:szCs w:val="22"/>
        </w:rPr>
        <w:sym w:font="Symbol" w:char="F0B7"/>
      </w:r>
      <w:r w:rsidRPr="00444E1A">
        <w:rPr>
          <w:szCs w:val="22"/>
        </w:rPr>
        <w:tab/>
      </w:r>
      <w:r w:rsidRPr="00444E1A">
        <w:t>sunkios, galinčios sukelti  grėsmę gyvybei alerginės reakcijos</w:t>
      </w:r>
      <w:r w:rsidR="00653DC6">
        <w:t>;</w:t>
      </w:r>
    </w:p>
    <w:p w14:paraId="72B64314" w14:textId="759888E8" w:rsidR="00653DC6" w:rsidRDefault="00653DC6" w:rsidP="00653DC6">
      <w:pPr>
        <w:pStyle w:val="Sraopastraipa"/>
        <w:numPr>
          <w:ilvl w:val="3"/>
          <w:numId w:val="28"/>
        </w:numPr>
        <w:ind w:left="567" w:hanging="567"/>
      </w:pPr>
      <w:r w:rsidRPr="00444E1A">
        <w:t xml:space="preserve">sunkios nepageidaujamos odos reakcijos. </w:t>
      </w:r>
      <w:r w:rsidRPr="00444E1A">
        <w:rPr>
          <w:noProof/>
          <w:szCs w:val="22"/>
        </w:rPr>
        <w:t xml:space="preserve">Jums gali atsirasti odos išbėrimas, kuris pasireiškia pūslelėmis ir yra panašus į mažus taikinius </w:t>
      </w:r>
      <w:r w:rsidRPr="005E49A1">
        <w:rPr>
          <w:szCs w:val="22"/>
        </w:rPr>
        <w:t>(viduryje tamsi dėmelė, apsupta blyškesnės srities, kurią supa tamsus žiedas (</w:t>
      </w:r>
      <w:r w:rsidRPr="005E49A1">
        <w:rPr>
          <w:i/>
          <w:iCs/>
          <w:szCs w:val="22"/>
        </w:rPr>
        <w:t xml:space="preserve">daugiaformės eritemos </w:t>
      </w:r>
      <w:r w:rsidRPr="005E49A1">
        <w:rPr>
          <w:iCs/>
          <w:szCs w:val="22"/>
        </w:rPr>
        <w:t>požymis</w:t>
      </w:r>
      <w:r w:rsidRPr="005E49A1">
        <w:rPr>
          <w:szCs w:val="22"/>
        </w:rPr>
        <w:t>), plačiai išplitęs odos išbėrimas, pasireiškiantis pūslėmis ar odos lupimusi, ypač apie burną, nosį, akis ir lytinius organus (</w:t>
      </w:r>
      <w:r w:rsidRPr="00653DC6">
        <w:rPr>
          <w:iCs/>
          <w:szCs w:val="22"/>
        </w:rPr>
        <w:t>Stivenso-Džonsono [</w:t>
      </w:r>
      <w:r>
        <w:rPr>
          <w:i/>
          <w:iCs/>
          <w:szCs w:val="22"/>
        </w:rPr>
        <w:t>Stevens-Johnson</w:t>
      </w:r>
      <w:r w:rsidRPr="00653DC6">
        <w:rPr>
          <w:iCs/>
          <w:szCs w:val="22"/>
        </w:rPr>
        <w:t>]</w:t>
      </w:r>
      <w:r>
        <w:rPr>
          <w:i/>
          <w:iCs/>
          <w:szCs w:val="22"/>
        </w:rPr>
        <w:t xml:space="preserve"> </w:t>
      </w:r>
      <w:r w:rsidRPr="005E49A1">
        <w:rPr>
          <w:iCs/>
          <w:szCs w:val="22"/>
        </w:rPr>
        <w:t>sindromas</w:t>
      </w:r>
      <w:r w:rsidRPr="005E49A1">
        <w:rPr>
          <w:szCs w:val="22"/>
        </w:rPr>
        <w:t>) ir pūslėmis ant odos (</w:t>
      </w:r>
      <w:r w:rsidRPr="005E49A1">
        <w:rPr>
          <w:i/>
          <w:szCs w:val="22"/>
        </w:rPr>
        <w:t>buliozinio dermatito</w:t>
      </w:r>
      <w:r w:rsidRPr="005E49A1">
        <w:rPr>
          <w:szCs w:val="22"/>
        </w:rPr>
        <w:t xml:space="preserve"> požymis).</w:t>
      </w:r>
      <w:r w:rsidRPr="00B87091">
        <w:t xml:space="preserve"> </w:t>
      </w:r>
    </w:p>
    <w:p w14:paraId="1B9C4994" w14:textId="77777777" w:rsidR="00B87091" w:rsidRPr="00073A0A" w:rsidRDefault="00B87091" w:rsidP="0022545A">
      <w:pPr>
        <w:tabs>
          <w:tab w:val="left" w:pos="567"/>
        </w:tabs>
        <w:ind w:left="567" w:hanging="567"/>
      </w:pPr>
    </w:p>
    <w:p w14:paraId="0900D67D" w14:textId="77777777" w:rsidR="00302C06" w:rsidRPr="005E49A1" w:rsidRDefault="00302C06" w:rsidP="00302C06">
      <w:pPr>
        <w:keepNext/>
        <w:keepLines/>
        <w:overflowPunct w:val="0"/>
        <w:autoSpaceDE w:val="0"/>
        <w:autoSpaceDN w:val="0"/>
        <w:adjustRightInd w:val="0"/>
        <w:ind w:right="-29"/>
        <w:rPr>
          <w:b/>
          <w:color w:val="000000"/>
        </w:rPr>
      </w:pPr>
      <w:r w:rsidRPr="005E49A1">
        <w:rPr>
          <w:b/>
          <w:color w:val="000000"/>
        </w:rPr>
        <w:t>Kiti galimi šalutiniai poveikiai</w:t>
      </w:r>
    </w:p>
    <w:p w14:paraId="00312339" w14:textId="77777777" w:rsidR="00302C06" w:rsidRPr="005E49A1" w:rsidRDefault="00302C06" w:rsidP="00302C06">
      <w:pPr>
        <w:keepNext/>
        <w:keepLines/>
        <w:tabs>
          <w:tab w:val="left" w:pos="480"/>
          <w:tab w:val="left" w:pos="600"/>
        </w:tabs>
        <w:ind w:left="480" w:hanging="480"/>
      </w:pPr>
    </w:p>
    <w:p w14:paraId="782102D1" w14:textId="77777777" w:rsidR="00302C06" w:rsidRPr="005E49A1" w:rsidRDefault="00302C06" w:rsidP="00302C06">
      <w:pPr>
        <w:keepNext/>
        <w:keepLines/>
        <w:overflowPunct w:val="0"/>
        <w:autoSpaceDE w:val="0"/>
        <w:autoSpaceDN w:val="0"/>
        <w:adjustRightInd w:val="0"/>
        <w:ind w:right="-29"/>
        <w:rPr>
          <w:color w:val="000000"/>
        </w:rPr>
      </w:pPr>
      <w:r w:rsidRPr="005E49A1">
        <w:rPr>
          <w:b/>
          <w:color w:val="000000"/>
        </w:rPr>
        <w:t xml:space="preserve">Dažni </w:t>
      </w:r>
      <w:r w:rsidRPr="005E49A1">
        <w:rPr>
          <w:color w:val="000000"/>
        </w:rPr>
        <w:t xml:space="preserve">(gali pasireikšti </w:t>
      </w:r>
      <w:r>
        <w:rPr>
          <w:color w:val="000000"/>
        </w:rPr>
        <w:t>rečiau</w:t>
      </w:r>
      <w:r w:rsidRPr="005E49A1">
        <w:rPr>
          <w:color w:val="000000"/>
        </w:rPr>
        <w:t xml:space="preserve"> kaip 1 iš 10 pacientų):</w:t>
      </w:r>
    </w:p>
    <w:p w14:paraId="25760636" w14:textId="77777777" w:rsidR="00302C06" w:rsidRPr="005E49A1" w:rsidRDefault="00302C06" w:rsidP="00302C06">
      <w:pPr>
        <w:overflowPunct w:val="0"/>
        <w:autoSpaceDE w:val="0"/>
        <w:autoSpaceDN w:val="0"/>
        <w:adjustRightInd w:val="0"/>
        <w:ind w:left="540" w:right="-29" w:hanging="540"/>
        <w:rPr>
          <w:color w:val="000000"/>
        </w:rPr>
      </w:pPr>
      <w:r w:rsidRPr="005E49A1">
        <w:rPr>
          <w:color w:val="000000"/>
          <w:szCs w:val="22"/>
        </w:rPr>
        <w:sym w:font="Symbol" w:char="F0B7"/>
      </w:r>
      <w:r w:rsidRPr="005E49A1">
        <w:rPr>
          <w:color w:val="000000"/>
        </w:rPr>
        <w:tab/>
        <w:t>galvos skausmas;</w:t>
      </w:r>
    </w:p>
    <w:p w14:paraId="3BD91844" w14:textId="77777777" w:rsidR="00302C06" w:rsidRPr="005E49A1" w:rsidRDefault="00302C06" w:rsidP="00302C06">
      <w:pPr>
        <w:overflowPunct w:val="0"/>
        <w:autoSpaceDE w:val="0"/>
        <w:autoSpaceDN w:val="0"/>
        <w:adjustRightInd w:val="0"/>
        <w:ind w:left="540" w:right="-29" w:hanging="540"/>
        <w:rPr>
          <w:color w:val="000000"/>
        </w:rPr>
      </w:pPr>
      <w:r w:rsidRPr="005E49A1">
        <w:rPr>
          <w:color w:val="000000"/>
          <w:szCs w:val="22"/>
        </w:rPr>
        <w:sym w:font="Symbol" w:char="F0B7"/>
      </w:r>
      <w:r w:rsidRPr="005E49A1">
        <w:rPr>
          <w:color w:val="000000"/>
        </w:rPr>
        <w:tab/>
      </w:r>
      <w:r w:rsidRPr="005E49A1">
        <w:rPr>
          <w:color w:val="000000"/>
          <w:szCs w:val="22"/>
          <w:lang w:eastAsia="ja-JP"/>
        </w:rPr>
        <w:t xml:space="preserve">rėmuo, nemalonus jausmas ryjant, </w:t>
      </w:r>
      <w:r w:rsidRPr="005E49A1">
        <w:rPr>
          <w:color w:val="000000"/>
        </w:rPr>
        <w:t>skrandžio ar pilvo skausmas (gali būti dėl skrandžio uždegimo), nevirškinimas, pykinimas, viduriavimas (laisvi viduriai);</w:t>
      </w:r>
    </w:p>
    <w:p w14:paraId="1284A998" w14:textId="77777777" w:rsidR="00302C06" w:rsidRPr="005E49A1" w:rsidRDefault="00302C06" w:rsidP="00302C06">
      <w:pPr>
        <w:tabs>
          <w:tab w:val="left" w:pos="567"/>
        </w:tabs>
        <w:rPr>
          <w:color w:val="000000"/>
        </w:rPr>
      </w:pPr>
      <w:r w:rsidRPr="005E49A1">
        <w:rPr>
          <w:color w:val="000000"/>
          <w:szCs w:val="22"/>
        </w:rPr>
        <w:sym w:font="Symbol" w:char="F0B7"/>
      </w:r>
      <w:r w:rsidRPr="005E49A1">
        <w:rPr>
          <w:color w:val="000000"/>
        </w:rPr>
        <w:tab/>
        <w:t xml:space="preserve">raumenų trūkčiojimas, sąnarių ir galūnių sustingimas; </w:t>
      </w:r>
    </w:p>
    <w:p w14:paraId="066AEB3D" w14:textId="77777777" w:rsidR="00302C06" w:rsidRPr="005E49A1" w:rsidRDefault="00302C06" w:rsidP="00302C06">
      <w:pPr>
        <w:ind w:left="539" w:hanging="539"/>
      </w:pPr>
      <w:r w:rsidRPr="005E49A1">
        <w:rPr>
          <w:color w:val="000000"/>
          <w:szCs w:val="22"/>
        </w:rPr>
        <w:sym w:font="Symbol" w:char="F0B7"/>
      </w:r>
      <w:r w:rsidRPr="005E49A1">
        <w:t xml:space="preserve"> </w:t>
      </w:r>
      <w:r w:rsidRPr="005E49A1">
        <w:tab/>
        <w:t>į gripą panašūs simptomai, tokie kaip karščiavimas, drebulys ir šaltkrėtis, diskomforto jausmas, kaulų skausmas bei raumenų ir sąnarių diegliai. Jeigu bet kuris iš poveikių tampa varginantis arba tęsiasi ilgiau negu keletą parų, pasitarkite su slaugytoju ar gydytoju;</w:t>
      </w:r>
    </w:p>
    <w:p w14:paraId="4ECF2D6B" w14:textId="77777777" w:rsidR="00302C06" w:rsidRPr="005E49A1" w:rsidRDefault="00302C06" w:rsidP="00302C06">
      <w:pPr>
        <w:overflowPunct w:val="0"/>
        <w:autoSpaceDE w:val="0"/>
        <w:autoSpaceDN w:val="0"/>
        <w:adjustRightInd w:val="0"/>
        <w:ind w:left="540" w:right="-29" w:hanging="540"/>
        <w:rPr>
          <w:color w:val="000000"/>
        </w:rPr>
      </w:pPr>
      <w:r w:rsidRPr="005E49A1">
        <w:rPr>
          <w:szCs w:val="22"/>
        </w:rPr>
        <w:sym w:font="Symbol" w:char="F0B7"/>
      </w:r>
      <w:r w:rsidRPr="005E49A1">
        <w:tab/>
        <w:t>iš</w:t>
      </w:r>
      <w:r w:rsidRPr="005E49A1">
        <w:rPr>
          <w:color w:val="000000"/>
        </w:rPr>
        <w:t>bėrimas.</w:t>
      </w:r>
    </w:p>
    <w:p w14:paraId="7D0E4CCA" w14:textId="77777777" w:rsidR="00302C06" w:rsidRPr="005E49A1" w:rsidRDefault="00302C06" w:rsidP="00302C06">
      <w:pPr>
        <w:tabs>
          <w:tab w:val="left" w:pos="480"/>
          <w:tab w:val="left" w:pos="600"/>
        </w:tabs>
        <w:ind w:left="482" w:hanging="482"/>
      </w:pPr>
    </w:p>
    <w:p w14:paraId="28A4E94E" w14:textId="77777777" w:rsidR="00302C06" w:rsidRPr="005E49A1" w:rsidRDefault="00302C06" w:rsidP="00302C06">
      <w:pPr>
        <w:keepNext/>
        <w:keepLines/>
        <w:overflowPunct w:val="0"/>
        <w:autoSpaceDE w:val="0"/>
        <w:autoSpaceDN w:val="0"/>
        <w:adjustRightInd w:val="0"/>
        <w:ind w:left="539" w:right="-28" w:hanging="539"/>
        <w:rPr>
          <w:b/>
          <w:color w:val="000000"/>
        </w:rPr>
      </w:pPr>
      <w:r w:rsidRPr="005E49A1">
        <w:rPr>
          <w:b/>
          <w:color w:val="000000"/>
        </w:rPr>
        <w:t xml:space="preserve">Nedažni </w:t>
      </w:r>
      <w:r w:rsidRPr="005E49A1">
        <w:rPr>
          <w:color w:val="000000"/>
        </w:rPr>
        <w:t xml:space="preserve">(gali pasireikšti </w:t>
      </w:r>
      <w:r>
        <w:rPr>
          <w:color w:val="000000"/>
        </w:rPr>
        <w:t>rečiau</w:t>
      </w:r>
      <w:r w:rsidRPr="005E49A1">
        <w:rPr>
          <w:color w:val="000000"/>
        </w:rPr>
        <w:t xml:space="preserve"> kaip 1 iš 100 pacientų):</w:t>
      </w:r>
    </w:p>
    <w:p w14:paraId="59971BFE" w14:textId="77777777" w:rsidR="00302C06" w:rsidRPr="00444E1A" w:rsidRDefault="00302C06" w:rsidP="00302C06">
      <w:pPr>
        <w:pStyle w:val="Sraopastraipa"/>
        <w:numPr>
          <w:ilvl w:val="0"/>
          <w:numId w:val="26"/>
        </w:numPr>
        <w:tabs>
          <w:tab w:val="left" w:pos="567"/>
        </w:tabs>
        <w:ind w:left="0" w:firstLine="0"/>
      </w:pPr>
      <w:r w:rsidRPr="00444E1A">
        <w:t>Svaigulys;</w:t>
      </w:r>
    </w:p>
    <w:p w14:paraId="1519C421" w14:textId="77777777" w:rsidR="00302C06" w:rsidRPr="00444E1A" w:rsidRDefault="00302C06" w:rsidP="00302C06">
      <w:pPr>
        <w:tabs>
          <w:tab w:val="left" w:pos="567"/>
        </w:tabs>
      </w:pPr>
      <w:r w:rsidRPr="00444E1A">
        <w:rPr>
          <w:color w:val="000000"/>
        </w:rPr>
        <w:sym w:font="Symbol" w:char="F0B7"/>
      </w:r>
      <w:r w:rsidRPr="00444E1A">
        <w:rPr>
          <w:color w:val="000000"/>
        </w:rPr>
        <w:tab/>
      </w:r>
      <w:r w:rsidRPr="00444E1A">
        <w:t>pilvo pūtimas (gausus dujų išėjimas);</w:t>
      </w:r>
    </w:p>
    <w:p w14:paraId="1885EC33" w14:textId="77777777" w:rsidR="00302C06" w:rsidRPr="00444E1A" w:rsidRDefault="00302C06" w:rsidP="00302C06">
      <w:pPr>
        <w:tabs>
          <w:tab w:val="left" w:pos="567"/>
        </w:tabs>
      </w:pPr>
      <w:r w:rsidRPr="00444E1A">
        <w:sym w:font="Symbol" w:char="F0B7"/>
      </w:r>
      <w:r w:rsidRPr="00444E1A">
        <w:tab/>
        <w:t>nugaros skausmas;</w:t>
      </w:r>
    </w:p>
    <w:p w14:paraId="64C31B92" w14:textId="77777777" w:rsidR="00302C06" w:rsidRPr="00444E1A" w:rsidRDefault="00302C06" w:rsidP="00302C06">
      <w:pPr>
        <w:tabs>
          <w:tab w:val="left" w:pos="567"/>
        </w:tabs>
      </w:pPr>
      <w:r w:rsidRPr="00444E1A">
        <w:lastRenderedPageBreak/>
        <w:sym w:font="Symbol" w:char="F0B7"/>
      </w:r>
      <w:r w:rsidRPr="00444E1A">
        <w:tab/>
        <w:t xml:space="preserve">nuovargis ir </w:t>
      </w:r>
      <w:r w:rsidRPr="005E49A1">
        <w:rPr>
          <w:szCs w:val="22"/>
          <w:lang w:eastAsia="ja-JP"/>
        </w:rPr>
        <w:t>išsekimas</w:t>
      </w:r>
      <w:r w:rsidRPr="00444E1A">
        <w:t>;</w:t>
      </w:r>
    </w:p>
    <w:p w14:paraId="2C058EFA" w14:textId="77777777" w:rsidR="00302C06" w:rsidRPr="00444E1A" w:rsidRDefault="00302C06" w:rsidP="00302C06">
      <w:pPr>
        <w:tabs>
          <w:tab w:val="left" w:pos="480"/>
          <w:tab w:val="left" w:pos="600"/>
        </w:tabs>
        <w:rPr>
          <w:color w:val="000000"/>
        </w:rPr>
      </w:pPr>
      <w:r w:rsidRPr="005E49A1">
        <w:rPr>
          <w:color w:val="000000"/>
          <w:szCs w:val="22"/>
        </w:rPr>
        <w:sym w:font="Symbol" w:char="F0B7"/>
      </w:r>
      <w:r w:rsidRPr="00444E1A">
        <w:rPr>
          <w:color w:val="000000"/>
        </w:rPr>
        <w:tab/>
        <w:t>astmos priepuoliai.</w:t>
      </w:r>
    </w:p>
    <w:p w14:paraId="6C4AC59D" w14:textId="77777777" w:rsidR="00302C06" w:rsidRPr="00444E1A" w:rsidRDefault="00302C06" w:rsidP="00302C06">
      <w:pPr>
        <w:tabs>
          <w:tab w:val="left" w:pos="480"/>
          <w:tab w:val="left" w:pos="600"/>
        </w:tabs>
        <w:ind w:left="482" w:hanging="482"/>
        <w:rPr>
          <w:color w:val="000000"/>
        </w:rPr>
      </w:pPr>
    </w:p>
    <w:p w14:paraId="0B8C0C1A" w14:textId="77777777" w:rsidR="00302C06" w:rsidRPr="00444E1A" w:rsidRDefault="00302C06" w:rsidP="00302C06">
      <w:pPr>
        <w:keepNext/>
        <w:keepLines/>
        <w:overflowPunct w:val="0"/>
        <w:autoSpaceDE w:val="0"/>
        <w:autoSpaceDN w:val="0"/>
        <w:adjustRightInd w:val="0"/>
        <w:ind w:right="-29"/>
        <w:rPr>
          <w:color w:val="000000"/>
        </w:rPr>
      </w:pPr>
      <w:r w:rsidRPr="00444E1A">
        <w:rPr>
          <w:b/>
          <w:color w:val="000000"/>
        </w:rPr>
        <w:t xml:space="preserve">Reti </w:t>
      </w:r>
      <w:r w:rsidRPr="00444E1A">
        <w:rPr>
          <w:color w:val="000000"/>
        </w:rPr>
        <w:t xml:space="preserve">(gali pasireikšti </w:t>
      </w:r>
      <w:r>
        <w:rPr>
          <w:color w:val="000000"/>
        </w:rPr>
        <w:t>rečiau</w:t>
      </w:r>
      <w:r w:rsidRPr="00444E1A">
        <w:rPr>
          <w:color w:val="000000"/>
        </w:rPr>
        <w:t xml:space="preserve"> kaip 1 iš 1000 pacientų):</w:t>
      </w:r>
    </w:p>
    <w:p w14:paraId="16B902DC" w14:textId="77777777" w:rsidR="00302C06" w:rsidRPr="00444E1A" w:rsidRDefault="00302C06" w:rsidP="00302C06">
      <w:pPr>
        <w:tabs>
          <w:tab w:val="left" w:pos="567"/>
        </w:tabs>
        <w:rPr>
          <w:szCs w:val="22"/>
          <w:lang w:eastAsia="ja-JP"/>
        </w:rPr>
      </w:pPr>
      <w:r w:rsidRPr="00444E1A">
        <w:rPr>
          <w:szCs w:val="22"/>
          <w:lang w:eastAsia="ja-JP"/>
        </w:rPr>
        <w:sym w:font="Symbol" w:char="F0B7"/>
      </w:r>
      <w:r w:rsidRPr="00444E1A">
        <w:rPr>
          <w:szCs w:val="22"/>
          <w:lang w:eastAsia="ja-JP"/>
        </w:rPr>
        <w:tab/>
        <w:t xml:space="preserve">dvylikapirštės žarnos uždegimas (pirmojo žarnos segmento), kuris sukelia pilvo skausmą; </w:t>
      </w:r>
    </w:p>
    <w:p w14:paraId="52AF7B5A" w14:textId="77777777" w:rsidR="00302C06" w:rsidRPr="00444E1A" w:rsidRDefault="00302C06" w:rsidP="00302C06">
      <w:pPr>
        <w:tabs>
          <w:tab w:val="left" w:pos="567"/>
        </w:tabs>
        <w:rPr>
          <w:szCs w:val="22"/>
          <w:lang w:eastAsia="ja-JP"/>
        </w:rPr>
      </w:pPr>
      <w:r w:rsidRPr="00444E1A">
        <w:rPr>
          <w:szCs w:val="22"/>
          <w:lang w:eastAsia="ja-JP"/>
        </w:rPr>
        <w:sym w:font="Symbol" w:char="F0B7"/>
      </w:r>
      <w:r w:rsidRPr="00444E1A">
        <w:rPr>
          <w:szCs w:val="22"/>
          <w:lang w:eastAsia="ja-JP"/>
        </w:rPr>
        <w:tab/>
        <w:t>dilgėlinė.</w:t>
      </w:r>
    </w:p>
    <w:p w14:paraId="311C05D6" w14:textId="77777777" w:rsidR="00302C06" w:rsidRPr="00444E1A" w:rsidRDefault="00302C06" w:rsidP="00302C06">
      <w:pPr>
        <w:tabs>
          <w:tab w:val="left" w:pos="567"/>
        </w:tabs>
        <w:rPr>
          <w:szCs w:val="22"/>
          <w:lang w:eastAsia="ja-JP"/>
        </w:rPr>
      </w:pPr>
    </w:p>
    <w:p w14:paraId="1B18A9ED" w14:textId="77777777" w:rsidR="00302C06" w:rsidRPr="005E49A1" w:rsidRDefault="00302C06" w:rsidP="00302C06">
      <w:pPr>
        <w:autoSpaceDE w:val="0"/>
        <w:autoSpaceDN w:val="0"/>
        <w:adjustRightInd w:val="0"/>
        <w:rPr>
          <w:b/>
          <w:bCs/>
          <w:color w:val="000000"/>
          <w:szCs w:val="22"/>
          <w:highlight w:val="yellow"/>
          <w:lang w:eastAsia="el-GR"/>
        </w:rPr>
      </w:pPr>
      <w:r w:rsidRPr="005E49A1">
        <w:rPr>
          <w:b/>
          <w:szCs w:val="22"/>
        </w:rPr>
        <w:t>Pranešimai apie šalutinius poveikius</w:t>
      </w:r>
      <w:r w:rsidRPr="005E49A1" w:rsidDel="00AA6C93">
        <w:rPr>
          <w:b/>
          <w:bCs/>
          <w:color w:val="000000"/>
          <w:szCs w:val="22"/>
          <w:highlight w:val="yellow"/>
          <w:lang w:eastAsia="el-GR"/>
        </w:rPr>
        <w:t xml:space="preserve"> </w:t>
      </w:r>
    </w:p>
    <w:p w14:paraId="1C3BB201" w14:textId="77777777" w:rsidR="00302C06" w:rsidRPr="005E49A1" w:rsidRDefault="00302C06" w:rsidP="00302C06">
      <w:pPr>
        <w:pStyle w:val="Default"/>
        <w:tabs>
          <w:tab w:val="left" w:pos="567"/>
        </w:tabs>
        <w:rPr>
          <w:b/>
          <w:color w:val="auto"/>
          <w:sz w:val="22"/>
          <w:szCs w:val="22"/>
          <w:lang w:val="lt-LT"/>
        </w:rPr>
      </w:pPr>
      <w:r w:rsidRPr="00444E1A">
        <w:rPr>
          <w:sz w:val="22"/>
          <w:szCs w:val="22"/>
          <w:lang w:val="lt-LT"/>
        </w:rPr>
        <w:t xml:space="preserve">Jeigu pasireiškė šalutinis poveikis, įskaitant šiame lapelyje nenurodytą, pasakykite gydytojui, vaistininkui arba slaugytojui. Apie šalutinį poveikį taip pat galite pranešti tiesiogiai, užpildę interneto svetainėje </w:t>
      </w:r>
      <w:hyperlink r:id="rId13" w:history="1">
        <w:r w:rsidRPr="00EC4EB8">
          <w:rPr>
            <w:rStyle w:val="Hipersaitas"/>
            <w:sz w:val="22"/>
            <w:szCs w:val="22"/>
            <w:lang w:val="lt-LT"/>
          </w:rPr>
          <w:t>www.vvkt.lt</w:t>
        </w:r>
      </w:hyperlink>
      <w:r>
        <w:rPr>
          <w:sz w:val="22"/>
          <w:szCs w:val="22"/>
          <w:lang w:val="lt-LT"/>
        </w:rPr>
        <w:t xml:space="preserve"> </w:t>
      </w:r>
      <w:r w:rsidRPr="00444E1A">
        <w:rPr>
          <w:sz w:val="22"/>
          <w:szCs w:val="22"/>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14" w:history="1">
        <w:r w:rsidRPr="00EC4EB8">
          <w:rPr>
            <w:rStyle w:val="Hipersaitas"/>
            <w:sz w:val="22"/>
            <w:szCs w:val="22"/>
            <w:lang w:val="lt-LT"/>
          </w:rPr>
          <w:t>NepageidaujamaR@vvkt.lt</w:t>
        </w:r>
      </w:hyperlink>
      <w:r>
        <w:rPr>
          <w:sz w:val="22"/>
          <w:szCs w:val="22"/>
          <w:lang w:val="lt-LT"/>
        </w:rPr>
        <w:t xml:space="preserve"> </w:t>
      </w:r>
      <w:r w:rsidRPr="00444E1A">
        <w:rPr>
          <w:sz w:val="22"/>
          <w:szCs w:val="22"/>
          <w:lang w:val="lt-LT"/>
        </w:rPr>
        <w:t xml:space="preserve">, per Valstybinės vaistų kontrolės tarnybos prie Lietuvos Respublikos sveikatos apsaugos ministerijos interneto svetainę (adresu </w:t>
      </w:r>
      <w:hyperlink r:id="rId15" w:history="1">
        <w:r w:rsidRPr="00EC4EB8">
          <w:rPr>
            <w:rStyle w:val="Hipersaitas"/>
            <w:sz w:val="22"/>
            <w:szCs w:val="22"/>
            <w:lang w:val="lt-LT"/>
          </w:rPr>
          <w:t>http://www.vvkt.lt</w:t>
        </w:r>
      </w:hyperlink>
      <w:r>
        <w:rPr>
          <w:sz w:val="22"/>
          <w:szCs w:val="22"/>
          <w:lang w:val="lt-LT"/>
        </w:rPr>
        <w:t xml:space="preserve"> </w:t>
      </w:r>
      <w:r w:rsidRPr="00444E1A">
        <w:rPr>
          <w:sz w:val="22"/>
          <w:szCs w:val="22"/>
          <w:lang w:val="lt-LT"/>
        </w:rPr>
        <w:t>). Pranešdami apie šalutinį poveikį galite mums padėti gauti daugiau informacijos apie šio vaisto saugumą.</w:t>
      </w:r>
    </w:p>
    <w:p w14:paraId="3928A016" w14:textId="77777777" w:rsidR="00302C06" w:rsidRDefault="00302C06" w:rsidP="00302C06">
      <w:pPr>
        <w:shd w:val="clear" w:color="auto" w:fill="FFFFFF"/>
        <w:tabs>
          <w:tab w:val="left" w:pos="567"/>
        </w:tabs>
        <w:ind w:left="5"/>
        <w:jc w:val="both"/>
        <w:rPr>
          <w:szCs w:val="22"/>
        </w:rPr>
      </w:pPr>
    </w:p>
    <w:p w14:paraId="66925005" w14:textId="77777777" w:rsidR="00302C06" w:rsidRPr="00444E1A" w:rsidRDefault="00302C06" w:rsidP="00302C06">
      <w:pPr>
        <w:shd w:val="clear" w:color="auto" w:fill="FFFFFF"/>
        <w:tabs>
          <w:tab w:val="left" w:pos="567"/>
        </w:tabs>
        <w:ind w:left="5"/>
        <w:jc w:val="both"/>
        <w:rPr>
          <w:szCs w:val="22"/>
        </w:rPr>
      </w:pPr>
    </w:p>
    <w:p w14:paraId="1614BC77" w14:textId="77777777" w:rsidR="00302C06" w:rsidRPr="005E49A1" w:rsidRDefault="00302C06" w:rsidP="00302C06">
      <w:pPr>
        <w:widowControl w:val="0"/>
        <w:tabs>
          <w:tab w:val="left" w:pos="567"/>
        </w:tabs>
        <w:autoSpaceDE w:val="0"/>
        <w:autoSpaceDN w:val="0"/>
        <w:adjustRightInd w:val="0"/>
        <w:ind w:left="540" w:hanging="540"/>
        <w:rPr>
          <w:b/>
          <w:szCs w:val="22"/>
        </w:rPr>
      </w:pPr>
      <w:r w:rsidRPr="005E49A1">
        <w:rPr>
          <w:b/>
          <w:szCs w:val="22"/>
        </w:rPr>
        <w:t>5.</w:t>
      </w:r>
      <w:r w:rsidRPr="005E49A1">
        <w:rPr>
          <w:b/>
          <w:szCs w:val="22"/>
        </w:rPr>
        <w:tab/>
        <w:t>Kaip laikyti BAXOGAR</w:t>
      </w:r>
    </w:p>
    <w:p w14:paraId="348EE33E" w14:textId="77777777" w:rsidR="00302C06" w:rsidRPr="00444E1A" w:rsidRDefault="00302C06" w:rsidP="00302C06">
      <w:pPr>
        <w:pStyle w:val="Default"/>
        <w:tabs>
          <w:tab w:val="left" w:pos="567"/>
        </w:tabs>
        <w:ind w:left="560" w:hanging="560"/>
        <w:rPr>
          <w:color w:val="auto"/>
          <w:sz w:val="22"/>
          <w:szCs w:val="22"/>
          <w:lang w:val="lt-LT"/>
        </w:rPr>
      </w:pPr>
    </w:p>
    <w:p w14:paraId="68B09C56" w14:textId="77777777" w:rsidR="00302C06" w:rsidRPr="00444E1A" w:rsidRDefault="00302C06" w:rsidP="00302C06">
      <w:pPr>
        <w:pStyle w:val="Default"/>
        <w:tabs>
          <w:tab w:val="left" w:pos="567"/>
        </w:tabs>
        <w:ind w:left="560" w:hanging="560"/>
        <w:rPr>
          <w:color w:val="auto"/>
          <w:sz w:val="22"/>
          <w:szCs w:val="22"/>
          <w:lang w:val="lt-LT"/>
        </w:rPr>
      </w:pPr>
      <w:r w:rsidRPr="005E49A1">
        <w:rPr>
          <w:color w:val="auto"/>
          <w:sz w:val="22"/>
          <w:szCs w:val="22"/>
          <w:lang w:val="lt-LT"/>
        </w:rPr>
        <w:t>Šį vaistą laikykite vaikams nepastebimoje ir nepasiekiamoje vietoje.</w:t>
      </w:r>
      <w:r w:rsidRPr="00444E1A">
        <w:rPr>
          <w:color w:val="auto"/>
          <w:sz w:val="22"/>
          <w:szCs w:val="22"/>
          <w:lang w:val="lt-LT"/>
        </w:rPr>
        <w:t xml:space="preserve"> </w:t>
      </w:r>
    </w:p>
    <w:p w14:paraId="6F87FF0D" w14:textId="77777777" w:rsidR="00302C06" w:rsidRPr="00073A0A" w:rsidRDefault="00302C06" w:rsidP="0022545A">
      <w:pPr>
        <w:tabs>
          <w:tab w:val="left" w:pos="567"/>
        </w:tabs>
      </w:pPr>
    </w:p>
    <w:p w14:paraId="4F50806C" w14:textId="77777777" w:rsidR="00302C06" w:rsidRPr="00444E1A" w:rsidRDefault="00302C06" w:rsidP="00302C06">
      <w:pPr>
        <w:tabs>
          <w:tab w:val="left" w:pos="567"/>
        </w:tabs>
        <w:rPr>
          <w:szCs w:val="22"/>
        </w:rPr>
      </w:pPr>
      <w:r w:rsidRPr="005E49A1">
        <w:rPr>
          <w:szCs w:val="22"/>
        </w:rPr>
        <w:t>Ant kartono dėžutės ir lizdinės plokštelės po „EXP“ nurodytam tinkamumo laikui pasibaigus, šio vaisto vartoti negalima. Vaistas tinkamas vartoti iki paskutinės nurodyto mėnesio dienos.</w:t>
      </w:r>
    </w:p>
    <w:p w14:paraId="007A2BAC" w14:textId="77777777" w:rsidR="00F9125B" w:rsidRPr="009818C1" w:rsidRDefault="00F9125B" w:rsidP="0022545A">
      <w:pPr>
        <w:pStyle w:val="Default"/>
        <w:tabs>
          <w:tab w:val="left" w:pos="567"/>
        </w:tabs>
        <w:ind w:left="560" w:hanging="560"/>
      </w:pPr>
    </w:p>
    <w:p w14:paraId="115B8E99" w14:textId="77777777" w:rsidR="00F9125B" w:rsidRPr="00444E1A" w:rsidRDefault="00F9125B" w:rsidP="00F9125B">
      <w:pPr>
        <w:pStyle w:val="Default"/>
        <w:tabs>
          <w:tab w:val="left" w:pos="567"/>
        </w:tabs>
        <w:ind w:left="560" w:hanging="560"/>
        <w:rPr>
          <w:color w:val="auto"/>
          <w:sz w:val="22"/>
          <w:szCs w:val="22"/>
          <w:lang w:val="lt-LT"/>
        </w:rPr>
      </w:pPr>
      <w:r w:rsidRPr="00444E1A">
        <w:rPr>
          <w:color w:val="auto"/>
          <w:sz w:val="22"/>
          <w:szCs w:val="22"/>
          <w:lang w:val="lt-LT"/>
        </w:rPr>
        <w:t>Šiam vaistui specialių laikymo sąlygų nereikia.</w:t>
      </w:r>
    </w:p>
    <w:p w14:paraId="5E5B7BE2" w14:textId="77777777" w:rsidR="00302C06" w:rsidRPr="00444E1A" w:rsidRDefault="00302C06" w:rsidP="00302C06">
      <w:pPr>
        <w:tabs>
          <w:tab w:val="left" w:pos="567"/>
        </w:tabs>
        <w:rPr>
          <w:szCs w:val="22"/>
        </w:rPr>
      </w:pPr>
    </w:p>
    <w:p w14:paraId="76AC8655" w14:textId="77777777" w:rsidR="00302C06" w:rsidRPr="005E49A1" w:rsidRDefault="00302C06" w:rsidP="00302C06">
      <w:pPr>
        <w:numPr>
          <w:ilvl w:val="12"/>
          <w:numId w:val="0"/>
        </w:numPr>
        <w:tabs>
          <w:tab w:val="left" w:pos="567"/>
          <w:tab w:val="left" w:pos="708"/>
        </w:tabs>
        <w:ind w:right="-2"/>
        <w:rPr>
          <w:szCs w:val="22"/>
        </w:rPr>
      </w:pPr>
      <w:r w:rsidRPr="005E49A1">
        <w:rPr>
          <w:szCs w:val="22"/>
        </w:rPr>
        <w:t>Vaistų negalima išmesti į kanalizaciją arba  su buitinėmis atliekomis. Kaip išmesti nereikalingus vaistus, klauskite gydytojo ar vaistininko. Šios priemonės padės apsaugoti aplinką.</w:t>
      </w:r>
    </w:p>
    <w:p w14:paraId="53AA6709" w14:textId="77777777" w:rsidR="00302C06" w:rsidRPr="005E49A1" w:rsidRDefault="00302C06" w:rsidP="00302C06">
      <w:pPr>
        <w:numPr>
          <w:ilvl w:val="12"/>
          <w:numId w:val="0"/>
        </w:numPr>
        <w:tabs>
          <w:tab w:val="left" w:pos="567"/>
          <w:tab w:val="left" w:pos="708"/>
        </w:tabs>
        <w:ind w:right="-2"/>
        <w:rPr>
          <w:szCs w:val="22"/>
        </w:rPr>
      </w:pPr>
    </w:p>
    <w:p w14:paraId="4B3F9D5C" w14:textId="77777777" w:rsidR="00302C06" w:rsidRPr="005E49A1" w:rsidRDefault="00302C06" w:rsidP="00302C06">
      <w:pPr>
        <w:numPr>
          <w:ilvl w:val="12"/>
          <w:numId w:val="0"/>
        </w:numPr>
        <w:tabs>
          <w:tab w:val="left" w:pos="567"/>
          <w:tab w:val="left" w:pos="708"/>
        </w:tabs>
        <w:ind w:right="-2"/>
        <w:rPr>
          <w:szCs w:val="22"/>
        </w:rPr>
      </w:pPr>
    </w:p>
    <w:p w14:paraId="6284AB23" w14:textId="77777777" w:rsidR="00302C06" w:rsidRPr="005E49A1" w:rsidRDefault="00302C06" w:rsidP="00302C06">
      <w:pPr>
        <w:widowControl w:val="0"/>
        <w:tabs>
          <w:tab w:val="left" w:pos="567"/>
        </w:tabs>
        <w:autoSpaceDE w:val="0"/>
        <w:autoSpaceDN w:val="0"/>
        <w:adjustRightInd w:val="0"/>
        <w:rPr>
          <w:b/>
          <w:szCs w:val="22"/>
        </w:rPr>
      </w:pPr>
      <w:r w:rsidRPr="005E49A1">
        <w:rPr>
          <w:b/>
          <w:szCs w:val="22"/>
        </w:rPr>
        <w:t>6.</w:t>
      </w:r>
      <w:r w:rsidRPr="005E49A1">
        <w:rPr>
          <w:b/>
          <w:szCs w:val="22"/>
        </w:rPr>
        <w:tab/>
        <w:t>Pakuotės turinys ir kita informacija</w:t>
      </w:r>
    </w:p>
    <w:p w14:paraId="16A639F4" w14:textId="77777777" w:rsidR="00302C06" w:rsidRPr="005E49A1" w:rsidRDefault="00302C06" w:rsidP="00302C06">
      <w:pPr>
        <w:widowControl w:val="0"/>
        <w:tabs>
          <w:tab w:val="left" w:pos="567"/>
        </w:tabs>
        <w:autoSpaceDE w:val="0"/>
        <w:autoSpaceDN w:val="0"/>
        <w:adjustRightInd w:val="0"/>
        <w:rPr>
          <w:szCs w:val="22"/>
        </w:rPr>
      </w:pPr>
    </w:p>
    <w:p w14:paraId="020A1020" w14:textId="77777777" w:rsidR="00302C06" w:rsidRPr="005E49A1" w:rsidRDefault="00302C06" w:rsidP="00302C06">
      <w:pPr>
        <w:widowControl w:val="0"/>
        <w:tabs>
          <w:tab w:val="left" w:pos="567"/>
        </w:tabs>
        <w:autoSpaceDE w:val="0"/>
        <w:autoSpaceDN w:val="0"/>
        <w:adjustRightInd w:val="0"/>
        <w:rPr>
          <w:szCs w:val="22"/>
        </w:rPr>
      </w:pPr>
      <w:r w:rsidRPr="005E49A1">
        <w:rPr>
          <w:b/>
          <w:szCs w:val="22"/>
        </w:rPr>
        <w:t>BAXOGAR sudėtis</w:t>
      </w:r>
      <w:r w:rsidRPr="005E49A1">
        <w:rPr>
          <w:szCs w:val="22"/>
        </w:rPr>
        <w:t xml:space="preserve"> </w:t>
      </w:r>
    </w:p>
    <w:p w14:paraId="57193DDE" w14:textId="77777777" w:rsidR="00302C06" w:rsidRPr="005E49A1" w:rsidRDefault="00302C06" w:rsidP="00302C06">
      <w:pPr>
        <w:widowControl w:val="0"/>
        <w:tabs>
          <w:tab w:val="left" w:pos="567"/>
        </w:tabs>
        <w:autoSpaceDE w:val="0"/>
        <w:autoSpaceDN w:val="0"/>
        <w:adjustRightInd w:val="0"/>
        <w:rPr>
          <w:szCs w:val="22"/>
        </w:rPr>
      </w:pPr>
    </w:p>
    <w:p w14:paraId="7E6747DC" w14:textId="73A17389" w:rsidR="00302C06" w:rsidRPr="005E49A1" w:rsidRDefault="00302C06" w:rsidP="00302C06">
      <w:pPr>
        <w:tabs>
          <w:tab w:val="left" w:pos="567"/>
        </w:tabs>
        <w:autoSpaceDE w:val="0"/>
        <w:autoSpaceDN w:val="0"/>
        <w:adjustRightInd w:val="0"/>
        <w:ind w:left="540" w:hanging="540"/>
        <w:rPr>
          <w:szCs w:val="22"/>
        </w:rPr>
      </w:pPr>
      <w:r w:rsidRPr="005E49A1">
        <w:rPr>
          <w:szCs w:val="22"/>
        </w:rPr>
        <w:t>-</w:t>
      </w:r>
      <w:r w:rsidRPr="005E49A1">
        <w:rPr>
          <w:szCs w:val="22"/>
        </w:rPr>
        <w:tab/>
        <w:t xml:space="preserve">Veiklioji medžiaga yra ibandrono rūgštis. Kiekvienoje </w:t>
      </w:r>
      <w:r w:rsidR="00F9125B">
        <w:rPr>
          <w:szCs w:val="22"/>
        </w:rPr>
        <w:t xml:space="preserve">plėvele dengtoje </w:t>
      </w:r>
      <w:r w:rsidRPr="005E49A1">
        <w:rPr>
          <w:szCs w:val="22"/>
        </w:rPr>
        <w:t>tabletėje yra 150 mg ibandrono rūgšties (natrio druskos monohidrato pavidalu).</w:t>
      </w:r>
    </w:p>
    <w:p w14:paraId="5B3CCE70" w14:textId="77777777" w:rsidR="00302C06" w:rsidRPr="005E49A1" w:rsidRDefault="00302C06" w:rsidP="00302C06">
      <w:pPr>
        <w:widowControl w:val="0"/>
        <w:numPr>
          <w:ilvl w:val="0"/>
          <w:numId w:val="19"/>
        </w:numPr>
        <w:tabs>
          <w:tab w:val="clear" w:pos="360"/>
          <w:tab w:val="left" w:pos="567"/>
        </w:tabs>
        <w:autoSpaceDE w:val="0"/>
        <w:autoSpaceDN w:val="0"/>
        <w:adjustRightInd w:val="0"/>
        <w:ind w:left="540" w:hanging="540"/>
        <w:rPr>
          <w:szCs w:val="22"/>
        </w:rPr>
      </w:pPr>
      <w:r w:rsidRPr="005E49A1">
        <w:rPr>
          <w:szCs w:val="22"/>
        </w:rPr>
        <w:t xml:space="preserve">Pagalbinės medžiagos: </w:t>
      </w:r>
      <w:r w:rsidRPr="005E49A1">
        <w:rPr>
          <w:szCs w:val="22"/>
        </w:rPr>
        <w:br/>
      </w:r>
      <w:r w:rsidRPr="005E49A1">
        <w:rPr>
          <w:b/>
          <w:szCs w:val="22"/>
        </w:rPr>
        <w:t>Tabletės branduolys.</w:t>
      </w:r>
      <w:r w:rsidRPr="005E49A1">
        <w:rPr>
          <w:i/>
          <w:szCs w:val="22"/>
        </w:rPr>
        <w:t xml:space="preserve"> </w:t>
      </w:r>
      <w:r w:rsidRPr="005E49A1">
        <w:rPr>
          <w:szCs w:val="22"/>
        </w:rPr>
        <w:t>Povidonas, mikrokristalinė celiuliozė, pregelifikuotas kukurūzų krakmolas, krospovidonas, bevandenis koloidinis silicio dioksidas, glicerolio dibehenatas.</w:t>
      </w:r>
      <w:r w:rsidRPr="005E49A1">
        <w:rPr>
          <w:szCs w:val="22"/>
        </w:rPr>
        <w:br/>
      </w:r>
      <w:r w:rsidRPr="005E49A1">
        <w:rPr>
          <w:b/>
          <w:szCs w:val="22"/>
        </w:rPr>
        <w:t xml:space="preserve">Tabletės plėvelė. </w:t>
      </w:r>
      <w:r w:rsidRPr="005E49A1">
        <w:rPr>
          <w:szCs w:val="22"/>
        </w:rPr>
        <w:t xml:space="preserve">Opadry OY-LS-28908 (II baltasis). Jo sudėtis: hipromeliozė, laktozė monohidratas, titano dioksidas (E171), makrogolis 4000. </w:t>
      </w:r>
    </w:p>
    <w:p w14:paraId="46C880EB" w14:textId="77777777" w:rsidR="00302C06" w:rsidRPr="005E49A1" w:rsidRDefault="00302C06" w:rsidP="00302C06">
      <w:pPr>
        <w:widowControl w:val="0"/>
        <w:tabs>
          <w:tab w:val="left" w:pos="567"/>
        </w:tabs>
        <w:autoSpaceDE w:val="0"/>
        <w:autoSpaceDN w:val="0"/>
        <w:adjustRightInd w:val="0"/>
        <w:rPr>
          <w:szCs w:val="22"/>
        </w:rPr>
      </w:pPr>
    </w:p>
    <w:p w14:paraId="1506963C" w14:textId="77777777" w:rsidR="00302C06" w:rsidRPr="005E49A1" w:rsidRDefault="00302C06" w:rsidP="00302C06">
      <w:pPr>
        <w:widowControl w:val="0"/>
        <w:tabs>
          <w:tab w:val="left" w:pos="567"/>
        </w:tabs>
        <w:autoSpaceDE w:val="0"/>
        <w:autoSpaceDN w:val="0"/>
        <w:adjustRightInd w:val="0"/>
        <w:rPr>
          <w:szCs w:val="22"/>
        </w:rPr>
      </w:pPr>
      <w:r w:rsidRPr="005E49A1">
        <w:rPr>
          <w:b/>
          <w:szCs w:val="22"/>
        </w:rPr>
        <w:t>BAXOGAR išvaizda ir kiekis pakuotėje</w:t>
      </w:r>
      <w:r w:rsidRPr="005E49A1">
        <w:rPr>
          <w:szCs w:val="22"/>
        </w:rPr>
        <w:t xml:space="preserve"> </w:t>
      </w:r>
    </w:p>
    <w:p w14:paraId="38BE2DA0" w14:textId="77777777" w:rsidR="00302C06" w:rsidRPr="005E49A1" w:rsidRDefault="00302C06" w:rsidP="00302C06">
      <w:pPr>
        <w:widowControl w:val="0"/>
        <w:tabs>
          <w:tab w:val="left" w:pos="567"/>
        </w:tabs>
        <w:autoSpaceDE w:val="0"/>
        <w:autoSpaceDN w:val="0"/>
        <w:adjustRightInd w:val="0"/>
        <w:rPr>
          <w:szCs w:val="22"/>
        </w:rPr>
      </w:pPr>
      <w:r w:rsidRPr="005E49A1">
        <w:rPr>
          <w:szCs w:val="22"/>
        </w:rPr>
        <w:t xml:space="preserve">BAXOGAR </w:t>
      </w:r>
      <w:r w:rsidRPr="005E49A1">
        <w:t>150</w:t>
      </w:r>
      <w:r>
        <w:t> </w:t>
      </w:r>
      <w:r w:rsidRPr="005E49A1">
        <w:t>mg p</w:t>
      </w:r>
      <w:r w:rsidRPr="005E49A1">
        <w:rPr>
          <w:szCs w:val="22"/>
        </w:rPr>
        <w:t>lėvele dengtos tabletės yra baltos, apskritos, abipus išgaubtos.</w:t>
      </w:r>
    </w:p>
    <w:p w14:paraId="72E924F2" w14:textId="77777777" w:rsidR="00302C06" w:rsidRPr="005E49A1" w:rsidRDefault="00302C06" w:rsidP="00302C06">
      <w:pPr>
        <w:widowControl w:val="0"/>
        <w:tabs>
          <w:tab w:val="left" w:pos="567"/>
        </w:tabs>
        <w:autoSpaceDE w:val="0"/>
        <w:autoSpaceDN w:val="0"/>
        <w:adjustRightInd w:val="0"/>
        <w:rPr>
          <w:szCs w:val="22"/>
        </w:rPr>
      </w:pPr>
    </w:p>
    <w:p w14:paraId="753B3F3D" w14:textId="1E270566" w:rsidR="00302C06" w:rsidRPr="005E49A1" w:rsidRDefault="00302C06" w:rsidP="00302C06">
      <w:pPr>
        <w:widowControl w:val="0"/>
        <w:tabs>
          <w:tab w:val="left" w:pos="567"/>
        </w:tabs>
        <w:autoSpaceDE w:val="0"/>
        <w:autoSpaceDN w:val="0"/>
        <w:adjustRightInd w:val="0"/>
        <w:rPr>
          <w:szCs w:val="22"/>
        </w:rPr>
      </w:pPr>
      <w:r w:rsidRPr="005E49A1">
        <w:rPr>
          <w:szCs w:val="22"/>
        </w:rPr>
        <w:t xml:space="preserve">BAXOGAR </w:t>
      </w:r>
      <w:r w:rsidRPr="005E49A1">
        <w:t>150</w:t>
      </w:r>
      <w:r>
        <w:t> </w:t>
      </w:r>
      <w:r w:rsidRPr="005E49A1">
        <w:t>mg p</w:t>
      </w:r>
      <w:r w:rsidRPr="005E49A1">
        <w:rPr>
          <w:szCs w:val="22"/>
        </w:rPr>
        <w:t xml:space="preserve">lėvele dengtos tabletės yra tiekiamos kartono dėžutėmis, kurių kiekvienoje PA/aliuminio/PVC-aliuminio folijos lizdinėje plokštelėje (aliuminio-aliuminio lizdinėje plokštelėje) yra </w:t>
      </w:r>
      <w:r w:rsidRPr="005E49A1">
        <w:t>1 ar 3 tabletės.</w:t>
      </w:r>
    </w:p>
    <w:p w14:paraId="7CF5F394" w14:textId="77777777" w:rsidR="00302C06" w:rsidRDefault="00302C06" w:rsidP="00302C06">
      <w:pPr>
        <w:widowControl w:val="0"/>
        <w:tabs>
          <w:tab w:val="left" w:pos="567"/>
        </w:tabs>
        <w:autoSpaceDE w:val="0"/>
        <w:autoSpaceDN w:val="0"/>
        <w:adjustRightInd w:val="0"/>
        <w:ind w:right="-440"/>
        <w:rPr>
          <w:szCs w:val="22"/>
        </w:rPr>
      </w:pPr>
    </w:p>
    <w:p w14:paraId="357F8163" w14:textId="75C18DF4" w:rsidR="00F9125B" w:rsidRDefault="00F9125B" w:rsidP="00302C06">
      <w:pPr>
        <w:widowControl w:val="0"/>
        <w:tabs>
          <w:tab w:val="left" w:pos="567"/>
        </w:tabs>
        <w:autoSpaceDE w:val="0"/>
        <w:autoSpaceDN w:val="0"/>
        <w:adjustRightInd w:val="0"/>
        <w:ind w:right="-440"/>
        <w:rPr>
          <w:szCs w:val="22"/>
        </w:rPr>
      </w:pPr>
      <w:r>
        <w:rPr>
          <w:szCs w:val="22"/>
        </w:rPr>
        <w:t>Gali būti tiekiamos ne visų dydžių pakuotės.</w:t>
      </w:r>
    </w:p>
    <w:p w14:paraId="2F33EAC0" w14:textId="77777777" w:rsidR="00F9125B" w:rsidRPr="005E49A1" w:rsidRDefault="00F9125B" w:rsidP="00302C06">
      <w:pPr>
        <w:widowControl w:val="0"/>
        <w:tabs>
          <w:tab w:val="left" w:pos="567"/>
        </w:tabs>
        <w:autoSpaceDE w:val="0"/>
        <w:autoSpaceDN w:val="0"/>
        <w:adjustRightInd w:val="0"/>
        <w:ind w:right="-440"/>
        <w:rPr>
          <w:szCs w:val="22"/>
        </w:rPr>
      </w:pPr>
    </w:p>
    <w:p w14:paraId="028E6EAE" w14:textId="77777777" w:rsidR="00302C06" w:rsidRPr="00FE2D06" w:rsidRDefault="00302C06" w:rsidP="00302C06">
      <w:pPr>
        <w:numPr>
          <w:ilvl w:val="12"/>
          <w:numId w:val="0"/>
        </w:numPr>
        <w:ind w:right="-2"/>
        <w:outlineLvl w:val="0"/>
        <w:rPr>
          <w:bCs/>
          <w:noProof/>
        </w:rPr>
      </w:pPr>
      <w:r w:rsidRPr="00FE2D06">
        <w:rPr>
          <w:b/>
          <w:bCs/>
          <w:noProof/>
        </w:rPr>
        <w:t>Registruotojas ir gamintojas</w:t>
      </w:r>
    </w:p>
    <w:p w14:paraId="2D38AAB5" w14:textId="77777777" w:rsidR="00302C06" w:rsidRPr="005E49A1" w:rsidRDefault="00302C06" w:rsidP="00302C06">
      <w:pPr>
        <w:numPr>
          <w:ilvl w:val="12"/>
          <w:numId w:val="0"/>
        </w:numPr>
        <w:tabs>
          <w:tab w:val="left" w:pos="567"/>
        </w:tabs>
        <w:ind w:right="-2"/>
        <w:rPr>
          <w:b/>
          <w:szCs w:val="22"/>
        </w:rPr>
      </w:pPr>
    </w:p>
    <w:p w14:paraId="71F99CA6" w14:textId="77777777" w:rsidR="00302C06" w:rsidRPr="005E49A1" w:rsidRDefault="00302C06" w:rsidP="00302C06">
      <w:pPr>
        <w:numPr>
          <w:ilvl w:val="12"/>
          <w:numId w:val="0"/>
        </w:numPr>
        <w:tabs>
          <w:tab w:val="left" w:pos="567"/>
        </w:tabs>
        <w:ind w:right="-2"/>
        <w:rPr>
          <w:b/>
          <w:szCs w:val="22"/>
        </w:rPr>
      </w:pPr>
      <w:r w:rsidRPr="005E49A1">
        <w:rPr>
          <w:b/>
          <w:szCs w:val="22"/>
        </w:rPr>
        <w:t xml:space="preserve">Registruotojas: </w:t>
      </w:r>
    </w:p>
    <w:p w14:paraId="0BD85FD1" w14:textId="77777777" w:rsidR="00AC765C" w:rsidRPr="00AC765C" w:rsidRDefault="00AC765C" w:rsidP="00AC765C">
      <w:pPr>
        <w:rPr>
          <w:iCs/>
          <w:szCs w:val="22"/>
        </w:rPr>
      </w:pPr>
      <w:r w:rsidRPr="00AC765C">
        <w:rPr>
          <w:iCs/>
          <w:szCs w:val="22"/>
        </w:rPr>
        <w:t>Zentiva, k.s.</w:t>
      </w:r>
    </w:p>
    <w:p w14:paraId="06E083C3" w14:textId="77777777" w:rsidR="00AC765C" w:rsidRPr="00AC765C" w:rsidRDefault="00AC765C" w:rsidP="00AC765C">
      <w:pPr>
        <w:rPr>
          <w:iCs/>
          <w:szCs w:val="22"/>
        </w:rPr>
      </w:pPr>
      <w:r w:rsidRPr="00AC765C">
        <w:rPr>
          <w:iCs/>
          <w:szCs w:val="22"/>
        </w:rPr>
        <w:t>U kabelovny 130</w:t>
      </w:r>
    </w:p>
    <w:p w14:paraId="6E2B711B" w14:textId="77777777" w:rsidR="00AC765C" w:rsidRPr="00AC765C" w:rsidRDefault="00AC765C" w:rsidP="00AC765C">
      <w:pPr>
        <w:rPr>
          <w:iCs/>
          <w:szCs w:val="22"/>
        </w:rPr>
      </w:pPr>
      <w:r w:rsidRPr="00AC765C">
        <w:rPr>
          <w:iCs/>
          <w:szCs w:val="22"/>
        </w:rPr>
        <w:lastRenderedPageBreak/>
        <w:t>Dolní Měcholupy</w:t>
      </w:r>
    </w:p>
    <w:p w14:paraId="139F0B87" w14:textId="77777777" w:rsidR="00AC765C" w:rsidRPr="00AC765C" w:rsidRDefault="00AC765C" w:rsidP="00AC765C">
      <w:pPr>
        <w:rPr>
          <w:iCs/>
          <w:szCs w:val="22"/>
        </w:rPr>
      </w:pPr>
      <w:r w:rsidRPr="00AC765C">
        <w:rPr>
          <w:iCs/>
          <w:szCs w:val="22"/>
        </w:rPr>
        <w:t>102 37 Praha 10</w:t>
      </w:r>
    </w:p>
    <w:p w14:paraId="5789F11D" w14:textId="77777777" w:rsidR="00AC765C" w:rsidRPr="00AC765C" w:rsidRDefault="00AC765C" w:rsidP="00AC765C">
      <w:pPr>
        <w:rPr>
          <w:iCs/>
          <w:szCs w:val="22"/>
        </w:rPr>
      </w:pPr>
      <w:r w:rsidRPr="00AC765C">
        <w:rPr>
          <w:iCs/>
          <w:szCs w:val="22"/>
        </w:rPr>
        <w:t>Čekija</w:t>
      </w:r>
      <w:r w:rsidRPr="00AC765C" w:rsidDel="00BE4B3C">
        <w:rPr>
          <w:iCs/>
          <w:szCs w:val="22"/>
        </w:rPr>
        <w:t xml:space="preserve"> </w:t>
      </w:r>
    </w:p>
    <w:p w14:paraId="068A96A6" w14:textId="77777777" w:rsidR="00302C06" w:rsidRPr="005E49A1" w:rsidRDefault="00302C06" w:rsidP="00302C06">
      <w:pPr>
        <w:numPr>
          <w:ilvl w:val="12"/>
          <w:numId w:val="0"/>
        </w:numPr>
        <w:tabs>
          <w:tab w:val="left" w:pos="567"/>
        </w:tabs>
        <w:ind w:right="-2"/>
        <w:rPr>
          <w:b/>
          <w:szCs w:val="22"/>
        </w:rPr>
      </w:pPr>
    </w:p>
    <w:p w14:paraId="0DC21694" w14:textId="77777777" w:rsidR="00302C06" w:rsidRPr="005E49A1" w:rsidRDefault="00302C06" w:rsidP="00302C06">
      <w:pPr>
        <w:numPr>
          <w:ilvl w:val="12"/>
          <w:numId w:val="0"/>
        </w:numPr>
        <w:tabs>
          <w:tab w:val="left" w:pos="567"/>
        </w:tabs>
        <w:ind w:right="-2"/>
        <w:rPr>
          <w:b/>
          <w:szCs w:val="22"/>
        </w:rPr>
      </w:pPr>
      <w:r w:rsidRPr="005E49A1">
        <w:rPr>
          <w:b/>
          <w:szCs w:val="22"/>
        </w:rPr>
        <w:t>Gamintojai:</w:t>
      </w:r>
    </w:p>
    <w:p w14:paraId="69E8EF0D" w14:textId="77777777" w:rsidR="00302C06" w:rsidRPr="005E49A1" w:rsidRDefault="00302C06" w:rsidP="00302C06">
      <w:r w:rsidRPr="005E49A1">
        <w:t>Pharmathen S.A.</w:t>
      </w:r>
    </w:p>
    <w:p w14:paraId="2827A3E9" w14:textId="77777777" w:rsidR="00302C06" w:rsidRPr="005E49A1" w:rsidRDefault="00302C06" w:rsidP="00302C06">
      <w:r w:rsidRPr="005E49A1">
        <w:t>6 Dervenakion Str.</w:t>
      </w:r>
    </w:p>
    <w:p w14:paraId="13C7E17D" w14:textId="77777777" w:rsidR="00302C06" w:rsidRPr="005E49A1" w:rsidRDefault="00302C06" w:rsidP="00302C06">
      <w:r w:rsidRPr="005E49A1">
        <w:t>153 51 Pallini, Attiki</w:t>
      </w:r>
    </w:p>
    <w:p w14:paraId="76222298" w14:textId="77777777" w:rsidR="00302C06" w:rsidRPr="00444E1A" w:rsidRDefault="00302C06" w:rsidP="00302C06">
      <w:r w:rsidRPr="00444E1A">
        <w:t>Graikija</w:t>
      </w:r>
    </w:p>
    <w:p w14:paraId="1696052D" w14:textId="77777777" w:rsidR="00302C06" w:rsidRPr="00FE2D06" w:rsidRDefault="00302C06" w:rsidP="00302C06">
      <w:pPr>
        <w:numPr>
          <w:ilvl w:val="12"/>
          <w:numId w:val="0"/>
        </w:numPr>
        <w:tabs>
          <w:tab w:val="left" w:pos="567"/>
        </w:tabs>
        <w:ind w:right="-2"/>
        <w:rPr>
          <w:szCs w:val="22"/>
        </w:rPr>
      </w:pPr>
    </w:p>
    <w:p w14:paraId="14514ED1" w14:textId="77777777" w:rsidR="00302C06" w:rsidRPr="00FE2D06" w:rsidRDefault="00302C06" w:rsidP="00302C06">
      <w:pPr>
        <w:numPr>
          <w:ilvl w:val="12"/>
          <w:numId w:val="0"/>
        </w:numPr>
        <w:tabs>
          <w:tab w:val="left" w:pos="567"/>
        </w:tabs>
        <w:ind w:right="-2"/>
        <w:rPr>
          <w:szCs w:val="22"/>
        </w:rPr>
      </w:pPr>
      <w:r w:rsidRPr="00FE2D06">
        <w:rPr>
          <w:szCs w:val="22"/>
        </w:rPr>
        <w:t>arba</w:t>
      </w:r>
    </w:p>
    <w:p w14:paraId="0E4955A3" w14:textId="77777777" w:rsidR="00302C06" w:rsidRPr="00FE2D06" w:rsidRDefault="00302C06" w:rsidP="00302C06">
      <w:pPr>
        <w:numPr>
          <w:ilvl w:val="12"/>
          <w:numId w:val="0"/>
        </w:numPr>
        <w:tabs>
          <w:tab w:val="left" w:pos="567"/>
        </w:tabs>
        <w:ind w:right="-2"/>
        <w:rPr>
          <w:szCs w:val="22"/>
        </w:rPr>
      </w:pPr>
    </w:p>
    <w:p w14:paraId="2E66FA0D" w14:textId="77777777" w:rsidR="00302C06" w:rsidRPr="005E49A1" w:rsidRDefault="00302C06" w:rsidP="00302C06">
      <w:r w:rsidRPr="005E49A1">
        <w:t>Pharmathen International SA</w:t>
      </w:r>
    </w:p>
    <w:p w14:paraId="3F93822A" w14:textId="77777777" w:rsidR="00302C06" w:rsidRPr="005E49A1" w:rsidRDefault="00302C06" w:rsidP="00302C06">
      <w:r w:rsidRPr="005E49A1">
        <w:t xml:space="preserve">Sapes Industrial Park </w:t>
      </w:r>
    </w:p>
    <w:p w14:paraId="18F55D00" w14:textId="77777777" w:rsidR="00302C06" w:rsidRPr="005E49A1" w:rsidRDefault="00302C06" w:rsidP="00302C06">
      <w:r w:rsidRPr="005E49A1">
        <w:t xml:space="preserve">Block 5 </w:t>
      </w:r>
    </w:p>
    <w:p w14:paraId="17FD9761" w14:textId="77777777" w:rsidR="00302C06" w:rsidRPr="005E49A1" w:rsidRDefault="00302C06" w:rsidP="00302C06">
      <w:r w:rsidRPr="005E49A1">
        <w:t xml:space="preserve">69300 Rodopi </w:t>
      </w:r>
    </w:p>
    <w:p w14:paraId="76A51790" w14:textId="77777777" w:rsidR="00302C06" w:rsidRPr="005E49A1" w:rsidRDefault="00302C06" w:rsidP="00302C06">
      <w:r w:rsidRPr="005E49A1">
        <w:t>Graikija</w:t>
      </w:r>
    </w:p>
    <w:p w14:paraId="0EC92ACB" w14:textId="77777777" w:rsidR="00302C06" w:rsidRPr="00444E1A" w:rsidRDefault="00302C06" w:rsidP="00302C06">
      <w:pPr>
        <w:pStyle w:val="prastasiniatinklio"/>
        <w:spacing w:after="0"/>
        <w:rPr>
          <w:b/>
          <w:lang w:val="lt-LT"/>
        </w:rPr>
      </w:pPr>
    </w:p>
    <w:p w14:paraId="567B61F8" w14:textId="77777777" w:rsidR="00302C06" w:rsidRPr="00444E1A" w:rsidRDefault="00302C06" w:rsidP="00302C06">
      <w:pPr>
        <w:pStyle w:val="BTEMEASMCA"/>
        <w:rPr>
          <w:b/>
        </w:rPr>
      </w:pPr>
      <w:r w:rsidRPr="00444E1A">
        <w:rPr>
          <w:b/>
        </w:rPr>
        <w:t>Šis vaistas EEE valstybėse narėse registruotas tokiais pavadinimais:</w:t>
      </w:r>
    </w:p>
    <w:p w14:paraId="64B02560" w14:textId="77777777" w:rsidR="00AC765C" w:rsidRPr="005C6F42" w:rsidRDefault="00AC765C" w:rsidP="00AC765C">
      <w:pPr>
        <w:pStyle w:val="BTEMEASMCA"/>
      </w:pPr>
      <w:r w:rsidRPr="005C6F42">
        <w:t>Danija, Estija, Italija, Jungtinė Karalystė, Latvija, Lietuva, Nyderlandai, Portugalija: BAXOGAR.</w:t>
      </w:r>
    </w:p>
    <w:p w14:paraId="5496B67B" w14:textId="77777777" w:rsidR="00AC765C" w:rsidRPr="005C6F42" w:rsidRDefault="00AC765C" w:rsidP="00AC765C">
      <w:pPr>
        <w:pStyle w:val="BTEMEASMCA"/>
      </w:pPr>
      <w:r w:rsidRPr="005C6F42">
        <w:t xml:space="preserve">Italija: </w:t>
      </w:r>
      <w:r w:rsidRPr="005C6F42">
        <w:rPr>
          <w:lang w:val="es-ES_tradnl"/>
        </w:rPr>
        <w:t>Ácido Ibandrónico Aristo.</w:t>
      </w:r>
    </w:p>
    <w:p w14:paraId="33376A15" w14:textId="77777777" w:rsidR="00302C06" w:rsidRPr="005E49A1" w:rsidRDefault="00302C06" w:rsidP="00302C06">
      <w:pPr>
        <w:widowControl w:val="0"/>
        <w:tabs>
          <w:tab w:val="left" w:pos="567"/>
        </w:tabs>
        <w:autoSpaceDE w:val="0"/>
        <w:autoSpaceDN w:val="0"/>
        <w:adjustRightInd w:val="0"/>
        <w:ind w:right="-440"/>
        <w:rPr>
          <w:szCs w:val="22"/>
        </w:rPr>
      </w:pPr>
    </w:p>
    <w:p w14:paraId="6FED67EA" w14:textId="1DFCFDAF" w:rsidR="00302C06" w:rsidRPr="00444E1A" w:rsidRDefault="00302C06" w:rsidP="00302C06">
      <w:pPr>
        <w:numPr>
          <w:ilvl w:val="12"/>
          <w:numId w:val="0"/>
        </w:numPr>
        <w:tabs>
          <w:tab w:val="left" w:pos="567"/>
        </w:tabs>
        <w:ind w:right="-2"/>
        <w:outlineLvl w:val="0"/>
      </w:pPr>
      <w:r w:rsidRPr="005E49A1">
        <w:rPr>
          <w:b/>
          <w:szCs w:val="22"/>
        </w:rPr>
        <w:t>Šis pakuotės lapelis paskutinį kartą peržiūrėtas</w:t>
      </w:r>
      <w:r w:rsidR="009818C1">
        <w:rPr>
          <w:b/>
          <w:szCs w:val="22"/>
        </w:rPr>
        <w:t xml:space="preserve"> </w:t>
      </w:r>
      <w:r w:rsidR="00925B43">
        <w:rPr>
          <w:b/>
          <w:szCs w:val="22"/>
        </w:rPr>
        <w:t>2022-01-01.</w:t>
      </w:r>
    </w:p>
    <w:p w14:paraId="01B8765F" w14:textId="77777777" w:rsidR="00302C06" w:rsidRPr="005E49A1" w:rsidRDefault="00302C06" w:rsidP="00302C06">
      <w:pPr>
        <w:tabs>
          <w:tab w:val="left" w:pos="567"/>
        </w:tabs>
        <w:rPr>
          <w:szCs w:val="22"/>
        </w:rPr>
      </w:pPr>
    </w:p>
    <w:p w14:paraId="1CA1BF74" w14:textId="77777777" w:rsidR="00302C06" w:rsidRPr="005E49A1" w:rsidRDefault="00302C06" w:rsidP="00302C06">
      <w:r w:rsidRPr="005E49A1">
        <w:rPr>
          <w:szCs w:val="22"/>
        </w:rPr>
        <w:t xml:space="preserve">Išsami informacija apie šį vaistą pateikiama Valstybinės vaistų kontrolės tarnybos prie Lietuvos Respublikos sveikatos apsaugos ministerijos tinklalapyje </w:t>
      </w:r>
      <w:hyperlink r:id="rId16" w:history="1">
        <w:r w:rsidRPr="00774847">
          <w:rPr>
            <w:rFonts w:eastAsia="SimSun"/>
            <w:snapToGrid w:val="0"/>
            <w:color w:val="0000FF"/>
            <w:u w:val="single"/>
          </w:rPr>
          <w:t>http://www.vvkt.lt/</w:t>
        </w:r>
      </w:hyperlink>
      <w:r w:rsidRPr="005E49A1">
        <w:rPr>
          <w:szCs w:val="22"/>
        </w:rPr>
        <w:t>.</w:t>
      </w:r>
    </w:p>
    <w:p w14:paraId="043A8DAD" w14:textId="77777777" w:rsidR="00302C06" w:rsidRPr="005E49A1" w:rsidRDefault="00302C06" w:rsidP="00302C06"/>
    <w:p w14:paraId="5559E9BB" w14:textId="77777777" w:rsidR="00302C06" w:rsidRPr="005E49A1" w:rsidRDefault="00302C06" w:rsidP="00302C06"/>
    <w:p w14:paraId="75689A80" w14:textId="77777777" w:rsidR="00302C06" w:rsidRDefault="00302C06" w:rsidP="00302C06"/>
    <w:p w14:paraId="48FC0C19" w14:textId="77777777" w:rsidR="00A03503" w:rsidRDefault="00A03503"/>
    <w:sectPr w:rsidR="00A03503" w:rsidSect="00794B16">
      <w:footerReference w:type="even" r:id="rId17"/>
      <w:footerReference w:type="default" r:id="rId1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6CA4D" w14:textId="77777777" w:rsidR="00D94403" w:rsidRDefault="00D94403">
      <w:r>
        <w:separator/>
      </w:r>
    </w:p>
  </w:endnote>
  <w:endnote w:type="continuationSeparator" w:id="0">
    <w:p w14:paraId="7797EA5E" w14:textId="77777777" w:rsidR="00D94403" w:rsidRDefault="00D94403">
      <w:r>
        <w:continuationSeparator/>
      </w:r>
    </w:p>
  </w:endnote>
  <w:endnote w:type="continuationNotice" w:id="1">
    <w:p w14:paraId="1CE7CA53" w14:textId="77777777" w:rsidR="00D94403" w:rsidRDefault="00D94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203" w:usb1="08070000" w:usb2="00000010" w:usb3="00000000" w:csb0="00020005"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3B654" w14:textId="77777777" w:rsidR="00653DC6" w:rsidRDefault="00653DC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14:paraId="10A67F39" w14:textId="77777777" w:rsidR="00653DC6" w:rsidRDefault="00653DC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8F368" w14:textId="7913E77A" w:rsidR="00653DC6" w:rsidRDefault="00653DC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7F74">
      <w:rPr>
        <w:rStyle w:val="Puslapionumeris"/>
        <w:noProof/>
      </w:rPr>
      <w:t>2</w:t>
    </w:r>
    <w:r>
      <w:rPr>
        <w:rStyle w:val="Puslapionumeris"/>
      </w:rPr>
      <w:fldChar w:fldCharType="end"/>
    </w:r>
  </w:p>
  <w:p w14:paraId="476ED26B" w14:textId="77777777" w:rsidR="00653DC6" w:rsidRDefault="00653DC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95C61" w14:textId="77777777" w:rsidR="00D94403" w:rsidRDefault="00D94403">
      <w:r>
        <w:separator/>
      </w:r>
    </w:p>
  </w:footnote>
  <w:footnote w:type="continuationSeparator" w:id="0">
    <w:p w14:paraId="50259213" w14:textId="77777777" w:rsidR="00D94403" w:rsidRDefault="00D94403">
      <w:r>
        <w:continuationSeparator/>
      </w:r>
    </w:p>
  </w:footnote>
  <w:footnote w:type="continuationNotice" w:id="1">
    <w:p w14:paraId="5C843757" w14:textId="77777777" w:rsidR="00D94403" w:rsidRDefault="00D9440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342E"/>
    <w:multiLevelType w:val="hybridMultilevel"/>
    <w:tmpl w:val="1A080D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E283954"/>
    <w:multiLevelType w:val="hybridMultilevel"/>
    <w:tmpl w:val="05CE1452"/>
    <w:lvl w:ilvl="0" w:tplc="904AE71E">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300A7"/>
    <w:multiLevelType w:val="hybridMultilevel"/>
    <w:tmpl w:val="556CA0B4"/>
    <w:lvl w:ilvl="0" w:tplc="FFFFFFFF">
      <w:start w:val="1"/>
      <w:numFmt w:val="bullet"/>
      <w:lvlText w:val="-"/>
      <w:lvlJc w:val="left"/>
      <w:pPr>
        <w:ind w:left="770" w:hanging="360"/>
      </w:pPr>
      <w:rPr>
        <w:rFonts w:ascii="Times New Roman" w:hAnsi="Times New Roman"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3" w15:restartNumberingAfterBreak="0">
    <w:nsid w:val="1B8F784A"/>
    <w:multiLevelType w:val="hybridMultilevel"/>
    <w:tmpl w:val="E1E0F9E6"/>
    <w:lvl w:ilvl="0" w:tplc="FFFFFFFF">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E40741"/>
    <w:multiLevelType w:val="hybridMultilevel"/>
    <w:tmpl w:val="0426936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tabs>
          <w:tab w:val="num" w:pos="1080"/>
        </w:tabs>
        <w:ind w:left="1080" w:hanging="360"/>
      </w:pPr>
      <w:rPr>
        <w:rFonts w:ascii="Times New Roman" w:hAnsi="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15:restartNumberingAfterBreak="0">
    <w:nsid w:val="1F675F42"/>
    <w:multiLevelType w:val="hybridMultilevel"/>
    <w:tmpl w:val="4022E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21E04D70"/>
    <w:multiLevelType w:val="hybridMultilevel"/>
    <w:tmpl w:val="E91A0AA0"/>
    <w:lvl w:ilvl="0" w:tplc="FFFFFFFF">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C5BA1"/>
    <w:multiLevelType w:val="hybridMultilevel"/>
    <w:tmpl w:val="12B4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D533A"/>
    <w:multiLevelType w:val="hybridMultilevel"/>
    <w:tmpl w:val="1976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C5D68"/>
    <w:multiLevelType w:val="hybridMultilevel"/>
    <w:tmpl w:val="504A916E"/>
    <w:lvl w:ilvl="0" w:tplc="CB622A0A">
      <w:numFmt w:val="bullet"/>
      <w:lvlText w:val="•"/>
      <w:lvlJc w:val="left"/>
      <w:pPr>
        <w:ind w:left="367" w:hanging="360"/>
      </w:pPr>
      <w:rPr>
        <w:rFonts w:ascii="Times New Roman" w:eastAsia="Times New Roman" w:hAnsi="Times New Roman" w:cs="Times New Roman" w:hint="default"/>
      </w:rPr>
    </w:lvl>
    <w:lvl w:ilvl="1" w:tplc="040E0003" w:tentative="1">
      <w:start w:val="1"/>
      <w:numFmt w:val="bullet"/>
      <w:lvlText w:val="o"/>
      <w:lvlJc w:val="left"/>
      <w:pPr>
        <w:ind w:left="1087" w:hanging="360"/>
      </w:pPr>
      <w:rPr>
        <w:rFonts w:ascii="Courier New" w:hAnsi="Courier New" w:cs="Courier New" w:hint="default"/>
      </w:rPr>
    </w:lvl>
    <w:lvl w:ilvl="2" w:tplc="040E0005" w:tentative="1">
      <w:start w:val="1"/>
      <w:numFmt w:val="bullet"/>
      <w:lvlText w:val=""/>
      <w:lvlJc w:val="left"/>
      <w:pPr>
        <w:ind w:left="1807" w:hanging="360"/>
      </w:pPr>
      <w:rPr>
        <w:rFonts w:ascii="Wingdings" w:hAnsi="Wingdings" w:hint="default"/>
      </w:rPr>
    </w:lvl>
    <w:lvl w:ilvl="3" w:tplc="040E0001" w:tentative="1">
      <w:start w:val="1"/>
      <w:numFmt w:val="bullet"/>
      <w:lvlText w:val=""/>
      <w:lvlJc w:val="left"/>
      <w:pPr>
        <w:ind w:left="2527" w:hanging="360"/>
      </w:pPr>
      <w:rPr>
        <w:rFonts w:ascii="Symbol" w:hAnsi="Symbol" w:hint="default"/>
      </w:rPr>
    </w:lvl>
    <w:lvl w:ilvl="4" w:tplc="040E0003" w:tentative="1">
      <w:start w:val="1"/>
      <w:numFmt w:val="bullet"/>
      <w:lvlText w:val="o"/>
      <w:lvlJc w:val="left"/>
      <w:pPr>
        <w:ind w:left="3247" w:hanging="360"/>
      </w:pPr>
      <w:rPr>
        <w:rFonts w:ascii="Courier New" w:hAnsi="Courier New" w:cs="Courier New" w:hint="default"/>
      </w:rPr>
    </w:lvl>
    <w:lvl w:ilvl="5" w:tplc="040E0005" w:tentative="1">
      <w:start w:val="1"/>
      <w:numFmt w:val="bullet"/>
      <w:lvlText w:val=""/>
      <w:lvlJc w:val="left"/>
      <w:pPr>
        <w:ind w:left="3967" w:hanging="360"/>
      </w:pPr>
      <w:rPr>
        <w:rFonts w:ascii="Wingdings" w:hAnsi="Wingdings" w:hint="default"/>
      </w:rPr>
    </w:lvl>
    <w:lvl w:ilvl="6" w:tplc="040E0001" w:tentative="1">
      <w:start w:val="1"/>
      <w:numFmt w:val="bullet"/>
      <w:lvlText w:val=""/>
      <w:lvlJc w:val="left"/>
      <w:pPr>
        <w:ind w:left="4687" w:hanging="360"/>
      </w:pPr>
      <w:rPr>
        <w:rFonts w:ascii="Symbol" w:hAnsi="Symbol" w:hint="default"/>
      </w:rPr>
    </w:lvl>
    <w:lvl w:ilvl="7" w:tplc="040E0003" w:tentative="1">
      <w:start w:val="1"/>
      <w:numFmt w:val="bullet"/>
      <w:lvlText w:val="o"/>
      <w:lvlJc w:val="left"/>
      <w:pPr>
        <w:ind w:left="5407" w:hanging="360"/>
      </w:pPr>
      <w:rPr>
        <w:rFonts w:ascii="Courier New" w:hAnsi="Courier New" w:cs="Courier New" w:hint="default"/>
      </w:rPr>
    </w:lvl>
    <w:lvl w:ilvl="8" w:tplc="040E0005" w:tentative="1">
      <w:start w:val="1"/>
      <w:numFmt w:val="bullet"/>
      <w:lvlText w:val=""/>
      <w:lvlJc w:val="left"/>
      <w:pPr>
        <w:ind w:left="6127" w:hanging="360"/>
      </w:pPr>
      <w:rPr>
        <w:rFonts w:ascii="Wingdings" w:hAnsi="Wingdings" w:hint="default"/>
      </w:rPr>
    </w:lvl>
  </w:abstractNum>
  <w:abstractNum w:abstractNumId="11" w15:restartNumberingAfterBreak="0">
    <w:nsid w:val="30E45520"/>
    <w:multiLevelType w:val="hybridMultilevel"/>
    <w:tmpl w:val="DC0A29FE"/>
    <w:lvl w:ilvl="0" w:tplc="FFFFFFFF">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02CEA"/>
    <w:multiLevelType w:val="hybridMultilevel"/>
    <w:tmpl w:val="7D8E2E7E"/>
    <w:lvl w:ilvl="0" w:tplc="F9E695B0">
      <w:start w:val="1"/>
      <w:numFmt w:val="bullet"/>
      <w:lvlRestart w:val="0"/>
      <w:pStyle w:val="BT-EMEASMCA"/>
      <w:lvlText w:val="-"/>
      <w:lvlJc w:val="left"/>
      <w:pPr>
        <w:tabs>
          <w:tab w:val="num" w:pos="647"/>
        </w:tabs>
        <w:ind w:left="647"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CD13C2"/>
    <w:multiLevelType w:val="hybridMultilevel"/>
    <w:tmpl w:val="6AB4D96E"/>
    <w:lvl w:ilvl="0" w:tplc="FFFFFFFF">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916178"/>
    <w:multiLevelType w:val="hybridMultilevel"/>
    <w:tmpl w:val="1DB28C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6" w15:restartNumberingAfterBreak="0">
    <w:nsid w:val="38FB2F7B"/>
    <w:multiLevelType w:val="hybridMultilevel"/>
    <w:tmpl w:val="B0ECDF3A"/>
    <w:lvl w:ilvl="0" w:tplc="E55A401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4C1CE3"/>
    <w:multiLevelType w:val="hybridMultilevel"/>
    <w:tmpl w:val="B3E837A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tabs>
          <w:tab w:val="num" w:pos="1080"/>
        </w:tabs>
        <w:ind w:left="1080" w:hanging="360"/>
      </w:pPr>
      <w:rPr>
        <w:rFonts w:ascii="Times New Roman" w:hAnsi="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8" w15:restartNumberingAfterBreak="0">
    <w:nsid w:val="42E76AE5"/>
    <w:multiLevelType w:val="hybridMultilevel"/>
    <w:tmpl w:val="4F84D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4359B"/>
    <w:multiLevelType w:val="hybridMultilevel"/>
    <w:tmpl w:val="E1448FBA"/>
    <w:lvl w:ilvl="0" w:tplc="95D47D8A">
      <w:start w:val="1"/>
      <w:numFmt w:val="bullet"/>
      <w:lvlRestart w:val="0"/>
      <w:lvlText w:val="-"/>
      <w:lvlJc w:val="left"/>
      <w:pPr>
        <w:tabs>
          <w:tab w:val="num" w:pos="397"/>
        </w:tabs>
        <w:ind w:left="397" w:hanging="397"/>
      </w:pPr>
      <w:rPr>
        <w:rFonts w:ascii="Times New Roman" w:hAnsi="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E4047F"/>
    <w:multiLevelType w:val="hybridMultilevel"/>
    <w:tmpl w:val="537C3D4E"/>
    <w:lvl w:ilvl="0" w:tplc="FFFFFFFF">
      <w:start w:val="1"/>
      <w:numFmt w:val="bullet"/>
      <w:lvlText w:val="-"/>
      <w:lvlJc w:val="left"/>
      <w:pPr>
        <w:tabs>
          <w:tab w:val="num" w:pos="360"/>
        </w:tabs>
        <w:ind w:left="360" w:hanging="360"/>
      </w:pPr>
      <w:rPr>
        <w:rFonts w:ascii="Times New Roman" w:hAnsi="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0B64DB"/>
    <w:multiLevelType w:val="hybridMultilevel"/>
    <w:tmpl w:val="E2789F4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C2BB2"/>
    <w:multiLevelType w:val="hybridMultilevel"/>
    <w:tmpl w:val="75B4F31C"/>
    <w:lvl w:ilvl="0" w:tplc="02CA3A82">
      <w:start w:val="6"/>
      <w:numFmt w:val="bullet"/>
      <w:lvlText w:val="-"/>
      <w:lvlJc w:val="left"/>
      <w:pPr>
        <w:tabs>
          <w:tab w:val="num" w:pos="567"/>
        </w:tabs>
        <w:ind w:left="567" w:hanging="567"/>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42354E"/>
    <w:multiLevelType w:val="hybridMultilevel"/>
    <w:tmpl w:val="3D2C3C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2E29D7"/>
    <w:multiLevelType w:val="hybridMultilevel"/>
    <w:tmpl w:val="90046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D73E6A"/>
    <w:multiLevelType w:val="multilevel"/>
    <w:tmpl w:val="52BA085A"/>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DE90E17"/>
    <w:multiLevelType w:val="hybridMultilevel"/>
    <w:tmpl w:val="61E85D04"/>
    <w:lvl w:ilvl="0" w:tplc="FFFFFFFF">
      <w:start w:val="1"/>
      <w:numFmt w:val="bullet"/>
      <w:lvlText w:val="-"/>
      <w:lvlJc w:val="left"/>
      <w:pPr>
        <w:tabs>
          <w:tab w:val="num" w:pos="360"/>
        </w:tabs>
        <w:ind w:left="360" w:hanging="360"/>
      </w:pPr>
      <w:rPr>
        <w:rFonts w:ascii="Times New Roman" w:hAnsi="Times New Roman" w:hint="default"/>
      </w:rPr>
    </w:lvl>
    <w:lvl w:ilvl="1" w:tplc="FFFFFFFF">
      <w:start w:val="1"/>
      <w:numFmt w:val="bullet"/>
      <w:lvlText w:val="-"/>
      <w:lvlJc w:val="left"/>
      <w:pPr>
        <w:tabs>
          <w:tab w:val="num" w:pos="1080"/>
        </w:tabs>
        <w:ind w:left="1080" w:hanging="360"/>
      </w:pPr>
      <w:rPr>
        <w:rFonts w:ascii="Times New Roman" w:hAnsi="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7" w15:restartNumberingAfterBreak="0">
    <w:nsid w:val="671D07A6"/>
    <w:multiLevelType w:val="hybridMultilevel"/>
    <w:tmpl w:val="1462522A"/>
    <w:lvl w:ilvl="0" w:tplc="7DD03678">
      <w:start w:val="1"/>
      <w:numFmt w:val="bullet"/>
      <w:lvlText w:val=""/>
      <w:lvlJc w:val="left"/>
      <w:pPr>
        <w:tabs>
          <w:tab w:val="num" w:pos="1080"/>
        </w:tabs>
        <w:ind w:left="108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2452C7"/>
    <w:multiLevelType w:val="hybridMultilevel"/>
    <w:tmpl w:val="E7F8A3AA"/>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tabs>
          <w:tab w:val="num" w:pos="1080"/>
        </w:tabs>
        <w:ind w:left="1080" w:hanging="360"/>
      </w:pPr>
      <w:rPr>
        <w:rFonts w:ascii="Times New Roman" w:hAnsi="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0" w15:restartNumberingAfterBreak="0">
    <w:nsid w:val="6F532253"/>
    <w:multiLevelType w:val="hybridMultilevel"/>
    <w:tmpl w:val="2590493C"/>
    <w:lvl w:ilvl="0" w:tplc="FFFFFFFF">
      <w:start w:val="1"/>
      <w:numFmt w:val="bullet"/>
      <w:lvlText w:val="-"/>
      <w:lvlJc w:val="left"/>
      <w:pPr>
        <w:tabs>
          <w:tab w:val="num" w:pos="360"/>
        </w:tabs>
        <w:ind w:left="360" w:hanging="360"/>
      </w:pPr>
      <w:rPr>
        <w:rFonts w:ascii="Times New Roman" w:hAnsi="Times New Roman" w:hint="default"/>
      </w:rPr>
    </w:lvl>
    <w:lvl w:ilvl="1" w:tplc="FFFFFFFF">
      <w:start w:val="1"/>
      <w:numFmt w:val="bullet"/>
      <w:lvlText w:val="-"/>
      <w:lvlJc w:val="left"/>
      <w:pPr>
        <w:tabs>
          <w:tab w:val="num" w:pos="1080"/>
        </w:tabs>
        <w:ind w:left="1080" w:hanging="360"/>
      </w:pPr>
      <w:rPr>
        <w:rFonts w:ascii="Times New Roman" w:hAnsi="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1" w15:restartNumberingAfterBreak="0">
    <w:nsid w:val="71BB60EE"/>
    <w:multiLevelType w:val="hybridMultilevel"/>
    <w:tmpl w:val="AB10094C"/>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6A2CCA"/>
    <w:multiLevelType w:val="hybridMultilevel"/>
    <w:tmpl w:val="C3587D5E"/>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3925EC"/>
    <w:multiLevelType w:val="hybridMultilevel"/>
    <w:tmpl w:val="F572B63A"/>
    <w:lvl w:ilvl="0" w:tplc="7DD03678">
      <w:start w:val="1"/>
      <w:numFmt w:val="bullet"/>
      <w:lvlText w:val=""/>
      <w:lvlJc w:val="left"/>
      <w:pPr>
        <w:tabs>
          <w:tab w:val="num" w:pos="1080"/>
        </w:tabs>
        <w:ind w:left="108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4938EC"/>
    <w:multiLevelType w:val="hybridMultilevel"/>
    <w:tmpl w:val="C4F462FA"/>
    <w:lvl w:ilvl="0" w:tplc="02CA3A82">
      <w:start w:val="6"/>
      <w:numFmt w:val="bullet"/>
      <w:lvlText w:val="-"/>
      <w:lvlJc w:val="left"/>
      <w:pPr>
        <w:tabs>
          <w:tab w:val="num" w:pos="567"/>
        </w:tabs>
        <w:ind w:left="567" w:hanging="567"/>
      </w:pPr>
      <w:rPr>
        <w:rFonts w:ascii="Times New Roman" w:eastAsia="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0956C0"/>
    <w:multiLevelType w:val="hybridMultilevel"/>
    <w:tmpl w:val="B05665A2"/>
    <w:lvl w:ilvl="0" w:tplc="E75667AE">
      <w:start w:val="6"/>
      <w:numFmt w:val="bullet"/>
      <w:lvlText w:val="-"/>
      <w:lvlJc w:val="left"/>
      <w:pPr>
        <w:tabs>
          <w:tab w:val="num" w:pos="567"/>
        </w:tabs>
        <w:ind w:left="567" w:hanging="567"/>
      </w:pPr>
      <w:rPr>
        <w:rFonts w:ascii="Times New Roman" w:eastAsia="Times New Roman" w:hAnsi="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728AC"/>
    <w:multiLevelType w:val="hybridMultilevel"/>
    <w:tmpl w:val="AED0094A"/>
    <w:lvl w:ilvl="0" w:tplc="FFFFFFFF">
      <w:start w:val="1"/>
      <w:numFmt w:val="bullet"/>
      <w:lvlText w:val="-"/>
      <w:lvlJc w:val="left"/>
      <w:pPr>
        <w:tabs>
          <w:tab w:val="num" w:pos="360"/>
        </w:tabs>
        <w:ind w:left="360" w:hanging="360"/>
      </w:pPr>
      <w:rPr>
        <w:rFonts w:ascii="Times New Roman" w:hAnsi="Times New Roman" w:hint="default"/>
      </w:rPr>
    </w:lvl>
    <w:lvl w:ilvl="1" w:tplc="FFFFFFFF">
      <w:start w:val="1"/>
      <w:numFmt w:val="bullet"/>
      <w:lvlText w:val="-"/>
      <w:lvlJc w:val="left"/>
      <w:pPr>
        <w:tabs>
          <w:tab w:val="num" w:pos="1080"/>
        </w:tabs>
        <w:ind w:left="1080" w:hanging="360"/>
      </w:pPr>
      <w:rPr>
        <w:rFonts w:ascii="Times New Roman" w:hAnsi="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7" w15:restartNumberingAfterBreak="0">
    <w:nsid w:val="7DC11D5C"/>
    <w:multiLevelType w:val="hybridMultilevel"/>
    <w:tmpl w:val="71F40708"/>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8" w15:restartNumberingAfterBreak="0">
    <w:nsid w:val="7E4D2AAB"/>
    <w:multiLevelType w:val="multilevel"/>
    <w:tmpl w:val="33908F84"/>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35"/>
  </w:num>
  <w:num w:numId="3">
    <w:abstractNumId w:val="19"/>
  </w:num>
  <w:num w:numId="4">
    <w:abstractNumId w:val="22"/>
  </w:num>
  <w:num w:numId="5">
    <w:abstractNumId w:val="1"/>
  </w:num>
  <w:num w:numId="6">
    <w:abstractNumId w:val="34"/>
  </w:num>
  <w:num w:numId="7">
    <w:abstractNumId w:val="32"/>
  </w:num>
  <w:num w:numId="8">
    <w:abstractNumId w:val="6"/>
  </w:num>
  <w:num w:numId="9">
    <w:abstractNumId w:val="29"/>
  </w:num>
  <w:num w:numId="10">
    <w:abstractNumId w:val="38"/>
  </w:num>
  <w:num w:numId="11">
    <w:abstractNumId w:val="15"/>
  </w:num>
  <w:num w:numId="12">
    <w:abstractNumId w:val="25"/>
  </w:num>
  <w:num w:numId="13">
    <w:abstractNumId w:val="37"/>
  </w:num>
  <w:num w:numId="14">
    <w:abstractNumId w:val="20"/>
  </w:num>
  <w:num w:numId="15">
    <w:abstractNumId w:val="36"/>
  </w:num>
  <w:num w:numId="16">
    <w:abstractNumId w:val="3"/>
  </w:num>
  <w:num w:numId="17">
    <w:abstractNumId w:val="26"/>
  </w:num>
  <w:num w:numId="18">
    <w:abstractNumId w:val="13"/>
  </w:num>
  <w:num w:numId="19">
    <w:abstractNumId w:val="30"/>
  </w:num>
  <w:num w:numId="20">
    <w:abstractNumId w:val="33"/>
  </w:num>
  <w:num w:numId="21">
    <w:abstractNumId w:val="27"/>
  </w:num>
  <w:num w:numId="22">
    <w:abstractNumId w:val="7"/>
  </w:num>
  <w:num w:numId="23">
    <w:abstractNumId w:val="11"/>
  </w:num>
  <w:num w:numId="24">
    <w:abstractNumId w:val="0"/>
  </w:num>
  <w:num w:numId="25">
    <w:abstractNumId w:val="2"/>
  </w:num>
  <w:num w:numId="26">
    <w:abstractNumId w:val="23"/>
  </w:num>
  <w:num w:numId="27">
    <w:abstractNumId w:val="21"/>
  </w:num>
  <w:num w:numId="28">
    <w:abstractNumId w:val="24"/>
  </w:num>
  <w:num w:numId="29">
    <w:abstractNumId w:val="16"/>
  </w:num>
  <w:num w:numId="30">
    <w:abstractNumId w:val="31"/>
  </w:num>
  <w:num w:numId="31">
    <w:abstractNumId w:val="10"/>
  </w:num>
  <w:num w:numId="32">
    <w:abstractNumId w:val="18"/>
  </w:num>
  <w:num w:numId="33">
    <w:abstractNumId w:val="9"/>
  </w:num>
  <w:num w:numId="34">
    <w:abstractNumId w:val="8"/>
  </w:num>
  <w:num w:numId="35">
    <w:abstractNumId w:val="17"/>
  </w:num>
  <w:num w:numId="36">
    <w:abstractNumId w:val="4"/>
  </w:num>
  <w:num w:numId="37">
    <w:abstractNumId w:val="28"/>
  </w:num>
  <w:num w:numId="38">
    <w:abstractNumId w:val="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6"/>
    <w:rsid w:val="00052F44"/>
    <w:rsid w:val="00070708"/>
    <w:rsid w:val="00073A0A"/>
    <w:rsid w:val="0009696B"/>
    <w:rsid w:val="00190A14"/>
    <w:rsid w:val="001A391E"/>
    <w:rsid w:val="001F08F4"/>
    <w:rsid w:val="0022545A"/>
    <w:rsid w:val="00267440"/>
    <w:rsid w:val="002A4D07"/>
    <w:rsid w:val="002D26E5"/>
    <w:rsid w:val="00302C06"/>
    <w:rsid w:val="00316B4C"/>
    <w:rsid w:val="00400D61"/>
    <w:rsid w:val="004248B8"/>
    <w:rsid w:val="00426647"/>
    <w:rsid w:val="004451DE"/>
    <w:rsid w:val="00476955"/>
    <w:rsid w:val="004D0897"/>
    <w:rsid w:val="005141FC"/>
    <w:rsid w:val="00526EE4"/>
    <w:rsid w:val="005779BE"/>
    <w:rsid w:val="00584375"/>
    <w:rsid w:val="005C6F42"/>
    <w:rsid w:val="005E39C3"/>
    <w:rsid w:val="005F5F92"/>
    <w:rsid w:val="00632060"/>
    <w:rsid w:val="00653DC6"/>
    <w:rsid w:val="006C52AF"/>
    <w:rsid w:val="00712A10"/>
    <w:rsid w:val="00751466"/>
    <w:rsid w:val="00794B16"/>
    <w:rsid w:val="007A43FC"/>
    <w:rsid w:val="007B0C24"/>
    <w:rsid w:val="007B48B2"/>
    <w:rsid w:val="007E1A03"/>
    <w:rsid w:val="00825FF7"/>
    <w:rsid w:val="008D5311"/>
    <w:rsid w:val="008E048C"/>
    <w:rsid w:val="00925B43"/>
    <w:rsid w:val="009818C1"/>
    <w:rsid w:val="009C7310"/>
    <w:rsid w:val="009F6655"/>
    <w:rsid w:val="00A03503"/>
    <w:rsid w:val="00A25ED0"/>
    <w:rsid w:val="00A727CA"/>
    <w:rsid w:val="00AB0C9B"/>
    <w:rsid w:val="00AC765C"/>
    <w:rsid w:val="00B26373"/>
    <w:rsid w:val="00B30343"/>
    <w:rsid w:val="00B405BB"/>
    <w:rsid w:val="00B533CF"/>
    <w:rsid w:val="00B60245"/>
    <w:rsid w:val="00B7600C"/>
    <w:rsid w:val="00B77DD6"/>
    <w:rsid w:val="00B87091"/>
    <w:rsid w:val="00BF7F74"/>
    <w:rsid w:val="00C07FDB"/>
    <w:rsid w:val="00C331BA"/>
    <w:rsid w:val="00C47B11"/>
    <w:rsid w:val="00C71C79"/>
    <w:rsid w:val="00C97633"/>
    <w:rsid w:val="00CB086B"/>
    <w:rsid w:val="00CB5151"/>
    <w:rsid w:val="00CB6786"/>
    <w:rsid w:val="00CE549C"/>
    <w:rsid w:val="00D323FF"/>
    <w:rsid w:val="00D94403"/>
    <w:rsid w:val="00DB3F2E"/>
    <w:rsid w:val="00DD31D7"/>
    <w:rsid w:val="00E2768C"/>
    <w:rsid w:val="00E30F75"/>
    <w:rsid w:val="00E56D2D"/>
    <w:rsid w:val="00EE2C76"/>
    <w:rsid w:val="00F06035"/>
    <w:rsid w:val="00F60FD9"/>
    <w:rsid w:val="00F83703"/>
    <w:rsid w:val="00F86FA0"/>
    <w:rsid w:val="00F9125B"/>
    <w:rsid w:val="00FC4B44"/>
    <w:rsid w:val="00FC5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988DF"/>
  <w14:defaultImageDpi w14:val="300"/>
  <w15:docId w15:val="{68CDE62B-D0A0-4687-BE06-8E108383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2C06"/>
    <w:rPr>
      <w:rFonts w:ascii="Times New Roman" w:eastAsia="Times New Roman" w:hAnsi="Times New Roman" w:cs="Times New Roman"/>
      <w:sz w:val="22"/>
      <w:szCs w:val="20"/>
      <w:lang w:val="lt-LT"/>
    </w:rPr>
  </w:style>
  <w:style w:type="paragraph" w:styleId="Antrat1">
    <w:name w:val="heading 1"/>
    <w:basedOn w:val="prastasis"/>
    <w:next w:val="prastasis"/>
    <w:link w:val="Antrat1Diagrama"/>
    <w:autoRedefine/>
    <w:uiPriority w:val="99"/>
    <w:qFormat/>
    <w:rsid w:val="00302C06"/>
    <w:pPr>
      <w:keepNext/>
      <w:outlineLvl w:val="0"/>
    </w:pPr>
    <w:rPr>
      <w:b/>
    </w:rPr>
  </w:style>
  <w:style w:type="paragraph" w:styleId="Antrat2">
    <w:name w:val="heading 2"/>
    <w:basedOn w:val="prastasis"/>
    <w:next w:val="prastasis"/>
    <w:link w:val="Antrat2Diagrama"/>
    <w:autoRedefine/>
    <w:uiPriority w:val="99"/>
    <w:qFormat/>
    <w:rsid w:val="00302C06"/>
    <w:pPr>
      <w:keepNext/>
      <w:ind w:left="540" w:hanging="540"/>
      <w:outlineLvl w:val="1"/>
    </w:pPr>
    <w:rPr>
      <w:b/>
    </w:rPr>
  </w:style>
  <w:style w:type="paragraph" w:styleId="Antrat3">
    <w:name w:val="heading 3"/>
    <w:basedOn w:val="prastasis"/>
    <w:next w:val="prastasis"/>
    <w:link w:val="Antrat3Diagrama"/>
    <w:autoRedefine/>
    <w:uiPriority w:val="99"/>
    <w:qFormat/>
    <w:rsid w:val="00302C06"/>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02C06"/>
    <w:rPr>
      <w:rFonts w:ascii="Times New Roman" w:eastAsia="Times New Roman" w:hAnsi="Times New Roman" w:cs="Times New Roman"/>
      <w:b/>
      <w:sz w:val="22"/>
      <w:szCs w:val="20"/>
      <w:lang w:val="lt-LT"/>
    </w:rPr>
  </w:style>
  <w:style w:type="character" w:customStyle="1" w:styleId="Antrat2Diagrama">
    <w:name w:val="Antraštė 2 Diagrama"/>
    <w:basedOn w:val="Numatytasispastraiposriftas"/>
    <w:link w:val="Antrat2"/>
    <w:uiPriority w:val="99"/>
    <w:rsid w:val="00302C06"/>
    <w:rPr>
      <w:rFonts w:ascii="Times New Roman" w:eastAsia="Times New Roman" w:hAnsi="Times New Roman" w:cs="Times New Roman"/>
      <w:b/>
      <w:sz w:val="22"/>
      <w:szCs w:val="20"/>
      <w:lang w:val="lt-LT"/>
    </w:rPr>
  </w:style>
  <w:style w:type="character" w:customStyle="1" w:styleId="Antrat3Diagrama">
    <w:name w:val="Antraštė 3 Diagrama"/>
    <w:basedOn w:val="Numatytasispastraiposriftas"/>
    <w:link w:val="Antrat3"/>
    <w:uiPriority w:val="99"/>
    <w:rsid w:val="00302C06"/>
    <w:rPr>
      <w:rFonts w:ascii="Times New Roman" w:eastAsia="Times New Roman" w:hAnsi="Times New Roman" w:cs="Times New Roman"/>
      <w:b/>
      <w:sz w:val="22"/>
      <w:szCs w:val="20"/>
      <w:lang w:val="lt-LT"/>
    </w:rPr>
  </w:style>
  <w:style w:type="paragraph" w:styleId="Pagrindinistekstas">
    <w:name w:val="Body Text"/>
    <w:basedOn w:val="prastasis"/>
    <w:link w:val="PagrindinistekstasDiagrama"/>
    <w:uiPriority w:val="99"/>
    <w:rsid w:val="00302C06"/>
    <w:pPr>
      <w:spacing w:after="120"/>
    </w:pPr>
  </w:style>
  <w:style w:type="character" w:customStyle="1" w:styleId="PagrindinistekstasDiagrama">
    <w:name w:val="Pagrindinis tekstas Diagrama"/>
    <w:basedOn w:val="Numatytasispastraiposriftas"/>
    <w:link w:val="Pagrindinistekstas"/>
    <w:uiPriority w:val="99"/>
    <w:rsid w:val="00302C06"/>
    <w:rPr>
      <w:rFonts w:ascii="Times New Roman" w:eastAsia="Times New Roman" w:hAnsi="Times New Roman" w:cs="Times New Roman"/>
      <w:sz w:val="22"/>
      <w:szCs w:val="20"/>
      <w:lang w:val="lt-LT"/>
    </w:rPr>
  </w:style>
  <w:style w:type="paragraph" w:styleId="Porat">
    <w:name w:val="footer"/>
    <w:basedOn w:val="prastasis"/>
    <w:link w:val="PoratDiagrama"/>
    <w:uiPriority w:val="99"/>
    <w:rsid w:val="00302C06"/>
    <w:pPr>
      <w:tabs>
        <w:tab w:val="center" w:pos="4153"/>
        <w:tab w:val="right" w:pos="8306"/>
      </w:tabs>
    </w:pPr>
  </w:style>
  <w:style w:type="character" w:customStyle="1" w:styleId="PoratDiagrama">
    <w:name w:val="Poraštė Diagrama"/>
    <w:basedOn w:val="Numatytasispastraiposriftas"/>
    <w:link w:val="Porat"/>
    <w:uiPriority w:val="99"/>
    <w:rsid w:val="00302C06"/>
    <w:rPr>
      <w:rFonts w:ascii="Times New Roman" w:eastAsia="Times New Roman" w:hAnsi="Times New Roman" w:cs="Times New Roman"/>
      <w:sz w:val="22"/>
      <w:szCs w:val="20"/>
      <w:lang w:val="lt-LT"/>
    </w:rPr>
  </w:style>
  <w:style w:type="character" w:styleId="Puslapionumeris">
    <w:name w:val="page number"/>
    <w:basedOn w:val="Numatytasispastraiposriftas"/>
    <w:uiPriority w:val="99"/>
    <w:rsid w:val="00302C06"/>
    <w:rPr>
      <w:rFonts w:cs="Times New Roman"/>
    </w:rPr>
  </w:style>
  <w:style w:type="paragraph" w:styleId="Pavadinimas">
    <w:name w:val="Title"/>
    <w:basedOn w:val="prastasis"/>
    <w:link w:val="PavadinimasDiagrama"/>
    <w:autoRedefine/>
    <w:uiPriority w:val="99"/>
    <w:qFormat/>
    <w:rsid w:val="00302C06"/>
    <w:pPr>
      <w:jc w:val="center"/>
      <w:outlineLvl w:val="0"/>
    </w:pPr>
    <w:rPr>
      <w:b/>
      <w:kern w:val="28"/>
    </w:rPr>
  </w:style>
  <w:style w:type="character" w:customStyle="1" w:styleId="PavadinimasDiagrama">
    <w:name w:val="Pavadinimas Diagrama"/>
    <w:basedOn w:val="Numatytasispastraiposriftas"/>
    <w:link w:val="Pavadinimas"/>
    <w:uiPriority w:val="99"/>
    <w:rsid w:val="00302C06"/>
    <w:rPr>
      <w:rFonts w:ascii="Times New Roman" w:eastAsia="Times New Roman" w:hAnsi="Times New Roman" w:cs="Times New Roman"/>
      <w:b/>
      <w:kern w:val="28"/>
      <w:sz w:val="22"/>
      <w:szCs w:val="20"/>
      <w:lang w:val="lt-LT"/>
    </w:rPr>
  </w:style>
  <w:style w:type="paragraph" w:styleId="Debesliotekstas">
    <w:name w:val="Balloon Text"/>
    <w:basedOn w:val="prastasis"/>
    <w:link w:val="DebesliotekstasDiagrama"/>
    <w:uiPriority w:val="99"/>
    <w:semiHidden/>
    <w:rsid w:val="00302C0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02C06"/>
    <w:rPr>
      <w:rFonts w:ascii="Tahoma" w:eastAsia="Times New Roman" w:hAnsi="Tahoma" w:cs="Tahoma"/>
      <w:sz w:val="16"/>
      <w:szCs w:val="16"/>
      <w:lang w:val="lt-LT"/>
    </w:rPr>
  </w:style>
  <w:style w:type="paragraph" w:customStyle="1" w:styleId="PI-1EMEASMCA">
    <w:name w:val="PI-1 EMEA_SMCA"/>
    <w:basedOn w:val="Antrat2"/>
    <w:autoRedefine/>
    <w:uiPriority w:val="99"/>
    <w:rsid w:val="00302C06"/>
    <w:pPr>
      <w:tabs>
        <w:tab w:val="left" w:pos="567"/>
      </w:tabs>
      <w:ind w:left="567" w:hanging="567"/>
    </w:pPr>
    <w:rPr>
      <w:szCs w:val="22"/>
    </w:rPr>
  </w:style>
  <w:style w:type="paragraph" w:customStyle="1" w:styleId="BTEMEASMCA">
    <w:name w:val="BT EMEA_SMCA"/>
    <w:basedOn w:val="prastasis"/>
    <w:link w:val="BTEMEASMCAChar"/>
    <w:autoRedefine/>
    <w:uiPriority w:val="99"/>
    <w:rsid w:val="00302C06"/>
    <w:rPr>
      <w:noProof/>
      <w:szCs w:val="22"/>
    </w:rPr>
  </w:style>
  <w:style w:type="character" w:customStyle="1" w:styleId="BTEMEASMCAChar">
    <w:name w:val="BT EMEA_SMCA Char"/>
    <w:basedOn w:val="Numatytasispastraiposriftas"/>
    <w:link w:val="BTEMEASMCA"/>
    <w:uiPriority w:val="99"/>
    <w:locked/>
    <w:rsid w:val="00302C06"/>
    <w:rPr>
      <w:rFonts w:ascii="Times New Roman" w:eastAsia="Times New Roman" w:hAnsi="Times New Roman" w:cs="Times New Roman"/>
      <w:noProof/>
      <w:sz w:val="22"/>
      <w:szCs w:val="22"/>
      <w:lang w:val="lt-LT"/>
    </w:rPr>
  </w:style>
  <w:style w:type="paragraph" w:customStyle="1" w:styleId="TTEMEASMCA">
    <w:name w:val="TT EMEA_SMCA"/>
    <w:basedOn w:val="Antrat1"/>
    <w:link w:val="TTEMEASMCAChar"/>
    <w:autoRedefine/>
    <w:uiPriority w:val="99"/>
    <w:rsid w:val="00302C06"/>
    <w:pPr>
      <w:keepNext w:val="0"/>
      <w:tabs>
        <w:tab w:val="left" w:pos="567"/>
      </w:tabs>
      <w:ind w:left="567" w:hanging="567"/>
      <w:jc w:val="center"/>
    </w:pPr>
    <w:rPr>
      <w:caps/>
      <w:szCs w:val="22"/>
      <w:lang w:val="en-US"/>
    </w:rPr>
  </w:style>
  <w:style w:type="character" w:customStyle="1" w:styleId="TTEMEASMCAChar">
    <w:name w:val="TT EMEA_SMCA Char"/>
    <w:basedOn w:val="Numatytasispastraiposriftas"/>
    <w:link w:val="TTEMEASMCA"/>
    <w:uiPriority w:val="99"/>
    <w:locked/>
    <w:rsid w:val="00302C06"/>
    <w:rPr>
      <w:rFonts w:ascii="Times New Roman" w:eastAsia="Times New Roman" w:hAnsi="Times New Roman" w:cs="Times New Roman"/>
      <w:b/>
      <w:caps/>
      <w:sz w:val="22"/>
      <w:szCs w:val="22"/>
    </w:rPr>
  </w:style>
  <w:style w:type="paragraph" w:styleId="Pagrindinistekstas2">
    <w:name w:val="Body Text 2"/>
    <w:basedOn w:val="prastasis"/>
    <w:link w:val="Pagrindinistekstas2Diagrama"/>
    <w:uiPriority w:val="99"/>
    <w:rsid w:val="00302C06"/>
    <w:pPr>
      <w:spacing w:after="120" w:line="480" w:lineRule="auto"/>
    </w:pPr>
  </w:style>
  <w:style w:type="character" w:customStyle="1" w:styleId="Pagrindinistekstas2Diagrama">
    <w:name w:val="Pagrindinis tekstas 2 Diagrama"/>
    <w:basedOn w:val="Numatytasispastraiposriftas"/>
    <w:link w:val="Pagrindinistekstas2"/>
    <w:uiPriority w:val="99"/>
    <w:rsid w:val="00302C06"/>
    <w:rPr>
      <w:rFonts w:ascii="Times New Roman" w:eastAsia="Times New Roman" w:hAnsi="Times New Roman" w:cs="Times New Roman"/>
      <w:sz w:val="22"/>
      <w:szCs w:val="20"/>
      <w:lang w:val="lt-LT"/>
    </w:rPr>
  </w:style>
  <w:style w:type="paragraph" w:customStyle="1" w:styleId="PI-2EMEASMCA">
    <w:name w:val="PI-2 EMEA_SMCA"/>
    <w:basedOn w:val="Antrat3"/>
    <w:autoRedefine/>
    <w:uiPriority w:val="99"/>
    <w:rsid w:val="00302C06"/>
    <w:pPr>
      <w:keepLines/>
      <w:tabs>
        <w:tab w:val="left" w:pos="567"/>
      </w:tabs>
      <w:ind w:left="567" w:hanging="567"/>
    </w:pPr>
    <w:rPr>
      <w:kern w:val="28"/>
      <w:szCs w:val="22"/>
    </w:rPr>
  </w:style>
  <w:style w:type="paragraph" w:customStyle="1" w:styleId="BTuEMEASMCA">
    <w:name w:val="BT(u) EMEA_SMCA"/>
    <w:basedOn w:val="BTEMEASMCA"/>
    <w:autoRedefine/>
    <w:uiPriority w:val="99"/>
    <w:rsid w:val="00302C06"/>
    <w:rPr>
      <w:u w:val="single"/>
    </w:rPr>
  </w:style>
  <w:style w:type="paragraph" w:customStyle="1" w:styleId="BTAnIIEMEASMCA">
    <w:name w:val="BT(AnII) EMEA_SMCA"/>
    <w:basedOn w:val="Debesliotekstas"/>
    <w:autoRedefine/>
    <w:uiPriority w:val="99"/>
    <w:rsid w:val="00302C06"/>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302C06"/>
    <w:pPr>
      <w:numPr>
        <w:numId w:val="1"/>
      </w:numPr>
      <w:ind w:left="646" w:hanging="646"/>
    </w:pPr>
  </w:style>
  <w:style w:type="paragraph" w:customStyle="1" w:styleId="BTbEMEASMCA">
    <w:name w:val="BT(b) EMEA_SMCA"/>
    <w:basedOn w:val="BTEMEASMCA"/>
    <w:autoRedefine/>
    <w:uiPriority w:val="99"/>
    <w:rsid w:val="00302C06"/>
    <w:rPr>
      <w:b/>
    </w:rPr>
  </w:style>
  <w:style w:type="paragraph" w:customStyle="1" w:styleId="PI-1labEMEASMCA">
    <w:name w:val="PI-1_lab EMEA_SMCA"/>
    <w:basedOn w:val="prastasis"/>
    <w:link w:val="PI-1labEMEASMCAChar"/>
    <w:autoRedefine/>
    <w:uiPriority w:val="99"/>
    <w:rsid w:val="00302C06"/>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basedOn w:val="Numatytasispastraiposriftas"/>
    <w:link w:val="PI-1labEMEASMCA"/>
    <w:uiPriority w:val="99"/>
    <w:locked/>
    <w:rsid w:val="00302C06"/>
    <w:rPr>
      <w:rFonts w:ascii="Times New Roman" w:eastAsia="Times New Roman" w:hAnsi="Times New Roman" w:cs="Times New Roman"/>
      <w:b/>
      <w:noProof/>
      <w:sz w:val="22"/>
      <w:szCs w:val="22"/>
      <w:lang w:val="lt-LT"/>
    </w:rPr>
  </w:style>
  <w:style w:type="paragraph" w:customStyle="1" w:styleId="PI-3EMEASMCA">
    <w:name w:val="PI-3 EMEA_SMCA"/>
    <w:basedOn w:val="prastasis"/>
    <w:autoRedefine/>
    <w:uiPriority w:val="99"/>
    <w:rsid w:val="00302C06"/>
    <w:pPr>
      <w:spacing w:line="220" w:lineRule="exact"/>
    </w:pPr>
    <w:rPr>
      <w:bCs/>
      <w:noProof/>
      <w:szCs w:val="22"/>
      <w:lang w:val="nl-NL"/>
    </w:rPr>
  </w:style>
  <w:style w:type="paragraph" w:styleId="Tekstoblokas">
    <w:name w:val="Block Text"/>
    <w:basedOn w:val="prastasis"/>
    <w:uiPriority w:val="99"/>
    <w:semiHidden/>
    <w:rsid w:val="00302C06"/>
    <w:pPr>
      <w:numPr>
        <w:ilvl w:val="12"/>
      </w:numPr>
      <w:ind w:left="-360" w:right="-2"/>
      <w:outlineLvl w:val="0"/>
    </w:pPr>
    <w:rPr>
      <w:bCs/>
      <w:noProof/>
      <w:sz w:val="24"/>
      <w:szCs w:val="24"/>
      <w:lang w:val="en-GB" w:eastAsia="en-GB"/>
    </w:rPr>
  </w:style>
  <w:style w:type="character" w:styleId="Hipersaitas">
    <w:name w:val="Hyperlink"/>
    <w:basedOn w:val="Numatytasispastraiposriftas"/>
    <w:uiPriority w:val="99"/>
    <w:rsid w:val="00302C06"/>
    <w:rPr>
      <w:rFonts w:cs="Times New Roman"/>
      <w:color w:val="0000FF"/>
      <w:u w:val="single"/>
    </w:rPr>
  </w:style>
  <w:style w:type="paragraph" w:styleId="Antrats">
    <w:name w:val="header"/>
    <w:basedOn w:val="prastasis"/>
    <w:link w:val="AntratsDiagrama"/>
    <w:uiPriority w:val="99"/>
    <w:rsid w:val="00302C06"/>
    <w:pPr>
      <w:tabs>
        <w:tab w:val="center" w:pos="4536"/>
        <w:tab w:val="right" w:pos="9072"/>
      </w:tabs>
    </w:pPr>
    <w:rPr>
      <w:sz w:val="24"/>
      <w:szCs w:val="24"/>
      <w:lang w:val="hu-HU" w:eastAsia="hu-HU"/>
    </w:rPr>
  </w:style>
  <w:style w:type="character" w:customStyle="1" w:styleId="AntratsDiagrama">
    <w:name w:val="Antraštės Diagrama"/>
    <w:basedOn w:val="Numatytasispastraiposriftas"/>
    <w:link w:val="Antrats"/>
    <w:uiPriority w:val="99"/>
    <w:rsid w:val="00302C06"/>
    <w:rPr>
      <w:rFonts w:ascii="Times New Roman" w:eastAsia="Times New Roman" w:hAnsi="Times New Roman" w:cs="Times New Roman"/>
      <w:lang w:val="hu-HU" w:eastAsia="hu-HU"/>
    </w:rPr>
  </w:style>
  <w:style w:type="paragraph" w:customStyle="1" w:styleId="Default">
    <w:name w:val="Default"/>
    <w:uiPriority w:val="99"/>
    <w:rsid w:val="00302C06"/>
    <w:pPr>
      <w:autoSpaceDE w:val="0"/>
      <w:autoSpaceDN w:val="0"/>
      <w:adjustRightInd w:val="0"/>
    </w:pPr>
    <w:rPr>
      <w:rFonts w:ascii="Times New Roman" w:eastAsia="Times New Roman" w:hAnsi="Times New Roman" w:cs="Times New Roman"/>
      <w:color w:val="000000"/>
      <w:lang w:val="hu-HU"/>
    </w:rPr>
  </w:style>
  <w:style w:type="paragraph" w:customStyle="1" w:styleId="BTgEMEASMCA">
    <w:name w:val="BT(g) EMEA_SMCA"/>
    <w:basedOn w:val="BTEMEASMCA"/>
    <w:link w:val="BTgEMEASMCAChar"/>
    <w:autoRedefine/>
    <w:uiPriority w:val="99"/>
    <w:rsid w:val="00302C06"/>
    <w:rPr>
      <w:i/>
      <w:color w:val="008000"/>
    </w:rPr>
  </w:style>
  <w:style w:type="character" w:customStyle="1" w:styleId="BTgEMEASMCAChar">
    <w:name w:val="BT(g) EMEA_SMCA Char"/>
    <w:basedOn w:val="BTEMEASMCAChar"/>
    <w:link w:val="BTgEMEASMCA"/>
    <w:uiPriority w:val="99"/>
    <w:locked/>
    <w:rsid w:val="00302C06"/>
    <w:rPr>
      <w:rFonts w:ascii="Times New Roman" w:eastAsia="Times New Roman" w:hAnsi="Times New Roman" w:cs="Times New Roman"/>
      <w:i/>
      <w:noProof/>
      <w:color w:val="008000"/>
      <w:sz w:val="22"/>
      <w:szCs w:val="22"/>
      <w:lang w:val="lt-LT"/>
    </w:rPr>
  </w:style>
  <w:style w:type="paragraph" w:styleId="Dokumentoinaostekstas">
    <w:name w:val="endnote text"/>
    <w:basedOn w:val="prastasis"/>
    <w:link w:val="DokumentoinaostekstasDiagrama"/>
    <w:uiPriority w:val="99"/>
    <w:semiHidden/>
    <w:rsid w:val="00302C06"/>
    <w:pPr>
      <w:tabs>
        <w:tab w:val="left" w:pos="567"/>
      </w:tabs>
    </w:pPr>
    <w:rPr>
      <w:lang w:val="en-GB"/>
    </w:rPr>
  </w:style>
  <w:style w:type="character" w:customStyle="1" w:styleId="DokumentoinaostekstasDiagrama">
    <w:name w:val="Dokumento išnašos tekstas Diagrama"/>
    <w:basedOn w:val="Numatytasispastraiposriftas"/>
    <w:link w:val="Dokumentoinaostekstas"/>
    <w:uiPriority w:val="99"/>
    <w:semiHidden/>
    <w:rsid w:val="00302C06"/>
    <w:rPr>
      <w:rFonts w:ascii="Times New Roman" w:eastAsia="Times New Roman" w:hAnsi="Times New Roman" w:cs="Times New Roman"/>
      <w:sz w:val="22"/>
      <w:szCs w:val="20"/>
      <w:lang w:val="en-GB"/>
    </w:rPr>
  </w:style>
  <w:style w:type="paragraph" w:styleId="prastasiniatinklio">
    <w:name w:val="Normal (Web)"/>
    <w:basedOn w:val="prastasis"/>
    <w:uiPriority w:val="99"/>
    <w:rsid w:val="00302C06"/>
    <w:pPr>
      <w:spacing w:after="240"/>
    </w:pPr>
    <w:rPr>
      <w:rFonts w:ascii="Arial Unicode MS" w:eastAsia="Arial Unicode MS"/>
      <w:sz w:val="24"/>
      <w:szCs w:val="24"/>
      <w:lang w:val="en-US" w:eastAsia="ja-JP"/>
    </w:rPr>
  </w:style>
  <w:style w:type="character" w:styleId="Komentaronuoroda">
    <w:name w:val="annotation reference"/>
    <w:basedOn w:val="Numatytasispastraiposriftas"/>
    <w:uiPriority w:val="99"/>
    <w:semiHidden/>
    <w:rsid w:val="00302C06"/>
    <w:rPr>
      <w:rFonts w:cs="Times New Roman"/>
      <w:sz w:val="16"/>
      <w:szCs w:val="16"/>
    </w:rPr>
  </w:style>
  <w:style w:type="paragraph" w:styleId="Komentarotekstas">
    <w:name w:val="annotation text"/>
    <w:basedOn w:val="prastasis"/>
    <w:link w:val="KomentarotekstasDiagrama"/>
    <w:uiPriority w:val="99"/>
    <w:semiHidden/>
    <w:rsid w:val="00302C06"/>
    <w:rPr>
      <w:sz w:val="20"/>
    </w:rPr>
  </w:style>
  <w:style w:type="character" w:customStyle="1" w:styleId="KomentarotekstasDiagrama">
    <w:name w:val="Komentaro tekstas Diagrama"/>
    <w:basedOn w:val="Numatytasispastraiposriftas"/>
    <w:link w:val="Komentarotekstas"/>
    <w:uiPriority w:val="99"/>
    <w:semiHidden/>
    <w:rsid w:val="00302C0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302C06"/>
    <w:rPr>
      <w:b/>
      <w:bCs/>
    </w:rPr>
  </w:style>
  <w:style w:type="character" w:customStyle="1" w:styleId="KomentarotemaDiagrama">
    <w:name w:val="Komentaro tema Diagrama"/>
    <w:basedOn w:val="KomentarotekstasDiagrama"/>
    <w:link w:val="Komentarotema"/>
    <w:uiPriority w:val="99"/>
    <w:semiHidden/>
    <w:rsid w:val="00302C06"/>
    <w:rPr>
      <w:rFonts w:ascii="Times New Roman" w:eastAsia="Times New Roman" w:hAnsi="Times New Roman" w:cs="Times New Roman"/>
      <w:b/>
      <w:bCs/>
      <w:sz w:val="20"/>
      <w:szCs w:val="20"/>
      <w:lang w:val="lt-LT"/>
    </w:rPr>
  </w:style>
  <w:style w:type="character" w:customStyle="1" w:styleId="apple-style-span">
    <w:name w:val="apple-style-span"/>
    <w:basedOn w:val="Numatytasispastraiposriftas"/>
    <w:uiPriority w:val="99"/>
    <w:rsid w:val="00302C06"/>
    <w:rPr>
      <w:rFonts w:cs="Times New Roman"/>
    </w:rPr>
  </w:style>
  <w:style w:type="paragraph" w:styleId="prastojitrauka">
    <w:name w:val="Normal Indent"/>
    <w:basedOn w:val="prastasis"/>
    <w:rsid w:val="00302C06"/>
    <w:pPr>
      <w:spacing w:after="120"/>
      <w:ind w:left="720"/>
    </w:pPr>
    <w:rPr>
      <w:rFonts w:eastAsia="Calibri"/>
      <w:lang w:val="en-GB" w:eastAsia="en-GB"/>
    </w:rPr>
  </w:style>
  <w:style w:type="paragraph" w:customStyle="1" w:styleId="Normal11pt">
    <w:name w:val="Normal + 11 pt"/>
    <w:basedOn w:val="prastasis"/>
    <w:rsid w:val="00302C06"/>
    <w:pPr>
      <w:widowControl w:val="0"/>
      <w:overflowPunct w:val="0"/>
      <w:autoSpaceDE w:val="0"/>
      <w:autoSpaceDN w:val="0"/>
      <w:adjustRightInd w:val="0"/>
      <w:spacing w:line="312" w:lineRule="auto"/>
      <w:textAlignment w:val="baseline"/>
    </w:pPr>
    <w:rPr>
      <w:rFonts w:ascii="TimesLT" w:hAnsi="TimesLT"/>
      <w:szCs w:val="22"/>
      <w:lang w:val="en-US" w:eastAsia="ar-SA"/>
    </w:rPr>
  </w:style>
  <w:style w:type="paragraph" w:styleId="Sraopastraipa">
    <w:name w:val="List Paragraph"/>
    <w:basedOn w:val="prastasis"/>
    <w:uiPriority w:val="34"/>
    <w:qFormat/>
    <w:rsid w:val="00302C06"/>
    <w:pPr>
      <w:ind w:left="720"/>
      <w:contextualSpacing/>
    </w:pPr>
  </w:style>
  <w:style w:type="paragraph" w:styleId="Pataisymai">
    <w:name w:val="Revision"/>
    <w:hidden/>
    <w:uiPriority w:val="99"/>
    <w:semiHidden/>
    <w:rsid w:val="00302C06"/>
    <w:rPr>
      <w:rFonts w:ascii="Times New Roman" w:eastAsia="Times New Roman" w:hAnsi="Times New Roman" w:cs="Times New Roman"/>
      <w:sz w:val="22"/>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39790</Words>
  <Characters>22681</Characters>
  <Application>Microsoft Office Word</Application>
  <DocSecurity>4</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62347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Skyrius</dc:creator>
  <cp:lastModifiedBy>Albina Burkauskaitė</cp:lastModifiedBy>
  <cp:revision>2</cp:revision>
  <dcterms:created xsi:type="dcterms:W3CDTF">2022-01-03T10:48:00Z</dcterms:created>
  <dcterms:modified xsi:type="dcterms:W3CDTF">2022-01-03T10:48:00Z</dcterms:modified>
</cp:coreProperties>
</file>