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3D7B" w14:textId="77777777" w:rsidR="00DE3708" w:rsidRPr="00590A0E" w:rsidRDefault="00DE3708" w:rsidP="00307CD6">
      <w:pPr>
        <w:pStyle w:val="Pagrindinistekstas"/>
        <w:contextualSpacing/>
        <w:rPr>
          <w:i w:val="0"/>
          <w:color w:val="auto"/>
          <w:szCs w:val="22"/>
        </w:rPr>
      </w:pPr>
    </w:p>
    <w:p w14:paraId="17757E1D" w14:textId="77777777" w:rsidR="00DE3708" w:rsidRPr="001E6DB9" w:rsidRDefault="00DE3708" w:rsidP="00307CD6">
      <w:pPr>
        <w:pStyle w:val="Pagrindinistekstas"/>
        <w:contextualSpacing/>
        <w:rPr>
          <w:color w:val="auto"/>
          <w:szCs w:val="22"/>
        </w:rPr>
      </w:pPr>
    </w:p>
    <w:p w14:paraId="1173DDA1" w14:textId="77777777" w:rsidR="00DE3708" w:rsidRPr="001E6DB9" w:rsidRDefault="00DE3708" w:rsidP="00307CD6">
      <w:pPr>
        <w:pStyle w:val="Pagrindinistekstas"/>
        <w:contextualSpacing/>
        <w:rPr>
          <w:color w:val="auto"/>
          <w:szCs w:val="22"/>
        </w:rPr>
      </w:pPr>
    </w:p>
    <w:p w14:paraId="250A1AB8" w14:textId="77777777" w:rsidR="00DE3708" w:rsidRPr="001E6DB9" w:rsidRDefault="00DE3708" w:rsidP="00307CD6">
      <w:pPr>
        <w:pStyle w:val="Pagrindinistekstas"/>
        <w:contextualSpacing/>
        <w:rPr>
          <w:color w:val="auto"/>
          <w:szCs w:val="22"/>
        </w:rPr>
      </w:pPr>
    </w:p>
    <w:p w14:paraId="0FAFC549" w14:textId="77777777" w:rsidR="00DE3708" w:rsidRPr="001E6DB9" w:rsidRDefault="00DE3708" w:rsidP="00307CD6">
      <w:pPr>
        <w:pStyle w:val="Pagrindinistekstas"/>
        <w:contextualSpacing/>
        <w:rPr>
          <w:color w:val="auto"/>
          <w:szCs w:val="22"/>
        </w:rPr>
      </w:pPr>
    </w:p>
    <w:p w14:paraId="65303D16" w14:textId="77777777" w:rsidR="00DE3708" w:rsidRPr="001E6DB9" w:rsidRDefault="00DE3708" w:rsidP="00307CD6">
      <w:pPr>
        <w:pStyle w:val="Pagrindinistekstas"/>
        <w:contextualSpacing/>
        <w:rPr>
          <w:color w:val="auto"/>
          <w:szCs w:val="22"/>
        </w:rPr>
      </w:pPr>
    </w:p>
    <w:p w14:paraId="06A45E58" w14:textId="77777777" w:rsidR="00DE3708" w:rsidRPr="001E6DB9" w:rsidRDefault="00DE3708" w:rsidP="00307CD6">
      <w:pPr>
        <w:pStyle w:val="Pagrindinistekstas"/>
        <w:contextualSpacing/>
        <w:rPr>
          <w:color w:val="auto"/>
          <w:szCs w:val="22"/>
        </w:rPr>
      </w:pPr>
    </w:p>
    <w:p w14:paraId="6AC41847" w14:textId="77777777" w:rsidR="00DE3708" w:rsidRPr="001E6DB9" w:rsidRDefault="00DE3708" w:rsidP="00307CD6">
      <w:pPr>
        <w:pStyle w:val="Pagrindinistekstas"/>
        <w:contextualSpacing/>
        <w:rPr>
          <w:color w:val="auto"/>
          <w:szCs w:val="22"/>
        </w:rPr>
      </w:pPr>
    </w:p>
    <w:p w14:paraId="7FE4527A" w14:textId="77777777" w:rsidR="00DE3708" w:rsidRPr="001E6DB9" w:rsidRDefault="00DE3708" w:rsidP="00307CD6">
      <w:pPr>
        <w:pStyle w:val="Pagrindinistekstas"/>
        <w:contextualSpacing/>
        <w:rPr>
          <w:color w:val="auto"/>
          <w:szCs w:val="22"/>
        </w:rPr>
      </w:pPr>
    </w:p>
    <w:p w14:paraId="753D07BB" w14:textId="77777777" w:rsidR="00DE3708" w:rsidRPr="001E6DB9" w:rsidRDefault="00DE3708" w:rsidP="00307CD6">
      <w:pPr>
        <w:pStyle w:val="Pagrindinistekstas"/>
        <w:contextualSpacing/>
        <w:rPr>
          <w:color w:val="auto"/>
          <w:szCs w:val="22"/>
        </w:rPr>
      </w:pPr>
    </w:p>
    <w:p w14:paraId="415E830D" w14:textId="77777777" w:rsidR="00DE3708" w:rsidRPr="001E6DB9" w:rsidRDefault="00DE3708" w:rsidP="00307CD6">
      <w:pPr>
        <w:pStyle w:val="Pagrindinistekstas"/>
        <w:contextualSpacing/>
        <w:rPr>
          <w:color w:val="auto"/>
          <w:szCs w:val="22"/>
        </w:rPr>
      </w:pPr>
    </w:p>
    <w:p w14:paraId="61D655C6" w14:textId="77777777" w:rsidR="00DE3708" w:rsidRPr="001E6DB9" w:rsidRDefault="00DE3708" w:rsidP="00307CD6">
      <w:pPr>
        <w:pStyle w:val="Pagrindinistekstas"/>
        <w:contextualSpacing/>
        <w:rPr>
          <w:color w:val="auto"/>
          <w:szCs w:val="22"/>
        </w:rPr>
      </w:pPr>
    </w:p>
    <w:p w14:paraId="76A574C7" w14:textId="77777777" w:rsidR="00DE3708" w:rsidRPr="001E6DB9" w:rsidRDefault="00DE3708" w:rsidP="00307CD6">
      <w:pPr>
        <w:pStyle w:val="Pagrindinistekstas"/>
        <w:contextualSpacing/>
        <w:rPr>
          <w:color w:val="auto"/>
          <w:szCs w:val="22"/>
        </w:rPr>
      </w:pPr>
    </w:p>
    <w:p w14:paraId="447DED0E" w14:textId="77777777" w:rsidR="00DE3708" w:rsidRPr="001E6DB9" w:rsidRDefault="00DE3708" w:rsidP="00307CD6">
      <w:pPr>
        <w:pStyle w:val="Pagrindinistekstas"/>
        <w:contextualSpacing/>
        <w:rPr>
          <w:color w:val="auto"/>
          <w:szCs w:val="22"/>
        </w:rPr>
      </w:pPr>
    </w:p>
    <w:p w14:paraId="2DFC082E" w14:textId="77777777" w:rsidR="00DE3708" w:rsidRPr="001E6DB9" w:rsidRDefault="00DE3708" w:rsidP="00307CD6">
      <w:pPr>
        <w:pStyle w:val="Pagrindinistekstas"/>
        <w:contextualSpacing/>
        <w:rPr>
          <w:color w:val="auto"/>
          <w:szCs w:val="22"/>
        </w:rPr>
      </w:pPr>
    </w:p>
    <w:p w14:paraId="38D29B3D" w14:textId="77777777" w:rsidR="00DE3708" w:rsidRPr="001E6DB9" w:rsidRDefault="00DE3708" w:rsidP="00307CD6">
      <w:pPr>
        <w:pStyle w:val="Pagrindinistekstas"/>
        <w:contextualSpacing/>
        <w:rPr>
          <w:color w:val="auto"/>
          <w:szCs w:val="22"/>
        </w:rPr>
      </w:pPr>
    </w:p>
    <w:p w14:paraId="029A346D" w14:textId="77777777" w:rsidR="00DE3708" w:rsidRPr="001E6DB9" w:rsidRDefault="00DE3708" w:rsidP="00307CD6">
      <w:pPr>
        <w:pStyle w:val="Pagrindinistekstas"/>
        <w:contextualSpacing/>
        <w:rPr>
          <w:color w:val="auto"/>
          <w:szCs w:val="22"/>
        </w:rPr>
      </w:pPr>
    </w:p>
    <w:p w14:paraId="70D9F517" w14:textId="77777777" w:rsidR="00DE3708" w:rsidRPr="001E6DB9" w:rsidRDefault="00DE3708" w:rsidP="00307CD6">
      <w:pPr>
        <w:pStyle w:val="Pagrindinistekstas"/>
        <w:contextualSpacing/>
        <w:rPr>
          <w:color w:val="auto"/>
          <w:szCs w:val="22"/>
        </w:rPr>
      </w:pPr>
    </w:p>
    <w:p w14:paraId="749C55BC" w14:textId="77777777" w:rsidR="00DE3708" w:rsidRPr="001E6DB9" w:rsidRDefault="00DE3708" w:rsidP="00307CD6">
      <w:pPr>
        <w:pStyle w:val="Pagrindinistekstas"/>
        <w:contextualSpacing/>
        <w:rPr>
          <w:color w:val="auto"/>
          <w:szCs w:val="22"/>
        </w:rPr>
      </w:pPr>
    </w:p>
    <w:p w14:paraId="2C921119" w14:textId="77777777" w:rsidR="00DE3708" w:rsidRPr="001E6DB9" w:rsidRDefault="00DE3708" w:rsidP="00307CD6">
      <w:pPr>
        <w:pStyle w:val="Pagrindinistekstas"/>
        <w:contextualSpacing/>
        <w:rPr>
          <w:color w:val="auto"/>
          <w:szCs w:val="22"/>
        </w:rPr>
      </w:pPr>
    </w:p>
    <w:p w14:paraId="7AA6B309" w14:textId="77777777" w:rsidR="00DE3708" w:rsidRPr="001E6DB9" w:rsidRDefault="00DE3708" w:rsidP="00307CD6">
      <w:pPr>
        <w:pStyle w:val="Pagrindinistekstas"/>
        <w:contextualSpacing/>
        <w:rPr>
          <w:color w:val="auto"/>
          <w:szCs w:val="22"/>
        </w:rPr>
      </w:pPr>
    </w:p>
    <w:p w14:paraId="682F60FF" w14:textId="77777777" w:rsidR="00DE3708" w:rsidRPr="001E6DB9" w:rsidRDefault="00DE3708" w:rsidP="00307CD6">
      <w:pPr>
        <w:pStyle w:val="Pagrindinistekstas"/>
        <w:contextualSpacing/>
        <w:rPr>
          <w:color w:val="auto"/>
          <w:szCs w:val="22"/>
        </w:rPr>
      </w:pPr>
    </w:p>
    <w:p w14:paraId="7CA8F2DF" w14:textId="77777777" w:rsidR="00DE3708" w:rsidRPr="001E6DB9" w:rsidRDefault="00DE3708" w:rsidP="00307CD6">
      <w:pPr>
        <w:pStyle w:val="Pagrindinistekstas"/>
        <w:contextualSpacing/>
        <w:rPr>
          <w:color w:val="auto"/>
          <w:szCs w:val="22"/>
        </w:rPr>
      </w:pPr>
    </w:p>
    <w:p w14:paraId="787A45DA" w14:textId="77777777" w:rsidR="00DE3708" w:rsidRPr="00F50D13" w:rsidRDefault="00DE3708" w:rsidP="00307CD6">
      <w:pPr>
        <w:pStyle w:val="Pavadinimas"/>
        <w:contextualSpacing/>
        <w:rPr>
          <w:b w:val="0"/>
          <w:szCs w:val="22"/>
        </w:rPr>
      </w:pPr>
      <w:r w:rsidRPr="00F50D13">
        <w:rPr>
          <w:szCs w:val="22"/>
        </w:rPr>
        <w:t>I PRIEDAS</w:t>
      </w:r>
    </w:p>
    <w:p w14:paraId="05D6AB51" w14:textId="77777777" w:rsidR="00DE3708" w:rsidRPr="001E6DB9" w:rsidRDefault="00DE3708" w:rsidP="00307CD6">
      <w:pPr>
        <w:pStyle w:val="Pagrindinistekstas"/>
        <w:contextualSpacing/>
        <w:rPr>
          <w:color w:val="auto"/>
          <w:szCs w:val="22"/>
        </w:rPr>
      </w:pPr>
    </w:p>
    <w:p w14:paraId="1777044A" w14:textId="77777777" w:rsidR="00DE3708" w:rsidRPr="00F50D13" w:rsidRDefault="00DE3708" w:rsidP="00307CD6">
      <w:pPr>
        <w:pStyle w:val="Pavadinimas"/>
        <w:contextualSpacing/>
        <w:rPr>
          <w:b w:val="0"/>
          <w:szCs w:val="22"/>
        </w:rPr>
      </w:pPr>
      <w:r w:rsidRPr="00F50D13">
        <w:rPr>
          <w:szCs w:val="22"/>
        </w:rPr>
        <w:t>PREPARATO CHARAKTERISTIKŲ SANTRAUKA</w:t>
      </w:r>
    </w:p>
    <w:p w14:paraId="4BEC57C2" w14:textId="77777777" w:rsidR="00DE3708" w:rsidRPr="001E6DB9" w:rsidRDefault="00DE3708" w:rsidP="00307CD6">
      <w:pPr>
        <w:pStyle w:val="Pagrindinistekstas"/>
        <w:contextualSpacing/>
        <w:rPr>
          <w:color w:val="auto"/>
          <w:szCs w:val="22"/>
        </w:rPr>
      </w:pPr>
    </w:p>
    <w:p w14:paraId="44EF9541" w14:textId="77777777" w:rsidR="00DE3708" w:rsidRPr="00F91FD7" w:rsidRDefault="00DE3708" w:rsidP="00307CD6">
      <w:pPr>
        <w:pStyle w:val="Puslapioinaostekstas"/>
        <w:spacing w:after="0" w:line="240" w:lineRule="auto"/>
        <w:ind w:left="567" w:hanging="567"/>
        <w:contextualSpacing/>
        <w:jc w:val="both"/>
        <w:rPr>
          <w:rFonts w:ascii="Times New Roman" w:hAnsi="Times New Roman"/>
          <w:b/>
          <w:sz w:val="22"/>
          <w:szCs w:val="22"/>
          <w:lang w:val="it-IT"/>
        </w:rPr>
      </w:pPr>
      <w:r w:rsidRPr="00F91FD7">
        <w:rPr>
          <w:rFonts w:ascii="Times New Roman" w:hAnsi="Times New Roman"/>
          <w:sz w:val="22"/>
          <w:szCs w:val="22"/>
          <w:lang w:val="lt-LT"/>
        </w:rPr>
        <w:br w:type="page"/>
      </w:r>
      <w:r w:rsidRPr="00F91FD7">
        <w:rPr>
          <w:rFonts w:ascii="Times New Roman" w:hAnsi="Times New Roman"/>
          <w:b/>
          <w:sz w:val="22"/>
          <w:szCs w:val="22"/>
          <w:lang w:val="lt-LT"/>
        </w:rPr>
        <w:lastRenderedPageBreak/>
        <w:t>1.</w:t>
      </w:r>
      <w:r w:rsidRPr="00F91FD7">
        <w:rPr>
          <w:rFonts w:ascii="Times New Roman" w:hAnsi="Times New Roman"/>
          <w:b/>
          <w:sz w:val="22"/>
          <w:szCs w:val="22"/>
          <w:lang w:val="lt-LT"/>
        </w:rPr>
        <w:tab/>
        <w:t>VAISTINIO PREPARATO PAVADINIMAS</w:t>
      </w:r>
    </w:p>
    <w:p w14:paraId="363DA80B" w14:textId="77777777" w:rsidR="00DE3708" w:rsidRPr="00F91FD7" w:rsidRDefault="00DE3708" w:rsidP="00307CD6">
      <w:pPr>
        <w:shd w:val="clear" w:color="auto" w:fill="FFFFFF"/>
        <w:spacing w:line="240" w:lineRule="auto"/>
        <w:contextualSpacing/>
        <w:jc w:val="both"/>
        <w:rPr>
          <w:szCs w:val="22"/>
        </w:rPr>
      </w:pPr>
      <w:bookmarkStart w:id="0" w:name="OLE_LINK4"/>
      <w:bookmarkStart w:id="1" w:name="OLE_LINK3"/>
    </w:p>
    <w:p w14:paraId="76648822" w14:textId="77777777" w:rsidR="00DE3708" w:rsidRPr="0078402A" w:rsidRDefault="00DE3708" w:rsidP="00307CD6">
      <w:pPr>
        <w:shd w:val="clear" w:color="auto" w:fill="FFFFFF"/>
        <w:spacing w:line="240" w:lineRule="auto"/>
        <w:contextualSpacing/>
        <w:jc w:val="both"/>
        <w:rPr>
          <w:szCs w:val="22"/>
        </w:rPr>
      </w:pPr>
      <w:proofErr w:type="spellStart"/>
      <w:r w:rsidRPr="0078402A">
        <w:rPr>
          <w:szCs w:val="22"/>
        </w:rPr>
        <w:t>Suvartar</w:t>
      </w:r>
      <w:proofErr w:type="spellEnd"/>
      <w:r w:rsidRPr="0078402A">
        <w:rPr>
          <w:szCs w:val="22"/>
        </w:rPr>
        <w:t xml:space="preserve"> 80 mg plėvele dengtos tabletės</w:t>
      </w:r>
    </w:p>
    <w:p w14:paraId="09C76DE6" w14:textId="77777777" w:rsidR="00DE3708" w:rsidRPr="001E6DB9" w:rsidRDefault="00DE3708" w:rsidP="00307CD6">
      <w:pPr>
        <w:shd w:val="clear" w:color="auto" w:fill="FFFFFF"/>
        <w:spacing w:line="240" w:lineRule="auto"/>
        <w:contextualSpacing/>
        <w:jc w:val="both"/>
        <w:rPr>
          <w:szCs w:val="22"/>
          <w:highlight w:val="lightGray"/>
        </w:rPr>
      </w:pPr>
      <w:proofErr w:type="spellStart"/>
      <w:r w:rsidRPr="001E6DB9">
        <w:rPr>
          <w:szCs w:val="22"/>
          <w:highlight w:val="lightGray"/>
        </w:rPr>
        <w:t>Suvartar</w:t>
      </w:r>
      <w:proofErr w:type="spellEnd"/>
      <w:r w:rsidRPr="001E6DB9">
        <w:rPr>
          <w:szCs w:val="22"/>
          <w:highlight w:val="lightGray"/>
        </w:rPr>
        <w:t xml:space="preserve"> 160 mg plėvele dengtos tabletės</w:t>
      </w:r>
    </w:p>
    <w:bookmarkEnd w:id="0"/>
    <w:bookmarkEnd w:id="1"/>
    <w:p w14:paraId="42CFD99C" w14:textId="77777777" w:rsidR="00DE3708" w:rsidRPr="00F50D13" w:rsidRDefault="00DE3708" w:rsidP="00307CD6">
      <w:pPr>
        <w:shd w:val="clear" w:color="auto" w:fill="FFFFFF"/>
        <w:spacing w:line="240" w:lineRule="auto"/>
        <w:contextualSpacing/>
        <w:jc w:val="both"/>
        <w:rPr>
          <w:szCs w:val="22"/>
        </w:rPr>
      </w:pPr>
      <w:proofErr w:type="spellStart"/>
      <w:r w:rsidRPr="001E6DB9">
        <w:rPr>
          <w:szCs w:val="22"/>
          <w:highlight w:val="lightGray"/>
        </w:rPr>
        <w:t>Suvartar</w:t>
      </w:r>
      <w:proofErr w:type="spellEnd"/>
      <w:r w:rsidRPr="001E6DB9">
        <w:rPr>
          <w:szCs w:val="22"/>
          <w:highlight w:val="lightGray"/>
        </w:rPr>
        <w:t xml:space="preserve"> 320 mg plėvele dengtos tabletės</w:t>
      </w:r>
    </w:p>
    <w:p w14:paraId="3ADC1355" w14:textId="77777777" w:rsidR="00DE3708" w:rsidRPr="00F50D13" w:rsidRDefault="00DE3708" w:rsidP="00307CD6">
      <w:pPr>
        <w:shd w:val="clear" w:color="auto" w:fill="FFFFFF"/>
        <w:spacing w:line="240" w:lineRule="auto"/>
        <w:contextualSpacing/>
        <w:jc w:val="both"/>
        <w:rPr>
          <w:szCs w:val="22"/>
        </w:rPr>
      </w:pPr>
    </w:p>
    <w:p w14:paraId="27DE7FAB" w14:textId="77777777" w:rsidR="00DE3708" w:rsidRPr="00F91FD7" w:rsidRDefault="00DE3708" w:rsidP="00307CD6">
      <w:pPr>
        <w:spacing w:line="240" w:lineRule="auto"/>
        <w:contextualSpacing/>
        <w:jc w:val="both"/>
        <w:rPr>
          <w:szCs w:val="22"/>
        </w:rPr>
      </w:pPr>
    </w:p>
    <w:p w14:paraId="1DD48A28" w14:textId="77777777" w:rsidR="00DE3708" w:rsidRPr="00F91FD7" w:rsidRDefault="00DE3708" w:rsidP="00307CD6">
      <w:pPr>
        <w:spacing w:line="240" w:lineRule="auto"/>
        <w:ind w:left="567" w:hanging="567"/>
        <w:contextualSpacing/>
        <w:rPr>
          <w:b/>
          <w:szCs w:val="22"/>
        </w:rPr>
      </w:pPr>
      <w:r w:rsidRPr="00F91FD7">
        <w:rPr>
          <w:b/>
          <w:szCs w:val="22"/>
        </w:rPr>
        <w:t>2.</w:t>
      </w:r>
      <w:r w:rsidRPr="00F91FD7">
        <w:rPr>
          <w:b/>
          <w:szCs w:val="22"/>
        </w:rPr>
        <w:tab/>
        <w:t>KOKYBINĖ IR KIEKYBINĖ SUDĖTIS</w:t>
      </w:r>
    </w:p>
    <w:p w14:paraId="7DC4DB7F" w14:textId="77777777" w:rsidR="00DE3708" w:rsidRPr="0078402A" w:rsidRDefault="00DE3708" w:rsidP="00307CD6">
      <w:pPr>
        <w:shd w:val="clear" w:color="auto" w:fill="FFFFFF"/>
        <w:spacing w:line="240" w:lineRule="auto"/>
        <w:contextualSpacing/>
        <w:rPr>
          <w:szCs w:val="22"/>
        </w:rPr>
      </w:pPr>
    </w:p>
    <w:p w14:paraId="04259578" w14:textId="77777777" w:rsidR="00DE3708" w:rsidRPr="00307CD6" w:rsidRDefault="00DE3708" w:rsidP="00307CD6">
      <w:pPr>
        <w:shd w:val="clear" w:color="auto" w:fill="FFFFFF"/>
        <w:spacing w:line="240" w:lineRule="auto"/>
        <w:contextualSpacing/>
        <w:rPr>
          <w:szCs w:val="22"/>
        </w:rPr>
      </w:pPr>
      <w:r w:rsidRPr="00307CD6">
        <w:rPr>
          <w:szCs w:val="22"/>
        </w:rPr>
        <w:t>Kiekvienoje plėvele dengtoje tabletėje yra 80 mg valsartano.</w:t>
      </w:r>
    </w:p>
    <w:p w14:paraId="30E3D9A9"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Kiekvienoje plėvele dengtoje tabletėje yra 160 mg valsartano.</w:t>
      </w:r>
    </w:p>
    <w:p w14:paraId="302203A9" w14:textId="77777777" w:rsidR="00DE3708" w:rsidRPr="00F50D13" w:rsidRDefault="00DE3708" w:rsidP="00307CD6">
      <w:pPr>
        <w:shd w:val="clear" w:color="auto" w:fill="FFFFFF"/>
        <w:spacing w:line="240" w:lineRule="auto"/>
        <w:contextualSpacing/>
        <w:rPr>
          <w:szCs w:val="22"/>
        </w:rPr>
      </w:pPr>
      <w:r w:rsidRPr="001E6DB9">
        <w:rPr>
          <w:szCs w:val="22"/>
          <w:highlight w:val="lightGray"/>
        </w:rPr>
        <w:t>Kiekvienoje plėvele dengtoje tabletėje yra 320 mg valsartano</w:t>
      </w:r>
      <w:r w:rsidRPr="00F50D13">
        <w:rPr>
          <w:szCs w:val="22"/>
        </w:rPr>
        <w:t>.</w:t>
      </w:r>
    </w:p>
    <w:p w14:paraId="23F32703" w14:textId="77777777" w:rsidR="00DE3708" w:rsidRPr="00F50D13" w:rsidRDefault="00DE3708" w:rsidP="00307CD6">
      <w:pPr>
        <w:shd w:val="clear" w:color="auto" w:fill="FFFFFF"/>
        <w:spacing w:line="240" w:lineRule="auto"/>
        <w:contextualSpacing/>
        <w:rPr>
          <w:szCs w:val="22"/>
        </w:rPr>
      </w:pPr>
    </w:p>
    <w:p w14:paraId="422C75E8" w14:textId="77777777" w:rsidR="00DE3708" w:rsidRPr="00F91FD7" w:rsidRDefault="00DE3708" w:rsidP="00307CD6">
      <w:pPr>
        <w:spacing w:line="240" w:lineRule="auto"/>
        <w:contextualSpacing/>
        <w:rPr>
          <w:szCs w:val="22"/>
        </w:rPr>
      </w:pPr>
      <w:r w:rsidRPr="00F91FD7">
        <w:rPr>
          <w:szCs w:val="22"/>
        </w:rPr>
        <w:t>Visos pagalbinės medžiagos išvardytos 6.1 skyriuje.</w:t>
      </w:r>
    </w:p>
    <w:p w14:paraId="3EB41AA0" w14:textId="77777777" w:rsidR="00DE3708" w:rsidRPr="00F91FD7" w:rsidRDefault="00DE3708" w:rsidP="00307CD6">
      <w:pPr>
        <w:spacing w:line="240" w:lineRule="auto"/>
        <w:contextualSpacing/>
        <w:rPr>
          <w:szCs w:val="22"/>
        </w:rPr>
      </w:pPr>
    </w:p>
    <w:p w14:paraId="1E6E41B2" w14:textId="77777777" w:rsidR="00DE3708" w:rsidRPr="0078402A" w:rsidRDefault="00DE3708" w:rsidP="00307CD6">
      <w:pPr>
        <w:spacing w:line="240" w:lineRule="auto"/>
        <w:contextualSpacing/>
        <w:rPr>
          <w:szCs w:val="22"/>
        </w:rPr>
      </w:pPr>
    </w:p>
    <w:p w14:paraId="06DB0DC7" w14:textId="77777777" w:rsidR="00DE3708" w:rsidRPr="00307CD6" w:rsidRDefault="00DE3708" w:rsidP="00307CD6">
      <w:pPr>
        <w:spacing w:line="240" w:lineRule="auto"/>
        <w:ind w:left="567" w:hanging="567"/>
        <w:contextualSpacing/>
        <w:rPr>
          <w:b/>
          <w:szCs w:val="22"/>
        </w:rPr>
      </w:pPr>
      <w:r w:rsidRPr="00307CD6">
        <w:rPr>
          <w:b/>
          <w:szCs w:val="22"/>
        </w:rPr>
        <w:t>3.</w:t>
      </w:r>
      <w:r w:rsidRPr="00307CD6">
        <w:rPr>
          <w:b/>
          <w:szCs w:val="22"/>
        </w:rPr>
        <w:tab/>
        <w:t>FARMACINĖ FORMA</w:t>
      </w:r>
    </w:p>
    <w:p w14:paraId="1CAC430B" w14:textId="77777777" w:rsidR="00DE3708" w:rsidRPr="00307CD6" w:rsidRDefault="00DE3708" w:rsidP="00307CD6">
      <w:pPr>
        <w:spacing w:line="240" w:lineRule="auto"/>
        <w:contextualSpacing/>
        <w:jc w:val="both"/>
        <w:rPr>
          <w:szCs w:val="22"/>
        </w:rPr>
      </w:pPr>
    </w:p>
    <w:p w14:paraId="1794B5DF" w14:textId="77777777" w:rsidR="00DE3708" w:rsidRPr="007F15BA" w:rsidRDefault="00DE3708" w:rsidP="00307CD6">
      <w:pPr>
        <w:spacing w:line="240" w:lineRule="auto"/>
        <w:contextualSpacing/>
        <w:rPr>
          <w:szCs w:val="22"/>
        </w:rPr>
      </w:pPr>
      <w:r w:rsidRPr="007F15BA">
        <w:rPr>
          <w:szCs w:val="22"/>
        </w:rPr>
        <w:t>Plėvele dengta tabletė (tabletė).</w:t>
      </w:r>
    </w:p>
    <w:p w14:paraId="3F11DA51" w14:textId="77777777" w:rsidR="00DE3708" w:rsidRPr="007F15BA" w:rsidRDefault="00DE3708" w:rsidP="00307CD6">
      <w:pPr>
        <w:spacing w:line="240" w:lineRule="auto"/>
        <w:contextualSpacing/>
        <w:rPr>
          <w:szCs w:val="22"/>
        </w:rPr>
      </w:pPr>
    </w:p>
    <w:p w14:paraId="2AF13902" w14:textId="77777777" w:rsidR="00DE3708" w:rsidRPr="00D36517" w:rsidRDefault="00DE3708" w:rsidP="00307CD6">
      <w:pPr>
        <w:shd w:val="clear" w:color="auto" w:fill="FFFFFF"/>
        <w:spacing w:line="240" w:lineRule="auto"/>
        <w:contextualSpacing/>
        <w:rPr>
          <w:i/>
          <w:szCs w:val="22"/>
        </w:rPr>
      </w:pPr>
      <w:proofErr w:type="spellStart"/>
      <w:r w:rsidRPr="00D36517">
        <w:rPr>
          <w:i/>
          <w:szCs w:val="22"/>
        </w:rPr>
        <w:t>Suvartar</w:t>
      </w:r>
      <w:proofErr w:type="spellEnd"/>
      <w:r w:rsidRPr="00D36517">
        <w:rPr>
          <w:i/>
          <w:szCs w:val="22"/>
        </w:rPr>
        <w:t xml:space="preserve"> 80 mg plėvele dengtos tabletės </w:t>
      </w:r>
    </w:p>
    <w:p w14:paraId="0324C491" w14:textId="77777777" w:rsidR="00DE3708" w:rsidRPr="009F455C" w:rsidRDefault="00DE3708" w:rsidP="00307CD6">
      <w:pPr>
        <w:shd w:val="clear" w:color="auto" w:fill="FFFFFF"/>
        <w:spacing w:line="240" w:lineRule="auto"/>
        <w:contextualSpacing/>
        <w:rPr>
          <w:szCs w:val="22"/>
        </w:rPr>
      </w:pPr>
      <w:r w:rsidRPr="00D36517">
        <w:rPr>
          <w:szCs w:val="22"/>
        </w:rPr>
        <w:t>Rausva, apvali, maždaug 8,2 mm diametro plėvele dengta tabletė, nuožulniais kraštais, vienoje jos pusėje yra vagelė, šalia kurios iš vienos pusės įsp</w:t>
      </w:r>
      <w:r w:rsidRPr="009F455C">
        <w:rPr>
          <w:szCs w:val="22"/>
        </w:rPr>
        <w:t>austa raidė „D“, iš kitos – „V“, kitoje tabletės pusėje įspaustos raidės „NVR“.</w:t>
      </w:r>
    </w:p>
    <w:p w14:paraId="3495A30D" w14:textId="77777777" w:rsidR="00DE3708" w:rsidRPr="009F455C" w:rsidRDefault="00DE3708" w:rsidP="00307CD6">
      <w:pPr>
        <w:shd w:val="clear" w:color="auto" w:fill="FFFFFF"/>
        <w:spacing w:line="240" w:lineRule="auto"/>
        <w:contextualSpacing/>
        <w:rPr>
          <w:b/>
          <w:szCs w:val="22"/>
        </w:rPr>
      </w:pPr>
      <w:r w:rsidRPr="009F455C">
        <w:rPr>
          <w:szCs w:val="22"/>
        </w:rPr>
        <w:t xml:space="preserve">Vagelė skirta tik tabletei perlaužti, kad būtų lengviau nuryti, bet ne jai padalyti į lygias </w:t>
      </w:r>
      <w:r w:rsidR="001E6DB9">
        <w:rPr>
          <w:szCs w:val="22"/>
        </w:rPr>
        <w:t>dalis</w:t>
      </w:r>
      <w:r w:rsidRPr="009F455C">
        <w:rPr>
          <w:szCs w:val="22"/>
        </w:rPr>
        <w:t>.</w:t>
      </w:r>
    </w:p>
    <w:p w14:paraId="6B9D024A" w14:textId="77777777" w:rsidR="00DE3708" w:rsidRPr="001765A8" w:rsidRDefault="00DE3708" w:rsidP="00307CD6">
      <w:pPr>
        <w:shd w:val="clear" w:color="auto" w:fill="FFFFFF"/>
        <w:spacing w:line="240" w:lineRule="auto"/>
        <w:contextualSpacing/>
        <w:rPr>
          <w:szCs w:val="22"/>
        </w:rPr>
      </w:pPr>
    </w:p>
    <w:p w14:paraId="016DB631"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160 mg plėvele dengtos tabletės </w:t>
      </w:r>
    </w:p>
    <w:p w14:paraId="68F31917"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Pilkai oranžinė, ovali, maždaug </w:t>
      </w:r>
      <w:r w:rsidRPr="001E6DB9">
        <w:rPr>
          <w:bCs/>
          <w:szCs w:val="22"/>
          <w:highlight w:val="lightGray"/>
        </w:rPr>
        <w:t>14,2 mm x 5,7 mm</w:t>
      </w:r>
      <w:r w:rsidRPr="001E6DB9">
        <w:rPr>
          <w:szCs w:val="22"/>
          <w:highlight w:val="lightGray"/>
        </w:rPr>
        <w:t xml:space="preserve"> plėvele dengta tabletė, šiek tiek išgaubta, vienoje jos pusėje yra vagelė, šalia kurios iš abiejų pusių įspaustos raidės „DX“, kitoje tabletės pusėje įspaustos raidės „NVR“.</w:t>
      </w:r>
    </w:p>
    <w:p w14:paraId="51167666" w14:textId="77777777" w:rsidR="00DE3708" w:rsidRPr="001E6DB9" w:rsidRDefault="00DE3708" w:rsidP="00307CD6">
      <w:pPr>
        <w:shd w:val="clear" w:color="auto" w:fill="FFFFFF"/>
        <w:spacing w:line="240" w:lineRule="auto"/>
        <w:contextualSpacing/>
        <w:rPr>
          <w:b/>
          <w:szCs w:val="22"/>
          <w:highlight w:val="lightGray"/>
        </w:rPr>
      </w:pPr>
      <w:r w:rsidRPr="001E6DB9">
        <w:rPr>
          <w:szCs w:val="22"/>
          <w:highlight w:val="lightGray"/>
        </w:rPr>
        <w:t>Vagelė skirta tik tabletei perlaužti, kad būtų lengviau nuryti, bet ne jai padalyti į lygias dozes.</w:t>
      </w:r>
    </w:p>
    <w:p w14:paraId="65C913B3" w14:textId="77777777" w:rsidR="00DE3708" w:rsidRPr="001E6DB9" w:rsidRDefault="00DE3708" w:rsidP="00307CD6">
      <w:pPr>
        <w:shd w:val="clear" w:color="auto" w:fill="FFFFFF"/>
        <w:spacing w:line="240" w:lineRule="auto"/>
        <w:contextualSpacing/>
        <w:rPr>
          <w:szCs w:val="22"/>
          <w:highlight w:val="lightGray"/>
        </w:rPr>
      </w:pPr>
    </w:p>
    <w:p w14:paraId="6E05A266"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320 mg plėvele dengtos tabletės </w:t>
      </w:r>
    </w:p>
    <w:p w14:paraId="6934243B"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Pilkai violetinė, ovali, maždaug </w:t>
      </w:r>
      <w:r w:rsidRPr="001E6DB9">
        <w:rPr>
          <w:bCs/>
          <w:szCs w:val="22"/>
          <w:highlight w:val="lightGray"/>
        </w:rPr>
        <w:t>17,6 mm x 8,1 mm plėvele</w:t>
      </w:r>
      <w:r w:rsidRPr="001E6DB9">
        <w:rPr>
          <w:szCs w:val="22"/>
          <w:highlight w:val="lightGray"/>
        </w:rPr>
        <w:t xml:space="preserve"> dengta tabletė, šiek tiek išgaubta, nuožulniais kraštais, vienoje jos pusėje yra vagelė, šalia kurios iš abiejų pusių įspaustos raidės „DC“, kitoje tabletės pusėje įspaustos raidės „NVR“.</w:t>
      </w:r>
    </w:p>
    <w:p w14:paraId="105ECAF8" w14:textId="77777777" w:rsidR="00DE3708" w:rsidRPr="00F50D13" w:rsidRDefault="00DE3708" w:rsidP="00307CD6">
      <w:pPr>
        <w:shd w:val="clear" w:color="auto" w:fill="FFFFFF"/>
        <w:spacing w:line="240" w:lineRule="auto"/>
        <w:contextualSpacing/>
        <w:rPr>
          <w:b/>
          <w:szCs w:val="22"/>
        </w:rPr>
      </w:pPr>
      <w:r w:rsidRPr="001E6DB9">
        <w:rPr>
          <w:szCs w:val="22"/>
          <w:highlight w:val="lightGray"/>
        </w:rPr>
        <w:t>Vagelė skirta tik tabletei perlaužti, kad būtų lengviau nuryti, bet ne jai padalyti į lygias dozes.</w:t>
      </w:r>
    </w:p>
    <w:p w14:paraId="1F9D5646" w14:textId="77777777" w:rsidR="00DE3708" w:rsidRPr="00F50D13" w:rsidRDefault="00DE3708" w:rsidP="00307CD6">
      <w:pPr>
        <w:spacing w:line="240" w:lineRule="auto"/>
        <w:contextualSpacing/>
        <w:rPr>
          <w:szCs w:val="22"/>
        </w:rPr>
      </w:pPr>
    </w:p>
    <w:p w14:paraId="72038E86" w14:textId="77777777" w:rsidR="00DE3708" w:rsidRPr="00F91FD7" w:rsidRDefault="00DE3708" w:rsidP="00307CD6">
      <w:pPr>
        <w:spacing w:line="240" w:lineRule="auto"/>
        <w:contextualSpacing/>
        <w:rPr>
          <w:szCs w:val="22"/>
        </w:rPr>
      </w:pPr>
    </w:p>
    <w:p w14:paraId="0D7F9562" w14:textId="77777777" w:rsidR="00DE3708" w:rsidRPr="00F91FD7" w:rsidRDefault="00DE3708" w:rsidP="00307CD6">
      <w:pPr>
        <w:spacing w:line="240" w:lineRule="auto"/>
        <w:ind w:left="567" w:hanging="567"/>
        <w:contextualSpacing/>
        <w:rPr>
          <w:b/>
          <w:szCs w:val="22"/>
        </w:rPr>
      </w:pPr>
      <w:r w:rsidRPr="00F91FD7">
        <w:rPr>
          <w:b/>
          <w:szCs w:val="22"/>
        </w:rPr>
        <w:t>4.</w:t>
      </w:r>
      <w:r w:rsidRPr="00F91FD7">
        <w:rPr>
          <w:b/>
          <w:szCs w:val="22"/>
        </w:rPr>
        <w:tab/>
        <w:t>KLINIKINĖ INFORMACIJA</w:t>
      </w:r>
    </w:p>
    <w:p w14:paraId="729276E3" w14:textId="77777777" w:rsidR="00DE3708" w:rsidRPr="0078402A" w:rsidRDefault="00DE3708" w:rsidP="00307CD6">
      <w:pPr>
        <w:spacing w:line="240" w:lineRule="auto"/>
        <w:contextualSpacing/>
        <w:rPr>
          <w:b/>
          <w:szCs w:val="22"/>
        </w:rPr>
      </w:pPr>
    </w:p>
    <w:p w14:paraId="77E7DBB2" w14:textId="77777777" w:rsidR="00DE3708" w:rsidRPr="00307CD6" w:rsidRDefault="00DE3708" w:rsidP="00307CD6">
      <w:pPr>
        <w:spacing w:line="240" w:lineRule="auto"/>
        <w:ind w:left="567" w:hanging="567"/>
        <w:contextualSpacing/>
        <w:rPr>
          <w:b/>
          <w:szCs w:val="22"/>
        </w:rPr>
      </w:pPr>
      <w:r w:rsidRPr="00307CD6">
        <w:rPr>
          <w:b/>
          <w:szCs w:val="22"/>
        </w:rPr>
        <w:t>4.1</w:t>
      </w:r>
      <w:r w:rsidRPr="00307CD6">
        <w:rPr>
          <w:b/>
          <w:szCs w:val="22"/>
        </w:rPr>
        <w:tab/>
        <w:t>Terapinės indikacijos</w:t>
      </w:r>
    </w:p>
    <w:p w14:paraId="14E437F9" w14:textId="77777777" w:rsidR="00DE3708" w:rsidRPr="00307CD6" w:rsidRDefault="00DE3708" w:rsidP="00307CD6">
      <w:pPr>
        <w:shd w:val="clear" w:color="auto" w:fill="FFFFFF"/>
        <w:spacing w:line="240" w:lineRule="auto"/>
        <w:contextualSpacing/>
        <w:rPr>
          <w:szCs w:val="22"/>
        </w:rPr>
      </w:pPr>
    </w:p>
    <w:p w14:paraId="12440C20" w14:textId="77777777" w:rsidR="00DE3708" w:rsidRPr="0078402A" w:rsidRDefault="00DE3708" w:rsidP="00307CD6">
      <w:pPr>
        <w:shd w:val="clear" w:color="auto" w:fill="FFFFFF"/>
        <w:spacing w:line="240" w:lineRule="auto"/>
        <w:contextualSpacing/>
        <w:rPr>
          <w:szCs w:val="22"/>
          <w:u w:val="single"/>
        </w:rPr>
      </w:pPr>
      <w:r w:rsidRPr="007F15BA">
        <w:rPr>
          <w:szCs w:val="22"/>
          <w:u w:val="single"/>
        </w:rPr>
        <w:t>Arterinė hipertenzija (80</w:t>
      </w:r>
      <w:r w:rsidR="0078402A">
        <w:rPr>
          <w:szCs w:val="22"/>
          <w:u w:val="single"/>
        </w:rPr>
        <w:t> </w:t>
      </w:r>
      <w:r w:rsidRPr="0078402A">
        <w:rPr>
          <w:szCs w:val="22"/>
          <w:u w:val="single"/>
        </w:rPr>
        <w:t>mg, 160</w:t>
      </w:r>
      <w:r w:rsidR="0078402A">
        <w:rPr>
          <w:szCs w:val="22"/>
          <w:u w:val="single"/>
        </w:rPr>
        <w:t> </w:t>
      </w:r>
      <w:r w:rsidRPr="0078402A">
        <w:rPr>
          <w:szCs w:val="22"/>
          <w:u w:val="single"/>
        </w:rPr>
        <w:t>mg ir 320</w:t>
      </w:r>
      <w:r w:rsidR="0078402A">
        <w:rPr>
          <w:szCs w:val="22"/>
          <w:u w:val="single"/>
        </w:rPr>
        <w:t> </w:t>
      </w:r>
      <w:r w:rsidRPr="0078402A">
        <w:rPr>
          <w:szCs w:val="22"/>
          <w:u w:val="single"/>
        </w:rPr>
        <w:t>mg)</w:t>
      </w:r>
    </w:p>
    <w:p w14:paraId="5791D1BC" w14:textId="630E0A76" w:rsidR="00DE3708" w:rsidRPr="0078402A" w:rsidRDefault="00DE3708" w:rsidP="00307CD6">
      <w:pPr>
        <w:shd w:val="clear" w:color="auto" w:fill="FFFFFF"/>
        <w:spacing w:line="240" w:lineRule="auto"/>
        <w:contextualSpacing/>
        <w:rPr>
          <w:szCs w:val="22"/>
        </w:rPr>
      </w:pPr>
      <w:r w:rsidRPr="0078402A">
        <w:rPr>
          <w:szCs w:val="22"/>
        </w:rPr>
        <w:t xml:space="preserve">Pirminės arterinės hipertenzijos gydymas suaugusiesiems bei hipertenzijos gydymas </w:t>
      </w:r>
      <w:r w:rsidR="00E64FCC">
        <w:rPr>
          <w:szCs w:val="22"/>
        </w:rPr>
        <w:t xml:space="preserve">nuo </w:t>
      </w:r>
      <w:r w:rsidRPr="0078402A">
        <w:rPr>
          <w:szCs w:val="22"/>
        </w:rPr>
        <w:t>6</w:t>
      </w:r>
      <w:r w:rsidR="00E64FCC">
        <w:rPr>
          <w:szCs w:val="22"/>
        </w:rPr>
        <w:t xml:space="preserve"> iki mažiau kaip </w:t>
      </w:r>
      <w:r w:rsidRPr="0078402A">
        <w:rPr>
          <w:szCs w:val="22"/>
        </w:rPr>
        <w:t>18 metų vaikams ir paaugliams.</w:t>
      </w:r>
    </w:p>
    <w:p w14:paraId="1027F649" w14:textId="77777777" w:rsidR="00DE3708" w:rsidRPr="00307CD6" w:rsidRDefault="00DE3708" w:rsidP="00307CD6">
      <w:pPr>
        <w:shd w:val="clear" w:color="auto" w:fill="FFFFFF"/>
        <w:spacing w:line="240" w:lineRule="auto"/>
        <w:contextualSpacing/>
        <w:rPr>
          <w:szCs w:val="22"/>
        </w:rPr>
      </w:pPr>
    </w:p>
    <w:p w14:paraId="682011F4"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Neseniai ištikęs miokardo infarktas (tik 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 xml:space="preserve">mg) </w:t>
      </w:r>
    </w:p>
    <w:p w14:paraId="315DA9C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Simptominio širdies nepakankamumo arba </w:t>
      </w:r>
      <w:proofErr w:type="spellStart"/>
      <w:r w:rsidRPr="001E6DB9">
        <w:rPr>
          <w:color w:val="auto"/>
          <w:sz w:val="22"/>
          <w:szCs w:val="22"/>
        </w:rPr>
        <w:t>besimptomio</w:t>
      </w:r>
      <w:proofErr w:type="spellEnd"/>
      <w:r w:rsidRPr="001E6DB9">
        <w:rPr>
          <w:color w:val="auto"/>
          <w:sz w:val="22"/>
          <w:szCs w:val="22"/>
        </w:rPr>
        <w:t xml:space="preserve"> </w:t>
      </w:r>
      <w:proofErr w:type="spellStart"/>
      <w:r w:rsidRPr="001E6DB9">
        <w:rPr>
          <w:color w:val="auto"/>
          <w:sz w:val="22"/>
          <w:szCs w:val="22"/>
        </w:rPr>
        <w:t>sistolinės</w:t>
      </w:r>
      <w:proofErr w:type="spellEnd"/>
      <w:r w:rsidRPr="001E6DB9">
        <w:rPr>
          <w:color w:val="auto"/>
          <w:sz w:val="22"/>
          <w:szCs w:val="22"/>
        </w:rPr>
        <w:t xml:space="preserve"> kairiojo skilvelio funkcijos sutrikimo, atsiradusio po neseniai (prieš 12 val. - 10</w:t>
      </w:r>
      <w:r w:rsidR="0078402A">
        <w:rPr>
          <w:color w:val="auto"/>
          <w:sz w:val="22"/>
          <w:szCs w:val="22"/>
        </w:rPr>
        <w:t> </w:t>
      </w:r>
      <w:r w:rsidRPr="001E6DB9">
        <w:rPr>
          <w:color w:val="auto"/>
          <w:sz w:val="22"/>
          <w:szCs w:val="22"/>
        </w:rPr>
        <w:t xml:space="preserve">parų) ištikusio miokardo infarkto, gydymas tuo atveju, jeigu paciento būklė stabili (žr. 4.4 ir 5.1 skyrius). </w:t>
      </w:r>
    </w:p>
    <w:p w14:paraId="71467BCC" w14:textId="77777777" w:rsidR="00DE3708" w:rsidRPr="001E6DB9" w:rsidRDefault="00DE3708" w:rsidP="00307CD6">
      <w:pPr>
        <w:pStyle w:val="Default"/>
        <w:shd w:val="clear" w:color="auto" w:fill="FFFFFF"/>
        <w:contextualSpacing/>
        <w:rPr>
          <w:color w:val="auto"/>
          <w:sz w:val="22"/>
          <w:szCs w:val="22"/>
          <w:u w:val="single"/>
        </w:rPr>
      </w:pPr>
    </w:p>
    <w:p w14:paraId="380838C5"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Širdies nepakankamumas (80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mg)</w:t>
      </w:r>
    </w:p>
    <w:p w14:paraId="2E76BA8E" w14:textId="677BE603" w:rsidR="00DE3708" w:rsidRPr="00F91FD7" w:rsidRDefault="00DE3708" w:rsidP="00307CD6">
      <w:pPr>
        <w:spacing w:line="240" w:lineRule="auto"/>
        <w:contextualSpacing/>
        <w:jc w:val="both"/>
        <w:rPr>
          <w:rFonts w:eastAsia="Batang"/>
          <w:b/>
          <w:szCs w:val="22"/>
        </w:rPr>
      </w:pPr>
      <w:r w:rsidRPr="00F50D13">
        <w:rPr>
          <w:szCs w:val="22"/>
        </w:rPr>
        <w:t xml:space="preserve">Suaugusių pacientų, kurie serga simptominiu širdies nepakankamumu, gydymas, kai netoleruojami </w:t>
      </w:r>
      <w:r w:rsidR="00E64FCC" w:rsidRPr="00E64FCC">
        <w:rPr>
          <w:szCs w:val="22"/>
        </w:rPr>
        <w:t xml:space="preserve">angiotenziną konvertuojančio fermento </w:t>
      </w:r>
      <w:r w:rsidR="00E64FCC">
        <w:rPr>
          <w:szCs w:val="22"/>
        </w:rPr>
        <w:t>(</w:t>
      </w:r>
      <w:r w:rsidRPr="00F50D13">
        <w:rPr>
          <w:szCs w:val="22"/>
        </w:rPr>
        <w:t>AKF</w:t>
      </w:r>
      <w:r w:rsidR="00E64FCC">
        <w:rPr>
          <w:szCs w:val="22"/>
        </w:rPr>
        <w:t>)</w:t>
      </w:r>
      <w:r w:rsidRPr="00F50D13">
        <w:rPr>
          <w:szCs w:val="22"/>
        </w:rPr>
        <w:t xml:space="preserve"> inhibitoriai, arba pacientų, kurie netoleruoja beta adrenoblokatorių, gydymo AKF inhibitoriais papildymas, kai negalima vartoti </w:t>
      </w:r>
      <w:proofErr w:type="spellStart"/>
      <w:r w:rsidRPr="00F50D13">
        <w:rPr>
          <w:szCs w:val="22"/>
        </w:rPr>
        <w:t>mineralokortikoidinių</w:t>
      </w:r>
      <w:proofErr w:type="spellEnd"/>
      <w:r w:rsidRPr="00F50D13">
        <w:rPr>
          <w:szCs w:val="22"/>
        </w:rPr>
        <w:t xml:space="preserve"> receptorių antagonistų </w:t>
      </w:r>
      <w:r w:rsidRPr="00F50D13">
        <w:rPr>
          <w:rFonts w:eastAsia="Batang"/>
          <w:szCs w:val="22"/>
        </w:rPr>
        <w:t>(žr. 4.2,</w:t>
      </w:r>
      <w:r w:rsidRPr="00F91FD7">
        <w:rPr>
          <w:rFonts w:eastAsia="Batang"/>
          <w:szCs w:val="22"/>
        </w:rPr>
        <w:t xml:space="preserve"> 4.4, 4.5 ir 5.1 skyrius).</w:t>
      </w:r>
    </w:p>
    <w:p w14:paraId="1BDF9D06" w14:textId="77777777" w:rsidR="00DE3708" w:rsidRPr="001E6DB9" w:rsidRDefault="00DE3708" w:rsidP="00307CD6">
      <w:pPr>
        <w:pStyle w:val="Default"/>
        <w:contextualSpacing/>
        <w:rPr>
          <w:color w:val="auto"/>
          <w:sz w:val="22"/>
          <w:szCs w:val="22"/>
        </w:rPr>
      </w:pPr>
    </w:p>
    <w:p w14:paraId="6C97B4EF" w14:textId="77777777" w:rsidR="00DE3708" w:rsidRPr="00F50D13" w:rsidRDefault="00DE3708" w:rsidP="00307CD6">
      <w:pPr>
        <w:spacing w:line="240" w:lineRule="auto"/>
        <w:ind w:left="567" w:hanging="567"/>
        <w:contextualSpacing/>
        <w:rPr>
          <w:b/>
          <w:szCs w:val="22"/>
        </w:rPr>
      </w:pPr>
      <w:r w:rsidRPr="00F50D13">
        <w:rPr>
          <w:b/>
          <w:szCs w:val="22"/>
        </w:rPr>
        <w:t>4.2</w:t>
      </w:r>
      <w:r w:rsidRPr="00F50D13">
        <w:rPr>
          <w:b/>
          <w:szCs w:val="22"/>
        </w:rPr>
        <w:tab/>
        <w:t>Dozavimas ir vartojimo metodas</w:t>
      </w:r>
    </w:p>
    <w:p w14:paraId="13053927" w14:textId="77777777" w:rsidR="00DE3708" w:rsidRPr="00F50D13" w:rsidRDefault="00DE3708" w:rsidP="00307CD6">
      <w:pPr>
        <w:spacing w:line="240" w:lineRule="auto"/>
        <w:contextualSpacing/>
        <w:rPr>
          <w:szCs w:val="22"/>
        </w:rPr>
      </w:pPr>
    </w:p>
    <w:p w14:paraId="4A6E3840" w14:textId="77777777" w:rsidR="00DE3708" w:rsidRPr="001E6DB9" w:rsidRDefault="00DE3708" w:rsidP="00307CD6">
      <w:pPr>
        <w:pStyle w:val="Default"/>
        <w:contextualSpacing/>
        <w:rPr>
          <w:color w:val="auto"/>
          <w:sz w:val="22"/>
          <w:szCs w:val="22"/>
          <w:lang w:val="es-ES"/>
        </w:rPr>
      </w:pPr>
      <w:r w:rsidRPr="001E6DB9">
        <w:rPr>
          <w:color w:val="auto"/>
          <w:sz w:val="22"/>
          <w:szCs w:val="22"/>
          <w:u w:val="single"/>
        </w:rPr>
        <w:t xml:space="preserve">Dozavimas </w:t>
      </w:r>
    </w:p>
    <w:p w14:paraId="0170DA1A" w14:textId="77777777" w:rsidR="00DE3708" w:rsidRPr="001E6DB9" w:rsidRDefault="00DE3708" w:rsidP="00307CD6">
      <w:pPr>
        <w:pStyle w:val="Default"/>
        <w:contextualSpacing/>
        <w:rPr>
          <w:i/>
          <w:color w:val="auto"/>
          <w:sz w:val="22"/>
          <w:szCs w:val="22"/>
          <w:lang w:val="es-ES"/>
        </w:rPr>
      </w:pPr>
    </w:p>
    <w:p w14:paraId="616BCBAB" w14:textId="77777777" w:rsidR="00DE3708" w:rsidRPr="00F50D13" w:rsidRDefault="00DE3708" w:rsidP="00307CD6">
      <w:pPr>
        <w:shd w:val="clear" w:color="auto" w:fill="FFFFFF"/>
        <w:spacing w:line="240" w:lineRule="auto"/>
        <w:contextualSpacing/>
        <w:rPr>
          <w:szCs w:val="22"/>
          <w:u w:val="single"/>
        </w:rPr>
      </w:pPr>
      <w:r w:rsidRPr="00F50D13">
        <w:rPr>
          <w:szCs w:val="22"/>
          <w:u w:val="single"/>
        </w:rPr>
        <w:t>Arterinė hipertenzija (tik 80</w:t>
      </w:r>
      <w:r w:rsidR="0078402A">
        <w:rPr>
          <w:szCs w:val="22"/>
          <w:u w:val="single"/>
        </w:rPr>
        <w:t> </w:t>
      </w:r>
      <w:r w:rsidRPr="00F50D13">
        <w:rPr>
          <w:szCs w:val="22"/>
          <w:u w:val="single"/>
        </w:rPr>
        <w:t>mg, 160</w:t>
      </w:r>
      <w:r w:rsidR="0078402A">
        <w:rPr>
          <w:szCs w:val="22"/>
          <w:u w:val="single"/>
        </w:rPr>
        <w:t> </w:t>
      </w:r>
      <w:r w:rsidRPr="00F50D13">
        <w:rPr>
          <w:szCs w:val="22"/>
          <w:u w:val="single"/>
        </w:rPr>
        <w:t>mg ir 320</w:t>
      </w:r>
      <w:r w:rsidR="0078402A">
        <w:rPr>
          <w:szCs w:val="22"/>
          <w:u w:val="single"/>
        </w:rPr>
        <w:t> </w:t>
      </w:r>
      <w:r w:rsidRPr="00F50D13">
        <w:rPr>
          <w:szCs w:val="22"/>
          <w:u w:val="single"/>
        </w:rPr>
        <w:t>mg)</w:t>
      </w:r>
    </w:p>
    <w:p w14:paraId="7F71501C" w14:textId="77777777" w:rsidR="00DE3708" w:rsidRPr="00F91FD7" w:rsidRDefault="00DE3708" w:rsidP="00307CD6">
      <w:pPr>
        <w:shd w:val="clear" w:color="auto" w:fill="FFFFFF"/>
        <w:spacing w:line="240" w:lineRule="auto"/>
        <w:contextualSpacing/>
        <w:rPr>
          <w:szCs w:val="22"/>
        </w:rPr>
      </w:pPr>
      <w:r w:rsidRPr="00F50D13">
        <w:rPr>
          <w:szCs w:val="22"/>
        </w:rPr>
        <w:t xml:space="preserve">Rekomenduojama pradinė </w:t>
      </w:r>
      <w:proofErr w:type="spellStart"/>
      <w:r w:rsidRPr="00F50D13">
        <w:rPr>
          <w:szCs w:val="22"/>
        </w:rPr>
        <w:t>Suvartar</w:t>
      </w:r>
      <w:proofErr w:type="spellEnd"/>
      <w:r w:rsidRPr="00F50D13">
        <w:rPr>
          <w:szCs w:val="22"/>
        </w:rPr>
        <w:t xml:space="preserve"> dozė yra 80 mg vieną kartą per parą. Antihipertenzinis poveikis iš esmės pasireiškia per 2 savai</w:t>
      </w:r>
      <w:r w:rsidRPr="00F91FD7">
        <w:rPr>
          <w:szCs w:val="22"/>
        </w:rPr>
        <w:t>tes, o didžiausias efektas pasiekiamas per 4 savaites. Kai kuriems pacientams, kurių kraujospūdis susireguliuoja nepakankamai, dozę galima didinti iki 160 mg ir iki didžiausios 320 mg dozės.</w:t>
      </w:r>
    </w:p>
    <w:p w14:paraId="391B4A8B" w14:textId="77777777" w:rsidR="00DE3708" w:rsidRPr="00F91FD7" w:rsidRDefault="00DE3708" w:rsidP="00307CD6">
      <w:pPr>
        <w:shd w:val="clear" w:color="auto" w:fill="FFFFFF"/>
        <w:spacing w:line="240" w:lineRule="auto"/>
        <w:contextualSpacing/>
        <w:rPr>
          <w:szCs w:val="22"/>
        </w:rPr>
      </w:pPr>
      <w:proofErr w:type="spellStart"/>
      <w:r w:rsidRPr="00F91FD7">
        <w:rPr>
          <w:szCs w:val="22"/>
        </w:rPr>
        <w:t>Suvartar</w:t>
      </w:r>
      <w:proofErr w:type="spellEnd"/>
      <w:r w:rsidRPr="00F91FD7">
        <w:rPr>
          <w:szCs w:val="22"/>
        </w:rPr>
        <w:t xml:space="preserve"> taip pat galima skirti su kitais antihipertenziniais vaistiniais preparatais. Papildomai skiriant diuretikų, pavyzdžiui, hidrochlorotiazido, šiems pacientams netgi dar labiau sumažėja kraujospūdis (žr. 4.3, 4.4, 4.5  ir 5.1 skyrius).</w:t>
      </w:r>
    </w:p>
    <w:p w14:paraId="67078073" w14:textId="77777777" w:rsidR="00DE3708" w:rsidRPr="0078402A" w:rsidRDefault="00DE3708" w:rsidP="00307CD6">
      <w:pPr>
        <w:shd w:val="clear" w:color="auto" w:fill="FFFFFF"/>
        <w:spacing w:line="240" w:lineRule="auto"/>
        <w:contextualSpacing/>
        <w:rPr>
          <w:szCs w:val="22"/>
        </w:rPr>
      </w:pPr>
    </w:p>
    <w:p w14:paraId="25D7A055"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Neseniai ištikęs miokardo infarktas (tik 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mg)</w:t>
      </w:r>
    </w:p>
    <w:p w14:paraId="5C2EAD93" w14:textId="77777777" w:rsidR="00DE3708" w:rsidRPr="00F50D13" w:rsidRDefault="00DE3708" w:rsidP="00307CD6">
      <w:pPr>
        <w:pStyle w:val="Default"/>
        <w:shd w:val="clear" w:color="auto" w:fill="FFFFFF"/>
        <w:contextualSpacing/>
        <w:rPr>
          <w:color w:val="auto"/>
          <w:sz w:val="22"/>
          <w:szCs w:val="22"/>
        </w:rPr>
      </w:pPr>
      <w:r w:rsidRPr="001E6DB9">
        <w:rPr>
          <w:color w:val="auto"/>
          <w:sz w:val="22"/>
          <w:szCs w:val="22"/>
        </w:rPr>
        <w:t>Pacientus, kurių klinikinė būklė stabili, galima pradėti gydyti ne anksčiau kaip praėjus 12</w:t>
      </w:r>
      <w:r w:rsidR="0078402A">
        <w:rPr>
          <w:color w:val="auto"/>
          <w:sz w:val="22"/>
          <w:szCs w:val="22"/>
        </w:rPr>
        <w:t> </w:t>
      </w:r>
      <w:r w:rsidRPr="001E6DB9">
        <w:rPr>
          <w:color w:val="auto"/>
          <w:sz w:val="22"/>
          <w:szCs w:val="22"/>
        </w:rPr>
        <w:t xml:space="preserve">valandų nuo </w:t>
      </w:r>
      <w:r w:rsidRPr="00F50D13">
        <w:rPr>
          <w:color w:val="auto"/>
          <w:sz w:val="22"/>
          <w:szCs w:val="22"/>
        </w:rPr>
        <w:t>miokardo infarkto. Po pradinės, du kartus per parą vartojamos 20</w:t>
      </w:r>
      <w:r w:rsidR="0078402A">
        <w:rPr>
          <w:color w:val="auto"/>
          <w:sz w:val="22"/>
          <w:szCs w:val="22"/>
        </w:rPr>
        <w:t> </w:t>
      </w:r>
      <w:r w:rsidRPr="00F50D13">
        <w:rPr>
          <w:color w:val="auto"/>
          <w:sz w:val="22"/>
          <w:szCs w:val="22"/>
        </w:rPr>
        <w:t>mg dozės per kelias tolesnes savaites valsartano dozę reikia titravimo būdu didinti iki 40</w:t>
      </w:r>
      <w:r w:rsidR="0078402A">
        <w:rPr>
          <w:color w:val="auto"/>
          <w:sz w:val="22"/>
          <w:szCs w:val="22"/>
        </w:rPr>
        <w:t> </w:t>
      </w:r>
      <w:r w:rsidRPr="00F50D13">
        <w:rPr>
          <w:color w:val="auto"/>
          <w:sz w:val="22"/>
          <w:szCs w:val="22"/>
        </w:rPr>
        <w:t>mg, 80</w:t>
      </w:r>
      <w:r w:rsidR="0078402A">
        <w:rPr>
          <w:color w:val="auto"/>
          <w:sz w:val="22"/>
          <w:szCs w:val="22"/>
        </w:rPr>
        <w:t> </w:t>
      </w:r>
      <w:r w:rsidRPr="00F50D13">
        <w:rPr>
          <w:color w:val="auto"/>
          <w:sz w:val="22"/>
          <w:szCs w:val="22"/>
        </w:rPr>
        <w:t>mg ir 160</w:t>
      </w:r>
      <w:r w:rsidR="0078402A">
        <w:rPr>
          <w:color w:val="auto"/>
          <w:sz w:val="22"/>
          <w:szCs w:val="22"/>
        </w:rPr>
        <w:t> </w:t>
      </w:r>
      <w:r w:rsidRPr="00F50D13">
        <w:rPr>
          <w:color w:val="auto"/>
          <w:sz w:val="22"/>
          <w:szCs w:val="22"/>
        </w:rPr>
        <w:t>mg dozės, vartojamos du kartus per parą. Pradinė dozė gaunama padalijus 40</w:t>
      </w:r>
      <w:r w:rsidR="0078402A">
        <w:rPr>
          <w:color w:val="auto"/>
          <w:sz w:val="22"/>
          <w:szCs w:val="22"/>
        </w:rPr>
        <w:t> </w:t>
      </w:r>
      <w:r w:rsidRPr="00F50D13">
        <w:rPr>
          <w:color w:val="auto"/>
          <w:sz w:val="22"/>
          <w:szCs w:val="22"/>
        </w:rPr>
        <w:t xml:space="preserve">mg tabletę. </w:t>
      </w:r>
    </w:p>
    <w:p w14:paraId="05C5D24C" w14:textId="77777777" w:rsidR="00DE3708" w:rsidRPr="00F91FD7" w:rsidRDefault="00DE3708" w:rsidP="00307CD6">
      <w:pPr>
        <w:spacing w:line="240" w:lineRule="auto"/>
        <w:contextualSpacing/>
      </w:pPr>
      <w:r w:rsidRPr="00F50D13">
        <w:t xml:space="preserve">Mažesnės nei 80 mg </w:t>
      </w:r>
      <w:proofErr w:type="spellStart"/>
      <w:r w:rsidRPr="00F91FD7">
        <w:rPr>
          <w:szCs w:val="22"/>
        </w:rPr>
        <w:t>Suvartar</w:t>
      </w:r>
      <w:proofErr w:type="spellEnd"/>
      <w:r w:rsidRPr="00F91FD7">
        <w:t xml:space="preserve"> dozės vartoti neįmanoma. Jei reikia skirti mažesnę dozę (pvz., 20 mg, 40 mg), reikia rinktis kitą rinkoje esantį tokio stiprumo valsartano vaistinį preparatą.</w:t>
      </w:r>
    </w:p>
    <w:p w14:paraId="112164AF" w14:textId="77777777" w:rsidR="00DE3708" w:rsidRPr="001E6DB9" w:rsidRDefault="00DE3708" w:rsidP="00307CD6">
      <w:pPr>
        <w:pStyle w:val="Default"/>
        <w:shd w:val="clear" w:color="auto" w:fill="FFFFFF"/>
        <w:contextualSpacing/>
        <w:rPr>
          <w:color w:val="auto"/>
          <w:sz w:val="22"/>
          <w:szCs w:val="22"/>
        </w:rPr>
      </w:pPr>
    </w:p>
    <w:p w14:paraId="49205475"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Didžiausia tikslinė dozė yra 160</w:t>
      </w:r>
      <w:r w:rsidR="0078402A">
        <w:rPr>
          <w:color w:val="auto"/>
          <w:sz w:val="22"/>
          <w:szCs w:val="22"/>
        </w:rPr>
        <w:t> </w:t>
      </w:r>
      <w:r w:rsidRPr="001E6DB9">
        <w:rPr>
          <w:color w:val="auto"/>
          <w:sz w:val="22"/>
          <w:szCs w:val="22"/>
        </w:rPr>
        <w:t>mg, vartojama du kartus per parą. Paprastai pacientams rekomenduojama du kartus per parą vartojamos 80</w:t>
      </w:r>
      <w:r w:rsidR="0078402A">
        <w:rPr>
          <w:color w:val="auto"/>
          <w:sz w:val="22"/>
          <w:szCs w:val="22"/>
        </w:rPr>
        <w:t> </w:t>
      </w:r>
      <w:r w:rsidRPr="001E6DB9">
        <w:rPr>
          <w:color w:val="auto"/>
          <w:sz w:val="22"/>
          <w:szCs w:val="22"/>
        </w:rPr>
        <w:t>mg dozės lygį pasiekti per dvi savaites nuo gydymo pradžios, o tikslinę didžiausią dozę, vartojamą po 160</w:t>
      </w:r>
      <w:r w:rsidR="0078402A">
        <w:rPr>
          <w:color w:val="auto"/>
          <w:sz w:val="22"/>
          <w:szCs w:val="22"/>
        </w:rPr>
        <w:t> </w:t>
      </w:r>
      <w:r w:rsidRPr="001E6DB9">
        <w:rPr>
          <w:color w:val="auto"/>
          <w:sz w:val="22"/>
          <w:szCs w:val="22"/>
        </w:rPr>
        <w:t xml:space="preserve">mg du kartus per parą, pasiekti per tris mėnesius, atsižvelgiant į tai, kaip pacientas ją toleruoja. Jeigu pasireiškia simptominis kraujospūdžio sumažėjimas arba inkstų funkcijos sutrikimas, reikia apsvarstyti dozavimo mažinimą. </w:t>
      </w:r>
    </w:p>
    <w:p w14:paraId="7854DFE5" w14:textId="77777777" w:rsidR="00DE3708" w:rsidRPr="001E6DB9" w:rsidRDefault="00DE3708" w:rsidP="00307CD6">
      <w:pPr>
        <w:pStyle w:val="Default"/>
        <w:shd w:val="clear" w:color="auto" w:fill="FFFFFF"/>
        <w:contextualSpacing/>
        <w:rPr>
          <w:color w:val="auto"/>
          <w:sz w:val="22"/>
          <w:szCs w:val="22"/>
        </w:rPr>
      </w:pPr>
      <w:proofErr w:type="spellStart"/>
      <w:r w:rsidRPr="001E6DB9">
        <w:rPr>
          <w:color w:val="auto"/>
          <w:sz w:val="22"/>
          <w:szCs w:val="22"/>
        </w:rPr>
        <w:t>Valsartaną</w:t>
      </w:r>
      <w:proofErr w:type="spellEnd"/>
      <w:r w:rsidRPr="001E6DB9">
        <w:rPr>
          <w:color w:val="auto"/>
          <w:sz w:val="22"/>
          <w:szCs w:val="22"/>
        </w:rPr>
        <w:t xml:space="preserve"> gali vartoti pacientai, kurie po miokardo infarkto yra gydomi kitais vaistiniais preparatais, pvz., </w:t>
      </w:r>
      <w:proofErr w:type="spellStart"/>
      <w:r w:rsidRPr="001E6DB9">
        <w:rPr>
          <w:color w:val="auto"/>
          <w:sz w:val="22"/>
          <w:szCs w:val="22"/>
        </w:rPr>
        <w:t>tromboliziniais</w:t>
      </w:r>
      <w:proofErr w:type="spellEnd"/>
      <w:r w:rsidRPr="001E6DB9">
        <w:rPr>
          <w:color w:val="auto"/>
          <w:sz w:val="22"/>
          <w:szCs w:val="22"/>
        </w:rPr>
        <w:t xml:space="preserve"> vaistiniais preparatais, </w:t>
      </w:r>
      <w:proofErr w:type="spellStart"/>
      <w:r w:rsidRPr="001E6DB9">
        <w:rPr>
          <w:color w:val="auto"/>
          <w:sz w:val="22"/>
          <w:szCs w:val="22"/>
        </w:rPr>
        <w:t>acetilsalicilo</w:t>
      </w:r>
      <w:proofErr w:type="spellEnd"/>
      <w:r w:rsidRPr="001E6DB9">
        <w:rPr>
          <w:color w:val="auto"/>
          <w:sz w:val="22"/>
          <w:szCs w:val="22"/>
        </w:rPr>
        <w:t xml:space="preserve"> rūgštimi, beta </w:t>
      </w:r>
      <w:proofErr w:type="spellStart"/>
      <w:r w:rsidRPr="001E6DB9">
        <w:rPr>
          <w:color w:val="auto"/>
          <w:sz w:val="22"/>
          <w:szCs w:val="22"/>
        </w:rPr>
        <w:t>adrenoblokatoriais</w:t>
      </w:r>
      <w:proofErr w:type="spellEnd"/>
      <w:r w:rsidRPr="001E6DB9">
        <w:rPr>
          <w:color w:val="auto"/>
          <w:sz w:val="22"/>
          <w:szCs w:val="22"/>
        </w:rPr>
        <w:t xml:space="preserve">, </w:t>
      </w:r>
      <w:proofErr w:type="spellStart"/>
      <w:r w:rsidRPr="001E6DB9">
        <w:rPr>
          <w:color w:val="auto"/>
          <w:sz w:val="22"/>
          <w:szCs w:val="22"/>
        </w:rPr>
        <w:t>statinais</w:t>
      </w:r>
      <w:proofErr w:type="spellEnd"/>
      <w:r w:rsidRPr="001E6DB9">
        <w:rPr>
          <w:color w:val="auto"/>
          <w:sz w:val="22"/>
          <w:szCs w:val="22"/>
        </w:rPr>
        <w:t xml:space="preserve"> ir diuretikais. Nerekomenduojama vartoti kartu su AKF inhibitoriais (žr. 4.4 ir 5.1 skyrius). </w:t>
      </w:r>
    </w:p>
    <w:p w14:paraId="6B1E5AC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Nustatant pacientų būklę po miokardo infarkto, taip pat visada reikia įvertinti ir inkstų funkciją. </w:t>
      </w:r>
    </w:p>
    <w:p w14:paraId="068CCD60" w14:textId="77777777" w:rsidR="00DE3708" w:rsidRPr="00F50D13" w:rsidRDefault="00DE3708" w:rsidP="00307CD6">
      <w:pPr>
        <w:pStyle w:val="Default"/>
        <w:shd w:val="clear" w:color="auto" w:fill="FFFFFF"/>
        <w:contextualSpacing/>
        <w:rPr>
          <w:color w:val="auto"/>
          <w:sz w:val="22"/>
          <w:szCs w:val="22"/>
          <w:u w:val="single"/>
        </w:rPr>
      </w:pPr>
    </w:p>
    <w:p w14:paraId="62AF89F4" w14:textId="77777777" w:rsidR="00DE3708" w:rsidRPr="00F91FD7" w:rsidRDefault="00DE3708" w:rsidP="00307CD6">
      <w:pPr>
        <w:pStyle w:val="Default"/>
        <w:shd w:val="clear" w:color="auto" w:fill="FFFFFF"/>
        <w:contextualSpacing/>
        <w:rPr>
          <w:color w:val="auto"/>
          <w:sz w:val="22"/>
          <w:szCs w:val="22"/>
          <w:u w:val="single"/>
          <w:lang w:val="de-DE"/>
        </w:rPr>
      </w:pPr>
      <w:r w:rsidRPr="00F50D13">
        <w:rPr>
          <w:color w:val="auto"/>
          <w:sz w:val="22"/>
          <w:szCs w:val="22"/>
          <w:u w:val="single"/>
        </w:rPr>
        <w:t>Širdies nepakankamumas (tik 80</w:t>
      </w:r>
      <w:r w:rsidR="0078402A">
        <w:rPr>
          <w:color w:val="auto"/>
          <w:sz w:val="22"/>
          <w:szCs w:val="22"/>
          <w:u w:val="single"/>
        </w:rPr>
        <w:t> </w:t>
      </w:r>
      <w:r w:rsidRPr="00F50D13">
        <w:rPr>
          <w:color w:val="auto"/>
          <w:sz w:val="22"/>
          <w:szCs w:val="22"/>
          <w:u w:val="single"/>
        </w:rPr>
        <w:t>mg ir 160</w:t>
      </w:r>
      <w:r w:rsidR="0078402A">
        <w:rPr>
          <w:color w:val="auto"/>
          <w:sz w:val="22"/>
          <w:szCs w:val="22"/>
          <w:u w:val="single"/>
        </w:rPr>
        <w:t> </w:t>
      </w:r>
      <w:r w:rsidRPr="00F50D13">
        <w:rPr>
          <w:color w:val="auto"/>
          <w:sz w:val="22"/>
          <w:szCs w:val="22"/>
          <w:u w:val="single"/>
        </w:rPr>
        <w:t xml:space="preserve">mg) </w:t>
      </w:r>
    </w:p>
    <w:p w14:paraId="034C4AAF" w14:textId="77777777" w:rsidR="00DE3708" w:rsidRPr="001E6DB9" w:rsidRDefault="00DE3708" w:rsidP="00307CD6">
      <w:pPr>
        <w:pStyle w:val="Default"/>
        <w:shd w:val="clear" w:color="auto" w:fill="FFFFFF"/>
        <w:contextualSpacing/>
        <w:rPr>
          <w:color w:val="auto"/>
          <w:sz w:val="22"/>
          <w:szCs w:val="22"/>
        </w:rPr>
      </w:pPr>
      <w:r w:rsidRPr="00F91FD7">
        <w:rPr>
          <w:color w:val="auto"/>
          <w:sz w:val="22"/>
          <w:szCs w:val="22"/>
        </w:rPr>
        <w:t>Rekomenduojama pradinė valsartano dozė yra 40</w:t>
      </w:r>
      <w:r w:rsidR="0078402A">
        <w:rPr>
          <w:color w:val="auto"/>
          <w:sz w:val="22"/>
          <w:szCs w:val="22"/>
        </w:rPr>
        <w:t> </w:t>
      </w:r>
      <w:r w:rsidRPr="00F91FD7">
        <w:rPr>
          <w:color w:val="auto"/>
          <w:sz w:val="22"/>
          <w:szCs w:val="22"/>
        </w:rPr>
        <w:t xml:space="preserve">mg. </w:t>
      </w:r>
      <w:r w:rsidRPr="00F91FD7">
        <w:rPr>
          <w:color w:val="auto"/>
          <w:sz w:val="22"/>
        </w:rPr>
        <w:t xml:space="preserve">Mažesnės nei 80 mg </w:t>
      </w:r>
      <w:proofErr w:type="spellStart"/>
      <w:r w:rsidRPr="00F91FD7">
        <w:rPr>
          <w:color w:val="auto"/>
          <w:sz w:val="22"/>
        </w:rPr>
        <w:t>Suvar</w:t>
      </w:r>
      <w:r w:rsidRPr="0078402A">
        <w:rPr>
          <w:color w:val="auto"/>
          <w:sz w:val="22"/>
        </w:rPr>
        <w:t>tar</w:t>
      </w:r>
      <w:proofErr w:type="spellEnd"/>
      <w:r w:rsidRPr="0078402A">
        <w:rPr>
          <w:color w:val="auto"/>
          <w:sz w:val="22"/>
        </w:rPr>
        <w:t xml:space="preserve"> dozės vartoti neįmanoma. Jei reikia skirti mažesnę dozę (pvz., 40 mg), reikia rinktis kitą rinkoje esantį tokio stiprumo valsartano vaistinį preparatą.</w:t>
      </w:r>
      <w:r w:rsidRPr="0078402A">
        <w:rPr>
          <w:color w:val="auto"/>
        </w:rPr>
        <w:t xml:space="preserve"> </w:t>
      </w:r>
      <w:r w:rsidRPr="0078402A">
        <w:rPr>
          <w:color w:val="auto"/>
          <w:sz w:val="22"/>
          <w:szCs w:val="22"/>
        </w:rPr>
        <w:t>Ją reikia gerti du kartus per parą. Du kartus per parą skiriama 80</w:t>
      </w:r>
      <w:r w:rsidR="0078402A">
        <w:rPr>
          <w:color w:val="auto"/>
          <w:sz w:val="22"/>
          <w:szCs w:val="22"/>
        </w:rPr>
        <w:t> </w:t>
      </w:r>
      <w:r w:rsidRPr="0078402A">
        <w:rPr>
          <w:color w:val="auto"/>
          <w:sz w:val="22"/>
          <w:szCs w:val="22"/>
        </w:rPr>
        <w:t xml:space="preserve">mg ir 160 mg dozė turėtų būti titruojama, didinant ją ne dažniau kaip kas dvi savaites iki didžiausios dozės, kurią gali toleruoti </w:t>
      </w:r>
      <w:r w:rsidRPr="001E6DB9">
        <w:rPr>
          <w:color w:val="auto"/>
          <w:sz w:val="22"/>
          <w:szCs w:val="22"/>
        </w:rPr>
        <w:t>pacientas. Reikia apsvarstyti kartu vartojamų diuretikų dozės mažinimą. Klinikinių tyrimų metu didžiausia paros dozė buvo 320</w:t>
      </w:r>
      <w:r w:rsidR="0078402A">
        <w:rPr>
          <w:color w:val="auto"/>
          <w:sz w:val="22"/>
          <w:szCs w:val="22"/>
        </w:rPr>
        <w:t> </w:t>
      </w:r>
      <w:r w:rsidRPr="001E6DB9">
        <w:rPr>
          <w:color w:val="auto"/>
          <w:sz w:val="22"/>
          <w:szCs w:val="22"/>
        </w:rPr>
        <w:t xml:space="preserve">mg. Ji buvo suvartojama per kelis kartus. </w:t>
      </w:r>
    </w:p>
    <w:p w14:paraId="20D9C46A" w14:textId="77777777" w:rsidR="00DE3708" w:rsidRPr="001E6DB9" w:rsidRDefault="00DE3708" w:rsidP="00307CD6">
      <w:pPr>
        <w:pStyle w:val="Default"/>
        <w:shd w:val="clear" w:color="auto" w:fill="FFFFFF"/>
        <w:contextualSpacing/>
        <w:rPr>
          <w:rFonts w:eastAsia="Batang"/>
          <w:color w:val="auto"/>
          <w:sz w:val="22"/>
          <w:szCs w:val="22"/>
        </w:rPr>
      </w:pPr>
      <w:r w:rsidRPr="001E6DB9">
        <w:rPr>
          <w:color w:val="auto"/>
          <w:sz w:val="22"/>
          <w:szCs w:val="22"/>
        </w:rPr>
        <w:t xml:space="preserve">Valsartanas gali būti skiriamas su kitais širdies nepakankamumui gydyti skirtais vaistiniais preparatais. Vis dėlto nerekomenduojama skirti trijų vaistinių preparatų – AKF inhibitoriaus, </w:t>
      </w:r>
      <w:proofErr w:type="spellStart"/>
      <w:r w:rsidRPr="001E6DB9">
        <w:rPr>
          <w:color w:val="auto"/>
          <w:sz w:val="22"/>
          <w:szCs w:val="22"/>
        </w:rPr>
        <w:t>valsartano</w:t>
      </w:r>
      <w:proofErr w:type="spellEnd"/>
      <w:r w:rsidRPr="001E6DB9">
        <w:rPr>
          <w:color w:val="auto"/>
          <w:sz w:val="22"/>
          <w:szCs w:val="22"/>
        </w:rPr>
        <w:t xml:space="preserve"> ir beta </w:t>
      </w:r>
      <w:proofErr w:type="spellStart"/>
      <w:r w:rsidRPr="001E6DB9">
        <w:rPr>
          <w:color w:val="auto"/>
          <w:sz w:val="22"/>
          <w:szCs w:val="22"/>
        </w:rPr>
        <w:t>adrenoblokatoriaus</w:t>
      </w:r>
      <w:proofErr w:type="spellEnd"/>
      <w:r w:rsidRPr="001E6DB9">
        <w:rPr>
          <w:color w:val="auto"/>
          <w:sz w:val="22"/>
          <w:szCs w:val="22"/>
        </w:rPr>
        <w:t xml:space="preserve"> arba kalį organizme sulaikančio diuretiko – derinio (žr. 4.4 ir 5.1 skyrius). </w:t>
      </w:r>
      <w:r w:rsidRPr="001E6DB9">
        <w:rPr>
          <w:rFonts w:eastAsia="Batang"/>
          <w:color w:val="auto"/>
          <w:sz w:val="22"/>
          <w:szCs w:val="22"/>
        </w:rPr>
        <w:t>Vertinant širdies nepakankamumu sergančių pacientų būklę, visada reikia įvertinti ir inkstų funkciją.</w:t>
      </w:r>
    </w:p>
    <w:p w14:paraId="5D50C9C2" w14:textId="77777777" w:rsidR="00DE3708" w:rsidRPr="001E6DB9" w:rsidRDefault="00DE3708" w:rsidP="00307CD6">
      <w:pPr>
        <w:pStyle w:val="Default"/>
        <w:shd w:val="clear" w:color="auto" w:fill="FFFFFF"/>
        <w:contextualSpacing/>
        <w:rPr>
          <w:color w:val="auto"/>
          <w:sz w:val="22"/>
          <w:szCs w:val="22"/>
          <w:u w:val="single"/>
        </w:rPr>
      </w:pPr>
    </w:p>
    <w:p w14:paraId="7F59119B" w14:textId="77777777" w:rsidR="00DE3708" w:rsidRPr="00F50D13" w:rsidRDefault="00DE3708" w:rsidP="00307CD6">
      <w:pPr>
        <w:spacing w:line="240" w:lineRule="auto"/>
        <w:contextualSpacing/>
        <w:rPr>
          <w:i/>
          <w:szCs w:val="22"/>
          <w:u w:val="single"/>
        </w:rPr>
      </w:pPr>
      <w:r w:rsidRPr="00F50D13">
        <w:rPr>
          <w:i/>
          <w:szCs w:val="22"/>
          <w:u w:val="single"/>
        </w:rPr>
        <w:t>Papildoma informacija ypatingoms populiacijoms</w:t>
      </w:r>
    </w:p>
    <w:p w14:paraId="17056A5C" w14:textId="77777777" w:rsidR="00DE3708" w:rsidRPr="00F91FD7" w:rsidRDefault="00DE3708" w:rsidP="00307CD6">
      <w:pPr>
        <w:spacing w:line="240" w:lineRule="auto"/>
        <w:contextualSpacing/>
        <w:rPr>
          <w:szCs w:val="22"/>
        </w:rPr>
      </w:pPr>
    </w:p>
    <w:p w14:paraId="45CE196C" w14:textId="77777777" w:rsidR="00DE3708" w:rsidRPr="00F91FD7" w:rsidRDefault="00DE3708" w:rsidP="00307CD6">
      <w:pPr>
        <w:spacing w:line="240" w:lineRule="auto"/>
        <w:contextualSpacing/>
        <w:rPr>
          <w:szCs w:val="22"/>
          <w:u w:val="single"/>
        </w:rPr>
      </w:pPr>
      <w:r w:rsidRPr="00F91FD7">
        <w:rPr>
          <w:szCs w:val="22"/>
          <w:u w:val="single"/>
        </w:rPr>
        <w:t>Senyviems pacientams</w:t>
      </w:r>
    </w:p>
    <w:p w14:paraId="0EB22173" w14:textId="77777777" w:rsidR="00DE3708" w:rsidRPr="0078402A" w:rsidRDefault="00DE3708" w:rsidP="00307CD6">
      <w:pPr>
        <w:spacing w:line="240" w:lineRule="auto"/>
        <w:contextualSpacing/>
        <w:rPr>
          <w:szCs w:val="22"/>
        </w:rPr>
      </w:pPr>
      <w:r w:rsidRPr="0078402A">
        <w:rPr>
          <w:szCs w:val="22"/>
        </w:rPr>
        <w:t>Senyviems pacientams dozės koreguoti nereikia.</w:t>
      </w:r>
    </w:p>
    <w:p w14:paraId="62B9EAC1" w14:textId="77777777" w:rsidR="00DE3708" w:rsidRPr="00307CD6" w:rsidRDefault="00DE3708" w:rsidP="00307CD6">
      <w:pPr>
        <w:spacing w:line="240" w:lineRule="auto"/>
        <w:contextualSpacing/>
        <w:rPr>
          <w:szCs w:val="22"/>
        </w:rPr>
      </w:pPr>
    </w:p>
    <w:p w14:paraId="116FCDE0" w14:textId="77777777" w:rsidR="00DE3708" w:rsidRPr="00307CD6" w:rsidRDefault="00DE3708" w:rsidP="00307CD6">
      <w:pPr>
        <w:spacing w:line="240" w:lineRule="auto"/>
        <w:contextualSpacing/>
        <w:rPr>
          <w:szCs w:val="22"/>
          <w:u w:val="single"/>
        </w:rPr>
      </w:pPr>
      <w:r w:rsidRPr="00307CD6">
        <w:rPr>
          <w:szCs w:val="22"/>
          <w:u w:val="single"/>
        </w:rPr>
        <w:t>Pacientams, kurių inkstų funkcija sutrikusi</w:t>
      </w:r>
    </w:p>
    <w:p w14:paraId="0939C319" w14:textId="77777777" w:rsidR="00DE3708" w:rsidRPr="0078402A" w:rsidRDefault="00DE3708" w:rsidP="00307CD6">
      <w:pPr>
        <w:spacing w:line="240" w:lineRule="auto"/>
        <w:contextualSpacing/>
        <w:rPr>
          <w:szCs w:val="22"/>
        </w:rPr>
      </w:pPr>
      <w:r w:rsidRPr="007F15BA">
        <w:rPr>
          <w:szCs w:val="22"/>
        </w:rPr>
        <w:t>Suaugusiesiems pacientams, kurių kreatinino klirensas &gt;</w:t>
      </w:r>
      <w:r w:rsidR="0078402A">
        <w:rPr>
          <w:szCs w:val="22"/>
        </w:rPr>
        <w:t> </w:t>
      </w:r>
      <w:r w:rsidRPr="0078402A">
        <w:rPr>
          <w:szCs w:val="22"/>
        </w:rPr>
        <w:t>10 ml/min., dozės koreguoti nereikia (žr. 4.4 ir 5.2 skyrius).</w:t>
      </w:r>
    </w:p>
    <w:p w14:paraId="07FE5CD1" w14:textId="77777777" w:rsidR="00DE3708" w:rsidRPr="0078402A" w:rsidRDefault="00DE3708" w:rsidP="00307CD6">
      <w:pPr>
        <w:spacing w:line="240" w:lineRule="auto"/>
        <w:contextualSpacing/>
        <w:rPr>
          <w:b/>
          <w:szCs w:val="22"/>
        </w:rPr>
      </w:pPr>
      <w:proofErr w:type="spellStart"/>
      <w:r w:rsidRPr="00307CD6">
        <w:rPr>
          <w:szCs w:val="22"/>
        </w:rPr>
        <w:t>Valsartano</w:t>
      </w:r>
      <w:proofErr w:type="spellEnd"/>
      <w:r w:rsidRPr="00307CD6">
        <w:rPr>
          <w:szCs w:val="22"/>
        </w:rPr>
        <w:t xml:space="preserve"> ir </w:t>
      </w:r>
      <w:proofErr w:type="spellStart"/>
      <w:r w:rsidRPr="00307CD6">
        <w:rPr>
          <w:szCs w:val="22"/>
        </w:rPr>
        <w:t>aliskireno</w:t>
      </w:r>
      <w:proofErr w:type="spellEnd"/>
      <w:r w:rsidRPr="00307CD6">
        <w:rPr>
          <w:szCs w:val="22"/>
        </w:rPr>
        <w:t xml:space="preserve"> vartoti kartu draudžiama pacientams, kurių inkstų funkcija sutrikusi (glomerulų filtracijos greitis &lt;</w:t>
      </w:r>
      <w:r w:rsidR="0078402A">
        <w:rPr>
          <w:szCs w:val="22"/>
        </w:rPr>
        <w:t> </w:t>
      </w:r>
      <w:r w:rsidRPr="0078402A">
        <w:rPr>
          <w:szCs w:val="22"/>
        </w:rPr>
        <w:t>60</w:t>
      </w:r>
      <w:r w:rsidR="0078402A">
        <w:rPr>
          <w:szCs w:val="22"/>
        </w:rPr>
        <w:t> </w:t>
      </w:r>
      <w:r w:rsidRPr="0078402A">
        <w:rPr>
          <w:szCs w:val="22"/>
        </w:rPr>
        <w:t>ml/min/1,73</w:t>
      </w:r>
      <w:r w:rsidR="0078402A">
        <w:rPr>
          <w:szCs w:val="22"/>
        </w:rPr>
        <w:t> </w:t>
      </w:r>
      <w:r w:rsidRPr="0078402A">
        <w:rPr>
          <w:szCs w:val="22"/>
        </w:rPr>
        <w:t>m</w:t>
      </w:r>
      <w:r w:rsidRPr="0078402A">
        <w:rPr>
          <w:b/>
          <w:szCs w:val="22"/>
          <w:vertAlign w:val="superscript"/>
        </w:rPr>
        <w:t>2</w:t>
      </w:r>
      <w:r w:rsidRPr="0078402A">
        <w:rPr>
          <w:szCs w:val="22"/>
        </w:rPr>
        <w:t>) (žr. 4.3 skyrių).</w:t>
      </w:r>
    </w:p>
    <w:p w14:paraId="443B8362" w14:textId="77777777" w:rsidR="00DE3708" w:rsidRPr="00307CD6" w:rsidRDefault="00DE3708" w:rsidP="00307CD6">
      <w:pPr>
        <w:spacing w:line="240" w:lineRule="auto"/>
        <w:contextualSpacing/>
        <w:rPr>
          <w:b/>
          <w:szCs w:val="22"/>
        </w:rPr>
      </w:pPr>
    </w:p>
    <w:p w14:paraId="3A2C2F0D" w14:textId="77777777" w:rsidR="00DE3708" w:rsidRPr="00307CD6" w:rsidRDefault="00DE3708" w:rsidP="00307CD6">
      <w:pPr>
        <w:spacing w:line="240" w:lineRule="auto"/>
        <w:contextualSpacing/>
        <w:rPr>
          <w:szCs w:val="22"/>
          <w:u w:val="single"/>
        </w:rPr>
      </w:pPr>
      <w:r w:rsidRPr="00307CD6">
        <w:rPr>
          <w:szCs w:val="22"/>
          <w:u w:val="single"/>
        </w:rPr>
        <w:t>Cukrinis diabetas</w:t>
      </w:r>
    </w:p>
    <w:p w14:paraId="4C15E781" w14:textId="77777777" w:rsidR="00DE3708" w:rsidRPr="00307CD6" w:rsidRDefault="00DE3708" w:rsidP="00307CD6">
      <w:pPr>
        <w:spacing w:line="240" w:lineRule="auto"/>
        <w:contextualSpacing/>
        <w:rPr>
          <w:szCs w:val="22"/>
        </w:rPr>
      </w:pPr>
      <w:proofErr w:type="spellStart"/>
      <w:r w:rsidRPr="00307CD6">
        <w:rPr>
          <w:szCs w:val="22"/>
        </w:rPr>
        <w:lastRenderedPageBreak/>
        <w:t>Valsartano</w:t>
      </w:r>
      <w:proofErr w:type="spellEnd"/>
      <w:r w:rsidRPr="00307CD6">
        <w:rPr>
          <w:szCs w:val="22"/>
        </w:rPr>
        <w:t xml:space="preserve"> ir </w:t>
      </w:r>
      <w:proofErr w:type="spellStart"/>
      <w:r w:rsidRPr="00307CD6">
        <w:rPr>
          <w:szCs w:val="22"/>
        </w:rPr>
        <w:t>aliskireno</w:t>
      </w:r>
      <w:proofErr w:type="spellEnd"/>
      <w:r w:rsidRPr="00307CD6">
        <w:rPr>
          <w:szCs w:val="22"/>
        </w:rPr>
        <w:t xml:space="preserve"> vartoti kartu draudžiama pacientams, sergantiems cukriniu diabetu (žr. 4.3 skyrių).</w:t>
      </w:r>
    </w:p>
    <w:p w14:paraId="7F5F1B46" w14:textId="77777777" w:rsidR="00DE3708" w:rsidRPr="007F15BA" w:rsidRDefault="00DE3708" w:rsidP="00307CD6">
      <w:pPr>
        <w:spacing w:line="240" w:lineRule="auto"/>
        <w:contextualSpacing/>
        <w:rPr>
          <w:b/>
          <w:szCs w:val="22"/>
        </w:rPr>
      </w:pPr>
    </w:p>
    <w:p w14:paraId="7EA63D58" w14:textId="77777777" w:rsidR="00DE3708" w:rsidRPr="007F15BA" w:rsidRDefault="00DE3708" w:rsidP="00307CD6">
      <w:pPr>
        <w:spacing w:line="240" w:lineRule="auto"/>
        <w:contextualSpacing/>
        <w:rPr>
          <w:szCs w:val="22"/>
          <w:u w:val="single"/>
        </w:rPr>
      </w:pPr>
      <w:r w:rsidRPr="007F15BA">
        <w:rPr>
          <w:szCs w:val="22"/>
          <w:u w:val="single"/>
        </w:rPr>
        <w:t>Pacientams, kurių kepenų funkcija sutrikusi</w:t>
      </w:r>
    </w:p>
    <w:p w14:paraId="4A8C4EFB" w14:textId="77777777" w:rsidR="00DE3708" w:rsidRPr="00D36517" w:rsidRDefault="00DE3708" w:rsidP="00307CD6">
      <w:pPr>
        <w:spacing w:line="240" w:lineRule="auto"/>
        <w:contextualSpacing/>
        <w:rPr>
          <w:szCs w:val="22"/>
        </w:rPr>
      </w:pPr>
      <w:proofErr w:type="spellStart"/>
      <w:r w:rsidRPr="00D36517">
        <w:rPr>
          <w:szCs w:val="22"/>
        </w:rPr>
        <w:t>Suvartar</w:t>
      </w:r>
      <w:proofErr w:type="spellEnd"/>
      <w:r w:rsidRPr="00D36517">
        <w:rPr>
          <w:szCs w:val="22"/>
        </w:rPr>
        <w:t xml:space="preserve"> negalima skirti pacientams, kuriems yra sunkus kepenų funkcijos sutrikimas, </w:t>
      </w:r>
      <w:proofErr w:type="spellStart"/>
      <w:r w:rsidRPr="00D36517">
        <w:rPr>
          <w:szCs w:val="22"/>
        </w:rPr>
        <w:t>biliarinė</w:t>
      </w:r>
      <w:proofErr w:type="spellEnd"/>
      <w:r w:rsidRPr="00D36517">
        <w:rPr>
          <w:szCs w:val="22"/>
        </w:rPr>
        <w:t xml:space="preserve"> cirozė ar </w:t>
      </w:r>
      <w:proofErr w:type="spellStart"/>
      <w:r w:rsidRPr="00D36517">
        <w:rPr>
          <w:szCs w:val="22"/>
        </w:rPr>
        <w:t>cholestazė</w:t>
      </w:r>
      <w:proofErr w:type="spellEnd"/>
      <w:r w:rsidRPr="00D36517">
        <w:rPr>
          <w:szCs w:val="22"/>
        </w:rPr>
        <w:t xml:space="preserve"> (žr. 4.3, 4.4 ir 5.2 skyrius). Ligoniams, kuriems yra lengvas arba vidutinio sunkumo kepenų funkcijos sutrikimas be </w:t>
      </w:r>
      <w:proofErr w:type="spellStart"/>
      <w:r w:rsidRPr="00D36517">
        <w:rPr>
          <w:szCs w:val="22"/>
        </w:rPr>
        <w:t>cholestazės</w:t>
      </w:r>
      <w:proofErr w:type="spellEnd"/>
      <w:r w:rsidRPr="00D36517">
        <w:rPr>
          <w:szCs w:val="22"/>
        </w:rPr>
        <w:t xml:space="preserve">, </w:t>
      </w:r>
      <w:proofErr w:type="spellStart"/>
      <w:r w:rsidRPr="00D36517">
        <w:rPr>
          <w:szCs w:val="22"/>
        </w:rPr>
        <w:t>valsartano</w:t>
      </w:r>
      <w:proofErr w:type="spellEnd"/>
      <w:r w:rsidRPr="00D36517">
        <w:rPr>
          <w:szCs w:val="22"/>
        </w:rPr>
        <w:t xml:space="preserve"> dozė turi neviršyti 80 mg.</w:t>
      </w:r>
    </w:p>
    <w:p w14:paraId="03BED053" w14:textId="77777777" w:rsidR="00DE3708" w:rsidRPr="00D36517" w:rsidRDefault="00DE3708" w:rsidP="00307CD6">
      <w:pPr>
        <w:spacing w:line="240" w:lineRule="auto"/>
        <w:contextualSpacing/>
        <w:rPr>
          <w:i/>
          <w:szCs w:val="22"/>
          <w:u w:val="single"/>
        </w:rPr>
      </w:pPr>
    </w:p>
    <w:p w14:paraId="4A4AAB29" w14:textId="77777777" w:rsidR="00DE3708" w:rsidRPr="009F455C" w:rsidRDefault="00DE3708" w:rsidP="00307CD6">
      <w:pPr>
        <w:spacing w:line="240" w:lineRule="auto"/>
        <w:contextualSpacing/>
        <w:rPr>
          <w:i/>
          <w:szCs w:val="22"/>
          <w:u w:val="single"/>
        </w:rPr>
      </w:pPr>
      <w:r w:rsidRPr="009F455C">
        <w:rPr>
          <w:i/>
          <w:szCs w:val="22"/>
          <w:u w:val="single"/>
        </w:rPr>
        <w:t>Vaikų populiacija</w:t>
      </w:r>
    </w:p>
    <w:p w14:paraId="0C96E337" w14:textId="4A120130" w:rsidR="00E64FCC" w:rsidRDefault="00E64FCC" w:rsidP="00307CD6">
      <w:pPr>
        <w:spacing w:line="240" w:lineRule="auto"/>
        <w:contextualSpacing/>
        <w:rPr>
          <w:iCs/>
          <w:szCs w:val="22"/>
          <w:u w:val="single"/>
        </w:rPr>
      </w:pPr>
      <w:proofErr w:type="spellStart"/>
      <w:r>
        <w:rPr>
          <w:iCs/>
          <w:szCs w:val="22"/>
          <w:u w:val="single"/>
        </w:rPr>
        <w:t>Suvartar</w:t>
      </w:r>
      <w:proofErr w:type="spellEnd"/>
      <w:r>
        <w:rPr>
          <w:iCs/>
          <w:szCs w:val="22"/>
          <w:u w:val="single"/>
        </w:rPr>
        <w:t xml:space="preserve"> nėra tiekiamas geriamojo tirpalo forma. Dėl geriamojo tirpalo žiūrėkite kitus rinkoje esančius vaistinius preparatus.</w:t>
      </w:r>
    </w:p>
    <w:p w14:paraId="147E6A0B" w14:textId="77777777" w:rsidR="00E64FCC" w:rsidRDefault="00E64FCC" w:rsidP="00307CD6">
      <w:pPr>
        <w:spacing w:line="240" w:lineRule="auto"/>
        <w:contextualSpacing/>
        <w:rPr>
          <w:iCs/>
          <w:szCs w:val="22"/>
          <w:u w:val="single"/>
        </w:rPr>
      </w:pPr>
    </w:p>
    <w:p w14:paraId="2D9527C7" w14:textId="5556D796" w:rsidR="00DE3708" w:rsidRDefault="00E64FCC" w:rsidP="00307CD6">
      <w:pPr>
        <w:spacing w:line="240" w:lineRule="auto"/>
        <w:contextualSpacing/>
        <w:rPr>
          <w:iCs/>
          <w:szCs w:val="22"/>
          <w:u w:val="single"/>
        </w:rPr>
      </w:pPr>
      <w:r w:rsidRPr="00E64FCC">
        <w:rPr>
          <w:iCs/>
          <w:szCs w:val="22"/>
          <w:u w:val="single"/>
        </w:rPr>
        <w:t xml:space="preserve">Negalintiems nuryti tablečių vaikams ir paaugliams rekomenduojama vartoti </w:t>
      </w:r>
      <w:r w:rsidR="00306BF8">
        <w:rPr>
          <w:iCs/>
          <w:szCs w:val="22"/>
          <w:u w:val="single"/>
        </w:rPr>
        <w:t xml:space="preserve">valsartano </w:t>
      </w:r>
      <w:r w:rsidRPr="00E64FCC">
        <w:rPr>
          <w:iCs/>
          <w:szCs w:val="22"/>
          <w:u w:val="single"/>
        </w:rPr>
        <w:t>geriamojo tirpalo. Valsartano sisteminės ekspozicijos ir didžiausiosios koncentracijos plazmoje rodmenys yra atitinkamai maždaug 1,7</w:t>
      </w:r>
      <w:r w:rsidR="00671107">
        <w:rPr>
          <w:iCs/>
          <w:szCs w:val="22"/>
          <w:u w:val="single"/>
        </w:rPr>
        <w:t> </w:t>
      </w:r>
      <w:r w:rsidRPr="00E64FCC">
        <w:rPr>
          <w:iCs/>
          <w:szCs w:val="22"/>
          <w:u w:val="single"/>
        </w:rPr>
        <w:t>karto ir 2,2</w:t>
      </w:r>
      <w:r w:rsidR="00671107">
        <w:rPr>
          <w:iCs/>
          <w:szCs w:val="22"/>
          <w:u w:val="single"/>
        </w:rPr>
        <w:t> </w:t>
      </w:r>
      <w:r w:rsidRPr="00E64FCC">
        <w:rPr>
          <w:iCs/>
          <w:szCs w:val="22"/>
          <w:u w:val="single"/>
        </w:rPr>
        <w:t>karto didesni vartojant geriamojo tirpalo nei vartojant tablečių.</w:t>
      </w:r>
    </w:p>
    <w:p w14:paraId="436F0E94" w14:textId="77777777" w:rsidR="00E64FCC" w:rsidRPr="000A08ED" w:rsidRDefault="00E64FCC" w:rsidP="00307CD6">
      <w:pPr>
        <w:spacing w:line="240" w:lineRule="auto"/>
        <w:contextualSpacing/>
        <w:rPr>
          <w:iCs/>
          <w:szCs w:val="22"/>
          <w:u w:val="single"/>
        </w:rPr>
      </w:pPr>
    </w:p>
    <w:p w14:paraId="4E23B5A3" w14:textId="77777777" w:rsidR="00DE3708" w:rsidRPr="001765A8" w:rsidRDefault="00DE3708" w:rsidP="00307CD6">
      <w:pPr>
        <w:spacing w:line="240" w:lineRule="auto"/>
        <w:contextualSpacing/>
        <w:rPr>
          <w:szCs w:val="22"/>
          <w:u w:val="single"/>
        </w:rPr>
      </w:pPr>
      <w:r w:rsidRPr="001765A8">
        <w:rPr>
          <w:szCs w:val="22"/>
          <w:u w:val="single"/>
        </w:rPr>
        <w:t>Vaikų hipertenzija</w:t>
      </w:r>
    </w:p>
    <w:p w14:paraId="4AFC1ED5" w14:textId="2CB43666" w:rsidR="00DE3708" w:rsidRPr="00617EBE" w:rsidRDefault="00E64FCC" w:rsidP="00307CD6">
      <w:pPr>
        <w:spacing w:line="240" w:lineRule="auto"/>
        <w:contextualSpacing/>
        <w:rPr>
          <w:i/>
          <w:szCs w:val="22"/>
        </w:rPr>
      </w:pPr>
      <w:r>
        <w:rPr>
          <w:i/>
          <w:szCs w:val="22"/>
        </w:rPr>
        <w:t xml:space="preserve">Nuo </w:t>
      </w:r>
      <w:r w:rsidR="00DE3708" w:rsidRPr="001E6DB9">
        <w:rPr>
          <w:i/>
          <w:szCs w:val="22"/>
        </w:rPr>
        <w:t>6</w:t>
      </w:r>
      <w:r>
        <w:rPr>
          <w:i/>
          <w:szCs w:val="22"/>
        </w:rPr>
        <w:t xml:space="preserve"> iki mažiau kaip </w:t>
      </w:r>
      <w:r w:rsidR="00DE3708" w:rsidRPr="0078402A">
        <w:rPr>
          <w:i/>
          <w:szCs w:val="22"/>
        </w:rPr>
        <w:t>18</w:t>
      </w:r>
      <w:r w:rsidR="00DE3708" w:rsidRPr="0078402A">
        <w:rPr>
          <w:szCs w:val="22"/>
        </w:rPr>
        <w:t> </w:t>
      </w:r>
      <w:r w:rsidR="00DE3708" w:rsidRPr="00617EBE">
        <w:rPr>
          <w:i/>
          <w:szCs w:val="22"/>
        </w:rPr>
        <w:t>metų vaikams ir paaugliams</w:t>
      </w:r>
    </w:p>
    <w:p w14:paraId="4537AB71" w14:textId="18979F41" w:rsidR="00DE3708" w:rsidRPr="00307CD6" w:rsidRDefault="00E64FCC" w:rsidP="00307CD6">
      <w:pPr>
        <w:spacing w:line="240" w:lineRule="auto"/>
        <w:contextualSpacing/>
        <w:rPr>
          <w:szCs w:val="22"/>
        </w:rPr>
      </w:pPr>
      <w:r>
        <w:rPr>
          <w:szCs w:val="22"/>
        </w:rPr>
        <w:t xml:space="preserve">Skiriant </w:t>
      </w:r>
      <w:proofErr w:type="spellStart"/>
      <w:r>
        <w:rPr>
          <w:szCs w:val="22"/>
        </w:rPr>
        <w:t>Suvartar</w:t>
      </w:r>
      <w:proofErr w:type="spellEnd"/>
      <w:r>
        <w:rPr>
          <w:szCs w:val="22"/>
        </w:rPr>
        <w:t>, m</w:t>
      </w:r>
      <w:r w:rsidR="00DE3708" w:rsidRPr="00307CD6">
        <w:rPr>
          <w:szCs w:val="22"/>
        </w:rPr>
        <w:t>ažiau kaip 35 kg sveriantiems vaikams pradinė dozė yra 40 mg vieną kartą per parą, o sveriantiems 35 kg ar daugiau - 80 mg vieną kartą per parą. Dozę reikia koreguoti atsižvelgiant į kraujospūdžio reakciją</w:t>
      </w:r>
      <w:r>
        <w:rPr>
          <w:szCs w:val="22"/>
        </w:rPr>
        <w:t xml:space="preserve"> ir vaistinio preparato toleravimą</w:t>
      </w:r>
      <w:r w:rsidR="00DE3708" w:rsidRPr="00307CD6">
        <w:rPr>
          <w:szCs w:val="22"/>
        </w:rPr>
        <w:t>. Didžiausios klinikinių tyrimų metu vartotos dozės nurodytos toliau esančioje lentelėje.</w:t>
      </w:r>
    </w:p>
    <w:p w14:paraId="03B8F4A2" w14:textId="77777777" w:rsidR="00DE3708" w:rsidRPr="00307CD6" w:rsidRDefault="00DE3708" w:rsidP="00307CD6">
      <w:pPr>
        <w:spacing w:line="240" w:lineRule="auto"/>
        <w:contextualSpacing/>
        <w:rPr>
          <w:szCs w:val="22"/>
        </w:rPr>
      </w:pPr>
      <w:r w:rsidRPr="00307CD6">
        <w:rPr>
          <w:szCs w:val="22"/>
        </w:rPr>
        <w:t>Didesnės nei nurodytos dozės netirtos, todėl jų vartoti nerekomenduojama.</w:t>
      </w:r>
    </w:p>
    <w:p w14:paraId="698D9183" w14:textId="77777777" w:rsidR="00DE3708" w:rsidRPr="007F15BA" w:rsidRDefault="00DE3708" w:rsidP="00307CD6">
      <w:pPr>
        <w:spacing w:line="240" w:lineRule="auto"/>
        <w:contextualSpacing/>
        <w:rPr>
          <w:szCs w:val="22"/>
        </w:rPr>
      </w:pPr>
      <w:r w:rsidRPr="007F15BA">
        <w:rPr>
          <w:szCs w:val="22"/>
        </w:rPr>
        <w:t xml:space="preserve">Mažesnės nei 80 mg </w:t>
      </w:r>
      <w:proofErr w:type="spellStart"/>
      <w:r w:rsidRPr="007F15BA">
        <w:rPr>
          <w:szCs w:val="22"/>
        </w:rPr>
        <w:t>Suvartar</w:t>
      </w:r>
      <w:proofErr w:type="spellEnd"/>
      <w:r w:rsidRPr="007F15BA">
        <w:rPr>
          <w:szCs w:val="22"/>
        </w:rPr>
        <w:t xml:space="preserve"> dozės vartoti neįmanoma. Jei reikia skirti mažesnę dozę (pvz., 40 mg), reikia rinktis kitą rinkoje esantį tokio stiprumo valsartano vaistinį preparatą.</w:t>
      </w:r>
    </w:p>
    <w:p w14:paraId="7714444D" w14:textId="77777777" w:rsidR="00DE3708" w:rsidRPr="007F15BA" w:rsidRDefault="00DE3708" w:rsidP="00307CD6">
      <w:pPr>
        <w:spacing w:line="240" w:lineRule="auto"/>
        <w:contextualSpacing/>
        <w:rPr>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DE3708" w:rsidRPr="001E6DB9" w14:paraId="2EBC40EC" w14:textId="77777777" w:rsidTr="00DE3708">
        <w:tc>
          <w:tcPr>
            <w:tcW w:w="2457" w:type="dxa"/>
          </w:tcPr>
          <w:p w14:paraId="5F8D2586" w14:textId="77777777" w:rsidR="00DE3708" w:rsidRPr="00F91FD7" w:rsidRDefault="00DE3708" w:rsidP="00307CD6">
            <w:pPr>
              <w:spacing w:line="240" w:lineRule="auto"/>
              <w:contextualSpacing/>
              <w:rPr>
                <w:szCs w:val="22"/>
              </w:rPr>
            </w:pPr>
            <w:r w:rsidRPr="00F91FD7">
              <w:rPr>
                <w:szCs w:val="22"/>
              </w:rPr>
              <w:t>Svoris</w:t>
            </w:r>
          </w:p>
        </w:tc>
        <w:tc>
          <w:tcPr>
            <w:tcW w:w="4234" w:type="dxa"/>
          </w:tcPr>
          <w:p w14:paraId="44E560B8" w14:textId="12C8093A" w:rsidR="00DE3708" w:rsidRPr="0078402A" w:rsidRDefault="00DE3708" w:rsidP="00307CD6">
            <w:pPr>
              <w:spacing w:line="240" w:lineRule="auto"/>
              <w:contextualSpacing/>
              <w:rPr>
                <w:szCs w:val="22"/>
              </w:rPr>
            </w:pPr>
            <w:r w:rsidRPr="0078402A">
              <w:rPr>
                <w:szCs w:val="22"/>
              </w:rPr>
              <w:t xml:space="preserve">Didžiausia klinikinių tyrimų metu tirta </w:t>
            </w:r>
            <w:r w:rsidR="00E64FCC">
              <w:rPr>
                <w:szCs w:val="22"/>
              </w:rPr>
              <w:t xml:space="preserve">tablečių </w:t>
            </w:r>
            <w:r w:rsidRPr="0078402A">
              <w:rPr>
                <w:szCs w:val="22"/>
              </w:rPr>
              <w:t>dozė</w:t>
            </w:r>
          </w:p>
        </w:tc>
      </w:tr>
      <w:tr w:rsidR="00DE3708" w:rsidRPr="001E6DB9" w14:paraId="3E33432F" w14:textId="77777777" w:rsidTr="00DE3708">
        <w:tc>
          <w:tcPr>
            <w:tcW w:w="2457" w:type="dxa"/>
          </w:tcPr>
          <w:p w14:paraId="07135B8E" w14:textId="77777777" w:rsidR="00DE3708" w:rsidRPr="00307CD6" w:rsidRDefault="00DE3708" w:rsidP="00307CD6">
            <w:pPr>
              <w:spacing w:line="240" w:lineRule="auto"/>
              <w:contextualSpacing/>
              <w:rPr>
                <w:szCs w:val="22"/>
              </w:rPr>
            </w:pPr>
            <w:r w:rsidRPr="00307CD6">
              <w:rPr>
                <w:szCs w:val="22"/>
              </w:rPr>
              <w:t>Nuo ≥ 18 kg iki &lt; 35 kg</w:t>
            </w:r>
          </w:p>
        </w:tc>
        <w:tc>
          <w:tcPr>
            <w:tcW w:w="4234" w:type="dxa"/>
          </w:tcPr>
          <w:p w14:paraId="0CAC0472" w14:textId="77777777" w:rsidR="00DE3708" w:rsidRPr="00307CD6" w:rsidRDefault="00DE3708" w:rsidP="00307CD6">
            <w:pPr>
              <w:spacing w:line="240" w:lineRule="auto"/>
              <w:contextualSpacing/>
              <w:rPr>
                <w:szCs w:val="22"/>
              </w:rPr>
            </w:pPr>
            <w:r w:rsidRPr="00307CD6">
              <w:rPr>
                <w:szCs w:val="22"/>
              </w:rPr>
              <w:t>80 mg</w:t>
            </w:r>
          </w:p>
        </w:tc>
      </w:tr>
      <w:tr w:rsidR="00DE3708" w:rsidRPr="001E6DB9" w14:paraId="09B5DD17" w14:textId="77777777" w:rsidTr="00DE3708">
        <w:tc>
          <w:tcPr>
            <w:tcW w:w="2457" w:type="dxa"/>
          </w:tcPr>
          <w:p w14:paraId="4FA53DA3" w14:textId="77777777" w:rsidR="00DE3708" w:rsidRPr="001E6DB9" w:rsidRDefault="00DE3708" w:rsidP="00307CD6">
            <w:pPr>
              <w:spacing w:line="240" w:lineRule="auto"/>
              <w:contextualSpacing/>
              <w:rPr>
                <w:szCs w:val="22"/>
              </w:rPr>
            </w:pPr>
            <w:r w:rsidRPr="001E6DB9">
              <w:rPr>
                <w:szCs w:val="22"/>
              </w:rPr>
              <w:t>Nuo ≥ 35 kg iki &lt; 80 kg</w:t>
            </w:r>
          </w:p>
        </w:tc>
        <w:tc>
          <w:tcPr>
            <w:tcW w:w="4234" w:type="dxa"/>
          </w:tcPr>
          <w:p w14:paraId="113A6EB5" w14:textId="77777777" w:rsidR="00DE3708" w:rsidRPr="001E6DB9" w:rsidRDefault="00DE3708" w:rsidP="00307CD6">
            <w:pPr>
              <w:spacing w:line="240" w:lineRule="auto"/>
              <w:contextualSpacing/>
              <w:rPr>
                <w:szCs w:val="22"/>
              </w:rPr>
            </w:pPr>
            <w:r w:rsidRPr="001E6DB9">
              <w:rPr>
                <w:szCs w:val="22"/>
              </w:rPr>
              <w:t>160 mg</w:t>
            </w:r>
          </w:p>
        </w:tc>
      </w:tr>
      <w:tr w:rsidR="00DE3708" w:rsidRPr="001E6DB9" w14:paraId="1590477D" w14:textId="77777777" w:rsidTr="00DE3708">
        <w:tc>
          <w:tcPr>
            <w:tcW w:w="2457" w:type="dxa"/>
          </w:tcPr>
          <w:p w14:paraId="20EF6BD6" w14:textId="77777777" w:rsidR="00DE3708" w:rsidRPr="001E6DB9" w:rsidRDefault="00DE3708" w:rsidP="00307CD6">
            <w:pPr>
              <w:spacing w:line="240" w:lineRule="auto"/>
              <w:contextualSpacing/>
              <w:rPr>
                <w:szCs w:val="22"/>
              </w:rPr>
            </w:pPr>
            <w:r w:rsidRPr="001E6DB9">
              <w:rPr>
                <w:szCs w:val="22"/>
              </w:rPr>
              <w:t>Nuo ≥ 80 kg iki ≤ 160 kg</w:t>
            </w:r>
          </w:p>
        </w:tc>
        <w:tc>
          <w:tcPr>
            <w:tcW w:w="4234" w:type="dxa"/>
          </w:tcPr>
          <w:p w14:paraId="1C08B83A" w14:textId="77777777" w:rsidR="00DE3708" w:rsidRPr="001E6DB9" w:rsidRDefault="00DE3708" w:rsidP="00307CD6">
            <w:pPr>
              <w:spacing w:line="240" w:lineRule="auto"/>
              <w:contextualSpacing/>
              <w:rPr>
                <w:szCs w:val="22"/>
              </w:rPr>
            </w:pPr>
            <w:r w:rsidRPr="001E6DB9">
              <w:rPr>
                <w:szCs w:val="22"/>
              </w:rPr>
              <w:t>320 mg</w:t>
            </w:r>
          </w:p>
        </w:tc>
      </w:tr>
    </w:tbl>
    <w:p w14:paraId="31BC64ED" w14:textId="77777777" w:rsidR="00E64FCC" w:rsidRDefault="00E64FCC" w:rsidP="00307CD6">
      <w:pPr>
        <w:spacing w:line="240" w:lineRule="auto"/>
        <w:contextualSpacing/>
        <w:rPr>
          <w:szCs w:val="22"/>
        </w:rPr>
      </w:pPr>
    </w:p>
    <w:p w14:paraId="5B1345A6" w14:textId="773CBCF9" w:rsidR="00DE3708" w:rsidRDefault="00E64FCC" w:rsidP="00307CD6">
      <w:pPr>
        <w:spacing w:line="240" w:lineRule="auto"/>
        <w:contextualSpacing/>
        <w:rPr>
          <w:szCs w:val="22"/>
        </w:rPr>
      </w:pPr>
      <w:r w:rsidRPr="00E64FCC">
        <w:rPr>
          <w:szCs w:val="22"/>
        </w:rPr>
        <w:t xml:space="preserve">Vaikams, kuriems jau buvo pradėta skirti valsartano iki jiems suėjo šešerių metų amžius, dozavimo informacija nurodyta </w:t>
      </w:r>
      <w:r>
        <w:rPr>
          <w:szCs w:val="22"/>
        </w:rPr>
        <w:t xml:space="preserve">valsartano </w:t>
      </w:r>
      <w:r w:rsidRPr="00E64FCC">
        <w:rPr>
          <w:szCs w:val="22"/>
        </w:rPr>
        <w:t>geriamojo tirpalo informaciniuose dokumentuose (skyrelyje „Vaikai nuo 1 iki mažiau kaip 6</w:t>
      </w:r>
      <w:r w:rsidR="00671107">
        <w:rPr>
          <w:szCs w:val="22"/>
        </w:rPr>
        <w:t> </w:t>
      </w:r>
      <w:r w:rsidRPr="00E64FCC">
        <w:rPr>
          <w:szCs w:val="22"/>
        </w:rPr>
        <w:t>metų“).</w:t>
      </w:r>
    </w:p>
    <w:p w14:paraId="4EE48663" w14:textId="77777777" w:rsidR="00E64FCC" w:rsidRPr="001E6DB9" w:rsidRDefault="00E64FCC" w:rsidP="00307CD6">
      <w:pPr>
        <w:spacing w:line="240" w:lineRule="auto"/>
        <w:contextualSpacing/>
        <w:rPr>
          <w:szCs w:val="22"/>
        </w:rPr>
      </w:pPr>
    </w:p>
    <w:p w14:paraId="0D63D6D6" w14:textId="77777777" w:rsidR="00DE3708" w:rsidRPr="001E6DB9" w:rsidRDefault="00DE3708" w:rsidP="00307CD6">
      <w:pPr>
        <w:spacing w:line="240" w:lineRule="auto"/>
        <w:contextualSpacing/>
        <w:rPr>
          <w:szCs w:val="22"/>
        </w:rPr>
      </w:pPr>
      <w:r w:rsidRPr="001E6DB9">
        <w:rPr>
          <w:i/>
          <w:szCs w:val="22"/>
        </w:rPr>
        <w:t>Jaunesniems kaip 6</w:t>
      </w:r>
      <w:r w:rsidRPr="001E6DB9">
        <w:rPr>
          <w:szCs w:val="22"/>
        </w:rPr>
        <w:t> </w:t>
      </w:r>
      <w:r w:rsidRPr="001E6DB9">
        <w:rPr>
          <w:i/>
          <w:szCs w:val="22"/>
        </w:rPr>
        <w:t>metų vaikams</w:t>
      </w:r>
    </w:p>
    <w:p w14:paraId="4A3587F0" w14:textId="4FBD3D08" w:rsidR="00DE3708" w:rsidRPr="001E6DB9" w:rsidRDefault="00306BF8" w:rsidP="00307CD6">
      <w:pPr>
        <w:spacing w:line="240" w:lineRule="auto"/>
        <w:contextualSpacing/>
        <w:rPr>
          <w:szCs w:val="22"/>
        </w:rPr>
      </w:pPr>
      <w:r w:rsidRPr="00306BF8">
        <w:rPr>
          <w:szCs w:val="22"/>
        </w:rPr>
        <w:t>1</w:t>
      </w:r>
      <w:r>
        <w:rPr>
          <w:szCs w:val="22"/>
        </w:rPr>
        <w:noBreakHyphen/>
      </w:r>
      <w:r w:rsidRPr="00306BF8">
        <w:rPr>
          <w:szCs w:val="22"/>
        </w:rPr>
        <w:t>5</w:t>
      </w:r>
      <w:r>
        <w:rPr>
          <w:szCs w:val="22"/>
        </w:rPr>
        <w:t> </w:t>
      </w:r>
      <w:r w:rsidRPr="00306BF8">
        <w:rPr>
          <w:szCs w:val="22"/>
        </w:rPr>
        <w:t xml:space="preserve">metų vaikams ir tiems, kuriems sunku nuryti tabletes, rekomenduojama vartoti </w:t>
      </w:r>
      <w:r>
        <w:rPr>
          <w:szCs w:val="22"/>
        </w:rPr>
        <w:t>valsartano</w:t>
      </w:r>
      <w:r w:rsidRPr="00306BF8">
        <w:rPr>
          <w:szCs w:val="22"/>
        </w:rPr>
        <w:t xml:space="preserve"> geriamojo tirpalo. </w:t>
      </w:r>
      <w:r w:rsidR="00DE3708" w:rsidRPr="001E6DB9">
        <w:rPr>
          <w:szCs w:val="22"/>
        </w:rPr>
        <w:t xml:space="preserve">Turimi duomenys pateikti 4.8, 5.1 ir 5.2 skyriuose. </w:t>
      </w:r>
      <w:proofErr w:type="spellStart"/>
      <w:r w:rsidR="00DE3708" w:rsidRPr="00F50D13">
        <w:rPr>
          <w:szCs w:val="22"/>
        </w:rPr>
        <w:t>Suvartar</w:t>
      </w:r>
      <w:proofErr w:type="spellEnd"/>
      <w:r w:rsidR="00DE3708" w:rsidRPr="001E6DB9">
        <w:rPr>
          <w:szCs w:val="22"/>
        </w:rPr>
        <w:t xml:space="preserve"> saugumas ir veiksmingumas </w:t>
      </w:r>
      <w:r>
        <w:rPr>
          <w:szCs w:val="22"/>
        </w:rPr>
        <w:t>jaunesniems kaip 1 </w:t>
      </w:r>
      <w:r w:rsidR="00DE3708" w:rsidRPr="001E6DB9">
        <w:rPr>
          <w:szCs w:val="22"/>
        </w:rPr>
        <w:t xml:space="preserve">metų vaikams </w:t>
      </w:r>
      <w:r>
        <w:rPr>
          <w:szCs w:val="22"/>
        </w:rPr>
        <w:t>neištirti</w:t>
      </w:r>
      <w:r w:rsidR="00DE3708" w:rsidRPr="001E6DB9">
        <w:rPr>
          <w:szCs w:val="22"/>
        </w:rPr>
        <w:t>.</w:t>
      </w:r>
    </w:p>
    <w:p w14:paraId="02ACE4DF" w14:textId="77777777" w:rsidR="00DE3708" w:rsidRDefault="00DE3708" w:rsidP="00307CD6">
      <w:pPr>
        <w:spacing w:line="240" w:lineRule="auto"/>
        <w:contextualSpacing/>
        <w:rPr>
          <w:szCs w:val="22"/>
        </w:rPr>
      </w:pPr>
    </w:p>
    <w:p w14:paraId="0A612B69" w14:textId="2A9DC16E" w:rsidR="00306BF8" w:rsidRPr="000A08ED" w:rsidRDefault="00306BF8" w:rsidP="00306BF8">
      <w:pPr>
        <w:spacing w:line="240" w:lineRule="auto"/>
        <w:contextualSpacing/>
        <w:rPr>
          <w:i/>
          <w:iCs/>
          <w:szCs w:val="22"/>
        </w:rPr>
      </w:pPr>
      <w:r w:rsidRPr="000A08ED">
        <w:rPr>
          <w:i/>
          <w:iCs/>
          <w:szCs w:val="22"/>
        </w:rPr>
        <w:t>Gydymo keitimas iš valsartano geriamojo tirpalo į valsartano tabletes</w:t>
      </w:r>
    </w:p>
    <w:p w14:paraId="18105F4E" w14:textId="1D92E2C6" w:rsidR="00306BF8" w:rsidRDefault="00306BF8" w:rsidP="00306BF8">
      <w:pPr>
        <w:spacing w:line="240" w:lineRule="auto"/>
        <w:contextualSpacing/>
        <w:rPr>
          <w:szCs w:val="22"/>
        </w:rPr>
      </w:pPr>
      <w:r w:rsidRPr="00306BF8">
        <w:rPr>
          <w:szCs w:val="22"/>
        </w:rPr>
        <w:t xml:space="preserve">Jeigu kliniškai reikalinga pakeisti gydymą iš </w:t>
      </w:r>
      <w:r>
        <w:rPr>
          <w:szCs w:val="22"/>
        </w:rPr>
        <w:t>valsartano</w:t>
      </w:r>
      <w:r w:rsidRPr="00306BF8">
        <w:rPr>
          <w:szCs w:val="22"/>
        </w:rPr>
        <w:t xml:space="preserve"> geriamojo tirpalo į </w:t>
      </w:r>
      <w:r>
        <w:rPr>
          <w:szCs w:val="22"/>
        </w:rPr>
        <w:t>valsartano</w:t>
      </w:r>
      <w:r w:rsidRPr="00306BF8">
        <w:rPr>
          <w:szCs w:val="22"/>
        </w:rPr>
        <w:t xml:space="preserve"> tabletes, iš pradžių reikia paskirti tokią pat dozę miligramais. Vėliau reikia dažnai matuoti kraujospūdį, atsižvelgiant į galimybę, kad dozė gali būti nepakankama, o po to dozę reikia koreguoti atsižvelgiant į kraujospūdžio reakciją ir vaistinio preparato toleravimą.</w:t>
      </w:r>
    </w:p>
    <w:p w14:paraId="636B6FE6" w14:textId="77777777" w:rsidR="00306BF8" w:rsidRPr="001E6DB9" w:rsidRDefault="00306BF8" w:rsidP="00306BF8">
      <w:pPr>
        <w:spacing w:line="240" w:lineRule="auto"/>
        <w:contextualSpacing/>
        <w:rPr>
          <w:szCs w:val="22"/>
        </w:rPr>
      </w:pPr>
    </w:p>
    <w:p w14:paraId="3DD4FAF4" w14:textId="29DB2FFA" w:rsidR="00DE3708" w:rsidRPr="001E6DB9" w:rsidRDefault="00DE3708" w:rsidP="00307CD6">
      <w:pPr>
        <w:spacing w:line="240" w:lineRule="auto"/>
        <w:contextualSpacing/>
        <w:rPr>
          <w:i/>
          <w:szCs w:val="22"/>
          <w:u w:val="single"/>
        </w:rPr>
      </w:pPr>
      <w:r w:rsidRPr="001E6DB9">
        <w:rPr>
          <w:i/>
          <w:szCs w:val="22"/>
          <w:u w:val="single"/>
        </w:rPr>
        <w:t xml:space="preserve">Vartojimas </w:t>
      </w:r>
      <w:r w:rsidR="00306BF8">
        <w:rPr>
          <w:i/>
          <w:szCs w:val="22"/>
          <w:u w:val="single"/>
        </w:rPr>
        <w:t xml:space="preserve">nuo </w:t>
      </w:r>
      <w:r w:rsidRPr="001E6DB9">
        <w:rPr>
          <w:i/>
          <w:szCs w:val="22"/>
          <w:u w:val="single"/>
        </w:rPr>
        <w:t>6</w:t>
      </w:r>
      <w:r w:rsidR="00306BF8">
        <w:rPr>
          <w:i/>
          <w:szCs w:val="22"/>
          <w:u w:val="single"/>
        </w:rPr>
        <w:t xml:space="preserve"> iki mažiau kaip </w:t>
      </w:r>
      <w:r w:rsidRPr="001E6DB9">
        <w:rPr>
          <w:i/>
          <w:szCs w:val="22"/>
          <w:u w:val="single"/>
        </w:rPr>
        <w:t>18 metų vaikams ir paaugliams, kurių inkstų funkcija sutrikusi</w:t>
      </w:r>
    </w:p>
    <w:p w14:paraId="2EAC4879" w14:textId="77777777" w:rsidR="00DE3708" w:rsidRPr="001E6DB9" w:rsidRDefault="00DE3708" w:rsidP="00307CD6">
      <w:pPr>
        <w:spacing w:line="240" w:lineRule="auto"/>
        <w:contextualSpacing/>
        <w:rPr>
          <w:szCs w:val="22"/>
        </w:rPr>
      </w:pPr>
      <w:r w:rsidRPr="001E6DB9">
        <w:rPr>
          <w:szCs w:val="22"/>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kraujo serume (žr. 4.4 ir 5.2 skyrius).</w:t>
      </w:r>
    </w:p>
    <w:p w14:paraId="22650EAB" w14:textId="77777777" w:rsidR="00DE3708" w:rsidRPr="001E6DB9" w:rsidRDefault="00DE3708" w:rsidP="00307CD6">
      <w:pPr>
        <w:spacing w:line="240" w:lineRule="auto"/>
        <w:contextualSpacing/>
        <w:rPr>
          <w:szCs w:val="22"/>
        </w:rPr>
      </w:pPr>
    </w:p>
    <w:p w14:paraId="19F07F41" w14:textId="58CC5C04" w:rsidR="00DE3708" w:rsidRPr="001E6DB9" w:rsidRDefault="00DE3708" w:rsidP="00307CD6">
      <w:pPr>
        <w:spacing w:line="240" w:lineRule="auto"/>
        <w:contextualSpacing/>
        <w:rPr>
          <w:i/>
          <w:szCs w:val="22"/>
          <w:u w:val="single"/>
        </w:rPr>
      </w:pPr>
      <w:r w:rsidRPr="001E6DB9">
        <w:rPr>
          <w:i/>
          <w:szCs w:val="22"/>
          <w:u w:val="single"/>
        </w:rPr>
        <w:t xml:space="preserve">Vartojimas </w:t>
      </w:r>
      <w:r w:rsidR="00306BF8">
        <w:rPr>
          <w:i/>
          <w:szCs w:val="22"/>
          <w:u w:val="single"/>
        </w:rPr>
        <w:t xml:space="preserve">nuo </w:t>
      </w:r>
      <w:r w:rsidRPr="001E6DB9">
        <w:rPr>
          <w:i/>
          <w:szCs w:val="22"/>
          <w:u w:val="single"/>
        </w:rPr>
        <w:t>6</w:t>
      </w:r>
      <w:r w:rsidR="00306BF8">
        <w:rPr>
          <w:i/>
          <w:szCs w:val="22"/>
          <w:u w:val="single"/>
        </w:rPr>
        <w:t xml:space="preserve"> iki mažiau kaip </w:t>
      </w:r>
      <w:r w:rsidRPr="001E6DB9">
        <w:rPr>
          <w:i/>
          <w:szCs w:val="22"/>
          <w:u w:val="single"/>
        </w:rPr>
        <w:t>18 metų vaikams ir paaugliams, kurių kepenų funkcija sutrikusi</w:t>
      </w:r>
    </w:p>
    <w:p w14:paraId="3A4E9EE1" w14:textId="77777777" w:rsidR="00DE3708" w:rsidRPr="00F50D13" w:rsidRDefault="00DE3708" w:rsidP="00307CD6">
      <w:pPr>
        <w:spacing w:line="240" w:lineRule="auto"/>
        <w:contextualSpacing/>
        <w:rPr>
          <w:szCs w:val="22"/>
        </w:rPr>
      </w:pPr>
      <w:r w:rsidRPr="001E6DB9">
        <w:rPr>
          <w:szCs w:val="22"/>
        </w:rPr>
        <w:t xml:space="preserve">Vaikams ir paaugliams, kaip ir suaugusiesiems žmonėms, </w:t>
      </w:r>
      <w:proofErr w:type="spellStart"/>
      <w:r w:rsidRPr="00F50D13">
        <w:rPr>
          <w:szCs w:val="22"/>
        </w:rPr>
        <w:t>Suvartar</w:t>
      </w:r>
      <w:proofErr w:type="spellEnd"/>
      <w:r w:rsidRPr="001E6DB9">
        <w:rPr>
          <w:szCs w:val="22"/>
        </w:rPr>
        <w:t xml:space="preserve"> negalima skirti, </w:t>
      </w:r>
      <w:r w:rsidRPr="00F50D13">
        <w:rPr>
          <w:szCs w:val="22"/>
        </w:rPr>
        <w:t xml:space="preserve">jei yra sunkus kepenų funkcijos sutrikimas, </w:t>
      </w:r>
      <w:proofErr w:type="spellStart"/>
      <w:r w:rsidRPr="00F50D13">
        <w:rPr>
          <w:szCs w:val="22"/>
        </w:rPr>
        <w:t>biliarinė</w:t>
      </w:r>
      <w:proofErr w:type="spellEnd"/>
      <w:r w:rsidRPr="00F50D13">
        <w:rPr>
          <w:szCs w:val="22"/>
        </w:rPr>
        <w:t xml:space="preserve"> cirozė ar </w:t>
      </w:r>
      <w:proofErr w:type="spellStart"/>
      <w:r w:rsidRPr="00F50D13">
        <w:rPr>
          <w:szCs w:val="22"/>
        </w:rPr>
        <w:t>cholestazė</w:t>
      </w:r>
      <w:proofErr w:type="spellEnd"/>
      <w:r w:rsidRPr="00F50D13">
        <w:rPr>
          <w:szCs w:val="22"/>
        </w:rPr>
        <w:t xml:space="preserve"> (žr. 4.3, 4.4 ir 5.2 skyrius). Klinikinės vaikų </w:t>
      </w:r>
      <w:r w:rsidRPr="00F50D13">
        <w:rPr>
          <w:szCs w:val="22"/>
        </w:rPr>
        <w:lastRenderedPageBreak/>
        <w:t xml:space="preserve">ir paauglių, kuriems yra lengvas arba vidutinio sunkumo kepenų funkcijos sutrikimas, gydymo </w:t>
      </w:r>
      <w:proofErr w:type="spellStart"/>
      <w:r w:rsidRPr="00F50D13">
        <w:rPr>
          <w:szCs w:val="22"/>
        </w:rPr>
        <w:t>Suvartar</w:t>
      </w:r>
      <w:proofErr w:type="spellEnd"/>
      <w:r w:rsidRPr="00F50D13">
        <w:rPr>
          <w:szCs w:val="22"/>
        </w:rPr>
        <w:t xml:space="preserve"> patirties yra nedaug. Tokiems ligoniams valsartano dozė turi neviršyti 80 mg.</w:t>
      </w:r>
    </w:p>
    <w:p w14:paraId="7531F567" w14:textId="77777777" w:rsidR="00DE3708" w:rsidRPr="001E6DB9" w:rsidRDefault="00DE3708" w:rsidP="00307CD6">
      <w:pPr>
        <w:spacing w:line="240" w:lineRule="auto"/>
        <w:contextualSpacing/>
        <w:rPr>
          <w:szCs w:val="22"/>
        </w:rPr>
      </w:pPr>
    </w:p>
    <w:p w14:paraId="18A05E31" w14:textId="77777777" w:rsidR="00DE3708" w:rsidRPr="001E6DB9" w:rsidRDefault="00DE3708" w:rsidP="00307CD6">
      <w:pPr>
        <w:spacing w:line="240" w:lineRule="auto"/>
        <w:contextualSpacing/>
        <w:rPr>
          <w:i/>
          <w:szCs w:val="22"/>
          <w:u w:val="single"/>
        </w:rPr>
      </w:pPr>
      <w:r w:rsidRPr="001E6DB9">
        <w:rPr>
          <w:i/>
          <w:szCs w:val="22"/>
          <w:u w:val="single"/>
        </w:rPr>
        <w:t>Vaikams ir paaugliams, sergantiems širdies nepakankamumu ar neseniai ištiktiems miokardo infarkto</w:t>
      </w:r>
    </w:p>
    <w:p w14:paraId="5B4A3552" w14:textId="77777777" w:rsidR="00DE3708" w:rsidRPr="001E6DB9" w:rsidRDefault="00DE3708" w:rsidP="00307CD6">
      <w:pPr>
        <w:spacing w:line="240" w:lineRule="auto"/>
        <w:contextualSpacing/>
        <w:rPr>
          <w:i/>
          <w:szCs w:val="22"/>
        </w:rPr>
      </w:pPr>
      <w:proofErr w:type="spellStart"/>
      <w:r w:rsidRPr="00F50D13">
        <w:rPr>
          <w:szCs w:val="22"/>
        </w:rPr>
        <w:t>Suvartar</w:t>
      </w:r>
      <w:proofErr w:type="spellEnd"/>
      <w:r w:rsidRPr="00F50D13">
        <w:rPr>
          <w:szCs w:val="22"/>
        </w:rPr>
        <w:t xml:space="preserve"> nerekomenduojama gydyti širdies nepakankamumą ar neseniai ištikusį miokardo infarktą vaikams ir jaunesniems kaip 18 metų paaugliams, nes duomenų apie saugumą ir veiksmingumą nėra.</w:t>
      </w:r>
    </w:p>
    <w:p w14:paraId="48EC7B7B" w14:textId="77777777" w:rsidR="00DE3708" w:rsidRPr="00F50D13" w:rsidRDefault="00DE3708" w:rsidP="00307CD6">
      <w:pPr>
        <w:spacing w:line="240" w:lineRule="auto"/>
        <w:contextualSpacing/>
        <w:rPr>
          <w:szCs w:val="22"/>
        </w:rPr>
      </w:pPr>
    </w:p>
    <w:p w14:paraId="3349FEB8" w14:textId="77777777" w:rsidR="00DE3708" w:rsidRPr="00F50D13" w:rsidRDefault="00DE3708" w:rsidP="00307CD6">
      <w:pPr>
        <w:spacing w:line="240" w:lineRule="auto"/>
        <w:contextualSpacing/>
        <w:rPr>
          <w:szCs w:val="22"/>
          <w:u w:val="single"/>
        </w:rPr>
      </w:pPr>
      <w:r w:rsidRPr="00F50D13">
        <w:rPr>
          <w:szCs w:val="22"/>
          <w:u w:val="single"/>
        </w:rPr>
        <w:t>Vartojimo metodas</w:t>
      </w:r>
    </w:p>
    <w:p w14:paraId="38BD94F0" w14:textId="77777777" w:rsidR="00DE3708" w:rsidRPr="00F91FD7" w:rsidRDefault="00DE3708" w:rsidP="00307CD6">
      <w:pPr>
        <w:spacing w:line="240" w:lineRule="auto"/>
        <w:contextualSpacing/>
        <w:rPr>
          <w:szCs w:val="22"/>
        </w:rPr>
      </w:pPr>
      <w:proofErr w:type="spellStart"/>
      <w:r w:rsidRPr="00F91FD7">
        <w:rPr>
          <w:szCs w:val="22"/>
        </w:rPr>
        <w:t>Suvartar</w:t>
      </w:r>
      <w:proofErr w:type="spellEnd"/>
      <w:r w:rsidRPr="00F91FD7">
        <w:rPr>
          <w:szCs w:val="22"/>
        </w:rPr>
        <w:t xml:space="preserve"> galima vartoti nepriklausomai nuo valgio, vaistinį preparatą reikia išgerti su vandeniu.</w:t>
      </w:r>
    </w:p>
    <w:p w14:paraId="5C078896" w14:textId="77777777" w:rsidR="00DE3708" w:rsidRPr="00F91FD7" w:rsidRDefault="00DE3708" w:rsidP="00307CD6">
      <w:pPr>
        <w:spacing w:line="240" w:lineRule="auto"/>
        <w:contextualSpacing/>
        <w:rPr>
          <w:szCs w:val="22"/>
        </w:rPr>
      </w:pPr>
    </w:p>
    <w:p w14:paraId="280FD4AF" w14:textId="77777777" w:rsidR="00DE3708" w:rsidRPr="0078402A" w:rsidRDefault="00DE3708" w:rsidP="00307CD6">
      <w:pPr>
        <w:spacing w:line="240" w:lineRule="auto"/>
        <w:contextualSpacing/>
        <w:rPr>
          <w:b/>
          <w:szCs w:val="22"/>
        </w:rPr>
      </w:pPr>
      <w:r w:rsidRPr="0078402A">
        <w:rPr>
          <w:b/>
          <w:szCs w:val="22"/>
        </w:rPr>
        <w:t>4.3</w:t>
      </w:r>
      <w:r w:rsidRPr="0078402A">
        <w:rPr>
          <w:b/>
          <w:szCs w:val="22"/>
        </w:rPr>
        <w:tab/>
        <w:t>Kontraindikacijos</w:t>
      </w:r>
    </w:p>
    <w:p w14:paraId="025F1086" w14:textId="77777777" w:rsidR="00DE3708" w:rsidRPr="00307CD6" w:rsidRDefault="00DE3708" w:rsidP="00307CD6">
      <w:pPr>
        <w:spacing w:line="240" w:lineRule="auto"/>
        <w:contextualSpacing/>
        <w:rPr>
          <w:b/>
          <w:szCs w:val="22"/>
        </w:rPr>
      </w:pPr>
    </w:p>
    <w:p w14:paraId="14099B15" w14:textId="77777777" w:rsidR="00DE3708" w:rsidRPr="001E6DB9" w:rsidRDefault="00DE3708" w:rsidP="00307CD6">
      <w:pPr>
        <w:pStyle w:val="Default"/>
        <w:numPr>
          <w:ilvl w:val="0"/>
          <w:numId w:val="2"/>
        </w:numPr>
        <w:contextualSpacing/>
        <w:rPr>
          <w:color w:val="auto"/>
          <w:sz w:val="22"/>
          <w:szCs w:val="22"/>
        </w:rPr>
      </w:pPr>
      <w:r w:rsidRPr="001E6DB9">
        <w:rPr>
          <w:color w:val="auto"/>
          <w:sz w:val="22"/>
          <w:szCs w:val="22"/>
        </w:rPr>
        <w:t xml:space="preserve">Padidėjęs jautrumas veikliajai arba bet kuriai 6.1 skyriuje nurodytai pagalbinei medžiagai. </w:t>
      </w:r>
    </w:p>
    <w:p w14:paraId="4F8F2329" w14:textId="77777777" w:rsidR="00DE3708" w:rsidRPr="001E6DB9" w:rsidRDefault="00DE3708" w:rsidP="00307CD6">
      <w:pPr>
        <w:pStyle w:val="Default"/>
        <w:numPr>
          <w:ilvl w:val="0"/>
          <w:numId w:val="2"/>
        </w:numPr>
        <w:contextualSpacing/>
        <w:rPr>
          <w:color w:val="auto"/>
          <w:sz w:val="22"/>
          <w:szCs w:val="22"/>
        </w:rPr>
      </w:pPr>
      <w:r w:rsidRPr="001E6DB9">
        <w:rPr>
          <w:color w:val="auto"/>
          <w:sz w:val="22"/>
          <w:szCs w:val="22"/>
        </w:rPr>
        <w:t xml:space="preserve">Sunkus kepenų funkcijos sutrikimas, </w:t>
      </w:r>
      <w:proofErr w:type="spellStart"/>
      <w:r w:rsidRPr="001E6DB9">
        <w:rPr>
          <w:color w:val="auto"/>
          <w:sz w:val="22"/>
          <w:szCs w:val="22"/>
        </w:rPr>
        <w:t>bilijinė</w:t>
      </w:r>
      <w:proofErr w:type="spellEnd"/>
      <w:r w:rsidRPr="001E6DB9">
        <w:rPr>
          <w:color w:val="auto"/>
          <w:sz w:val="22"/>
          <w:szCs w:val="22"/>
        </w:rPr>
        <w:t xml:space="preserve"> cirozė ir </w:t>
      </w:r>
      <w:proofErr w:type="spellStart"/>
      <w:r w:rsidRPr="001E6DB9">
        <w:rPr>
          <w:color w:val="auto"/>
          <w:sz w:val="22"/>
          <w:szCs w:val="22"/>
        </w:rPr>
        <w:t>cholestazė</w:t>
      </w:r>
      <w:proofErr w:type="spellEnd"/>
      <w:r w:rsidRPr="001E6DB9">
        <w:rPr>
          <w:color w:val="auto"/>
          <w:sz w:val="22"/>
          <w:szCs w:val="22"/>
        </w:rPr>
        <w:t xml:space="preserve">. </w:t>
      </w:r>
    </w:p>
    <w:p w14:paraId="4144C505" w14:textId="77777777" w:rsidR="00DE3708" w:rsidRPr="001E6DB9" w:rsidRDefault="00DE3708" w:rsidP="00307CD6">
      <w:pPr>
        <w:pStyle w:val="Default"/>
        <w:numPr>
          <w:ilvl w:val="0"/>
          <w:numId w:val="2"/>
        </w:numPr>
        <w:contextualSpacing/>
        <w:rPr>
          <w:color w:val="auto"/>
          <w:sz w:val="22"/>
          <w:szCs w:val="22"/>
        </w:rPr>
      </w:pPr>
      <w:r w:rsidRPr="001E6DB9">
        <w:rPr>
          <w:color w:val="auto"/>
          <w:sz w:val="22"/>
          <w:szCs w:val="22"/>
        </w:rPr>
        <w:t xml:space="preserve">Paskutinieji šeši nėštumo mėnesiai (žr. 4.4 ir 4.6 skyrius). </w:t>
      </w:r>
    </w:p>
    <w:p w14:paraId="06472497" w14:textId="77777777" w:rsidR="00DE3708" w:rsidRPr="00F91FD7" w:rsidRDefault="00DE3708" w:rsidP="00307CD6">
      <w:pPr>
        <w:numPr>
          <w:ilvl w:val="0"/>
          <w:numId w:val="2"/>
        </w:numPr>
        <w:spacing w:line="240" w:lineRule="auto"/>
        <w:contextualSpacing/>
        <w:rPr>
          <w:rFonts w:eastAsia="Batang"/>
          <w:b/>
          <w:szCs w:val="22"/>
        </w:rPr>
      </w:pPr>
      <w:r w:rsidRPr="00F50D13">
        <w:rPr>
          <w:rFonts w:eastAsia="Batang"/>
          <w:szCs w:val="22"/>
        </w:rPr>
        <w:t>Pacientams, kurie serga cukriniu diabetu arba kurių inkstų funkcija sutrikusi (GFG &lt; 60 ml/min/1,73 m</w:t>
      </w:r>
      <w:r w:rsidRPr="00F50D13">
        <w:rPr>
          <w:rFonts w:eastAsia="Batang"/>
          <w:szCs w:val="22"/>
          <w:vertAlign w:val="superscript"/>
        </w:rPr>
        <w:t>2</w:t>
      </w:r>
      <w:r w:rsidRPr="00F91FD7">
        <w:rPr>
          <w:rFonts w:eastAsia="Batang"/>
          <w:szCs w:val="22"/>
        </w:rPr>
        <w:t xml:space="preserve">), </w:t>
      </w:r>
      <w:proofErr w:type="spellStart"/>
      <w:r w:rsidRPr="00F91FD7">
        <w:rPr>
          <w:rFonts w:eastAsia="Batang"/>
          <w:szCs w:val="22"/>
        </w:rPr>
        <w:t>Suvartar</w:t>
      </w:r>
      <w:proofErr w:type="spellEnd"/>
      <w:r w:rsidRPr="00F91FD7">
        <w:rPr>
          <w:rFonts w:eastAsia="Batang"/>
          <w:szCs w:val="22"/>
        </w:rPr>
        <w:t xml:space="preserve"> negalima vartoti kartu su vaistiniais preparatais, kurių sudėtyje yra </w:t>
      </w:r>
      <w:proofErr w:type="spellStart"/>
      <w:r w:rsidRPr="00F91FD7">
        <w:rPr>
          <w:rFonts w:eastAsia="Batang"/>
          <w:szCs w:val="22"/>
        </w:rPr>
        <w:t>aliskireno</w:t>
      </w:r>
      <w:proofErr w:type="spellEnd"/>
      <w:r w:rsidRPr="00F91FD7">
        <w:rPr>
          <w:rFonts w:eastAsia="Batang"/>
          <w:szCs w:val="22"/>
        </w:rPr>
        <w:t xml:space="preserve"> (žr. 4.5 ir 5.1 skyrius).</w:t>
      </w:r>
    </w:p>
    <w:p w14:paraId="72536B2D" w14:textId="77777777" w:rsidR="00DE3708" w:rsidRPr="001E6DB9" w:rsidRDefault="00DE3708" w:rsidP="00307CD6">
      <w:pPr>
        <w:pStyle w:val="Default"/>
        <w:contextualSpacing/>
        <w:rPr>
          <w:b/>
          <w:color w:val="auto"/>
          <w:sz w:val="22"/>
          <w:szCs w:val="22"/>
        </w:rPr>
      </w:pPr>
    </w:p>
    <w:p w14:paraId="054391A4" w14:textId="77777777" w:rsidR="00DE3708" w:rsidRPr="001E6DB9" w:rsidRDefault="00DE3708" w:rsidP="00307CD6">
      <w:pPr>
        <w:pStyle w:val="Default"/>
        <w:ind w:left="567" w:hanging="567"/>
        <w:contextualSpacing/>
        <w:rPr>
          <w:color w:val="auto"/>
          <w:sz w:val="22"/>
          <w:szCs w:val="22"/>
        </w:rPr>
      </w:pPr>
      <w:r w:rsidRPr="001E6DB9">
        <w:rPr>
          <w:b/>
          <w:color w:val="auto"/>
          <w:sz w:val="22"/>
          <w:szCs w:val="22"/>
        </w:rPr>
        <w:t>4.4</w:t>
      </w:r>
      <w:r w:rsidRPr="001E6DB9">
        <w:rPr>
          <w:b/>
          <w:color w:val="auto"/>
          <w:sz w:val="22"/>
          <w:szCs w:val="22"/>
        </w:rPr>
        <w:tab/>
        <w:t xml:space="preserve">Specialūs įspėjimai ir atsargumo priemonės </w:t>
      </w:r>
    </w:p>
    <w:p w14:paraId="0C36F076" w14:textId="77777777" w:rsidR="00DE3708" w:rsidRPr="001E6DB9" w:rsidRDefault="00DE3708" w:rsidP="00307CD6">
      <w:pPr>
        <w:pStyle w:val="Default"/>
        <w:contextualSpacing/>
        <w:rPr>
          <w:color w:val="auto"/>
          <w:sz w:val="22"/>
          <w:szCs w:val="22"/>
          <w:u w:val="single"/>
        </w:rPr>
      </w:pPr>
    </w:p>
    <w:p w14:paraId="32B394F7"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Hiperkalemija </w:t>
      </w:r>
    </w:p>
    <w:p w14:paraId="2E66A71E" w14:textId="77777777" w:rsidR="00DE3708" w:rsidRPr="001E6DB9" w:rsidRDefault="00DE3708" w:rsidP="00307CD6">
      <w:pPr>
        <w:pStyle w:val="Default"/>
        <w:contextualSpacing/>
        <w:rPr>
          <w:color w:val="auto"/>
          <w:sz w:val="22"/>
          <w:szCs w:val="22"/>
        </w:rPr>
      </w:pPr>
      <w:r w:rsidRPr="00F50D13">
        <w:rPr>
          <w:color w:val="auto"/>
          <w:sz w:val="22"/>
          <w:szCs w:val="22"/>
        </w:rPr>
        <w:t xml:space="preserve">Nerekomenduojama vartoti kartu su kalio papildais, kalį sulaikančiais diuretikais, druskos pakaitalais, kurių sudėtyje yra kalio, arba kitokiomis medžiagomis (heparinu ir kt.), kurios gali didinti kalio kiekį organizme. Reikia įprastais metodais kontroliuoti kalio kiekį organizme. </w:t>
      </w:r>
    </w:p>
    <w:p w14:paraId="3325E624" w14:textId="77777777" w:rsidR="00DE3708" w:rsidRPr="001E6DB9" w:rsidRDefault="00DE3708" w:rsidP="00307CD6">
      <w:pPr>
        <w:pStyle w:val="Default"/>
        <w:contextualSpacing/>
        <w:rPr>
          <w:color w:val="auto"/>
          <w:sz w:val="22"/>
          <w:szCs w:val="22"/>
          <w:u w:val="single"/>
        </w:rPr>
      </w:pPr>
    </w:p>
    <w:p w14:paraId="4FFACE6A" w14:textId="77777777" w:rsidR="00DE3708" w:rsidRPr="00F50D13" w:rsidRDefault="00DE3708" w:rsidP="00307CD6">
      <w:pPr>
        <w:spacing w:line="240" w:lineRule="auto"/>
        <w:contextualSpacing/>
        <w:rPr>
          <w:szCs w:val="22"/>
          <w:u w:val="single"/>
        </w:rPr>
      </w:pPr>
      <w:r w:rsidRPr="00F50D13">
        <w:rPr>
          <w:szCs w:val="22"/>
          <w:u w:val="single"/>
        </w:rPr>
        <w:t>Inkstų funkcijos sutrikimas</w:t>
      </w:r>
    </w:p>
    <w:p w14:paraId="63CDA274" w14:textId="77777777" w:rsidR="00DE3708" w:rsidRPr="00F50D13" w:rsidRDefault="00DE3708" w:rsidP="00307CD6">
      <w:pPr>
        <w:spacing w:line="240" w:lineRule="auto"/>
        <w:contextualSpacing/>
        <w:rPr>
          <w:szCs w:val="22"/>
        </w:rPr>
      </w:pPr>
      <w:r w:rsidRPr="00F50D13">
        <w:rPr>
          <w:szCs w:val="22"/>
        </w:rPr>
        <w:t>Pacientų, kurių kreatinino klirensas &lt; 10 ml/min., bei ligonių, kurie gydomi dializėmis, saugaus gydymo patirties kol kas nėra, todėl tokiems ligoniams valsartano skirti reikia at</w:t>
      </w:r>
      <w:r w:rsidRPr="00F91FD7">
        <w:rPr>
          <w:szCs w:val="22"/>
        </w:rPr>
        <w:t xml:space="preserve">sargiai. Suaugusiems pacientams, kurių kreatinino klirensas yra </w:t>
      </w:r>
      <w:r w:rsidRPr="00F50D13">
        <w:rPr>
          <w:szCs w:val="22"/>
        </w:rPr>
        <w:sym w:font="Symbol" w:char="F03E"/>
      </w:r>
      <w:r w:rsidRPr="00F50D13">
        <w:rPr>
          <w:szCs w:val="22"/>
        </w:rPr>
        <w:t xml:space="preserve"> 10 ml/min., </w:t>
      </w:r>
      <w:proofErr w:type="spellStart"/>
      <w:r w:rsidRPr="00F50D13">
        <w:rPr>
          <w:szCs w:val="22"/>
        </w:rPr>
        <w:t>Suvartar</w:t>
      </w:r>
      <w:proofErr w:type="spellEnd"/>
      <w:r w:rsidRPr="00F50D13">
        <w:rPr>
          <w:szCs w:val="22"/>
        </w:rPr>
        <w:t xml:space="preserve"> dozės keisti nereikia (žr. 4.2 ir 5.2 skyrius).</w:t>
      </w:r>
    </w:p>
    <w:p w14:paraId="62DE3632" w14:textId="77777777" w:rsidR="00DE3708" w:rsidRPr="00F50D13" w:rsidRDefault="00DE3708" w:rsidP="00307CD6">
      <w:pPr>
        <w:spacing w:line="240" w:lineRule="auto"/>
        <w:contextualSpacing/>
        <w:rPr>
          <w:szCs w:val="22"/>
        </w:rPr>
      </w:pPr>
    </w:p>
    <w:p w14:paraId="01D21840" w14:textId="77777777" w:rsidR="00DE3708" w:rsidRPr="00F91FD7" w:rsidRDefault="00DE3708" w:rsidP="00307CD6">
      <w:pPr>
        <w:spacing w:line="240" w:lineRule="auto"/>
        <w:contextualSpacing/>
        <w:rPr>
          <w:szCs w:val="22"/>
        </w:rPr>
      </w:pPr>
      <w:r w:rsidRPr="00F91FD7">
        <w:rPr>
          <w:szCs w:val="22"/>
        </w:rPr>
        <w:t xml:space="preserve">ARA, įskaitant </w:t>
      </w:r>
      <w:proofErr w:type="spellStart"/>
      <w:r w:rsidRPr="00F91FD7">
        <w:rPr>
          <w:szCs w:val="22"/>
        </w:rPr>
        <w:t>valsartaną</w:t>
      </w:r>
      <w:proofErr w:type="spellEnd"/>
      <w:r w:rsidRPr="00F91FD7">
        <w:rPr>
          <w:szCs w:val="22"/>
        </w:rPr>
        <w:t xml:space="preserve">, arba AKF inhibitorių vartoti kartu su </w:t>
      </w:r>
      <w:proofErr w:type="spellStart"/>
      <w:r w:rsidRPr="00F91FD7">
        <w:rPr>
          <w:szCs w:val="22"/>
        </w:rPr>
        <w:t>aliskirenu</w:t>
      </w:r>
      <w:proofErr w:type="spellEnd"/>
      <w:r w:rsidRPr="00F91FD7">
        <w:rPr>
          <w:szCs w:val="22"/>
        </w:rPr>
        <w:t xml:space="preserve"> draudžiama pacientams, kurių inkstų funkcija yra sutrikusi (GFR &lt;</w:t>
      </w:r>
      <w:r w:rsidR="0078402A">
        <w:rPr>
          <w:szCs w:val="22"/>
        </w:rPr>
        <w:t> </w:t>
      </w:r>
      <w:r w:rsidRPr="00F91FD7">
        <w:rPr>
          <w:szCs w:val="22"/>
        </w:rPr>
        <w:t>60</w:t>
      </w:r>
      <w:r w:rsidR="0078402A">
        <w:rPr>
          <w:szCs w:val="22"/>
        </w:rPr>
        <w:t> </w:t>
      </w:r>
      <w:r w:rsidRPr="00F91FD7">
        <w:rPr>
          <w:szCs w:val="22"/>
        </w:rPr>
        <w:t>ml/min/1,73</w:t>
      </w:r>
      <w:r w:rsidR="0078402A">
        <w:rPr>
          <w:szCs w:val="22"/>
        </w:rPr>
        <w:t> </w:t>
      </w:r>
      <w:r w:rsidRPr="00F91FD7">
        <w:rPr>
          <w:szCs w:val="22"/>
        </w:rPr>
        <w:t>m</w:t>
      </w:r>
      <w:r w:rsidRPr="00F91FD7">
        <w:rPr>
          <w:szCs w:val="22"/>
          <w:vertAlign w:val="superscript"/>
        </w:rPr>
        <w:t>2</w:t>
      </w:r>
      <w:r w:rsidRPr="00F91FD7">
        <w:rPr>
          <w:szCs w:val="22"/>
        </w:rPr>
        <w:t>) (žr. 4.3 ir 4.5 skyrius).</w:t>
      </w:r>
    </w:p>
    <w:p w14:paraId="73F8FAEE" w14:textId="77777777" w:rsidR="00DE3708" w:rsidRPr="0078402A" w:rsidRDefault="00DE3708" w:rsidP="00307CD6">
      <w:pPr>
        <w:spacing w:line="240" w:lineRule="auto"/>
        <w:contextualSpacing/>
        <w:rPr>
          <w:szCs w:val="22"/>
        </w:rPr>
      </w:pPr>
    </w:p>
    <w:p w14:paraId="31BF78B2" w14:textId="77777777" w:rsidR="00DE3708" w:rsidRPr="00307CD6" w:rsidRDefault="00DE3708" w:rsidP="00307CD6">
      <w:pPr>
        <w:spacing w:line="240" w:lineRule="auto"/>
        <w:contextualSpacing/>
        <w:rPr>
          <w:szCs w:val="22"/>
          <w:u w:val="single"/>
        </w:rPr>
      </w:pPr>
      <w:r w:rsidRPr="00307CD6">
        <w:rPr>
          <w:szCs w:val="22"/>
          <w:u w:val="single"/>
        </w:rPr>
        <w:t>Kepenų funkcijos sutrikimas</w:t>
      </w:r>
    </w:p>
    <w:p w14:paraId="1986155D" w14:textId="77777777" w:rsidR="00DE3708" w:rsidRPr="007F15BA" w:rsidRDefault="00DE3708" w:rsidP="00307CD6">
      <w:pPr>
        <w:spacing w:line="240" w:lineRule="auto"/>
        <w:contextualSpacing/>
        <w:rPr>
          <w:szCs w:val="22"/>
        </w:rPr>
      </w:pPr>
      <w:r w:rsidRPr="00307CD6">
        <w:rPr>
          <w:szCs w:val="22"/>
        </w:rPr>
        <w:t xml:space="preserve">Pacientams, kuriems yra lengvas arba vidutinio sunkumo kepenų funkcijos sutrikimas be </w:t>
      </w:r>
      <w:proofErr w:type="spellStart"/>
      <w:r w:rsidRPr="00307CD6">
        <w:rPr>
          <w:szCs w:val="22"/>
        </w:rPr>
        <w:t>cholestazės</w:t>
      </w:r>
      <w:proofErr w:type="spellEnd"/>
      <w:r w:rsidRPr="00307CD6">
        <w:rPr>
          <w:szCs w:val="22"/>
        </w:rPr>
        <w:t xml:space="preserve">,  </w:t>
      </w:r>
      <w:proofErr w:type="spellStart"/>
      <w:r w:rsidRPr="00307CD6">
        <w:rPr>
          <w:szCs w:val="22"/>
        </w:rPr>
        <w:t>Suvartar</w:t>
      </w:r>
      <w:proofErr w:type="spellEnd"/>
      <w:r w:rsidRPr="00307CD6">
        <w:rPr>
          <w:szCs w:val="22"/>
        </w:rPr>
        <w:t xml:space="preserve"> reikia skirti at</w:t>
      </w:r>
      <w:r w:rsidRPr="007F15BA">
        <w:rPr>
          <w:szCs w:val="22"/>
        </w:rPr>
        <w:t>sargiai (žr. 4.2 ir 5.2 skyrius).</w:t>
      </w:r>
    </w:p>
    <w:p w14:paraId="47EE5C50" w14:textId="77777777" w:rsidR="00DE3708" w:rsidRPr="001E6DB9" w:rsidRDefault="00DE3708" w:rsidP="00307CD6">
      <w:pPr>
        <w:pStyle w:val="Default"/>
        <w:contextualSpacing/>
        <w:rPr>
          <w:color w:val="auto"/>
          <w:sz w:val="22"/>
          <w:szCs w:val="22"/>
          <w:u w:val="single"/>
        </w:rPr>
      </w:pPr>
    </w:p>
    <w:p w14:paraId="1E584680" w14:textId="77777777" w:rsidR="00DE3708" w:rsidRPr="001E6DB9" w:rsidRDefault="00DE3708" w:rsidP="00307CD6">
      <w:pPr>
        <w:pStyle w:val="Default"/>
        <w:contextualSpacing/>
        <w:rPr>
          <w:color w:val="auto"/>
          <w:sz w:val="22"/>
          <w:szCs w:val="22"/>
          <w:u w:val="single"/>
          <w:lang w:val="es-ES"/>
        </w:rPr>
      </w:pPr>
      <w:r w:rsidRPr="00F50D13">
        <w:rPr>
          <w:color w:val="auto"/>
          <w:sz w:val="22"/>
          <w:szCs w:val="22"/>
          <w:u w:val="single"/>
        </w:rPr>
        <w:t xml:space="preserve">Natrio ir (arba) skysčio trūkumas organizme </w:t>
      </w:r>
    </w:p>
    <w:p w14:paraId="3B956362" w14:textId="77777777" w:rsidR="00DE3708" w:rsidRPr="001E6DB9" w:rsidRDefault="00DE3708" w:rsidP="00307CD6">
      <w:pPr>
        <w:pStyle w:val="Default"/>
        <w:contextualSpacing/>
        <w:rPr>
          <w:color w:val="auto"/>
          <w:sz w:val="22"/>
          <w:szCs w:val="22"/>
        </w:rPr>
      </w:pPr>
      <w:r w:rsidRPr="00F50D13">
        <w:rPr>
          <w:color w:val="auto"/>
          <w:sz w:val="22"/>
          <w:szCs w:val="22"/>
        </w:rPr>
        <w:t xml:space="preserve">Pacientams, kurių organizme yra didelis natrio ir (arba) skysčio trūkumas, pvz., dėl didelės diuretikų dozės vartojimo, pradėjus gydymą </w:t>
      </w:r>
      <w:proofErr w:type="spellStart"/>
      <w:r w:rsidRPr="001E6DB9">
        <w:rPr>
          <w:color w:val="auto"/>
          <w:sz w:val="22"/>
          <w:szCs w:val="22"/>
        </w:rPr>
        <w:t>valsartanu</w:t>
      </w:r>
      <w:proofErr w:type="spellEnd"/>
      <w:r w:rsidRPr="00F50D13">
        <w:rPr>
          <w:color w:val="auto"/>
          <w:sz w:val="22"/>
          <w:szCs w:val="22"/>
        </w:rPr>
        <w:t xml:space="preserve"> retais atvejais gali pasireikšti simptominė hipotenzija. Prieš pradedant gydyti </w:t>
      </w:r>
      <w:proofErr w:type="spellStart"/>
      <w:r w:rsidRPr="00F50D13">
        <w:rPr>
          <w:color w:val="auto"/>
          <w:sz w:val="22"/>
          <w:szCs w:val="22"/>
        </w:rPr>
        <w:t>valsartanu</w:t>
      </w:r>
      <w:proofErr w:type="spellEnd"/>
      <w:r w:rsidRPr="00F50D13">
        <w:rPr>
          <w:color w:val="auto"/>
          <w:sz w:val="22"/>
          <w:szCs w:val="22"/>
        </w:rPr>
        <w:t xml:space="preserve">, reikia </w:t>
      </w:r>
      <w:proofErr w:type="spellStart"/>
      <w:r w:rsidRPr="00F50D13">
        <w:rPr>
          <w:color w:val="auto"/>
          <w:sz w:val="22"/>
          <w:szCs w:val="22"/>
        </w:rPr>
        <w:t>sunormalinti</w:t>
      </w:r>
      <w:proofErr w:type="spellEnd"/>
      <w:r w:rsidRPr="00F50D13">
        <w:rPr>
          <w:color w:val="auto"/>
          <w:sz w:val="22"/>
          <w:szCs w:val="22"/>
        </w:rPr>
        <w:t xml:space="preserve"> natrio ir (arba) skysčio kiekį organizme, pvz., sumažinant diuretikų dozę. </w:t>
      </w:r>
    </w:p>
    <w:p w14:paraId="6D1279FF" w14:textId="77777777" w:rsidR="00DE3708" w:rsidRPr="001E6DB9" w:rsidRDefault="00DE3708" w:rsidP="00307CD6">
      <w:pPr>
        <w:pStyle w:val="Default"/>
        <w:contextualSpacing/>
        <w:rPr>
          <w:color w:val="auto"/>
          <w:sz w:val="22"/>
          <w:szCs w:val="22"/>
        </w:rPr>
      </w:pPr>
    </w:p>
    <w:p w14:paraId="78DF0BD7"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Inkstų arterijos stenozė </w:t>
      </w:r>
    </w:p>
    <w:p w14:paraId="1FD64000" w14:textId="77777777" w:rsidR="00DE3708" w:rsidRPr="001E6DB9" w:rsidRDefault="00DE3708" w:rsidP="00307CD6">
      <w:pPr>
        <w:pStyle w:val="Default"/>
        <w:contextualSpacing/>
        <w:rPr>
          <w:color w:val="auto"/>
          <w:sz w:val="22"/>
          <w:szCs w:val="22"/>
        </w:rPr>
      </w:pPr>
      <w:r w:rsidRPr="00F50D13">
        <w:rPr>
          <w:color w:val="auto"/>
          <w:sz w:val="22"/>
          <w:szCs w:val="22"/>
        </w:rPr>
        <w:t xml:space="preserve">Ar saugu </w:t>
      </w:r>
      <w:proofErr w:type="spellStart"/>
      <w:r w:rsidRPr="00F50D13">
        <w:rPr>
          <w:color w:val="auto"/>
          <w:sz w:val="22"/>
          <w:szCs w:val="22"/>
        </w:rPr>
        <w:t>valsartaną</w:t>
      </w:r>
      <w:proofErr w:type="spellEnd"/>
      <w:r w:rsidRPr="00F50D13">
        <w:rPr>
          <w:color w:val="auto"/>
          <w:sz w:val="22"/>
          <w:szCs w:val="22"/>
        </w:rPr>
        <w:t xml:space="preserve"> vartoti pacientams, kuriems yra abiejų inkstų arterijų arba vienintelio inksto arterijos stenozė, netirta. </w:t>
      </w:r>
    </w:p>
    <w:p w14:paraId="79621471" w14:textId="77777777" w:rsidR="00DE3708" w:rsidRPr="001E6DB9" w:rsidRDefault="00DE3708" w:rsidP="00307CD6">
      <w:pPr>
        <w:pStyle w:val="Default"/>
        <w:contextualSpacing/>
        <w:rPr>
          <w:color w:val="auto"/>
          <w:sz w:val="22"/>
          <w:szCs w:val="22"/>
        </w:rPr>
      </w:pPr>
      <w:r w:rsidRPr="00F50D13">
        <w:rPr>
          <w:color w:val="auto"/>
          <w:sz w:val="22"/>
          <w:szCs w:val="22"/>
        </w:rPr>
        <w:t xml:space="preserve">Trumpalaikis valsartano vartojimas dvylikai pacientų, sergančių </w:t>
      </w:r>
      <w:proofErr w:type="spellStart"/>
      <w:r w:rsidRPr="00F50D13">
        <w:rPr>
          <w:color w:val="auto"/>
          <w:sz w:val="22"/>
          <w:szCs w:val="22"/>
        </w:rPr>
        <w:t>renovaskuline</w:t>
      </w:r>
      <w:proofErr w:type="spellEnd"/>
      <w:r w:rsidRPr="00F50D13">
        <w:rPr>
          <w:color w:val="auto"/>
          <w:sz w:val="22"/>
          <w:szCs w:val="22"/>
        </w:rPr>
        <w:t xml:space="preserve"> hipertenzija, atsiradusia dėl vienos inksto arterijos stenozės, jokių reikšmingų inkstų kraujotakos, kreatinino kiekio kraujo serume ir šlapalo (BUN</w:t>
      </w:r>
      <w:r w:rsidRPr="00F50D13">
        <w:rPr>
          <w:i/>
          <w:color w:val="auto"/>
          <w:sz w:val="22"/>
          <w:szCs w:val="22"/>
        </w:rPr>
        <w:t xml:space="preserve">, angl. </w:t>
      </w:r>
      <w:proofErr w:type="spellStart"/>
      <w:r w:rsidRPr="00F50D13">
        <w:rPr>
          <w:i/>
          <w:color w:val="auto"/>
          <w:sz w:val="22"/>
          <w:szCs w:val="22"/>
        </w:rPr>
        <w:t>blood</w:t>
      </w:r>
      <w:proofErr w:type="spellEnd"/>
      <w:r w:rsidRPr="00F50D13">
        <w:rPr>
          <w:i/>
          <w:color w:val="auto"/>
          <w:sz w:val="22"/>
          <w:szCs w:val="22"/>
        </w:rPr>
        <w:t xml:space="preserve"> </w:t>
      </w:r>
      <w:proofErr w:type="spellStart"/>
      <w:r w:rsidRPr="00F50D13">
        <w:rPr>
          <w:i/>
          <w:color w:val="auto"/>
          <w:sz w:val="22"/>
          <w:szCs w:val="22"/>
        </w:rPr>
        <w:t>urea</w:t>
      </w:r>
      <w:proofErr w:type="spellEnd"/>
      <w:r w:rsidRPr="00F50D13">
        <w:rPr>
          <w:i/>
          <w:color w:val="auto"/>
          <w:sz w:val="22"/>
          <w:szCs w:val="22"/>
        </w:rPr>
        <w:t xml:space="preserve"> </w:t>
      </w:r>
      <w:proofErr w:type="spellStart"/>
      <w:r w:rsidRPr="00F50D13">
        <w:rPr>
          <w:i/>
          <w:color w:val="auto"/>
          <w:sz w:val="22"/>
          <w:szCs w:val="22"/>
        </w:rPr>
        <w:t>nitrogen</w:t>
      </w:r>
      <w:proofErr w:type="spellEnd"/>
      <w:r w:rsidRPr="00F50D13">
        <w:rPr>
          <w:color w:val="auto"/>
          <w:sz w:val="22"/>
          <w:szCs w:val="22"/>
        </w:rPr>
        <w:t xml:space="preserve">) pokyčių nesukėlė. Kadangi pacientams, kuriems yra vienos inksto arterijos stenozė, kitos renino-angiotenzino sistemą veikiančios medžiagos gali didinti šlapalo ir kreatinino kiekį kraujyje, rekomenduojama sekti </w:t>
      </w:r>
      <w:proofErr w:type="spellStart"/>
      <w:r w:rsidRPr="00F50D13">
        <w:rPr>
          <w:color w:val="auto"/>
          <w:sz w:val="22"/>
          <w:szCs w:val="22"/>
        </w:rPr>
        <w:t>valsartanu</w:t>
      </w:r>
      <w:proofErr w:type="spellEnd"/>
      <w:r w:rsidRPr="00F50D13">
        <w:rPr>
          <w:color w:val="auto"/>
          <w:sz w:val="22"/>
          <w:szCs w:val="22"/>
        </w:rPr>
        <w:t xml:space="preserve"> gydomų pacien</w:t>
      </w:r>
      <w:r w:rsidRPr="00F91FD7">
        <w:rPr>
          <w:color w:val="auto"/>
          <w:sz w:val="22"/>
          <w:szCs w:val="22"/>
        </w:rPr>
        <w:t xml:space="preserve">tų inkstų funkciją. </w:t>
      </w:r>
    </w:p>
    <w:p w14:paraId="42B72817" w14:textId="77777777" w:rsidR="00DE3708" w:rsidRPr="001E6DB9" w:rsidRDefault="00DE3708" w:rsidP="00307CD6">
      <w:pPr>
        <w:pStyle w:val="Default"/>
        <w:contextualSpacing/>
        <w:rPr>
          <w:color w:val="auto"/>
          <w:sz w:val="22"/>
          <w:szCs w:val="22"/>
          <w:u w:val="single"/>
        </w:rPr>
      </w:pPr>
    </w:p>
    <w:p w14:paraId="0789C9B5"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Inksto persodinimas </w:t>
      </w:r>
    </w:p>
    <w:p w14:paraId="4C0BE5F1" w14:textId="77777777" w:rsidR="00DE3708" w:rsidRPr="001E6DB9" w:rsidRDefault="00DE3708" w:rsidP="00307CD6">
      <w:pPr>
        <w:pStyle w:val="Default"/>
        <w:contextualSpacing/>
        <w:rPr>
          <w:color w:val="auto"/>
          <w:sz w:val="22"/>
          <w:szCs w:val="22"/>
        </w:rPr>
      </w:pPr>
      <w:r w:rsidRPr="00F50D13">
        <w:rPr>
          <w:color w:val="auto"/>
          <w:sz w:val="22"/>
          <w:szCs w:val="22"/>
        </w:rPr>
        <w:lastRenderedPageBreak/>
        <w:t xml:space="preserve">Patirties, kaip saugiai vartoti valsartano pacientams, kuriems neseniai persodintas inkstas, šiuo metu nėra. </w:t>
      </w:r>
    </w:p>
    <w:p w14:paraId="7F81296F" w14:textId="77777777" w:rsidR="00DE3708" w:rsidRPr="001E6DB9" w:rsidRDefault="00DE3708" w:rsidP="00307CD6">
      <w:pPr>
        <w:pStyle w:val="Default"/>
        <w:contextualSpacing/>
        <w:rPr>
          <w:color w:val="auto"/>
          <w:sz w:val="22"/>
          <w:szCs w:val="22"/>
        </w:rPr>
      </w:pPr>
    </w:p>
    <w:p w14:paraId="191F9431"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Pirminis </w:t>
      </w:r>
      <w:proofErr w:type="spellStart"/>
      <w:r w:rsidRPr="00F50D13">
        <w:rPr>
          <w:color w:val="auto"/>
          <w:sz w:val="22"/>
          <w:szCs w:val="22"/>
          <w:u w:val="single"/>
        </w:rPr>
        <w:t>hiperaldosteronizmas</w:t>
      </w:r>
      <w:proofErr w:type="spellEnd"/>
      <w:r w:rsidRPr="00F50D13">
        <w:rPr>
          <w:color w:val="auto"/>
          <w:sz w:val="22"/>
          <w:szCs w:val="22"/>
          <w:u w:val="single"/>
        </w:rPr>
        <w:t xml:space="preserve"> </w:t>
      </w:r>
    </w:p>
    <w:p w14:paraId="6B84E1DB" w14:textId="77777777" w:rsidR="00DE3708" w:rsidRPr="001E6DB9" w:rsidRDefault="00DE3708" w:rsidP="00307CD6">
      <w:pPr>
        <w:pStyle w:val="Default"/>
        <w:contextualSpacing/>
        <w:rPr>
          <w:color w:val="auto"/>
          <w:sz w:val="22"/>
          <w:szCs w:val="22"/>
        </w:rPr>
      </w:pPr>
      <w:r w:rsidRPr="00F50D13">
        <w:rPr>
          <w:color w:val="auto"/>
          <w:sz w:val="22"/>
          <w:szCs w:val="22"/>
        </w:rPr>
        <w:t xml:space="preserve">Pacientams, kuriems yra pirminis </w:t>
      </w:r>
      <w:proofErr w:type="spellStart"/>
      <w:r w:rsidRPr="00F50D13">
        <w:rPr>
          <w:color w:val="auto"/>
          <w:sz w:val="22"/>
          <w:szCs w:val="22"/>
        </w:rPr>
        <w:t>hiperaldosteronizmas</w:t>
      </w:r>
      <w:proofErr w:type="spellEnd"/>
      <w:r w:rsidRPr="00F50D13">
        <w:rPr>
          <w:color w:val="auto"/>
          <w:sz w:val="22"/>
          <w:szCs w:val="22"/>
        </w:rPr>
        <w:t xml:space="preserve">, gydymas </w:t>
      </w:r>
      <w:proofErr w:type="spellStart"/>
      <w:r w:rsidRPr="00F50D13">
        <w:rPr>
          <w:color w:val="auto"/>
          <w:sz w:val="22"/>
          <w:szCs w:val="22"/>
        </w:rPr>
        <w:t>valsartanu</w:t>
      </w:r>
      <w:proofErr w:type="spellEnd"/>
      <w:r w:rsidRPr="00F50D13">
        <w:rPr>
          <w:color w:val="auto"/>
          <w:sz w:val="22"/>
          <w:szCs w:val="22"/>
        </w:rPr>
        <w:t xml:space="preserve"> turėtų būti netaikomas, kadangi jų renino ir angiotenzino sistema yra neaktyvuota. </w:t>
      </w:r>
    </w:p>
    <w:p w14:paraId="63D98864" w14:textId="77777777" w:rsidR="00DE3708" w:rsidRPr="001E6DB9" w:rsidRDefault="00DE3708" w:rsidP="00307CD6">
      <w:pPr>
        <w:pStyle w:val="Default"/>
        <w:contextualSpacing/>
        <w:rPr>
          <w:color w:val="auto"/>
          <w:sz w:val="22"/>
          <w:szCs w:val="22"/>
        </w:rPr>
      </w:pPr>
    </w:p>
    <w:p w14:paraId="2B524BA8"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Aortos ar </w:t>
      </w:r>
      <w:proofErr w:type="spellStart"/>
      <w:r w:rsidRPr="00F50D13">
        <w:rPr>
          <w:color w:val="auto"/>
          <w:sz w:val="22"/>
          <w:szCs w:val="22"/>
          <w:u w:val="single"/>
        </w:rPr>
        <w:t>mitralinio</w:t>
      </w:r>
      <w:proofErr w:type="spellEnd"/>
      <w:r w:rsidRPr="00F50D13">
        <w:rPr>
          <w:color w:val="auto"/>
          <w:sz w:val="22"/>
          <w:szCs w:val="22"/>
          <w:u w:val="single"/>
        </w:rPr>
        <w:t xml:space="preserve"> vožtuvo stenozė, obstrukcinė hipertrofinė kardiomiopatija </w:t>
      </w:r>
    </w:p>
    <w:p w14:paraId="0F2D3205" w14:textId="77777777" w:rsidR="00DE3708" w:rsidRPr="001E6DB9" w:rsidRDefault="00DE3708" w:rsidP="00307CD6">
      <w:pPr>
        <w:pStyle w:val="Default"/>
        <w:contextualSpacing/>
        <w:rPr>
          <w:color w:val="auto"/>
          <w:sz w:val="22"/>
          <w:szCs w:val="22"/>
        </w:rPr>
      </w:pPr>
      <w:proofErr w:type="spellStart"/>
      <w:r w:rsidRPr="00F50D13">
        <w:rPr>
          <w:color w:val="auto"/>
          <w:sz w:val="22"/>
          <w:szCs w:val="22"/>
        </w:rPr>
        <w:t>Valsartanu</w:t>
      </w:r>
      <w:proofErr w:type="spellEnd"/>
      <w:r w:rsidRPr="00F50D13">
        <w:rPr>
          <w:color w:val="auto"/>
          <w:sz w:val="22"/>
          <w:szCs w:val="22"/>
        </w:rPr>
        <w:t xml:space="preserve">, kaip ir kitais kraujagysles plečiančiais vaistiniais preparatais, reikia gydyti atsargiai pacientus, kuriems yra aortos ar </w:t>
      </w:r>
      <w:proofErr w:type="spellStart"/>
      <w:r w:rsidRPr="00F50D13">
        <w:rPr>
          <w:color w:val="auto"/>
          <w:sz w:val="22"/>
          <w:szCs w:val="22"/>
        </w:rPr>
        <w:t>mitralin</w:t>
      </w:r>
      <w:r w:rsidR="00F12B6C">
        <w:rPr>
          <w:color w:val="auto"/>
          <w:sz w:val="22"/>
          <w:szCs w:val="22"/>
        </w:rPr>
        <w:t>i</w:t>
      </w:r>
      <w:r w:rsidRPr="00F50D13">
        <w:rPr>
          <w:color w:val="auto"/>
          <w:sz w:val="22"/>
          <w:szCs w:val="22"/>
        </w:rPr>
        <w:t>o</w:t>
      </w:r>
      <w:proofErr w:type="spellEnd"/>
      <w:r w:rsidRPr="00F50D13">
        <w:rPr>
          <w:color w:val="auto"/>
          <w:sz w:val="22"/>
          <w:szCs w:val="22"/>
        </w:rPr>
        <w:t xml:space="preserve"> vožtuvo stenozė arba obstrukcinė hipertrofinė kardiomiopatija (OHKM). </w:t>
      </w:r>
    </w:p>
    <w:p w14:paraId="53E48FF4" w14:textId="77777777" w:rsidR="00DE3708" w:rsidRPr="001E6DB9" w:rsidRDefault="00DE3708" w:rsidP="00307CD6">
      <w:pPr>
        <w:pStyle w:val="Default"/>
        <w:contextualSpacing/>
        <w:rPr>
          <w:color w:val="auto"/>
          <w:sz w:val="22"/>
          <w:szCs w:val="22"/>
        </w:rPr>
      </w:pPr>
    </w:p>
    <w:p w14:paraId="02736EF1" w14:textId="77777777" w:rsidR="00DE3708" w:rsidRPr="00F50D13" w:rsidRDefault="00DE3708" w:rsidP="00307CD6">
      <w:pPr>
        <w:spacing w:line="240" w:lineRule="auto"/>
        <w:contextualSpacing/>
        <w:rPr>
          <w:szCs w:val="22"/>
          <w:u w:val="single"/>
        </w:rPr>
      </w:pPr>
      <w:r w:rsidRPr="00F50D13">
        <w:rPr>
          <w:szCs w:val="22"/>
          <w:u w:val="single"/>
        </w:rPr>
        <w:t>Nėštumas</w:t>
      </w:r>
    </w:p>
    <w:p w14:paraId="2173CB3A" w14:textId="77777777" w:rsidR="00DE3708" w:rsidRPr="001E6DB9" w:rsidRDefault="00DE3708" w:rsidP="00307CD6">
      <w:pPr>
        <w:pStyle w:val="Default"/>
        <w:contextualSpacing/>
        <w:rPr>
          <w:color w:val="auto"/>
          <w:sz w:val="22"/>
          <w:szCs w:val="22"/>
        </w:rPr>
      </w:pPr>
      <w:r w:rsidRPr="001E6DB9">
        <w:rPr>
          <w:color w:val="auto"/>
          <w:sz w:val="22"/>
          <w:szCs w:val="22"/>
        </w:rPr>
        <w:t>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724821F9" w14:textId="77777777" w:rsidR="00DE3708" w:rsidRPr="001E6DB9" w:rsidRDefault="00DE3708" w:rsidP="00307CD6">
      <w:pPr>
        <w:pStyle w:val="Default"/>
        <w:shd w:val="clear" w:color="auto" w:fill="FFFFFF"/>
        <w:contextualSpacing/>
        <w:rPr>
          <w:color w:val="auto"/>
          <w:sz w:val="22"/>
          <w:szCs w:val="22"/>
        </w:rPr>
      </w:pPr>
    </w:p>
    <w:p w14:paraId="544C3D40" w14:textId="77777777" w:rsidR="00DE3708" w:rsidRPr="001E6DB9" w:rsidRDefault="00DE3708" w:rsidP="00307CD6">
      <w:pPr>
        <w:pStyle w:val="Default"/>
        <w:shd w:val="clear" w:color="auto" w:fill="FFFFFF"/>
        <w:contextualSpacing/>
        <w:rPr>
          <w:color w:val="auto"/>
          <w:sz w:val="22"/>
          <w:szCs w:val="22"/>
          <w:u w:val="single"/>
        </w:rPr>
      </w:pPr>
      <w:r w:rsidRPr="00F50D13">
        <w:rPr>
          <w:color w:val="auto"/>
          <w:sz w:val="22"/>
          <w:szCs w:val="22"/>
          <w:u w:val="single"/>
        </w:rPr>
        <w:t xml:space="preserve">Neseniai ištikęs miokardo infarktas </w:t>
      </w:r>
      <w:r w:rsidRPr="001E6DB9">
        <w:rPr>
          <w:color w:val="auto"/>
          <w:sz w:val="22"/>
          <w:szCs w:val="22"/>
          <w:u w:val="single"/>
        </w:rPr>
        <w:t>(80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mg)</w:t>
      </w:r>
    </w:p>
    <w:p w14:paraId="0BD69A64" w14:textId="77777777" w:rsidR="00DE3708" w:rsidRPr="00F50D13" w:rsidRDefault="00DE3708" w:rsidP="00307CD6">
      <w:pPr>
        <w:shd w:val="clear" w:color="auto" w:fill="FFFFFF"/>
        <w:spacing w:line="240" w:lineRule="auto"/>
        <w:contextualSpacing/>
        <w:rPr>
          <w:szCs w:val="22"/>
        </w:rPr>
      </w:pPr>
      <w:r w:rsidRPr="00F50D13">
        <w:rPr>
          <w:szCs w:val="22"/>
        </w:rPr>
        <w:t xml:space="preserve">Gydant </w:t>
      </w:r>
      <w:proofErr w:type="spellStart"/>
      <w:r w:rsidRPr="00F50D13">
        <w:rPr>
          <w:szCs w:val="22"/>
        </w:rPr>
        <w:t>kaptopriliu</w:t>
      </w:r>
      <w:proofErr w:type="spellEnd"/>
      <w:r w:rsidRPr="00F50D13">
        <w:rPr>
          <w:szCs w:val="22"/>
        </w:rPr>
        <w:t xml:space="preserve"> ir kartu </w:t>
      </w:r>
      <w:proofErr w:type="spellStart"/>
      <w:r w:rsidRPr="00F50D13">
        <w:rPr>
          <w:szCs w:val="22"/>
        </w:rPr>
        <w:t>valsartanu</w:t>
      </w:r>
      <w:proofErr w:type="spellEnd"/>
      <w:r w:rsidRPr="00F50D13">
        <w:rPr>
          <w:szCs w:val="22"/>
        </w:rPr>
        <w:t>, klinikinė nauda nebuvo didesnė, nei gydant kiekvienu vaistiniu preparatu atskirai, tačiau nepageidaujamų reiškinių rizika padidėjo (žr. 4.2 ir 5.1 skyrius). Todėl vienu metu gydymui skirti </w:t>
      </w:r>
      <w:proofErr w:type="spellStart"/>
      <w:r w:rsidRPr="00F50D13">
        <w:rPr>
          <w:szCs w:val="22"/>
        </w:rPr>
        <w:t>valsartaną</w:t>
      </w:r>
      <w:proofErr w:type="spellEnd"/>
      <w:r w:rsidRPr="00F50D13">
        <w:rPr>
          <w:szCs w:val="22"/>
        </w:rPr>
        <w:t xml:space="preserve"> ir AKF inhibitorių nerekomenduojama.</w:t>
      </w:r>
    </w:p>
    <w:p w14:paraId="42EDB583" w14:textId="77777777" w:rsidR="00DE3708" w:rsidRPr="00F91FD7" w:rsidRDefault="00DE3708" w:rsidP="00307CD6">
      <w:pPr>
        <w:shd w:val="clear" w:color="auto" w:fill="FFFFFF"/>
        <w:spacing w:line="240" w:lineRule="auto"/>
        <w:contextualSpacing/>
        <w:rPr>
          <w:szCs w:val="22"/>
        </w:rPr>
      </w:pPr>
      <w:r w:rsidRPr="00F91FD7">
        <w:rPr>
          <w:szCs w:val="22"/>
        </w:rPr>
        <w:t>Pacientus po miokardo infarkto pradėti gydyti reikia atsargiai. Vertinant pacientų būklę po miokardo infarkto, taip pat visada reikia įvertinti ir inkstų funkciją (žr. 4.2 skyrių).</w:t>
      </w:r>
    </w:p>
    <w:p w14:paraId="34592B7F" w14:textId="77777777" w:rsidR="00DE3708" w:rsidRPr="00F50D13" w:rsidRDefault="00DE3708" w:rsidP="00307CD6">
      <w:pPr>
        <w:shd w:val="clear" w:color="auto" w:fill="FFFFFF"/>
        <w:spacing w:line="240" w:lineRule="auto"/>
        <w:contextualSpacing/>
        <w:rPr>
          <w:szCs w:val="22"/>
        </w:rPr>
      </w:pPr>
      <w:r w:rsidRPr="001E6DB9">
        <w:rPr>
          <w:szCs w:val="22"/>
        </w:rPr>
        <w:t xml:space="preserve">Miokardo infarkto ištiktiems pacientams </w:t>
      </w:r>
      <w:r w:rsidRPr="00F50D13">
        <w:rPr>
          <w:szCs w:val="22"/>
        </w:rPr>
        <w:t>valsartanas</w:t>
      </w:r>
      <w:r w:rsidRPr="001E6DB9">
        <w:rPr>
          <w:szCs w:val="22"/>
        </w:rPr>
        <w:t xml:space="preserve"> paprastai šiek tiek sumažina kraujospūdį, tačiau dėl </w:t>
      </w:r>
      <w:r w:rsidRPr="00F50D13">
        <w:rPr>
          <w:szCs w:val="22"/>
        </w:rPr>
        <w:t>išsilaikančios simptominės hipotenzijos vaistinio preparato vartojimo dažniausiai nutraukti nereikia, jeigu dozė sumažinama taip, kaip rekomenduojama (žr. 4.2 skyrių).</w:t>
      </w:r>
    </w:p>
    <w:p w14:paraId="5BE676DC" w14:textId="77777777" w:rsidR="00DE3708" w:rsidRPr="00F50D13" w:rsidRDefault="00DE3708" w:rsidP="00307CD6">
      <w:pPr>
        <w:shd w:val="clear" w:color="auto" w:fill="FFFFFF"/>
        <w:spacing w:line="240" w:lineRule="auto"/>
        <w:contextualSpacing/>
        <w:rPr>
          <w:szCs w:val="22"/>
        </w:rPr>
      </w:pPr>
    </w:p>
    <w:p w14:paraId="336AB9F4" w14:textId="77777777" w:rsidR="00DE3708" w:rsidRPr="00F91FD7" w:rsidRDefault="00DE3708" w:rsidP="00307CD6">
      <w:pPr>
        <w:shd w:val="clear" w:color="auto" w:fill="FFFFFF"/>
        <w:spacing w:line="240" w:lineRule="auto"/>
        <w:contextualSpacing/>
        <w:rPr>
          <w:szCs w:val="22"/>
          <w:u w:val="single"/>
        </w:rPr>
      </w:pPr>
      <w:r w:rsidRPr="00F91FD7">
        <w:rPr>
          <w:szCs w:val="22"/>
          <w:u w:val="single"/>
        </w:rPr>
        <w:t>Širdies nepakankamumas (80</w:t>
      </w:r>
      <w:r w:rsidR="0078402A">
        <w:rPr>
          <w:szCs w:val="22"/>
          <w:u w:val="single"/>
        </w:rPr>
        <w:t> </w:t>
      </w:r>
      <w:r w:rsidRPr="00F91FD7">
        <w:rPr>
          <w:szCs w:val="22"/>
          <w:u w:val="single"/>
        </w:rPr>
        <w:t>mg ir 160</w:t>
      </w:r>
      <w:r w:rsidR="0078402A">
        <w:rPr>
          <w:szCs w:val="22"/>
          <w:u w:val="single"/>
        </w:rPr>
        <w:t> </w:t>
      </w:r>
      <w:r w:rsidRPr="00F91FD7">
        <w:rPr>
          <w:szCs w:val="22"/>
          <w:u w:val="single"/>
        </w:rPr>
        <w:t xml:space="preserve">mg) </w:t>
      </w:r>
    </w:p>
    <w:p w14:paraId="206C8BED" w14:textId="77777777" w:rsidR="00DE3708" w:rsidRPr="00D36517" w:rsidRDefault="00DE3708" w:rsidP="00307CD6">
      <w:pPr>
        <w:spacing w:line="240" w:lineRule="auto"/>
        <w:contextualSpacing/>
        <w:rPr>
          <w:rFonts w:eastAsia="Batang"/>
          <w:szCs w:val="22"/>
        </w:rPr>
      </w:pPr>
      <w:r w:rsidRPr="00F91FD7">
        <w:rPr>
          <w:szCs w:val="22"/>
        </w:rPr>
        <w:t xml:space="preserve">Vartojant </w:t>
      </w:r>
      <w:proofErr w:type="spellStart"/>
      <w:r w:rsidRPr="00F91FD7">
        <w:rPr>
          <w:szCs w:val="22"/>
        </w:rPr>
        <w:t>Suvartar</w:t>
      </w:r>
      <w:proofErr w:type="spellEnd"/>
      <w:r w:rsidRPr="00F91FD7">
        <w:rPr>
          <w:szCs w:val="22"/>
        </w:rPr>
        <w:t xml:space="preserve"> ir AKF inhibitorių derinį, gali padidėti nepageidaujamų reakcijų, ypač hipotenzijos, hiperkalemijos ir inkstų funk</w:t>
      </w:r>
      <w:r w:rsidRPr="0078402A">
        <w:rPr>
          <w:szCs w:val="22"/>
        </w:rPr>
        <w:t xml:space="preserve">cijos susilpnėjimo (įskaitant ūminį inkstų nepakankamumą) rizika. Pacientams, kurie serga širdies nepakankamumu, skiriant trijų </w:t>
      </w:r>
      <w:r w:rsidRPr="00307CD6">
        <w:rPr>
          <w:rFonts w:eastAsia="Batang"/>
          <w:szCs w:val="22"/>
        </w:rPr>
        <w:t>vaistinių preparatų</w:t>
      </w:r>
      <w:r w:rsidRPr="00307CD6" w:rsidDel="00F0645B">
        <w:rPr>
          <w:szCs w:val="22"/>
        </w:rPr>
        <w:t xml:space="preserve"> </w:t>
      </w:r>
      <w:r w:rsidRPr="00307CD6">
        <w:rPr>
          <w:szCs w:val="22"/>
        </w:rPr>
        <w:t xml:space="preserve">– AKF inhibitoriaus, beta </w:t>
      </w:r>
      <w:proofErr w:type="spellStart"/>
      <w:r w:rsidRPr="00307CD6">
        <w:rPr>
          <w:szCs w:val="22"/>
        </w:rPr>
        <w:t>adrenoblokatoriaus</w:t>
      </w:r>
      <w:proofErr w:type="spellEnd"/>
      <w:r w:rsidRPr="00307CD6">
        <w:rPr>
          <w:szCs w:val="22"/>
        </w:rPr>
        <w:t xml:space="preserve"> ir </w:t>
      </w:r>
      <w:proofErr w:type="spellStart"/>
      <w:r w:rsidRPr="00307CD6">
        <w:rPr>
          <w:szCs w:val="22"/>
        </w:rPr>
        <w:t>Suvartar</w:t>
      </w:r>
      <w:proofErr w:type="spellEnd"/>
      <w:r w:rsidRPr="00307CD6">
        <w:rPr>
          <w:szCs w:val="22"/>
        </w:rPr>
        <w:t xml:space="preserve"> – derinį, k</w:t>
      </w:r>
      <w:r w:rsidRPr="007F15BA">
        <w:rPr>
          <w:szCs w:val="22"/>
        </w:rPr>
        <w:t xml:space="preserve">linikinės naudos nebuvo (žr. 5.1 skyrių). Skiriant šį derinį akivaizdžiai padidėja nepageidaujamų reiškinių rizika, todėl jo skirti nerekomenduojama. </w:t>
      </w:r>
      <w:r w:rsidRPr="007F15BA">
        <w:rPr>
          <w:rFonts w:eastAsia="Batang"/>
          <w:szCs w:val="22"/>
        </w:rPr>
        <w:t xml:space="preserve">Taip pat nerekomenduojama skirti trijų vaistinių preparatų – AKF inhibitoriaus, </w:t>
      </w:r>
      <w:proofErr w:type="spellStart"/>
      <w:r w:rsidRPr="007F15BA">
        <w:rPr>
          <w:rFonts w:eastAsia="Batang"/>
          <w:szCs w:val="22"/>
        </w:rPr>
        <w:t>mineralokortikoidinių</w:t>
      </w:r>
      <w:proofErr w:type="spellEnd"/>
      <w:r w:rsidRPr="007F15BA">
        <w:rPr>
          <w:rFonts w:eastAsia="Batang"/>
          <w:szCs w:val="22"/>
        </w:rPr>
        <w:t xml:space="preserve"> rece</w:t>
      </w:r>
      <w:r w:rsidRPr="00D36517">
        <w:rPr>
          <w:rFonts w:eastAsia="Batang"/>
          <w:szCs w:val="22"/>
        </w:rPr>
        <w:t>ptorių antagonistų ir valsartano – derinio. Šiuos derinius vartojančius pacientus turi prižiūrėti specialistai, dažnai bei atidžiai tiriantys pacientų inkstų funkciją, elektrolitų koncentracijas ir kraujospūdį.</w:t>
      </w:r>
    </w:p>
    <w:p w14:paraId="7F40C51B" w14:textId="77777777" w:rsidR="00DE3708" w:rsidRPr="001E6DB9" w:rsidRDefault="00DE3708" w:rsidP="00307CD6">
      <w:pPr>
        <w:spacing w:line="240" w:lineRule="auto"/>
        <w:contextualSpacing/>
        <w:rPr>
          <w:rFonts w:eastAsia="Batang"/>
          <w:szCs w:val="22"/>
        </w:rPr>
      </w:pPr>
      <w:r w:rsidRPr="00D36517">
        <w:rPr>
          <w:szCs w:val="22"/>
        </w:rPr>
        <w:t>Pradedant gydyti pacientus, sergančius širdie</w:t>
      </w:r>
      <w:r w:rsidRPr="009F455C">
        <w:rPr>
          <w:szCs w:val="22"/>
        </w:rPr>
        <w:t xml:space="preserve">s nepakankamumu, reikia būti atsargiems. </w:t>
      </w:r>
      <w:r w:rsidRPr="009F455C">
        <w:rPr>
          <w:rFonts w:eastAsia="Batang"/>
          <w:szCs w:val="22"/>
        </w:rPr>
        <w:t>Vertinant širdies nepakankamumu sergančių pacientų būklę, visada reikia įvertinti ir inkstų funkciją (žr. 4.2 skyrių).</w:t>
      </w:r>
      <w:r w:rsidRPr="001765A8">
        <w:rPr>
          <w:szCs w:val="22"/>
        </w:rPr>
        <w:t xml:space="preserve"> </w:t>
      </w:r>
    </w:p>
    <w:p w14:paraId="72D69DFB" w14:textId="77777777" w:rsidR="00DE3708" w:rsidRPr="001E6DB9" w:rsidRDefault="00DE3708" w:rsidP="00307CD6">
      <w:pPr>
        <w:spacing w:line="240" w:lineRule="auto"/>
        <w:contextualSpacing/>
        <w:rPr>
          <w:rFonts w:eastAsia="Batang"/>
          <w:b/>
          <w:szCs w:val="22"/>
        </w:rPr>
      </w:pPr>
      <w:r w:rsidRPr="001E6DB9">
        <w:rPr>
          <w:rFonts w:eastAsia="Batang"/>
          <w:szCs w:val="22"/>
        </w:rPr>
        <w:t xml:space="preserve">Širdies nepakankamumu sergantiems pacientams, vartojant </w:t>
      </w:r>
      <w:proofErr w:type="spellStart"/>
      <w:r w:rsidRPr="001E6DB9">
        <w:rPr>
          <w:rFonts w:eastAsia="Batang"/>
          <w:szCs w:val="22"/>
        </w:rPr>
        <w:t>Suvartar</w:t>
      </w:r>
      <w:proofErr w:type="spellEnd"/>
      <w:r w:rsidRPr="001E6DB9">
        <w:rPr>
          <w:rFonts w:eastAsia="Batang"/>
          <w:szCs w:val="22"/>
        </w:rPr>
        <w:t>, dažniausiai šiek tiek sumažėja kraujospūdis, tačiau, jei laikomasi dozavimo nurodymų, nutraukti gydymą dėl besitęsiančios simptominės hipotenzijos paprastai nebūtina (žr. 4.2 skyrių).</w:t>
      </w:r>
    </w:p>
    <w:p w14:paraId="2E77AC15" w14:textId="77777777" w:rsidR="00DE3708" w:rsidRPr="001E6DB9" w:rsidRDefault="00DE3708" w:rsidP="00307CD6">
      <w:pPr>
        <w:spacing w:line="240" w:lineRule="auto"/>
        <w:contextualSpacing/>
        <w:rPr>
          <w:rFonts w:eastAsia="Batang"/>
          <w:szCs w:val="22"/>
        </w:rPr>
      </w:pPr>
      <w:r w:rsidRPr="001E6DB9">
        <w:rPr>
          <w:szCs w:val="22"/>
        </w:rPr>
        <w:t xml:space="preserve">Pacientų, kurių inkstų funkcija gali priklausyti nuo </w:t>
      </w:r>
      <w:proofErr w:type="spellStart"/>
      <w:r w:rsidRPr="001E6DB9">
        <w:rPr>
          <w:szCs w:val="22"/>
        </w:rPr>
        <w:t>renino</w:t>
      </w:r>
      <w:proofErr w:type="spellEnd"/>
      <w:r w:rsidRPr="001E6DB9">
        <w:rPr>
          <w:szCs w:val="22"/>
        </w:rPr>
        <w:t xml:space="preserve">, </w:t>
      </w:r>
      <w:proofErr w:type="spellStart"/>
      <w:r w:rsidRPr="001E6DB9">
        <w:rPr>
          <w:szCs w:val="22"/>
        </w:rPr>
        <w:t>angiotenzino</w:t>
      </w:r>
      <w:proofErr w:type="spellEnd"/>
      <w:r w:rsidRPr="001E6DB9">
        <w:rPr>
          <w:szCs w:val="22"/>
        </w:rPr>
        <w:t xml:space="preserve"> ir </w:t>
      </w:r>
      <w:proofErr w:type="spellStart"/>
      <w:r w:rsidRPr="001E6DB9">
        <w:rPr>
          <w:szCs w:val="22"/>
        </w:rPr>
        <w:t>aldosterono</w:t>
      </w:r>
      <w:proofErr w:type="spellEnd"/>
      <w:r w:rsidRPr="001E6DB9">
        <w:rPr>
          <w:szCs w:val="22"/>
        </w:rPr>
        <w:t xml:space="preserve"> sistemos aktyvumo (pvz., pacientų, sergančių sunkiu </w:t>
      </w:r>
      <w:proofErr w:type="spellStart"/>
      <w:r w:rsidRPr="001E6DB9">
        <w:rPr>
          <w:szCs w:val="22"/>
        </w:rPr>
        <w:t>staziniu</w:t>
      </w:r>
      <w:proofErr w:type="spellEnd"/>
      <w:r w:rsidRPr="001E6DB9">
        <w:rPr>
          <w:szCs w:val="22"/>
        </w:rPr>
        <w:t xml:space="preserve"> širdies nepakankamumu), gydymas AKF inhibitoriais buvo susijęs su oligurija ir (arba) progresuojančia </w:t>
      </w:r>
      <w:proofErr w:type="spellStart"/>
      <w:r w:rsidRPr="001E6DB9">
        <w:rPr>
          <w:szCs w:val="22"/>
        </w:rPr>
        <w:t>azotemija</w:t>
      </w:r>
      <w:proofErr w:type="spellEnd"/>
      <w:r w:rsidRPr="001E6DB9">
        <w:rPr>
          <w:szCs w:val="22"/>
        </w:rPr>
        <w:t xml:space="preserve"> ir, retais atvejais, su ūminiu inkstų nepakankamumu ir (arba) mirtimi. </w:t>
      </w:r>
      <w:r w:rsidRPr="001E6DB9">
        <w:rPr>
          <w:rFonts w:eastAsia="Batang"/>
          <w:szCs w:val="22"/>
        </w:rPr>
        <w:t xml:space="preserve">Kadangi valsartanas yra angiotenzino II receptorių blokatorius, negalima atmesti, kad </w:t>
      </w:r>
      <w:proofErr w:type="spellStart"/>
      <w:r w:rsidRPr="001E6DB9">
        <w:rPr>
          <w:rFonts w:eastAsia="Batang"/>
          <w:szCs w:val="22"/>
        </w:rPr>
        <w:t>Suvartar</w:t>
      </w:r>
      <w:proofErr w:type="spellEnd"/>
      <w:r w:rsidRPr="001E6DB9">
        <w:rPr>
          <w:rFonts w:eastAsia="Batang"/>
          <w:szCs w:val="22"/>
        </w:rPr>
        <w:t xml:space="preserve"> vartojimas gali būti susijęs su inkstų funkcijos sutrikimu.</w:t>
      </w:r>
    </w:p>
    <w:p w14:paraId="40116BE2" w14:textId="77777777" w:rsidR="00DE3708" w:rsidRPr="001E6DB9" w:rsidRDefault="00DE3708" w:rsidP="00307CD6">
      <w:pPr>
        <w:spacing w:line="240" w:lineRule="auto"/>
        <w:contextualSpacing/>
        <w:rPr>
          <w:rFonts w:eastAsia="Batang"/>
          <w:szCs w:val="22"/>
        </w:rPr>
      </w:pPr>
      <w:r w:rsidRPr="001E6DB9">
        <w:rPr>
          <w:rFonts w:eastAsia="Batang"/>
          <w:szCs w:val="22"/>
        </w:rPr>
        <w:t>Pacientams, sergantiems diabetine nefropatija, negalima kartu vartoti AKF inhibitorių ir angiotenzino II receptorių blokatorių.</w:t>
      </w:r>
    </w:p>
    <w:p w14:paraId="7764972A" w14:textId="77777777" w:rsidR="00DE3708" w:rsidRPr="001E6DB9" w:rsidRDefault="00DE3708" w:rsidP="00307CD6">
      <w:pPr>
        <w:pStyle w:val="Default"/>
        <w:tabs>
          <w:tab w:val="left" w:pos="567"/>
        </w:tabs>
        <w:contextualSpacing/>
        <w:rPr>
          <w:color w:val="auto"/>
          <w:sz w:val="22"/>
          <w:szCs w:val="22"/>
        </w:rPr>
      </w:pPr>
    </w:p>
    <w:p w14:paraId="69080CD5" w14:textId="77777777" w:rsidR="00DE3708" w:rsidRPr="00F50D13" w:rsidRDefault="00DE3708" w:rsidP="00307CD6">
      <w:pPr>
        <w:autoSpaceDE w:val="0"/>
        <w:autoSpaceDN w:val="0"/>
        <w:adjustRightInd w:val="0"/>
        <w:spacing w:line="240" w:lineRule="auto"/>
        <w:contextualSpacing/>
        <w:rPr>
          <w:b/>
          <w:szCs w:val="22"/>
          <w:u w:val="single"/>
        </w:rPr>
      </w:pPr>
      <w:r w:rsidRPr="00F50D13">
        <w:rPr>
          <w:szCs w:val="22"/>
          <w:u w:val="single"/>
        </w:rPr>
        <w:t>Buvusi angioneurozinė edema</w:t>
      </w:r>
    </w:p>
    <w:p w14:paraId="74E13AD7" w14:textId="77777777" w:rsidR="00DE3708" w:rsidRDefault="00DE3708" w:rsidP="00307CD6">
      <w:pPr>
        <w:shd w:val="clear" w:color="auto" w:fill="FFFFFF"/>
        <w:spacing w:line="240" w:lineRule="auto"/>
        <w:contextualSpacing/>
        <w:rPr>
          <w:szCs w:val="22"/>
        </w:rPr>
      </w:pPr>
      <w:proofErr w:type="spellStart"/>
      <w:r w:rsidRPr="00F50D13">
        <w:rPr>
          <w:szCs w:val="22"/>
        </w:rPr>
        <w:t>Valsarta</w:t>
      </w:r>
      <w:r w:rsidRPr="00F91FD7">
        <w:rPr>
          <w:szCs w:val="22"/>
        </w:rPr>
        <w:t>nu</w:t>
      </w:r>
      <w:proofErr w:type="spellEnd"/>
      <w:r w:rsidRPr="00F91FD7">
        <w:rPr>
          <w:szCs w:val="22"/>
        </w:rPr>
        <w:t xml:space="preserve"> gydomiems pacientams pastebėta angioneurozinės edemos, įskaitant gerklų ir balso klosčių patinimą, sukeliančios kvėpavimo takų obstrukciją ir (arba) veido, lūpų, ryklės ir (ar) liežuvio patinimą, atvejų. Kai kuriems iš šių pacientų jau anksčiau buvo pasireiškusi angioneurozinė edema </w:t>
      </w:r>
      <w:r w:rsidRPr="00F91FD7">
        <w:rPr>
          <w:szCs w:val="22"/>
        </w:rPr>
        <w:lastRenderedPageBreak/>
        <w:t>vartojant kitų vaistinių preparatų, įskaitant angiotenziną konvertuojančio fermento (AKF) inhibitorius. Jei pasireiškia angioneurozinė edema, valsartano vartojimą reikia nedelsiant nutraukti ir šio vaistinio preparato pacient</w:t>
      </w:r>
      <w:r w:rsidRPr="0078402A">
        <w:rPr>
          <w:szCs w:val="22"/>
        </w:rPr>
        <w:t>ams daugiau nevartoti (žr. 4.8 skyrių).</w:t>
      </w:r>
    </w:p>
    <w:p w14:paraId="2F7C7039" w14:textId="20559FCE" w:rsidR="00375329" w:rsidRPr="00FF1FF9" w:rsidRDefault="00375329" w:rsidP="00375329">
      <w:pPr>
        <w:shd w:val="clear" w:color="auto" w:fill="FFFFFF"/>
        <w:spacing w:line="240" w:lineRule="auto"/>
        <w:contextualSpacing/>
        <w:rPr>
          <w:szCs w:val="22"/>
        </w:rPr>
      </w:pPr>
      <w:r w:rsidRPr="00FF1FF9">
        <w:rPr>
          <w:szCs w:val="22"/>
        </w:rPr>
        <w:t>Žarnyno angioneurozinė edema</w:t>
      </w:r>
    </w:p>
    <w:p w14:paraId="45B62284" w14:textId="77777777" w:rsidR="00375329" w:rsidRPr="00FF1FF9" w:rsidRDefault="00375329" w:rsidP="00375329">
      <w:pPr>
        <w:shd w:val="clear" w:color="auto" w:fill="FFFFFF"/>
        <w:spacing w:line="240" w:lineRule="auto"/>
        <w:contextualSpacing/>
        <w:rPr>
          <w:szCs w:val="22"/>
        </w:rPr>
      </w:pPr>
    </w:p>
    <w:p w14:paraId="2AD62E02" w14:textId="472BA978" w:rsidR="00375329" w:rsidRPr="00375329" w:rsidRDefault="00375329" w:rsidP="00375329">
      <w:pPr>
        <w:shd w:val="clear" w:color="auto" w:fill="FFFFFF"/>
        <w:spacing w:line="240" w:lineRule="auto"/>
        <w:contextualSpacing/>
        <w:rPr>
          <w:szCs w:val="22"/>
        </w:rPr>
      </w:pPr>
      <w:r w:rsidRPr="00FF1FF9">
        <w:rPr>
          <w:szCs w:val="22"/>
        </w:rPr>
        <w:t xml:space="preserve">Gauta pranešimų apie žarnyno angioneurozinės edemos atvejus, pasireiškusius pacientams, gydytiems angiotenzino II receptorių blokatoriais (įskaitant </w:t>
      </w:r>
      <w:proofErr w:type="spellStart"/>
      <w:r w:rsidRPr="00FF1FF9">
        <w:rPr>
          <w:szCs w:val="22"/>
        </w:rPr>
        <w:t>valsartaną</w:t>
      </w:r>
      <w:proofErr w:type="spellEnd"/>
      <w:r w:rsidR="00212F3B">
        <w:rPr>
          <w:szCs w:val="22"/>
        </w:rPr>
        <w:t>)</w:t>
      </w:r>
      <w:r w:rsidRPr="00FF1FF9">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w:t>
      </w:r>
      <w:r>
        <w:rPr>
          <w:szCs w:val="22"/>
        </w:rPr>
        <w:t>sta.</w:t>
      </w:r>
    </w:p>
    <w:p w14:paraId="7F9B46C8" w14:textId="77777777" w:rsidR="00DE3708" w:rsidRPr="00375329" w:rsidRDefault="00DE3708" w:rsidP="00307CD6">
      <w:pPr>
        <w:shd w:val="clear" w:color="auto" w:fill="FFFFFF"/>
        <w:spacing w:line="240" w:lineRule="auto"/>
        <w:contextualSpacing/>
        <w:rPr>
          <w:szCs w:val="22"/>
        </w:rPr>
      </w:pPr>
    </w:p>
    <w:p w14:paraId="02F77074" w14:textId="77777777" w:rsidR="00DE3708" w:rsidRPr="0078402A" w:rsidRDefault="00DE3708" w:rsidP="00307CD6">
      <w:pPr>
        <w:shd w:val="clear" w:color="auto" w:fill="FFFFFF"/>
        <w:spacing w:line="240" w:lineRule="auto"/>
        <w:contextualSpacing/>
        <w:rPr>
          <w:i/>
          <w:szCs w:val="22"/>
          <w:u w:val="single"/>
        </w:rPr>
      </w:pPr>
      <w:r w:rsidRPr="00307CD6">
        <w:rPr>
          <w:i/>
          <w:szCs w:val="22"/>
          <w:u w:val="single"/>
        </w:rPr>
        <w:t>Kitos būklės, susijusios su renino-angiotenzino sistemos aktyvavimu (tik 320</w:t>
      </w:r>
      <w:r w:rsidR="0078402A">
        <w:rPr>
          <w:i/>
          <w:szCs w:val="22"/>
          <w:u w:val="single"/>
        </w:rPr>
        <w:t> </w:t>
      </w:r>
      <w:r w:rsidRPr="0078402A">
        <w:rPr>
          <w:i/>
          <w:szCs w:val="22"/>
          <w:u w:val="single"/>
        </w:rPr>
        <w:t>mg)</w:t>
      </w:r>
    </w:p>
    <w:p w14:paraId="69A1C71D" w14:textId="77777777" w:rsidR="00DE3708" w:rsidRPr="00307CD6" w:rsidRDefault="00DE3708" w:rsidP="00307CD6">
      <w:pPr>
        <w:shd w:val="clear" w:color="auto" w:fill="FFFFFF"/>
        <w:spacing w:line="240" w:lineRule="auto"/>
        <w:contextualSpacing/>
        <w:rPr>
          <w:szCs w:val="22"/>
        </w:rPr>
      </w:pPr>
      <w:r w:rsidRPr="00307CD6">
        <w:rPr>
          <w:szCs w:val="22"/>
        </w:rPr>
        <w:t xml:space="preserve">Pacientų, kurių inkstų funkcija gali priklausyti nuo renino-angiotenzino sistemos aktyvumo (pvz., pacientų, sergančių sunkiu </w:t>
      </w:r>
      <w:proofErr w:type="spellStart"/>
      <w:r w:rsidRPr="00307CD6">
        <w:rPr>
          <w:szCs w:val="22"/>
        </w:rPr>
        <w:t>staziniu</w:t>
      </w:r>
      <w:proofErr w:type="spellEnd"/>
      <w:r w:rsidRPr="00307CD6">
        <w:rPr>
          <w:szCs w:val="22"/>
        </w:rPr>
        <w:t xml:space="preserve"> širdies nepakankamumu), gydymas angiotenziną konvertuojančio fermento inhibitoriais buvo susijęs su oligurija ir (arba) progresuojančia </w:t>
      </w:r>
      <w:proofErr w:type="spellStart"/>
      <w:r w:rsidRPr="00307CD6">
        <w:rPr>
          <w:szCs w:val="22"/>
        </w:rPr>
        <w:t>azotemija</w:t>
      </w:r>
      <w:proofErr w:type="spellEnd"/>
      <w:r w:rsidRPr="00307CD6">
        <w:rPr>
          <w:szCs w:val="22"/>
        </w:rPr>
        <w:t>, retais atvejais – su ūminiu inkstų nepakankamumu ir (arba) mirtimi. Kadangi valsartanas yra angiotenzino II antagonistas, negalima paneigti galimybės, kad valsartano vartojimas gali būti susijęs su inkstų funkcijos sutrikimu.</w:t>
      </w:r>
    </w:p>
    <w:p w14:paraId="7E608D7C" w14:textId="77777777" w:rsidR="00DE3708" w:rsidRPr="007F15BA" w:rsidRDefault="00DE3708" w:rsidP="00307CD6">
      <w:pPr>
        <w:autoSpaceDE w:val="0"/>
        <w:autoSpaceDN w:val="0"/>
        <w:adjustRightInd w:val="0"/>
        <w:spacing w:line="240" w:lineRule="auto"/>
        <w:contextualSpacing/>
        <w:rPr>
          <w:szCs w:val="22"/>
          <w:u w:val="single"/>
        </w:rPr>
      </w:pPr>
    </w:p>
    <w:p w14:paraId="5920B8BE" w14:textId="77777777" w:rsidR="00DE3708" w:rsidRPr="007F15BA" w:rsidRDefault="00DE3708" w:rsidP="00307CD6">
      <w:pPr>
        <w:spacing w:line="240" w:lineRule="auto"/>
        <w:contextualSpacing/>
        <w:rPr>
          <w:rFonts w:eastAsia="Batang"/>
          <w:szCs w:val="22"/>
          <w:u w:val="single"/>
        </w:rPr>
      </w:pPr>
      <w:r w:rsidRPr="007F15BA">
        <w:rPr>
          <w:rFonts w:eastAsia="Batang"/>
          <w:szCs w:val="22"/>
          <w:u w:val="single"/>
        </w:rPr>
        <w:t xml:space="preserve">Dvigubas </w:t>
      </w:r>
      <w:proofErr w:type="spellStart"/>
      <w:r w:rsidRPr="007F15BA">
        <w:rPr>
          <w:rFonts w:eastAsia="Batang"/>
          <w:szCs w:val="22"/>
          <w:u w:val="single"/>
        </w:rPr>
        <w:t>renino</w:t>
      </w:r>
      <w:proofErr w:type="spellEnd"/>
      <w:r w:rsidRPr="007F15BA">
        <w:rPr>
          <w:rFonts w:eastAsia="Batang"/>
          <w:szCs w:val="22"/>
          <w:u w:val="single"/>
        </w:rPr>
        <w:t xml:space="preserve">, </w:t>
      </w:r>
      <w:proofErr w:type="spellStart"/>
      <w:r w:rsidRPr="007F15BA">
        <w:rPr>
          <w:rFonts w:eastAsia="Batang"/>
          <w:szCs w:val="22"/>
          <w:u w:val="single"/>
        </w:rPr>
        <w:t>angiotenzino</w:t>
      </w:r>
      <w:proofErr w:type="spellEnd"/>
      <w:r w:rsidRPr="007F15BA">
        <w:rPr>
          <w:rFonts w:eastAsia="Batang"/>
          <w:szCs w:val="22"/>
          <w:u w:val="single"/>
        </w:rPr>
        <w:t xml:space="preserve"> ir </w:t>
      </w:r>
      <w:proofErr w:type="spellStart"/>
      <w:r w:rsidRPr="007F15BA">
        <w:rPr>
          <w:rFonts w:eastAsia="Batang"/>
          <w:szCs w:val="22"/>
          <w:u w:val="single"/>
        </w:rPr>
        <w:t>aldosterono</w:t>
      </w:r>
      <w:proofErr w:type="spellEnd"/>
      <w:r w:rsidRPr="007F15BA">
        <w:rPr>
          <w:rFonts w:eastAsia="Batang"/>
          <w:szCs w:val="22"/>
          <w:u w:val="single"/>
        </w:rPr>
        <w:t xml:space="preserve"> sistemos (RAAS) nuslopinimas</w:t>
      </w:r>
    </w:p>
    <w:p w14:paraId="575C440A" w14:textId="77777777" w:rsidR="00DE3708" w:rsidRPr="009F455C" w:rsidRDefault="00DE3708" w:rsidP="00307CD6">
      <w:pPr>
        <w:spacing w:line="240" w:lineRule="auto"/>
        <w:contextualSpacing/>
        <w:rPr>
          <w:rFonts w:eastAsia="Batang"/>
          <w:szCs w:val="22"/>
        </w:rPr>
      </w:pPr>
      <w:r w:rsidRPr="00D36517">
        <w:rPr>
          <w:szCs w:val="22"/>
        </w:rPr>
        <w:t xml:space="preserve">Turima įrodymų, kad kartu vartojant AKF inhibitorius, angiotenzino II receptorių blokatorius ar </w:t>
      </w:r>
      <w:proofErr w:type="spellStart"/>
      <w:r w:rsidRPr="00D36517">
        <w:rPr>
          <w:szCs w:val="22"/>
        </w:rPr>
        <w:t>aliskireną</w:t>
      </w:r>
      <w:proofErr w:type="spellEnd"/>
      <w:r w:rsidRPr="00D36517">
        <w:rPr>
          <w:szCs w:val="22"/>
        </w:rPr>
        <w:t xml:space="preserve"> padidėja </w:t>
      </w:r>
      <w:proofErr w:type="spellStart"/>
      <w:r w:rsidRPr="00D36517">
        <w:rPr>
          <w:szCs w:val="22"/>
        </w:rPr>
        <w:t>hipotenzijos</w:t>
      </w:r>
      <w:proofErr w:type="spellEnd"/>
      <w:r w:rsidRPr="00D36517">
        <w:rPr>
          <w:szCs w:val="22"/>
        </w:rPr>
        <w:t xml:space="preserve">, </w:t>
      </w:r>
      <w:proofErr w:type="spellStart"/>
      <w:r w:rsidRPr="00D36517">
        <w:rPr>
          <w:szCs w:val="22"/>
        </w:rPr>
        <w:t>hiperkalemijos</w:t>
      </w:r>
      <w:proofErr w:type="spellEnd"/>
      <w:r w:rsidRPr="00D36517">
        <w:rPr>
          <w:szCs w:val="22"/>
        </w:rPr>
        <w:t xml:space="preserve"> ir inkstų funkcijos susilpnėjimo (įskaitant ūminį inkstų nepakankamumą) rizika. Todėl nerekomenduojama dvigubai nuslopinti RAAS, vartojant AKF inhibitorių, angiotenzino II receptorių blokatorių ar </w:t>
      </w:r>
      <w:proofErr w:type="spellStart"/>
      <w:r w:rsidRPr="00D36517">
        <w:rPr>
          <w:szCs w:val="22"/>
        </w:rPr>
        <w:t>aliskireno</w:t>
      </w:r>
      <w:proofErr w:type="spellEnd"/>
      <w:r w:rsidRPr="00D36517">
        <w:rPr>
          <w:szCs w:val="22"/>
        </w:rPr>
        <w:t xml:space="preserve"> derinį </w:t>
      </w:r>
      <w:r w:rsidRPr="009F455C">
        <w:rPr>
          <w:rFonts w:eastAsia="Batang"/>
          <w:szCs w:val="22"/>
        </w:rPr>
        <w:t>(žr. 4.5 ir 5.1 skyrius).</w:t>
      </w:r>
    </w:p>
    <w:p w14:paraId="09AB0682" w14:textId="77777777" w:rsidR="00DE3708" w:rsidRPr="009F455C" w:rsidRDefault="00DE3708" w:rsidP="00307CD6">
      <w:pPr>
        <w:spacing w:line="240" w:lineRule="auto"/>
        <w:contextualSpacing/>
        <w:rPr>
          <w:rFonts w:eastAsia="Batang"/>
          <w:szCs w:val="22"/>
        </w:rPr>
      </w:pPr>
      <w:r w:rsidRPr="009F455C">
        <w:rPr>
          <w:rFonts w:eastAsia="Batang"/>
          <w:szCs w:val="22"/>
        </w:rPr>
        <w:t>Vis dėlto, jei dvigubas nuslopinimas laikomas absoliučiai būtinu, šis gydymas turi būti atliekamas tik prižiūrint specialistams ir dažnai bei atidžiai tiriant inkstų funkciją, elektrolitų koncentraciją bei kraujospūdį.</w:t>
      </w:r>
    </w:p>
    <w:p w14:paraId="012558A9" w14:textId="77777777" w:rsidR="00DE3708" w:rsidRPr="001765A8" w:rsidRDefault="00DE3708" w:rsidP="00307CD6">
      <w:pPr>
        <w:spacing w:line="240" w:lineRule="auto"/>
        <w:contextualSpacing/>
        <w:jc w:val="both"/>
        <w:rPr>
          <w:rFonts w:eastAsia="Batang"/>
          <w:szCs w:val="22"/>
        </w:rPr>
      </w:pPr>
      <w:r w:rsidRPr="001765A8">
        <w:rPr>
          <w:rFonts w:eastAsia="Batang"/>
          <w:szCs w:val="22"/>
        </w:rPr>
        <w:t>Pacientams, sergantiems diabetine nefropatija, negalima kartu vartoti AKF inhibitorių ir angiotenzino II receptorių blokatorių.</w:t>
      </w:r>
    </w:p>
    <w:p w14:paraId="10C6FE0D" w14:textId="77777777" w:rsidR="00DE3708" w:rsidRPr="001E6DB9" w:rsidRDefault="00DE3708" w:rsidP="00307CD6">
      <w:pPr>
        <w:shd w:val="clear" w:color="auto" w:fill="FFFFFF"/>
        <w:spacing w:line="240" w:lineRule="auto"/>
        <w:contextualSpacing/>
        <w:rPr>
          <w:szCs w:val="22"/>
        </w:rPr>
      </w:pPr>
    </w:p>
    <w:p w14:paraId="3D0CE41C" w14:textId="77777777" w:rsidR="00DE3708" w:rsidRPr="001E6DB9" w:rsidRDefault="00DE3708" w:rsidP="00307CD6">
      <w:pPr>
        <w:spacing w:line="240" w:lineRule="auto"/>
        <w:contextualSpacing/>
        <w:rPr>
          <w:i/>
          <w:szCs w:val="22"/>
          <w:u w:val="single"/>
        </w:rPr>
      </w:pPr>
      <w:r w:rsidRPr="001E6DB9">
        <w:rPr>
          <w:i/>
          <w:szCs w:val="22"/>
          <w:u w:val="single"/>
        </w:rPr>
        <w:t>Vaikų populiacija</w:t>
      </w:r>
    </w:p>
    <w:p w14:paraId="3297CBAB" w14:textId="77777777" w:rsidR="00DE3708" w:rsidRPr="001E6DB9" w:rsidRDefault="00DE3708" w:rsidP="00307CD6">
      <w:pPr>
        <w:spacing w:line="240" w:lineRule="auto"/>
        <w:contextualSpacing/>
        <w:rPr>
          <w:i/>
          <w:szCs w:val="22"/>
          <w:u w:val="single"/>
        </w:rPr>
      </w:pPr>
    </w:p>
    <w:p w14:paraId="046D37D7" w14:textId="77777777" w:rsidR="00DE3708" w:rsidRPr="001E6DB9" w:rsidRDefault="00DE3708" w:rsidP="00307CD6">
      <w:pPr>
        <w:spacing w:line="240" w:lineRule="auto"/>
        <w:contextualSpacing/>
        <w:rPr>
          <w:szCs w:val="22"/>
          <w:u w:val="single"/>
        </w:rPr>
      </w:pPr>
      <w:r w:rsidRPr="001E6DB9">
        <w:rPr>
          <w:szCs w:val="22"/>
          <w:u w:val="single"/>
        </w:rPr>
        <w:t>Inkstų funkcijos sutrikimas</w:t>
      </w:r>
    </w:p>
    <w:p w14:paraId="6D03E8FA" w14:textId="77777777" w:rsidR="00DE3708" w:rsidRPr="001E6DB9" w:rsidRDefault="00DE3708" w:rsidP="00307CD6">
      <w:pPr>
        <w:spacing w:line="240" w:lineRule="auto"/>
        <w:contextualSpacing/>
        <w:rPr>
          <w:szCs w:val="22"/>
        </w:rPr>
      </w:pPr>
      <w:r w:rsidRPr="001E6DB9">
        <w:rPr>
          <w:szCs w:val="22"/>
        </w:rPr>
        <w:t xml:space="preserve">Tyrimų su vaikais ir paaugliais, kurių kreatinino klirensas &lt; 30 ml/min., ar vaikais, kurie gydomi dializėmis, neatlikta, todėl tokiems ligoniams valsartano vartoti nerekomenduojama. Vaikams ir paaugliams, kurių kreatinino klirensas &gt; 30 ml/min., dozės koreguoti nereikia (žr. 4.2 ir 5.2 skyrius). Skiriant gydymą </w:t>
      </w:r>
      <w:proofErr w:type="spellStart"/>
      <w:r w:rsidRPr="001E6DB9">
        <w:rPr>
          <w:szCs w:val="22"/>
        </w:rPr>
        <w:t>valsartanu</w:t>
      </w:r>
      <w:proofErr w:type="spellEnd"/>
      <w:r w:rsidRPr="001E6DB9">
        <w:rPr>
          <w:szCs w:val="22"/>
        </w:rPr>
        <w:t>, reikia atidžiai stebėti inkstų funkciją ir kalio kiekį serume. Tai ypatingai svarbu, kai valsartano skiriama pacientams, kuriems yra kitokių inkstų funkciją galinčių bloginti būklių (karščiavimas, dehidracija).</w:t>
      </w:r>
    </w:p>
    <w:p w14:paraId="4A0DAFA9" w14:textId="77777777" w:rsidR="00DE3708" w:rsidRPr="001E6DB9" w:rsidRDefault="00DE3708" w:rsidP="00307CD6">
      <w:pPr>
        <w:spacing w:line="240" w:lineRule="auto"/>
        <w:contextualSpacing/>
        <w:rPr>
          <w:b/>
          <w:szCs w:val="22"/>
        </w:rPr>
      </w:pPr>
      <w:r w:rsidRPr="001E6DB9">
        <w:rPr>
          <w:szCs w:val="22"/>
        </w:rPr>
        <w:t xml:space="preserve">ARA, įskaitant </w:t>
      </w:r>
      <w:proofErr w:type="spellStart"/>
      <w:r w:rsidRPr="001E6DB9">
        <w:rPr>
          <w:szCs w:val="22"/>
        </w:rPr>
        <w:t>valsartaną</w:t>
      </w:r>
      <w:proofErr w:type="spellEnd"/>
      <w:r w:rsidRPr="001E6DB9">
        <w:rPr>
          <w:szCs w:val="22"/>
        </w:rPr>
        <w:t xml:space="preserve">, arba AKF inhibitorių vartoti kartu su </w:t>
      </w:r>
      <w:proofErr w:type="spellStart"/>
      <w:r w:rsidRPr="001E6DB9">
        <w:rPr>
          <w:szCs w:val="22"/>
        </w:rPr>
        <w:t>aliskirenu</w:t>
      </w:r>
      <w:proofErr w:type="spellEnd"/>
      <w:r w:rsidRPr="001E6DB9">
        <w:rPr>
          <w:szCs w:val="22"/>
        </w:rPr>
        <w:t xml:space="preserve"> draudžiama pacientams, kurių inkstų funkcija yra sutrikusi </w:t>
      </w:r>
      <w:r w:rsidRPr="00F50D13">
        <w:rPr>
          <w:szCs w:val="22"/>
        </w:rPr>
        <w:t>(glomerulų filtracijos greitis &lt;</w:t>
      </w:r>
      <w:r w:rsidR="0078402A">
        <w:rPr>
          <w:szCs w:val="22"/>
        </w:rPr>
        <w:t> </w:t>
      </w:r>
      <w:r w:rsidRPr="00F50D13">
        <w:rPr>
          <w:szCs w:val="22"/>
        </w:rPr>
        <w:t>60</w:t>
      </w:r>
      <w:r w:rsidR="0078402A">
        <w:rPr>
          <w:szCs w:val="22"/>
        </w:rPr>
        <w:t> </w:t>
      </w:r>
      <w:r w:rsidRPr="00F50D13">
        <w:rPr>
          <w:szCs w:val="22"/>
        </w:rPr>
        <w:t>ml/min/1,73</w:t>
      </w:r>
      <w:r w:rsidR="0078402A">
        <w:rPr>
          <w:szCs w:val="22"/>
        </w:rPr>
        <w:t> </w:t>
      </w:r>
      <w:r w:rsidRPr="00F50D13">
        <w:rPr>
          <w:szCs w:val="22"/>
        </w:rPr>
        <w:t>m</w:t>
      </w:r>
      <w:r w:rsidRPr="00F50D13">
        <w:rPr>
          <w:szCs w:val="22"/>
          <w:vertAlign w:val="superscript"/>
        </w:rPr>
        <w:t>2</w:t>
      </w:r>
      <w:r w:rsidRPr="00F50D13">
        <w:rPr>
          <w:szCs w:val="22"/>
        </w:rPr>
        <w:t>) (žr. 4.3 ir 4.5 skyrius).</w:t>
      </w:r>
    </w:p>
    <w:p w14:paraId="0A18D584" w14:textId="77777777" w:rsidR="00DE3708" w:rsidRPr="001E6DB9" w:rsidRDefault="00DE3708" w:rsidP="00307CD6">
      <w:pPr>
        <w:spacing w:line="240" w:lineRule="auto"/>
        <w:contextualSpacing/>
        <w:rPr>
          <w:szCs w:val="22"/>
        </w:rPr>
      </w:pPr>
    </w:p>
    <w:p w14:paraId="75C3EABD" w14:textId="77777777" w:rsidR="00DE3708" w:rsidRPr="001E6DB9" w:rsidRDefault="00DE3708" w:rsidP="00307CD6">
      <w:pPr>
        <w:spacing w:line="240" w:lineRule="auto"/>
        <w:contextualSpacing/>
        <w:rPr>
          <w:szCs w:val="22"/>
          <w:u w:val="single"/>
        </w:rPr>
      </w:pPr>
      <w:r w:rsidRPr="001E6DB9">
        <w:rPr>
          <w:szCs w:val="22"/>
          <w:u w:val="single"/>
        </w:rPr>
        <w:t>Kepenų funkcijos sutrikimas</w:t>
      </w:r>
    </w:p>
    <w:p w14:paraId="781140EE" w14:textId="77777777" w:rsidR="00DE3708" w:rsidRPr="00F50D13" w:rsidRDefault="00DE3708" w:rsidP="00307CD6">
      <w:pPr>
        <w:spacing w:line="240" w:lineRule="auto"/>
        <w:contextualSpacing/>
        <w:rPr>
          <w:szCs w:val="22"/>
        </w:rPr>
      </w:pPr>
      <w:r w:rsidRPr="001E6DB9">
        <w:rPr>
          <w:szCs w:val="22"/>
        </w:rPr>
        <w:t xml:space="preserve">Vaikams ir paaugliams, kaip ir suaugusiesiems žmonėms, </w:t>
      </w:r>
      <w:proofErr w:type="spellStart"/>
      <w:r w:rsidRPr="001E6DB9">
        <w:rPr>
          <w:szCs w:val="22"/>
        </w:rPr>
        <w:t>Suvartar</w:t>
      </w:r>
      <w:proofErr w:type="spellEnd"/>
      <w:r w:rsidRPr="001E6DB9">
        <w:rPr>
          <w:szCs w:val="22"/>
        </w:rPr>
        <w:t xml:space="preserve">  negalima skirti, </w:t>
      </w:r>
      <w:r w:rsidRPr="00F50D13">
        <w:rPr>
          <w:szCs w:val="22"/>
        </w:rPr>
        <w:t xml:space="preserve">jei yra sunkus kepenų funkcijos sutrikimas, </w:t>
      </w:r>
      <w:proofErr w:type="spellStart"/>
      <w:r w:rsidRPr="00F50D13">
        <w:rPr>
          <w:szCs w:val="22"/>
        </w:rPr>
        <w:t>biliarinė</w:t>
      </w:r>
      <w:proofErr w:type="spellEnd"/>
      <w:r w:rsidRPr="00F50D13">
        <w:rPr>
          <w:szCs w:val="22"/>
        </w:rPr>
        <w:t xml:space="preserve"> cirozė ar </w:t>
      </w:r>
      <w:proofErr w:type="spellStart"/>
      <w:r w:rsidRPr="00F50D13">
        <w:rPr>
          <w:szCs w:val="22"/>
        </w:rPr>
        <w:t>cholestazė</w:t>
      </w:r>
      <w:proofErr w:type="spellEnd"/>
      <w:r w:rsidRPr="00F50D13">
        <w:rPr>
          <w:szCs w:val="22"/>
        </w:rPr>
        <w:t xml:space="preserve"> (žr. 4.3 ir 5.2 skyrius). Klinikinės vaikų ir paauglių, kuriems yra lengvas arba vidutinio sunkumo kepenų funkcijos sutrikimas, gydymo </w:t>
      </w:r>
      <w:proofErr w:type="spellStart"/>
      <w:r w:rsidRPr="00F50D13">
        <w:rPr>
          <w:szCs w:val="22"/>
        </w:rPr>
        <w:t>valsartanu</w:t>
      </w:r>
      <w:proofErr w:type="spellEnd"/>
      <w:r w:rsidRPr="00F50D13">
        <w:rPr>
          <w:szCs w:val="22"/>
        </w:rPr>
        <w:t xml:space="preserve">  patirties yra nedaug. Tokiems ligoniams valsartano dozė turi neviršyti 80 mg.</w:t>
      </w:r>
    </w:p>
    <w:p w14:paraId="48F4D66F" w14:textId="77777777" w:rsidR="00DE3708" w:rsidRPr="001E6DB9" w:rsidRDefault="00DE3708" w:rsidP="00307CD6">
      <w:pPr>
        <w:pStyle w:val="Default"/>
        <w:contextualSpacing/>
        <w:rPr>
          <w:color w:val="auto"/>
          <w:sz w:val="22"/>
          <w:szCs w:val="22"/>
        </w:rPr>
      </w:pPr>
    </w:p>
    <w:p w14:paraId="73D3306B" w14:textId="77777777" w:rsidR="00DE3708" w:rsidRPr="00F50D13" w:rsidRDefault="00DE3708" w:rsidP="00307CD6">
      <w:pPr>
        <w:spacing w:line="240" w:lineRule="auto"/>
        <w:ind w:left="540" w:hanging="540"/>
        <w:contextualSpacing/>
        <w:rPr>
          <w:b/>
          <w:szCs w:val="22"/>
        </w:rPr>
      </w:pPr>
      <w:r w:rsidRPr="00F50D13">
        <w:rPr>
          <w:b/>
          <w:szCs w:val="22"/>
        </w:rPr>
        <w:t>4.5</w:t>
      </w:r>
      <w:r w:rsidRPr="00F50D13">
        <w:rPr>
          <w:b/>
          <w:szCs w:val="22"/>
        </w:rPr>
        <w:tab/>
        <w:t xml:space="preserve">Sąveika su kitais vaistiniais preparatais ir kitokia sąveika </w:t>
      </w:r>
    </w:p>
    <w:p w14:paraId="07F57FBF" w14:textId="77777777" w:rsidR="00DE3708" w:rsidRPr="00F50D13" w:rsidRDefault="00DE3708" w:rsidP="00307CD6">
      <w:pPr>
        <w:spacing w:line="240" w:lineRule="auto"/>
        <w:contextualSpacing/>
        <w:rPr>
          <w:szCs w:val="22"/>
        </w:rPr>
      </w:pPr>
    </w:p>
    <w:p w14:paraId="70327410" w14:textId="77777777" w:rsidR="00DE3708" w:rsidRPr="00F91FD7" w:rsidRDefault="00DE3708" w:rsidP="00307CD6">
      <w:pPr>
        <w:spacing w:line="240" w:lineRule="auto"/>
        <w:contextualSpacing/>
        <w:rPr>
          <w:i/>
          <w:szCs w:val="22"/>
          <w:u w:val="single"/>
        </w:rPr>
      </w:pPr>
      <w:r w:rsidRPr="00F91FD7">
        <w:rPr>
          <w:i/>
          <w:szCs w:val="22"/>
          <w:u w:val="single"/>
        </w:rPr>
        <w:t xml:space="preserve">Dviguba </w:t>
      </w:r>
      <w:proofErr w:type="spellStart"/>
      <w:r w:rsidRPr="00F91FD7">
        <w:rPr>
          <w:i/>
          <w:szCs w:val="22"/>
          <w:u w:val="single"/>
        </w:rPr>
        <w:t>renino</w:t>
      </w:r>
      <w:proofErr w:type="spellEnd"/>
      <w:r w:rsidRPr="00F91FD7">
        <w:rPr>
          <w:i/>
          <w:szCs w:val="22"/>
          <w:u w:val="single"/>
        </w:rPr>
        <w:t xml:space="preserve">, </w:t>
      </w:r>
      <w:proofErr w:type="spellStart"/>
      <w:r w:rsidRPr="00F91FD7">
        <w:rPr>
          <w:i/>
          <w:szCs w:val="22"/>
          <w:u w:val="single"/>
        </w:rPr>
        <w:t>angiotenzino</w:t>
      </w:r>
      <w:proofErr w:type="spellEnd"/>
      <w:r w:rsidRPr="00F91FD7">
        <w:rPr>
          <w:i/>
          <w:szCs w:val="22"/>
          <w:u w:val="single"/>
        </w:rPr>
        <w:t xml:space="preserve"> ir </w:t>
      </w:r>
      <w:proofErr w:type="spellStart"/>
      <w:r w:rsidRPr="00F91FD7">
        <w:rPr>
          <w:i/>
          <w:szCs w:val="22"/>
          <w:u w:val="single"/>
        </w:rPr>
        <w:t>aldosterono</w:t>
      </w:r>
      <w:proofErr w:type="spellEnd"/>
      <w:r w:rsidRPr="00F91FD7">
        <w:rPr>
          <w:i/>
          <w:szCs w:val="22"/>
          <w:u w:val="single"/>
        </w:rPr>
        <w:t xml:space="preserve"> sistemos (RAAS) blokada ARA, AKF inhibitoriais arba </w:t>
      </w:r>
      <w:proofErr w:type="spellStart"/>
      <w:r w:rsidRPr="00F91FD7">
        <w:rPr>
          <w:i/>
          <w:szCs w:val="22"/>
          <w:u w:val="single"/>
        </w:rPr>
        <w:t>aliskirenu</w:t>
      </w:r>
      <w:proofErr w:type="spellEnd"/>
    </w:p>
    <w:p w14:paraId="5A9B740F" w14:textId="77777777" w:rsidR="00DE3708" w:rsidRPr="00307CD6" w:rsidRDefault="00DE3708" w:rsidP="00307CD6">
      <w:pPr>
        <w:spacing w:line="240" w:lineRule="auto"/>
        <w:contextualSpacing/>
        <w:rPr>
          <w:rFonts w:eastAsia="Batang"/>
          <w:szCs w:val="22"/>
        </w:rPr>
      </w:pPr>
      <w:r w:rsidRPr="00F91FD7">
        <w:rPr>
          <w:szCs w:val="22"/>
        </w:rPr>
        <w:t xml:space="preserve">Klinikinių tyrimų duomenys parodė, kad, palyginti su vieno RAAS veikiančio vaistinio preparato vartojimu, dvigubas </w:t>
      </w:r>
      <w:proofErr w:type="spellStart"/>
      <w:r w:rsidRPr="00F91FD7">
        <w:rPr>
          <w:szCs w:val="22"/>
        </w:rPr>
        <w:t>renino</w:t>
      </w:r>
      <w:proofErr w:type="spellEnd"/>
      <w:r w:rsidRPr="00F91FD7">
        <w:rPr>
          <w:szCs w:val="22"/>
        </w:rPr>
        <w:t xml:space="preserve">, </w:t>
      </w:r>
      <w:proofErr w:type="spellStart"/>
      <w:r w:rsidRPr="00F91FD7">
        <w:rPr>
          <w:szCs w:val="22"/>
        </w:rPr>
        <w:t>angiotenzino</w:t>
      </w:r>
      <w:proofErr w:type="spellEnd"/>
      <w:r w:rsidRPr="00F91FD7">
        <w:rPr>
          <w:szCs w:val="22"/>
        </w:rPr>
        <w:t xml:space="preserve"> ir </w:t>
      </w:r>
      <w:proofErr w:type="spellStart"/>
      <w:r w:rsidRPr="00F91FD7">
        <w:rPr>
          <w:szCs w:val="22"/>
        </w:rPr>
        <w:t>aldosterono</w:t>
      </w:r>
      <w:proofErr w:type="spellEnd"/>
      <w:r w:rsidRPr="00F91FD7">
        <w:rPr>
          <w:szCs w:val="22"/>
        </w:rPr>
        <w:t xml:space="preserve"> sistemos (RAAS) slopinimas, kai vartojamas AKF inhibitorių, angiotenzino II receptorių blokatorių ar</w:t>
      </w:r>
      <w:r w:rsidRPr="0078402A">
        <w:rPr>
          <w:szCs w:val="22"/>
        </w:rPr>
        <w:t xml:space="preserve"> </w:t>
      </w:r>
      <w:proofErr w:type="spellStart"/>
      <w:r w:rsidRPr="0078402A">
        <w:rPr>
          <w:szCs w:val="22"/>
        </w:rPr>
        <w:t>aliskireno</w:t>
      </w:r>
      <w:proofErr w:type="spellEnd"/>
      <w:r w:rsidRPr="0078402A">
        <w:rPr>
          <w:szCs w:val="22"/>
        </w:rPr>
        <w:t xml:space="preserve"> derinys, siejamas su dažniau </w:t>
      </w:r>
      <w:r w:rsidRPr="0078402A">
        <w:rPr>
          <w:szCs w:val="22"/>
        </w:rPr>
        <w:lastRenderedPageBreak/>
        <w:t xml:space="preserve">pasitaikančiais nepageidaujamais reiškiniais, tokiais kaip hipotenzija, hiperkalemija ir inkstų funkcijos susilpnėjimas (įskaitant ūminį inkstų nepakankamumą) </w:t>
      </w:r>
      <w:r w:rsidRPr="00307CD6">
        <w:rPr>
          <w:rFonts w:eastAsia="Batang"/>
          <w:szCs w:val="22"/>
        </w:rPr>
        <w:t>(žr. 4.3, 4.4 ir 5.1 skyrius).</w:t>
      </w:r>
    </w:p>
    <w:p w14:paraId="18C0532C" w14:textId="77777777" w:rsidR="00DE3708" w:rsidRPr="00307CD6" w:rsidRDefault="00DE3708" w:rsidP="00307CD6">
      <w:pPr>
        <w:spacing w:line="240" w:lineRule="auto"/>
        <w:contextualSpacing/>
        <w:rPr>
          <w:szCs w:val="22"/>
        </w:rPr>
      </w:pPr>
      <w:r w:rsidRPr="00307CD6">
        <w:rPr>
          <w:szCs w:val="22"/>
        </w:rPr>
        <w:t xml:space="preserve">ARA, įskaitant </w:t>
      </w:r>
      <w:proofErr w:type="spellStart"/>
      <w:r w:rsidRPr="00307CD6">
        <w:rPr>
          <w:szCs w:val="22"/>
        </w:rPr>
        <w:t>valsartaną</w:t>
      </w:r>
      <w:proofErr w:type="spellEnd"/>
      <w:r w:rsidRPr="00307CD6">
        <w:rPr>
          <w:szCs w:val="22"/>
        </w:rPr>
        <w:t xml:space="preserve">, vartojant kartu su kitomis medžiagomis, blokuojančiomis RAAS, tokiomis, kaip AKF inhibitoriai arba </w:t>
      </w:r>
      <w:proofErr w:type="spellStart"/>
      <w:r w:rsidRPr="00307CD6">
        <w:rPr>
          <w:szCs w:val="22"/>
        </w:rPr>
        <w:t>aliskirenas</w:t>
      </w:r>
      <w:proofErr w:type="spellEnd"/>
      <w:r w:rsidRPr="00307CD6">
        <w:rPr>
          <w:szCs w:val="22"/>
        </w:rPr>
        <w:t>, reikalingas atsargumas (žr. 4.4 skyrių).</w:t>
      </w:r>
    </w:p>
    <w:p w14:paraId="25436BCB" w14:textId="77777777" w:rsidR="00DE3708" w:rsidRPr="007F15BA" w:rsidRDefault="00DE3708" w:rsidP="00307CD6">
      <w:pPr>
        <w:spacing w:line="240" w:lineRule="auto"/>
        <w:contextualSpacing/>
        <w:rPr>
          <w:szCs w:val="22"/>
        </w:rPr>
      </w:pPr>
    </w:p>
    <w:p w14:paraId="268B160D" w14:textId="77777777" w:rsidR="00DE3708" w:rsidRPr="0078402A" w:rsidRDefault="00DE3708" w:rsidP="00307CD6">
      <w:pPr>
        <w:spacing w:line="240" w:lineRule="auto"/>
        <w:contextualSpacing/>
        <w:rPr>
          <w:szCs w:val="22"/>
        </w:rPr>
      </w:pPr>
      <w:r w:rsidRPr="007F15BA">
        <w:rPr>
          <w:szCs w:val="22"/>
        </w:rPr>
        <w:t xml:space="preserve">Angiotenzino receptorių antagonistų (ARA), įskaitant </w:t>
      </w:r>
      <w:proofErr w:type="spellStart"/>
      <w:r w:rsidRPr="007F15BA">
        <w:rPr>
          <w:szCs w:val="22"/>
        </w:rPr>
        <w:t>val</w:t>
      </w:r>
      <w:r w:rsidRPr="00D36517">
        <w:rPr>
          <w:szCs w:val="22"/>
        </w:rPr>
        <w:t>sartaną</w:t>
      </w:r>
      <w:proofErr w:type="spellEnd"/>
      <w:r w:rsidRPr="00D36517">
        <w:rPr>
          <w:szCs w:val="22"/>
        </w:rPr>
        <w:t xml:space="preserve">, arba </w:t>
      </w:r>
      <w:proofErr w:type="spellStart"/>
      <w:r w:rsidRPr="00D36517">
        <w:rPr>
          <w:szCs w:val="22"/>
        </w:rPr>
        <w:t>angiotenziną</w:t>
      </w:r>
      <w:proofErr w:type="spellEnd"/>
      <w:r w:rsidRPr="00D36517">
        <w:rPr>
          <w:szCs w:val="22"/>
        </w:rPr>
        <w:t xml:space="preserve"> konvertuojančio fermento (AKFI) inhibitorių draudžiama vartoti kartu su </w:t>
      </w:r>
      <w:proofErr w:type="spellStart"/>
      <w:r w:rsidRPr="00D36517">
        <w:rPr>
          <w:szCs w:val="22"/>
        </w:rPr>
        <w:t>aliskirenu</w:t>
      </w:r>
      <w:proofErr w:type="spellEnd"/>
      <w:r w:rsidRPr="00D36517">
        <w:rPr>
          <w:szCs w:val="22"/>
        </w:rPr>
        <w:t xml:space="preserve"> pacientams, kurie serga cukriniu diabetu arba kurių inkstų funkcija yra sutrikusi (glomerulų filtracijos greitis &lt;</w:t>
      </w:r>
      <w:r w:rsidR="0078402A">
        <w:rPr>
          <w:szCs w:val="22"/>
        </w:rPr>
        <w:t> </w:t>
      </w:r>
      <w:r w:rsidRPr="0078402A">
        <w:rPr>
          <w:szCs w:val="22"/>
        </w:rPr>
        <w:t>60</w:t>
      </w:r>
      <w:r w:rsidR="0078402A">
        <w:rPr>
          <w:szCs w:val="22"/>
        </w:rPr>
        <w:t> </w:t>
      </w:r>
      <w:r w:rsidRPr="0078402A">
        <w:rPr>
          <w:szCs w:val="22"/>
        </w:rPr>
        <w:t>ml/min/1,73</w:t>
      </w:r>
      <w:r w:rsidR="0078402A">
        <w:rPr>
          <w:szCs w:val="22"/>
        </w:rPr>
        <w:t> </w:t>
      </w:r>
      <w:r w:rsidRPr="0078402A">
        <w:rPr>
          <w:szCs w:val="22"/>
        </w:rPr>
        <w:t>m</w:t>
      </w:r>
      <w:r w:rsidRPr="0078402A">
        <w:rPr>
          <w:szCs w:val="22"/>
          <w:vertAlign w:val="superscript"/>
        </w:rPr>
        <w:t>2</w:t>
      </w:r>
      <w:r w:rsidRPr="0078402A">
        <w:rPr>
          <w:szCs w:val="22"/>
        </w:rPr>
        <w:t>) (žr. 4.3 skyrių).</w:t>
      </w:r>
    </w:p>
    <w:p w14:paraId="40D9B941" w14:textId="77777777" w:rsidR="00DE3708" w:rsidRPr="00307CD6" w:rsidRDefault="00DE3708" w:rsidP="00307CD6">
      <w:pPr>
        <w:spacing w:line="240" w:lineRule="auto"/>
        <w:contextualSpacing/>
        <w:rPr>
          <w:szCs w:val="22"/>
        </w:rPr>
      </w:pPr>
    </w:p>
    <w:p w14:paraId="7BA4C5DB" w14:textId="77777777" w:rsidR="00DE3708" w:rsidRPr="00307CD6" w:rsidRDefault="00DE3708" w:rsidP="00307CD6">
      <w:pPr>
        <w:spacing w:line="240" w:lineRule="auto"/>
        <w:contextualSpacing/>
        <w:rPr>
          <w:szCs w:val="22"/>
        </w:rPr>
      </w:pPr>
      <w:r w:rsidRPr="00307CD6">
        <w:rPr>
          <w:i/>
          <w:szCs w:val="22"/>
          <w:u w:val="single"/>
        </w:rPr>
        <w:t xml:space="preserve">Kartu vartoti nerekomenduojama </w:t>
      </w:r>
    </w:p>
    <w:p w14:paraId="7B475B31" w14:textId="77777777" w:rsidR="00DE3708" w:rsidRPr="007F15BA" w:rsidRDefault="00DE3708" w:rsidP="00307CD6">
      <w:pPr>
        <w:spacing w:line="240" w:lineRule="auto"/>
        <w:contextualSpacing/>
        <w:rPr>
          <w:i/>
          <w:szCs w:val="22"/>
          <w:highlight w:val="red"/>
        </w:rPr>
      </w:pPr>
    </w:p>
    <w:p w14:paraId="7B8251B8" w14:textId="77777777" w:rsidR="00DE3708" w:rsidRPr="00D36517" w:rsidRDefault="00DE3708" w:rsidP="00307CD6">
      <w:pPr>
        <w:spacing w:line="240" w:lineRule="auto"/>
        <w:contextualSpacing/>
        <w:rPr>
          <w:szCs w:val="22"/>
        </w:rPr>
      </w:pPr>
      <w:r w:rsidRPr="007F15BA">
        <w:rPr>
          <w:i/>
          <w:szCs w:val="22"/>
        </w:rPr>
        <w:t xml:space="preserve">Litis </w:t>
      </w:r>
    </w:p>
    <w:p w14:paraId="518607D6" w14:textId="77777777" w:rsidR="00DE3708" w:rsidRPr="009F455C" w:rsidRDefault="00DE3708" w:rsidP="00307CD6">
      <w:pPr>
        <w:spacing w:line="240" w:lineRule="auto"/>
        <w:contextualSpacing/>
        <w:rPr>
          <w:szCs w:val="22"/>
        </w:rPr>
      </w:pPr>
      <w:r w:rsidRPr="00D36517">
        <w:rPr>
          <w:szCs w:val="22"/>
        </w:rPr>
        <w:t xml:space="preserve">Kartu skiriant AKF inhibitorius arba angiotenzino II receptorių antagonistais, įskaitant </w:t>
      </w:r>
      <w:proofErr w:type="spellStart"/>
      <w:r w:rsidRPr="00D36517">
        <w:rPr>
          <w:szCs w:val="22"/>
        </w:rPr>
        <w:t>valsartaną</w:t>
      </w:r>
      <w:proofErr w:type="spellEnd"/>
      <w:r w:rsidRPr="00D36517">
        <w:rPr>
          <w:szCs w:val="22"/>
        </w:rPr>
        <w:t>, buvo stebimas grįžtamas ličio koncentracijos padidėjimas kraujo serume ir toksinis poveikis. Jei šį vaisti</w:t>
      </w:r>
      <w:r w:rsidRPr="009F455C">
        <w:rPr>
          <w:szCs w:val="22"/>
        </w:rPr>
        <w:t>nių preparatų derinį skirti būtina, rekomenduojama atidžiai sekti ličio koncentraciją kraujo serume. Jeigu kartu vartojamas diuretikas, toksinio ličio poveikio rizika gali dar labiau padidėti.</w:t>
      </w:r>
    </w:p>
    <w:p w14:paraId="1DE790A9" w14:textId="77777777" w:rsidR="00DE3708" w:rsidRPr="009F455C" w:rsidRDefault="00DE3708" w:rsidP="00307CD6">
      <w:pPr>
        <w:spacing w:line="240" w:lineRule="auto"/>
        <w:contextualSpacing/>
        <w:rPr>
          <w:szCs w:val="22"/>
        </w:rPr>
      </w:pPr>
    </w:p>
    <w:p w14:paraId="57A556CB" w14:textId="77777777" w:rsidR="00DE3708" w:rsidRPr="001E6DB9" w:rsidRDefault="00DE3708" w:rsidP="00307CD6">
      <w:pPr>
        <w:pStyle w:val="Default"/>
        <w:contextualSpacing/>
        <w:rPr>
          <w:color w:val="auto"/>
          <w:sz w:val="22"/>
          <w:szCs w:val="22"/>
        </w:rPr>
      </w:pPr>
      <w:r w:rsidRPr="001E6DB9" w:rsidDel="00A310A7">
        <w:rPr>
          <w:color w:val="auto"/>
          <w:sz w:val="22"/>
          <w:szCs w:val="22"/>
        </w:rPr>
        <w:t xml:space="preserve"> </w:t>
      </w:r>
      <w:r w:rsidRPr="001E6DB9">
        <w:rPr>
          <w:i/>
          <w:color w:val="auto"/>
          <w:sz w:val="22"/>
          <w:szCs w:val="22"/>
        </w:rPr>
        <w:t xml:space="preserve">Kalį sulaikantys diuretikai, kalio papildai, druskos pakaitalai, kurių sudėtyje yra kalio ir kitos medžiagos, kurios gali didinti kalio kiekį kraujyje </w:t>
      </w:r>
    </w:p>
    <w:p w14:paraId="7CFF9ACF" w14:textId="77777777" w:rsidR="00DE3708" w:rsidRPr="001E6DB9" w:rsidRDefault="00DE3708" w:rsidP="00307CD6">
      <w:pPr>
        <w:pStyle w:val="Default"/>
        <w:contextualSpacing/>
        <w:rPr>
          <w:color w:val="auto"/>
          <w:sz w:val="22"/>
          <w:szCs w:val="22"/>
        </w:rPr>
      </w:pPr>
      <w:r w:rsidRPr="001E6DB9">
        <w:rPr>
          <w:color w:val="auto"/>
          <w:sz w:val="22"/>
          <w:szCs w:val="22"/>
        </w:rPr>
        <w:t xml:space="preserve">Jeigu manoma, kad kartu su </w:t>
      </w:r>
      <w:proofErr w:type="spellStart"/>
      <w:r w:rsidRPr="001E6DB9">
        <w:rPr>
          <w:color w:val="auto"/>
          <w:sz w:val="22"/>
          <w:szCs w:val="22"/>
        </w:rPr>
        <w:t>valsartanu</w:t>
      </w:r>
      <w:proofErr w:type="spellEnd"/>
      <w:r w:rsidRPr="001E6DB9">
        <w:rPr>
          <w:color w:val="auto"/>
          <w:sz w:val="22"/>
          <w:szCs w:val="22"/>
        </w:rPr>
        <w:t xml:space="preserve"> būtina vartoti vaistinį preparatą, kuris įtakoja kalio kiekį, patariama sekti kalio kiekį kraujo plazmoje. </w:t>
      </w:r>
    </w:p>
    <w:p w14:paraId="74E2FB12" w14:textId="77777777" w:rsidR="00DE3708" w:rsidRPr="001E6DB9" w:rsidRDefault="00DE3708" w:rsidP="00307CD6">
      <w:pPr>
        <w:pStyle w:val="Default"/>
        <w:contextualSpacing/>
        <w:rPr>
          <w:color w:val="auto"/>
          <w:sz w:val="22"/>
          <w:szCs w:val="22"/>
        </w:rPr>
      </w:pPr>
    </w:p>
    <w:p w14:paraId="42C6D5C1" w14:textId="77777777" w:rsidR="00DE3708" w:rsidRPr="001E6DB9" w:rsidRDefault="00DE3708" w:rsidP="00307CD6">
      <w:pPr>
        <w:pStyle w:val="Default"/>
        <w:contextualSpacing/>
        <w:rPr>
          <w:i/>
          <w:color w:val="auto"/>
          <w:sz w:val="22"/>
          <w:szCs w:val="22"/>
          <w:u w:val="single"/>
        </w:rPr>
      </w:pPr>
      <w:r w:rsidRPr="001E6DB9">
        <w:rPr>
          <w:i/>
          <w:color w:val="auto"/>
          <w:sz w:val="22"/>
          <w:szCs w:val="22"/>
          <w:u w:val="single"/>
        </w:rPr>
        <w:t>Vartojant kartu reikalingas atsargumas</w:t>
      </w:r>
    </w:p>
    <w:p w14:paraId="61031C76" w14:textId="77777777" w:rsidR="00DE3708" w:rsidRPr="001E6DB9" w:rsidRDefault="00DE3708" w:rsidP="00307CD6">
      <w:pPr>
        <w:pStyle w:val="Default"/>
        <w:contextualSpacing/>
        <w:rPr>
          <w:color w:val="auto"/>
          <w:sz w:val="22"/>
          <w:szCs w:val="22"/>
        </w:rPr>
      </w:pPr>
      <w:r w:rsidRPr="001E6DB9">
        <w:rPr>
          <w:i/>
          <w:color w:val="auto"/>
          <w:sz w:val="22"/>
          <w:szCs w:val="22"/>
        </w:rPr>
        <w:t xml:space="preserve"> </w:t>
      </w:r>
    </w:p>
    <w:p w14:paraId="4F67C26B" w14:textId="77777777" w:rsidR="00DE3708" w:rsidRPr="001E6DB9" w:rsidRDefault="00DE3708" w:rsidP="00307CD6">
      <w:pPr>
        <w:pStyle w:val="Default"/>
        <w:contextualSpacing/>
        <w:rPr>
          <w:color w:val="auto"/>
          <w:sz w:val="22"/>
          <w:szCs w:val="22"/>
        </w:rPr>
      </w:pPr>
      <w:r w:rsidRPr="001E6DB9">
        <w:rPr>
          <w:i/>
          <w:color w:val="auto"/>
          <w:sz w:val="22"/>
          <w:szCs w:val="22"/>
        </w:rPr>
        <w:t>Nesteroidiniai vaistiniai preparatai nuo uždegimo (NVNU), įskaitant selektyvius COX-2 inhibitorius, acetilsalicilo rūgštį (&gt;</w:t>
      </w:r>
      <w:r w:rsidR="0078402A">
        <w:rPr>
          <w:i/>
          <w:color w:val="auto"/>
          <w:sz w:val="22"/>
          <w:szCs w:val="22"/>
        </w:rPr>
        <w:t> </w:t>
      </w:r>
      <w:r w:rsidRPr="001E6DB9">
        <w:rPr>
          <w:i/>
          <w:color w:val="auto"/>
          <w:sz w:val="22"/>
          <w:szCs w:val="22"/>
        </w:rPr>
        <w:t>3</w:t>
      </w:r>
      <w:r w:rsidR="0078402A">
        <w:rPr>
          <w:i/>
          <w:color w:val="auto"/>
          <w:sz w:val="22"/>
          <w:szCs w:val="22"/>
        </w:rPr>
        <w:t> </w:t>
      </w:r>
      <w:r w:rsidRPr="001E6DB9">
        <w:rPr>
          <w:i/>
          <w:color w:val="auto"/>
          <w:sz w:val="22"/>
          <w:szCs w:val="22"/>
        </w:rPr>
        <w:t xml:space="preserve">g paros dozę) ir neselektyvius NVNU </w:t>
      </w:r>
    </w:p>
    <w:p w14:paraId="5A9A5DC2" w14:textId="77777777" w:rsidR="00DE3708" w:rsidRPr="001E6DB9" w:rsidRDefault="00DE3708" w:rsidP="00307CD6">
      <w:pPr>
        <w:pStyle w:val="Default"/>
        <w:contextualSpacing/>
        <w:rPr>
          <w:color w:val="auto"/>
          <w:sz w:val="22"/>
          <w:szCs w:val="22"/>
        </w:rPr>
      </w:pPr>
      <w:r w:rsidRPr="001E6DB9">
        <w:rPr>
          <w:color w:val="auto"/>
          <w:sz w:val="22"/>
          <w:szCs w:val="22"/>
        </w:rPr>
        <w:t xml:space="preserve">Vartojant angiotenzino II antagonistus kartu su NVNU, gali silpniau pasireikšti kraujospūdį mažinantis poveikis. Be to, angiotenzino II antagonistų vartojimas kartu su NVNU, gali didinti inkstų funkcijos pablogėjimo riziką ir sukelti kalio kiekio kraujo serume padidėjimą. Vadinasi, gydymo pradžioje rekomenduojama sekti inkstų funkciją ir pacientui skirti pakankamai skysčių. </w:t>
      </w:r>
    </w:p>
    <w:p w14:paraId="6F0BC1FA" w14:textId="77777777" w:rsidR="00DE3708" w:rsidRPr="001E6DB9" w:rsidRDefault="00DE3708" w:rsidP="00307CD6">
      <w:pPr>
        <w:pStyle w:val="Default"/>
        <w:tabs>
          <w:tab w:val="left" w:pos="567"/>
        </w:tabs>
        <w:contextualSpacing/>
        <w:rPr>
          <w:color w:val="auto"/>
          <w:sz w:val="22"/>
          <w:szCs w:val="22"/>
        </w:rPr>
      </w:pPr>
    </w:p>
    <w:p w14:paraId="311D803E" w14:textId="77777777" w:rsidR="00DE3708" w:rsidRPr="001E6DB9" w:rsidRDefault="00DE3708" w:rsidP="00307CD6">
      <w:pPr>
        <w:pStyle w:val="Default"/>
        <w:contextualSpacing/>
        <w:rPr>
          <w:i/>
          <w:color w:val="auto"/>
          <w:sz w:val="22"/>
          <w:szCs w:val="22"/>
        </w:rPr>
      </w:pPr>
      <w:r w:rsidRPr="001E6DB9">
        <w:rPr>
          <w:i/>
          <w:color w:val="auto"/>
          <w:sz w:val="22"/>
          <w:szCs w:val="22"/>
        </w:rPr>
        <w:t>Pernešėjai</w:t>
      </w:r>
    </w:p>
    <w:p w14:paraId="53CD9E11" w14:textId="77777777" w:rsidR="00DE3708" w:rsidRPr="001E6DB9" w:rsidRDefault="00DE3708" w:rsidP="00307CD6">
      <w:pPr>
        <w:pStyle w:val="Default"/>
        <w:contextualSpacing/>
        <w:rPr>
          <w:color w:val="auto"/>
          <w:sz w:val="22"/>
          <w:szCs w:val="22"/>
        </w:rPr>
      </w:pPr>
      <w:proofErr w:type="spellStart"/>
      <w:r w:rsidRPr="001E6DB9">
        <w:rPr>
          <w:i/>
          <w:color w:val="auto"/>
          <w:sz w:val="22"/>
          <w:szCs w:val="22"/>
        </w:rPr>
        <w:t>In</w:t>
      </w:r>
      <w:proofErr w:type="spellEnd"/>
      <w:r w:rsidRPr="001E6DB9">
        <w:rPr>
          <w:i/>
          <w:color w:val="auto"/>
          <w:sz w:val="22"/>
          <w:szCs w:val="22"/>
        </w:rPr>
        <w:t xml:space="preserve"> </w:t>
      </w:r>
      <w:proofErr w:type="spellStart"/>
      <w:r w:rsidRPr="001E6DB9">
        <w:rPr>
          <w:i/>
          <w:color w:val="auto"/>
          <w:sz w:val="22"/>
          <w:szCs w:val="22"/>
        </w:rPr>
        <w:t>vitro</w:t>
      </w:r>
      <w:proofErr w:type="spellEnd"/>
      <w:r w:rsidRPr="001E6DB9">
        <w:rPr>
          <w:color w:val="auto"/>
          <w:sz w:val="22"/>
          <w:szCs w:val="22"/>
        </w:rPr>
        <w:t xml:space="preserve"> tyrimo rezultatai rodo, kad valsartanas yra pasisavinimo kepenyse pernešėjo OATP1B/OATP1B3 ir šalinimo iš kepenų pernešėjo MRP2 substratas. Šių duomenų klinikinis reikšmingumas yra nežinomas. Pasisavinimo pernešėjo inhibitorių (rifampicino, ciklosporino) ar šalinimo inhibitoriaus (ritonaviro) vartojimas kartu gali didinti sisteminę valsartano ekspoziciją. Pradedant ir baigiant šių vaistinių preparatų vartojimą gydymo </w:t>
      </w:r>
      <w:proofErr w:type="spellStart"/>
      <w:r w:rsidRPr="001E6DB9">
        <w:rPr>
          <w:color w:val="auto"/>
          <w:sz w:val="22"/>
          <w:szCs w:val="22"/>
        </w:rPr>
        <w:t>valsartanu</w:t>
      </w:r>
      <w:proofErr w:type="spellEnd"/>
      <w:r w:rsidRPr="001E6DB9">
        <w:rPr>
          <w:color w:val="auto"/>
          <w:sz w:val="22"/>
          <w:szCs w:val="22"/>
        </w:rPr>
        <w:t xml:space="preserve"> metu reikia taikyti tinkamą priežiūrą.</w:t>
      </w:r>
    </w:p>
    <w:p w14:paraId="1235E053" w14:textId="77777777" w:rsidR="00DE3708" w:rsidRPr="001E6DB9" w:rsidRDefault="00DE3708" w:rsidP="00307CD6">
      <w:pPr>
        <w:pStyle w:val="Default"/>
        <w:contextualSpacing/>
        <w:rPr>
          <w:color w:val="auto"/>
          <w:sz w:val="22"/>
          <w:szCs w:val="22"/>
        </w:rPr>
      </w:pPr>
    </w:p>
    <w:p w14:paraId="37EB8414" w14:textId="77777777" w:rsidR="00DE3708" w:rsidRPr="001E6DB9" w:rsidRDefault="00DE3708" w:rsidP="00307CD6">
      <w:pPr>
        <w:pStyle w:val="Default"/>
        <w:contextualSpacing/>
        <w:rPr>
          <w:color w:val="auto"/>
          <w:sz w:val="22"/>
          <w:szCs w:val="22"/>
        </w:rPr>
      </w:pPr>
      <w:r w:rsidRPr="001E6DB9">
        <w:rPr>
          <w:i/>
          <w:color w:val="auto"/>
          <w:sz w:val="22"/>
          <w:szCs w:val="22"/>
        </w:rPr>
        <w:t xml:space="preserve">Kita </w:t>
      </w:r>
    </w:p>
    <w:p w14:paraId="6136C862" w14:textId="77777777" w:rsidR="00DE3708" w:rsidRPr="00F50D13" w:rsidRDefault="00DE3708" w:rsidP="00307CD6">
      <w:pPr>
        <w:spacing w:line="240" w:lineRule="auto"/>
        <w:contextualSpacing/>
        <w:rPr>
          <w:szCs w:val="22"/>
        </w:rPr>
      </w:pPr>
      <w:r w:rsidRPr="00F50D13">
        <w:rPr>
          <w:szCs w:val="22"/>
        </w:rPr>
        <w:t xml:space="preserve">Vaistinių preparatų sąveikos su </w:t>
      </w:r>
      <w:proofErr w:type="spellStart"/>
      <w:r w:rsidRPr="00F50D13">
        <w:rPr>
          <w:szCs w:val="22"/>
        </w:rPr>
        <w:t>valsartanu</w:t>
      </w:r>
      <w:proofErr w:type="spellEnd"/>
      <w:r w:rsidRPr="00F50D13">
        <w:rPr>
          <w:szCs w:val="22"/>
        </w:rPr>
        <w:t xml:space="preserve"> tyrimų metu kliniškai reikšmingos jo sąveikos su bet kuria iš šių medžiagų: </w:t>
      </w:r>
      <w:proofErr w:type="spellStart"/>
      <w:r w:rsidRPr="00F50D13">
        <w:rPr>
          <w:szCs w:val="22"/>
        </w:rPr>
        <w:t>cimetidinu</w:t>
      </w:r>
      <w:proofErr w:type="spellEnd"/>
      <w:r w:rsidRPr="00F50D13">
        <w:rPr>
          <w:szCs w:val="22"/>
        </w:rPr>
        <w:t xml:space="preserve">, varfarinu, </w:t>
      </w:r>
      <w:proofErr w:type="spellStart"/>
      <w:r w:rsidRPr="00F50D13">
        <w:rPr>
          <w:szCs w:val="22"/>
        </w:rPr>
        <w:t>furozemidu</w:t>
      </w:r>
      <w:proofErr w:type="spellEnd"/>
      <w:r w:rsidRPr="00F50D13">
        <w:rPr>
          <w:szCs w:val="22"/>
        </w:rPr>
        <w:t xml:space="preserve">, </w:t>
      </w:r>
      <w:proofErr w:type="spellStart"/>
      <w:r w:rsidRPr="00F50D13">
        <w:rPr>
          <w:szCs w:val="22"/>
        </w:rPr>
        <w:t>digoksinu</w:t>
      </w:r>
      <w:proofErr w:type="spellEnd"/>
      <w:r w:rsidRPr="00F50D13">
        <w:rPr>
          <w:szCs w:val="22"/>
        </w:rPr>
        <w:t xml:space="preserve">, </w:t>
      </w:r>
      <w:proofErr w:type="spellStart"/>
      <w:r w:rsidRPr="00F50D13">
        <w:rPr>
          <w:szCs w:val="22"/>
        </w:rPr>
        <w:t>atenololiu</w:t>
      </w:r>
      <w:proofErr w:type="spellEnd"/>
      <w:r w:rsidRPr="00F50D13">
        <w:rPr>
          <w:szCs w:val="22"/>
        </w:rPr>
        <w:t xml:space="preserve">, </w:t>
      </w:r>
      <w:proofErr w:type="spellStart"/>
      <w:r w:rsidRPr="00F50D13">
        <w:rPr>
          <w:szCs w:val="22"/>
        </w:rPr>
        <w:t>indometacinu</w:t>
      </w:r>
      <w:proofErr w:type="spellEnd"/>
      <w:r w:rsidRPr="00F50D13">
        <w:rPr>
          <w:szCs w:val="22"/>
        </w:rPr>
        <w:t xml:space="preserve">, </w:t>
      </w:r>
      <w:proofErr w:type="spellStart"/>
      <w:r w:rsidRPr="00F50D13">
        <w:rPr>
          <w:szCs w:val="22"/>
        </w:rPr>
        <w:t>hidrochlorotiazidu</w:t>
      </w:r>
      <w:proofErr w:type="spellEnd"/>
      <w:r w:rsidRPr="00F50D13">
        <w:rPr>
          <w:szCs w:val="22"/>
        </w:rPr>
        <w:t xml:space="preserve">, </w:t>
      </w:r>
      <w:proofErr w:type="spellStart"/>
      <w:r w:rsidRPr="00F50D13">
        <w:rPr>
          <w:szCs w:val="22"/>
        </w:rPr>
        <w:t>amlodipinu</w:t>
      </w:r>
      <w:proofErr w:type="spellEnd"/>
      <w:r w:rsidRPr="00F50D13">
        <w:rPr>
          <w:szCs w:val="22"/>
        </w:rPr>
        <w:t xml:space="preserve">, </w:t>
      </w:r>
      <w:proofErr w:type="spellStart"/>
      <w:r w:rsidRPr="00F50D13">
        <w:rPr>
          <w:szCs w:val="22"/>
        </w:rPr>
        <w:t>glibenklamidu</w:t>
      </w:r>
      <w:proofErr w:type="spellEnd"/>
      <w:r w:rsidRPr="00F50D13">
        <w:rPr>
          <w:szCs w:val="22"/>
        </w:rPr>
        <w:t>, neaptikta.</w:t>
      </w:r>
    </w:p>
    <w:p w14:paraId="0DB23EA2" w14:textId="77777777" w:rsidR="00DE3708" w:rsidRPr="00F50D13" w:rsidRDefault="00DE3708" w:rsidP="00307CD6">
      <w:pPr>
        <w:spacing w:line="240" w:lineRule="auto"/>
        <w:contextualSpacing/>
        <w:rPr>
          <w:szCs w:val="22"/>
        </w:rPr>
      </w:pPr>
    </w:p>
    <w:p w14:paraId="0A1976F7" w14:textId="77777777" w:rsidR="00DE3708" w:rsidRPr="00F91FD7" w:rsidRDefault="00DE3708" w:rsidP="00307CD6">
      <w:pPr>
        <w:spacing w:line="240" w:lineRule="auto"/>
        <w:contextualSpacing/>
        <w:rPr>
          <w:i/>
          <w:szCs w:val="22"/>
          <w:u w:val="single"/>
        </w:rPr>
      </w:pPr>
      <w:r w:rsidRPr="00F91FD7">
        <w:rPr>
          <w:i/>
          <w:szCs w:val="22"/>
          <w:u w:val="single"/>
        </w:rPr>
        <w:t>Vaikų populiacija</w:t>
      </w:r>
    </w:p>
    <w:p w14:paraId="0DF5985B" w14:textId="77777777" w:rsidR="00DE3708" w:rsidRPr="001E6DB9" w:rsidRDefault="00DE3708" w:rsidP="00307CD6">
      <w:pPr>
        <w:spacing w:line="240" w:lineRule="auto"/>
        <w:contextualSpacing/>
        <w:rPr>
          <w:szCs w:val="22"/>
        </w:rPr>
      </w:pPr>
      <w:r w:rsidRPr="001E6DB9">
        <w:rPr>
          <w:szCs w:val="22"/>
        </w:rPr>
        <w:t xml:space="preserve">Hipertenzija sergantiems vaikams ir paaugliams dažnai kartu būna inkstų sutrikimų, todėl valsartano ir kitų medžiagų, slopinančių </w:t>
      </w:r>
      <w:proofErr w:type="spellStart"/>
      <w:r w:rsidRPr="001E6DB9">
        <w:rPr>
          <w:szCs w:val="22"/>
        </w:rPr>
        <w:t>renino</w:t>
      </w:r>
      <w:proofErr w:type="spellEnd"/>
      <w:r w:rsidRPr="001E6DB9">
        <w:rPr>
          <w:szCs w:val="22"/>
        </w:rPr>
        <w:t xml:space="preserve">, </w:t>
      </w:r>
      <w:proofErr w:type="spellStart"/>
      <w:r w:rsidRPr="001E6DB9">
        <w:rPr>
          <w:szCs w:val="22"/>
        </w:rPr>
        <w:t>angiotenzino</w:t>
      </w:r>
      <w:proofErr w:type="spellEnd"/>
      <w:r w:rsidRPr="001E6DB9">
        <w:rPr>
          <w:szCs w:val="22"/>
        </w:rPr>
        <w:t xml:space="preserve"> ir </w:t>
      </w:r>
      <w:proofErr w:type="spellStart"/>
      <w:r w:rsidRPr="001E6DB9">
        <w:rPr>
          <w:szCs w:val="22"/>
        </w:rPr>
        <w:t>aldosterono</w:t>
      </w:r>
      <w:proofErr w:type="spellEnd"/>
      <w:r w:rsidRPr="001E6DB9">
        <w:rPr>
          <w:szCs w:val="22"/>
        </w:rPr>
        <w:t xml:space="preserve"> sistemą ir galinčių didinti kalio koncentraciją kraujyje, kartu skirti vartoti rekomenduojama atsargiai. Reikia atidžiai stebėti inkstų funkciją ir kalio kiekį kraujo serume.</w:t>
      </w:r>
    </w:p>
    <w:p w14:paraId="21E29E7F" w14:textId="77777777" w:rsidR="00DE3708" w:rsidRPr="00F50D13" w:rsidRDefault="00DE3708" w:rsidP="00307CD6">
      <w:pPr>
        <w:spacing w:line="240" w:lineRule="auto"/>
        <w:contextualSpacing/>
        <w:rPr>
          <w:szCs w:val="22"/>
        </w:rPr>
      </w:pPr>
    </w:p>
    <w:p w14:paraId="0DE733E6" w14:textId="77777777" w:rsidR="00DE3708" w:rsidRPr="00F50D13" w:rsidRDefault="00DE3708" w:rsidP="00307CD6">
      <w:pPr>
        <w:spacing w:line="240" w:lineRule="auto"/>
        <w:contextualSpacing/>
        <w:rPr>
          <w:b/>
          <w:szCs w:val="22"/>
        </w:rPr>
      </w:pPr>
      <w:r w:rsidRPr="00F50D13">
        <w:rPr>
          <w:b/>
          <w:szCs w:val="22"/>
        </w:rPr>
        <w:t>4.6</w:t>
      </w:r>
      <w:r w:rsidRPr="00F50D13">
        <w:rPr>
          <w:b/>
          <w:szCs w:val="22"/>
        </w:rPr>
        <w:tab/>
        <w:t>Vaisingumas, nėštumo ir žindymo laikotarpis</w:t>
      </w:r>
    </w:p>
    <w:p w14:paraId="79BEB626" w14:textId="77777777" w:rsidR="00DE3708" w:rsidRPr="00F91FD7" w:rsidRDefault="00DE3708" w:rsidP="00307CD6">
      <w:pPr>
        <w:spacing w:line="240" w:lineRule="auto"/>
        <w:contextualSpacing/>
        <w:rPr>
          <w:b/>
          <w:i/>
          <w:szCs w:val="22"/>
        </w:rPr>
      </w:pPr>
    </w:p>
    <w:p w14:paraId="245EC778" w14:textId="77777777" w:rsidR="00DE3708" w:rsidRPr="00F91FD7" w:rsidRDefault="00DE3708" w:rsidP="00307CD6">
      <w:pPr>
        <w:spacing w:line="240" w:lineRule="auto"/>
        <w:contextualSpacing/>
        <w:rPr>
          <w:szCs w:val="22"/>
          <w:u w:val="single"/>
        </w:rPr>
      </w:pPr>
      <w:r w:rsidRPr="00F91FD7">
        <w:rPr>
          <w:szCs w:val="22"/>
          <w:u w:val="single"/>
        </w:rPr>
        <w:t>Nėštumas</w:t>
      </w:r>
    </w:p>
    <w:p w14:paraId="6316FD37" w14:textId="77777777" w:rsidR="00DE3708" w:rsidRPr="0078402A" w:rsidRDefault="00DE3708" w:rsidP="00307CD6">
      <w:pPr>
        <w:spacing w:line="240" w:lineRule="auto"/>
        <w:contextualSpacing/>
        <w:rPr>
          <w:i/>
          <w:szCs w:val="22"/>
          <w:u w:val="single"/>
        </w:rPr>
      </w:pPr>
    </w:p>
    <w:p w14:paraId="03FD10C9" w14:textId="77777777" w:rsidR="00DE3708" w:rsidRPr="00307CD6" w:rsidRDefault="00DE3708" w:rsidP="00307CD6">
      <w:pPr>
        <w:pBdr>
          <w:top w:val="single" w:sz="4" w:space="1" w:color="auto"/>
          <w:left w:val="single" w:sz="4" w:space="4" w:color="auto"/>
          <w:bottom w:val="single" w:sz="4" w:space="1" w:color="auto"/>
          <w:right w:val="single" w:sz="4" w:space="4" w:color="auto"/>
        </w:pBdr>
        <w:spacing w:line="240" w:lineRule="auto"/>
        <w:contextualSpacing/>
        <w:rPr>
          <w:szCs w:val="22"/>
        </w:rPr>
      </w:pPr>
      <w:r w:rsidRPr="00307CD6">
        <w:rPr>
          <w:szCs w:val="22"/>
        </w:rPr>
        <w:lastRenderedPageBreak/>
        <w:t>Pirmuoju nėštumo trimestru angiotenzino II receptorių antagonistų (AIIRA) vartoti nerekomenduojama (žr. 4.4 skyrių). Antruoju ir trečiuoju nėštumo trimestrais jų vartoti draudžiama (žr. 4.3 ir 4.4 skyrius).</w:t>
      </w:r>
    </w:p>
    <w:p w14:paraId="1E798E6B" w14:textId="77777777" w:rsidR="00DE3708" w:rsidRPr="00307CD6" w:rsidRDefault="00DE3708" w:rsidP="00307CD6">
      <w:pPr>
        <w:spacing w:line="240" w:lineRule="auto"/>
        <w:contextualSpacing/>
        <w:rPr>
          <w:szCs w:val="22"/>
          <w:u w:val="single"/>
        </w:rPr>
      </w:pPr>
    </w:p>
    <w:p w14:paraId="38595678" w14:textId="77777777" w:rsidR="00DE3708" w:rsidRPr="00D36517" w:rsidRDefault="00DE3708" w:rsidP="00307CD6">
      <w:pPr>
        <w:spacing w:line="240" w:lineRule="auto"/>
        <w:contextualSpacing/>
        <w:rPr>
          <w:szCs w:val="22"/>
        </w:rPr>
      </w:pPr>
      <w:r w:rsidRPr="007F15BA">
        <w:rPr>
          <w:szCs w:val="22"/>
        </w:rPr>
        <w:t>Epidemiologinių tyrimų duomenys dėl pirmuoju nėštumo trimestru vartojamų AKF inhibitorių teratogeninio poveikio nėra galutiniai, tačiau nedidelio rizikos padidėjimo atmesti negalima. Kadangi nėra kontrolinių epidemiologinių duomenų dėl AIIRA rizikos, panaši rizika gali būti ir šių vaistinių preparatų klasei. Išskyrus atvejus, kai tolesnis gydymas AIIRA yra bū</w:t>
      </w:r>
      <w:r w:rsidRPr="00D36517">
        <w:rPr>
          <w:szCs w:val="22"/>
        </w:rPr>
        <w:t xml:space="preserve">tinas, pastoti planuojančioms moterims juos reikia keisti kitokiais antihipertenziniais vaistiniais preparatais, kurių vartojimo nėštumo metu saugumas ištirtas. Nustačius nėštumą, AIIRA vartojimą būtina nedelsiant nutraukti ir, jei reikia, skirti kitokį tinkamą gydymą. </w:t>
      </w:r>
    </w:p>
    <w:p w14:paraId="56570AE4" w14:textId="77777777" w:rsidR="00DE3708" w:rsidRPr="009F455C" w:rsidRDefault="00DE3708" w:rsidP="00307CD6">
      <w:pPr>
        <w:spacing w:line="240" w:lineRule="auto"/>
        <w:contextualSpacing/>
        <w:rPr>
          <w:szCs w:val="22"/>
        </w:rPr>
      </w:pPr>
      <w:r w:rsidRPr="00D36517">
        <w:rPr>
          <w:szCs w:val="22"/>
        </w:rPr>
        <w:t>Žinoma, kad antruoju arba trečiuoju nėštumo trimestrais vartojami AIIRA sukelia toksinį poveikį žmogaus vaisiui (inkstų funkcijos susilpnėjimą, oligohidramnioną, kaukolės kaulėjimo sulėtėjimą) ir naujagimiui (inkstų nepakankamumą, hipotenzij</w:t>
      </w:r>
      <w:r w:rsidRPr="009F455C">
        <w:rPr>
          <w:szCs w:val="22"/>
        </w:rPr>
        <w:t>ą, hiperkalemiją) (žr. 5.3 skyrių).</w:t>
      </w:r>
    </w:p>
    <w:p w14:paraId="6449A9BD" w14:textId="77777777" w:rsidR="00DE3708" w:rsidRPr="009F455C" w:rsidRDefault="00DE3708" w:rsidP="00307CD6">
      <w:pPr>
        <w:spacing w:line="240" w:lineRule="auto"/>
        <w:contextualSpacing/>
        <w:rPr>
          <w:szCs w:val="22"/>
        </w:rPr>
      </w:pPr>
      <w:r w:rsidRPr="009F455C">
        <w:rPr>
          <w:szCs w:val="22"/>
        </w:rPr>
        <w:t>Jeigu vaisius antruoju arba trečiuoju nėštumo trimestru buvo veikiamas AIIRA, rekomenduojama patikrinti ultragarsu jo inkstų funkciją ir kaukolę.</w:t>
      </w:r>
    </w:p>
    <w:p w14:paraId="79019A7D" w14:textId="77777777" w:rsidR="00DE3708" w:rsidRPr="009F455C" w:rsidRDefault="00DE3708" w:rsidP="00307CD6">
      <w:pPr>
        <w:spacing w:line="240" w:lineRule="auto"/>
        <w:contextualSpacing/>
        <w:rPr>
          <w:szCs w:val="22"/>
        </w:rPr>
      </w:pPr>
      <w:r w:rsidRPr="009F455C">
        <w:rPr>
          <w:szCs w:val="22"/>
        </w:rPr>
        <w:t xml:space="preserve">Reikia atidžiai sekti, ar naujagimiams, kurių motinos nėštumo metu vartojo AIIRA, nepasireiškia hipotenzija (žr. 4.3 ir 4.4 skyrius). </w:t>
      </w:r>
    </w:p>
    <w:p w14:paraId="4D909DA7" w14:textId="77777777" w:rsidR="00DE3708" w:rsidRPr="001765A8" w:rsidRDefault="00DE3708" w:rsidP="00307CD6">
      <w:pPr>
        <w:spacing w:line="240" w:lineRule="auto"/>
        <w:contextualSpacing/>
        <w:rPr>
          <w:szCs w:val="22"/>
        </w:rPr>
      </w:pPr>
    </w:p>
    <w:p w14:paraId="3FFCED67" w14:textId="77777777" w:rsidR="00DE3708" w:rsidRPr="001E6DB9" w:rsidRDefault="00DE3708" w:rsidP="00307CD6">
      <w:pPr>
        <w:spacing w:line="240" w:lineRule="auto"/>
        <w:contextualSpacing/>
        <w:rPr>
          <w:szCs w:val="22"/>
          <w:u w:val="single"/>
        </w:rPr>
      </w:pPr>
      <w:r w:rsidRPr="001E6DB9">
        <w:rPr>
          <w:szCs w:val="22"/>
          <w:u w:val="single"/>
        </w:rPr>
        <w:t>Žindymas</w:t>
      </w:r>
    </w:p>
    <w:p w14:paraId="652C6B2C" w14:textId="77777777" w:rsidR="00DE3708" w:rsidRPr="001E6DB9" w:rsidRDefault="00DE3708" w:rsidP="00307CD6">
      <w:pPr>
        <w:spacing w:line="240" w:lineRule="auto"/>
        <w:contextualSpacing/>
        <w:rPr>
          <w:szCs w:val="22"/>
        </w:rPr>
      </w:pPr>
      <w:r w:rsidRPr="001E6DB9">
        <w:rPr>
          <w:szCs w:val="22"/>
        </w:rPr>
        <w:t>Kadangi informacijos apie valsartano</w:t>
      </w:r>
      <w:r w:rsidRPr="001E6DB9">
        <w:rPr>
          <w:i/>
          <w:szCs w:val="22"/>
        </w:rPr>
        <w:t xml:space="preserve"> </w:t>
      </w:r>
      <w:r w:rsidRPr="001E6DB9">
        <w:rPr>
          <w:szCs w:val="22"/>
        </w:rPr>
        <w:t>vartojimą žindymo metu nėra, valsartanas yra</w:t>
      </w:r>
      <w:r w:rsidRPr="001E6DB9">
        <w:rPr>
          <w:i/>
          <w:szCs w:val="22"/>
        </w:rPr>
        <w:t xml:space="preserve"> </w:t>
      </w:r>
      <w:r w:rsidRPr="001E6DB9">
        <w:rPr>
          <w:szCs w:val="22"/>
        </w:rPr>
        <w:t>nerekomenduojamas, ir alternatyvūs gydymo būdai, kurių saugumas žindymo metu geriau ištirtas, yra tinkamesni, ypač žindant naujagimius ar neišnešiotus kūdikius.</w:t>
      </w:r>
    </w:p>
    <w:p w14:paraId="74186041" w14:textId="77777777" w:rsidR="00DE3708" w:rsidRPr="001E6DB9" w:rsidRDefault="00DE3708" w:rsidP="00307CD6">
      <w:pPr>
        <w:spacing w:line="240" w:lineRule="auto"/>
        <w:contextualSpacing/>
        <w:rPr>
          <w:szCs w:val="22"/>
        </w:rPr>
      </w:pPr>
    </w:p>
    <w:p w14:paraId="6631A5AE" w14:textId="77777777" w:rsidR="00DE3708" w:rsidRPr="001E6DB9" w:rsidRDefault="00DE3708" w:rsidP="00307CD6">
      <w:pPr>
        <w:spacing w:line="240" w:lineRule="auto"/>
        <w:ind w:left="567" w:hanging="567"/>
        <w:contextualSpacing/>
        <w:outlineLvl w:val="0"/>
        <w:rPr>
          <w:szCs w:val="22"/>
          <w:u w:val="single"/>
        </w:rPr>
      </w:pPr>
      <w:r w:rsidRPr="001E6DB9">
        <w:rPr>
          <w:szCs w:val="22"/>
          <w:u w:val="single"/>
        </w:rPr>
        <w:t>Vaisingumas</w:t>
      </w:r>
    </w:p>
    <w:p w14:paraId="19ADFF05" w14:textId="2BEB60B8" w:rsidR="00DE3708" w:rsidRPr="001E6DB9" w:rsidRDefault="00DE3708" w:rsidP="00307CD6">
      <w:pPr>
        <w:spacing w:line="240" w:lineRule="auto"/>
        <w:contextualSpacing/>
        <w:outlineLvl w:val="0"/>
        <w:rPr>
          <w:szCs w:val="22"/>
        </w:rPr>
      </w:pPr>
      <w:r w:rsidRPr="001E6DB9">
        <w:rPr>
          <w:szCs w:val="22"/>
        </w:rPr>
        <w:t>Girdoma ne didesnė kaip 200 mg/kg kūno svorio valsartano paros dozė nepageidaujam</w:t>
      </w:r>
      <w:r w:rsidR="00895C88" w:rsidRPr="001E6DB9">
        <w:rPr>
          <w:szCs w:val="22"/>
        </w:rPr>
        <w:t xml:space="preserve">ų </w:t>
      </w:r>
      <w:r w:rsidR="00306BF8">
        <w:rPr>
          <w:szCs w:val="22"/>
        </w:rPr>
        <w:t>poveiki</w:t>
      </w:r>
      <w:r w:rsidR="00A43B3B">
        <w:rPr>
          <w:szCs w:val="22"/>
        </w:rPr>
        <w:t>ų</w:t>
      </w:r>
      <w:r w:rsidR="00306BF8" w:rsidRPr="001E6DB9">
        <w:rPr>
          <w:szCs w:val="22"/>
        </w:rPr>
        <w:t xml:space="preserve"> </w:t>
      </w:r>
      <w:r w:rsidRPr="001E6DB9">
        <w:rPr>
          <w:szCs w:val="22"/>
        </w:rPr>
        <w:t xml:space="preserve">žiurkių patinų ir patelių reprodukcinei veiklai nesukėlė. Tokia dozė yra 6 kartus didesnė </w:t>
      </w:r>
      <w:r w:rsidRPr="00F50D13">
        <w:rPr>
          <w:szCs w:val="22"/>
        </w:rPr>
        <w:t>už didžiausią rekomenduojamą dozę žmogui, perskaičiuojant mg/m</w:t>
      </w:r>
      <w:r w:rsidRPr="00F50D13">
        <w:rPr>
          <w:szCs w:val="22"/>
          <w:vertAlign w:val="superscript"/>
        </w:rPr>
        <w:t>2</w:t>
      </w:r>
      <w:r w:rsidRPr="00F50D13">
        <w:rPr>
          <w:szCs w:val="22"/>
        </w:rPr>
        <w:t xml:space="preserve"> paviršiaus ploto (skaičiuojant laikyta, kad geriamoji paros dozė yra 320 mg, o pacientas sveria 60 kg).</w:t>
      </w:r>
    </w:p>
    <w:p w14:paraId="431D317E" w14:textId="77777777" w:rsidR="00DE3708" w:rsidRPr="00F50D13" w:rsidRDefault="00DE3708" w:rsidP="00307CD6">
      <w:pPr>
        <w:spacing w:line="240" w:lineRule="auto"/>
        <w:contextualSpacing/>
        <w:rPr>
          <w:szCs w:val="22"/>
        </w:rPr>
      </w:pPr>
    </w:p>
    <w:p w14:paraId="52007DF9" w14:textId="77777777" w:rsidR="00DE3708" w:rsidRPr="00F50D13" w:rsidRDefault="00DE3708" w:rsidP="00307CD6">
      <w:pPr>
        <w:keepNext/>
        <w:keepLines/>
        <w:spacing w:line="240" w:lineRule="auto"/>
        <w:contextualSpacing/>
        <w:rPr>
          <w:b/>
          <w:szCs w:val="22"/>
        </w:rPr>
      </w:pPr>
      <w:r w:rsidRPr="00F50D13">
        <w:rPr>
          <w:b/>
          <w:szCs w:val="22"/>
        </w:rPr>
        <w:t>4.7</w:t>
      </w:r>
      <w:r w:rsidRPr="00F50D13">
        <w:rPr>
          <w:b/>
          <w:szCs w:val="22"/>
        </w:rPr>
        <w:tab/>
        <w:t>Poveikis gebėjimui vairuoti ir valdyti mechanizmus</w:t>
      </w:r>
    </w:p>
    <w:p w14:paraId="77ED9311" w14:textId="77777777" w:rsidR="00DE3708" w:rsidRPr="00F91FD7" w:rsidRDefault="00DE3708" w:rsidP="00307CD6">
      <w:pPr>
        <w:keepNext/>
        <w:keepLines/>
        <w:spacing w:line="240" w:lineRule="auto"/>
        <w:contextualSpacing/>
        <w:rPr>
          <w:szCs w:val="22"/>
        </w:rPr>
      </w:pPr>
    </w:p>
    <w:p w14:paraId="702FFCAB" w14:textId="7FEA4137" w:rsidR="00DE3708" w:rsidRPr="00F91FD7" w:rsidRDefault="00DE3708" w:rsidP="00307CD6">
      <w:pPr>
        <w:keepNext/>
        <w:keepLines/>
        <w:spacing w:line="240" w:lineRule="auto"/>
        <w:contextualSpacing/>
        <w:rPr>
          <w:szCs w:val="22"/>
        </w:rPr>
      </w:pPr>
      <w:r w:rsidRPr="00F91FD7">
        <w:rPr>
          <w:szCs w:val="22"/>
        </w:rPr>
        <w:t>Poveikio gebėjimui vairuoti tyrimų neatlikta. Vairuojant transporto priemones ir valdant mechanizmus reikia atsižvelgti, kad gali pasireikšti svaigulys ar nuovargis.</w:t>
      </w:r>
    </w:p>
    <w:p w14:paraId="7BFD11F2" w14:textId="77777777" w:rsidR="00DE3708" w:rsidRPr="0078402A" w:rsidRDefault="00DE3708" w:rsidP="00307CD6">
      <w:pPr>
        <w:spacing w:line="240" w:lineRule="auto"/>
        <w:contextualSpacing/>
        <w:rPr>
          <w:szCs w:val="22"/>
        </w:rPr>
      </w:pPr>
    </w:p>
    <w:p w14:paraId="36A66B6C" w14:textId="77777777" w:rsidR="00DE3708" w:rsidRPr="00307CD6" w:rsidRDefault="00DE3708" w:rsidP="00307CD6">
      <w:pPr>
        <w:spacing w:line="240" w:lineRule="auto"/>
        <w:contextualSpacing/>
        <w:rPr>
          <w:b/>
          <w:szCs w:val="22"/>
        </w:rPr>
      </w:pPr>
      <w:r w:rsidRPr="00307CD6">
        <w:rPr>
          <w:b/>
          <w:szCs w:val="22"/>
        </w:rPr>
        <w:t>4.8</w:t>
      </w:r>
      <w:r w:rsidRPr="00307CD6">
        <w:rPr>
          <w:b/>
          <w:szCs w:val="22"/>
        </w:rPr>
        <w:tab/>
        <w:t>Nepageidaujamas poveikis</w:t>
      </w:r>
    </w:p>
    <w:p w14:paraId="2973E77A" w14:textId="77777777" w:rsidR="00DE3708" w:rsidRPr="00307CD6" w:rsidRDefault="00DE3708" w:rsidP="00307CD6">
      <w:pPr>
        <w:spacing w:line="240" w:lineRule="auto"/>
        <w:contextualSpacing/>
        <w:rPr>
          <w:b/>
          <w:szCs w:val="22"/>
        </w:rPr>
      </w:pPr>
    </w:p>
    <w:p w14:paraId="5E83F39B" w14:textId="77777777" w:rsidR="00DE3708" w:rsidRPr="001E6DB9" w:rsidRDefault="00DE3708" w:rsidP="00307CD6">
      <w:pPr>
        <w:pStyle w:val="Default"/>
        <w:contextualSpacing/>
        <w:rPr>
          <w:color w:val="auto"/>
          <w:sz w:val="22"/>
          <w:szCs w:val="22"/>
        </w:rPr>
      </w:pPr>
      <w:r w:rsidRPr="001E6DB9">
        <w:rPr>
          <w:color w:val="auto"/>
          <w:sz w:val="22"/>
          <w:szCs w:val="22"/>
        </w:rPr>
        <w:t xml:space="preserve">Hipertenzija sergančių pacientų kontroliuojamųjų klinikinių tyrimų metu bendras nepageidaujamų reakcijų (NR) dažnis, palyginti su placebu, buvo panašus ir atitiko valsartano farmakologines savybes. NR dažnis nepriklausė nuo dozės ar gydymo trukmės, ir taip pat nebuvo akivaizdžių sąsajų su lytimi, amžiumi ar rase. </w:t>
      </w:r>
    </w:p>
    <w:p w14:paraId="07257BAC" w14:textId="77777777" w:rsidR="00DE3708" w:rsidRPr="001E6DB9" w:rsidRDefault="00DE3708" w:rsidP="00307CD6">
      <w:pPr>
        <w:pStyle w:val="Default"/>
        <w:contextualSpacing/>
        <w:rPr>
          <w:color w:val="auto"/>
          <w:sz w:val="22"/>
          <w:szCs w:val="22"/>
        </w:rPr>
      </w:pPr>
    </w:p>
    <w:p w14:paraId="44061A59" w14:textId="77777777" w:rsidR="00DE3708" w:rsidRPr="001E6DB9" w:rsidRDefault="00DE3708" w:rsidP="00307CD6">
      <w:pPr>
        <w:pStyle w:val="Default"/>
        <w:contextualSpacing/>
        <w:rPr>
          <w:color w:val="auto"/>
          <w:sz w:val="22"/>
          <w:szCs w:val="22"/>
        </w:rPr>
      </w:pPr>
      <w:r w:rsidRPr="001E6DB9">
        <w:rPr>
          <w:color w:val="auto"/>
          <w:sz w:val="22"/>
          <w:szCs w:val="22"/>
        </w:rPr>
        <w:t xml:space="preserve">Toliau pateiktos pagal organų sistemų klases išvardytos NR, pastebėtos klinikinių tyrimų metu, po vaistinio preparato patekimo į rinką ir įvertinus laboratorinius tyrimų duomenis. </w:t>
      </w:r>
    </w:p>
    <w:p w14:paraId="392DB042" w14:textId="77777777" w:rsidR="00DE3708" w:rsidRPr="001E6DB9" w:rsidRDefault="00DE3708" w:rsidP="00307CD6">
      <w:pPr>
        <w:pStyle w:val="Default"/>
        <w:contextualSpacing/>
        <w:rPr>
          <w:color w:val="auto"/>
          <w:sz w:val="22"/>
          <w:szCs w:val="22"/>
        </w:rPr>
      </w:pPr>
    </w:p>
    <w:p w14:paraId="2A9539E5" w14:textId="77777777" w:rsidR="00306BF8" w:rsidRPr="000A08ED" w:rsidRDefault="00306BF8" w:rsidP="00307CD6">
      <w:pPr>
        <w:pStyle w:val="Default"/>
        <w:contextualSpacing/>
        <w:rPr>
          <w:b/>
          <w:bCs/>
          <w:color w:val="auto"/>
          <w:sz w:val="22"/>
          <w:szCs w:val="22"/>
        </w:rPr>
      </w:pPr>
      <w:r w:rsidRPr="000A08ED">
        <w:rPr>
          <w:b/>
          <w:bCs/>
          <w:color w:val="auto"/>
          <w:sz w:val="22"/>
          <w:szCs w:val="22"/>
        </w:rPr>
        <w:t xml:space="preserve">Nepageidaujamos reakcijos </w:t>
      </w:r>
    </w:p>
    <w:p w14:paraId="6D239BE1" w14:textId="46C65DE0" w:rsidR="00306BF8" w:rsidRDefault="00DE3708" w:rsidP="00307CD6">
      <w:pPr>
        <w:pStyle w:val="Default"/>
        <w:contextualSpacing/>
        <w:rPr>
          <w:color w:val="auto"/>
          <w:sz w:val="22"/>
          <w:szCs w:val="22"/>
        </w:rPr>
      </w:pPr>
      <w:r w:rsidRPr="001E6DB9">
        <w:rPr>
          <w:color w:val="auto"/>
          <w:sz w:val="22"/>
          <w:szCs w:val="22"/>
        </w:rPr>
        <w:t>Nepageidaujamo poveikio dažnis apibūdinamas taip: labai dažnas (≥</w:t>
      </w:r>
      <w:r w:rsidR="0078402A">
        <w:rPr>
          <w:color w:val="auto"/>
          <w:sz w:val="22"/>
          <w:szCs w:val="22"/>
        </w:rPr>
        <w:t> </w:t>
      </w:r>
      <w:r w:rsidRPr="001E6DB9">
        <w:rPr>
          <w:color w:val="auto"/>
          <w:sz w:val="22"/>
          <w:szCs w:val="22"/>
        </w:rPr>
        <w:t>1/10), dažnas (nuo ≥</w:t>
      </w:r>
      <w:r w:rsidR="0078402A">
        <w:rPr>
          <w:color w:val="auto"/>
          <w:sz w:val="22"/>
          <w:szCs w:val="22"/>
        </w:rPr>
        <w:t> </w:t>
      </w:r>
      <w:r w:rsidRPr="001E6DB9">
        <w:rPr>
          <w:color w:val="auto"/>
          <w:sz w:val="22"/>
          <w:szCs w:val="22"/>
        </w:rPr>
        <w:t>1/100 iki &lt;</w:t>
      </w:r>
      <w:r w:rsidR="0078402A">
        <w:rPr>
          <w:color w:val="auto"/>
          <w:sz w:val="22"/>
          <w:szCs w:val="22"/>
        </w:rPr>
        <w:t> </w:t>
      </w:r>
      <w:r w:rsidRPr="001E6DB9">
        <w:rPr>
          <w:color w:val="auto"/>
          <w:sz w:val="22"/>
          <w:szCs w:val="22"/>
        </w:rPr>
        <w:t>1/10), nedažnas (nuo ≥</w:t>
      </w:r>
      <w:r w:rsidR="0078402A">
        <w:rPr>
          <w:color w:val="auto"/>
          <w:sz w:val="22"/>
          <w:szCs w:val="22"/>
        </w:rPr>
        <w:t> </w:t>
      </w:r>
      <w:r w:rsidRPr="001E6DB9">
        <w:rPr>
          <w:color w:val="auto"/>
          <w:sz w:val="22"/>
          <w:szCs w:val="22"/>
        </w:rPr>
        <w:t>1/1</w:t>
      </w:r>
      <w:r w:rsidR="00323657">
        <w:rPr>
          <w:color w:val="auto"/>
          <w:sz w:val="22"/>
          <w:szCs w:val="22"/>
        </w:rPr>
        <w:t> </w:t>
      </w:r>
      <w:r w:rsidRPr="001E6DB9">
        <w:rPr>
          <w:color w:val="auto"/>
          <w:sz w:val="22"/>
          <w:szCs w:val="22"/>
        </w:rPr>
        <w:t>000 iki &lt;</w:t>
      </w:r>
      <w:r w:rsidR="0078402A">
        <w:rPr>
          <w:color w:val="auto"/>
          <w:sz w:val="22"/>
          <w:szCs w:val="22"/>
        </w:rPr>
        <w:t> </w:t>
      </w:r>
      <w:r w:rsidRPr="001E6DB9">
        <w:rPr>
          <w:color w:val="auto"/>
          <w:sz w:val="22"/>
          <w:szCs w:val="22"/>
        </w:rPr>
        <w:t>1/100), retas (nuo ≥</w:t>
      </w:r>
      <w:r w:rsidR="0078402A">
        <w:rPr>
          <w:color w:val="auto"/>
          <w:sz w:val="22"/>
          <w:szCs w:val="22"/>
        </w:rPr>
        <w:t> </w:t>
      </w:r>
      <w:r w:rsidRPr="001E6DB9">
        <w:rPr>
          <w:color w:val="auto"/>
          <w:sz w:val="22"/>
          <w:szCs w:val="22"/>
        </w:rPr>
        <w:t>1/10</w:t>
      </w:r>
      <w:r w:rsidR="00323657">
        <w:rPr>
          <w:color w:val="auto"/>
          <w:sz w:val="22"/>
          <w:szCs w:val="22"/>
        </w:rPr>
        <w:t> </w:t>
      </w:r>
      <w:r w:rsidRPr="001E6DB9">
        <w:rPr>
          <w:color w:val="auto"/>
          <w:sz w:val="22"/>
          <w:szCs w:val="22"/>
        </w:rPr>
        <w:t>000 iki &lt;</w:t>
      </w:r>
      <w:r w:rsidR="0078402A">
        <w:rPr>
          <w:color w:val="auto"/>
          <w:sz w:val="22"/>
          <w:szCs w:val="22"/>
        </w:rPr>
        <w:t> </w:t>
      </w:r>
      <w:r w:rsidRPr="001E6DB9">
        <w:rPr>
          <w:color w:val="auto"/>
          <w:sz w:val="22"/>
          <w:szCs w:val="22"/>
        </w:rPr>
        <w:t>1/1</w:t>
      </w:r>
      <w:r w:rsidR="00323657">
        <w:rPr>
          <w:color w:val="auto"/>
          <w:sz w:val="22"/>
          <w:szCs w:val="22"/>
        </w:rPr>
        <w:t> </w:t>
      </w:r>
      <w:r w:rsidRPr="001E6DB9">
        <w:rPr>
          <w:color w:val="auto"/>
          <w:sz w:val="22"/>
          <w:szCs w:val="22"/>
        </w:rPr>
        <w:t>000), labai retas (&lt;</w:t>
      </w:r>
      <w:r w:rsidR="0078402A">
        <w:rPr>
          <w:color w:val="auto"/>
          <w:sz w:val="22"/>
          <w:szCs w:val="22"/>
        </w:rPr>
        <w:t> </w:t>
      </w:r>
      <w:r w:rsidRPr="001E6DB9">
        <w:rPr>
          <w:color w:val="auto"/>
          <w:sz w:val="22"/>
          <w:szCs w:val="22"/>
        </w:rPr>
        <w:t>1/10</w:t>
      </w:r>
      <w:r w:rsidR="00323657">
        <w:rPr>
          <w:color w:val="auto"/>
          <w:sz w:val="22"/>
          <w:szCs w:val="22"/>
        </w:rPr>
        <w:t> </w:t>
      </w:r>
      <w:r w:rsidRPr="001E6DB9">
        <w:rPr>
          <w:color w:val="auto"/>
          <w:sz w:val="22"/>
          <w:szCs w:val="22"/>
        </w:rPr>
        <w:t>000) ir nežinomas (negali būti apskaičiuotas pagal turimus duomenis).</w:t>
      </w:r>
    </w:p>
    <w:p w14:paraId="1C0D2933" w14:textId="58D4DB08" w:rsidR="00306BF8" w:rsidRDefault="00306BF8" w:rsidP="00307CD6">
      <w:pPr>
        <w:pStyle w:val="Default"/>
        <w:contextualSpacing/>
        <w:rPr>
          <w:color w:val="auto"/>
          <w:sz w:val="22"/>
          <w:szCs w:val="22"/>
        </w:rPr>
      </w:pPr>
    </w:p>
    <w:p w14:paraId="28CFAB58" w14:textId="0EC0F895" w:rsidR="00DE3708" w:rsidRDefault="00DE3708" w:rsidP="00307CD6">
      <w:pPr>
        <w:pStyle w:val="Default"/>
        <w:contextualSpacing/>
        <w:rPr>
          <w:color w:val="auto"/>
          <w:sz w:val="22"/>
          <w:szCs w:val="22"/>
        </w:rPr>
      </w:pPr>
      <w:r w:rsidRPr="001E6DB9">
        <w:rPr>
          <w:color w:val="auto"/>
          <w:sz w:val="22"/>
          <w:szCs w:val="22"/>
        </w:rPr>
        <w:t>Kiekvienoje dažnio grupėje nepageidaujamos reakcijos pateikiamos mažėjančio sunkumo tvarka.</w:t>
      </w:r>
    </w:p>
    <w:p w14:paraId="70C62177" w14:textId="77777777" w:rsidR="00306BF8" w:rsidRPr="001E6DB9" w:rsidRDefault="00306BF8" w:rsidP="00307CD6">
      <w:pPr>
        <w:pStyle w:val="Default"/>
        <w:contextualSpacing/>
        <w:rPr>
          <w:color w:val="auto"/>
          <w:sz w:val="22"/>
          <w:szCs w:val="22"/>
        </w:rPr>
      </w:pPr>
    </w:p>
    <w:p w14:paraId="41ED20DE" w14:textId="77777777" w:rsidR="00DE3708" w:rsidRPr="001E6DB9" w:rsidRDefault="00DE3708" w:rsidP="00307CD6">
      <w:pPr>
        <w:pStyle w:val="Default"/>
        <w:contextualSpacing/>
        <w:rPr>
          <w:color w:val="auto"/>
          <w:sz w:val="22"/>
          <w:szCs w:val="22"/>
        </w:rPr>
      </w:pPr>
      <w:r w:rsidRPr="001E6DB9">
        <w:rPr>
          <w:color w:val="auto"/>
          <w:sz w:val="22"/>
          <w:szCs w:val="22"/>
        </w:rPr>
        <w:t xml:space="preserve">NR dažnio apibūdinimo neįmanoma pritaikyti visoms po vaistinio preparato patekimo į rinką bei atlikus laboratorinius tyrimus pastebėtoms NR, todėl jos paminėtos kaip reakcijos, kurių dažnis „nežinomas“. </w:t>
      </w:r>
    </w:p>
    <w:p w14:paraId="4112AC94" w14:textId="77777777" w:rsidR="00DE3708" w:rsidRPr="001E6DB9" w:rsidRDefault="00DE3708" w:rsidP="00307CD6">
      <w:pPr>
        <w:pStyle w:val="Default"/>
        <w:contextualSpacing/>
        <w:rPr>
          <w:color w:val="auto"/>
          <w:sz w:val="22"/>
          <w:szCs w:val="22"/>
        </w:rPr>
      </w:pPr>
    </w:p>
    <w:p w14:paraId="047391FF" w14:textId="77777777" w:rsidR="00DE3708" w:rsidRPr="001E6DB9" w:rsidRDefault="007F15BA" w:rsidP="00307CD6">
      <w:pPr>
        <w:pStyle w:val="Default"/>
        <w:keepNext/>
        <w:contextualSpacing/>
        <w:rPr>
          <w:color w:val="auto"/>
          <w:sz w:val="22"/>
          <w:szCs w:val="22"/>
          <w:u w:val="single"/>
        </w:rPr>
      </w:pPr>
      <w:r>
        <w:rPr>
          <w:color w:val="auto"/>
          <w:sz w:val="22"/>
          <w:szCs w:val="22"/>
          <w:u w:val="single"/>
        </w:rPr>
        <w:lastRenderedPageBreak/>
        <w:t>H</w:t>
      </w:r>
      <w:r w:rsidR="00DE3708" w:rsidRPr="001E6DB9">
        <w:rPr>
          <w:color w:val="auto"/>
          <w:sz w:val="22"/>
          <w:szCs w:val="22"/>
          <w:u w:val="single"/>
        </w:rPr>
        <w:t xml:space="preserve">ipertenzija </w:t>
      </w:r>
    </w:p>
    <w:p w14:paraId="60B48A26" w14:textId="77777777" w:rsidR="00DE3708" w:rsidRPr="001E6DB9" w:rsidRDefault="00DE3708" w:rsidP="00307CD6">
      <w:pPr>
        <w:pStyle w:val="Default"/>
        <w:keepNext/>
        <w:contextualSpacing/>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748"/>
      </w:tblGrid>
      <w:tr w:rsidR="00DE3708" w:rsidRPr="001E6DB9" w14:paraId="613D0C8F" w14:textId="77777777" w:rsidTr="00DE3708">
        <w:tc>
          <w:tcPr>
            <w:tcW w:w="9286" w:type="dxa"/>
            <w:gridSpan w:val="2"/>
          </w:tcPr>
          <w:p w14:paraId="0924BB96" w14:textId="77777777" w:rsidR="00DE3708" w:rsidRPr="001E6DB9" w:rsidRDefault="00DE3708" w:rsidP="00307CD6">
            <w:pPr>
              <w:pStyle w:val="Default"/>
              <w:contextualSpacing/>
              <w:rPr>
                <w:color w:val="auto"/>
                <w:sz w:val="22"/>
                <w:szCs w:val="22"/>
                <w:lang w:val="es-ES"/>
              </w:rPr>
            </w:pPr>
            <w:r w:rsidRPr="001E6DB9">
              <w:rPr>
                <w:b/>
                <w:color w:val="auto"/>
                <w:sz w:val="22"/>
                <w:szCs w:val="22"/>
              </w:rPr>
              <w:t>Kraujo ir limfinės sistemos sutrikimai</w:t>
            </w:r>
          </w:p>
        </w:tc>
      </w:tr>
      <w:tr w:rsidR="00DE3708" w:rsidRPr="001E6DB9" w14:paraId="291FF031" w14:textId="77777777" w:rsidTr="00DE3708">
        <w:tc>
          <w:tcPr>
            <w:tcW w:w="4428" w:type="dxa"/>
          </w:tcPr>
          <w:p w14:paraId="7E17A416"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6BFECD89" w14:textId="77777777" w:rsidR="00DE3708" w:rsidRPr="001E6DB9" w:rsidRDefault="00DE3708" w:rsidP="00307CD6">
            <w:pPr>
              <w:pStyle w:val="Default"/>
              <w:contextualSpacing/>
              <w:rPr>
                <w:color w:val="auto"/>
                <w:sz w:val="22"/>
                <w:szCs w:val="22"/>
              </w:rPr>
            </w:pPr>
            <w:r w:rsidRPr="001E6DB9">
              <w:rPr>
                <w:color w:val="auto"/>
                <w:sz w:val="22"/>
                <w:szCs w:val="22"/>
              </w:rPr>
              <w:t>Hemoglobino sumažėjimas, hematokrito sumažėjimas, neutropenija, trombocitopenija</w:t>
            </w:r>
          </w:p>
        </w:tc>
      </w:tr>
      <w:tr w:rsidR="00DE3708" w:rsidRPr="001E6DB9" w14:paraId="59DA5DBD" w14:textId="77777777" w:rsidTr="00DE3708">
        <w:tc>
          <w:tcPr>
            <w:tcW w:w="9286" w:type="dxa"/>
            <w:gridSpan w:val="2"/>
          </w:tcPr>
          <w:p w14:paraId="494E3F2C" w14:textId="77777777" w:rsidR="00DE3708" w:rsidRPr="001E6DB9" w:rsidRDefault="00DE3708" w:rsidP="00307CD6">
            <w:pPr>
              <w:pStyle w:val="Default"/>
              <w:contextualSpacing/>
              <w:rPr>
                <w:color w:val="auto"/>
                <w:sz w:val="22"/>
                <w:szCs w:val="22"/>
              </w:rPr>
            </w:pPr>
            <w:r w:rsidRPr="001E6DB9">
              <w:rPr>
                <w:b/>
                <w:color w:val="auto"/>
                <w:sz w:val="22"/>
                <w:szCs w:val="22"/>
              </w:rPr>
              <w:t>Imuninės sistemos sutrikimai</w:t>
            </w:r>
          </w:p>
        </w:tc>
      </w:tr>
      <w:tr w:rsidR="00DE3708" w:rsidRPr="001E6DB9" w14:paraId="001803DB" w14:textId="77777777" w:rsidTr="00DE3708">
        <w:tc>
          <w:tcPr>
            <w:tcW w:w="4428" w:type="dxa"/>
          </w:tcPr>
          <w:p w14:paraId="294B04F0"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3E092688" w14:textId="77777777" w:rsidR="00DE3708" w:rsidRPr="001E6DB9" w:rsidRDefault="00DE3708" w:rsidP="00307CD6">
            <w:pPr>
              <w:pStyle w:val="Default"/>
              <w:contextualSpacing/>
              <w:rPr>
                <w:color w:val="auto"/>
                <w:sz w:val="22"/>
                <w:szCs w:val="22"/>
              </w:rPr>
            </w:pPr>
            <w:r w:rsidRPr="001E6DB9">
              <w:rPr>
                <w:color w:val="auto"/>
                <w:sz w:val="22"/>
                <w:szCs w:val="22"/>
              </w:rPr>
              <w:t>Padidėjusio jautrumo reakcijos, įskaitant seruminę ligą</w:t>
            </w:r>
          </w:p>
        </w:tc>
      </w:tr>
      <w:tr w:rsidR="00DE3708" w:rsidRPr="001E6DB9" w14:paraId="44BA8A36" w14:textId="77777777" w:rsidTr="00DE3708">
        <w:tc>
          <w:tcPr>
            <w:tcW w:w="9286" w:type="dxa"/>
            <w:gridSpan w:val="2"/>
          </w:tcPr>
          <w:p w14:paraId="345890DF" w14:textId="77777777" w:rsidR="00DE3708" w:rsidRPr="001E6DB9" w:rsidRDefault="00DE3708" w:rsidP="00307CD6">
            <w:pPr>
              <w:pStyle w:val="Default"/>
              <w:contextualSpacing/>
              <w:rPr>
                <w:color w:val="auto"/>
                <w:sz w:val="22"/>
                <w:szCs w:val="22"/>
              </w:rPr>
            </w:pPr>
            <w:r w:rsidRPr="001E6DB9">
              <w:rPr>
                <w:b/>
                <w:color w:val="auto"/>
                <w:sz w:val="22"/>
                <w:szCs w:val="22"/>
              </w:rPr>
              <w:t>Metabolizmo ir mitybos sutrikimai</w:t>
            </w:r>
          </w:p>
        </w:tc>
      </w:tr>
      <w:tr w:rsidR="00DE3708" w:rsidRPr="001E6DB9" w14:paraId="6B853F2A" w14:textId="77777777" w:rsidTr="00DE3708">
        <w:tc>
          <w:tcPr>
            <w:tcW w:w="4428" w:type="dxa"/>
          </w:tcPr>
          <w:p w14:paraId="435520DE"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33DACA07" w14:textId="77777777" w:rsidR="00DE3708" w:rsidRPr="001E6DB9" w:rsidRDefault="00DE3708" w:rsidP="00307CD6">
            <w:pPr>
              <w:pStyle w:val="Default"/>
              <w:contextualSpacing/>
              <w:rPr>
                <w:color w:val="auto"/>
                <w:sz w:val="22"/>
                <w:szCs w:val="22"/>
              </w:rPr>
            </w:pPr>
            <w:r w:rsidRPr="001E6DB9">
              <w:rPr>
                <w:color w:val="auto"/>
                <w:sz w:val="22"/>
                <w:szCs w:val="22"/>
              </w:rPr>
              <w:t xml:space="preserve">Kalio kiekio padidėjimas kraujo serume, hiponatremija </w:t>
            </w:r>
          </w:p>
        </w:tc>
      </w:tr>
      <w:tr w:rsidR="00DE3708" w:rsidRPr="001E6DB9" w14:paraId="1733DB58" w14:textId="77777777" w:rsidTr="00DE3708">
        <w:tc>
          <w:tcPr>
            <w:tcW w:w="9286" w:type="dxa"/>
            <w:gridSpan w:val="2"/>
          </w:tcPr>
          <w:p w14:paraId="71D5192E" w14:textId="77777777" w:rsidR="00DE3708" w:rsidRPr="001E6DB9" w:rsidRDefault="00DE3708" w:rsidP="00307CD6">
            <w:pPr>
              <w:pStyle w:val="Default"/>
              <w:contextualSpacing/>
              <w:rPr>
                <w:color w:val="auto"/>
                <w:sz w:val="22"/>
                <w:szCs w:val="22"/>
              </w:rPr>
            </w:pPr>
            <w:r w:rsidRPr="001E6DB9">
              <w:rPr>
                <w:b/>
                <w:color w:val="auto"/>
                <w:sz w:val="22"/>
                <w:szCs w:val="22"/>
              </w:rPr>
              <w:t>Ausų ir labirintų sutrikimai</w:t>
            </w:r>
          </w:p>
        </w:tc>
      </w:tr>
      <w:tr w:rsidR="00DE3708" w:rsidRPr="001E6DB9" w14:paraId="05F48456" w14:textId="77777777" w:rsidTr="00DE3708">
        <w:tc>
          <w:tcPr>
            <w:tcW w:w="4428" w:type="dxa"/>
          </w:tcPr>
          <w:p w14:paraId="3B728C85" w14:textId="77777777" w:rsidR="00DE3708" w:rsidRPr="001E6DB9" w:rsidRDefault="00DE3708" w:rsidP="00307CD6">
            <w:pPr>
              <w:pStyle w:val="Default"/>
              <w:contextualSpacing/>
              <w:rPr>
                <w:color w:val="auto"/>
                <w:sz w:val="22"/>
                <w:szCs w:val="22"/>
              </w:rPr>
            </w:pPr>
            <w:r w:rsidRPr="001E6DB9">
              <w:rPr>
                <w:color w:val="auto"/>
                <w:sz w:val="22"/>
                <w:szCs w:val="22"/>
              </w:rPr>
              <w:t>Nedažni</w:t>
            </w:r>
          </w:p>
        </w:tc>
        <w:tc>
          <w:tcPr>
            <w:tcW w:w="4858" w:type="dxa"/>
          </w:tcPr>
          <w:p w14:paraId="3485A415" w14:textId="77777777" w:rsidR="00DE3708" w:rsidRPr="001E6DB9" w:rsidRDefault="00DE3708" w:rsidP="00307CD6">
            <w:pPr>
              <w:pStyle w:val="Default"/>
              <w:contextualSpacing/>
              <w:rPr>
                <w:color w:val="auto"/>
                <w:sz w:val="22"/>
                <w:szCs w:val="22"/>
              </w:rPr>
            </w:pPr>
            <w:r w:rsidRPr="001E6DB9">
              <w:rPr>
                <w:color w:val="auto"/>
                <w:sz w:val="22"/>
                <w:szCs w:val="22"/>
              </w:rPr>
              <w:t>Galvos svaigimas (</w:t>
            </w:r>
            <w:r w:rsidRPr="001E6DB9">
              <w:rPr>
                <w:i/>
                <w:color w:val="auto"/>
                <w:sz w:val="22"/>
                <w:szCs w:val="22"/>
              </w:rPr>
              <w:t>vertigo</w:t>
            </w:r>
            <w:r w:rsidRPr="001E6DB9">
              <w:rPr>
                <w:color w:val="auto"/>
                <w:sz w:val="22"/>
                <w:szCs w:val="22"/>
              </w:rPr>
              <w:t>)</w:t>
            </w:r>
            <w:r w:rsidRPr="001E6DB9">
              <w:rPr>
                <w:i/>
                <w:color w:val="auto"/>
                <w:sz w:val="22"/>
                <w:szCs w:val="22"/>
              </w:rPr>
              <w:t xml:space="preserve"> </w:t>
            </w:r>
          </w:p>
        </w:tc>
      </w:tr>
      <w:tr w:rsidR="00DE3708" w:rsidRPr="001E6DB9" w14:paraId="6EB4602D" w14:textId="77777777" w:rsidTr="00DE3708">
        <w:tc>
          <w:tcPr>
            <w:tcW w:w="9286" w:type="dxa"/>
            <w:gridSpan w:val="2"/>
          </w:tcPr>
          <w:p w14:paraId="10858E65" w14:textId="77777777" w:rsidR="00DE3708" w:rsidRPr="001E6DB9" w:rsidRDefault="00DE3708" w:rsidP="00307CD6">
            <w:pPr>
              <w:pStyle w:val="Default"/>
              <w:contextualSpacing/>
              <w:rPr>
                <w:color w:val="auto"/>
                <w:sz w:val="22"/>
                <w:szCs w:val="22"/>
              </w:rPr>
            </w:pPr>
            <w:r w:rsidRPr="001E6DB9">
              <w:rPr>
                <w:b/>
                <w:color w:val="auto"/>
                <w:sz w:val="22"/>
                <w:szCs w:val="22"/>
              </w:rPr>
              <w:t>Kraujagyslių sutrikimai</w:t>
            </w:r>
          </w:p>
        </w:tc>
      </w:tr>
      <w:tr w:rsidR="00DE3708" w:rsidRPr="001E6DB9" w14:paraId="0FF98FBE" w14:textId="77777777" w:rsidTr="00DE3708">
        <w:tc>
          <w:tcPr>
            <w:tcW w:w="4428" w:type="dxa"/>
          </w:tcPr>
          <w:p w14:paraId="18DA93FD"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146C0B48" w14:textId="77777777" w:rsidR="00DE3708" w:rsidRPr="001E6DB9" w:rsidRDefault="00DE3708" w:rsidP="00307CD6">
            <w:pPr>
              <w:pStyle w:val="Default"/>
              <w:contextualSpacing/>
              <w:rPr>
                <w:color w:val="auto"/>
                <w:sz w:val="22"/>
                <w:szCs w:val="22"/>
              </w:rPr>
            </w:pPr>
            <w:r w:rsidRPr="001E6DB9">
              <w:rPr>
                <w:color w:val="auto"/>
                <w:sz w:val="22"/>
                <w:szCs w:val="22"/>
              </w:rPr>
              <w:t>Kraujagyslių uždegimas</w:t>
            </w:r>
          </w:p>
        </w:tc>
      </w:tr>
      <w:tr w:rsidR="00DE3708" w:rsidRPr="001E6DB9" w14:paraId="10BC7C31" w14:textId="77777777" w:rsidTr="00DE3708">
        <w:tc>
          <w:tcPr>
            <w:tcW w:w="9286" w:type="dxa"/>
            <w:gridSpan w:val="2"/>
          </w:tcPr>
          <w:p w14:paraId="740C238B" w14:textId="77777777" w:rsidR="00DE3708" w:rsidRPr="001E6DB9" w:rsidRDefault="00DE3708" w:rsidP="00307CD6">
            <w:pPr>
              <w:pStyle w:val="Default"/>
              <w:contextualSpacing/>
              <w:rPr>
                <w:color w:val="auto"/>
                <w:sz w:val="22"/>
                <w:szCs w:val="22"/>
              </w:rPr>
            </w:pPr>
            <w:r w:rsidRPr="001E6DB9">
              <w:rPr>
                <w:b/>
                <w:color w:val="auto"/>
                <w:sz w:val="22"/>
                <w:szCs w:val="22"/>
              </w:rPr>
              <w:t>Kvėpavimo sistemos, krūtinės ląstos ir tarpuplaučio sutrikimai</w:t>
            </w:r>
          </w:p>
        </w:tc>
      </w:tr>
      <w:tr w:rsidR="00DE3708" w:rsidRPr="001E6DB9" w14:paraId="54D3F41F" w14:textId="77777777" w:rsidTr="00DE3708">
        <w:tc>
          <w:tcPr>
            <w:tcW w:w="4428" w:type="dxa"/>
          </w:tcPr>
          <w:p w14:paraId="29F51E79" w14:textId="77777777" w:rsidR="00DE3708" w:rsidRPr="001E6DB9" w:rsidRDefault="00DE3708" w:rsidP="00307CD6">
            <w:pPr>
              <w:pStyle w:val="Default"/>
              <w:contextualSpacing/>
              <w:rPr>
                <w:color w:val="auto"/>
                <w:sz w:val="22"/>
                <w:szCs w:val="22"/>
              </w:rPr>
            </w:pPr>
            <w:r w:rsidRPr="001E6DB9">
              <w:rPr>
                <w:color w:val="auto"/>
                <w:sz w:val="22"/>
                <w:szCs w:val="22"/>
              </w:rPr>
              <w:t>Nedažni</w:t>
            </w:r>
          </w:p>
        </w:tc>
        <w:tc>
          <w:tcPr>
            <w:tcW w:w="4858" w:type="dxa"/>
          </w:tcPr>
          <w:p w14:paraId="3B9EC40D" w14:textId="77777777" w:rsidR="00DE3708" w:rsidRPr="001E6DB9" w:rsidRDefault="00DE3708" w:rsidP="00307CD6">
            <w:pPr>
              <w:pStyle w:val="Default"/>
              <w:contextualSpacing/>
              <w:rPr>
                <w:color w:val="auto"/>
                <w:sz w:val="22"/>
                <w:szCs w:val="22"/>
              </w:rPr>
            </w:pPr>
            <w:r w:rsidRPr="001E6DB9">
              <w:rPr>
                <w:color w:val="auto"/>
                <w:sz w:val="22"/>
                <w:szCs w:val="22"/>
              </w:rPr>
              <w:t>Kosulys</w:t>
            </w:r>
          </w:p>
        </w:tc>
      </w:tr>
      <w:tr w:rsidR="00DE3708" w:rsidRPr="001E6DB9" w14:paraId="2E7AA416" w14:textId="77777777" w:rsidTr="00DE3708">
        <w:tc>
          <w:tcPr>
            <w:tcW w:w="9286" w:type="dxa"/>
            <w:gridSpan w:val="2"/>
          </w:tcPr>
          <w:p w14:paraId="62493B73" w14:textId="77777777" w:rsidR="00DE3708" w:rsidRPr="001E6DB9" w:rsidRDefault="00DE3708" w:rsidP="00307CD6">
            <w:pPr>
              <w:pStyle w:val="Default"/>
              <w:contextualSpacing/>
              <w:rPr>
                <w:color w:val="auto"/>
                <w:sz w:val="22"/>
                <w:szCs w:val="22"/>
              </w:rPr>
            </w:pPr>
            <w:r w:rsidRPr="001E6DB9">
              <w:rPr>
                <w:b/>
                <w:color w:val="auto"/>
                <w:sz w:val="22"/>
                <w:szCs w:val="22"/>
              </w:rPr>
              <w:t>Virškinimo trakto sutrikimai</w:t>
            </w:r>
          </w:p>
        </w:tc>
      </w:tr>
      <w:tr w:rsidR="00DE3708" w:rsidRPr="001E6DB9" w14:paraId="159AD7DA" w14:textId="77777777" w:rsidTr="00DE3708">
        <w:tc>
          <w:tcPr>
            <w:tcW w:w="4428" w:type="dxa"/>
          </w:tcPr>
          <w:p w14:paraId="31F5BCC1" w14:textId="77777777" w:rsidR="00DE3708" w:rsidRPr="001E6DB9" w:rsidRDefault="00DE3708" w:rsidP="00307CD6">
            <w:pPr>
              <w:pStyle w:val="Default"/>
              <w:contextualSpacing/>
              <w:rPr>
                <w:color w:val="auto"/>
                <w:sz w:val="22"/>
                <w:szCs w:val="22"/>
              </w:rPr>
            </w:pPr>
            <w:r w:rsidRPr="001E6DB9">
              <w:rPr>
                <w:color w:val="auto"/>
                <w:sz w:val="22"/>
                <w:szCs w:val="22"/>
              </w:rPr>
              <w:t>Nedažni</w:t>
            </w:r>
          </w:p>
        </w:tc>
        <w:tc>
          <w:tcPr>
            <w:tcW w:w="4858" w:type="dxa"/>
          </w:tcPr>
          <w:p w14:paraId="3B570D02" w14:textId="77777777" w:rsidR="00DE3708" w:rsidRPr="001E6DB9" w:rsidRDefault="00DE3708" w:rsidP="00307CD6">
            <w:pPr>
              <w:pStyle w:val="Default"/>
              <w:contextualSpacing/>
              <w:rPr>
                <w:color w:val="auto"/>
                <w:sz w:val="22"/>
                <w:szCs w:val="22"/>
              </w:rPr>
            </w:pPr>
            <w:r w:rsidRPr="001E6DB9">
              <w:rPr>
                <w:color w:val="auto"/>
                <w:sz w:val="22"/>
                <w:szCs w:val="22"/>
              </w:rPr>
              <w:t>Pilvo skausmas</w:t>
            </w:r>
          </w:p>
        </w:tc>
      </w:tr>
      <w:tr w:rsidR="00375329" w:rsidRPr="001E6DB9" w14:paraId="065B09D2" w14:textId="77777777" w:rsidTr="00DE3708">
        <w:tc>
          <w:tcPr>
            <w:tcW w:w="4428" w:type="dxa"/>
          </w:tcPr>
          <w:p w14:paraId="23AABFA2" w14:textId="1B8B17D5" w:rsidR="00375329" w:rsidRPr="001E6DB9" w:rsidRDefault="00375329" w:rsidP="00307CD6">
            <w:pPr>
              <w:pStyle w:val="Default"/>
              <w:contextualSpacing/>
              <w:rPr>
                <w:color w:val="auto"/>
                <w:sz w:val="22"/>
                <w:szCs w:val="22"/>
              </w:rPr>
            </w:pPr>
            <w:r>
              <w:rPr>
                <w:color w:val="auto"/>
                <w:sz w:val="22"/>
                <w:szCs w:val="22"/>
              </w:rPr>
              <w:t>Labai reti</w:t>
            </w:r>
          </w:p>
        </w:tc>
        <w:tc>
          <w:tcPr>
            <w:tcW w:w="4858" w:type="dxa"/>
          </w:tcPr>
          <w:p w14:paraId="68866199" w14:textId="2B4F2944" w:rsidR="00375329" w:rsidRPr="001E6DB9" w:rsidRDefault="00375329" w:rsidP="00307CD6">
            <w:pPr>
              <w:pStyle w:val="Default"/>
              <w:contextualSpacing/>
              <w:rPr>
                <w:color w:val="auto"/>
                <w:sz w:val="22"/>
                <w:szCs w:val="22"/>
              </w:rPr>
            </w:pPr>
            <w:proofErr w:type="spellStart"/>
            <w:r w:rsidRPr="00375329">
              <w:rPr>
                <w:color w:val="auto"/>
                <w:sz w:val="22"/>
                <w:szCs w:val="22"/>
                <w:lang w:val="en-US"/>
              </w:rPr>
              <w:t>Žarnyno</w:t>
            </w:r>
            <w:proofErr w:type="spellEnd"/>
            <w:r w:rsidRPr="00375329">
              <w:rPr>
                <w:color w:val="auto"/>
                <w:sz w:val="22"/>
                <w:szCs w:val="22"/>
                <w:lang w:val="en-US"/>
              </w:rPr>
              <w:t xml:space="preserve"> </w:t>
            </w:r>
            <w:proofErr w:type="spellStart"/>
            <w:r w:rsidRPr="00375329">
              <w:rPr>
                <w:color w:val="auto"/>
                <w:sz w:val="22"/>
                <w:szCs w:val="22"/>
                <w:lang w:val="en-US"/>
              </w:rPr>
              <w:t>angioneurozinė</w:t>
            </w:r>
            <w:proofErr w:type="spellEnd"/>
            <w:r w:rsidRPr="00375329">
              <w:rPr>
                <w:color w:val="auto"/>
                <w:sz w:val="22"/>
                <w:szCs w:val="22"/>
                <w:lang w:val="en-US"/>
              </w:rPr>
              <w:t xml:space="preserve"> ede</w:t>
            </w:r>
            <w:r>
              <w:rPr>
                <w:color w:val="auto"/>
                <w:sz w:val="22"/>
                <w:szCs w:val="22"/>
                <w:lang w:val="en-US"/>
              </w:rPr>
              <w:t>ma</w:t>
            </w:r>
          </w:p>
        </w:tc>
      </w:tr>
      <w:tr w:rsidR="00DE3708" w:rsidRPr="001E6DB9" w14:paraId="675687FB" w14:textId="77777777" w:rsidTr="00DE3708">
        <w:tc>
          <w:tcPr>
            <w:tcW w:w="9286" w:type="dxa"/>
            <w:gridSpan w:val="2"/>
          </w:tcPr>
          <w:p w14:paraId="70577CAA" w14:textId="77777777" w:rsidR="00DE3708" w:rsidRPr="001E6DB9" w:rsidRDefault="00DE3708" w:rsidP="00307CD6">
            <w:pPr>
              <w:pStyle w:val="Default"/>
              <w:contextualSpacing/>
              <w:rPr>
                <w:color w:val="auto"/>
                <w:sz w:val="22"/>
                <w:szCs w:val="22"/>
              </w:rPr>
            </w:pPr>
            <w:r w:rsidRPr="001E6DB9">
              <w:rPr>
                <w:b/>
                <w:color w:val="auto"/>
                <w:sz w:val="22"/>
                <w:szCs w:val="22"/>
              </w:rPr>
              <w:t>Kepenų, tulžies pūslės ir latakų sutrikimai</w:t>
            </w:r>
          </w:p>
        </w:tc>
      </w:tr>
      <w:tr w:rsidR="00DE3708" w:rsidRPr="001E6DB9" w14:paraId="1AE152D0" w14:textId="77777777" w:rsidTr="00DE3708">
        <w:tc>
          <w:tcPr>
            <w:tcW w:w="4428" w:type="dxa"/>
          </w:tcPr>
          <w:p w14:paraId="7DAB9CB2" w14:textId="77777777" w:rsidR="00DE3708" w:rsidRPr="001E6DB9" w:rsidRDefault="00DE3708" w:rsidP="00307CD6">
            <w:pPr>
              <w:pStyle w:val="Default"/>
              <w:contextualSpacing/>
              <w:rPr>
                <w:color w:val="auto"/>
                <w:sz w:val="22"/>
                <w:szCs w:val="22"/>
              </w:rPr>
            </w:pPr>
            <w:r w:rsidRPr="001E6DB9">
              <w:rPr>
                <w:color w:val="auto"/>
                <w:sz w:val="22"/>
                <w:szCs w:val="22"/>
              </w:rPr>
              <w:t>Nežinoma</w:t>
            </w:r>
          </w:p>
        </w:tc>
        <w:tc>
          <w:tcPr>
            <w:tcW w:w="4858" w:type="dxa"/>
          </w:tcPr>
          <w:p w14:paraId="3BA743D0" w14:textId="77777777" w:rsidR="00DE3708" w:rsidRPr="001E6DB9" w:rsidRDefault="00DE3708" w:rsidP="00307CD6">
            <w:pPr>
              <w:pStyle w:val="Default"/>
              <w:contextualSpacing/>
              <w:rPr>
                <w:color w:val="auto"/>
                <w:sz w:val="22"/>
                <w:szCs w:val="22"/>
              </w:rPr>
            </w:pPr>
            <w:r w:rsidRPr="001E6DB9">
              <w:rPr>
                <w:color w:val="auto"/>
                <w:sz w:val="22"/>
                <w:szCs w:val="22"/>
              </w:rPr>
              <w:t>Kepenų funkcijos rodiklių padidėjimas, įskaitant bilirubino kiekio kraujo serume padidėjimą</w:t>
            </w:r>
          </w:p>
        </w:tc>
      </w:tr>
      <w:tr w:rsidR="00DE3708" w:rsidRPr="001E6DB9" w14:paraId="22A232BE" w14:textId="77777777" w:rsidTr="00DE3708">
        <w:tc>
          <w:tcPr>
            <w:tcW w:w="9286" w:type="dxa"/>
            <w:gridSpan w:val="2"/>
          </w:tcPr>
          <w:p w14:paraId="5132BDA5" w14:textId="77777777" w:rsidR="00DE3708" w:rsidRPr="001E6DB9" w:rsidRDefault="00DE3708" w:rsidP="00307CD6">
            <w:pPr>
              <w:pStyle w:val="Default"/>
              <w:contextualSpacing/>
              <w:rPr>
                <w:color w:val="auto"/>
                <w:sz w:val="22"/>
                <w:szCs w:val="22"/>
              </w:rPr>
            </w:pPr>
            <w:r w:rsidRPr="001E6DB9">
              <w:rPr>
                <w:b/>
                <w:color w:val="auto"/>
                <w:sz w:val="22"/>
                <w:szCs w:val="22"/>
              </w:rPr>
              <w:t>Odos ir poodinio audinio sutrikimai</w:t>
            </w:r>
          </w:p>
        </w:tc>
      </w:tr>
      <w:tr w:rsidR="00DE3708" w:rsidRPr="001E6DB9" w14:paraId="01BAB057" w14:textId="77777777" w:rsidTr="00DE3708">
        <w:tc>
          <w:tcPr>
            <w:tcW w:w="4428" w:type="dxa"/>
          </w:tcPr>
          <w:p w14:paraId="438167A8"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5672808E" w14:textId="77777777" w:rsidR="00DE3708" w:rsidRPr="001E6DB9" w:rsidRDefault="00DE3708" w:rsidP="00307CD6">
            <w:pPr>
              <w:pStyle w:val="Default"/>
              <w:contextualSpacing/>
              <w:rPr>
                <w:color w:val="auto"/>
                <w:sz w:val="22"/>
                <w:szCs w:val="22"/>
              </w:rPr>
            </w:pPr>
            <w:proofErr w:type="spellStart"/>
            <w:r w:rsidRPr="001E6DB9">
              <w:rPr>
                <w:color w:val="auto"/>
                <w:sz w:val="22"/>
                <w:szCs w:val="22"/>
              </w:rPr>
              <w:t>Angioedema</w:t>
            </w:r>
            <w:proofErr w:type="spellEnd"/>
            <w:r w:rsidRPr="001E6DB9">
              <w:rPr>
                <w:color w:val="auto"/>
                <w:sz w:val="22"/>
                <w:szCs w:val="22"/>
              </w:rPr>
              <w:t xml:space="preserve">, išbėrimas, niežulys, </w:t>
            </w:r>
            <w:proofErr w:type="spellStart"/>
            <w:r w:rsidRPr="001E6DB9">
              <w:rPr>
                <w:color w:val="auto"/>
                <w:sz w:val="22"/>
                <w:szCs w:val="22"/>
              </w:rPr>
              <w:t>buliozinis</w:t>
            </w:r>
            <w:proofErr w:type="spellEnd"/>
            <w:r w:rsidRPr="001E6DB9">
              <w:rPr>
                <w:color w:val="auto"/>
                <w:sz w:val="22"/>
                <w:szCs w:val="22"/>
              </w:rPr>
              <w:t xml:space="preserve"> (pūslinis) dermatitas</w:t>
            </w:r>
          </w:p>
        </w:tc>
      </w:tr>
      <w:tr w:rsidR="00DE3708" w:rsidRPr="001E6DB9" w14:paraId="449A14B3" w14:textId="77777777" w:rsidTr="00DE3708">
        <w:tc>
          <w:tcPr>
            <w:tcW w:w="9286" w:type="dxa"/>
            <w:gridSpan w:val="2"/>
          </w:tcPr>
          <w:p w14:paraId="720BAA88" w14:textId="77777777" w:rsidR="00DE3708" w:rsidRPr="001E6DB9" w:rsidRDefault="00DE3708" w:rsidP="00307CD6">
            <w:pPr>
              <w:pStyle w:val="Default"/>
              <w:contextualSpacing/>
              <w:rPr>
                <w:color w:val="auto"/>
                <w:sz w:val="22"/>
                <w:szCs w:val="22"/>
              </w:rPr>
            </w:pPr>
            <w:r w:rsidRPr="001E6DB9">
              <w:rPr>
                <w:b/>
                <w:color w:val="auto"/>
                <w:sz w:val="22"/>
                <w:szCs w:val="22"/>
              </w:rPr>
              <w:t>Skeleto, raumenų ir jungiamojo audinio sutrikimai</w:t>
            </w:r>
          </w:p>
        </w:tc>
      </w:tr>
      <w:tr w:rsidR="00DE3708" w:rsidRPr="001E6DB9" w14:paraId="5EFADB9F" w14:textId="77777777" w:rsidTr="00DE3708">
        <w:tc>
          <w:tcPr>
            <w:tcW w:w="4428" w:type="dxa"/>
          </w:tcPr>
          <w:p w14:paraId="6618FA28" w14:textId="77777777" w:rsidR="00DE3708" w:rsidRPr="001E6DB9" w:rsidRDefault="00DE3708" w:rsidP="00307CD6">
            <w:pPr>
              <w:pStyle w:val="Default"/>
              <w:contextualSpacing/>
              <w:rPr>
                <w:b/>
                <w:color w:val="auto"/>
                <w:sz w:val="22"/>
                <w:szCs w:val="22"/>
              </w:rPr>
            </w:pPr>
            <w:r w:rsidRPr="001E6DB9">
              <w:rPr>
                <w:color w:val="auto"/>
                <w:sz w:val="22"/>
                <w:szCs w:val="22"/>
              </w:rPr>
              <w:t>Nežinomas</w:t>
            </w:r>
          </w:p>
        </w:tc>
        <w:tc>
          <w:tcPr>
            <w:tcW w:w="4858" w:type="dxa"/>
          </w:tcPr>
          <w:p w14:paraId="6741B648" w14:textId="77777777" w:rsidR="00DE3708" w:rsidRPr="001E6DB9" w:rsidRDefault="00DE3708" w:rsidP="00307CD6">
            <w:pPr>
              <w:pStyle w:val="Default"/>
              <w:contextualSpacing/>
              <w:rPr>
                <w:color w:val="auto"/>
                <w:sz w:val="22"/>
                <w:szCs w:val="22"/>
              </w:rPr>
            </w:pPr>
            <w:r w:rsidRPr="001E6DB9">
              <w:rPr>
                <w:color w:val="auto"/>
                <w:sz w:val="22"/>
                <w:szCs w:val="22"/>
              </w:rPr>
              <w:t>Raumenų skausmas</w:t>
            </w:r>
          </w:p>
        </w:tc>
      </w:tr>
      <w:tr w:rsidR="00DE3708" w:rsidRPr="001E6DB9" w14:paraId="144297B3" w14:textId="77777777" w:rsidTr="00DE3708">
        <w:tc>
          <w:tcPr>
            <w:tcW w:w="9286" w:type="dxa"/>
            <w:gridSpan w:val="2"/>
          </w:tcPr>
          <w:p w14:paraId="58C83914" w14:textId="77777777" w:rsidR="00DE3708" w:rsidRPr="001E6DB9" w:rsidRDefault="00DE3708" w:rsidP="00307CD6">
            <w:pPr>
              <w:pStyle w:val="Default"/>
              <w:contextualSpacing/>
              <w:rPr>
                <w:color w:val="auto"/>
                <w:sz w:val="22"/>
                <w:szCs w:val="22"/>
              </w:rPr>
            </w:pPr>
            <w:r w:rsidRPr="001E6DB9">
              <w:rPr>
                <w:b/>
                <w:color w:val="auto"/>
                <w:sz w:val="22"/>
                <w:szCs w:val="22"/>
              </w:rPr>
              <w:t>Inkstų ir šlapimo takų sutrikimai</w:t>
            </w:r>
          </w:p>
        </w:tc>
      </w:tr>
      <w:tr w:rsidR="00DE3708" w:rsidRPr="001E6DB9" w14:paraId="44E83415" w14:textId="77777777" w:rsidTr="00DE3708">
        <w:tc>
          <w:tcPr>
            <w:tcW w:w="4428" w:type="dxa"/>
          </w:tcPr>
          <w:p w14:paraId="59C262ED" w14:textId="77777777" w:rsidR="00DE3708" w:rsidRPr="001E6DB9" w:rsidRDefault="00DE3708" w:rsidP="00307CD6">
            <w:pPr>
              <w:pStyle w:val="Default"/>
              <w:contextualSpacing/>
              <w:rPr>
                <w:b/>
                <w:color w:val="auto"/>
                <w:sz w:val="22"/>
                <w:szCs w:val="22"/>
              </w:rPr>
            </w:pPr>
            <w:r w:rsidRPr="001E6DB9">
              <w:rPr>
                <w:color w:val="auto"/>
                <w:sz w:val="22"/>
                <w:szCs w:val="22"/>
              </w:rPr>
              <w:t>Nežinomas</w:t>
            </w:r>
          </w:p>
        </w:tc>
        <w:tc>
          <w:tcPr>
            <w:tcW w:w="4858" w:type="dxa"/>
          </w:tcPr>
          <w:p w14:paraId="115A0115" w14:textId="77777777" w:rsidR="00DE3708" w:rsidRPr="001E6DB9" w:rsidRDefault="00DE3708" w:rsidP="00307CD6">
            <w:pPr>
              <w:pStyle w:val="Default"/>
              <w:contextualSpacing/>
              <w:rPr>
                <w:color w:val="auto"/>
                <w:sz w:val="22"/>
                <w:szCs w:val="22"/>
              </w:rPr>
            </w:pPr>
            <w:r w:rsidRPr="001E6DB9">
              <w:rPr>
                <w:color w:val="auto"/>
                <w:sz w:val="22"/>
                <w:szCs w:val="22"/>
              </w:rPr>
              <w:t>Inkstų nepakankamumas ir funkcijos sutrikimas, kreatinino kiekio kraujo serume padidėjimas</w:t>
            </w:r>
          </w:p>
        </w:tc>
      </w:tr>
      <w:tr w:rsidR="00DE3708" w:rsidRPr="001E6DB9" w14:paraId="23D0CC07" w14:textId="77777777" w:rsidTr="00DE3708">
        <w:tc>
          <w:tcPr>
            <w:tcW w:w="9286" w:type="dxa"/>
            <w:gridSpan w:val="2"/>
          </w:tcPr>
          <w:p w14:paraId="1B22DEFA" w14:textId="77777777" w:rsidR="00DE3708" w:rsidRPr="001E6DB9" w:rsidRDefault="00DE3708" w:rsidP="00307CD6">
            <w:pPr>
              <w:pStyle w:val="Default"/>
              <w:contextualSpacing/>
              <w:rPr>
                <w:color w:val="auto"/>
                <w:sz w:val="22"/>
                <w:szCs w:val="22"/>
              </w:rPr>
            </w:pPr>
            <w:r w:rsidRPr="001E6DB9">
              <w:rPr>
                <w:b/>
                <w:color w:val="auto"/>
                <w:sz w:val="22"/>
                <w:szCs w:val="22"/>
              </w:rPr>
              <w:t>Bendrieji sutrikimai ir vartojimo vietos pažeidimai</w:t>
            </w:r>
          </w:p>
        </w:tc>
      </w:tr>
      <w:tr w:rsidR="00DE3708" w:rsidRPr="001E6DB9" w14:paraId="2EA2D187" w14:textId="77777777" w:rsidTr="00DE3708">
        <w:tc>
          <w:tcPr>
            <w:tcW w:w="4428" w:type="dxa"/>
          </w:tcPr>
          <w:p w14:paraId="1C2FECA8" w14:textId="77777777" w:rsidR="00DE3708" w:rsidRPr="001E6DB9" w:rsidRDefault="00DE3708" w:rsidP="00307CD6">
            <w:pPr>
              <w:pStyle w:val="Default"/>
              <w:contextualSpacing/>
              <w:rPr>
                <w:b/>
                <w:color w:val="auto"/>
                <w:sz w:val="22"/>
                <w:szCs w:val="22"/>
              </w:rPr>
            </w:pPr>
            <w:r w:rsidRPr="001E6DB9">
              <w:rPr>
                <w:color w:val="auto"/>
                <w:sz w:val="22"/>
                <w:szCs w:val="22"/>
              </w:rPr>
              <w:t>Nedažni</w:t>
            </w:r>
          </w:p>
        </w:tc>
        <w:tc>
          <w:tcPr>
            <w:tcW w:w="4858" w:type="dxa"/>
          </w:tcPr>
          <w:p w14:paraId="7596A0C6" w14:textId="77777777" w:rsidR="00DE3708" w:rsidRPr="001E6DB9" w:rsidRDefault="00DE3708" w:rsidP="00307CD6">
            <w:pPr>
              <w:pStyle w:val="Default"/>
              <w:contextualSpacing/>
              <w:rPr>
                <w:color w:val="auto"/>
                <w:sz w:val="22"/>
                <w:szCs w:val="22"/>
              </w:rPr>
            </w:pPr>
            <w:r w:rsidRPr="001E6DB9">
              <w:rPr>
                <w:color w:val="auto"/>
                <w:sz w:val="22"/>
                <w:szCs w:val="22"/>
              </w:rPr>
              <w:t>Nuovargis</w:t>
            </w:r>
          </w:p>
        </w:tc>
      </w:tr>
    </w:tbl>
    <w:p w14:paraId="374CFCCA" w14:textId="77777777" w:rsidR="00DE3708" w:rsidRPr="001E6DB9" w:rsidRDefault="00DE3708" w:rsidP="00307CD6">
      <w:pPr>
        <w:pStyle w:val="Default"/>
        <w:contextualSpacing/>
        <w:rPr>
          <w:color w:val="auto"/>
          <w:sz w:val="22"/>
          <w:szCs w:val="22"/>
        </w:rPr>
      </w:pPr>
    </w:p>
    <w:p w14:paraId="1F8A9592" w14:textId="77777777" w:rsidR="00DE3708" w:rsidRPr="00F50D13" w:rsidRDefault="00DE3708" w:rsidP="00307CD6">
      <w:pPr>
        <w:spacing w:line="240" w:lineRule="auto"/>
        <w:contextualSpacing/>
        <w:rPr>
          <w:i/>
          <w:szCs w:val="22"/>
          <w:u w:val="single"/>
        </w:rPr>
      </w:pPr>
      <w:r w:rsidRPr="00F50D13">
        <w:rPr>
          <w:i/>
          <w:szCs w:val="22"/>
          <w:u w:val="single"/>
        </w:rPr>
        <w:t>Vaikų populiacija</w:t>
      </w:r>
    </w:p>
    <w:p w14:paraId="2298C0C2" w14:textId="77777777" w:rsidR="00DE3708" w:rsidRPr="00F50D13" w:rsidRDefault="00DE3708" w:rsidP="00307CD6">
      <w:pPr>
        <w:spacing w:line="240" w:lineRule="auto"/>
        <w:contextualSpacing/>
        <w:rPr>
          <w:i/>
          <w:szCs w:val="22"/>
          <w:u w:val="single"/>
        </w:rPr>
      </w:pPr>
    </w:p>
    <w:p w14:paraId="5927873A" w14:textId="77777777" w:rsidR="00DE3708" w:rsidRPr="001E6DB9" w:rsidRDefault="00DE3708" w:rsidP="00307CD6">
      <w:pPr>
        <w:spacing w:line="240" w:lineRule="auto"/>
        <w:contextualSpacing/>
        <w:rPr>
          <w:szCs w:val="22"/>
          <w:u w:val="single"/>
        </w:rPr>
      </w:pPr>
      <w:r w:rsidRPr="001E6DB9">
        <w:rPr>
          <w:szCs w:val="22"/>
          <w:u w:val="single"/>
        </w:rPr>
        <w:t>Hipertenzija</w:t>
      </w:r>
    </w:p>
    <w:p w14:paraId="5C7B911D" w14:textId="77777777" w:rsidR="00DE3708" w:rsidRPr="001E6DB9" w:rsidRDefault="00DE3708" w:rsidP="00307CD6">
      <w:pPr>
        <w:spacing w:line="240" w:lineRule="auto"/>
        <w:contextualSpacing/>
        <w:rPr>
          <w:szCs w:val="22"/>
        </w:rPr>
      </w:pPr>
    </w:p>
    <w:p w14:paraId="0B7AE599" w14:textId="77777777" w:rsidR="00DE3708" w:rsidRPr="001E6DB9" w:rsidRDefault="00DE3708" w:rsidP="00307CD6">
      <w:pPr>
        <w:spacing w:line="240" w:lineRule="auto"/>
        <w:contextualSpacing/>
        <w:rPr>
          <w:szCs w:val="22"/>
        </w:rPr>
      </w:pPr>
      <w:r w:rsidRPr="001E6DB9">
        <w:rPr>
          <w:szCs w:val="22"/>
        </w:rPr>
        <w:t>Antihipertenzinis valsartano poveikis tirtas dviejų atsitiktinių imčių dvigubai koduotų klinikinių tyrimų</w:t>
      </w:r>
      <w:r w:rsidR="00895C88" w:rsidRPr="001E6DB9">
        <w:rPr>
          <w:szCs w:val="22"/>
        </w:rPr>
        <w:t xml:space="preserve"> (po kiekvieno sekė</w:t>
      </w:r>
      <w:r w:rsidR="00895C88" w:rsidRPr="00F50D13">
        <w:rPr>
          <w:szCs w:val="22"/>
        </w:rPr>
        <w:t xml:space="preserve"> pratęsimo periodas ar tyrimas) ir vieno</w:t>
      </w:r>
      <w:r w:rsidR="00895C88" w:rsidRPr="00F91FD7">
        <w:rPr>
          <w:szCs w:val="22"/>
        </w:rPr>
        <w:t xml:space="preserve"> atvirojo tyrimo metu</w:t>
      </w:r>
      <w:r w:rsidR="00894A9B" w:rsidRPr="00F91FD7">
        <w:rPr>
          <w:szCs w:val="22"/>
        </w:rPr>
        <w:t>. Šiuose tyrimuose</w:t>
      </w:r>
      <w:r w:rsidRPr="001E6DB9">
        <w:rPr>
          <w:szCs w:val="22"/>
        </w:rPr>
        <w:t xml:space="preserve"> dalyvavo </w:t>
      </w:r>
      <w:r w:rsidR="00894A9B" w:rsidRPr="001E6DB9">
        <w:rPr>
          <w:szCs w:val="22"/>
        </w:rPr>
        <w:t xml:space="preserve">711 vaikų </w:t>
      </w:r>
      <w:r w:rsidRPr="001E6DB9">
        <w:rPr>
          <w:szCs w:val="22"/>
        </w:rPr>
        <w:t>ir paaugl</w:t>
      </w:r>
      <w:r w:rsidR="00894A9B" w:rsidRPr="001E6DB9">
        <w:rPr>
          <w:szCs w:val="22"/>
        </w:rPr>
        <w:t>ių</w:t>
      </w:r>
      <w:r w:rsidRPr="001E6DB9">
        <w:rPr>
          <w:szCs w:val="22"/>
        </w:rPr>
        <w:t xml:space="preserve"> (</w:t>
      </w:r>
      <w:r w:rsidR="00894A9B" w:rsidRPr="001E6DB9">
        <w:rPr>
          <w:szCs w:val="22"/>
        </w:rPr>
        <w:t xml:space="preserve">nuo </w:t>
      </w:r>
      <w:r w:rsidRPr="001E6DB9">
        <w:rPr>
          <w:szCs w:val="22"/>
        </w:rPr>
        <w:t>6</w:t>
      </w:r>
      <w:r w:rsidR="00894A9B" w:rsidRPr="001E6DB9">
        <w:rPr>
          <w:szCs w:val="22"/>
        </w:rPr>
        <w:t xml:space="preserve"> iki mažiau kaip </w:t>
      </w:r>
      <w:r w:rsidRPr="001E6DB9">
        <w:rPr>
          <w:szCs w:val="22"/>
        </w:rPr>
        <w:t>18 metų)</w:t>
      </w:r>
      <w:r w:rsidR="00894A9B" w:rsidRPr="001E6DB9">
        <w:rPr>
          <w:szCs w:val="22"/>
        </w:rPr>
        <w:t>, sergančių arba nesergančių lėtine inkstų liga (LIL)</w:t>
      </w:r>
      <w:r w:rsidRPr="001E6DB9">
        <w:rPr>
          <w:szCs w:val="22"/>
        </w:rPr>
        <w:t>,</w:t>
      </w:r>
      <w:r w:rsidR="00894A9B" w:rsidRPr="001E6DB9">
        <w:rPr>
          <w:szCs w:val="22"/>
        </w:rPr>
        <w:t xml:space="preserve"> iš kurių 560 pacientų vartojo </w:t>
      </w:r>
      <w:proofErr w:type="spellStart"/>
      <w:r w:rsidR="00894A9B" w:rsidRPr="0067679C">
        <w:rPr>
          <w:szCs w:val="22"/>
        </w:rPr>
        <w:t>valsartan</w:t>
      </w:r>
      <w:r w:rsidR="009F455C" w:rsidRPr="0067679C">
        <w:rPr>
          <w:szCs w:val="22"/>
        </w:rPr>
        <w:t>ą</w:t>
      </w:r>
      <w:proofErr w:type="spellEnd"/>
      <w:r w:rsidRPr="0067679C">
        <w:rPr>
          <w:szCs w:val="22"/>
        </w:rPr>
        <w:t>. Vertinant saugumo savybes, reikšmingų nepageidaujamų reakcijų pobūdžio, dažnumo ir sunkumo</w:t>
      </w:r>
      <w:r w:rsidRPr="001E6DB9">
        <w:rPr>
          <w:szCs w:val="22"/>
        </w:rPr>
        <w:t xml:space="preserve"> skirtumo vaikams ir paaugliam</w:t>
      </w:r>
      <w:r w:rsidR="00894A9B" w:rsidRPr="001E6DB9">
        <w:rPr>
          <w:szCs w:val="22"/>
        </w:rPr>
        <w:t>s (nuo 6 iki mažiau kaip 18 metų)</w:t>
      </w:r>
      <w:r w:rsidRPr="001E6DB9">
        <w:rPr>
          <w:szCs w:val="22"/>
        </w:rPr>
        <w:t>, palyginti su anksčiau gautais suaugusiųjų žmonių duomenimis, nepastebėta (išskyrus pavienius virškinimo trakto sutrikimų, pavyzdžiui, pilvo skausmo, pykinimo, vėmimo, bei svaigulio atvejus).</w:t>
      </w:r>
    </w:p>
    <w:p w14:paraId="143CD62D" w14:textId="77777777" w:rsidR="00306BF8" w:rsidRDefault="00306BF8" w:rsidP="00307CD6">
      <w:pPr>
        <w:spacing w:line="240" w:lineRule="auto"/>
        <w:contextualSpacing/>
        <w:rPr>
          <w:szCs w:val="22"/>
        </w:rPr>
      </w:pPr>
    </w:p>
    <w:p w14:paraId="04C6CCD1" w14:textId="726B48E3" w:rsidR="00DE3708" w:rsidRDefault="00306BF8" w:rsidP="00307CD6">
      <w:pPr>
        <w:spacing w:line="240" w:lineRule="auto"/>
        <w:contextualSpacing/>
        <w:rPr>
          <w:szCs w:val="22"/>
        </w:rPr>
      </w:pPr>
      <w:r w:rsidRPr="00306BF8">
        <w:rPr>
          <w:szCs w:val="22"/>
        </w:rPr>
        <w:t xml:space="preserve">Nustatyta, kad ne ilgesnis kaip vienų metų gydymas </w:t>
      </w:r>
      <w:proofErr w:type="spellStart"/>
      <w:r>
        <w:rPr>
          <w:szCs w:val="22"/>
        </w:rPr>
        <w:t>valsartanu</w:t>
      </w:r>
      <w:proofErr w:type="spellEnd"/>
      <w:r>
        <w:rPr>
          <w:szCs w:val="22"/>
        </w:rPr>
        <w:t xml:space="preserve"> </w:t>
      </w:r>
      <w:r w:rsidRPr="00306BF8">
        <w:rPr>
          <w:szCs w:val="22"/>
        </w:rPr>
        <w:t>kliniškai reikšmingo nepageidaujamo poveikio 6</w:t>
      </w:r>
      <w:r>
        <w:rPr>
          <w:szCs w:val="22"/>
        </w:rPr>
        <w:noBreakHyphen/>
      </w:r>
      <w:r w:rsidRPr="00306BF8">
        <w:rPr>
          <w:szCs w:val="22"/>
        </w:rPr>
        <w:t>16</w:t>
      </w:r>
      <w:r>
        <w:rPr>
          <w:szCs w:val="22"/>
        </w:rPr>
        <w:t> </w:t>
      </w:r>
      <w:r w:rsidRPr="00306BF8">
        <w:rPr>
          <w:szCs w:val="22"/>
        </w:rPr>
        <w:t xml:space="preserve">metų vaikų </w:t>
      </w:r>
      <w:proofErr w:type="spellStart"/>
      <w:r w:rsidRPr="00306BF8">
        <w:rPr>
          <w:szCs w:val="22"/>
        </w:rPr>
        <w:t>neurokognityvinei</w:t>
      </w:r>
      <w:proofErr w:type="spellEnd"/>
      <w:r w:rsidRPr="00306BF8">
        <w:rPr>
          <w:szCs w:val="22"/>
        </w:rPr>
        <w:t xml:space="preserve"> funkcijai ir vystymuisi nedaro.</w:t>
      </w:r>
    </w:p>
    <w:p w14:paraId="2A7F27DC" w14:textId="77777777" w:rsidR="00306BF8" w:rsidRPr="001E6DB9" w:rsidRDefault="00306BF8" w:rsidP="00307CD6">
      <w:pPr>
        <w:spacing w:line="240" w:lineRule="auto"/>
        <w:contextualSpacing/>
        <w:rPr>
          <w:szCs w:val="22"/>
        </w:rPr>
      </w:pPr>
    </w:p>
    <w:p w14:paraId="59AC242C" w14:textId="77777777" w:rsidR="00894A9B" w:rsidRPr="001E6DB9" w:rsidRDefault="00790C32" w:rsidP="00307CD6">
      <w:pPr>
        <w:spacing w:line="240" w:lineRule="auto"/>
        <w:contextualSpacing/>
        <w:rPr>
          <w:szCs w:val="22"/>
        </w:rPr>
      </w:pPr>
      <w:r w:rsidRPr="001E6DB9">
        <w:rPr>
          <w:szCs w:val="22"/>
        </w:rPr>
        <w:t>Buvo atlikta</w:t>
      </w:r>
      <w:r w:rsidR="00894A9B" w:rsidRPr="001E6DB9">
        <w:rPr>
          <w:szCs w:val="22"/>
        </w:rPr>
        <w:t xml:space="preserve"> </w:t>
      </w:r>
      <w:r w:rsidRPr="001E6DB9">
        <w:rPr>
          <w:szCs w:val="22"/>
        </w:rPr>
        <w:t xml:space="preserve">hipertenzija sergančių </w:t>
      </w:r>
      <w:r w:rsidR="00894A9B" w:rsidRPr="001E6DB9">
        <w:rPr>
          <w:szCs w:val="22"/>
        </w:rPr>
        <w:t>560 vaikų ir paauglių (6</w:t>
      </w:r>
      <w:r w:rsidR="0083265C">
        <w:rPr>
          <w:szCs w:val="22"/>
        </w:rPr>
        <w:noBreakHyphen/>
      </w:r>
      <w:r w:rsidR="00894A9B" w:rsidRPr="001E6DB9">
        <w:rPr>
          <w:szCs w:val="22"/>
        </w:rPr>
        <w:t>17 metų</w:t>
      </w:r>
      <w:r w:rsidRPr="001E6DB9">
        <w:rPr>
          <w:szCs w:val="22"/>
        </w:rPr>
        <w:t xml:space="preserve"> amžiaus</w:t>
      </w:r>
      <w:r w:rsidR="00894A9B" w:rsidRPr="001E6DB9">
        <w:rPr>
          <w:szCs w:val="22"/>
        </w:rPr>
        <w:t>)</w:t>
      </w:r>
      <w:r w:rsidRPr="001E6DB9">
        <w:rPr>
          <w:szCs w:val="22"/>
        </w:rPr>
        <w:t xml:space="preserve">, kuriems buvo taikomas gydymas vien </w:t>
      </w:r>
      <w:proofErr w:type="spellStart"/>
      <w:r w:rsidRPr="001E6DB9">
        <w:rPr>
          <w:szCs w:val="22"/>
        </w:rPr>
        <w:t>valsartanu</w:t>
      </w:r>
      <w:proofErr w:type="spellEnd"/>
      <w:r w:rsidRPr="001E6DB9">
        <w:rPr>
          <w:szCs w:val="22"/>
        </w:rPr>
        <w:t xml:space="preserve"> (n=483) arba </w:t>
      </w:r>
      <w:proofErr w:type="spellStart"/>
      <w:r w:rsidRPr="001E6DB9">
        <w:rPr>
          <w:szCs w:val="22"/>
        </w:rPr>
        <w:t>antihipertenzinis</w:t>
      </w:r>
      <w:proofErr w:type="spellEnd"/>
      <w:r w:rsidRPr="001E6DB9">
        <w:rPr>
          <w:szCs w:val="22"/>
        </w:rPr>
        <w:t xml:space="preserve"> gydymas vaistinių preparatų deriniu, įskaitant </w:t>
      </w:r>
      <w:proofErr w:type="spellStart"/>
      <w:r w:rsidRPr="001E6DB9">
        <w:rPr>
          <w:szCs w:val="22"/>
        </w:rPr>
        <w:t>valsartaną</w:t>
      </w:r>
      <w:proofErr w:type="spellEnd"/>
      <w:r w:rsidRPr="001E6DB9">
        <w:rPr>
          <w:szCs w:val="22"/>
        </w:rPr>
        <w:t xml:space="preserve"> (n=77) sukauptų duomenų analizė. </w:t>
      </w:r>
      <w:r w:rsidR="00A46624" w:rsidRPr="001E6DB9">
        <w:rPr>
          <w:szCs w:val="22"/>
        </w:rPr>
        <w:t xml:space="preserve">Iš 560 pacientų </w:t>
      </w:r>
      <w:r w:rsidRPr="001E6DB9">
        <w:rPr>
          <w:szCs w:val="22"/>
        </w:rPr>
        <w:t>85 (15</w:t>
      </w:r>
      <w:r w:rsidR="009F455C" w:rsidRPr="001E6DB9">
        <w:rPr>
          <w:szCs w:val="22"/>
        </w:rPr>
        <w:t>,2</w:t>
      </w:r>
      <w:r w:rsidRPr="001E6DB9">
        <w:rPr>
          <w:szCs w:val="22"/>
        </w:rPr>
        <w:t xml:space="preserve"> %) </w:t>
      </w:r>
      <w:r w:rsidR="00A46624" w:rsidRPr="001E6DB9">
        <w:rPr>
          <w:szCs w:val="22"/>
        </w:rPr>
        <w:t>buvo LIL (pradinis GFG &lt;</w:t>
      </w:r>
      <w:r w:rsidR="0083265C" w:rsidRPr="001E6DB9">
        <w:rPr>
          <w:szCs w:val="22"/>
        </w:rPr>
        <w:t> </w:t>
      </w:r>
      <w:r w:rsidR="00A46624" w:rsidRPr="001E6DB9">
        <w:rPr>
          <w:szCs w:val="22"/>
        </w:rPr>
        <w:t>90</w:t>
      </w:r>
      <w:r w:rsidR="0083265C" w:rsidRPr="001E6DB9">
        <w:rPr>
          <w:szCs w:val="22"/>
        </w:rPr>
        <w:t> </w:t>
      </w:r>
      <w:r w:rsidR="00A46624" w:rsidRPr="001E6DB9">
        <w:rPr>
          <w:szCs w:val="22"/>
        </w:rPr>
        <w:t>ml/min/1,73 m</w:t>
      </w:r>
      <w:r w:rsidR="00A46624" w:rsidRPr="001E6DB9">
        <w:rPr>
          <w:szCs w:val="22"/>
          <w:vertAlign w:val="superscript"/>
        </w:rPr>
        <w:t>2</w:t>
      </w:r>
      <w:r w:rsidR="00A46624" w:rsidRPr="001E6DB9">
        <w:rPr>
          <w:szCs w:val="22"/>
        </w:rPr>
        <w:t>). Apskritai, 45 (8</w:t>
      </w:r>
      <w:r w:rsidR="009F455C" w:rsidRPr="001E6DB9">
        <w:rPr>
          <w:szCs w:val="22"/>
        </w:rPr>
        <w:t>,0</w:t>
      </w:r>
      <w:r w:rsidR="00A46624" w:rsidRPr="001E6DB9">
        <w:rPr>
          <w:szCs w:val="22"/>
        </w:rPr>
        <w:t> %) pacientų gydymą dėl nepageidaujamų reiškinių. Iš</w:t>
      </w:r>
      <w:r w:rsidR="00F91FD7" w:rsidRPr="001E6DB9">
        <w:rPr>
          <w:szCs w:val="22"/>
        </w:rPr>
        <w:t xml:space="preserve"> </w:t>
      </w:r>
      <w:r w:rsidR="00A46624" w:rsidRPr="001E6DB9">
        <w:rPr>
          <w:szCs w:val="22"/>
        </w:rPr>
        <w:t>viso 111 (19,8 %) pacientų pasireiškė nepageidaujama reakcija į vaist</w:t>
      </w:r>
      <w:r w:rsidR="00F91FD7" w:rsidRPr="001E6DB9">
        <w:rPr>
          <w:szCs w:val="22"/>
        </w:rPr>
        <w:t>inį preparat</w:t>
      </w:r>
      <w:r w:rsidR="00A46624" w:rsidRPr="001E6DB9">
        <w:rPr>
          <w:szCs w:val="22"/>
        </w:rPr>
        <w:t>ą (NRV), iš kurių dažniausios buvo</w:t>
      </w:r>
      <w:r w:rsidR="009F455C" w:rsidRPr="001E6DB9">
        <w:rPr>
          <w:szCs w:val="22"/>
        </w:rPr>
        <w:t xml:space="preserve"> galvos skausmas (5,4 %)</w:t>
      </w:r>
      <w:r w:rsidR="00A46624" w:rsidRPr="001E6DB9">
        <w:rPr>
          <w:szCs w:val="22"/>
        </w:rPr>
        <w:t xml:space="preserve"> </w:t>
      </w:r>
      <w:r w:rsidR="006057F9" w:rsidRPr="001E6DB9">
        <w:rPr>
          <w:szCs w:val="22"/>
        </w:rPr>
        <w:t>galvos sukimasis (2,3 %)</w:t>
      </w:r>
      <w:r w:rsidR="003E1FAE" w:rsidRPr="001E6DB9">
        <w:rPr>
          <w:szCs w:val="22"/>
        </w:rPr>
        <w:t>,</w:t>
      </w:r>
      <w:r w:rsidR="006057F9" w:rsidRPr="001E6DB9">
        <w:rPr>
          <w:szCs w:val="22"/>
        </w:rPr>
        <w:t xml:space="preserve"> , ir hiperkalemija (2,3 %). LIL </w:t>
      </w:r>
      <w:r w:rsidR="006057F9" w:rsidRPr="001E6DB9">
        <w:rPr>
          <w:szCs w:val="22"/>
        </w:rPr>
        <w:lastRenderedPageBreak/>
        <w:t>sergantiems pacientams dažniausios NRV buvo hiperkalemija (12,</w:t>
      </w:r>
      <w:r w:rsidR="009F455C" w:rsidRPr="001E6DB9">
        <w:rPr>
          <w:szCs w:val="22"/>
        </w:rPr>
        <w:t>9</w:t>
      </w:r>
      <w:r w:rsidR="006057F9" w:rsidRPr="001E6DB9">
        <w:rPr>
          <w:szCs w:val="22"/>
        </w:rPr>
        <w:t> %), galvos skausmas (</w:t>
      </w:r>
      <w:r w:rsidR="00FB60E5" w:rsidRPr="001E6DB9">
        <w:rPr>
          <w:szCs w:val="22"/>
        </w:rPr>
        <w:t>7,1</w:t>
      </w:r>
      <w:r w:rsidR="006057F9" w:rsidRPr="001E6DB9">
        <w:rPr>
          <w:szCs w:val="22"/>
        </w:rPr>
        <w:t> %), padidėjęs kreatinino kiekis kraujyje (5,9 %) ir hipotenzija (4,7 %). LIL nesergantiems pacientams</w:t>
      </w:r>
      <w:r w:rsidR="003E1FAE" w:rsidRPr="001E6DB9">
        <w:rPr>
          <w:szCs w:val="22"/>
        </w:rPr>
        <w:t xml:space="preserve"> dažniausios NRV buvo galvos skausmas (5,1 %) ir galvos sukimasis (2,7 %). Nepageidaujamų</w:t>
      </w:r>
      <w:r w:rsidR="003E1FAE" w:rsidRPr="00F50D13">
        <w:rPr>
          <w:szCs w:val="22"/>
        </w:rPr>
        <w:t xml:space="preserve"> rea</w:t>
      </w:r>
      <w:r w:rsidR="003E1FAE" w:rsidRPr="00F91FD7">
        <w:rPr>
          <w:szCs w:val="22"/>
        </w:rPr>
        <w:t>kcijų dažniau pastebėta pacientams, kurie valsartano vartojo derinyje su kitais vaistiniais preparatais, negu vartojusiems vien valsartano.</w:t>
      </w:r>
      <w:r w:rsidR="006057F9" w:rsidRPr="00F91FD7">
        <w:rPr>
          <w:szCs w:val="22"/>
        </w:rPr>
        <w:t xml:space="preserve"> </w:t>
      </w:r>
    </w:p>
    <w:p w14:paraId="3BF4994E" w14:textId="77777777" w:rsidR="00894A9B" w:rsidRPr="001E6DB9" w:rsidRDefault="00894A9B" w:rsidP="00307CD6">
      <w:pPr>
        <w:spacing w:line="240" w:lineRule="auto"/>
        <w:contextualSpacing/>
        <w:rPr>
          <w:szCs w:val="22"/>
        </w:rPr>
      </w:pPr>
    </w:p>
    <w:p w14:paraId="14EB2572" w14:textId="061E6F59" w:rsidR="00DE3708" w:rsidRPr="0078402A" w:rsidRDefault="00306BF8" w:rsidP="00307CD6">
      <w:pPr>
        <w:autoSpaceDE w:val="0"/>
        <w:autoSpaceDN w:val="0"/>
        <w:adjustRightInd w:val="0"/>
        <w:spacing w:line="240" w:lineRule="auto"/>
        <w:contextualSpacing/>
        <w:rPr>
          <w:szCs w:val="22"/>
        </w:rPr>
      </w:pPr>
      <w:r w:rsidRPr="00306BF8">
        <w:rPr>
          <w:szCs w:val="22"/>
        </w:rPr>
        <w:t>Valsartano antihipertenzinis poveikis vaikams nuo 1 iki mažiau kaip 6</w:t>
      </w:r>
      <w:r w:rsidR="00671107">
        <w:rPr>
          <w:szCs w:val="22"/>
        </w:rPr>
        <w:t> </w:t>
      </w:r>
      <w:r w:rsidRPr="00306BF8">
        <w:rPr>
          <w:szCs w:val="22"/>
        </w:rPr>
        <w:t xml:space="preserve">metų buvo įvertintas atlikus tris atsitiktinių imčių, dvigubai koduotus klinikinius tyrimus (kurių kiekvienas turėjo tęstinį laikotarpį). </w:t>
      </w:r>
      <w:r>
        <w:rPr>
          <w:szCs w:val="22"/>
        </w:rPr>
        <w:t xml:space="preserve">Pirmajame tyrime </w:t>
      </w:r>
      <w:r w:rsidR="00DE3708" w:rsidRPr="00F91FD7">
        <w:rPr>
          <w:szCs w:val="22"/>
        </w:rPr>
        <w:t xml:space="preserve">dalyvavo 90 vaikų </w:t>
      </w:r>
      <w:r>
        <w:rPr>
          <w:szCs w:val="22"/>
        </w:rPr>
        <w:t xml:space="preserve">nuo </w:t>
      </w:r>
      <w:r w:rsidR="00DE3708" w:rsidRPr="00F91FD7">
        <w:rPr>
          <w:szCs w:val="22"/>
        </w:rPr>
        <w:t>1</w:t>
      </w:r>
      <w:r>
        <w:rPr>
          <w:szCs w:val="22"/>
        </w:rPr>
        <w:t xml:space="preserve"> iki mažiau kaip </w:t>
      </w:r>
      <w:r w:rsidR="00DE3708" w:rsidRPr="00F91FD7">
        <w:rPr>
          <w:szCs w:val="22"/>
        </w:rPr>
        <w:t>6 metų amžiaus</w:t>
      </w:r>
      <w:r>
        <w:rPr>
          <w:szCs w:val="22"/>
        </w:rPr>
        <w:t>;</w:t>
      </w:r>
      <w:r w:rsidR="00DE3708" w:rsidRPr="00F91FD7">
        <w:rPr>
          <w:szCs w:val="22"/>
        </w:rPr>
        <w:t xml:space="preserve"> jo metu buvo du mirties atvejai bei pavienių reikšmingo kepenų transaminazių aktyvumo padidėjimo atvejų. Toks poveikis pasireiškė pacientams, kurie sirgo ir kitomis reikšmingomis ligomis. Priežastinis ryšys su valsartano vartojimu nenustatytas. </w:t>
      </w:r>
      <w:r>
        <w:rPr>
          <w:szCs w:val="22"/>
        </w:rPr>
        <w:t xml:space="preserve">Kituose dviejuose klinikiniuose tyrimuose </w:t>
      </w:r>
      <w:r w:rsidR="00DE3708" w:rsidRPr="00F91FD7">
        <w:rPr>
          <w:szCs w:val="22"/>
        </w:rPr>
        <w:t xml:space="preserve">dalyvavo </w:t>
      </w:r>
      <w:r w:rsidR="00F14EA0">
        <w:rPr>
          <w:szCs w:val="22"/>
        </w:rPr>
        <w:t>202</w:t>
      </w:r>
      <w:r w:rsidR="00DE3708" w:rsidRPr="00F91FD7">
        <w:rPr>
          <w:szCs w:val="22"/>
        </w:rPr>
        <w:t xml:space="preserve"> vaikai </w:t>
      </w:r>
      <w:r w:rsidR="00F14EA0">
        <w:rPr>
          <w:szCs w:val="22"/>
        </w:rPr>
        <w:t xml:space="preserve">nuo </w:t>
      </w:r>
      <w:r w:rsidR="00DE3708" w:rsidRPr="00F91FD7">
        <w:rPr>
          <w:szCs w:val="22"/>
        </w:rPr>
        <w:t>1</w:t>
      </w:r>
      <w:r w:rsidR="00F14EA0">
        <w:rPr>
          <w:szCs w:val="22"/>
        </w:rPr>
        <w:t xml:space="preserve"> iki mažiau kaip </w:t>
      </w:r>
      <w:r w:rsidR="00DE3708" w:rsidRPr="00F91FD7">
        <w:rPr>
          <w:szCs w:val="22"/>
        </w:rPr>
        <w:t xml:space="preserve">6 metų, </w:t>
      </w:r>
      <w:r w:rsidR="00F14EA0">
        <w:rPr>
          <w:szCs w:val="22"/>
        </w:rPr>
        <w:t xml:space="preserve">o šių tyrimų </w:t>
      </w:r>
      <w:r w:rsidR="00DE3708" w:rsidRPr="00F91FD7">
        <w:rPr>
          <w:szCs w:val="22"/>
        </w:rPr>
        <w:t xml:space="preserve">metu valsartano vartojusiems pacientams reikšmingo kepenų transaminazių aktyvumo </w:t>
      </w:r>
      <w:r w:rsidR="00DE3708" w:rsidRPr="0078402A">
        <w:rPr>
          <w:szCs w:val="22"/>
        </w:rPr>
        <w:t>padidėjimo ar mirties atvejų nebuvo.</w:t>
      </w:r>
    </w:p>
    <w:p w14:paraId="1C0830E7" w14:textId="77777777" w:rsidR="00DE3708" w:rsidRDefault="00DE3708" w:rsidP="00307CD6">
      <w:pPr>
        <w:spacing w:line="240" w:lineRule="auto"/>
        <w:contextualSpacing/>
        <w:rPr>
          <w:szCs w:val="22"/>
        </w:rPr>
      </w:pPr>
    </w:p>
    <w:p w14:paraId="173AEE7F" w14:textId="41FE431A" w:rsidR="00F14EA0" w:rsidRDefault="00F14EA0" w:rsidP="00307CD6">
      <w:pPr>
        <w:spacing w:line="240" w:lineRule="auto"/>
        <w:contextualSpacing/>
        <w:rPr>
          <w:szCs w:val="22"/>
        </w:rPr>
      </w:pPr>
      <w:r w:rsidRPr="00F14EA0">
        <w:rPr>
          <w:szCs w:val="22"/>
        </w:rPr>
        <w:t>Atlikta jungtinė pastarųjų dviejų klinikinių tyrimų metu surinktų duomenų 202 hipertenzija sergantiems vaikams (nuo 1 iki mažiau kaip 6</w:t>
      </w:r>
      <w:r>
        <w:rPr>
          <w:szCs w:val="22"/>
        </w:rPr>
        <w:t> </w:t>
      </w:r>
      <w:r w:rsidRPr="00F14EA0">
        <w:rPr>
          <w:szCs w:val="22"/>
        </w:rPr>
        <w:t>metų) analizė. Visiems pacientams dvigubai koduotu tyrimo laikotarpiu buvo skirta valsartano monoterapija (išskyrus nutraukimo laikotarpį su placebu). Iš šių pacientų 186</w:t>
      </w:r>
      <w:r>
        <w:rPr>
          <w:szCs w:val="22"/>
        </w:rPr>
        <w:t> </w:t>
      </w:r>
      <w:r w:rsidRPr="00F14EA0">
        <w:rPr>
          <w:szCs w:val="22"/>
        </w:rPr>
        <w:t>asmenys toliau tęsė dalyvavimą tęstiniame tyrimo laikotarpyje arba atvirajame tyrimo laikotarpyje. Iš 202</w:t>
      </w:r>
      <w:r>
        <w:rPr>
          <w:szCs w:val="22"/>
        </w:rPr>
        <w:t> </w:t>
      </w:r>
      <w:r w:rsidRPr="00F14EA0">
        <w:rPr>
          <w:szCs w:val="22"/>
        </w:rPr>
        <w:t>pacientų, 33 (16,3</w:t>
      </w:r>
      <w:r>
        <w:rPr>
          <w:szCs w:val="22"/>
        </w:rPr>
        <w:t> </w:t>
      </w:r>
      <w:r w:rsidRPr="00F14EA0">
        <w:rPr>
          <w:szCs w:val="22"/>
        </w:rPr>
        <w:t xml:space="preserve">%) sirgo LIL (pradinis </w:t>
      </w:r>
      <w:proofErr w:type="spellStart"/>
      <w:r w:rsidRPr="00F14EA0">
        <w:rPr>
          <w:szCs w:val="22"/>
        </w:rPr>
        <w:t>aGFG</w:t>
      </w:r>
      <w:proofErr w:type="spellEnd"/>
      <w:r>
        <w:rPr>
          <w:szCs w:val="22"/>
        </w:rPr>
        <w:t> </w:t>
      </w:r>
      <w:r w:rsidRPr="00F14EA0">
        <w:rPr>
          <w:szCs w:val="22"/>
        </w:rPr>
        <w:t>&lt;</w:t>
      </w:r>
      <w:r>
        <w:rPr>
          <w:szCs w:val="22"/>
        </w:rPr>
        <w:t> </w:t>
      </w:r>
      <w:r w:rsidRPr="00F14EA0">
        <w:rPr>
          <w:szCs w:val="22"/>
        </w:rPr>
        <w:t>90 ml/min.). Dvigubai koduotu tyrimo laikotarpiu du pacientai (1</w:t>
      </w:r>
      <w:r>
        <w:rPr>
          <w:szCs w:val="22"/>
        </w:rPr>
        <w:t> </w:t>
      </w:r>
      <w:r w:rsidRPr="00F14EA0">
        <w:rPr>
          <w:szCs w:val="22"/>
        </w:rPr>
        <w:t>%) nutraukė dalyvavimą tyrime dėl pasireiškusių nepageidaujamų reiškinių, o atvirajame ar tęstiniame laikotarpyje keturi pacientai (2,1</w:t>
      </w:r>
      <w:r>
        <w:rPr>
          <w:szCs w:val="22"/>
        </w:rPr>
        <w:t> </w:t>
      </w:r>
      <w:r w:rsidRPr="00F14EA0">
        <w:rPr>
          <w:szCs w:val="22"/>
        </w:rPr>
        <w:t>%) nutraukė dalyvavimą tyrime dėl pasireiškusių nepageidaujamų reiškinių. Dvigubai koduotu tyrimo laikotarpiu 13 (7,0</w:t>
      </w:r>
      <w:r>
        <w:rPr>
          <w:szCs w:val="22"/>
        </w:rPr>
        <w:t> </w:t>
      </w:r>
      <w:r w:rsidRPr="00F14EA0">
        <w:rPr>
          <w:szCs w:val="22"/>
        </w:rPr>
        <w:t>%) pacientų pasireiškė bent viena NRV. Dažniausios NRV buvo vėmimas (n=3, 1,6</w:t>
      </w:r>
      <w:r>
        <w:rPr>
          <w:szCs w:val="22"/>
        </w:rPr>
        <w:t> </w:t>
      </w:r>
      <w:r w:rsidRPr="00F14EA0">
        <w:rPr>
          <w:szCs w:val="22"/>
        </w:rPr>
        <w:t>%) ir viduriavimas (n=2, 1,1</w:t>
      </w:r>
      <w:r>
        <w:rPr>
          <w:szCs w:val="22"/>
        </w:rPr>
        <w:t> </w:t>
      </w:r>
      <w:r w:rsidRPr="00F14EA0">
        <w:rPr>
          <w:szCs w:val="22"/>
        </w:rPr>
        <w:t>%). LIL sirgusiųjų grupėje nustatyta viena NRV (viduriavimas). Atviruoju tyrimo laikotarpiu 5,4</w:t>
      </w:r>
      <w:r>
        <w:rPr>
          <w:szCs w:val="22"/>
        </w:rPr>
        <w:t> </w:t>
      </w:r>
      <w:r w:rsidRPr="00F14EA0">
        <w:rPr>
          <w:szCs w:val="22"/>
        </w:rPr>
        <w:t>% pacientų (10 iš 186) pasireiškė bent viena NRV. Dažniausia NRV buvo sumažėjęs apetitas, kuris pastebėtas dviem pacientams (1,1</w:t>
      </w:r>
      <w:r>
        <w:rPr>
          <w:szCs w:val="22"/>
        </w:rPr>
        <w:t> </w:t>
      </w:r>
      <w:r w:rsidRPr="00F14EA0">
        <w:rPr>
          <w:szCs w:val="22"/>
        </w:rPr>
        <w:t>%). Tiek dvigubai koduotu laikotarpiu, tiek ir atviruoju laikotarpiu hiperkalemijos atvejų nustatyta vienam pacientui (kiekvieno laikotarpio metu). Nei dvigubai koduotu laikotarpiu, nei atviruoju laikotarpiu nebuvo nustatyta hipotenzijos ar galvos svaigimo atvejų.</w:t>
      </w:r>
    </w:p>
    <w:p w14:paraId="1D5EA030" w14:textId="77777777" w:rsidR="00F14EA0" w:rsidRPr="00307CD6" w:rsidRDefault="00F14EA0" w:rsidP="00307CD6">
      <w:pPr>
        <w:spacing w:line="240" w:lineRule="auto"/>
        <w:contextualSpacing/>
        <w:rPr>
          <w:szCs w:val="22"/>
        </w:rPr>
      </w:pPr>
    </w:p>
    <w:p w14:paraId="0148C106" w14:textId="58A25277" w:rsidR="00DE3708" w:rsidRPr="001E6DB9" w:rsidRDefault="00F14EA0" w:rsidP="00307CD6">
      <w:pPr>
        <w:spacing w:line="240" w:lineRule="auto"/>
        <w:contextualSpacing/>
        <w:rPr>
          <w:szCs w:val="22"/>
        </w:rPr>
      </w:pPr>
      <w:r w:rsidRPr="00F14EA0">
        <w:rPr>
          <w:szCs w:val="22"/>
        </w:rPr>
        <w:t>Hiperkalemijos atvejų dažniau nustatyta vaikams ir paaugliams nuo 1 iki mažiau kaip 18</w:t>
      </w:r>
      <w:r>
        <w:rPr>
          <w:szCs w:val="22"/>
        </w:rPr>
        <w:t> </w:t>
      </w:r>
      <w:r w:rsidRPr="00F14EA0">
        <w:rPr>
          <w:szCs w:val="22"/>
        </w:rPr>
        <w:t>metų amžiaus, kurie kartu sirgo lėtine inkstų liga (LIL). Hiperkalemijos pasireiškimo rizika gali būti didesnė 1</w:t>
      </w:r>
      <w:r>
        <w:rPr>
          <w:szCs w:val="22"/>
        </w:rPr>
        <w:noBreakHyphen/>
      </w:r>
      <w:r w:rsidRPr="00F14EA0">
        <w:rPr>
          <w:szCs w:val="22"/>
        </w:rPr>
        <w:t>5</w:t>
      </w:r>
      <w:r>
        <w:rPr>
          <w:szCs w:val="22"/>
        </w:rPr>
        <w:t> </w:t>
      </w:r>
      <w:r w:rsidRPr="00F14EA0">
        <w:rPr>
          <w:szCs w:val="22"/>
        </w:rPr>
        <w:t>metų vaikams nei vaikams nuo 6 iki mažiau kaip 18</w:t>
      </w:r>
      <w:r>
        <w:rPr>
          <w:szCs w:val="22"/>
        </w:rPr>
        <w:t> </w:t>
      </w:r>
      <w:r w:rsidRPr="00F14EA0">
        <w:rPr>
          <w:szCs w:val="22"/>
        </w:rPr>
        <w:t>metų.</w:t>
      </w:r>
    </w:p>
    <w:p w14:paraId="5F21B202" w14:textId="77777777" w:rsidR="00DE3708" w:rsidRPr="001E6DB9" w:rsidRDefault="00DE3708" w:rsidP="00307CD6">
      <w:pPr>
        <w:pStyle w:val="Default"/>
        <w:contextualSpacing/>
        <w:rPr>
          <w:color w:val="auto"/>
          <w:sz w:val="22"/>
          <w:szCs w:val="22"/>
        </w:rPr>
      </w:pPr>
    </w:p>
    <w:p w14:paraId="2AB6E4B9" w14:textId="77777777" w:rsidR="00DE3708" w:rsidRPr="001E6DB9" w:rsidRDefault="00DE3708" w:rsidP="00307CD6">
      <w:pPr>
        <w:pStyle w:val="Default"/>
        <w:contextualSpacing/>
        <w:rPr>
          <w:color w:val="auto"/>
          <w:sz w:val="22"/>
          <w:szCs w:val="22"/>
        </w:rPr>
      </w:pPr>
      <w:r w:rsidRPr="001E6DB9">
        <w:rPr>
          <w:color w:val="auto"/>
          <w:sz w:val="22"/>
          <w:szCs w:val="22"/>
        </w:rPr>
        <w:t xml:space="preserve">Kontroliuojamų klinikinių tyrimų metu nustatytas saugumas pacientams, kurie patyrė miokardo infarktą ir (arba) sirgo širdies nepakankamumu, buvo kitoks, negu bendras saugumas arterine hipertenzija sergantiems pacientams. Tai gali būti susiję su pagrindine liga. Toliau išvardytos NR, pasireiškusios pacientams po miokardo infarkto ir (arba) tiems, kuriems buvo širdies nepakankamumas. </w:t>
      </w:r>
    </w:p>
    <w:p w14:paraId="45716506" w14:textId="77777777" w:rsidR="00DE3708" w:rsidRPr="001E6DB9" w:rsidRDefault="00DE3708" w:rsidP="00307CD6">
      <w:pPr>
        <w:pStyle w:val="Default"/>
        <w:contextualSpacing/>
        <w:rPr>
          <w:color w:val="auto"/>
          <w:sz w:val="22"/>
          <w:szCs w:val="22"/>
        </w:rPr>
      </w:pPr>
    </w:p>
    <w:p w14:paraId="2A3D6C86" w14:textId="77777777" w:rsidR="00DE3708" w:rsidRPr="00F50D13" w:rsidRDefault="00DE3708" w:rsidP="001E6DB9">
      <w:pPr>
        <w:numPr>
          <w:ilvl w:val="0"/>
          <w:numId w:val="3"/>
        </w:numPr>
        <w:tabs>
          <w:tab w:val="clear" w:pos="567"/>
        </w:tabs>
        <w:spacing w:line="240" w:lineRule="auto"/>
        <w:ind w:left="567" w:hanging="567"/>
        <w:contextualSpacing/>
        <w:rPr>
          <w:szCs w:val="22"/>
          <w:u w:val="single"/>
        </w:rPr>
      </w:pPr>
      <w:r w:rsidRPr="00F50D13">
        <w:rPr>
          <w:szCs w:val="22"/>
          <w:u w:val="single"/>
        </w:rPr>
        <w:t>Būklė po miokardo infarkto ir (arba) širdies nepakankamumas</w:t>
      </w:r>
      <w:r w:rsidRPr="001E6DB9">
        <w:rPr>
          <w:b/>
          <w:szCs w:val="22"/>
          <w:u w:val="single"/>
        </w:rPr>
        <w:t xml:space="preserve"> </w:t>
      </w:r>
      <w:r w:rsidRPr="00F50D13">
        <w:rPr>
          <w:szCs w:val="22"/>
          <w:u w:val="single"/>
        </w:rPr>
        <w:t>(tyrimai atlikti tik su suaugusiais pacientais)</w:t>
      </w:r>
    </w:p>
    <w:p w14:paraId="11792640" w14:textId="77777777" w:rsidR="00DE3708" w:rsidRPr="00F50D13" w:rsidRDefault="00DE3708" w:rsidP="00307CD6">
      <w:pPr>
        <w:spacing w:line="240" w:lineRule="auto"/>
        <w:contextualSpacing/>
        <w:rPr>
          <w:b/>
          <w:szCs w:val="22"/>
        </w:rPr>
      </w:pPr>
    </w:p>
    <w:p w14:paraId="6FBD295B" w14:textId="77777777" w:rsidR="00DE3708" w:rsidRPr="00F91FD7" w:rsidRDefault="00DE3708" w:rsidP="00307CD6">
      <w:pPr>
        <w:spacing w:line="240" w:lineRule="auto"/>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42"/>
      </w:tblGrid>
      <w:tr w:rsidR="00DE3708" w:rsidRPr="001E6DB9" w14:paraId="62641CA3" w14:textId="77777777" w:rsidTr="00212F3B">
        <w:tc>
          <w:tcPr>
            <w:tcW w:w="9286" w:type="dxa"/>
            <w:gridSpan w:val="2"/>
          </w:tcPr>
          <w:p w14:paraId="46E88C88" w14:textId="77777777" w:rsidR="00DE3708" w:rsidRPr="00F91FD7" w:rsidRDefault="00DE3708" w:rsidP="00307CD6">
            <w:pPr>
              <w:spacing w:line="240" w:lineRule="auto"/>
              <w:contextualSpacing/>
              <w:rPr>
                <w:szCs w:val="22"/>
              </w:rPr>
            </w:pPr>
            <w:r w:rsidRPr="00F91FD7">
              <w:rPr>
                <w:b/>
                <w:szCs w:val="22"/>
              </w:rPr>
              <w:t>Kraujo ir limfinės sistemos sutrikimai</w:t>
            </w:r>
          </w:p>
        </w:tc>
      </w:tr>
      <w:tr w:rsidR="00DE3708" w:rsidRPr="001E6DB9" w14:paraId="7EAE766D" w14:textId="77777777" w:rsidTr="00212F3B">
        <w:tc>
          <w:tcPr>
            <w:tcW w:w="4643" w:type="dxa"/>
          </w:tcPr>
          <w:p w14:paraId="35AB9440"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12631878" w14:textId="77777777" w:rsidR="00DE3708" w:rsidRPr="001E6DB9" w:rsidRDefault="00DE3708" w:rsidP="00307CD6">
            <w:pPr>
              <w:pStyle w:val="Default"/>
              <w:contextualSpacing/>
              <w:rPr>
                <w:color w:val="auto"/>
                <w:sz w:val="22"/>
                <w:szCs w:val="22"/>
              </w:rPr>
            </w:pPr>
            <w:r w:rsidRPr="001E6DB9">
              <w:rPr>
                <w:color w:val="auto"/>
                <w:sz w:val="22"/>
                <w:szCs w:val="22"/>
              </w:rPr>
              <w:t xml:space="preserve">Trombocitopenija </w:t>
            </w:r>
          </w:p>
        </w:tc>
      </w:tr>
      <w:tr w:rsidR="00DE3708" w:rsidRPr="001E6DB9" w14:paraId="1DAC8FAC" w14:textId="77777777" w:rsidTr="00212F3B">
        <w:tc>
          <w:tcPr>
            <w:tcW w:w="9286" w:type="dxa"/>
            <w:gridSpan w:val="2"/>
          </w:tcPr>
          <w:p w14:paraId="060234B4" w14:textId="77777777" w:rsidR="00DE3708" w:rsidRPr="001E6DB9" w:rsidRDefault="00DE3708" w:rsidP="00307CD6">
            <w:pPr>
              <w:spacing w:line="240" w:lineRule="auto"/>
              <w:contextualSpacing/>
              <w:rPr>
                <w:szCs w:val="22"/>
              </w:rPr>
            </w:pPr>
            <w:r w:rsidRPr="001E6DB9">
              <w:rPr>
                <w:b/>
                <w:szCs w:val="22"/>
              </w:rPr>
              <w:t>Imuninės sistemos sutrikimai</w:t>
            </w:r>
          </w:p>
        </w:tc>
      </w:tr>
      <w:tr w:rsidR="00DE3708" w:rsidRPr="001E6DB9" w14:paraId="55EE7CB1" w14:textId="77777777" w:rsidTr="00212F3B">
        <w:tc>
          <w:tcPr>
            <w:tcW w:w="4643" w:type="dxa"/>
          </w:tcPr>
          <w:p w14:paraId="00106865"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108192EE" w14:textId="77777777" w:rsidR="00DE3708" w:rsidRPr="001E6DB9" w:rsidRDefault="00DE3708" w:rsidP="00307CD6">
            <w:pPr>
              <w:pStyle w:val="Default"/>
              <w:contextualSpacing/>
              <w:rPr>
                <w:color w:val="auto"/>
                <w:sz w:val="22"/>
                <w:szCs w:val="22"/>
              </w:rPr>
            </w:pPr>
            <w:r w:rsidRPr="001E6DB9">
              <w:rPr>
                <w:color w:val="auto"/>
                <w:sz w:val="22"/>
                <w:szCs w:val="22"/>
              </w:rPr>
              <w:t xml:space="preserve">Padidėjęs jautrumas, įskaitant seruminę ligą </w:t>
            </w:r>
          </w:p>
        </w:tc>
      </w:tr>
      <w:tr w:rsidR="00DE3708" w:rsidRPr="001E6DB9" w14:paraId="610CCC6F" w14:textId="77777777" w:rsidTr="00212F3B">
        <w:tc>
          <w:tcPr>
            <w:tcW w:w="9286" w:type="dxa"/>
            <w:gridSpan w:val="2"/>
          </w:tcPr>
          <w:p w14:paraId="39327DB1" w14:textId="77777777" w:rsidR="00DE3708" w:rsidRPr="001E6DB9" w:rsidRDefault="00DE3708" w:rsidP="00307CD6">
            <w:pPr>
              <w:spacing w:line="240" w:lineRule="auto"/>
              <w:contextualSpacing/>
              <w:rPr>
                <w:szCs w:val="22"/>
              </w:rPr>
            </w:pPr>
            <w:r w:rsidRPr="001E6DB9">
              <w:rPr>
                <w:b/>
                <w:szCs w:val="22"/>
              </w:rPr>
              <w:t>Metabolizmo ir mitybos sutrikimai</w:t>
            </w:r>
          </w:p>
        </w:tc>
      </w:tr>
      <w:tr w:rsidR="00DE3708" w:rsidRPr="001E6DB9" w14:paraId="425B123A" w14:textId="77777777" w:rsidTr="00212F3B">
        <w:tc>
          <w:tcPr>
            <w:tcW w:w="4643" w:type="dxa"/>
          </w:tcPr>
          <w:p w14:paraId="430BB60F"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33544154" w14:textId="77777777" w:rsidR="00DE3708" w:rsidRPr="001E6DB9" w:rsidRDefault="00DE3708" w:rsidP="00307CD6">
            <w:pPr>
              <w:pStyle w:val="Default"/>
              <w:contextualSpacing/>
              <w:rPr>
                <w:color w:val="auto"/>
                <w:sz w:val="22"/>
                <w:szCs w:val="22"/>
              </w:rPr>
            </w:pPr>
            <w:r w:rsidRPr="001E6DB9">
              <w:rPr>
                <w:color w:val="auto"/>
                <w:sz w:val="22"/>
                <w:szCs w:val="22"/>
              </w:rPr>
              <w:t xml:space="preserve">Hiperkalemija </w:t>
            </w:r>
          </w:p>
        </w:tc>
      </w:tr>
      <w:tr w:rsidR="00DE3708" w:rsidRPr="001E6DB9" w14:paraId="60C4F38E" w14:textId="77777777" w:rsidTr="00212F3B">
        <w:tc>
          <w:tcPr>
            <w:tcW w:w="4643" w:type="dxa"/>
          </w:tcPr>
          <w:p w14:paraId="3AD70553"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65F41B37" w14:textId="77777777" w:rsidR="00DE3708" w:rsidRPr="001E6DB9" w:rsidRDefault="00DE3708" w:rsidP="00307CD6">
            <w:pPr>
              <w:pStyle w:val="Default"/>
              <w:contextualSpacing/>
              <w:rPr>
                <w:color w:val="auto"/>
                <w:sz w:val="22"/>
                <w:szCs w:val="22"/>
              </w:rPr>
            </w:pPr>
            <w:r w:rsidRPr="001E6DB9">
              <w:rPr>
                <w:color w:val="auto"/>
                <w:sz w:val="22"/>
                <w:szCs w:val="22"/>
              </w:rPr>
              <w:t>Kalio kiekio padidėjimas kraujo serume, hiponatremija</w:t>
            </w:r>
          </w:p>
        </w:tc>
      </w:tr>
      <w:tr w:rsidR="00DE3708" w:rsidRPr="001E6DB9" w14:paraId="561D103F" w14:textId="77777777" w:rsidTr="00212F3B">
        <w:tc>
          <w:tcPr>
            <w:tcW w:w="4643" w:type="dxa"/>
          </w:tcPr>
          <w:p w14:paraId="7EC081F9" w14:textId="77777777" w:rsidR="00DE3708" w:rsidRPr="001E6DB9" w:rsidRDefault="00DE3708" w:rsidP="00307CD6">
            <w:pPr>
              <w:pStyle w:val="Default"/>
              <w:contextualSpacing/>
              <w:rPr>
                <w:color w:val="auto"/>
                <w:sz w:val="22"/>
                <w:szCs w:val="22"/>
              </w:rPr>
            </w:pPr>
            <w:r w:rsidRPr="001E6DB9">
              <w:rPr>
                <w:b/>
                <w:color w:val="auto"/>
                <w:sz w:val="22"/>
                <w:szCs w:val="22"/>
              </w:rPr>
              <w:t>Nervų sistemos sutrikimai</w:t>
            </w:r>
          </w:p>
        </w:tc>
        <w:tc>
          <w:tcPr>
            <w:tcW w:w="4643" w:type="dxa"/>
          </w:tcPr>
          <w:p w14:paraId="3A47232C" w14:textId="77777777" w:rsidR="00DE3708" w:rsidRPr="001E6DB9" w:rsidRDefault="00DE3708" w:rsidP="00307CD6">
            <w:pPr>
              <w:pStyle w:val="Default"/>
              <w:contextualSpacing/>
              <w:rPr>
                <w:color w:val="auto"/>
                <w:sz w:val="22"/>
                <w:szCs w:val="22"/>
              </w:rPr>
            </w:pPr>
          </w:p>
        </w:tc>
      </w:tr>
      <w:tr w:rsidR="00DE3708" w:rsidRPr="001E6DB9" w14:paraId="1CC61D37" w14:textId="77777777" w:rsidTr="00212F3B">
        <w:tc>
          <w:tcPr>
            <w:tcW w:w="4643" w:type="dxa"/>
          </w:tcPr>
          <w:p w14:paraId="340522BE" w14:textId="77777777" w:rsidR="00DE3708" w:rsidRPr="001E6DB9" w:rsidRDefault="00DE3708" w:rsidP="00307CD6">
            <w:pPr>
              <w:pStyle w:val="Default"/>
              <w:contextualSpacing/>
              <w:rPr>
                <w:color w:val="auto"/>
                <w:sz w:val="22"/>
                <w:szCs w:val="22"/>
              </w:rPr>
            </w:pPr>
            <w:r w:rsidRPr="001E6DB9">
              <w:rPr>
                <w:color w:val="auto"/>
                <w:sz w:val="22"/>
                <w:szCs w:val="22"/>
              </w:rPr>
              <w:t xml:space="preserve">Dažni </w:t>
            </w:r>
          </w:p>
        </w:tc>
        <w:tc>
          <w:tcPr>
            <w:tcW w:w="4643" w:type="dxa"/>
          </w:tcPr>
          <w:p w14:paraId="4412B568" w14:textId="77777777" w:rsidR="00DE3708" w:rsidRPr="001E6DB9" w:rsidRDefault="00DE3708" w:rsidP="00307CD6">
            <w:pPr>
              <w:pStyle w:val="Default"/>
              <w:contextualSpacing/>
              <w:rPr>
                <w:color w:val="auto"/>
                <w:sz w:val="22"/>
                <w:szCs w:val="22"/>
              </w:rPr>
            </w:pPr>
            <w:r w:rsidRPr="001E6DB9">
              <w:rPr>
                <w:color w:val="auto"/>
                <w:sz w:val="22"/>
                <w:szCs w:val="22"/>
              </w:rPr>
              <w:t xml:space="preserve">Svaigulys, svaigulys keičiant kūno padėtį </w:t>
            </w:r>
          </w:p>
        </w:tc>
      </w:tr>
      <w:tr w:rsidR="00DE3708" w:rsidRPr="001E6DB9" w14:paraId="6CE04256" w14:textId="77777777" w:rsidTr="00212F3B">
        <w:tc>
          <w:tcPr>
            <w:tcW w:w="4643" w:type="dxa"/>
          </w:tcPr>
          <w:p w14:paraId="775B96ED"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0FB9FB09" w14:textId="77777777" w:rsidR="00DE3708" w:rsidRPr="001E6DB9" w:rsidRDefault="00DE3708" w:rsidP="00307CD6">
            <w:pPr>
              <w:pStyle w:val="Default"/>
              <w:contextualSpacing/>
              <w:rPr>
                <w:color w:val="auto"/>
                <w:sz w:val="22"/>
                <w:szCs w:val="22"/>
              </w:rPr>
            </w:pPr>
            <w:r w:rsidRPr="001E6DB9">
              <w:rPr>
                <w:color w:val="auto"/>
                <w:sz w:val="22"/>
                <w:szCs w:val="22"/>
              </w:rPr>
              <w:t xml:space="preserve">Sinkopė, galvos skausmas </w:t>
            </w:r>
          </w:p>
        </w:tc>
      </w:tr>
      <w:tr w:rsidR="00DE3708" w:rsidRPr="001E6DB9" w14:paraId="14B4DF5F" w14:textId="77777777" w:rsidTr="00212F3B">
        <w:tc>
          <w:tcPr>
            <w:tcW w:w="9286" w:type="dxa"/>
            <w:gridSpan w:val="2"/>
          </w:tcPr>
          <w:p w14:paraId="725DD4AD" w14:textId="77777777" w:rsidR="00DE3708" w:rsidRPr="001E6DB9" w:rsidRDefault="00DE3708" w:rsidP="00307CD6">
            <w:pPr>
              <w:pStyle w:val="Default"/>
              <w:contextualSpacing/>
              <w:rPr>
                <w:color w:val="auto"/>
                <w:sz w:val="22"/>
                <w:szCs w:val="22"/>
              </w:rPr>
            </w:pPr>
            <w:r w:rsidRPr="001E6DB9">
              <w:rPr>
                <w:b/>
                <w:color w:val="auto"/>
                <w:sz w:val="22"/>
                <w:szCs w:val="22"/>
              </w:rPr>
              <w:t>Ausų ir labirintų sutrikimai</w:t>
            </w:r>
          </w:p>
        </w:tc>
      </w:tr>
      <w:tr w:rsidR="00DE3708" w:rsidRPr="001E6DB9" w14:paraId="47AB930B" w14:textId="77777777" w:rsidTr="00212F3B">
        <w:tc>
          <w:tcPr>
            <w:tcW w:w="4643" w:type="dxa"/>
          </w:tcPr>
          <w:p w14:paraId="79E9EFFD" w14:textId="77777777" w:rsidR="00DE3708" w:rsidRPr="001E6DB9" w:rsidRDefault="00DE3708" w:rsidP="00307CD6">
            <w:pPr>
              <w:pStyle w:val="Default"/>
              <w:contextualSpacing/>
              <w:rPr>
                <w:color w:val="auto"/>
                <w:sz w:val="22"/>
                <w:szCs w:val="22"/>
              </w:rPr>
            </w:pPr>
            <w:r w:rsidRPr="001E6DB9">
              <w:rPr>
                <w:color w:val="auto"/>
                <w:sz w:val="22"/>
                <w:szCs w:val="22"/>
              </w:rPr>
              <w:lastRenderedPageBreak/>
              <w:t xml:space="preserve">Nedažni </w:t>
            </w:r>
          </w:p>
        </w:tc>
        <w:tc>
          <w:tcPr>
            <w:tcW w:w="4643" w:type="dxa"/>
          </w:tcPr>
          <w:p w14:paraId="1EA8AAC2" w14:textId="77777777" w:rsidR="00DE3708" w:rsidRPr="001E6DB9" w:rsidRDefault="00DE3708" w:rsidP="00307CD6">
            <w:pPr>
              <w:pStyle w:val="Default"/>
              <w:contextualSpacing/>
              <w:rPr>
                <w:color w:val="auto"/>
                <w:sz w:val="22"/>
                <w:szCs w:val="22"/>
              </w:rPr>
            </w:pPr>
            <w:r w:rsidRPr="001E6DB9">
              <w:rPr>
                <w:color w:val="auto"/>
                <w:sz w:val="22"/>
                <w:szCs w:val="22"/>
              </w:rPr>
              <w:t>Galvos svaigimas (</w:t>
            </w:r>
            <w:r w:rsidRPr="001E6DB9">
              <w:rPr>
                <w:i/>
                <w:color w:val="auto"/>
                <w:sz w:val="22"/>
                <w:szCs w:val="22"/>
              </w:rPr>
              <w:t>vertigo</w:t>
            </w:r>
            <w:r w:rsidRPr="001E6DB9">
              <w:rPr>
                <w:color w:val="auto"/>
                <w:sz w:val="22"/>
                <w:szCs w:val="22"/>
              </w:rPr>
              <w:t>)</w:t>
            </w:r>
            <w:r w:rsidRPr="001E6DB9">
              <w:rPr>
                <w:i/>
                <w:color w:val="auto"/>
                <w:sz w:val="22"/>
                <w:szCs w:val="22"/>
              </w:rPr>
              <w:t xml:space="preserve"> </w:t>
            </w:r>
          </w:p>
        </w:tc>
      </w:tr>
      <w:tr w:rsidR="00DE3708" w:rsidRPr="001E6DB9" w14:paraId="32A2A745" w14:textId="77777777" w:rsidTr="00212F3B">
        <w:tc>
          <w:tcPr>
            <w:tcW w:w="9286" w:type="dxa"/>
            <w:gridSpan w:val="2"/>
          </w:tcPr>
          <w:p w14:paraId="1C34DA2D" w14:textId="77777777" w:rsidR="00DE3708" w:rsidRPr="001E6DB9" w:rsidRDefault="00DE3708" w:rsidP="00307CD6">
            <w:pPr>
              <w:pStyle w:val="Default"/>
              <w:contextualSpacing/>
              <w:rPr>
                <w:color w:val="auto"/>
                <w:sz w:val="22"/>
                <w:szCs w:val="22"/>
              </w:rPr>
            </w:pPr>
            <w:r w:rsidRPr="001E6DB9">
              <w:rPr>
                <w:b/>
                <w:color w:val="auto"/>
                <w:sz w:val="22"/>
                <w:szCs w:val="22"/>
              </w:rPr>
              <w:t>Širdies sutrikimai</w:t>
            </w:r>
          </w:p>
        </w:tc>
      </w:tr>
      <w:tr w:rsidR="00DE3708" w:rsidRPr="001E6DB9" w14:paraId="65F6B00C" w14:textId="77777777" w:rsidTr="00212F3B">
        <w:tc>
          <w:tcPr>
            <w:tcW w:w="4643" w:type="dxa"/>
          </w:tcPr>
          <w:p w14:paraId="24F7E161"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548DFB83" w14:textId="77777777" w:rsidR="00DE3708" w:rsidRPr="001E6DB9" w:rsidRDefault="00DE3708" w:rsidP="00307CD6">
            <w:pPr>
              <w:pStyle w:val="Default"/>
              <w:contextualSpacing/>
              <w:rPr>
                <w:color w:val="auto"/>
                <w:sz w:val="22"/>
                <w:szCs w:val="22"/>
              </w:rPr>
            </w:pPr>
            <w:r w:rsidRPr="001E6DB9">
              <w:rPr>
                <w:color w:val="auto"/>
                <w:sz w:val="22"/>
                <w:szCs w:val="22"/>
              </w:rPr>
              <w:t xml:space="preserve">Širdies nepakankamumas </w:t>
            </w:r>
          </w:p>
        </w:tc>
      </w:tr>
      <w:tr w:rsidR="00DE3708" w:rsidRPr="001E6DB9" w14:paraId="1D06990B" w14:textId="77777777" w:rsidTr="00212F3B">
        <w:tc>
          <w:tcPr>
            <w:tcW w:w="9286" w:type="dxa"/>
            <w:gridSpan w:val="2"/>
          </w:tcPr>
          <w:p w14:paraId="43CCA5EF" w14:textId="77777777" w:rsidR="00DE3708" w:rsidRPr="001E6DB9" w:rsidRDefault="00DE3708" w:rsidP="00307CD6">
            <w:pPr>
              <w:pStyle w:val="Default"/>
              <w:contextualSpacing/>
              <w:rPr>
                <w:color w:val="auto"/>
                <w:sz w:val="22"/>
                <w:szCs w:val="22"/>
              </w:rPr>
            </w:pPr>
            <w:r w:rsidRPr="001E6DB9">
              <w:rPr>
                <w:b/>
                <w:color w:val="auto"/>
                <w:sz w:val="22"/>
                <w:szCs w:val="22"/>
              </w:rPr>
              <w:t>Kraujagyslių sutrikimai</w:t>
            </w:r>
          </w:p>
        </w:tc>
      </w:tr>
      <w:tr w:rsidR="00DE3708" w:rsidRPr="001E6DB9" w14:paraId="629A1ED2" w14:textId="77777777" w:rsidTr="00212F3B">
        <w:tc>
          <w:tcPr>
            <w:tcW w:w="4643" w:type="dxa"/>
          </w:tcPr>
          <w:p w14:paraId="2129FEF5" w14:textId="77777777" w:rsidR="00DE3708" w:rsidRPr="001E6DB9" w:rsidRDefault="00DE3708" w:rsidP="00307CD6">
            <w:pPr>
              <w:pStyle w:val="Default"/>
              <w:contextualSpacing/>
              <w:rPr>
                <w:color w:val="auto"/>
                <w:sz w:val="22"/>
                <w:szCs w:val="22"/>
              </w:rPr>
            </w:pPr>
            <w:r w:rsidRPr="001E6DB9">
              <w:rPr>
                <w:color w:val="auto"/>
                <w:sz w:val="22"/>
                <w:szCs w:val="22"/>
              </w:rPr>
              <w:t xml:space="preserve">Dažni </w:t>
            </w:r>
          </w:p>
        </w:tc>
        <w:tc>
          <w:tcPr>
            <w:tcW w:w="4643" w:type="dxa"/>
          </w:tcPr>
          <w:p w14:paraId="6326CD2D" w14:textId="77777777" w:rsidR="00DE3708" w:rsidRPr="001E6DB9" w:rsidRDefault="00DE3708" w:rsidP="00307CD6">
            <w:pPr>
              <w:pStyle w:val="Default"/>
              <w:contextualSpacing/>
              <w:rPr>
                <w:color w:val="auto"/>
                <w:sz w:val="22"/>
                <w:szCs w:val="22"/>
              </w:rPr>
            </w:pPr>
            <w:r w:rsidRPr="001E6DB9">
              <w:rPr>
                <w:color w:val="auto"/>
                <w:sz w:val="22"/>
                <w:szCs w:val="22"/>
              </w:rPr>
              <w:t xml:space="preserve">Hipotenzija, ortostatinė hipotenzija </w:t>
            </w:r>
          </w:p>
        </w:tc>
      </w:tr>
      <w:tr w:rsidR="00DE3708" w:rsidRPr="001E6DB9" w14:paraId="636E1670" w14:textId="77777777" w:rsidTr="00212F3B">
        <w:tc>
          <w:tcPr>
            <w:tcW w:w="4643" w:type="dxa"/>
          </w:tcPr>
          <w:p w14:paraId="4D9D5892"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285BC3AA" w14:textId="77777777" w:rsidR="00DE3708" w:rsidRPr="001E6DB9" w:rsidRDefault="00DE3708" w:rsidP="00307CD6">
            <w:pPr>
              <w:pStyle w:val="Default"/>
              <w:contextualSpacing/>
              <w:rPr>
                <w:color w:val="auto"/>
                <w:sz w:val="22"/>
                <w:szCs w:val="22"/>
              </w:rPr>
            </w:pPr>
            <w:r w:rsidRPr="001E6DB9">
              <w:rPr>
                <w:color w:val="auto"/>
                <w:sz w:val="22"/>
                <w:szCs w:val="22"/>
              </w:rPr>
              <w:t xml:space="preserve">Kraujagyslių uždegimas </w:t>
            </w:r>
          </w:p>
        </w:tc>
      </w:tr>
      <w:tr w:rsidR="00DE3708" w:rsidRPr="001E6DB9" w14:paraId="21F0AF6B" w14:textId="77777777" w:rsidTr="00212F3B">
        <w:tc>
          <w:tcPr>
            <w:tcW w:w="9286" w:type="dxa"/>
            <w:gridSpan w:val="2"/>
          </w:tcPr>
          <w:p w14:paraId="115FC40C" w14:textId="77777777" w:rsidR="00DE3708" w:rsidRPr="001E6DB9" w:rsidRDefault="00DE3708" w:rsidP="00307CD6">
            <w:pPr>
              <w:pStyle w:val="Default"/>
              <w:contextualSpacing/>
              <w:rPr>
                <w:color w:val="auto"/>
                <w:sz w:val="22"/>
                <w:szCs w:val="22"/>
              </w:rPr>
            </w:pPr>
            <w:r w:rsidRPr="001E6DB9">
              <w:rPr>
                <w:b/>
                <w:color w:val="auto"/>
                <w:sz w:val="22"/>
                <w:szCs w:val="22"/>
              </w:rPr>
              <w:t>Kvėpavimo sistemos, krūtinės ląstos ir tarpuplaučio sutrikimai</w:t>
            </w:r>
          </w:p>
        </w:tc>
      </w:tr>
      <w:tr w:rsidR="00DE3708" w:rsidRPr="001E6DB9" w14:paraId="0B2B72D2" w14:textId="77777777" w:rsidTr="00212F3B">
        <w:tc>
          <w:tcPr>
            <w:tcW w:w="4643" w:type="dxa"/>
          </w:tcPr>
          <w:p w14:paraId="2986520C"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2106565A" w14:textId="77777777" w:rsidR="00DE3708" w:rsidRPr="001E6DB9" w:rsidRDefault="00DE3708" w:rsidP="00307CD6">
            <w:pPr>
              <w:pStyle w:val="Default"/>
              <w:contextualSpacing/>
              <w:rPr>
                <w:color w:val="auto"/>
                <w:sz w:val="22"/>
                <w:szCs w:val="22"/>
              </w:rPr>
            </w:pPr>
            <w:r w:rsidRPr="001E6DB9">
              <w:rPr>
                <w:color w:val="auto"/>
                <w:sz w:val="22"/>
                <w:szCs w:val="22"/>
              </w:rPr>
              <w:t xml:space="preserve">Kosulys </w:t>
            </w:r>
          </w:p>
        </w:tc>
      </w:tr>
      <w:tr w:rsidR="00DE3708" w:rsidRPr="001E6DB9" w14:paraId="6F262EA4" w14:textId="77777777" w:rsidTr="00212F3B">
        <w:tc>
          <w:tcPr>
            <w:tcW w:w="9286" w:type="dxa"/>
            <w:gridSpan w:val="2"/>
          </w:tcPr>
          <w:p w14:paraId="1CE097A4" w14:textId="77777777" w:rsidR="00DE3708" w:rsidRPr="001E6DB9" w:rsidRDefault="00DE3708" w:rsidP="00307CD6">
            <w:pPr>
              <w:pStyle w:val="Default"/>
              <w:contextualSpacing/>
              <w:rPr>
                <w:color w:val="auto"/>
                <w:sz w:val="22"/>
                <w:szCs w:val="22"/>
              </w:rPr>
            </w:pPr>
            <w:r w:rsidRPr="001E6DB9">
              <w:rPr>
                <w:b/>
                <w:color w:val="auto"/>
                <w:sz w:val="22"/>
                <w:szCs w:val="22"/>
              </w:rPr>
              <w:t>Virškinimo trakto sutrikimai</w:t>
            </w:r>
          </w:p>
        </w:tc>
      </w:tr>
      <w:tr w:rsidR="00DE3708" w:rsidRPr="001E6DB9" w14:paraId="302B37AE" w14:textId="77777777" w:rsidTr="00212F3B">
        <w:tc>
          <w:tcPr>
            <w:tcW w:w="4643" w:type="dxa"/>
          </w:tcPr>
          <w:p w14:paraId="26D82F08"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4E911DA6" w14:textId="77777777" w:rsidR="00DE3708" w:rsidRPr="001E6DB9" w:rsidRDefault="00DE3708" w:rsidP="00307CD6">
            <w:pPr>
              <w:pStyle w:val="Default"/>
              <w:contextualSpacing/>
              <w:rPr>
                <w:color w:val="auto"/>
                <w:sz w:val="22"/>
                <w:szCs w:val="22"/>
              </w:rPr>
            </w:pPr>
            <w:r w:rsidRPr="001E6DB9">
              <w:rPr>
                <w:color w:val="auto"/>
                <w:sz w:val="22"/>
                <w:szCs w:val="22"/>
              </w:rPr>
              <w:t xml:space="preserve">Pykinimas, viduriavimas </w:t>
            </w:r>
          </w:p>
        </w:tc>
      </w:tr>
      <w:tr w:rsidR="00212F3B" w:rsidRPr="001E6DB9" w14:paraId="3390A681" w14:textId="77777777" w:rsidTr="00212F3B">
        <w:tc>
          <w:tcPr>
            <w:tcW w:w="4643" w:type="dxa"/>
          </w:tcPr>
          <w:p w14:paraId="03D407FA" w14:textId="72BF3526" w:rsidR="00212F3B" w:rsidRPr="001E6DB9" w:rsidRDefault="00212F3B" w:rsidP="00307CD6">
            <w:pPr>
              <w:pStyle w:val="Default"/>
              <w:contextualSpacing/>
              <w:rPr>
                <w:color w:val="auto"/>
                <w:sz w:val="22"/>
                <w:szCs w:val="22"/>
              </w:rPr>
            </w:pPr>
            <w:r>
              <w:rPr>
                <w:color w:val="auto"/>
                <w:sz w:val="22"/>
                <w:szCs w:val="22"/>
              </w:rPr>
              <w:t>Labai reti</w:t>
            </w:r>
          </w:p>
        </w:tc>
        <w:tc>
          <w:tcPr>
            <w:tcW w:w="4643" w:type="dxa"/>
          </w:tcPr>
          <w:p w14:paraId="7842BE6F" w14:textId="3117A648" w:rsidR="00212F3B" w:rsidRPr="001E6DB9" w:rsidRDefault="00212F3B" w:rsidP="00307CD6">
            <w:pPr>
              <w:pStyle w:val="Default"/>
              <w:contextualSpacing/>
              <w:rPr>
                <w:color w:val="auto"/>
                <w:sz w:val="22"/>
                <w:szCs w:val="22"/>
              </w:rPr>
            </w:pPr>
            <w:proofErr w:type="spellStart"/>
            <w:r w:rsidRPr="00212F3B">
              <w:rPr>
                <w:color w:val="auto"/>
                <w:sz w:val="22"/>
                <w:szCs w:val="22"/>
                <w:lang w:val="en-US"/>
              </w:rPr>
              <w:t>Žarnyno</w:t>
            </w:r>
            <w:proofErr w:type="spellEnd"/>
            <w:r w:rsidRPr="00212F3B">
              <w:rPr>
                <w:color w:val="auto"/>
                <w:sz w:val="22"/>
                <w:szCs w:val="22"/>
                <w:lang w:val="en-US"/>
              </w:rPr>
              <w:t xml:space="preserve"> </w:t>
            </w:r>
            <w:proofErr w:type="spellStart"/>
            <w:r w:rsidRPr="00212F3B">
              <w:rPr>
                <w:color w:val="auto"/>
                <w:sz w:val="22"/>
                <w:szCs w:val="22"/>
                <w:lang w:val="en-US"/>
              </w:rPr>
              <w:t>angioneurozinė</w:t>
            </w:r>
            <w:proofErr w:type="spellEnd"/>
            <w:r w:rsidRPr="00212F3B">
              <w:rPr>
                <w:color w:val="auto"/>
                <w:sz w:val="22"/>
                <w:szCs w:val="22"/>
                <w:lang w:val="en-US"/>
              </w:rPr>
              <w:t xml:space="preserve"> edema</w:t>
            </w:r>
          </w:p>
        </w:tc>
      </w:tr>
      <w:tr w:rsidR="00DE3708" w:rsidRPr="001E6DB9" w14:paraId="01E44CA8" w14:textId="77777777" w:rsidTr="00212F3B">
        <w:tc>
          <w:tcPr>
            <w:tcW w:w="9286" w:type="dxa"/>
            <w:gridSpan w:val="2"/>
          </w:tcPr>
          <w:p w14:paraId="0503E7E7" w14:textId="77777777" w:rsidR="00DE3708" w:rsidRPr="001E6DB9" w:rsidRDefault="00DE3708" w:rsidP="00307CD6">
            <w:pPr>
              <w:pStyle w:val="Default"/>
              <w:contextualSpacing/>
              <w:rPr>
                <w:color w:val="auto"/>
                <w:sz w:val="22"/>
                <w:szCs w:val="22"/>
              </w:rPr>
            </w:pPr>
            <w:r w:rsidRPr="001E6DB9">
              <w:rPr>
                <w:b/>
                <w:color w:val="auto"/>
                <w:sz w:val="22"/>
                <w:szCs w:val="22"/>
              </w:rPr>
              <w:t>Kepenų, tulžies pūslės ir latakų sutrikimai</w:t>
            </w:r>
          </w:p>
        </w:tc>
      </w:tr>
      <w:tr w:rsidR="00DE3708" w:rsidRPr="001E6DB9" w14:paraId="7DC06493" w14:textId="77777777" w:rsidTr="00212F3B">
        <w:tc>
          <w:tcPr>
            <w:tcW w:w="4643" w:type="dxa"/>
          </w:tcPr>
          <w:p w14:paraId="2E5D844D"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Nežinomas </w:t>
            </w:r>
          </w:p>
        </w:tc>
        <w:tc>
          <w:tcPr>
            <w:tcW w:w="4643" w:type="dxa"/>
          </w:tcPr>
          <w:p w14:paraId="54A94B73" w14:textId="77777777" w:rsidR="00DE3708" w:rsidRPr="001E6DB9" w:rsidRDefault="00DE3708" w:rsidP="00307CD6">
            <w:pPr>
              <w:pStyle w:val="Default"/>
              <w:contextualSpacing/>
              <w:rPr>
                <w:color w:val="auto"/>
                <w:sz w:val="22"/>
                <w:szCs w:val="22"/>
              </w:rPr>
            </w:pPr>
            <w:r w:rsidRPr="001E6DB9">
              <w:rPr>
                <w:color w:val="auto"/>
                <w:sz w:val="22"/>
                <w:szCs w:val="22"/>
              </w:rPr>
              <w:t xml:space="preserve">Kepenų funkcijos rodiklių padidėjimas </w:t>
            </w:r>
          </w:p>
        </w:tc>
      </w:tr>
      <w:tr w:rsidR="00DE3708" w:rsidRPr="001E6DB9" w14:paraId="08C7BDB8" w14:textId="77777777" w:rsidTr="00212F3B">
        <w:tc>
          <w:tcPr>
            <w:tcW w:w="9286" w:type="dxa"/>
            <w:gridSpan w:val="2"/>
          </w:tcPr>
          <w:p w14:paraId="58DF4786" w14:textId="77777777" w:rsidR="00DE3708" w:rsidRPr="001E6DB9" w:rsidRDefault="00DE3708" w:rsidP="00307CD6">
            <w:pPr>
              <w:pStyle w:val="Default"/>
              <w:contextualSpacing/>
              <w:rPr>
                <w:color w:val="auto"/>
                <w:sz w:val="22"/>
                <w:szCs w:val="22"/>
              </w:rPr>
            </w:pPr>
            <w:r w:rsidRPr="001E6DB9">
              <w:rPr>
                <w:b/>
                <w:color w:val="auto"/>
                <w:sz w:val="22"/>
                <w:szCs w:val="22"/>
              </w:rPr>
              <w:t>Odos ir poodinio audinio sutrikimai</w:t>
            </w:r>
          </w:p>
        </w:tc>
      </w:tr>
      <w:tr w:rsidR="00DE3708" w:rsidRPr="001E6DB9" w14:paraId="68544EA0" w14:textId="77777777" w:rsidTr="00212F3B">
        <w:tc>
          <w:tcPr>
            <w:tcW w:w="4643" w:type="dxa"/>
          </w:tcPr>
          <w:p w14:paraId="71C5EDBE"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513E912D" w14:textId="77777777" w:rsidR="00DE3708" w:rsidRPr="001E6DB9" w:rsidRDefault="00DE3708" w:rsidP="00307CD6">
            <w:pPr>
              <w:pStyle w:val="Default"/>
              <w:contextualSpacing/>
              <w:rPr>
                <w:color w:val="auto"/>
                <w:sz w:val="22"/>
                <w:szCs w:val="22"/>
              </w:rPr>
            </w:pPr>
            <w:proofErr w:type="spellStart"/>
            <w:r w:rsidRPr="001E6DB9">
              <w:rPr>
                <w:color w:val="auto"/>
                <w:sz w:val="22"/>
                <w:szCs w:val="22"/>
              </w:rPr>
              <w:t>Angioedema</w:t>
            </w:r>
            <w:proofErr w:type="spellEnd"/>
            <w:r w:rsidRPr="001E6DB9">
              <w:rPr>
                <w:color w:val="auto"/>
                <w:sz w:val="22"/>
                <w:szCs w:val="22"/>
              </w:rPr>
              <w:t xml:space="preserve"> </w:t>
            </w:r>
          </w:p>
        </w:tc>
      </w:tr>
      <w:tr w:rsidR="00DE3708" w:rsidRPr="001E6DB9" w14:paraId="1BFF8F17" w14:textId="77777777" w:rsidTr="00212F3B">
        <w:tc>
          <w:tcPr>
            <w:tcW w:w="4643" w:type="dxa"/>
          </w:tcPr>
          <w:p w14:paraId="055943D1"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Nežinomas </w:t>
            </w:r>
          </w:p>
        </w:tc>
        <w:tc>
          <w:tcPr>
            <w:tcW w:w="4643" w:type="dxa"/>
          </w:tcPr>
          <w:p w14:paraId="4C8B6DC9" w14:textId="77777777" w:rsidR="00DE3708" w:rsidRPr="001E6DB9" w:rsidRDefault="00DE3708" w:rsidP="00307CD6">
            <w:pPr>
              <w:pStyle w:val="Default"/>
              <w:contextualSpacing/>
              <w:rPr>
                <w:color w:val="auto"/>
                <w:sz w:val="22"/>
                <w:szCs w:val="22"/>
              </w:rPr>
            </w:pPr>
            <w:r w:rsidRPr="001E6DB9">
              <w:rPr>
                <w:color w:val="auto"/>
                <w:sz w:val="22"/>
                <w:szCs w:val="22"/>
              </w:rPr>
              <w:t xml:space="preserve">Buliozinis (pūslinis) dermatitas, išbėrimas, niežulys </w:t>
            </w:r>
          </w:p>
        </w:tc>
      </w:tr>
      <w:tr w:rsidR="00DE3708" w:rsidRPr="001E6DB9" w14:paraId="2F2430A8" w14:textId="77777777" w:rsidTr="00212F3B">
        <w:tc>
          <w:tcPr>
            <w:tcW w:w="9286" w:type="dxa"/>
            <w:gridSpan w:val="2"/>
          </w:tcPr>
          <w:p w14:paraId="36211B61" w14:textId="77777777" w:rsidR="00DE3708" w:rsidRPr="001E6DB9" w:rsidRDefault="00DE3708" w:rsidP="00307CD6">
            <w:pPr>
              <w:pStyle w:val="Default"/>
              <w:contextualSpacing/>
              <w:rPr>
                <w:color w:val="auto"/>
                <w:sz w:val="22"/>
                <w:szCs w:val="22"/>
              </w:rPr>
            </w:pPr>
            <w:r w:rsidRPr="001E6DB9">
              <w:rPr>
                <w:b/>
                <w:color w:val="auto"/>
                <w:sz w:val="22"/>
                <w:szCs w:val="22"/>
              </w:rPr>
              <w:t>Skeleto, raumenų ir jungiamojo audinio sutrikimai</w:t>
            </w:r>
          </w:p>
        </w:tc>
      </w:tr>
      <w:tr w:rsidR="00DE3708" w:rsidRPr="001E6DB9" w14:paraId="00D3E224" w14:textId="77777777" w:rsidTr="00212F3B">
        <w:tc>
          <w:tcPr>
            <w:tcW w:w="4643" w:type="dxa"/>
          </w:tcPr>
          <w:p w14:paraId="1A6B5D66"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Nežinomas </w:t>
            </w:r>
          </w:p>
        </w:tc>
        <w:tc>
          <w:tcPr>
            <w:tcW w:w="4643" w:type="dxa"/>
          </w:tcPr>
          <w:p w14:paraId="23EAC6A8" w14:textId="77777777" w:rsidR="00DE3708" w:rsidRPr="001E6DB9" w:rsidRDefault="00DE3708" w:rsidP="00307CD6">
            <w:pPr>
              <w:pStyle w:val="Default"/>
              <w:contextualSpacing/>
              <w:rPr>
                <w:color w:val="auto"/>
                <w:sz w:val="22"/>
                <w:szCs w:val="22"/>
              </w:rPr>
            </w:pPr>
            <w:r w:rsidRPr="001E6DB9">
              <w:rPr>
                <w:color w:val="auto"/>
                <w:sz w:val="22"/>
                <w:szCs w:val="22"/>
              </w:rPr>
              <w:t xml:space="preserve">Raumenų skausmas </w:t>
            </w:r>
          </w:p>
        </w:tc>
      </w:tr>
      <w:tr w:rsidR="00DE3708" w:rsidRPr="001E6DB9" w14:paraId="54A60A4C" w14:textId="77777777" w:rsidTr="00212F3B">
        <w:tc>
          <w:tcPr>
            <w:tcW w:w="9286" w:type="dxa"/>
            <w:gridSpan w:val="2"/>
          </w:tcPr>
          <w:p w14:paraId="5B974103" w14:textId="77777777" w:rsidR="00DE3708" w:rsidRPr="001E6DB9" w:rsidRDefault="00DE3708" w:rsidP="00307CD6">
            <w:pPr>
              <w:pStyle w:val="Default"/>
              <w:contextualSpacing/>
              <w:rPr>
                <w:color w:val="auto"/>
                <w:sz w:val="22"/>
                <w:szCs w:val="22"/>
              </w:rPr>
            </w:pPr>
            <w:r w:rsidRPr="001E6DB9">
              <w:rPr>
                <w:b/>
                <w:color w:val="auto"/>
                <w:sz w:val="22"/>
                <w:szCs w:val="22"/>
              </w:rPr>
              <w:t>Inkstų ir šlapimo takų sutrikimai</w:t>
            </w:r>
          </w:p>
        </w:tc>
      </w:tr>
      <w:tr w:rsidR="00DE3708" w:rsidRPr="001E6DB9" w14:paraId="0C335E1F" w14:textId="77777777" w:rsidTr="00212F3B">
        <w:tc>
          <w:tcPr>
            <w:tcW w:w="4643" w:type="dxa"/>
          </w:tcPr>
          <w:p w14:paraId="00E5F4BB" w14:textId="77777777" w:rsidR="00DE3708" w:rsidRPr="001E6DB9" w:rsidRDefault="00DE3708" w:rsidP="00307CD6">
            <w:pPr>
              <w:pStyle w:val="Default"/>
              <w:contextualSpacing/>
              <w:rPr>
                <w:color w:val="auto"/>
                <w:sz w:val="22"/>
                <w:szCs w:val="22"/>
              </w:rPr>
            </w:pPr>
            <w:r w:rsidRPr="001E6DB9">
              <w:rPr>
                <w:color w:val="auto"/>
                <w:sz w:val="22"/>
                <w:szCs w:val="22"/>
              </w:rPr>
              <w:t xml:space="preserve">Dažni </w:t>
            </w:r>
          </w:p>
        </w:tc>
        <w:tc>
          <w:tcPr>
            <w:tcW w:w="4643" w:type="dxa"/>
          </w:tcPr>
          <w:p w14:paraId="10EA6BB9" w14:textId="77777777" w:rsidR="00DE3708" w:rsidRPr="001E6DB9" w:rsidRDefault="00DE3708" w:rsidP="00307CD6">
            <w:pPr>
              <w:pStyle w:val="Default"/>
              <w:contextualSpacing/>
              <w:rPr>
                <w:color w:val="auto"/>
                <w:sz w:val="22"/>
                <w:szCs w:val="22"/>
              </w:rPr>
            </w:pPr>
            <w:r w:rsidRPr="001E6DB9">
              <w:rPr>
                <w:color w:val="auto"/>
                <w:sz w:val="22"/>
                <w:szCs w:val="22"/>
              </w:rPr>
              <w:t xml:space="preserve">Inkstų nepakankamumas ir funkcijos sutrikimas </w:t>
            </w:r>
          </w:p>
        </w:tc>
      </w:tr>
      <w:tr w:rsidR="00DE3708" w:rsidRPr="001E6DB9" w14:paraId="0618FE1F" w14:textId="77777777" w:rsidTr="00212F3B">
        <w:tc>
          <w:tcPr>
            <w:tcW w:w="4643" w:type="dxa"/>
          </w:tcPr>
          <w:p w14:paraId="29AE75EF"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24EF2988" w14:textId="77777777" w:rsidR="00DE3708" w:rsidRPr="001E6DB9" w:rsidRDefault="00DE3708" w:rsidP="00307CD6">
            <w:pPr>
              <w:pStyle w:val="Default"/>
              <w:contextualSpacing/>
              <w:rPr>
                <w:color w:val="auto"/>
                <w:sz w:val="22"/>
                <w:szCs w:val="22"/>
              </w:rPr>
            </w:pPr>
            <w:r w:rsidRPr="001E6DB9">
              <w:rPr>
                <w:color w:val="auto"/>
                <w:sz w:val="22"/>
                <w:szCs w:val="22"/>
              </w:rPr>
              <w:t xml:space="preserve">Ūminis inkstų nepakankamumas, kreatinino kiekio padidėjimas kraujo serume </w:t>
            </w:r>
          </w:p>
        </w:tc>
      </w:tr>
      <w:tr w:rsidR="00DE3708" w:rsidRPr="001E6DB9" w14:paraId="7F806078" w14:textId="77777777" w:rsidTr="00212F3B">
        <w:tc>
          <w:tcPr>
            <w:tcW w:w="4643" w:type="dxa"/>
          </w:tcPr>
          <w:p w14:paraId="07D98D78"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 </w:t>
            </w:r>
          </w:p>
        </w:tc>
        <w:tc>
          <w:tcPr>
            <w:tcW w:w="4643" w:type="dxa"/>
          </w:tcPr>
          <w:p w14:paraId="4014F824" w14:textId="77777777" w:rsidR="00DE3708" w:rsidRPr="001E6DB9" w:rsidRDefault="00DE3708" w:rsidP="00307CD6">
            <w:pPr>
              <w:pStyle w:val="Default"/>
              <w:contextualSpacing/>
              <w:rPr>
                <w:color w:val="auto"/>
                <w:sz w:val="22"/>
                <w:szCs w:val="22"/>
              </w:rPr>
            </w:pPr>
            <w:r w:rsidRPr="001E6DB9">
              <w:rPr>
                <w:color w:val="auto"/>
                <w:sz w:val="22"/>
                <w:szCs w:val="22"/>
              </w:rPr>
              <w:t xml:space="preserve">Šlapalo kiekio padidėjimas kraujyje </w:t>
            </w:r>
          </w:p>
        </w:tc>
      </w:tr>
      <w:tr w:rsidR="00DE3708" w:rsidRPr="001E6DB9" w14:paraId="0E2C7762" w14:textId="77777777" w:rsidTr="00212F3B">
        <w:tc>
          <w:tcPr>
            <w:tcW w:w="9286" w:type="dxa"/>
            <w:gridSpan w:val="2"/>
          </w:tcPr>
          <w:p w14:paraId="7B01C697" w14:textId="77777777" w:rsidR="00DE3708" w:rsidRPr="001E6DB9" w:rsidRDefault="00DE3708" w:rsidP="00307CD6">
            <w:pPr>
              <w:pStyle w:val="Default"/>
              <w:contextualSpacing/>
              <w:rPr>
                <w:color w:val="auto"/>
                <w:sz w:val="22"/>
                <w:szCs w:val="22"/>
              </w:rPr>
            </w:pPr>
            <w:r w:rsidRPr="001E6DB9">
              <w:rPr>
                <w:b/>
                <w:color w:val="auto"/>
                <w:sz w:val="22"/>
                <w:szCs w:val="22"/>
              </w:rPr>
              <w:t>Bendrieji sutrikimai ir vartojimo vietos pažeidimai</w:t>
            </w:r>
          </w:p>
        </w:tc>
      </w:tr>
      <w:tr w:rsidR="00DE3708" w:rsidRPr="001E6DB9" w14:paraId="664028B5" w14:textId="77777777" w:rsidTr="00212F3B">
        <w:tc>
          <w:tcPr>
            <w:tcW w:w="4643" w:type="dxa"/>
          </w:tcPr>
          <w:p w14:paraId="5AECAD10"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44B81D13" w14:textId="77777777" w:rsidR="00DE3708" w:rsidRPr="001E6DB9" w:rsidRDefault="00DE3708" w:rsidP="00307CD6">
            <w:pPr>
              <w:pStyle w:val="Default"/>
              <w:contextualSpacing/>
              <w:rPr>
                <w:color w:val="auto"/>
                <w:sz w:val="22"/>
                <w:szCs w:val="22"/>
              </w:rPr>
            </w:pPr>
            <w:r w:rsidRPr="001E6DB9">
              <w:rPr>
                <w:color w:val="auto"/>
                <w:sz w:val="22"/>
                <w:szCs w:val="22"/>
              </w:rPr>
              <w:t xml:space="preserve">Astenija, nuovargis </w:t>
            </w:r>
          </w:p>
        </w:tc>
      </w:tr>
    </w:tbl>
    <w:p w14:paraId="46669A8B" w14:textId="77777777" w:rsidR="00DE3708" w:rsidRPr="001E6DB9" w:rsidRDefault="00DE3708" w:rsidP="00307CD6">
      <w:pPr>
        <w:autoSpaceDE w:val="0"/>
        <w:autoSpaceDN w:val="0"/>
        <w:adjustRightInd w:val="0"/>
        <w:spacing w:line="240" w:lineRule="auto"/>
        <w:contextualSpacing/>
        <w:jc w:val="both"/>
        <w:rPr>
          <w:szCs w:val="22"/>
          <w:u w:val="single"/>
        </w:rPr>
      </w:pPr>
    </w:p>
    <w:p w14:paraId="6943AAD3" w14:textId="77777777" w:rsidR="00DE3708" w:rsidRPr="001E6DB9" w:rsidRDefault="00DE3708" w:rsidP="00307CD6">
      <w:pPr>
        <w:autoSpaceDE w:val="0"/>
        <w:autoSpaceDN w:val="0"/>
        <w:adjustRightInd w:val="0"/>
        <w:spacing w:line="240" w:lineRule="auto"/>
        <w:contextualSpacing/>
        <w:jc w:val="both"/>
        <w:rPr>
          <w:snapToGrid w:val="0"/>
          <w:szCs w:val="24"/>
          <w:u w:val="single"/>
        </w:rPr>
      </w:pPr>
      <w:r w:rsidRPr="001E6DB9">
        <w:rPr>
          <w:noProof/>
          <w:snapToGrid w:val="0"/>
          <w:szCs w:val="24"/>
          <w:u w:val="single"/>
        </w:rPr>
        <w:t>Pranešimas apie įtariamas nepageidaujamas reakcijas</w:t>
      </w:r>
    </w:p>
    <w:p w14:paraId="5797FF0A" w14:textId="2690585D" w:rsidR="00375329" w:rsidRPr="00CE4A05" w:rsidRDefault="00375329" w:rsidP="00375329">
      <w:pPr>
        <w:autoSpaceDE w:val="0"/>
        <w:autoSpaceDN w:val="0"/>
        <w:adjustRightInd w:val="0"/>
      </w:pPr>
      <w:r w:rsidRPr="00CE4A05">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C677E9">
          <w:rPr>
            <w:rStyle w:val="Hipersaitas"/>
          </w:rPr>
          <w:t>https://vvkt.lrv.lt/lt/</w:t>
        </w:r>
      </w:hyperlink>
      <w:r w:rsidRPr="00CE4A05">
        <w:t xml:space="preserve"> nurodytais būdais.</w:t>
      </w:r>
    </w:p>
    <w:p w14:paraId="05F8D718" w14:textId="77777777" w:rsidR="00DE3708" w:rsidRPr="00F50D13" w:rsidRDefault="00DE3708" w:rsidP="00307CD6">
      <w:pPr>
        <w:spacing w:line="240" w:lineRule="auto"/>
        <w:contextualSpacing/>
        <w:rPr>
          <w:szCs w:val="22"/>
        </w:rPr>
      </w:pPr>
    </w:p>
    <w:p w14:paraId="366069AB" w14:textId="77777777" w:rsidR="00DE3708" w:rsidRPr="00F91FD7" w:rsidRDefault="00DE3708" w:rsidP="00307CD6">
      <w:pPr>
        <w:spacing w:line="240" w:lineRule="auto"/>
        <w:contextualSpacing/>
        <w:rPr>
          <w:b/>
          <w:szCs w:val="22"/>
        </w:rPr>
      </w:pPr>
      <w:r w:rsidRPr="00F91FD7">
        <w:rPr>
          <w:b/>
          <w:szCs w:val="22"/>
        </w:rPr>
        <w:t>4.9</w:t>
      </w:r>
      <w:r w:rsidRPr="00F91FD7">
        <w:rPr>
          <w:b/>
          <w:szCs w:val="22"/>
        </w:rPr>
        <w:tab/>
        <w:t>Perdozavimas</w:t>
      </w:r>
    </w:p>
    <w:p w14:paraId="2BC29692" w14:textId="77777777" w:rsidR="00DE3708" w:rsidRPr="00F91FD7" w:rsidRDefault="00DE3708" w:rsidP="00307CD6">
      <w:pPr>
        <w:spacing w:line="240" w:lineRule="auto"/>
        <w:contextualSpacing/>
        <w:rPr>
          <w:szCs w:val="22"/>
        </w:rPr>
      </w:pPr>
    </w:p>
    <w:p w14:paraId="63172386" w14:textId="77777777" w:rsidR="00DE3708" w:rsidRPr="0078402A" w:rsidRDefault="00DE3708" w:rsidP="00307CD6">
      <w:pPr>
        <w:spacing w:line="240" w:lineRule="auto"/>
        <w:contextualSpacing/>
        <w:rPr>
          <w:szCs w:val="22"/>
          <w:u w:val="single"/>
        </w:rPr>
      </w:pPr>
      <w:r w:rsidRPr="0078402A">
        <w:rPr>
          <w:szCs w:val="22"/>
          <w:u w:val="single"/>
        </w:rPr>
        <w:t>Simptomai</w:t>
      </w:r>
    </w:p>
    <w:p w14:paraId="09BAA646" w14:textId="77777777" w:rsidR="00DE3708" w:rsidRPr="001E6DB9" w:rsidRDefault="00DE3708" w:rsidP="00307CD6">
      <w:pPr>
        <w:pStyle w:val="Default"/>
        <w:contextualSpacing/>
        <w:rPr>
          <w:color w:val="auto"/>
          <w:sz w:val="22"/>
          <w:szCs w:val="22"/>
        </w:rPr>
      </w:pPr>
      <w:r w:rsidRPr="001E6DB9">
        <w:rPr>
          <w:color w:val="auto"/>
          <w:sz w:val="22"/>
          <w:szCs w:val="22"/>
        </w:rPr>
        <w:t xml:space="preserve">Perdozavus valsartano, gali labai sumažėti kraujospūdis, todėl gali sutrikti sąmonė, ištikti kraujotakos kolapsas ir (arba) šokas. </w:t>
      </w:r>
    </w:p>
    <w:p w14:paraId="58896FB2" w14:textId="77777777" w:rsidR="00DE3708" w:rsidRPr="001E6DB9" w:rsidRDefault="00DE3708" w:rsidP="00307CD6">
      <w:pPr>
        <w:pStyle w:val="Default"/>
        <w:contextualSpacing/>
        <w:rPr>
          <w:color w:val="auto"/>
          <w:sz w:val="22"/>
          <w:szCs w:val="22"/>
        </w:rPr>
      </w:pPr>
    </w:p>
    <w:p w14:paraId="2B8ED635"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Gydymas </w:t>
      </w:r>
    </w:p>
    <w:p w14:paraId="21BC813A" w14:textId="77777777" w:rsidR="00DE3708" w:rsidRPr="001E6DB9" w:rsidRDefault="00DE3708" w:rsidP="00307CD6">
      <w:pPr>
        <w:pStyle w:val="Default"/>
        <w:contextualSpacing/>
        <w:rPr>
          <w:color w:val="auto"/>
          <w:sz w:val="22"/>
          <w:szCs w:val="22"/>
        </w:rPr>
      </w:pPr>
      <w:r w:rsidRPr="001E6DB9">
        <w:rPr>
          <w:color w:val="auto"/>
          <w:sz w:val="22"/>
          <w:szCs w:val="22"/>
        </w:rPr>
        <w:t xml:space="preserve">Gydymo priemonės priklauso nuo laiko, praėjusio po vaistinio preparato nurijimo, ir simptomų pobūdžio bei sunkumo. Svarbiausia yra kraujotakos stabilizavimas. </w:t>
      </w:r>
    </w:p>
    <w:p w14:paraId="57B65CF8" w14:textId="77777777" w:rsidR="00DE3708" w:rsidRPr="001E6DB9" w:rsidRDefault="00DE3708" w:rsidP="00307CD6">
      <w:pPr>
        <w:pStyle w:val="Default"/>
        <w:contextualSpacing/>
        <w:rPr>
          <w:color w:val="auto"/>
          <w:sz w:val="22"/>
          <w:szCs w:val="22"/>
        </w:rPr>
      </w:pPr>
      <w:r w:rsidRPr="001E6DB9">
        <w:rPr>
          <w:color w:val="auto"/>
          <w:sz w:val="22"/>
          <w:szCs w:val="22"/>
        </w:rPr>
        <w:t xml:space="preserve">Jeigu pasireiškia hipotenzija, pacientą reikia paguldyti ant nugaros ir pradėti kraujo tūrio korekciją. </w:t>
      </w:r>
    </w:p>
    <w:p w14:paraId="0A197A34" w14:textId="77777777" w:rsidR="00DE3708" w:rsidRPr="00F50D13" w:rsidRDefault="00DE3708" w:rsidP="00307CD6">
      <w:pPr>
        <w:spacing w:line="240" w:lineRule="auto"/>
        <w:contextualSpacing/>
        <w:rPr>
          <w:szCs w:val="22"/>
        </w:rPr>
      </w:pPr>
      <w:r w:rsidRPr="00F50D13">
        <w:rPr>
          <w:szCs w:val="22"/>
        </w:rPr>
        <w:t>Hemodialize valsartano iš organizmo pašalinti neįmanoma.</w:t>
      </w:r>
    </w:p>
    <w:p w14:paraId="0E71C3C8" w14:textId="77777777" w:rsidR="00DE3708" w:rsidRPr="00F50D13" w:rsidRDefault="00DE3708" w:rsidP="00307CD6">
      <w:pPr>
        <w:spacing w:line="240" w:lineRule="auto"/>
        <w:contextualSpacing/>
        <w:rPr>
          <w:b/>
          <w:szCs w:val="22"/>
        </w:rPr>
      </w:pPr>
    </w:p>
    <w:p w14:paraId="3D708D8C" w14:textId="77777777" w:rsidR="00DE3708" w:rsidRPr="00F91FD7" w:rsidRDefault="00DE3708" w:rsidP="00307CD6">
      <w:pPr>
        <w:spacing w:line="240" w:lineRule="auto"/>
        <w:contextualSpacing/>
        <w:rPr>
          <w:b/>
          <w:szCs w:val="22"/>
        </w:rPr>
      </w:pPr>
    </w:p>
    <w:p w14:paraId="21F30F0D" w14:textId="77777777" w:rsidR="00DE3708" w:rsidRPr="00F91FD7" w:rsidRDefault="00DE3708" w:rsidP="00307CD6">
      <w:pPr>
        <w:spacing w:line="240" w:lineRule="auto"/>
        <w:contextualSpacing/>
        <w:rPr>
          <w:b/>
          <w:szCs w:val="22"/>
        </w:rPr>
      </w:pPr>
      <w:r w:rsidRPr="00F91FD7">
        <w:rPr>
          <w:b/>
          <w:szCs w:val="22"/>
        </w:rPr>
        <w:t>5.</w:t>
      </w:r>
      <w:r w:rsidRPr="00F91FD7">
        <w:rPr>
          <w:b/>
          <w:szCs w:val="22"/>
        </w:rPr>
        <w:tab/>
        <w:t>FARMAKOLOGINĖS SAVYBĖS</w:t>
      </w:r>
    </w:p>
    <w:p w14:paraId="04951B60" w14:textId="77777777" w:rsidR="00DE3708" w:rsidRPr="0078402A" w:rsidRDefault="00DE3708" w:rsidP="00307CD6">
      <w:pPr>
        <w:spacing w:line="240" w:lineRule="auto"/>
        <w:contextualSpacing/>
        <w:rPr>
          <w:b/>
          <w:szCs w:val="22"/>
        </w:rPr>
      </w:pPr>
    </w:p>
    <w:p w14:paraId="6747E772" w14:textId="77777777" w:rsidR="00DE3708" w:rsidRPr="00307CD6" w:rsidRDefault="00DE3708" w:rsidP="00307CD6">
      <w:pPr>
        <w:spacing w:line="240" w:lineRule="auto"/>
        <w:contextualSpacing/>
        <w:rPr>
          <w:b/>
          <w:szCs w:val="22"/>
        </w:rPr>
      </w:pPr>
      <w:r w:rsidRPr="00307CD6">
        <w:rPr>
          <w:b/>
          <w:szCs w:val="22"/>
        </w:rPr>
        <w:t>5.1</w:t>
      </w:r>
      <w:r w:rsidRPr="00307CD6">
        <w:rPr>
          <w:b/>
          <w:szCs w:val="22"/>
        </w:rPr>
        <w:tab/>
        <w:t>Farmakodinaminės savybės</w:t>
      </w:r>
    </w:p>
    <w:p w14:paraId="4C86FBBF" w14:textId="77777777" w:rsidR="00DE3708" w:rsidRPr="00307CD6" w:rsidRDefault="00DE3708" w:rsidP="00307CD6">
      <w:pPr>
        <w:spacing w:line="240" w:lineRule="auto"/>
        <w:contextualSpacing/>
        <w:rPr>
          <w:b/>
          <w:szCs w:val="22"/>
        </w:rPr>
      </w:pPr>
    </w:p>
    <w:p w14:paraId="7174A779" w14:textId="77777777" w:rsidR="00DE3708" w:rsidRPr="007F15BA" w:rsidRDefault="00DE3708" w:rsidP="00307CD6">
      <w:pPr>
        <w:spacing w:line="240" w:lineRule="auto"/>
        <w:contextualSpacing/>
        <w:rPr>
          <w:szCs w:val="22"/>
        </w:rPr>
      </w:pPr>
      <w:r w:rsidRPr="007F15BA">
        <w:rPr>
          <w:szCs w:val="22"/>
        </w:rPr>
        <w:t xml:space="preserve">Farmakoterapinė grupė – angiotenzino II antagonistai, gryni, ATC kodas – C09CA03. </w:t>
      </w:r>
    </w:p>
    <w:p w14:paraId="2349CC0A" w14:textId="77777777" w:rsidR="00DE3708" w:rsidRPr="007F15BA" w:rsidRDefault="00DE3708" w:rsidP="00307CD6">
      <w:pPr>
        <w:spacing w:line="240" w:lineRule="auto"/>
        <w:contextualSpacing/>
        <w:rPr>
          <w:szCs w:val="22"/>
        </w:rPr>
      </w:pPr>
    </w:p>
    <w:p w14:paraId="61255181" w14:textId="00D1F00D" w:rsidR="00DE3708" w:rsidRDefault="00DE3708" w:rsidP="00307CD6">
      <w:pPr>
        <w:pStyle w:val="Default"/>
        <w:contextualSpacing/>
        <w:rPr>
          <w:color w:val="auto"/>
          <w:sz w:val="22"/>
          <w:szCs w:val="22"/>
        </w:rPr>
      </w:pPr>
      <w:r w:rsidRPr="001E6DB9">
        <w:rPr>
          <w:color w:val="auto"/>
          <w:sz w:val="22"/>
          <w:szCs w:val="22"/>
        </w:rPr>
        <w:t>Valsartanas yra stiprus ir specifinis angiotenzino II receptorių antagonistas, veiksmingas pavartotas per burną. Jis selektyviai veikia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potipio receptorius, nuo kurių priklauso angiotenzino II sukeliamas poveikis. </w:t>
      </w:r>
      <w:proofErr w:type="spellStart"/>
      <w:r w:rsidRPr="001E6DB9">
        <w:rPr>
          <w:color w:val="auto"/>
          <w:sz w:val="22"/>
          <w:szCs w:val="22"/>
        </w:rPr>
        <w:t>Valsartanu</w:t>
      </w:r>
      <w:proofErr w:type="spellEnd"/>
      <w:r w:rsidRPr="001E6DB9">
        <w:rPr>
          <w:color w:val="auto"/>
          <w:sz w:val="22"/>
          <w:szCs w:val="22"/>
        </w:rPr>
        <w:t xml:space="preserve"> užblokavus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receptorius, kraujo plazmoje gali padaugėti </w:t>
      </w:r>
      <w:r w:rsidRPr="001E6DB9">
        <w:rPr>
          <w:color w:val="auto"/>
          <w:sz w:val="22"/>
          <w:szCs w:val="22"/>
        </w:rPr>
        <w:lastRenderedPageBreak/>
        <w:t>angiotenzino II, kuris gali stimuliuoti neblokuotus AT</w:t>
      </w:r>
      <w:r w:rsidRPr="001E6DB9">
        <w:rPr>
          <w:color w:val="auto"/>
          <w:sz w:val="22"/>
          <w:szCs w:val="22"/>
          <w:vertAlign w:val="subscript"/>
        </w:rPr>
        <w:t>2</w:t>
      </w:r>
      <w:r w:rsidRPr="001E6DB9">
        <w:rPr>
          <w:color w:val="auto"/>
          <w:position w:val="-8"/>
          <w:sz w:val="22"/>
          <w:szCs w:val="22"/>
          <w:vertAlign w:val="subscript"/>
        </w:rPr>
        <w:t xml:space="preserve"> </w:t>
      </w:r>
      <w:r w:rsidRPr="001E6DB9">
        <w:rPr>
          <w:color w:val="auto"/>
          <w:sz w:val="22"/>
          <w:szCs w:val="22"/>
        </w:rPr>
        <w:t>receptorius, taip sukeliamas priešingas poveikis nei pasireiškiantis stimuliuojant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receptorius. Valsartanui nebūdingas joks dalinis </w:t>
      </w:r>
      <w:proofErr w:type="spellStart"/>
      <w:r w:rsidRPr="001E6DB9">
        <w:rPr>
          <w:color w:val="auto"/>
          <w:sz w:val="22"/>
          <w:szCs w:val="22"/>
        </w:rPr>
        <w:t>agonistinis</w:t>
      </w:r>
      <w:proofErr w:type="spellEnd"/>
      <w:r w:rsidRPr="001E6DB9">
        <w:rPr>
          <w:color w:val="auto"/>
          <w:sz w:val="22"/>
          <w:szCs w:val="22"/>
        </w:rPr>
        <w:t xml:space="preserve"> poveikis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receptoriams, jo </w:t>
      </w:r>
      <w:proofErr w:type="spellStart"/>
      <w:r w:rsidRPr="001E6DB9">
        <w:rPr>
          <w:color w:val="auto"/>
          <w:sz w:val="22"/>
          <w:szCs w:val="22"/>
        </w:rPr>
        <w:t>afinintetas</w:t>
      </w:r>
      <w:proofErr w:type="spellEnd"/>
      <w:r w:rsidRPr="001E6DB9">
        <w:rPr>
          <w:color w:val="auto"/>
          <w:sz w:val="22"/>
          <w:szCs w:val="22"/>
        </w:rPr>
        <w:t xml:space="preserve">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receptoriams yra daug (maždaug 20</w:t>
      </w:r>
      <w:r w:rsidR="00A43B3B">
        <w:rPr>
          <w:color w:val="auto"/>
          <w:sz w:val="22"/>
          <w:szCs w:val="22"/>
        </w:rPr>
        <w:t> </w:t>
      </w:r>
      <w:r w:rsidRPr="001E6DB9">
        <w:rPr>
          <w:color w:val="auto"/>
          <w:sz w:val="22"/>
          <w:szCs w:val="22"/>
        </w:rPr>
        <w:t>000 kartų) didesnis, negu AT</w:t>
      </w:r>
      <w:r w:rsidRPr="001E6DB9">
        <w:rPr>
          <w:color w:val="auto"/>
          <w:sz w:val="22"/>
          <w:szCs w:val="22"/>
          <w:vertAlign w:val="subscript"/>
        </w:rPr>
        <w:t>2</w:t>
      </w:r>
      <w:r w:rsidRPr="001E6DB9">
        <w:rPr>
          <w:color w:val="auto"/>
          <w:position w:val="-8"/>
          <w:sz w:val="22"/>
          <w:szCs w:val="22"/>
          <w:vertAlign w:val="subscript"/>
        </w:rPr>
        <w:t xml:space="preserve"> </w:t>
      </w:r>
      <w:r w:rsidRPr="001E6DB9">
        <w:rPr>
          <w:color w:val="auto"/>
          <w:sz w:val="22"/>
          <w:szCs w:val="22"/>
        </w:rPr>
        <w:t xml:space="preserve">receptoriams. Valsartanas prie kitiems hormonams jautrių receptorių ar jonų kanalų, kurie yra svarbūs širdies ir kraujagyslių funkcijos reguliavimui, nesijungia ir jų neblokuoja. </w:t>
      </w:r>
    </w:p>
    <w:p w14:paraId="3221D9B7" w14:textId="77777777" w:rsidR="00F14EA0" w:rsidRPr="001E6DB9" w:rsidRDefault="00F14EA0" w:rsidP="00307CD6">
      <w:pPr>
        <w:pStyle w:val="Default"/>
        <w:contextualSpacing/>
        <w:rPr>
          <w:color w:val="auto"/>
          <w:sz w:val="22"/>
          <w:szCs w:val="22"/>
        </w:rPr>
      </w:pPr>
    </w:p>
    <w:p w14:paraId="6FB4B2B4"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Valsartanas neslopina AKF (kitaip dar vadinamo </w:t>
      </w:r>
      <w:proofErr w:type="spellStart"/>
      <w:r w:rsidRPr="001E6DB9">
        <w:rPr>
          <w:color w:val="auto"/>
          <w:sz w:val="22"/>
          <w:szCs w:val="22"/>
        </w:rPr>
        <w:t>kininaze</w:t>
      </w:r>
      <w:proofErr w:type="spellEnd"/>
      <w:r w:rsidRPr="001E6DB9">
        <w:rPr>
          <w:color w:val="auto"/>
          <w:sz w:val="22"/>
          <w:szCs w:val="22"/>
        </w:rPr>
        <w:t xml:space="preserve"> II), kuris </w:t>
      </w:r>
      <w:proofErr w:type="spellStart"/>
      <w:r w:rsidRPr="001E6DB9">
        <w:rPr>
          <w:color w:val="auto"/>
          <w:sz w:val="22"/>
          <w:szCs w:val="22"/>
        </w:rPr>
        <w:t>angiotenziną</w:t>
      </w:r>
      <w:proofErr w:type="spellEnd"/>
      <w:r w:rsidRPr="001E6DB9">
        <w:rPr>
          <w:color w:val="auto"/>
          <w:sz w:val="22"/>
          <w:szCs w:val="22"/>
        </w:rPr>
        <w:t xml:space="preserve"> I paverčia </w:t>
      </w:r>
      <w:proofErr w:type="spellStart"/>
      <w:r w:rsidRPr="001E6DB9">
        <w:rPr>
          <w:color w:val="auto"/>
          <w:sz w:val="22"/>
          <w:szCs w:val="22"/>
        </w:rPr>
        <w:t>angiotenzinu</w:t>
      </w:r>
      <w:proofErr w:type="spellEnd"/>
      <w:r w:rsidRPr="001E6DB9">
        <w:rPr>
          <w:color w:val="auto"/>
          <w:sz w:val="22"/>
          <w:szCs w:val="22"/>
        </w:rPr>
        <w:t xml:space="preserve"> II ir skaldo </w:t>
      </w:r>
      <w:proofErr w:type="spellStart"/>
      <w:r w:rsidRPr="001E6DB9">
        <w:rPr>
          <w:color w:val="auto"/>
          <w:sz w:val="22"/>
          <w:szCs w:val="22"/>
        </w:rPr>
        <w:t>bradikininą</w:t>
      </w:r>
      <w:proofErr w:type="spellEnd"/>
      <w:r w:rsidRPr="001E6DB9">
        <w:rPr>
          <w:color w:val="auto"/>
          <w:sz w:val="22"/>
          <w:szCs w:val="22"/>
        </w:rPr>
        <w:t xml:space="preserve">. Kadangi nėra veikiamas AKF ir nestiprinamas </w:t>
      </w:r>
      <w:proofErr w:type="spellStart"/>
      <w:r w:rsidRPr="001E6DB9">
        <w:rPr>
          <w:color w:val="auto"/>
          <w:sz w:val="22"/>
          <w:szCs w:val="22"/>
        </w:rPr>
        <w:t>bradikinino</w:t>
      </w:r>
      <w:proofErr w:type="spellEnd"/>
      <w:r w:rsidRPr="001E6DB9">
        <w:rPr>
          <w:color w:val="auto"/>
          <w:sz w:val="22"/>
          <w:szCs w:val="22"/>
        </w:rPr>
        <w:t xml:space="preserve"> bei substancijos P poveikis, angiotenzino II antagonistai nesukelia kosulio. Klinikinių tyrimų, kurių metu valsartano poveikis buvo lyginamas su AKF inhibitorių sukeliamu poveikiu, </w:t>
      </w:r>
      <w:proofErr w:type="spellStart"/>
      <w:r w:rsidRPr="001E6DB9">
        <w:rPr>
          <w:color w:val="auto"/>
          <w:sz w:val="22"/>
          <w:szCs w:val="22"/>
        </w:rPr>
        <w:t>valsartanu</w:t>
      </w:r>
      <w:proofErr w:type="spellEnd"/>
      <w:r w:rsidRPr="001E6DB9">
        <w:rPr>
          <w:color w:val="auto"/>
          <w:sz w:val="22"/>
          <w:szCs w:val="22"/>
        </w:rPr>
        <w:t xml:space="preserve"> gydomiems pacientams sausas kosulys pasireiškė daug rečiau (p</w:t>
      </w:r>
      <w:r w:rsidR="0083265C">
        <w:rPr>
          <w:color w:val="auto"/>
          <w:sz w:val="22"/>
          <w:szCs w:val="22"/>
        </w:rPr>
        <w:t> </w:t>
      </w:r>
      <w:r w:rsidRPr="001E6DB9">
        <w:rPr>
          <w:color w:val="auto"/>
          <w:sz w:val="22"/>
          <w:szCs w:val="22"/>
        </w:rPr>
        <w:t>&lt;</w:t>
      </w:r>
      <w:r w:rsidR="0083265C">
        <w:rPr>
          <w:color w:val="auto"/>
          <w:sz w:val="22"/>
          <w:szCs w:val="22"/>
        </w:rPr>
        <w:t> </w:t>
      </w:r>
      <w:r w:rsidRPr="001E6DB9">
        <w:rPr>
          <w:color w:val="auto"/>
          <w:sz w:val="22"/>
          <w:szCs w:val="22"/>
        </w:rPr>
        <w:t xml:space="preserve">0,05), negu gydomiems AKF inhibitoriais (2,6 %, palyginti su 7,9 %). Pacientų, kuriems anksčiau AKF inhibitoriai buvo sukėlę sausą kosulį, klinikinio tyrimo duomenimis, kosulys pasireiškė 19,5 % pacientų, vartojusių valsartano, 19,0 % pacientų, kurie vartojo </w:t>
      </w:r>
      <w:proofErr w:type="spellStart"/>
      <w:r w:rsidRPr="001E6DB9">
        <w:rPr>
          <w:color w:val="auto"/>
          <w:sz w:val="22"/>
          <w:szCs w:val="22"/>
        </w:rPr>
        <w:t>tiazidinį</w:t>
      </w:r>
      <w:proofErr w:type="spellEnd"/>
      <w:r w:rsidRPr="001E6DB9">
        <w:rPr>
          <w:color w:val="auto"/>
          <w:sz w:val="22"/>
          <w:szCs w:val="22"/>
        </w:rPr>
        <w:t xml:space="preserve"> diuretiką, palyginti su 68,5 % pacientų, vartojusių AKF inhibitoriaus (p</w:t>
      </w:r>
      <w:r w:rsidR="0083265C">
        <w:rPr>
          <w:color w:val="auto"/>
          <w:sz w:val="22"/>
          <w:szCs w:val="22"/>
        </w:rPr>
        <w:t> </w:t>
      </w:r>
      <w:r w:rsidRPr="001E6DB9">
        <w:rPr>
          <w:color w:val="auto"/>
          <w:sz w:val="22"/>
          <w:szCs w:val="22"/>
        </w:rPr>
        <w:t xml:space="preserve">&lt; 0,05). </w:t>
      </w:r>
    </w:p>
    <w:p w14:paraId="0238925D" w14:textId="77777777" w:rsidR="00DE3708" w:rsidRPr="001E6DB9" w:rsidRDefault="00DE3708" w:rsidP="00307CD6">
      <w:pPr>
        <w:pStyle w:val="Default"/>
        <w:shd w:val="clear" w:color="auto" w:fill="FFFFFF"/>
        <w:contextualSpacing/>
        <w:rPr>
          <w:color w:val="auto"/>
          <w:sz w:val="22"/>
          <w:szCs w:val="22"/>
        </w:rPr>
      </w:pPr>
    </w:p>
    <w:p w14:paraId="4F53ADB6" w14:textId="77777777" w:rsidR="00DE3708" w:rsidRPr="00F50D13" w:rsidRDefault="00DE3708" w:rsidP="00307CD6">
      <w:pPr>
        <w:shd w:val="clear" w:color="auto" w:fill="FFFFFF"/>
        <w:spacing w:line="240" w:lineRule="auto"/>
        <w:contextualSpacing/>
        <w:rPr>
          <w:szCs w:val="22"/>
          <w:u w:val="single"/>
        </w:rPr>
      </w:pPr>
      <w:r w:rsidRPr="00F50D13">
        <w:rPr>
          <w:szCs w:val="22"/>
          <w:u w:val="single"/>
        </w:rPr>
        <w:t>Arterinė hipertenzija (tik 80</w:t>
      </w:r>
      <w:r w:rsidR="0083265C">
        <w:rPr>
          <w:szCs w:val="22"/>
          <w:u w:val="single"/>
        </w:rPr>
        <w:t> </w:t>
      </w:r>
      <w:r w:rsidRPr="00F50D13">
        <w:rPr>
          <w:szCs w:val="22"/>
          <w:u w:val="single"/>
        </w:rPr>
        <w:t>mg, 160</w:t>
      </w:r>
      <w:r w:rsidR="0083265C">
        <w:rPr>
          <w:szCs w:val="22"/>
          <w:u w:val="single"/>
        </w:rPr>
        <w:t> </w:t>
      </w:r>
      <w:r w:rsidRPr="00F50D13">
        <w:rPr>
          <w:szCs w:val="22"/>
          <w:u w:val="single"/>
        </w:rPr>
        <w:t>mg ir 320 mg)</w:t>
      </w:r>
    </w:p>
    <w:p w14:paraId="583BF43D" w14:textId="77777777" w:rsidR="00DE3708" w:rsidRDefault="00DE3708" w:rsidP="00307CD6">
      <w:pPr>
        <w:shd w:val="clear" w:color="auto" w:fill="FFFFFF"/>
        <w:spacing w:line="240" w:lineRule="auto"/>
        <w:contextualSpacing/>
        <w:rPr>
          <w:szCs w:val="22"/>
        </w:rPr>
      </w:pPr>
      <w:r w:rsidRPr="00F50D13">
        <w:rPr>
          <w:szCs w:val="22"/>
        </w:rPr>
        <w:t>Arterine hipertenz</w:t>
      </w:r>
      <w:r w:rsidRPr="00F91FD7">
        <w:rPr>
          <w:szCs w:val="22"/>
        </w:rPr>
        <w:t>ija sergantiems pacientams valsartanas mažina kraujospūdį, tačiau pulso dažniui įtakos nedaro.</w:t>
      </w:r>
    </w:p>
    <w:p w14:paraId="4A83CE3A" w14:textId="77777777" w:rsidR="00F14EA0" w:rsidRPr="00F91FD7" w:rsidRDefault="00F14EA0" w:rsidP="00307CD6">
      <w:pPr>
        <w:shd w:val="clear" w:color="auto" w:fill="FFFFFF"/>
        <w:spacing w:line="240" w:lineRule="auto"/>
        <w:contextualSpacing/>
        <w:rPr>
          <w:szCs w:val="22"/>
        </w:rPr>
      </w:pPr>
    </w:p>
    <w:p w14:paraId="0F159FD4" w14:textId="77777777" w:rsidR="00DE3708" w:rsidRDefault="00DE3708" w:rsidP="00307CD6">
      <w:pPr>
        <w:shd w:val="clear" w:color="auto" w:fill="FFFFFF"/>
        <w:spacing w:line="240" w:lineRule="auto"/>
        <w:contextualSpacing/>
        <w:rPr>
          <w:szCs w:val="22"/>
        </w:rPr>
      </w:pPr>
      <w:r w:rsidRPr="00F91FD7">
        <w:rPr>
          <w:szCs w:val="22"/>
        </w:rPr>
        <w:t>Daugumai pacientų vienkartinės dozės sukeliamas antihipertenzinis poveikis pasireiškia per 2 val., stipriausias kraujospūdžio sumažėjimas pasiekiamas po 4–6 val.</w:t>
      </w:r>
      <w:r w:rsidRPr="0078402A">
        <w:rPr>
          <w:szCs w:val="22"/>
        </w:rPr>
        <w:t xml:space="preserve"> Antihipertenzinis poveikis po vaistinio preparato vartojimo išlieka 24 val. Vartojant kartotines vaistinio preparato dozes, antihipertenzinis poveikis iš esmės pasiekiamas per 2 savaites, o stipriausias poveikis pasiekiamas per 4 savaites ir išlieka ilgal</w:t>
      </w:r>
      <w:r w:rsidRPr="00307CD6">
        <w:rPr>
          <w:szCs w:val="22"/>
        </w:rPr>
        <w:t xml:space="preserve">aikio gydymo metu. Vartojant kartu su </w:t>
      </w:r>
      <w:proofErr w:type="spellStart"/>
      <w:r w:rsidRPr="00307CD6">
        <w:rPr>
          <w:szCs w:val="22"/>
        </w:rPr>
        <w:t>hidrochlorotiazidu</w:t>
      </w:r>
      <w:proofErr w:type="spellEnd"/>
      <w:r w:rsidRPr="00307CD6">
        <w:rPr>
          <w:szCs w:val="22"/>
        </w:rPr>
        <w:t>, kraujospūdis dar labiau reikšmingai sumažėja.</w:t>
      </w:r>
    </w:p>
    <w:p w14:paraId="0A0645AF" w14:textId="77777777" w:rsidR="00F14EA0" w:rsidRPr="00307CD6" w:rsidRDefault="00F14EA0" w:rsidP="00307CD6">
      <w:pPr>
        <w:shd w:val="clear" w:color="auto" w:fill="FFFFFF"/>
        <w:spacing w:line="240" w:lineRule="auto"/>
        <w:contextualSpacing/>
        <w:rPr>
          <w:szCs w:val="22"/>
        </w:rPr>
      </w:pPr>
    </w:p>
    <w:p w14:paraId="4BA14F6C" w14:textId="77777777" w:rsidR="00DE3708" w:rsidRDefault="00DE3708" w:rsidP="00307CD6">
      <w:pPr>
        <w:shd w:val="clear" w:color="auto" w:fill="FFFFFF"/>
        <w:spacing w:line="240" w:lineRule="auto"/>
        <w:contextualSpacing/>
        <w:rPr>
          <w:szCs w:val="22"/>
        </w:rPr>
      </w:pPr>
      <w:r w:rsidRPr="00307CD6">
        <w:rPr>
          <w:szCs w:val="22"/>
        </w:rPr>
        <w:t>Valsartano vartojimą nutraukus staiga, atoveiksmio hipertenzijos ar kitokių nepageidaujamų reiškinių neatsiranda.</w:t>
      </w:r>
    </w:p>
    <w:p w14:paraId="768DB1D5" w14:textId="77777777" w:rsidR="00F14EA0" w:rsidRPr="00307CD6" w:rsidRDefault="00F14EA0" w:rsidP="00307CD6">
      <w:pPr>
        <w:shd w:val="clear" w:color="auto" w:fill="FFFFFF"/>
        <w:spacing w:line="240" w:lineRule="auto"/>
        <w:contextualSpacing/>
        <w:rPr>
          <w:szCs w:val="22"/>
        </w:rPr>
      </w:pPr>
    </w:p>
    <w:p w14:paraId="0670C00C" w14:textId="77777777" w:rsidR="00DE3708" w:rsidRDefault="00DE3708" w:rsidP="00F14EA0">
      <w:pPr>
        <w:pStyle w:val="NormalLatinArial"/>
        <w:numPr>
          <w:ilvl w:val="0"/>
          <w:numId w:val="0"/>
        </w:numPr>
        <w:shd w:val="clear" w:color="auto" w:fill="FFFFFF"/>
        <w:contextualSpacing/>
        <w:rPr>
          <w:sz w:val="22"/>
          <w:szCs w:val="22"/>
          <w:lang w:val="lt-LT"/>
        </w:rPr>
      </w:pPr>
      <w:r w:rsidRPr="007F15BA">
        <w:rPr>
          <w:sz w:val="22"/>
          <w:szCs w:val="22"/>
          <w:lang w:val="lt-LT"/>
        </w:rPr>
        <w:t xml:space="preserve">Hipertenzija ir 2 tipo cukriniu diabetu sergantiems pacientams, kuriems pasireiškia </w:t>
      </w:r>
      <w:proofErr w:type="spellStart"/>
      <w:r w:rsidRPr="007F15BA">
        <w:rPr>
          <w:sz w:val="22"/>
          <w:szCs w:val="22"/>
          <w:lang w:val="lt-LT"/>
        </w:rPr>
        <w:t>mikroalbuminurija</w:t>
      </w:r>
      <w:proofErr w:type="spellEnd"/>
      <w:r w:rsidRPr="007F15BA">
        <w:rPr>
          <w:sz w:val="22"/>
          <w:szCs w:val="22"/>
          <w:lang w:val="lt-LT"/>
        </w:rPr>
        <w:t>, vartojant </w:t>
      </w:r>
      <w:proofErr w:type="spellStart"/>
      <w:r w:rsidRPr="007F15BA">
        <w:rPr>
          <w:sz w:val="22"/>
          <w:szCs w:val="22"/>
          <w:lang w:val="lt-LT"/>
        </w:rPr>
        <w:t>valsartano</w:t>
      </w:r>
      <w:proofErr w:type="spellEnd"/>
      <w:r w:rsidRPr="007F15BA">
        <w:rPr>
          <w:sz w:val="22"/>
          <w:szCs w:val="22"/>
          <w:lang w:val="lt-LT"/>
        </w:rPr>
        <w:t xml:space="preserve"> sumažėja </w:t>
      </w:r>
      <w:proofErr w:type="spellStart"/>
      <w:r w:rsidRPr="007F15BA">
        <w:rPr>
          <w:sz w:val="22"/>
          <w:szCs w:val="22"/>
          <w:lang w:val="lt-LT"/>
        </w:rPr>
        <w:t>albumino</w:t>
      </w:r>
      <w:proofErr w:type="spellEnd"/>
      <w:r w:rsidRPr="007F15BA">
        <w:rPr>
          <w:sz w:val="22"/>
          <w:szCs w:val="22"/>
          <w:lang w:val="lt-LT"/>
        </w:rPr>
        <w:t xml:space="preserve"> išsiskyrimas su šlapimu. MARVAL (angl.</w:t>
      </w:r>
      <w:r w:rsidRPr="007F15BA">
        <w:rPr>
          <w:i/>
          <w:sz w:val="22"/>
          <w:szCs w:val="22"/>
          <w:lang w:val="lt-LT"/>
        </w:rPr>
        <w:t xml:space="preserve"> </w:t>
      </w:r>
      <w:proofErr w:type="spellStart"/>
      <w:r w:rsidRPr="007F15BA">
        <w:rPr>
          <w:i/>
          <w:sz w:val="22"/>
          <w:szCs w:val="22"/>
          <w:lang w:val="lt-LT"/>
        </w:rPr>
        <w:t>Micro</w:t>
      </w:r>
      <w:proofErr w:type="spellEnd"/>
      <w:r w:rsidRPr="007F15BA">
        <w:rPr>
          <w:i/>
          <w:sz w:val="22"/>
          <w:szCs w:val="22"/>
          <w:lang w:val="lt-LT"/>
        </w:rPr>
        <w:t xml:space="preserve"> </w:t>
      </w:r>
      <w:proofErr w:type="spellStart"/>
      <w:r w:rsidRPr="007F15BA">
        <w:rPr>
          <w:i/>
          <w:sz w:val="22"/>
          <w:szCs w:val="22"/>
          <w:lang w:val="lt-LT"/>
        </w:rPr>
        <w:t>Albuminuria</w:t>
      </w:r>
      <w:proofErr w:type="spellEnd"/>
      <w:r w:rsidRPr="007F15BA">
        <w:rPr>
          <w:i/>
          <w:sz w:val="22"/>
          <w:szCs w:val="22"/>
          <w:lang w:val="lt-LT"/>
        </w:rPr>
        <w:t xml:space="preserve"> </w:t>
      </w:r>
      <w:proofErr w:type="spellStart"/>
      <w:r w:rsidRPr="007F15BA">
        <w:rPr>
          <w:i/>
          <w:sz w:val="22"/>
          <w:szCs w:val="22"/>
          <w:lang w:val="lt-LT"/>
        </w:rPr>
        <w:t>Reduction</w:t>
      </w:r>
      <w:proofErr w:type="spellEnd"/>
      <w:r w:rsidRPr="007F15BA">
        <w:rPr>
          <w:i/>
          <w:sz w:val="22"/>
          <w:szCs w:val="22"/>
          <w:lang w:val="lt-LT"/>
        </w:rPr>
        <w:t xml:space="preserve"> </w:t>
      </w:r>
      <w:proofErr w:type="spellStart"/>
      <w:r w:rsidRPr="007F15BA">
        <w:rPr>
          <w:i/>
          <w:sz w:val="22"/>
          <w:szCs w:val="22"/>
          <w:lang w:val="lt-LT"/>
        </w:rPr>
        <w:t>with</w:t>
      </w:r>
      <w:proofErr w:type="spellEnd"/>
      <w:r w:rsidRPr="007F15BA">
        <w:rPr>
          <w:i/>
          <w:sz w:val="22"/>
          <w:szCs w:val="22"/>
          <w:lang w:val="lt-LT"/>
        </w:rPr>
        <w:t> </w:t>
      </w:r>
      <w:proofErr w:type="spellStart"/>
      <w:r w:rsidRPr="007F15BA">
        <w:rPr>
          <w:i/>
          <w:sz w:val="22"/>
          <w:szCs w:val="22"/>
          <w:lang w:val="lt-LT"/>
        </w:rPr>
        <w:t>va</w:t>
      </w:r>
      <w:r w:rsidRPr="00D36517">
        <w:rPr>
          <w:i/>
          <w:sz w:val="22"/>
          <w:szCs w:val="22"/>
          <w:lang w:val="lt-LT"/>
        </w:rPr>
        <w:t>lsartan</w:t>
      </w:r>
      <w:proofErr w:type="spellEnd"/>
      <w:r w:rsidRPr="00D36517">
        <w:rPr>
          <w:sz w:val="22"/>
          <w:szCs w:val="22"/>
          <w:lang w:val="lt-LT"/>
        </w:rPr>
        <w:t xml:space="preserve">, „mikroalbuminurijos sumažinimo skiriant valsartano“) tyrimo metu buvo vertinamas albumino išsiskyrimas su šlapimu (AIŠ), skiriant valsartano (80–160 mg vieną kartą per parą) arba amlodipino (5–10 mg vieną kartą per parą) 332 antrojo tipo cukriniu diabetu sergantiems pacientams (amžiaus vidurkis 58 metai; 265 vyrai), kuriems pasireiškė </w:t>
      </w:r>
      <w:proofErr w:type="spellStart"/>
      <w:r w:rsidRPr="00D36517">
        <w:rPr>
          <w:sz w:val="22"/>
          <w:szCs w:val="22"/>
          <w:lang w:val="lt-LT"/>
        </w:rPr>
        <w:t>mikroalbuminurija</w:t>
      </w:r>
      <w:proofErr w:type="spellEnd"/>
      <w:r w:rsidRPr="00D36517">
        <w:rPr>
          <w:sz w:val="22"/>
          <w:szCs w:val="22"/>
          <w:lang w:val="lt-LT"/>
        </w:rPr>
        <w:t xml:space="preserve"> (</w:t>
      </w:r>
      <w:proofErr w:type="spellStart"/>
      <w:r w:rsidRPr="00D36517">
        <w:rPr>
          <w:sz w:val="22"/>
          <w:szCs w:val="22"/>
          <w:lang w:val="lt-LT"/>
        </w:rPr>
        <w:t>valsartano</w:t>
      </w:r>
      <w:proofErr w:type="spellEnd"/>
      <w:r w:rsidRPr="00D36517">
        <w:rPr>
          <w:sz w:val="22"/>
          <w:szCs w:val="22"/>
          <w:lang w:val="lt-LT"/>
        </w:rPr>
        <w:t xml:space="preserve"> vartojusiųjų grupėje – 58 µg/min.; amlodipino vartojusiųjų grupėje – 55,4 µg/min.), buvo normalus arba aukštas kraujospūdis ir išsaugot</w:t>
      </w:r>
      <w:r w:rsidRPr="009F455C">
        <w:rPr>
          <w:sz w:val="22"/>
          <w:szCs w:val="22"/>
          <w:lang w:val="lt-LT"/>
        </w:rPr>
        <w:t>a inkstų funkcija (kreatinino koncentracija kraujyje &lt;120 µ</w:t>
      </w:r>
      <w:proofErr w:type="spellStart"/>
      <w:r w:rsidRPr="009F455C">
        <w:rPr>
          <w:sz w:val="22"/>
          <w:szCs w:val="22"/>
          <w:lang w:val="lt-LT"/>
        </w:rPr>
        <w:t>mol</w:t>
      </w:r>
      <w:proofErr w:type="spellEnd"/>
      <w:r w:rsidRPr="009F455C">
        <w:rPr>
          <w:sz w:val="22"/>
          <w:szCs w:val="22"/>
          <w:lang w:val="lt-LT"/>
        </w:rPr>
        <w:t>/l). Po 24 savaičių AIŠ sumažėjo (p &lt; 0,001) 42 % (-24,2 µg/min.; 95 % PI: nuo -40,4 iki -19,1) skiriant valsartano ir apie 3 % (-1,7 µg/min.; 95 % PI: nuo -5,6 iki 14,9) skiriant amlodipino, nepaisant panašaus kraujospūdžio rodiklių sumažėjimo abejose grupėse.</w:t>
      </w:r>
    </w:p>
    <w:p w14:paraId="7DAEFB37" w14:textId="77777777" w:rsidR="00F14EA0" w:rsidRPr="000A08ED" w:rsidRDefault="00F14EA0" w:rsidP="000A08ED">
      <w:pPr>
        <w:pStyle w:val="Default"/>
      </w:pPr>
    </w:p>
    <w:p w14:paraId="2E844FB9" w14:textId="77777777" w:rsidR="00DE3708" w:rsidRPr="001E6DB9" w:rsidRDefault="00DE3708" w:rsidP="000A08ED">
      <w:pPr>
        <w:pStyle w:val="NormalLatinArial"/>
        <w:numPr>
          <w:ilvl w:val="0"/>
          <w:numId w:val="0"/>
        </w:numPr>
        <w:shd w:val="clear" w:color="auto" w:fill="FFFFFF"/>
        <w:contextualSpacing/>
        <w:rPr>
          <w:sz w:val="22"/>
          <w:szCs w:val="22"/>
          <w:lang w:val="lt-LT"/>
        </w:rPr>
      </w:pPr>
      <w:proofErr w:type="spellStart"/>
      <w:r w:rsidRPr="009F455C">
        <w:rPr>
          <w:sz w:val="22"/>
          <w:szCs w:val="22"/>
          <w:lang w:val="lt-LT"/>
        </w:rPr>
        <w:t>Diovano</w:t>
      </w:r>
      <w:proofErr w:type="spellEnd"/>
      <w:r w:rsidRPr="009F455C">
        <w:rPr>
          <w:sz w:val="22"/>
          <w:szCs w:val="22"/>
          <w:lang w:val="lt-LT"/>
        </w:rPr>
        <w:t xml:space="preserve"> </w:t>
      </w:r>
      <w:proofErr w:type="spellStart"/>
      <w:r w:rsidRPr="009F455C">
        <w:rPr>
          <w:sz w:val="22"/>
          <w:szCs w:val="22"/>
          <w:lang w:val="lt-LT"/>
        </w:rPr>
        <w:t>proteinurijos</w:t>
      </w:r>
      <w:proofErr w:type="spellEnd"/>
      <w:r w:rsidRPr="009F455C">
        <w:rPr>
          <w:sz w:val="22"/>
          <w:szCs w:val="22"/>
          <w:lang w:val="lt-LT"/>
        </w:rPr>
        <w:t xml:space="preserve"> sumažėjimo tyrimo metu (angl. </w:t>
      </w:r>
      <w:proofErr w:type="spellStart"/>
      <w:r w:rsidRPr="00FB60E5">
        <w:rPr>
          <w:i/>
          <w:sz w:val="22"/>
          <w:szCs w:val="22"/>
          <w:lang w:val="lt-LT"/>
        </w:rPr>
        <w:t>Diovan</w:t>
      </w:r>
      <w:proofErr w:type="spellEnd"/>
      <w:r w:rsidRPr="00FB60E5">
        <w:rPr>
          <w:i/>
          <w:sz w:val="22"/>
          <w:szCs w:val="22"/>
          <w:lang w:val="lt-LT"/>
        </w:rPr>
        <w:t xml:space="preserve"> </w:t>
      </w:r>
      <w:proofErr w:type="spellStart"/>
      <w:r w:rsidRPr="00FB60E5">
        <w:rPr>
          <w:i/>
          <w:sz w:val="22"/>
          <w:szCs w:val="22"/>
          <w:lang w:val="lt-LT"/>
        </w:rPr>
        <w:t>Reduction</w:t>
      </w:r>
      <w:proofErr w:type="spellEnd"/>
      <w:r w:rsidRPr="00FB60E5">
        <w:rPr>
          <w:i/>
          <w:sz w:val="22"/>
          <w:szCs w:val="22"/>
          <w:lang w:val="lt-LT"/>
        </w:rPr>
        <w:t xml:space="preserve"> </w:t>
      </w:r>
      <w:proofErr w:type="spellStart"/>
      <w:r w:rsidRPr="00FB60E5">
        <w:rPr>
          <w:i/>
          <w:sz w:val="22"/>
          <w:szCs w:val="22"/>
          <w:lang w:val="lt-LT"/>
        </w:rPr>
        <w:t>of</w:t>
      </w:r>
      <w:proofErr w:type="spellEnd"/>
      <w:r w:rsidRPr="00FB60E5">
        <w:rPr>
          <w:i/>
          <w:sz w:val="22"/>
          <w:szCs w:val="22"/>
          <w:lang w:val="lt-LT"/>
        </w:rPr>
        <w:t xml:space="preserve"> </w:t>
      </w:r>
      <w:proofErr w:type="spellStart"/>
      <w:r w:rsidRPr="00FB60E5">
        <w:rPr>
          <w:i/>
          <w:sz w:val="22"/>
          <w:szCs w:val="22"/>
          <w:lang w:val="lt-LT"/>
        </w:rPr>
        <w:t>Proteinuria</w:t>
      </w:r>
      <w:proofErr w:type="spellEnd"/>
      <w:r w:rsidRPr="00FB60E5">
        <w:rPr>
          <w:i/>
          <w:sz w:val="22"/>
          <w:szCs w:val="22"/>
          <w:lang w:val="lt-LT"/>
        </w:rPr>
        <w:t>, DROP</w:t>
      </w:r>
      <w:r w:rsidRPr="001765A8">
        <w:rPr>
          <w:sz w:val="22"/>
          <w:szCs w:val="22"/>
          <w:lang w:val="lt-LT"/>
        </w:rPr>
        <w:t xml:space="preserve">) buvo toliau tiriamas valsartano efektyvumas, mažinant AIŠ 391 hipertenzija sergančiam pacientui </w:t>
      </w:r>
      <w:r w:rsidRPr="001E6DB9">
        <w:rPr>
          <w:sz w:val="22"/>
          <w:szCs w:val="22"/>
          <w:lang w:val="lt-LT"/>
        </w:rPr>
        <w:t>(AKS = 150/88 </w:t>
      </w:r>
      <w:proofErr w:type="spellStart"/>
      <w:r w:rsidRPr="001E6DB9">
        <w:rPr>
          <w:sz w:val="22"/>
          <w:szCs w:val="22"/>
          <w:lang w:val="lt-LT"/>
        </w:rPr>
        <w:t>mmHg</w:t>
      </w:r>
      <w:proofErr w:type="spellEnd"/>
      <w:r w:rsidRPr="001E6DB9">
        <w:rPr>
          <w:sz w:val="22"/>
          <w:szCs w:val="22"/>
          <w:lang w:val="lt-LT"/>
        </w:rPr>
        <w:t>), kuris papildomai sirgo 2 tipo cukriniu diabetu, kuriam pasireiškė albuminurija (vidurkis 102 µg/min.; 20-700 µg/min.) ir buvo išsaugota inkstų funkcija (vidutinė kreatinino koncentracija serume – 80 µ</w:t>
      </w:r>
      <w:proofErr w:type="spellStart"/>
      <w:r w:rsidRPr="001E6DB9">
        <w:rPr>
          <w:sz w:val="22"/>
          <w:szCs w:val="22"/>
          <w:lang w:val="lt-LT"/>
        </w:rPr>
        <w:t>mol</w:t>
      </w:r>
      <w:proofErr w:type="spellEnd"/>
      <w:r w:rsidRPr="001E6DB9">
        <w:rPr>
          <w:sz w:val="22"/>
          <w:szCs w:val="22"/>
          <w:lang w:val="lt-LT"/>
        </w:rPr>
        <w:t>/l). Pacientai atsitiktinių imčių būdu buvo atrinkti į grupes, kuriose buvo skiriama viena iš trijų valsartano dozių (160 mg, 320 mg ir 640 mg, skiriant vieną kartą per parą) ir gydoma 30 savaičių. Tyrimo tikslas buvo nustatyti optimalią valsartano dozę, kurią skiriant hipertenzija ir 2 tipo cukriniu diabetu sergantiems pacientams sumažėtų AIŠ. Po 30 savaičių procentinis AIŠ pokytis, lyginant su pradiniu, skiriant 160 mg valsartano, reikšmingai sumažėjo 36 % (95 % PI: nuo 22 iki 47 %) ir 44 %, skiriant 320 mg valsartano (95 % PI: nuo 31 iki 54 %). Gauta išvada, kad 2 tipo cukriniu diabetu sergantiems pacientams skiriant 160–320 mg valsartano, kliniškai reikšmingai sumažėja AIŠ.</w:t>
      </w:r>
    </w:p>
    <w:p w14:paraId="24F32B00" w14:textId="77777777" w:rsidR="00DE3708" w:rsidRPr="001E6DB9" w:rsidRDefault="00DE3708" w:rsidP="00307CD6">
      <w:pPr>
        <w:pStyle w:val="NormalLatinArial"/>
        <w:numPr>
          <w:ilvl w:val="0"/>
          <w:numId w:val="0"/>
        </w:numPr>
        <w:shd w:val="clear" w:color="auto" w:fill="FFFFFF"/>
        <w:contextualSpacing/>
        <w:rPr>
          <w:sz w:val="22"/>
          <w:szCs w:val="22"/>
          <w:lang w:val="lt-LT"/>
        </w:rPr>
      </w:pPr>
    </w:p>
    <w:p w14:paraId="1FC55AB8"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Neseniai ištikęs miokardo infarktas (tik 80</w:t>
      </w:r>
      <w:r w:rsidR="0083265C">
        <w:rPr>
          <w:color w:val="auto"/>
          <w:sz w:val="22"/>
          <w:szCs w:val="22"/>
          <w:u w:val="single"/>
        </w:rPr>
        <w:t> </w:t>
      </w:r>
      <w:r w:rsidRPr="001E6DB9">
        <w:rPr>
          <w:color w:val="auto"/>
          <w:sz w:val="22"/>
          <w:szCs w:val="22"/>
          <w:u w:val="single"/>
        </w:rPr>
        <w:t>mg ir 160</w:t>
      </w:r>
      <w:r w:rsidR="0083265C">
        <w:rPr>
          <w:color w:val="auto"/>
          <w:sz w:val="22"/>
          <w:szCs w:val="22"/>
          <w:u w:val="single"/>
        </w:rPr>
        <w:t> </w:t>
      </w:r>
      <w:r w:rsidRPr="001E6DB9">
        <w:rPr>
          <w:color w:val="auto"/>
          <w:sz w:val="22"/>
          <w:szCs w:val="22"/>
          <w:u w:val="single"/>
        </w:rPr>
        <w:t>mg)</w:t>
      </w:r>
    </w:p>
    <w:p w14:paraId="713615C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lastRenderedPageBreak/>
        <w:t>Valsartano poveikis pacientams, kuriuos neseniai ištiko miokardo infarktas, buvo tiriamas atsitiktinių imčių kontroliuojamo tyrimo metu (VALIANT), atliktu keliose šalyse dvigubai aklu būdu. Tyrime dalyvavo 14703 pacientai po ūminio miokardo infarkto, kuriems buvo radiologiniu tyrimu patvirtinto stazinio širdies nepakankamumo simptomų ir požymių ir</w:t>
      </w:r>
      <w:r w:rsidR="00F91FD7">
        <w:rPr>
          <w:color w:val="auto"/>
          <w:sz w:val="22"/>
          <w:szCs w:val="22"/>
        </w:rPr>
        <w:t xml:space="preserve"> (</w:t>
      </w:r>
      <w:r w:rsidRPr="001E6DB9">
        <w:rPr>
          <w:color w:val="auto"/>
          <w:sz w:val="22"/>
          <w:szCs w:val="22"/>
        </w:rPr>
        <w:t>ar</w:t>
      </w:r>
      <w:r w:rsidR="00F91FD7">
        <w:rPr>
          <w:color w:val="auto"/>
          <w:sz w:val="22"/>
          <w:szCs w:val="22"/>
        </w:rPr>
        <w:t>ba)</w:t>
      </w:r>
      <w:r w:rsidRPr="001E6DB9">
        <w:rPr>
          <w:color w:val="auto"/>
          <w:sz w:val="22"/>
          <w:szCs w:val="22"/>
        </w:rPr>
        <w:t xml:space="preserve"> kairiojo skilvelio </w:t>
      </w:r>
      <w:proofErr w:type="spellStart"/>
      <w:r w:rsidRPr="001E6DB9">
        <w:rPr>
          <w:color w:val="auto"/>
          <w:sz w:val="22"/>
          <w:szCs w:val="22"/>
        </w:rPr>
        <w:t>sistolinės</w:t>
      </w:r>
      <w:proofErr w:type="spellEnd"/>
      <w:r w:rsidRPr="001E6DB9">
        <w:rPr>
          <w:color w:val="auto"/>
          <w:sz w:val="22"/>
          <w:szCs w:val="22"/>
        </w:rPr>
        <w:t xml:space="preserve"> funkcijos sutrikimas: išmetimo frakcija, nustatyta </w:t>
      </w:r>
      <w:proofErr w:type="spellStart"/>
      <w:r w:rsidRPr="001E6DB9">
        <w:rPr>
          <w:color w:val="auto"/>
          <w:sz w:val="22"/>
          <w:szCs w:val="22"/>
        </w:rPr>
        <w:t>radionuklidine</w:t>
      </w:r>
      <w:proofErr w:type="spellEnd"/>
      <w:r w:rsidRPr="001E6DB9">
        <w:rPr>
          <w:color w:val="auto"/>
          <w:sz w:val="22"/>
          <w:szCs w:val="22"/>
        </w:rPr>
        <w:t xml:space="preserve"> </w:t>
      </w:r>
      <w:proofErr w:type="spellStart"/>
      <w:r w:rsidRPr="001E6DB9">
        <w:rPr>
          <w:color w:val="auto"/>
          <w:sz w:val="22"/>
          <w:szCs w:val="22"/>
        </w:rPr>
        <w:t>ventrikulografija</w:t>
      </w:r>
      <w:proofErr w:type="spellEnd"/>
      <w:r w:rsidRPr="001E6DB9">
        <w:rPr>
          <w:color w:val="auto"/>
          <w:sz w:val="22"/>
          <w:szCs w:val="22"/>
        </w:rPr>
        <w:t>, buvo ≤</w:t>
      </w:r>
      <w:r w:rsidR="0083265C">
        <w:rPr>
          <w:color w:val="auto"/>
          <w:sz w:val="22"/>
          <w:szCs w:val="22"/>
        </w:rPr>
        <w:t> </w:t>
      </w:r>
      <w:r w:rsidRPr="001E6DB9">
        <w:rPr>
          <w:color w:val="auto"/>
          <w:sz w:val="22"/>
          <w:szCs w:val="22"/>
        </w:rPr>
        <w:t>40 %, nustatyta echokardiografija ar kontrastinės angiografijos būdu – ≤ 35 %. Praėjus 12</w:t>
      </w:r>
      <w:r w:rsidR="0083265C">
        <w:rPr>
          <w:color w:val="auto"/>
          <w:sz w:val="22"/>
          <w:szCs w:val="22"/>
        </w:rPr>
        <w:t> </w:t>
      </w:r>
      <w:r w:rsidRPr="001E6DB9">
        <w:rPr>
          <w:color w:val="auto"/>
          <w:sz w:val="22"/>
          <w:szCs w:val="22"/>
        </w:rPr>
        <w:t>valandų – 10</w:t>
      </w:r>
      <w:r w:rsidR="0083265C">
        <w:rPr>
          <w:color w:val="auto"/>
          <w:sz w:val="22"/>
          <w:szCs w:val="22"/>
        </w:rPr>
        <w:t> </w:t>
      </w:r>
      <w:r w:rsidRPr="001E6DB9">
        <w:rPr>
          <w:color w:val="auto"/>
          <w:sz w:val="22"/>
          <w:szCs w:val="22"/>
        </w:rPr>
        <w:t xml:space="preserve">parų nuo miokardo infarkto simptomų atsiradimo pradžios, pacientai atsitiktinių imčių būdu buvo suskirstyti į tris grupes: valsartano, kaptoprilio ar šių vaistinių preparatų derinio. Vidutinė gydymo trukmė buvo dveji metai. Pagrindinė vertinamoji baigtis buvo laikas iki mirties dėl bet kokios priežasties. </w:t>
      </w:r>
    </w:p>
    <w:p w14:paraId="50C4954B" w14:textId="77777777" w:rsidR="00F14EA0" w:rsidRDefault="00F14EA0" w:rsidP="00307CD6">
      <w:pPr>
        <w:pStyle w:val="Default"/>
        <w:shd w:val="clear" w:color="auto" w:fill="FFFFFF"/>
        <w:contextualSpacing/>
        <w:rPr>
          <w:color w:val="auto"/>
          <w:sz w:val="22"/>
          <w:szCs w:val="22"/>
        </w:rPr>
      </w:pPr>
    </w:p>
    <w:p w14:paraId="42EDE0A3" w14:textId="5E2F1EFC"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Mirtingumą po miokardo infarkto dėl bet kokios priežasties valsartanas mažino taip pat veiksmingai, kaip kaptoprilis. </w:t>
      </w:r>
      <w:proofErr w:type="spellStart"/>
      <w:r w:rsidRPr="001E6DB9">
        <w:rPr>
          <w:color w:val="auto"/>
          <w:sz w:val="22"/>
          <w:szCs w:val="22"/>
        </w:rPr>
        <w:t>Valsartanu</w:t>
      </w:r>
      <w:proofErr w:type="spellEnd"/>
      <w:r w:rsidRPr="001E6DB9">
        <w:rPr>
          <w:color w:val="auto"/>
          <w:sz w:val="22"/>
          <w:szCs w:val="22"/>
        </w:rPr>
        <w:t xml:space="preserve"> (19,9 %), </w:t>
      </w:r>
      <w:proofErr w:type="spellStart"/>
      <w:r w:rsidRPr="001E6DB9">
        <w:rPr>
          <w:color w:val="auto"/>
          <w:sz w:val="22"/>
          <w:szCs w:val="22"/>
        </w:rPr>
        <w:t>kaptopriliu</w:t>
      </w:r>
      <w:proofErr w:type="spellEnd"/>
      <w:r w:rsidRPr="001E6DB9">
        <w:rPr>
          <w:color w:val="auto"/>
          <w:sz w:val="22"/>
          <w:szCs w:val="22"/>
        </w:rPr>
        <w:t xml:space="preserve"> (19,5 %) ir </w:t>
      </w:r>
      <w:proofErr w:type="spellStart"/>
      <w:r w:rsidRPr="001E6DB9">
        <w:rPr>
          <w:color w:val="auto"/>
          <w:sz w:val="22"/>
          <w:szCs w:val="22"/>
        </w:rPr>
        <w:t>valsartanu</w:t>
      </w:r>
      <w:proofErr w:type="spellEnd"/>
      <w:r w:rsidRPr="001E6DB9">
        <w:rPr>
          <w:color w:val="auto"/>
          <w:sz w:val="22"/>
          <w:szCs w:val="22"/>
        </w:rPr>
        <w:t xml:space="preserve"> kartu su </w:t>
      </w:r>
      <w:proofErr w:type="spellStart"/>
      <w:r w:rsidRPr="001E6DB9">
        <w:rPr>
          <w:color w:val="auto"/>
          <w:sz w:val="22"/>
          <w:szCs w:val="22"/>
        </w:rPr>
        <w:t>kaptopriliu</w:t>
      </w:r>
      <w:proofErr w:type="spellEnd"/>
      <w:r w:rsidRPr="001E6DB9">
        <w:rPr>
          <w:color w:val="auto"/>
          <w:sz w:val="22"/>
          <w:szCs w:val="22"/>
        </w:rPr>
        <w:t xml:space="preserve"> (19,3 %) gydytų pacientų grupėse mirtingumas dėl bet kokios priežasties buvo panašus. Kartu su </w:t>
      </w:r>
      <w:proofErr w:type="spellStart"/>
      <w:r w:rsidRPr="001E6DB9">
        <w:rPr>
          <w:color w:val="auto"/>
          <w:sz w:val="22"/>
          <w:szCs w:val="22"/>
        </w:rPr>
        <w:t>kaptopriliu</w:t>
      </w:r>
      <w:proofErr w:type="spellEnd"/>
      <w:r w:rsidRPr="001E6DB9">
        <w:rPr>
          <w:color w:val="auto"/>
          <w:sz w:val="22"/>
          <w:szCs w:val="22"/>
        </w:rPr>
        <w:t xml:space="preserve"> pradėjus vartoti </w:t>
      </w:r>
      <w:proofErr w:type="spellStart"/>
      <w:r w:rsidRPr="001E6DB9">
        <w:rPr>
          <w:color w:val="auto"/>
          <w:sz w:val="22"/>
          <w:szCs w:val="22"/>
        </w:rPr>
        <w:t>valsartaną</w:t>
      </w:r>
      <w:proofErr w:type="spellEnd"/>
      <w:r w:rsidRPr="001E6DB9">
        <w:rPr>
          <w:color w:val="auto"/>
          <w:sz w:val="22"/>
          <w:szCs w:val="22"/>
        </w:rPr>
        <w:t xml:space="preserve">, didesnės naudos, negu gydant vien </w:t>
      </w:r>
      <w:proofErr w:type="spellStart"/>
      <w:r w:rsidRPr="001E6DB9">
        <w:rPr>
          <w:color w:val="auto"/>
          <w:sz w:val="22"/>
          <w:szCs w:val="22"/>
        </w:rPr>
        <w:t>kaptopriliu</w:t>
      </w:r>
      <w:proofErr w:type="spellEnd"/>
      <w:r w:rsidRPr="001E6DB9">
        <w:rPr>
          <w:color w:val="auto"/>
          <w:sz w:val="22"/>
          <w:szCs w:val="22"/>
        </w:rPr>
        <w:t xml:space="preserve">, nebuvo. Atsižvelgiant į tiriamųjų amžių, lytį, rasę, vartojamus vaistinius preparatus ir esamas ligas, skirtumų tarp valsartano ir kaptoprilio įtakos mirtingumui dėl bet kokios priežasties nebuvo. Valsartanas buvo veiksmingas ir ilginant laiką iki mirties dėl širdies ir kraujagyslių ligų, mažinant kardiovaskulinį mirštamumą, būtinumą ligonį guldyti į ligoninę dėl širdies funkcijos nepakankamumo, miokardo infarkto pasikartojimo, atgaivinimo po širdies sustojimo ir nemirtino smegenų insulto (antrinė kombinuota vertinamoji baigtis). </w:t>
      </w:r>
    </w:p>
    <w:p w14:paraId="324A6371" w14:textId="77777777" w:rsidR="00F14EA0" w:rsidRDefault="00F14EA0" w:rsidP="00307CD6">
      <w:pPr>
        <w:pStyle w:val="Default"/>
        <w:shd w:val="clear" w:color="auto" w:fill="FFFFFF"/>
        <w:contextualSpacing/>
        <w:rPr>
          <w:color w:val="auto"/>
          <w:sz w:val="22"/>
          <w:szCs w:val="22"/>
        </w:rPr>
      </w:pPr>
    </w:p>
    <w:p w14:paraId="3ACF9E5D" w14:textId="218CD169"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Valsartano saugumo pobūdis atitiko pacientų, kurie buvo gydomi po miokardo infarkto, klinikinės būklės kitimą. Vertinant inkstų funkciją, kreatinino kiekis padvigubėjo 4,2 % pacientų, vartojusių vien </w:t>
      </w:r>
      <w:proofErr w:type="spellStart"/>
      <w:r w:rsidRPr="001E6DB9">
        <w:rPr>
          <w:color w:val="auto"/>
          <w:sz w:val="22"/>
          <w:szCs w:val="22"/>
        </w:rPr>
        <w:t>valsartaną</w:t>
      </w:r>
      <w:proofErr w:type="spellEnd"/>
      <w:r w:rsidRPr="001E6DB9">
        <w:rPr>
          <w:color w:val="auto"/>
          <w:sz w:val="22"/>
          <w:szCs w:val="22"/>
        </w:rPr>
        <w:t>, 4,8</w:t>
      </w:r>
      <w:r w:rsidR="0083265C">
        <w:rPr>
          <w:color w:val="auto"/>
          <w:sz w:val="22"/>
          <w:szCs w:val="22"/>
        </w:rPr>
        <w:t> </w:t>
      </w:r>
      <w:r w:rsidRPr="001E6DB9">
        <w:rPr>
          <w:color w:val="auto"/>
          <w:sz w:val="22"/>
          <w:szCs w:val="22"/>
        </w:rPr>
        <w:t xml:space="preserve">% vartojusių </w:t>
      </w:r>
      <w:proofErr w:type="spellStart"/>
      <w:r w:rsidRPr="001E6DB9">
        <w:rPr>
          <w:color w:val="auto"/>
          <w:sz w:val="22"/>
          <w:szCs w:val="22"/>
        </w:rPr>
        <w:t>valsartaną</w:t>
      </w:r>
      <w:proofErr w:type="spellEnd"/>
      <w:r w:rsidRPr="001E6DB9">
        <w:rPr>
          <w:color w:val="auto"/>
          <w:sz w:val="22"/>
          <w:szCs w:val="22"/>
        </w:rPr>
        <w:t xml:space="preserve"> kartu su </w:t>
      </w:r>
      <w:proofErr w:type="spellStart"/>
      <w:r w:rsidRPr="001E6DB9">
        <w:rPr>
          <w:color w:val="auto"/>
          <w:sz w:val="22"/>
          <w:szCs w:val="22"/>
        </w:rPr>
        <w:t>kaptopriliu</w:t>
      </w:r>
      <w:proofErr w:type="spellEnd"/>
      <w:r w:rsidRPr="001E6DB9">
        <w:rPr>
          <w:color w:val="auto"/>
          <w:sz w:val="22"/>
          <w:szCs w:val="22"/>
        </w:rPr>
        <w:t xml:space="preserve"> ir 3,4</w:t>
      </w:r>
      <w:r w:rsidR="0083265C">
        <w:rPr>
          <w:color w:val="auto"/>
          <w:sz w:val="22"/>
          <w:szCs w:val="22"/>
        </w:rPr>
        <w:t> </w:t>
      </w:r>
      <w:r w:rsidRPr="001E6DB9">
        <w:rPr>
          <w:color w:val="auto"/>
          <w:sz w:val="22"/>
          <w:szCs w:val="22"/>
        </w:rPr>
        <w:t xml:space="preserve">% vartojusių tik </w:t>
      </w:r>
      <w:proofErr w:type="spellStart"/>
      <w:r w:rsidRPr="001E6DB9">
        <w:rPr>
          <w:color w:val="auto"/>
          <w:sz w:val="22"/>
          <w:szCs w:val="22"/>
        </w:rPr>
        <w:t>kaptoprilį</w:t>
      </w:r>
      <w:proofErr w:type="spellEnd"/>
      <w:r w:rsidRPr="001E6DB9">
        <w:rPr>
          <w:color w:val="auto"/>
          <w:sz w:val="22"/>
          <w:szCs w:val="22"/>
        </w:rPr>
        <w:t xml:space="preserve">. Gydymas dėl įvairių inkstų funkcijos sutrikimų nutrauktas 1,1 % pacientų, vartojusių vien </w:t>
      </w:r>
      <w:proofErr w:type="spellStart"/>
      <w:r w:rsidRPr="001E6DB9">
        <w:rPr>
          <w:color w:val="auto"/>
          <w:sz w:val="22"/>
          <w:szCs w:val="22"/>
        </w:rPr>
        <w:t>valsartaną</w:t>
      </w:r>
      <w:proofErr w:type="spellEnd"/>
      <w:r w:rsidRPr="001E6DB9">
        <w:rPr>
          <w:color w:val="auto"/>
          <w:sz w:val="22"/>
          <w:szCs w:val="22"/>
        </w:rPr>
        <w:t xml:space="preserve">, 1,3 % vartojusių </w:t>
      </w:r>
      <w:proofErr w:type="spellStart"/>
      <w:r w:rsidRPr="001E6DB9">
        <w:rPr>
          <w:color w:val="auto"/>
          <w:sz w:val="22"/>
          <w:szCs w:val="22"/>
        </w:rPr>
        <w:t>valsartaną</w:t>
      </w:r>
      <w:proofErr w:type="spellEnd"/>
      <w:r w:rsidRPr="001E6DB9">
        <w:rPr>
          <w:color w:val="auto"/>
          <w:sz w:val="22"/>
          <w:szCs w:val="22"/>
        </w:rPr>
        <w:t xml:space="preserve"> kartu su </w:t>
      </w:r>
      <w:proofErr w:type="spellStart"/>
      <w:r w:rsidRPr="001E6DB9">
        <w:rPr>
          <w:color w:val="auto"/>
          <w:sz w:val="22"/>
          <w:szCs w:val="22"/>
        </w:rPr>
        <w:t>kaptopriliu</w:t>
      </w:r>
      <w:proofErr w:type="spellEnd"/>
      <w:r w:rsidRPr="001E6DB9">
        <w:rPr>
          <w:color w:val="auto"/>
          <w:sz w:val="22"/>
          <w:szCs w:val="22"/>
        </w:rPr>
        <w:t xml:space="preserve"> ir 0,8 % vartojusių tik </w:t>
      </w:r>
      <w:proofErr w:type="spellStart"/>
      <w:r w:rsidRPr="001E6DB9">
        <w:rPr>
          <w:color w:val="auto"/>
          <w:sz w:val="22"/>
          <w:szCs w:val="22"/>
        </w:rPr>
        <w:t>kaptoprilį</w:t>
      </w:r>
      <w:proofErr w:type="spellEnd"/>
      <w:r w:rsidRPr="001E6DB9">
        <w:rPr>
          <w:color w:val="auto"/>
          <w:sz w:val="22"/>
          <w:szCs w:val="22"/>
        </w:rPr>
        <w:t xml:space="preserve">. Nustatant pacientų po miokardo infarkto būklę, būtina taip pat įvertinti inkstų funkciją. </w:t>
      </w:r>
    </w:p>
    <w:p w14:paraId="62E98523" w14:textId="77777777" w:rsidR="00F14EA0" w:rsidRDefault="00F14EA0" w:rsidP="00307CD6">
      <w:pPr>
        <w:shd w:val="clear" w:color="auto" w:fill="FFFFFF"/>
        <w:spacing w:line="240" w:lineRule="auto"/>
        <w:contextualSpacing/>
        <w:rPr>
          <w:szCs w:val="22"/>
        </w:rPr>
      </w:pPr>
    </w:p>
    <w:p w14:paraId="49FB24C2" w14:textId="1BD559FA" w:rsidR="00DE3708" w:rsidRPr="00F50D13" w:rsidRDefault="00DE3708" w:rsidP="00307CD6">
      <w:pPr>
        <w:shd w:val="clear" w:color="auto" w:fill="FFFFFF"/>
        <w:spacing w:line="240" w:lineRule="auto"/>
        <w:contextualSpacing/>
        <w:rPr>
          <w:szCs w:val="22"/>
        </w:rPr>
      </w:pPr>
      <w:r w:rsidRPr="00F50D13">
        <w:rPr>
          <w:szCs w:val="22"/>
        </w:rPr>
        <w:t>Vartojant beta adrenoblokatorių kartu su valsartano ir kaptoprilio deriniu, vien tik valsartano ar vien tik kaptoprilio mirtingumas dėl bet kokios priežasties nesiskyrė nuo mirtingumo ar ligotumo dėl širdies ir kraujagyslių ligų. Nepriklausomai nuo gydymo, beta adrenoblokatorių vartojusių pacientų grupėje mirtingumas buvo mažesnis, kas rodo, kad žinomas palankus beta adrenoblokatorių poveikis minėtos populiacijos pacientams pasireiškė ir šio tyrimo metu.</w:t>
      </w:r>
    </w:p>
    <w:p w14:paraId="42BE118D" w14:textId="77777777" w:rsidR="00DE3708" w:rsidRPr="00F91FD7" w:rsidRDefault="00DE3708" w:rsidP="00307CD6">
      <w:pPr>
        <w:shd w:val="clear" w:color="auto" w:fill="FFFFFF"/>
        <w:spacing w:line="240" w:lineRule="auto"/>
        <w:contextualSpacing/>
        <w:rPr>
          <w:szCs w:val="22"/>
        </w:rPr>
      </w:pPr>
    </w:p>
    <w:p w14:paraId="10B4175B" w14:textId="77777777" w:rsidR="00DE3708" w:rsidRPr="001E6DB9" w:rsidRDefault="00DE3708" w:rsidP="00307CD6">
      <w:pPr>
        <w:pStyle w:val="Default"/>
        <w:keepNext/>
        <w:keepLines/>
        <w:shd w:val="clear" w:color="auto" w:fill="FFFFFF"/>
        <w:contextualSpacing/>
        <w:rPr>
          <w:color w:val="auto"/>
          <w:sz w:val="22"/>
          <w:szCs w:val="22"/>
          <w:u w:val="single"/>
          <w:lang w:val="de-DE"/>
        </w:rPr>
      </w:pPr>
      <w:r w:rsidRPr="001E6DB9">
        <w:rPr>
          <w:color w:val="auto"/>
          <w:sz w:val="22"/>
          <w:szCs w:val="22"/>
          <w:u w:val="single"/>
        </w:rPr>
        <w:t xml:space="preserve">Širdies nepakankamumas </w:t>
      </w:r>
      <w:r w:rsidRPr="001E6DB9">
        <w:rPr>
          <w:color w:val="auto"/>
          <w:sz w:val="22"/>
          <w:szCs w:val="22"/>
          <w:u w:val="single"/>
          <w:lang w:val="de-DE"/>
        </w:rPr>
        <w:t>(</w:t>
      </w:r>
      <w:proofErr w:type="spellStart"/>
      <w:r w:rsidRPr="001E6DB9">
        <w:rPr>
          <w:color w:val="auto"/>
          <w:sz w:val="22"/>
          <w:szCs w:val="22"/>
          <w:u w:val="single"/>
          <w:lang w:val="de-DE"/>
        </w:rPr>
        <w:t>tik</w:t>
      </w:r>
      <w:proofErr w:type="spellEnd"/>
      <w:r w:rsidRPr="001E6DB9">
        <w:rPr>
          <w:color w:val="auto"/>
          <w:sz w:val="22"/>
          <w:szCs w:val="22"/>
          <w:u w:val="single"/>
          <w:lang w:val="de-DE"/>
        </w:rPr>
        <w:t xml:space="preserve"> 80</w:t>
      </w:r>
      <w:r w:rsidR="0083265C">
        <w:rPr>
          <w:color w:val="auto"/>
          <w:sz w:val="22"/>
          <w:szCs w:val="22"/>
          <w:u w:val="single"/>
          <w:lang w:val="de-DE"/>
        </w:rPr>
        <w:t> </w:t>
      </w:r>
      <w:r w:rsidRPr="001E6DB9">
        <w:rPr>
          <w:color w:val="auto"/>
          <w:sz w:val="22"/>
          <w:szCs w:val="22"/>
          <w:u w:val="single"/>
          <w:lang w:val="de-DE"/>
        </w:rPr>
        <w:t xml:space="preserve">mg </w:t>
      </w:r>
      <w:proofErr w:type="spellStart"/>
      <w:r w:rsidRPr="001E6DB9">
        <w:rPr>
          <w:color w:val="auto"/>
          <w:sz w:val="22"/>
          <w:szCs w:val="22"/>
          <w:u w:val="single"/>
          <w:lang w:val="de-DE"/>
        </w:rPr>
        <w:t>ir</w:t>
      </w:r>
      <w:proofErr w:type="spellEnd"/>
      <w:r w:rsidRPr="001E6DB9">
        <w:rPr>
          <w:color w:val="auto"/>
          <w:sz w:val="22"/>
          <w:szCs w:val="22"/>
          <w:u w:val="single"/>
          <w:lang w:val="de-DE"/>
        </w:rPr>
        <w:t xml:space="preserve"> 160</w:t>
      </w:r>
      <w:r w:rsidR="0083265C">
        <w:rPr>
          <w:color w:val="auto"/>
          <w:sz w:val="22"/>
          <w:szCs w:val="22"/>
          <w:u w:val="single"/>
          <w:lang w:val="de-DE"/>
        </w:rPr>
        <w:t> </w:t>
      </w:r>
      <w:r w:rsidRPr="001E6DB9">
        <w:rPr>
          <w:color w:val="auto"/>
          <w:sz w:val="22"/>
          <w:szCs w:val="22"/>
          <w:u w:val="single"/>
          <w:lang w:val="de-DE"/>
        </w:rPr>
        <w:t>mg)</w:t>
      </w:r>
    </w:p>
    <w:p w14:paraId="785A0BE7" w14:textId="77777777" w:rsidR="00F14EA0" w:rsidRDefault="00DE3708" w:rsidP="00307CD6">
      <w:pPr>
        <w:pStyle w:val="Default"/>
        <w:keepNext/>
        <w:keepLines/>
        <w:shd w:val="clear" w:color="auto" w:fill="FFFFFF"/>
        <w:contextualSpacing/>
        <w:rPr>
          <w:color w:val="auto"/>
          <w:sz w:val="22"/>
          <w:szCs w:val="22"/>
        </w:rPr>
      </w:pPr>
      <w:proofErr w:type="spellStart"/>
      <w:r w:rsidRPr="001E6DB9">
        <w:rPr>
          <w:color w:val="auto"/>
          <w:sz w:val="22"/>
          <w:szCs w:val="22"/>
        </w:rPr>
        <w:t>Val-HeFT</w:t>
      </w:r>
      <w:proofErr w:type="spellEnd"/>
      <w:r w:rsidRPr="001E6DB9">
        <w:rPr>
          <w:color w:val="auto"/>
          <w:sz w:val="22"/>
          <w:szCs w:val="22"/>
        </w:rPr>
        <w:t xml:space="preserve"> atsitiktinių imčių, kontroliuojamo tarptautinio klinikinio tyrimo metu buvo lyginta valsartano ir placebo įtaka 5010 pacientų, sirgusių II (62 %, III (36 % ) ar IV (2 %) funkcinės klasės (pagal NYHA) širdies funkcijos nepakankamumu, kurie buvo gydomi įprastiniais vaistiniais preparatais bei kurių kairiojo skilvelio išmetimo frakcija (KSIF) buvo &lt;</w:t>
      </w:r>
      <w:r w:rsidR="0083265C">
        <w:rPr>
          <w:color w:val="auto"/>
          <w:sz w:val="22"/>
          <w:szCs w:val="22"/>
        </w:rPr>
        <w:t> </w:t>
      </w:r>
      <w:r w:rsidRPr="001E6DB9">
        <w:rPr>
          <w:color w:val="auto"/>
          <w:sz w:val="22"/>
          <w:szCs w:val="22"/>
        </w:rPr>
        <w:t xml:space="preserve">40 % ir kairiojo skilvelio vidinis skersmuo (KSVS) </w:t>
      </w:r>
      <w:proofErr w:type="spellStart"/>
      <w:r w:rsidRPr="001E6DB9">
        <w:rPr>
          <w:color w:val="auto"/>
          <w:sz w:val="22"/>
          <w:szCs w:val="22"/>
        </w:rPr>
        <w:t>diastolės</w:t>
      </w:r>
      <w:proofErr w:type="spellEnd"/>
      <w:r w:rsidRPr="001E6DB9">
        <w:rPr>
          <w:color w:val="auto"/>
          <w:sz w:val="22"/>
          <w:szCs w:val="22"/>
        </w:rPr>
        <w:t xml:space="preserve"> metu buvo &gt;</w:t>
      </w:r>
      <w:r w:rsidR="0083265C">
        <w:rPr>
          <w:color w:val="auto"/>
          <w:sz w:val="22"/>
          <w:szCs w:val="22"/>
        </w:rPr>
        <w:t> </w:t>
      </w:r>
      <w:r w:rsidRPr="001E6DB9">
        <w:rPr>
          <w:color w:val="auto"/>
          <w:sz w:val="22"/>
          <w:szCs w:val="22"/>
        </w:rPr>
        <w:t>2,9</w:t>
      </w:r>
      <w:r w:rsidR="0083265C">
        <w:rPr>
          <w:color w:val="auto"/>
          <w:sz w:val="22"/>
          <w:szCs w:val="22"/>
        </w:rPr>
        <w:t> </w:t>
      </w:r>
      <w:r w:rsidRPr="001E6DB9">
        <w:rPr>
          <w:color w:val="auto"/>
          <w:sz w:val="22"/>
          <w:szCs w:val="22"/>
        </w:rPr>
        <w:t>cm/m</w:t>
      </w:r>
      <w:r w:rsidRPr="001E6DB9">
        <w:rPr>
          <w:color w:val="auto"/>
          <w:sz w:val="22"/>
          <w:szCs w:val="22"/>
          <w:vertAlign w:val="superscript"/>
        </w:rPr>
        <w:t>2</w:t>
      </w:r>
      <w:r w:rsidRPr="001E6DB9">
        <w:rPr>
          <w:color w:val="auto"/>
          <w:sz w:val="22"/>
          <w:szCs w:val="22"/>
        </w:rPr>
        <w:t>, ligotumui ir mirtingumui. Pradinio gydymo metu vartoti AKF inhibitoriai (93 %), diuretikai (86</w:t>
      </w:r>
      <w:r w:rsidR="0083265C">
        <w:rPr>
          <w:color w:val="auto"/>
          <w:sz w:val="22"/>
          <w:szCs w:val="22"/>
        </w:rPr>
        <w:t> </w:t>
      </w:r>
      <w:r w:rsidRPr="001E6DB9">
        <w:rPr>
          <w:color w:val="auto"/>
          <w:sz w:val="22"/>
          <w:szCs w:val="22"/>
        </w:rPr>
        <w:t xml:space="preserve">%), digoksinas (67 %) ir beta adrenoblokatoriai (36 %). Tiriamieji buvo sekami vidutiniškai beveik dvejus metus. </w:t>
      </w:r>
      <w:r w:rsidRPr="001E6DB9">
        <w:rPr>
          <w:color w:val="auto"/>
          <w:sz w:val="22"/>
          <w:szCs w:val="22"/>
        </w:rPr>
        <w:br/>
      </w:r>
    </w:p>
    <w:p w14:paraId="67F0BC52" w14:textId="6AD13E90" w:rsidR="00DE3708" w:rsidRPr="001E6DB9" w:rsidRDefault="00DE3708" w:rsidP="00307CD6">
      <w:pPr>
        <w:pStyle w:val="Default"/>
        <w:keepNext/>
        <w:keepLines/>
        <w:shd w:val="clear" w:color="auto" w:fill="FFFFFF"/>
        <w:contextualSpacing/>
        <w:rPr>
          <w:color w:val="auto"/>
          <w:sz w:val="22"/>
          <w:szCs w:val="22"/>
        </w:rPr>
      </w:pPr>
      <w:proofErr w:type="spellStart"/>
      <w:r w:rsidRPr="001E6DB9">
        <w:rPr>
          <w:color w:val="auto"/>
          <w:sz w:val="22"/>
          <w:szCs w:val="22"/>
        </w:rPr>
        <w:t>Val-HeFT</w:t>
      </w:r>
      <w:proofErr w:type="spellEnd"/>
      <w:r w:rsidRPr="001E6DB9">
        <w:rPr>
          <w:color w:val="auto"/>
          <w:sz w:val="22"/>
          <w:szCs w:val="22"/>
        </w:rPr>
        <w:t xml:space="preserve"> tyrimo metu vidutinė valsartano paros dozė buvo 254</w:t>
      </w:r>
      <w:r w:rsidR="0083265C">
        <w:rPr>
          <w:color w:val="auto"/>
          <w:sz w:val="22"/>
          <w:szCs w:val="22"/>
        </w:rPr>
        <w:t> </w:t>
      </w:r>
      <w:r w:rsidRPr="001E6DB9">
        <w:rPr>
          <w:color w:val="auto"/>
          <w:sz w:val="22"/>
          <w:szCs w:val="22"/>
        </w:rPr>
        <w:t xml:space="preserve">mg. Tyrimas buvo vertinamas pagal dvi pagrindines vertinamąsias baigtis: mirtingumą dėl bet kokios priežasties (laiką, per kurį įvyko mirtis) ir kombinuotą mirtingumą bei ligotumą dėl širdies nepakankamumo (laiką, per kurį pasireiškė pirmasis patologinis reiškinys), apibrėžiamą kaip mirtis, staigi mirtis, kuriai įvykus pacientą pavyko išgelbėti, guldymas į ligoninę dėl širdies nepakankamumo arba ne ligoninėje pacientui keturias valandas ar ilgiau į veną </w:t>
      </w:r>
      <w:proofErr w:type="spellStart"/>
      <w:r w:rsidRPr="001E6DB9">
        <w:rPr>
          <w:color w:val="auto"/>
          <w:sz w:val="22"/>
          <w:szCs w:val="22"/>
        </w:rPr>
        <w:t>infuzuota</w:t>
      </w:r>
      <w:proofErr w:type="spellEnd"/>
      <w:r w:rsidRPr="001E6DB9">
        <w:rPr>
          <w:color w:val="auto"/>
          <w:sz w:val="22"/>
          <w:szCs w:val="22"/>
        </w:rPr>
        <w:t xml:space="preserve"> širdies </w:t>
      </w:r>
      <w:proofErr w:type="spellStart"/>
      <w:r w:rsidRPr="001E6DB9">
        <w:rPr>
          <w:color w:val="auto"/>
          <w:sz w:val="22"/>
          <w:szCs w:val="22"/>
        </w:rPr>
        <w:t>inotropinę</w:t>
      </w:r>
      <w:proofErr w:type="spellEnd"/>
      <w:r w:rsidRPr="001E6DB9">
        <w:rPr>
          <w:color w:val="auto"/>
          <w:sz w:val="22"/>
          <w:szCs w:val="22"/>
        </w:rPr>
        <w:t xml:space="preserve"> funkciją stiprinančių arba kraujagysles plečiančių vaistinių preparatų. </w:t>
      </w:r>
    </w:p>
    <w:p w14:paraId="13D6FB54" w14:textId="77777777" w:rsidR="00F14EA0" w:rsidRDefault="00F14EA0" w:rsidP="00307CD6">
      <w:pPr>
        <w:pStyle w:val="Default"/>
        <w:shd w:val="clear" w:color="auto" w:fill="FFFFFF"/>
        <w:contextualSpacing/>
        <w:rPr>
          <w:color w:val="auto"/>
          <w:sz w:val="22"/>
          <w:szCs w:val="22"/>
        </w:rPr>
      </w:pPr>
    </w:p>
    <w:p w14:paraId="197593D2" w14:textId="2D96F8E4" w:rsidR="00DE3708" w:rsidRPr="001E6DB9" w:rsidRDefault="00DE3708" w:rsidP="00307CD6">
      <w:pPr>
        <w:pStyle w:val="Default"/>
        <w:shd w:val="clear" w:color="auto" w:fill="FFFFFF"/>
        <w:contextualSpacing/>
        <w:rPr>
          <w:color w:val="auto"/>
          <w:sz w:val="22"/>
          <w:szCs w:val="22"/>
        </w:rPr>
      </w:pPr>
      <w:r w:rsidRPr="001E6DB9">
        <w:rPr>
          <w:color w:val="auto"/>
          <w:sz w:val="22"/>
          <w:szCs w:val="22"/>
        </w:rPr>
        <w:t>Mirtingumas dėl bet kokios priežasties valsartano (19,7</w:t>
      </w:r>
      <w:r w:rsidR="0083265C">
        <w:rPr>
          <w:color w:val="auto"/>
          <w:sz w:val="22"/>
          <w:szCs w:val="22"/>
        </w:rPr>
        <w:t> </w:t>
      </w:r>
      <w:r w:rsidRPr="001E6DB9">
        <w:rPr>
          <w:color w:val="auto"/>
          <w:sz w:val="22"/>
          <w:szCs w:val="22"/>
        </w:rPr>
        <w:t>%) ir placebo (19,4</w:t>
      </w:r>
      <w:r w:rsidR="0083265C">
        <w:rPr>
          <w:color w:val="auto"/>
          <w:sz w:val="22"/>
          <w:szCs w:val="22"/>
        </w:rPr>
        <w:t> </w:t>
      </w:r>
      <w:r w:rsidRPr="001E6DB9">
        <w:rPr>
          <w:color w:val="auto"/>
          <w:sz w:val="22"/>
          <w:szCs w:val="22"/>
        </w:rPr>
        <w:t>%) grupėse buvo panašus (p=NS). Pagrindinė nauda buvo: 27,5</w:t>
      </w:r>
      <w:r w:rsidR="0083265C">
        <w:rPr>
          <w:color w:val="auto"/>
          <w:sz w:val="22"/>
          <w:szCs w:val="22"/>
        </w:rPr>
        <w:t> </w:t>
      </w:r>
      <w:r w:rsidRPr="001E6DB9">
        <w:rPr>
          <w:color w:val="auto"/>
          <w:sz w:val="22"/>
          <w:szCs w:val="22"/>
        </w:rPr>
        <w:t>% (95</w:t>
      </w:r>
      <w:r w:rsidR="0083265C">
        <w:rPr>
          <w:color w:val="auto"/>
          <w:sz w:val="22"/>
          <w:szCs w:val="22"/>
        </w:rPr>
        <w:t> </w:t>
      </w:r>
      <w:r w:rsidRPr="001E6DB9">
        <w:rPr>
          <w:color w:val="auto"/>
          <w:sz w:val="22"/>
          <w:szCs w:val="22"/>
        </w:rPr>
        <w:t>% PI: nuo 17 iki 37</w:t>
      </w:r>
      <w:r w:rsidR="0083265C">
        <w:rPr>
          <w:color w:val="auto"/>
          <w:sz w:val="22"/>
          <w:szCs w:val="22"/>
        </w:rPr>
        <w:t> </w:t>
      </w:r>
      <w:r w:rsidRPr="001E6DB9">
        <w:rPr>
          <w:color w:val="auto"/>
          <w:sz w:val="22"/>
          <w:szCs w:val="22"/>
        </w:rPr>
        <w:t>%), sutrumpėjo rizikos laikas iki pirmojo patekimo į ligoninę dėl širdies nepakankamumo (13,9</w:t>
      </w:r>
      <w:r w:rsidR="0083265C">
        <w:rPr>
          <w:color w:val="auto"/>
          <w:sz w:val="22"/>
          <w:szCs w:val="22"/>
        </w:rPr>
        <w:t> </w:t>
      </w:r>
      <w:r w:rsidRPr="001E6DB9">
        <w:rPr>
          <w:color w:val="auto"/>
          <w:sz w:val="22"/>
          <w:szCs w:val="22"/>
        </w:rPr>
        <w:t>%, palyginti su 18,5</w:t>
      </w:r>
      <w:r w:rsidR="0083265C">
        <w:rPr>
          <w:color w:val="auto"/>
          <w:sz w:val="22"/>
          <w:szCs w:val="22"/>
        </w:rPr>
        <w:t> </w:t>
      </w:r>
      <w:r w:rsidRPr="001E6DB9">
        <w:rPr>
          <w:color w:val="auto"/>
          <w:sz w:val="22"/>
          <w:szCs w:val="22"/>
        </w:rPr>
        <w:t xml:space="preserve">%). Pacientams, kuriems buvo skiriamas trijų vaistinių preparatų derinys: AKF inhibitorius, beta </w:t>
      </w:r>
      <w:proofErr w:type="spellStart"/>
      <w:r w:rsidRPr="001E6DB9">
        <w:rPr>
          <w:color w:val="auto"/>
          <w:sz w:val="22"/>
          <w:szCs w:val="22"/>
        </w:rPr>
        <w:t>adrenoblokatorius</w:t>
      </w:r>
      <w:proofErr w:type="spellEnd"/>
      <w:r w:rsidRPr="001E6DB9">
        <w:rPr>
          <w:color w:val="auto"/>
          <w:sz w:val="22"/>
          <w:szCs w:val="22"/>
        </w:rPr>
        <w:t xml:space="preserve"> ir </w:t>
      </w:r>
      <w:proofErr w:type="spellStart"/>
      <w:r w:rsidRPr="001E6DB9">
        <w:rPr>
          <w:color w:val="auto"/>
          <w:sz w:val="22"/>
          <w:szCs w:val="22"/>
        </w:rPr>
        <w:t>valsartanas</w:t>
      </w:r>
      <w:proofErr w:type="spellEnd"/>
      <w:r w:rsidRPr="001E6DB9">
        <w:rPr>
          <w:color w:val="auto"/>
          <w:sz w:val="22"/>
          <w:szCs w:val="22"/>
        </w:rPr>
        <w:t>, placebo grupėje pastebėti palankesni rezultatai (kombinuotas mirtingumas ir sergamumas placebo grupėje buvo 21,9</w:t>
      </w:r>
      <w:r w:rsidR="0083265C">
        <w:rPr>
          <w:color w:val="auto"/>
          <w:sz w:val="22"/>
          <w:szCs w:val="22"/>
        </w:rPr>
        <w:t> </w:t>
      </w:r>
      <w:r w:rsidRPr="001E6DB9">
        <w:rPr>
          <w:color w:val="auto"/>
          <w:sz w:val="22"/>
          <w:szCs w:val="22"/>
        </w:rPr>
        <w:t>%, o valsartano grupėje – 25,4</w:t>
      </w:r>
      <w:r w:rsidR="0083265C">
        <w:rPr>
          <w:color w:val="auto"/>
          <w:sz w:val="22"/>
          <w:szCs w:val="22"/>
        </w:rPr>
        <w:t> </w:t>
      </w:r>
      <w:r w:rsidRPr="001E6DB9">
        <w:rPr>
          <w:color w:val="auto"/>
          <w:sz w:val="22"/>
          <w:szCs w:val="22"/>
        </w:rPr>
        <w:t xml:space="preserve">%). </w:t>
      </w:r>
    </w:p>
    <w:p w14:paraId="0574C57B" w14:textId="77777777" w:rsidR="00F14EA0" w:rsidRDefault="00F14EA0" w:rsidP="00307CD6">
      <w:pPr>
        <w:pStyle w:val="Default"/>
        <w:shd w:val="clear" w:color="auto" w:fill="FFFFFF"/>
        <w:contextualSpacing/>
        <w:rPr>
          <w:color w:val="auto"/>
          <w:sz w:val="22"/>
          <w:szCs w:val="22"/>
        </w:rPr>
      </w:pPr>
    </w:p>
    <w:p w14:paraId="20917FE2" w14:textId="77777777" w:rsidR="00F14EA0" w:rsidRDefault="00DE3708" w:rsidP="00307CD6">
      <w:pPr>
        <w:pStyle w:val="Default"/>
        <w:shd w:val="clear" w:color="auto" w:fill="FFFFFF"/>
        <w:contextualSpacing/>
        <w:rPr>
          <w:color w:val="auto"/>
          <w:sz w:val="22"/>
          <w:szCs w:val="22"/>
        </w:rPr>
      </w:pPr>
      <w:r w:rsidRPr="001E6DB9">
        <w:rPr>
          <w:color w:val="auto"/>
          <w:sz w:val="22"/>
          <w:szCs w:val="22"/>
        </w:rPr>
        <w:t>Pacientų, kuriems nebuvo skiriamas AKF inhibitorius, pogrupyje (n=366) nauda, vertinant ligotumą, buvo didžiausia. Šiame pogrupyje mirtingumas dėl bet kokios priežasties reikšmingai sumažėjo valsartano grupėje, lyginant su placebu, 33</w:t>
      </w:r>
      <w:r w:rsidR="0083265C">
        <w:rPr>
          <w:color w:val="auto"/>
          <w:sz w:val="22"/>
          <w:szCs w:val="22"/>
        </w:rPr>
        <w:t> </w:t>
      </w:r>
      <w:r w:rsidRPr="001E6DB9">
        <w:rPr>
          <w:color w:val="auto"/>
          <w:sz w:val="22"/>
          <w:szCs w:val="22"/>
        </w:rPr>
        <w:t>% (95</w:t>
      </w:r>
      <w:r w:rsidR="0083265C">
        <w:rPr>
          <w:color w:val="auto"/>
          <w:sz w:val="22"/>
          <w:szCs w:val="22"/>
        </w:rPr>
        <w:t> </w:t>
      </w:r>
      <w:r w:rsidRPr="001E6DB9">
        <w:rPr>
          <w:color w:val="auto"/>
          <w:sz w:val="22"/>
          <w:szCs w:val="22"/>
        </w:rPr>
        <w:t>% PI: nuo –6</w:t>
      </w:r>
      <w:r w:rsidR="0083265C">
        <w:rPr>
          <w:color w:val="auto"/>
          <w:sz w:val="22"/>
          <w:szCs w:val="22"/>
        </w:rPr>
        <w:t> </w:t>
      </w:r>
      <w:r w:rsidRPr="001E6DB9">
        <w:rPr>
          <w:color w:val="auto"/>
          <w:sz w:val="22"/>
          <w:szCs w:val="22"/>
        </w:rPr>
        <w:t>% iki 58</w:t>
      </w:r>
      <w:r w:rsidR="0083265C">
        <w:rPr>
          <w:color w:val="auto"/>
          <w:sz w:val="22"/>
          <w:szCs w:val="22"/>
        </w:rPr>
        <w:t> </w:t>
      </w:r>
      <w:r w:rsidRPr="001E6DB9">
        <w:rPr>
          <w:color w:val="auto"/>
          <w:sz w:val="22"/>
          <w:szCs w:val="22"/>
        </w:rPr>
        <w:t>%) (17,3</w:t>
      </w:r>
      <w:r w:rsidR="0083265C">
        <w:rPr>
          <w:color w:val="auto"/>
          <w:sz w:val="22"/>
          <w:szCs w:val="22"/>
        </w:rPr>
        <w:t> </w:t>
      </w:r>
      <w:r w:rsidRPr="001E6DB9">
        <w:rPr>
          <w:color w:val="auto"/>
          <w:sz w:val="22"/>
          <w:szCs w:val="22"/>
        </w:rPr>
        <w:t>% valsartano grupėje, lyginant su 27,1</w:t>
      </w:r>
      <w:r w:rsidR="0083265C">
        <w:rPr>
          <w:color w:val="auto"/>
          <w:sz w:val="22"/>
          <w:szCs w:val="22"/>
        </w:rPr>
        <w:t> </w:t>
      </w:r>
      <w:r w:rsidRPr="001E6DB9">
        <w:rPr>
          <w:color w:val="auto"/>
          <w:sz w:val="22"/>
          <w:szCs w:val="22"/>
        </w:rPr>
        <w:t>% placebo grupėje), kombinuoto mirtingumo ir sergamumo rizika reikšmingai sumažėjo 44</w:t>
      </w:r>
      <w:r w:rsidR="0083265C">
        <w:rPr>
          <w:color w:val="auto"/>
          <w:sz w:val="22"/>
          <w:szCs w:val="22"/>
        </w:rPr>
        <w:t> </w:t>
      </w:r>
      <w:r w:rsidRPr="001E6DB9">
        <w:rPr>
          <w:color w:val="auto"/>
          <w:sz w:val="22"/>
          <w:szCs w:val="22"/>
        </w:rPr>
        <w:t>% (24,9</w:t>
      </w:r>
      <w:r w:rsidR="0083265C">
        <w:rPr>
          <w:color w:val="auto"/>
          <w:sz w:val="22"/>
          <w:szCs w:val="22"/>
        </w:rPr>
        <w:t> </w:t>
      </w:r>
      <w:r w:rsidRPr="001E6DB9">
        <w:rPr>
          <w:color w:val="auto"/>
          <w:sz w:val="22"/>
          <w:szCs w:val="22"/>
        </w:rPr>
        <w:t>% valsartano grupėje, palyginti su 42,5</w:t>
      </w:r>
      <w:r w:rsidR="0083265C">
        <w:rPr>
          <w:color w:val="auto"/>
          <w:sz w:val="22"/>
          <w:szCs w:val="22"/>
        </w:rPr>
        <w:t> </w:t>
      </w:r>
      <w:r w:rsidRPr="001E6DB9">
        <w:rPr>
          <w:color w:val="auto"/>
          <w:sz w:val="22"/>
          <w:szCs w:val="22"/>
        </w:rPr>
        <w:t xml:space="preserve">% placebo grupėje). </w:t>
      </w:r>
    </w:p>
    <w:p w14:paraId="4EB4A6B2" w14:textId="2B98D0DD"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Pacientų, kuriems buvo skiriama AKF inhibitorius be beta </w:t>
      </w:r>
      <w:proofErr w:type="spellStart"/>
      <w:r w:rsidRPr="001E6DB9">
        <w:rPr>
          <w:color w:val="auto"/>
          <w:sz w:val="22"/>
          <w:szCs w:val="22"/>
        </w:rPr>
        <w:t>adrenoblokatoriaus</w:t>
      </w:r>
      <w:proofErr w:type="spellEnd"/>
      <w:r w:rsidRPr="001E6DB9">
        <w:rPr>
          <w:color w:val="auto"/>
          <w:sz w:val="22"/>
          <w:szCs w:val="22"/>
        </w:rPr>
        <w:t>, mirtingumas dėl bet kokios priežasties valsartano (21,8</w:t>
      </w:r>
      <w:r w:rsidR="0083265C">
        <w:rPr>
          <w:color w:val="auto"/>
          <w:sz w:val="22"/>
          <w:szCs w:val="22"/>
        </w:rPr>
        <w:t> </w:t>
      </w:r>
      <w:r w:rsidRPr="001E6DB9">
        <w:rPr>
          <w:color w:val="auto"/>
          <w:sz w:val="22"/>
          <w:szCs w:val="22"/>
        </w:rPr>
        <w:t>%) ir placebo (22,5</w:t>
      </w:r>
      <w:r w:rsidR="0083265C">
        <w:rPr>
          <w:color w:val="auto"/>
          <w:sz w:val="22"/>
          <w:szCs w:val="22"/>
        </w:rPr>
        <w:t> </w:t>
      </w:r>
      <w:r w:rsidRPr="001E6DB9">
        <w:rPr>
          <w:color w:val="auto"/>
          <w:sz w:val="22"/>
          <w:szCs w:val="22"/>
        </w:rPr>
        <w:t xml:space="preserve">%) grupėse buvo panašus (p=NS). Kombinuoto mirtingumo ir sergamumo rizika vartojant </w:t>
      </w:r>
      <w:proofErr w:type="spellStart"/>
      <w:r w:rsidRPr="001E6DB9">
        <w:rPr>
          <w:color w:val="auto"/>
          <w:sz w:val="22"/>
          <w:szCs w:val="22"/>
        </w:rPr>
        <w:t>valsartaną</w:t>
      </w:r>
      <w:proofErr w:type="spellEnd"/>
      <w:r w:rsidRPr="001E6DB9">
        <w:rPr>
          <w:color w:val="auto"/>
          <w:sz w:val="22"/>
          <w:szCs w:val="22"/>
        </w:rPr>
        <w:t xml:space="preserve"> buvo reikšmingai mažesnė 18,3</w:t>
      </w:r>
      <w:r w:rsidR="0083265C">
        <w:rPr>
          <w:color w:val="auto"/>
          <w:sz w:val="22"/>
          <w:szCs w:val="22"/>
        </w:rPr>
        <w:t> </w:t>
      </w:r>
      <w:r w:rsidRPr="001E6DB9">
        <w:rPr>
          <w:color w:val="auto"/>
          <w:sz w:val="22"/>
          <w:szCs w:val="22"/>
        </w:rPr>
        <w:t>% (95</w:t>
      </w:r>
      <w:r w:rsidR="0083265C">
        <w:rPr>
          <w:color w:val="auto"/>
          <w:sz w:val="22"/>
          <w:szCs w:val="22"/>
        </w:rPr>
        <w:t> </w:t>
      </w:r>
      <w:r w:rsidRPr="001E6DB9">
        <w:rPr>
          <w:color w:val="auto"/>
          <w:sz w:val="22"/>
          <w:szCs w:val="22"/>
        </w:rPr>
        <w:t>% PI: nuo 8</w:t>
      </w:r>
      <w:r w:rsidR="0083265C">
        <w:rPr>
          <w:color w:val="auto"/>
          <w:sz w:val="22"/>
          <w:szCs w:val="22"/>
        </w:rPr>
        <w:t> </w:t>
      </w:r>
      <w:r w:rsidRPr="001E6DB9">
        <w:rPr>
          <w:color w:val="auto"/>
          <w:sz w:val="22"/>
          <w:szCs w:val="22"/>
        </w:rPr>
        <w:t>% iki 28</w:t>
      </w:r>
      <w:r w:rsidR="0083265C">
        <w:rPr>
          <w:color w:val="auto"/>
          <w:sz w:val="22"/>
          <w:szCs w:val="22"/>
        </w:rPr>
        <w:t> </w:t>
      </w:r>
      <w:r w:rsidRPr="001E6DB9">
        <w:rPr>
          <w:color w:val="auto"/>
          <w:sz w:val="22"/>
          <w:szCs w:val="22"/>
        </w:rPr>
        <w:t>%), palyginti su placebu (31,0</w:t>
      </w:r>
      <w:r w:rsidR="0083265C">
        <w:rPr>
          <w:color w:val="auto"/>
          <w:sz w:val="22"/>
          <w:szCs w:val="22"/>
        </w:rPr>
        <w:t> </w:t>
      </w:r>
      <w:r w:rsidRPr="001E6DB9">
        <w:rPr>
          <w:color w:val="auto"/>
          <w:sz w:val="22"/>
          <w:szCs w:val="22"/>
        </w:rPr>
        <w:t>%, palyginti su 36,3</w:t>
      </w:r>
      <w:r w:rsidR="0083265C">
        <w:rPr>
          <w:color w:val="auto"/>
          <w:sz w:val="22"/>
          <w:szCs w:val="22"/>
        </w:rPr>
        <w:t> </w:t>
      </w:r>
      <w:r w:rsidRPr="001E6DB9">
        <w:rPr>
          <w:color w:val="auto"/>
          <w:sz w:val="22"/>
          <w:szCs w:val="22"/>
        </w:rPr>
        <w:t xml:space="preserve">%). </w:t>
      </w:r>
    </w:p>
    <w:p w14:paraId="4A1831BA" w14:textId="77777777" w:rsidR="00F14EA0" w:rsidRDefault="00F14EA0" w:rsidP="00307CD6">
      <w:pPr>
        <w:shd w:val="clear" w:color="auto" w:fill="FFFFFF"/>
        <w:spacing w:line="240" w:lineRule="auto"/>
        <w:contextualSpacing/>
        <w:rPr>
          <w:szCs w:val="22"/>
        </w:rPr>
      </w:pPr>
    </w:p>
    <w:p w14:paraId="036BD87A" w14:textId="459D998B" w:rsidR="00DE3708" w:rsidRPr="00F50D13" w:rsidRDefault="00DE3708" w:rsidP="00307CD6">
      <w:pPr>
        <w:shd w:val="clear" w:color="auto" w:fill="FFFFFF"/>
        <w:spacing w:line="240" w:lineRule="auto"/>
        <w:contextualSpacing/>
        <w:rPr>
          <w:szCs w:val="22"/>
        </w:rPr>
      </w:pPr>
      <w:r w:rsidRPr="00F50D13">
        <w:rPr>
          <w:szCs w:val="22"/>
        </w:rPr>
        <w:t xml:space="preserve">Bendroje </w:t>
      </w:r>
      <w:proofErr w:type="spellStart"/>
      <w:r w:rsidRPr="00F50D13">
        <w:rPr>
          <w:szCs w:val="22"/>
        </w:rPr>
        <w:t>Val-HeFT</w:t>
      </w:r>
      <w:proofErr w:type="spellEnd"/>
      <w:r w:rsidRPr="00F50D13">
        <w:rPr>
          <w:szCs w:val="22"/>
        </w:rPr>
        <w:t xml:space="preserve"> populiacijoje </w:t>
      </w:r>
      <w:proofErr w:type="spellStart"/>
      <w:r w:rsidRPr="00F50D13">
        <w:rPr>
          <w:szCs w:val="22"/>
        </w:rPr>
        <w:t>valsartanu</w:t>
      </w:r>
      <w:proofErr w:type="spellEnd"/>
      <w:r w:rsidRPr="00F50D13">
        <w:rPr>
          <w:szCs w:val="22"/>
        </w:rPr>
        <w:t xml:space="preserve"> gydytų pacientų būklė, palyginti su placebo grupe, reikšmingai pagerėjo, vertinant pagal NYHA klasės kriterijus, širdies nepakankamumo požymius ir simptomus: dusulį, nuovargį, edemą ir karkalus. </w:t>
      </w:r>
      <w:proofErr w:type="spellStart"/>
      <w:r w:rsidRPr="00F50D13">
        <w:rPr>
          <w:szCs w:val="22"/>
        </w:rPr>
        <w:t>Valsartanu</w:t>
      </w:r>
      <w:proofErr w:type="spellEnd"/>
      <w:r w:rsidRPr="00F50D13">
        <w:rPr>
          <w:szCs w:val="22"/>
        </w:rPr>
        <w:t xml:space="preserve"> gydytų pacientų gyvenimo kokybė, lyginant tyrimo pradžią ir pabaigą, buvo geresnė nei tų, kuriems buvo skiriamas placebas; tai paaiškėjo, įvertinus pokyčius pagal Minesotos gyvenimo kokybės skalę, pagal kurią vertinamas gyvenimas esant širdies nepakankamumui. </w:t>
      </w:r>
      <w:proofErr w:type="spellStart"/>
      <w:r w:rsidRPr="00F50D13">
        <w:rPr>
          <w:szCs w:val="22"/>
        </w:rPr>
        <w:t>Valsartanu</w:t>
      </w:r>
      <w:proofErr w:type="spellEnd"/>
      <w:r w:rsidRPr="00F50D13">
        <w:rPr>
          <w:szCs w:val="22"/>
        </w:rPr>
        <w:t xml:space="preserve"> gydytų pacientų grupėje, palyginti su placebo grupe (buvo vertinama pradinė ir galutinė reikšmė) reikšmingai padidėjo išmetimo frakcija ir reikšmingai sumažėjo kairiojo skilvelio vidinis skersmuo </w:t>
      </w:r>
      <w:proofErr w:type="spellStart"/>
      <w:r w:rsidRPr="00F50D13">
        <w:rPr>
          <w:szCs w:val="22"/>
        </w:rPr>
        <w:t>diastolės</w:t>
      </w:r>
      <w:proofErr w:type="spellEnd"/>
      <w:r w:rsidRPr="00F50D13">
        <w:rPr>
          <w:szCs w:val="22"/>
        </w:rPr>
        <w:t xml:space="preserve"> metu.</w:t>
      </w:r>
    </w:p>
    <w:p w14:paraId="5B5C83AE" w14:textId="77777777" w:rsidR="00DE3708" w:rsidRDefault="00DE3708" w:rsidP="00307CD6">
      <w:pPr>
        <w:pStyle w:val="Default"/>
        <w:shd w:val="clear" w:color="auto" w:fill="FFFFFF"/>
        <w:contextualSpacing/>
        <w:rPr>
          <w:iCs/>
          <w:color w:val="auto"/>
          <w:sz w:val="22"/>
          <w:szCs w:val="22"/>
        </w:rPr>
      </w:pPr>
    </w:p>
    <w:p w14:paraId="6030EAFA" w14:textId="77777777" w:rsidR="00F14EA0" w:rsidRPr="000A08ED" w:rsidRDefault="00F14EA0" w:rsidP="00F14EA0">
      <w:pPr>
        <w:pStyle w:val="Default"/>
        <w:shd w:val="clear" w:color="auto" w:fill="FFFFFF"/>
        <w:contextualSpacing/>
        <w:rPr>
          <w:iCs/>
          <w:color w:val="auto"/>
          <w:sz w:val="22"/>
          <w:szCs w:val="22"/>
          <w:u w:val="single"/>
        </w:rPr>
      </w:pPr>
      <w:r w:rsidRPr="000A08ED">
        <w:rPr>
          <w:iCs/>
          <w:color w:val="auto"/>
          <w:sz w:val="22"/>
          <w:szCs w:val="22"/>
          <w:u w:val="single"/>
        </w:rPr>
        <w:t xml:space="preserve">Kita: dvigubas </w:t>
      </w:r>
      <w:proofErr w:type="spellStart"/>
      <w:r w:rsidRPr="000A08ED">
        <w:rPr>
          <w:iCs/>
          <w:color w:val="auto"/>
          <w:sz w:val="22"/>
          <w:szCs w:val="22"/>
          <w:u w:val="single"/>
        </w:rPr>
        <w:t>renino</w:t>
      </w:r>
      <w:proofErr w:type="spellEnd"/>
      <w:r w:rsidRPr="000A08ED">
        <w:rPr>
          <w:iCs/>
          <w:color w:val="auto"/>
          <w:sz w:val="22"/>
          <w:szCs w:val="22"/>
          <w:u w:val="single"/>
        </w:rPr>
        <w:t xml:space="preserve">, </w:t>
      </w:r>
      <w:proofErr w:type="spellStart"/>
      <w:r w:rsidRPr="000A08ED">
        <w:rPr>
          <w:iCs/>
          <w:color w:val="auto"/>
          <w:sz w:val="22"/>
          <w:szCs w:val="22"/>
          <w:u w:val="single"/>
        </w:rPr>
        <w:t>angiotenzino</w:t>
      </w:r>
      <w:proofErr w:type="spellEnd"/>
      <w:r w:rsidRPr="000A08ED">
        <w:rPr>
          <w:iCs/>
          <w:color w:val="auto"/>
          <w:sz w:val="22"/>
          <w:szCs w:val="22"/>
          <w:u w:val="single"/>
        </w:rPr>
        <w:t xml:space="preserve"> ir </w:t>
      </w:r>
      <w:proofErr w:type="spellStart"/>
      <w:r w:rsidRPr="000A08ED">
        <w:rPr>
          <w:iCs/>
          <w:color w:val="auto"/>
          <w:sz w:val="22"/>
          <w:szCs w:val="22"/>
          <w:u w:val="single"/>
        </w:rPr>
        <w:t>aldosterono</w:t>
      </w:r>
      <w:proofErr w:type="spellEnd"/>
      <w:r w:rsidRPr="000A08ED">
        <w:rPr>
          <w:iCs/>
          <w:color w:val="auto"/>
          <w:sz w:val="22"/>
          <w:szCs w:val="22"/>
          <w:u w:val="single"/>
        </w:rPr>
        <w:t xml:space="preserve"> sistemos (RAAS) nuslopinimas</w:t>
      </w:r>
    </w:p>
    <w:p w14:paraId="4FB35D60" w14:textId="77777777" w:rsidR="00F14EA0" w:rsidRPr="00F14EA0" w:rsidRDefault="00F14EA0" w:rsidP="00F14EA0">
      <w:pPr>
        <w:pStyle w:val="Default"/>
        <w:shd w:val="clear" w:color="auto" w:fill="FFFFFF"/>
        <w:contextualSpacing/>
        <w:rPr>
          <w:iCs/>
          <w:color w:val="auto"/>
          <w:sz w:val="22"/>
          <w:szCs w:val="22"/>
        </w:rPr>
      </w:pPr>
      <w:r w:rsidRPr="00F14EA0">
        <w:rPr>
          <w:iCs/>
          <w:color w:val="auto"/>
          <w:sz w:val="22"/>
          <w:szCs w:val="22"/>
        </w:rPr>
        <w:t>Dviem dideliais atsitiktinės atrankos, kontroliuojamais tyrimais (ONTARGET (angl. „</w:t>
      </w:r>
      <w:proofErr w:type="spellStart"/>
      <w:r w:rsidRPr="000A08ED">
        <w:rPr>
          <w:i/>
          <w:color w:val="auto"/>
          <w:sz w:val="22"/>
          <w:szCs w:val="22"/>
        </w:rPr>
        <w:t>ONgoing</w:t>
      </w:r>
      <w:proofErr w:type="spellEnd"/>
      <w:r w:rsidRPr="000A08ED">
        <w:rPr>
          <w:i/>
          <w:color w:val="auto"/>
          <w:sz w:val="22"/>
          <w:szCs w:val="22"/>
        </w:rPr>
        <w:t xml:space="preserve"> </w:t>
      </w:r>
      <w:proofErr w:type="spellStart"/>
      <w:r w:rsidRPr="000A08ED">
        <w:rPr>
          <w:i/>
          <w:color w:val="auto"/>
          <w:sz w:val="22"/>
          <w:szCs w:val="22"/>
        </w:rPr>
        <w:t>Telmisartan</w:t>
      </w:r>
      <w:proofErr w:type="spellEnd"/>
      <w:r w:rsidRPr="000A08ED">
        <w:rPr>
          <w:i/>
          <w:color w:val="auto"/>
          <w:sz w:val="22"/>
          <w:szCs w:val="22"/>
        </w:rPr>
        <w:t xml:space="preserve"> </w:t>
      </w:r>
      <w:proofErr w:type="spellStart"/>
      <w:r w:rsidRPr="000A08ED">
        <w:rPr>
          <w:i/>
          <w:color w:val="auto"/>
          <w:sz w:val="22"/>
          <w:szCs w:val="22"/>
        </w:rPr>
        <w:t>Alone</w:t>
      </w:r>
      <w:proofErr w:type="spellEnd"/>
      <w:r w:rsidRPr="000A08ED">
        <w:rPr>
          <w:i/>
          <w:color w:val="auto"/>
          <w:sz w:val="22"/>
          <w:szCs w:val="22"/>
        </w:rPr>
        <w:t xml:space="preserve"> </w:t>
      </w:r>
      <w:proofErr w:type="spellStart"/>
      <w:r w:rsidRPr="000A08ED">
        <w:rPr>
          <w:i/>
          <w:color w:val="auto"/>
          <w:sz w:val="22"/>
          <w:szCs w:val="22"/>
        </w:rPr>
        <w:t>and</w:t>
      </w:r>
      <w:proofErr w:type="spellEnd"/>
      <w:r w:rsidRPr="000A08ED">
        <w:rPr>
          <w:i/>
          <w:color w:val="auto"/>
          <w:sz w:val="22"/>
          <w:szCs w:val="22"/>
        </w:rPr>
        <w:t xml:space="preserve"> </w:t>
      </w:r>
      <w:proofErr w:type="spellStart"/>
      <w:r w:rsidRPr="000A08ED">
        <w:rPr>
          <w:i/>
          <w:color w:val="auto"/>
          <w:sz w:val="22"/>
          <w:szCs w:val="22"/>
        </w:rPr>
        <w:t>in</w:t>
      </w:r>
      <w:proofErr w:type="spellEnd"/>
      <w:r w:rsidRPr="000A08ED">
        <w:rPr>
          <w:i/>
          <w:color w:val="auto"/>
          <w:sz w:val="22"/>
          <w:szCs w:val="22"/>
        </w:rPr>
        <w:t xml:space="preserve"> </w:t>
      </w:r>
      <w:proofErr w:type="spellStart"/>
      <w:r w:rsidRPr="000A08ED">
        <w:rPr>
          <w:i/>
          <w:color w:val="auto"/>
          <w:sz w:val="22"/>
          <w:szCs w:val="22"/>
        </w:rPr>
        <w:t>combination</w:t>
      </w:r>
      <w:proofErr w:type="spellEnd"/>
      <w:r w:rsidRPr="000A08ED">
        <w:rPr>
          <w:i/>
          <w:color w:val="auto"/>
          <w:sz w:val="22"/>
          <w:szCs w:val="22"/>
        </w:rPr>
        <w:t xml:space="preserve"> </w:t>
      </w:r>
      <w:proofErr w:type="spellStart"/>
      <w:r w:rsidRPr="000A08ED">
        <w:rPr>
          <w:i/>
          <w:color w:val="auto"/>
          <w:sz w:val="22"/>
          <w:szCs w:val="22"/>
        </w:rPr>
        <w:t>with</w:t>
      </w:r>
      <w:proofErr w:type="spellEnd"/>
      <w:r w:rsidRPr="000A08ED">
        <w:rPr>
          <w:i/>
          <w:color w:val="auto"/>
          <w:sz w:val="22"/>
          <w:szCs w:val="22"/>
        </w:rPr>
        <w:t xml:space="preserve"> </w:t>
      </w:r>
      <w:proofErr w:type="spellStart"/>
      <w:r w:rsidRPr="000A08ED">
        <w:rPr>
          <w:i/>
          <w:color w:val="auto"/>
          <w:sz w:val="22"/>
          <w:szCs w:val="22"/>
        </w:rPr>
        <w:t>Ramipril</w:t>
      </w:r>
      <w:proofErr w:type="spellEnd"/>
      <w:r w:rsidRPr="000A08ED">
        <w:rPr>
          <w:i/>
          <w:color w:val="auto"/>
          <w:sz w:val="22"/>
          <w:szCs w:val="22"/>
        </w:rPr>
        <w:t xml:space="preserve"> Global </w:t>
      </w:r>
      <w:proofErr w:type="spellStart"/>
      <w:r w:rsidRPr="000A08ED">
        <w:rPr>
          <w:i/>
          <w:color w:val="auto"/>
          <w:sz w:val="22"/>
          <w:szCs w:val="22"/>
        </w:rPr>
        <w:t>Endpoint</w:t>
      </w:r>
      <w:proofErr w:type="spellEnd"/>
      <w:r w:rsidRPr="000A08ED">
        <w:rPr>
          <w:i/>
          <w:color w:val="auto"/>
          <w:sz w:val="22"/>
          <w:szCs w:val="22"/>
        </w:rPr>
        <w:t xml:space="preserve"> </w:t>
      </w:r>
      <w:proofErr w:type="spellStart"/>
      <w:r w:rsidRPr="000A08ED">
        <w:rPr>
          <w:i/>
          <w:color w:val="auto"/>
          <w:sz w:val="22"/>
          <w:szCs w:val="22"/>
        </w:rPr>
        <w:t>Trial</w:t>
      </w:r>
      <w:proofErr w:type="spellEnd"/>
      <w:r w:rsidRPr="00F14EA0">
        <w:rPr>
          <w:iCs/>
          <w:color w:val="auto"/>
          <w:sz w:val="22"/>
          <w:szCs w:val="22"/>
        </w:rPr>
        <w:t>“) ir VA NEPHRON-D (angl. „</w:t>
      </w:r>
      <w:proofErr w:type="spellStart"/>
      <w:r w:rsidRPr="000A08ED">
        <w:rPr>
          <w:i/>
          <w:color w:val="auto"/>
          <w:sz w:val="22"/>
          <w:szCs w:val="22"/>
        </w:rPr>
        <w:t>The</w:t>
      </w:r>
      <w:proofErr w:type="spellEnd"/>
      <w:r w:rsidRPr="000A08ED">
        <w:rPr>
          <w:i/>
          <w:color w:val="auto"/>
          <w:sz w:val="22"/>
          <w:szCs w:val="22"/>
        </w:rPr>
        <w:t xml:space="preserve"> </w:t>
      </w:r>
      <w:proofErr w:type="spellStart"/>
      <w:r w:rsidRPr="000A08ED">
        <w:rPr>
          <w:i/>
          <w:color w:val="auto"/>
          <w:sz w:val="22"/>
          <w:szCs w:val="22"/>
        </w:rPr>
        <w:t>Veterans</w:t>
      </w:r>
      <w:proofErr w:type="spellEnd"/>
      <w:r w:rsidRPr="000A08ED">
        <w:rPr>
          <w:i/>
          <w:color w:val="auto"/>
          <w:sz w:val="22"/>
          <w:szCs w:val="22"/>
        </w:rPr>
        <w:t xml:space="preserve"> Affairs </w:t>
      </w:r>
      <w:proofErr w:type="spellStart"/>
      <w:r w:rsidRPr="000A08ED">
        <w:rPr>
          <w:i/>
          <w:color w:val="auto"/>
          <w:sz w:val="22"/>
          <w:szCs w:val="22"/>
        </w:rPr>
        <w:t>Nephropathy</w:t>
      </w:r>
      <w:proofErr w:type="spellEnd"/>
      <w:r w:rsidRPr="000A08ED">
        <w:rPr>
          <w:i/>
          <w:color w:val="auto"/>
          <w:sz w:val="22"/>
          <w:szCs w:val="22"/>
        </w:rPr>
        <w:t xml:space="preserve"> </w:t>
      </w:r>
      <w:proofErr w:type="spellStart"/>
      <w:r w:rsidRPr="000A08ED">
        <w:rPr>
          <w:i/>
          <w:color w:val="auto"/>
          <w:sz w:val="22"/>
          <w:szCs w:val="22"/>
        </w:rPr>
        <w:t>in</w:t>
      </w:r>
      <w:proofErr w:type="spellEnd"/>
      <w:r w:rsidRPr="000A08ED">
        <w:rPr>
          <w:i/>
          <w:color w:val="auto"/>
          <w:sz w:val="22"/>
          <w:szCs w:val="22"/>
        </w:rPr>
        <w:t xml:space="preserve"> </w:t>
      </w:r>
      <w:proofErr w:type="spellStart"/>
      <w:r w:rsidRPr="000A08ED">
        <w:rPr>
          <w:i/>
          <w:color w:val="auto"/>
          <w:sz w:val="22"/>
          <w:szCs w:val="22"/>
        </w:rPr>
        <w:t>Diabetes</w:t>
      </w:r>
      <w:proofErr w:type="spellEnd"/>
      <w:r w:rsidRPr="00F14EA0">
        <w:rPr>
          <w:iCs/>
          <w:color w:val="auto"/>
          <w:sz w:val="22"/>
          <w:szCs w:val="22"/>
        </w:rPr>
        <w:t xml:space="preserve">“)) buvo ištirtas AKF inhibitoriaus ir angiotenzino II receptorių blokatoriaus derinio vartojimas. </w:t>
      </w:r>
    </w:p>
    <w:p w14:paraId="2F11FC93" w14:textId="77777777" w:rsidR="00F14EA0" w:rsidRPr="00F14EA0" w:rsidRDefault="00F14EA0" w:rsidP="00F14EA0">
      <w:pPr>
        <w:pStyle w:val="Default"/>
        <w:shd w:val="clear" w:color="auto" w:fill="FFFFFF"/>
        <w:contextualSpacing/>
        <w:rPr>
          <w:iCs/>
          <w:color w:val="auto"/>
          <w:sz w:val="22"/>
          <w:szCs w:val="22"/>
        </w:rPr>
      </w:pPr>
    </w:p>
    <w:p w14:paraId="60135EEE" w14:textId="01CE831B" w:rsidR="00F14EA0" w:rsidRPr="00F14EA0" w:rsidRDefault="00F14EA0" w:rsidP="00F14EA0">
      <w:pPr>
        <w:pStyle w:val="Default"/>
        <w:shd w:val="clear" w:color="auto" w:fill="FFFFFF"/>
        <w:contextualSpacing/>
        <w:rPr>
          <w:iCs/>
          <w:color w:val="auto"/>
          <w:sz w:val="22"/>
          <w:szCs w:val="22"/>
        </w:rPr>
      </w:pPr>
      <w:r w:rsidRPr="00F14EA0">
        <w:rPr>
          <w:iCs/>
          <w:color w:val="auto"/>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w:t>
      </w:r>
      <w:r w:rsidR="00671107">
        <w:rPr>
          <w:iCs/>
          <w:color w:val="auto"/>
          <w:sz w:val="22"/>
          <w:szCs w:val="22"/>
        </w:rPr>
        <w:t> </w:t>
      </w:r>
      <w:r w:rsidRPr="00F14EA0">
        <w:rPr>
          <w:iCs/>
          <w:color w:val="auto"/>
          <w:sz w:val="22"/>
          <w:szCs w:val="22"/>
        </w:rPr>
        <w:t>tipo cukriniu diabetu ir diabetine nefropatija.</w:t>
      </w:r>
    </w:p>
    <w:p w14:paraId="0D751771" w14:textId="77777777" w:rsidR="00F14EA0" w:rsidRPr="00F14EA0" w:rsidRDefault="00F14EA0" w:rsidP="00F14EA0">
      <w:pPr>
        <w:pStyle w:val="Default"/>
        <w:shd w:val="clear" w:color="auto" w:fill="FFFFFF"/>
        <w:contextualSpacing/>
        <w:rPr>
          <w:iCs/>
          <w:color w:val="auto"/>
          <w:sz w:val="22"/>
          <w:szCs w:val="22"/>
        </w:rPr>
      </w:pPr>
      <w:r w:rsidRPr="00F14EA0">
        <w:rPr>
          <w:iCs/>
          <w:color w:val="auto"/>
          <w:sz w:val="22"/>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w:t>
      </w:r>
      <w:proofErr w:type="spellStart"/>
      <w:r w:rsidRPr="00F14EA0">
        <w:rPr>
          <w:iCs/>
          <w:color w:val="auto"/>
          <w:sz w:val="22"/>
          <w:szCs w:val="22"/>
        </w:rPr>
        <w:t>farmakodinamines</w:t>
      </w:r>
      <w:proofErr w:type="spellEnd"/>
      <w:r w:rsidRPr="00F14EA0">
        <w:rPr>
          <w:iCs/>
          <w:color w:val="auto"/>
          <w:sz w:val="22"/>
          <w:szCs w:val="22"/>
        </w:rPr>
        <w:t xml:space="preserve"> savybes, šie rezultatai taip pat galioja kitiems AKF inhibitoriams ir angiotenzino II receptorių blokatoriams. </w:t>
      </w:r>
    </w:p>
    <w:p w14:paraId="6010F715" w14:textId="77777777" w:rsidR="00F14EA0" w:rsidRPr="00F14EA0" w:rsidRDefault="00F14EA0" w:rsidP="00F14EA0">
      <w:pPr>
        <w:pStyle w:val="Default"/>
        <w:shd w:val="clear" w:color="auto" w:fill="FFFFFF"/>
        <w:contextualSpacing/>
        <w:rPr>
          <w:iCs/>
          <w:color w:val="auto"/>
          <w:sz w:val="22"/>
          <w:szCs w:val="22"/>
        </w:rPr>
      </w:pPr>
      <w:r w:rsidRPr="00F14EA0">
        <w:rPr>
          <w:iCs/>
          <w:color w:val="auto"/>
          <w:sz w:val="22"/>
          <w:szCs w:val="22"/>
        </w:rPr>
        <w:t>Todėl pacientams, sergantiems diabetine nefropatija, negalima kartu vartoti AKF inhibitorių ir angiotenzino II receptorių blokatorių.</w:t>
      </w:r>
    </w:p>
    <w:p w14:paraId="05E3C0D7" w14:textId="77777777" w:rsidR="00F14EA0" w:rsidRPr="00F14EA0" w:rsidRDefault="00F14EA0" w:rsidP="00F14EA0">
      <w:pPr>
        <w:pStyle w:val="Default"/>
        <w:shd w:val="clear" w:color="auto" w:fill="FFFFFF"/>
        <w:contextualSpacing/>
        <w:rPr>
          <w:iCs/>
          <w:color w:val="auto"/>
          <w:sz w:val="22"/>
          <w:szCs w:val="22"/>
        </w:rPr>
      </w:pPr>
    </w:p>
    <w:p w14:paraId="62538979" w14:textId="0373C5B4" w:rsidR="00F14EA0" w:rsidRDefault="00F14EA0" w:rsidP="00F14EA0">
      <w:pPr>
        <w:pStyle w:val="Default"/>
        <w:shd w:val="clear" w:color="auto" w:fill="FFFFFF"/>
        <w:contextualSpacing/>
        <w:rPr>
          <w:iCs/>
          <w:color w:val="auto"/>
          <w:sz w:val="22"/>
          <w:szCs w:val="22"/>
        </w:rPr>
      </w:pPr>
      <w:r w:rsidRPr="00F14EA0">
        <w:rPr>
          <w:iCs/>
          <w:color w:val="auto"/>
          <w:sz w:val="22"/>
          <w:szCs w:val="22"/>
        </w:rPr>
        <w:t>ALTITUDE (angl. „</w:t>
      </w:r>
      <w:proofErr w:type="spellStart"/>
      <w:r w:rsidRPr="000A08ED">
        <w:rPr>
          <w:i/>
          <w:color w:val="auto"/>
          <w:sz w:val="22"/>
          <w:szCs w:val="22"/>
        </w:rPr>
        <w:t>Aliskiren</w:t>
      </w:r>
      <w:proofErr w:type="spellEnd"/>
      <w:r w:rsidRPr="000A08ED">
        <w:rPr>
          <w:i/>
          <w:color w:val="auto"/>
          <w:sz w:val="22"/>
          <w:szCs w:val="22"/>
        </w:rPr>
        <w:t xml:space="preserve"> </w:t>
      </w:r>
      <w:proofErr w:type="spellStart"/>
      <w:r w:rsidRPr="000A08ED">
        <w:rPr>
          <w:i/>
          <w:color w:val="auto"/>
          <w:sz w:val="22"/>
          <w:szCs w:val="22"/>
        </w:rPr>
        <w:t>Trial</w:t>
      </w:r>
      <w:proofErr w:type="spellEnd"/>
      <w:r w:rsidRPr="000A08ED">
        <w:rPr>
          <w:i/>
          <w:color w:val="auto"/>
          <w:sz w:val="22"/>
          <w:szCs w:val="22"/>
        </w:rPr>
        <w:t xml:space="preserve"> </w:t>
      </w:r>
      <w:proofErr w:type="spellStart"/>
      <w:r w:rsidRPr="000A08ED">
        <w:rPr>
          <w:i/>
          <w:color w:val="auto"/>
          <w:sz w:val="22"/>
          <w:szCs w:val="22"/>
        </w:rPr>
        <w:t>in</w:t>
      </w:r>
      <w:proofErr w:type="spellEnd"/>
      <w:r w:rsidRPr="000A08ED">
        <w:rPr>
          <w:i/>
          <w:color w:val="auto"/>
          <w:sz w:val="22"/>
          <w:szCs w:val="22"/>
        </w:rPr>
        <w:t xml:space="preserve"> Type</w:t>
      </w:r>
      <w:r w:rsidR="00671107">
        <w:rPr>
          <w:i/>
          <w:color w:val="auto"/>
          <w:sz w:val="22"/>
          <w:szCs w:val="22"/>
        </w:rPr>
        <w:t> </w:t>
      </w:r>
      <w:r w:rsidRPr="000A08ED">
        <w:rPr>
          <w:i/>
          <w:color w:val="auto"/>
          <w:sz w:val="22"/>
          <w:szCs w:val="22"/>
        </w:rPr>
        <w:t xml:space="preserve">2 </w:t>
      </w:r>
      <w:proofErr w:type="spellStart"/>
      <w:r w:rsidRPr="000A08ED">
        <w:rPr>
          <w:i/>
          <w:color w:val="auto"/>
          <w:sz w:val="22"/>
          <w:szCs w:val="22"/>
        </w:rPr>
        <w:t>Diabetes</w:t>
      </w:r>
      <w:proofErr w:type="spellEnd"/>
      <w:r w:rsidRPr="000A08ED">
        <w:rPr>
          <w:i/>
          <w:color w:val="auto"/>
          <w:sz w:val="22"/>
          <w:szCs w:val="22"/>
        </w:rPr>
        <w:t xml:space="preserve"> </w:t>
      </w:r>
      <w:proofErr w:type="spellStart"/>
      <w:r w:rsidRPr="000A08ED">
        <w:rPr>
          <w:i/>
          <w:color w:val="auto"/>
          <w:sz w:val="22"/>
          <w:szCs w:val="22"/>
        </w:rPr>
        <w:t>Using</w:t>
      </w:r>
      <w:proofErr w:type="spellEnd"/>
      <w:r w:rsidRPr="000A08ED">
        <w:rPr>
          <w:i/>
          <w:color w:val="auto"/>
          <w:sz w:val="22"/>
          <w:szCs w:val="22"/>
        </w:rPr>
        <w:t xml:space="preserve"> </w:t>
      </w:r>
      <w:proofErr w:type="spellStart"/>
      <w:r w:rsidRPr="000A08ED">
        <w:rPr>
          <w:i/>
          <w:color w:val="auto"/>
          <w:sz w:val="22"/>
          <w:szCs w:val="22"/>
        </w:rPr>
        <w:t>Cardiovascular</w:t>
      </w:r>
      <w:proofErr w:type="spellEnd"/>
      <w:r w:rsidRPr="000A08ED">
        <w:rPr>
          <w:i/>
          <w:color w:val="auto"/>
          <w:sz w:val="22"/>
          <w:szCs w:val="22"/>
        </w:rPr>
        <w:t xml:space="preserve"> </w:t>
      </w:r>
      <w:proofErr w:type="spellStart"/>
      <w:r w:rsidRPr="000A08ED">
        <w:rPr>
          <w:i/>
          <w:color w:val="auto"/>
          <w:sz w:val="22"/>
          <w:szCs w:val="22"/>
        </w:rPr>
        <w:t>and</w:t>
      </w:r>
      <w:proofErr w:type="spellEnd"/>
      <w:r w:rsidRPr="000A08ED">
        <w:rPr>
          <w:i/>
          <w:color w:val="auto"/>
          <w:sz w:val="22"/>
          <w:szCs w:val="22"/>
        </w:rPr>
        <w:t xml:space="preserve"> </w:t>
      </w:r>
      <w:proofErr w:type="spellStart"/>
      <w:r w:rsidRPr="000A08ED">
        <w:rPr>
          <w:i/>
          <w:color w:val="auto"/>
          <w:sz w:val="22"/>
          <w:szCs w:val="22"/>
        </w:rPr>
        <w:t>Renal</w:t>
      </w:r>
      <w:proofErr w:type="spellEnd"/>
      <w:r w:rsidRPr="000A08ED">
        <w:rPr>
          <w:i/>
          <w:color w:val="auto"/>
          <w:sz w:val="22"/>
          <w:szCs w:val="22"/>
        </w:rPr>
        <w:t xml:space="preserve"> </w:t>
      </w:r>
      <w:proofErr w:type="spellStart"/>
      <w:r w:rsidRPr="000A08ED">
        <w:rPr>
          <w:i/>
          <w:color w:val="auto"/>
          <w:sz w:val="22"/>
          <w:szCs w:val="22"/>
        </w:rPr>
        <w:t>Disease</w:t>
      </w:r>
      <w:proofErr w:type="spellEnd"/>
      <w:r w:rsidRPr="000A08ED">
        <w:rPr>
          <w:i/>
          <w:color w:val="auto"/>
          <w:sz w:val="22"/>
          <w:szCs w:val="22"/>
        </w:rPr>
        <w:t xml:space="preserve"> </w:t>
      </w:r>
      <w:proofErr w:type="spellStart"/>
      <w:r w:rsidRPr="000A08ED">
        <w:rPr>
          <w:i/>
          <w:color w:val="auto"/>
          <w:sz w:val="22"/>
          <w:szCs w:val="22"/>
        </w:rPr>
        <w:t>Endpoints</w:t>
      </w:r>
      <w:proofErr w:type="spellEnd"/>
      <w:r w:rsidRPr="00F14EA0">
        <w:rPr>
          <w:iCs/>
          <w:color w:val="auto"/>
          <w:sz w:val="22"/>
          <w:szCs w:val="22"/>
        </w:rPr>
        <w:t xml:space="preserve">“) tyrimu buvo siekiama ištirti, ar būtų naudingas </w:t>
      </w:r>
      <w:proofErr w:type="spellStart"/>
      <w:r w:rsidRPr="00F14EA0">
        <w:rPr>
          <w:iCs/>
          <w:color w:val="auto"/>
          <w:sz w:val="22"/>
          <w:szCs w:val="22"/>
        </w:rPr>
        <w:t>aliskireno</w:t>
      </w:r>
      <w:proofErr w:type="spellEnd"/>
      <w:r w:rsidRPr="00F14EA0">
        <w:rPr>
          <w:iCs/>
          <w:color w:val="auto"/>
          <w:sz w:val="22"/>
          <w:szCs w:val="22"/>
        </w:rPr>
        <w:t xml:space="preserve"> įtraukimas į standartinį pacientų, sergančių 2</w:t>
      </w:r>
      <w:r w:rsidR="00671107">
        <w:rPr>
          <w:iCs/>
          <w:color w:val="auto"/>
          <w:sz w:val="22"/>
          <w:szCs w:val="22"/>
        </w:rPr>
        <w:t> </w:t>
      </w:r>
      <w:r w:rsidRPr="00F14EA0">
        <w:rPr>
          <w:iCs/>
          <w:color w:val="auto"/>
          <w:sz w:val="22"/>
          <w:szCs w:val="22"/>
        </w:rPr>
        <w:t xml:space="preserve">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w:t>
      </w:r>
      <w:proofErr w:type="spellStart"/>
      <w:r w:rsidRPr="00F14EA0">
        <w:rPr>
          <w:iCs/>
          <w:color w:val="auto"/>
          <w:sz w:val="22"/>
          <w:szCs w:val="22"/>
        </w:rPr>
        <w:t>aliskireno</w:t>
      </w:r>
      <w:proofErr w:type="spellEnd"/>
      <w:r w:rsidRPr="00F14EA0">
        <w:rPr>
          <w:iCs/>
          <w:color w:val="auto"/>
          <w:sz w:val="22"/>
          <w:szCs w:val="22"/>
        </w:rPr>
        <w:t xml:space="preserve"> grupėje buvo didesnis nei placebo grupėje, o nepageidaujami reiškiniai ir sunkūs nepageidaujami reiškiniai (hiperkalemija, hipotenzija ir inkstų funkcijos sutrikimai) </w:t>
      </w:r>
      <w:proofErr w:type="spellStart"/>
      <w:r w:rsidRPr="00F14EA0">
        <w:rPr>
          <w:iCs/>
          <w:color w:val="auto"/>
          <w:sz w:val="22"/>
          <w:szCs w:val="22"/>
        </w:rPr>
        <w:t>aliskireno</w:t>
      </w:r>
      <w:proofErr w:type="spellEnd"/>
      <w:r w:rsidRPr="00F14EA0">
        <w:rPr>
          <w:iCs/>
          <w:color w:val="auto"/>
          <w:sz w:val="22"/>
          <w:szCs w:val="22"/>
        </w:rPr>
        <w:t xml:space="preserve"> grupėje taip pat pasireiškė dažniau nei placebo grupėje.</w:t>
      </w:r>
    </w:p>
    <w:p w14:paraId="2324CD47" w14:textId="77777777" w:rsidR="00F14EA0" w:rsidRPr="000A08ED" w:rsidRDefault="00F14EA0" w:rsidP="00F14EA0">
      <w:pPr>
        <w:pStyle w:val="Default"/>
        <w:shd w:val="clear" w:color="auto" w:fill="FFFFFF"/>
        <w:contextualSpacing/>
        <w:rPr>
          <w:iCs/>
          <w:color w:val="auto"/>
          <w:sz w:val="22"/>
          <w:szCs w:val="22"/>
        </w:rPr>
      </w:pPr>
    </w:p>
    <w:p w14:paraId="07348F5E" w14:textId="77777777" w:rsidR="00DE3708" w:rsidRPr="00F50D13" w:rsidRDefault="00DE3708" w:rsidP="00307CD6">
      <w:pPr>
        <w:spacing w:line="240" w:lineRule="auto"/>
        <w:contextualSpacing/>
        <w:rPr>
          <w:i/>
          <w:szCs w:val="22"/>
          <w:u w:val="single"/>
        </w:rPr>
      </w:pPr>
      <w:r w:rsidRPr="00F50D13">
        <w:rPr>
          <w:i/>
          <w:szCs w:val="22"/>
          <w:u w:val="single"/>
        </w:rPr>
        <w:t>Vaikų populiacija</w:t>
      </w:r>
    </w:p>
    <w:p w14:paraId="066CC4DF" w14:textId="77777777" w:rsidR="00DE3708" w:rsidRPr="00F50D13" w:rsidRDefault="00DE3708" w:rsidP="00307CD6">
      <w:pPr>
        <w:spacing w:line="240" w:lineRule="auto"/>
        <w:contextualSpacing/>
        <w:rPr>
          <w:i/>
          <w:szCs w:val="22"/>
          <w:u w:val="single"/>
        </w:rPr>
      </w:pPr>
    </w:p>
    <w:p w14:paraId="15C94993" w14:textId="77777777" w:rsidR="00DE3708" w:rsidRPr="00F91FD7" w:rsidRDefault="00DE3708" w:rsidP="00307CD6">
      <w:pPr>
        <w:spacing w:line="240" w:lineRule="auto"/>
        <w:contextualSpacing/>
        <w:rPr>
          <w:szCs w:val="22"/>
          <w:u w:val="single"/>
        </w:rPr>
      </w:pPr>
      <w:r w:rsidRPr="00F91FD7">
        <w:rPr>
          <w:szCs w:val="22"/>
          <w:u w:val="single"/>
        </w:rPr>
        <w:t>Hipertenzija</w:t>
      </w:r>
    </w:p>
    <w:p w14:paraId="66184678" w14:textId="77777777" w:rsidR="00DE3708" w:rsidRPr="00F91FD7" w:rsidRDefault="00DE3708" w:rsidP="00307CD6">
      <w:pPr>
        <w:spacing w:line="240" w:lineRule="auto"/>
        <w:contextualSpacing/>
        <w:rPr>
          <w:szCs w:val="22"/>
          <w:u w:val="single"/>
        </w:rPr>
      </w:pPr>
    </w:p>
    <w:p w14:paraId="4C546107" w14:textId="1171B326" w:rsidR="00DE3708" w:rsidRPr="00307CD6" w:rsidRDefault="00DE3708" w:rsidP="00307CD6">
      <w:pPr>
        <w:spacing w:line="240" w:lineRule="auto"/>
        <w:contextualSpacing/>
        <w:rPr>
          <w:szCs w:val="22"/>
        </w:rPr>
      </w:pPr>
      <w:r w:rsidRPr="0078402A">
        <w:rPr>
          <w:szCs w:val="22"/>
        </w:rPr>
        <w:t xml:space="preserve">Antihipertenzinis valsartano poveikis tirtas </w:t>
      </w:r>
      <w:r w:rsidR="007F15BA">
        <w:rPr>
          <w:szCs w:val="22"/>
        </w:rPr>
        <w:t xml:space="preserve">keturių </w:t>
      </w:r>
      <w:r w:rsidRPr="00F91FD7">
        <w:rPr>
          <w:szCs w:val="22"/>
        </w:rPr>
        <w:t>klinikinių atsitiktinių imčių dvigubai koduotų tyrimų</w:t>
      </w:r>
      <w:r w:rsidR="00DF3F8F">
        <w:rPr>
          <w:szCs w:val="22"/>
        </w:rPr>
        <w:t>,</w:t>
      </w:r>
      <w:r w:rsidR="007F15BA">
        <w:rPr>
          <w:szCs w:val="22"/>
        </w:rPr>
        <w:t xml:space="preserve"> </w:t>
      </w:r>
      <w:r w:rsidRPr="00F91FD7">
        <w:rPr>
          <w:szCs w:val="22"/>
        </w:rPr>
        <w:t xml:space="preserve">kuriuose dalyvavo </w:t>
      </w:r>
      <w:r w:rsidR="00DF3F8F">
        <w:rPr>
          <w:szCs w:val="22"/>
        </w:rPr>
        <w:t>561</w:t>
      </w:r>
      <w:r w:rsidR="00D411AF" w:rsidRPr="00F91FD7">
        <w:rPr>
          <w:szCs w:val="22"/>
        </w:rPr>
        <w:t> </w:t>
      </w:r>
      <w:r w:rsidR="00D411AF" w:rsidRPr="0078402A">
        <w:rPr>
          <w:szCs w:val="22"/>
        </w:rPr>
        <w:t>vaik</w:t>
      </w:r>
      <w:r w:rsidR="00DF3F8F">
        <w:rPr>
          <w:szCs w:val="22"/>
        </w:rPr>
        <w:t>as</w:t>
      </w:r>
      <w:r w:rsidR="00D411AF" w:rsidRPr="0078402A">
        <w:rPr>
          <w:szCs w:val="22"/>
        </w:rPr>
        <w:t xml:space="preserve"> </w:t>
      </w:r>
      <w:r w:rsidRPr="0083265C">
        <w:rPr>
          <w:szCs w:val="22"/>
        </w:rPr>
        <w:t xml:space="preserve">ir </w:t>
      </w:r>
      <w:r w:rsidR="00D411AF" w:rsidRPr="0083265C">
        <w:rPr>
          <w:szCs w:val="22"/>
        </w:rPr>
        <w:t>paaugl</w:t>
      </w:r>
      <w:r w:rsidR="00DF3F8F">
        <w:rPr>
          <w:szCs w:val="22"/>
        </w:rPr>
        <w:t>ys</w:t>
      </w:r>
      <w:r w:rsidR="00D411AF" w:rsidRPr="0083265C">
        <w:rPr>
          <w:szCs w:val="22"/>
        </w:rPr>
        <w:t xml:space="preserve"> nuo </w:t>
      </w:r>
      <w:r w:rsidRPr="0083265C">
        <w:rPr>
          <w:szCs w:val="22"/>
        </w:rPr>
        <w:t>6</w:t>
      </w:r>
      <w:r w:rsidR="00D411AF" w:rsidRPr="0083265C">
        <w:rPr>
          <w:szCs w:val="22"/>
        </w:rPr>
        <w:t xml:space="preserve"> iki mažiau kaip </w:t>
      </w:r>
      <w:r w:rsidRPr="0083265C">
        <w:rPr>
          <w:szCs w:val="22"/>
        </w:rPr>
        <w:t>18 metų amžiaus bei 165 vaikai 1</w:t>
      </w:r>
      <w:r w:rsidRPr="0083265C">
        <w:rPr>
          <w:szCs w:val="22"/>
        </w:rPr>
        <w:noBreakHyphen/>
        <w:t>6 me</w:t>
      </w:r>
      <w:r w:rsidRPr="00307CD6">
        <w:rPr>
          <w:szCs w:val="22"/>
        </w:rPr>
        <w:t>tų amžiaus. Dažniausios šiame tyrime dalyvavusių vaikų medicininės būklės, galbūt susijusios su hipertenzija, buvo inkstų ir šlapimo takų ligos bei nutukimas.</w:t>
      </w:r>
    </w:p>
    <w:p w14:paraId="5C1B37E9" w14:textId="77777777" w:rsidR="00DE3708" w:rsidRPr="007F15BA" w:rsidRDefault="00DE3708" w:rsidP="00307CD6">
      <w:pPr>
        <w:spacing w:line="240" w:lineRule="auto"/>
        <w:contextualSpacing/>
        <w:rPr>
          <w:szCs w:val="22"/>
        </w:rPr>
      </w:pPr>
    </w:p>
    <w:p w14:paraId="1B3CD4D7" w14:textId="77777777" w:rsidR="00DE3708" w:rsidRPr="00D36517" w:rsidRDefault="00DE3708" w:rsidP="00307CD6">
      <w:pPr>
        <w:spacing w:line="240" w:lineRule="auto"/>
        <w:contextualSpacing/>
        <w:rPr>
          <w:i/>
          <w:szCs w:val="22"/>
          <w:u w:val="single"/>
        </w:rPr>
      </w:pPr>
      <w:r w:rsidRPr="007F15BA">
        <w:rPr>
          <w:i/>
          <w:szCs w:val="22"/>
          <w:u w:val="single"/>
        </w:rPr>
        <w:t>Klinikinė 6</w:t>
      </w:r>
      <w:r w:rsidRPr="00D36517">
        <w:rPr>
          <w:szCs w:val="22"/>
          <w:u w:val="single"/>
        </w:rPr>
        <w:t> </w:t>
      </w:r>
      <w:r w:rsidRPr="00D36517">
        <w:rPr>
          <w:i/>
          <w:szCs w:val="22"/>
          <w:u w:val="single"/>
        </w:rPr>
        <w:t>metų ir vyresnių vaikų gydymo patirtis</w:t>
      </w:r>
    </w:p>
    <w:p w14:paraId="07BE04DD" w14:textId="77777777" w:rsidR="00DE3708" w:rsidRPr="001E6DB9" w:rsidRDefault="00DE3708" w:rsidP="00307CD6">
      <w:pPr>
        <w:spacing w:line="240" w:lineRule="auto"/>
        <w:contextualSpacing/>
        <w:rPr>
          <w:szCs w:val="22"/>
        </w:rPr>
      </w:pPr>
      <w:r w:rsidRPr="00D36517">
        <w:rPr>
          <w:szCs w:val="22"/>
        </w:rPr>
        <w:lastRenderedPageBreak/>
        <w:t>Buvo atliktas klinikinis tyrimas, kuriame dalyvavo 261 hipertenzija sergantis 6</w:t>
      </w:r>
      <w:r w:rsidRPr="00D36517">
        <w:rPr>
          <w:szCs w:val="22"/>
        </w:rPr>
        <w:noBreakHyphen/>
        <w:t>16 metų vaikas ir paauglys. Ligoniai, svėrę &lt; 35 kg, ka</w:t>
      </w:r>
      <w:r w:rsidRPr="009F455C">
        <w:rPr>
          <w:szCs w:val="22"/>
        </w:rPr>
        <w:t xml:space="preserve">sdien vartojo 10 mg, 40 mg ar 80 mg valsartano tablečių dozę (mažą, vidutinę arba didelę dozę), o ≥ 35 kg svėrę pacientai kasdien vartojo 20 mg, 80 mg arba 160 mg valsartano tablečių dozę (mažą, vidutinę arba didelę dozę). 2 savaitės pabaigoje </w:t>
      </w:r>
      <w:proofErr w:type="spellStart"/>
      <w:r w:rsidRPr="009F455C">
        <w:rPr>
          <w:szCs w:val="22"/>
        </w:rPr>
        <w:t>valsartanas</w:t>
      </w:r>
      <w:proofErr w:type="spellEnd"/>
      <w:r w:rsidRPr="009F455C">
        <w:rPr>
          <w:szCs w:val="22"/>
        </w:rPr>
        <w:t xml:space="preserve"> sumažino ir </w:t>
      </w:r>
      <w:proofErr w:type="spellStart"/>
      <w:r w:rsidRPr="009F455C">
        <w:rPr>
          <w:szCs w:val="22"/>
        </w:rPr>
        <w:t>sistolinį</w:t>
      </w:r>
      <w:proofErr w:type="spellEnd"/>
      <w:r w:rsidRPr="009F455C">
        <w:rPr>
          <w:szCs w:val="22"/>
        </w:rPr>
        <w:t xml:space="preserve">, ir </w:t>
      </w:r>
      <w:proofErr w:type="spellStart"/>
      <w:r w:rsidRPr="009F455C">
        <w:rPr>
          <w:szCs w:val="22"/>
        </w:rPr>
        <w:t>diastolinį</w:t>
      </w:r>
      <w:proofErr w:type="spellEnd"/>
      <w:r w:rsidRPr="009F455C">
        <w:rPr>
          <w:szCs w:val="22"/>
        </w:rPr>
        <w:t xml:space="preserve"> kraujospūdį, poveikis priklausė nuo dozės. Apskritai visos trys valsartano dozės (maža, vidutinė ir didelė) reikšmingai sumažino </w:t>
      </w:r>
      <w:proofErr w:type="spellStart"/>
      <w:r w:rsidRPr="009F455C">
        <w:rPr>
          <w:szCs w:val="22"/>
        </w:rPr>
        <w:t>sistolinį</w:t>
      </w:r>
      <w:proofErr w:type="spellEnd"/>
      <w:r w:rsidRPr="009F455C">
        <w:rPr>
          <w:szCs w:val="22"/>
        </w:rPr>
        <w:t xml:space="preserve"> kraujospūdį nuo pradinio rodmens (atitinkamai 8 </w:t>
      </w:r>
      <w:proofErr w:type="spellStart"/>
      <w:r w:rsidRPr="009F455C">
        <w:rPr>
          <w:szCs w:val="22"/>
        </w:rPr>
        <w:t>mmHg</w:t>
      </w:r>
      <w:proofErr w:type="spellEnd"/>
      <w:r w:rsidRPr="009F455C">
        <w:rPr>
          <w:szCs w:val="22"/>
        </w:rPr>
        <w:t>, 10 </w:t>
      </w:r>
      <w:proofErr w:type="spellStart"/>
      <w:r w:rsidRPr="009F455C">
        <w:rPr>
          <w:szCs w:val="22"/>
        </w:rPr>
        <w:t>mmHg</w:t>
      </w:r>
      <w:proofErr w:type="spellEnd"/>
      <w:r w:rsidRPr="009F455C">
        <w:rPr>
          <w:szCs w:val="22"/>
        </w:rPr>
        <w:t xml:space="preserve"> ir 12 </w:t>
      </w:r>
      <w:proofErr w:type="spellStart"/>
      <w:r w:rsidRPr="009F455C">
        <w:rPr>
          <w:szCs w:val="22"/>
        </w:rPr>
        <w:t>mm</w:t>
      </w:r>
      <w:r w:rsidRPr="00FB60E5">
        <w:rPr>
          <w:szCs w:val="22"/>
        </w:rPr>
        <w:t>Hg</w:t>
      </w:r>
      <w:proofErr w:type="spellEnd"/>
      <w:r w:rsidRPr="00FB60E5">
        <w:rPr>
          <w:szCs w:val="22"/>
        </w:rPr>
        <w:t>). Vėliau pacientai iš naujo buvo suskirstyti į atsitiktines imtis ir toliau vartojo tokią pačią valsartano dozę arba placebo. Ligoniams, kurie toliau vartojo vidutinę ar didelę valsartano dozę, mažiausias sistolinis kraujospūdis buvo atitinkamai 4 </w:t>
      </w:r>
      <w:proofErr w:type="spellStart"/>
      <w:r w:rsidRPr="00FB60E5">
        <w:rPr>
          <w:szCs w:val="22"/>
        </w:rPr>
        <w:t>mm</w:t>
      </w:r>
      <w:r w:rsidRPr="001765A8">
        <w:rPr>
          <w:szCs w:val="22"/>
        </w:rPr>
        <w:t>Hg</w:t>
      </w:r>
      <w:proofErr w:type="spellEnd"/>
      <w:r w:rsidRPr="001765A8">
        <w:rPr>
          <w:szCs w:val="22"/>
        </w:rPr>
        <w:t xml:space="preserve"> ir 7 </w:t>
      </w:r>
      <w:proofErr w:type="spellStart"/>
      <w:r w:rsidRPr="001765A8">
        <w:rPr>
          <w:szCs w:val="22"/>
        </w:rPr>
        <w:t>m</w:t>
      </w:r>
      <w:r w:rsidRPr="001E6DB9">
        <w:rPr>
          <w:szCs w:val="22"/>
        </w:rPr>
        <w:t>mHg</w:t>
      </w:r>
      <w:proofErr w:type="spellEnd"/>
      <w:r w:rsidRPr="001E6DB9">
        <w:rPr>
          <w:szCs w:val="22"/>
        </w:rPr>
        <w:t xml:space="preserve">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1FCD5413" w14:textId="77777777" w:rsidR="00DE3708" w:rsidRPr="001E6DB9" w:rsidRDefault="00DE3708" w:rsidP="00307CD6">
      <w:pPr>
        <w:spacing w:line="240" w:lineRule="auto"/>
        <w:contextualSpacing/>
        <w:rPr>
          <w:szCs w:val="22"/>
        </w:rPr>
      </w:pPr>
    </w:p>
    <w:p w14:paraId="231F22D0" w14:textId="5D58EA82" w:rsidR="00DE3708" w:rsidRPr="001E6DB9" w:rsidRDefault="00DF3F8F" w:rsidP="00307CD6">
      <w:pPr>
        <w:spacing w:line="240" w:lineRule="auto"/>
        <w:contextualSpacing/>
        <w:rPr>
          <w:szCs w:val="22"/>
        </w:rPr>
      </w:pPr>
      <w:r>
        <w:rPr>
          <w:szCs w:val="22"/>
        </w:rPr>
        <w:t>Antrame</w:t>
      </w:r>
      <w:r w:rsidRPr="001E6DB9">
        <w:rPr>
          <w:szCs w:val="22"/>
        </w:rPr>
        <w:t xml:space="preserve"> </w:t>
      </w:r>
      <w:r w:rsidR="00DE3708" w:rsidRPr="001E6DB9">
        <w:rPr>
          <w:szCs w:val="22"/>
        </w:rPr>
        <w:t xml:space="preserve">klinikiniame tyrime dalyvavo 300 hipertenzija sergančių </w:t>
      </w:r>
      <w:r>
        <w:rPr>
          <w:szCs w:val="22"/>
        </w:rPr>
        <w:t xml:space="preserve">nuo </w:t>
      </w:r>
      <w:r w:rsidR="00DE3708" w:rsidRPr="001E6DB9">
        <w:rPr>
          <w:szCs w:val="22"/>
        </w:rPr>
        <w:t>6</w:t>
      </w:r>
      <w:r>
        <w:rPr>
          <w:szCs w:val="22"/>
        </w:rPr>
        <w:t xml:space="preserve"> iki </w:t>
      </w:r>
      <w:r w:rsidR="00A43B3B">
        <w:rPr>
          <w:szCs w:val="22"/>
        </w:rPr>
        <w:t xml:space="preserve">mažiau kaip </w:t>
      </w:r>
      <w:r w:rsidR="00DE3708" w:rsidRPr="001E6DB9">
        <w:rPr>
          <w:szCs w:val="22"/>
        </w:rPr>
        <w:t xml:space="preserve">18 metų vaikų ir paauglių. Įtraukimo kriterijus atitinkantys pacientai buvo suskirstyti į atsitiktines imtis ir 12 savaičių vartojo valsartano arba enalaprilio tablečių. Nuo ≥ 18 kg iki &lt; 35 kg svėrę vaikai vartojo 80 mg valsartano arba 10 mg enalaprilio, svėrę nuo ≥ 35 kg iki &lt; 80 kg - 160 mg valsartano arba 20 mg enalaprilio, o svėrę ≥ 80 kg - 320 mg valsartano arba 40 mg enalaprilio. Sistolinis kraujospūdis panašiai sumažėjo ir </w:t>
      </w:r>
      <w:proofErr w:type="spellStart"/>
      <w:r w:rsidR="00DE3708" w:rsidRPr="001E6DB9">
        <w:rPr>
          <w:szCs w:val="22"/>
        </w:rPr>
        <w:t>valsartano</w:t>
      </w:r>
      <w:proofErr w:type="spellEnd"/>
      <w:r w:rsidR="00DE3708" w:rsidRPr="001E6DB9">
        <w:rPr>
          <w:szCs w:val="22"/>
        </w:rPr>
        <w:t xml:space="preserve"> (15 mm </w:t>
      </w:r>
      <w:proofErr w:type="spellStart"/>
      <w:r w:rsidR="00DE3708" w:rsidRPr="001E6DB9">
        <w:rPr>
          <w:szCs w:val="22"/>
        </w:rPr>
        <w:t>Hg</w:t>
      </w:r>
      <w:proofErr w:type="spellEnd"/>
      <w:r w:rsidR="00DE3708" w:rsidRPr="001E6DB9">
        <w:rPr>
          <w:szCs w:val="22"/>
        </w:rPr>
        <w:t xml:space="preserve">), ir </w:t>
      </w:r>
      <w:proofErr w:type="spellStart"/>
      <w:r w:rsidR="00DE3708" w:rsidRPr="001E6DB9">
        <w:rPr>
          <w:szCs w:val="22"/>
        </w:rPr>
        <w:t>enalaprilio</w:t>
      </w:r>
      <w:proofErr w:type="spellEnd"/>
      <w:r w:rsidR="00DE3708" w:rsidRPr="001E6DB9">
        <w:rPr>
          <w:szCs w:val="22"/>
        </w:rPr>
        <w:t xml:space="preserve"> (14 mm </w:t>
      </w:r>
      <w:proofErr w:type="spellStart"/>
      <w:r w:rsidR="00DE3708" w:rsidRPr="001E6DB9">
        <w:rPr>
          <w:szCs w:val="22"/>
        </w:rPr>
        <w:t>Hg</w:t>
      </w:r>
      <w:proofErr w:type="spellEnd"/>
      <w:r w:rsidR="00DE3708" w:rsidRPr="001E6DB9">
        <w:rPr>
          <w:szCs w:val="22"/>
        </w:rPr>
        <w:t>) vartojusiems ligoniams (ne prastesnio poveikio p rodmuo &lt; 0,0001). Atitinkamas buvo ir diastolinio kraujospūdžio sumažėjimas (9,1 </w:t>
      </w:r>
      <w:proofErr w:type="spellStart"/>
      <w:r w:rsidR="00DE3708" w:rsidRPr="001E6DB9">
        <w:rPr>
          <w:szCs w:val="22"/>
        </w:rPr>
        <w:t>mmHg</w:t>
      </w:r>
      <w:proofErr w:type="spellEnd"/>
      <w:r w:rsidR="00DE3708" w:rsidRPr="001E6DB9">
        <w:rPr>
          <w:szCs w:val="22"/>
        </w:rPr>
        <w:t xml:space="preserve"> vartojant </w:t>
      </w:r>
      <w:proofErr w:type="spellStart"/>
      <w:r w:rsidR="00DE3708" w:rsidRPr="001E6DB9">
        <w:rPr>
          <w:szCs w:val="22"/>
        </w:rPr>
        <w:t>valsartano</w:t>
      </w:r>
      <w:proofErr w:type="spellEnd"/>
      <w:r w:rsidR="00DE3708" w:rsidRPr="001E6DB9">
        <w:rPr>
          <w:szCs w:val="22"/>
        </w:rPr>
        <w:t xml:space="preserve"> ir 8,5 </w:t>
      </w:r>
      <w:proofErr w:type="spellStart"/>
      <w:r w:rsidR="00DE3708" w:rsidRPr="001E6DB9">
        <w:rPr>
          <w:szCs w:val="22"/>
        </w:rPr>
        <w:t>mmHg</w:t>
      </w:r>
      <w:proofErr w:type="spellEnd"/>
      <w:r w:rsidR="00DE3708" w:rsidRPr="001E6DB9">
        <w:rPr>
          <w:szCs w:val="22"/>
        </w:rPr>
        <w:t xml:space="preserve"> vartojant </w:t>
      </w:r>
      <w:proofErr w:type="spellStart"/>
      <w:r w:rsidR="00DE3708" w:rsidRPr="001E6DB9">
        <w:rPr>
          <w:szCs w:val="22"/>
        </w:rPr>
        <w:t>enalaprilio</w:t>
      </w:r>
      <w:proofErr w:type="spellEnd"/>
      <w:r w:rsidR="00DE3708" w:rsidRPr="001E6DB9">
        <w:rPr>
          <w:szCs w:val="22"/>
        </w:rPr>
        <w:t>).</w:t>
      </w:r>
    </w:p>
    <w:p w14:paraId="7C874B18" w14:textId="77777777" w:rsidR="00DE3708" w:rsidRPr="001E6DB9" w:rsidRDefault="00DE3708" w:rsidP="00307CD6">
      <w:pPr>
        <w:spacing w:line="240" w:lineRule="auto"/>
        <w:contextualSpacing/>
        <w:rPr>
          <w:szCs w:val="22"/>
        </w:rPr>
      </w:pPr>
    </w:p>
    <w:p w14:paraId="6D58C722" w14:textId="77777777" w:rsidR="00E92B2D" w:rsidRDefault="00D411AF" w:rsidP="00E92B2D">
      <w:pPr>
        <w:rPr>
          <w:snapToGrid w:val="0"/>
        </w:rPr>
      </w:pPr>
      <w:r w:rsidRPr="001E6DB9">
        <w:rPr>
          <w:szCs w:val="22"/>
        </w:rPr>
        <w:t>Trečiame atvirame klinikiniame tyrime dalyvavo 150 hipertenzija sergančių 6</w:t>
      </w:r>
      <w:r w:rsidR="0083265C">
        <w:rPr>
          <w:szCs w:val="22"/>
        </w:rPr>
        <w:noBreakHyphen/>
      </w:r>
      <w:r w:rsidRPr="0083265C">
        <w:rPr>
          <w:szCs w:val="22"/>
        </w:rPr>
        <w:t xml:space="preserve">17 metų amžiaus vaikų ir paauglių. </w:t>
      </w:r>
      <w:r w:rsidR="00E53452" w:rsidRPr="00307CD6">
        <w:rPr>
          <w:szCs w:val="22"/>
        </w:rPr>
        <w:t xml:space="preserve">Valsartano veiksmingumui ir saugumui nustatyti pacientai, atitinkantys </w:t>
      </w:r>
      <w:r w:rsidR="00E53452" w:rsidRPr="007F15BA">
        <w:rPr>
          <w:szCs w:val="22"/>
        </w:rPr>
        <w:t>į</w:t>
      </w:r>
      <w:r w:rsidRPr="007F15BA">
        <w:rPr>
          <w:szCs w:val="22"/>
        </w:rPr>
        <w:t>traukimo kriterijus (</w:t>
      </w:r>
      <w:r w:rsidRPr="00D36517">
        <w:rPr>
          <w:szCs w:val="22"/>
        </w:rPr>
        <w:t>sistolinis kraujo spaudimas</w:t>
      </w:r>
      <w:r w:rsidR="000A2556" w:rsidRPr="00D36517">
        <w:rPr>
          <w:szCs w:val="22"/>
        </w:rPr>
        <w:t xml:space="preserve"> ≥ 95</w:t>
      </w:r>
      <w:r w:rsidR="00715ED1" w:rsidRPr="00D36517">
        <w:rPr>
          <w:szCs w:val="22"/>
        </w:rPr>
        <w:t>-</w:t>
      </w:r>
      <w:r w:rsidR="00715ED1" w:rsidRPr="009F455C">
        <w:rPr>
          <w:szCs w:val="22"/>
        </w:rPr>
        <w:t>ajam</w:t>
      </w:r>
      <w:r w:rsidR="000A2556" w:rsidRPr="009F455C">
        <w:rPr>
          <w:szCs w:val="22"/>
        </w:rPr>
        <w:t xml:space="preserve"> </w:t>
      </w:r>
      <w:proofErr w:type="spellStart"/>
      <w:r w:rsidR="000A2556" w:rsidRPr="009F455C">
        <w:rPr>
          <w:szCs w:val="22"/>
        </w:rPr>
        <w:t>procentili</w:t>
      </w:r>
      <w:r w:rsidR="00715ED1" w:rsidRPr="009F455C">
        <w:rPr>
          <w:szCs w:val="22"/>
        </w:rPr>
        <w:t>ui</w:t>
      </w:r>
      <w:proofErr w:type="spellEnd"/>
      <w:r w:rsidR="000A2556" w:rsidRPr="009F455C">
        <w:rPr>
          <w:szCs w:val="22"/>
        </w:rPr>
        <w:t xml:space="preserve"> pagal amžių, lytį ir ūgį</w:t>
      </w:r>
      <w:r w:rsidR="000A2556" w:rsidRPr="00FB60E5">
        <w:rPr>
          <w:szCs w:val="22"/>
        </w:rPr>
        <w:t>)</w:t>
      </w:r>
      <w:r w:rsidRPr="00FB60E5">
        <w:rPr>
          <w:szCs w:val="22"/>
        </w:rPr>
        <w:t xml:space="preserve"> </w:t>
      </w:r>
      <w:r w:rsidR="00E53452" w:rsidRPr="00FB60E5">
        <w:rPr>
          <w:szCs w:val="22"/>
        </w:rPr>
        <w:t xml:space="preserve">minėto vaistinio preparato vartojo </w:t>
      </w:r>
      <w:r w:rsidRPr="00FB60E5">
        <w:rPr>
          <w:szCs w:val="22"/>
        </w:rPr>
        <w:t>1</w:t>
      </w:r>
      <w:r w:rsidR="000A2556" w:rsidRPr="00FB60E5">
        <w:rPr>
          <w:szCs w:val="22"/>
        </w:rPr>
        <w:t>8</w:t>
      </w:r>
      <w:r w:rsidRPr="00FB60E5">
        <w:rPr>
          <w:szCs w:val="22"/>
        </w:rPr>
        <w:t> </w:t>
      </w:r>
      <w:r w:rsidR="000A2556" w:rsidRPr="00FB60E5">
        <w:rPr>
          <w:szCs w:val="22"/>
        </w:rPr>
        <w:t xml:space="preserve"> mėnesių</w:t>
      </w:r>
      <w:r w:rsidRPr="00FB60E5">
        <w:rPr>
          <w:szCs w:val="22"/>
        </w:rPr>
        <w:t xml:space="preserve">. </w:t>
      </w:r>
      <w:r w:rsidR="00E53452" w:rsidRPr="00FB60E5">
        <w:rPr>
          <w:szCs w:val="22"/>
        </w:rPr>
        <w:t xml:space="preserve">Iš šiame tyrime dalyvavusių 150 pacientų, </w:t>
      </w:r>
      <w:r w:rsidR="00E53452" w:rsidRPr="0067679C">
        <w:rPr>
          <w:szCs w:val="22"/>
        </w:rPr>
        <w:t>41 pacientui taip pat buvo t</w:t>
      </w:r>
      <w:r w:rsidR="00BB6675" w:rsidRPr="0067679C">
        <w:rPr>
          <w:szCs w:val="22"/>
        </w:rPr>
        <w:t>aikomas kitoks antihipertenzinis</w:t>
      </w:r>
      <w:r w:rsidR="00E53452" w:rsidRPr="0067679C">
        <w:rPr>
          <w:szCs w:val="22"/>
        </w:rPr>
        <w:t xml:space="preserve"> gydymas.</w:t>
      </w:r>
      <w:r w:rsidR="00E53452" w:rsidRPr="00FB60E5">
        <w:rPr>
          <w:szCs w:val="22"/>
        </w:rPr>
        <w:t xml:space="preserve"> Pradinis ir palaikomasis dozavimas pacientams buvo pagrįstas jų svorio kategorijomis</w:t>
      </w:r>
      <w:r w:rsidR="00E53452" w:rsidRPr="001765A8">
        <w:rPr>
          <w:szCs w:val="22"/>
        </w:rPr>
        <w:t xml:space="preserve">. </w:t>
      </w:r>
      <w:r w:rsidRPr="001E6DB9">
        <w:rPr>
          <w:szCs w:val="22"/>
        </w:rPr>
        <w:t xml:space="preserve">Nuo </w:t>
      </w:r>
      <w:r w:rsidR="00C62230" w:rsidRPr="001E6DB9">
        <w:rPr>
          <w:szCs w:val="22"/>
        </w:rPr>
        <w:t>&gt;</w:t>
      </w:r>
      <w:r w:rsidRPr="001E6DB9">
        <w:rPr>
          <w:szCs w:val="22"/>
        </w:rPr>
        <w:t> 18 kg iki &lt; 35 kg</w:t>
      </w:r>
      <w:r w:rsidR="00C62230" w:rsidRPr="001E6DB9">
        <w:rPr>
          <w:szCs w:val="22"/>
        </w:rPr>
        <w:t>,</w:t>
      </w:r>
      <w:r w:rsidRPr="001E6DB9">
        <w:rPr>
          <w:szCs w:val="22"/>
        </w:rPr>
        <w:t xml:space="preserve"> ≥ 35 kg iki &lt; 80 kg</w:t>
      </w:r>
      <w:r w:rsidR="00C62230" w:rsidRPr="001E6DB9">
        <w:rPr>
          <w:szCs w:val="22"/>
        </w:rPr>
        <w:t xml:space="preserve"> ir</w:t>
      </w:r>
      <w:r w:rsidRPr="001E6DB9">
        <w:rPr>
          <w:szCs w:val="22"/>
        </w:rPr>
        <w:t xml:space="preserve"> ≥ 80 kg </w:t>
      </w:r>
      <w:r w:rsidR="00C62230" w:rsidRPr="001E6DB9">
        <w:rPr>
          <w:szCs w:val="22"/>
        </w:rPr>
        <w:t>iki &lt; 160</w:t>
      </w:r>
      <w:r w:rsidR="0083265C">
        <w:rPr>
          <w:szCs w:val="22"/>
        </w:rPr>
        <w:t> </w:t>
      </w:r>
      <w:r w:rsidR="00C62230" w:rsidRPr="0083265C">
        <w:rPr>
          <w:szCs w:val="22"/>
        </w:rPr>
        <w:t xml:space="preserve">kg svėrusiems pacientams iš pradžių buvo paskirta atitinkamai </w:t>
      </w:r>
      <w:r w:rsidR="00C62230" w:rsidRPr="00307CD6">
        <w:rPr>
          <w:szCs w:val="22"/>
        </w:rPr>
        <w:t>40 mg, 80  mg ir 160</w:t>
      </w:r>
      <w:r w:rsidR="00C62230" w:rsidRPr="007F15BA">
        <w:rPr>
          <w:szCs w:val="22"/>
        </w:rPr>
        <w:t xml:space="preserve"> mg dozė, kuri po vienos savaitės buvo laipsniškai didinama atitinkamai iki 80 mg, </w:t>
      </w:r>
      <w:r w:rsidR="00C62230" w:rsidRPr="001E6DB9">
        <w:rPr>
          <w:szCs w:val="22"/>
        </w:rPr>
        <w:t>1</w:t>
      </w:r>
      <w:r w:rsidR="00FB60E5" w:rsidRPr="001E6DB9">
        <w:rPr>
          <w:szCs w:val="22"/>
        </w:rPr>
        <w:t>6</w:t>
      </w:r>
      <w:r w:rsidR="00C62230" w:rsidRPr="001E6DB9">
        <w:rPr>
          <w:szCs w:val="22"/>
        </w:rPr>
        <w:t>0</w:t>
      </w:r>
      <w:r w:rsidR="0083265C">
        <w:rPr>
          <w:szCs w:val="22"/>
        </w:rPr>
        <w:t> </w:t>
      </w:r>
      <w:r w:rsidR="00C62230" w:rsidRPr="0083265C">
        <w:rPr>
          <w:szCs w:val="22"/>
        </w:rPr>
        <w:t xml:space="preserve">mg ir 320 mg. </w:t>
      </w:r>
    </w:p>
    <w:p w14:paraId="01DC6774" w14:textId="77777777" w:rsidR="00E92B2D" w:rsidRDefault="00E92B2D" w:rsidP="00E92B2D">
      <w:pPr>
        <w:rPr>
          <w:snapToGrid w:val="0"/>
        </w:rPr>
      </w:pPr>
      <w:r>
        <w:rPr>
          <w:snapToGrid w:val="0"/>
        </w:rPr>
        <w:t>Pusė įtrauktų pacientų (50,0%, n=75) sirgo LIL, iš jų 29,3% (44) sirgo 2 stadijos (GFG 60</w:t>
      </w:r>
      <w:r>
        <w:rPr>
          <w:snapToGrid w:val="0"/>
        </w:rPr>
        <w:noBreakHyphen/>
        <w:t>89 ml/min./1,73 m</w:t>
      </w:r>
      <w:r>
        <w:rPr>
          <w:snapToGrid w:val="0"/>
          <w:vertAlign w:val="superscript"/>
        </w:rPr>
        <w:t>2</w:t>
      </w:r>
      <w:r>
        <w:rPr>
          <w:snapToGrid w:val="0"/>
        </w:rPr>
        <w:t>) arba 3 stadijos (GFG 30</w:t>
      </w:r>
      <w:r>
        <w:rPr>
          <w:snapToGrid w:val="0"/>
        </w:rPr>
        <w:noBreakHyphen/>
        <w:t>59 ml/min./1,73 m</w:t>
      </w:r>
      <w:r>
        <w:rPr>
          <w:snapToGrid w:val="0"/>
          <w:vertAlign w:val="superscript"/>
        </w:rPr>
        <w:t>2</w:t>
      </w:r>
      <w:r>
        <w:rPr>
          <w:snapToGrid w:val="0"/>
        </w:rPr>
        <w:t>) LIL. Vidutinis sistolinio kraujospūdžio sumažėjimas buvo 14,9 </w:t>
      </w:r>
      <w:proofErr w:type="spellStart"/>
      <w:r>
        <w:rPr>
          <w:snapToGrid w:val="0"/>
        </w:rPr>
        <w:t>mmHg</w:t>
      </w:r>
      <w:proofErr w:type="spellEnd"/>
      <w:r>
        <w:rPr>
          <w:snapToGrid w:val="0"/>
        </w:rPr>
        <w:t xml:space="preserve"> visiems pacientams (pradinis rodmuo 133,5 mm </w:t>
      </w:r>
      <w:proofErr w:type="spellStart"/>
      <w:r>
        <w:rPr>
          <w:snapToGrid w:val="0"/>
        </w:rPr>
        <w:t>Hg</w:t>
      </w:r>
      <w:proofErr w:type="spellEnd"/>
      <w:r>
        <w:rPr>
          <w:snapToGrid w:val="0"/>
        </w:rPr>
        <w:t>), 18,4 </w:t>
      </w:r>
      <w:proofErr w:type="spellStart"/>
      <w:r>
        <w:rPr>
          <w:snapToGrid w:val="0"/>
        </w:rPr>
        <w:t>mmHg</w:t>
      </w:r>
      <w:proofErr w:type="spellEnd"/>
      <w:r>
        <w:rPr>
          <w:snapToGrid w:val="0"/>
        </w:rPr>
        <w:t xml:space="preserve"> LIL sergantiems pacientams (pradinis rodmuo 131,9 </w:t>
      </w:r>
      <w:proofErr w:type="spellStart"/>
      <w:r>
        <w:rPr>
          <w:snapToGrid w:val="0"/>
        </w:rPr>
        <w:t>mmHg</w:t>
      </w:r>
      <w:proofErr w:type="spellEnd"/>
      <w:r>
        <w:rPr>
          <w:snapToGrid w:val="0"/>
        </w:rPr>
        <w:t>) ir 11,5 </w:t>
      </w:r>
      <w:proofErr w:type="spellStart"/>
      <w:r>
        <w:rPr>
          <w:snapToGrid w:val="0"/>
        </w:rPr>
        <w:t>mmHg</w:t>
      </w:r>
      <w:proofErr w:type="spellEnd"/>
      <w:r>
        <w:rPr>
          <w:snapToGrid w:val="0"/>
        </w:rPr>
        <w:t xml:space="preserve"> LIL nesergantiems pacientams (pradinis rodmuo 135,1 </w:t>
      </w:r>
      <w:proofErr w:type="spellStart"/>
      <w:r>
        <w:rPr>
          <w:snapToGrid w:val="0"/>
        </w:rPr>
        <w:t>mmHg</w:t>
      </w:r>
      <w:proofErr w:type="spellEnd"/>
      <w:r>
        <w:rPr>
          <w:snapToGrid w:val="0"/>
        </w:rPr>
        <w:t>). Procentinė dalis pacientų, kurie pasiekė bendrąją kraujospūdžio kontrolę (ir sistolinis, ir diastolinis kraujospūdis &lt;95 procentilis) buvo šiek tiek didesnė LIL sergančių pacientų grupėje (79,5%), palyginti su LIL nesergančių pacientų grupe (72,2%).</w:t>
      </w:r>
    </w:p>
    <w:p w14:paraId="7F79899B" w14:textId="77777777" w:rsidR="00E92B2D" w:rsidRDefault="00E92B2D" w:rsidP="00E92B2D">
      <w:pPr>
        <w:rPr>
          <w:snapToGrid w:val="0"/>
        </w:rPr>
      </w:pPr>
    </w:p>
    <w:p w14:paraId="5D12E8E2" w14:textId="77777777" w:rsidR="00DE3708" w:rsidRPr="007F15BA" w:rsidRDefault="00DE3708" w:rsidP="00307CD6">
      <w:pPr>
        <w:spacing w:line="240" w:lineRule="auto"/>
        <w:contextualSpacing/>
        <w:rPr>
          <w:i/>
          <w:szCs w:val="22"/>
          <w:u w:val="single"/>
        </w:rPr>
      </w:pPr>
      <w:r w:rsidRPr="007F15BA">
        <w:rPr>
          <w:i/>
          <w:szCs w:val="22"/>
          <w:u w:val="single"/>
        </w:rPr>
        <w:t>Klinikinė jaunesnių kaip 6</w:t>
      </w:r>
      <w:r w:rsidRPr="007F15BA">
        <w:rPr>
          <w:szCs w:val="22"/>
          <w:u w:val="single"/>
        </w:rPr>
        <w:t> </w:t>
      </w:r>
      <w:r w:rsidRPr="007F15BA">
        <w:rPr>
          <w:i/>
          <w:szCs w:val="22"/>
          <w:u w:val="single"/>
        </w:rPr>
        <w:t>metų vaikų gydymo patirtis</w:t>
      </w:r>
    </w:p>
    <w:p w14:paraId="39137475" w14:textId="4B3B6B2F" w:rsidR="00DF3F8F" w:rsidRDefault="00DE3708" w:rsidP="00307CD6">
      <w:pPr>
        <w:autoSpaceDE w:val="0"/>
        <w:autoSpaceDN w:val="0"/>
        <w:adjustRightInd w:val="0"/>
        <w:spacing w:line="240" w:lineRule="auto"/>
        <w:contextualSpacing/>
        <w:rPr>
          <w:szCs w:val="22"/>
        </w:rPr>
      </w:pPr>
      <w:r w:rsidRPr="007F15BA">
        <w:rPr>
          <w:szCs w:val="22"/>
        </w:rPr>
        <w:t xml:space="preserve">Buvo atlikti </w:t>
      </w:r>
      <w:r w:rsidR="00DF3F8F">
        <w:rPr>
          <w:szCs w:val="22"/>
        </w:rPr>
        <w:t>trys</w:t>
      </w:r>
      <w:r w:rsidR="00DF3F8F" w:rsidRPr="007F15BA">
        <w:rPr>
          <w:szCs w:val="22"/>
        </w:rPr>
        <w:t xml:space="preserve"> </w:t>
      </w:r>
      <w:r w:rsidRPr="007F15BA">
        <w:rPr>
          <w:szCs w:val="22"/>
        </w:rPr>
        <w:t>klinikiniai tyrimai su 1</w:t>
      </w:r>
      <w:r w:rsidRPr="007F15BA">
        <w:rPr>
          <w:szCs w:val="22"/>
        </w:rPr>
        <w:noBreakHyphen/>
      </w:r>
      <w:r w:rsidR="00DF3F8F">
        <w:rPr>
          <w:szCs w:val="22"/>
        </w:rPr>
        <w:t>5</w:t>
      </w:r>
      <w:r w:rsidRPr="007F15BA">
        <w:rPr>
          <w:szCs w:val="22"/>
        </w:rPr>
        <w:t> met</w:t>
      </w:r>
      <w:r w:rsidRPr="00D36517">
        <w:rPr>
          <w:szCs w:val="22"/>
        </w:rPr>
        <w:t xml:space="preserve">ų vaikais (dalyvavo </w:t>
      </w:r>
      <w:r w:rsidR="00DF3F8F">
        <w:rPr>
          <w:szCs w:val="22"/>
        </w:rPr>
        <w:t>291</w:t>
      </w:r>
      <w:r w:rsidRPr="00D36517">
        <w:rPr>
          <w:szCs w:val="22"/>
        </w:rPr>
        <w:t> pacient</w:t>
      </w:r>
      <w:r w:rsidR="00DF3F8F">
        <w:rPr>
          <w:szCs w:val="22"/>
        </w:rPr>
        <w:t>as</w:t>
      </w:r>
      <w:r w:rsidRPr="00D36517">
        <w:rPr>
          <w:szCs w:val="22"/>
        </w:rPr>
        <w:t xml:space="preserve">). Jaunesni kaip 1 metų vaikai į šiuos tyrimus įtraukti nebuvo. </w:t>
      </w:r>
    </w:p>
    <w:p w14:paraId="7486BD7D" w14:textId="77777777" w:rsidR="00DF3F8F" w:rsidRDefault="00DF3F8F" w:rsidP="00307CD6">
      <w:pPr>
        <w:autoSpaceDE w:val="0"/>
        <w:autoSpaceDN w:val="0"/>
        <w:adjustRightInd w:val="0"/>
        <w:spacing w:line="240" w:lineRule="auto"/>
        <w:contextualSpacing/>
        <w:rPr>
          <w:szCs w:val="22"/>
        </w:rPr>
      </w:pPr>
    </w:p>
    <w:p w14:paraId="397D1F43" w14:textId="2D4612E2" w:rsidR="00DE3708" w:rsidRPr="009F455C" w:rsidRDefault="00DE3708" w:rsidP="00307CD6">
      <w:pPr>
        <w:autoSpaceDE w:val="0"/>
        <w:autoSpaceDN w:val="0"/>
        <w:adjustRightInd w:val="0"/>
        <w:spacing w:line="240" w:lineRule="auto"/>
        <w:contextualSpacing/>
        <w:rPr>
          <w:szCs w:val="22"/>
        </w:rPr>
      </w:pPr>
      <w:r w:rsidRPr="00D36517">
        <w:rPr>
          <w:szCs w:val="22"/>
        </w:rPr>
        <w:t xml:space="preserve">Pirmojo tyrimo metu </w:t>
      </w:r>
      <w:r w:rsidR="00DF3F8F">
        <w:rPr>
          <w:szCs w:val="22"/>
        </w:rPr>
        <w:t>(</w:t>
      </w:r>
      <w:r w:rsidR="00DF3F8F" w:rsidRPr="00DF3F8F">
        <w:rPr>
          <w:szCs w:val="22"/>
        </w:rPr>
        <w:t>kuriame dalyvavo 90</w:t>
      </w:r>
      <w:r w:rsidR="00DF3F8F">
        <w:rPr>
          <w:szCs w:val="22"/>
        </w:rPr>
        <w:t> </w:t>
      </w:r>
      <w:r w:rsidR="00DF3F8F" w:rsidRPr="00DF3F8F">
        <w:rPr>
          <w:szCs w:val="22"/>
        </w:rPr>
        <w:t>pacientų</w:t>
      </w:r>
      <w:r w:rsidR="00DF3F8F">
        <w:rPr>
          <w:szCs w:val="22"/>
        </w:rPr>
        <w:t>)</w:t>
      </w:r>
      <w:r w:rsidR="00DF3F8F" w:rsidRPr="00DF3F8F">
        <w:rPr>
          <w:szCs w:val="22"/>
        </w:rPr>
        <w:t xml:space="preserve"> nuo dozės priklausomos reakcijos nenustatyta, tačiau antrojo tyrimo metu (kuriame dalyvavo 75</w:t>
      </w:r>
      <w:r w:rsidR="00DF3F8F">
        <w:rPr>
          <w:szCs w:val="22"/>
        </w:rPr>
        <w:t> </w:t>
      </w:r>
      <w:r w:rsidR="00DF3F8F" w:rsidRPr="00DF3F8F">
        <w:rPr>
          <w:szCs w:val="22"/>
        </w:rPr>
        <w:t>pacientai) didesnės valsartano dozės buvo susijusios su didesniu kraujospūdžio sumažėjimu</w:t>
      </w:r>
      <w:r w:rsidR="00DF3F8F">
        <w:rPr>
          <w:szCs w:val="22"/>
        </w:rPr>
        <w:t>.</w:t>
      </w:r>
    </w:p>
    <w:p w14:paraId="10251C2B" w14:textId="77777777" w:rsidR="00DE3708" w:rsidRPr="009F455C" w:rsidRDefault="00DE3708" w:rsidP="00307CD6">
      <w:pPr>
        <w:pStyle w:val="prastasiniatinklio"/>
        <w:spacing w:after="0"/>
        <w:contextualSpacing/>
        <w:rPr>
          <w:rFonts w:ascii="Times New Roman"/>
          <w:sz w:val="22"/>
          <w:szCs w:val="22"/>
          <w:lang w:val="lt-LT"/>
        </w:rPr>
      </w:pPr>
    </w:p>
    <w:p w14:paraId="49B14926" w14:textId="640F9E60" w:rsidR="00DF3F8F" w:rsidRDefault="00DF3F8F" w:rsidP="00307CD6">
      <w:pPr>
        <w:pStyle w:val="prastasiniatinklio"/>
        <w:spacing w:after="0"/>
        <w:contextualSpacing/>
        <w:rPr>
          <w:rFonts w:ascii="Times New Roman"/>
          <w:sz w:val="22"/>
          <w:szCs w:val="22"/>
          <w:lang w:val="lt-LT"/>
        </w:rPr>
      </w:pPr>
      <w:r w:rsidRPr="00DF3F8F">
        <w:rPr>
          <w:rFonts w:ascii="Times New Roman"/>
          <w:sz w:val="22"/>
          <w:szCs w:val="22"/>
          <w:lang w:val="lt-LT"/>
        </w:rPr>
        <w:t>Trečiasis tyrimas buvo 6</w:t>
      </w:r>
      <w:r>
        <w:rPr>
          <w:rFonts w:ascii="Times New Roman"/>
          <w:sz w:val="22"/>
          <w:szCs w:val="22"/>
          <w:lang w:val="lt-LT"/>
        </w:rPr>
        <w:t> </w:t>
      </w:r>
      <w:r w:rsidRPr="00DF3F8F">
        <w:rPr>
          <w:rFonts w:ascii="Times New Roman"/>
          <w:sz w:val="22"/>
          <w:szCs w:val="22"/>
          <w:lang w:val="lt-LT"/>
        </w:rPr>
        <w:t>savaičių trukmės, atsitiktinių imčių, dvigubai koduotas tyrimas, skirtas įvertinti atsako priklausomybę nuo valsartano dozės; šiame tyrime dalyvavo 126</w:t>
      </w:r>
      <w:r>
        <w:rPr>
          <w:rFonts w:ascii="Times New Roman"/>
          <w:sz w:val="22"/>
          <w:szCs w:val="22"/>
          <w:lang w:val="lt-LT"/>
        </w:rPr>
        <w:t> </w:t>
      </w:r>
      <w:r w:rsidRPr="00DF3F8F">
        <w:rPr>
          <w:rFonts w:ascii="Times New Roman"/>
          <w:sz w:val="22"/>
          <w:szCs w:val="22"/>
          <w:lang w:val="lt-LT"/>
        </w:rPr>
        <w:t>vaikai nuo 1</w:t>
      </w:r>
      <w:r>
        <w:rPr>
          <w:rFonts w:ascii="Times New Roman"/>
          <w:sz w:val="22"/>
          <w:szCs w:val="22"/>
          <w:lang w:val="lt-LT"/>
        </w:rPr>
        <w:t> </w:t>
      </w:r>
      <w:r w:rsidRPr="00DF3F8F">
        <w:rPr>
          <w:rFonts w:ascii="Times New Roman"/>
          <w:sz w:val="22"/>
          <w:szCs w:val="22"/>
          <w:lang w:val="lt-LT"/>
        </w:rPr>
        <w:t>iki 5</w:t>
      </w:r>
      <w:r>
        <w:rPr>
          <w:rFonts w:ascii="Times New Roman"/>
          <w:sz w:val="22"/>
          <w:szCs w:val="22"/>
          <w:lang w:val="lt-LT"/>
        </w:rPr>
        <w:t> </w:t>
      </w:r>
      <w:r w:rsidRPr="00DF3F8F">
        <w:rPr>
          <w:rFonts w:ascii="Times New Roman"/>
          <w:sz w:val="22"/>
          <w:szCs w:val="22"/>
          <w:lang w:val="lt-LT"/>
        </w:rPr>
        <w:t>metų, kuriems nustatyta hipertenzija ir kurie sirgo LIL arba šia liga nesirgo. Pacientams atsitiktine tvarka buvo skiriama 0,25</w:t>
      </w:r>
      <w:r>
        <w:rPr>
          <w:rFonts w:ascii="Times New Roman"/>
          <w:sz w:val="22"/>
          <w:szCs w:val="22"/>
          <w:lang w:val="lt-LT"/>
        </w:rPr>
        <w:t> </w:t>
      </w:r>
      <w:r w:rsidRPr="00DF3F8F">
        <w:rPr>
          <w:rFonts w:ascii="Times New Roman"/>
          <w:sz w:val="22"/>
          <w:szCs w:val="22"/>
          <w:lang w:val="lt-LT"/>
        </w:rPr>
        <w:t>mg/kg arba 4</w:t>
      </w:r>
      <w:r>
        <w:rPr>
          <w:rFonts w:ascii="Times New Roman"/>
          <w:sz w:val="22"/>
          <w:szCs w:val="22"/>
          <w:lang w:val="lt-LT"/>
        </w:rPr>
        <w:t> </w:t>
      </w:r>
      <w:r w:rsidRPr="00DF3F8F">
        <w:rPr>
          <w:rFonts w:ascii="Times New Roman"/>
          <w:sz w:val="22"/>
          <w:szCs w:val="22"/>
          <w:lang w:val="lt-LT"/>
        </w:rPr>
        <w:t>mg/kg kūno svorio dozė. Analizuojant vertinamąją baigtį nustatyta, kad vidutinio sistolinio kraujospūdžio (VSK)</w:t>
      </w:r>
      <w:r>
        <w:rPr>
          <w:rFonts w:ascii="Times New Roman"/>
          <w:sz w:val="22"/>
          <w:szCs w:val="22"/>
          <w:lang w:val="lt-LT"/>
        </w:rPr>
        <w:t> </w:t>
      </w:r>
      <w:r w:rsidRPr="00DF3F8F">
        <w:rPr>
          <w:rFonts w:ascii="Times New Roman"/>
          <w:sz w:val="22"/>
          <w:szCs w:val="22"/>
          <w:lang w:val="lt-LT"/>
        </w:rPr>
        <w:t>/ vidutinio diastolinio kraujospūdžio (VDK) sumažėjimas vartojusiesiems 4,0</w:t>
      </w:r>
      <w:r>
        <w:rPr>
          <w:rFonts w:ascii="Times New Roman"/>
          <w:sz w:val="22"/>
          <w:szCs w:val="22"/>
          <w:lang w:val="lt-LT"/>
        </w:rPr>
        <w:t> </w:t>
      </w:r>
      <w:r w:rsidRPr="00DF3F8F">
        <w:rPr>
          <w:rFonts w:ascii="Times New Roman"/>
          <w:sz w:val="22"/>
          <w:szCs w:val="22"/>
          <w:lang w:val="lt-LT"/>
        </w:rPr>
        <w:t>mg/kg valsartano dozę, lyginant 0,25</w:t>
      </w:r>
      <w:r>
        <w:rPr>
          <w:rFonts w:ascii="Times New Roman"/>
          <w:sz w:val="22"/>
          <w:szCs w:val="22"/>
          <w:lang w:val="lt-LT"/>
        </w:rPr>
        <w:t> </w:t>
      </w:r>
      <w:r w:rsidRPr="00DF3F8F">
        <w:rPr>
          <w:rFonts w:ascii="Times New Roman"/>
          <w:sz w:val="22"/>
          <w:szCs w:val="22"/>
          <w:lang w:val="lt-LT"/>
        </w:rPr>
        <w:t>mg/kg valsartano dozę vartojusiais pacientais, buvo atitinkamai 8,5</w:t>
      </w:r>
      <w:r>
        <w:rPr>
          <w:rFonts w:ascii="Times New Roman"/>
          <w:sz w:val="22"/>
          <w:szCs w:val="22"/>
          <w:lang w:val="lt-LT"/>
        </w:rPr>
        <w:t> </w:t>
      </w:r>
      <w:r w:rsidRPr="00DF3F8F">
        <w:rPr>
          <w:rFonts w:ascii="Times New Roman"/>
          <w:sz w:val="22"/>
          <w:szCs w:val="22"/>
          <w:lang w:val="lt-LT"/>
        </w:rPr>
        <w:t>/</w:t>
      </w:r>
      <w:r>
        <w:rPr>
          <w:rFonts w:ascii="Times New Roman"/>
          <w:sz w:val="22"/>
          <w:szCs w:val="22"/>
          <w:lang w:val="lt-LT"/>
        </w:rPr>
        <w:t> </w:t>
      </w:r>
      <w:r w:rsidRPr="00DF3F8F">
        <w:rPr>
          <w:rFonts w:ascii="Times New Roman"/>
          <w:sz w:val="22"/>
          <w:szCs w:val="22"/>
          <w:lang w:val="lt-LT"/>
        </w:rPr>
        <w:t>6,8</w:t>
      </w:r>
      <w:r>
        <w:rPr>
          <w:rFonts w:ascii="Times New Roman"/>
          <w:sz w:val="22"/>
          <w:szCs w:val="22"/>
          <w:lang w:val="lt-LT"/>
        </w:rPr>
        <w:t> </w:t>
      </w:r>
      <w:proofErr w:type="spellStart"/>
      <w:r w:rsidRPr="00DF3F8F">
        <w:rPr>
          <w:rFonts w:ascii="Times New Roman"/>
          <w:sz w:val="22"/>
          <w:szCs w:val="22"/>
          <w:lang w:val="lt-LT"/>
        </w:rPr>
        <w:t>mmHg</w:t>
      </w:r>
      <w:proofErr w:type="spellEnd"/>
      <w:r w:rsidRPr="00DF3F8F">
        <w:rPr>
          <w:rFonts w:ascii="Times New Roman"/>
          <w:sz w:val="22"/>
          <w:szCs w:val="22"/>
          <w:lang w:val="lt-LT"/>
        </w:rPr>
        <w:t xml:space="preserve"> ir 4,1</w:t>
      </w:r>
      <w:r>
        <w:rPr>
          <w:rFonts w:ascii="Times New Roman"/>
          <w:sz w:val="22"/>
          <w:szCs w:val="22"/>
          <w:lang w:val="lt-LT"/>
        </w:rPr>
        <w:t> </w:t>
      </w:r>
      <w:r w:rsidRPr="00DF3F8F">
        <w:rPr>
          <w:rFonts w:ascii="Times New Roman"/>
          <w:sz w:val="22"/>
          <w:szCs w:val="22"/>
          <w:lang w:val="lt-LT"/>
        </w:rPr>
        <w:t>/</w:t>
      </w:r>
      <w:r>
        <w:rPr>
          <w:rFonts w:ascii="Times New Roman"/>
          <w:sz w:val="22"/>
          <w:szCs w:val="22"/>
          <w:lang w:val="lt-LT"/>
        </w:rPr>
        <w:t> </w:t>
      </w:r>
      <w:r w:rsidRPr="00DF3F8F">
        <w:rPr>
          <w:rFonts w:ascii="Times New Roman"/>
          <w:sz w:val="22"/>
          <w:szCs w:val="22"/>
          <w:lang w:val="lt-LT"/>
        </w:rPr>
        <w:t>0,3</w:t>
      </w:r>
      <w:r>
        <w:rPr>
          <w:rFonts w:ascii="Times New Roman"/>
          <w:sz w:val="22"/>
          <w:szCs w:val="22"/>
          <w:lang w:val="lt-LT"/>
        </w:rPr>
        <w:t> </w:t>
      </w:r>
      <w:proofErr w:type="spellStart"/>
      <w:r w:rsidRPr="00DF3F8F">
        <w:rPr>
          <w:rFonts w:ascii="Times New Roman"/>
          <w:sz w:val="22"/>
          <w:szCs w:val="22"/>
          <w:lang w:val="lt-LT"/>
        </w:rPr>
        <w:t>mmHg</w:t>
      </w:r>
      <w:proofErr w:type="spellEnd"/>
      <w:r w:rsidRPr="00DF3F8F">
        <w:rPr>
          <w:rFonts w:ascii="Times New Roman"/>
          <w:sz w:val="22"/>
          <w:szCs w:val="22"/>
          <w:lang w:val="lt-LT"/>
        </w:rPr>
        <w:t xml:space="preserve"> (p</w:t>
      </w:r>
      <w:r>
        <w:rPr>
          <w:rFonts w:ascii="Times New Roman"/>
          <w:sz w:val="22"/>
          <w:szCs w:val="22"/>
          <w:lang w:val="lt-LT"/>
        </w:rPr>
        <w:t> </w:t>
      </w:r>
      <w:r w:rsidRPr="00DF3F8F">
        <w:rPr>
          <w:rFonts w:ascii="Times New Roman"/>
          <w:sz w:val="22"/>
          <w:szCs w:val="22"/>
          <w:lang w:val="lt-LT"/>
        </w:rPr>
        <w:t>=</w:t>
      </w:r>
      <w:r>
        <w:rPr>
          <w:rFonts w:ascii="Times New Roman"/>
          <w:sz w:val="22"/>
          <w:szCs w:val="22"/>
          <w:lang w:val="lt-LT"/>
        </w:rPr>
        <w:t> </w:t>
      </w:r>
      <w:r w:rsidRPr="00DF3F8F">
        <w:rPr>
          <w:rFonts w:ascii="Times New Roman"/>
          <w:sz w:val="22"/>
          <w:szCs w:val="22"/>
          <w:lang w:val="lt-LT"/>
        </w:rPr>
        <w:t>0,0157 / p</w:t>
      </w:r>
      <w:r>
        <w:rPr>
          <w:rFonts w:ascii="Times New Roman"/>
          <w:sz w:val="22"/>
          <w:szCs w:val="22"/>
          <w:lang w:val="lt-LT"/>
        </w:rPr>
        <w:t> </w:t>
      </w:r>
      <w:r w:rsidRPr="00DF3F8F">
        <w:rPr>
          <w:rFonts w:ascii="Times New Roman"/>
          <w:sz w:val="22"/>
          <w:szCs w:val="22"/>
          <w:lang w:val="lt-LT"/>
        </w:rPr>
        <w:t>&lt;</w:t>
      </w:r>
      <w:r>
        <w:rPr>
          <w:rFonts w:ascii="Times New Roman"/>
          <w:sz w:val="22"/>
          <w:szCs w:val="22"/>
          <w:lang w:val="lt-LT"/>
        </w:rPr>
        <w:t> </w:t>
      </w:r>
      <w:r w:rsidRPr="00DF3F8F">
        <w:rPr>
          <w:rFonts w:ascii="Times New Roman"/>
          <w:sz w:val="22"/>
          <w:szCs w:val="22"/>
          <w:lang w:val="lt-LT"/>
        </w:rPr>
        <w:t>0,0001). Sergančiųjų LIL pogrupyje 4,0</w:t>
      </w:r>
      <w:r>
        <w:rPr>
          <w:rFonts w:ascii="Times New Roman"/>
          <w:sz w:val="22"/>
          <w:szCs w:val="22"/>
          <w:lang w:val="lt-LT"/>
        </w:rPr>
        <w:t> </w:t>
      </w:r>
      <w:r w:rsidRPr="00DF3F8F">
        <w:rPr>
          <w:rFonts w:ascii="Times New Roman"/>
          <w:sz w:val="22"/>
          <w:szCs w:val="22"/>
          <w:lang w:val="lt-LT"/>
        </w:rPr>
        <w:t>mg/kg valsartano dozę ir 0,25</w:t>
      </w:r>
      <w:r>
        <w:rPr>
          <w:rFonts w:ascii="Times New Roman"/>
          <w:sz w:val="22"/>
          <w:szCs w:val="22"/>
          <w:lang w:val="lt-LT"/>
        </w:rPr>
        <w:t> </w:t>
      </w:r>
      <w:r w:rsidRPr="00DF3F8F">
        <w:rPr>
          <w:rFonts w:ascii="Times New Roman"/>
          <w:sz w:val="22"/>
          <w:szCs w:val="22"/>
          <w:lang w:val="lt-LT"/>
        </w:rPr>
        <w:t xml:space="preserve">mg/kg valsartano dozę vartojusiems </w:t>
      </w:r>
      <w:r w:rsidRPr="00DF3F8F">
        <w:rPr>
          <w:rFonts w:ascii="Times New Roman"/>
          <w:sz w:val="22"/>
          <w:szCs w:val="22"/>
          <w:lang w:val="lt-LT"/>
        </w:rPr>
        <w:lastRenderedPageBreak/>
        <w:t>pacientams taip pat buvo nustatytas panašus VSK</w:t>
      </w:r>
      <w:r>
        <w:rPr>
          <w:rFonts w:ascii="Times New Roman"/>
          <w:sz w:val="22"/>
          <w:szCs w:val="22"/>
          <w:lang w:val="lt-LT"/>
        </w:rPr>
        <w:t> </w:t>
      </w:r>
      <w:r w:rsidRPr="00DF3F8F">
        <w:rPr>
          <w:rFonts w:ascii="Times New Roman"/>
          <w:sz w:val="22"/>
          <w:szCs w:val="22"/>
          <w:lang w:val="lt-LT"/>
        </w:rPr>
        <w:t>/</w:t>
      </w:r>
      <w:r>
        <w:rPr>
          <w:rFonts w:ascii="Times New Roman"/>
          <w:sz w:val="22"/>
          <w:szCs w:val="22"/>
          <w:lang w:val="lt-LT"/>
        </w:rPr>
        <w:t> </w:t>
      </w:r>
      <w:r w:rsidRPr="00DF3F8F">
        <w:rPr>
          <w:rFonts w:ascii="Times New Roman"/>
          <w:sz w:val="22"/>
          <w:szCs w:val="22"/>
          <w:lang w:val="lt-LT"/>
        </w:rPr>
        <w:t>VDK sumažėjimas atitinkamai 9,2</w:t>
      </w:r>
      <w:r>
        <w:rPr>
          <w:rFonts w:ascii="Times New Roman"/>
          <w:sz w:val="22"/>
          <w:szCs w:val="22"/>
          <w:lang w:val="lt-LT"/>
        </w:rPr>
        <w:t> </w:t>
      </w:r>
      <w:r w:rsidRPr="00DF3F8F">
        <w:rPr>
          <w:rFonts w:ascii="Times New Roman"/>
          <w:sz w:val="22"/>
          <w:szCs w:val="22"/>
          <w:lang w:val="lt-LT"/>
        </w:rPr>
        <w:t>/</w:t>
      </w:r>
      <w:r>
        <w:rPr>
          <w:rFonts w:ascii="Times New Roman"/>
          <w:sz w:val="22"/>
          <w:szCs w:val="22"/>
          <w:lang w:val="lt-LT"/>
        </w:rPr>
        <w:t> </w:t>
      </w:r>
      <w:r w:rsidRPr="00DF3F8F">
        <w:rPr>
          <w:rFonts w:ascii="Times New Roman"/>
          <w:sz w:val="22"/>
          <w:szCs w:val="22"/>
          <w:lang w:val="lt-LT"/>
        </w:rPr>
        <w:t>6,5</w:t>
      </w:r>
      <w:r>
        <w:rPr>
          <w:rFonts w:ascii="Times New Roman"/>
          <w:sz w:val="22"/>
          <w:szCs w:val="22"/>
          <w:lang w:val="lt-LT"/>
        </w:rPr>
        <w:t> </w:t>
      </w:r>
      <w:proofErr w:type="spellStart"/>
      <w:r w:rsidRPr="00DF3F8F">
        <w:rPr>
          <w:rFonts w:ascii="Times New Roman"/>
          <w:sz w:val="22"/>
          <w:szCs w:val="22"/>
          <w:lang w:val="lt-LT"/>
        </w:rPr>
        <w:t>mmHg</w:t>
      </w:r>
      <w:proofErr w:type="spellEnd"/>
      <w:r w:rsidRPr="00DF3F8F">
        <w:rPr>
          <w:rFonts w:ascii="Times New Roman"/>
          <w:sz w:val="22"/>
          <w:szCs w:val="22"/>
          <w:lang w:val="lt-LT"/>
        </w:rPr>
        <w:t>, lyginant su 1,2</w:t>
      </w:r>
      <w:r>
        <w:rPr>
          <w:rFonts w:ascii="Times New Roman"/>
          <w:sz w:val="22"/>
          <w:szCs w:val="22"/>
          <w:lang w:val="lt-LT"/>
        </w:rPr>
        <w:t> </w:t>
      </w:r>
      <w:r w:rsidRPr="00DF3F8F">
        <w:rPr>
          <w:rFonts w:ascii="Times New Roman"/>
          <w:sz w:val="22"/>
          <w:szCs w:val="22"/>
          <w:lang w:val="lt-LT"/>
        </w:rPr>
        <w:t>/</w:t>
      </w:r>
      <w:r>
        <w:rPr>
          <w:rFonts w:ascii="Times New Roman"/>
          <w:sz w:val="22"/>
          <w:szCs w:val="22"/>
          <w:lang w:val="lt-LT"/>
        </w:rPr>
        <w:t> </w:t>
      </w:r>
      <w:r w:rsidRPr="00DF3F8F">
        <w:rPr>
          <w:rFonts w:ascii="Times New Roman"/>
          <w:sz w:val="22"/>
          <w:szCs w:val="22"/>
          <w:lang w:val="lt-LT"/>
        </w:rPr>
        <w:t>+1,3</w:t>
      </w:r>
      <w:r>
        <w:rPr>
          <w:rFonts w:ascii="Times New Roman"/>
          <w:sz w:val="22"/>
          <w:szCs w:val="22"/>
          <w:lang w:val="lt-LT"/>
        </w:rPr>
        <w:t> </w:t>
      </w:r>
      <w:proofErr w:type="spellStart"/>
      <w:r w:rsidRPr="00DF3F8F">
        <w:rPr>
          <w:rFonts w:ascii="Times New Roman"/>
          <w:sz w:val="22"/>
          <w:szCs w:val="22"/>
          <w:lang w:val="lt-LT"/>
        </w:rPr>
        <w:t>mmHg</w:t>
      </w:r>
      <w:proofErr w:type="spellEnd"/>
      <w:r w:rsidRPr="00DF3F8F">
        <w:rPr>
          <w:rFonts w:ascii="Times New Roman"/>
          <w:sz w:val="22"/>
          <w:szCs w:val="22"/>
          <w:lang w:val="lt-LT"/>
        </w:rPr>
        <w:t>.</w:t>
      </w:r>
    </w:p>
    <w:p w14:paraId="79A994D0" w14:textId="77777777" w:rsidR="00DF3F8F" w:rsidRDefault="00DF3F8F" w:rsidP="00307CD6">
      <w:pPr>
        <w:pStyle w:val="prastasiniatinklio"/>
        <w:spacing w:after="0"/>
        <w:contextualSpacing/>
        <w:rPr>
          <w:rFonts w:ascii="Times New Roman"/>
          <w:sz w:val="22"/>
          <w:szCs w:val="22"/>
          <w:lang w:val="lt-LT"/>
        </w:rPr>
      </w:pPr>
    </w:p>
    <w:p w14:paraId="7AB65464" w14:textId="7E0AA6AF" w:rsidR="00DE3708" w:rsidRPr="00FB60E5" w:rsidRDefault="00DE3708" w:rsidP="00307CD6">
      <w:pPr>
        <w:pStyle w:val="prastasiniatinklio"/>
        <w:spacing w:after="0"/>
        <w:contextualSpacing/>
        <w:rPr>
          <w:rFonts w:ascii="Times New Roman"/>
          <w:sz w:val="22"/>
          <w:szCs w:val="22"/>
          <w:lang w:val="lt-LT"/>
        </w:rPr>
      </w:pPr>
      <w:r w:rsidRPr="00FB60E5">
        <w:rPr>
          <w:rFonts w:ascii="Times New Roman"/>
          <w:sz w:val="22"/>
          <w:szCs w:val="22"/>
          <w:lang w:val="lt-LT"/>
        </w:rPr>
        <w:t>Europos vaistų agentūra atleido nuo įpareigojimo pateikti referencinio vaistinio preparato, kurio sudėtyje yra valsartano tyrimų su visais vaikų populiacijos, sergančių širdies nepakankamumu, įskaitant atsiradusį po neseniai ištikusio miokardo infarkto, pogrupiais duomenis (vartojimo vaikams informacija pateikiama žr. 4.2).</w:t>
      </w:r>
    </w:p>
    <w:p w14:paraId="4DF2DC8F" w14:textId="77777777" w:rsidR="00DE3708" w:rsidRPr="001E6DB9" w:rsidRDefault="00DE3708" w:rsidP="00307CD6">
      <w:pPr>
        <w:spacing w:line="240" w:lineRule="auto"/>
        <w:contextualSpacing/>
        <w:rPr>
          <w:rFonts w:eastAsia="Batang"/>
          <w:szCs w:val="22"/>
        </w:rPr>
      </w:pPr>
    </w:p>
    <w:p w14:paraId="790444A5" w14:textId="77777777" w:rsidR="00DE3708" w:rsidRPr="001E6DB9" w:rsidRDefault="00DE3708" w:rsidP="00307CD6">
      <w:pPr>
        <w:spacing w:line="240" w:lineRule="auto"/>
        <w:contextualSpacing/>
        <w:rPr>
          <w:b/>
          <w:szCs w:val="22"/>
        </w:rPr>
      </w:pPr>
      <w:r w:rsidRPr="001E6DB9">
        <w:rPr>
          <w:b/>
          <w:szCs w:val="22"/>
        </w:rPr>
        <w:t>5.2</w:t>
      </w:r>
      <w:r w:rsidRPr="001E6DB9">
        <w:rPr>
          <w:b/>
          <w:szCs w:val="22"/>
        </w:rPr>
        <w:tab/>
        <w:t>Farmakokinetinės savybės</w:t>
      </w:r>
    </w:p>
    <w:p w14:paraId="33CA60F5" w14:textId="77777777" w:rsidR="00DE3708" w:rsidRPr="001E6DB9" w:rsidRDefault="00DE3708" w:rsidP="00307CD6">
      <w:pPr>
        <w:spacing w:line="240" w:lineRule="auto"/>
        <w:contextualSpacing/>
        <w:rPr>
          <w:b/>
          <w:szCs w:val="22"/>
        </w:rPr>
      </w:pPr>
    </w:p>
    <w:p w14:paraId="75F669F2"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Absorbcija </w:t>
      </w:r>
    </w:p>
    <w:p w14:paraId="38738A50" w14:textId="77777777" w:rsidR="00DF3F8F" w:rsidRDefault="00DE3708" w:rsidP="00DF3F8F">
      <w:pPr>
        <w:rPr>
          <w:szCs w:val="22"/>
        </w:rPr>
      </w:pPr>
      <w:r w:rsidRPr="001E6DB9">
        <w:rPr>
          <w:szCs w:val="22"/>
        </w:rPr>
        <w:t>Išgėrus vieno valsartano, didžiausia jo koncentracija plazmoje atsiranda per 2–4</w:t>
      </w:r>
      <w:r w:rsidR="0083265C">
        <w:rPr>
          <w:szCs w:val="22"/>
        </w:rPr>
        <w:t> </w:t>
      </w:r>
      <w:r w:rsidRPr="001E6DB9">
        <w:rPr>
          <w:szCs w:val="22"/>
        </w:rPr>
        <w:t>valandas, jei vartojama tablečių, ir per 1</w:t>
      </w:r>
      <w:r w:rsidRPr="001E6DB9">
        <w:rPr>
          <w:szCs w:val="22"/>
        </w:rPr>
        <w:noBreakHyphen/>
        <w:t xml:space="preserve">2 valandas, jei vartojama tirpalo. Vidutinis biologinis tablečių ir tirpalo prieinamumas yra atitinkamai 23 % ir 39 %. </w:t>
      </w:r>
    </w:p>
    <w:p w14:paraId="5771BC09" w14:textId="7ECA783C" w:rsidR="00DF3F8F" w:rsidRPr="002C6DA5" w:rsidRDefault="00DF3F8F" w:rsidP="00DF3F8F">
      <w:r w:rsidRPr="002C6DA5">
        <w:t>Valsartano sisteminės ekspozicijos ir didžiausiosios koncentracijos plazmoje rodmenys yra atitinkamai maždaug 1,7 karto ir 2,2 karto didesni vartojant geriamojo tirpalo nei vartojant tablečių.</w:t>
      </w:r>
    </w:p>
    <w:p w14:paraId="2C666644" w14:textId="77777777" w:rsidR="00DF3F8F" w:rsidRDefault="00DF3F8F" w:rsidP="00307CD6">
      <w:pPr>
        <w:pStyle w:val="Default"/>
        <w:contextualSpacing/>
        <w:rPr>
          <w:color w:val="auto"/>
          <w:sz w:val="22"/>
          <w:szCs w:val="22"/>
        </w:rPr>
      </w:pPr>
    </w:p>
    <w:p w14:paraId="094B6C0B" w14:textId="7160DF60" w:rsidR="00DE3708" w:rsidRPr="001E6DB9" w:rsidRDefault="00DE3708" w:rsidP="00307CD6">
      <w:pPr>
        <w:pStyle w:val="Default"/>
        <w:contextualSpacing/>
        <w:rPr>
          <w:color w:val="auto"/>
          <w:sz w:val="22"/>
          <w:szCs w:val="22"/>
        </w:rPr>
      </w:pPr>
      <w:r w:rsidRPr="001E6DB9">
        <w:rPr>
          <w:color w:val="auto"/>
          <w:sz w:val="22"/>
          <w:szCs w:val="22"/>
        </w:rPr>
        <w:t>Maistas sumažina valsartano ekspoziciją (kuri matuojama pagal AUC) sumažina maždaug 40 %, didžiausią koncentraciją plazmoje (</w:t>
      </w:r>
      <w:proofErr w:type="spellStart"/>
      <w:r w:rsidRPr="001E6DB9">
        <w:rPr>
          <w:color w:val="auto"/>
          <w:sz w:val="22"/>
          <w:szCs w:val="22"/>
        </w:rPr>
        <w:t>C</w:t>
      </w:r>
      <w:r w:rsidRPr="001E6DB9">
        <w:rPr>
          <w:color w:val="auto"/>
          <w:sz w:val="22"/>
          <w:szCs w:val="22"/>
          <w:vertAlign w:val="subscript"/>
        </w:rPr>
        <w:t>max</w:t>
      </w:r>
      <w:proofErr w:type="spellEnd"/>
      <w:r w:rsidRPr="001E6DB9">
        <w:rPr>
          <w:color w:val="auto"/>
          <w:sz w:val="22"/>
          <w:szCs w:val="22"/>
        </w:rPr>
        <w:t>) – maždaug 50</w:t>
      </w:r>
      <w:r w:rsidR="0083265C">
        <w:rPr>
          <w:color w:val="auto"/>
          <w:sz w:val="22"/>
          <w:szCs w:val="22"/>
        </w:rPr>
        <w:t> </w:t>
      </w:r>
      <w:r w:rsidRPr="001E6DB9">
        <w:rPr>
          <w:color w:val="auto"/>
          <w:sz w:val="22"/>
          <w:szCs w:val="22"/>
        </w:rPr>
        <w:t>%, tačiau po suvartojimo praėjus maždaug 8</w:t>
      </w:r>
      <w:r w:rsidR="0083265C">
        <w:rPr>
          <w:color w:val="auto"/>
          <w:sz w:val="22"/>
          <w:szCs w:val="22"/>
        </w:rPr>
        <w:t> </w:t>
      </w:r>
      <w:r w:rsidRPr="001E6DB9">
        <w:rPr>
          <w:color w:val="auto"/>
          <w:sz w:val="22"/>
          <w:szCs w:val="22"/>
        </w:rPr>
        <w:t xml:space="preserve">val. valsartano gėrusių valgio metu ir jo gėrusių nevalgius žmonių grupėse vaistinio preparato koncentracija būna panaši. Vis dėlto, toks AUC sumažėjimas nėra susijęs su kliniškai reikšmingu veiksmingumo mažėjimu, todėl </w:t>
      </w:r>
      <w:proofErr w:type="spellStart"/>
      <w:r w:rsidRPr="001E6DB9">
        <w:rPr>
          <w:color w:val="auto"/>
          <w:sz w:val="22"/>
          <w:szCs w:val="22"/>
        </w:rPr>
        <w:t>valsartaną</w:t>
      </w:r>
      <w:proofErr w:type="spellEnd"/>
      <w:r w:rsidRPr="001E6DB9">
        <w:rPr>
          <w:color w:val="auto"/>
          <w:sz w:val="22"/>
          <w:szCs w:val="22"/>
        </w:rPr>
        <w:t xml:space="preserve"> galima vartoti tiek valgio metu, tiek kitu laiku. </w:t>
      </w:r>
    </w:p>
    <w:p w14:paraId="2D7C90AE" w14:textId="77777777" w:rsidR="00DE3708" w:rsidRPr="001E6DB9" w:rsidRDefault="00DE3708" w:rsidP="00307CD6">
      <w:pPr>
        <w:pStyle w:val="Default"/>
        <w:contextualSpacing/>
        <w:rPr>
          <w:color w:val="auto"/>
          <w:sz w:val="22"/>
          <w:szCs w:val="22"/>
        </w:rPr>
      </w:pPr>
    </w:p>
    <w:p w14:paraId="1EC71CE8"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Pasiskirstymas </w:t>
      </w:r>
    </w:p>
    <w:p w14:paraId="57ACC4E0" w14:textId="77777777" w:rsidR="00DE3708" w:rsidRPr="001E6DB9" w:rsidRDefault="00DE3708" w:rsidP="00307CD6">
      <w:pPr>
        <w:pStyle w:val="Default"/>
        <w:contextualSpacing/>
        <w:rPr>
          <w:color w:val="auto"/>
          <w:sz w:val="22"/>
          <w:szCs w:val="22"/>
        </w:rPr>
      </w:pPr>
      <w:r w:rsidRPr="001E6DB9">
        <w:rPr>
          <w:color w:val="auto"/>
          <w:sz w:val="22"/>
          <w:szCs w:val="22"/>
        </w:rPr>
        <w:t>Suleisto į veną valsartano pasiskirstymo tūris tuo metu, kai nusistovėjusi pusiausvyrinė koncentracija, yra maždaug 17</w:t>
      </w:r>
      <w:r w:rsidR="0083265C">
        <w:rPr>
          <w:color w:val="auto"/>
          <w:sz w:val="22"/>
          <w:szCs w:val="22"/>
        </w:rPr>
        <w:t> </w:t>
      </w:r>
      <w:r w:rsidRPr="001E6DB9">
        <w:rPr>
          <w:color w:val="auto"/>
          <w:sz w:val="22"/>
          <w:szCs w:val="22"/>
        </w:rPr>
        <w:t xml:space="preserve">litrų ir rodo, kad valsartano pasiskirstymas audiniuose yra nedidelis. Daug (94–97 %) valsartano būna junginių su kraujo serumo baltymais, daugiausiai albuminu, pavidalu. </w:t>
      </w:r>
    </w:p>
    <w:p w14:paraId="1A09A1FD" w14:textId="77777777" w:rsidR="00DE3708" w:rsidRPr="001E6DB9" w:rsidRDefault="00DE3708" w:rsidP="00307CD6">
      <w:pPr>
        <w:pStyle w:val="Default"/>
        <w:contextualSpacing/>
        <w:rPr>
          <w:color w:val="auto"/>
          <w:sz w:val="22"/>
          <w:szCs w:val="22"/>
        </w:rPr>
      </w:pPr>
    </w:p>
    <w:p w14:paraId="7E982DDD"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Biotransformacija </w:t>
      </w:r>
    </w:p>
    <w:p w14:paraId="2F247803"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Valsartano biotransformacijos laipsnis nedidelis, metabolitų pavidalu šalinama tik 20 % dozės. </w:t>
      </w:r>
      <w:proofErr w:type="spellStart"/>
      <w:r w:rsidRPr="001E6DB9">
        <w:rPr>
          <w:color w:val="auto"/>
          <w:sz w:val="22"/>
          <w:szCs w:val="22"/>
        </w:rPr>
        <w:t>Valsartano</w:t>
      </w:r>
      <w:proofErr w:type="spellEnd"/>
      <w:r w:rsidRPr="001E6DB9">
        <w:rPr>
          <w:color w:val="auto"/>
          <w:sz w:val="22"/>
          <w:szCs w:val="22"/>
        </w:rPr>
        <w:t xml:space="preserve"> </w:t>
      </w:r>
      <w:proofErr w:type="spellStart"/>
      <w:r w:rsidRPr="001E6DB9">
        <w:rPr>
          <w:color w:val="auto"/>
          <w:sz w:val="22"/>
          <w:szCs w:val="22"/>
        </w:rPr>
        <w:t>hidroksimetabolito</w:t>
      </w:r>
      <w:proofErr w:type="spellEnd"/>
      <w:r w:rsidRPr="001E6DB9">
        <w:rPr>
          <w:color w:val="auto"/>
          <w:sz w:val="22"/>
          <w:szCs w:val="22"/>
        </w:rPr>
        <w:t xml:space="preserve"> kraujo plazmoje būna mažai (mažiau negu 10 % valsartano AUC). Farmakologinio poveikio šis metabolitas nesukelia. </w:t>
      </w:r>
    </w:p>
    <w:p w14:paraId="251CE754" w14:textId="77777777" w:rsidR="00DE3708" w:rsidRPr="001E6DB9" w:rsidRDefault="00DE3708" w:rsidP="00307CD6">
      <w:pPr>
        <w:pStyle w:val="Default"/>
        <w:contextualSpacing/>
        <w:rPr>
          <w:color w:val="auto"/>
          <w:sz w:val="22"/>
          <w:szCs w:val="22"/>
        </w:rPr>
      </w:pPr>
    </w:p>
    <w:p w14:paraId="60E34BFE"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Eliminacija</w:t>
      </w:r>
    </w:p>
    <w:p w14:paraId="0AE73E3F"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Valsartano šalinimo kinetika yra </w:t>
      </w:r>
      <w:proofErr w:type="spellStart"/>
      <w:r w:rsidRPr="001E6DB9">
        <w:rPr>
          <w:color w:val="auto"/>
          <w:sz w:val="22"/>
          <w:szCs w:val="22"/>
        </w:rPr>
        <w:t>daugiaeksponentė</w:t>
      </w:r>
      <w:proofErr w:type="spellEnd"/>
      <w:r w:rsidRPr="001E6DB9">
        <w:rPr>
          <w:color w:val="auto"/>
          <w:sz w:val="22"/>
          <w:szCs w:val="22"/>
        </w:rPr>
        <w:t xml:space="preserve"> (α fazės metu pusinės eliminacijos laikas yra &lt;</w:t>
      </w:r>
      <w:r w:rsidR="00617EBE">
        <w:rPr>
          <w:color w:val="auto"/>
          <w:sz w:val="22"/>
          <w:szCs w:val="22"/>
        </w:rPr>
        <w:t> </w:t>
      </w:r>
      <w:r w:rsidRPr="001E6DB9">
        <w:rPr>
          <w:color w:val="auto"/>
          <w:sz w:val="22"/>
          <w:szCs w:val="22"/>
        </w:rPr>
        <w:t>1</w:t>
      </w:r>
      <w:r w:rsidR="00617EBE">
        <w:rPr>
          <w:color w:val="auto"/>
          <w:sz w:val="22"/>
          <w:szCs w:val="22"/>
        </w:rPr>
        <w:t> </w:t>
      </w:r>
      <w:r w:rsidRPr="001E6DB9">
        <w:rPr>
          <w:color w:val="auto"/>
          <w:sz w:val="22"/>
          <w:szCs w:val="22"/>
        </w:rPr>
        <w:t>val., β fazės metu – maždaug 9</w:t>
      </w:r>
      <w:r w:rsidR="00617EBE">
        <w:rPr>
          <w:color w:val="auto"/>
          <w:sz w:val="22"/>
          <w:szCs w:val="22"/>
        </w:rPr>
        <w:t> </w:t>
      </w:r>
      <w:r w:rsidRPr="001E6DB9">
        <w:rPr>
          <w:color w:val="auto"/>
          <w:sz w:val="22"/>
          <w:szCs w:val="22"/>
        </w:rPr>
        <w:t>val.). Valsartanas visų pirma yra šalinamas per tulžį su išmatomis (apie 83 % dozės) ir per inkstus su šlapimu (apie 13 % dozės), daugiausia nepakitusio</w:t>
      </w:r>
      <w:r w:rsidR="009B7215" w:rsidRPr="001E6DB9">
        <w:rPr>
          <w:color w:val="auto"/>
          <w:sz w:val="22"/>
          <w:szCs w:val="22"/>
        </w:rPr>
        <w:t>s veikliosios medžiagos</w:t>
      </w:r>
      <w:r w:rsidRPr="001E6DB9">
        <w:rPr>
          <w:color w:val="auto"/>
          <w:sz w:val="22"/>
          <w:szCs w:val="22"/>
        </w:rPr>
        <w:t xml:space="preserve"> pavidalu. Suleisto į veną valsartano kraujo plazmos klirensas yra maždaug 2</w:t>
      </w:r>
      <w:r w:rsidR="00617EBE">
        <w:rPr>
          <w:color w:val="auto"/>
          <w:sz w:val="22"/>
          <w:szCs w:val="22"/>
        </w:rPr>
        <w:t> </w:t>
      </w:r>
      <w:r w:rsidRPr="001E6DB9">
        <w:rPr>
          <w:color w:val="auto"/>
          <w:sz w:val="22"/>
          <w:szCs w:val="22"/>
        </w:rPr>
        <w:t>l/val., jo inkstų klirensas – 0,62</w:t>
      </w:r>
      <w:r w:rsidR="00617EBE">
        <w:rPr>
          <w:color w:val="auto"/>
          <w:sz w:val="22"/>
          <w:szCs w:val="22"/>
        </w:rPr>
        <w:t> </w:t>
      </w:r>
      <w:r w:rsidRPr="001E6DB9">
        <w:rPr>
          <w:color w:val="auto"/>
          <w:sz w:val="22"/>
          <w:szCs w:val="22"/>
        </w:rPr>
        <w:t>l/val. (maždaug 30</w:t>
      </w:r>
      <w:r w:rsidR="00617EBE">
        <w:rPr>
          <w:color w:val="auto"/>
          <w:sz w:val="22"/>
          <w:szCs w:val="22"/>
        </w:rPr>
        <w:t> </w:t>
      </w:r>
      <w:r w:rsidRPr="001E6DB9">
        <w:rPr>
          <w:color w:val="auto"/>
          <w:sz w:val="22"/>
          <w:szCs w:val="22"/>
        </w:rPr>
        <w:t>% bendrojo klirenso). Valsartano pusinės eliminacijos laikas yra 6 valandos.</w:t>
      </w:r>
    </w:p>
    <w:p w14:paraId="644BAABC" w14:textId="77777777" w:rsidR="00DE3708" w:rsidRPr="001E6DB9" w:rsidRDefault="00DE3708" w:rsidP="00307CD6">
      <w:pPr>
        <w:pStyle w:val="Default"/>
        <w:contextualSpacing/>
        <w:rPr>
          <w:color w:val="auto"/>
          <w:sz w:val="22"/>
          <w:szCs w:val="22"/>
        </w:rPr>
      </w:pPr>
      <w:r w:rsidRPr="001E6DB9">
        <w:rPr>
          <w:color w:val="auto"/>
          <w:sz w:val="22"/>
          <w:szCs w:val="22"/>
        </w:rPr>
        <w:t xml:space="preserve"> </w:t>
      </w:r>
    </w:p>
    <w:p w14:paraId="45E1E2CF" w14:textId="77777777" w:rsidR="00DE3708" w:rsidRPr="001E6DB9" w:rsidRDefault="00DE3708" w:rsidP="00307CD6">
      <w:pPr>
        <w:pStyle w:val="Default"/>
        <w:keepNext/>
        <w:keepLines/>
        <w:shd w:val="clear" w:color="auto" w:fill="FFFFFF"/>
        <w:contextualSpacing/>
        <w:rPr>
          <w:color w:val="auto"/>
          <w:sz w:val="22"/>
          <w:szCs w:val="22"/>
          <w:u w:val="single"/>
        </w:rPr>
      </w:pPr>
      <w:r w:rsidRPr="001E6DB9">
        <w:rPr>
          <w:color w:val="auto"/>
          <w:sz w:val="22"/>
          <w:szCs w:val="22"/>
          <w:u w:val="single"/>
        </w:rPr>
        <w:t>Pacientams, kuriems yra širdies nepakankamumas (tik 80</w:t>
      </w:r>
      <w:r w:rsidR="00617EBE">
        <w:rPr>
          <w:color w:val="auto"/>
          <w:sz w:val="22"/>
          <w:szCs w:val="22"/>
          <w:u w:val="single"/>
        </w:rPr>
        <w:t> </w:t>
      </w:r>
      <w:r w:rsidRPr="001E6DB9">
        <w:rPr>
          <w:color w:val="auto"/>
          <w:sz w:val="22"/>
          <w:szCs w:val="22"/>
          <w:u w:val="single"/>
        </w:rPr>
        <w:t>mg ir 160</w:t>
      </w:r>
      <w:r w:rsidR="00617EBE">
        <w:rPr>
          <w:color w:val="auto"/>
          <w:sz w:val="22"/>
          <w:szCs w:val="22"/>
          <w:u w:val="single"/>
        </w:rPr>
        <w:t> </w:t>
      </w:r>
      <w:r w:rsidRPr="001E6DB9">
        <w:rPr>
          <w:color w:val="auto"/>
          <w:sz w:val="22"/>
          <w:szCs w:val="22"/>
          <w:u w:val="single"/>
        </w:rPr>
        <w:t>mg)</w:t>
      </w:r>
    </w:p>
    <w:p w14:paraId="05C70A5A" w14:textId="77777777" w:rsidR="00DE3708" w:rsidRPr="001E6DB9" w:rsidRDefault="00DE3708" w:rsidP="00307CD6">
      <w:pPr>
        <w:pStyle w:val="Default"/>
        <w:keepNext/>
        <w:keepLines/>
        <w:shd w:val="clear" w:color="auto" w:fill="FFFFFF"/>
        <w:contextualSpacing/>
        <w:rPr>
          <w:color w:val="auto"/>
          <w:sz w:val="22"/>
          <w:szCs w:val="22"/>
        </w:rPr>
      </w:pPr>
      <w:r w:rsidRPr="001E6DB9">
        <w:rPr>
          <w:color w:val="auto"/>
          <w:sz w:val="22"/>
          <w:szCs w:val="22"/>
        </w:rPr>
        <w:t xml:space="preserve">Širdies nepakankamumu sergančių pacientų organizme vidutinis laikas, per kurį valsartano koncentracija kraujyje tampa didžiausia, ir pusinės eliminacijos laikas yra tokie patys kaip sveikų savanorių. </w:t>
      </w:r>
      <w:proofErr w:type="spellStart"/>
      <w:r w:rsidRPr="001E6DB9">
        <w:rPr>
          <w:color w:val="auto"/>
          <w:sz w:val="22"/>
          <w:szCs w:val="22"/>
        </w:rPr>
        <w:t>Valsartano</w:t>
      </w:r>
      <w:proofErr w:type="spellEnd"/>
      <w:r w:rsidRPr="001E6DB9">
        <w:rPr>
          <w:color w:val="auto"/>
          <w:sz w:val="22"/>
          <w:szCs w:val="22"/>
        </w:rPr>
        <w:t xml:space="preserve"> AUC ir </w:t>
      </w:r>
      <w:proofErr w:type="spellStart"/>
      <w:r w:rsidRPr="001E6DB9">
        <w:rPr>
          <w:color w:val="auto"/>
          <w:sz w:val="22"/>
          <w:szCs w:val="22"/>
        </w:rPr>
        <w:t>C</w:t>
      </w:r>
      <w:r w:rsidRPr="001E6DB9">
        <w:rPr>
          <w:color w:val="auto"/>
          <w:sz w:val="22"/>
          <w:szCs w:val="22"/>
          <w:vertAlign w:val="subscript"/>
        </w:rPr>
        <w:t>max</w:t>
      </w:r>
      <w:proofErr w:type="spellEnd"/>
      <w:r w:rsidRPr="001E6DB9">
        <w:rPr>
          <w:color w:val="auto"/>
          <w:position w:val="-8"/>
          <w:sz w:val="22"/>
          <w:szCs w:val="22"/>
          <w:vertAlign w:val="subscript"/>
        </w:rPr>
        <w:t xml:space="preserve"> </w:t>
      </w:r>
      <w:r w:rsidRPr="001E6DB9">
        <w:rPr>
          <w:color w:val="auto"/>
          <w:sz w:val="22"/>
          <w:szCs w:val="22"/>
        </w:rPr>
        <w:t>didėjimas yra beveik proporcingas dozės dydžiui gydomųjų dozių diapazono ribose (du kartus per parą vartojant 40</w:t>
      </w:r>
      <w:r w:rsidR="00617EBE">
        <w:rPr>
          <w:color w:val="auto"/>
          <w:sz w:val="22"/>
          <w:szCs w:val="22"/>
        </w:rPr>
        <w:noBreakHyphen/>
      </w:r>
      <w:r w:rsidRPr="001E6DB9">
        <w:rPr>
          <w:color w:val="auto"/>
          <w:sz w:val="22"/>
          <w:szCs w:val="22"/>
        </w:rPr>
        <w:t>160</w:t>
      </w:r>
      <w:r w:rsidR="00617EBE">
        <w:rPr>
          <w:color w:val="auto"/>
          <w:sz w:val="22"/>
          <w:szCs w:val="22"/>
        </w:rPr>
        <w:t> </w:t>
      </w:r>
      <w:r w:rsidRPr="001E6DB9">
        <w:rPr>
          <w:color w:val="auto"/>
          <w:sz w:val="22"/>
          <w:szCs w:val="22"/>
        </w:rPr>
        <w:t>mg dozę). Vidutinis kumuliacijos koeficientas yra maždaug 1,7. Išgerto valsartano tariamasis klirensas yra maždaug 4,5</w:t>
      </w:r>
      <w:r w:rsidR="00617EBE">
        <w:rPr>
          <w:color w:val="auto"/>
          <w:sz w:val="22"/>
          <w:szCs w:val="22"/>
        </w:rPr>
        <w:t> </w:t>
      </w:r>
      <w:r w:rsidRPr="001E6DB9">
        <w:rPr>
          <w:color w:val="auto"/>
          <w:sz w:val="22"/>
          <w:szCs w:val="22"/>
        </w:rPr>
        <w:t xml:space="preserve">l/val. Tariamasis klirensas širdies funkcijos nepakankamumu sergančių ligonių organizme nuo amžiaus nepriklauso. </w:t>
      </w:r>
    </w:p>
    <w:p w14:paraId="3FE4C86E" w14:textId="77777777" w:rsidR="00DE3708" w:rsidRPr="001E6DB9" w:rsidRDefault="00DE3708" w:rsidP="00307CD6">
      <w:pPr>
        <w:pStyle w:val="Default"/>
        <w:keepNext/>
        <w:keepLines/>
        <w:shd w:val="clear" w:color="auto" w:fill="FFFFFF"/>
        <w:contextualSpacing/>
        <w:rPr>
          <w:color w:val="auto"/>
          <w:sz w:val="22"/>
          <w:szCs w:val="22"/>
        </w:rPr>
      </w:pPr>
    </w:p>
    <w:p w14:paraId="46EA0478" w14:textId="77777777" w:rsidR="00DE3708" w:rsidRPr="001E6DB9" w:rsidRDefault="00DE3708" w:rsidP="00307CD6">
      <w:pPr>
        <w:pStyle w:val="Default"/>
        <w:contextualSpacing/>
        <w:rPr>
          <w:i/>
          <w:color w:val="auto"/>
          <w:sz w:val="22"/>
          <w:szCs w:val="22"/>
          <w:u w:val="single"/>
        </w:rPr>
      </w:pPr>
      <w:r w:rsidRPr="001E6DB9">
        <w:rPr>
          <w:i/>
          <w:color w:val="auto"/>
          <w:sz w:val="22"/>
          <w:szCs w:val="22"/>
          <w:u w:val="single"/>
        </w:rPr>
        <w:t>Ypatingos populiacijos</w:t>
      </w:r>
    </w:p>
    <w:p w14:paraId="1ABA47A3" w14:textId="77777777" w:rsidR="00DE3708" w:rsidRPr="001E6DB9" w:rsidRDefault="00DE3708" w:rsidP="00307CD6">
      <w:pPr>
        <w:pStyle w:val="Default"/>
        <w:contextualSpacing/>
        <w:rPr>
          <w:i/>
          <w:color w:val="auto"/>
          <w:sz w:val="22"/>
          <w:szCs w:val="22"/>
          <w:u w:val="single"/>
        </w:rPr>
      </w:pPr>
    </w:p>
    <w:p w14:paraId="775AFC19" w14:textId="77777777" w:rsidR="00DE3708" w:rsidRPr="001E6DB9" w:rsidRDefault="00DE3708" w:rsidP="00307CD6">
      <w:pPr>
        <w:pStyle w:val="Default"/>
        <w:contextualSpacing/>
        <w:rPr>
          <w:color w:val="auto"/>
          <w:sz w:val="22"/>
          <w:szCs w:val="22"/>
        </w:rPr>
      </w:pPr>
      <w:r w:rsidRPr="001E6DB9">
        <w:rPr>
          <w:color w:val="auto"/>
          <w:sz w:val="22"/>
          <w:szCs w:val="22"/>
          <w:u w:val="single"/>
        </w:rPr>
        <w:t xml:space="preserve">Senyvi pacientai </w:t>
      </w:r>
    </w:p>
    <w:p w14:paraId="78863AA6" w14:textId="34FEFBA9" w:rsidR="00DE3708" w:rsidRPr="001E6DB9" w:rsidRDefault="00DE3708" w:rsidP="00307CD6">
      <w:pPr>
        <w:pStyle w:val="Default"/>
        <w:contextualSpacing/>
        <w:rPr>
          <w:color w:val="auto"/>
          <w:sz w:val="22"/>
          <w:szCs w:val="22"/>
        </w:rPr>
      </w:pPr>
      <w:r w:rsidRPr="001E6DB9">
        <w:rPr>
          <w:color w:val="auto"/>
          <w:sz w:val="22"/>
          <w:szCs w:val="22"/>
        </w:rPr>
        <w:t xml:space="preserve">Pastebėta, kad kai kuriems senyviems </w:t>
      </w:r>
      <w:r w:rsidR="00DF3F8F">
        <w:rPr>
          <w:color w:val="auto"/>
          <w:sz w:val="22"/>
          <w:szCs w:val="22"/>
        </w:rPr>
        <w:t>žmonėms</w:t>
      </w:r>
      <w:r w:rsidR="00DF3F8F" w:rsidRPr="001E6DB9">
        <w:rPr>
          <w:color w:val="auto"/>
          <w:sz w:val="22"/>
          <w:szCs w:val="22"/>
        </w:rPr>
        <w:t xml:space="preserve"> </w:t>
      </w:r>
      <w:r w:rsidRPr="001E6DB9">
        <w:rPr>
          <w:color w:val="auto"/>
          <w:sz w:val="22"/>
          <w:szCs w:val="22"/>
        </w:rPr>
        <w:t xml:space="preserve">valsartano sisteminė ekspozicija buvo šiek tiek didesnė nei jauniems žmonėms, tačiau tai jokios klinikinės reikšmės neturi. </w:t>
      </w:r>
    </w:p>
    <w:p w14:paraId="5084DDFA" w14:textId="77777777" w:rsidR="00DE3708" w:rsidRPr="001E6DB9" w:rsidRDefault="00DE3708" w:rsidP="00307CD6">
      <w:pPr>
        <w:pStyle w:val="Default"/>
        <w:contextualSpacing/>
        <w:rPr>
          <w:color w:val="auto"/>
          <w:sz w:val="22"/>
          <w:szCs w:val="22"/>
          <w:u w:val="single"/>
        </w:rPr>
      </w:pPr>
    </w:p>
    <w:p w14:paraId="14449A69" w14:textId="77777777" w:rsidR="00DE3708" w:rsidRPr="001E6DB9" w:rsidRDefault="00DE3708" w:rsidP="00307CD6">
      <w:pPr>
        <w:pStyle w:val="Default"/>
        <w:contextualSpacing/>
        <w:rPr>
          <w:color w:val="auto"/>
          <w:sz w:val="22"/>
          <w:szCs w:val="22"/>
        </w:rPr>
      </w:pPr>
      <w:r w:rsidRPr="001E6DB9">
        <w:rPr>
          <w:color w:val="auto"/>
          <w:sz w:val="22"/>
          <w:szCs w:val="22"/>
          <w:u w:val="single"/>
        </w:rPr>
        <w:t xml:space="preserve">Sutrikusi inkstų funkcija </w:t>
      </w:r>
    </w:p>
    <w:p w14:paraId="26E478C6" w14:textId="77777777" w:rsidR="00DE3708" w:rsidRPr="001E6DB9" w:rsidRDefault="00DE3708" w:rsidP="00307CD6">
      <w:pPr>
        <w:pStyle w:val="Default"/>
        <w:contextualSpacing/>
        <w:rPr>
          <w:color w:val="auto"/>
          <w:sz w:val="22"/>
          <w:szCs w:val="22"/>
        </w:rPr>
      </w:pPr>
      <w:r w:rsidRPr="001E6DB9">
        <w:rPr>
          <w:color w:val="auto"/>
          <w:sz w:val="22"/>
          <w:szCs w:val="22"/>
        </w:rPr>
        <w:lastRenderedPageBreak/>
        <w:t xml:space="preserve">Kaip ir tikėtasi, vartojant junginio, kurio klirensas inkstuose sudaro tik 30 % bendro klirenso kraujo plazmoje, koreliacijos tarp sisteminės valsartano ekspozicijos ir inkstų funkcijos nepastebėta, todėl pacientams, kurių inkstų funkcija sutrikusi (kreatinino klirensas </w:t>
      </w:r>
      <w:r w:rsidR="00F91FD7">
        <w:rPr>
          <w:color w:val="auto"/>
          <w:sz w:val="22"/>
          <w:szCs w:val="22"/>
        </w:rPr>
        <w:t>&gt;</w:t>
      </w:r>
      <w:r w:rsidR="00617EBE">
        <w:rPr>
          <w:color w:val="auto"/>
          <w:sz w:val="22"/>
          <w:szCs w:val="22"/>
        </w:rPr>
        <w:t> </w:t>
      </w:r>
      <w:r w:rsidRPr="001E6DB9">
        <w:rPr>
          <w:color w:val="auto"/>
          <w:sz w:val="22"/>
          <w:szCs w:val="22"/>
        </w:rPr>
        <w:t>10</w:t>
      </w:r>
      <w:r w:rsidR="00617EBE">
        <w:rPr>
          <w:color w:val="auto"/>
          <w:sz w:val="22"/>
          <w:szCs w:val="22"/>
        </w:rPr>
        <w:t> </w:t>
      </w:r>
      <w:r w:rsidRPr="001E6DB9">
        <w:rPr>
          <w:color w:val="auto"/>
          <w:sz w:val="22"/>
          <w:szCs w:val="22"/>
        </w:rPr>
        <w:t>ml/min.), dozės keisti nereikia. Apie vaistinio preparato saugumą, skiriant pacientams, kurių kreatinino klirensas &lt;</w:t>
      </w:r>
      <w:r w:rsidR="00617EBE">
        <w:rPr>
          <w:color w:val="auto"/>
          <w:sz w:val="22"/>
          <w:szCs w:val="22"/>
        </w:rPr>
        <w:t> </w:t>
      </w:r>
      <w:r w:rsidRPr="001E6DB9">
        <w:rPr>
          <w:color w:val="auto"/>
          <w:sz w:val="22"/>
          <w:szCs w:val="22"/>
        </w:rPr>
        <w:t>10</w:t>
      </w:r>
      <w:r w:rsidR="00617EBE">
        <w:rPr>
          <w:color w:val="auto"/>
          <w:sz w:val="22"/>
          <w:szCs w:val="22"/>
        </w:rPr>
        <w:t> </w:t>
      </w:r>
      <w:r w:rsidRPr="001E6DB9">
        <w:rPr>
          <w:color w:val="auto"/>
          <w:sz w:val="22"/>
          <w:szCs w:val="22"/>
        </w:rPr>
        <w:t xml:space="preserve">ml/min. ir kurie dializuojami, duomenų nėra, todėl šiems pacientams </w:t>
      </w:r>
      <w:proofErr w:type="spellStart"/>
      <w:r w:rsidRPr="001E6DB9">
        <w:rPr>
          <w:color w:val="auto"/>
          <w:sz w:val="22"/>
          <w:szCs w:val="22"/>
        </w:rPr>
        <w:t>valsartaną</w:t>
      </w:r>
      <w:proofErr w:type="spellEnd"/>
      <w:r w:rsidRPr="001E6DB9">
        <w:rPr>
          <w:color w:val="auto"/>
          <w:sz w:val="22"/>
          <w:szCs w:val="22"/>
        </w:rPr>
        <w:t xml:space="preserve"> reikia skirti atsargiai (žr. 4.2 ir 4.4 skyrius). Valsartanas stipriai prisijungia prie kraujo plazmos baltymų ir vargu ar gali būti pašalinamas dialize. </w:t>
      </w:r>
    </w:p>
    <w:p w14:paraId="25FA1A79" w14:textId="77777777" w:rsidR="00DE3708" w:rsidRPr="001E6DB9" w:rsidRDefault="00DE3708" w:rsidP="00307CD6">
      <w:pPr>
        <w:pStyle w:val="Default"/>
        <w:contextualSpacing/>
        <w:rPr>
          <w:color w:val="auto"/>
          <w:sz w:val="22"/>
          <w:szCs w:val="22"/>
        </w:rPr>
      </w:pPr>
    </w:p>
    <w:p w14:paraId="06D665EF" w14:textId="77777777" w:rsidR="00DE3708" w:rsidRPr="001E6DB9" w:rsidRDefault="00DE3708" w:rsidP="00307CD6">
      <w:pPr>
        <w:pStyle w:val="Default"/>
        <w:contextualSpacing/>
        <w:rPr>
          <w:color w:val="auto"/>
          <w:sz w:val="22"/>
          <w:szCs w:val="22"/>
        </w:rPr>
      </w:pPr>
      <w:r w:rsidRPr="001E6DB9">
        <w:rPr>
          <w:color w:val="auto"/>
          <w:sz w:val="22"/>
          <w:szCs w:val="22"/>
          <w:u w:val="single"/>
        </w:rPr>
        <w:t>Sutrikusi kepenų funkcija</w:t>
      </w:r>
    </w:p>
    <w:p w14:paraId="6A112A5C" w14:textId="77777777" w:rsidR="00DE3708" w:rsidRPr="00F50D13" w:rsidRDefault="00DE3708" w:rsidP="00307CD6">
      <w:pPr>
        <w:spacing w:line="240" w:lineRule="auto"/>
        <w:contextualSpacing/>
        <w:rPr>
          <w:szCs w:val="22"/>
        </w:rPr>
      </w:pPr>
      <w:r w:rsidRPr="00F50D13">
        <w:rPr>
          <w:szCs w:val="22"/>
        </w:rPr>
        <w:t>Maždaug 70</w:t>
      </w:r>
      <w:r w:rsidR="00617EBE">
        <w:rPr>
          <w:szCs w:val="22"/>
        </w:rPr>
        <w:t> </w:t>
      </w:r>
      <w:r w:rsidRPr="00F50D13">
        <w:rPr>
          <w:szCs w:val="22"/>
        </w:rPr>
        <w:t>% absorbuotos dozės šalinama su tulžimi, didžiausia dalis – nepakitusia forma. Jokia reikšminga valsartano biotransformacija nevyksta. Lengvo kepenų funkcijos sutrikimo arba tulžies latakų obstrukcijos atvejais buvo pastebėta dvigubai didesnė ekspozicija (AUC) nei sveikiems žmonėms. Vis dėlto, koreliacijos tarp valsartano koncentracijos kraujyje ir kepenų funkcijos sutrikimo sunkumo laipsnio nenustatyta. Valsartano tyrimų su pacientais, kuriems yra sunkus kepenų funkcijos sutrikimas, neatlikta (žr. 4.2, 4.3 ir 4.4 skyrius).</w:t>
      </w:r>
    </w:p>
    <w:p w14:paraId="2F92EF87" w14:textId="77777777" w:rsidR="00DE3708" w:rsidRPr="00F91FD7" w:rsidRDefault="00DE3708" w:rsidP="00307CD6">
      <w:pPr>
        <w:spacing w:line="240" w:lineRule="auto"/>
        <w:contextualSpacing/>
        <w:rPr>
          <w:szCs w:val="22"/>
        </w:rPr>
      </w:pPr>
    </w:p>
    <w:p w14:paraId="32FBDB4C" w14:textId="77777777" w:rsidR="00DE3708" w:rsidRPr="00F91FD7" w:rsidRDefault="00DE3708" w:rsidP="00307CD6">
      <w:pPr>
        <w:spacing w:line="240" w:lineRule="auto"/>
        <w:contextualSpacing/>
        <w:rPr>
          <w:szCs w:val="22"/>
          <w:u w:val="single"/>
        </w:rPr>
      </w:pPr>
      <w:r w:rsidRPr="00F91FD7">
        <w:rPr>
          <w:szCs w:val="22"/>
          <w:u w:val="single"/>
        </w:rPr>
        <w:t>Vaikų populiacija</w:t>
      </w:r>
    </w:p>
    <w:p w14:paraId="0318B081" w14:textId="52E92A89" w:rsidR="00DE3708" w:rsidRPr="00307CD6" w:rsidRDefault="00DE3708" w:rsidP="00307CD6">
      <w:pPr>
        <w:spacing w:line="240" w:lineRule="auto"/>
        <w:contextualSpacing/>
        <w:rPr>
          <w:szCs w:val="22"/>
        </w:rPr>
      </w:pPr>
      <w:r w:rsidRPr="0078402A">
        <w:rPr>
          <w:szCs w:val="22"/>
        </w:rPr>
        <w:t>Tyrimo, kuriame dalyvavo 26 hipertenzija sirgę 1</w:t>
      </w:r>
      <w:r w:rsidRPr="0078402A">
        <w:rPr>
          <w:szCs w:val="22"/>
        </w:rPr>
        <w:noBreakHyphen/>
        <w:t>16 metų vaikai ir paaugliai, metu vartota</w:t>
      </w:r>
      <w:r w:rsidRPr="00617EBE">
        <w:rPr>
          <w:szCs w:val="22"/>
        </w:rPr>
        <w:t xml:space="preserve"> vienkartinė valsartano suspensijos dozė (vidurkis 0,9</w:t>
      </w:r>
      <w:r w:rsidRPr="00617EBE">
        <w:rPr>
          <w:szCs w:val="22"/>
        </w:rPr>
        <w:noBreakHyphen/>
        <w:t xml:space="preserve">2 mg/kg kūno svorio, didžiausia dozė - 80 mg). Valsartano klirensas (l/val./kg kūno svorio) visose amžiaus grupėse (nuo 1 iki 16 metų) buvo panašus, be to, buvo panašus į būnantį tokią pačią farmacinę </w:t>
      </w:r>
      <w:r w:rsidRPr="00307CD6">
        <w:rPr>
          <w:szCs w:val="22"/>
        </w:rPr>
        <w:t>formą vartojantiems suaugusiesiems žmonėms</w:t>
      </w:r>
      <w:r w:rsidR="00DF3F8F">
        <w:rPr>
          <w:szCs w:val="22"/>
        </w:rPr>
        <w:t xml:space="preserve"> </w:t>
      </w:r>
      <w:r w:rsidR="00DF3F8F" w:rsidRPr="002C6DA5">
        <w:t>(žr.</w:t>
      </w:r>
      <w:r w:rsidR="00DF3F8F">
        <w:t> </w:t>
      </w:r>
      <w:r w:rsidR="00DF3F8F" w:rsidRPr="002C6DA5">
        <w:t>5.2 skyriuje informaciją apie absorbciją)</w:t>
      </w:r>
      <w:r w:rsidRPr="00307CD6">
        <w:rPr>
          <w:szCs w:val="22"/>
        </w:rPr>
        <w:t>.</w:t>
      </w:r>
    </w:p>
    <w:p w14:paraId="6537F9B0" w14:textId="77777777" w:rsidR="00DE3708" w:rsidRPr="00307CD6" w:rsidRDefault="00DE3708" w:rsidP="00307CD6">
      <w:pPr>
        <w:spacing w:line="240" w:lineRule="auto"/>
        <w:contextualSpacing/>
        <w:rPr>
          <w:szCs w:val="22"/>
        </w:rPr>
      </w:pPr>
    </w:p>
    <w:p w14:paraId="2F72B0F4" w14:textId="77777777" w:rsidR="00DE3708" w:rsidRPr="007F15BA" w:rsidRDefault="00DE3708" w:rsidP="00307CD6">
      <w:pPr>
        <w:spacing w:line="240" w:lineRule="auto"/>
        <w:contextualSpacing/>
        <w:rPr>
          <w:szCs w:val="22"/>
          <w:u w:val="single"/>
        </w:rPr>
      </w:pPr>
      <w:r w:rsidRPr="007F15BA">
        <w:rPr>
          <w:szCs w:val="22"/>
          <w:u w:val="single"/>
        </w:rPr>
        <w:t>Sutrikusi inkstų funkcija</w:t>
      </w:r>
    </w:p>
    <w:p w14:paraId="5DFB4D37" w14:textId="77777777" w:rsidR="00DE3708" w:rsidRPr="00F50D13" w:rsidRDefault="00DE3708" w:rsidP="00307CD6">
      <w:pPr>
        <w:spacing w:line="240" w:lineRule="auto"/>
        <w:contextualSpacing/>
        <w:rPr>
          <w:szCs w:val="22"/>
        </w:rPr>
      </w:pPr>
      <w:r w:rsidRPr="001E6DB9">
        <w:rPr>
          <w:szCs w:val="22"/>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4.2 ir 4.4 skyrius).</w:t>
      </w:r>
    </w:p>
    <w:p w14:paraId="0CCE2940" w14:textId="77777777" w:rsidR="00DE3708" w:rsidRPr="00F50D13" w:rsidRDefault="00DE3708" w:rsidP="00307CD6">
      <w:pPr>
        <w:spacing w:line="240" w:lineRule="auto"/>
        <w:contextualSpacing/>
        <w:rPr>
          <w:szCs w:val="22"/>
        </w:rPr>
      </w:pPr>
    </w:p>
    <w:p w14:paraId="5C112FCD" w14:textId="77777777" w:rsidR="00DE3708" w:rsidRPr="00F91FD7" w:rsidRDefault="00DE3708" w:rsidP="00307CD6">
      <w:pPr>
        <w:spacing w:line="240" w:lineRule="auto"/>
        <w:contextualSpacing/>
        <w:rPr>
          <w:b/>
          <w:szCs w:val="22"/>
        </w:rPr>
      </w:pPr>
      <w:r w:rsidRPr="00F91FD7">
        <w:rPr>
          <w:b/>
          <w:szCs w:val="22"/>
        </w:rPr>
        <w:t>5.3</w:t>
      </w:r>
      <w:r w:rsidRPr="00F91FD7">
        <w:rPr>
          <w:b/>
          <w:szCs w:val="22"/>
        </w:rPr>
        <w:tab/>
        <w:t>Ikiklinikinių saugumo tyrimų duomenys</w:t>
      </w:r>
    </w:p>
    <w:p w14:paraId="1A63A41E" w14:textId="77777777" w:rsidR="00DE3708" w:rsidRPr="00F91FD7" w:rsidRDefault="00DE3708" w:rsidP="00307CD6">
      <w:pPr>
        <w:spacing w:line="240" w:lineRule="auto"/>
        <w:contextualSpacing/>
        <w:rPr>
          <w:szCs w:val="22"/>
        </w:rPr>
      </w:pPr>
    </w:p>
    <w:p w14:paraId="7B9BC1CD" w14:textId="77777777" w:rsidR="00DE3708" w:rsidRPr="001E6DB9" w:rsidRDefault="00DE3708" w:rsidP="00307CD6">
      <w:pPr>
        <w:pStyle w:val="Default"/>
        <w:contextualSpacing/>
        <w:rPr>
          <w:color w:val="auto"/>
          <w:sz w:val="22"/>
          <w:szCs w:val="22"/>
        </w:rPr>
      </w:pPr>
      <w:r w:rsidRPr="001E6DB9">
        <w:rPr>
          <w:color w:val="auto"/>
          <w:sz w:val="22"/>
          <w:szCs w:val="22"/>
        </w:rPr>
        <w:t xml:space="preserve">Įprastų farmakologinio saugumo, kartotinių dozių toksiškumo, genotoksiškumo, galimo kancerogeniškumo ir toksinio poveikio reprodukcijai ikiklinikinių tyrimų duomenys specifinio pavojaus žmogui nerodo. </w:t>
      </w:r>
    </w:p>
    <w:p w14:paraId="2166CA70" w14:textId="77777777" w:rsidR="00DE3708" w:rsidRPr="001E6DB9" w:rsidRDefault="00DE3708" w:rsidP="00307CD6">
      <w:pPr>
        <w:pStyle w:val="Default"/>
        <w:contextualSpacing/>
        <w:rPr>
          <w:color w:val="auto"/>
          <w:sz w:val="22"/>
          <w:szCs w:val="22"/>
        </w:rPr>
      </w:pPr>
      <w:r w:rsidRPr="001E6DB9">
        <w:rPr>
          <w:color w:val="auto"/>
          <w:sz w:val="22"/>
          <w:szCs w:val="22"/>
        </w:rPr>
        <w:t>Skiriant žiurkių patelėms toksines dozes (600</w:t>
      </w:r>
      <w:r w:rsidR="00617EBE">
        <w:rPr>
          <w:color w:val="auto"/>
          <w:sz w:val="22"/>
          <w:szCs w:val="22"/>
        </w:rPr>
        <w:t> </w:t>
      </w:r>
      <w:r w:rsidRPr="001E6DB9">
        <w:rPr>
          <w:color w:val="auto"/>
          <w:sz w:val="22"/>
          <w:szCs w:val="22"/>
        </w:rPr>
        <w:t>mg/kg kūno svorio per parą) paskutinėmis vaikingumo paromis ir žindymo metu, jauniklių išgyvenamumas buvo mažesnis, jie priaugo mažiau svorio, buvo uždelstas jauniklių vystymasis (ausies kaušelio atsiskyrimas ir ausies kanalo atsivėrimas) (žr. 4.6 skyrių). Ši dozė žiurkėms (600</w:t>
      </w:r>
      <w:r w:rsidR="00617EBE">
        <w:rPr>
          <w:color w:val="auto"/>
          <w:sz w:val="22"/>
          <w:szCs w:val="22"/>
        </w:rPr>
        <w:t> </w:t>
      </w:r>
      <w:r w:rsidRPr="001E6DB9">
        <w:rPr>
          <w:color w:val="auto"/>
          <w:sz w:val="22"/>
          <w:szCs w:val="22"/>
        </w:rPr>
        <w:t>mg/kg kūno svorio per parą) yra maždaug 18</w:t>
      </w:r>
      <w:r w:rsidR="00617EBE">
        <w:rPr>
          <w:color w:val="auto"/>
          <w:sz w:val="22"/>
          <w:szCs w:val="22"/>
        </w:rPr>
        <w:t> </w:t>
      </w:r>
      <w:r w:rsidRPr="001E6DB9">
        <w:rPr>
          <w:color w:val="auto"/>
          <w:sz w:val="22"/>
          <w:szCs w:val="22"/>
        </w:rPr>
        <w:t>kartų didesnė už didžiausią rekomenduojamą dozę žmogui, nustatytą remiantis mg/m</w:t>
      </w:r>
      <w:r w:rsidRPr="001E6DB9">
        <w:rPr>
          <w:color w:val="auto"/>
          <w:sz w:val="22"/>
          <w:szCs w:val="22"/>
          <w:vertAlign w:val="superscript"/>
        </w:rPr>
        <w:t>2</w:t>
      </w:r>
      <w:r w:rsidRPr="001E6DB9">
        <w:rPr>
          <w:color w:val="auto"/>
          <w:sz w:val="22"/>
          <w:szCs w:val="22"/>
        </w:rPr>
        <w:t xml:space="preserve"> kūno paviršiaus (skaičiuojant 60</w:t>
      </w:r>
      <w:r w:rsidR="00617EBE">
        <w:rPr>
          <w:color w:val="auto"/>
          <w:sz w:val="22"/>
          <w:szCs w:val="22"/>
        </w:rPr>
        <w:t> </w:t>
      </w:r>
      <w:r w:rsidRPr="001E6DB9">
        <w:rPr>
          <w:color w:val="auto"/>
          <w:sz w:val="22"/>
          <w:szCs w:val="22"/>
        </w:rPr>
        <w:t>kg svorio pacientei paros dozė būtų 320</w:t>
      </w:r>
      <w:r w:rsidR="00617EBE">
        <w:rPr>
          <w:color w:val="auto"/>
          <w:sz w:val="22"/>
          <w:szCs w:val="22"/>
        </w:rPr>
        <w:t> </w:t>
      </w:r>
      <w:r w:rsidRPr="001E6DB9">
        <w:rPr>
          <w:color w:val="auto"/>
          <w:sz w:val="22"/>
          <w:szCs w:val="22"/>
        </w:rPr>
        <w:t xml:space="preserve">mg). </w:t>
      </w:r>
    </w:p>
    <w:p w14:paraId="7F70F2FD" w14:textId="77777777" w:rsidR="00DE3708" w:rsidRPr="001E6DB9" w:rsidRDefault="00DE3708" w:rsidP="00307CD6">
      <w:pPr>
        <w:pStyle w:val="Default"/>
        <w:contextualSpacing/>
        <w:rPr>
          <w:color w:val="auto"/>
          <w:sz w:val="22"/>
          <w:szCs w:val="22"/>
        </w:rPr>
      </w:pPr>
      <w:r w:rsidRPr="001E6DB9">
        <w:rPr>
          <w:color w:val="auto"/>
          <w:sz w:val="22"/>
          <w:szCs w:val="22"/>
        </w:rPr>
        <w:t>Ikiklinikinių saugumo tyrimų duomenimis, didelė (200</w:t>
      </w:r>
      <w:r w:rsidR="00617EBE">
        <w:rPr>
          <w:color w:val="auto"/>
          <w:sz w:val="22"/>
          <w:szCs w:val="22"/>
        </w:rPr>
        <w:noBreakHyphen/>
      </w:r>
      <w:r w:rsidRPr="001E6DB9">
        <w:rPr>
          <w:color w:val="auto"/>
          <w:sz w:val="22"/>
          <w:szCs w:val="22"/>
        </w:rPr>
        <w:t>600</w:t>
      </w:r>
      <w:r w:rsidR="00617EBE">
        <w:rPr>
          <w:color w:val="auto"/>
          <w:sz w:val="22"/>
          <w:szCs w:val="22"/>
        </w:rPr>
        <w:t> </w:t>
      </w:r>
      <w:r w:rsidRPr="001E6DB9">
        <w:rPr>
          <w:color w:val="auto"/>
          <w:sz w:val="22"/>
          <w:szCs w:val="22"/>
        </w:rPr>
        <w:t xml:space="preserve">mg/kg kūno svorio) valsartano dozė žiurkėms sukėlė eritrocitų rodmenų (eritrocitų, hemoglobino kiekio, hematokrito) sumažėjimą, inkstų kraujotakos pokyčius (šiek tiek padidėjo šlapalo kiekis kraujo plazmoje, patinams atsirado inkstų kanalėlių </w:t>
      </w:r>
      <w:proofErr w:type="spellStart"/>
      <w:r w:rsidRPr="001E6DB9">
        <w:rPr>
          <w:color w:val="auto"/>
          <w:sz w:val="22"/>
          <w:szCs w:val="22"/>
        </w:rPr>
        <w:t>hiperplazija</w:t>
      </w:r>
      <w:proofErr w:type="spellEnd"/>
      <w:r w:rsidRPr="001E6DB9">
        <w:rPr>
          <w:color w:val="auto"/>
          <w:sz w:val="22"/>
          <w:szCs w:val="22"/>
        </w:rPr>
        <w:t xml:space="preserve"> ir </w:t>
      </w:r>
      <w:proofErr w:type="spellStart"/>
      <w:r w:rsidRPr="001E6DB9">
        <w:rPr>
          <w:color w:val="auto"/>
          <w:sz w:val="22"/>
          <w:szCs w:val="22"/>
        </w:rPr>
        <w:t>bazofilija</w:t>
      </w:r>
      <w:proofErr w:type="spellEnd"/>
      <w:r w:rsidRPr="001E6DB9">
        <w:rPr>
          <w:color w:val="auto"/>
          <w:sz w:val="22"/>
          <w:szCs w:val="22"/>
        </w:rPr>
        <w:t>). Šios paros dozės (200 ir 600</w:t>
      </w:r>
      <w:r w:rsidR="00617EBE">
        <w:rPr>
          <w:color w:val="auto"/>
          <w:sz w:val="22"/>
          <w:szCs w:val="22"/>
        </w:rPr>
        <w:t> </w:t>
      </w:r>
      <w:r w:rsidRPr="001E6DB9">
        <w:rPr>
          <w:color w:val="auto"/>
          <w:sz w:val="22"/>
          <w:szCs w:val="22"/>
        </w:rPr>
        <w:t>mg/kg kūno svorio) žiurkėms yra maždaug 18</w:t>
      </w:r>
      <w:r w:rsidR="00617EBE">
        <w:rPr>
          <w:color w:val="auto"/>
          <w:sz w:val="22"/>
          <w:szCs w:val="22"/>
        </w:rPr>
        <w:t> </w:t>
      </w:r>
      <w:r w:rsidRPr="001E6DB9">
        <w:rPr>
          <w:color w:val="auto"/>
          <w:sz w:val="22"/>
          <w:szCs w:val="22"/>
        </w:rPr>
        <w:t>kartų didesnė už didžiausią rekomenduojamą dozę žmogui, nustatytą remiantis mg/m</w:t>
      </w:r>
      <w:r w:rsidRPr="001E6DB9">
        <w:rPr>
          <w:color w:val="auto"/>
          <w:sz w:val="22"/>
          <w:szCs w:val="22"/>
          <w:vertAlign w:val="superscript"/>
        </w:rPr>
        <w:t>2</w:t>
      </w:r>
      <w:r w:rsidRPr="001E6DB9">
        <w:rPr>
          <w:color w:val="auto"/>
          <w:sz w:val="22"/>
          <w:szCs w:val="22"/>
        </w:rPr>
        <w:t xml:space="preserve"> kūno paviršiaus (skaičiuojant 60</w:t>
      </w:r>
      <w:r w:rsidR="00617EBE">
        <w:rPr>
          <w:color w:val="auto"/>
          <w:sz w:val="22"/>
          <w:szCs w:val="22"/>
        </w:rPr>
        <w:t> </w:t>
      </w:r>
      <w:r w:rsidRPr="001E6DB9">
        <w:rPr>
          <w:color w:val="auto"/>
          <w:sz w:val="22"/>
          <w:szCs w:val="22"/>
        </w:rPr>
        <w:t>kg svorio pacientei paros dozė būtų 320</w:t>
      </w:r>
      <w:r w:rsidR="00617EBE">
        <w:rPr>
          <w:color w:val="auto"/>
          <w:sz w:val="22"/>
          <w:szCs w:val="22"/>
        </w:rPr>
        <w:t> </w:t>
      </w:r>
      <w:r w:rsidRPr="001E6DB9">
        <w:rPr>
          <w:color w:val="auto"/>
          <w:sz w:val="22"/>
          <w:szCs w:val="22"/>
        </w:rPr>
        <w:t>mg). Mažosioms beždžionėms (</w:t>
      </w:r>
      <w:proofErr w:type="spellStart"/>
      <w:r w:rsidRPr="001E6DB9">
        <w:rPr>
          <w:color w:val="auto"/>
          <w:sz w:val="22"/>
          <w:szCs w:val="22"/>
        </w:rPr>
        <w:t>marmozetėms</w:t>
      </w:r>
      <w:proofErr w:type="spellEnd"/>
      <w:r w:rsidRPr="001E6DB9">
        <w:rPr>
          <w:color w:val="auto"/>
          <w:sz w:val="22"/>
          <w:szCs w:val="22"/>
        </w:rPr>
        <w:t xml:space="preserve">) panašių dozių sukelti pokyčiai buvo panašūs į žiurkėms sukeltus pokyčius, tačiau jie buvo stipresni, ypač inkstams (pasireiškė nefropatija, padidėjo šlapalo ir kreatinino kiekis kraujyje). </w:t>
      </w:r>
    </w:p>
    <w:p w14:paraId="2B26DEFB" w14:textId="77777777" w:rsidR="00DE3708" w:rsidRPr="00F50D13" w:rsidRDefault="00DE3708" w:rsidP="00307CD6">
      <w:pPr>
        <w:spacing w:line="240" w:lineRule="auto"/>
        <w:contextualSpacing/>
        <w:rPr>
          <w:szCs w:val="22"/>
        </w:rPr>
      </w:pPr>
      <w:r w:rsidRPr="00F50D13">
        <w:rPr>
          <w:szCs w:val="22"/>
        </w:rPr>
        <w:t xml:space="preserve">Abiejų rūšių gyvūnams atsirado inkstų </w:t>
      </w:r>
      <w:proofErr w:type="spellStart"/>
      <w:r w:rsidRPr="00F50D13">
        <w:rPr>
          <w:szCs w:val="22"/>
        </w:rPr>
        <w:t>jukstaglomerulinių</w:t>
      </w:r>
      <w:proofErr w:type="spellEnd"/>
      <w:r w:rsidRPr="00F50D13">
        <w:rPr>
          <w:szCs w:val="22"/>
        </w:rPr>
        <w:t xml:space="preserve"> ląstelių hipertrofija. Manoma, kad minėti pokyčiai gyvūnams, ypač </w:t>
      </w:r>
      <w:proofErr w:type="spellStart"/>
      <w:r w:rsidRPr="00F50D13">
        <w:rPr>
          <w:szCs w:val="22"/>
        </w:rPr>
        <w:t>marmozetėms</w:t>
      </w:r>
      <w:proofErr w:type="spellEnd"/>
      <w:r w:rsidRPr="00F50D13">
        <w:rPr>
          <w:szCs w:val="22"/>
        </w:rPr>
        <w:t xml:space="preserve">, priklauso nuo sukeliamo farmakologinio valsartano poveikio, t. y. ilgalaikės hipotenzijos. Manoma, kad vartojant gydomąsias dozes žmonėms, </w:t>
      </w:r>
      <w:proofErr w:type="spellStart"/>
      <w:r w:rsidRPr="00F50D13">
        <w:rPr>
          <w:szCs w:val="22"/>
        </w:rPr>
        <w:t>jukstaglomerulinių</w:t>
      </w:r>
      <w:proofErr w:type="spellEnd"/>
      <w:r w:rsidRPr="00F50D13">
        <w:rPr>
          <w:szCs w:val="22"/>
        </w:rPr>
        <w:t xml:space="preserve"> ląstelių hipertrofija neturi jokios reikšmės. </w:t>
      </w:r>
    </w:p>
    <w:p w14:paraId="0D44FB75" w14:textId="77777777" w:rsidR="00DE3708" w:rsidRPr="00F91FD7" w:rsidRDefault="00DE3708" w:rsidP="00307CD6">
      <w:pPr>
        <w:spacing w:line="240" w:lineRule="auto"/>
        <w:contextualSpacing/>
        <w:rPr>
          <w:szCs w:val="22"/>
        </w:rPr>
      </w:pPr>
    </w:p>
    <w:p w14:paraId="2A6F7ACB" w14:textId="77777777" w:rsidR="00DE3708" w:rsidRPr="001E6DB9" w:rsidRDefault="00DE3708" w:rsidP="00307CD6">
      <w:pPr>
        <w:spacing w:line="240" w:lineRule="auto"/>
        <w:contextualSpacing/>
        <w:rPr>
          <w:szCs w:val="22"/>
          <w:u w:val="single"/>
        </w:rPr>
      </w:pPr>
      <w:r w:rsidRPr="001E6DB9">
        <w:rPr>
          <w:szCs w:val="22"/>
          <w:u w:val="single"/>
        </w:rPr>
        <w:t>Nesubrendusių gyvūnų populiacija</w:t>
      </w:r>
    </w:p>
    <w:p w14:paraId="11C67592" w14:textId="77777777" w:rsidR="00DE3708" w:rsidRPr="001E6DB9" w:rsidRDefault="00DE3708" w:rsidP="00307CD6">
      <w:pPr>
        <w:autoSpaceDE w:val="0"/>
        <w:autoSpaceDN w:val="0"/>
        <w:adjustRightInd w:val="0"/>
        <w:spacing w:line="240" w:lineRule="auto"/>
        <w:contextualSpacing/>
        <w:rPr>
          <w:szCs w:val="22"/>
        </w:rPr>
      </w:pPr>
      <w:r w:rsidRPr="001E6DB9">
        <w:rPr>
          <w:szCs w:val="22"/>
        </w:rPr>
        <w:t xml:space="preserve">Kasdien tik atsivestiems ir jauniems </w:t>
      </w:r>
      <w:proofErr w:type="spellStart"/>
      <w:r w:rsidRPr="001E6DB9">
        <w:rPr>
          <w:szCs w:val="22"/>
        </w:rPr>
        <w:t>žiurkiukams</w:t>
      </w:r>
      <w:proofErr w:type="spellEnd"/>
      <w:r w:rsidRPr="001E6DB9">
        <w:rPr>
          <w:szCs w:val="22"/>
        </w:rPr>
        <w:t xml:space="preserve"> (7</w:t>
      </w:r>
      <w:r w:rsidRPr="001E6DB9">
        <w:rPr>
          <w:szCs w:val="22"/>
        </w:rPr>
        <w:noBreakHyphen/>
        <w:t>70 dienų po atsivedimo) girdyta ne mažesnė kaip 1 mg/kg kūno svorio valsartano paros dozė (maždaug 10</w:t>
      </w:r>
      <w:r w:rsidRPr="001E6DB9">
        <w:rPr>
          <w:szCs w:val="22"/>
        </w:rPr>
        <w:noBreakHyphen/>
        <w:t xml:space="preserve">35 % didžiausios vaikams ir paaugliams </w:t>
      </w:r>
      <w:r w:rsidRPr="001E6DB9">
        <w:rPr>
          <w:szCs w:val="22"/>
        </w:rPr>
        <w:lastRenderedPageBreak/>
        <w:t xml:space="preserve">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 dienų. Šis laikotarpis atitinka 36 moters nėštumo savaites, tačiau kartais gali atitikti ir laikotarpį iki 44 savaitės po pastojimo. Tyrimo metu </w:t>
      </w:r>
      <w:proofErr w:type="spellStart"/>
      <w:r w:rsidRPr="001E6DB9">
        <w:rPr>
          <w:szCs w:val="22"/>
        </w:rPr>
        <w:t>valsartano</w:t>
      </w:r>
      <w:proofErr w:type="spellEnd"/>
      <w:r w:rsidRPr="001E6DB9">
        <w:rPr>
          <w:szCs w:val="22"/>
        </w:rPr>
        <w:t xml:space="preserve"> jauniems </w:t>
      </w:r>
      <w:proofErr w:type="spellStart"/>
      <w:r w:rsidRPr="001E6DB9">
        <w:rPr>
          <w:szCs w:val="22"/>
        </w:rPr>
        <w:t>žiurkiukams</w:t>
      </w:r>
      <w:proofErr w:type="spellEnd"/>
      <w:r w:rsidRPr="001E6DB9">
        <w:rPr>
          <w:szCs w:val="22"/>
        </w:rPr>
        <w:t xml:space="preserve"> girdyta ne ilgiau kaip iki 70 gyvenimo dienos, poveikio inkstų brendimui (4</w:t>
      </w:r>
      <w:r w:rsidRPr="001E6DB9">
        <w:rPr>
          <w:szCs w:val="22"/>
        </w:rPr>
        <w:noBreakHyphen/>
        <w:t>6 </w:t>
      </w:r>
      <w:proofErr w:type="spellStart"/>
      <w:r w:rsidRPr="001E6DB9">
        <w:rPr>
          <w:szCs w:val="22"/>
        </w:rPr>
        <w:t>postnatalinė</w:t>
      </w:r>
      <w:proofErr w:type="spellEnd"/>
      <w:r w:rsidRPr="001E6DB9">
        <w:rPr>
          <w:szCs w:val="22"/>
        </w:rPr>
        <w:t xml:space="preserve">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059921E2" w14:textId="77777777" w:rsidR="00DE3708" w:rsidRPr="00F50D13" w:rsidRDefault="00DE3708" w:rsidP="00307CD6">
      <w:pPr>
        <w:spacing w:line="240" w:lineRule="auto"/>
        <w:contextualSpacing/>
        <w:rPr>
          <w:szCs w:val="22"/>
        </w:rPr>
      </w:pPr>
    </w:p>
    <w:p w14:paraId="5EB58549" w14:textId="77777777" w:rsidR="00DE3708" w:rsidRPr="00F50D13" w:rsidRDefault="00DE3708" w:rsidP="00307CD6">
      <w:pPr>
        <w:spacing w:line="240" w:lineRule="auto"/>
        <w:contextualSpacing/>
        <w:rPr>
          <w:szCs w:val="22"/>
        </w:rPr>
      </w:pPr>
    </w:p>
    <w:p w14:paraId="74C72579" w14:textId="77777777" w:rsidR="00DE3708" w:rsidRPr="00F91FD7" w:rsidRDefault="00DE3708" w:rsidP="00307CD6">
      <w:pPr>
        <w:spacing w:line="240" w:lineRule="auto"/>
        <w:contextualSpacing/>
        <w:rPr>
          <w:b/>
          <w:szCs w:val="22"/>
        </w:rPr>
      </w:pPr>
      <w:r w:rsidRPr="00F91FD7">
        <w:rPr>
          <w:b/>
          <w:szCs w:val="22"/>
        </w:rPr>
        <w:t>6.</w:t>
      </w:r>
      <w:r w:rsidRPr="00F91FD7">
        <w:rPr>
          <w:b/>
          <w:szCs w:val="22"/>
        </w:rPr>
        <w:tab/>
        <w:t>FARMACINĖ INFORMACIJA</w:t>
      </w:r>
    </w:p>
    <w:p w14:paraId="16F578A3" w14:textId="77777777" w:rsidR="00DE3708" w:rsidRPr="00F91FD7" w:rsidRDefault="00DE3708" w:rsidP="00307CD6">
      <w:pPr>
        <w:spacing w:line="240" w:lineRule="auto"/>
        <w:contextualSpacing/>
        <w:rPr>
          <w:b/>
          <w:szCs w:val="22"/>
        </w:rPr>
      </w:pPr>
    </w:p>
    <w:p w14:paraId="6221CB6C" w14:textId="77777777" w:rsidR="00DE3708" w:rsidRPr="0078402A" w:rsidRDefault="00DE3708" w:rsidP="00307CD6">
      <w:pPr>
        <w:spacing w:line="240" w:lineRule="auto"/>
        <w:contextualSpacing/>
        <w:rPr>
          <w:b/>
          <w:szCs w:val="22"/>
        </w:rPr>
      </w:pPr>
      <w:r w:rsidRPr="0078402A">
        <w:rPr>
          <w:b/>
          <w:szCs w:val="22"/>
        </w:rPr>
        <w:t>6.1</w:t>
      </w:r>
      <w:r w:rsidRPr="0078402A">
        <w:rPr>
          <w:b/>
          <w:szCs w:val="22"/>
        </w:rPr>
        <w:tab/>
        <w:t>Pagalbinių medžiagų sąrašas</w:t>
      </w:r>
    </w:p>
    <w:p w14:paraId="4585CFA4" w14:textId="77777777" w:rsidR="00DE3708" w:rsidRPr="00307CD6" w:rsidRDefault="00DE3708" w:rsidP="00307CD6">
      <w:pPr>
        <w:spacing w:line="240" w:lineRule="auto"/>
        <w:contextualSpacing/>
        <w:rPr>
          <w:b/>
          <w:szCs w:val="22"/>
        </w:rPr>
      </w:pPr>
    </w:p>
    <w:p w14:paraId="397BA583" w14:textId="77777777" w:rsidR="00DE3708" w:rsidRPr="00307CD6" w:rsidRDefault="00DE3708" w:rsidP="00307CD6">
      <w:pPr>
        <w:spacing w:line="240" w:lineRule="auto"/>
        <w:contextualSpacing/>
        <w:rPr>
          <w:b/>
          <w:i/>
          <w:szCs w:val="22"/>
        </w:rPr>
      </w:pPr>
      <w:r w:rsidRPr="00307CD6">
        <w:rPr>
          <w:i/>
          <w:szCs w:val="22"/>
        </w:rPr>
        <w:t>Tabletės branduolys</w:t>
      </w:r>
    </w:p>
    <w:p w14:paraId="578971BF" w14:textId="77777777" w:rsidR="00DE3708" w:rsidRPr="007F15BA" w:rsidRDefault="00DE3708" w:rsidP="00307CD6">
      <w:pPr>
        <w:spacing w:line="240" w:lineRule="auto"/>
        <w:contextualSpacing/>
        <w:rPr>
          <w:szCs w:val="22"/>
        </w:rPr>
      </w:pPr>
      <w:r w:rsidRPr="007F15BA">
        <w:rPr>
          <w:szCs w:val="22"/>
        </w:rPr>
        <w:t>Mikrokristalinė celiuliozė</w:t>
      </w:r>
    </w:p>
    <w:p w14:paraId="4EDDA073" w14:textId="77777777" w:rsidR="00DE3708" w:rsidRPr="007F15BA" w:rsidRDefault="00DE3708" w:rsidP="00307CD6">
      <w:pPr>
        <w:spacing w:line="240" w:lineRule="auto"/>
        <w:contextualSpacing/>
        <w:rPr>
          <w:szCs w:val="22"/>
        </w:rPr>
      </w:pPr>
      <w:r w:rsidRPr="007F15BA">
        <w:rPr>
          <w:szCs w:val="22"/>
        </w:rPr>
        <w:t>Krospovidonas</w:t>
      </w:r>
    </w:p>
    <w:p w14:paraId="2761437B" w14:textId="77777777" w:rsidR="00DE3708" w:rsidRPr="00D36517" w:rsidRDefault="00DE3708" w:rsidP="00307CD6">
      <w:pPr>
        <w:spacing w:line="240" w:lineRule="auto"/>
        <w:contextualSpacing/>
        <w:rPr>
          <w:szCs w:val="22"/>
        </w:rPr>
      </w:pPr>
      <w:r w:rsidRPr="00D36517">
        <w:rPr>
          <w:szCs w:val="22"/>
        </w:rPr>
        <w:t xml:space="preserve">Bevandenis koloidinis silicio dioksidas </w:t>
      </w:r>
    </w:p>
    <w:p w14:paraId="59668825" w14:textId="77777777" w:rsidR="00DE3708" w:rsidRPr="00D36517" w:rsidRDefault="00DE3708" w:rsidP="00307CD6">
      <w:pPr>
        <w:spacing w:line="240" w:lineRule="auto"/>
        <w:contextualSpacing/>
        <w:rPr>
          <w:szCs w:val="22"/>
        </w:rPr>
      </w:pPr>
      <w:r w:rsidRPr="00D36517">
        <w:rPr>
          <w:szCs w:val="22"/>
        </w:rPr>
        <w:t>Magnio stearatas</w:t>
      </w:r>
    </w:p>
    <w:p w14:paraId="4D81D1B3" w14:textId="77777777" w:rsidR="00DE3708" w:rsidRPr="009F455C" w:rsidRDefault="00DE3708" w:rsidP="00307CD6">
      <w:pPr>
        <w:spacing w:line="240" w:lineRule="auto"/>
        <w:contextualSpacing/>
        <w:rPr>
          <w:i/>
          <w:szCs w:val="22"/>
        </w:rPr>
      </w:pPr>
    </w:p>
    <w:p w14:paraId="0856AD34" w14:textId="77777777" w:rsidR="00DE3708" w:rsidRPr="009F455C" w:rsidRDefault="00DE3708" w:rsidP="00307CD6">
      <w:pPr>
        <w:spacing w:line="240" w:lineRule="auto"/>
        <w:contextualSpacing/>
        <w:rPr>
          <w:i/>
          <w:szCs w:val="22"/>
        </w:rPr>
      </w:pPr>
      <w:r w:rsidRPr="009F455C">
        <w:rPr>
          <w:i/>
          <w:szCs w:val="22"/>
        </w:rPr>
        <w:t>Tabletės plėvelė</w:t>
      </w:r>
    </w:p>
    <w:p w14:paraId="003F49F5" w14:textId="77777777" w:rsidR="00DE3708" w:rsidRPr="001E6DB9" w:rsidRDefault="009B7215" w:rsidP="00307CD6">
      <w:pPr>
        <w:spacing w:line="240" w:lineRule="auto"/>
        <w:contextualSpacing/>
        <w:rPr>
          <w:i/>
          <w:szCs w:val="22"/>
        </w:rPr>
      </w:pPr>
      <w:r w:rsidRPr="001E6DB9">
        <w:rPr>
          <w:i/>
          <w:szCs w:val="22"/>
          <w:highlight w:val="lightGray"/>
        </w:rPr>
        <w:t>[</w:t>
      </w:r>
      <w:r w:rsidR="00DE3708" w:rsidRPr="001E6DB9">
        <w:rPr>
          <w:i/>
          <w:szCs w:val="22"/>
          <w:highlight w:val="lightGray"/>
        </w:rPr>
        <w:t>80 mg</w:t>
      </w:r>
      <w:r w:rsidRPr="001E6DB9">
        <w:rPr>
          <w:i/>
          <w:szCs w:val="22"/>
          <w:highlight w:val="lightGray"/>
        </w:rPr>
        <w:t>]</w:t>
      </w:r>
    </w:p>
    <w:p w14:paraId="1704F9F9" w14:textId="77777777" w:rsidR="00DE3708" w:rsidRPr="00F50D13" w:rsidRDefault="00DE3708" w:rsidP="00307CD6">
      <w:pPr>
        <w:spacing w:line="240" w:lineRule="auto"/>
        <w:contextualSpacing/>
        <w:rPr>
          <w:szCs w:val="22"/>
        </w:rPr>
      </w:pPr>
      <w:r w:rsidRPr="00F50D13">
        <w:rPr>
          <w:szCs w:val="22"/>
        </w:rPr>
        <w:t>Hipromeliozė</w:t>
      </w:r>
    </w:p>
    <w:p w14:paraId="34F68141" w14:textId="77777777" w:rsidR="00DE3708" w:rsidRPr="00F50D13" w:rsidRDefault="00DE3708" w:rsidP="00307CD6">
      <w:pPr>
        <w:spacing w:line="240" w:lineRule="auto"/>
        <w:contextualSpacing/>
        <w:rPr>
          <w:szCs w:val="22"/>
        </w:rPr>
      </w:pPr>
      <w:r w:rsidRPr="00F50D13">
        <w:rPr>
          <w:szCs w:val="22"/>
        </w:rPr>
        <w:t>Titano dioksidas (E171)</w:t>
      </w:r>
    </w:p>
    <w:p w14:paraId="6FC95A81" w14:textId="77777777" w:rsidR="00DE3708" w:rsidRPr="00F91FD7" w:rsidRDefault="00DE3708" w:rsidP="00307CD6">
      <w:pPr>
        <w:spacing w:line="240" w:lineRule="auto"/>
        <w:contextualSpacing/>
        <w:rPr>
          <w:szCs w:val="22"/>
        </w:rPr>
      </w:pPr>
      <w:r w:rsidRPr="00F91FD7">
        <w:rPr>
          <w:szCs w:val="22"/>
        </w:rPr>
        <w:t>Makrogolis 8000</w:t>
      </w:r>
    </w:p>
    <w:p w14:paraId="1AA20C9D" w14:textId="77777777" w:rsidR="00DE3708" w:rsidRPr="00F91FD7" w:rsidRDefault="00DE3708" w:rsidP="00307CD6">
      <w:pPr>
        <w:spacing w:line="240" w:lineRule="auto"/>
        <w:contextualSpacing/>
        <w:rPr>
          <w:szCs w:val="22"/>
        </w:rPr>
      </w:pPr>
      <w:r w:rsidRPr="00F91FD7">
        <w:rPr>
          <w:szCs w:val="22"/>
        </w:rPr>
        <w:t>Raudonasis geležies oksidas (E172)</w:t>
      </w:r>
    </w:p>
    <w:p w14:paraId="55CA9F5A" w14:textId="77777777" w:rsidR="00DE3708" w:rsidRPr="0078402A" w:rsidRDefault="00DE3708" w:rsidP="00307CD6">
      <w:pPr>
        <w:spacing w:line="240" w:lineRule="auto"/>
        <w:contextualSpacing/>
        <w:rPr>
          <w:szCs w:val="22"/>
        </w:rPr>
      </w:pPr>
      <w:r w:rsidRPr="0078402A">
        <w:rPr>
          <w:szCs w:val="22"/>
        </w:rPr>
        <w:t>Geltonasis geležies oksidas (E172)</w:t>
      </w:r>
    </w:p>
    <w:p w14:paraId="59502200" w14:textId="77777777" w:rsidR="00DE3708" w:rsidRPr="00307CD6" w:rsidRDefault="00DE3708" w:rsidP="00307CD6">
      <w:pPr>
        <w:spacing w:line="240" w:lineRule="auto"/>
        <w:contextualSpacing/>
        <w:rPr>
          <w:szCs w:val="22"/>
        </w:rPr>
      </w:pPr>
    </w:p>
    <w:p w14:paraId="72353FD3" w14:textId="77777777" w:rsidR="00DE3708" w:rsidRPr="001E6DB9" w:rsidRDefault="009B7215" w:rsidP="00307CD6">
      <w:pPr>
        <w:spacing w:line="240" w:lineRule="auto"/>
        <w:contextualSpacing/>
        <w:rPr>
          <w:i/>
          <w:szCs w:val="22"/>
        </w:rPr>
      </w:pPr>
      <w:r w:rsidRPr="001E6DB9">
        <w:rPr>
          <w:i/>
          <w:szCs w:val="22"/>
        </w:rPr>
        <w:t>[</w:t>
      </w:r>
      <w:r w:rsidR="00DE3708" w:rsidRPr="001E6DB9">
        <w:rPr>
          <w:i/>
          <w:szCs w:val="22"/>
        </w:rPr>
        <w:t>160 mg</w:t>
      </w:r>
      <w:r w:rsidRPr="00F50D13">
        <w:rPr>
          <w:i/>
          <w:szCs w:val="22"/>
        </w:rPr>
        <w:t>]</w:t>
      </w:r>
    </w:p>
    <w:p w14:paraId="7FDE7C15" w14:textId="77777777" w:rsidR="00DE3708" w:rsidRPr="00F50D13" w:rsidRDefault="00DE3708" w:rsidP="00307CD6">
      <w:pPr>
        <w:spacing w:line="240" w:lineRule="auto"/>
        <w:contextualSpacing/>
        <w:rPr>
          <w:szCs w:val="22"/>
        </w:rPr>
      </w:pPr>
      <w:r w:rsidRPr="00F50D13">
        <w:rPr>
          <w:szCs w:val="22"/>
        </w:rPr>
        <w:t>Hipromeliozė</w:t>
      </w:r>
    </w:p>
    <w:p w14:paraId="154B2A57" w14:textId="77777777" w:rsidR="00DE3708" w:rsidRPr="00F50D13" w:rsidRDefault="00DE3708" w:rsidP="00307CD6">
      <w:pPr>
        <w:spacing w:line="240" w:lineRule="auto"/>
        <w:contextualSpacing/>
        <w:rPr>
          <w:szCs w:val="22"/>
        </w:rPr>
      </w:pPr>
      <w:r w:rsidRPr="00F50D13">
        <w:rPr>
          <w:szCs w:val="22"/>
        </w:rPr>
        <w:t>Titano dioksidas (E171)</w:t>
      </w:r>
    </w:p>
    <w:p w14:paraId="7FA4170E" w14:textId="77777777" w:rsidR="00DE3708" w:rsidRPr="00F91FD7" w:rsidRDefault="00DE3708" w:rsidP="00307CD6">
      <w:pPr>
        <w:spacing w:line="240" w:lineRule="auto"/>
        <w:contextualSpacing/>
        <w:rPr>
          <w:szCs w:val="22"/>
        </w:rPr>
      </w:pPr>
      <w:r w:rsidRPr="00F91FD7">
        <w:rPr>
          <w:szCs w:val="22"/>
        </w:rPr>
        <w:t>Makrogolis 8000</w:t>
      </w:r>
    </w:p>
    <w:p w14:paraId="551570EA" w14:textId="77777777" w:rsidR="00DE3708" w:rsidRPr="00F91FD7" w:rsidRDefault="00DE3708" w:rsidP="00307CD6">
      <w:pPr>
        <w:spacing w:line="240" w:lineRule="auto"/>
        <w:contextualSpacing/>
        <w:rPr>
          <w:szCs w:val="22"/>
        </w:rPr>
      </w:pPr>
      <w:r w:rsidRPr="00F91FD7">
        <w:rPr>
          <w:szCs w:val="22"/>
        </w:rPr>
        <w:t>Raudonasis geležies oksidas (E172)</w:t>
      </w:r>
    </w:p>
    <w:p w14:paraId="3299B286" w14:textId="77777777" w:rsidR="00DE3708" w:rsidRPr="0078402A" w:rsidRDefault="00DE3708" w:rsidP="00307CD6">
      <w:pPr>
        <w:spacing w:line="240" w:lineRule="auto"/>
        <w:contextualSpacing/>
        <w:rPr>
          <w:szCs w:val="22"/>
        </w:rPr>
      </w:pPr>
      <w:r w:rsidRPr="0078402A">
        <w:rPr>
          <w:szCs w:val="22"/>
        </w:rPr>
        <w:t>Geltonasis geležies oksidas (E172)</w:t>
      </w:r>
    </w:p>
    <w:p w14:paraId="4D629FA3" w14:textId="77777777" w:rsidR="00DE3708" w:rsidRPr="00307CD6" w:rsidRDefault="00DE3708" w:rsidP="00307CD6">
      <w:pPr>
        <w:spacing w:line="240" w:lineRule="auto"/>
        <w:contextualSpacing/>
        <w:rPr>
          <w:szCs w:val="22"/>
        </w:rPr>
      </w:pPr>
      <w:r w:rsidRPr="00307CD6">
        <w:rPr>
          <w:szCs w:val="22"/>
        </w:rPr>
        <w:t xml:space="preserve">Juodasis geležies oksidas (E172) </w:t>
      </w:r>
    </w:p>
    <w:p w14:paraId="5B930BB3" w14:textId="77777777" w:rsidR="00DE3708" w:rsidRPr="00307CD6" w:rsidRDefault="00DE3708" w:rsidP="00307CD6">
      <w:pPr>
        <w:spacing w:line="240" w:lineRule="auto"/>
        <w:contextualSpacing/>
        <w:rPr>
          <w:szCs w:val="22"/>
        </w:rPr>
      </w:pPr>
    </w:p>
    <w:p w14:paraId="3334C9EA" w14:textId="77777777" w:rsidR="00DE3708" w:rsidRPr="001E6DB9" w:rsidRDefault="009B7215" w:rsidP="00307CD6">
      <w:pPr>
        <w:spacing w:line="240" w:lineRule="auto"/>
        <w:contextualSpacing/>
        <w:rPr>
          <w:i/>
          <w:szCs w:val="22"/>
        </w:rPr>
      </w:pPr>
      <w:r w:rsidRPr="00307CD6">
        <w:rPr>
          <w:i/>
          <w:szCs w:val="22"/>
        </w:rPr>
        <w:t>[</w:t>
      </w:r>
      <w:r w:rsidR="00DE3708" w:rsidRPr="001E6DB9">
        <w:rPr>
          <w:i/>
          <w:szCs w:val="22"/>
        </w:rPr>
        <w:t>320 mg</w:t>
      </w:r>
      <w:r w:rsidRPr="00F50D13">
        <w:rPr>
          <w:i/>
          <w:szCs w:val="22"/>
        </w:rPr>
        <w:t>]</w:t>
      </w:r>
    </w:p>
    <w:p w14:paraId="0B32E177" w14:textId="77777777" w:rsidR="00DE3708" w:rsidRPr="00F50D13" w:rsidRDefault="00DE3708" w:rsidP="00307CD6">
      <w:pPr>
        <w:spacing w:line="240" w:lineRule="auto"/>
        <w:contextualSpacing/>
        <w:rPr>
          <w:szCs w:val="22"/>
        </w:rPr>
      </w:pPr>
      <w:r w:rsidRPr="00F50D13">
        <w:rPr>
          <w:szCs w:val="22"/>
        </w:rPr>
        <w:t>Hipromeliozė</w:t>
      </w:r>
    </w:p>
    <w:p w14:paraId="3A004256" w14:textId="77777777" w:rsidR="00DE3708" w:rsidRPr="00F50D13" w:rsidRDefault="00DE3708" w:rsidP="00307CD6">
      <w:pPr>
        <w:spacing w:line="240" w:lineRule="auto"/>
        <w:contextualSpacing/>
        <w:rPr>
          <w:szCs w:val="22"/>
        </w:rPr>
      </w:pPr>
      <w:r w:rsidRPr="00F50D13">
        <w:rPr>
          <w:szCs w:val="22"/>
        </w:rPr>
        <w:t>Titano dioksidas (E171)</w:t>
      </w:r>
    </w:p>
    <w:p w14:paraId="36FDA83F" w14:textId="77777777" w:rsidR="00DE3708" w:rsidRPr="00F91FD7" w:rsidRDefault="00DE3708" w:rsidP="00307CD6">
      <w:pPr>
        <w:spacing w:line="240" w:lineRule="auto"/>
        <w:contextualSpacing/>
        <w:rPr>
          <w:szCs w:val="22"/>
        </w:rPr>
      </w:pPr>
      <w:r w:rsidRPr="00F91FD7">
        <w:rPr>
          <w:szCs w:val="22"/>
        </w:rPr>
        <w:t>Makrogolis 8000</w:t>
      </w:r>
    </w:p>
    <w:p w14:paraId="3C2C4BE8" w14:textId="77777777" w:rsidR="00DE3708" w:rsidRPr="00F91FD7" w:rsidRDefault="00DE3708" w:rsidP="00307CD6">
      <w:pPr>
        <w:spacing w:line="240" w:lineRule="auto"/>
        <w:contextualSpacing/>
        <w:rPr>
          <w:szCs w:val="22"/>
        </w:rPr>
      </w:pPr>
      <w:r w:rsidRPr="00F91FD7">
        <w:rPr>
          <w:szCs w:val="22"/>
        </w:rPr>
        <w:t>Raudonasis geležies oksidas (E172)</w:t>
      </w:r>
    </w:p>
    <w:p w14:paraId="0A68E704" w14:textId="77777777" w:rsidR="00DE3708" w:rsidRPr="0078402A" w:rsidRDefault="00DE3708" w:rsidP="00307CD6">
      <w:pPr>
        <w:spacing w:line="240" w:lineRule="auto"/>
        <w:contextualSpacing/>
        <w:rPr>
          <w:szCs w:val="22"/>
        </w:rPr>
      </w:pPr>
      <w:r w:rsidRPr="0078402A">
        <w:rPr>
          <w:szCs w:val="22"/>
        </w:rPr>
        <w:t>Geltonasis geležies oksidas (E172)</w:t>
      </w:r>
    </w:p>
    <w:p w14:paraId="75732EDC" w14:textId="77777777" w:rsidR="00DE3708" w:rsidRPr="00307CD6" w:rsidRDefault="00DE3708" w:rsidP="00307CD6">
      <w:pPr>
        <w:spacing w:line="240" w:lineRule="auto"/>
        <w:contextualSpacing/>
        <w:rPr>
          <w:szCs w:val="22"/>
        </w:rPr>
      </w:pPr>
      <w:r w:rsidRPr="00307CD6">
        <w:rPr>
          <w:szCs w:val="22"/>
        </w:rPr>
        <w:t xml:space="preserve">Juodasis geležies oksidas (E172) </w:t>
      </w:r>
    </w:p>
    <w:p w14:paraId="5ED9A6C8" w14:textId="77777777" w:rsidR="00DE3708" w:rsidRPr="00307CD6" w:rsidRDefault="00DE3708" w:rsidP="00307CD6">
      <w:pPr>
        <w:spacing w:line="240" w:lineRule="auto"/>
        <w:contextualSpacing/>
        <w:rPr>
          <w:szCs w:val="22"/>
        </w:rPr>
      </w:pPr>
    </w:p>
    <w:p w14:paraId="5EE0200B" w14:textId="77777777" w:rsidR="00DE3708" w:rsidRPr="007F15BA" w:rsidRDefault="00DE3708" w:rsidP="00307CD6">
      <w:pPr>
        <w:spacing w:line="240" w:lineRule="auto"/>
        <w:contextualSpacing/>
        <w:rPr>
          <w:b/>
          <w:szCs w:val="22"/>
        </w:rPr>
      </w:pPr>
      <w:r w:rsidRPr="007F15BA">
        <w:rPr>
          <w:b/>
          <w:szCs w:val="22"/>
        </w:rPr>
        <w:t>6.2</w:t>
      </w:r>
      <w:r w:rsidRPr="007F15BA">
        <w:rPr>
          <w:b/>
          <w:szCs w:val="22"/>
        </w:rPr>
        <w:tab/>
        <w:t>Nesuderinamumas</w:t>
      </w:r>
    </w:p>
    <w:p w14:paraId="573A3A95" w14:textId="77777777" w:rsidR="00DE3708" w:rsidRPr="007F15BA" w:rsidRDefault="00DE3708" w:rsidP="00307CD6">
      <w:pPr>
        <w:spacing w:line="240" w:lineRule="auto"/>
        <w:contextualSpacing/>
        <w:rPr>
          <w:b/>
          <w:i/>
          <w:szCs w:val="22"/>
        </w:rPr>
      </w:pPr>
    </w:p>
    <w:p w14:paraId="6FE6583E" w14:textId="77777777" w:rsidR="00DE3708" w:rsidRPr="00D36517" w:rsidRDefault="00DE3708" w:rsidP="00307CD6">
      <w:pPr>
        <w:spacing w:line="240" w:lineRule="auto"/>
        <w:contextualSpacing/>
        <w:rPr>
          <w:szCs w:val="22"/>
        </w:rPr>
      </w:pPr>
      <w:r w:rsidRPr="00D36517">
        <w:rPr>
          <w:szCs w:val="22"/>
        </w:rPr>
        <w:t>Duomenys nebūtini.</w:t>
      </w:r>
    </w:p>
    <w:p w14:paraId="72D434DC" w14:textId="77777777" w:rsidR="00DE3708" w:rsidRPr="00D36517" w:rsidRDefault="00DE3708" w:rsidP="00307CD6">
      <w:pPr>
        <w:spacing w:line="240" w:lineRule="auto"/>
        <w:contextualSpacing/>
        <w:rPr>
          <w:szCs w:val="22"/>
        </w:rPr>
      </w:pPr>
    </w:p>
    <w:p w14:paraId="51FCE351" w14:textId="77777777" w:rsidR="00DE3708" w:rsidRPr="009F455C" w:rsidRDefault="00DE3708" w:rsidP="00307CD6">
      <w:pPr>
        <w:spacing w:line="240" w:lineRule="auto"/>
        <w:contextualSpacing/>
        <w:rPr>
          <w:b/>
          <w:szCs w:val="22"/>
        </w:rPr>
      </w:pPr>
      <w:r w:rsidRPr="009F455C">
        <w:rPr>
          <w:b/>
          <w:szCs w:val="22"/>
        </w:rPr>
        <w:t>6.3</w:t>
      </w:r>
      <w:r w:rsidRPr="009F455C">
        <w:rPr>
          <w:b/>
          <w:szCs w:val="22"/>
        </w:rPr>
        <w:tab/>
        <w:t>Tinkamumo laikas</w:t>
      </w:r>
    </w:p>
    <w:p w14:paraId="6DA97CF4" w14:textId="77777777" w:rsidR="00DE3708" w:rsidRPr="009F455C" w:rsidRDefault="00DE3708" w:rsidP="00307CD6">
      <w:pPr>
        <w:spacing w:line="240" w:lineRule="auto"/>
        <w:contextualSpacing/>
        <w:rPr>
          <w:b/>
          <w:i/>
          <w:szCs w:val="22"/>
        </w:rPr>
      </w:pPr>
    </w:p>
    <w:p w14:paraId="1A2B9760" w14:textId="77777777" w:rsidR="00DE3708" w:rsidRPr="00FB60E5" w:rsidRDefault="00DE3708" w:rsidP="00307CD6">
      <w:pPr>
        <w:spacing w:line="240" w:lineRule="auto"/>
        <w:contextualSpacing/>
        <w:rPr>
          <w:szCs w:val="22"/>
        </w:rPr>
      </w:pPr>
      <w:r w:rsidRPr="00FB60E5">
        <w:rPr>
          <w:szCs w:val="22"/>
        </w:rPr>
        <w:t>3 metai</w:t>
      </w:r>
    </w:p>
    <w:p w14:paraId="155B05BC" w14:textId="77777777" w:rsidR="00DE3708" w:rsidRPr="00FB60E5" w:rsidRDefault="00DE3708" w:rsidP="00307CD6">
      <w:pPr>
        <w:spacing w:line="240" w:lineRule="auto"/>
        <w:contextualSpacing/>
        <w:rPr>
          <w:b/>
          <w:szCs w:val="22"/>
        </w:rPr>
      </w:pPr>
    </w:p>
    <w:p w14:paraId="5FF7B830" w14:textId="77777777" w:rsidR="00DE3708" w:rsidRPr="001765A8" w:rsidRDefault="00DE3708" w:rsidP="00307CD6">
      <w:pPr>
        <w:spacing w:line="240" w:lineRule="auto"/>
        <w:contextualSpacing/>
        <w:rPr>
          <w:b/>
          <w:szCs w:val="22"/>
        </w:rPr>
      </w:pPr>
      <w:r w:rsidRPr="001765A8">
        <w:rPr>
          <w:b/>
          <w:szCs w:val="22"/>
        </w:rPr>
        <w:t>6.4</w:t>
      </w:r>
      <w:r w:rsidRPr="001765A8">
        <w:rPr>
          <w:b/>
          <w:szCs w:val="22"/>
        </w:rPr>
        <w:tab/>
        <w:t>Specialios laikymo sąlygos</w:t>
      </w:r>
    </w:p>
    <w:p w14:paraId="3D6200CC" w14:textId="77777777" w:rsidR="00DE3708" w:rsidRPr="001E6DB9" w:rsidRDefault="00DE3708" w:rsidP="00307CD6">
      <w:pPr>
        <w:spacing w:line="240" w:lineRule="auto"/>
        <w:contextualSpacing/>
        <w:rPr>
          <w:b/>
          <w:i/>
          <w:szCs w:val="22"/>
        </w:rPr>
      </w:pPr>
    </w:p>
    <w:p w14:paraId="73C57982" w14:textId="77777777" w:rsidR="00DE3708" w:rsidRPr="00F50D13" w:rsidRDefault="00DE3708" w:rsidP="00307CD6">
      <w:pPr>
        <w:spacing w:line="240" w:lineRule="auto"/>
        <w:contextualSpacing/>
        <w:rPr>
          <w:szCs w:val="22"/>
        </w:rPr>
      </w:pPr>
      <w:r w:rsidRPr="001E6DB9">
        <w:rPr>
          <w:szCs w:val="22"/>
        </w:rPr>
        <w:t>Laikyti ne aukštesnėje kaip 30</w:t>
      </w:r>
      <w:r w:rsidR="00617EBE">
        <w:rPr>
          <w:szCs w:val="22"/>
        </w:rPr>
        <w:t> </w:t>
      </w:r>
      <w:r w:rsidRPr="00F50D13">
        <w:rPr>
          <w:szCs w:val="22"/>
        </w:rPr>
        <w:sym w:font="Symbol" w:char="F0B0"/>
      </w:r>
      <w:r w:rsidRPr="00F50D13">
        <w:rPr>
          <w:szCs w:val="22"/>
        </w:rPr>
        <w:t>C temperatūroje.</w:t>
      </w:r>
    </w:p>
    <w:p w14:paraId="79D3638A" w14:textId="77777777" w:rsidR="00DE3708" w:rsidRPr="00F91FD7" w:rsidRDefault="00DE3708" w:rsidP="00307CD6">
      <w:pPr>
        <w:spacing w:line="240" w:lineRule="auto"/>
        <w:contextualSpacing/>
        <w:rPr>
          <w:szCs w:val="22"/>
        </w:rPr>
      </w:pPr>
      <w:r w:rsidRPr="00F50D13">
        <w:rPr>
          <w:szCs w:val="22"/>
        </w:rPr>
        <w:lastRenderedPageBreak/>
        <w:t>Laikyti gamintojo pakuotėj</w:t>
      </w:r>
      <w:r w:rsidRPr="00F91FD7">
        <w:rPr>
          <w:szCs w:val="22"/>
        </w:rPr>
        <w:t>e, kad preparatas būtų apsaugotas nuo drėgmės.</w:t>
      </w:r>
    </w:p>
    <w:p w14:paraId="3D9E93F4" w14:textId="77777777" w:rsidR="00DE3708" w:rsidRPr="00F91FD7" w:rsidRDefault="00DE3708" w:rsidP="00307CD6">
      <w:pPr>
        <w:spacing w:line="240" w:lineRule="auto"/>
        <w:contextualSpacing/>
        <w:rPr>
          <w:szCs w:val="22"/>
        </w:rPr>
      </w:pPr>
    </w:p>
    <w:p w14:paraId="079EC3FF" w14:textId="77777777" w:rsidR="00DE3708" w:rsidRPr="0078402A" w:rsidRDefault="00DE3708" w:rsidP="00307CD6">
      <w:pPr>
        <w:spacing w:line="240" w:lineRule="auto"/>
        <w:contextualSpacing/>
        <w:rPr>
          <w:b/>
          <w:szCs w:val="22"/>
        </w:rPr>
      </w:pPr>
      <w:r w:rsidRPr="0078402A">
        <w:rPr>
          <w:b/>
          <w:szCs w:val="22"/>
        </w:rPr>
        <w:t>6.5</w:t>
      </w:r>
      <w:r w:rsidRPr="0078402A">
        <w:rPr>
          <w:b/>
          <w:szCs w:val="22"/>
        </w:rPr>
        <w:tab/>
        <w:t>Talpyklės pobūdis ir jos turinys</w:t>
      </w:r>
    </w:p>
    <w:p w14:paraId="70D1C4A2" w14:textId="77777777" w:rsidR="00DE3708" w:rsidRPr="00307CD6" w:rsidRDefault="00DE3708" w:rsidP="00307CD6">
      <w:pPr>
        <w:spacing w:line="240" w:lineRule="auto"/>
        <w:contextualSpacing/>
        <w:rPr>
          <w:szCs w:val="22"/>
        </w:rPr>
      </w:pPr>
    </w:p>
    <w:p w14:paraId="3A716121" w14:textId="77777777" w:rsidR="00DE3708" w:rsidRPr="00F50D13" w:rsidRDefault="00DE3708" w:rsidP="00307CD6">
      <w:pPr>
        <w:spacing w:line="240" w:lineRule="auto"/>
        <w:contextualSpacing/>
        <w:rPr>
          <w:szCs w:val="22"/>
        </w:rPr>
      </w:pPr>
      <w:proofErr w:type="spellStart"/>
      <w:r w:rsidRPr="00307CD6">
        <w:rPr>
          <w:szCs w:val="22"/>
        </w:rPr>
        <w:t>Suvartar</w:t>
      </w:r>
      <w:proofErr w:type="spellEnd"/>
      <w:r w:rsidRPr="00307CD6">
        <w:rPr>
          <w:szCs w:val="22"/>
        </w:rPr>
        <w:t xml:space="preserve"> 80 mg ir </w:t>
      </w:r>
      <w:r w:rsidRPr="001E6DB9">
        <w:rPr>
          <w:szCs w:val="22"/>
          <w:highlight w:val="lightGray"/>
        </w:rPr>
        <w:t>160 mg</w:t>
      </w:r>
      <w:r w:rsidRPr="00F50D13">
        <w:rPr>
          <w:szCs w:val="22"/>
        </w:rPr>
        <w:t xml:space="preserve"> plėvele dengtos tabletės </w:t>
      </w:r>
    </w:p>
    <w:p w14:paraId="2AA80695" w14:textId="77777777" w:rsidR="00DE3708" w:rsidRPr="00F50D13" w:rsidRDefault="00DE3708" w:rsidP="00307CD6">
      <w:pPr>
        <w:spacing w:line="240" w:lineRule="auto"/>
        <w:contextualSpacing/>
        <w:rPr>
          <w:szCs w:val="22"/>
        </w:rPr>
      </w:pPr>
      <w:r w:rsidRPr="00F50D13">
        <w:rPr>
          <w:szCs w:val="22"/>
        </w:rPr>
        <w:t>PVC/PVDC lizdinės plokštelės</w:t>
      </w:r>
    </w:p>
    <w:p w14:paraId="0B114292" w14:textId="77777777" w:rsidR="00DE3708" w:rsidRPr="00F91FD7" w:rsidRDefault="00DE3708" w:rsidP="00307CD6">
      <w:pPr>
        <w:spacing w:line="240" w:lineRule="auto"/>
        <w:contextualSpacing/>
        <w:rPr>
          <w:szCs w:val="22"/>
        </w:rPr>
      </w:pPr>
      <w:r w:rsidRPr="00F91FD7">
        <w:rPr>
          <w:szCs w:val="22"/>
        </w:rPr>
        <w:t>PVC/PE/PVDC lizdinės plokštelės</w:t>
      </w:r>
    </w:p>
    <w:p w14:paraId="3033969C" w14:textId="77777777" w:rsidR="00DE3708" w:rsidRPr="00F91FD7" w:rsidRDefault="00DE3708" w:rsidP="00307CD6">
      <w:pPr>
        <w:spacing w:line="240" w:lineRule="auto"/>
        <w:contextualSpacing/>
        <w:rPr>
          <w:szCs w:val="22"/>
        </w:rPr>
      </w:pPr>
      <w:r w:rsidRPr="00F91FD7">
        <w:rPr>
          <w:szCs w:val="22"/>
        </w:rPr>
        <w:t>PA/Al/PVC lizdinės plokštelės</w:t>
      </w:r>
    </w:p>
    <w:p w14:paraId="4625A1A8" w14:textId="77777777" w:rsidR="00DE3708" w:rsidRPr="00617EBE" w:rsidRDefault="00DE3708" w:rsidP="00307CD6">
      <w:pPr>
        <w:spacing w:line="240" w:lineRule="auto"/>
        <w:contextualSpacing/>
        <w:rPr>
          <w:szCs w:val="22"/>
        </w:rPr>
      </w:pPr>
      <w:r w:rsidRPr="0078402A">
        <w:rPr>
          <w:szCs w:val="22"/>
        </w:rPr>
        <w:t>Visos lizdinės plokštelės yr</w:t>
      </w:r>
      <w:r w:rsidRPr="00617EBE">
        <w:rPr>
          <w:szCs w:val="22"/>
        </w:rPr>
        <w:t xml:space="preserve">a uždengtos aliuminio folija, užsandarinta karštu būdu prilydomu vinilo/akrilo laku. </w:t>
      </w:r>
    </w:p>
    <w:p w14:paraId="2CB792B5" w14:textId="77777777" w:rsidR="00DE3708" w:rsidRPr="00307CD6" w:rsidRDefault="00DE3708" w:rsidP="00307CD6">
      <w:pPr>
        <w:spacing w:line="240" w:lineRule="auto"/>
        <w:contextualSpacing/>
        <w:rPr>
          <w:i/>
          <w:szCs w:val="22"/>
        </w:rPr>
      </w:pPr>
    </w:p>
    <w:p w14:paraId="1983FA14" w14:textId="77777777" w:rsidR="00DE3708" w:rsidRPr="00307CD6" w:rsidRDefault="00DE3708" w:rsidP="00307CD6">
      <w:pPr>
        <w:spacing w:line="240" w:lineRule="auto"/>
        <w:contextualSpacing/>
        <w:rPr>
          <w:szCs w:val="22"/>
        </w:rPr>
      </w:pPr>
      <w:r w:rsidRPr="00307CD6">
        <w:rPr>
          <w:i/>
          <w:szCs w:val="22"/>
        </w:rPr>
        <w:t>Pakuotės dydžiai</w:t>
      </w:r>
      <w:r w:rsidRPr="00307CD6">
        <w:rPr>
          <w:szCs w:val="22"/>
        </w:rPr>
        <w:t>: vienoje pakuotėje yra 7, 10, 14, 15, 20, 28, 30, 50, 50x1, 56, 60, 84, 90, 98, 100 arba 280 plėvele dengtų tablečių.</w:t>
      </w:r>
    </w:p>
    <w:p w14:paraId="771DA050" w14:textId="77777777" w:rsidR="00DE3708" w:rsidRPr="007F15BA" w:rsidRDefault="00DE3708" w:rsidP="00307CD6">
      <w:pPr>
        <w:spacing w:line="240" w:lineRule="auto"/>
        <w:contextualSpacing/>
        <w:rPr>
          <w:i/>
          <w:szCs w:val="22"/>
        </w:rPr>
      </w:pPr>
    </w:p>
    <w:p w14:paraId="469C0F1A" w14:textId="77777777" w:rsidR="00DE3708" w:rsidRPr="001E6DB9" w:rsidRDefault="00DE3708" w:rsidP="00307CD6">
      <w:pPr>
        <w:spacing w:line="240" w:lineRule="auto"/>
        <w:contextualSpacing/>
        <w:rPr>
          <w:szCs w:val="22"/>
          <w:highlight w:val="lightGray"/>
        </w:rPr>
      </w:pPr>
      <w:proofErr w:type="spellStart"/>
      <w:r w:rsidRPr="001E6DB9">
        <w:rPr>
          <w:szCs w:val="22"/>
          <w:highlight w:val="lightGray"/>
        </w:rPr>
        <w:t>Suvartar</w:t>
      </w:r>
      <w:proofErr w:type="spellEnd"/>
      <w:r w:rsidRPr="001E6DB9">
        <w:rPr>
          <w:szCs w:val="22"/>
          <w:highlight w:val="lightGray"/>
        </w:rPr>
        <w:t xml:space="preserve"> 320 mg plėvele dengtos tabletės </w:t>
      </w:r>
    </w:p>
    <w:p w14:paraId="6BFC43F7" w14:textId="77777777" w:rsidR="00DE3708" w:rsidRPr="001E6DB9" w:rsidRDefault="00DE3708" w:rsidP="00307CD6">
      <w:pPr>
        <w:spacing w:line="240" w:lineRule="auto"/>
        <w:contextualSpacing/>
        <w:rPr>
          <w:szCs w:val="22"/>
          <w:highlight w:val="lightGray"/>
        </w:rPr>
      </w:pPr>
      <w:r w:rsidRPr="001E6DB9">
        <w:rPr>
          <w:szCs w:val="22"/>
          <w:highlight w:val="lightGray"/>
        </w:rPr>
        <w:t>PVC/PVDC lizdinės plokštelės</w:t>
      </w:r>
    </w:p>
    <w:p w14:paraId="47C84DAC" w14:textId="77777777" w:rsidR="00DE3708" w:rsidRPr="001E6DB9" w:rsidRDefault="00DE3708" w:rsidP="00307CD6">
      <w:pPr>
        <w:spacing w:line="240" w:lineRule="auto"/>
        <w:contextualSpacing/>
        <w:rPr>
          <w:szCs w:val="22"/>
          <w:highlight w:val="lightGray"/>
        </w:rPr>
      </w:pPr>
      <w:r w:rsidRPr="001E6DB9">
        <w:rPr>
          <w:szCs w:val="22"/>
          <w:highlight w:val="lightGray"/>
        </w:rPr>
        <w:t>PA/Al/PVC lizdinės plokštelės</w:t>
      </w:r>
    </w:p>
    <w:p w14:paraId="6A588B89"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Visos lizdinės plokštelės yra uždengtos aliuminio folija, užsandarinta karštu būdu prilydomu vinilo/akrilo laku. </w:t>
      </w:r>
    </w:p>
    <w:p w14:paraId="61EDEE9E" w14:textId="77777777" w:rsidR="00DE3708" w:rsidRPr="001E6DB9" w:rsidRDefault="00DE3708" w:rsidP="00307CD6">
      <w:pPr>
        <w:spacing w:line="240" w:lineRule="auto"/>
        <w:contextualSpacing/>
        <w:rPr>
          <w:i/>
          <w:szCs w:val="22"/>
          <w:highlight w:val="lightGray"/>
        </w:rPr>
      </w:pPr>
    </w:p>
    <w:p w14:paraId="7FE81A28" w14:textId="77777777" w:rsidR="00DE3708" w:rsidRPr="00F50D13" w:rsidRDefault="00DE3708" w:rsidP="00307CD6">
      <w:pPr>
        <w:spacing w:line="240" w:lineRule="auto"/>
        <w:contextualSpacing/>
        <w:rPr>
          <w:szCs w:val="22"/>
        </w:rPr>
      </w:pPr>
      <w:r w:rsidRPr="001E6DB9">
        <w:rPr>
          <w:i/>
          <w:szCs w:val="22"/>
          <w:highlight w:val="lightGray"/>
        </w:rPr>
        <w:t>Pakuotės dydžiai</w:t>
      </w:r>
      <w:r w:rsidRPr="001E6DB9">
        <w:rPr>
          <w:szCs w:val="22"/>
          <w:highlight w:val="lightGray"/>
        </w:rPr>
        <w:t>: vienoje pakuotėje yra 7, 10, 14, 15, 20, 28, 30, 50, 50x1, 56, 60, 84, 90, 98, 100 arba 280 plėvele dengtų tablečių.</w:t>
      </w:r>
    </w:p>
    <w:p w14:paraId="06406CEB" w14:textId="77777777" w:rsidR="00DE3708" w:rsidRPr="00F50D13" w:rsidRDefault="00DE3708" w:rsidP="00307CD6">
      <w:pPr>
        <w:spacing w:line="240" w:lineRule="auto"/>
        <w:contextualSpacing/>
        <w:rPr>
          <w:b/>
          <w:szCs w:val="22"/>
        </w:rPr>
      </w:pPr>
    </w:p>
    <w:p w14:paraId="709F1490" w14:textId="77777777" w:rsidR="00DE3708" w:rsidRPr="00F91FD7" w:rsidRDefault="00DE3708" w:rsidP="00307CD6">
      <w:pPr>
        <w:spacing w:line="240" w:lineRule="auto"/>
        <w:contextualSpacing/>
        <w:rPr>
          <w:szCs w:val="22"/>
        </w:rPr>
      </w:pPr>
      <w:bookmarkStart w:id="2" w:name="OLE_LINK6"/>
      <w:bookmarkStart w:id="3" w:name="OLE_LINK5"/>
      <w:r w:rsidRPr="00F91FD7">
        <w:rPr>
          <w:szCs w:val="22"/>
        </w:rPr>
        <w:t>Gali būti tiekiamos ne visų dydžių pakuotės.</w:t>
      </w:r>
      <w:bookmarkEnd w:id="2"/>
      <w:bookmarkEnd w:id="3"/>
    </w:p>
    <w:p w14:paraId="21E4C410" w14:textId="77777777" w:rsidR="00DE3708" w:rsidRPr="00F91FD7" w:rsidRDefault="00DE3708" w:rsidP="00307CD6">
      <w:pPr>
        <w:spacing w:line="240" w:lineRule="auto"/>
        <w:contextualSpacing/>
        <w:rPr>
          <w:szCs w:val="22"/>
        </w:rPr>
      </w:pPr>
    </w:p>
    <w:p w14:paraId="60425514" w14:textId="77777777" w:rsidR="00DE3708" w:rsidRPr="0078402A" w:rsidRDefault="00DE3708" w:rsidP="00307CD6">
      <w:pPr>
        <w:spacing w:line="240" w:lineRule="auto"/>
        <w:contextualSpacing/>
        <w:rPr>
          <w:b/>
          <w:szCs w:val="22"/>
        </w:rPr>
      </w:pPr>
      <w:r w:rsidRPr="0078402A">
        <w:rPr>
          <w:b/>
          <w:szCs w:val="22"/>
        </w:rPr>
        <w:t>6.6</w:t>
      </w:r>
      <w:r w:rsidRPr="0078402A">
        <w:rPr>
          <w:b/>
          <w:szCs w:val="22"/>
        </w:rPr>
        <w:tab/>
        <w:t>Specialūs reikalavimai atliekoms tvarkyti</w:t>
      </w:r>
    </w:p>
    <w:p w14:paraId="6BC6D41A" w14:textId="77777777" w:rsidR="00DE3708" w:rsidRPr="00307CD6" w:rsidRDefault="00DE3708" w:rsidP="00307CD6">
      <w:pPr>
        <w:spacing w:line="240" w:lineRule="auto"/>
        <w:contextualSpacing/>
        <w:rPr>
          <w:b/>
          <w:i/>
          <w:szCs w:val="22"/>
        </w:rPr>
      </w:pPr>
    </w:p>
    <w:p w14:paraId="45C3E29B" w14:textId="77777777" w:rsidR="009B7215" w:rsidRPr="00307CD6" w:rsidRDefault="009B7215" w:rsidP="00307CD6">
      <w:pPr>
        <w:spacing w:line="240" w:lineRule="auto"/>
        <w:contextualSpacing/>
        <w:rPr>
          <w:szCs w:val="22"/>
        </w:rPr>
      </w:pPr>
      <w:r w:rsidRPr="00307CD6">
        <w:rPr>
          <w:szCs w:val="22"/>
        </w:rPr>
        <w:t>Nesuvartotą vaistinį preparatą ar atliekas reikia tvarkyti laikantis vietinių reikalavimų.</w:t>
      </w:r>
    </w:p>
    <w:p w14:paraId="06D92336" w14:textId="77777777" w:rsidR="00DE3708" w:rsidRPr="007F15BA" w:rsidRDefault="00DE3708" w:rsidP="00307CD6">
      <w:pPr>
        <w:spacing w:line="240" w:lineRule="auto"/>
        <w:contextualSpacing/>
        <w:rPr>
          <w:szCs w:val="22"/>
        </w:rPr>
      </w:pPr>
    </w:p>
    <w:p w14:paraId="53288C5B" w14:textId="77777777" w:rsidR="00DE3708" w:rsidRPr="007F15BA" w:rsidRDefault="00DE3708" w:rsidP="00307CD6">
      <w:pPr>
        <w:spacing w:line="240" w:lineRule="auto"/>
        <w:contextualSpacing/>
        <w:rPr>
          <w:szCs w:val="22"/>
        </w:rPr>
      </w:pPr>
    </w:p>
    <w:p w14:paraId="559D72AC" w14:textId="77777777" w:rsidR="00DE3708" w:rsidRPr="00D36517" w:rsidRDefault="00DE3708" w:rsidP="00307CD6">
      <w:pPr>
        <w:spacing w:line="240" w:lineRule="auto"/>
        <w:contextualSpacing/>
        <w:rPr>
          <w:b/>
          <w:szCs w:val="22"/>
        </w:rPr>
      </w:pPr>
      <w:r w:rsidRPr="00D36517">
        <w:rPr>
          <w:b/>
          <w:szCs w:val="22"/>
        </w:rPr>
        <w:t>7.</w:t>
      </w:r>
      <w:r w:rsidRPr="00D36517">
        <w:rPr>
          <w:b/>
          <w:szCs w:val="22"/>
        </w:rPr>
        <w:tab/>
        <w:t>REGISTRUOTOJAS</w:t>
      </w:r>
    </w:p>
    <w:p w14:paraId="144514BE" w14:textId="77777777" w:rsidR="00DE3708" w:rsidRPr="00D36517" w:rsidRDefault="00DE3708" w:rsidP="00307CD6">
      <w:pPr>
        <w:spacing w:line="240" w:lineRule="auto"/>
        <w:contextualSpacing/>
        <w:rPr>
          <w:szCs w:val="22"/>
        </w:rPr>
      </w:pPr>
    </w:p>
    <w:p w14:paraId="393971D9" w14:textId="77777777" w:rsidR="00DE3708" w:rsidRPr="009F455C" w:rsidRDefault="00DE3708" w:rsidP="00307CD6">
      <w:pPr>
        <w:spacing w:line="240" w:lineRule="auto"/>
        <w:contextualSpacing/>
        <w:rPr>
          <w:szCs w:val="22"/>
        </w:rPr>
      </w:pPr>
      <w:proofErr w:type="spellStart"/>
      <w:r w:rsidRPr="009F455C">
        <w:rPr>
          <w:szCs w:val="22"/>
        </w:rPr>
        <w:t>Sandoz</w:t>
      </w:r>
      <w:proofErr w:type="spellEnd"/>
      <w:r w:rsidRPr="009F455C">
        <w:rPr>
          <w:szCs w:val="22"/>
        </w:rPr>
        <w:t xml:space="preserve"> </w:t>
      </w:r>
      <w:proofErr w:type="spellStart"/>
      <w:r w:rsidRPr="009F455C">
        <w:rPr>
          <w:szCs w:val="22"/>
        </w:rPr>
        <w:t>d.d</w:t>
      </w:r>
      <w:proofErr w:type="spellEnd"/>
      <w:r w:rsidRPr="009F455C">
        <w:rPr>
          <w:szCs w:val="22"/>
        </w:rPr>
        <w:t xml:space="preserve">. </w:t>
      </w:r>
      <w:r w:rsidRPr="009F455C">
        <w:rPr>
          <w:szCs w:val="22"/>
        </w:rPr>
        <w:br/>
      </w:r>
      <w:proofErr w:type="spellStart"/>
      <w:r w:rsidRPr="009F455C">
        <w:rPr>
          <w:szCs w:val="22"/>
        </w:rPr>
        <w:t>Verovškova</w:t>
      </w:r>
      <w:proofErr w:type="spellEnd"/>
      <w:r w:rsidRPr="009F455C">
        <w:rPr>
          <w:szCs w:val="22"/>
        </w:rPr>
        <w:t xml:space="preserve"> 57</w:t>
      </w:r>
    </w:p>
    <w:p w14:paraId="6BD16DD7" w14:textId="77777777" w:rsidR="00DE3708" w:rsidRPr="009F455C" w:rsidRDefault="00DE3708" w:rsidP="00307CD6">
      <w:pPr>
        <w:spacing w:line="240" w:lineRule="auto"/>
        <w:contextualSpacing/>
        <w:rPr>
          <w:szCs w:val="22"/>
        </w:rPr>
      </w:pPr>
      <w:r w:rsidRPr="009F455C">
        <w:rPr>
          <w:szCs w:val="22"/>
        </w:rPr>
        <w:t xml:space="preserve">SI-1000 </w:t>
      </w:r>
      <w:proofErr w:type="spellStart"/>
      <w:r w:rsidRPr="009F455C">
        <w:rPr>
          <w:szCs w:val="22"/>
        </w:rPr>
        <w:t>Ljubljana</w:t>
      </w:r>
      <w:proofErr w:type="spellEnd"/>
      <w:r w:rsidRPr="009F455C">
        <w:rPr>
          <w:szCs w:val="22"/>
        </w:rPr>
        <w:t xml:space="preserve"> </w:t>
      </w:r>
      <w:r w:rsidRPr="009F455C">
        <w:rPr>
          <w:szCs w:val="22"/>
        </w:rPr>
        <w:br/>
        <w:t>Slovėnija</w:t>
      </w:r>
    </w:p>
    <w:p w14:paraId="5C6FD368" w14:textId="77777777" w:rsidR="00DE3708" w:rsidRPr="00FB60E5" w:rsidRDefault="00DE3708" w:rsidP="00307CD6">
      <w:pPr>
        <w:tabs>
          <w:tab w:val="left" w:pos="1260"/>
        </w:tabs>
        <w:spacing w:line="240" w:lineRule="auto"/>
        <w:contextualSpacing/>
        <w:rPr>
          <w:szCs w:val="22"/>
        </w:rPr>
      </w:pPr>
    </w:p>
    <w:p w14:paraId="490E11D3" w14:textId="77777777" w:rsidR="00DE3708" w:rsidRPr="00FB60E5" w:rsidRDefault="00DE3708" w:rsidP="00307CD6">
      <w:pPr>
        <w:spacing w:line="240" w:lineRule="auto"/>
        <w:contextualSpacing/>
        <w:rPr>
          <w:b/>
          <w:szCs w:val="22"/>
        </w:rPr>
      </w:pPr>
    </w:p>
    <w:p w14:paraId="3BCEABB6" w14:textId="77777777" w:rsidR="00DE3708" w:rsidRPr="001765A8" w:rsidRDefault="00DE3708" w:rsidP="00307CD6">
      <w:pPr>
        <w:spacing w:line="240" w:lineRule="auto"/>
        <w:contextualSpacing/>
        <w:rPr>
          <w:b/>
          <w:szCs w:val="22"/>
        </w:rPr>
      </w:pPr>
      <w:r w:rsidRPr="001765A8">
        <w:rPr>
          <w:b/>
          <w:szCs w:val="22"/>
        </w:rPr>
        <w:t>8.</w:t>
      </w:r>
      <w:r w:rsidRPr="001765A8">
        <w:rPr>
          <w:b/>
          <w:szCs w:val="22"/>
        </w:rPr>
        <w:tab/>
        <w:t>REGISTRACIJOS PAŽYMĖJIMO NUMERIAI (-IAI)</w:t>
      </w:r>
    </w:p>
    <w:p w14:paraId="029E39B7" w14:textId="77777777" w:rsidR="00DE3708" w:rsidRPr="001E6DB9" w:rsidRDefault="00DE3708" w:rsidP="00307CD6">
      <w:pPr>
        <w:spacing w:line="240" w:lineRule="auto"/>
        <w:contextualSpacing/>
        <w:rPr>
          <w:szCs w:val="22"/>
        </w:rPr>
      </w:pPr>
    </w:p>
    <w:tbl>
      <w:tblPr>
        <w:tblW w:w="0" w:type="auto"/>
        <w:tblLook w:val="00A0" w:firstRow="1" w:lastRow="0" w:firstColumn="1" w:lastColumn="0" w:noHBand="0" w:noVBand="0"/>
      </w:tblPr>
      <w:tblGrid>
        <w:gridCol w:w="3024"/>
        <w:gridCol w:w="3023"/>
        <w:gridCol w:w="3024"/>
      </w:tblGrid>
      <w:tr w:rsidR="00DE3708" w:rsidRPr="001E6DB9" w14:paraId="55CFC18F" w14:textId="77777777" w:rsidTr="00DE3708">
        <w:tc>
          <w:tcPr>
            <w:tcW w:w="3131" w:type="dxa"/>
          </w:tcPr>
          <w:p w14:paraId="0B18D7BB" w14:textId="77777777" w:rsidR="00DE3708" w:rsidRPr="001E6DB9" w:rsidRDefault="00DE3708" w:rsidP="00307CD6">
            <w:pPr>
              <w:spacing w:line="240" w:lineRule="auto"/>
              <w:contextualSpacing/>
              <w:rPr>
                <w:szCs w:val="22"/>
              </w:rPr>
            </w:pPr>
            <w:proofErr w:type="spellStart"/>
            <w:r w:rsidRPr="001E6DB9">
              <w:rPr>
                <w:szCs w:val="22"/>
              </w:rPr>
              <w:t>Suvartar</w:t>
            </w:r>
            <w:proofErr w:type="spellEnd"/>
            <w:r w:rsidRPr="001E6DB9">
              <w:rPr>
                <w:szCs w:val="22"/>
              </w:rPr>
              <w:t xml:space="preserve"> 80 mg</w:t>
            </w:r>
          </w:p>
          <w:p w14:paraId="5318E7E4" w14:textId="77777777" w:rsidR="00DE3708" w:rsidRPr="001E6DB9" w:rsidRDefault="00DE3708" w:rsidP="00307CD6">
            <w:pPr>
              <w:spacing w:line="240" w:lineRule="auto"/>
              <w:contextualSpacing/>
              <w:rPr>
                <w:szCs w:val="22"/>
              </w:rPr>
            </w:pPr>
            <w:r w:rsidRPr="001E6DB9">
              <w:rPr>
                <w:szCs w:val="22"/>
              </w:rPr>
              <w:t>N7 - LT/1/10/2093/017</w:t>
            </w:r>
          </w:p>
          <w:p w14:paraId="7D85072F" w14:textId="77777777" w:rsidR="00DE3708" w:rsidRPr="001E6DB9" w:rsidRDefault="00DE3708" w:rsidP="00307CD6">
            <w:pPr>
              <w:spacing w:line="240" w:lineRule="auto"/>
              <w:contextualSpacing/>
              <w:rPr>
                <w:szCs w:val="22"/>
              </w:rPr>
            </w:pPr>
            <w:r w:rsidRPr="001E6DB9">
              <w:rPr>
                <w:szCs w:val="22"/>
              </w:rPr>
              <w:t xml:space="preserve">N10 - LT/1/10/2093/018 </w:t>
            </w:r>
          </w:p>
          <w:p w14:paraId="7371802B" w14:textId="77777777" w:rsidR="00DE3708" w:rsidRPr="001E6DB9" w:rsidRDefault="00DE3708" w:rsidP="00307CD6">
            <w:pPr>
              <w:spacing w:line="240" w:lineRule="auto"/>
              <w:contextualSpacing/>
              <w:rPr>
                <w:szCs w:val="22"/>
              </w:rPr>
            </w:pPr>
            <w:r w:rsidRPr="001E6DB9">
              <w:rPr>
                <w:szCs w:val="22"/>
              </w:rPr>
              <w:t xml:space="preserve">N14 - LT/1/10/2093/019 </w:t>
            </w:r>
          </w:p>
          <w:p w14:paraId="644EF99D" w14:textId="77777777" w:rsidR="00DE3708" w:rsidRPr="001E6DB9" w:rsidRDefault="00DE3708" w:rsidP="00307CD6">
            <w:pPr>
              <w:spacing w:line="240" w:lineRule="auto"/>
              <w:contextualSpacing/>
              <w:rPr>
                <w:szCs w:val="22"/>
              </w:rPr>
            </w:pPr>
            <w:r w:rsidRPr="001E6DB9">
              <w:rPr>
                <w:szCs w:val="22"/>
              </w:rPr>
              <w:t>N15 - LT/1/10/2093/020</w:t>
            </w:r>
          </w:p>
          <w:p w14:paraId="44CAEFF3" w14:textId="77777777" w:rsidR="00DE3708" w:rsidRPr="001E6DB9" w:rsidRDefault="00DE3708" w:rsidP="00307CD6">
            <w:pPr>
              <w:spacing w:line="240" w:lineRule="auto"/>
              <w:contextualSpacing/>
              <w:rPr>
                <w:szCs w:val="22"/>
              </w:rPr>
            </w:pPr>
            <w:r w:rsidRPr="001E6DB9">
              <w:rPr>
                <w:szCs w:val="22"/>
              </w:rPr>
              <w:t xml:space="preserve">N20 - LT/1/10/2093/021 </w:t>
            </w:r>
          </w:p>
          <w:p w14:paraId="3864170B" w14:textId="77777777" w:rsidR="00DE3708" w:rsidRPr="001E6DB9" w:rsidRDefault="00DE3708" w:rsidP="00307CD6">
            <w:pPr>
              <w:spacing w:line="240" w:lineRule="auto"/>
              <w:contextualSpacing/>
              <w:rPr>
                <w:szCs w:val="22"/>
              </w:rPr>
            </w:pPr>
            <w:r w:rsidRPr="001E6DB9">
              <w:rPr>
                <w:szCs w:val="22"/>
              </w:rPr>
              <w:t xml:space="preserve">N28 - LT/1/10/2093/022 </w:t>
            </w:r>
          </w:p>
          <w:p w14:paraId="72D4CBB2" w14:textId="77777777" w:rsidR="00DE3708" w:rsidRPr="001E6DB9" w:rsidRDefault="00DE3708" w:rsidP="00307CD6">
            <w:pPr>
              <w:spacing w:line="240" w:lineRule="auto"/>
              <w:contextualSpacing/>
              <w:rPr>
                <w:szCs w:val="22"/>
              </w:rPr>
            </w:pPr>
            <w:r w:rsidRPr="001E6DB9">
              <w:rPr>
                <w:szCs w:val="22"/>
              </w:rPr>
              <w:t xml:space="preserve">N30 - LT/1/10/2093/023 </w:t>
            </w:r>
          </w:p>
          <w:p w14:paraId="68976F89" w14:textId="77777777" w:rsidR="00DE3708" w:rsidRPr="001E6DB9" w:rsidRDefault="00DE3708" w:rsidP="00307CD6">
            <w:pPr>
              <w:spacing w:line="240" w:lineRule="auto"/>
              <w:contextualSpacing/>
              <w:rPr>
                <w:szCs w:val="22"/>
              </w:rPr>
            </w:pPr>
            <w:r w:rsidRPr="001E6DB9">
              <w:rPr>
                <w:szCs w:val="22"/>
              </w:rPr>
              <w:t xml:space="preserve">N50 - LT/1/10/2093/024 </w:t>
            </w:r>
          </w:p>
          <w:p w14:paraId="149ECEFC" w14:textId="77777777" w:rsidR="00DE3708" w:rsidRPr="001E6DB9" w:rsidRDefault="00DE3708" w:rsidP="00307CD6">
            <w:pPr>
              <w:spacing w:line="240" w:lineRule="auto"/>
              <w:contextualSpacing/>
              <w:rPr>
                <w:szCs w:val="22"/>
              </w:rPr>
            </w:pPr>
            <w:r w:rsidRPr="001E6DB9">
              <w:rPr>
                <w:szCs w:val="22"/>
              </w:rPr>
              <w:t xml:space="preserve">N50x1 - LT/1/10/2093/025 </w:t>
            </w:r>
          </w:p>
          <w:p w14:paraId="2B7768D3" w14:textId="77777777" w:rsidR="00DE3708" w:rsidRPr="001E6DB9" w:rsidRDefault="00DE3708" w:rsidP="00307CD6">
            <w:pPr>
              <w:spacing w:line="240" w:lineRule="auto"/>
              <w:contextualSpacing/>
              <w:rPr>
                <w:szCs w:val="22"/>
              </w:rPr>
            </w:pPr>
            <w:r w:rsidRPr="001E6DB9">
              <w:rPr>
                <w:szCs w:val="22"/>
              </w:rPr>
              <w:t>N56 - LT/1/10/2093/026</w:t>
            </w:r>
          </w:p>
          <w:p w14:paraId="1EFD20E0" w14:textId="77777777" w:rsidR="00DE3708" w:rsidRPr="001E6DB9" w:rsidRDefault="00DE3708" w:rsidP="00307CD6">
            <w:pPr>
              <w:spacing w:line="240" w:lineRule="auto"/>
              <w:contextualSpacing/>
              <w:rPr>
                <w:szCs w:val="22"/>
              </w:rPr>
            </w:pPr>
            <w:r w:rsidRPr="001E6DB9">
              <w:rPr>
                <w:szCs w:val="22"/>
              </w:rPr>
              <w:t xml:space="preserve">N60 - LT/1/10/2093/027 </w:t>
            </w:r>
          </w:p>
          <w:p w14:paraId="6FE2EA05" w14:textId="77777777" w:rsidR="00DE3708" w:rsidRPr="001E6DB9" w:rsidRDefault="00DE3708" w:rsidP="00307CD6">
            <w:pPr>
              <w:spacing w:line="240" w:lineRule="auto"/>
              <w:contextualSpacing/>
              <w:rPr>
                <w:szCs w:val="22"/>
              </w:rPr>
            </w:pPr>
            <w:r w:rsidRPr="001E6DB9">
              <w:rPr>
                <w:szCs w:val="22"/>
              </w:rPr>
              <w:t>N84 - LT/1/10/2093/028</w:t>
            </w:r>
          </w:p>
          <w:p w14:paraId="6F38A7F1" w14:textId="77777777" w:rsidR="00DE3708" w:rsidRPr="001E6DB9" w:rsidRDefault="00DE3708" w:rsidP="00307CD6">
            <w:pPr>
              <w:spacing w:line="240" w:lineRule="auto"/>
              <w:contextualSpacing/>
              <w:rPr>
                <w:szCs w:val="22"/>
              </w:rPr>
            </w:pPr>
            <w:r w:rsidRPr="001E6DB9">
              <w:rPr>
                <w:szCs w:val="22"/>
              </w:rPr>
              <w:t xml:space="preserve">N90 - LT/1/10/2093/029 </w:t>
            </w:r>
          </w:p>
          <w:p w14:paraId="6B8FB891" w14:textId="77777777" w:rsidR="00DE3708" w:rsidRPr="001E6DB9" w:rsidRDefault="00DE3708" w:rsidP="00307CD6">
            <w:pPr>
              <w:spacing w:line="240" w:lineRule="auto"/>
              <w:contextualSpacing/>
              <w:rPr>
                <w:szCs w:val="22"/>
              </w:rPr>
            </w:pPr>
            <w:r w:rsidRPr="001E6DB9">
              <w:rPr>
                <w:szCs w:val="22"/>
              </w:rPr>
              <w:t xml:space="preserve">N98 - LT/1/10/2093/030 </w:t>
            </w:r>
          </w:p>
          <w:p w14:paraId="03A881CC" w14:textId="77777777" w:rsidR="00DE3708" w:rsidRPr="001E6DB9" w:rsidRDefault="00DE3708" w:rsidP="00307CD6">
            <w:pPr>
              <w:spacing w:line="240" w:lineRule="auto"/>
              <w:contextualSpacing/>
              <w:rPr>
                <w:szCs w:val="22"/>
              </w:rPr>
            </w:pPr>
            <w:r w:rsidRPr="001E6DB9">
              <w:rPr>
                <w:szCs w:val="22"/>
              </w:rPr>
              <w:t xml:space="preserve">N100 - LT/1/10/2093/031 </w:t>
            </w:r>
          </w:p>
          <w:p w14:paraId="728830F8" w14:textId="77777777" w:rsidR="00DE3708" w:rsidRPr="001E6DB9" w:rsidRDefault="00DE3708" w:rsidP="00307CD6">
            <w:pPr>
              <w:spacing w:line="240" w:lineRule="auto"/>
              <w:contextualSpacing/>
              <w:rPr>
                <w:szCs w:val="22"/>
              </w:rPr>
            </w:pPr>
            <w:r w:rsidRPr="001E6DB9">
              <w:rPr>
                <w:szCs w:val="22"/>
              </w:rPr>
              <w:t xml:space="preserve">N280 - LT/1/10/2093/032 </w:t>
            </w:r>
          </w:p>
        </w:tc>
        <w:tc>
          <w:tcPr>
            <w:tcW w:w="3131" w:type="dxa"/>
          </w:tcPr>
          <w:p w14:paraId="6DCB8D55" w14:textId="77777777" w:rsidR="00DE3708" w:rsidRPr="001E6DB9" w:rsidRDefault="00DE3708" w:rsidP="00307CD6">
            <w:pPr>
              <w:spacing w:line="240" w:lineRule="auto"/>
              <w:contextualSpacing/>
              <w:rPr>
                <w:szCs w:val="22"/>
              </w:rPr>
            </w:pPr>
            <w:proofErr w:type="spellStart"/>
            <w:r w:rsidRPr="001E6DB9">
              <w:rPr>
                <w:szCs w:val="22"/>
              </w:rPr>
              <w:t>Suvartar</w:t>
            </w:r>
            <w:proofErr w:type="spellEnd"/>
            <w:r w:rsidRPr="001E6DB9">
              <w:rPr>
                <w:szCs w:val="22"/>
              </w:rPr>
              <w:t xml:space="preserve"> 160 mg</w:t>
            </w:r>
          </w:p>
          <w:p w14:paraId="34F9DDCE" w14:textId="77777777" w:rsidR="00DE3708" w:rsidRPr="001E6DB9" w:rsidRDefault="00DE3708" w:rsidP="00307CD6">
            <w:pPr>
              <w:spacing w:line="240" w:lineRule="auto"/>
              <w:contextualSpacing/>
              <w:rPr>
                <w:szCs w:val="22"/>
              </w:rPr>
            </w:pPr>
            <w:r w:rsidRPr="001E6DB9">
              <w:rPr>
                <w:szCs w:val="22"/>
              </w:rPr>
              <w:t>N7 - LT/1/10/2093/033</w:t>
            </w:r>
          </w:p>
          <w:p w14:paraId="70BEFF46" w14:textId="77777777" w:rsidR="00DE3708" w:rsidRPr="001E6DB9" w:rsidRDefault="00DE3708" w:rsidP="00307CD6">
            <w:pPr>
              <w:spacing w:line="240" w:lineRule="auto"/>
              <w:contextualSpacing/>
              <w:rPr>
                <w:szCs w:val="22"/>
              </w:rPr>
            </w:pPr>
            <w:r w:rsidRPr="001E6DB9">
              <w:rPr>
                <w:szCs w:val="22"/>
              </w:rPr>
              <w:t xml:space="preserve">N10 - LT/1/10/2093/034 </w:t>
            </w:r>
          </w:p>
          <w:p w14:paraId="6A541FA8" w14:textId="77777777" w:rsidR="00DE3708" w:rsidRPr="001E6DB9" w:rsidRDefault="00DE3708" w:rsidP="00307CD6">
            <w:pPr>
              <w:spacing w:line="240" w:lineRule="auto"/>
              <w:contextualSpacing/>
              <w:rPr>
                <w:szCs w:val="22"/>
              </w:rPr>
            </w:pPr>
            <w:r w:rsidRPr="001E6DB9">
              <w:rPr>
                <w:szCs w:val="22"/>
              </w:rPr>
              <w:t xml:space="preserve">N14 - LT/1/10/2093/035 </w:t>
            </w:r>
          </w:p>
          <w:p w14:paraId="384F5A5B" w14:textId="77777777" w:rsidR="00DE3708" w:rsidRPr="001E6DB9" w:rsidRDefault="00DE3708" w:rsidP="00307CD6">
            <w:pPr>
              <w:spacing w:line="240" w:lineRule="auto"/>
              <w:contextualSpacing/>
              <w:rPr>
                <w:szCs w:val="22"/>
              </w:rPr>
            </w:pPr>
            <w:r w:rsidRPr="001E6DB9">
              <w:rPr>
                <w:szCs w:val="22"/>
              </w:rPr>
              <w:t xml:space="preserve">N15 - LT/1/10/2093/036 </w:t>
            </w:r>
          </w:p>
          <w:p w14:paraId="574A253B" w14:textId="77777777" w:rsidR="00DE3708" w:rsidRPr="001E6DB9" w:rsidRDefault="00DE3708" w:rsidP="00307CD6">
            <w:pPr>
              <w:spacing w:line="240" w:lineRule="auto"/>
              <w:contextualSpacing/>
              <w:rPr>
                <w:szCs w:val="22"/>
              </w:rPr>
            </w:pPr>
            <w:r w:rsidRPr="001E6DB9">
              <w:rPr>
                <w:szCs w:val="22"/>
              </w:rPr>
              <w:t xml:space="preserve">N20 - LT/1/10/2093/037 </w:t>
            </w:r>
          </w:p>
          <w:p w14:paraId="52832FE9" w14:textId="77777777" w:rsidR="00DE3708" w:rsidRPr="001E6DB9" w:rsidRDefault="00DE3708" w:rsidP="00307CD6">
            <w:pPr>
              <w:spacing w:line="240" w:lineRule="auto"/>
              <w:contextualSpacing/>
              <w:rPr>
                <w:szCs w:val="22"/>
              </w:rPr>
            </w:pPr>
            <w:r w:rsidRPr="001E6DB9">
              <w:rPr>
                <w:szCs w:val="22"/>
              </w:rPr>
              <w:t xml:space="preserve">N28 - LT/1/10/2093/038 </w:t>
            </w:r>
          </w:p>
          <w:p w14:paraId="0DD1D191" w14:textId="77777777" w:rsidR="00DE3708" w:rsidRPr="001E6DB9" w:rsidRDefault="00DE3708" w:rsidP="00307CD6">
            <w:pPr>
              <w:spacing w:line="240" w:lineRule="auto"/>
              <w:contextualSpacing/>
              <w:rPr>
                <w:szCs w:val="22"/>
              </w:rPr>
            </w:pPr>
            <w:r w:rsidRPr="001E6DB9">
              <w:rPr>
                <w:szCs w:val="22"/>
              </w:rPr>
              <w:t xml:space="preserve">N30 - LT/1/10/2093/039 </w:t>
            </w:r>
          </w:p>
          <w:p w14:paraId="45616BEF" w14:textId="77777777" w:rsidR="00DE3708" w:rsidRPr="001E6DB9" w:rsidRDefault="00DE3708" w:rsidP="00307CD6">
            <w:pPr>
              <w:spacing w:line="240" w:lineRule="auto"/>
              <w:contextualSpacing/>
              <w:rPr>
                <w:szCs w:val="22"/>
              </w:rPr>
            </w:pPr>
            <w:r w:rsidRPr="001E6DB9">
              <w:rPr>
                <w:szCs w:val="22"/>
              </w:rPr>
              <w:t xml:space="preserve">N50 - LT/1/10/2093/040 </w:t>
            </w:r>
          </w:p>
          <w:p w14:paraId="45769BDF" w14:textId="77777777" w:rsidR="00DE3708" w:rsidRPr="001E6DB9" w:rsidRDefault="00DE3708" w:rsidP="00307CD6">
            <w:pPr>
              <w:spacing w:line="240" w:lineRule="auto"/>
              <w:contextualSpacing/>
              <w:rPr>
                <w:szCs w:val="22"/>
              </w:rPr>
            </w:pPr>
            <w:r w:rsidRPr="001E6DB9">
              <w:rPr>
                <w:szCs w:val="22"/>
              </w:rPr>
              <w:t xml:space="preserve">N50x1 - LT/1/10/2093/041 </w:t>
            </w:r>
          </w:p>
          <w:p w14:paraId="72469100" w14:textId="77777777" w:rsidR="00DE3708" w:rsidRPr="001E6DB9" w:rsidRDefault="00DE3708" w:rsidP="00307CD6">
            <w:pPr>
              <w:spacing w:line="240" w:lineRule="auto"/>
              <w:contextualSpacing/>
              <w:rPr>
                <w:szCs w:val="22"/>
              </w:rPr>
            </w:pPr>
            <w:r w:rsidRPr="001E6DB9">
              <w:rPr>
                <w:szCs w:val="22"/>
              </w:rPr>
              <w:t>N56 - LT/1/10/2093/042</w:t>
            </w:r>
          </w:p>
          <w:p w14:paraId="1835A8C9" w14:textId="77777777" w:rsidR="00DE3708" w:rsidRPr="001E6DB9" w:rsidRDefault="00DE3708" w:rsidP="00307CD6">
            <w:pPr>
              <w:spacing w:line="240" w:lineRule="auto"/>
              <w:contextualSpacing/>
              <w:rPr>
                <w:szCs w:val="22"/>
              </w:rPr>
            </w:pPr>
            <w:r w:rsidRPr="001E6DB9">
              <w:rPr>
                <w:szCs w:val="22"/>
              </w:rPr>
              <w:t xml:space="preserve">N60 - LT/1/10/2093/043 </w:t>
            </w:r>
          </w:p>
          <w:p w14:paraId="5D98DD31" w14:textId="77777777" w:rsidR="00DE3708" w:rsidRPr="001E6DB9" w:rsidRDefault="00DE3708" w:rsidP="00307CD6">
            <w:pPr>
              <w:spacing w:line="240" w:lineRule="auto"/>
              <w:contextualSpacing/>
              <w:rPr>
                <w:szCs w:val="22"/>
              </w:rPr>
            </w:pPr>
            <w:r w:rsidRPr="001E6DB9">
              <w:rPr>
                <w:szCs w:val="22"/>
              </w:rPr>
              <w:t>N84 - LT/1/10/2093/044</w:t>
            </w:r>
          </w:p>
          <w:p w14:paraId="4C6A8727" w14:textId="77777777" w:rsidR="00DE3708" w:rsidRPr="001E6DB9" w:rsidRDefault="00DE3708" w:rsidP="00307CD6">
            <w:pPr>
              <w:spacing w:line="240" w:lineRule="auto"/>
              <w:contextualSpacing/>
              <w:rPr>
                <w:szCs w:val="22"/>
              </w:rPr>
            </w:pPr>
            <w:r w:rsidRPr="001E6DB9">
              <w:rPr>
                <w:szCs w:val="22"/>
              </w:rPr>
              <w:t xml:space="preserve">N90 - LT/1/10/2093/045 </w:t>
            </w:r>
          </w:p>
          <w:p w14:paraId="2DCFC1A7" w14:textId="77777777" w:rsidR="00DE3708" w:rsidRPr="001E6DB9" w:rsidRDefault="00DE3708" w:rsidP="00307CD6">
            <w:pPr>
              <w:spacing w:line="240" w:lineRule="auto"/>
              <w:contextualSpacing/>
              <w:rPr>
                <w:szCs w:val="22"/>
              </w:rPr>
            </w:pPr>
            <w:r w:rsidRPr="001E6DB9">
              <w:rPr>
                <w:szCs w:val="22"/>
              </w:rPr>
              <w:t>N98 - LT/1/10/2093/046</w:t>
            </w:r>
          </w:p>
          <w:p w14:paraId="1644FF62" w14:textId="77777777" w:rsidR="00DE3708" w:rsidRPr="001E6DB9" w:rsidRDefault="00DE3708" w:rsidP="00307CD6">
            <w:pPr>
              <w:spacing w:line="240" w:lineRule="auto"/>
              <w:contextualSpacing/>
              <w:rPr>
                <w:szCs w:val="22"/>
              </w:rPr>
            </w:pPr>
            <w:r w:rsidRPr="001E6DB9">
              <w:rPr>
                <w:szCs w:val="22"/>
              </w:rPr>
              <w:t xml:space="preserve">N100 - LT/1/10/2093/047 </w:t>
            </w:r>
          </w:p>
          <w:p w14:paraId="700612AA" w14:textId="77777777" w:rsidR="00DE3708" w:rsidRPr="001E6DB9" w:rsidRDefault="00DE3708" w:rsidP="00307CD6">
            <w:pPr>
              <w:spacing w:line="240" w:lineRule="auto"/>
              <w:contextualSpacing/>
              <w:rPr>
                <w:szCs w:val="22"/>
              </w:rPr>
            </w:pPr>
            <w:r w:rsidRPr="001E6DB9">
              <w:rPr>
                <w:szCs w:val="22"/>
              </w:rPr>
              <w:t xml:space="preserve">N280 - LT/1/10/2093/048 </w:t>
            </w:r>
          </w:p>
        </w:tc>
        <w:tc>
          <w:tcPr>
            <w:tcW w:w="3132" w:type="dxa"/>
          </w:tcPr>
          <w:p w14:paraId="3406E936" w14:textId="77777777" w:rsidR="00DE3708" w:rsidRPr="001E6DB9" w:rsidRDefault="00DE3708" w:rsidP="00307CD6">
            <w:pPr>
              <w:spacing w:line="240" w:lineRule="auto"/>
              <w:contextualSpacing/>
              <w:rPr>
                <w:szCs w:val="22"/>
              </w:rPr>
            </w:pPr>
            <w:proofErr w:type="spellStart"/>
            <w:r w:rsidRPr="001E6DB9">
              <w:rPr>
                <w:szCs w:val="22"/>
              </w:rPr>
              <w:t>Suvartar</w:t>
            </w:r>
            <w:proofErr w:type="spellEnd"/>
            <w:r w:rsidRPr="001E6DB9">
              <w:rPr>
                <w:szCs w:val="22"/>
              </w:rPr>
              <w:t xml:space="preserve"> 320 mg</w:t>
            </w:r>
          </w:p>
          <w:p w14:paraId="082D945D" w14:textId="77777777" w:rsidR="00DE3708" w:rsidRPr="001E6DB9" w:rsidRDefault="00DE3708" w:rsidP="00307CD6">
            <w:pPr>
              <w:spacing w:line="240" w:lineRule="auto"/>
              <w:contextualSpacing/>
              <w:rPr>
                <w:szCs w:val="22"/>
              </w:rPr>
            </w:pPr>
            <w:r w:rsidRPr="001E6DB9">
              <w:rPr>
                <w:szCs w:val="22"/>
              </w:rPr>
              <w:t xml:space="preserve">N7 - LT/1/10/2093/049 </w:t>
            </w:r>
          </w:p>
          <w:p w14:paraId="57A15BCC" w14:textId="77777777" w:rsidR="00DE3708" w:rsidRPr="001E6DB9" w:rsidRDefault="00DE3708" w:rsidP="00307CD6">
            <w:pPr>
              <w:spacing w:line="240" w:lineRule="auto"/>
              <w:contextualSpacing/>
              <w:rPr>
                <w:szCs w:val="22"/>
              </w:rPr>
            </w:pPr>
            <w:r w:rsidRPr="001E6DB9">
              <w:rPr>
                <w:szCs w:val="22"/>
              </w:rPr>
              <w:t xml:space="preserve">N10 - LT/1/10/2093/050 </w:t>
            </w:r>
          </w:p>
          <w:p w14:paraId="644B7ACC" w14:textId="77777777" w:rsidR="00DE3708" w:rsidRPr="001E6DB9" w:rsidRDefault="00DE3708" w:rsidP="00307CD6">
            <w:pPr>
              <w:spacing w:line="240" w:lineRule="auto"/>
              <w:contextualSpacing/>
              <w:rPr>
                <w:szCs w:val="22"/>
              </w:rPr>
            </w:pPr>
            <w:r w:rsidRPr="001E6DB9">
              <w:rPr>
                <w:szCs w:val="22"/>
              </w:rPr>
              <w:t xml:space="preserve">N14 - LT/1/10/2093/051 </w:t>
            </w:r>
          </w:p>
          <w:p w14:paraId="3EB2CE35" w14:textId="77777777" w:rsidR="00DE3708" w:rsidRPr="001E6DB9" w:rsidRDefault="00DE3708" w:rsidP="00307CD6">
            <w:pPr>
              <w:spacing w:line="240" w:lineRule="auto"/>
              <w:contextualSpacing/>
              <w:rPr>
                <w:szCs w:val="22"/>
              </w:rPr>
            </w:pPr>
            <w:r w:rsidRPr="001E6DB9">
              <w:rPr>
                <w:szCs w:val="22"/>
              </w:rPr>
              <w:t xml:space="preserve">N15 - LT/1/10/2093/052 </w:t>
            </w:r>
          </w:p>
          <w:p w14:paraId="6C9DA8E2" w14:textId="77777777" w:rsidR="00DE3708" w:rsidRPr="001E6DB9" w:rsidRDefault="00DE3708" w:rsidP="00307CD6">
            <w:pPr>
              <w:spacing w:line="240" w:lineRule="auto"/>
              <w:contextualSpacing/>
              <w:rPr>
                <w:szCs w:val="22"/>
              </w:rPr>
            </w:pPr>
            <w:r w:rsidRPr="001E6DB9">
              <w:rPr>
                <w:szCs w:val="22"/>
              </w:rPr>
              <w:t xml:space="preserve">N20 - LT/1/10/2093/053 </w:t>
            </w:r>
          </w:p>
          <w:p w14:paraId="7764D9F0" w14:textId="77777777" w:rsidR="00DE3708" w:rsidRPr="001E6DB9" w:rsidRDefault="00DE3708" w:rsidP="00307CD6">
            <w:pPr>
              <w:spacing w:line="240" w:lineRule="auto"/>
              <w:contextualSpacing/>
              <w:rPr>
                <w:szCs w:val="22"/>
              </w:rPr>
            </w:pPr>
            <w:r w:rsidRPr="001E6DB9">
              <w:rPr>
                <w:szCs w:val="22"/>
              </w:rPr>
              <w:t xml:space="preserve">N28 - LT/1/10/2093/054 </w:t>
            </w:r>
          </w:p>
          <w:p w14:paraId="7309C57E" w14:textId="77777777" w:rsidR="00DE3708" w:rsidRPr="001E6DB9" w:rsidRDefault="00DE3708" w:rsidP="00307CD6">
            <w:pPr>
              <w:spacing w:line="240" w:lineRule="auto"/>
              <w:contextualSpacing/>
              <w:rPr>
                <w:szCs w:val="22"/>
              </w:rPr>
            </w:pPr>
            <w:r w:rsidRPr="001E6DB9">
              <w:rPr>
                <w:szCs w:val="22"/>
              </w:rPr>
              <w:t xml:space="preserve">N30 - LT/1/10/2093/055 </w:t>
            </w:r>
          </w:p>
          <w:p w14:paraId="58EA75F9" w14:textId="77777777" w:rsidR="00DE3708" w:rsidRPr="001E6DB9" w:rsidRDefault="00DE3708" w:rsidP="00307CD6">
            <w:pPr>
              <w:spacing w:line="240" w:lineRule="auto"/>
              <w:contextualSpacing/>
              <w:rPr>
                <w:szCs w:val="22"/>
              </w:rPr>
            </w:pPr>
            <w:r w:rsidRPr="001E6DB9">
              <w:rPr>
                <w:szCs w:val="22"/>
              </w:rPr>
              <w:t xml:space="preserve">N50 - LT/1/10/2093/056 </w:t>
            </w:r>
          </w:p>
          <w:p w14:paraId="35BCAD65" w14:textId="77777777" w:rsidR="00DE3708" w:rsidRPr="001E6DB9" w:rsidRDefault="00DE3708" w:rsidP="00307CD6">
            <w:pPr>
              <w:spacing w:line="240" w:lineRule="auto"/>
              <w:contextualSpacing/>
              <w:rPr>
                <w:szCs w:val="22"/>
              </w:rPr>
            </w:pPr>
            <w:r w:rsidRPr="001E6DB9">
              <w:rPr>
                <w:szCs w:val="22"/>
              </w:rPr>
              <w:t xml:space="preserve">N50x1 - LT/1/10/2093/057 </w:t>
            </w:r>
          </w:p>
          <w:p w14:paraId="2254D0AA" w14:textId="77777777" w:rsidR="00DE3708" w:rsidRPr="001E6DB9" w:rsidRDefault="00DE3708" w:rsidP="00307CD6">
            <w:pPr>
              <w:spacing w:line="240" w:lineRule="auto"/>
              <w:contextualSpacing/>
              <w:rPr>
                <w:szCs w:val="22"/>
              </w:rPr>
            </w:pPr>
            <w:r w:rsidRPr="001E6DB9">
              <w:rPr>
                <w:szCs w:val="22"/>
              </w:rPr>
              <w:t>N56 - LT/1/10/2093/058</w:t>
            </w:r>
          </w:p>
          <w:p w14:paraId="2AD5BC7C" w14:textId="77777777" w:rsidR="00DE3708" w:rsidRPr="001E6DB9" w:rsidRDefault="00DE3708" w:rsidP="00307CD6">
            <w:pPr>
              <w:spacing w:line="240" w:lineRule="auto"/>
              <w:contextualSpacing/>
              <w:rPr>
                <w:szCs w:val="22"/>
              </w:rPr>
            </w:pPr>
            <w:r w:rsidRPr="001E6DB9">
              <w:rPr>
                <w:szCs w:val="22"/>
              </w:rPr>
              <w:t xml:space="preserve">N60 - LT/1/10/2093/059 </w:t>
            </w:r>
          </w:p>
          <w:p w14:paraId="64ACB9C3" w14:textId="77777777" w:rsidR="00DE3708" w:rsidRPr="001E6DB9" w:rsidRDefault="00DE3708" w:rsidP="00307CD6">
            <w:pPr>
              <w:spacing w:line="240" w:lineRule="auto"/>
              <w:contextualSpacing/>
              <w:rPr>
                <w:szCs w:val="22"/>
              </w:rPr>
            </w:pPr>
            <w:r w:rsidRPr="001E6DB9">
              <w:rPr>
                <w:szCs w:val="22"/>
              </w:rPr>
              <w:t xml:space="preserve">N84 - LT/1/10/2093/060 </w:t>
            </w:r>
          </w:p>
          <w:p w14:paraId="515F4A13" w14:textId="77777777" w:rsidR="00DE3708" w:rsidRPr="001E6DB9" w:rsidRDefault="00DE3708" w:rsidP="00307CD6">
            <w:pPr>
              <w:spacing w:line="240" w:lineRule="auto"/>
              <w:contextualSpacing/>
              <w:rPr>
                <w:szCs w:val="22"/>
              </w:rPr>
            </w:pPr>
            <w:r w:rsidRPr="001E6DB9">
              <w:rPr>
                <w:szCs w:val="22"/>
              </w:rPr>
              <w:t xml:space="preserve">N90 - LT/1/10/2093/061 </w:t>
            </w:r>
          </w:p>
          <w:p w14:paraId="4FA9ABBE" w14:textId="77777777" w:rsidR="00DE3708" w:rsidRPr="001E6DB9" w:rsidRDefault="00DE3708" w:rsidP="00307CD6">
            <w:pPr>
              <w:spacing w:line="240" w:lineRule="auto"/>
              <w:contextualSpacing/>
              <w:rPr>
                <w:szCs w:val="22"/>
              </w:rPr>
            </w:pPr>
            <w:r w:rsidRPr="001E6DB9">
              <w:rPr>
                <w:szCs w:val="22"/>
              </w:rPr>
              <w:t xml:space="preserve">N98 - LT/1/10/2093/062 </w:t>
            </w:r>
          </w:p>
          <w:p w14:paraId="3B2E86FE" w14:textId="77777777" w:rsidR="00DE3708" w:rsidRPr="001E6DB9" w:rsidRDefault="00DE3708" w:rsidP="00307CD6">
            <w:pPr>
              <w:spacing w:line="240" w:lineRule="auto"/>
              <w:contextualSpacing/>
              <w:rPr>
                <w:szCs w:val="22"/>
              </w:rPr>
            </w:pPr>
            <w:r w:rsidRPr="001E6DB9">
              <w:rPr>
                <w:szCs w:val="22"/>
              </w:rPr>
              <w:t xml:space="preserve">N100 - LT/1/10/2093/063 </w:t>
            </w:r>
          </w:p>
          <w:p w14:paraId="02FD987E" w14:textId="77777777" w:rsidR="00DE3708" w:rsidRPr="001E6DB9" w:rsidRDefault="00DE3708" w:rsidP="00307CD6">
            <w:pPr>
              <w:spacing w:line="240" w:lineRule="auto"/>
              <w:contextualSpacing/>
              <w:rPr>
                <w:szCs w:val="22"/>
              </w:rPr>
            </w:pPr>
            <w:r w:rsidRPr="001E6DB9">
              <w:rPr>
                <w:szCs w:val="22"/>
              </w:rPr>
              <w:t xml:space="preserve">N280 - LT/1/10/2093/064 </w:t>
            </w:r>
          </w:p>
        </w:tc>
      </w:tr>
    </w:tbl>
    <w:p w14:paraId="1E41761A" w14:textId="77777777" w:rsidR="00DE3708" w:rsidRPr="001E6DB9" w:rsidRDefault="00DE3708" w:rsidP="00307CD6">
      <w:pPr>
        <w:spacing w:line="240" w:lineRule="auto"/>
        <w:contextualSpacing/>
        <w:rPr>
          <w:szCs w:val="22"/>
        </w:rPr>
      </w:pPr>
    </w:p>
    <w:p w14:paraId="505C842F" w14:textId="77777777" w:rsidR="00DE3708" w:rsidRPr="001E6DB9" w:rsidRDefault="00DE3708" w:rsidP="00307CD6">
      <w:pPr>
        <w:spacing w:line="240" w:lineRule="auto"/>
        <w:contextualSpacing/>
        <w:rPr>
          <w:b/>
          <w:szCs w:val="22"/>
        </w:rPr>
      </w:pPr>
    </w:p>
    <w:p w14:paraId="0847D685" w14:textId="77777777" w:rsidR="00DE3708" w:rsidRPr="001E6DB9" w:rsidRDefault="00DE3708" w:rsidP="00307CD6">
      <w:pPr>
        <w:spacing w:line="240" w:lineRule="auto"/>
        <w:contextualSpacing/>
        <w:rPr>
          <w:b/>
          <w:szCs w:val="22"/>
        </w:rPr>
      </w:pPr>
      <w:r w:rsidRPr="001E6DB9">
        <w:rPr>
          <w:b/>
          <w:szCs w:val="22"/>
        </w:rPr>
        <w:t>9.</w:t>
      </w:r>
      <w:r w:rsidRPr="001E6DB9">
        <w:rPr>
          <w:b/>
          <w:szCs w:val="22"/>
        </w:rPr>
        <w:tab/>
        <w:t>REGISTRAVIMO / PERREGISTRAVIMO DATA</w:t>
      </w:r>
    </w:p>
    <w:p w14:paraId="46FD5ED1" w14:textId="77777777" w:rsidR="00DE3708" w:rsidRPr="001E6DB9" w:rsidRDefault="00DE3708" w:rsidP="00307CD6">
      <w:pPr>
        <w:spacing w:line="240" w:lineRule="auto"/>
        <w:contextualSpacing/>
        <w:rPr>
          <w:szCs w:val="22"/>
        </w:rPr>
      </w:pPr>
    </w:p>
    <w:p w14:paraId="012B621A" w14:textId="77777777" w:rsidR="00DE3708" w:rsidRPr="00617EBE" w:rsidRDefault="00DE3708" w:rsidP="00307CD6">
      <w:pPr>
        <w:spacing w:line="240" w:lineRule="auto"/>
        <w:contextualSpacing/>
        <w:rPr>
          <w:szCs w:val="22"/>
        </w:rPr>
      </w:pPr>
      <w:r w:rsidRPr="001E6DB9">
        <w:rPr>
          <w:szCs w:val="22"/>
        </w:rPr>
        <w:t>Registravimo data 2010</w:t>
      </w:r>
      <w:r w:rsidR="00617EBE">
        <w:rPr>
          <w:szCs w:val="22"/>
        </w:rPr>
        <w:t> </w:t>
      </w:r>
      <w:r w:rsidRPr="00617EBE">
        <w:rPr>
          <w:szCs w:val="22"/>
        </w:rPr>
        <w:t>m. liepos 15</w:t>
      </w:r>
      <w:r w:rsidR="00617EBE">
        <w:rPr>
          <w:szCs w:val="22"/>
        </w:rPr>
        <w:t> </w:t>
      </w:r>
      <w:r w:rsidRPr="00617EBE">
        <w:rPr>
          <w:szCs w:val="22"/>
        </w:rPr>
        <w:t>d.</w:t>
      </w:r>
    </w:p>
    <w:p w14:paraId="785F41AE" w14:textId="77777777" w:rsidR="00DE3708" w:rsidRPr="00617EBE" w:rsidRDefault="00DE3708" w:rsidP="00307CD6">
      <w:pPr>
        <w:spacing w:line="240" w:lineRule="auto"/>
        <w:contextualSpacing/>
        <w:rPr>
          <w:szCs w:val="24"/>
        </w:rPr>
      </w:pPr>
      <w:r w:rsidRPr="00617EBE">
        <w:rPr>
          <w:noProof/>
          <w:szCs w:val="22"/>
        </w:rPr>
        <w:t xml:space="preserve">Paskutinio </w:t>
      </w:r>
      <w:r w:rsidRPr="00617EBE">
        <w:rPr>
          <w:noProof/>
          <w:szCs w:val="24"/>
        </w:rPr>
        <w:t>perregistravimo data 2016</w:t>
      </w:r>
      <w:r w:rsidR="00617EBE">
        <w:rPr>
          <w:noProof/>
          <w:szCs w:val="24"/>
        </w:rPr>
        <w:t> </w:t>
      </w:r>
      <w:r w:rsidRPr="00617EBE">
        <w:rPr>
          <w:noProof/>
          <w:szCs w:val="24"/>
        </w:rPr>
        <w:t>m. lapkričio 10</w:t>
      </w:r>
      <w:r w:rsidR="00617EBE">
        <w:rPr>
          <w:noProof/>
          <w:szCs w:val="24"/>
        </w:rPr>
        <w:t> </w:t>
      </w:r>
      <w:r w:rsidRPr="00617EBE">
        <w:rPr>
          <w:noProof/>
          <w:szCs w:val="24"/>
        </w:rPr>
        <w:t>d.</w:t>
      </w:r>
    </w:p>
    <w:p w14:paraId="79679FED" w14:textId="77777777" w:rsidR="00DE3708" w:rsidRPr="00307CD6" w:rsidRDefault="00DE3708" w:rsidP="00307CD6">
      <w:pPr>
        <w:spacing w:line="240" w:lineRule="auto"/>
        <w:contextualSpacing/>
        <w:rPr>
          <w:szCs w:val="22"/>
        </w:rPr>
      </w:pPr>
    </w:p>
    <w:p w14:paraId="176F4C3F" w14:textId="77777777" w:rsidR="00DE3708" w:rsidRPr="00307CD6" w:rsidRDefault="00DE3708" w:rsidP="00307CD6">
      <w:pPr>
        <w:spacing w:line="240" w:lineRule="auto"/>
        <w:contextualSpacing/>
        <w:rPr>
          <w:szCs w:val="22"/>
        </w:rPr>
      </w:pPr>
    </w:p>
    <w:p w14:paraId="23CCDE30" w14:textId="77777777" w:rsidR="00DE3708" w:rsidRPr="007F15BA" w:rsidRDefault="00DE3708" w:rsidP="00307CD6">
      <w:pPr>
        <w:spacing w:line="240" w:lineRule="auto"/>
        <w:contextualSpacing/>
        <w:rPr>
          <w:b/>
          <w:szCs w:val="22"/>
        </w:rPr>
      </w:pPr>
      <w:r w:rsidRPr="007F15BA">
        <w:rPr>
          <w:b/>
          <w:szCs w:val="22"/>
        </w:rPr>
        <w:t>10.</w:t>
      </w:r>
      <w:r w:rsidRPr="007F15BA">
        <w:rPr>
          <w:b/>
          <w:szCs w:val="22"/>
        </w:rPr>
        <w:tab/>
        <w:t>TEKSTO PERŽIŪROS DATA</w:t>
      </w:r>
    </w:p>
    <w:p w14:paraId="05748DFD" w14:textId="77777777" w:rsidR="00DE3708" w:rsidRPr="007F15BA" w:rsidRDefault="00DE3708" w:rsidP="00307CD6">
      <w:pPr>
        <w:spacing w:line="240" w:lineRule="auto"/>
        <w:contextualSpacing/>
        <w:rPr>
          <w:b/>
          <w:szCs w:val="22"/>
        </w:rPr>
      </w:pPr>
    </w:p>
    <w:p w14:paraId="08C1561F" w14:textId="35095B43" w:rsidR="0067679C" w:rsidRDefault="005D7FC3" w:rsidP="00307CD6">
      <w:pPr>
        <w:spacing w:line="240" w:lineRule="auto"/>
        <w:contextualSpacing/>
        <w:rPr>
          <w:noProof/>
          <w:szCs w:val="24"/>
        </w:rPr>
      </w:pPr>
      <w:r>
        <w:rPr>
          <w:noProof/>
          <w:szCs w:val="24"/>
        </w:rPr>
        <w:t>2026</w:t>
      </w:r>
      <w:r w:rsidR="00323657">
        <w:rPr>
          <w:noProof/>
          <w:szCs w:val="24"/>
        </w:rPr>
        <w:t> </w:t>
      </w:r>
      <w:r w:rsidR="00323657" w:rsidRPr="00323657">
        <w:rPr>
          <w:noProof/>
          <w:szCs w:val="24"/>
        </w:rPr>
        <w:t xml:space="preserve">m. </w:t>
      </w:r>
      <w:r>
        <w:rPr>
          <w:noProof/>
          <w:szCs w:val="24"/>
        </w:rPr>
        <w:t>sausio</w:t>
      </w:r>
      <w:r w:rsidR="00323657" w:rsidRPr="00323657">
        <w:rPr>
          <w:noProof/>
          <w:szCs w:val="24"/>
        </w:rPr>
        <w:t xml:space="preserve"> </w:t>
      </w:r>
      <w:r>
        <w:rPr>
          <w:noProof/>
          <w:szCs w:val="24"/>
        </w:rPr>
        <w:t>15</w:t>
      </w:r>
      <w:r w:rsidR="00323657">
        <w:rPr>
          <w:noProof/>
          <w:szCs w:val="24"/>
        </w:rPr>
        <w:t> </w:t>
      </w:r>
      <w:r w:rsidR="00323657" w:rsidRPr="00323657">
        <w:rPr>
          <w:noProof/>
          <w:szCs w:val="24"/>
        </w:rPr>
        <w:t>d.</w:t>
      </w:r>
    </w:p>
    <w:p w14:paraId="02051196" w14:textId="77777777" w:rsidR="00E21427" w:rsidRPr="00D36517" w:rsidRDefault="00E21427" w:rsidP="00307CD6">
      <w:pPr>
        <w:spacing w:line="240" w:lineRule="auto"/>
        <w:contextualSpacing/>
        <w:rPr>
          <w:szCs w:val="22"/>
        </w:rPr>
      </w:pPr>
    </w:p>
    <w:p w14:paraId="7C119A7B" w14:textId="7B700BF8" w:rsidR="00DE3708" w:rsidRPr="00F50D13" w:rsidRDefault="00DE3708" w:rsidP="00307CD6">
      <w:pPr>
        <w:spacing w:line="240" w:lineRule="auto"/>
        <w:contextualSpacing/>
      </w:pPr>
      <w:r w:rsidRPr="00D36517">
        <w:rPr>
          <w:szCs w:val="22"/>
        </w:rPr>
        <w:t xml:space="preserve">Išsami informacija apie šį vaistinį preparatą pateikiama Valstybinės vaistų kontrolės tarnybos prie Lietuvos Respublikos sveikatos apsaugos ministerijos tinklalapyje </w:t>
      </w:r>
      <w:r w:rsidR="00212F3B" w:rsidRPr="00CE4A05">
        <w:t>https://vvkt.lrv.lt/lt/</w:t>
      </w:r>
      <w:r w:rsidR="00212F3B">
        <w:t>.</w:t>
      </w:r>
      <w:r w:rsidRPr="00F50D13">
        <w:br w:type="page"/>
      </w:r>
    </w:p>
    <w:p w14:paraId="4A605BDE" w14:textId="77777777" w:rsidR="00DE3708" w:rsidRPr="00F50D13" w:rsidRDefault="00DE3708" w:rsidP="00307CD6">
      <w:pPr>
        <w:pStyle w:val="TTEMEASMCA"/>
        <w:contextualSpacing/>
        <w:rPr>
          <w:b w:val="0"/>
          <w:caps w:val="0"/>
        </w:rPr>
      </w:pPr>
    </w:p>
    <w:p w14:paraId="6DB11ECD" w14:textId="77777777" w:rsidR="00DE3708" w:rsidRPr="00F50D13" w:rsidRDefault="00DE3708" w:rsidP="00307CD6">
      <w:pPr>
        <w:pStyle w:val="TTEMEASMCA"/>
        <w:contextualSpacing/>
      </w:pPr>
    </w:p>
    <w:p w14:paraId="3EF77F6E" w14:textId="77777777" w:rsidR="00DE3708" w:rsidRPr="00F91FD7" w:rsidRDefault="00DE3708" w:rsidP="00307CD6">
      <w:pPr>
        <w:pStyle w:val="TTEMEASMCA"/>
        <w:contextualSpacing/>
      </w:pPr>
    </w:p>
    <w:p w14:paraId="37E07A99" w14:textId="77777777" w:rsidR="00DE3708" w:rsidRPr="00F91FD7" w:rsidRDefault="00DE3708" w:rsidP="00307CD6">
      <w:pPr>
        <w:pStyle w:val="TTEMEASMCA"/>
        <w:contextualSpacing/>
      </w:pPr>
    </w:p>
    <w:p w14:paraId="39CC1F0B" w14:textId="77777777" w:rsidR="00DE3708" w:rsidRPr="0078402A" w:rsidRDefault="00DE3708" w:rsidP="00307CD6">
      <w:pPr>
        <w:pStyle w:val="TTEMEASMCA"/>
        <w:contextualSpacing/>
      </w:pPr>
    </w:p>
    <w:p w14:paraId="66CFAC34" w14:textId="77777777" w:rsidR="00DE3708" w:rsidRPr="00307CD6" w:rsidRDefault="00DE3708" w:rsidP="00307CD6">
      <w:pPr>
        <w:pStyle w:val="TTEMEASMCA"/>
        <w:contextualSpacing/>
      </w:pPr>
    </w:p>
    <w:p w14:paraId="480E4478" w14:textId="77777777" w:rsidR="00DE3708" w:rsidRPr="00307CD6" w:rsidRDefault="00DE3708" w:rsidP="00307CD6">
      <w:pPr>
        <w:pStyle w:val="TTEMEASMCA"/>
        <w:contextualSpacing/>
      </w:pPr>
    </w:p>
    <w:p w14:paraId="666599EA" w14:textId="77777777" w:rsidR="00DE3708" w:rsidRPr="007F15BA" w:rsidRDefault="00DE3708" w:rsidP="00307CD6">
      <w:pPr>
        <w:pStyle w:val="TTEMEASMCA"/>
        <w:contextualSpacing/>
      </w:pPr>
    </w:p>
    <w:p w14:paraId="62CE9C8B" w14:textId="77777777" w:rsidR="00DE3708" w:rsidRPr="007F15BA" w:rsidRDefault="00DE3708" w:rsidP="00307CD6">
      <w:pPr>
        <w:pStyle w:val="TTEMEASMCA"/>
        <w:contextualSpacing/>
      </w:pPr>
    </w:p>
    <w:p w14:paraId="2B5867F9" w14:textId="77777777" w:rsidR="00DE3708" w:rsidRPr="00D36517" w:rsidRDefault="00DE3708" w:rsidP="00307CD6">
      <w:pPr>
        <w:pStyle w:val="TTEMEASMCA"/>
        <w:contextualSpacing/>
      </w:pPr>
    </w:p>
    <w:p w14:paraId="79998F60" w14:textId="77777777" w:rsidR="00DE3708" w:rsidRPr="00D36517" w:rsidRDefault="00DE3708" w:rsidP="00307CD6">
      <w:pPr>
        <w:pStyle w:val="TTEMEASMCA"/>
        <w:contextualSpacing/>
      </w:pPr>
    </w:p>
    <w:p w14:paraId="131E4080" w14:textId="77777777" w:rsidR="00DE3708" w:rsidRPr="009F455C" w:rsidRDefault="00DE3708" w:rsidP="00307CD6">
      <w:pPr>
        <w:pStyle w:val="TTEMEASMCA"/>
        <w:contextualSpacing/>
      </w:pPr>
    </w:p>
    <w:p w14:paraId="0A9D3443" w14:textId="77777777" w:rsidR="00DE3708" w:rsidRPr="009F455C" w:rsidRDefault="00DE3708" w:rsidP="00307CD6">
      <w:pPr>
        <w:pStyle w:val="TTEMEASMCA"/>
        <w:contextualSpacing/>
      </w:pPr>
    </w:p>
    <w:p w14:paraId="4BEAA5F0" w14:textId="77777777" w:rsidR="00DE3708" w:rsidRPr="00FB60E5" w:rsidRDefault="00DE3708" w:rsidP="00307CD6">
      <w:pPr>
        <w:pStyle w:val="TTEMEASMCA"/>
        <w:contextualSpacing/>
      </w:pPr>
    </w:p>
    <w:p w14:paraId="03ECB97D" w14:textId="77777777" w:rsidR="00DE3708" w:rsidRPr="00FB60E5" w:rsidRDefault="00DE3708" w:rsidP="00307CD6">
      <w:pPr>
        <w:pStyle w:val="TTEMEASMCA"/>
        <w:contextualSpacing/>
      </w:pPr>
    </w:p>
    <w:p w14:paraId="2B94A6F6" w14:textId="77777777" w:rsidR="00DE3708" w:rsidRPr="001765A8" w:rsidRDefault="00DE3708" w:rsidP="00307CD6">
      <w:pPr>
        <w:pStyle w:val="TTEMEASMCA"/>
        <w:contextualSpacing/>
      </w:pPr>
    </w:p>
    <w:p w14:paraId="00D5E7D7" w14:textId="77777777" w:rsidR="00DE3708" w:rsidRPr="001E6DB9" w:rsidRDefault="00DE3708" w:rsidP="00307CD6">
      <w:pPr>
        <w:pStyle w:val="TTEMEASMCA"/>
        <w:contextualSpacing/>
      </w:pPr>
    </w:p>
    <w:p w14:paraId="292BC6A0" w14:textId="77777777" w:rsidR="00DE3708" w:rsidRPr="001E6DB9" w:rsidRDefault="00DE3708" w:rsidP="00307CD6">
      <w:pPr>
        <w:pStyle w:val="TTEMEASMCA"/>
        <w:contextualSpacing/>
      </w:pPr>
    </w:p>
    <w:p w14:paraId="0F6F9F5A" w14:textId="77777777" w:rsidR="00DE3708" w:rsidRPr="001E6DB9" w:rsidRDefault="00DE3708" w:rsidP="00307CD6">
      <w:pPr>
        <w:pStyle w:val="TTEMEASMCA"/>
        <w:contextualSpacing/>
      </w:pPr>
    </w:p>
    <w:p w14:paraId="4840F9A7" w14:textId="77777777" w:rsidR="00DE3708" w:rsidRPr="001E6DB9" w:rsidRDefault="00DE3708" w:rsidP="00307CD6">
      <w:pPr>
        <w:pStyle w:val="TTEMEASMCA"/>
        <w:contextualSpacing/>
        <w:jc w:val="left"/>
      </w:pPr>
    </w:p>
    <w:p w14:paraId="7FB65577" w14:textId="77777777" w:rsidR="00DE3708" w:rsidRPr="001E6DB9" w:rsidRDefault="00DE3708" w:rsidP="00307CD6">
      <w:pPr>
        <w:pStyle w:val="TTEMEASMCA"/>
        <w:contextualSpacing/>
        <w:jc w:val="left"/>
      </w:pPr>
    </w:p>
    <w:p w14:paraId="10F9BE01" w14:textId="77777777" w:rsidR="00DE3708" w:rsidRPr="001E6DB9" w:rsidRDefault="00DE3708" w:rsidP="00307CD6">
      <w:pPr>
        <w:pStyle w:val="TTEMEASMCA"/>
        <w:contextualSpacing/>
      </w:pPr>
    </w:p>
    <w:p w14:paraId="57FAE4EF" w14:textId="77777777" w:rsidR="00DE3708" w:rsidRPr="001E6DB9" w:rsidRDefault="00DE3708" w:rsidP="00307CD6">
      <w:pPr>
        <w:pStyle w:val="TTEMEASMCA"/>
        <w:contextualSpacing/>
      </w:pPr>
    </w:p>
    <w:p w14:paraId="4F2D83FC" w14:textId="77777777" w:rsidR="00DE3708" w:rsidRPr="001E6DB9" w:rsidRDefault="00DE3708" w:rsidP="00307CD6">
      <w:pPr>
        <w:pStyle w:val="TTEMEASMCA"/>
        <w:contextualSpacing/>
      </w:pPr>
      <w:r w:rsidRPr="001E6DB9">
        <w:t>II PRIEDAS</w:t>
      </w:r>
    </w:p>
    <w:p w14:paraId="202D2840" w14:textId="77777777" w:rsidR="00DE3708" w:rsidRPr="001E6DB9" w:rsidRDefault="00DE3708" w:rsidP="00307CD6">
      <w:pPr>
        <w:pStyle w:val="TTEMEASMCA"/>
        <w:contextualSpacing/>
      </w:pPr>
    </w:p>
    <w:p w14:paraId="7F6DE095" w14:textId="77777777" w:rsidR="00DE3708" w:rsidRPr="001E6DB9" w:rsidRDefault="00DE3708" w:rsidP="00307CD6">
      <w:pPr>
        <w:pStyle w:val="TTEMEASMCA"/>
        <w:contextualSpacing/>
      </w:pPr>
      <w:r w:rsidRPr="001E6DB9">
        <w:t>REGISTRACIJOS SĄLYGOS</w:t>
      </w:r>
    </w:p>
    <w:p w14:paraId="354DC351" w14:textId="77777777" w:rsidR="00DE3708" w:rsidRPr="001E6DB9" w:rsidRDefault="00DE3708" w:rsidP="001E6DB9">
      <w:pPr>
        <w:pStyle w:val="BTEMEASMCA"/>
        <w:contextualSpacing/>
        <w:rPr>
          <w:highlight w:val="yellow"/>
        </w:rPr>
      </w:pPr>
    </w:p>
    <w:p w14:paraId="034AD8C4" w14:textId="77777777" w:rsidR="00DE3708" w:rsidRPr="001E6DB9" w:rsidRDefault="00DE3708" w:rsidP="00307CD6">
      <w:pPr>
        <w:pStyle w:val="BTAnIIEMEASMCA"/>
        <w:tabs>
          <w:tab w:val="left" w:pos="567"/>
        </w:tabs>
        <w:contextualSpacing/>
        <w:rPr>
          <w:rFonts w:cs="Times New Roman"/>
          <w:highlight w:val="yellow"/>
          <w:lang w:val="lt-LT"/>
        </w:rPr>
      </w:pPr>
      <w:r w:rsidRPr="001E6DB9">
        <w:rPr>
          <w:rFonts w:cs="Times New Roman"/>
          <w:lang w:val="lt-LT"/>
        </w:rPr>
        <w:t>A.</w:t>
      </w:r>
      <w:r w:rsidRPr="001E6DB9">
        <w:rPr>
          <w:rFonts w:cs="Times New Roman"/>
          <w:lang w:val="lt-LT"/>
        </w:rPr>
        <w:tab/>
        <w:t>GAMINTOJAS (-AI), ATSAKINGAS (-I) UŽ SERIJŲ IŠLEIDIMĄ</w:t>
      </w:r>
    </w:p>
    <w:p w14:paraId="696A7E9D" w14:textId="77777777" w:rsidR="00DE3708" w:rsidRPr="001E6DB9" w:rsidRDefault="00DE3708" w:rsidP="001E6DB9">
      <w:pPr>
        <w:pStyle w:val="BTEMEASMCA"/>
        <w:contextualSpacing/>
        <w:rPr>
          <w:highlight w:val="yellow"/>
        </w:rPr>
      </w:pPr>
    </w:p>
    <w:p w14:paraId="35883BB5" w14:textId="77777777" w:rsidR="00DE3708" w:rsidRPr="001E6DB9" w:rsidRDefault="00DE3708" w:rsidP="00307CD6">
      <w:pPr>
        <w:pStyle w:val="BTAnIIEMEASMCA"/>
        <w:tabs>
          <w:tab w:val="left" w:pos="567"/>
        </w:tabs>
        <w:contextualSpacing/>
        <w:rPr>
          <w:rFonts w:cs="Times New Roman"/>
          <w:lang w:val="lt-LT"/>
        </w:rPr>
      </w:pPr>
      <w:r w:rsidRPr="001E6DB9">
        <w:rPr>
          <w:rFonts w:cs="Times New Roman"/>
          <w:lang w:val="lt-LT"/>
        </w:rPr>
        <w:t>B.</w:t>
      </w:r>
      <w:r w:rsidRPr="001E6DB9">
        <w:rPr>
          <w:rFonts w:cs="Times New Roman"/>
          <w:lang w:val="lt-LT"/>
        </w:rPr>
        <w:tab/>
        <w:t>TIEKIMO IR VARTOJIMO SĄLYGOS AR APRIBOJIMAI</w:t>
      </w:r>
    </w:p>
    <w:p w14:paraId="46676419" w14:textId="77777777" w:rsidR="00DE3708" w:rsidRPr="001E6DB9" w:rsidRDefault="00DE3708" w:rsidP="00307CD6">
      <w:pPr>
        <w:pStyle w:val="Pagrindinistekstas"/>
        <w:tabs>
          <w:tab w:val="left" w:pos="567"/>
        </w:tabs>
        <w:contextualSpacing/>
        <w:rPr>
          <w:b/>
          <w:i w:val="0"/>
          <w:color w:val="auto"/>
          <w:szCs w:val="22"/>
        </w:rPr>
      </w:pPr>
      <w:r w:rsidRPr="001E6DB9">
        <w:rPr>
          <w:color w:val="auto"/>
          <w:szCs w:val="22"/>
        </w:rPr>
        <w:br w:type="page"/>
      </w:r>
      <w:r w:rsidRPr="001E6DB9">
        <w:rPr>
          <w:b/>
          <w:i w:val="0"/>
          <w:color w:val="auto"/>
          <w:szCs w:val="22"/>
        </w:rPr>
        <w:lastRenderedPageBreak/>
        <w:t xml:space="preserve">A. </w:t>
      </w:r>
      <w:r w:rsidRPr="001E6DB9">
        <w:rPr>
          <w:b/>
          <w:i w:val="0"/>
          <w:color w:val="auto"/>
          <w:szCs w:val="22"/>
        </w:rPr>
        <w:tab/>
      </w:r>
      <w:r w:rsidRPr="001E6DB9">
        <w:rPr>
          <w:b/>
          <w:i w:val="0"/>
          <w:snapToGrid w:val="0"/>
          <w:color w:val="auto"/>
        </w:rPr>
        <w:t>GAMINTOJAS (-AI), ATSAKINGAS (-I) UŽ SERIJŲ IŠLEIDIMĄ</w:t>
      </w:r>
    </w:p>
    <w:p w14:paraId="0777E8A7" w14:textId="77777777" w:rsidR="00DE3708" w:rsidRPr="001E6DB9" w:rsidRDefault="00DE3708" w:rsidP="00307CD6">
      <w:pPr>
        <w:pStyle w:val="Pagrindinistekstas"/>
        <w:tabs>
          <w:tab w:val="left" w:pos="567"/>
        </w:tabs>
        <w:contextualSpacing/>
        <w:rPr>
          <w:i w:val="0"/>
          <w:color w:val="auto"/>
          <w:szCs w:val="22"/>
        </w:rPr>
      </w:pPr>
    </w:p>
    <w:p w14:paraId="1E2512C8" w14:textId="77777777" w:rsidR="00DE3708" w:rsidRPr="00F50D13" w:rsidRDefault="00DE3708" w:rsidP="00307CD6">
      <w:pPr>
        <w:spacing w:line="240" w:lineRule="auto"/>
        <w:contextualSpacing/>
        <w:jc w:val="both"/>
        <w:rPr>
          <w:snapToGrid w:val="0"/>
          <w:szCs w:val="24"/>
        </w:rPr>
      </w:pPr>
      <w:r w:rsidRPr="00F50D13">
        <w:rPr>
          <w:noProof/>
          <w:snapToGrid w:val="0"/>
          <w:szCs w:val="24"/>
          <w:u w:val="single"/>
        </w:rPr>
        <w:t>Gamintojo (-ų), atsakingo (-ų) už serijų išleidimą, pavadinimas (-ai) ir adresas (-ai)</w:t>
      </w:r>
    </w:p>
    <w:p w14:paraId="0F4E3A68" w14:textId="77777777" w:rsidR="00DE3708" w:rsidRPr="001E6DB9" w:rsidRDefault="00DE3708" w:rsidP="00307CD6">
      <w:pPr>
        <w:pStyle w:val="Pagrindinistekstas"/>
        <w:tabs>
          <w:tab w:val="left" w:pos="567"/>
        </w:tabs>
        <w:contextualSpacing/>
        <w:rPr>
          <w:color w:val="auto"/>
          <w:szCs w:val="22"/>
        </w:rPr>
      </w:pPr>
    </w:p>
    <w:p w14:paraId="472360A7" w14:textId="77777777" w:rsidR="00DE3708" w:rsidRPr="00F50D13" w:rsidRDefault="00DE3708" w:rsidP="00307CD6">
      <w:pPr>
        <w:tabs>
          <w:tab w:val="left" w:pos="1260"/>
        </w:tabs>
        <w:spacing w:line="240" w:lineRule="auto"/>
        <w:contextualSpacing/>
        <w:rPr>
          <w:szCs w:val="22"/>
        </w:rPr>
      </w:pPr>
      <w:proofErr w:type="spellStart"/>
      <w:r w:rsidRPr="00F50D13">
        <w:rPr>
          <w:szCs w:val="22"/>
        </w:rPr>
        <w:t>Salutas</w:t>
      </w:r>
      <w:proofErr w:type="spellEnd"/>
      <w:r w:rsidRPr="00F50D13">
        <w:rPr>
          <w:szCs w:val="22"/>
        </w:rPr>
        <w:t xml:space="preserve"> Pharma </w:t>
      </w:r>
      <w:proofErr w:type="spellStart"/>
      <w:r w:rsidRPr="00F50D13">
        <w:rPr>
          <w:szCs w:val="22"/>
        </w:rPr>
        <w:t>GmbH</w:t>
      </w:r>
      <w:proofErr w:type="spellEnd"/>
    </w:p>
    <w:p w14:paraId="333FBB57" w14:textId="77777777" w:rsidR="00DE3708" w:rsidRPr="00F50D13" w:rsidRDefault="00DE3708" w:rsidP="00307CD6">
      <w:pPr>
        <w:tabs>
          <w:tab w:val="left" w:pos="1260"/>
        </w:tabs>
        <w:spacing w:line="240" w:lineRule="auto"/>
        <w:contextualSpacing/>
        <w:rPr>
          <w:szCs w:val="22"/>
        </w:rPr>
      </w:pPr>
      <w:proofErr w:type="spellStart"/>
      <w:r w:rsidRPr="00F50D13">
        <w:rPr>
          <w:szCs w:val="22"/>
        </w:rPr>
        <w:t>Otto-von-Guericke-Allee</w:t>
      </w:r>
      <w:proofErr w:type="spellEnd"/>
      <w:r w:rsidRPr="00F50D13">
        <w:rPr>
          <w:szCs w:val="22"/>
        </w:rPr>
        <w:t xml:space="preserve"> 1, 39179 </w:t>
      </w:r>
      <w:proofErr w:type="spellStart"/>
      <w:r w:rsidRPr="00F50D13">
        <w:rPr>
          <w:szCs w:val="22"/>
        </w:rPr>
        <w:t>Barleben</w:t>
      </w:r>
      <w:proofErr w:type="spellEnd"/>
    </w:p>
    <w:p w14:paraId="2F02B5D3" w14:textId="77777777" w:rsidR="00DE3708" w:rsidRPr="00F91FD7" w:rsidRDefault="00DE3708" w:rsidP="00307CD6">
      <w:pPr>
        <w:tabs>
          <w:tab w:val="left" w:pos="1260"/>
        </w:tabs>
        <w:spacing w:line="240" w:lineRule="auto"/>
        <w:contextualSpacing/>
        <w:rPr>
          <w:szCs w:val="22"/>
        </w:rPr>
      </w:pPr>
      <w:r w:rsidRPr="00F91FD7">
        <w:rPr>
          <w:szCs w:val="22"/>
        </w:rPr>
        <w:t>Vokietija</w:t>
      </w:r>
    </w:p>
    <w:p w14:paraId="1606227E" w14:textId="77777777" w:rsidR="00DE3708" w:rsidRPr="00F91FD7" w:rsidRDefault="00DE3708" w:rsidP="00307CD6">
      <w:pPr>
        <w:tabs>
          <w:tab w:val="left" w:pos="1260"/>
        </w:tabs>
        <w:spacing w:line="240" w:lineRule="auto"/>
        <w:contextualSpacing/>
        <w:rPr>
          <w:szCs w:val="22"/>
        </w:rPr>
      </w:pPr>
    </w:p>
    <w:p w14:paraId="0465F027" w14:textId="77777777" w:rsidR="00DE3708" w:rsidRPr="0078402A" w:rsidRDefault="00DE3708" w:rsidP="00307CD6">
      <w:pPr>
        <w:tabs>
          <w:tab w:val="left" w:pos="1260"/>
        </w:tabs>
        <w:spacing w:line="240" w:lineRule="auto"/>
        <w:contextualSpacing/>
        <w:rPr>
          <w:szCs w:val="22"/>
        </w:rPr>
      </w:pPr>
      <w:r w:rsidRPr="0078402A">
        <w:rPr>
          <w:szCs w:val="22"/>
        </w:rPr>
        <w:t>arba</w:t>
      </w:r>
    </w:p>
    <w:p w14:paraId="55BABA5E" w14:textId="77777777" w:rsidR="00DE3708" w:rsidRPr="00307CD6" w:rsidRDefault="00DE3708" w:rsidP="00307CD6">
      <w:pPr>
        <w:tabs>
          <w:tab w:val="left" w:pos="1260"/>
        </w:tabs>
        <w:spacing w:line="240" w:lineRule="auto"/>
        <w:contextualSpacing/>
        <w:rPr>
          <w:szCs w:val="22"/>
        </w:rPr>
      </w:pPr>
    </w:p>
    <w:p w14:paraId="778C9CCF" w14:textId="77777777" w:rsidR="00DE3708" w:rsidRPr="00307CD6" w:rsidRDefault="00DE3708" w:rsidP="00307CD6">
      <w:pPr>
        <w:tabs>
          <w:tab w:val="left" w:pos="1260"/>
        </w:tabs>
        <w:spacing w:line="240" w:lineRule="auto"/>
        <w:contextualSpacing/>
        <w:rPr>
          <w:szCs w:val="22"/>
        </w:rPr>
      </w:pPr>
      <w:proofErr w:type="spellStart"/>
      <w:r w:rsidRPr="00307CD6">
        <w:rPr>
          <w:szCs w:val="22"/>
        </w:rPr>
        <w:t>Lek</w:t>
      </w:r>
      <w:proofErr w:type="spellEnd"/>
      <w:r w:rsidRPr="00307CD6">
        <w:rPr>
          <w:szCs w:val="22"/>
        </w:rPr>
        <w:t xml:space="preserve"> </w:t>
      </w:r>
      <w:proofErr w:type="spellStart"/>
      <w:r w:rsidRPr="00307CD6">
        <w:rPr>
          <w:szCs w:val="22"/>
        </w:rPr>
        <w:t>Pharmaceuticals</w:t>
      </w:r>
      <w:proofErr w:type="spellEnd"/>
      <w:r w:rsidRPr="00307CD6">
        <w:rPr>
          <w:szCs w:val="22"/>
        </w:rPr>
        <w:t xml:space="preserve"> </w:t>
      </w:r>
      <w:proofErr w:type="spellStart"/>
      <w:r w:rsidRPr="00307CD6">
        <w:rPr>
          <w:szCs w:val="22"/>
        </w:rPr>
        <w:t>d.d</w:t>
      </w:r>
      <w:proofErr w:type="spellEnd"/>
      <w:r w:rsidRPr="00307CD6">
        <w:rPr>
          <w:szCs w:val="22"/>
        </w:rPr>
        <w:t>.</w:t>
      </w:r>
    </w:p>
    <w:p w14:paraId="6868AA48" w14:textId="77777777" w:rsidR="00DE3708" w:rsidRPr="007F15BA" w:rsidRDefault="00DE3708" w:rsidP="00307CD6">
      <w:pPr>
        <w:tabs>
          <w:tab w:val="left" w:pos="1260"/>
        </w:tabs>
        <w:spacing w:line="240" w:lineRule="auto"/>
        <w:contextualSpacing/>
        <w:rPr>
          <w:szCs w:val="22"/>
        </w:rPr>
      </w:pPr>
      <w:proofErr w:type="spellStart"/>
      <w:r w:rsidRPr="007F15BA">
        <w:rPr>
          <w:szCs w:val="22"/>
        </w:rPr>
        <w:t>Verovškova</w:t>
      </w:r>
      <w:proofErr w:type="spellEnd"/>
      <w:r w:rsidRPr="007F15BA">
        <w:rPr>
          <w:szCs w:val="22"/>
        </w:rPr>
        <w:t xml:space="preserve"> 57, SI-1526 </w:t>
      </w:r>
      <w:proofErr w:type="spellStart"/>
      <w:r w:rsidRPr="007F15BA">
        <w:rPr>
          <w:szCs w:val="22"/>
        </w:rPr>
        <w:t>Ljubljana</w:t>
      </w:r>
      <w:proofErr w:type="spellEnd"/>
    </w:p>
    <w:p w14:paraId="12597A61" w14:textId="77777777" w:rsidR="00DE3708" w:rsidRPr="007F15BA" w:rsidRDefault="00DE3708" w:rsidP="00307CD6">
      <w:pPr>
        <w:tabs>
          <w:tab w:val="left" w:pos="1260"/>
        </w:tabs>
        <w:spacing w:line="240" w:lineRule="auto"/>
        <w:contextualSpacing/>
        <w:rPr>
          <w:szCs w:val="22"/>
        </w:rPr>
      </w:pPr>
      <w:r w:rsidRPr="007F15BA">
        <w:rPr>
          <w:szCs w:val="22"/>
        </w:rPr>
        <w:t>Slovėnija</w:t>
      </w:r>
    </w:p>
    <w:p w14:paraId="0DB89623" w14:textId="77777777" w:rsidR="00DE3708" w:rsidRPr="00D36517" w:rsidRDefault="00DE3708" w:rsidP="00307CD6">
      <w:pPr>
        <w:tabs>
          <w:tab w:val="left" w:pos="1260"/>
        </w:tabs>
        <w:spacing w:line="240" w:lineRule="auto"/>
        <w:contextualSpacing/>
        <w:rPr>
          <w:szCs w:val="22"/>
        </w:rPr>
      </w:pPr>
    </w:p>
    <w:p w14:paraId="7D646758" w14:textId="77777777" w:rsidR="00DE3708" w:rsidRPr="00D36517" w:rsidRDefault="00DE3708" w:rsidP="00307CD6">
      <w:pPr>
        <w:tabs>
          <w:tab w:val="left" w:pos="1260"/>
        </w:tabs>
        <w:spacing w:line="240" w:lineRule="auto"/>
        <w:contextualSpacing/>
        <w:rPr>
          <w:szCs w:val="22"/>
        </w:rPr>
      </w:pPr>
      <w:r w:rsidRPr="00D36517">
        <w:rPr>
          <w:szCs w:val="22"/>
        </w:rPr>
        <w:t>arba</w:t>
      </w:r>
    </w:p>
    <w:p w14:paraId="0FDDA8BD" w14:textId="77777777" w:rsidR="00DE3708" w:rsidRPr="009F455C" w:rsidRDefault="00DE3708" w:rsidP="00307CD6">
      <w:pPr>
        <w:tabs>
          <w:tab w:val="left" w:pos="1260"/>
        </w:tabs>
        <w:spacing w:line="240" w:lineRule="auto"/>
        <w:contextualSpacing/>
        <w:rPr>
          <w:szCs w:val="22"/>
        </w:rPr>
      </w:pPr>
    </w:p>
    <w:p w14:paraId="459F0140" w14:textId="77777777" w:rsidR="00DE3708" w:rsidRPr="009F455C" w:rsidRDefault="00DE3708" w:rsidP="00307CD6">
      <w:pPr>
        <w:tabs>
          <w:tab w:val="left" w:pos="1260"/>
        </w:tabs>
        <w:spacing w:line="240" w:lineRule="auto"/>
        <w:contextualSpacing/>
        <w:rPr>
          <w:szCs w:val="22"/>
        </w:rPr>
      </w:pPr>
      <w:proofErr w:type="spellStart"/>
      <w:r w:rsidRPr="009F455C">
        <w:rPr>
          <w:szCs w:val="22"/>
        </w:rPr>
        <w:t>Lek</w:t>
      </w:r>
      <w:proofErr w:type="spellEnd"/>
      <w:r w:rsidRPr="009F455C">
        <w:rPr>
          <w:szCs w:val="22"/>
        </w:rPr>
        <w:t xml:space="preserve"> </w:t>
      </w:r>
      <w:proofErr w:type="spellStart"/>
      <w:r w:rsidRPr="009F455C">
        <w:rPr>
          <w:szCs w:val="22"/>
        </w:rPr>
        <w:t>Pharmaceuticals</w:t>
      </w:r>
      <w:proofErr w:type="spellEnd"/>
      <w:r w:rsidRPr="009F455C">
        <w:rPr>
          <w:szCs w:val="22"/>
        </w:rPr>
        <w:t xml:space="preserve"> </w:t>
      </w:r>
      <w:proofErr w:type="spellStart"/>
      <w:r w:rsidRPr="009F455C">
        <w:rPr>
          <w:szCs w:val="22"/>
        </w:rPr>
        <w:t>d.d</w:t>
      </w:r>
      <w:proofErr w:type="spellEnd"/>
      <w:r w:rsidRPr="009F455C">
        <w:rPr>
          <w:szCs w:val="22"/>
        </w:rPr>
        <w:t>.</w:t>
      </w:r>
    </w:p>
    <w:p w14:paraId="7FFFBCA1" w14:textId="77777777" w:rsidR="00DE3708" w:rsidRPr="00FB60E5" w:rsidRDefault="00DE3708" w:rsidP="00307CD6">
      <w:pPr>
        <w:tabs>
          <w:tab w:val="left" w:pos="1260"/>
        </w:tabs>
        <w:spacing w:line="240" w:lineRule="auto"/>
        <w:contextualSpacing/>
        <w:rPr>
          <w:szCs w:val="22"/>
        </w:rPr>
      </w:pPr>
      <w:proofErr w:type="spellStart"/>
      <w:r w:rsidRPr="00FB60E5">
        <w:rPr>
          <w:szCs w:val="22"/>
        </w:rPr>
        <w:t>Trimlini</w:t>
      </w:r>
      <w:proofErr w:type="spellEnd"/>
      <w:r w:rsidRPr="00FB60E5">
        <w:rPr>
          <w:szCs w:val="22"/>
        </w:rPr>
        <w:t xml:space="preserve"> 2 D, 9220 </w:t>
      </w:r>
      <w:proofErr w:type="spellStart"/>
      <w:r w:rsidRPr="00FB60E5">
        <w:rPr>
          <w:szCs w:val="22"/>
        </w:rPr>
        <w:t>Lendava</w:t>
      </w:r>
      <w:proofErr w:type="spellEnd"/>
      <w:r w:rsidRPr="00FB60E5">
        <w:rPr>
          <w:szCs w:val="22"/>
        </w:rPr>
        <w:t xml:space="preserve"> </w:t>
      </w:r>
    </w:p>
    <w:p w14:paraId="10F4582A" w14:textId="77777777" w:rsidR="00DE3708" w:rsidRPr="00FB60E5" w:rsidRDefault="00DE3708" w:rsidP="00307CD6">
      <w:pPr>
        <w:tabs>
          <w:tab w:val="left" w:pos="1260"/>
        </w:tabs>
        <w:spacing w:line="240" w:lineRule="auto"/>
        <w:contextualSpacing/>
        <w:rPr>
          <w:szCs w:val="22"/>
        </w:rPr>
      </w:pPr>
      <w:r w:rsidRPr="00FB60E5">
        <w:rPr>
          <w:szCs w:val="22"/>
        </w:rPr>
        <w:t>Slovėnija</w:t>
      </w:r>
    </w:p>
    <w:p w14:paraId="08E6F77D" w14:textId="77777777" w:rsidR="00DE3708" w:rsidRPr="001765A8" w:rsidRDefault="00DE3708" w:rsidP="00307CD6">
      <w:pPr>
        <w:tabs>
          <w:tab w:val="left" w:pos="1260"/>
        </w:tabs>
        <w:spacing w:line="240" w:lineRule="auto"/>
        <w:contextualSpacing/>
        <w:rPr>
          <w:szCs w:val="22"/>
        </w:rPr>
      </w:pPr>
    </w:p>
    <w:p w14:paraId="1FB11AAE" w14:textId="77777777" w:rsidR="00DE3708" w:rsidRPr="001E6DB9" w:rsidRDefault="00DE3708" w:rsidP="00307CD6">
      <w:pPr>
        <w:tabs>
          <w:tab w:val="left" w:pos="1260"/>
        </w:tabs>
        <w:spacing w:line="240" w:lineRule="auto"/>
        <w:contextualSpacing/>
        <w:rPr>
          <w:szCs w:val="22"/>
        </w:rPr>
      </w:pPr>
      <w:r w:rsidRPr="001E6DB9">
        <w:rPr>
          <w:szCs w:val="22"/>
        </w:rPr>
        <w:t>arba</w:t>
      </w:r>
    </w:p>
    <w:p w14:paraId="68593563" w14:textId="77777777" w:rsidR="00DE3708" w:rsidRPr="001E6DB9" w:rsidRDefault="00DE3708" w:rsidP="00307CD6">
      <w:pPr>
        <w:tabs>
          <w:tab w:val="left" w:pos="1260"/>
        </w:tabs>
        <w:spacing w:line="240" w:lineRule="auto"/>
        <w:contextualSpacing/>
        <w:rPr>
          <w:szCs w:val="22"/>
        </w:rPr>
      </w:pPr>
    </w:p>
    <w:p w14:paraId="41620F4D" w14:textId="77777777" w:rsidR="00DE3708" w:rsidRPr="001E6DB9" w:rsidRDefault="00DE3708" w:rsidP="00307CD6">
      <w:pPr>
        <w:tabs>
          <w:tab w:val="left" w:pos="1260"/>
        </w:tabs>
        <w:spacing w:line="240" w:lineRule="auto"/>
        <w:contextualSpacing/>
        <w:rPr>
          <w:szCs w:val="22"/>
        </w:rPr>
      </w:pPr>
      <w:r w:rsidRPr="001E6DB9">
        <w:rPr>
          <w:szCs w:val="22"/>
        </w:rPr>
        <w:t>LEK S.A.</w:t>
      </w:r>
    </w:p>
    <w:p w14:paraId="69F1CBDF"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Podlipie</w:t>
      </w:r>
      <w:proofErr w:type="spellEnd"/>
      <w:r w:rsidRPr="001E6DB9">
        <w:rPr>
          <w:szCs w:val="22"/>
        </w:rPr>
        <w:t xml:space="preserve"> 16, 95-010 </w:t>
      </w:r>
      <w:proofErr w:type="spellStart"/>
      <w:r w:rsidRPr="001E6DB9">
        <w:rPr>
          <w:szCs w:val="22"/>
        </w:rPr>
        <w:t>Stryków</w:t>
      </w:r>
      <w:proofErr w:type="spellEnd"/>
    </w:p>
    <w:p w14:paraId="7C270E1D"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01556227" w14:textId="77777777" w:rsidR="00DE3708" w:rsidRPr="001E6DB9" w:rsidRDefault="00DE3708" w:rsidP="00307CD6">
      <w:pPr>
        <w:tabs>
          <w:tab w:val="left" w:pos="1260"/>
        </w:tabs>
        <w:spacing w:line="240" w:lineRule="auto"/>
        <w:contextualSpacing/>
        <w:rPr>
          <w:szCs w:val="22"/>
        </w:rPr>
      </w:pPr>
    </w:p>
    <w:p w14:paraId="43A33022" w14:textId="77777777" w:rsidR="00DE3708" w:rsidRPr="001E6DB9" w:rsidRDefault="00DE3708" w:rsidP="00307CD6">
      <w:pPr>
        <w:tabs>
          <w:tab w:val="left" w:pos="1260"/>
        </w:tabs>
        <w:spacing w:line="240" w:lineRule="auto"/>
        <w:contextualSpacing/>
        <w:rPr>
          <w:szCs w:val="22"/>
        </w:rPr>
      </w:pPr>
      <w:r w:rsidRPr="001E6DB9">
        <w:rPr>
          <w:szCs w:val="22"/>
        </w:rPr>
        <w:t>arba</w:t>
      </w:r>
    </w:p>
    <w:p w14:paraId="667A6A82" w14:textId="77777777" w:rsidR="00DE3708" w:rsidRPr="001E6DB9" w:rsidRDefault="00DE3708" w:rsidP="00307CD6">
      <w:pPr>
        <w:tabs>
          <w:tab w:val="left" w:pos="1260"/>
        </w:tabs>
        <w:spacing w:line="240" w:lineRule="auto"/>
        <w:contextualSpacing/>
        <w:rPr>
          <w:szCs w:val="22"/>
        </w:rPr>
      </w:pPr>
    </w:p>
    <w:p w14:paraId="0154E096" w14:textId="77777777" w:rsidR="00DE3708" w:rsidRPr="001E6DB9" w:rsidRDefault="00DE3708" w:rsidP="00307CD6">
      <w:pPr>
        <w:tabs>
          <w:tab w:val="left" w:pos="1260"/>
        </w:tabs>
        <w:spacing w:line="240" w:lineRule="auto"/>
        <w:contextualSpacing/>
        <w:rPr>
          <w:szCs w:val="22"/>
        </w:rPr>
      </w:pPr>
      <w:r w:rsidRPr="001E6DB9">
        <w:rPr>
          <w:szCs w:val="22"/>
        </w:rPr>
        <w:t>LEK S.A.</w:t>
      </w:r>
    </w:p>
    <w:p w14:paraId="3038886D"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Domaniewska</w:t>
      </w:r>
      <w:proofErr w:type="spellEnd"/>
      <w:r w:rsidRPr="001E6DB9">
        <w:rPr>
          <w:szCs w:val="22"/>
        </w:rPr>
        <w:t xml:space="preserve"> 50 C, 02-672 </w:t>
      </w:r>
      <w:proofErr w:type="spellStart"/>
      <w:r w:rsidRPr="001E6DB9">
        <w:rPr>
          <w:szCs w:val="22"/>
        </w:rPr>
        <w:t>Warszawa</w:t>
      </w:r>
      <w:proofErr w:type="spellEnd"/>
    </w:p>
    <w:p w14:paraId="03D67E57"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56B98C2F" w14:textId="77777777" w:rsidR="00DE3708" w:rsidRPr="001E6DB9" w:rsidRDefault="00DE3708" w:rsidP="00307CD6">
      <w:pPr>
        <w:pStyle w:val="Pagrindinistekstas"/>
        <w:tabs>
          <w:tab w:val="left" w:pos="567"/>
        </w:tabs>
        <w:contextualSpacing/>
        <w:rPr>
          <w:color w:val="auto"/>
          <w:szCs w:val="22"/>
        </w:rPr>
      </w:pPr>
    </w:p>
    <w:p w14:paraId="2743CE97" w14:textId="77777777" w:rsidR="00DE3708" w:rsidRPr="001E6DB9" w:rsidRDefault="00DE3708" w:rsidP="00307CD6">
      <w:pPr>
        <w:pStyle w:val="Pagrindinistekstas"/>
        <w:tabs>
          <w:tab w:val="left" w:pos="567"/>
        </w:tabs>
        <w:contextualSpacing/>
        <w:rPr>
          <w:color w:val="auto"/>
          <w:szCs w:val="22"/>
        </w:rPr>
      </w:pPr>
      <w:r w:rsidRPr="001E6DB9">
        <w:rPr>
          <w:color w:val="auto"/>
          <w:szCs w:val="22"/>
        </w:rPr>
        <w:t>arba</w:t>
      </w:r>
    </w:p>
    <w:p w14:paraId="6F593B0A" w14:textId="77777777" w:rsidR="00DE3708" w:rsidRPr="001E6DB9" w:rsidRDefault="00DE3708" w:rsidP="00307CD6">
      <w:pPr>
        <w:pStyle w:val="Pagrindinistekstas"/>
        <w:tabs>
          <w:tab w:val="left" w:pos="567"/>
        </w:tabs>
        <w:contextualSpacing/>
        <w:rPr>
          <w:color w:val="auto"/>
          <w:szCs w:val="22"/>
        </w:rPr>
      </w:pPr>
    </w:p>
    <w:p w14:paraId="1523E75A" w14:textId="3AF2F88F" w:rsidR="00761BA2" w:rsidRDefault="00DE3708" w:rsidP="00307CD6">
      <w:pPr>
        <w:spacing w:line="240" w:lineRule="auto"/>
        <w:contextualSpacing/>
        <w:rPr>
          <w:szCs w:val="22"/>
          <w:lang w:val="es-ES"/>
        </w:rPr>
      </w:pPr>
      <w:r w:rsidRPr="00F50D13">
        <w:rPr>
          <w:szCs w:val="22"/>
          <w:lang w:val="es-ES"/>
        </w:rPr>
        <w:t>Novartis Farmacéutica S.A.</w:t>
      </w:r>
    </w:p>
    <w:p w14:paraId="4D3AD3B6" w14:textId="0B5100AE" w:rsidR="00DE3708" w:rsidRPr="00F50D13" w:rsidRDefault="00761BA2" w:rsidP="00307CD6">
      <w:pPr>
        <w:spacing w:line="240" w:lineRule="auto"/>
        <w:contextualSpacing/>
        <w:rPr>
          <w:szCs w:val="22"/>
          <w:lang w:val="es-ES"/>
        </w:rPr>
      </w:pPr>
      <w:r w:rsidRPr="00FF1FF9">
        <w:rPr>
          <w:rFonts w:cstheme="minorHAnsi"/>
          <w:lang w:val="pt-PT"/>
        </w:rPr>
        <w:t>Gran Vía de les Corts Catalanes, 764</w:t>
      </w:r>
      <w:r w:rsidR="00DE3708" w:rsidRPr="00F50D13">
        <w:rPr>
          <w:szCs w:val="22"/>
          <w:lang w:val="es-ES"/>
        </w:rPr>
        <w:t xml:space="preserve"> </w:t>
      </w:r>
    </w:p>
    <w:p w14:paraId="09AA1646" w14:textId="00D5F10C" w:rsidR="00DE3708" w:rsidRPr="00F91FD7" w:rsidRDefault="00761BA2" w:rsidP="00307CD6">
      <w:pPr>
        <w:spacing w:line="240" w:lineRule="auto"/>
        <w:contextualSpacing/>
        <w:rPr>
          <w:szCs w:val="22"/>
          <w:lang w:val="es-ES"/>
        </w:rPr>
      </w:pPr>
      <w:r>
        <w:rPr>
          <w:szCs w:val="22"/>
          <w:lang w:val="es-ES"/>
        </w:rPr>
        <w:t xml:space="preserve">08013 </w:t>
      </w:r>
      <w:r w:rsidR="00DE3708" w:rsidRPr="00F91FD7">
        <w:rPr>
          <w:szCs w:val="22"/>
          <w:lang w:val="es-ES"/>
        </w:rPr>
        <w:t xml:space="preserve">Barcelona </w:t>
      </w:r>
    </w:p>
    <w:p w14:paraId="5D252A1C" w14:textId="5923ABBF" w:rsidR="00DE3708" w:rsidRDefault="00DE3708" w:rsidP="00307CD6">
      <w:pPr>
        <w:spacing w:line="240" w:lineRule="auto"/>
        <w:contextualSpacing/>
        <w:rPr>
          <w:szCs w:val="22"/>
          <w:lang w:val="es-ES"/>
        </w:rPr>
      </w:pPr>
      <w:r w:rsidRPr="0078402A">
        <w:rPr>
          <w:szCs w:val="22"/>
          <w:lang w:val="es-ES"/>
        </w:rPr>
        <w:t>Ispanija</w:t>
      </w:r>
    </w:p>
    <w:p w14:paraId="3EC75927" w14:textId="7FA22152" w:rsidR="006661D0" w:rsidRPr="00E46189" w:rsidRDefault="006661D0" w:rsidP="00E46189">
      <w:pPr>
        <w:spacing w:line="240" w:lineRule="auto"/>
        <w:contextualSpacing/>
      </w:pPr>
    </w:p>
    <w:p w14:paraId="09E551C9" w14:textId="1BBDE59F" w:rsidR="006661D0" w:rsidRPr="006B14F2" w:rsidRDefault="006661D0" w:rsidP="00307CD6">
      <w:pPr>
        <w:spacing w:line="240" w:lineRule="auto"/>
        <w:contextualSpacing/>
        <w:rPr>
          <w:i/>
          <w:szCs w:val="22"/>
        </w:rPr>
      </w:pPr>
      <w:r w:rsidRPr="006B14F2">
        <w:rPr>
          <w:i/>
          <w:szCs w:val="22"/>
        </w:rPr>
        <w:t>arba</w:t>
      </w:r>
    </w:p>
    <w:p w14:paraId="404BA5C0" w14:textId="1E8107E3" w:rsidR="006661D0" w:rsidRDefault="006661D0" w:rsidP="00307CD6">
      <w:pPr>
        <w:spacing w:line="240" w:lineRule="auto"/>
        <w:contextualSpacing/>
        <w:rPr>
          <w:szCs w:val="22"/>
        </w:rPr>
      </w:pPr>
    </w:p>
    <w:p w14:paraId="2299FEFB" w14:textId="77777777" w:rsidR="006661D0" w:rsidRPr="006661D0" w:rsidRDefault="006661D0" w:rsidP="006661D0">
      <w:pPr>
        <w:spacing w:line="240" w:lineRule="auto"/>
        <w:contextualSpacing/>
        <w:rPr>
          <w:szCs w:val="22"/>
        </w:rPr>
      </w:pPr>
      <w:proofErr w:type="spellStart"/>
      <w:r w:rsidRPr="006661D0">
        <w:rPr>
          <w:szCs w:val="22"/>
        </w:rPr>
        <w:t>Novartis</w:t>
      </w:r>
      <w:proofErr w:type="spellEnd"/>
      <w:r w:rsidRPr="006661D0">
        <w:rPr>
          <w:szCs w:val="22"/>
        </w:rPr>
        <w:t xml:space="preserve"> </w:t>
      </w:r>
      <w:proofErr w:type="spellStart"/>
      <w:r w:rsidRPr="006661D0">
        <w:rPr>
          <w:szCs w:val="22"/>
        </w:rPr>
        <w:t>Farma</w:t>
      </w:r>
      <w:proofErr w:type="spellEnd"/>
      <w:r w:rsidRPr="006661D0">
        <w:rPr>
          <w:szCs w:val="22"/>
        </w:rPr>
        <w:t xml:space="preserve"> </w:t>
      </w:r>
      <w:proofErr w:type="spellStart"/>
      <w:r w:rsidRPr="006661D0">
        <w:rPr>
          <w:szCs w:val="22"/>
        </w:rPr>
        <w:t>S.p.A</w:t>
      </w:r>
      <w:proofErr w:type="spellEnd"/>
    </w:p>
    <w:p w14:paraId="08D7BB14" w14:textId="77777777" w:rsidR="006661D0" w:rsidRPr="006661D0" w:rsidRDefault="006661D0" w:rsidP="006661D0">
      <w:pPr>
        <w:spacing w:line="240" w:lineRule="auto"/>
        <w:contextualSpacing/>
        <w:rPr>
          <w:szCs w:val="22"/>
        </w:rPr>
      </w:pPr>
      <w:r w:rsidRPr="006661D0">
        <w:rPr>
          <w:szCs w:val="22"/>
        </w:rPr>
        <w:t xml:space="preserve">Via Provinciale </w:t>
      </w:r>
      <w:proofErr w:type="spellStart"/>
      <w:r w:rsidRPr="006661D0">
        <w:rPr>
          <w:szCs w:val="22"/>
        </w:rPr>
        <w:t>Schito</w:t>
      </w:r>
      <w:proofErr w:type="spellEnd"/>
      <w:r w:rsidRPr="006661D0">
        <w:rPr>
          <w:szCs w:val="22"/>
        </w:rPr>
        <w:t xml:space="preserve"> 131</w:t>
      </w:r>
    </w:p>
    <w:p w14:paraId="5730A437" w14:textId="77777777" w:rsidR="006661D0" w:rsidRPr="006661D0" w:rsidRDefault="006661D0" w:rsidP="006661D0">
      <w:pPr>
        <w:spacing w:line="240" w:lineRule="auto"/>
        <w:contextualSpacing/>
        <w:rPr>
          <w:szCs w:val="22"/>
        </w:rPr>
      </w:pPr>
      <w:r w:rsidRPr="006661D0">
        <w:rPr>
          <w:szCs w:val="22"/>
        </w:rPr>
        <w:t xml:space="preserve">80058 </w:t>
      </w:r>
      <w:proofErr w:type="spellStart"/>
      <w:r w:rsidRPr="006661D0">
        <w:rPr>
          <w:szCs w:val="22"/>
        </w:rPr>
        <w:t>Torre</w:t>
      </w:r>
      <w:proofErr w:type="spellEnd"/>
      <w:r w:rsidRPr="006661D0">
        <w:rPr>
          <w:szCs w:val="22"/>
        </w:rPr>
        <w:t xml:space="preserve"> </w:t>
      </w:r>
      <w:proofErr w:type="spellStart"/>
      <w:r w:rsidRPr="006661D0">
        <w:rPr>
          <w:szCs w:val="22"/>
        </w:rPr>
        <w:t>Annunziata</w:t>
      </w:r>
      <w:proofErr w:type="spellEnd"/>
      <w:r w:rsidRPr="006661D0">
        <w:rPr>
          <w:szCs w:val="22"/>
        </w:rPr>
        <w:t xml:space="preserve"> (NA)</w:t>
      </w:r>
    </w:p>
    <w:p w14:paraId="57184244" w14:textId="0018A36F" w:rsidR="006661D0" w:rsidRPr="0078402A" w:rsidRDefault="006661D0" w:rsidP="006661D0">
      <w:pPr>
        <w:spacing w:line="240" w:lineRule="auto"/>
        <w:contextualSpacing/>
        <w:rPr>
          <w:szCs w:val="22"/>
        </w:rPr>
      </w:pPr>
      <w:r w:rsidRPr="006661D0">
        <w:rPr>
          <w:szCs w:val="22"/>
        </w:rPr>
        <w:t>Italija</w:t>
      </w:r>
    </w:p>
    <w:p w14:paraId="79D5D43F" w14:textId="77777777" w:rsidR="00DE3708" w:rsidRPr="001E6DB9" w:rsidRDefault="00DE3708" w:rsidP="00307CD6">
      <w:pPr>
        <w:pStyle w:val="Pagrindinistekstas"/>
        <w:tabs>
          <w:tab w:val="left" w:pos="567"/>
        </w:tabs>
        <w:contextualSpacing/>
        <w:rPr>
          <w:color w:val="auto"/>
          <w:szCs w:val="22"/>
        </w:rPr>
      </w:pPr>
    </w:p>
    <w:p w14:paraId="1B3C7D8F" w14:textId="77777777" w:rsidR="00DE3708" w:rsidRPr="001E6DB9" w:rsidRDefault="00DE3708" w:rsidP="00307CD6">
      <w:pPr>
        <w:pStyle w:val="Pagrindinistekstas"/>
        <w:tabs>
          <w:tab w:val="left" w:pos="567"/>
        </w:tabs>
        <w:contextualSpacing/>
        <w:rPr>
          <w:i w:val="0"/>
          <w:color w:val="auto"/>
          <w:szCs w:val="22"/>
        </w:rPr>
      </w:pPr>
      <w:r w:rsidRPr="001E6DB9">
        <w:rPr>
          <w:i w:val="0"/>
          <w:color w:val="auto"/>
          <w:szCs w:val="22"/>
        </w:rPr>
        <w:t>Su pakuote pateikiamame lapelyje nurodomas gamintojo, atsakingo už konkrečios serijos išleidimą, pavadinimas ir adresas.</w:t>
      </w:r>
    </w:p>
    <w:p w14:paraId="7AA99669" w14:textId="77777777" w:rsidR="00DE3708" w:rsidRPr="001E6DB9" w:rsidRDefault="00DE3708" w:rsidP="00307CD6">
      <w:pPr>
        <w:pStyle w:val="Pagrindinistekstas"/>
        <w:tabs>
          <w:tab w:val="left" w:pos="567"/>
        </w:tabs>
        <w:contextualSpacing/>
        <w:rPr>
          <w:i w:val="0"/>
          <w:color w:val="auto"/>
          <w:szCs w:val="22"/>
        </w:rPr>
      </w:pPr>
    </w:p>
    <w:p w14:paraId="56FC3494" w14:textId="77777777" w:rsidR="00DE3708" w:rsidRPr="001E6DB9" w:rsidRDefault="00DE3708" w:rsidP="00307CD6">
      <w:pPr>
        <w:pStyle w:val="Pagrindinistekstas"/>
        <w:tabs>
          <w:tab w:val="left" w:pos="567"/>
        </w:tabs>
        <w:contextualSpacing/>
        <w:rPr>
          <w:color w:val="auto"/>
          <w:szCs w:val="22"/>
        </w:rPr>
      </w:pPr>
    </w:p>
    <w:p w14:paraId="2479E41D" w14:textId="77777777" w:rsidR="00DE3708" w:rsidRPr="008E6CDC" w:rsidRDefault="00DE3708" w:rsidP="00307CD6">
      <w:pPr>
        <w:pStyle w:val="PI-1EMEASMCA"/>
        <w:contextualSpacing/>
        <w:rPr>
          <w:sz w:val="22"/>
          <w:lang w:val="es-ES"/>
        </w:rPr>
      </w:pPr>
      <w:bookmarkStart w:id="4" w:name="_Toc129243254"/>
      <w:bookmarkStart w:id="5" w:name="_Toc129243129"/>
      <w:r w:rsidRPr="008E6CDC">
        <w:rPr>
          <w:sz w:val="22"/>
          <w:lang w:val="es-ES"/>
        </w:rPr>
        <w:t>B.</w:t>
      </w:r>
      <w:r w:rsidRPr="008E6CDC">
        <w:rPr>
          <w:sz w:val="22"/>
          <w:lang w:val="es-ES"/>
        </w:rPr>
        <w:tab/>
        <w:t>TIEKIMO IR VARTOJIMO SĄLYGOS AR APRIBOJIMAI</w:t>
      </w:r>
      <w:bookmarkEnd w:id="4"/>
      <w:bookmarkEnd w:id="5"/>
    </w:p>
    <w:p w14:paraId="7330F7E9" w14:textId="77777777" w:rsidR="00DE3708" w:rsidRPr="001E6DB9" w:rsidRDefault="00DE3708" w:rsidP="001E6DB9">
      <w:pPr>
        <w:pStyle w:val="BTEMEASMCA"/>
        <w:contextualSpacing/>
      </w:pPr>
    </w:p>
    <w:p w14:paraId="38A39B82" w14:textId="77777777" w:rsidR="00DE3708" w:rsidRPr="001E6DB9" w:rsidRDefault="00DE3708" w:rsidP="001E6DB9">
      <w:pPr>
        <w:pStyle w:val="BTEMEASMCA"/>
        <w:contextualSpacing/>
      </w:pPr>
      <w:r w:rsidRPr="001E6DB9">
        <w:t>Receptinis vaistinis preparatas.</w:t>
      </w:r>
    </w:p>
    <w:p w14:paraId="7791996C" w14:textId="77777777" w:rsidR="00DE3708" w:rsidRPr="001E6DB9" w:rsidRDefault="00DE3708" w:rsidP="001E6DB9">
      <w:pPr>
        <w:pStyle w:val="BTEMEASMCA"/>
        <w:contextualSpacing/>
        <w:rPr>
          <w:highlight w:val="yellow"/>
        </w:rPr>
      </w:pPr>
    </w:p>
    <w:p w14:paraId="27B7C437" w14:textId="77777777" w:rsidR="00DE3708" w:rsidRPr="001E6DB9" w:rsidRDefault="00DE3708" w:rsidP="00307CD6">
      <w:pPr>
        <w:pStyle w:val="Pagrindinistekstas"/>
        <w:tabs>
          <w:tab w:val="left" w:pos="567"/>
        </w:tabs>
        <w:contextualSpacing/>
        <w:rPr>
          <w:color w:val="auto"/>
          <w:szCs w:val="22"/>
        </w:rPr>
      </w:pPr>
      <w:r w:rsidRPr="001E6DB9">
        <w:rPr>
          <w:color w:val="auto"/>
          <w:szCs w:val="22"/>
        </w:rPr>
        <w:br w:type="page"/>
      </w:r>
    </w:p>
    <w:p w14:paraId="4FEF2EBF" w14:textId="77777777" w:rsidR="00DE3708" w:rsidRPr="001E6DB9" w:rsidRDefault="00DE3708" w:rsidP="00307CD6">
      <w:pPr>
        <w:pStyle w:val="Pagrindinistekstas"/>
        <w:tabs>
          <w:tab w:val="left" w:pos="567"/>
        </w:tabs>
        <w:contextualSpacing/>
        <w:rPr>
          <w:color w:val="auto"/>
          <w:szCs w:val="22"/>
        </w:rPr>
      </w:pPr>
    </w:p>
    <w:p w14:paraId="25E13B24" w14:textId="77777777" w:rsidR="00DE3708" w:rsidRPr="001E6DB9" w:rsidRDefault="00DE3708" w:rsidP="00307CD6">
      <w:pPr>
        <w:pStyle w:val="Pagrindinistekstas"/>
        <w:tabs>
          <w:tab w:val="left" w:pos="567"/>
        </w:tabs>
        <w:contextualSpacing/>
        <w:rPr>
          <w:color w:val="auto"/>
          <w:szCs w:val="22"/>
        </w:rPr>
      </w:pPr>
    </w:p>
    <w:p w14:paraId="4CA6A12E" w14:textId="77777777" w:rsidR="00DE3708" w:rsidRPr="001E6DB9" w:rsidRDefault="00DE3708" w:rsidP="00307CD6">
      <w:pPr>
        <w:pStyle w:val="Pagrindinistekstas"/>
        <w:tabs>
          <w:tab w:val="left" w:pos="567"/>
        </w:tabs>
        <w:contextualSpacing/>
        <w:rPr>
          <w:color w:val="auto"/>
          <w:szCs w:val="22"/>
        </w:rPr>
      </w:pPr>
    </w:p>
    <w:p w14:paraId="2F823808" w14:textId="77777777" w:rsidR="00DE3708" w:rsidRPr="001E6DB9" w:rsidRDefault="00DE3708" w:rsidP="00307CD6">
      <w:pPr>
        <w:pStyle w:val="Pagrindinistekstas"/>
        <w:tabs>
          <w:tab w:val="left" w:pos="567"/>
        </w:tabs>
        <w:contextualSpacing/>
        <w:rPr>
          <w:color w:val="auto"/>
          <w:szCs w:val="22"/>
        </w:rPr>
      </w:pPr>
    </w:p>
    <w:p w14:paraId="31AC47F9" w14:textId="77777777" w:rsidR="00DE3708" w:rsidRPr="001E6DB9" w:rsidRDefault="00DE3708" w:rsidP="00307CD6">
      <w:pPr>
        <w:pStyle w:val="Pagrindinistekstas"/>
        <w:tabs>
          <w:tab w:val="left" w:pos="567"/>
        </w:tabs>
        <w:contextualSpacing/>
        <w:rPr>
          <w:color w:val="auto"/>
          <w:szCs w:val="22"/>
        </w:rPr>
      </w:pPr>
    </w:p>
    <w:p w14:paraId="3951F6B8" w14:textId="77777777" w:rsidR="00DE3708" w:rsidRPr="001E6DB9" w:rsidRDefault="00DE3708" w:rsidP="00307CD6">
      <w:pPr>
        <w:pStyle w:val="Pagrindinistekstas"/>
        <w:tabs>
          <w:tab w:val="left" w:pos="567"/>
        </w:tabs>
        <w:contextualSpacing/>
        <w:rPr>
          <w:color w:val="auto"/>
          <w:szCs w:val="22"/>
        </w:rPr>
      </w:pPr>
    </w:p>
    <w:p w14:paraId="1872D3D4" w14:textId="77777777" w:rsidR="00DE3708" w:rsidRPr="001E6DB9" w:rsidRDefault="00DE3708" w:rsidP="00307CD6">
      <w:pPr>
        <w:pStyle w:val="Pagrindinistekstas"/>
        <w:tabs>
          <w:tab w:val="left" w:pos="567"/>
        </w:tabs>
        <w:contextualSpacing/>
        <w:rPr>
          <w:color w:val="auto"/>
          <w:szCs w:val="22"/>
        </w:rPr>
      </w:pPr>
    </w:p>
    <w:p w14:paraId="08351D79" w14:textId="77777777" w:rsidR="00DE3708" w:rsidRPr="001E6DB9" w:rsidRDefault="00DE3708" w:rsidP="00307CD6">
      <w:pPr>
        <w:pStyle w:val="Pagrindinistekstas"/>
        <w:tabs>
          <w:tab w:val="left" w:pos="567"/>
        </w:tabs>
        <w:contextualSpacing/>
        <w:rPr>
          <w:color w:val="auto"/>
          <w:szCs w:val="22"/>
        </w:rPr>
      </w:pPr>
    </w:p>
    <w:p w14:paraId="78B859EF" w14:textId="77777777" w:rsidR="00DE3708" w:rsidRPr="001E6DB9" w:rsidRDefault="00DE3708" w:rsidP="00307CD6">
      <w:pPr>
        <w:pStyle w:val="Pagrindinistekstas"/>
        <w:tabs>
          <w:tab w:val="left" w:pos="567"/>
        </w:tabs>
        <w:contextualSpacing/>
        <w:rPr>
          <w:color w:val="auto"/>
          <w:szCs w:val="22"/>
        </w:rPr>
      </w:pPr>
    </w:p>
    <w:p w14:paraId="535F21C1" w14:textId="77777777" w:rsidR="00DE3708" w:rsidRPr="001E6DB9" w:rsidRDefault="00DE3708" w:rsidP="00307CD6">
      <w:pPr>
        <w:pStyle w:val="Pagrindinistekstas"/>
        <w:tabs>
          <w:tab w:val="left" w:pos="567"/>
        </w:tabs>
        <w:contextualSpacing/>
        <w:rPr>
          <w:color w:val="auto"/>
          <w:szCs w:val="22"/>
        </w:rPr>
      </w:pPr>
    </w:p>
    <w:p w14:paraId="039ED3BE" w14:textId="77777777" w:rsidR="00DE3708" w:rsidRPr="001E6DB9" w:rsidRDefault="00DE3708" w:rsidP="00307CD6">
      <w:pPr>
        <w:pStyle w:val="Pagrindinistekstas"/>
        <w:tabs>
          <w:tab w:val="left" w:pos="567"/>
        </w:tabs>
        <w:contextualSpacing/>
        <w:rPr>
          <w:color w:val="auto"/>
          <w:szCs w:val="22"/>
        </w:rPr>
      </w:pPr>
    </w:p>
    <w:p w14:paraId="7F2DBF57" w14:textId="77777777" w:rsidR="00DE3708" w:rsidRPr="001E6DB9" w:rsidRDefault="00DE3708" w:rsidP="00307CD6">
      <w:pPr>
        <w:pStyle w:val="Pagrindinistekstas"/>
        <w:tabs>
          <w:tab w:val="left" w:pos="567"/>
        </w:tabs>
        <w:contextualSpacing/>
        <w:rPr>
          <w:color w:val="auto"/>
          <w:szCs w:val="22"/>
        </w:rPr>
      </w:pPr>
    </w:p>
    <w:p w14:paraId="191269F7" w14:textId="77777777" w:rsidR="00DE3708" w:rsidRPr="001E6DB9" w:rsidRDefault="00DE3708" w:rsidP="00307CD6">
      <w:pPr>
        <w:pStyle w:val="Pagrindinistekstas"/>
        <w:tabs>
          <w:tab w:val="left" w:pos="567"/>
        </w:tabs>
        <w:contextualSpacing/>
        <w:rPr>
          <w:color w:val="auto"/>
          <w:szCs w:val="22"/>
        </w:rPr>
      </w:pPr>
    </w:p>
    <w:p w14:paraId="7277D7DC" w14:textId="77777777" w:rsidR="00DE3708" w:rsidRPr="001E6DB9" w:rsidRDefault="00DE3708" w:rsidP="00307CD6">
      <w:pPr>
        <w:pStyle w:val="Pagrindinistekstas"/>
        <w:tabs>
          <w:tab w:val="left" w:pos="567"/>
        </w:tabs>
        <w:contextualSpacing/>
        <w:rPr>
          <w:color w:val="auto"/>
          <w:szCs w:val="22"/>
        </w:rPr>
      </w:pPr>
    </w:p>
    <w:p w14:paraId="7AA0F66C" w14:textId="77777777" w:rsidR="00DE3708" w:rsidRPr="001E6DB9" w:rsidRDefault="00DE3708" w:rsidP="00307CD6">
      <w:pPr>
        <w:pStyle w:val="Pagrindinistekstas"/>
        <w:tabs>
          <w:tab w:val="left" w:pos="567"/>
        </w:tabs>
        <w:contextualSpacing/>
        <w:rPr>
          <w:color w:val="auto"/>
          <w:szCs w:val="22"/>
        </w:rPr>
      </w:pPr>
    </w:p>
    <w:p w14:paraId="0C1A95D5" w14:textId="77777777" w:rsidR="00DE3708" w:rsidRPr="001E6DB9" w:rsidRDefault="00DE3708" w:rsidP="00307CD6">
      <w:pPr>
        <w:pStyle w:val="Pagrindinistekstas"/>
        <w:tabs>
          <w:tab w:val="left" w:pos="567"/>
        </w:tabs>
        <w:contextualSpacing/>
        <w:rPr>
          <w:color w:val="auto"/>
          <w:szCs w:val="22"/>
        </w:rPr>
      </w:pPr>
    </w:p>
    <w:p w14:paraId="72F2C4F2" w14:textId="77777777" w:rsidR="00DE3708" w:rsidRPr="00F50D13" w:rsidRDefault="00DE3708" w:rsidP="00307CD6">
      <w:pPr>
        <w:spacing w:line="240" w:lineRule="auto"/>
        <w:contextualSpacing/>
        <w:jc w:val="center"/>
        <w:rPr>
          <w:b/>
          <w:szCs w:val="22"/>
        </w:rPr>
      </w:pPr>
    </w:p>
    <w:p w14:paraId="667A7D6F" w14:textId="77777777" w:rsidR="00DE3708" w:rsidRPr="00F50D13" w:rsidRDefault="00DE3708" w:rsidP="00307CD6">
      <w:pPr>
        <w:spacing w:line="240" w:lineRule="auto"/>
        <w:contextualSpacing/>
        <w:jc w:val="center"/>
        <w:rPr>
          <w:b/>
          <w:szCs w:val="22"/>
        </w:rPr>
      </w:pPr>
    </w:p>
    <w:p w14:paraId="042AFF8B" w14:textId="77777777" w:rsidR="00DE3708" w:rsidRPr="00F91FD7" w:rsidRDefault="00DE3708" w:rsidP="00307CD6">
      <w:pPr>
        <w:spacing w:line="240" w:lineRule="auto"/>
        <w:contextualSpacing/>
        <w:jc w:val="center"/>
        <w:rPr>
          <w:b/>
          <w:szCs w:val="22"/>
        </w:rPr>
      </w:pPr>
    </w:p>
    <w:p w14:paraId="009A2069" w14:textId="77777777" w:rsidR="00DE3708" w:rsidRPr="00F91FD7" w:rsidRDefault="00DE3708" w:rsidP="00307CD6">
      <w:pPr>
        <w:spacing w:line="240" w:lineRule="auto"/>
        <w:contextualSpacing/>
        <w:jc w:val="center"/>
        <w:rPr>
          <w:b/>
          <w:szCs w:val="22"/>
        </w:rPr>
      </w:pPr>
    </w:p>
    <w:p w14:paraId="33DA165D" w14:textId="77777777" w:rsidR="00DE3708" w:rsidRPr="0078402A" w:rsidRDefault="00DE3708" w:rsidP="00307CD6">
      <w:pPr>
        <w:spacing w:line="240" w:lineRule="auto"/>
        <w:contextualSpacing/>
        <w:jc w:val="center"/>
        <w:rPr>
          <w:b/>
          <w:szCs w:val="22"/>
        </w:rPr>
      </w:pPr>
    </w:p>
    <w:p w14:paraId="5098CCCB" w14:textId="77777777" w:rsidR="00DE3708" w:rsidRPr="00307CD6" w:rsidRDefault="00DE3708" w:rsidP="00307CD6">
      <w:pPr>
        <w:spacing w:line="240" w:lineRule="auto"/>
        <w:contextualSpacing/>
        <w:jc w:val="center"/>
        <w:rPr>
          <w:b/>
          <w:szCs w:val="22"/>
        </w:rPr>
      </w:pPr>
    </w:p>
    <w:p w14:paraId="10F57961" w14:textId="77777777" w:rsidR="00DE3708" w:rsidRPr="00307CD6" w:rsidRDefault="00DE3708" w:rsidP="00307CD6">
      <w:pPr>
        <w:spacing w:line="240" w:lineRule="auto"/>
        <w:contextualSpacing/>
        <w:jc w:val="center"/>
        <w:rPr>
          <w:b/>
          <w:szCs w:val="22"/>
        </w:rPr>
      </w:pPr>
    </w:p>
    <w:p w14:paraId="343E3024" w14:textId="77777777" w:rsidR="00DE3708" w:rsidRPr="007F15BA" w:rsidRDefault="00DE3708" w:rsidP="00307CD6">
      <w:pPr>
        <w:spacing w:line="240" w:lineRule="auto"/>
        <w:contextualSpacing/>
        <w:jc w:val="center"/>
        <w:rPr>
          <w:b/>
          <w:szCs w:val="22"/>
        </w:rPr>
      </w:pPr>
      <w:r w:rsidRPr="007F15BA">
        <w:rPr>
          <w:b/>
          <w:szCs w:val="22"/>
        </w:rPr>
        <w:t>III PRIEDAS</w:t>
      </w:r>
    </w:p>
    <w:p w14:paraId="50C9ADDE" w14:textId="77777777" w:rsidR="00DE3708" w:rsidRPr="007F15BA" w:rsidRDefault="00DE3708" w:rsidP="00307CD6">
      <w:pPr>
        <w:spacing w:line="240" w:lineRule="auto"/>
        <w:contextualSpacing/>
        <w:jc w:val="center"/>
        <w:rPr>
          <w:b/>
          <w:szCs w:val="22"/>
        </w:rPr>
      </w:pPr>
    </w:p>
    <w:p w14:paraId="642000DA" w14:textId="77777777" w:rsidR="00DE3708" w:rsidRPr="00D36517" w:rsidRDefault="00DE3708" w:rsidP="00307CD6">
      <w:pPr>
        <w:spacing w:line="240" w:lineRule="auto"/>
        <w:contextualSpacing/>
        <w:jc w:val="center"/>
        <w:rPr>
          <w:b/>
          <w:szCs w:val="22"/>
        </w:rPr>
      </w:pPr>
      <w:r w:rsidRPr="00D36517">
        <w:rPr>
          <w:b/>
          <w:szCs w:val="22"/>
        </w:rPr>
        <w:t>ŽENKLINIMAS IR PAKUOTĖS LAPELIS</w:t>
      </w:r>
    </w:p>
    <w:p w14:paraId="3ACD97EB" w14:textId="77777777" w:rsidR="00DE3708" w:rsidRPr="00D36517" w:rsidRDefault="00DE3708" w:rsidP="00307CD6">
      <w:pPr>
        <w:spacing w:line="240" w:lineRule="auto"/>
        <w:contextualSpacing/>
        <w:rPr>
          <w:szCs w:val="22"/>
        </w:rPr>
      </w:pPr>
    </w:p>
    <w:p w14:paraId="7C49DB59" w14:textId="77777777" w:rsidR="00DE3708" w:rsidRPr="001E6DB9" w:rsidRDefault="00DE3708" w:rsidP="00307CD6">
      <w:pPr>
        <w:spacing w:line="240" w:lineRule="auto"/>
        <w:contextualSpacing/>
        <w:rPr>
          <w:szCs w:val="22"/>
        </w:rPr>
      </w:pPr>
      <w:r w:rsidRPr="001E6DB9">
        <w:rPr>
          <w:szCs w:val="22"/>
        </w:rPr>
        <w:br w:type="page"/>
      </w:r>
    </w:p>
    <w:p w14:paraId="3870E263" w14:textId="77777777" w:rsidR="00DE3708" w:rsidRPr="001E6DB9" w:rsidRDefault="00DE3708" w:rsidP="00307CD6">
      <w:pPr>
        <w:spacing w:line="240" w:lineRule="auto"/>
        <w:contextualSpacing/>
        <w:rPr>
          <w:szCs w:val="22"/>
        </w:rPr>
      </w:pPr>
    </w:p>
    <w:p w14:paraId="5DA9CFF2" w14:textId="77777777" w:rsidR="00DE3708" w:rsidRPr="001E6DB9" w:rsidRDefault="00DE3708" w:rsidP="00307CD6">
      <w:pPr>
        <w:spacing w:line="240" w:lineRule="auto"/>
        <w:contextualSpacing/>
        <w:rPr>
          <w:szCs w:val="22"/>
        </w:rPr>
      </w:pPr>
    </w:p>
    <w:p w14:paraId="569B6AE7" w14:textId="77777777" w:rsidR="00DE3708" w:rsidRPr="001E6DB9" w:rsidRDefault="00DE3708" w:rsidP="00307CD6">
      <w:pPr>
        <w:spacing w:line="240" w:lineRule="auto"/>
        <w:contextualSpacing/>
        <w:rPr>
          <w:szCs w:val="22"/>
        </w:rPr>
      </w:pPr>
    </w:p>
    <w:p w14:paraId="236100A7" w14:textId="77777777" w:rsidR="00DE3708" w:rsidRPr="001E6DB9" w:rsidRDefault="00DE3708" w:rsidP="00307CD6">
      <w:pPr>
        <w:spacing w:line="240" w:lineRule="auto"/>
        <w:contextualSpacing/>
        <w:rPr>
          <w:szCs w:val="22"/>
        </w:rPr>
      </w:pPr>
    </w:p>
    <w:p w14:paraId="5B62CD40" w14:textId="77777777" w:rsidR="00DE3708" w:rsidRPr="001E6DB9" w:rsidRDefault="00DE3708" w:rsidP="00307CD6">
      <w:pPr>
        <w:spacing w:line="240" w:lineRule="auto"/>
        <w:contextualSpacing/>
        <w:rPr>
          <w:szCs w:val="22"/>
        </w:rPr>
      </w:pPr>
    </w:p>
    <w:p w14:paraId="7868EE22" w14:textId="77777777" w:rsidR="00DE3708" w:rsidRPr="001E6DB9" w:rsidRDefault="00DE3708" w:rsidP="00307CD6">
      <w:pPr>
        <w:spacing w:line="240" w:lineRule="auto"/>
        <w:contextualSpacing/>
        <w:rPr>
          <w:szCs w:val="22"/>
        </w:rPr>
      </w:pPr>
    </w:p>
    <w:p w14:paraId="6C847F0B" w14:textId="77777777" w:rsidR="00DE3708" w:rsidRPr="001E6DB9" w:rsidRDefault="00DE3708" w:rsidP="00307CD6">
      <w:pPr>
        <w:spacing w:line="240" w:lineRule="auto"/>
        <w:contextualSpacing/>
        <w:rPr>
          <w:szCs w:val="22"/>
        </w:rPr>
      </w:pPr>
    </w:p>
    <w:p w14:paraId="320AAA08" w14:textId="77777777" w:rsidR="00DE3708" w:rsidRPr="001E6DB9" w:rsidRDefault="00DE3708" w:rsidP="00307CD6">
      <w:pPr>
        <w:spacing w:line="240" w:lineRule="auto"/>
        <w:contextualSpacing/>
        <w:rPr>
          <w:szCs w:val="22"/>
        </w:rPr>
      </w:pPr>
    </w:p>
    <w:p w14:paraId="5E29B112" w14:textId="77777777" w:rsidR="00DE3708" w:rsidRPr="001E6DB9" w:rsidRDefault="00DE3708" w:rsidP="00307CD6">
      <w:pPr>
        <w:spacing w:line="240" w:lineRule="auto"/>
        <w:contextualSpacing/>
        <w:rPr>
          <w:szCs w:val="22"/>
        </w:rPr>
      </w:pPr>
    </w:p>
    <w:p w14:paraId="007AFA47" w14:textId="77777777" w:rsidR="00DE3708" w:rsidRPr="001E6DB9" w:rsidRDefault="00DE3708" w:rsidP="00307CD6">
      <w:pPr>
        <w:spacing w:line="240" w:lineRule="auto"/>
        <w:contextualSpacing/>
        <w:rPr>
          <w:szCs w:val="22"/>
        </w:rPr>
      </w:pPr>
    </w:p>
    <w:p w14:paraId="08E01724" w14:textId="77777777" w:rsidR="00DE3708" w:rsidRPr="001E6DB9" w:rsidRDefault="00DE3708" w:rsidP="00307CD6">
      <w:pPr>
        <w:spacing w:line="240" w:lineRule="auto"/>
        <w:contextualSpacing/>
        <w:rPr>
          <w:szCs w:val="22"/>
        </w:rPr>
      </w:pPr>
    </w:p>
    <w:p w14:paraId="17E46D0A" w14:textId="77777777" w:rsidR="00DE3708" w:rsidRPr="001E6DB9" w:rsidRDefault="00DE3708" w:rsidP="00307CD6">
      <w:pPr>
        <w:spacing w:line="240" w:lineRule="auto"/>
        <w:contextualSpacing/>
        <w:rPr>
          <w:szCs w:val="22"/>
        </w:rPr>
      </w:pPr>
    </w:p>
    <w:p w14:paraId="3137D703" w14:textId="77777777" w:rsidR="00DE3708" w:rsidRPr="001E6DB9" w:rsidRDefault="00DE3708" w:rsidP="00307CD6">
      <w:pPr>
        <w:spacing w:line="240" w:lineRule="auto"/>
        <w:contextualSpacing/>
        <w:rPr>
          <w:szCs w:val="22"/>
        </w:rPr>
      </w:pPr>
    </w:p>
    <w:p w14:paraId="46405D07" w14:textId="77777777" w:rsidR="00DE3708" w:rsidRPr="001E6DB9" w:rsidRDefault="00DE3708" w:rsidP="00307CD6">
      <w:pPr>
        <w:spacing w:line="240" w:lineRule="auto"/>
        <w:contextualSpacing/>
        <w:rPr>
          <w:szCs w:val="22"/>
        </w:rPr>
      </w:pPr>
    </w:p>
    <w:p w14:paraId="2E3DA9F3" w14:textId="77777777" w:rsidR="00DE3708" w:rsidRPr="001E6DB9" w:rsidRDefault="00DE3708" w:rsidP="00307CD6">
      <w:pPr>
        <w:spacing w:line="240" w:lineRule="auto"/>
        <w:contextualSpacing/>
        <w:rPr>
          <w:szCs w:val="22"/>
        </w:rPr>
      </w:pPr>
    </w:p>
    <w:p w14:paraId="0EADADB1" w14:textId="77777777" w:rsidR="00DE3708" w:rsidRPr="001E6DB9" w:rsidRDefault="00DE3708" w:rsidP="00307CD6">
      <w:pPr>
        <w:spacing w:line="240" w:lineRule="auto"/>
        <w:contextualSpacing/>
        <w:rPr>
          <w:szCs w:val="22"/>
        </w:rPr>
      </w:pPr>
    </w:p>
    <w:p w14:paraId="37ED0DAF" w14:textId="77777777" w:rsidR="00DE3708" w:rsidRPr="001E6DB9" w:rsidRDefault="00DE3708" w:rsidP="00307CD6">
      <w:pPr>
        <w:spacing w:line="240" w:lineRule="auto"/>
        <w:contextualSpacing/>
        <w:rPr>
          <w:szCs w:val="22"/>
        </w:rPr>
      </w:pPr>
    </w:p>
    <w:p w14:paraId="1C32B6C3" w14:textId="77777777" w:rsidR="00DE3708" w:rsidRPr="001E6DB9" w:rsidRDefault="00DE3708" w:rsidP="00307CD6">
      <w:pPr>
        <w:spacing w:line="240" w:lineRule="auto"/>
        <w:contextualSpacing/>
        <w:rPr>
          <w:szCs w:val="22"/>
        </w:rPr>
      </w:pPr>
    </w:p>
    <w:p w14:paraId="609A158E" w14:textId="77777777" w:rsidR="00DE3708" w:rsidRPr="001E6DB9" w:rsidRDefault="00DE3708" w:rsidP="00307CD6">
      <w:pPr>
        <w:spacing w:line="240" w:lineRule="auto"/>
        <w:contextualSpacing/>
        <w:rPr>
          <w:szCs w:val="22"/>
        </w:rPr>
      </w:pPr>
    </w:p>
    <w:p w14:paraId="1239C3B4" w14:textId="77777777" w:rsidR="00DE3708" w:rsidRPr="001E6DB9" w:rsidRDefault="00DE3708" w:rsidP="00307CD6">
      <w:pPr>
        <w:spacing w:line="240" w:lineRule="auto"/>
        <w:contextualSpacing/>
        <w:rPr>
          <w:szCs w:val="22"/>
        </w:rPr>
      </w:pPr>
    </w:p>
    <w:p w14:paraId="4D157F12" w14:textId="77777777" w:rsidR="00DE3708" w:rsidRPr="001E6DB9" w:rsidRDefault="00DE3708" w:rsidP="00307CD6">
      <w:pPr>
        <w:spacing w:line="240" w:lineRule="auto"/>
        <w:contextualSpacing/>
        <w:rPr>
          <w:szCs w:val="22"/>
        </w:rPr>
      </w:pPr>
    </w:p>
    <w:p w14:paraId="4CB8B599" w14:textId="77777777" w:rsidR="00DE3708" w:rsidRPr="001E6DB9" w:rsidRDefault="00DE3708" w:rsidP="00307CD6">
      <w:pPr>
        <w:spacing w:line="240" w:lineRule="auto"/>
        <w:contextualSpacing/>
        <w:rPr>
          <w:szCs w:val="22"/>
        </w:rPr>
      </w:pPr>
    </w:p>
    <w:p w14:paraId="651B832D" w14:textId="77777777" w:rsidR="00DE3708" w:rsidRPr="001E6DB9" w:rsidRDefault="00DE3708" w:rsidP="00307CD6">
      <w:pPr>
        <w:spacing w:line="240" w:lineRule="auto"/>
        <w:contextualSpacing/>
        <w:rPr>
          <w:szCs w:val="22"/>
        </w:rPr>
      </w:pPr>
    </w:p>
    <w:p w14:paraId="6B8431F5" w14:textId="77777777" w:rsidR="00DE3708" w:rsidRPr="001E6DB9" w:rsidRDefault="00DE3708" w:rsidP="00307CD6">
      <w:pPr>
        <w:numPr>
          <w:ilvl w:val="0"/>
          <w:numId w:val="17"/>
        </w:numPr>
        <w:tabs>
          <w:tab w:val="clear" w:pos="567"/>
        </w:tabs>
        <w:spacing w:line="240" w:lineRule="auto"/>
        <w:contextualSpacing/>
        <w:jc w:val="center"/>
        <w:rPr>
          <w:b/>
          <w:szCs w:val="22"/>
        </w:rPr>
      </w:pPr>
      <w:r w:rsidRPr="001E6DB9">
        <w:rPr>
          <w:b/>
          <w:szCs w:val="22"/>
        </w:rPr>
        <w:t>ŽENKLINIMAS</w:t>
      </w:r>
    </w:p>
    <w:p w14:paraId="497D7153"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1E6DB9">
        <w:rPr>
          <w:b/>
          <w:szCs w:val="22"/>
        </w:rPr>
        <w:br w:type="page"/>
      </w:r>
      <w:r w:rsidRPr="001E6DB9">
        <w:rPr>
          <w:b/>
          <w:szCs w:val="22"/>
        </w:rPr>
        <w:lastRenderedPageBreak/>
        <w:t>INFORMACIJA ANT IŠORINĖS PAKUOTĖS</w:t>
      </w:r>
    </w:p>
    <w:p w14:paraId="6C715797"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p>
    <w:p w14:paraId="533A1EE9"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1E6DB9">
        <w:rPr>
          <w:b/>
          <w:szCs w:val="22"/>
        </w:rPr>
        <w:t xml:space="preserve">KARTONO DĖŽUTĖ </w:t>
      </w:r>
    </w:p>
    <w:p w14:paraId="77C0AF93" w14:textId="77777777" w:rsidR="00DE3708" w:rsidRPr="001E6DB9" w:rsidRDefault="00DE3708" w:rsidP="00307CD6">
      <w:pPr>
        <w:spacing w:line="240" w:lineRule="auto"/>
        <w:contextualSpacing/>
        <w:rPr>
          <w:szCs w:val="22"/>
        </w:rPr>
      </w:pPr>
    </w:p>
    <w:p w14:paraId="361C9FED" w14:textId="77777777" w:rsidR="00DE3708" w:rsidRPr="001E6DB9" w:rsidRDefault="00DE3708" w:rsidP="00307CD6">
      <w:pPr>
        <w:spacing w:line="240" w:lineRule="auto"/>
        <w:contextualSpacing/>
        <w:rPr>
          <w:szCs w:val="22"/>
        </w:rPr>
      </w:pPr>
    </w:p>
    <w:p w14:paraId="033014F4"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1.</w:t>
      </w:r>
      <w:r w:rsidRPr="001E6DB9">
        <w:rPr>
          <w:b/>
          <w:szCs w:val="22"/>
        </w:rPr>
        <w:tab/>
        <w:t>VAISTINIO PREPARATO PAVADINIMAS</w:t>
      </w:r>
    </w:p>
    <w:p w14:paraId="66A07D8D" w14:textId="77777777" w:rsidR="00DE3708" w:rsidRPr="001E6DB9" w:rsidRDefault="00DE3708" w:rsidP="00307CD6">
      <w:pPr>
        <w:spacing w:line="240" w:lineRule="auto"/>
        <w:contextualSpacing/>
        <w:rPr>
          <w:szCs w:val="22"/>
        </w:rPr>
      </w:pPr>
    </w:p>
    <w:p w14:paraId="35FD6ACF" w14:textId="77777777" w:rsidR="00DE3708" w:rsidRPr="001E6DB9" w:rsidRDefault="00DE3708" w:rsidP="00307CD6">
      <w:pPr>
        <w:spacing w:line="240" w:lineRule="auto"/>
        <w:contextualSpacing/>
        <w:jc w:val="both"/>
        <w:rPr>
          <w:szCs w:val="22"/>
        </w:rPr>
      </w:pPr>
      <w:proofErr w:type="spellStart"/>
      <w:r w:rsidRPr="001E6DB9">
        <w:rPr>
          <w:szCs w:val="22"/>
        </w:rPr>
        <w:t>Suvartar</w:t>
      </w:r>
      <w:proofErr w:type="spellEnd"/>
      <w:r w:rsidRPr="001E6DB9">
        <w:rPr>
          <w:szCs w:val="22"/>
        </w:rPr>
        <w:t xml:space="preserve"> 80 mg plėvele dengtos tabletės</w:t>
      </w:r>
    </w:p>
    <w:p w14:paraId="55F756D9" w14:textId="77777777" w:rsidR="00DE3708" w:rsidRPr="001E6DB9" w:rsidRDefault="00DE3708" w:rsidP="00307CD6">
      <w:pPr>
        <w:spacing w:line="240" w:lineRule="auto"/>
        <w:contextualSpacing/>
        <w:jc w:val="both"/>
        <w:rPr>
          <w:szCs w:val="22"/>
          <w:highlight w:val="lightGray"/>
        </w:rPr>
      </w:pPr>
      <w:proofErr w:type="spellStart"/>
      <w:r w:rsidRPr="001E6DB9">
        <w:rPr>
          <w:szCs w:val="22"/>
          <w:highlight w:val="lightGray"/>
        </w:rPr>
        <w:t>Suvartar</w:t>
      </w:r>
      <w:proofErr w:type="spellEnd"/>
      <w:r w:rsidRPr="001E6DB9">
        <w:rPr>
          <w:szCs w:val="22"/>
          <w:highlight w:val="lightGray"/>
        </w:rPr>
        <w:t xml:space="preserve"> 160 mg plėvele dengtos tabletės</w:t>
      </w:r>
    </w:p>
    <w:p w14:paraId="0CCB9FE5" w14:textId="77777777" w:rsidR="00DE3708" w:rsidRPr="001E6DB9" w:rsidRDefault="00DE3708" w:rsidP="00307CD6">
      <w:pPr>
        <w:spacing w:line="240" w:lineRule="auto"/>
        <w:contextualSpacing/>
        <w:jc w:val="both"/>
        <w:rPr>
          <w:szCs w:val="22"/>
        </w:rPr>
      </w:pPr>
      <w:proofErr w:type="spellStart"/>
      <w:r w:rsidRPr="001E6DB9">
        <w:rPr>
          <w:szCs w:val="22"/>
          <w:highlight w:val="lightGray"/>
        </w:rPr>
        <w:t>Suvartar</w:t>
      </w:r>
      <w:proofErr w:type="spellEnd"/>
      <w:r w:rsidRPr="001E6DB9">
        <w:rPr>
          <w:szCs w:val="22"/>
          <w:highlight w:val="lightGray"/>
        </w:rPr>
        <w:t xml:space="preserve"> 320 mg plėvele dengtos tabletės</w:t>
      </w:r>
    </w:p>
    <w:p w14:paraId="7AC1DE98" w14:textId="77777777" w:rsidR="00DE3708" w:rsidRPr="001E6DB9" w:rsidRDefault="00DE3708" w:rsidP="00307CD6">
      <w:pPr>
        <w:spacing w:line="240" w:lineRule="auto"/>
        <w:contextualSpacing/>
        <w:jc w:val="both"/>
        <w:rPr>
          <w:szCs w:val="22"/>
        </w:rPr>
      </w:pPr>
    </w:p>
    <w:p w14:paraId="7A855537" w14:textId="1C0AF86F" w:rsidR="00DE3708" w:rsidRPr="001E6DB9" w:rsidRDefault="004E732B" w:rsidP="00307CD6">
      <w:pPr>
        <w:spacing w:line="240" w:lineRule="auto"/>
        <w:contextualSpacing/>
        <w:jc w:val="both"/>
        <w:rPr>
          <w:szCs w:val="22"/>
        </w:rPr>
      </w:pPr>
      <w:r>
        <w:rPr>
          <w:szCs w:val="22"/>
        </w:rPr>
        <w:t>v</w:t>
      </w:r>
      <w:r w:rsidR="00DE3708" w:rsidRPr="001E6DB9">
        <w:rPr>
          <w:szCs w:val="22"/>
        </w:rPr>
        <w:t>alsartanas</w:t>
      </w:r>
    </w:p>
    <w:p w14:paraId="682323AD" w14:textId="77777777" w:rsidR="00DE3708" w:rsidRPr="001E6DB9" w:rsidRDefault="00DE3708" w:rsidP="00307CD6">
      <w:pPr>
        <w:spacing w:line="240" w:lineRule="auto"/>
        <w:contextualSpacing/>
        <w:rPr>
          <w:szCs w:val="22"/>
        </w:rPr>
      </w:pPr>
    </w:p>
    <w:p w14:paraId="271C9810" w14:textId="77777777" w:rsidR="00DE3708" w:rsidRPr="001E6DB9" w:rsidRDefault="00DE3708" w:rsidP="00307CD6">
      <w:pPr>
        <w:spacing w:line="240" w:lineRule="auto"/>
        <w:contextualSpacing/>
        <w:rPr>
          <w:szCs w:val="22"/>
        </w:rPr>
      </w:pPr>
    </w:p>
    <w:p w14:paraId="0F026D17"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2.</w:t>
      </w:r>
      <w:r w:rsidRPr="001E6DB9">
        <w:rPr>
          <w:b/>
          <w:szCs w:val="22"/>
        </w:rPr>
        <w:tab/>
      </w:r>
      <w:r w:rsidRPr="001E6DB9">
        <w:rPr>
          <w:b/>
          <w:noProof/>
          <w:snapToGrid w:val="0"/>
          <w:szCs w:val="24"/>
        </w:rPr>
        <w:t>VEIKLIOJI (-IOS) MEDŽIAGA (-OS) IR JOS (-Ų) KIEKIS (-IAI)</w:t>
      </w:r>
    </w:p>
    <w:p w14:paraId="6B1FC593" w14:textId="77777777" w:rsidR="00DE3708" w:rsidRPr="001E6DB9" w:rsidRDefault="00DE3708" w:rsidP="00307CD6">
      <w:pPr>
        <w:spacing w:line="240" w:lineRule="auto"/>
        <w:contextualSpacing/>
        <w:rPr>
          <w:szCs w:val="22"/>
        </w:rPr>
      </w:pPr>
    </w:p>
    <w:p w14:paraId="3CEB7769" w14:textId="77777777" w:rsidR="00DE3708" w:rsidRPr="001E6DB9" w:rsidRDefault="00DE3708" w:rsidP="00307CD6">
      <w:pPr>
        <w:spacing w:line="240" w:lineRule="auto"/>
        <w:contextualSpacing/>
        <w:rPr>
          <w:szCs w:val="22"/>
        </w:rPr>
      </w:pPr>
      <w:r w:rsidRPr="001E6DB9">
        <w:rPr>
          <w:szCs w:val="22"/>
        </w:rPr>
        <w:t>Kiekvienoje plėvele dengtoje tabletėje yra 80 mg valsartano.</w:t>
      </w:r>
    </w:p>
    <w:p w14:paraId="3050DD46" w14:textId="77777777" w:rsidR="00DE3708" w:rsidRPr="001E6DB9" w:rsidRDefault="00DE3708" w:rsidP="00307CD6">
      <w:pPr>
        <w:spacing w:line="240" w:lineRule="auto"/>
        <w:contextualSpacing/>
        <w:rPr>
          <w:szCs w:val="22"/>
        </w:rPr>
      </w:pPr>
      <w:r w:rsidRPr="001E6DB9">
        <w:rPr>
          <w:szCs w:val="22"/>
          <w:highlight w:val="lightGray"/>
        </w:rPr>
        <w:t>Kiekvienoje plėvele dengtoje tabletėje yra 160 mg valsartano.</w:t>
      </w:r>
    </w:p>
    <w:p w14:paraId="29459003" w14:textId="77777777" w:rsidR="00DE3708" w:rsidRPr="00307CD6" w:rsidRDefault="00DE3708" w:rsidP="00307CD6">
      <w:pPr>
        <w:spacing w:line="240" w:lineRule="auto"/>
        <w:contextualSpacing/>
        <w:rPr>
          <w:szCs w:val="22"/>
        </w:rPr>
      </w:pPr>
      <w:r w:rsidRPr="001E6DB9">
        <w:rPr>
          <w:szCs w:val="22"/>
          <w:highlight w:val="lightGray"/>
        </w:rPr>
        <w:t>Kiekvienoje plėvele dengtoje tabletėje yra 320 mg valsartano.</w:t>
      </w:r>
    </w:p>
    <w:p w14:paraId="6CB284CD" w14:textId="77777777" w:rsidR="00DE3708" w:rsidRPr="007F15BA" w:rsidRDefault="00DE3708" w:rsidP="00307CD6">
      <w:pPr>
        <w:spacing w:line="240" w:lineRule="auto"/>
        <w:contextualSpacing/>
        <w:rPr>
          <w:szCs w:val="22"/>
        </w:rPr>
      </w:pPr>
    </w:p>
    <w:p w14:paraId="179D91C7" w14:textId="77777777" w:rsidR="00DE3708" w:rsidRPr="007F15BA" w:rsidRDefault="00DE3708" w:rsidP="00307CD6">
      <w:pPr>
        <w:spacing w:line="240" w:lineRule="auto"/>
        <w:contextualSpacing/>
        <w:rPr>
          <w:szCs w:val="22"/>
        </w:rPr>
      </w:pPr>
    </w:p>
    <w:p w14:paraId="12EE48F3" w14:textId="77777777" w:rsidR="00DE3708" w:rsidRPr="00D3651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D36517">
        <w:rPr>
          <w:b/>
          <w:szCs w:val="22"/>
        </w:rPr>
        <w:t>3.</w:t>
      </w:r>
      <w:r w:rsidRPr="00D36517">
        <w:rPr>
          <w:b/>
          <w:szCs w:val="22"/>
        </w:rPr>
        <w:tab/>
        <w:t>PAGALBINIŲ MEDŽIAGŲ SĄRAŠAS</w:t>
      </w:r>
    </w:p>
    <w:p w14:paraId="5A715AF5" w14:textId="77777777" w:rsidR="00DE3708" w:rsidRPr="00D36517" w:rsidRDefault="00DE3708" w:rsidP="00307CD6">
      <w:pPr>
        <w:spacing w:line="240" w:lineRule="auto"/>
        <w:contextualSpacing/>
        <w:rPr>
          <w:szCs w:val="22"/>
        </w:rPr>
      </w:pPr>
    </w:p>
    <w:p w14:paraId="49BB4A30" w14:textId="77777777" w:rsidR="00DE3708" w:rsidRPr="009F455C" w:rsidRDefault="00DE3708" w:rsidP="00307CD6">
      <w:pPr>
        <w:spacing w:line="240" w:lineRule="auto"/>
        <w:contextualSpacing/>
        <w:rPr>
          <w:szCs w:val="22"/>
        </w:rPr>
      </w:pPr>
    </w:p>
    <w:p w14:paraId="3119DD78" w14:textId="77777777" w:rsidR="00DE3708" w:rsidRPr="009F455C"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9F455C">
        <w:rPr>
          <w:b/>
          <w:szCs w:val="22"/>
        </w:rPr>
        <w:t>4.</w:t>
      </w:r>
      <w:r w:rsidRPr="009F455C">
        <w:rPr>
          <w:b/>
          <w:szCs w:val="22"/>
        </w:rPr>
        <w:tab/>
        <w:t>FARMACINĖ FORMA IR KIEKIS PAKUOTĖJE</w:t>
      </w:r>
    </w:p>
    <w:p w14:paraId="485209C1" w14:textId="77777777" w:rsidR="00DE3708" w:rsidRPr="001E6DB9" w:rsidRDefault="00DE3708" w:rsidP="00307CD6">
      <w:pPr>
        <w:pStyle w:val="Pagrindinistekstas"/>
        <w:contextualSpacing/>
        <w:rPr>
          <w:color w:val="auto"/>
          <w:szCs w:val="22"/>
        </w:rPr>
      </w:pPr>
    </w:p>
    <w:p w14:paraId="0E4CFDB1" w14:textId="77777777" w:rsidR="00DE3708" w:rsidRPr="001E6DB9" w:rsidRDefault="00DE3708" w:rsidP="00307CD6">
      <w:pPr>
        <w:pStyle w:val="Pagrindinistekstas"/>
        <w:contextualSpacing/>
        <w:rPr>
          <w:color w:val="auto"/>
          <w:szCs w:val="22"/>
        </w:rPr>
      </w:pPr>
      <w:r w:rsidRPr="001E6DB9">
        <w:rPr>
          <w:color w:val="auto"/>
          <w:szCs w:val="22"/>
          <w:highlight w:val="lightGray"/>
        </w:rPr>
        <w:t>Plėvele dengtos tabletės</w:t>
      </w:r>
    </w:p>
    <w:p w14:paraId="3AAD3B34" w14:textId="77777777" w:rsidR="00DE3708" w:rsidRPr="001E6DB9" w:rsidRDefault="00DE3708" w:rsidP="00307CD6">
      <w:pPr>
        <w:pStyle w:val="Pagrindinistekstas"/>
        <w:contextualSpacing/>
        <w:rPr>
          <w:color w:val="auto"/>
          <w:szCs w:val="22"/>
        </w:rPr>
      </w:pPr>
    </w:p>
    <w:p w14:paraId="22C513CF" w14:textId="77777777" w:rsidR="00DE3708" w:rsidRPr="00F50D13" w:rsidRDefault="00DE3708" w:rsidP="00307CD6">
      <w:pPr>
        <w:spacing w:line="240" w:lineRule="auto"/>
        <w:contextualSpacing/>
        <w:rPr>
          <w:szCs w:val="22"/>
        </w:rPr>
      </w:pPr>
      <w:r w:rsidRPr="00F50D13">
        <w:rPr>
          <w:szCs w:val="22"/>
        </w:rPr>
        <w:t>7 plėvele dengtos tabletės</w:t>
      </w:r>
    </w:p>
    <w:p w14:paraId="7D959E79" w14:textId="77777777" w:rsidR="00DE3708" w:rsidRPr="00F50D13" w:rsidRDefault="00DE3708" w:rsidP="00307CD6">
      <w:pPr>
        <w:spacing w:line="240" w:lineRule="auto"/>
        <w:contextualSpacing/>
        <w:rPr>
          <w:szCs w:val="22"/>
          <w:highlight w:val="lightGray"/>
        </w:rPr>
      </w:pPr>
      <w:r w:rsidRPr="00F50D13">
        <w:rPr>
          <w:szCs w:val="22"/>
          <w:highlight w:val="lightGray"/>
        </w:rPr>
        <w:t>10 plėvele dengtų tablečių</w:t>
      </w:r>
    </w:p>
    <w:p w14:paraId="6FED8396" w14:textId="77777777" w:rsidR="00DE3708" w:rsidRPr="00F91FD7" w:rsidRDefault="00DE3708" w:rsidP="00307CD6">
      <w:pPr>
        <w:spacing w:line="240" w:lineRule="auto"/>
        <w:contextualSpacing/>
        <w:rPr>
          <w:szCs w:val="22"/>
          <w:highlight w:val="lightGray"/>
        </w:rPr>
      </w:pPr>
      <w:r w:rsidRPr="00F91FD7">
        <w:rPr>
          <w:szCs w:val="22"/>
          <w:highlight w:val="lightGray"/>
        </w:rPr>
        <w:t>14 plėvele dengtų tablečių</w:t>
      </w:r>
    </w:p>
    <w:p w14:paraId="05DE069C" w14:textId="77777777" w:rsidR="00DE3708" w:rsidRPr="00F91FD7" w:rsidRDefault="00DE3708" w:rsidP="00307CD6">
      <w:pPr>
        <w:spacing w:line="240" w:lineRule="auto"/>
        <w:contextualSpacing/>
        <w:rPr>
          <w:szCs w:val="22"/>
          <w:highlight w:val="lightGray"/>
        </w:rPr>
      </w:pPr>
      <w:r w:rsidRPr="00F91FD7">
        <w:rPr>
          <w:szCs w:val="22"/>
          <w:highlight w:val="lightGray"/>
        </w:rPr>
        <w:t>15 plėvele dengtų tablečių</w:t>
      </w:r>
    </w:p>
    <w:p w14:paraId="31B03E8D" w14:textId="77777777" w:rsidR="00DE3708" w:rsidRPr="0078402A" w:rsidRDefault="00DE3708" w:rsidP="00307CD6">
      <w:pPr>
        <w:spacing w:line="240" w:lineRule="auto"/>
        <w:contextualSpacing/>
        <w:rPr>
          <w:szCs w:val="22"/>
          <w:highlight w:val="lightGray"/>
        </w:rPr>
      </w:pPr>
      <w:r w:rsidRPr="0078402A">
        <w:rPr>
          <w:szCs w:val="22"/>
          <w:highlight w:val="lightGray"/>
        </w:rPr>
        <w:t>20 plėvele dengtų tablečių</w:t>
      </w:r>
    </w:p>
    <w:p w14:paraId="515C83AF" w14:textId="77777777" w:rsidR="00DE3708" w:rsidRPr="00307CD6" w:rsidRDefault="00DE3708" w:rsidP="00307CD6">
      <w:pPr>
        <w:spacing w:line="240" w:lineRule="auto"/>
        <w:contextualSpacing/>
        <w:rPr>
          <w:szCs w:val="22"/>
          <w:highlight w:val="lightGray"/>
        </w:rPr>
      </w:pPr>
      <w:r w:rsidRPr="00307CD6">
        <w:rPr>
          <w:szCs w:val="22"/>
          <w:highlight w:val="lightGray"/>
        </w:rPr>
        <w:t>28 plėvele dengtos tabletės</w:t>
      </w:r>
    </w:p>
    <w:p w14:paraId="6534AFF5" w14:textId="77777777" w:rsidR="00DE3708" w:rsidRPr="00307CD6" w:rsidRDefault="00DE3708" w:rsidP="00307CD6">
      <w:pPr>
        <w:spacing w:line="240" w:lineRule="auto"/>
        <w:contextualSpacing/>
        <w:rPr>
          <w:szCs w:val="22"/>
          <w:highlight w:val="lightGray"/>
        </w:rPr>
      </w:pPr>
      <w:r w:rsidRPr="00307CD6">
        <w:rPr>
          <w:szCs w:val="22"/>
          <w:highlight w:val="lightGray"/>
        </w:rPr>
        <w:t>30 plėvele dengtų tablečių</w:t>
      </w:r>
    </w:p>
    <w:p w14:paraId="314F2C9C" w14:textId="77777777" w:rsidR="00DE3708" w:rsidRPr="007F15BA" w:rsidRDefault="00DE3708" w:rsidP="00307CD6">
      <w:pPr>
        <w:spacing w:line="240" w:lineRule="auto"/>
        <w:contextualSpacing/>
        <w:rPr>
          <w:szCs w:val="22"/>
          <w:highlight w:val="lightGray"/>
        </w:rPr>
      </w:pPr>
      <w:r w:rsidRPr="007F15BA">
        <w:rPr>
          <w:szCs w:val="22"/>
          <w:highlight w:val="lightGray"/>
        </w:rPr>
        <w:t>50 plėvele dengtų tablečių</w:t>
      </w:r>
    </w:p>
    <w:p w14:paraId="456F3802" w14:textId="77777777" w:rsidR="00DE3708" w:rsidRPr="007F15BA" w:rsidRDefault="00DE3708" w:rsidP="00307CD6">
      <w:pPr>
        <w:spacing w:line="240" w:lineRule="auto"/>
        <w:contextualSpacing/>
        <w:rPr>
          <w:szCs w:val="22"/>
          <w:highlight w:val="lightGray"/>
        </w:rPr>
      </w:pPr>
      <w:r w:rsidRPr="007F15BA">
        <w:rPr>
          <w:szCs w:val="22"/>
          <w:highlight w:val="lightGray"/>
        </w:rPr>
        <w:t>50x1 plėvele dengtų tablečių</w:t>
      </w:r>
    </w:p>
    <w:p w14:paraId="56C48EAD" w14:textId="77777777" w:rsidR="00DE3708" w:rsidRPr="00D36517" w:rsidRDefault="00DE3708" w:rsidP="00307CD6">
      <w:pPr>
        <w:spacing w:line="240" w:lineRule="auto"/>
        <w:contextualSpacing/>
        <w:rPr>
          <w:szCs w:val="22"/>
          <w:highlight w:val="lightGray"/>
        </w:rPr>
      </w:pPr>
      <w:r w:rsidRPr="00D36517">
        <w:rPr>
          <w:szCs w:val="22"/>
          <w:highlight w:val="lightGray"/>
        </w:rPr>
        <w:t>56 plėvele dengtos tabletės</w:t>
      </w:r>
    </w:p>
    <w:p w14:paraId="4DA2568B" w14:textId="77777777" w:rsidR="00DE3708" w:rsidRPr="00D36517" w:rsidRDefault="00DE3708" w:rsidP="00307CD6">
      <w:pPr>
        <w:spacing w:line="240" w:lineRule="auto"/>
        <w:contextualSpacing/>
        <w:rPr>
          <w:szCs w:val="22"/>
          <w:highlight w:val="lightGray"/>
        </w:rPr>
      </w:pPr>
      <w:r w:rsidRPr="00D36517">
        <w:rPr>
          <w:szCs w:val="22"/>
          <w:highlight w:val="lightGray"/>
        </w:rPr>
        <w:t>60 plėvele dengtų tablečių</w:t>
      </w:r>
    </w:p>
    <w:p w14:paraId="67DEE836" w14:textId="77777777" w:rsidR="00DE3708" w:rsidRPr="009F455C" w:rsidRDefault="00DE3708" w:rsidP="00307CD6">
      <w:pPr>
        <w:spacing w:line="240" w:lineRule="auto"/>
        <w:contextualSpacing/>
        <w:rPr>
          <w:szCs w:val="22"/>
          <w:highlight w:val="lightGray"/>
        </w:rPr>
      </w:pPr>
      <w:r w:rsidRPr="009F455C">
        <w:rPr>
          <w:szCs w:val="22"/>
          <w:highlight w:val="lightGray"/>
        </w:rPr>
        <w:t>84 plėvele dengtos tabletės</w:t>
      </w:r>
    </w:p>
    <w:p w14:paraId="6D7F5806" w14:textId="77777777" w:rsidR="00DE3708" w:rsidRPr="009F455C" w:rsidRDefault="00DE3708" w:rsidP="00307CD6">
      <w:pPr>
        <w:spacing w:line="240" w:lineRule="auto"/>
        <w:contextualSpacing/>
        <w:rPr>
          <w:szCs w:val="22"/>
          <w:highlight w:val="lightGray"/>
        </w:rPr>
      </w:pPr>
      <w:r w:rsidRPr="009F455C">
        <w:rPr>
          <w:szCs w:val="22"/>
          <w:highlight w:val="lightGray"/>
        </w:rPr>
        <w:t>90 plėvele dengtų tablečių</w:t>
      </w:r>
    </w:p>
    <w:p w14:paraId="4960DA69" w14:textId="77777777" w:rsidR="00DE3708" w:rsidRPr="00FB60E5" w:rsidRDefault="00DE3708" w:rsidP="00307CD6">
      <w:pPr>
        <w:spacing w:line="240" w:lineRule="auto"/>
        <w:contextualSpacing/>
        <w:rPr>
          <w:szCs w:val="22"/>
          <w:highlight w:val="lightGray"/>
        </w:rPr>
      </w:pPr>
      <w:r w:rsidRPr="00FB60E5">
        <w:rPr>
          <w:szCs w:val="22"/>
          <w:highlight w:val="lightGray"/>
        </w:rPr>
        <w:t>98 plėvele dengtos tabletės</w:t>
      </w:r>
    </w:p>
    <w:p w14:paraId="23A7CE48" w14:textId="77777777" w:rsidR="00DE3708" w:rsidRPr="00FB60E5" w:rsidRDefault="00DE3708" w:rsidP="00307CD6">
      <w:pPr>
        <w:spacing w:line="240" w:lineRule="auto"/>
        <w:contextualSpacing/>
        <w:rPr>
          <w:szCs w:val="22"/>
          <w:highlight w:val="lightGray"/>
        </w:rPr>
      </w:pPr>
      <w:r w:rsidRPr="00FB60E5">
        <w:rPr>
          <w:szCs w:val="22"/>
          <w:highlight w:val="lightGray"/>
        </w:rPr>
        <w:t>100 plėvele dengtų tablečių</w:t>
      </w:r>
    </w:p>
    <w:p w14:paraId="77A1555A" w14:textId="77777777" w:rsidR="00DE3708" w:rsidRPr="001765A8" w:rsidRDefault="00DE3708" w:rsidP="00307CD6">
      <w:pPr>
        <w:spacing w:line="240" w:lineRule="auto"/>
        <w:contextualSpacing/>
        <w:rPr>
          <w:szCs w:val="22"/>
        </w:rPr>
      </w:pPr>
      <w:r w:rsidRPr="001765A8">
        <w:rPr>
          <w:szCs w:val="22"/>
          <w:highlight w:val="lightGray"/>
        </w:rPr>
        <w:t>280 plėvele dengtų tablečių</w:t>
      </w:r>
    </w:p>
    <w:p w14:paraId="03545C8E" w14:textId="77777777" w:rsidR="00DE3708" w:rsidRPr="001E6DB9" w:rsidRDefault="00DE3708" w:rsidP="00307CD6">
      <w:pPr>
        <w:spacing w:line="240" w:lineRule="auto"/>
        <w:contextualSpacing/>
        <w:rPr>
          <w:szCs w:val="22"/>
        </w:rPr>
      </w:pPr>
    </w:p>
    <w:p w14:paraId="566F54A1" w14:textId="77777777" w:rsidR="00DE3708" w:rsidRPr="001E6DB9" w:rsidRDefault="00DE3708" w:rsidP="00307CD6">
      <w:pPr>
        <w:spacing w:line="240" w:lineRule="auto"/>
        <w:contextualSpacing/>
        <w:rPr>
          <w:szCs w:val="22"/>
        </w:rPr>
      </w:pPr>
    </w:p>
    <w:p w14:paraId="080E824E"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1E6DB9">
        <w:rPr>
          <w:b/>
          <w:szCs w:val="22"/>
        </w:rPr>
        <w:t>5.</w:t>
      </w:r>
      <w:r w:rsidRPr="001E6DB9">
        <w:rPr>
          <w:b/>
          <w:szCs w:val="22"/>
        </w:rPr>
        <w:tab/>
        <w:t>VARTOJIMO METODAS IR BŪDAS (-AI)</w:t>
      </w:r>
    </w:p>
    <w:p w14:paraId="2FA99E56" w14:textId="77777777" w:rsidR="00DE3708" w:rsidRPr="001E6DB9" w:rsidRDefault="00DE3708" w:rsidP="00307CD6">
      <w:pPr>
        <w:spacing w:line="240" w:lineRule="auto"/>
        <w:contextualSpacing/>
        <w:rPr>
          <w:szCs w:val="22"/>
        </w:rPr>
      </w:pPr>
    </w:p>
    <w:p w14:paraId="192C2555" w14:textId="77777777" w:rsidR="00DE3708" w:rsidRPr="001E6DB9" w:rsidRDefault="00DE3708" w:rsidP="00307CD6">
      <w:pPr>
        <w:spacing w:line="240" w:lineRule="auto"/>
        <w:contextualSpacing/>
        <w:rPr>
          <w:szCs w:val="22"/>
        </w:rPr>
      </w:pPr>
      <w:r w:rsidRPr="001E6DB9">
        <w:rPr>
          <w:szCs w:val="22"/>
        </w:rPr>
        <w:t>Vartoti per burną.</w:t>
      </w:r>
    </w:p>
    <w:p w14:paraId="4DA0EA6C" w14:textId="77777777" w:rsidR="00DE3708" w:rsidRPr="001E6DB9" w:rsidRDefault="00DE3708" w:rsidP="00307CD6">
      <w:pPr>
        <w:spacing w:line="240" w:lineRule="auto"/>
        <w:contextualSpacing/>
        <w:rPr>
          <w:szCs w:val="22"/>
        </w:rPr>
      </w:pPr>
      <w:r w:rsidRPr="001E6DB9">
        <w:rPr>
          <w:szCs w:val="22"/>
        </w:rPr>
        <w:t>Prieš vartojimą perskaitykite pakuotės lapelį.</w:t>
      </w:r>
    </w:p>
    <w:p w14:paraId="314E0215" w14:textId="77777777" w:rsidR="00DE3708" w:rsidRPr="001E6DB9" w:rsidRDefault="00DE3708" w:rsidP="00307CD6">
      <w:pPr>
        <w:spacing w:line="240" w:lineRule="auto"/>
        <w:contextualSpacing/>
        <w:rPr>
          <w:szCs w:val="22"/>
        </w:rPr>
      </w:pPr>
    </w:p>
    <w:p w14:paraId="18B2B919" w14:textId="77777777" w:rsidR="00DE3708" w:rsidRPr="001E6DB9" w:rsidRDefault="00DE3708" w:rsidP="00307CD6">
      <w:pPr>
        <w:spacing w:line="240" w:lineRule="auto"/>
        <w:contextualSpacing/>
        <w:rPr>
          <w:szCs w:val="22"/>
        </w:rPr>
      </w:pPr>
    </w:p>
    <w:p w14:paraId="1B73A2EA"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6.</w:t>
      </w:r>
      <w:r w:rsidRPr="001E6DB9">
        <w:rPr>
          <w:b/>
          <w:szCs w:val="22"/>
        </w:rPr>
        <w:tab/>
        <w:t>SPECIALUS ĮSPĖJIMAS, KAD VAISTINĮ PREPARATĄ BŪTINA LAIKYTI VAIKAMS NEPASTEBIMOJE IR NEPASIEKIAMOJE VIETOJE</w:t>
      </w:r>
    </w:p>
    <w:p w14:paraId="3E3DB2A4" w14:textId="77777777" w:rsidR="00DE3708" w:rsidRPr="001E6DB9" w:rsidRDefault="00DE3708" w:rsidP="00307CD6">
      <w:pPr>
        <w:spacing w:line="240" w:lineRule="auto"/>
        <w:contextualSpacing/>
        <w:rPr>
          <w:szCs w:val="22"/>
        </w:rPr>
      </w:pPr>
    </w:p>
    <w:p w14:paraId="5FFB09EE" w14:textId="77777777" w:rsidR="00DE3708" w:rsidRPr="001E6DB9" w:rsidRDefault="00DE3708" w:rsidP="00307CD6">
      <w:pPr>
        <w:spacing w:line="240" w:lineRule="auto"/>
        <w:contextualSpacing/>
        <w:rPr>
          <w:szCs w:val="22"/>
        </w:rPr>
      </w:pPr>
      <w:r w:rsidRPr="001E6DB9">
        <w:rPr>
          <w:szCs w:val="22"/>
        </w:rPr>
        <w:lastRenderedPageBreak/>
        <w:t>Laikyti vaikams nepastebimoje ir nepasiekiamoje vietoje.</w:t>
      </w:r>
    </w:p>
    <w:p w14:paraId="3CB8CCD2" w14:textId="77777777" w:rsidR="00DE3708" w:rsidRPr="001E6DB9" w:rsidRDefault="00DE3708" w:rsidP="00307CD6">
      <w:pPr>
        <w:spacing w:line="240" w:lineRule="auto"/>
        <w:contextualSpacing/>
        <w:rPr>
          <w:szCs w:val="22"/>
        </w:rPr>
      </w:pPr>
    </w:p>
    <w:p w14:paraId="18967A92" w14:textId="77777777" w:rsidR="00DE3708" w:rsidRPr="001E6DB9" w:rsidRDefault="00DE3708" w:rsidP="00307CD6">
      <w:pPr>
        <w:spacing w:line="240" w:lineRule="auto"/>
        <w:contextualSpacing/>
        <w:rPr>
          <w:szCs w:val="22"/>
        </w:rPr>
      </w:pPr>
    </w:p>
    <w:p w14:paraId="5FE8E431"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1E6DB9">
        <w:rPr>
          <w:b/>
          <w:szCs w:val="22"/>
        </w:rPr>
        <w:t>7.</w:t>
      </w:r>
      <w:r w:rsidRPr="001E6DB9">
        <w:rPr>
          <w:b/>
          <w:szCs w:val="22"/>
        </w:rPr>
        <w:tab/>
      </w:r>
      <w:r w:rsidRPr="001E6DB9">
        <w:rPr>
          <w:b/>
          <w:noProof/>
          <w:snapToGrid w:val="0"/>
          <w:szCs w:val="24"/>
        </w:rPr>
        <w:t>KITAS (-I) SPECIALUS (-ŪS) ĮSPĖJIMAS (-AI) (JEI REIKIA)</w:t>
      </w:r>
    </w:p>
    <w:p w14:paraId="04870BA3" w14:textId="77777777" w:rsidR="00DE3708" w:rsidRPr="001E6DB9" w:rsidRDefault="00DE3708" w:rsidP="00307CD6">
      <w:pPr>
        <w:spacing w:line="240" w:lineRule="auto"/>
        <w:contextualSpacing/>
        <w:rPr>
          <w:szCs w:val="22"/>
        </w:rPr>
      </w:pPr>
    </w:p>
    <w:p w14:paraId="4BD62BE7" w14:textId="77777777" w:rsidR="00DE3708" w:rsidRPr="001E6DB9" w:rsidRDefault="00DE3708" w:rsidP="00307CD6">
      <w:pPr>
        <w:spacing w:line="240" w:lineRule="auto"/>
        <w:contextualSpacing/>
        <w:rPr>
          <w:szCs w:val="22"/>
        </w:rPr>
      </w:pPr>
    </w:p>
    <w:p w14:paraId="725F25E4"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1E6DB9">
        <w:rPr>
          <w:b/>
          <w:szCs w:val="22"/>
        </w:rPr>
        <w:t>8.</w:t>
      </w:r>
      <w:r w:rsidRPr="001E6DB9">
        <w:rPr>
          <w:b/>
          <w:szCs w:val="22"/>
        </w:rPr>
        <w:tab/>
        <w:t>TINKAMUMO LAIKAS</w:t>
      </w:r>
    </w:p>
    <w:p w14:paraId="473D8806" w14:textId="77777777" w:rsidR="00DE3708" w:rsidRPr="001E6DB9" w:rsidRDefault="00DE3708" w:rsidP="00307CD6">
      <w:pPr>
        <w:spacing w:line="240" w:lineRule="auto"/>
        <w:contextualSpacing/>
        <w:rPr>
          <w:szCs w:val="22"/>
        </w:rPr>
      </w:pPr>
    </w:p>
    <w:p w14:paraId="1E98331C" w14:textId="77777777" w:rsidR="00DE3708" w:rsidRPr="001E6DB9" w:rsidRDefault="00F50D13" w:rsidP="00307CD6">
      <w:pPr>
        <w:pStyle w:val="Pagrindinistekstas"/>
        <w:contextualSpacing/>
        <w:rPr>
          <w:i w:val="0"/>
          <w:color w:val="auto"/>
          <w:szCs w:val="22"/>
        </w:rPr>
      </w:pPr>
      <w:r>
        <w:rPr>
          <w:i w:val="0"/>
          <w:color w:val="auto"/>
          <w:szCs w:val="22"/>
        </w:rPr>
        <w:t>EXP</w:t>
      </w:r>
      <w:r w:rsidR="00DE3708" w:rsidRPr="001E6DB9">
        <w:rPr>
          <w:i w:val="0"/>
          <w:color w:val="auto"/>
          <w:szCs w:val="22"/>
        </w:rPr>
        <w:t xml:space="preserve">{mm MMMM} </w:t>
      </w:r>
    </w:p>
    <w:p w14:paraId="4FED8659" w14:textId="77777777" w:rsidR="00DE3708" w:rsidRPr="00F50D13" w:rsidRDefault="00DE3708" w:rsidP="00307CD6">
      <w:pPr>
        <w:spacing w:line="240" w:lineRule="auto"/>
        <w:contextualSpacing/>
        <w:rPr>
          <w:szCs w:val="22"/>
        </w:rPr>
      </w:pPr>
    </w:p>
    <w:p w14:paraId="6647E19E" w14:textId="77777777" w:rsidR="00DE3708" w:rsidRPr="00F50D13" w:rsidRDefault="00DE3708" w:rsidP="00307CD6">
      <w:pPr>
        <w:spacing w:line="240" w:lineRule="auto"/>
        <w:contextualSpacing/>
        <w:rPr>
          <w:szCs w:val="22"/>
        </w:rPr>
      </w:pPr>
    </w:p>
    <w:p w14:paraId="6EA749B4" w14:textId="77777777" w:rsidR="00DE3708" w:rsidRPr="00F91FD7" w:rsidRDefault="00DE3708" w:rsidP="00307CD6">
      <w:pPr>
        <w:pBdr>
          <w:top w:val="single" w:sz="4" w:space="1" w:color="auto"/>
          <w:left w:val="single" w:sz="4" w:space="4" w:color="auto"/>
          <w:bottom w:val="single" w:sz="4" w:space="0" w:color="auto"/>
          <w:right w:val="single" w:sz="4" w:space="4" w:color="auto"/>
        </w:pBdr>
        <w:spacing w:line="240" w:lineRule="auto"/>
        <w:ind w:left="567" w:hanging="567"/>
        <w:contextualSpacing/>
        <w:rPr>
          <w:b/>
          <w:szCs w:val="22"/>
        </w:rPr>
      </w:pPr>
      <w:r w:rsidRPr="00F91FD7">
        <w:rPr>
          <w:b/>
          <w:szCs w:val="22"/>
        </w:rPr>
        <w:t>9.</w:t>
      </w:r>
      <w:r w:rsidRPr="00F91FD7">
        <w:rPr>
          <w:b/>
          <w:szCs w:val="22"/>
        </w:rPr>
        <w:tab/>
        <w:t>SPECIALIOS LAIKYMO SĄLYGOS</w:t>
      </w:r>
    </w:p>
    <w:p w14:paraId="22C38065" w14:textId="77777777" w:rsidR="00DE3708" w:rsidRPr="00F91FD7" w:rsidRDefault="00DE3708" w:rsidP="00307CD6">
      <w:pPr>
        <w:spacing w:line="240" w:lineRule="auto"/>
        <w:contextualSpacing/>
        <w:rPr>
          <w:szCs w:val="22"/>
        </w:rPr>
      </w:pPr>
    </w:p>
    <w:p w14:paraId="41215BDD" w14:textId="77777777" w:rsidR="00DE3708" w:rsidRPr="001E6DB9" w:rsidRDefault="00DE3708" w:rsidP="00307CD6">
      <w:pPr>
        <w:pStyle w:val="Pagrindinistekstas"/>
        <w:contextualSpacing/>
        <w:rPr>
          <w:i w:val="0"/>
          <w:color w:val="auto"/>
          <w:szCs w:val="22"/>
        </w:rPr>
      </w:pPr>
      <w:r w:rsidRPr="001E6DB9">
        <w:rPr>
          <w:i w:val="0"/>
          <w:color w:val="auto"/>
          <w:szCs w:val="22"/>
        </w:rPr>
        <w:t>Laikyti ne aukštesnėje kaip 30</w:t>
      </w:r>
      <w:r w:rsidR="00617EBE">
        <w:rPr>
          <w:i w:val="0"/>
          <w:color w:val="auto"/>
          <w:szCs w:val="22"/>
        </w:rPr>
        <w:t> </w:t>
      </w:r>
      <w:r w:rsidRPr="001E6DB9">
        <w:rPr>
          <w:i w:val="0"/>
          <w:color w:val="auto"/>
          <w:szCs w:val="22"/>
        </w:rPr>
        <w:sym w:font="Symbol" w:char="F0B0"/>
      </w:r>
      <w:r w:rsidRPr="001E6DB9">
        <w:rPr>
          <w:i w:val="0"/>
          <w:color w:val="auto"/>
          <w:szCs w:val="22"/>
        </w:rPr>
        <w:t>C temperatūroje.</w:t>
      </w:r>
    </w:p>
    <w:p w14:paraId="37CDF777" w14:textId="77777777" w:rsidR="00DE3708" w:rsidRPr="001E6DB9" w:rsidRDefault="00DE3708" w:rsidP="00307CD6">
      <w:pPr>
        <w:pStyle w:val="Pagrindinistekstas"/>
        <w:contextualSpacing/>
        <w:rPr>
          <w:i w:val="0"/>
          <w:color w:val="auto"/>
          <w:szCs w:val="22"/>
        </w:rPr>
      </w:pPr>
      <w:r w:rsidRPr="001E6DB9">
        <w:rPr>
          <w:i w:val="0"/>
          <w:color w:val="auto"/>
          <w:szCs w:val="22"/>
        </w:rPr>
        <w:t xml:space="preserve">Laikyti gamintojo pakuotėje, kad </w:t>
      </w:r>
      <w:r w:rsidR="00F91FD7">
        <w:rPr>
          <w:i w:val="0"/>
          <w:color w:val="auto"/>
          <w:szCs w:val="22"/>
        </w:rPr>
        <w:t>vaistas</w:t>
      </w:r>
      <w:r w:rsidR="00F91FD7" w:rsidRPr="001E6DB9">
        <w:rPr>
          <w:i w:val="0"/>
          <w:color w:val="auto"/>
          <w:szCs w:val="22"/>
        </w:rPr>
        <w:t xml:space="preserve"> </w:t>
      </w:r>
      <w:r w:rsidRPr="001E6DB9">
        <w:rPr>
          <w:i w:val="0"/>
          <w:color w:val="auto"/>
          <w:szCs w:val="22"/>
        </w:rPr>
        <w:t>būtų apsaugotas nuo drėgmės.</w:t>
      </w:r>
    </w:p>
    <w:p w14:paraId="739B6353" w14:textId="77777777" w:rsidR="00DE3708" w:rsidRPr="001E6DB9" w:rsidRDefault="00DE3708" w:rsidP="00307CD6">
      <w:pPr>
        <w:pStyle w:val="Pagrindinistekstas"/>
        <w:contextualSpacing/>
        <w:rPr>
          <w:i w:val="0"/>
          <w:color w:val="auto"/>
          <w:szCs w:val="22"/>
        </w:rPr>
      </w:pPr>
    </w:p>
    <w:p w14:paraId="2B3E51DA" w14:textId="77777777" w:rsidR="00DE3708" w:rsidRPr="001E6DB9" w:rsidRDefault="00DE3708" w:rsidP="00307CD6">
      <w:pPr>
        <w:pStyle w:val="Pagrindinistekstas"/>
        <w:contextualSpacing/>
        <w:rPr>
          <w:i w:val="0"/>
          <w:color w:val="auto"/>
          <w:szCs w:val="22"/>
        </w:rPr>
      </w:pPr>
    </w:p>
    <w:p w14:paraId="10D6E4DA" w14:textId="77777777" w:rsidR="00DE3708" w:rsidRPr="00F50D13"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50D13">
        <w:rPr>
          <w:b/>
          <w:szCs w:val="22"/>
        </w:rPr>
        <w:t>10.</w:t>
      </w:r>
      <w:r w:rsidRPr="00F50D13">
        <w:rPr>
          <w:b/>
          <w:szCs w:val="22"/>
        </w:rPr>
        <w:tab/>
        <w:t>SPECIALIOS ATSARGUMO PRIEMONĖS DĖL NESUVARTOTO VAISTINIO PREPARATO AR JO ATLIEKŲ TVARKYMO (JEI REIKIA)</w:t>
      </w:r>
    </w:p>
    <w:p w14:paraId="1F162BB4" w14:textId="77777777" w:rsidR="00DE3708" w:rsidRPr="00F50D13" w:rsidRDefault="00DE3708" w:rsidP="00307CD6">
      <w:pPr>
        <w:spacing w:line="240" w:lineRule="auto"/>
        <w:contextualSpacing/>
        <w:rPr>
          <w:szCs w:val="22"/>
        </w:rPr>
      </w:pPr>
    </w:p>
    <w:p w14:paraId="30976E2F" w14:textId="77777777" w:rsidR="00DE3708" w:rsidRPr="00F91FD7" w:rsidRDefault="00DE3708" w:rsidP="00307CD6">
      <w:pPr>
        <w:spacing w:line="240" w:lineRule="auto"/>
        <w:contextualSpacing/>
        <w:rPr>
          <w:szCs w:val="22"/>
        </w:rPr>
      </w:pPr>
    </w:p>
    <w:p w14:paraId="3C6ADA17"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11.</w:t>
      </w:r>
      <w:r w:rsidRPr="00F91FD7">
        <w:rPr>
          <w:b/>
          <w:szCs w:val="22"/>
        </w:rPr>
        <w:tab/>
        <w:t>REGISTRUOTOJO PAVADINIMAS IR ADRESAS</w:t>
      </w:r>
    </w:p>
    <w:p w14:paraId="6A3D761A" w14:textId="77777777" w:rsidR="00DE3708" w:rsidRPr="0078402A" w:rsidRDefault="00DE3708" w:rsidP="00307CD6">
      <w:pPr>
        <w:spacing w:line="240" w:lineRule="auto"/>
        <w:contextualSpacing/>
        <w:rPr>
          <w:szCs w:val="22"/>
        </w:rPr>
      </w:pPr>
    </w:p>
    <w:p w14:paraId="52E8A3CD" w14:textId="77777777" w:rsidR="00DE3708" w:rsidRPr="00307CD6" w:rsidRDefault="00DE3708" w:rsidP="00307CD6">
      <w:pPr>
        <w:spacing w:line="240" w:lineRule="auto"/>
        <w:contextualSpacing/>
        <w:rPr>
          <w:szCs w:val="22"/>
        </w:rPr>
      </w:pPr>
      <w:proofErr w:type="spellStart"/>
      <w:r w:rsidRPr="00307CD6">
        <w:rPr>
          <w:szCs w:val="22"/>
        </w:rPr>
        <w:t>Sandoz</w:t>
      </w:r>
      <w:proofErr w:type="spellEnd"/>
      <w:r w:rsidRPr="00307CD6">
        <w:rPr>
          <w:szCs w:val="22"/>
        </w:rPr>
        <w:t xml:space="preserve"> </w:t>
      </w:r>
      <w:proofErr w:type="spellStart"/>
      <w:r w:rsidRPr="00307CD6">
        <w:rPr>
          <w:szCs w:val="22"/>
        </w:rPr>
        <w:t>d.d</w:t>
      </w:r>
      <w:proofErr w:type="spellEnd"/>
      <w:r w:rsidRPr="00307CD6">
        <w:rPr>
          <w:szCs w:val="22"/>
        </w:rPr>
        <w:t>.</w:t>
      </w:r>
    </w:p>
    <w:p w14:paraId="41E0DFF1" w14:textId="77777777" w:rsidR="00DE3708" w:rsidRPr="00307CD6" w:rsidRDefault="00DE3708" w:rsidP="00307CD6">
      <w:pPr>
        <w:spacing w:line="240" w:lineRule="auto"/>
        <w:contextualSpacing/>
        <w:rPr>
          <w:szCs w:val="22"/>
        </w:rPr>
      </w:pPr>
      <w:proofErr w:type="spellStart"/>
      <w:r w:rsidRPr="00307CD6">
        <w:rPr>
          <w:szCs w:val="22"/>
        </w:rPr>
        <w:t>Verovškova</w:t>
      </w:r>
      <w:proofErr w:type="spellEnd"/>
      <w:r w:rsidRPr="00307CD6">
        <w:rPr>
          <w:szCs w:val="22"/>
        </w:rPr>
        <w:t xml:space="preserve"> 57</w:t>
      </w:r>
    </w:p>
    <w:p w14:paraId="6AFBECAD" w14:textId="77777777" w:rsidR="00DE3708" w:rsidRPr="007F15BA" w:rsidRDefault="00DE3708" w:rsidP="00307CD6">
      <w:pPr>
        <w:spacing w:line="240" w:lineRule="auto"/>
        <w:contextualSpacing/>
        <w:rPr>
          <w:szCs w:val="22"/>
        </w:rPr>
      </w:pPr>
      <w:r w:rsidRPr="007F15BA">
        <w:rPr>
          <w:szCs w:val="22"/>
        </w:rPr>
        <w:t xml:space="preserve">SI-1000 </w:t>
      </w:r>
      <w:proofErr w:type="spellStart"/>
      <w:r w:rsidRPr="007F15BA">
        <w:rPr>
          <w:szCs w:val="22"/>
        </w:rPr>
        <w:t>Ljubljana</w:t>
      </w:r>
      <w:proofErr w:type="spellEnd"/>
    </w:p>
    <w:p w14:paraId="5DB397AA" w14:textId="77777777" w:rsidR="00DE3708" w:rsidRPr="00D36517" w:rsidRDefault="00DE3708" w:rsidP="00307CD6">
      <w:pPr>
        <w:spacing w:line="240" w:lineRule="auto"/>
        <w:contextualSpacing/>
        <w:rPr>
          <w:szCs w:val="22"/>
        </w:rPr>
      </w:pPr>
      <w:r w:rsidRPr="007F15BA">
        <w:rPr>
          <w:szCs w:val="22"/>
        </w:rPr>
        <w:t>Slovėnija</w:t>
      </w:r>
      <w:r w:rsidRPr="00D36517">
        <w:rPr>
          <w:szCs w:val="22"/>
        </w:rPr>
        <w:t xml:space="preserve"> </w:t>
      </w:r>
    </w:p>
    <w:p w14:paraId="4DCE4779" w14:textId="77777777" w:rsidR="00DE3708" w:rsidRPr="00D36517" w:rsidRDefault="00DE3708" w:rsidP="00307CD6">
      <w:pPr>
        <w:spacing w:line="240" w:lineRule="auto"/>
        <w:contextualSpacing/>
        <w:rPr>
          <w:szCs w:val="22"/>
        </w:rPr>
      </w:pPr>
    </w:p>
    <w:p w14:paraId="7D98CA50" w14:textId="77777777" w:rsidR="00DE3708" w:rsidRPr="009F455C" w:rsidRDefault="00DE3708" w:rsidP="00307CD6">
      <w:pPr>
        <w:spacing w:line="240" w:lineRule="auto"/>
        <w:contextualSpacing/>
        <w:rPr>
          <w:szCs w:val="22"/>
        </w:rPr>
      </w:pPr>
    </w:p>
    <w:p w14:paraId="69966BB3" w14:textId="77777777" w:rsidR="00DE3708" w:rsidRPr="009F455C"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9F455C">
        <w:rPr>
          <w:b/>
          <w:szCs w:val="22"/>
        </w:rPr>
        <w:t>12.</w:t>
      </w:r>
      <w:r w:rsidRPr="009F455C">
        <w:rPr>
          <w:b/>
          <w:szCs w:val="22"/>
        </w:rPr>
        <w:tab/>
        <w:t>REGISTRACIJOS PAŽYMĖJIMO NUMERIAI (-IAI)</w:t>
      </w:r>
    </w:p>
    <w:p w14:paraId="4AAEAFFB" w14:textId="77777777" w:rsidR="00DE3708" w:rsidRPr="00FB60E5" w:rsidRDefault="00DE3708" w:rsidP="00307CD6">
      <w:pPr>
        <w:spacing w:line="240" w:lineRule="auto"/>
        <w:contextualSpacing/>
        <w:jc w:val="both"/>
        <w:rPr>
          <w:szCs w:val="22"/>
        </w:rPr>
      </w:pPr>
    </w:p>
    <w:p w14:paraId="2AA216FD" w14:textId="77777777" w:rsidR="00DE3708" w:rsidRPr="00FB60E5" w:rsidRDefault="00DE3708" w:rsidP="00307CD6">
      <w:pPr>
        <w:spacing w:line="240" w:lineRule="auto"/>
        <w:contextualSpacing/>
        <w:rPr>
          <w:szCs w:val="22"/>
        </w:rPr>
      </w:pPr>
      <w:proofErr w:type="spellStart"/>
      <w:r w:rsidRPr="00FB60E5">
        <w:rPr>
          <w:szCs w:val="22"/>
          <w:highlight w:val="lightGray"/>
        </w:rPr>
        <w:t>Suvartar</w:t>
      </w:r>
      <w:proofErr w:type="spellEnd"/>
      <w:r w:rsidRPr="00FB60E5">
        <w:rPr>
          <w:szCs w:val="22"/>
          <w:highlight w:val="lightGray"/>
        </w:rPr>
        <w:t xml:space="preserve"> 80 mg</w:t>
      </w:r>
    </w:p>
    <w:p w14:paraId="2758A37B" w14:textId="77777777" w:rsidR="00DE3708" w:rsidRPr="001765A8" w:rsidRDefault="00DE3708" w:rsidP="00307CD6">
      <w:pPr>
        <w:spacing w:line="240" w:lineRule="auto"/>
        <w:contextualSpacing/>
        <w:rPr>
          <w:szCs w:val="22"/>
        </w:rPr>
      </w:pPr>
      <w:r w:rsidRPr="001765A8">
        <w:rPr>
          <w:szCs w:val="22"/>
        </w:rPr>
        <w:t>N7 - LT/1/10/2093/017</w:t>
      </w:r>
    </w:p>
    <w:p w14:paraId="0E8468AC"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N10 - LT/1/10/2093/018 </w:t>
      </w:r>
    </w:p>
    <w:p w14:paraId="08B050CD"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N14 - LT/1/10/2093/019 </w:t>
      </w:r>
    </w:p>
    <w:p w14:paraId="6F18726E" w14:textId="77777777" w:rsidR="00DE3708" w:rsidRPr="001E6DB9" w:rsidRDefault="00DE3708" w:rsidP="00307CD6">
      <w:pPr>
        <w:spacing w:line="240" w:lineRule="auto"/>
        <w:contextualSpacing/>
        <w:rPr>
          <w:szCs w:val="22"/>
          <w:highlight w:val="lightGray"/>
        </w:rPr>
      </w:pPr>
      <w:r w:rsidRPr="001E6DB9">
        <w:rPr>
          <w:szCs w:val="22"/>
          <w:highlight w:val="lightGray"/>
        </w:rPr>
        <w:t>N15 - LT/1/10/2093/020</w:t>
      </w:r>
    </w:p>
    <w:p w14:paraId="17EADB6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N20 - LT/1/10/2093/021 </w:t>
      </w:r>
    </w:p>
    <w:p w14:paraId="27EEBDA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N28 - LT/1/10/2093/022 </w:t>
      </w:r>
    </w:p>
    <w:p w14:paraId="0CED9578"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N30 - LT/1/10/2093/023 </w:t>
      </w:r>
    </w:p>
    <w:p w14:paraId="118BD71E"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N50 - LT/1/10/2093/024 </w:t>
      </w:r>
    </w:p>
    <w:p w14:paraId="3CC8480E"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N50x1 - LT/1/10/2093/025 </w:t>
      </w:r>
    </w:p>
    <w:p w14:paraId="6A8116BA" w14:textId="77777777" w:rsidR="00DE3708" w:rsidRPr="001E6DB9" w:rsidRDefault="00DE3708" w:rsidP="00307CD6">
      <w:pPr>
        <w:spacing w:line="240" w:lineRule="auto"/>
        <w:contextualSpacing/>
        <w:rPr>
          <w:szCs w:val="22"/>
          <w:highlight w:val="lightGray"/>
        </w:rPr>
      </w:pPr>
      <w:r w:rsidRPr="001E6DB9">
        <w:rPr>
          <w:szCs w:val="22"/>
          <w:highlight w:val="lightGray"/>
        </w:rPr>
        <w:t>N56 - LT/1/10/2093/026</w:t>
      </w:r>
    </w:p>
    <w:p w14:paraId="7551CF02"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N60 - LT/1/10/2093/027 </w:t>
      </w:r>
    </w:p>
    <w:p w14:paraId="5E7F8014" w14:textId="77777777" w:rsidR="00DE3708" w:rsidRPr="001E6DB9" w:rsidRDefault="00DE3708" w:rsidP="00307CD6">
      <w:pPr>
        <w:spacing w:line="240" w:lineRule="auto"/>
        <w:contextualSpacing/>
        <w:rPr>
          <w:szCs w:val="22"/>
          <w:highlight w:val="lightGray"/>
        </w:rPr>
      </w:pPr>
      <w:r w:rsidRPr="001E6DB9">
        <w:rPr>
          <w:szCs w:val="22"/>
          <w:highlight w:val="lightGray"/>
        </w:rPr>
        <w:t>N84 - LT/1/10/2093/028</w:t>
      </w:r>
    </w:p>
    <w:p w14:paraId="5C615EF3"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N90 - LT/1/10/2093/029 </w:t>
      </w:r>
    </w:p>
    <w:p w14:paraId="1E846865"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N98 - LT/1/10/2093/030 </w:t>
      </w:r>
    </w:p>
    <w:p w14:paraId="58A5B58B"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N100 - LT/1/10/2093/031 </w:t>
      </w:r>
    </w:p>
    <w:p w14:paraId="683280F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N280 - LT/1/10/2093/032 </w:t>
      </w:r>
    </w:p>
    <w:p w14:paraId="74898985" w14:textId="77777777" w:rsidR="00DE3708" w:rsidRPr="001E6DB9" w:rsidRDefault="00DE3708" w:rsidP="00307CD6">
      <w:pPr>
        <w:spacing w:line="240" w:lineRule="auto"/>
        <w:contextualSpacing/>
        <w:rPr>
          <w:szCs w:val="22"/>
          <w:highlight w:val="lightGray"/>
        </w:rPr>
      </w:pPr>
    </w:p>
    <w:p w14:paraId="5B6DA9B4" w14:textId="77777777" w:rsidR="00DE3708" w:rsidRPr="001E6DB9" w:rsidRDefault="00DE3708" w:rsidP="00307CD6">
      <w:pPr>
        <w:spacing w:line="240" w:lineRule="auto"/>
        <w:contextualSpacing/>
        <w:rPr>
          <w:szCs w:val="22"/>
          <w:highlight w:val="lightGray"/>
        </w:rPr>
      </w:pPr>
      <w:proofErr w:type="spellStart"/>
      <w:r w:rsidRPr="001E6DB9">
        <w:rPr>
          <w:szCs w:val="22"/>
          <w:highlight w:val="lightGray"/>
        </w:rPr>
        <w:t>Suvartar</w:t>
      </w:r>
      <w:proofErr w:type="spellEnd"/>
      <w:r w:rsidRPr="001E6DB9">
        <w:rPr>
          <w:szCs w:val="22"/>
          <w:highlight w:val="lightGray"/>
        </w:rPr>
        <w:t xml:space="preserve"> 160 mg</w:t>
      </w:r>
    </w:p>
    <w:p w14:paraId="191437EF" w14:textId="77777777" w:rsidR="00DE3708" w:rsidRPr="001E6DB9" w:rsidRDefault="00DE3708" w:rsidP="00307CD6">
      <w:pPr>
        <w:spacing w:line="240" w:lineRule="auto"/>
        <w:contextualSpacing/>
        <w:rPr>
          <w:szCs w:val="22"/>
          <w:highlight w:val="lightGray"/>
        </w:rPr>
      </w:pPr>
      <w:r w:rsidRPr="001E6DB9">
        <w:rPr>
          <w:szCs w:val="22"/>
          <w:highlight w:val="lightGray"/>
        </w:rPr>
        <w:t>N7 - LT/1/10/2093/033</w:t>
      </w:r>
    </w:p>
    <w:p w14:paraId="37B281A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N10 - LT/1/10/2093/034 </w:t>
      </w:r>
    </w:p>
    <w:p w14:paraId="56239AA2"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N14 - LT/1/10/2093/035 </w:t>
      </w:r>
    </w:p>
    <w:p w14:paraId="2EF02BF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N15 - LT/1/10/2093/036 </w:t>
      </w:r>
    </w:p>
    <w:p w14:paraId="4ED29664"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N20 - LT/1/10/2093/037 </w:t>
      </w:r>
    </w:p>
    <w:p w14:paraId="7FE04BFF"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N28 - LT/1/10/2093/038 </w:t>
      </w:r>
    </w:p>
    <w:p w14:paraId="5AD07563" w14:textId="77777777" w:rsidR="00DE3708" w:rsidRPr="001E6DB9" w:rsidRDefault="00DE3708" w:rsidP="00307CD6">
      <w:pPr>
        <w:spacing w:line="240" w:lineRule="auto"/>
        <w:contextualSpacing/>
        <w:rPr>
          <w:szCs w:val="22"/>
          <w:highlight w:val="lightGray"/>
        </w:rPr>
      </w:pPr>
      <w:r w:rsidRPr="001E6DB9">
        <w:rPr>
          <w:szCs w:val="22"/>
          <w:highlight w:val="lightGray"/>
        </w:rPr>
        <w:lastRenderedPageBreak/>
        <w:t xml:space="preserve">N30 - LT/1/10/2093/039 </w:t>
      </w:r>
    </w:p>
    <w:p w14:paraId="0A344BA2"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N50 - LT/1/10/2093/040 </w:t>
      </w:r>
    </w:p>
    <w:p w14:paraId="13463236"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N50x1 - LT/1/10/2093/041 </w:t>
      </w:r>
    </w:p>
    <w:p w14:paraId="0701097A" w14:textId="77777777" w:rsidR="00DE3708" w:rsidRPr="001E6DB9" w:rsidRDefault="00DE3708" w:rsidP="00307CD6">
      <w:pPr>
        <w:spacing w:line="240" w:lineRule="auto"/>
        <w:contextualSpacing/>
        <w:rPr>
          <w:szCs w:val="22"/>
          <w:highlight w:val="lightGray"/>
        </w:rPr>
      </w:pPr>
      <w:r w:rsidRPr="001E6DB9">
        <w:rPr>
          <w:szCs w:val="22"/>
          <w:highlight w:val="lightGray"/>
        </w:rPr>
        <w:t>N56 - LT/1/10/2093/042</w:t>
      </w:r>
    </w:p>
    <w:p w14:paraId="4DD5483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N60 - LT/1/10/2093/043 </w:t>
      </w:r>
    </w:p>
    <w:p w14:paraId="0A4036FB" w14:textId="77777777" w:rsidR="00DE3708" w:rsidRPr="001E6DB9" w:rsidRDefault="00DE3708" w:rsidP="00307CD6">
      <w:pPr>
        <w:spacing w:line="240" w:lineRule="auto"/>
        <w:contextualSpacing/>
        <w:rPr>
          <w:szCs w:val="22"/>
          <w:highlight w:val="lightGray"/>
        </w:rPr>
      </w:pPr>
      <w:r w:rsidRPr="001E6DB9">
        <w:rPr>
          <w:szCs w:val="22"/>
          <w:highlight w:val="lightGray"/>
        </w:rPr>
        <w:t>N84 - LT/1/10/2093/044</w:t>
      </w:r>
    </w:p>
    <w:p w14:paraId="5C89FC38"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N90 - LT/1/10/2093/045 </w:t>
      </w:r>
    </w:p>
    <w:p w14:paraId="349DE3A9" w14:textId="77777777" w:rsidR="00DE3708" w:rsidRPr="001E6DB9" w:rsidRDefault="00DE3708" w:rsidP="00307CD6">
      <w:pPr>
        <w:spacing w:line="240" w:lineRule="auto"/>
        <w:contextualSpacing/>
        <w:rPr>
          <w:szCs w:val="22"/>
          <w:highlight w:val="lightGray"/>
        </w:rPr>
      </w:pPr>
      <w:r w:rsidRPr="001E6DB9">
        <w:rPr>
          <w:szCs w:val="22"/>
          <w:highlight w:val="lightGray"/>
        </w:rPr>
        <w:t>N98 - LT/1/10/2093/046</w:t>
      </w:r>
    </w:p>
    <w:p w14:paraId="283392C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N100 - LT/1/10/2093/047 </w:t>
      </w:r>
    </w:p>
    <w:p w14:paraId="5D92A19A"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N280 - LT/1/10/2093/048 </w:t>
      </w:r>
    </w:p>
    <w:p w14:paraId="5D4E6B75" w14:textId="77777777" w:rsidR="00DE3708" w:rsidRPr="001E6DB9" w:rsidRDefault="00DE3708" w:rsidP="00307CD6">
      <w:pPr>
        <w:spacing w:line="240" w:lineRule="auto"/>
        <w:contextualSpacing/>
        <w:rPr>
          <w:szCs w:val="22"/>
          <w:highlight w:val="lightGray"/>
        </w:rPr>
      </w:pPr>
    </w:p>
    <w:p w14:paraId="247D5188" w14:textId="77777777" w:rsidR="00DE3708" w:rsidRPr="001E6DB9" w:rsidRDefault="00DE3708" w:rsidP="00307CD6">
      <w:pPr>
        <w:spacing w:line="240" w:lineRule="auto"/>
        <w:contextualSpacing/>
        <w:rPr>
          <w:szCs w:val="22"/>
          <w:highlight w:val="lightGray"/>
        </w:rPr>
      </w:pPr>
      <w:proofErr w:type="spellStart"/>
      <w:r w:rsidRPr="001E6DB9">
        <w:rPr>
          <w:szCs w:val="22"/>
          <w:highlight w:val="lightGray"/>
        </w:rPr>
        <w:t>Suvartar</w:t>
      </w:r>
      <w:proofErr w:type="spellEnd"/>
      <w:r w:rsidRPr="001E6DB9">
        <w:rPr>
          <w:szCs w:val="22"/>
          <w:highlight w:val="lightGray"/>
        </w:rPr>
        <w:t xml:space="preserve"> 320 mg</w:t>
      </w:r>
    </w:p>
    <w:p w14:paraId="76AD82B4"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N7 - LT/1/10/2093/049 </w:t>
      </w:r>
    </w:p>
    <w:p w14:paraId="797C2B59"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N10 - LT/1/10/2093/050 </w:t>
      </w:r>
    </w:p>
    <w:p w14:paraId="2B97EE3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N14 - LT/1/10/2093/051 </w:t>
      </w:r>
    </w:p>
    <w:p w14:paraId="7E99A73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N15 - LT/1/10/2093/052 </w:t>
      </w:r>
    </w:p>
    <w:p w14:paraId="67AFD106"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N20 - LT/1/10/2093/053 </w:t>
      </w:r>
    </w:p>
    <w:p w14:paraId="5EF2C54B"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N28 - LT/1/10/2093/054 </w:t>
      </w:r>
    </w:p>
    <w:p w14:paraId="2287C09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N30 - LT/1/10/2093/055 </w:t>
      </w:r>
    </w:p>
    <w:p w14:paraId="4CF41B6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N50 - LT/1/10/2093/056 </w:t>
      </w:r>
    </w:p>
    <w:p w14:paraId="4BCB0665"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N50x1 - LT/1/10/2093/057 </w:t>
      </w:r>
    </w:p>
    <w:p w14:paraId="46C12656" w14:textId="77777777" w:rsidR="00DE3708" w:rsidRPr="001E6DB9" w:rsidRDefault="00DE3708" w:rsidP="00307CD6">
      <w:pPr>
        <w:spacing w:line="240" w:lineRule="auto"/>
        <w:contextualSpacing/>
        <w:rPr>
          <w:szCs w:val="22"/>
          <w:highlight w:val="lightGray"/>
        </w:rPr>
      </w:pPr>
      <w:r w:rsidRPr="001E6DB9">
        <w:rPr>
          <w:szCs w:val="22"/>
          <w:highlight w:val="lightGray"/>
        </w:rPr>
        <w:t>N56 - LT/1/10/2093/058</w:t>
      </w:r>
    </w:p>
    <w:p w14:paraId="7AE87C5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N60 - LT/1/10/2093/059 </w:t>
      </w:r>
    </w:p>
    <w:p w14:paraId="43F62FC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N84 - LT/1/10/2093/060 </w:t>
      </w:r>
    </w:p>
    <w:p w14:paraId="5693C4FA"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N90 - LT/1/10/2093/061 </w:t>
      </w:r>
    </w:p>
    <w:p w14:paraId="7DF882EF"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N98 - LT/1/10/2093/062 </w:t>
      </w:r>
    </w:p>
    <w:p w14:paraId="41C3FC0B"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N100 - LT/1/10/2093/063 </w:t>
      </w:r>
    </w:p>
    <w:p w14:paraId="16A8F728" w14:textId="77777777" w:rsidR="00DE3708" w:rsidRPr="001E6DB9" w:rsidRDefault="00DE3708" w:rsidP="00307CD6">
      <w:pPr>
        <w:spacing w:line="240" w:lineRule="auto"/>
        <w:contextualSpacing/>
        <w:rPr>
          <w:szCs w:val="22"/>
        </w:rPr>
      </w:pPr>
      <w:r w:rsidRPr="001E6DB9">
        <w:rPr>
          <w:szCs w:val="22"/>
          <w:highlight w:val="lightGray"/>
        </w:rPr>
        <w:t>N280 - LT/1/10/2093/064</w:t>
      </w:r>
      <w:r w:rsidRPr="001E6DB9">
        <w:rPr>
          <w:szCs w:val="22"/>
        </w:rPr>
        <w:t xml:space="preserve"> </w:t>
      </w:r>
    </w:p>
    <w:p w14:paraId="6B1E861B" w14:textId="77777777" w:rsidR="00DE3708" w:rsidRPr="001E6DB9" w:rsidRDefault="00DE3708" w:rsidP="00307CD6">
      <w:pPr>
        <w:spacing w:line="240" w:lineRule="auto"/>
        <w:contextualSpacing/>
        <w:jc w:val="both"/>
        <w:rPr>
          <w:szCs w:val="22"/>
        </w:rPr>
      </w:pPr>
    </w:p>
    <w:p w14:paraId="0D0BAC14" w14:textId="77777777" w:rsidR="00DE3708" w:rsidRPr="001E6DB9" w:rsidRDefault="00DE3708" w:rsidP="00307CD6">
      <w:pPr>
        <w:spacing w:line="240" w:lineRule="auto"/>
        <w:contextualSpacing/>
        <w:rPr>
          <w:szCs w:val="22"/>
        </w:rPr>
      </w:pPr>
    </w:p>
    <w:p w14:paraId="13D52EE5"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13.</w:t>
      </w:r>
      <w:r w:rsidRPr="001E6DB9">
        <w:rPr>
          <w:b/>
          <w:szCs w:val="22"/>
        </w:rPr>
        <w:tab/>
        <w:t>SERIJOS NUMERIS</w:t>
      </w:r>
    </w:p>
    <w:p w14:paraId="7474C06F" w14:textId="77777777" w:rsidR="00DE3708" w:rsidRPr="001E6DB9" w:rsidRDefault="00DE3708" w:rsidP="00307CD6">
      <w:pPr>
        <w:pStyle w:val="Pagrindinistekstas"/>
        <w:contextualSpacing/>
        <w:rPr>
          <w:i w:val="0"/>
          <w:color w:val="auto"/>
          <w:szCs w:val="22"/>
        </w:rPr>
      </w:pPr>
      <w:r w:rsidRPr="001E6DB9">
        <w:rPr>
          <w:i w:val="0"/>
          <w:color w:val="auto"/>
          <w:szCs w:val="22"/>
        </w:rPr>
        <w:t xml:space="preserve"> </w:t>
      </w:r>
      <w:r w:rsidR="00F50D13">
        <w:rPr>
          <w:i w:val="0"/>
          <w:color w:val="auto"/>
          <w:szCs w:val="22"/>
        </w:rPr>
        <w:t xml:space="preserve">LOT </w:t>
      </w:r>
      <w:r w:rsidRPr="001E6DB9">
        <w:rPr>
          <w:i w:val="0"/>
          <w:color w:val="auto"/>
          <w:szCs w:val="22"/>
        </w:rPr>
        <w:t>{numeris}</w:t>
      </w:r>
    </w:p>
    <w:p w14:paraId="3E0759D6" w14:textId="77777777" w:rsidR="00DE3708" w:rsidRPr="00F50D13" w:rsidRDefault="00DE3708" w:rsidP="00307CD6">
      <w:pPr>
        <w:spacing w:line="240" w:lineRule="auto"/>
        <w:contextualSpacing/>
        <w:rPr>
          <w:szCs w:val="22"/>
        </w:rPr>
      </w:pPr>
    </w:p>
    <w:p w14:paraId="3B0E35CB" w14:textId="77777777" w:rsidR="00DE3708" w:rsidRPr="00F50D13" w:rsidRDefault="00DE3708" w:rsidP="00307CD6">
      <w:pPr>
        <w:spacing w:line="240" w:lineRule="auto"/>
        <w:contextualSpacing/>
        <w:rPr>
          <w:szCs w:val="22"/>
        </w:rPr>
      </w:pPr>
    </w:p>
    <w:p w14:paraId="2B32786D"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14.</w:t>
      </w:r>
      <w:r w:rsidRPr="00F91FD7">
        <w:rPr>
          <w:b/>
          <w:szCs w:val="22"/>
        </w:rPr>
        <w:tab/>
        <w:t>PARDAVIMO (IŠDAVIMO) TVARKA</w:t>
      </w:r>
    </w:p>
    <w:p w14:paraId="4A42B29B" w14:textId="77777777" w:rsidR="00DE3708" w:rsidRPr="00F91FD7" w:rsidRDefault="00DE3708" w:rsidP="00307CD6">
      <w:pPr>
        <w:spacing w:line="240" w:lineRule="auto"/>
        <w:contextualSpacing/>
        <w:rPr>
          <w:szCs w:val="22"/>
        </w:rPr>
      </w:pPr>
    </w:p>
    <w:p w14:paraId="7BCAC94F" w14:textId="77777777" w:rsidR="00DE3708" w:rsidRPr="00F91FD7" w:rsidRDefault="00DE3708" w:rsidP="00307CD6">
      <w:pPr>
        <w:spacing w:line="240" w:lineRule="auto"/>
        <w:contextualSpacing/>
        <w:rPr>
          <w:szCs w:val="22"/>
        </w:rPr>
      </w:pPr>
      <w:r w:rsidRPr="0078402A">
        <w:rPr>
          <w:szCs w:val="22"/>
        </w:rPr>
        <w:t>Receptinis vaist</w:t>
      </w:r>
      <w:r w:rsidR="00F50D13">
        <w:rPr>
          <w:szCs w:val="22"/>
        </w:rPr>
        <w:t>as</w:t>
      </w:r>
      <w:r w:rsidRPr="00F91FD7">
        <w:rPr>
          <w:szCs w:val="22"/>
        </w:rPr>
        <w:t>.</w:t>
      </w:r>
    </w:p>
    <w:p w14:paraId="2D99D635" w14:textId="77777777" w:rsidR="00DE3708" w:rsidRPr="00F91FD7" w:rsidRDefault="00DE3708" w:rsidP="00307CD6">
      <w:pPr>
        <w:spacing w:line="240" w:lineRule="auto"/>
        <w:contextualSpacing/>
        <w:rPr>
          <w:szCs w:val="22"/>
        </w:rPr>
      </w:pPr>
    </w:p>
    <w:p w14:paraId="01BB887F" w14:textId="77777777" w:rsidR="00DE3708" w:rsidRPr="0078402A" w:rsidRDefault="00DE3708" w:rsidP="00307CD6">
      <w:pPr>
        <w:spacing w:line="240" w:lineRule="auto"/>
        <w:contextualSpacing/>
        <w:rPr>
          <w:szCs w:val="22"/>
        </w:rPr>
      </w:pPr>
    </w:p>
    <w:p w14:paraId="1270306E" w14:textId="77777777" w:rsidR="00DE3708" w:rsidRPr="00307CD6"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307CD6">
        <w:rPr>
          <w:b/>
          <w:szCs w:val="22"/>
        </w:rPr>
        <w:t>15.</w:t>
      </w:r>
      <w:r w:rsidRPr="00307CD6">
        <w:rPr>
          <w:b/>
          <w:szCs w:val="22"/>
        </w:rPr>
        <w:tab/>
        <w:t>VARTOJIMO INSTRUKCIJA</w:t>
      </w:r>
    </w:p>
    <w:p w14:paraId="74FE9997" w14:textId="77777777" w:rsidR="00DE3708" w:rsidRPr="00307CD6" w:rsidRDefault="00DE3708" w:rsidP="00307CD6">
      <w:pPr>
        <w:spacing w:line="240" w:lineRule="auto"/>
        <w:contextualSpacing/>
        <w:rPr>
          <w:szCs w:val="22"/>
        </w:rPr>
      </w:pPr>
    </w:p>
    <w:p w14:paraId="66573E73" w14:textId="77777777" w:rsidR="00DE3708" w:rsidRPr="007F15BA" w:rsidRDefault="00DE3708" w:rsidP="00307CD6">
      <w:pPr>
        <w:spacing w:line="240" w:lineRule="auto"/>
        <w:contextualSpacing/>
        <w:rPr>
          <w:szCs w:val="22"/>
        </w:rPr>
      </w:pPr>
    </w:p>
    <w:p w14:paraId="3C03A0B6" w14:textId="77777777" w:rsidR="00DE3708" w:rsidRPr="007F15BA"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7F15BA">
        <w:rPr>
          <w:b/>
          <w:szCs w:val="22"/>
        </w:rPr>
        <w:t>16.</w:t>
      </w:r>
      <w:r w:rsidRPr="007F15BA">
        <w:rPr>
          <w:b/>
          <w:szCs w:val="22"/>
        </w:rPr>
        <w:tab/>
        <w:t>INFORMACIJA BRAILIO RAŠTU</w:t>
      </w:r>
    </w:p>
    <w:p w14:paraId="72394546" w14:textId="77777777" w:rsidR="00DE3708" w:rsidRPr="00D36517" w:rsidRDefault="00DE3708" w:rsidP="00307CD6">
      <w:pPr>
        <w:spacing w:line="240" w:lineRule="auto"/>
        <w:contextualSpacing/>
        <w:rPr>
          <w:szCs w:val="22"/>
        </w:rPr>
      </w:pPr>
    </w:p>
    <w:p w14:paraId="1A23827F" w14:textId="77777777" w:rsidR="00DE3708" w:rsidRPr="00D36517" w:rsidRDefault="00DE3708" w:rsidP="00307CD6">
      <w:pPr>
        <w:spacing w:line="240" w:lineRule="auto"/>
        <w:contextualSpacing/>
        <w:jc w:val="both"/>
        <w:rPr>
          <w:szCs w:val="22"/>
        </w:rPr>
      </w:pPr>
      <w:proofErr w:type="spellStart"/>
      <w:r w:rsidRPr="00D36517">
        <w:rPr>
          <w:szCs w:val="22"/>
        </w:rPr>
        <w:t>Suvartar</w:t>
      </w:r>
      <w:proofErr w:type="spellEnd"/>
      <w:r w:rsidRPr="00D36517">
        <w:rPr>
          <w:szCs w:val="22"/>
        </w:rPr>
        <w:t xml:space="preserve"> 80 mg </w:t>
      </w:r>
    </w:p>
    <w:p w14:paraId="5F52038C" w14:textId="77777777" w:rsidR="00DE3708" w:rsidRPr="009F455C" w:rsidRDefault="00DE3708" w:rsidP="00307CD6">
      <w:pPr>
        <w:spacing w:line="240" w:lineRule="auto"/>
        <w:contextualSpacing/>
        <w:jc w:val="both"/>
        <w:rPr>
          <w:szCs w:val="22"/>
          <w:highlight w:val="lightGray"/>
        </w:rPr>
      </w:pPr>
      <w:proofErr w:type="spellStart"/>
      <w:r w:rsidRPr="009F455C">
        <w:rPr>
          <w:szCs w:val="22"/>
          <w:highlight w:val="lightGray"/>
        </w:rPr>
        <w:t>Suvartar</w:t>
      </w:r>
      <w:proofErr w:type="spellEnd"/>
      <w:r w:rsidRPr="009F455C">
        <w:rPr>
          <w:szCs w:val="22"/>
          <w:highlight w:val="lightGray"/>
        </w:rPr>
        <w:t xml:space="preserve"> 160 mg </w:t>
      </w:r>
    </w:p>
    <w:p w14:paraId="685F01A6" w14:textId="77777777" w:rsidR="00DE3708" w:rsidRPr="00FB60E5" w:rsidRDefault="00DE3708" w:rsidP="00307CD6">
      <w:pPr>
        <w:spacing w:line="240" w:lineRule="auto"/>
        <w:contextualSpacing/>
        <w:rPr>
          <w:szCs w:val="22"/>
        </w:rPr>
      </w:pPr>
      <w:proofErr w:type="spellStart"/>
      <w:r w:rsidRPr="009F455C">
        <w:rPr>
          <w:szCs w:val="22"/>
          <w:highlight w:val="lightGray"/>
        </w:rPr>
        <w:t>Suvartar</w:t>
      </w:r>
      <w:proofErr w:type="spellEnd"/>
      <w:r w:rsidRPr="009F455C">
        <w:rPr>
          <w:szCs w:val="22"/>
          <w:highlight w:val="lightGray"/>
        </w:rPr>
        <w:t xml:space="preserve"> 320 mg</w:t>
      </w:r>
      <w:r w:rsidRPr="00FB60E5">
        <w:rPr>
          <w:szCs w:val="22"/>
        </w:rPr>
        <w:t xml:space="preserve"> </w:t>
      </w:r>
    </w:p>
    <w:p w14:paraId="1FCF3DCF" w14:textId="77777777" w:rsidR="00DE3708" w:rsidRPr="00FB60E5" w:rsidRDefault="00DE3708" w:rsidP="00307CD6">
      <w:pPr>
        <w:spacing w:line="240" w:lineRule="auto"/>
        <w:contextualSpacing/>
        <w:rPr>
          <w:szCs w:val="22"/>
        </w:rPr>
      </w:pPr>
    </w:p>
    <w:p w14:paraId="6C82F561" w14:textId="77777777" w:rsidR="00DE3708" w:rsidRPr="001765A8" w:rsidRDefault="00DE3708" w:rsidP="00307CD6">
      <w:pPr>
        <w:spacing w:line="240" w:lineRule="auto"/>
        <w:contextualSpacing/>
        <w:rPr>
          <w:noProof/>
          <w:szCs w:val="22"/>
          <w:shd w:val="clear" w:color="auto" w:fill="CCCCCC"/>
        </w:rPr>
      </w:pPr>
    </w:p>
    <w:p w14:paraId="770C7981"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3"/>
        <w:contextualSpacing/>
        <w:outlineLvl w:val="0"/>
        <w:rPr>
          <w:i/>
          <w:noProof/>
        </w:rPr>
      </w:pPr>
      <w:r w:rsidRPr="001E6DB9">
        <w:rPr>
          <w:b/>
          <w:noProof/>
        </w:rPr>
        <w:t>17.</w:t>
      </w:r>
      <w:r w:rsidRPr="001E6DB9">
        <w:rPr>
          <w:b/>
          <w:noProof/>
        </w:rPr>
        <w:tab/>
        <w:t>UNIKALUS IDENTIFIKATORIUS – 2D BRŪKŠNINIS KODAS</w:t>
      </w:r>
    </w:p>
    <w:p w14:paraId="349E4007" w14:textId="77777777" w:rsidR="00DE3708" w:rsidRPr="001E6DB9" w:rsidRDefault="00DE3708" w:rsidP="00307CD6">
      <w:pPr>
        <w:spacing w:line="240" w:lineRule="auto"/>
        <w:contextualSpacing/>
        <w:rPr>
          <w:noProof/>
        </w:rPr>
      </w:pPr>
    </w:p>
    <w:p w14:paraId="360B1141" w14:textId="77777777" w:rsidR="00DE3708" w:rsidRPr="001E6DB9" w:rsidRDefault="00DE3708" w:rsidP="00307CD6">
      <w:pPr>
        <w:spacing w:line="240" w:lineRule="auto"/>
        <w:contextualSpacing/>
        <w:rPr>
          <w:noProof/>
          <w:szCs w:val="22"/>
          <w:shd w:val="clear" w:color="auto" w:fill="CCCCCC"/>
        </w:rPr>
      </w:pPr>
      <w:r w:rsidRPr="001E6DB9">
        <w:rPr>
          <w:noProof/>
          <w:highlight w:val="lightGray"/>
        </w:rPr>
        <w:t>2D brūkšninis kodas su nurodytu unikaliu identifikatoriumi.</w:t>
      </w:r>
    </w:p>
    <w:p w14:paraId="61A1B3BE" w14:textId="77777777" w:rsidR="00DE3708" w:rsidRPr="001E6DB9" w:rsidRDefault="00DE3708" w:rsidP="00307CD6">
      <w:pPr>
        <w:spacing w:line="240" w:lineRule="auto"/>
        <w:contextualSpacing/>
        <w:rPr>
          <w:noProof/>
          <w:szCs w:val="22"/>
          <w:shd w:val="clear" w:color="auto" w:fill="CCCCCC"/>
        </w:rPr>
      </w:pPr>
    </w:p>
    <w:p w14:paraId="137964A8" w14:textId="77777777" w:rsidR="00DE3708" w:rsidRPr="001E6DB9" w:rsidRDefault="00DE3708" w:rsidP="00307CD6">
      <w:pPr>
        <w:spacing w:line="240" w:lineRule="auto"/>
        <w:contextualSpacing/>
        <w:rPr>
          <w:noProof/>
        </w:rPr>
      </w:pPr>
    </w:p>
    <w:p w14:paraId="33173256"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3"/>
        <w:contextualSpacing/>
        <w:outlineLvl w:val="0"/>
        <w:rPr>
          <w:i/>
          <w:noProof/>
        </w:rPr>
      </w:pPr>
      <w:r w:rsidRPr="001E6DB9">
        <w:rPr>
          <w:b/>
          <w:noProof/>
        </w:rPr>
        <w:t>18.</w:t>
      </w:r>
      <w:r w:rsidRPr="001E6DB9">
        <w:rPr>
          <w:b/>
          <w:noProof/>
        </w:rPr>
        <w:tab/>
        <w:t>UNIKALUS IDENTIFIKATORIUS – ŽMONĖMS SUPRANTAMI DUOMENYS</w:t>
      </w:r>
    </w:p>
    <w:p w14:paraId="1BF2D4A7" w14:textId="77777777" w:rsidR="00DE3708" w:rsidRPr="001E6DB9" w:rsidRDefault="00DE3708" w:rsidP="00307CD6">
      <w:pPr>
        <w:spacing w:line="240" w:lineRule="auto"/>
        <w:contextualSpacing/>
        <w:rPr>
          <w:noProof/>
        </w:rPr>
      </w:pPr>
    </w:p>
    <w:p w14:paraId="4DD4C21D" w14:textId="77777777" w:rsidR="00DE3708" w:rsidRPr="001E6DB9" w:rsidRDefault="00DE3708" w:rsidP="00307CD6">
      <w:pPr>
        <w:spacing w:line="240" w:lineRule="auto"/>
        <w:contextualSpacing/>
        <w:rPr>
          <w:szCs w:val="22"/>
        </w:rPr>
      </w:pPr>
      <w:r w:rsidRPr="001E6DB9">
        <w:lastRenderedPageBreak/>
        <w:t>PC: {numeris}</w:t>
      </w:r>
    </w:p>
    <w:p w14:paraId="7627BC42" w14:textId="77777777" w:rsidR="00DE3708" w:rsidRPr="00F50D13" w:rsidRDefault="00DE3708" w:rsidP="00307CD6">
      <w:pPr>
        <w:spacing w:line="240" w:lineRule="auto"/>
        <w:contextualSpacing/>
        <w:rPr>
          <w:szCs w:val="22"/>
        </w:rPr>
      </w:pPr>
      <w:r w:rsidRPr="00F50D13">
        <w:t>SN: {numeris}</w:t>
      </w:r>
    </w:p>
    <w:p w14:paraId="6D6E1521" w14:textId="77777777" w:rsidR="00DE3708" w:rsidRPr="00F91FD7" w:rsidRDefault="00DE3708" w:rsidP="00307CD6">
      <w:pPr>
        <w:spacing w:line="240" w:lineRule="auto"/>
        <w:contextualSpacing/>
        <w:rPr>
          <w:szCs w:val="22"/>
        </w:rPr>
      </w:pPr>
      <w:r w:rsidRPr="00F50D13">
        <w:t>NN: {numeris}</w:t>
      </w:r>
    </w:p>
    <w:p w14:paraId="332D7538" w14:textId="77777777" w:rsidR="00DE3708" w:rsidRPr="00F91FD7" w:rsidRDefault="00DE3708" w:rsidP="00307CD6">
      <w:pPr>
        <w:spacing w:line="240" w:lineRule="auto"/>
        <w:contextualSpacing/>
        <w:rPr>
          <w:szCs w:val="22"/>
        </w:rPr>
      </w:pPr>
    </w:p>
    <w:p w14:paraId="71F6C446" w14:textId="77777777" w:rsidR="00DE3708"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78402A">
        <w:rPr>
          <w:szCs w:val="22"/>
        </w:rPr>
        <w:br w:type="page"/>
      </w:r>
      <w:r w:rsidRPr="0078402A">
        <w:rPr>
          <w:b/>
          <w:szCs w:val="22"/>
        </w:rPr>
        <w:lastRenderedPageBreak/>
        <w:t xml:space="preserve">MINIMALI </w:t>
      </w:r>
      <w:r w:rsidRPr="00617EBE">
        <w:rPr>
          <w:b/>
          <w:caps/>
          <w:szCs w:val="22"/>
        </w:rPr>
        <w:t>informacija ant</w:t>
      </w:r>
      <w:r w:rsidRPr="00307CD6">
        <w:rPr>
          <w:b/>
          <w:caps/>
          <w:szCs w:val="22"/>
        </w:rPr>
        <w:t xml:space="preserve"> </w:t>
      </w:r>
      <w:r w:rsidRPr="00307CD6">
        <w:rPr>
          <w:b/>
          <w:szCs w:val="22"/>
        </w:rPr>
        <w:t>LIZDINIŲ PLOKŠTELIŲ ARBA DVISLUOKSNIŲ JUOSTELIŲ</w:t>
      </w:r>
    </w:p>
    <w:p w14:paraId="22D4B6F4" w14:textId="77777777" w:rsidR="001765A8" w:rsidRDefault="001765A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p>
    <w:p w14:paraId="557B7C7D" w14:textId="77777777" w:rsidR="001765A8" w:rsidRPr="0067679C" w:rsidRDefault="00BB6675"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67679C">
        <w:rPr>
          <w:b/>
          <w:szCs w:val="22"/>
        </w:rPr>
        <w:t>PVC/PVDC  Lizdinė plokštelė</w:t>
      </w:r>
    </w:p>
    <w:p w14:paraId="7D63BD0B" w14:textId="77777777" w:rsidR="00DE3708" w:rsidRPr="0067679C" w:rsidRDefault="001765A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67679C">
        <w:rPr>
          <w:b/>
          <w:szCs w:val="22"/>
        </w:rPr>
        <w:t xml:space="preserve">PVC/PE/PVDC </w:t>
      </w:r>
      <w:r w:rsidR="00BB6675" w:rsidRPr="0067679C">
        <w:rPr>
          <w:b/>
          <w:szCs w:val="22"/>
        </w:rPr>
        <w:t>Lizdinė plokštelė</w:t>
      </w:r>
    </w:p>
    <w:p w14:paraId="765855F0" w14:textId="77777777" w:rsidR="001765A8" w:rsidRPr="007F15BA" w:rsidRDefault="001765A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67679C">
        <w:rPr>
          <w:b/>
          <w:szCs w:val="22"/>
        </w:rPr>
        <w:t xml:space="preserve">PA/AL/PVC </w:t>
      </w:r>
      <w:r w:rsidR="00BB6675" w:rsidRPr="0067679C">
        <w:rPr>
          <w:b/>
          <w:szCs w:val="22"/>
        </w:rPr>
        <w:t>Lizdinė plokštelė</w:t>
      </w:r>
    </w:p>
    <w:p w14:paraId="35E5DDA3" w14:textId="77777777" w:rsidR="00DE3708" w:rsidRPr="007F15BA"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p>
    <w:p w14:paraId="4E747D06" w14:textId="77777777" w:rsidR="00DE3708" w:rsidRPr="00D36517" w:rsidRDefault="00DE3708" w:rsidP="00307CD6">
      <w:pPr>
        <w:spacing w:line="240" w:lineRule="auto"/>
        <w:contextualSpacing/>
        <w:rPr>
          <w:szCs w:val="22"/>
        </w:rPr>
      </w:pPr>
    </w:p>
    <w:p w14:paraId="65ED1B9B" w14:textId="77777777" w:rsidR="00DE3708" w:rsidRPr="00D36517" w:rsidRDefault="00DE3708" w:rsidP="00307CD6">
      <w:pPr>
        <w:spacing w:line="240" w:lineRule="auto"/>
        <w:contextualSpacing/>
        <w:rPr>
          <w:szCs w:val="22"/>
        </w:rPr>
      </w:pPr>
    </w:p>
    <w:p w14:paraId="5448EDA3" w14:textId="77777777" w:rsidR="00DE3708" w:rsidRPr="009F455C"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9F455C">
        <w:rPr>
          <w:b/>
          <w:szCs w:val="22"/>
        </w:rPr>
        <w:t>1.</w:t>
      </w:r>
      <w:r w:rsidRPr="009F455C">
        <w:rPr>
          <w:b/>
          <w:szCs w:val="22"/>
        </w:rPr>
        <w:tab/>
        <w:t>VAISTINIO PREPARATO PAVADINIMAS</w:t>
      </w:r>
    </w:p>
    <w:p w14:paraId="0CD16860" w14:textId="77777777" w:rsidR="00DE3708" w:rsidRPr="009F455C" w:rsidRDefault="00DE3708" w:rsidP="00307CD6">
      <w:pPr>
        <w:spacing w:line="240" w:lineRule="auto"/>
        <w:contextualSpacing/>
        <w:rPr>
          <w:szCs w:val="22"/>
        </w:rPr>
      </w:pPr>
    </w:p>
    <w:p w14:paraId="589DDC67" w14:textId="77777777" w:rsidR="00DE3708" w:rsidRPr="00FB60E5" w:rsidRDefault="00DE3708" w:rsidP="00307CD6">
      <w:pPr>
        <w:spacing w:line="240" w:lineRule="auto"/>
        <w:contextualSpacing/>
        <w:jc w:val="both"/>
        <w:rPr>
          <w:szCs w:val="22"/>
        </w:rPr>
      </w:pPr>
      <w:proofErr w:type="spellStart"/>
      <w:r w:rsidRPr="00FB60E5">
        <w:rPr>
          <w:szCs w:val="22"/>
        </w:rPr>
        <w:t>Suvartar</w:t>
      </w:r>
      <w:proofErr w:type="spellEnd"/>
      <w:r w:rsidRPr="00FB60E5">
        <w:rPr>
          <w:szCs w:val="22"/>
        </w:rPr>
        <w:t xml:space="preserve"> 80 mg plėvele dengtos tabletės</w:t>
      </w:r>
    </w:p>
    <w:p w14:paraId="3B1D37BB" w14:textId="77777777" w:rsidR="00DE3708" w:rsidRPr="00FB60E5" w:rsidRDefault="00DE3708" w:rsidP="00307CD6">
      <w:pPr>
        <w:spacing w:line="240" w:lineRule="auto"/>
        <w:contextualSpacing/>
        <w:jc w:val="both"/>
        <w:rPr>
          <w:szCs w:val="22"/>
          <w:highlight w:val="lightGray"/>
        </w:rPr>
      </w:pPr>
      <w:proofErr w:type="spellStart"/>
      <w:r w:rsidRPr="00FB60E5">
        <w:rPr>
          <w:szCs w:val="22"/>
          <w:highlight w:val="lightGray"/>
        </w:rPr>
        <w:t>Suvartar</w:t>
      </w:r>
      <w:proofErr w:type="spellEnd"/>
      <w:r w:rsidRPr="00FB60E5">
        <w:rPr>
          <w:szCs w:val="22"/>
          <w:highlight w:val="lightGray"/>
        </w:rPr>
        <w:t xml:space="preserve"> 160 mg plėvele dengtos tabletės</w:t>
      </w:r>
    </w:p>
    <w:p w14:paraId="6AEFD261" w14:textId="77777777" w:rsidR="00DE3708" w:rsidRPr="001765A8" w:rsidRDefault="00DE3708" w:rsidP="00307CD6">
      <w:pPr>
        <w:spacing w:line="240" w:lineRule="auto"/>
        <w:contextualSpacing/>
        <w:jc w:val="both"/>
        <w:rPr>
          <w:szCs w:val="22"/>
        </w:rPr>
      </w:pPr>
      <w:proofErr w:type="spellStart"/>
      <w:r w:rsidRPr="001765A8">
        <w:rPr>
          <w:szCs w:val="22"/>
          <w:highlight w:val="lightGray"/>
        </w:rPr>
        <w:t>Suvartar</w:t>
      </w:r>
      <w:proofErr w:type="spellEnd"/>
      <w:r w:rsidRPr="001765A8">
        <w:rPr>
          <w:szCs w:val="22"/>
          <w:highlight w:val="lightGray"/>
        </w:rPr>
        <w:t xml:space="preserve"> 320 mg plėvele dengtos tabletės</w:t>
      </w:r>
    </w:p>
    <w:p w14:paraId="0D66BE17" w14:textId="77777777" w:rsidR="00DE3708" w:rsidRPr="001E6DB9" w:rsidRDefault="00DE3708" w:rsidP="00307CD6">
      <w:pPr>
        <w:spacing w:line="240" w:lineRule="auto"/>
        <w:contextualSpacing/>
        <w:jc w:val="both"/>
        <w:rPr>
          <w:szCs w:val="22"/>
        </w:rPr>
      </w:pPr>
    </w:p>
    <w:p w14:paraId="39972CBB" w14:textId="6BE97A9C" w:rsidR="00DE3708" w:rsidRPr="001E6DB9" w:rsidRDefault="004E732B" w:rsidP="00307CD6">
      <w:pPr>
        <w:spacing w:line="240" w:lineRule="auto"/>
        <w:contextualSpacing/>
        <w:jc w:val="both"/>
        <w:rPr>
          <w:szCs w:val="22"/>
        </w:rPr>
      </w:pPr>
      <w:r>
        <w:rPr>
          <w:szCs w:val="22"/>
        </w:rPr>
        <w:t>v</w:t>
      </w:r>
      <w:r w:rsidR="00DE3708" w:rsidRPr="001E6DB9">
        <w:rPr>
          <w:szCs w:val="22"/>
        </w:rPr>
        <w:t>alsartanas</w:t>
      </w:r>
    </w:p>
    <w:p w14:paraId="779BDA7F" w14:textId="77777777" w:rsidR="00DE3708" w:rsidRPr="001E6DB9" w:rsidRDefault="00DE3708" w:rsidP="00307CD6">
      <w:pPr>
        <w:spacing w:line="240" w:lineRule="auto"/>
        <w:contextualSpacing/>
        <w:rPr>
          <w:szCs w:val="22"/>
        </w:rPr>
      </w:pPr>
    </w:p>
    <w:p w14:paraId="311A2ECD" w14:textId="77777777" w:rsidR="00DE3708" w:rsidRPr="001E6DB9" w:rsidRDefault="00DE3708" w:rsidP="00307CD6">
      <w:pPr>
        <w:spacing w:line="240" w:lineRule="auto"/>
        <w:contextualSpacing/>
        <w:rPr>
          <w:szCs w:val="22"/>
        </w:rPr>
      </w:pPr>
    </w:p>
    <w:p w14:paraId="54824144"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2.</w:t>
      </w:r>
      <w:r w:rsidRPr="001E6DB9">
        <w:rPr>
          <w:b/>
          <w:szCs w:val="22"/>
        </w:rPr>
        <w:tab/>
        <w:t>REGISTRUOTOJO PAVADINIMAS</w:t>
      </w:r>
    </w:p>
    <w:p w14:paraId="240EC2E5" w14:textId="77777777" w:rsidR="00DE3708" w:rsidRPr="001E6DB9" w:rsidRDefault="00DE3708" w:rsidP="00307CD6">
      <w:pPr>
        <w:spacing w:line="240" w:lineRule="auto"/>
        <w:contextualSpacing/>
        <w:rPr>
          <w:szCs w:val="22"/>
        </w:rPr>
      </w:pPr>
    </w:p>
    <w:p w14:paraId="655781F6" w14:textId="77777777" w:rsidR="00DE3708" w:rsidRPr="001E6DB9" w:rsidRDefault="00DE3708" w:rsidP="00307CD6">
      <w:pPr>
        <w:pStyle w:val="Pagrindinistekstas"/>
        <w:contextualSpacing/>
        <w:rPr>
          <w:i w:val="0"/>
          <w:color w:val="auto"/>
          <w:szCs w:val="22"/>
        </w:rPr>
      </w:pPr>
      <w:r w:rsidRPr="001E6DB9">
        <w:rPr>
          <w:i w:val="0"/>
          <w:color w:val="auto"/>
          <w:szCs w:val="22"/>
        </w:rPr>
        <w:t>SANDOZ</w:t>
      </w:r>
    </w:p>
    <w:p w14:paraId="6921B21A" w14:textId="77777777" w:rsidR="00DE3708" w:rsidRPr="00F50D13" w:rsidRDefault="00DE3708" w:rsidP="00307CD6">
      <w:pPr>
        <w:spacing w:line="240" w:lineRule="auto"/>
        <w:contextualSpacing/>
        <w:rPr>
          <w:szCs w:val="22"/>
        </w:rPr>
      </w:pPr>
    </w:p>
    <w:p w14:paraId="4CBA7353" w14:textId="77777777" w:rsidR="00DE3708" w:rsidRPr="00F50D13" w:rsidRDefault="00DE3708" w:rsidP="00307CD6">
      <w:pPr>
        <w:spacing w:line="240" w:lineRule="auto"/>
        <w:contextualSpacing/>
        <w:rPr>
          <w:szCs w:val="22"/>
        </w:rPr>
      </w:pPr>
    </w:p>
    <w:p w14:paraId="27E715DD"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3.</w:t>
      </w:r>
      <w:r w:rsidRPr="00F91FD7">
        <w:rPr>
          <w:b/>
          <w:szCs w:val="22"/>
        </w:rPr>
        <w:tab/>
        <w:t>TINKAMUMO LAIKAS</w:t>
      </w:r>
    </w:p>
    <w:p w14:paraId="673E8989" w14:textId="77777777" w:rsidR="00DE3708" w:rsidRPr="00F91FD7" w:rsidRDefault="00DE3708" w:rsidP="00307CD6">
      <w:pPr>
        <w:spacing w:line="240" w:lineRule="auto"/>
        <w:contextualSpacing/>
        <w:rPr>
          <w:szCs w:val="22"/>
        </w:rPr>
      </w:pPr>
    </w:p>
    <w:p w14:paraId="652F4D32" w14:textId="77777777" w:rsidR="00DE3708" w:rsidRPr="001E6DB9" w:rsidRDefault="00F50D13" w:rsidP="00307CD6">
      <w:pPr>
        <w:pStyle w:val="Pagrindinistekstas"/>
        <w:contextualSpacing/>
        <w:rPr>
          <w:i w:val="0"/>
          <w:color w:val="auto"/>
          <w:szCs w:val="22"/>
        </w:rPr>
      </w:pPr>
      <w:r w:rsidRPr="001E6DB9">
        <w:rPr>
          <w:i w:val="0"/>
          <w:color w:val="auto"/>
          <w:szCs w:val="22"/>
          <w:highlight w:val="lightGray"/>
        </w:rPr>
        <w:t>EXP</w:t>
      </w:r>
      <w:r>
        <w:rPr>
          <w:i w:val="0"/>
          <w:color w:val="auto"/>
          <w:szCs w:val="22"/>
        </w:rPr>
        <w:t xml:space="preserve"> </w:t>
      </w:r>
      <w:r w:rsidR="00DE3708" w:rsidRPr="001E6DB9">
        <w:rPr>
          <w:i w:val="0"/>
          <w:color w:val="auto"/>
          <w:szCs w:val="22"/>
        </w:rPr>
        <w:t xml:space="preserve">{mm MMMM} </w:t>
      </w:r>
    </w:p>
    <w:p w14:paraId="62B15DBD" w14:textId="77777777" w:rsidR="00DE3708" w:rsidRPr="00F50D13" w:rsidRDefault="00DE3708" w:rsidP="00307CD6">
      <w:pPr>
        <w:spacing w:line="240" w:lineRule="auto"/>
        <w:contextualSpacing/>
        <w:rPr>
          <w:szCs w:val="22"/>
        </w:rPr>
      </w:pPr>
    </w:p>
    <w:p w14:paraId="49660F0D" w14:textId="77777777" w:rsidR="00DE3708" w:rsidRPr="00F50D13" w:rsidRDefault="00DE3708" w:rsidP="00307CD6">
      <w:pPr>
        <w:spacing w:line="240" w:lineRule="auto"/>
        <w:contextualSpacing/>
        <w:rPr>
          <w:szCs w:val="22"/>
        </w:rPr>
      </w:pPr>
    </w:p>
    <w:p w14:paraId="6B5C3512"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4.</w:t>
      </w:r>
      <w:r w:rsidRPr="00F91FD7">
        <w:rPr>
          <w:b/>
          <w:szCs w:val="22"/>
        </w:rPr>
        <w:tab/>
        <w:t>SERIJOS NUMERIS</w:t>
      </w:r>
    </w:p>
    <w:p w14:paraId="4B6CDB17" w14:textId="77777777" w:rsidR="00DE3708" w:rsidRPr="00F91FD7" w:rsidRDefault="00DE3708" w:rsidP="00307CD6">
      <w:pPr>
        <w:spacing w:line="240" w:lineRule="auto"/>
        <w:contextualSpacing/>
        <w:rPr>
          <w:szCs w:val="22"/>
        </w:rPr>
      </w:pPr>
    </w:p>
    <w:p w14:paraId="2A1DDC65" w14:textId="77777777" w:rsidR="00DE3708" w:rsidRPr="00F50D13" w:rsidRDefault="00DE3708" w:rsidP="00307CD6">
      <w:pPr>
        <w:spacing w:line="240" w:lineRule="auto"/>
        <w:contextualSpacing/>
        <w:rPr>
          <w:szCs w:val="22"/>
        </w:rPr>
      </w:pPr>
      <w:r w:rsidRPr="0078402A">
        <w:rPr>
          <w:szCs w:val="22"/>
        </w:rPr>
        <w:t xml:space="preserve"> </w:t>
      </w:r>
      <w:r w:rsidR="00F50D13" w:rsidRPr="001E6DB9">
        <w:rPr>
          <w:szCs w:val="22"/>
          <w:highlight w:val="lightGray"/>
        </w:rPr>
        <w:t>LOT</w:t>
      </w:r>
      <w:r w:rsidR="00F50D13">
        <w:rPr>
          <w:szCs w:val="22"/>
        </w:rPr>
        <w:t xml:space="preserve"> </w:t>
      </w:r>
      <w:r w:rsidRPr="00F50D13">
        <w:rPr>
          <w:szCs w:val="22"/>
        </w:rPr>
        <w:t>{numeris}</w:t>
      </w:r>
    </w:p>
    <w:p w14:paraId="569CDCC4" w14:textId="77777777" w:rsidR="00DE3708" w:rsidRPr="00F50D13" w:rsidRDefault="00DE3708" w:rsidP="00307CD6">
      <w:pPr>
        <w:spacing w:line="240" w:lineRule="auto"/>
        <w:contextualSpacing/>
        <w:rPr>
          <w:szCs w:val="22"/>
        </w:rPr>
      </w:pPr>
    </w:p>
    <w:p w14:paraId="5ACE2F62" w14:textId="77777777" w:rsidR="00DE3708" w:rsidRPr="00F91FD7" w:rsidRDefault="00DE3708" w:rsidP="00307CD6">
      <w:pPr>
        <w:spacing w:line="240" w:lineRule="auto"/>
        <w:contextualSpacing/>
        <w:rPr>
          <w:szCs w:val="22"/>
        </w:rPr>
      </w:pPr>
    </w:p>
    <w:p w14:paraId="32FC96D2"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5.</w:t>
      </w:r>
      <w:r w:rsidRPr="00F91FD7">
        <w:rPr>
          <w:b/>
          <w:szCs w:val="22"/>
        </w:rPr>
        <w:tab/>
        <w:t>KITA</w:t>
      </w:r>
    </w:p>
    <w:p w14:paraId="1F32D66D" w14:textId="77777777" w:rsidR="00DE3708" w:rsidRPr="0078402A" w:rsidRDefault="00DE3708" w:rsidP="00307CD6">
      <w:pPr>
        <w:spacing w:line="240" w:lineRule="auto"/>
        <w:contextualSpacing/>
        <w:rPr>
          <w:szCs w:val="22"/>
        </w:rPr>
      </w:pPr>
    </w:p>
    <w:p w14:paraId="7C58C8CB" w14:textId="77777777" w:rsidR="00DE3708" w:rsidRPr="00307CD6" w:rsidRDefault="00DE3708" w:rsidP="00307CD6">
      <w:pPr>
        <w:spacing w:line="240" w:lineRule="auto"/>
        <w:contextualSpacing/>
        <w:rPr>
          <w:b/>
          <w:szCs w:val="22"/>
        </w:rPr>
      </w:pPr>
      <w:bookmarkStart w:id="6" w:name="_Toc129243262"/>
      <w:bookmarkStart w:id="7" w:name="_Toc129243137"/>
      <w:r w:rsidRPr="00307CD6">
        <w:rPr>
          <w:b/>
          <w:szCs w:val="22"/>
        </w:rPr>
        <w:br w:type="page"/>
      </w:r>
    </w:p>
    <w:p w14:paraId="751C1299" w14:textId="77777777" w:rsidR="00DE3708" w:rsidRPr="00307CD6" w:rsidRDefault="00DE3708" w:rsidP="00307CD6">
      <w:pPr>
        <w:spacing w:line="240" w:lineRule="auto"/>
        <w:contextualSpacing/>
        <w:jc w:val="center"/>
        <w:rPr>
          <w:b/>
          <w:szCs w:val="22"/>
        </w:rPr>
      </w:pPr>
    </w:p>
    <w:p w14:paraId="5102655A" w14:textId="77777777" w:rsidR="00DE3708" w:rsidRPr="00307CD6" w:rsidRDefault="00DE3708" w:rsidP="00307CD6">
      <w:pPr>
        <w:spacing w:line="240" w:lineRule="auto"/>
        <w:contextualSpacing/>
        <w:jc w:val="center"/>
        <w:rPr>
          <w:b/>
          <w:szCs w:val="22"/>
        </w:rPr>
      </w:pPr>
    </w:p>
    <w:p w14:paraId="63F70B94" w14:textId="77777777" w:rsidR="00DE3708" w:rsidRPr="007F15BA" w:rsidRDefault="00DE3708" w:rsidP="00307CD6">
      <w:pPr>
        <w:spacing w:line="240" w:lineRule="auto"/>
        <w:contextualSpacing/>
        <w:jc w:val="center"/>
        <w:rPr>
          <w:b/>
          <w:szCs w:val="22"/>
        </w:rPr>
      </w:pPr>
    </w:p>
    <w:p w14:paraId="17841D76" w14:textId="77777777" w:rsidR="00DE3708" w:rsidRPr="007F15BA" w:rsidRDefault="00DE3708" w:rsidP="00307CD6">
      <w:pPr>
        <w:spacing w:line="240" w:lineRule="auto"/>
        <w:contextualSpacing/>
        <w:jc w:val="center"/>
        <w:rPr>
          <w:b/>
          <w:szCs w:val="22"/>
        </w:rPr>
      </w:pPr>
    </w:p>
    <w:p w14:paraId="426AF289" w14:textId="77777777" w:rsidR="00DE3708" w:rsidRPr="00D36517" w:rsidRDefault="00DE3708" w:rsidP="00307CD6">
      <w:pPr>
        <w:spacing w:line="240" w:lineRule="auto"/>
        <w:contextualSpacing/>
        <w:jc w:val="center"/>
        <w:rPr>
          <w:b/>
          <w:szCs w:val="22"/>
        </w:rPr>
      </w:pPr>
    </w:p>
    <w:p w14:paraId="1BE7543A" w14:textId="77777777" w:rsidR="00DE3708" w:rsidRPr="00D36517" w:rsidRDefault="00DE3708" w:rsidP="00307CD6">
      <w:pPr>
        <w:spacing w:line="240" w:lineRule="auto"/>
        <w:contextualSpacing/>
        <w:jc w:val="center"/>
        <w:rPr>
          <w:b/>
          <w:szCs w:val="22"/>
        </w:rPr>
      </w:pPr>
    </w:p>
    <w:p w14:paraId="14970279" w14:textId="77777777" w:rsidR="00DE3708" w:rsidRPr="009F455C" w:rsidRDefault="00DE3708" w:rsidP="00307CD6">
      <w:pPr>
        <w:spacing w:line="240" w:lineRule="auto"/>
        <w:contextualSpacing/>
        <w:jc w:val="center"/>
        <w:rPr>
          <w:b/>
          <w:szCs w:val="22"/>
        </w:rPr>
      </w:pPr>
    </w:p>
    <w:p w14:paraId="0046A7CA" w14:textId="77777777" w:rsidR="00DE3708" w:rsidRPr="009F455C" w:rsidRDefault="00DE3708" w:rsidP="00307CD6">
      <w:pPr>
        <w:spacing w:line="240" w:lineRule="auto"/>
        <w:contextualSpacing/>
        <w:jc w:val="center"/>
        <w:rPr>
          <w:b/>
          <w:szCs w:val="22"/>
        </w:rPr>
      </w:pPr>
    </w:p>
    <w:p w14:paraId="319F9CF7" w14:textId="77777777" w:rsidR="00DE3708" w:rsidRPr="00FB60E5" w:rsidRDefault="00DE3708" w:rsidP="00307CD6">
      <w:pPr>
        <w:spacing w:line="240" w:lineRule="auto"/>
        <w:contextualSpacing/>
        <w:jc w:val="center"/>
        <w:rPr>
          <w:b/>
          <w:szCs w:val="22"/>
        </w:rPr>
      </w:pPr>
    </w:p>
    <w:p w14:paraId="53558C7E" w14:textId="77777777" w:rsidR="00DE3708" w:rsidRPr="00FB60E5" w:rsidRDefault="00DE3708" w:rsidP="00307CD6">
      <w:pPr>
        <w:spacing w:line="240" w:lineRule="auto"/>
        <w:contextualSpacing/>
        <w:jc w:val="center"/>
        <w:rPr>
          <w:b/>
          <w:szCs w:val="22"/>
        </w:rPr>
      </w:pPr>
    </w:p>
    <w:p w14:paraId="13FBA10E" w14:textId="77777777" w:rsidR="00DE3708" w:rsidRPr="001765A8" w:rsidRDefault="00DE3708" w:rsidP="00307CD6">
      <w:pPr>
        <w:spacing w:line="240" w:lineRule="auto"/>
        <w:contextualSpacing/>
        <w:jc w:val="center"/>
        <w:rPr>
          <w:b/>
          <w:szCs w:val="22"/>
        </w:rPr>
      </w:pPr>
    </w:p>
    <w:p w14:paraId="375E636A" w14:textId="77777777" w:rsidR="00DE3708" w:rsidRPr="001E6DB9" w:rsidRDefault="00DE3708" w:rsidP="00307CD6">
      <w:pPr>
        <w:spacing w:line="240" w:lineRule="auto"/>
        <w:contextualSpacing/>
        <w:jc w:val="center"/>
        <w:rPr>
          <w:b/>
          <w:szCs w:val="22"/>
        </w:rPr>
      </w:pPr>
    </w:p>
    <w:p w14:paraId="3B189E5E" w14:textId="77777777" w:rsidR="00DE3708" w:rsidRPr="001E6DB9" w:rsidRDefault="00DE3708" w:rsidP="00307CD6">
      <w:pPr>
        <w:spacing w:line="240" w:lineRule="auto"/>
        <w:contextualSpacing/>
        <w:jc w:val="center"/>
        <w:rPr>
          <w:b/>
          <w:szCs w:val="22"/>
        </w:rPr>
      </w:pPr>
    </w:p>
    <w:p w14:paraId="3A805337" w14:textId="77777777" w:rsidR="00DE3708" w:rsidRPr="001E6DB9" w:rsidRDefault="00DE3708" w:rsidP="00307CD6">
      <w:pPr>
        <w:spacing w:line="240" w:lineRule="auto"/>
        <w:contextualSpacing/>
        <w:jc w:val="center"/>
        <w:rPr>
          <w:b/>
          <w:szCs w:val="22"/>
        </w:rPr>
      </w:pPr>
    </w:p>
    <w:p w14:paraId="6805415D" w14:textId="77777777" w:rsidR="00DE3708" w:rsidRPr="001E6DB9" w:rsidRDefault="00DE3708" w:rsidP="00307CD6">
      <w:pPr>
        <w:spacing w:line="240" w:lineRule="auto"/>
        <w:contextualSpacing/>
        <w:jc w:val="center"/>
        <w:rPr>
          <w:b/>
          <w:szCs w:val="22"/>
        </w:rPr>
      </w:pPr>
    </w:p>
    <w:p w14:paraId="2CA98B91" w14:textId="77777777" w:rsidR="00DE3708" w:rsidRPr="001E6DB9" w:rsidRDefault="00DE3708" w:rsidP="00307CD6">
      <w:pPr>
        <w:spacing w:line="240" w:lineRule="auto"/>
        <w:contextualSpacing/>
        <w:jc w:val="center"/>
        <w:rPr>
          <w:b/>
          <w:szCs w:val="22"/>
        </w:rPr>
      </w:pPr>
    </w:p>
    <w:p w14:paraId="7F5BFA09" w14:textId="77777777" w:rsidR="00DE3708" w:rsidRPr="001E6DB9" w:rsidRDefault="00DE3708" w:rsidP="00307CD6">
      <w:pPr>
        <w:spacing w:line="240" w:lineRule="auto"/>
        <w:contextualSpacing/>
        <w:jc w:val="center"/>
        <w:rPr>
          <w:b/>
          <w:szCs w:val="22"/>
        </w:rPr>
      </w:pPr>
    </w:p>
    <w:p w14:paraId="06942C99" w14:textId="77777777" w:rsidR="00DE3708" w:rsidRPr="001E6DB9" w:rsidRDefault="00DE3708" w:rsidP="00307CD6">
      <w:pPr>
        <w:spacing w:line="240" w:lineRule="auto"/>
        <w:contextualSpacing/>
        <w:jc w:val="center"/>
        <w:rPr>
          <w:b/>
          <w:szCs w:val="22"/>
        </w:rPr>
      </w:pPr>
    </w:p>
    <w:p w14:paraId="7D7FB0D6" w14:textId="77777777" w:rsidR="00DE3708" w:rsidRPr="001E6DB9" w:rsidRDefault="00DE3708" w:rsidP="00307CD6">
      <w:pPr>
        <w:spacing w:line="240" w:lineRule="auto"/>
        <w:contextualSpacing/>
        <w:jc w:val="center"/>
        <w:rPr>
          <w:b/>
          <w:szCs w:val="22"/>
        </w:rPr>
      </w:pPr>
    </w:p>
    <w:p w14:paraId="26AFF7FB" w14:textId="77777777" w:rsidR="00DE3708" w:rsidRPr="001E6DB9" w:rsidRDefault="00DE3708" w:rsidP="00307CD6">
      <w:pPr>
        <w:spacing w:line="240" w:lineRule="auto"/>
        <w:contextualSpacing/>
        <w:jc w:val="center"/>
        <w:rPr>
          <w:b/>
          <w:szCs w:val="22"/>
        </w:rPr>
      </w:pPr>
    </w:p>
    <w:p w14:paraId="47C923F0" w14:textId="77777777" w:rsidR="00DE3708" w:rsidRPr="001E6DB9" w:rsidRDefault="00DE3708" w:rsidP="00307CD6">
      <w:pPr>
        <w:spacing w:line="240" w:lineRule="auto"/>
        <w:contextualSpacing/>
        <w:jc w:val="center"/>
        <w:rPr>
          <w:b/>
          <w:szCs w:val="22"/>
        </w:rPr>
      </w:pPr>
    </w:p>
    <w:p w14:paraId="0A747A2B" w14:textId="77777777" w:rsidR="00DE3708" w:rsidRPr="001E6DB9" w:rsidRDefault="00DE3708" w:rsidP="00307CD6">
      <w:pPr>
        <w:spacing w:line="240" w:lineRule="auto"/>
        <w:contextualSpacing/>
        <w:jc w:val="center"/>
        <w:rPr>
          <w:b/>
          <w:szCs w:val="22"/>
        </w:rPr>
      </w:pPr>
    </w:p>
    <w:p w14:paraId="317F7E24" w14:textId="77777777" w:rsidR="00DE3708" w:rsidRPr="001E6DB9" w:rsidRDefault="00DE3708" w:rsidP="00307CD6">
      <w:pPr>
        <w:spacing w:line="240" w:lineRule="auto"/>
        <w:contextualSpacing/>
        <w:jc w:val="center"/>
        <w:rPr>
          <w:b/>
          <w:szCs w:val="22"/>
        </w:rPr>
      </w:pPr>
    </w:p>
    <w:p w14:paraId="0316FF9A" w14:textId="77777777" w:rsidR="00DE3708" w:rsidRPr="001E6DB9" w:rsidRDefault="00DE3708" w:rsidP="00307CD6">
      <w:pPr>
        <w:spacing w:line="240" w:lineRule="auto"/>
        <w:contextualSpacing/>
        <w:jc w:val="center"/>
        <w:rPr>
          <w:b/>
          <w:szCs w:val="22"/>
        </w:rPr>
      </w:pPr>
      <w:r w:rsidRPr="001E6DB9">
        <w:rPr>
          <w:b/>
          <w:szCs w:val="22"/>
        </w:rPr>
        <w:t>B. PAKUOTĖS LAPELIS</w:t>
      </w:r>
      <w:bookmarkEnd w:id="6"/>
      <w:bookmarkEnd w:id="7"/>
    </w:p>
    <w:p w14:paraId="2458663A" w14:textId="77777777" w:rsidR="00DE3708" w:rsidRPr="001E6DB9" w:rsidRDefault="00DE3708" w:rsidP="00307CD6">
      <w:pPr>
        <w:spacing w:line="240" w:lineRule="auto"/>
        <w:contextualSpacing/>
        <w:jc w:val="center"/>
        <w:rPr>
          <w:b/>
          <w:szCs w:val="22"/>
        </w:rPr>
      </w:pPr>
      <w:r w:rsidRPr="001E6DB9">
        <w:rPr>
          <w:szCs w:val="22"/>
        </w:rPr>
        <w:br w:type="page"/>
      </w:r>
      <w:r w:rsidRPr="001E6DB9">
        <w:rPr>
          <w:b/>
          <w:szCs w:val="22"/>
        </w:rPr>
        <w:lastRenderedPageBreak/>
        <w:t xml:space="preserve">Pakuotės lapelis: informacija </w:t>
      </w:r>
      <w:r w:rsidR="00A33394" w:rsidRPr="001E6DB9">
        <w:rPr>
          <w:b/>
          <w:szCs w:val="22"/>
        </w:rPr>
        <w:t>pacientui</w:t>
      </w:r>
    </w:p>
    <w:p w14:paraId="6E568A26" w14:textId="77777777" w:rsidR="00DE3708" w:rsidRPr="001E6DB9" w:rsidRDefault="00DE3708" w:rsidP="00307CD6">
      <w:pPr>
        <w:spacing w:line="240" w:lineRule="auto"/>
        <w:contextualSpacing/>
        <w:jc w:val="center"/>
        <w:rPr>
          <w:b/>
          <w:szCs w:val="22"/>
        </w:rPr>
      </w:pPr>
    </w:p>
    <w:p w14:paraId="08FEC4CD" w14:textId="77777777" w:rsidR="00DE3708" w:rsidRPr="001E6DB9" w:rsidRDefault="00DE3708" w:rsidP="00307CD6">
      <w:pPr>
        <w:shd w:val="clear" w:color="auto" w:fill="FFFFFF"/>
        <w:spacing w:line="240" w:lineRule="auto"/>
        <w:contextualSpacing/>
        <w:jc w:val="center"/>
        <w:rPr>
          <w:b/>
          <w:szCs w:val="22"/>
        </w:rPr>
      </w:pPr>
      <w:proofErr w:type="spellStart"/>
      <w:r w:rsidRPr="001E6DB9">
        <w:rPr>
          <w:b/>
          <w:szCs w:val="22"/>
        </w:rPr>
        <w:t>Suvartar</w:t>
      </w:r>
      <w:proofErr w:type="spellEnd"/>
      <w:r w:rsidRPr="001E6DB9">
        <w:rPr>
          <w:b/>
          <w:szCs w:val="22"/>
        </w:rPr>
        <w:t xml:space="preserve"> 80 mg plėvele dengtos tabletės</w:t>
      </w:r>
    </w:p>
    <w:p w14:paraId="30D09CA7" w14:textId="77777777" w:rsidR="00DE3708" w:rsidRPr="001E6DB9" w:rsidRDefault="00DE3708" w:rsidP="00307CD6">
      <w:pPr>
        <w:shd w:val="clear" w:color="auto" w:fill="FFFFFF"/>
        <w:spacing w:line="240" w:lineRule="auto"/>
        <w:contextualSpacing/>
        <w:jc w:val="center"/>
        <w:rPr>
          <w:b/>
          <w:szCs w:val="22"/>
          <w:highlight w:val="lightGray"/>
        </w:rPr>
      </w:pPr>
      <w:proofErr w:type="spellStart"/>
      <w:r w:rsidRPr="001E6DB9">
        <w:rPr>
          <w:b/>
          <w:szCs w:val="22"/>
          <w:highlight w:val="lightGray"/>
        </w:rPr>
        <w:t>Suvartar</w:t>
      </w:r>
      <w:proofErr w:type="spellEnd"/>
      <w:r w:rsidRPr="001E6DB9">
        <w:rPr>
          <w:b/>
          <w:szCs w:val="22"/>
          <w:highlight w:val="lightGray"/>
        </w:rPr>
        <w:t xml:space="preserve"> 160 mg plėvele dengtos tabletės</w:t>
      </w:r>
    </w:p>
    <w:p w14:paraId="4E1684A4" w14:textId="77777777" w:rsidR="00DE3708" w:rsidRPr="00F50D13" w:rsidRDefault="00DE3708" w:rsidP="00307CD6">
      <w:pPr>
        <w:shd w:val="clear" w:color="auto" w:fill="FFFFFF"/>
        <w:spacing w:line="240" w:lineRule="auto"/>
        <w:contextualSpacing/>
        <w:jc w:val="center"/>
        <w:rPr>
          <w:b/>
          <w:szCs w:val="22"/>
        </w:rPr>
      </w:pPr>
      <w:proofErr w:type="spellStart"/>
      <w:r w:rsidRPr="001E6DB9">
        <w:rPr>
          <w:b/>
          <w:szCs w:val="22"/>
          <w:highlight w:val="lightGray"/>
        </w:rPr>
        <w:t>Suvartar</w:t>
      </w:r>
      <w:proofErr w:type="spellEnd"/>
      <w:r w:rsidRPr="001E6DB9">
        <w:rPr>
          <w:b/>
          <w:szCs w:val="22"/>
          <w:highlight w:val="lightGray"/>
        </w:rPr>
        <w:t xml:space="preserve"> 320 mg plėvele dengtos tabletės</w:t>
      </w:r>
    </w:p>
    <w:p w14:paraId="50EB567A" w14:textId="77777777" w:rsidR="00DE3708" w:rsidRPr="00F50D13" w:rsidRDefault="007F15BA" w:rsidP="00307CD6">
      <w:pPr>
        <w:spacing w:line="240" w:lineRule="auto"/>
        <w:contextualSpacing/>
        <w:jc w:val="center"/>
        <w:rPr>
          <w:szCs w:val="22"/>
        </w:rPr>
      </w:pPr>
      <w:r>
        <w:rPr>
          <w:szCs w:val="22"/>
        </w:rPr>
        <w:t>v</w:t>
      </w:r>
      <w:r w:rsidR="00DE3708" w:rsidRPr="00F50D13">
        <w:rPr>
          <w:szCs w:val="22"/>
        </w:rPr>
        <w:t>alsartanas</w:t>
      </w:r>
    </w:p>
    <w:p w14:paraId="6F616A6C" w14:textId="77777777" w:rsidR="00DE3708" w:rsidRPr="00F91FD7" w:rsidRDefault="00DE3708" w:rsidP="00307CD6">
      <w:pPr>
        <w:spacing w:line="240" w:lineRule="auto"/>
        <w:contextualSpacing/>
        <w:rPr>
          <w:szCs w:val="22"/>
        </w:rPr>
      </w:pPr>
    </w:p>
    <w:p w14:paraId="073CA4DA" w14:textId="77777777" w:rsidR="00DE3708" w:rsidRPr="00F91FD7" w:rsidRDefault="00DE3708" w:rsidP="00307CD6">
      <w:pPr>
        <w:spacing w:line="240" w:lineRule="auto"/>
        <w:contextualSpacing/>
        <w:rPr>
          <w:b/>
          <w:szCs w:val="22"/>
        </w:rPr>
      </w:pPr>
      <w:r w:rsidRPr="00F91FD7">
        <w:rPr>
          <w:b/>
          <w:szCs w:val="22"/>
        </w:rPr>
        <w:t>Atidžiai perskaitykite visą šį lapelį, prieš pradėdami vartoti vaistą, nes jame pateikiama Jums svarbi informacija.</w:t>
      </w:r>
    </w:p>
    <w:p w14:paraId="3C8CFD29" w14:textId="77777777" w:rsidR="00DE3708" w:rsidRPr="00617EBE" w:rsidRDefault="00DE3708" w:rsidP="00307CD6">
      <w:pPr>
        <w:spacing w:line="240" w:lineRule="auto"/>
        <w:ind w:left="567" w:hanging="567"/>
        <w:contextualSpacing/>
        <w:rPr>
          <w:szCs w:val="22"/>
        </w:rPr>
      </w:pPr>
      <w:r w:rsidRPr="0078402A">
        <w:rPr>
          <w:szCs w:val="22"/>
        </w:rPr>
        <w:t>-</w:t>
      </w:r>
      <w:r w:rsidRPr="0078402A">
        <w:rPr>
          <w:szCs w:val="22"/>
        </w:rPr>
        <w:tab/>
        <w:t>Neišmeskite šio lapelio, nes vėl ga</w:t>
      </w:r>
      <w:r w:rsidRPr="00617EBE">
        <w:rPr>
          <w:szCs w:val="22"/>
        </w:rPr>
        <w:t>li prireikti jį perskaityti.</w:t>
      </w:r>
    </w:p>
    <w:p w14:paraId="07D8F00E" w14:textId="77777777" w:rsidR="00DE3708" w:rsidRPr="00307CD6" w:rsidRDefault="00DE3708" w:rsidP="00307CD6">
      <w:pPr>
        <w:spacing w:line="240" w:lineRule="auto"/>
        <w:ind w:left="567" w:hanging="567"/>
        <w:contextualSpacing/>
        <w:rPr>
          <w:szCs w:val="22"/>
        </w:rPr>
      </w:pPr>
      <w:r w:rsidRPr="00307CD6">
        <w:rPr>
          <w:szCs w:val="22"/>
        </w:rPr>
        <w:t>-</w:t>
      </w:r>
      <w:r w:rsidRPr="00307CD6">
        <w:rPr>
          <w:szCs w:val="22"/>
        </w:rPr>
        <w:tab/>
        <w:t>Jeigu kiltų daugiau klausimų, kreipkitės į gydytoją arba vaistininką.</w:t>
      </w:r>
    </w:p>
    <w:p w14:paraId="287DFA9E" w14:textId="77777777" w:rsidR="00DE3708" w:rsidRPr="007F15BA" w:rsidRDefault="00DE3708" w:rsidP="00307CD6">
      <w:pPr>
        <w:spacing w:line="240" w:lineRule="auto"/>
        <w:ind w:left="567" w:hanging="567"/>
        <w:contextualSpacing/>
        <w:rPr>
          <w:szCs w:val="22"/>
        </w:rPr>
      </w:pPr>
      <w:r w:rsidRPr="007F15BA">
        <w:rPr>
          <w:szCs w:val="22"/>
        </w:rPr>
        <w:t>-</w:t>
      </w:r>
      <w:r w:rsidRPr="007F15BA">
        <w:rPr>
          <w:szCs w:val="22"/>
        </w:rPr>
        <w:tab/>
        <w:t>Šis vaistas skirtas tik Jums, todėl kitiems žmonėms jo duoti negalima. Vaistas gali jiems pakenkti (net tiems, kurių ligos požymiai yra tokie patys kaip Jūsų).</w:t>
      </w:r>
    </w:p>
    <w:p w14:paraId="0404355A" w14:textId="4676E368" w:rsidR="00DE3708" w:rsidRPr="007F15BA" w:rsidRDefault="00DE3708" w:rsidP="001E6DB9">
      <w:pPr>
        <w:numPr>
          <w:ilvl w:val="0"/>
          <w:numId w:val="4"/>
        </w:numPr>
        <w:spacing w:line="240" w:lineRule="auto"/>
        <w:ind w:left="567" w:hanging="567"/>
        <w:contextualSpacing/>
        <w:rPr>
          <w:szCs w:val="22"/>
        </w:rPr>
      </w:pPr>
      <w:r w:rsidRPr="007F15BA">
        <w:rPr>
          <w:szCs w:val="22"/>
        </w:rPr>
        <w:t>Jeigu pasireiškė šalutinis poveikis (net jeigu jis šiame lapelyje nenurodytas), kreipkitės į gydytoją arba vaistininką. Žr.</w:t>
      </w:r>
      <w:r w:rsidR="00097B52">
        <w:rPr>
          <w:szCs w:val="22"/>
        </w:rPr>
        <w:t> </w:t>
      </w:r>
      <w:r w:rsidRPr="007F15BA">
        <w:rPr>
          <w:szCs w:val="22"/>
        </w:rPr>
        <w:t>4</w:t>
      </w:r>
      <w:r w:rsidR="00097B52">
        <w:rPr>
          <w:szCs w:val="22"/>
        </w:rPr>
        <w:t> </w:t>
      </w:r>
      <w:r w:rsidRPr="007F15BA">
        <w:rPr>
          <w:szCs w:val="22"/>
        </w:rPr>
        <w:t>skyrių.</w:t>
      </w:r>
    </w:p>
    <w:p w14:paraId="307F68C8" w14:textId="77777777" w:rsidR="00DE3708" w:rsidRPr="007F15BA" w:rsidRDefault="00DE3708" w:rsidP="00307CD6">
      <w:pPr>
        <w:spacing w:line="240" w:lineRule="auto"/>
        <w:ind w:right="-2"/>
        <w:contextualSpacing/>
        <w:rPr>
          <w:szCs w:val="22"/>
        </w:rPr>
      </w:pPr>
    </w:p>
    <w:p w14:paraId="22E38525" w14:textId="77777777" w:rsidR="00DE3708" w:rsidRPr="00D36517" w:rsidRDefault="00DE3708" w:rsidP="00307CD6">
      <w:pPr>
        <w:spacing w:line="240" w:lineRule="auto"/>
        <w:contextualSpacing/>
        <w:rPr>
          <w:szCs w:val="22"/>
        </w:rPr>
      </w:pPr>
    </w:p>
    <w:p w14:paraId="0D7790AB" w14:textId="77777777" w:rsidR="00DE3708" w:rsidRPr="00D36517" w:rsidRDefault="00DE3708" w:rsidP="00307CD6">
      <w:pPr>
        <w:spacing w:line="240" w:lineRule="auto"/>
        <w:contextualSpacing/>
        <w:rPr>
          <w:b/>
          <w:szCs w:val="22"/>
        </w:rPr>
      </w:pPr>
      <w:r w:rsidRPr="00D36517">
        <w:rPr>
          <w:b/>
          <w:szCs w:val="22"/>
        </w:rPr>
        <w:t>Apie ką rašoma šiame lapelyje?</w:t>
      </w:r>
    </w:p>
    <w:p w14:paraId="3EF5BAC0" w14:textId="77777777" w:rsidR="00DE3708" w:rsidRPr="009F455C" w:rsidRDefault="00DE3708" w:rsidP="00307CD6">
      <w:pPr>
        <w:spacing w:line="240" w:lineRule="auto"/>
        <w:contextualSpacing/>
        <w:rPr>
          <w:szCs w:val="22"/>
        </w:rPr>
      </w:pPr>
      <w:r w:rsidRPr="009F455C">
        <w:rPr>
          <w:szCs w:val="22"/>
        </w:rPr>
        <w:t>1.</w:t>
      </w:r>
      <w:r w:rsidRPr="009F455C">
        <w:rPr>
          <w:szCs w:val="22"/>
        </w:rPr>
        <w:tab/>
        <w:t xml:space="preserve">Kas yra </w:t>
      </w:r>
      <w:proofErr w:type="spellStart"/>
      <w:r w:rsidRPr="009F455C">
        <w:rPr>
          <w:szCs w:val="22"/>
        </w:rPr>
        <w:t>Suvartar</w:t>
      </w:r>
      <w:proofErr w:type="spellEnd"/>
      <w:r w:rsidRPr="009F455C">
        <w:rPr>
          <w:szCs w:val="22"/>
        </w:rPr>
        <w:t xml:space="preserve"> ir kam jis vartojamas</w:t>
      </w:r>
    </w:p>
    <w:p w14:paraId="740A2E4A" w14:textId="77777777" w:rsidR="00DE3708" w:rsidRPr="009F455C" w:rsidRDefault="00DE3708" w:rsidP="00307CD6">
      <w:pPr>
        <w:spacing w:line="240" w:lineRule="auto"/>
        <w:contextualSpacing/>
        <w:rPr>
          <w:szCs w:val="22"/>
        </w:rPr>
      </w:pPr>
      <w:r w:rsidRPr="009F455C">
        <w:rPr>
          <w:szCs w:val="22"/>
        </w:rPr>
        <w:t>2.</w:t>
      </w:r>
      <w:r w:rsidRPr="009F455C">
        <w:rPr>
          <w:szCs w:val="22"/>
        </w:rPr>
        <w:tab/>
        <w:t xml:space="preserve">Kas žinotina prieš vartojant </w:t>
      </w:r>
      <w:proofErr w:type="spellStart"/>
      <w:r w:rsidRPr="009F455C">
        <w:rPr>
          <w:szCs w:val="22"/>
        </w:rPr>
        <w:t>Suvartar</w:t>
      </w:r>
      <w:proofErr w:type="spellEnd"/>
      <w:r w:rsidRPr="009F455C">
        <w:rPr>
          <w:szCs w:val="22"/>
        </w:rPr>
        <w:t xml:space="preserve"> </w:t>
      </w:r>
    </w:p>
    <w:p w14:paraId="459EC538" w14:textId="77777777" w:rsidR="00DE3708" w:rsidRPr="00FB60E5" w:rsidRDefault="00DE3708" w:rsidP="00307CD6">
      <w:pPr>
        <w:spacing w:line="240" w:lineRule="auto"/>
        <w:contextualSpacing/>
        <w:rPr>
          <w:szCs w:val="22"/>
        </w:rPr>
      </w:pPr>
      <w:r w:rsidRPr="00FB60E5">
        <w:rPr>
          <w:szCs w:val="22"/>
        </w:rPr>
        <w:t>3.</w:t>
      </w:r>
      <w:r w:rsidRPr="00FB60E5">
        <w:rPr>
          <w:szCs w:val="22"/>
        </w:rPr>
        <w:tab/>
        <w:t xml:space="preserve">Kaip vartoti </w:t>
      </w:r>
      <w:proofErr w:type="spellStart"/>
      <w:r w:rsidRPr="00FB60E5">
        <w:rPr>
          <w:szCs w:val="22"/>
        </w:rPr>
        <w:t>Suvartar</w:t>
      </w:r>
      <w:proofErr w:type="spellEnd"/>
      <w:r w:rsidRPr="00FB60E5">
        <w:rPr>
          <w:szCs w:val="22"/>
        </w:rPr>
        <w:t xml:space="preserve"> </w:t>
      </w:r>
    </w:p>
    <w:p w14:paraId="7700C464" w14:textId="77777777" w:rsidR="00DE3708" w:rsidRPr="00FB60E5" w:rsidRDefault="00DE3708" w:rsidP="00307CD6">
      <w:pPr>
        <w:spacing w:line="240" w:lineRule="auto"/>
        <w:contextualSpacing/>
        <w:rPr>
          <w:szCs w:val="22"/>
        </w:rPr>
      </w:pPr>
      <w:r w:rsidRPr="00FB60E5">
        <w:rPr>
          <w:szCs w:val="22"/>
        </w:rPr>
        <w:t>4.</w:t>
      </w:r>
      <w:r w:rsidRPr="00FB60E5">
        <w:rPr>
          <w:szCs w:val="22"/>
        </w:rPr>
        <w:tab/>
        <w:t>Galimas šalutinis poveikis</w:t>
      </w:r>
    </w:p>
    <w:p w14:paraId="737B225E" w14:textId="77777777" w:rsidR="00DE3708" w:rsidRPr="001765A8" w:rsidRDefault="00DE3708" w:rsidP="00307CD6">
      <w:pPr>
        <w:spacing w:line="240" w:lineRule="auto"/>
        <w:contextualSpacing/>
        <w:rPr>
          <w:szCs w:val="22"/>
        </w:rPr>
      </w:pPr>
      <w:r w:rsidRPr="001765A8">
        <w:rPr>
          <w:szCs w:val="22"/>
        </w:rPr>
        <w:t>5.</w:t>
      </w:r>
      <w:r w:rsidRPr="001765A8">
        <w:rPr>
          <w:szCs w:val="22"/>
        </w:rPr>
        <w:tab/>
        <w:t xml:space="preserve">Kaip laikyti </w:t>
      </w:r>
      <w:proofErr w:type="spellStart"/>
      <w:r w:rsidRPr="001765A8">
        <w:rPr>
          <w:szCs w:val="22"/>
        </w:rPr>
        <w:t>Suvartar</w:t>
      </w:r>
      <w:proofErr w:type="spellEnd"/>
      <w:r w:rsidRPr="001765A8">
        <w:rPr>
          <w:szCs w:val="22"/>
        </w:rPr>
        <w:t xml:space="preserve"> </w:t>
      </w:r>
    </w:p>
    <w:p w14:paraId="55E25BAB" w14:textId="77777777" w:rsidR="00DE3708" w:rsidRPr="001E6DB9" w:rsidRDefault="00DE3708" w:rsidP="00307CD6">
      <w:pPr>
        <w:spacing w:line="240" w:lineRule="auto"/>
        <w:contextualSpacing/>
        <w:rPr>
          <w:szCs w:val="22"/>
        </w:rPr>
      </w:pPr>
      <w:r w:rsidRPr="001E6DB9">
        <w:rPr>
          <w:szCs w:val="22"/>
        </w:rPr>
        <w:t>6.</w:t>
      </w:r>
      <w:r w:rsidRPr="001E6DB9">
        <w:rPr>
          <w:szCs w:val="22"/>
        </w:rPr>
        <w:tab/>
        <w:t>Pakuotės turinys ir kita informacija</w:t>
      </w:r>
    </w:p>
    <w:p w14:paraId="67E3A222" w14:textId="77777777" w:rsidR="00DE3708" w:rsidRPr="001E6DB9" w:rsidRDefault="00DE3708" w:rsidP="00307CD6">
      <w:pPr>
        <w:spacing w:line="240" w:lineRule="auto"/>
        <w:contextualSpacing/>
        <w:rPr>
          <w:szCs w:val="22"/>
        </w:rPr>
      </w:pPr>
    </w:p>
    <w:p w14:paraId="22CFEB96" w14:textId="77777777" w:rsidR="00DE3708" w:rsidRPr="001E6DB9" w:rsidRDefault="00DE3708" w:rsidP="00307CD6">
      <w:pPr>
        <w:spacing w:line="240" w:lineRule="auto"/>
        <w:contextualSpacing/>
        <w:rPr>
          <w:szCs w:val="22"/>
        </w:rPr>
      </w:pPr>
    </w:p>
    <w:p w14:paraId="1D8DAF4A" w14:textId="77777777" w:rsidR="00DE3708" w:rsidRPr="001E6DB9" w:rsidRDefault="00DE3708" w:rsidP="00307CD6">
      <w:pPr>
        <w:spacing w:line="240" w:lineRule="auto"/>
        <w:ind w:left="567" w:hanging="567"/>
        <w:contextualSpacing/>
        <w:rPr>
          <w:b/>
          <w:szCs w:val="22"/>
        </w:rPr>
      </w:pPr>
      <w:r w:rsidRPr="001E6DB9">
        <w:rPr>
          <w:b/>
          <w:szCs w:val="22"/>
        </w:rPr>
        <w:t>1.</w:t>
      </w:r>
      <w:r w:rsidRPr="001E6DB9">
        <w:rPr>
          <w:b/>
          <w:szCs w:val="22"/>
        </w:rPr>
        <w:tab/>
        <w:t xml:space="preserve">Kas yra </w:t>
      </w:r>
      <w:proofErr w:type="spellStart"/>
      <w:r w:rsidRPr="001E6DB9">
        <w:rPr>
          <w:b/>
          <w:szCs w:val="22"/>
        </w:rPr>
        <w:t>Suvartar</w:t>
      </w:r>
      <w:proofErr w:type="spellEnd"/>
      <w:r w:rsidRPr="001E6DB9">
        <w:rPr>
          <w:b/>
          <w:szCs w:val="22"/>
        </w:rPr>
        <w:t xml:space="preserve"> ir kam jis vartojamas</w:t>
      </w:r>
    </w:p>
    <w:p w14:paraId="5F8A5C88" w14:textId="77777777" w:rsidR="00DE3708" w:rsidRPr="001E6DB9" w:rsidRDefault="00DE3708" w:rsidP="00307CD6">
      <w:pPr>
        <w:spacing w:line="240" w:lineRule="auto"/>
        <w:ind w:left="567" w:hanging="567"/>
        <w:contextualSpacing/>
        <w:rPr>
          <w:b/>
          <w:szCs w:val="22"/>
        </w:rPr>
      </w:pPr>
    </w:p>
    <w:p w14:paraId="5A0CC584" w14:textId="165902C5" w:rsidR="00DE3708" w:rsidRPr="001E6DB9" w:rsidRDefault="00434F06" w:rsidP="00307CD6">
      <w:pPr>
        <w:pStyle w:val="Default"/>
        <w:contextualSpacing/>
        <w:rPr>
          <w:color w:val="auto"/>
          <w:sz w:val="22"/>
          <w:szCs w:val="22"/>
        </w:rPr>
      </w:pPr>
      <w:proofErr w:type="spellStart"/>
      <w:r>
        <w:rPr>
          <w:color w:val="auto"/>
          <w:sz w:val="22"/>
          <w:szCs w:val="22"/>
        </w:rPr>
        <w:t>Suvartar</w:t>
      </w:r>
      <w:proofErr w:type="spellEnd"/>
      <w:r>
        <w:rPr>
          <w:color w:val="auto"/>
          <w:sz w:val="22"/>
          <w:szCs w:val="22"/>
        </w:rPr>
        <w:t xml:space="preserve"> </w:t>
      </w:r>
      <w:r w:rsidRPr="002C6DA5">
        <w:rPr>
          <w:sz w:val="22"/>
        </w:rPr>
        <w:t xml:space="preserve">veiklioji medžiaga </w:t>
      </w:r>
      <w:proofErr w:type="spellStart"/>
      <w:r w:rsidRPr="002C6DA5">
        <w:rPr>
          <w:sz w:val="22"/>
        </w:rPr>
        <w:t>valsartanas</w:t>
      </w:r>
      <w:proofErr w:type="spellEnd"/>
      <w:r w:rsidRPr="002C6DA5">
        <w:rPr>
          <w:sz w:val="22"/>
        </w:rPr>
        <w:t xml:space="preserve"> priklauso grupei vaistų</w:t>
      </w:r>
      <w:r w:rsidR="00DE3708" w:rsidRPr="001E6DB9">
        <w:rPr>
          <w:color w:val="auto"/>
          <w:sz w:val="22"/>
          <w:szCs w:val="22"/>
        </w:rPr>
        <w:t>, kuri</w:t>
      </w:r>
      <w:r>
        <w:rPr>
          <w:color w:val="auto"/>
          <w:sz w:val="22"/>
          <w:szCs w:val="22"/>
        </w:rPr>
        <w:t>e</w:t>
      </w:r>
      <w:r w:rsidR="00DE3708" w:rsidRPr="001E6DB9">
        <w:rPr>
          <w:color w:val="auto"/>
          <w:sz w:val="22"/>
          <w:szCs w:val="22"/>
        </w:rPr>
        <w:t xml:space="preserve"> vadinam</w:t>
      </w:r>
      <w:r>
        <w:rPr>
          <w:color w:val="auto"/>
          <w:sz w:val="22"/>
          <w:szCs w:val="22"/>
        </w:rPr>
        <w:t>i</w:t>
      </w:r>
      <w:r w:rsidR="00DE3708" w:rsidRPr="001E6DB9">
        <w:rPr>
          <w:color w:val="auto"/>
          <w:sz w:val="22"/>
          <w:szCs w:val="22"/>
        </w:rPr>
        <w:t xml:space="preserve"> angiotenzino II receptorių antagonistais</w:t>
      </w:r>
      <w:r>
        <w:rPr>
          <w:color w:val="auto"/>
          <w:sz w:val="22"/>
          <w:szCs w:val="22"/>
        </w:rPr>
        <w:t xml:space="preserve">, jie </w:t>
      </w:r>
      <w:r w:rsidR="00DE3708" w:rsidRPr="001E6DB9">
        <w:rPr>
          <w:color w:val="auto"/>
          <w:sz w:val="22"/>
          <w:szCs w:val="22"/>
        </w:rPr>
        <w:t xml:space="preserve">padeda reguliuoti padidėjusį kraujospūdį. Angiotenzinas II yra organizmo medžiaga, kuri sukelia kraujagyslių susitraukimą, tokiu būdu sukeldama Jūsų kraujospūdžio padidėjimą. Valsartanas blokuoja angiotenzino II sukeltą poveikį, todėl kraujagyslės atsipalaiduoja ir sumažinamas kraujospūdis. </w:t>
      </w:r>
    </w:p>
    <w:p w14:paraId="37023950" w14:textId="77777777" w:rsidR="00DE3708" w:rsidRPr="001E6DB9" w:rsidRDefault="00DE3708" w:rsidP="00307CD6">
      <w:pPr>
        <w:pStyle w:val="Default"/>
        <w:contextualSpacing/>
        <w:rPr>
          <w:color w:val="auto"/>
          <w:sz w:val="22"/>
          <w:szCs w:val="22"/>
        </w:rPr>
      </w:pPr>
    </w:p>
    <w:p w14:paraId="6B5D7C2A" w14:textId="015F7A55" w:rsidR="00DE3708" w:rsidRPr="001E6DB9" w:rsidRDefault="00DE3708" w:rsidP="00307CD6">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80</w:t>
      </w:r>
      <w:r w:rsidR="00097B52">
        <w:rPr>
          <w:color w:val="auto"/>
          <w:sz w:val="22"/>
          <w:szCs w:val="22"/>
        </w:rPr>
        <w:t> </w:t>
      </w:r>
      <w:r w:rsidRPr="001E6DB9">
        <w:rPr>
          <w:color w:val="auto"/>
          <w:sz w:val="22"/>
          <w:szCs w:val="22"/>
        </w:rPr>
        <w:t>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7C7149BF" w14:textId="46E4BADD" w:rsidR="00DE3708" w:rsidRPr="00F91FD7" w:rsidRDefault="00DE3708" w:rsidP="00307CD6">
      <w:pPr>
        <w:numPr>
          <w:ilvl w:val="0"/>
          <w:numId w:val="5"/>
        </w:numPr>
        <w:shd w:val="clear" w:color="auto" w:fill="FFFFFF"/>
        <w:spacing w:line="240" w:lineRule="auto"/>
        <w:contextualSpacing/>
        <w:rPr>
          <w:szCs w:val="22"/>
        </w:rPr>
      </w:pPr>
      <w:r w:rsidRPr="00F50D13">
        <w:rPr>
          <w:b/>
          <w:szCs w:val="22"/>
        </w:rPr>
        <w:t xml:space="preserve">padidėjusio kraujospūdžio gydymui suaugusiems žmonėms ir </w:t>
      </w:r>
      <w:r w:rsidR="00434F06">
        <w:rPr>
          <w:b/>
          <w:szCs w:val="22"/>
        </w:rPr>
        <w:t xml:space="preserve">nuo </w:t>
      </w:r>
      <w:r w:rsidRPr="00F50D13">
        <w:rPr>
          <w:b/>
          <w:szCs w:val="22"/>
        </w:rPr>
        <w:t>6</w:t>
      </w:r>
      <w:r w:rsidR="00434F06">
        <w:rPr>
          <w:b/>
          <w:szCs w:val="22"/>
        </w:rPr>
        <w:t xml:space="preserve"> iki mažiau kaip </w:t>
      </w:r>
      <w:r w:rsidRPr="00F50D13">
        <w:rPr>
          <w:b/>
          <w:szCs w:val="22"/>
        </w:rPr>
        <w:t>18</w:t>
      </w:r>
      <w:r w:rsidRPr="00F50D13">
        <w:rPr>
          <w:szCs w:val="22"/>
        </w:rPr>
        <w:t> </w:t>
      </w:r>
      <w:r w:rsidRPr="00F50D13">
        <w:rPr>
          <w:b/>
          <w:szCs w:val="22"/>
        </w:rPr>
        <w:t>metų vaikams bei paaugliams.</w:t>
      </w:r>
      <w:r w:rsidRPr="00F50D13">
        <w:rPr>
          <w:szCs w:val="22"/>
        </w:rPr>
        <w:t xml:space="preserve"> Aukštas kraujospūdis sunkina </w:t>
      </w:r>
      <w:r w:rsidRPr="00F91FD7">
        <w:rPr>
          <w:szCs w:val="22"/>
        </w:rPr>
        <w:t>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21271335" w14:textId="77777777" w:rsidR="00DE3708" w:rsidRPr="00307CD6" w:rsidRDefault="00DE3708" w:rsidP="00307CD6">
      <w:pPr>
        <w:pStyle w:val="Text"/>
        <w:numPr>
          <w:ilvl w:val="0"/>
          <w:numId w:val="5"/>
        </w:numPr>
        <w:shd w:val="clear" w:color="auto" w:fill="FFFFFF"/>
        <w:spacing w:before="0"/>
        <w:contextualSpacing/>
        <w:jc w:val="left"/>
        <w:rPr>
          <w:sz w:val="22"/>
          <w:szCs w:val="22"/>
        </w:rPr>
      </w:pPr>
      <w:r w:rsidRPr="0078402A">
        <w:rPr>
          <w:b/>
          <w:sz w:val="22"/>
          <w:szCs w:val="22"/>
          <w:lang w:val="lt-LT"/>
        </w:rPr>
        <w:t xml:space="preserve">gydyti suaugusius žmones, kuriems neseniai įvyko širdies priepuolis </w:t>
      </w:r>
      <w:r w:rsidRPr="00617EBE">
        <w:rPr>
          <w:sz w:val="22"/>
          <w:szCs w:val="22"/>
          <w:lang w:val="lt-LT"/>
        </w:rPr>
        <w:t>(miokardo infarktas). „Neseniai“ reiškia 12 valandų – 10 dienų laikotarpyje;</w:t>
      </w:r>
    </w:p>
    <w:p w14:paraId="7318A49A" w14:textId="77777777" w:rsidR="00DE3708" w:rsidRPr="001E6DB9" w:rsidRDefault="00DE3708" w:rsidP="00307CD6">
      <w:pPr>
        <w:pStyle w:val="Default"/>
        <w:numPr>
          <w:ilvl w:val="0"/>
          <w:numId w:val="6"/>
        </w:numPr>
        <w:shd w:val="clear" w:color="auto" w:fill="FFFFFF"/>
        <w:contextualSpacing/>
        <w:rPr>
          <w:color w:val="auto"/>
          <w:sz w:val="22"/>
          <w:szCs w:val="22"/>
        </w:rPr>
      </w:pPr>
      <w:r w:rsidRPr="001E6DB9">
        <w:rPr>
          <w:b/>
          <w:color w:val="auto"/>
          <w:sz w:val="22"/>
          <w:szCs w:val="22"/>
        </w:rPr>
        <w:t xml:space="preserve">gydyti simptominį širdies nepakankamumą suaugusiems žmonėms.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136FABAC" w14:textId="77777777" w:rsidR="00DE3708" w:rsidRPr="001E6DB9" w:rsidRDefault="00DE3708" w:rsidP="00307CD6">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3E19A58C" w14:textId="77777777" w:rsidR="00DE3708" w:rsidRPr="001E6DB9" w:rsidRDefault="00DE3708" w:rsidP="00307CD6">
      <w:pPr>
        <w:pStyle w:val="Default"/>
        <w:shd w:val="clear" w:color="auto" w:fill="FFFFFF"/>
        <w:contextualSpacing/>
        <w:rPr>
          <w:color w:val="auto"/>
          <w:sz w:val="22"/>
          <w:szCs w:val="22"/>
        </w:rPr>
      </w:pPr>
    </w:p>
    <w:p w14:paraId="78F0D14F" w14:textId="4FE17BAA" w:rsidR="00DE3708" w:rsidRPr="001E6DB9" w:rsidRDefault="00DE3708" w:rsidP="00307CD6">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160</w:t>
      </w:r>
      <w:r w:rsidR="00097B52">
        <w:rPr>
          <w:color w:val="auto"/>
          <w:sz w:val="22"/>
          <w:szCs w:val="22"/>
        </w:rPr>
        <w:t> </w:t>
      </w:r>
      <w:r w:rsidRPr="001E6DB9">
        <w:rPr>
          <w:color w:val="auto"/>
          <w:sz w:val="22"/>
          <w:szCs w:val="22"/>
        </w:rPr>
        <w:t>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499AC1A7" w14:textId="185203B9" w:rsidR="00DE3708" w:rsidRPr="001E6DB9" w:rsidRDefault="00DE3708" w:rsidP="00307CD6">
      <w:pPr>
        <w:pStyle w:val="Default"/>
        <w:numPr>
          <w:ilvl w:val="0"/>
          <w:numId w:val="6"/>
        </w:numPr>
        <w:shd w:val="clear" w:color="auto" w:fill="FFFFFF"/>
        <w:contextualSpacing/>
        <w:rPr>
          <w:color w:val="auto"/>
          <w:sz w:val="22"/>
          <w:szCs w:val="22"/>
        </w:rPr>
      </w:pPr>
      <w:r w:rsidRPr="001E6DB9">
        <w:rPr>
          <w:b/>
          <w:color w:val="auto"/>
          <w:sz w:val="22"/>
          <w:szCs w:val="22"/>
        </w:rPr>
        <w:t xml:space="preserve">padidėjusio kraujospūdžio gydymui suaugusiems žmonėms ir </w:t>
      </w:r>
      <w:r w:rsidR="00434F06">
        <w:rPr>
          <w:b/>
          <w:color w:val="auto"/>
          <w:sz w:val="22"/>
          <w:szCs w:val="22"/>
        </w:rPr>
        <w:t xml:space="preserve">nuo </w:t>
      </w:r>
      <w:r w:rsidRPr="001E6DB9">
        <w:rPr>
          <w:b/>
          <w:color w:val="auto"/>
          <w:sz w:val="22"/>
          <w:szCs w:val="22"/>
        </w:rPr>
        <w:t>6</w:t>
      </w:r>
      <w:r w:rsidR="00434F06">
        <w:rPr>
          <w:b/>
          <w:color w:val="auto"/>
          <w:sz w:val="22"/>
          <w:szCs w:val="22"/>
        </w:rPr>
        <w:t xml:space="preserve"> iki mažiau kaip </w:t>
      </w:r>
      <w:r w:rsidRPr="001E6DB9">
        <w:rPr>
          <w:b/>
          <w:color w:val="auto"/>
          <w:sz w:val="22"/>
          <w:szCs w:val="22"/>
        </w:rPr>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 xml:space="preserve">Aukštas kraujospūdis didina širdies ir arterijų apkrovą. Jeigu padidėjęs kraujospūdis negydomas, jis gali sukelti smegenų, širdies arba inkstų </w:t>
      </w:r>
      <w:r w:rsidRPr="001E6DB9">
        <w:rPr>
          <w:color w:val="auto"/>
          <w:sz w:val="22"/>
          <w:szCs w:val="22"/>
        </w:rPr>
        <w:lastRenderedPageBreak/>
        <w:t>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51040A8B" w14:textId="77777777" w:rsidR="00DE3708" w:rsidRPr="00F50D13" w:rsidRDefault="00DE3708" w:rsidP="00307CD6">
      <w:pPr>
        <w:pStyle w:val="Text"/>
        <w:numPr>
          <w:ilvl w:val="0"/>
          <w:numId w:val="5"/>
        </w:numPr>
        <w:shd w:val="clear" w:color="auto" w:fill="FFFFFF"/>
        <w:spacing w:before="0"/>
        <w:contextualSpacing/>
        <w:jc w:val="left"/>
        <w:rPr>
          <w:sz w:val="22"/>
          <w:szCs w:val="22"/>
        </w:rPr>
      </w:pPr>
      <w:r w:rsidRPr="00F50D13">
        <w:rPr>
          <w:b/>
          <w:sz w:val="22"/>
          <w:szCs w:val="22"/>
          <w:lang w:val="lt-LT"/>
        </w:rPr>
        <w:t xml:space="preserve">gydyti suaugusius žmones, kuriems neseniai įvyko širdies priepuolis </w:t>
      </w:r>
      <w:r w:rsidRPr="00F50D13">
        <w:rPr>
          <w:sz w:val="22"/>
          <w:szCs w:val="22"/>
          <w:lang w:val="lt-LT"/>
        </w:rPr>
        <w:t>(miokardo infarktas). „Neseniai“ reiškia 12 valandų – 10 dienų laikotarpyje;</w:t>
      </w:r>
    </w:p>
    <w:p w14:paraId="23155F66" w14:textId="77777777" w:rsidR="00DE3708" w:rsidRPr="001E6DB9" w:rsidRDefault="00DE3708" w:rsidP="00307CD6">
      <w:pPr>
        <w:pStyle w:val="Default"/>
        <w:numPr>
          <w:ilvl w:val="0"/>
          <w:numId w:val="6"/>
        </w:numPr>
        <w:shd w:val="clear" w:color="auto" w:fill="FFFFFF"/>
        <w:contextualSpacing/>
        <w:rPr>
          <w:color w:val="auto"/>
          <w:sz w:val="22"/>
          <w:szCs w:val="22"/>
        </w:rPr>
      </w:pPr>
      <w:r w:rsidRPr="001E6DB9">
        <w:rPr>
          <w:b/>
          <w:color w:val="auto"/>
          <w:sz w:val="22"/>
          <w:szCs w:val="22"/>
        </w:rPr>
        <w:t>gydyti simptominį širdies nepakankamumą suaugusiems žmonėms</w:t>
      </w:r>
      <w:r w:rsidRPr="001E6DB9">
        <w:rPr>
          <w:color w:val="auto"/>
          <w:sz w:val="22"/>
          <w:szCs w:val="22"/>
        </w:rPr>
        <w:t xml:space="preserve">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05F98AEC" w14:textId="77777777" w:rsidR="00DE3708" w:rsidRPr="001E6DB9" w:rsidRDefault="00DE3708" w:rsidP="00307CD6">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5153426B" w14:textId="77777777" w:rsidR="00DE3708" w:rsidRPr="001E6DB9" w:rsidRDefault="00DE3708" w:rsidP="00307CD6">
      <w:pPr>
        <w:pStyle w:val="Default"/>
        <w:shd w:val="clear" w:color="auto" w:fill="FFFFFF"/>
        <w:contextualSpacing/>
        <w:rPr>
          <w:color w:val="auto"/>
          <w:sz w:val="22"/>
          <w:szCs w:val="22"/>
        </w:rPr>
      </w:pPr>
    </w:p>
    <w:p w14:paraId="0227F60A" w14:textId="1D659751" w:rsidR="00DE3708" w:rsidRPr="001E6DB9" w:rsidRDefault="00DE3708" w:rsidP="00307CD6">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320</w:t>
      </w:r>
      <w:r w:rsidR="00097B52">
        <w:rPr>
          <w:color w:val="auto"/>
          <w:sz w:val="22"/>
          <w:szCs w:val="22"/>
        </w:rPr>
        <w:t> </w:t>
      </w:r>
      <w:r w:rsidRPr="001E6DB9">
        <w:rPr>
          <w:color w:val="auto"/>
          <w:sz w:val="22"/>
          <w:szCs w:val="22"/>
        </w:rPr>
        <w:t>mg plėvele dengtos tabletės</w:t>
      </w:r>
      <w:r w:rsidRPr="001E6DB9">
        <w:rPr>
          <w:b/>
          <w:color w:val="auto"/>
          <w:sz w:val="22"/>
          <w:szCs w:val="22"/>
        </w:rPr>
        <w:t xml:space="preserve"> gali būti vartojamos</w:t>
      </w:r>
    </w:p>
    <w:p w14:paraId="52169813" w14:textId="5D6AC05C" w:rsidR="00DE3708" w:rsidRPr="001E6DB9" w:rsidRDefault="00DE3708" w:rsidP="00307CD6">
      <w:pPr>
        <w:pStyle w:val="Default"/>
        <w:numPr>
          <w:ilvl w:val="0"/>
          <w:numId w:val="7"/>
        </w:numPr>
        <w:shd w:val="clear" w:color="auto" w:fill="FFFFFF"/>
        <w:contextualSpacing/>
        <w:rPr>
          <w:color w:val="auto"/>
          <w:sz w:val="22"/>
          <w:szCs w:val="22"/>
        </w:rPr>
      </w:pPr>
      <w:r w:rsidRPr="001E6DB9">
        <w:rPr>
          <w:b/>
          <w:color w:val="auto"/>
          <w:sz w:val="22"/>
          <w:szCs w:val="22"/>
        </w:rPr>
        <w:t xml:space="preserve">padidėjusio kraujospūdžio gydymui suaugusiems žmonėms ir </w:t>
      </w:r>
      <w:r w:rsidR="00434F06">
        <w:rPr>
          <w:b/>
          <w:color w:val="auto"/>
          <w:sz w:val="22"/>
          <w:szCs w:val="22"/>
        </w:rPr>
        <w:t xml:space="preserve">nuo </w:t>
      </w:r>
      <w:r w:rsidRPr="001E6DB9">
        <w:rPr>
          <w:b/>
          <w:color w:val="auto"/>
          <w:sz w:val="22"/>
          <w:szCs w:val="22"/>
        </w:rPr>
        <w:t>6</w:t>
      </w:r>
      <w:r w:rsidR="00434F06">
        <w:rPr>
          <w:b/>
          <w:color w:val="auto"/>
          <w:sz w:val="22"/>
          <w:szCs w:val="22"/>
        </w:rPr>
        <w:t xml:space="preserve"> iki mažiau kaip </w:t>
      </w:r>
      <w:r w:rsidRPr="001E6DB9">
        <w:rPr>
          <w:b/>
          <w:color w:val="auto"/>
          <w:sz w:val="22"/>
          <w:szCs w:val="22"/>
        </w:rPr>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47D504D2" w14:textId="77777777" w:rsidR="00DE3708" w:rsidRPr="00F50D13" w:rsidRDefault="00DE3708" w:rsidP="00307CD6">
      <w:pPr>
        <w:shd w:val="clear" w:color="auto" w:fill="FFFFFF"/>
        <w:spacing w:line="240" w:lineRule="auto"/>
        <w:contextualSpacing/>
        <w:rPr>
          <w:b/>
          <w:szCs w:val="22"/>
        </w:rPr>
      </w:pPr>
    </w:p>
    <w:p w14:paraId="5226B6B1" w14:textId="77777777" w:rsidR="00DE3708" w:rsidRPr="00F50D13" w:rsidRDefault="00DE3708" w:rsidP="00307CD6">
      <w:pPr>
        <w:spacing w:line="240" w:lineRule="auto"/>
        <w:contextualSpacing/>
        <w:rPr>
          <w:b/>
          <w:szCs w:val="22"/>
        </w:rPr>
      </w:pPr>
    </w:p>
    <w:p w14:paraId="323B8C4D" w14:textId="77777777" w:rsidR="00DE3708" w:rsidRPr="00F91FD7" w:rsidRDefault="00DE3708" w:rsidP="00307CD6">
      <w:pPr>
        <w:spacing w:line="240" w:lineRule="auto"/>
        <w:ind w:left="567" w:hanging="567"/>
        <w:contextualSpacing/>
        <w:rPr>
          <w:b/>
          <w:szCs w:val="22"/>
        </w:rPr>
      </w:pPr>
      <w:r w:rsidRPr="00F91FD7">
        <w:rPr>
          <w:b/>
          <w:szCs w:val="22"/>
        </w:rPr>
        <w:t>2.</w:t>
      </w:r>
      <w:r w:rsidRPr="00F91FD7">
        <w:rPr>
          <w:b/>
          <w:szCs w:val="22"/>
        </w:rPr>
        <w:tab/>
        <w:t xml:space="preserve">Kas žinotina prieš vartojant </w:t>
      </w:r>
      <w:proofErr w:type="spellStart"/>
      <w:r w:rsidRPr="00F91FD7">
        <w:rPr>
          <w:b/>
          <w:szCs w:val="22"/>
        </w:rPr>
        <w:t>Suvartar</w:t>
      </w:r>
      <w:proofErr w:type="spellEnd"/>
    </w:p>
    <w:p w14:paraId="3182444F" w14:textId="77777777" w:rsidR="00DE3708" w:rsidRPr="00F91FD7" w:rsidRDefault="00DE3708" w:rsidP="00307CD6">
      <w:pPr>
        <w:spacing w:line="240" w:lineRule="auto"/>
        <w:ind w:left="360"/>
        <w:contextualSpacing/>
        <w:rPr>
          <w:b/>
          <w:szCs w:val="22"/>
        </w:rPr>
      </w:pPr>
    </w:p>
    <w:p w14:paraId="6D835879" w14:textId="636283A1" w:rsidR="00DE3708" w:rsidRPr="001E6DB9" w:rsidRDefault="00DE3708" w:rsidP="00307CD6">
      <w:pPr>
        <w:pStyle w:val="Default"/>
        <w:contextualSpacing/>
        <w:rPr>
          <w:color w:val="auto"/>
          <w:sz w:val="22"/>
          <w:szCs w:val="22"/>
          <w:lang w:val="it-IT"/>
        </w:rPr>
      </w:pPr>
      <w:proofErr w:type="spellStart"/>
      <w:r w:rsidRPr="001E6DB9">
        <w:rPr>
          <w:b/>
          <w:color w:val="auto"/>
          <w:sz w:val="22"/>
          <w:szCs w:val="22"/>
        </w:rPr>
        <w:t>Suvartar</w:t>
      </w:r>
      <w:proofErr w:type="spellEnd"/>
      <w:r w:rsidRPr="001E6DB9">
        <w:rPr>
          <w:b/>
          <w:color w:val="auto"/>
          <w:sz w:val="22"/>
          <w:szCs w:val="22"/>
        </w:rPr>
        <w:t xml:space="preserve"> vartoti </w:t>
      </w:r>
      <w:r w:rsidR="00323657">
        <w:rPr>
          <w:b/>
          <w:color w:val="auto"/>
          <w:sz w:val="22"/>
          <w:szCs w:val="22"/>
        </w:rPr>
        <w:t>draudžiama</w:t>
      </w:r>
      <w:r w:rsidRPr="001E6DB9">
        <w:rPr>
          <w:b/>
          <w:color w:val="auto"/>
          <w:sz w:val="22"/>
          <w:szCs w:val="22"/>
        </w:rPr>
        <w:t xml:space="preserve">: </w:t>
      </w:r>
    </w:p>
    <w:p w14:paraId="62E608A0" w14:textId="67D99098" w:rsidR="00DE3708" w:rsidRPr="00F50D13" w:rsidRDefault="00DE3708" w:rsidP="00307CD6">
      <w:pPr>
        <w:numPr>
          <w:ilvl w:val="0"/>
          <w:numId w:val="8"/>
        </w:numPr>
        <w:spacing w:line="240" w:lineRule="auto"/>
        <w:contextualSpacing/>
        <w:rPr>
          <w:szCs w:val="22"/>
        </w:rPr>
      </w:pPr>
      <w:r w:rsidRPr="00F50D13">
        <w:rPr>
          <w:szCs w:val="22"/>
        </w:rPr>
        <w:t xml:space="preserve">jeigu yra </w:t>
      </w:r>
      <w:r w:rsidRPr="000A08ED">
        <w:rPr>
          <w:b/>
          <w:bCs/>
          <w:szCs w:val="22"/>
        </w:rPr>
        <w:t>alergija</w:t>
      </w:r>
      <w:r w:rsidRPr="00F50D13">
        <w:rPr>
          <w:szCs w:val="22"/>
        </w:rPr>
        <w:t xml:space="preserve"> valsartanui arba bet kuriai pagalbinei šio vaisto medžiagai (jos išvardytos 6 skyriuje); </w:t>
      </w:r>
    </w:p>
    <w:p w14:paraId="2DE5C6E8"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w:t>
      </w:r>
      <w:r w:rsidRPr="001E6DB9">
        <w:rPr>
          <w:b/>
          <w:color w:val="auto"/>
          <w:sz w:val="22"/>
          <w:szCs w:val="22"/>
        </w:rPr>
        <w:t>sunkia kepenų liga</w:t>
      </w:r>
      <w:r w:rsidRPr="001E6DB9">
        <w:rPr>
          <w:color w:val="auto"/>
          <w:sz w:val="22"/>
          <w:szCs w:val="22"/>
        </w:rPr>
        <w:t xml:space="preserve">; </w:t>
      </w:r>
    </w:p>
    <w:p w14:paraId="630C7185"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yra </w:t>
      </w:r>
      <w:r w:rsidRPr="001E6DB9">
        <w:rPr>
          <w:b/>
          <w:color w:val="auto"/>
          <w:sz w:val="22"/>
          <w:szCs w:val="22"/>
        </w:rPr>
        <w:t>didesnis negu 3</w:t>
      </w:r>
      <w:r w:rsidR="00617EBE">
        <w:rPr>
          <w:b/>
          <w:color w:val="auto"/>
          <w:sz w:val="22"/>
          <w:szCs w:val="22"/>
        </w:rPr>
        <w:t> </w:t>
      </w:r>
      <w:r w:rsidRPr="001E6DB9">
        <w:rPr>
          <w:b/>
          <w:color w:val="auto"/>
          <w:sz w:val="22"/>
          <w:szCs w:val="22"/>
        </w:rPr>
        <w:t xml:space="preserve">mėnesių nėštumas. </w:t>
      </w:r>
      <w:r w:rsidRPr="001E6DB9">
        <w:rPr>
          <w:color w:val="auto"/>
          <w:sz w:val="22"/>
          <w:szCs w:val="22"/>
        </w:rPr>
        <w:t>Taip pat yra geriau vengti vartoti valsartano ankstyvuoju nėštumo laikotarpiu (žr. skyrių ,,Nėštumas ir žindymo laikotarpis“);</w:t>
      </w:r>
    </w:p>
    <w:p w14:paraId="6F6BE0D7" w14:textId="77777777" w:rsidR="00DE3708" w:rsidRPr="00F50D13" w:rsidRDefault="00DE3708" w:rsidP="00307CD6">
      <w:pPr>
        <w:numPr>
          <w:ilvl w:val="0"/>
          <w:numId w:val="8"/>
        </w:numPr>
        <w:spacing w:line="240" w:lineRule="auto"/>
        <w:contextualSpacing/>
        <w:rPr>
          <w:rFonts w:eastAsia="Batang"/>
          <w:szCs w:val="22"/>
        </w:rPr>
      </w:pPr>
      <w:r w:rsidRPr="00F50D13">
        <w:rPr>
          <w:rFonts w:eastAsia="Batang"/>
          <w:szCs w:val="22"/>
        </w:rPr>
        <w:t xml:space="preserve">jeigu Jūs sergate cukriniu diabetu arba Jūsų inkstų veikla sutrikusi ir Jums skirtas kraujospūdį mažinantis vaistas, kurio sudėtyje yra </w:t>
      </w:r>
      <w:proofErr w:type="spellStart"/>
      <w:r w:rsidRPr="00F50D13">
        <w:rPr>
          <w:rFonts w:eastAsia="Batang"/>
          <w:szCs w:val="22"/>
        </w:rPr>
        <w:t>aliskireno</w:t>
      </w:r>
      <w:proofErr w:type="spellEnd"/>
      <w:r w:rsidRPr="00F50D13">
        <w:rPr>
          <w:rFonts w:eastAsia="Batang"/>
          <w:szCs w:val="22"/>
        </w:rPr>
        <w:t>.</w:t>
      </w:r>
    </w:p>
    <w:p w14:paraId="189D9D08" w14:textId="55609B24" w:rsidR="00DE3708" w:rsidRPr="001E6DB9" w:rsidRDefault="00DE3708" w:rsidP="00307CD6">
      <w:pPr>
        <w:pStyle w:val="Default"/>
        <w:contextualSpacing/>
        <w:rPr>
          <w:b/>
          <w:color w:val="auto"/>
          <w:sz w:val="22"/>
          <w:szCs w:val="22"/>
        </w:rPr>
      </w:pPr>
      <w:r w:rsidRPr="001E6DB9">
        <w:rPr>
          <w:b/>
          <w:color w:val="auto"/>
          <w:sz w:val="22"/>
          <w:szCs w:val="22"/>
        </w:rPr>
        <w:t>Jei</w:t>
      </w:r>
      <w:r w:rsidR="00434F06">
        <w:rPr>
          <w:b/>
          <w:color w:val="auto"/>
          <w:sz w:val="22"/>
          <w:szCs w:val="22"/>
        </w:rPr>
        <w:t xml:space="preserve"> bent vienas iš šių teiginių</w:t>
      </w:r>
      <w:r w:rsidRPr="001E6DB9">
        <w:rPr>
          <w:b/>
          <w:color w:val="auto"/>
          <w:sz w:val="22"/>
          <w:szCs w:val="22"/>
        </w:rPr>
        <w:t xml:space="preserve"> tinka Jums, </w:t>
      </w:r>
      <w:r w:rsidR="00434F06">
        <w:rPr>
          <w:b/>
          <w:color w:val="auto"/>
          <w:sz w:val="22"/>
          <w:szCs w:val="22"/>
        </w:rPr>
        <w:t xml:space="preserve">pasakykite gydytojui ir </w:t>
      </w:r>
      <w:proofErr w:type="spellStart"/>
      <w:r w:rsidRPr="001E6DB9">
        <w:rPr>
          <w:b/>
          <w:color w:val="auto"/>
          <w:sz w:val="22"/>
          <w:szCs w:val="22"/>
        </w:rPr>
        <w:t>Suvartar</w:t>
      </w:r>
      <w:proofErr w:type="spellEnd"/>
      <w:r w:rsidRPr="001E6DB9">
        <w:rPr>
          <w:b/>
          <w:color w:val="auto"/>
          <w:sz w:val="22"/>
          <w:szCs w:val="22"/>
        </w:rPr>
        <w:t xml:space="preserve"> nevartokite.</w:t>
      </w:r>
    </w:p>
    <w:p w14:paraId="719DF85F" w14:textId="77777777" w:rsidR="00DE3708" w:rsidRPr="001E6DB9" w:rsidRDefault="00DE3708" w:rsidP="00307CD6">
      <w:pPr>
        <w:pStyle w:val="Default"/>
        <w:contextualSpacing/>
        <w:rPr>
          <w:b/>
          <w:color w:val="auto"/>
          <w:sz w:val="22"/>
          <w:szCs w:val="22"/>
        </w:rPr>
      </w:pPr>
    </w:p>
    <w:p w14:paraId="544E44C1" w14:textId="77777777" w:rsidR="00DE3708" w:rsidRPr="00F50D13" w:rsidRDefault="00DE3708" w:rsidP="00307CD6">
      <w:pPr>
        <w:spacing w:line="240" w:lineRule="auto"/>
        <w:ind w:left="567" w:hanging="567"/>
        <w:contextualSpacing/>
        <w:rPr>
          <w:b/>
          <w:szCs w:val="22"/>
        </w:rPr>
      </w:pPr>
      <w:r w:rsidRPr="00F50D13">
        <w:rPr>
          <w:b/>
          <w:szCs w:val="22"/>
        </w:rPr>
        <w:t>Įspėjimai ir atsargumo priemonės</w:t>
      </w:r>
    </w:p>
    <w:p w14:paraId="59B07DD9" w14:textId="77777777" w:rsidR="00DE3708" w:rsidRPr="00F50D13" w:rsidRDefault="00DE3708" w:rsidP="00307CD6">
      <w:pPr>
        <w:spacing w:line="240" w:lineRule="auto"/>
        <w:contextualSpacing/>
        <w:rPr>
          <w:szCs w:val="22"/>
        </w:rPr>
      </w:pPr>
      <w:r w:rsidRPr="00F50D13">
        <w:rPr>
          <w:szCs w:val="22"/>
        </w:rPr>
        <w:t xml:space="preserve">Pasitarkite su gydytoju, prieš pradėdami vartoti </w:t>
      </w:r>
      <w:proofErr w:type="spellStart"/>
      <w:r w:rsidRPr="00F50D13">
        <w:rPr>
          <w:szCs w:val="22"/>
        </w:rPr>
        <w:t>Suvartar</w:t>
      </w:r>
      <w:proofErr w:type="spellEnd"/>
      <w:r w:rsidRPr="00F50D13">
        <w:rPr>
          <w:szCs w:val="22"/>
        </w:rPr>
        <w:t>:</w:t>
      </w:r>
    </w:p>
    <w:p w14:paraId="62D8D096"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kepenų liga; </w:t>
      </w:r>
    </w:p>
    <w:p w14:paraId="32C6F3C4"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sunkia inkstų liga arba jeigu Jums atliekama dializė; </w:t>
      </w:r>
    </w:p>
    <w:p w14:paraId="158287EA"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kenčiate dėl inkstų arterijos susiaurėjimo; </w:t>
      </w:r>
    </w:p>
    <w:p w14:paraId="4BA4CA17"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Jums neseniai atlikta inksto transplantacija (persodintas naujas inkstas); </w:t>
      </w:r>
    </w:p>
    <w:p w14:paraId="0BE9A309"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Jums taikomas gydymas po širdies priepuolio arba dėl širdies nepakankamumo, gydytojas gali patikrinti Jūsų inkstų veiklą; </w:t>
      </w:r>
    </w:p>
    <w:p w14:paraId="1D20391C"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sunkia širdies liga, kita nei širdies nepakankamumas ar širdies priepuolis; </w:t>
      </w:r>
    </w:p>
    <w:p w14:paraId="783B9A6B" w14:textId="77777777" w:rsidR="00DE3708" w:rsidRPr="001E6DB9" w:rsidRDefault="00DE3708" w:rsidP="001E6DB9">
      <w:pPr>
        <w:pStyle w:val="Default"/>
        <w:numPr>
          <w:ilvl w:val="0"/>
          <w:numId w:val="8"/>
        </w:numPr>
        <w:tabs>
          <w:tab w:val="left" w:pos="567"/>
        </w:tabs>
        <w:contextualSpacing/>
        <w:rPr>
          <w:color w:val="auto"/>
          <w:sz w:val="22"/>
          <w:szCs w:val="22"/>
        </w:rPr>
      </w:pPr>
      <w:r w:rsidRPr="001E6DB9">
        <w:rPr>
          <w:color w:val="auto"/>
          <w:sz w:val="22"/>
          <w:szCs w:val="22"/>
        </w:rPr>
        <w:t xml:space="preserve">jeigu Jums vartojant kitų vaistų (įskaitant AKF inhibitorius) kada nors yra buvęs pabrinkimas, daugiausia liežuvio ir veido. Jeigu Jums atsiranda pabrinkimo simptomų, tuojau pat nutraukite </w:t>
      </w:r>
      <w:proofErr w:type="spellStart"/>
      <w:r w:rsidRPr="001E6DB9">
        <w:rPr>
          <w:color w:val="auto"/>
          <w:sz w:val="22"/>
          <w:szCs w:val="22"/>
        </w:rPr>
        <w:t>Suvartar</w:t>
      </w:r>
      <w:proofErr w:type="spellEnd"/>
      <w:r w:rsidRPr="001E6DB9">
        <w:rPr>
          <w:color w:val="auto"/>
          <w:sz w:val="22"/>
          <w:szCs w:val="22"/>
        </w:rPr>
        <w:t xml:space="preserve"> vartojimą ir kreipkitės į savo gydytoją. Jūs turite niekada daugiau nevartoti </w:t>
      </w:r>
      <w:proofErr w:type="spellStart"/>
      <w:r w:rsidRPr="001E6DB9">
        <w:rPr>
          <w:color w:val="auto"/>
          <w:sz w:val="22"/>
          <w:szCs w:val="22"/>
        </w:rPr>
        <w:t>Suvartar</w:t>
      </w:r>
      <w:proofErr w:type="spellEnd"/>
      <w:r w:rsidRPr="001E6DB9">
        <w:rPr>
          <w:color w:val="auto"/>
          <w:sz w:val="22"/>
          <w:szCs w:val="22"/>
        </w:rPr>
        <w:t>. Taip pat žiūrėti 4 skyriuje „Galimas šalutinis poveikis“;</w:t>
      </w:r>
    </w:p>
    <w:p w14:paraId="21A0045E"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vartojate vaistų, kurie didina kalio kiekį Jūsų kraujyje. Tai yra kalio papildai ar druskos pakaitalai, kurių sudėtyje yra kalio, kalį organizme sulaikantys vaistai ir heparinas. Gali prireikti reguliariai tikrinti kalio kiekį Jūsų kraujyje; </w:t>
      </w:r>
    </w:p>
    <w:p w14:paraId="12D4499E" w14:textId="77777777" w:rsidR="00DE3708" w:rsidRPr="00F50D13" w:rsidRDefault="00DE3708" w:rsidP="00307CD6">
      <w:pPr>
        <w:numPr>
          <w:ilvl w:val="0"/>
          <w:numId w:val="8"/>
        </w:numPr>
        <w:spacing w:line="240" w:lineRule="auto"/>
        <w:contextualSpacing/>
        <w:rPr>
          <w:szCs w:val="22"/>
        </w:rPr>
      </w:pPr>
      <w:r w:rsidRPr="00F50D13">
        <w:rPr>
          <w:szCs w:val="22"/>
        </w:rPr>
        <w:t xml:space="preserve">jei esate jaunesnis kaip 18 metų ir </w:t>
      </w:r>
      <w:proofErr w:type="spellStart"/>
      <w:r w:rsidRPr="00F50D13">
        <w:rPr>
          <w:szCs w:val="22"/>
        </w:rPr>
        <w:t>Suvartar</w:t>
      </w:r>
      <w:proofErr w:type="spellEnd"/>
      <w:r w:rsidRPr="00F50D13">
        <w:rPr>
          <w:szCs w:val="22"/>
        </w:rPr>
        <w:t xml:space="preserve"> vartojate su kitais vaistais, slopinančiais </w:t>
      </w:r>
      <w:proofErr w:type="spellStart"/>
      <w:r w:rsidRPr="00F50D13">
        <w:rPr>
          <w:szCs w:val="22"/>
        </w:rPr>
        <w:t>renino</w:t>
      </w:r>
      <w:proofErr w:type="spellEnd"/>
      <w:r w:rsidRPr="00F50D13">
        <w:rPr>
          <w:szCs w:val="22"/>
        </w:rPr>
        <w:t xml:space="preserve">, </w:t>
      </w:r>
      <w:proofErr w:type="spellStart"/>
      <w:r w:rsidRPr="00F50D13">
        <w:rPr>
          <w:szCs w:val="22"/>
        </w:rPr>
        <w:t>angiotenzino</w:t>
      </w:r>
      <w:proofErr w:type="spellEnd"/>
      <w:r w:rsidRPr="00F50D13">
        <w:rPr>
          <w:szCs w:val="22"/>
        </w:rPr>
        <w:t xml:space="preserve"> ir </w:t>
      </w:r>
      <w:proofErr w:type="spellStart"/>
      <w:r w:rsidRPr="00F50D13">
        <w:rPr>
          <w:szCs w:val="22"/>
        </w:rPr>
        <w:t>aldosterono</w:t>
      </w:r>
      <w:proofErr w:type="spellEnd"/>
      <w:r w:rsidRPr="00F50D13">
        <w:rPr>
          <w:szCs w:val="22"/>
        </w:rPr>
        <w:t xml:space="preserve"> sistemą (kraujospūdį mažinančiais vaistais). Gydytojas gali nurodyti reguliariai tikrinti Jūsų inkstų veiklą ir kalio kiekį kraujyje;</w:t>
      </w:r>
    </w:p>
    <w:p w14:paraId="7518E01A"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lastRenderedPageBreak/>
        <w:t xml:space="preserve">jeigu Jus kamuoja </w:t>
      </w:r>
      <w:proofErr w:type="spellStart"/>
      <w:r w:rsidRPr="001E6DB9">
        <w:rPr>
          <w:color w:val="auto"/>
          <w:sz w:val="22"/>
          <w:szCs w:val="22"/>
        </w:rPr>
        <w:t>aldosteronizmas</w:t>
      </w:r>
      <w:proofErr w:type="spellEnd"/>
      <w:r w:rsidRPr="001E6DB9">
        <w:rPr>
          <w:color w:val="auto"/>
          <w:sz w:val="22"/>
          <w:szCs w:val="22"/>
        </w:rPr>
        <w:t xml:space="preserve">. Tai yra liga, kuria sergant Jūsų antinksčiai gamina per daug hormono </w:t>
      </w:r>
      <w:proofErr w:type="spellStart"/>
      <w:r w:rsidRPr="001E6DB9">
        <w:rPr>
          <w:color w:val="auto"/>
          <w:sz w:val="22"/>
          <w:szCs w:val="22"/>
        </w:rPr>
        <w:t>aldosterono</w:t>
      </w:r>
      <w:proofErr w:type="spellEnd"/>
      <w:r w:rsidRPr="001E6DB9">
        <w:rPr>
          <w:color w:val="auto"/>
          <w:sz w:val="22"/>
          <w:szCs w:val="22"/>
        </w:rPr>
        <w:t xml:space="preserve">. Jei tai liečia Jus, vartoti valsartano nerekomenduojama; </w:t>
      </w:r>
    </w:p>
    <w:p w14:paraId="565A3E01"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dėl viduriavimo, vėmimo ar didelių šlapimą varančių vaistų (diuretikų) dozių vartojimo netekote daug skysčio (dehidracija); </w:t>
      </w:r>
    </w:p>
    <w:p w14:paraId="5F09903E" w14:textId="762CA43E" w:rsidR="00DE3708" w:rsidRPr="00F50D13" w:rsidRDefault="00DE3708" w:rsidP="00307CD6">
      <w:pPr>
        <w:numPr>
          <w:ilvl w:val="0"/>
          <w:numId w:val="8"/>
        </w:numPr>
        <w:spacing w:line="240" w:lineRule="auto"/>
        <w:contextualSpacing/>
        <w:jc w:val="both"/>
        <w:rPr>
          <w:szCs w:val="22"/>
        </w:rPr>
      </w:pPr>
      <w:r w:rsidRPr="00F50D13">
        <w:rPr>
          <w:szCs w:val="22"/>
        </w:rPr>
        <w:t>jeigu manote, kad esate nėščia (</w:t>
      </w:r>
      <w:r w:rsidRPr="00F50D13">
        <w:rPr>
          <w:szCs w:val="22"/>
          <w:u w:val="single"/>
        </w:rPr>
        <w:t>ar įtariate, jog pastojote)</w:t>
      </w:r>
      <w:r w:rsidRPr="00F50D13">
        <w:rPr>
          <w:szCs w:val="22"/>
        </w:rPr>
        <w:t>, privalote pasakyti savo gydytojui. Ankstyvuoju nėštumo laikotarpiu valsartano vartoti nerekomenduojama ir turi būti nevartojama, jeigu nėštumas yra didesnis negu 3</w:t>
      </w:r>
      <w:r w:rsidR="00097B52">
        <w:rPr>
          <w:szCs w:val="22"/>
        </w:rPr>
        <w:t> </w:t>
      </w:r>
      <w:r w:rsidRPr="00F50D13">
        <w:rPr>
          <w:szCs w:val="22"/>
        </w:rPr>
        <w:t>mėnesių, kadangi šiuo laiku vartojamas minėtas vaistas gali labai pakenkti Jūsų kūdikiui (žr. skyrių „Nėštumas ir žindymo laikotarpis“);</w:t>
      </w:r>
    </w:p>
    <w:p w14:paraId="0CEF793C" w14:textId="77777777" w:rsidR="00DE3708" w:rsidRPr="00F91FD7" w:rsidRDefault="00DE3708" w:rsidP="00307CD6">
      <w:pPr>
        <w:numPr>
          <w:ilvl w:val="0"/>
          <w:numId w:val="8"/>
        </w:numPr>
        <w:spacing w:line="240" w:lineRule="auto"/>
        <w:contextualSpacing/>
        <w:rPr>
          <w:rFonts w:eastAsia="Batang"/>
          <w:szCs w:val="22"/>
        </w:rPr>
      </w:pPr>
      <w:r w:rsidRPr="00F91FD7">
        <w:rPr>
          <w:rFonts w:eastAsia="Batang"/>
          <w:szCs w:val="22"/>
        </w:rPr>
        <w:t>jeigu vartojate kurį nors iš šių vaistų padidėjusiam kraujospūdžiui gydyti:</w:t>
      </w:r>
    </w:p>
    <w:p w14:paraId="5A0ABD0D" w14:textId="77777777" w:rsidR="00DE3708" w:rsidRPr="00F91FD7" w:rsidRDefault="00DE3708" w:rsidP="00307CD6">
      <w:pPr>
        <w:spacing w:line="240" w:lineRule="auto"/>
        <w:ind w:left="720"/>
        <w:contextualSpacing/>
        <w:rPr>
          <w:rFonts w:eastAsia="Batang"/>
          <w:szCs w:val="22"/>
        </w:rPr>
      </w:pPr>
      <w:r w:rsidRPr="00F91FD7">
        <w:rPr>
          <w:rFonts w:eastAsia="Batang"/>
          <w:szCs w:val="22"/>
        </w:rPr>
        <w:t xml:space="preserve">- AKF inhibitorių (pavyzdžiui, </w:t>
      </w:r>
      <w:proofErr w:type="spellStart"/>
      <w:r w:rsidRPr="00F91FD7">
        <w:rPr>
          <w:rFonts w:eastAsia="Batang"/>
          <w:szCs w:val="22"/>
        </w:rPr>
        <w:t>enalaprilį</w:t>
      </w:r>
      <w:proofErr w:type="spellEnd"/>
      <w:r w:rsidRPr="00F91FD7">
        <w:rPr>
          <w:rFonts w:eastAsia="Batang"/>
          <w:szCs w:val="22"/>
        </w:rPr>
        <w:t xml:space="preserve">, </w:t>
      </w:r>
      <w:proofErr w:type="spellStart"/>
      <w:r w:rsidRPr="00F91FD7">
        <w:rPr>
          <w:rFonts w:eastAsia="Batang"/>
          <w:szCs w:val="22"/>
        </w:rPr>
        <w:t>lizinoprilį</w:t>
      </w:r>
      <w:proofErr w:type="spellEnd"/>
      <w:r w:rsidRPr="00F91FD7">
        <w:rPr>
          <w:rFonts w:eastAsia="Batang"/>
          <w:szCs w:val="22"/>
        </w:rPr>
        <w:t xml:space="preserve">, </w:t>
      </w:r>
      <w:proofErr w:type="spellStart"/>
      <w:r w:rsidRPr="00F91FD7">
        <w:rPr>
          <w:rFonts w:eastAsia="Batang"/>
          <w:szCs w:val="22"/>
        </w:rPr>
        <w:t>ramiprilį</w:t>
      </w:r>
      <w:proofErr w:type="spellEnd"/>
      <w:r w:rsidRPr="00F91FD7">
        <w:rPr>
          <w:rFonts w:eastAsia="Batang"/>
          <w:szCs w:val="22"/>
        </w:rPr>
        <w:t>), ypač jei turite su cukriniu diabetu susijusių inkstų sutrikimų;</w:t>
      </w:r>
    </w:p>
    <w:p w14:paraId="690375C9" w14:textId="77777777" w:rsidR="00DE3708" w:rsidRPr="00F91FD7" w:rsidRDefault="00DE3708" w:rsidP="00307CD6">
      <w:pPr>
        <w:spacing w:line="240" w:lineRule="auto"/>
        <w:ind w:left="720"/>
        <w:contextualSpacing/>
        <w:rPr>
          <w:rFonts w:eastAsia="Batang"/>
          <w:szCs w:val="22"/>
        </w:rPr>
      </w:pPr>
      <w:r w:rsidRPr="00F91FD7">
        <w:rPr>
          <w:rFonts w:eastAsia="Batang"/>
          <w:szCs w:val="22"/>
        </w:rPr>
        <w:t xml:space="preserve">- </w:t>
      </w:r>
      <w:proofErr w:type="spellStart"/>
      <w:r w:rsidRPr="00F91FD7">
        <w:rPr>
          <w:rFonts w:eastAsia="Batang"/>
          <w:szCs w:val="22"/>
        </w:rPr>
        <w:t>aliskireną</w:t>
      </w:r>
      <w:proofErr w:type="spellEnd"/>
      <w:r w:rsidRPr="00F91FD7">
        <w:rPr>
          <w:rFonts w:eastAsia="Batang"/>
          <w:szCs w:val="22"/>
        </w:rPr>
        <w:t>;</w:t>
      </w:r>
    </w:p>
    <w:p w14:paraId="44CA8699" w14:textId="77777777" w:rsidR="00DE3708" w:rsidRPr="00FF1FF9" w:rsidRDefault="00DE3708" w:rsidP="001E6DB9">
      <w:pPr>
        <w:pStyle w:val="Default"/>
        <w:numPr>
          <w:ilvl w:val="0"/>
          <w:numId w:val="18"/>
        </w:numPr>
        <w:ind w:left="567" w:hanging="567"/>
        <w:contextualSpacing/>
        <w:rPr>
          <w:color w:val="auto"/>
          <w:sz w:val="22"/>
          <w:szCs w:val="22"/>
        </w:rPr>
      </w:pPr>
      <w:r w:rsidRPr="001E6DB9">
        <w:rPr>
          <w:rFonts w:eastAsia="Batang"/>
          <w:color w:val="auto"/>
          <w:sz w:val="22"/>
          <w:szCs w:val="22"/>
        </w:rPr>
        <w:t xml:space="preserve">jeigu vartojate AKF inhibitorių kartu su tam tikrais kitais vaistais, skirtais širdies nepakankamumui gydyti ir vadinamais </w:t>
      </w:r>
      <w:proofErr w:type="spellStart"/>
      <w:r w:rsidRPr="001E6DB9">
        <w:rPr>
          <w:rFonts w:eastAsia="Batang"/>
          <w:color w:val="auto"/>
          <w:sz w:val="22"/>
          <w:szCs w:val="22"/>
        </w:rPr>
        <w:t>mineralokortikoidinių</w:t>
      </w:r>
      <w:proofErr w:type="spellEnd"/>
      <w:r w:rsidRPr="001E6DB9">
        <w:rPr>
          <w:rFonts w:eastAsia="Batang"/>
          <w:color w:val="auto"/>
          <w:sz w:val="22"/>
          <w:szCs w:val="22"/>
        </w:rPr>
        <w:t xml:space="preserve"> receptorių antagonistais (MRA) (pavyzdžiui, </w:t>
      </w:r>
      <w:proofErr w:type="spellStart"/>
      <w:r w:rsidRPr="001E6DB9">
        <w:rPr>
          <w:rFonts w:eastAsia="Batang"/>
          <w:color w:val="auto"/>
          <w:sz w:val="22"/>
          <w:szCs w:val="22"/>
        </w:rPr>
        <w:t>spironolaktonu</w:t>
      </w:r>
      <w:proofErr w:type="spellEnd"/>
      <w:r w:rsidRPr="001E6DB9">
        <w:rPr>
          <w:rFonts w:eastAsia="Batang"/>
          <w:color w:val="auto"/>
          <w:sz w:val="22"/>
          <w:szCs w:val="22"/>
        </w:rPr>
        <w:t xml:space="preserve">, </w:t>
      </w:r>
      <w:proofErr w:type="spellStart"/>
      <w:r w:rsidRPr="001E6DB9">
        <w:rPr>
          <w:rFonts w:eastAsia="Batang"/>
          <w:color w:val="auto"/>
          <w:sz w:val="22"/>
          <w:szCs w:val="22"/>
        </w:rPr>
        <w:t>eplerenonu</w:t>
      </w:r>
      <w:proofErr w:type="spellEnd"/>
      <w:r w:rsidRPr="001E6DB9">
        <w:rPr>
          <w:rFonts w:eastAsia="Batang"/>
          <w:color w:val="auto"/>
          <w:sz w:val="22"/>
          <w:szCs w:val="22"/>
        </w:rPr>
        <w:t xml:space="preserve">) arba beta </w:t>
      </w:r>
      <w:proofErr w:type="spellStart"/>
      <w:r w:rsidRPr="001E6DB9">
        <w:rPr>
          <w:rFonts w:eastAsia="Batang"/>
          <w:color w:val="auto"/>
          <w:sz w:val="22"/>
          <w:szCs w:val="22"/>
        </w:rPr>
        <w:t>adrenoblokatoriais</w:t>
      </w:r>
      <w:proofErr w:type="spellEnd"/>
      <w:r w:rsidRPr="001E6DB9">
        <w:rPr>
          <w:rFonts w:eastAsia="Batang"/>
          <w:color w:val="auto"/>
          <w:sz w:val="22"/>
          <w:szCs w:val="22"/>
        </w:rPr>
        <w:t xml:space="preserve"> (pavyzdžiui, </w:t>
      </w:r>
      <w:proofErr w:type="spellStart"/>
      <w:r w:rsidRPr="001E6DB9">
        <w:rPr>
          <w:rFonts w:eastAsia="Batang"/>
          <w:color w:val="auto"/>
          <w:sz w:val="22"/>
          <w:szCs w:val="22"/>
        </w:rPr>
        <w:t>metoprololiu</w:t>
      </w:r>
      <w:proofErr w:type="spellEnd"/>
      <w:r w:rsidRPr="001E6DB9">
        <w:rPr>
          <w:rFonts w:eastAsia="Batang"/>
          <w:color w:val="auto"/>
          <w:sz w:val="22"/>
          <w:szCs w:val="22"/>
        </w:rPr>
        <w:t xml:space="preserve">). </w:t>
      </w:r>
    </w:p>
    <w:p w14:paraId="345BB777" w14:textId="77777777" w:rsidR="00375329" w:rsidRPr="001E6DB9" w:rsidRDefault="00375329" w:rsidP="00FF1FF9">
      <w:pPr>
        <w:pStyle w:val="Default"/>
        <w:contextualSpacing/>
        <w:rPr>
          <w:color w:val="auto"/>
          <w:sz w:val="22"/>
          <w:szCs w:val="22"/>
        </w:rPr>
      </w:pPr>
    </w:p>
    <w:p w14:paraId="289A689C" w14:textId="70790504" w:rsidR="00DE3708" w:rsidRPr="00F50D13" w:rsidRDefault="00DE3708" w:rsidP="00307CD6">
      <w:pPr>
        <w:spacing w:line="240" w:lineRule="auto"/>
        <w:contextualSpacing/>
        <w:rPr>
          <w:rFonts w:eastAsia="Batang"/>
          <w:szCs w:val="22"/>
        </w:rPr>
      </w:pPr>
      <w:r w:rsidRPr="00F50D13">
        <w:rPr>
          <w:b/>
          <w:szCs w:val="22"/>
        </w:rPr>
        <w:t xml:space="preserve">Jeigu bet kuris iš minėtų atvejų tinka Jums, pasakykite savo gydytojui prieš vartojant </w:t>
      </w:r>
      <w:proofErr w:type="spellStart"/>
      <w:r w:rsidR="00375329" w:rsidRPr="00FF1FF9">
        <w:rPr>
          <w:rFonts w:eastAsia="Batang"/>
          <w:b/>
          <w:bCs/>
          <w:szCs w:val="22"/>
        </w:rPr>
        <w:t>Suvartar</w:t>
      </w:r>
      <w:proofErr w:type="spellEnd"/>
      <w:r w:rsidR="00375329" w:rsidRPr="00FF1FF9">
        <w:rPr>
          <w:rFonts w:eastAsia="Batang"/>
          <w:b/>
          <w:bCs/>
          <w:szCs w:val="22"/>
        </w:rPr>
        <w:t xml:space="preserve">. </w:t>
      </w:r>
    </w:p>
    <w:p w14:paraId="46ABF805" w14:textId="77777777" w:rsidR="00DE3708" w:rsidRPr="00F91FD7" w:rsidRDefault="00DE3708" w:rsidP="00307CD6">
      <w:pPr>
        <w:spacing w:line="240" w:lineRule="auto"/>
        <w:contextualSpacing/>
        <w:rPr>
          <w:rFonts w:eastAsia="Batang"/>
          <w:szCs w:val="22"/>
        </w:rPr>
      </w:pPr>
    </w:p>
    <w:p w14:paraId="4E56BF5E" w14:textId="77777777" w:rsidR="00DE3708" w:rsidRPr="00F91FD7" w:rsidRDefault="00DE3708" w:rsidP="00307CD6">
      <w:pPr>
        <w:spacing w:line="240" w:lineRule="auto"/>
        <w:contextualSpacing/>
        <w:rPr>
          <w:rFonts w:eastAsia="Batang"/>
          <w:szCs w:val="22"/>
        </w:rPr>
      </w:pPr>
      <w:r w:rsidRPr="00F91FD7">
        <w:rPr>
          <w:rFonts w:eastAsia="Batang"/>
          <w:szCs w:val="22"/>
        </w:rPr>
        <w:t>Jūsų gydytojas gali reguliariai ištirti Jūsų inkstų funkciją, kraujospūdį ir elektrolitų (pvz., kalio) kiekį kraujyje.</w:t>
      </w:r>
    </w:p>
    <w:p w14:paraId="70F85409" w14:textId="77777777" w:rsidR="00DE3708" w:rsidRDefault="00DE3708" w:rsidP="00307CD6">
      <w:pPr>
        <w:spacing w:line="240" w:lineRule="auto"/>
        <w:contextualSpacing/>
        <w:rPr>
          <w:rFonts w:eastAsia="Batang"/>
          <w:szCs w:val="22"/>
        </w:rPr>
      </w:pPr>
      <w:r w:rsidRPr="00F91FD7">
        <w:rPr>
          <w:rFonts w:eastAsia="Batang"/>
          <w:szCs w:val="22"/>
        </w:rPr>
        <w:t>Taip pat žiūrėkite informaciją, pateiktą poskyryje „</w:t>
      </w:r>
      <w:proofErr w:type="spellStart"/>
      <w:r w:rsidRPr="00F91FD7">
        <w:rPr>
          <w:rFonts w:eastAsia="Batang"/>
          <w:szCs w:val="22"/>
        </w:rPr>
        <w:t>Suvartar</w:t>
      </w:r>
      <w:proofErr w:type="spellEnd"/>
      <w:r w:rsidRPr="00F91FD7">
        <w:rPr>
          <w:rFonts w:eastAsia="Batang"/>
          <w:szCs w:val="22"/>
        </w:rPr>
        <w:t xml:space="preserve"> vartoti negalima“.</w:t>
      </w:r>
    </w:p>
    <w:p w14:paraId="75AA6286" w14:textId="77777777" w:rsidR="00375329" w:rsidRDefault="00375329" w:rsidP="00307CD6">
      <w:pPr>
        <w:spacing w:line="240" w:lineRule="auto"/>
        <w:contextualSpacing/>
        <w:rPr>
          <w:rFonts w:eastAsia="Batang"/>
          <w:szCs w:val="22"/>
        </w:rPr>
      </w:pPr>
    </w:p>
    <w:p w14:paraId="249A12EB" w14:textId="6DC25BD1" w:rsidR="00375329" w:rsidRPr="00375329" w:rsidRDefault="00375329" w:rsidP="00307CD6">
      <w:pPr>
        <w:spacing w:line="240" w:lineRule="auto"/>
        <w:contextualSpacing/>
        <w:rPr>
          <w:rFonts w:eastAsia="Batang"/>
          <w:szCs w:val="22"/>
        </w:rPr>
      </w:pPr>
      <w:r w:rsidRPr="00FF1FF9">
        <w:rPr>
          <w:rFonts w:eastAsia="Batang"/>
          <w:szCs w:val="22"/>
        </w:rPr>
        <w:t xml:space="preserve">Pasitarkite su gydytoju, jei pavartojus </w:t>
      </w:r>
      <w:proofErr w:type="spellStart"/>
      <w:r w:rsidRPr="00375329">
        <w:rPr>
          <w:rFonts w:eastAsia="Batang"/>
          <w:szCs w:val="22"/>
        </w:rPr>
        <w:t>Suvartar</w:t>
      </w:r>
      <w:proofErr w:type="spellEnd"/>
      <w:r w:rsidRPr="00375329">
        <w:rPr>
          <w:rFonts w:eastAsia="Batang"/>
          <w:szCs w:val="22"/>
        </w:rPr>
        <w:t xml:space="preserve"> </w:t>
      </w:r>
      <w:r w:rsidRPr="00FF1FF9">
        <w:rPr>
          <w:rFonts w:eastAsia="Batang"/>
          <w:szCs w:val="22"/>
        </w:rPr>
        <w:t xml:space="preserve">jaučiate pilvo skausmą, pykinimą, vėmimą arba viduriavimą. Dėl tolesnio gydymo nuspręs Jūsų gydytojas. Nenustokite vartoti </w:t>
      </w:r>
      <w:proofErr w:type="spellStart"/>
      <w:r w:rsidRPr="00FF1FF9">
        <w:rPr>
          <w:rFonts w:eastAsia="Batang"/>
          <w:szCs w:val="22"/>
        </w:rPr>
        <w:t>Suvartar</w:t>
      </w:r>
      <w:proofErr w:type="spellEnd"/>
      <w:r w:rsidRPr="00FF1FF9">
        <w:rPr>
          <w:rFonts w:eastAsia="Batang"/>
          <w:szCs w:val="22"/>
        </w:rPr>
        <w:t xml:space="preserve"> pats.</w:t>
      </w:r>
    </w:p>
    <w:p w14:paraId="01BCC3C7" w14:textId="77777777" w:rsidR="00DE3708" w:rsidRPr="00375329" w:rsidRDefault="00DE3708" w:rsidP="00307CD6">
      <w:pPr>
        <w:pStyle w:val="Default"/>
        <w:contextualSpacing/>
        <w:rPr>
          <w:color w:val="auto"/>
          <w:sz w:val="22"/>
          <w:szCs w:val="22"/>
        </w:rPr>
      </w:pPr>
    </w:p>
    <w:p w14:paraId="41AF48FD" w14:textId="77777777" w:rsidR="00DE3708" w:rsidRPr="001E6DB9" w:rsidRDefault="00DE3708" w:rsidP="00307CD6">
      <w:pPr>
        <w:pStyle w:val="Default"/>
        <w:contextualSpacing/>
        <w:rPr>
          <w:b/>
          <w:color w:val="auto"/>
          <w:sz w:val="22"/>
          <w:szCs w:val="22"/>
        </w:rPr>
      </w:pPr>
      <w:r w:rsidRPr="001E6DB9">
        <w:rPr>
          <w:b/>
          <w:color w:val="auto"/>
          <w:sz w:val="22"/>
          <w:szCs w:val="22"/>
        </w:rPr>
        <w:t xml:space="preserve">Kiti vaistai ir </w:t>
      </w:r>
      <w:proofErr w:type="spellStart"/>
      <w:r w:rsidRPr="001E6DB9">
        <w:rPr>
          <w:b/>
          <w:color w:val="auto"/>
          <w:sz w:val="22"/>
          <w:szCs w:val="22"/>
        </w:rPr>
        <w:t>Suvartar</w:t>
      </w:r>
      <w:proofErr w:type="spellEnd"/>
    </w:p>
    <w:p w14:paraId="7C8FE561" w14:textId="77777777" w:rsidR="00DE3708" w:rsidRPr="001E6DB9" w:rsidRDefault="00DE3708" w:rsidP="00307CD6">
      <w:pPr>
        <w:pStyle w:val="Default"/>
        <w:contextualSpacing/>
        <w:rPr>
          <w:color w:val="auto"/>
          <w:sz w:val="22"/>
          <w:szCs w:val="22"/>
        </w:rPr>
      </w:pPr>
      <w:r w:rsidRPr="001E6DB9">
        <w:rPr>
          <w:color w:val="auto"/>
          <w:sz w:val="22"/>
          <w:szCs w:val="22"/>
        </w:rPr>
        <w:t>Jeigu vartojate ar neseniai vartojote kitų vaistų arba dėl to nesate tikri, apie tai pasakykite gydytojui arba vaistininkui.</w:t>
      </w:r>
    </w:p>
    <w:p w14:paraId="375FB86B" w14:textId="77777777" w:rsidR="00DE3708" w:rsidRPr="001E6DB9" w:rsidRDefault="00DE3708" w:rsidP="00307CD6">
      <w:pPr>
        <w:pStyle w:val="Default"/>
        <w:contextualSpacing/>
        <w:rPr>
          <w:color w:val="auto"/>
          <w:sz w:val="22"/>
          <w:szCs w:val="22"/>
        </w:rPr>
      </w:pPr>
    </w:p>
    <w:p w14:paraId="6E32B636"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Valsartano vartojant su tam tikrais kitais vaistais gali būti daroma įtaka gydomajam poveikiui. Gali prireikti keisti dozę, imtis kitų atsargumo priemonių ar kai kuriais atvejais nutraukti vieno iš vaistų vartojimą. Tai tinka tiek receptiniams, tiek nereceptiniams vaistams, ypač: </w:t>
      </w:r>
    </w:p>
    <w:p w14:paraId="2A85318D" w14:textId="77777777" w:rsidR="00DE3708" w:rsidRPr="001E6DB9" w:rsidRDefault="00DE3708" w:rsidP="00307CD6">
      <w:pPr>
        <w:pStyle w:val="Default"/>
        <w:contextualSpacing/>
        <w:rPr>
          <w:color w:val="auto"/>
          <w:sz w:val="22"/>
          <w:szCs w:val="22"/>
        </w:rPr>
      </w:pPr>
    </w:p>
    <w:p w14:paraId="52CAB27B" w14:textId="77777777" w:rsidR="00DE3708" w:rsidRPr="00F91FD7" w:rsidRDefault="00DE3708" w:rsidP="00307CD6">
      <w:pPr>
        <w:numPr>
          <w:ilvl w:val="0"/>
          <w:numId w:val="9"/>
        </w:numPr>
        <w:spacing w:line="240" w:lineRule="auto"/>
        <w:contextualSpacing/>
        <w:rPr>
          <w:rFonts w:eastAsia="Batang"/>
          <w:i/>
          <w:szCs w:val="22"/>
        </w:rPr>
      </w:pPr>
      <w:r w:rsidRPr="00F50D13">
        <w:rPr>
          <w:szCs w:val="22"/>
        </w:rPr>
        <w:t xml:space="preserve">kitiems kraujospūdį mažinantiems vaistams, ypač šlapimo išsiskyrimą skatinantiems vaistams (diuretikams), jeigu vartojate AKF inhibitorių (tokių kaip </w:t>
      </w:r>
      <w:proofErr w:type="spellStart"/>
      <w:r w:rsidRPr="00F50D13">
        <w:rPr>
          <w:szCs w:val="22"/>
        </w:rPr>
        <w:t>enalaprilis</w:t>
      </w:r>
      <w:proofErr w:type="spellEnd"/>
      <w:r w:rsidRPr="00F50D13">
        <w:rPr>
          <w:szCs w:val="22"/>
        </w:rPr>
        <w:t xml:space="preserve">, </w:t>
      </w:r>
      <w:proofErr w:type="spellStart"/>
      <w:r w:rsidRPr="00F50D13">
        <w:rPr>
          <w:szCs w:val="22"/>
        </w:rPr>
        <w:t>lizinoprilis</w:t>
      </w:r>
      <w:proofErr w:type="spellEnd"/>
      <w:r w:rsidRPr="00F50D13">
        <w:rPr>
          <w:szCs w:val="22"/>
        </w:rPr>
        <w:t xml:space="preserve"> ir kt.) arba </w:t>
      </w:r>
      <w:proofErr w:type="spellStart"/>
      <w:r w:rsidRPr="00F50D13">
        <w:rPr>
          <w:szCs w:val="22"/>
        </w:rPr>
        <w:t>aliskireną</w:t>
      </w:r>
      <w:proofErr w:type="spellEnd"/>
      <w:r w:rsidRPr="00F50D13">
        <w:rPr>
          <w:szCs w:val="22"/>
        </w:rPr>
        <w:t xml:space="preserve"> </w:t>
      </w:r>
      <w:r w:rsidRPr="00F50D13">
        <w:rPr>
          <w:rFonts w:eastAsia="Batang"/>
          <w:szCs w:val="22"/>
        </w:rPr>
        <w:t>(taip pat žiūrėkite informaciją, pateiktą poskyriuose „</w:t>
      </w:r>
      <w:proofErr w:type="spellStart"/>
      <w:r w:rsidRPr="00F50D13">
        <w:rPr>
          <w:rFonts w:eastAsia="Batang"/>
          <w:szCs w:val="22"/>
        </w:rPr>
        <w:t>Suvartar</w:t>
      </w:r>
      <w:proofErr w:type="spellEnd"/>
      <w:r w:rsidRPr="00F50D13">
        <w:rPr>
          <w:rFonts w:eastAsia="Batang"/>
          <w:szCs w:val="22"/>
        </w:rPr>
        <w:t xml:space="preserve"> vartoti negalima“ ir „Įspėjimai ir atsargumo priemonės“);</w:t>
      </w:r>
    </w:p>
    <w:p w14:paraId="452E04BB" w14:textId="77777777" w:rsidR="00DE3708" w:rsidRPr="001E6DB9" w:rsidRDefault="00DE3708" w:rsidP="00307CD6">
      <w:pPr>
        <w:pStyle w:val="Default"/>
        <w:numPr>
          <w:ilvl w:val="0"/>
          <w:numId w:val="9"/>
        </w:numPr>
        <w:contextualSpacing/>
        <w:rPr>
          <w:color w:val="auto"/>
          <w:sz w:val="22"/>
          <w:szCs w:val="22"/>
        </w:rPr>
      </w:pPr>
      <w:r w:rsidRPr="001E6DB9">
        <w:rPr>
          <w:b/>
          <w:color w:val="auto"/>
          <w:sz w:val="22"/>
          <w:szCs w:val="22"/>
        </w:rPr>
        <w:t xml:space="preserve">vaistams, kurie didina kalio kiekį </w:t>
      </w:r>
      <w:r w:rsidRPr="001E6DB9">
        <w:rPr>
          <w:color w:val="auto"/>
          <w:sz w:val="22"/>
          <w:szCs w:val="22"/>
        </w:rPr>
        <w:t>Jūsų</w:t>
      </w:r>
      <w:r w:rsidRPr="001E6DB9">
        <w:rPr>
          <w:b/>
          <w:color w:val="auto"/>
          <w:sz w:val="22"/>
          <w:szCs w:val="22"/>
        </w:rPr>
        <w:t xml:space="preserve"> </w:t>
      </w:r>
      <w:r w:rsidRPr="001E6DB9">
        <w:rPr>
          <w:color w:val="auto"/>
          <w:sz w:val="22"/>
          <w:szCs w:val="22"/>
        </w:rPr>
        <w:t xml:space="preserve">kraujyje, t. y. kalio papildams ar druskos pakaitalams, kurių sudėtyje yra kalio, kalį organizme sulaikantiems vaistams ir heparinui; </w:t>
      </w:r>
    </w:p>
    <w:p w14:paraId="117850EE" w14:textId="77777777" w:rsidR="00DE3708" w:rsidRPr="001E6DB9" w:rsidRDefault="00DE3708" w:rsidP="00307CD6">
      <w:pPr>
        <w:pStyle w:val="Default"/>
        <w:numPr>
          <w:ilvl w:val="0"/>
          <w:numId w:val="9"/>
        </w:numPr>
        <w:contextualSpacing/>
        <w:rPr>
          <w:color w:val="auto"/>
          <w:sz w:val="22"/>
          <w:szCs w:val="22"/>
        </w:rPr>
      </w:pPr>
      <w:r w:rsidRPr="001E6DB9">
        <w:rPr>
          <w:b/>
          <w:color w:val="auto"/>
          <w:sz w:val="22"/>
          <w:szCs w:val="22"/>
        </w:rPr>
        <w:t>kai kuriems skausmą malšinantiems vaistams</w:t>
      </w:r>
      <w:r w:rsidRPr="001E6DB9">
        <w:rPr>
          <w:color w:val="auto"/>
          <w:sz w:val="22"/>
          <w:szCs w:val="22"/>
        </w:rPr>
        <w:t xml:space="preserve">, vadinamiesiems nesteroidiniams vaistams nuo uždegimo </w:t>
      </w:r>
      <w:r w:rsidRPr="001E6DB9">
        <w:rPr>
          <w:b/>
          <w:color w:val="auto"/>
          <w:sz w:val="22"/>
          <w:szCs w:val="22"/>
        </w:rPr>
        <w:t>(NVNU)</w:t>
      </w:r>
      <w:r w:rsidRPr="001E6DB9">
        <w:rPr>
          <w:color w:val="auto"/>
          <w:sz w:val="22"/>
          <w:szCs w:val="22"/>
        </w:rPr>
        <w:t xml:space="preserve">; </w:t>
      </w:r>
    </w:p>
    <w:p w14:paraId="4FC56984" w14:textId="77777777" w:rsidR="00DE3708" w:rsidRPr="00F50D13" w:rsidRDefault="00DE3708" w:rsidP="00307CD6">
      <w:pPr>
        <w:numPr>
          <w:ilvl w:val="0"/>
          <w:numId w:val="9"/>
        </w:numPr>
        <w:spacing w:line="240" w:lineRule="auto"/>
        <w:contextualSpacing/>
        <w:rPr>
          <w:szCs w:val="22"/>
        </w:rPr>
      </w:pPr>
      <w:r w:rsidRPr="00F50D13">
        <w:rPr>
          <w:szCs w:val="22"/>
        </w:rPr>
        <w:t>kai kuriems antibiotikams (rifampicino grupės), vaistui, vartojamam persodintam organui apsaugoti nuo atmetimo (</w:t>
      </w:r>
      <w:proofErr w:type="spellStart"/>
      <w:r w:rsidRPr="00F50D13">
        <w:rPr>
          <w:szCs w:val="22"/>
        </w:rPr>
        <w:t>ciklosporinui</w:t>
      </w:r>
      <w:proofErr w:type="spellEnd"/>
      <w:r w:rsidRPr="00F50D13">
        <w:rPr>
          <w:szCs w:val="22"/>
        </w:rPr>
        <w:t xml:space="preserve">) ar antiretrovirusiniam vaistui, vartojamam žmogaus imunodeficito viruso/įgyto imunodeficito sindromo (HIV/AIDS) infekcijai gydyti (ritonavirui). Šie vaistai gali stiprinti </w:t>
      </w:r>
      <w:proofErr w:type="spellStart"/>
      <w:r w:rsidRPr="00F50D13">
        <w:rPr>
          <w:szCs w:val="22"/>
        </w:rPr>
        <w:t>Suvartar</w:t>
      </w:r>
      <w:proofErr w:type="spellEnd"/>
      <w:r w:rsidRPr="00F50D13">
        <w:rPr>
          <w:szCs w:val="22"/>
        </w:rPr>
        <w:t xml:space="preserve"> poveikį;</w:t>
      </w:r>
    </w:p>
    <w:p w14:paraId="636DC97D" w14:textId="77777777" w:rsidR="00DE3708" w:rsidRPr="001E6DB9" w:rsidRDefault="00DE3708" w:rsidP="00307CD6">
      <w:pPr>
        <w:pStyle w:val="Default"/>
        <w:numPr>
          <w:ilvl w:val="0"/>
          <w:numId w:val="9"/>
        </w:numPr>
        <w:contextualSpacing/>
        <w:rPr>
          <w:color w:val="auto"/>
          <w:sz w:val="22"/>
          <w:szCs w:val="22"/>
        </w:rPr>
      </w:pPr>
      <w:r w:rsidRPr="001E6DB9">
        <w:rPr>
          <w:b/>
          <w:color w:val="auto"/>
          <w:sz w:val="22"/>
          <w:szCs w:val="22"/>
        </w:rPr>
        <w:t>ličio vaistams</w:t>
      </w:r>
      <w:r w:rsidRPr="001E6DB9">
        <w:rPr>
          <w:color w:val="auto"/>
          <w:sz w:val="22"/>
          <w:szCs w:val="22"/>
        </w:rPr>
        <w:t xml:space="preserve">, t. y. vaistams, vartojamiems kai kurių psichikos ligų gydymui. </w:t>
      </w:r>
    </w:p>
    <w:p w14:paraId="05D7A6C4" w14:textId="77777777" w:rsidR="00DE3708" w:rsidRPr="001E6DB9" w:rsidRDefault="00DE3708" w:rsidP="00307CD6">
      <w:pPr>
        <w:pStyle w:val="Default"/>
        <w:ind w:left="567"/>
        <w:contextualSpacing/>
        <w:rPr>
          <w:color w:val="auto"/>
          <w:sz w:val="22"/>
          <w:szCs w:val="22"/>
        </w:rPr>
      </w:pPr>
    </w:p>
    <w:p w14:paraId="3D256553" w14:textId="77777777" w:rsidR="00DE3708" w:rsidRPr="001E6DB9" w:rsidRDefault="00DE3708" w:rsidP="00307CD6">
      <w:pPr>
        <w:pStyle w:val="Default"/>
        <w:shd w:val="clear" w:color="auto" w:fill="FFFFFF"/>
        <w:contextualSpacing/>
        <w:rPr>
          <w:color w:val="auto"/>
          <w:sz w:val="22"/>
          <w:szCs w:val="22"/>
        </w:rPr>
      </w:pPr>
      <w:r w:rsidRPr="001E6DB9">
        <w:rPr>
          <w:b/>
          <w:color w:val="auto"/>
          <w:sz w:val="22"/>
          <w:szCs w:val="22"/>
        </w:rPr>
        <w:t xml:space="preserve">Be to: </w:t>
      </w:r>
    </w:p>
    <w:p w14:paraId="5EACFCDD" w14:textId="77777777" w:rsidR="00DE3708" w:rsidRPr="001E6DB9" w:rsidRDefault="00DE3708" w:rsidP="00307CD6">
      <w:pPr>
        <w:pStyle w:val="Default"/>
        <w:numPr>
          <w:ilvl w:val="0"/>
          <w:numId w:val="10"/>
        </w:numPr>
        <w:shd w:val="clear" w:color="auto" w:fill="FFFFFF"/>
        <w:contextualSpacing/>
        <w:rPr>
          <w:color w:val="auto"/>
          <w:sz w:val="22"/>
          <w:szCs w:val="22"/>
        </w:rPr>
      </w:pPr>
      <w:r w:rsidRPr="001E6DB9">
        <w:rPr>
          <w:color w:val="auto"/>
          <w:sz w:val="22"/>
          <w:szCs w:val="22"/>
        </w:rPr>
        <w:t xml:space="preserve">jeigu esate </w:t>
      </w:r>
      <w:r w:rsidRPr="001E6DB9">
        <w:rPr>
          <w:b/>
          <w:color w:val="auto"/>
          <w:sz w:val="22"/>
          <w:szCs w:val="22"/>
        </w:rPr>
        <w:t xml:space="preserve">gydomas po širdies priepuolio, </w:t>
      </w:r>
      <w:r w:rsidRPr="001E6DB9">
        <w:rPr>
          <w:color w:val="auto"/>
          <w:sz w:val="22"/>
          <w:szCs w:val="22"/>
        </w:rPr>
        <w:t>nerekomenduojama tuo pačiu metu</w:t>
      </w:r>
      <w:r w:rsidRPr="001E6DB9">
        <w:rPr>
          <w:b/>
          <w:color w:val="auto"/>
          <w:sz w:val="22"/>
          <w:szCs w:val="22"/>
        </w:rPr>
        <w:t xml:space="preserve"> </w:t>
      </w:r>
      <w:r w:rsidRPr="001E6DB9">
        <w:rPr>
          <w:color w:val="auto"/>
          <w:sz w:val="22"/>
          <w:szCs w:val="22"/>
        </w:rPr>
        <w:t xml:space="preserve">vartoti </w:t>
      </w:r>
      <w:r w:rsidRPr="001E6DB9">
        <w:rPr>
          <w:b/>
          <w:color w:val="auto"/>
          <w:sz w:val="22"/>
          <w:szCs w:val="22"/>
        </w:rPr>
        <w:t xml:space="preserve">AKF inhibitorių </w:t>
      </w:r>
      <w:r w:rsidRPr="001E6DB9">
        <w:rPr>
          <w:color w:val="auto"/>
          <w:sz w:val="22"/>
          <w:szCs w:val="22"/>
        </w:rPr>
        <w:t xml:space="preserve">(vaistų, vartojamų širdies priepuoliui gydyti); </w:t>
      </w:r>
    </w:p>
    <w:p w14:paraId="2D6D90B7" w14:textId="29A5DB81" w:rsidR="00DE3708" w:rsidRPr="00F50D13" w:rsidRDefault="00DE3708" w:rsidP="00307CD6">
      <w:pPr>
        <w:pStyle w:val="BodytextAgency"/>
        <w:numPr>
          <w:ilvl w:val="0"/>
          <w:numId w:val="9"/>
        </w:numPr>
        <w:spacing w:after="0" w:line="240" w:lineRule="auto"/>
        <w:contextualSpacing/>
        <w:rPr>
          <w:rFonts w:ascii="Times New Roman" w:eastAsia="Batang" w:hAnsi="Times New Roman"/>
          <w:sz w:val="22"/>
          <w:szCs w:val="22"/>
          <w:lang w:eastAsia="x-none"/>
        </w:rPr>
      </w:pPr>
      <w:r w:rsidRPr="00F50D13">
        <w:rPr>
          <w:rFonts w:ascii="Times New Roman" w:eastAsia="Batang" w:hAnsi="Times New Roman"/>
          <w:sz w:val="22"/>
          <w:szCs w:val="22"/>
          <w:lang w:eastAsia="x-none"/>
        </w:rPr>
        <w:t xml:space="preserve">jeigu </w:t>
      </w:r>
      <w:r w:rsidR="00434F06">
        <w:rPr>
          <w:rFonts w:ascii="Times New Roman" w:eastAsia="Batang" w:hAnsi="Times New Roman"/>
          <w:sz w:val="22"/>
          <w:szCs w:val="22"/>
          <w:lang w:eastAsia="x-none"/>
        </w:rPr>
        <w:t xml:space="preserve">Jums skiriamas </w:t>
      </w:r>
      <w:r w:rsidR="00434F06" w:rsidRPr="000A08ED">
        <w:rPr>
          <w:rFonts w:ascii="Times New Roman" w:eastAsia="Batang" w:hAnsi="Times New Roman"/>
          <w:b/>
          <w:bCs/>
          <w:sz w:val="22"/>
          <w:szCs w:val="22"/>
          <w:lang w:eastAsia="x-none"/>
        </w:rPr>
        <w:t>gydymas dėl širdies nepakankamumo</w:t>
      </w:r>
      <w:r w:rsidR="00434F06">
        <w:rPr>
          <w:rFonts w:ascii="Times New Roman" w:eastAsia="Batang" w:hAnsi="Times New Roman"/>
          <w:sz w:val="22"/>
          <w:szCs w:val="22"/>
          <w:lang w:eastAsia="x-none"/>
        </w:rPr>
        <w:t xml:space="preserve">, nerekomenduojama tuo pačiu metu vartoti trijų rūšių vaistų – </w:t>
      </w:r>
      <w:r w:rsidRPr="001E6DB9">
        <w:rPr>
          <w:rFonts w:ascii="Times New Roman" w:eastAsia="Batang" w:hAnsi="Times New Roman"/>
          <w:b/>
          <w:sz w:val="22"/>
          <w:szCs w:val="22"/>
          <w:lang w:eastAsia="x-none"/>
        </w:rPr>
        <w:t>AKF inhibitorių</w:t>
      </w:r>
      <w:r w:rsidRPr="00F50D13">
        <w:rPr>
          <w:rFonts w:ascii="Times New Roman" w:eastAsia="Batang" w:hAnsi="Times New Roman"/>
          <w:sz w:val="22"/>
          <w:szCs w:val="22"/>
          <w:lang w:eastAsia="x-none"/>
        </w:rPr>
        <w:t xml:space="preserve"> kartu su tam tikrais kitais vaistais, skirtais širdies nepakankamumui gydyti ir vadinamais </w:t>
      </w:r>
      <w:proofErr w:type="spellStart"/>
      <w:r w:rsidRPr="001E6DB9">
        <w:rPr>
          <w:rFonts w:ascii="Times New Roman" w:eastAsia="Batang" w:hAnsi="Times New Roman"/>
          <w:b/>
          <w:sz w:val="22"/>
          <w:szCs w:val="22"/>
          <w:lang w:eastAsia="x-none"/>
        </w:rPr>
        <w:t>mineralokortikoidinių</w:t>
      </w:r>
      <w:proofErr w:type="spellEnd"/>
      <w:r w:rsidRPr="001E6DB9">
        <w:rPr>
          <w:rFonts w:ascii="Times New Roman" w:eastAsia="Batang" w:hAnsi="Times New Roman"/>
          <w:b/>
          <w:sz w:val="22"/>
          <w:szCs w:val="22"/>
          <w:lang w:eastAsia="x-none"/>
        </w:rPr>
        <w:t xml:space="preserve"> receptorių antagonistais</w:t>
      </w:r>
      <w:r w:rsidRPr="00F50D13">
        <w:rPr>
          <w:rFonts w:ascii="Times New Roman" w:eastAsia="Batang" w:hAnsi="Times New Roman"/>
          <w:sz w:val="22"/>
          <w:szCs w:val="22"/>
          <w:lang w:eastAsia="x-none"/>
        </w:rPr>
        <w:t xml:space="preserve"> (MRA) (pavyzdžiui, </w:t>
      </w:r>
      <w:proofErr w:type="spellStart"/>
      <w:r w:rsidRPr="00F50D13">
        <w:rPr>
          <w:rFonts w:ascii="Times New Roman" w:eastAsia="Batang" w:hAnsi="Times New Roman"/>
          <w:sz w:val="22"/>
          <w:szCs w:val="22"/>
          <w:lang w:eastAsia="x-none"/>
        </w:rPr>
        <w:t>spironolaktonu</w:t>
      </w:r>
      <w:proofErr w:type="spellEnd"/>
      <w:r w:rsidRPr="00F50D13">
        <w:rPr>
          <w:rFonts w:ascii="Times New Roman" w:eastAsia="Batang" w:hAnsi="Times New Roman"/>
          <w:sz w:val="22"/>
          <w:szCs w:val="22"/>
          <w:lang w:eastAsia="x-none"/>
        </w:rPr>
        <w:t xml:space="preserve">, </w:t>
      </w:r>
      <w:proofErr w:type="spellStart"/>
      <w:r w:rsidRPr="00F50D13">
        <w:rPr>
          <w:rFonts w:ascii="Times New Roman" w:eastAsia="Batang" w:hAnsi="Times New Roman"/>
          <w:sz w:val="22"/>
          <w:szCs w:val="22"/>
          <w:lang w:eastAsia="x-none"/>
        </w:rPr>
        <w:t>eplerenonu</w:t>
      </w:r>
      <w:proofErr w:type="spellEnd"/>
      <w:r w:rsidRPr="00F50D13">
        <w:rPr>
          <w:rFonts w:ascii="Times New Roman" w:eastAsia="Batang" w:hAnsi="Times New Roman"/>
          <w:sz w:val="22"/>
          <w:szCs w:val="22"/>
          <w:lang w:eastAsia="x-none"/>
        </w:rPr>
        <w:t xml:space="preserve">) arba </w:t>
      </w:r>
      <w:r w:rsidRPr="001E6DB9">
        <w:rPr>
          <w:rFonts w:ascii="Times New Roman" w:eastAsia="Batang" w:hAnsi="Times New Roman"/>
          <w:b/>
          <w:sz w:val="22"/>
          <w:szCs w:val="22"/>
          <w:lang w:eastAsia="x-none"/>
        </w:rPr>
        <w:t xml:space="preserve">beta </w:t>
      </w:r>
      <w:proofErr w:type="spellStart"/>
      <w:r w:rsidRPr="001E6DB9">
        <w:rPr>
          <w:rFonts w:ascii="Times New Roman" w:eastAsia="Batang" w:hAnsi="Times New Roman"/>
          <w:b/>
          <w:sz w:val="22"/>
          <w:szCs w:val="22"/>
          <w:lang w:eastAsia="x-none"/>
        </w:rPr>
        <w:t>adrenoblokatoriais</w:t>
      </w:r>
      <w:proofErr w:type="spellEnd"/>
      <w:r w:rsidRPr="00F50D13">
        <w:rPr>
          <w:rFonts w:ascii="Times New Roman" w:eastAsia="Batang" w:hAnsi="Times New Roman"/>
          <w:sz w:val="22"/>
          <w:szCs w:val="22"/>
          <w:lang w:eastAsia="x-none"/>
        </w:rPr>
        <w:t xml:space="preserve"> (pavyzdžiui, </w:t>
      </w:r>
      <w:proofErr w:type="spellStart"/>
      <w:r w:rsidRPr="00F50D13">
        <w:rPr>
          <w:rFonts w:ascii="Times New Roman" w:eastAsia="Batang" w:hAnsi="Times New Roman"/>
          <w:sz w:val="22"/>
          <w:szCs w:val="22"/>
          <w:lang w:eastAsia="x-none"/>
        </w:rPr>
        <w:t>metoprololiu</w:t>
      </w:r>
      <w:proofErr w:type="spellEnd"/>
      <w:r w:rsidRPr="00F50D13">
        <w:rPr>
          <w:rFonts w:ascii="Times New Roman" w:eastAsia="Batang" w:hAnsi="Times New Roman"/>
          <w:sz w:val="22"/>
          <w:szCs w:val="22"/>
          <w:lang w:eastAsia="x-none"/>
        </w:rPr>
        <w:t>).</w:t>
      </w:r>
    </w:p>
    <w:p w14:paraId="5F557B92" w14:textId="77777777" w:rsidR="00DE3708" w:rsidRPr="001E6DB9" w:rsidRDefault="00DE3708" w:rsidP="00307CD6">
      <w:pPr>
        <w:pStyle w:val="Default"/>
        <w:contextualSpacing/>
        <w:rPr>
          <w:color w:val="auto"/>
          <w:sz w:val="22"/>
          <w:szCs w:val="22"/>
        </w:rPr>
      </w:pPr>
    </w:p>
    <w:p w14:paraId="6D7267A1" w14:textId="77777777" w:rsidR="00DE3708" w:rsidRPr="001E6DB9" w:rsidRDefault="00DE3708" w:rsidP="00307CD6">
      <w:pPr>
        <w:pStyle w:val="Default"/>
        <w:contextualSpacing/>
        <w:rPr>
          <w:color w:val="auto"/>
          <w:sz w:val="22"/>
          <w:szCs w:val="22"/>
          <w:lang w:val="es-ES"/>
        </w:rPr>
      </w:pPr>
      <w:proofErr w:type="spellStart"/>
      <w:r w:rsidRPr="001E6DB9">
        <w:rPr>
          <w:b/>
          <w:color w:val="auto"/>
          <w:sz w:val="22"/>
          <w:szCs w:val="22"/>
        </w:rPr>
        <w:t>Suvartar</w:t>
      </w:r>
      <w:proofErr w:type="spellEnd"/>
      <w:r w:rsidRPr="001E6DB9">
        <w:rPr>
          <w:b/>
          <w:color w:val="auto"/>
          <w:sz w:val="22"/>
          <w:szCs w:val="22"/>
        </w:rPr>
        <w:t xml:space="preserve"> vartojimas su maistu ir gėrimais </w:t>
      </w:r>
    </w:p>
    <w:p w14:paraId="58FE724A" w14:textId="77777777" w:rsidR="00DE3708" w:rsidRPr="001E6DB9" w:rsidRDefault="00DE3708" w:rsidP="00307CD6">
      <w:pPr>
        <w:pStyle w:val="Default"/>
        <w:contextualSpacing/>
        <w:rPr>
          <w:color w:val="auto"/>
          <w:sz w:val="22"/>
          <w:szCs w:val="22"/>
          <w:lang w:val="it-IT"/>
        </w:rPr>
      </w:pPr>
      <w:r w:rsidRPr="001E6DB9">
        <w:rPr>
          <w:color w:val="auto"/>
          <w:sz w:val="22"/>
          <w:szCs w:val="22"/>
        </w:rPr>
        <w:t xml:space="preserve">Jūs galite vartoti valsartano valgio metu ar kitu laiku. </w:t>
      </w:r>
    </w:p>
    <w:p w14:paraId="347362D1" w14:textId="77777777" w:rsidR="00DE3708" w:rsidRPr="001E6DB9" w:rsidRDefault="00DE3708" w:rsidP="00307CD6">
      <w:pPr>
        <w:pStyle w:val="Default"/>
        <w:contextualSpacing/>
        <w:rPr>
          <w:b/>
          <w:color w:val="auto"/>
          <w:sz w:val="22"/>
          <w:szCs w:val="22"/>
          <w:lang w:val="it-IT"/>
        </w:rPr>
      </w:pPr>
    </w:p>
    <w:p w14:paraId="49A2AEE9" w14:textId="77777777" w:rsidR="00DE3708" w:rsidRPr="001E6DB9" w:rsidRDefault="00DE3708" w:rsidP="00307CD6">
      <w:pPr>
        <w:pStyle w:val="Default"/>
        <w:contextualSpacing/>
        <w:rPr>
          <w:color w:val="auto"/>
          <w:sz w:val="22"/>
          <w:szCs w:val="22"/>
          <w:lang w:val="it-IT"/>
        </w:rPr>
      </w:pPr>
      <w:r w:rsidRPr="001E6DB9">
        <w:rPr>
          <w:b/>
          <w:color w:val="auto"/>
          <w:sz w:val="22"/>
          <w:szCs w:val="22"/>
        </w:rPr>
        <w:t xml:space="preserve">Nėštumo ir žindymo laikotarpis </w:t>
      </w:r>
    </w:p>
    <w:p w14:paraId="011D0953" w14:textId="77777777" w:rsidR="00DE3708" w:rsidRPr="001E6DB9" w:rsidRDefault="00DE3708" w:rsidP="00307CD6">
      <w:pPr>
        <w:pStyle w:val="Default"/>
        <w:contextualSpacing/>
        <w:rPr>
          <w:color w:val="auto"/>
          <w:sz w:val="22"/>
          <w:szCs w:val="22"/>
          <w:lang w:val="it-IT"/>
        </w:rPr>
      </w:pPr>
      <w:r w:rsidRPr="001E6DB9">
        <w:rPr>
          <w:color w:val="auto"/>
          <w:sz w:val="22"/>
          <w:szCs w:val="22"/>
        </w:rPr>
        <w:t>Jeigu esate nėščia, žindote kūdikį, manote, kad galbūt esate nėščia, arba planuojate pastoti, tai prieš vartodama šį vaistą pasitarkite su gydytoju arba vaistininku.</w:t>
      </w:r>
    </w:p>
    <w:p w14:paraId="51FB5F1D" w14:textId="77777777" w:rsidR="00DE3708" w:rsidRPr="001E6DB9" w:rsidRDefault="00DE3708" w:rsidP="00307CD6">
      <w:pPr>
        <w:pStyle w:val="Default"/>
        <w:contextualSpacing/>
        <w:rPr>
          <w:color w:val="auto"/>
          <w:sz w:val="22"/>
          <w:szCs w:val="22"/>
          <w:lang w:val="it-IT"/>
        </w:rPr>
      </w:pPr>
    </w:p>
    <w:p w14:paraId="337CAA96" w14:textId="5AE2BCCD" w:rsidR="00DE3708" w:rsidRPr="001E6DB9" w:rsidRDefault="00DE3708" w:rsidP="001E6DB9">
      <w:pPr>
        <w:pStyle w:val="Default"/>
        <w:numPr>
          <w:ilvl w:val="0"/>
          <w:numId w:val="11"/>
        </w:numPr>
        <w:ind w:left="540" w:hanging="540"/>
        <w:contextualSpacing/>
        <w:rPr>
          <w:color w:val="auto"/>
          <w:sz w:val="22"/>
          <w:szCs w:val="22"/>
        </w:rPr>
      </w:pPr>
      <w:r w:rsidRPr="001E6DB9">
        <w:rPr>
          <w:b/>
          <w:color w:val="auto"/>
          <w:sz w:val="22"/>
          <w:szCs w:val="22"/>
        </w:rPr>
        <w:t>Jeigu esate nėščia (</w:t>
      </w:r>
      <w:r w:rsidRPr="001E6DB9">
        <w:rPr>
          <w:b/>
          <w:color w:val="auto"/>
          <w:sz w:val="22"/>
          <w:szCs w:val="22"/>
          <w:u w:val="single"/>
        </w:rPr>
        <w:t>ar įtariate, jog ja tapote</w:t>
      </w:r>
      <w:r w:rsidRPr="001E6DB9">
        <w:rPr>
          <w:b/>
          <w:color w:val="auto"/>
          <w:sz w:val="22"/>
          <w:szCs w:val="22"/>
        </w:rPr>
        <w:t xml:space="preserve">), privalote pasakyti savo gydytojui. </w:t>
      </w:r>
      <w:r w:rsidRPr="001E6DB9">
        <w:rPr>
          <w:color w:val="auto"/>
          <w:sz w:val="22"/>
          <w:szCs w:val="22"/>
        </w:rPr>
        <w:t>Jūsų gydytojas dažniausiai patars Jums nutraukti valsartano vartojimą prieš planuojant pastojimą arba iš karto sužinojus apie nėštumą, ir patars Jums vietoj valsartano vartoti kitą vaistą. Valsartanas yra nerekomenduojamas ankstyvojo nėštumo laikotarpiu ir turi būti nevartojamas, jeigu nėštumas yra didesnis kaip 3</w:t>
      </w:r>
      <w:r w:rsidR="00097B52">
        <w:rPr>
          <w:color w:val="auto"/>
          <w:sz w:val="22"/>
          <w:szCs w:val="22"/>
        </w:rPr>
        <w:t> </w:t>
      </w:r>
      <w:r w:rsidRPr="001E6DB9">
        <w:rPr>
          <w:color w:val="auto"/>
          <w:sz w:val="22"/>
          <w:szCs w:val="22"/>
        </w:rPr>
        <w:t>mėnesių, nes vartojamas po 3 nėštumo mėnesio vaistas gali labai pakenkti Jūsų kūdikiui.</w:t>
      </w:r>
    </w:p>
    <w:p w14:paraId="50A913A2" w14:textId="77777777" w:rsidR="00DE3708" w:rsidRPr="001E6DB9" w:rsidRDefault="00DE3708" w:rsidP="00307CD6">
      <w:pPr>
        <w:pStyle w:val="Default"/>
        <w:ind w:left="720"/>
        <w:contextualSpacing/>
        <w:rPr>
          <w:color w:val="auto"/>
          <w:sz w:val="22"/>
          <w:szCs w:val="22"/>
        </w:rPr>
      </w:pPr>
    </w:p>
    <w:p w14:paraId="01631136" w14:textId="77777777" w:rsidR="00DE3708" w:rsidRPr="001E6DB9" w:rsidRDefault="00DE3708" w:rsidP="001E6DB9">
      <w:pPr>
        <w:pStyle w:val="Default"/>
        <w:numPr>
          <w:ilvl w:val="0"/>
          <w:numId w:val="11"/>
        </w:numPr>
        <w:ind w:left="540" w:hanging="540"/>
        <w:contextualSpacing/>
        <w:rPr>
          <w:color w:val="auto"/>
          <w:sz w:val="22"/>
          <w:szCs w:val="22"/>
        </w:rPr>
      </w:pPr>
      <w:r w:rsidRPr="001E6DB9">
        <w:rPr>
          <w:b/>
          <w:color w:val="auto"/>
          <w:sz w:val="22"/>
          <w:szCs w:val="22"/>
        </w:rPr>
        <w:t xml:space="preserve">Pasakykite savo gydytojui, jei maitinate krūtimi ar ruošiatės pradėti tai daryti. </w:t>
      </w:r>
      <w:r w:rsidRPr="001E6DB9">
        <w:rPr>
          <w:color w:val="auto"/>
          <w:sz w:val="22"/>
          <w:szCs w:val="22"/>
        </w:rPr>
        <w:t xml:space="preserve">Valsartanas žindyvėms yra nerekomenduojamas ir gydytojas Jums gali parinkti kitą gydymą, jeigu norite žindyti, ypač jeigu Jūsų kūdikis yra naujagimis ar gimė neišnešiotas.  </w:t>
      </w:r>
    </w:p>
    <w:p w14:paraId="5097F28C" w14:textId="77777777" w:rsidR="00DE3708" w:rsidRPr="001E6DB9" w:rsidRDefault="00DE3708" w:rsidP="00307CD6">
      <w:pPr>
        <w:pStyle w:val="Default"/>
        <w:contextualSpacing/>
        <w:rPr>
          <w:color w:val="auto"/>
          <w:sz w:val="22"/>
          <w:szCs w:val="22"/>
        </w:rPr>
      </w:pPr>
    </w:p>
    <w:p w14:paraId="7040CBF6" w14:textId="77777777" w:rsidR="00DE3708" w:rsidRPr="001E6DB9" w:rsidRDefault="00DE3708" w:rsidP="00307CD6">
      <w:pPr>
        <w:pStyle w:val="Default"/>
        <w:contextualSpacing/>
        <w:rPr>
          <w:color w:val="auto"/>
          <w:sz w:val="22"/>
          <w:szCs w:val="22"/>
        </w:rPr>
      </w:pPr>
      <w:r w:rsidRPr="001E6DB9">
        <w:rPr>
          <w:b/>
          <w:color w:val="auto"/>
          <w:sz w:val="22"/>
          <w:szCs w:val="22"/>
        </w:rPr>
        <w:t xml:space="preserve">Vairavimas ir mechanizmų valdymas </w:t>
      </w:r>
    </w:p>
    <w:p w14:paraId="00DD7F47" w14:textId="4771F59D" w:rsidR="00DE3708" w:rsidRPr="00F50D13" w:rsidRDefault="00DE3708" w:rsidP="00307CD6">
      <w:pPr>
        <w:spacing w:line="240" w:lineRule="auto"/>
        <w:contextualSpacing/>
        <w:rPr>
          <w:szCs w:val="22"/>
        </w:rPr>
      </w:pPr>
      <w:r w:rsidRPr="00F50D13">
        <w:rPr>
          <w:szCs w:val="22"/>
        </w:rPr>
        <w:t>Prieš transporto priemonės vairavimą, darbą su staklėmis, mechanizmų valdymą ar kitokį susikaupimo reikalaujantį darbą įsitikinkite, kaip valsartanas Jus veikia. Valsartanas, panašiai kaip daugelis kitų vaistų, vartojamų padidėjusiam kraujo spaudimui gydyti, gali sukelti svaigulį ir paveikti gebėjimą susikaupti.</w:t>
      </w:r>
    </w:p>
    <w:p w14:paraId="4C687147" w14:textId="77777777" w:rsidR="00DE3708" w:rsidRPr="00F50D13" w:rsidRDefault="00DE3708" w:rsidP="00307CD6">
      <w:pPr>
        <w:spacing w:line="240" w:lineRule="auto"/>
        <w:contextualSpacing/>
        <w:rPr>
          <w:b/>
          <w:szCs w:val="22"/>
        </w:rPr>
      </w:pPr>
    </w:p>
    <w:p w14:paraId="5DCE8A42" w14:textId="77777777" w:rsidR="00DE3708" w:rsidRPr="00F91FD7" w:rsidRDefault="00DE3708" w:rsidP="00307CD6">
      <w:pPr>
        <w:spacing w:line="240" w:lineRule="auto"/>
        <w:contextualSpacing/>
        <w:rPr>
          <w:b/>
          <w:szCs w:val="22"/>
        </w:rPr>
      </w:pPr>
    </w:p>
    <w:p w14:paraId="579AE6A2" w14:textId="77777777" w:rsidR="00DE3708" w:rsidRPr="00F91FD7" w:rsidRDefault="00DE3708" w:rsidP="00307CD6">
      <w:pPr>
        <w:spacing w:line="240" w:lineRule="auto"/>
        <w:contextualSpacing/>
        <w:rPr>
          <w:b/>
          <w:szCs w:val="22"/>
        </w:rPr>
      </w:pPr>
      <w:r w:rsidRPr="00F91FD7">
        <w:rPr>
          <w:b/>
          <w:szCs w:val="22"/>
        </w:rPr>
        <w:t>3.</w:t>
      </w:r>
      <w:r w:rsidRPr="00F91FD7">
        <w:rPr>
          <w:b/>
          <w:szCs w:val="22"/>
        </w:rPr>
        <w:tab/>
        <w:t xml:space="preserve">Kaip vartoti </w:t>
      </w:r>
      <w:proofErr w:type="spellStart"/>
      <w:r w:rsidRPr="00F91FD7">
        <w:rPr>
          <w:b/>
          <w:szCs w:val="22"/>
        </w:rPr>
        <w:t>Suvartar</w:t>
      </w:r>
      <w:proofErr w:type="spellEnd"/>
    </w:p>
    <w:p w14:paraId="6C8EBAD4" w14:textId="77777777" w:rsidR="00DE3708" w:rsidRPr="00F91FD7" w:rsidRDefault="00DE3708" w:rsidP="00307CD6">
      <w:pPr>
        <w:spacing w:line="240" w:lineRule="auto"/>
        <w:contextualSpacing/>
        <w:rPr>
          <w:b/>
          <w:szCs w:val="22"/>
        </w:rPr>
      </w:pPr>
    </w:p>
    <w:p w14:paraId="3AA23906" w14:textId="77777777" w:rsidR="00DE3708" w:rsidRPr="001E6DB9" w:rsidRDefault="00DE3708" w:rsidP="00307CD6">
      <w:pPr>
        <w:pStyle w:val="Default"/>
        <w:contextualSpacing/>
        <w:rPr>
          <w:color w:val="auto"/>
          <w:sz w:val="22"/>
          <w:szCs w:val="22"/>
        </w:rPr>
      </w:pPr>
      <w:r w:rsidRPr="001E6DB9">
        <w:rPr>
          <w:color w:val="auto"/>
          <w:sz w:val="22"/>
          <w:szCs w:val="22"/>
        </w:rPr>
        <w:t xml:space="preserve">Visada vartokite šį vaistą tiksliai kaip nurodė Jūsų gydytojas, kad gydymo rezultatai būtų geriausi ir sumažėtų šalutinio poveikio rizika.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14:paraId="7C726521" w14:textId="77777777" w:rsidR="00DE3708" w:rsidRPr="001E6DB9" w:rsidRDefault="00DE3708" w:rsidP="00307CD6">
      <w:pPr>
        <w:pStyle w:val="Default"/>
        <w:contextualSpacing/>
        <w:rPr>
          <w:color w:val="auto"/>
          <w:sz w:val="22"/>
          <w:szCs w:val="22"/>
        </w:rPr>
      </w:pPr>
    </w:p>
    <w:p w14:paraId="4B9EADE8" w14:textId="77777777" w:rsidR="00DE3708" w:rsidRPr="00F50D13" w:rsidRDefault="00DE3708" w:rsidP="00307CD6">
      <w:pPr>
        <w:shd w:val="clear" w:color="auto" w:fill="FFFFFF"/>
        <w:spacing w:line="240" w:lineRule="auto"/>
        <w:contextualSpacing/>
        <w:rPr>
          <w:szCs w:val="22"/>
        </w:rPr>
      </w:pPr>
      <w:r w:rsidRPr="00F50D13">
        <w:rPr>
          <w:b/>
          <w:szCs w:val="22"/>
        </w:rPr>
        <w:t xml:space="preserve">Suaugę žmonės, kurių kraujospūdis didelis. </w:t>
      </w:r>
      <w:r w:rsidRPr="00F50D13">
        <w:rPr>
          <w:szCs w:val="22"/>
        </w:rPr>
        <w:t xml:space="preserve">Rekomenduojama dozė yra 80 mg per parą. Kai kuriais atvejais gydytojas gali paskirti didesnę dozę (160 mg arba 320 mg). Jis taip pat gali paskirti </w:t>
      </w:r>
      <w:proofErr w:type="spellStart"/>
      <w:r w:rsidRPr="00F50D13">
        <w:rPr>
          <w:szCs w:val="22"/>
        </w:rPr>
        <w:t>Suvartar</w:t>
      </w:r>
      <w:proofErr w:type="spellEnd"/>
      <w:r w:rsidRPr="00F50D13">
        <w:rPr>
          <w:szCs w:val="22"/>
        </w:rPr>
        <w:t xml:space="preserve">  kartu su kitais vaistais (pvz., diuretikais).</w:t>
      </w:r>
    </w:p>
    <w:p w14:paraId="21826E22" w14:textId="77777777" w:rsidR="00DE3708" w:rsidRPr="00F91FD7" w:rsidRDefault="00DE3708" w:rsidP="00307CD6">
      <w:pPr>
        <w:shd w:val="clear" w:color="auto" w:fill="FFFFFF"/>
        <w:spacing w:line="240" w:lineRule="auto"/>
        <w:contextualSpacing/>
        <w:rPr>
          <w:szCs w:val="22"/>
        </w:rPr>
      </w:pPr>
    </w:p>
    <w:p w14:paraId="23C7C174" w14:textId="6497CDAE" w:rsidR="00DE3708" w:rsidRPr="00F91FD7" w:rsidRDefault="002C155C" w:rsidP="00307CD6">
      <w:pPr>
        <w:shd w:val="clear" w:color="auto" w:fill="FFFFFF"/>
        <w:spacing w:line="240" w:lineRule="auto"/>
        <w:contextualSpacing/>
        <w:rPr>
          <w:b/>
          <w:szCs w:val="22"/>
        </w:rPr>
      </w:pPr>
      <w:r w:rsidRPr="002C155C">
        <w:rPr>
          <w:b/>
          <w:szCs w:val="22"/>
        </w:rPr>
        <w:t xml:space="preserve">Vaikai ir paaugliai nuo </w:t>
      </w:r>
      <w:r w:rsidR="00DE3708" w:rsidRPr="00F91FD7">
        <w:rPr>
          <w:b/>
          <w:szCs w:val="22"/>
        </w:rPr>
        <w:t>6</w:t>
      </w:r>
      <w:r>
        <w:rPr>
          <w:b/>
          <w:szCs w:val="22"/>
        </w:rPr>
        <w:t xml:space="preserve"> iki mažiau kaip </w:t>
      </w:r>
      <w:r w:rsidR="00DE3708" w:rsidRPr="00F91FD7">
        <w:rPr>
          <w:b/>
          <w:szCs w:val="22"/>
        </w:rPr>
        <w:t>18</w:t>
      </w:r>
      <w:r w:rsidR="00DE3708" w:rsidRPr="00F91FD7">
        <w:rPr>
          <w:szCs w:val="22"/>
        </w:rPr>
        <w:t> </w:t>
      </w:r>
      <w:r w:rsidR="00DE3708" w:rsidRPr="00F91FD7">
        <w:rPr>
          <w:b/>
          <w:szCs w:val="22"/>
        </w:rPr>
        <w:t>metų, kurių kraujospūdis didelis</w:t>
      </w:r>
    </w:p>
    <w:p w14:paraId="676A76A9" w14:textId="6C369667" w:rsidR="002C155C" w:rsidRDefault="00323657" w:rsidP="00323657">
      <w:pPr>
        <w:shd w:val="clear" w:color="auto" w:fill="FFFFFF"/>
        <w:spacing w:line="240" w:lineRule="auto"/>
        <w:contextualSpacing/>
        <w:rPr>
          <w:szCs w:val="22"/>
        </w:rPr>
      </w:pPr>
      <w:proofErr w:type="spellStart"/>
      <w:r w:rsidRPr="00323657">
        <w:rPr>
          <w:szCs w:val="22"/>
        </w:rPr>
        <w:t>Suvartar</w:t>
      </w:r>
      <w:proofErr w:type="spellEnd"/>
      <w:r w:rsidRPr="00323657">
        <w:rPr>
          <w:szCs w:val="22"/>
        </w:rPr>
        <w:t xml:space="preserve"> nėra tiekiamas geriamojo tirpalo forma. Dėl geriamojo tirpalo žiūrėkite kitus rinkoje esančius vaist</w:t>
      </w:r>
      <w:r>
        <w:rPr>
          <w:szCs w:val="22"/>
        </w:rPr>
        <w:t>us</w:t>
      </w:r>
      <w:r w:rsidRPr="00323657">
        <w:rPr>
          <w:szCs w:val="22"/>
        </w:rPr>
        <w:t>.</w:t>
      </w:r>
    </w:p>
    <w:p w14:paraId="41555456" w14:textId="78C2E224" w:rsidR="00DE3708" w:rsidRPr="0078402A" w:rsidRDefault="00DE3708" w:rsidP="00307CD6">
      <w:pPr>
        <w:shd w:val="clear" w:color="auto" w:fill="FFFFFF"/>
        <w:spacing w:line="240" w:lineRule="auto"/>
        <w:contextualSpacing/>
        <w:rPr>
          <w:szCs w:val="22"/>
        </w:rPr>
      </w:pPr>
      <w:r w:rsidRPr="00F91FD7">
        <w:rPr>
          <w:szCs w:val="22"/>
        </w:rPr>
        <w:t xml:space="preserve">Rekomenduojama vieną kartą per parą vartojama valsartano dozė mažiau kaip 35 kg sveriantiems pacientams yra 40 mg. Mažesnės nei 80 mg </w:t>
      </w:r>
      <w:proofErr w:type="spellStart"/>
      <w:r w:rsidRPr="00F91FD7">
        <w:rPr>
          <w:szCs w:val="22"/>
        </w:rPr>
        <w:t>Suvart</w:t>
      </w:r>
      <w:r w:rsidRPr="0078402A">
        <w:rPr>
          <w:szCs w:val="22"/>
        </w:rPr>
        <w:t>ar</w:t>
      </w:r>
      <w:proofErr w:type="spellEnd"/>
      <w:r w:rsidRPr="0078402A">
        <w:rPr>
          <w:szCs w:val="22"/>
        </w:rPr>
        <w:t xml:space="preserve"> dozės vartoti neįmanoma. Jei reikia vartoti 40 mg dozę, reikia rinktis kitą rinkoje esantį tokio stiprumo valsartano vaistą.</w:t>
      </w:r>
    </w:p>
    <w:p w14:paraId="01912EE1" w14:textId="77777777" w:rsidR="00DE3708" w:rsidRPr="00307CD6" w:rsidRDefault="00DE3708" w:rsidP="00307CD6">
      <w:pPr>
        <w:shd w:val="clear" w:color="auto" w:fill="FFFFFF"/>
        <w:spacing w:line="240" w:lineRule="auto"/>
        <w:contextualSpacing/>
        <w:rPr>
          <w:szCs w:val="22"/>
        </w:rPr>
      </w:pPr>
      <w:r w:rsidRPr="00307CD6">
        <w:rPr>
          <w:szCs w:val="22"/>
        </w:rPr>
        <w:t>Jei pacientas sveria 35 kg ar daugiau, įprasta vieną kartą per parą vartojama pradinė valsartano dozė yra 80 mg.</w:t>
      </w:r>
    </w:p>
    <w:p w14:paraId="39C013BA" w14:textId="77777777" w:rsidR="00DE3708" w:rsidRPr="00307CD6" w:rsidRDefault="00DE3708" w:rsidP="00307CD6">
      <w:pPr>
        <w:widowControl w:val="0"/>
        <w:shd w:val="clear" w:color="auto" w:fill="FFFFFF"/>
        <w:spacing w:line="240" w:lineRule="auto"/>
        <w:contextualSpacing/>
        <w:rPr>
          <w:szCs w:val="22"/>
        </w:rPr>
      </w:pPr>
      <w:r w:rsidRPr="00307CD6">
        <w:rPr>
          <w:szCs w:val="22"/>
        </w:rPr>
        <w:t>Tam tikrais atvejais gydytojas gali skirti didesnes dozes (dozė gali būti padidinta iki 160 mg ir didžiausios 320 mg dozės).</w:t>
      </w:r>
    </w:p>
    <w:p w14:paraId="086FEEB7" w14:textId="77777777" w:rsidR="002C155C" w:rsidRDefault="002C155C" w:rsidP="00307CD6">
      <w:pPr>
        <w:widowControl w:val="0"/>
        <w:shd w:val="clear" w:color="auto" w:fill="FFFFFF"/>
        <w:spacing w:line="240" w:lineRule="auto"/>
        <w:contextualSpacing/>
        <w:rPr>
          <w:szCs w:val="22"/>
        </w:rPr>
      </w:pPr>
    </w:p>
    <w:p w14:paraId="18C1A3EF" w14:textId="6F4B0831" w:rsidR="00DE3708" w:rsidRDefault="002C155C" w:rsidP="00307CD6">
      <w:pPr>
        <w:widowControl w:val="0"/>
        <w:shd w:val="clear" w:color="auto" w:fill="FFFFFF"/>
        <w:spacing w:line="240" w:lineRule="auto"/>
        <w:contextualSpacing/>
        <w:rPr>
          <w:szCs w:val="22"/>
        </w:rPr>
      </w:pPr>
      <w:r w:rsidRPr="002C155C">
        <w:rPr>
          <w:szCs w:val="22"/>
        </w:rPr>
        <w:t xml:space="preserve">Vaikams, kurie negali nuryti tablečių, rekomenduojama vartoti </w:t>
      </w:r>
      <w:r>
        <w:rPr>
          <w:szCs w:val="22"/>
        </w:rPr>
        <w:t>valsartano</w:t>
      </w:r>
      <w:r w:rsidRPr="002C155C">
        <w:rPr>
          <w:szCs w:val="22"/>
        </w:rPr>
        <w:t xml:space="preserve"> geriamojo tirpalo.</w:t>
      </w:r>
    </w:p>
    <w:p w14:paraId="01B1DC15" w14:textId="77777777" w:rsidR="002C155C" w:rsidRPr="007F15BA" w:rsidRDefault="002C155C" w:rsidP="00307CD6">
      <w:pPr>
        <w:widowControl w:val="0"/>
        <w:shd w:val="clear" w:color="auto" w:fill="FFFFFF"/>
        <w:spacing w:line="240" w:lineRule="auto"/>
        <w:contextualSpacing/>
        <w:rPr>
          <w:szCs w:val="22"/>
        </w:rPr>
      </w:pPr>
    </w:p>
    <w:p w14:paraId="57BAD333" w14:textId="77777777" w:rsidR="00DE3708" w:rsidRPr="00617EBE" w:rsidRDefault="00DE3708" w:rsidP="00307CD6">
      <w:pPr>
        <w:pStyle w:val="Default"/>
        <w:shd w:val="clear" w:color="auto" w:fill="FFFFFF"/>
        <w:contextualSpacing/>
        <w:rPr>
          <w:color w:val="auto"/>
          <w:sz w:val="22"/>
          <w:szCs w:val="22"/>
        </w:rPr>
      </w:pPr>
      <w:r w:rsidRPr="007F15BA">
        <w:rPr>
          <w:b/>
          <w:color w:val="auto"/>
          <w:sz w:val="22"/>
          <w:szCs w:val="22"/>
        </w:rPr>
        <w:t xml:space="preserve">Suaugusiems žmonėms po neseniai įvykusio miokardo infarkto. </w:t>
      </w:r>
      <w:r w:rsidRPr="00D36517">
        <w:rPr>
          <w:color w:val="auto"/>
          <w:sz w:val="22"/>
          <w:szCs w:val="22"/>
        </w:rPr>
        <w:t>Po širdies priepuolio gydymas paprastai pradedamas po 12 valandų, skiriama įprastinė 20</w:t>
      </w:r>
      <w:r w:rsidR="00617EBE">
        <w:rPr>
          <w:color w:val="auto"/>
          <w:sz w:val="22"/>
          <w:szCs w:val="22"/>
        </w:rPr>
        <w:t> </w:t>
      </w:r>
      <w:r w:rsidRPr="00617EBE">
        <w:rPr>
          <w:color w:val="auto"/>
          <w:sz w:val="22"/>
          <w:szCs w:val="22"/>
        </w:rPr>
        <w:t xml:space="preserve">mg valsartano dozė du kartus per parą. </w:t>
      </w:r>
      <w:r w:rsidRPr="00307CD6">
        <w:rPr>
          <w:color w:val="auto"/>
          <w:sz w:val="22"/>
        </w:rPr>
        <w:t xml:space="preserve">Mažesnės nei 80 mg </w:t>
      </w:r>
      <w:proofErr w:type="spellStart"/>
      <w:r w:rsidRPr="00307CD6">
        <w:rPr>
          <w:color w:val="auto"/>
          <w:sz w:val="22"/>
        </w:rPr>
        <w:t>Suvartar</w:t>
      </w:r>
      <w:proofErr w:type="spellEnd"/>
      <w:r w:rsidRPr="00307CD6">
        <w:rPr>
          <w:color w:val="auto"/>
          <w:sz w:val="22"/>
        </w:rPr>
        <w:t xml:space="preserve"> dozės vartoti neįmanoma. Jei reikia vartoti mažesnę dozę (pvz., 40 mg), reikia rinktis kitą rinkoje esantį tokio stiprumo valsartano vaistą. </w:t>
      </w:r>
      <w:r w:rsidRPr="007F15BA">
        <w:rPr>
          <w:color w:val="auto"/>
          <w:sz w:val="22"/>
          <w:szCs w:val="22"/>
        </w:rPr>
        <w:t>Jūsų gydytojas šią dozę didins palaipsniui keletą savaičių iki didžiausios 160</w:t>
      </w:r>
      <w:r w:rsidR="00617EBE">
        <w:rPr>
          <w:color w:val="auto"/>
          <w:sz w:val="22"/>
          <w:szCs w:val="22"/>
        </w:rPr>
        <w:t> </w:t>
      </w:r>
      <w:r w:rsidRPr="00617EBE">
        <w:rPr>
          <w:color w:val="auto"/>
          <w:sz w:val="22"/>
          <w:szCs w:val="22"/>
        </w:rPr>
        <w:t>mg dozės, geriamos du kartus per parą. Galutinės dozės dydis priklausys nuo to, kokią dozę Jūs, kaip konkretus pacientas, galite toleruoti.</w:t>
      </w:r>
    </w:p>
    <w:p w14:paraId="35454164" w14:textId="77777777" w:rsidR="00DE3708" w:rsidRPr="00307CD6" w:rsidRDefault="00DE3708" w:rsidP="00307CD6">
      <w:pPr>
        <w:pStyle w:val="Default"/>
        <w:shd w:val="clear" w:color="auto" w:fill="FFFFFF"/>
        <w:contextualSpacing/>
        <w:rPr>
          <w:color w:val="auto"/>
          <w:sz w:val="22"/>
          <w:szCs w:val="22"/>
        </w:rPr>
      </w:pPr>
      <w:proofErr w:type="spellStart"/>
      <w:r w:rsidRPr="00307CD6">
        <w:rPr>
          <w:color w:val="auto"/>
          <w:sz w:val="22"/>
          <w:szCs w:val="22"/>
        </w:rPr>
        <w:lastRenderedPageBreak/>
        <w:t>Suvartar</w:t>
      </w:r>
      <w:proofErr w:type="spellEnd"/>
      <w:r w:rsidRPr="00307CD6">
        <w:rPr>
          <w:color w:val="auto"/>
          <w:sz w:val="22"/>
          <w:szCs w:val="22"/>
        </w:rPr>
        <w:t xml:space="preserve"> galima vartoti kartu su kitais vaistais, skirtais širdies priepuolio gydymui ir Jūsų gydytojas nuspręs, koks gydymas Jums tinka.</w:t>
      </w:r>
    </w:p>
    <w:p w14:paraId="3CEA6874" w14:textId="77777777" w:rsidR="00DE3708" w:rsidRPr="00307CD6" w:rsidRDefault="00DE3708" w:rsidP="00307CD6">
      <w:pPr>
        <w:pStyle w:val="Default"/>
        <w:shd w:val="clear" w:color="auto" w:fill="FFFFFF"/>
        <w:contextualSpacing/>
        <w:rPr>
          <w:color w:val="auto"/>
          <w:sz w:val="22"/>
          <w:szCs w:val="22"/>
        </w:rPr>
      </w:pPr>
    </w:p>
    <w:p w14:paraId="07B5FCCA" w14:textId="2EBA8239" w:rsidR="00DE3708" w:rsidRPr="001E6DB9" w:rsidRDefault="00DE3708" w:rsidP="00307CD6">
      <w:pPr>
        <w:pStyle w:val="Default"/>
        <w:shd w:val="clear" w:color="auto" w:fill="FFFFFF"/>
        <w:contextualSpacing/>
        <w:rPr>
          <w:color w:val="auto"/>
          <w:sz w:val="22"/>
          <w:szCs w:val="22"/>
        </w:rPr>
      </w:pPr>
      <w:r w:rsidRPr="007F15BA">
        <w:rPr>
          <w:b/>
          <w:color w:val="auto"/>
          <w:sz w:val="22"/>
          <w:szCs w:val="22"/>
        </w:rPr>
        <w:t>Suaugusių žmonių širdies nepakankamumas</w:t>
      </w:r>
      <w:r w:rsidRPr="007F15BA">
        <w:rPr>
          <w:color w:val="auto"/>
          <w:sz w:val="22"/>
          <w:szCs w:val="22"/>
        </w:rPr>
        <w:t>. Gydyti paprastai pradedama nuo 40</w:t>
      </w:r>
      <w:r w:rsidR="00097B52">
        <w:rPr>
          <w:color w:val="auto"/>
          <w:sz w:val="22"/>
          <w:szCs w:val="22"/>
        </w:rPr>
        <w:t> </w:t>
      </w:r>
      <w:r w:rsidRPr="007F15BA">
        <w:rPr>
          <w:color w:val="auto"/>
          <w:sz w:val="22"/>
          <w:szCs w:val="22"/>
        </w:rPr>
        <w:t xml:space="preserve">mg valsartano dozės, vartojamos du kartus per parą. </w:t>
      </w:r>
      <w:r w:rsidRPr="007F15BA">
        <w:rPr>
          <w:color w:val="auto"/>
          <w:sz w:val="22"/>
        </w:rPr>
        <w:t xml:space="preserve">Mažesnės nei 80 mg </w:t>
      </w:r>
      <w:proofErr w:type="spellStart"/>
      <w:r w:rsidRPr="007F15BA">
        <w:rPr>
          <w:color w:val="auto"/>
          <w:sz w:val="22"/>
        </w:rPr>
        <w:t>Suvartar</w:t>
      </w:r>
      <w:proofErr w:type="spellEnd"/>
      <w:r w:rsidRPr="007F15BA">
        <w:rPr>
          <w:color w:val="auto"/>
          <w:sz w:val="22"/>
        </w:rPr>
        <w:t xml:space="preserve"> dozės vartoti neįmanoma. Jei reikia vartoti 40 mg dozę, reikia rinktis kitą rinkoje esantį tokio stiprumo val</w:t>
      </w:r>
      <w:r w:rsidRPr="00D36517">
        <w:rPr>
          <w:color w:val="auto"/>
          <w:sz w:val="22"/>
        </w:rPr>
        <w:t>sartano vaistą.</w:t>
      </w:r>
      <w:r w:rsidRPr="00D36517">
        <w:rPr>
          <w:color w:val="auto"/>
        </w:rPr>
        <w:t xml:space="preserve"> </w:t>
      </w:r>
      <w:r w:rsidRPr="00D36517">
        <w:rPr>
          <w:color w:val="auto"/>
          <w:sz w:val="22"/>
          <w:szCs w:val="22"/>
        </w:rPr>
        <w:t xml:space="preserve">Gydytojas šią dozę didins palaipsniui keletą savaičių iki didžiausios 160 mg dozės, vartojamos du kartus per parą. Galutinės dozės </w:t>
      </w:r>
      <w:r w:rsidRPr="001E6DB9">
        <w:rPr>
          <w:color w:val="auto"/>
          <w:sz w:val="22"/>
          <w:szCs w:val="22"/>
        </w:rPr>
        <w:t>dydis priklausys nuo to, kokią dozę Jūs, kaip konkretus pacientas, galite toleruoti.</w:t>
      </w:r>
    </w:p>
    <w:p w14:paraId="6BAF9245" w14:textId="77777777" w:rsidR="00DE3708" w:rsidRPr="001E6DB9" w:rsidRDefault="00DE3708" w:rsidP="00307CD6">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galima skirti kartu su kitais vaistais, skirtais širdies nepakankamumo gydymui ir Jūsų gydytojas nuspręs, koks gydymas Jums tinka. </w:t>
      </w:r>
    </w:p>
    <w:p w14:paraId="498B4672" w14:textId="77777777" w:rsidR="00DE3708" w:rsidRPr="001E6DB9" w:rsidRDefault="00DE3708" w:rsidP="00307CD6">
      <w:pPr>
        <w:pStyle w:val="Default"/>
        <w:contextualSpacing/>
        <w:rPr>
          <w:color w:val="auto"/>
          <w:sz w:val="22"/>
          <w:szCs w:val="22"/>
        </w:rPr>
      </w:pPr>
    </w:p>
    <w:p w14:paraId="7F1A541C" w14:textId="4422A1C5" w:rsidR="00DE3708" w:rsidRPr="001E6DB9" w:rsidRDefault="00DE3708" w:rsidP="00307CD6">
      <w:pPr>
        <w:pStyle w:val="Default"/>
        <w:contextualSpacing/>
        <w:rPr>
          <w:color w:val="auto"/>
          <w:sz w:val="22"/>
          <w:szCs w:val="22"/>
        </w:rPr>
      </w:pPr>
      <w:r w:rsidRPr="001E6DB9">
        <w:rPr>
          <w:b/>
          <w:color w:val="auto"/>
          <w:sz w:val="22"/>
          <w:szCs w:val="22"/>
        </w:rPr>
        <w:t xml:space="preserve">Ką daryti pavartojus per didelę </w:t>
      </w:r>
      <w:proofErr w:type="spellStart"/>
      <w:r w:rsidRPr="001E6DB9">
        <w:rPr>
          <w:b/>
          <w:color w:val="auto"/>
          <w:sz w:val="22"/>
          <w:szCs w:val="22"/>
        </w:rPr>
        <w:t>Suvartar</w:t>
      </w:r>
      <w:proofErr w:type="spellEnd"/>
      <w:r w:rsidRPr="001E6DB9">
        <w:rPr>
          <w:b/>
          <w:color w:val="auto"/>
          <w:sz w:val="22"/>
          <w:szCs w:val="22"/>
        </w:rPr>
        <w:t xml:space="preserve"> dozę</w:t>
      </w:r>
    </w:p>
    <w:p w14:paraId="3019A810" w14:textId="7490B7AE" w:rsidR="00DE3708" w:rsidRPr="001E6DB9" w:rsidRDefault="00DE3708" w:rsidP="00307CD6">
      <w:pPr>
        <w:pStyle w:val="Default"/>
        <w:contextualSpacing/>
        <w:rPr>
          <w:color w:val="auto"/>
          <w:sz w:val="22"/>
          <w:szCs w:val="22"/>
        </w:rPr>
      </w:pPr>
      <w:r w:rsidRPr="001E6DB9">
        <w:rPr>
          <w:color w:val="auto"/>
          <w:sz w:val="22"/>
          <w:szCs w:val="22"/>
        </w:rPr>
        <w:t>Jei Jums labai svaigsta galva ir (arba) alpstate, atsigulkite ir nedelsdami susisiekite su savo gydytoju. Jeigu netyčia išgėrėte per daug tablečių, susisiekite su savo gydytoju</w:t>
      </w:r>
      <w:r w:rsidR="002C155C">
        <w:rPr>
          <w:color w:val="auto"/>
          <w:sz w:val="22"/>
          <w:szCs w:val="22"/>
        </w:rPr>
        <w:t>, vaistininku</w:t>
      </w:r>
      <w:r w:rsidRPr="001E6DB9">
        <w:rPr>
          <w:color w:val="auto"/>
          <w:sz w:val="22"/>
          <w:szCs w:val="22"/>
        </w:rPr>
        <w:t xml:space="preserve"> arba nuvykite į ligoninę. </w:t>
      </w:r>
    </w:p>
    <w:p w14:paraId="63514B3F" w14:textId="77777777" w:rsidR="00DE3708" w:rsidRPr="001E6DB9" w:rsidRDefault="00DE3708" w:rsidP="00307CD6">
      <w:pPr>
        <w:pStyle w:val="Default"/>
        <w:contextualSpacing/>
        <w:rPr>
          <w:color w:val="auto"/>
          <w:sz w:val="22"/>
          <w:szCs w:val="22"/>
        </w:rPr>
      </w:pPr>
    </w:p>
    <w:p w14:paraId="40C09D22" w14:textId="77777777" w:rsidR="00DE3708" w:rsidRPr="001E6DB9" w:rsidRDefault="00DE3708" w:rsidP="00307CD6">
      <w:pPr>
        <w:pStyle w:val="Default"/>
        <w:contextualSpacing/>
        <w:rPr>
          <w:color w:val="auto"/>
          <w:sz w:val="22"/>
          <w:szCs w:val="22"/>
        </w:rPr>
      </w:pPr>
      <w:r w:rsidRPr="001E6DB9">
        <w:rPr>
          <w:b/>
          <w:color w:val="auto"/>
          <w:sz w:val="22"/>
          <w:szCs w:val="22"/>
        </w:rPr>
        <w:t xml:space="preserve">Pamiršus pavartoti </w:t>
      </w:r>
      <w:proofErr w:type="spellStart"/>
      <w:r w:rsidRPr="001E6DB9">
        <w:rPr>
          <w:b/>
          <w:color w:val="auto"/>
          <w:sz w:val="22"/>
          <w:szCs w:val="22"/>
        </w:rPr>
        <w:t>Suvartar</w:t>
      </w:r>
      <w:proofErr w:type="spellEnd"/>
      <w:r w:rsidRPr="001E6DB9">
        <w:rPr>
          <w:b/>
          <w:color w:val="auto"/>
          <w:sz w:val="22"/>
          <w:szCs w:val="22"/>
        </w:rPr>
        <w:t xml:space="preserve"> </w:t>
      </w:r>
    </w:p>
    <w:p w14:paraId="3858F4BF" w14:textId="77777777" w:rsidR="00DE3708" w:rsidRPr="001E6DB9" w:rsidRDefault="00DE3708" w:rsidP="00307CD6">
      <w:pPr>
        <w:pStyle w:val="Default"/>
        <w:contextualSpacing/>
        <w:rPr>
          <w:color w:val="auto"/>
          <w:sz w:val="22"/>
          <w:szCs w:val="22"/>
        </w:rPr>
      </w:pPr>
      <w:r w:rsidRPr="001E6DB9">
        <w:rPr>
          <w:color w:val="auto"/>
          <w:sz w:val="22"/>
          <w:szCs w:val="22"/>
        </w:rPr>
        <w:t xml:space="preserve">Negalima vartoti dvigubos dozės norint kompensuoti praleistą dozę. </w:t>
      </w:r>
    </w:p>
    <w:p w14:paraId="47B22398" w14:textId="77777777" w:rsidR="00DE3708" w:rsidRPr="001E6DB9" w:rsidRDefault="00DE3708" w:rsidP="00307CD6">
      <w:pPr>
        <w:pStyle w:val="Default"/>
        <w:contextualSpacing/>
        <w:rPr>
          <w:color w:val="auto"/>
          <w:sz w:val="22"/>
          <w:szCs w:val="22"/>
        </w:rPr>
      </w:pPr>
      <w:r w:rsidRPr="001E6DB9">
        <w:rPr>
          <w:color w:val="auto"/>
          <w:sz w:val="22"/>
          <w:szCs w:val="22"/>
        </w:rPr>
        <w:t xml:space="preserve">Jei pamiršote išgerti dozę, išgerkite ją tuoj pat, kai prisiminsite, tačiau, jeigu jau beveik laikas vartoti kitą dozę, neišgertą dozę praleiskite. </w:t>
      </w:r>
    </w:p>
    <w:p w14:paraId="180C60C1" w14:textId="77777777" w:rsidR="00DE3708" w:rsidRPr="001E6DB9" w:rsidRDefault="00DE3708" w:rsidP="00307CD6">
      <w:pPr>
        <w:pStyle w:val="Default"/>
        <w:contextualSpacing/>
        <w:rPr>
          <w:color w:val="auto"/>
          <w:sz w:val="22"/>
          <w:szCs w:val="22"/>
        </w:rPr>
      </w:pPr>
    </w:p>
    <w:p w14:paraId="2DE87A1F" w14:textId="77777777" w:rsidR="00DE3708" w:rsidRPr="00F50D13" w:rsidRDefault="00DE3708" w:rsidP="00307CD6">
      <w:pPr>
        <w:spacing w:line="240" w:lineRule="auto"/>
        <w:ind w:right="-2"/>
        <w:contextualSpacing/>
        <w:rPr>
          <w:szCs w:val="22"/>
        </w:rPr>
      </w:pPr>
      <w:r w:rsidRPr="00F50D13">
        <w:rPr>
          <w:szCs w:val="22"/>
        </w:rPr>
        <w:t>Negalima vartoti dvigubos dozės norint kompensuoti praleistą dozę.</w:t>
      </w:r>
    </w:p>
    <w:p w14:paraId="4AA1BEF8" w14:textId="77777777" w:rsidR="00DE3708" w:rsidRPr="001E6DB9" w:rsidRDefault="00DE3708" w:rsidP="00307CD6">
      <w:pPr>
        <w:pStyle w:val="Default"/>
        <w:contextualSpacing/>
        <w:rPr>
          <w:color w:val="auto"/>
          <w:sz w:val="22"/>
          <w:szCs w:val="22"/>
          <w:lang w:val="it-IT"/>
        </w:rPr>
      </w:pPr>
    </w:p>
    <w:p w14:paraId="3A28036A" w14:textId="77777777" w:rsidR="00DE3708" w:rsidRPr="001E6DB9" w:rsidRDefault="00DE3708" w:rsidP="00307CD6">
      <w:pPr>
        <w:pStyle w:val="Default"/>
        <w:contextualSpacing/>
        <w:rPr>
          <w:color w:val="auto"/>
          <w:sz w:val="22"/>
          <w:szCs w:val="22"/>
          <w:lang w:val="it-IT"/>
        </w:rPr>
      </w:pPr>
      <w:r w:rsidRPr="001E6DB9">
        <w:rPr>
          <w:b/>
          <w:color w:val="auto"/>
          <w:sz w:val="22"/>
          <w:szCs w:val="22"/>
        </w:rPr>
        <w:t xml:space="preserve">Nustojus vartoti </w:t>
      </w:r>
      <w:proofErr w:type="spellStart"/>
      <w:r w:rsidRPr="001E6DB9">
        <w:rPr>
          <w:b/>
          <w:color w:val="auto"/>
          <w:sz w:val="22"/>
          <w:szCs w:val="22"/>
        </w:rPr>
        <w:t>Suvartar</w:t>
      </w:r>
      <w:proofErr w:type="spellEnd"/>
      <w:r w:rsidRPr="001E6DB9">
        <w:rPr>
          <w:b/>
          <w:color w:val="auto"/>
          <w:sz w:val="22"/>
          <w:szCs w:val="22"/>
        </w:rPr>
        <w:t xml:space="preserve"> </w:t>
      </w:r>
    </w:p>
    <w:p w14:paraId="2C17D2C0" w14:textId="77777777" w:rsidR="00DE3708" w:rsidRPr="00F50D13" w:rsidRDefault="00DE3708" w:rsidP="00307CD6">
      <w:pPr>
        <w:spacing w:line="240" w:lineRule="auto"/>
        <w:contextualSpacing/>
        <w:rPr>
          <w:szCs w:val="22"/>
        </w:rPr>
      </w:pPr>
      <w:r w:rsidRPr="00F50D13">
        <w:rPr>
          <w:szCs w:val="22"/>
        </w:rPr>
        <w:t xml:space="preserve">Jūsų gydymo </w:t>
      </w:r>
      <w:proofErr w:type="spellStart"/>
      <w:r w:rsidRPr="00F50D13">
        <w:rPr>
          <w:szCs w:val="22"/>
        </w:rPr>
        <w:t>valsartanu</w:t>
      </w:r>
      <w:proofErr w:type="spellEnd"/>
      <w:r w:rsidRPr="00F50D13">
        <w:rPr>
          <w:szCs w:val="22"/>
        </w:rPr>
        <w:t xml:space="preserve"> sustabdymas gali sukelti Jūsų ligos pablogėjimą. Nenutraukite vaisto vartojimo, jei to padaryti nenurodė gydytojas.</w:t>
      </w:r>
    </w:p>
    <w:p w14:paraId="28FCD00A" w14:textId="77777777" w:rsidR="00DE3708" w:rsidRPr="00F50D13" w:rsidRDefault="00DE3708" w:rsidP="00307CD6">
      <w:pPr>
        <w:spacing w:line="240" w:lineRule="auto"/>
        <w:contextualSpacing/>
        <w:rPr>
          <w:szCs w:val="22"/>
        </w:rPr>
      </w:pPr>
    </w:p>
    <w:p w14:paraId="05C5E3A2" w14:textId="77777777" w:rsidR="00DE3708" w:rsidRPr="00F91FD7" w:rsidRDefault="00DE3708" w:rsidP="00307CD6">
      <w:pPr>
        <w:spacing w:line="240" w:lineRule="auto"/>
        <w:contextualSpacing/>
        <w:rPr>
          <w:szCs w:val="22"/>
        </w:rPr>
      </w:pPr>
      <w:r w:rsidRPr="00F91FD7">
        <w:rPr>
          <w:szCs w:val="22"/>
        </w:rPr>
        <w:t>Jeigu kiltų daugiau klausimų dėl šio vaisto vartojimo, kreipkitės į gydytoją arba vaistininką.</w:t>
      </w:r>
    </w:p>
    <w:p w14:paraId="13BA62B8" w14:textId="77777777" w:rsidR="00DE3708" w:rsidRPr="00F91FD7" w:rsidRDefault="00DE3708" w:rsidP="00307CD6">
      <w:pPr>
        <w:spacing w:line="240" w:lineRule="auto"/>
        <w:contextualSpacing/>
        <w:rPr>
          <w:szCs w:val="22"/>
        </w:rPr>
      </w:pPr>
    </w:p>
    <w:p w14:paraId="7069EE67" w14:textId="77777777" w:rsidR="00DE3708" w:rsidRPr="00F91FD7" w:rsidRDefault="00DE3708" w:rsidP="00307CD6">
      <w:pPr>
        <w:spacing w:line="240" w:lineRule="auto"/>
        <w:contextualSpacing/>
        <w:rPr>
          <w:szCs w:val="22"/>
        </w:rPr>
      </w:pPr>
    </w:p>
    <w:p w14:paraId="2AEBE326" w14:textId="77777777" w:rsidR="00DE3708" w:rsidRPr="00617EBE" w:rsidRDefault="00DE3708" w:rsidP="00307CD6">
      <w:pPr>
        <w:spacing w:line="240" w:lineRule="auto"/>
        <w:contextualSpacing/>
        <w:rPr>
          <w:b/>
          <w:szCs w:val="22"/>
        </w:rPr>
      </w:pPr>
      <w:r w:rsidRPr="0078402A">
        <w:rPr>
          <w:b/>
          <w:szCs w:val="22"/>
        </w:rPr>
        <w:t>4.</w:t>
      </w:r>
      <w:r w:rsidRPr="0078402A">
        <w:rPr>
          <w:b/>
          <w:szCs w:val="22"/>
        </w:rPr>
        <w:tab/>
        <w:t>Galim</w:t>
      </w:r>
      <w:r w:rsidRPr="00617EBE">
        <w:rPr>
          <w:b/>
          <w:szCs w:val="22"/>
        </w:rPr>
        <w:t>as šalutinis poveikis</w:t>
      </w:r>
    </w:p>
    <w:p w14:paraId="3675FADA" w14:textId="77777777" w:rsidR="00DE3708" w:rsidRPr="00307CD6" w:rsidRDefault="00DE3708" w:rsidP="00307CD6">
      <w:pPr>
        <w:spacing w:line="240" w:lineRule="auto"/>
        <w:contextualSpacing/>
        <w:rPr>
          <w:b/>
          <w:szCs w:val="22"/>
        </w:rPr>
      </w:pPr>
    </w:p>
    <w:p w14:paraId="67255310" w14:textId="77777777" w:rsidR="00DE3708" w:rsidRPr="00307CD6" w:rsidRDefault="00DE3708" w:rsidP="00307CD6">
      <w:pPr>
        <w:spacing w:line="240" w:lineRule="auto"/>
        <w:contextualSpacing/>
        <w:rPr>
          <w:szCs w:val="22"/>
        </w:rPr>
      </w:pPr>
      <w:r w:rsidRPr="00307CD6">
        <w:rPr>
          <w:szCs w:val="22"/>
        </w:rPr>
        <w:t xml:space="preserve">Šis vaistas, kaip ir visi kiti, gali sukelti šalutinį poveikį, nors jis pasireiškia ne visiems žmonėms. </w:t>
      </w:r>
    </w:p>
    <w:p w14:paraId="1DF06CCC" w14:textId="77777777" w:rsidR="00DE3708" w:rsidRPr="007F15BA" w:rsidRDefault="00DE3708" w:rsidP="00307CD6">
      <w:pPr>
        <w:spacing w:line="240" w:lineRule="auto"/>
        <w:contextualSpacing/>
        <w:rPr>
          <w:szCs w:val="22"/>
        </w:rPr>
      </w:pPr>
    </w:p>
    <w:p w14:paraId="2B8A9BBD" w14:textId="7FA4CCF7" w:rsidR="00DE3708" w:rsidRPr="001E6DB9" w:rsidRDefault="00DE3708" w:rsidP="00307CD6">
      <w:pPr>
        <w:autoSpaceDE w:val="0"/>
        <w:autoSpaceDN w:val="0"/>
        <w:adjustRightInd w:val="0"/>
        <w:spacing w:line="240" w:lineRule="auto"/>
        <w:contextualSpacing/>
        <w:rPr>
          <w:szCs w:val="22"/>
        </w:rPr>
      </w:pPr>
      <w:r w:rsidRPr="001E6DB9">
        <w:rPr>
          <w:b/>
          <w:szCs w:val="22"/>
        </w:rPr>
        <w:t xml:space="preserve">Kai kurie </w:t>
      </w:r>
      <w:r w:rsidR="002C155C" w:rsidRPr="002C155C">
        <w:rPr>
          <w:b/>
          <w:szCs w:val="22"/>
        </w:rPr>
        <w:t>šalutiniai poveikiai gali būti sunkūs ir pasireiškus reikia skubios</w:t>
      </w:r>
      <w:r w:rsidR="002C155C">
        <w:rPr>
          <w:b/>
          <w:szCs w:val="22"/>
        </w:rPr>
        <w:t xml:space="preserve"> </w:t>
      </w:r>
      <w:r w:rsidRPr="001E6DB9">
        <w:rPr>
          <w:b/>
          <w:szCs w:val="22"/>
        </w:rPr>
        <w:t>medicinos pagalbos</w:t>
      </w:r>
    </w:p>
    <w:p w14:paraId="7F855C07" w14:textId="77777777" w:rsidR="00DE3708" w:rsidRPr="001E6DB9" w:rsidRDefault="00DE3708" w:rsidP="00307CD6">
      <w:pPr>
        <w:autoSpaceDE w:val="0"/>
        <w:autoSpaceDN w:val="0"/>
        <w:adjustRightInd w:val="0"/>
        <w:spacing w:line="240" w:lineRule="auto"/>
        <w:contextualSpacing/>
        <w:rPr>
          <w:szCs w:val="22"/>
        </w:rPr>
      </w:pPr>
      <w:r w:rsidRPr="001E6DB9">
        <w:rPr>
          <w:szCs w:val="22"/>
        </w:rPr>
        <w:t xml:space="preserve">Jums gali pasireikšti </w:t>
      </w:r>
      <w:proofErr w:type="spellStart"/>
      <w:r w:rsidRPr="001E6DB9">
        <w:rPr>
          <w:szCs w:val="22"/>
        </w:rPr>
        <w:t>angioedemos</w:t>
      </w:r>
      <w:proofErr w:type="spellEnd"/>
      <w:r w:rsidRPr="001E6DB9">
        <w:rPr>
          <w:szCs w:val="22"/>
        </w:rPr>
        <w:t xml:space="preserve"> (</w:t>
      </w:r>
      <w:r w:rsidRPr="00F50D13">
        <w:rPr>
          <w:szCs w:val="22"/>
        </w:rPr>
        <w:t xml:space="preserve">specifinės alerginės reakcijos) </w:t>
      </w:r>
      <w:r w:rsidRPr="001E6DB9">
        <w:rPr>
          <w:szCs w:val="22"/>
        </w:rPr>
        <w:t xml:space="preserve">simptomai, tokie, kaip: </w:t>
      </w:r>
    </w:p>
    <w:p w14:paraId="3A28657D" w14:textId="77777777" w:rsidR="00DE3708" w:rsidRPr="001E6DB9" w:rsidRDefault="00DE3708" w:rsidP="00307CD6">
      <w:pPr>
        <w:numPr>
          <w:ilvl w:val="0"/>
          <w:numId w:val="12"/>
        </w:numPr>
        <w:autoSpaceDE w:val="0"/>
        <w:autoSpaceDN w:val="0"/>
        <w:adjustRightInd w:val="0"/>
        <w:spacing w:line="240" w:lineRule="auto"/>
        <w:contextualSpacing/>
        <w:rPr>
          <w:szCs w:val="22"/>
        </w:rPr>
      </w:pPr>
      <w:r w:rsidRPr="001E6DB9">
        <w:rPr>
          <w:szCs w:val="22"/>
        </w:rPr>
        <w:t xml:space="preserve">veido, lūpų, liežuvio ar gerklės patinimas; </w:t>
      </w:r>
    </w:p>
    <w:p w14:paraId="3ACA4A72" w14:textId="77777777" w:rsidR="00DE3708" w:rsidRPr="00F50D13" w:rsidRDefault="00DE3708" w:rsidP="00307CD6">
      <w:pPr>
        <w:numPr>
          <w:ilvl w:val="0"/>
          <w:numId w:val="12"/>
        </w:numPr>
        <w:spacing w:line="240" w:lineRule="auto"/>
        <w:contextualSpacing/>
        <w:rPr>
          <w:szCs w:val="22"/>
        </w:rPr>
      </w:pPr>
      <w:r w:rsidRPr="00F50D13">
        <w:rPr>
          <w:szCs w:val="22"/>
        </w:rPr>
        <w:t>sunkumas kvėpuoti ar ryti;</w:t>
      </w:r>
    </w:p>
    <w:p w14:paraId="7D96CFAD" w14:textId="77777777" w:rsidR="00DE3708" w:rsidRPr="00F50D13" w:rsidRDefault="00DE3708" w:rsidP="00307CD6">
      <w:pPr>
        <w:numPr>
          <w:ilvl w:val="0"/>
          <w:numId w:val="12"/>
        </w:numPr>
        <w:spacing w:line="240" w:lineRule="auto"/>
        <w:contextualSpacing/>
        <w:rPr>
          <w:szCs w:val="22"/>
        </w:rPr>
      </w:pPr>
      <w:r w:rsidRPr="00F50D13">
        <w:rPr>
          <w:szCs w:val="22"/>
        </w:rPr>
        <w:t>dilgėlinė, niežulys.</w:t>
      </w:r>
    </w:p>
    <w:p w14:paraId="1DAA1F01" w14:textId="77777777" w:rsidR="00DE3708" w:rsidRPr="00F91FD7" w:rsidRDefault="00DE3708" w:rsidP="00307CD6">
      <w:pPr>
        <w:spacing w:line="240" w:lineRule="auto"/>
        <w:contextualSpacing/>
        <w:rPr>
          <w:b/>
          <w:szCs w:val="22"/>
        </w:rPr>
      </w:pPr>
    </w:p>
    <w:p w14:paraId="22742648" w14:textId="77777777" w:rsidR="00DE3708" w:rsidRPr="00F91FD7" w:rsidRDefault="00DE3708" w:rsidP="00307CD6">
      <w:pPr>
        <w:spacing w:line="240" w:lineRule="auto"/>
        <w:contextualSpacing/>
        <w:rPr>
          <w:b/>
          <w:szCs w:val="22"/>
        </w:rPr>
      </w:pPr>
      <w:r w:rsidRPr="00F91FD7">
        <w:rPr>
          <w:szCs w:val="22"/>
        </w:rPr>
        <w:t xml:space="preserve">Jeigu Jums atsiranda bet kuris iš šių simptomų, nutraukite </w:t>
      </w:r>
      <w:proofErr w:type="spellStart"/>
      <w:r w:rsidRPr="00F91FD7">
        <w:rPr>
          <w:szCs w:val="22"/>
        </w:rPr>
        <w:t>Suvartar</w:t>
      </w:r>
      <w:proofErr w:type="spellEnd"/>
      <w:r w:rsidRPr="00F91FD7">
        <w:rPr>
          <w:szCs w:val="22"/>
        </w:rPr>
        <w:t xml:space="preserve"> vartojimą ir nedels</w:t>
      </w:r>
      <w:r w:rsidR="00F91FD7">
        <w:rPr>
          <w:szCs w:val="22"/>
        </w:rPr>
        <w:t>dami</w:t>
      </w:r>
      <w:r w:rsidRPr="00F91FD7">
        <w:rPr>
          <w:szCs w:val="22"/>
        </w:rPr>
        <w:t xml:space="preserve"> kreipkitės į savo gydytoją (taip pat žr. 2 skyrių „Įspėjimai ir atsargumo priemonės“).</w:t>
      </w:r>
    </w:p>
    <w:p w14:paraId="5CED657B" w14:textId="77777777" w:rsidR="00DE3708" w:rsidRPr="001E6DB9" w:rsidRDefault="00DE3708" w:rsidP="00307CD6">
      <w:pPr>
        <w:autoSpaceDE w:val="0"/>
        <w:autoSpaceDN w:val="0"/>
        <w:adjustRightInd w:val="0"/>
        <w:spacing w:line="240" w:lineRule="auto"/>
        <w:contextualSpacing/>
        <w:rPr>
          <w:b/>
          <w:szCs w:val="22"/>
        </w:rPr>
      </w:pPr>
    </w:p>
    <w:p w14:paraId="1A5B0AE9" w14:textId="70582E17" w:rsidR="00DE3708" w:rsidRPr="001E6DB9" w:rsidRDefault="002C155C" w:rsidP="00307CD6">
      <w:pPr>
        <w:pStyle w:val="Default"/>
        <w:contextualSpacing/>
        <w:rPr>
          <w:b/>
          <w:color w:val="auto"/>
          <w:sz w:val="22"/>
          <w:szCs w:val="22"/>
        </w:rPr>
      </w:pPr>
      <w:r>
        <w:rPr>
          <w:b/>
          <w:color w:val="auto"/>
          <w:sz w:val="22"/>
          <w:szCs w:val="22"/>
        </w:rPr>
        <w:t>Kitas g</w:t>
      </w:r>
      <w:r w:rsidR="00DE3708" w:rsidRPr="001E6DB9">
        <w:rPr>
          <w:b/>
          <w:color w:val="auto"/>
          <w:sz w:val="22"/>
          <w:szCs w:val="22"/>
        </w:rPr>
        <w:t>alimas šalutinis poveikis</w:t>
      </w:r>
    </w:p>
    <w:p w14:paraId="31BE3D59" w14:textId="77777777" w:rsidR="00DE3708" w:rsidRPr="001E6DB9" w:rsidRDefault="00DE3708" w:rsidP="00307CD6">
      <w:pPr>
        <w:autoSpaceDE w:val="0"/>
        <w:autoSpaceDN w:val="0"/>
        <w:adjustRightInd w:val="0"/>
        <w:spacing w:line="240" w:lineRule="auto"/>
        <w:contextualSpacing/>
        <w:rPr>
          <w:szCs w:val="22"/>
        </w:rPr>
      </w:pPr>
    </w:p>
    <w:p w14:paraId="6A445BB7" w14:textId="4B72397C" w:rsidR="00DE3708" w:rsidRPr="001E6DB9" w:rsidRDefault="00DE3708" w:rsidP="00307CD6">
      <w:pPr>
        <w:autoSpaceDE w:val="0"/>
        <w:autoSpaceDN w:val="0"/>
        <w:adjustRightInd w:val="0"/>
        <w:spacing w:line="240" w:lineRule="auto"/>
        <w:contextualSpacing/>
        <w:rPr>
          <w:szCs w:val="22"/>
        </w:rPr>
      </w:pPr>
      <w:r w:rsidRPr="00F50D13">
        <w:rPr>
          <w:b/>
          <w:szCs w:val="22"/>
        </w:rPr>
        <w:t>Dažn</w:t>
      </w:r>
      <w:r w:rsidR="00375329">
        <w:rPr>
          <w:b/>
          <w:szCs w:val="22"/>
        </w:rPr>
        <w:t xml:space="preserve">i </w:t>
      </w:r>
      <w:r w:rsidR="00375329" w:rsidRPr="00012F1D">
        <w:t xml:space="preserve">šalutinio poveikio reiškiniai </w:t>
      </w:r>
      <w:r w:rsidR="00012D51" w:rsidRPr="00F50D13">
        <w:rPr>
          <w:b/>
          <w:szCs w:val="22"/>
        </w:rPr>
        <w:t xml:space="preserve"> </w:t>
      </w:r>
      <w:r w:rsidR="00012D51" w:rsidRPr="001E6DB9">
        <w:rPr>
          <w:szCs w:val="22"/>
        </w:rPr>
        <w:t xml:space="preserve">(gali pasireikšti </w:t>
      </w:r>
      <w:r w:rsidR="00375329">
        <w:rPr>
          <w:szCs w:val="22"/>
        </w:rPr>
        <w:t>reč</w:t>
      </w:r>
      <w:r w:rsidR="00012D51" w:rsidRPr="001E6DB9">
        <w:rPr>
          <w:szCs w:val="22"/>
        </w:rPr>
        <w:t>iau kaip</w:t>
      </w:r>
      <w:r w:rsidRPr="00F50D13">
        <w:rPr>
          <w:szCs w:val="22"/>
        </w:rPr>
        <w:t xml:space="preserve"> 1 iš 10</w:t>
      </w:r>
      <w:r w:rsidR="00012D51" w:rsidRPr="00F91FD7">
        <w:rPr>
          <w:szCs w:val="22"/>
        </w:rPr>
        <w:t xml:space="preserve"> </w:t>
      </w:r>
      <w:r w:rsidR="00212F3B">
        <w:rPr>
          <w:szCs w:val="22"/>
        </w:rPr>
        <w:t>asmenų</w:t>
      </w:r>
      <w:r w:rsidR="001A040E">
        <w:rPr>
          <w:szCs w:val="22"/>
        </w:rPr>
        <w:t>)</w:t>
      </w:r>
      <w:r w:rsidR="00012D51" w:rsidRPr="00F91FD7">
        <w:rPr>
          <w:szCs w:val="22"/>
        </w:rPr>
        <w:t>:</w:t>
      </w:r>
      <w:r w:rsidRPr="00F91FD7">
        <w:rPr>
          <w:szCs w:val="22"/>
        </w:rPr>
        <w:t xml:space="preserve"> </w:t>
      </w:r>
    </w:p>
    <w:p w14:paraId="5B7F7A42" w14:textId="77777777" w:rsidR="00DE3708" w:rsidRPr="001E6DB9" w:rsidRDefault="00DE3708" w:rsidP="00307CD6">
      <w:pPr>
        <w:numPr>
          <w:ilvl w:val="0"/>
          <w:numId w:val="13"/>
        </w:numPr>
        <w:autoSpaceDE w:val="0"/>
        <w:autoSpaceDN w:val="0"/>
        <w:adjustRightInd w:val="0"/>
        <w:spacing w:line="240" w:lineRule="auto"/>
        <w:contextualSpacing/>
        <w:rPr>
          <w:szCs w:val="22"/>
        </w:rPr>
      </w:pPr>
      <w:r w:rsidRPr="001E6DB9">
        <w:rPr>
          <w:szCs w:val="22"/>
        </w:rPr>
        <w:t xml:space="preserve">svaigulys, svaigulys keičiant kūno padėtį; </w:t>
      </w:r>
    </w:p>
    <w:p w14:paraId="44821CB4" w14:textId="77777777" w:rsidR="00DE3708" w:rsidRPr="00F50D13" w:rsidRDefault="00DE3708" w:rsidP="001E6DB9">
      <w:pPr>
        <w:pStyle w:val="Listlevel1"/>
        <w:numPr>
          <w:ilvl w:val="0"/>
          <w:numId w:val="14"/>
        </w:numPr>
        <w:tabs>
          <w:tab w:val="clear" w:pos="357"/>
        </w:tabs>
        <w:spacing w:before="0" w:after="0"/>
        <w:ind w:left="567" w:hanging="567"/>
        <w:contextualSpacing/>
        <w:rPr>
          <w:sz w:val="22"/>
          <w:szCs w:val="22"/>
          <w:lang w:val="lt-LT"/>
        </w:rPr>
      </w:pPr>
      <w:r w:rsidRPr="00F50D13">
        <w:rPr>
          <w:sz w:val="22"/>
          <w:szCs w:val="22"/>
          <w:lang w:val="lt-LT"/>
        </w:rPr>
        <w:t>žemas kraujospūdis su pasireiškiančiais simptomais, pavyzdžiui, svaigimu ar alpimu keliantis, arba be jų;</w:t>
      </w:r>
    </w:p>
    <w:p w14:paraId="4E94005A" w14:textId="77777777" w:rsidR="00DE3708" w:rsidRPr="001E6DB9" w:rsidRDefault="00DE3708" w:rsidP="00307CD6">
      <w:pPr>
        <w:numPr>
          <w:ilvl w:val="0"/>
          <w:numId w:val="13"/>
        </w:numPr>
        <w:autoSpaceDE w:val="0"/>
        <w:autoSpaceDN w:val="0"/>
        <w:adjustRightInd w:val="0"/>
        <w:spacing w:line="240" w:lineRule="auto"/>
        <w:contextualSpacing/>
        <w:rPr>
          <w:szCs w:val="22"/>
        </w:rPr>
      </w:pPr>
      <w:r w:rsidRPr="001E6DB9">
        <w:rPr>
          <w:szCs w:val="22"/>
        </w:rPr>
        <w:t xml:space="preserve">inkstų funkcijos susilpnėjimas (inkstų funkcijos sutrikimo požymiai). </w:t>
      </w:r>
    </w:p>
    <w:p w14:paraId="1EDE6A2B" w14:textId="77777777" w:rsidR="00DE3708" w:rsidRPr="001E6DB9" w:rsidRDefault="00DE3708" w:rsidP="00307CD6">
      <w:pPr>
        <w:autoSpaceDE w:val="0"/>
        <w:autoSpaceDN w:val="0"/>
        <w:adjustRightInd w:val="0"/>
        <w:spacing w:line="240" w:lineRule="auto"/>
        <w:contextualSpacing/>
        <w:rPr>
          <w:szCs w:val="22"/>
        </w:rPr>
      </w:pPr>
    </w:p>
    <w:p w14:paraId="559BB58F" w14:textId="5A03290F" w:rsidR="00DE3708" w:rsidRPr="001E6DB9" w:rsidRDefault="00DE3708" w:rsidP="00307CD6">
      <w:pPr>
        <w:autoSpaceDE w:val="0"/>
        <w:autoSpaceDN w:val="0"/>
        <w:adjustRightInd w:val="0"/>
        <w:spacing w:line="240" w:lineRule="auto"/>
        <w:contextualSpacing/>
        <w:rPr>
          <w:szCs w:val="22"/>
        </w:rPr>
      </w:pPr>
      <w:r w:rsidRPr="00F50D13">
        <w:rPr>
          <w:b/>
          <w:szCs w:val="22"/>
        </w:rPr>
        <w:t>Nedažn</w:t>
      </w:r>
      <w:r w:rsidR="00375329">
        <w:rPr>
          <w:b/>
          <w:szCs w:val="22"/>
        </w:rPr>
        <w:t xml:space="preserve">i </w:t>
      </w:r>
      <w:r w:rsidR="00375329" w:rsidRPr="00012F1D">
        <w:t xml:space="preserve">šalutinio poveikio reiškiniai </w:t>
      </w:r>
      <w:r w:rsidR="00012D51" w:rsidRPr="00F50D13">
        <w:rPr>
          <w:b/>
          <w:szCs w:val="22"/>
        </w:rPr>
        <w:t xml:space="preserve"> </w:t>
      </w:r>
      <w:r w:rsidR="00012D51" w:rsidRPr="00F50D13">
        <w:rPr>
          <w:szCs w:val="22"/>
        </w:rPr>
        <w:t xml:space="preserve">(gali pasireikšti </w:t>
      </w:r>
      <w:r w:rsidR="00375329">
        <w:rPr>
          <w:szCs w:val="22"/>
        </w:rPr>
        <w:t>reč</w:t>
      </w:r>
      <w:r w:rsidR="00012D51" w:rsidRPr="00F50D13">
        <w:rPr>
          <w:szCs w:val="22"/>
        </w:rPr>
        <w:t>iau kaip 1 iš 100</w:t>
      </w:r>
      <w:r w:rsidR="00496AD9">
        <w:rPr>
          <w:szCs w:val="22"/>
        </w:rPr>
        <w:t xml:space="preserve"> </w:t>
      </w:r>
      <w:r w:rsidR="00212F3B">
        <w:rPr>
          <w:szCs w:val="22"/>
        </w:rPr>
        <w:t>asmenų</w:t>
      </w:r>
      <w:r w:rsidR="00012D51" w:rsidRPr="00F50D13">
        <w:rPr>
          <w:szCs w:val="22"/>
        </w:rPr>
        <w:t>):</w:t>
      </w:r>
    </w:p>
    <w:p w14:paraId="519102CB" w14:textId="01ED2D0F" w:rsidR="00DE3708" w:rsidRPr="00F50D13" w:rsidRDefault="00DE3708" w:rsidP="00307CD6">
      <w:pPr>
        <w:pStyle w:val="Listlevel1"/>
        <w:numPr>
          <w:ilvl w:val="0"/>
          <w:numId w:val="15"/>
        </w:numPr>
        <w:spacing w:before="0" w:after="0"/>
        <w:contextualSpacing/>
        <w:rPr>
          <w:sz w:val="22"/>
          <w:szCs w:val="22"/>
          <w:lang w:val="lt-LT"/>
        </w:rPr>
      </w:pPr>
      <w:r w:rsidRPr="00F50D13">
        <w:rPr>
          <w:sz w:val="22"/>
          <w:szCs w:val="22"/>
          <w:lang w:val="lt-LT"/>
        </w:rPr>
        <w:t xml:space="preserve">angioneurozinė edema (žr. poskyrį „Kai kurie </w:t>
      </w:r>
      <w:r w:rsidR="00A65C1F" w:rsidRPr="00A65C1F">
        <w:rPr>
          <w:sz w:val="22"/>
          <w:szCs w:val="22"/>
          <w:lang w:val="lt-LT"/>
        </w:rPr>
        <w:t>šalutiniai poveikiai gali būti sunkūs ir pasireiškus reikia skubios</w:t>
      </w:r>
      <w:r w:rsidR="00A65C1F">
        <w:rPr>
          <w:sz w:val="22"/>
          <w:szCs w:val="22"/>
          <w:lang w:val="lt-LT"/>
        </w:rPr>
        <w:t xml:space="preserve"> </w:t>
      </w:r>
      <w:r w:rsidRPr="00F50D13">
        <w:rPr>
          <w:sz w:val="22"/>
          <w:szCs w:val="22"/>
          <w:lang w:val="lt-LT"/>
        </w:rPr>
        <w:t>medicinos pagalbos“);</w:t>
      </w:r>
    </w:p>
    <w:p w14:paraId="43250967" w14:textId="77777777" w:rsidR="00DE3708" w:rsidRPr="00F91FD7" w:rsidRDefault="00DE3708" w:rsidP="00307CD6">
      <w:pPr>
        <w:pStyle w:val="Listlevel1"/>
        <w:numPr>
          <w:ilvl w:val="0"/>
          <w:numId w:val="15"/>
        </w:numPr>
        <w:spacing w:before="0" w:after="0"/>
        <w:contextualSpacing/>
        <w:rPr>
          <w:sz w:val="22"/>
          <w:szCs w:val="22"/>
        </w:rPr>
      </w:pPr>
      <w:r w:rsidRPr="00F50D13">
        <w:rPr>
          <w:sz w:val="22"/>
          <w:szCs w:val="22"/>
          <w:lang w:val="lt-LT"/>
        </w:rPr>
        <w:t>ūmus sąmonės praradimas (sinkopė);</w:t>
      </w:r>
    </w:p>
    <w:p w14:paraId="7EE67E38" w14:textId="77777777" w:rsidR="00DE3708" w:rsidRPr="00F91FD7" w:rsidRDefault="00DE3708" w:rsidP="00307CD6">
      <w:pPr>
        <w:pStyle w:val="Listlevel1"/>
        <w:numPr>
          <w:ilvl w:val="0"/>
          <w:numId w:val="15"/>
        </w:numPr>
        <w:spacing w:before="0" w:after="0"/>
        <w:contextualSpacing/>
        <w:rPr>
          <w:sz w:val="22"/>
          <w:szCs w:val="22"/>
        </w:rPr>
      </w:pPr>
      <w:r w:rsidRPr="00F91FD7">
        <w:rPr>
          <w:sz w:val="22"/>
          <w:szCs w:val="22"/>
          <w:lang w:val="lt-LT"/>
        </w:rPr>
        <w:t>sukimosi pojūtis (</w:t>
      </w:r>
      <w:r w:rsidRPr="00F91FD7">
        <w:rPr>
          <w:i/>
          <w:sz w:val="22"/>
          <w:szCs w:val="22"/>
          <w:lang w:val="lt-LT"/>
        </w:rPr>
        <w:t>vertigo</w:t>
      </w:r>
      <w:r w:rsidRPr="00F91FD7">
        <w:rPr>
          <w:sz w:val="22"/>
          <w:szCs w:val="22"/>
          <w:lang w:val="lt-LT"/>
        </w:rPr>
        <w:t>);</w:t>
      </w:r>
    </w:p>
    <w:p w14:paraId="6B852752"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lastRenderedPageBreak/>
        <w:t xml:space="preserve">labai susilpnėjusi inkstų funkcija (ūminio inkstų nepakankamumo požymiai); </w:t>
      </w:r>
    </w:p>
    <w:p w14:paraId="6E427417"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raumenų spazmai, nenormalus širdies ritmas (hiperkalemijos požymiai); </w:t>
      </w:r>
    </w:p>
    <w:p w14:paraId="066C8793"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dusulys, pasunkėjęs kvėpavimas gulint, pėdų ar kojų tinimas (širdies nepakankamumo požymiai); </w:t>
      </w:r>
    </w:p>
    <w:p w14:paraId="0C99D791"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galvos skausmas; </w:t>
      </w:r>
    </w:p>
    <w:p w14:paraId="04EF7BE5"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kosulys; </w:t>
      </w:r>
    </w:p>
    <w:p w14:paraId="7270A5BA"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pilvo skausmas; </w:t>
      </w:r>
    </w:p>
    <w:p w14:paraId="6692D0D8"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pykinimas; </w:t>
      </w:r>
    </w:p>
    <w:p w14:paraId="2962ED79"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viduriavimas; </w:t>
      </w:r>
    </w:p>
    <w:p w14:paraId="533D1039"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nuovargis; </w:t>
      </w:r>
    </w:p>
    <w:p w14:paraId="1C8EC2AE" w14:textId="6749280F" w:rsidR="00212F3B" w:rsidRPr="00212F3B" w:rsidRDefault="00DE3708" w:rsidP="00212F3B">
      <w:pPr>
        <w:numPr>
          <w:ilvl w:val="0"/>
          <w:numId w:val="15"/>
        </w:numPr>
        <w:autoSpaceDE w:val="0"/>
        <w:autoSpaceDN w:val="0"/>
        <w:adjustRightInd w:val="0"/>
        <w:spacing w:line="240" w:lineRule="auto"/>
        <w:contextualSpacing/>
        <w:rPr>
          <w:szCs w:val="22"/>
        </w:rPr>
      </w:pPr>
      <w:r w:rsidRPr="001E6DB9">
        <w:rPr>
          <w:szCs w:val="22"/>
        </w:rPr>
        <w:t xml:space="preserve">silpnumas. </w:t>
      </w:r>
    </w:p>
    <w:p w14:paraId="798FACF5" w14:textId="77777777" w:rsidR="00212F3B" w:rsidRDefault="00212F3B" w:rsidP="00307CD6">
      <w:pPr>
        <w:autoSpaceDE w:val="0"/>
        <w:autoSpaceDN w:val="0"/>
        <w:adjustRightInd w:val="0"/>
        <w:spacing w:line="240" w:lineRule="auto"/>
        <w:contextualSpacing/>
        <w:rPr>
          <w:b/>
          <w:bCs/>
          <w:szCs w:val="22"/>
        </w:rPr>
      </w:pPr>
    </w:p>
    <w:p w14:paraId="029141B8" w14:textId="49025550" w:rsidR="00DE3708" w:rsidRPr="00FF1FF9" w:rsidRDefault="00212F3B" w:rsidP="00307CD6">
      <w:pPr>
        <w:autoSpaceDE w:val="0"/>
        <w:autoSpaceDN w:val="0"/>
        <w:adjustRightInd w:val="0"/>
        <w:spacing w:line="240" w:lineRule="auto"/>
        <w:contextualSpacing/>
        <w:rPr>
          <w:b/>
          <w:bCs/>
          <w:szCs w:val="22"/>
        </w:rPr>
      </w:pPr>
      <w:r w:rsidRPr="00FF1FF9">
        <w:rPr>
          <w:b/>
          <w:bCs/>
          <w:szCs w:val="22"/>
        </w:rPr>
        <w:t>Labai reti šalutinio poveikio reiškiniai (gali pasireikšti rečiau kaip 1 iš 10 000 asmenų):</w:t>
      </w:r>
    </w:p>
    <w:p w14:paraId="7144E151" w14:textId="5B506AB8" w:rsidR="00212F3B" w:rsidRPr="00FF1FF9" w:rsidRDefault="00E378AB" w:rsidP="000A08ED">
      <w:pPr>
        <w:pStyle w:val="Sraopastraipa"/>
        <w:numPr>
          <w:ilvl w:val="0"/>
          <w:numId w:val="22"/>
        </w:numPr>
        <w:tabs>
          <w:tab w:val="left" w:pos="426"/>
        </w:tabs>
        <w:autoSpaceDE w:val="0"/>
        <w:autoSpaceDN w:val="0"/>
        <w:adjustRightInd w:val="0"/>
        <w:spacing w:after="0" w:line="240" w:lineRule="auto"/>
        <w:ind w:hanging="720"/>
        <w:rPr>
          <w:szCs w:val="22"/>
          <w:lang w:val="pt-PT"/>
        </w:rPr>
      </w:pPr>
      <w:r w:rsidRPr="00FF1FF9">
        <w:rPr>
          <w:szCs w:val="22"/>
          <w:lang w:val="pt-PT"/>
        </w:rPr>
        <w:t>žarnyno angioneurozinė edema: tinimas žarnyne, pasireiškiantis tokiais simptomais kaip pilvo skausmas, pykinimas, vėmimas ir viduriavimas</w:t>
      </w:r>
    </w:p>
    <w:p w14:paraId="53BD7F2C" w14:textId="77777777" w:rsidR="00E378AB" w:rsidRDefault="00E378AB" w:rsidP="00307CD6">
      <w:pPr>
        <w:autoSpaceDE w:val="0"/>
        <w:autoSpaceDN w:val="0"/>
        <w:adjustRightInd w:val="0"/>
        <w:spacing w:line="240" w:lineRule="auto"/>
        <w:contextualSpacing/>
        <w:rPr>
          <w:b/>
          <w:szCs w:val="22"/>
        </w:rPr>
      </w:pPr>
    </w:p>
    <w:p w14:paraId="1992E738" w14:textId="02E63FF1" w:rsidR="00DE3708" w:rsidRPr="001E6DB9" w:rsidRDefault="00212F3B" w:rsidP="00307CD6">
      <w:pPr>
        <w:autoSpaceDE w:val="0"/>
        <w:autoSpaceDN w:val="0"/>
        <w:adjustRightInd w:val="0"/>
        <w:spacing w:line="240" w:lineRule="auto"/>
        <w:contextualSpacing/>
        <w:rPr>
          <w:szCs w:val="22"/>
        </w:rPr>
      </w:pPr>
      <w:r>
        <w:rPr>
          <w:b/>
          <w:szCs w:val="22"/>
        </w:rPr>
        <w:t>Šalutinio poveikio reiškiniai, kurių d</w:t>
      </w:r>
      <w:r w:rsidR="00375329">
        <w:rPr>
          <w:b/>
          <w:szCs w:val="22"/>
        </w:rPr>
        <w:t>ažnis n</w:t>
      </w:r>
      <w:r w:rsidR="00012D51" w:rsidRPr="001E6DB9">
        <w:rPr>
          <w:b/>
          <w:szCs w:val="22"/>
        </w:rPr>
        <w:t xml:space="preserve">ežinomas </w:t>
      </w:r>
      <w:r w:rsidR="00012D51" w:rsidRPr="001E6DB9">
        <w:rPr>
          <w:szCs w:val="22"/>
        </w:rPr>
        <w:t>(</w:t>
      </w:r>
      <w:r w:rsidR="00DE3708" w:rsidRPr="00F50D13">
        <w:rPr>
          <w:szCs w:val="22"/>
        </w:rPr>
        <w:t>negali būti apskaičiuotas pagal turimus duomenis</w:t>
      </w:r>
      <w:r w:rsidR="00012D51" w:rsidRPr="00F50D13">
        <w:rPr>
          <w:szCs w:val="22"/>
        </w:rPr>
        <w:t>)</w:t>
      </w:r>
      <w:r w:rsidR="00DE3708" w:rsidRPr="001E6DB9">
        <w:rPr>
          <w:szCs w:val="22"/>
        </w:rPr>
        <w:t>:</w:t>
      </w:r>
    </w:p>
    <w:p w14:paraId="33BD0BBD" w14:textId="77777777" w:rsidR="00DE3708" w:rsidRPr="00F50D13" w:rsidRDefault="00DE3708" w:rsidP="001E6DB9">
      <w:pPr>
        <w:pStyle w:val="Listlevel1"/>
        <w:numPr>
          <w:ilvl w:val="0"/>
          <w:numId w:val="14"/>
        </w:numPr>
        <w:tabs>
          <w:tab w:val="clear" w:pos="357"/>
          <w:tab w:val="num" w:pos="567"/>
        </w:tabs>
        <w:spacing w:before="0" w:after="0"/>
        <w:ind w:left="567" w:hanging="567"/>
        <w:contextualSpacing/>
        <w:rPr>
          <w:sz w:val="22"/>
          <w:szCs w:val="22"/>
          <w:lang w:val="lt-LT"/>
        </w:rPr>
      </w:pPr>
      <w:r w:rsidRPr="00F50D13">
        <w:rPr>
          <w:sz w:val="22"/>
          <w:szCs w:val="22"/>
          <w:lang w:val="lt-LT"/>
        </w:rPr>
        <w:t>pūslių atsiradimas ant odos (</w:t>
      </w:r>
      <w:proofErr w:type="spellStart"/>
      <w:r w:rsidRPr="00F50D13">
        <w:rPr>
          <w:sz w:val="22"/>
          <w:szCs w:val="22"/>
          <w:lang w:val="lt-LT"/>
        </w:rPr>
        <w:t>buliozinio</w:t>
      </w:r>
      <w:proofErr w:type="spellEnd"/>
      <w:r w:rsidRPr="00F50D13">
        <w:rPr>
          <w:sz w:val="22"/>
          <w:szCs w:val="22"/>
          <w:lang w:val="lt-LT"/>
        </w:rPr>
        <w:t xml:space="preserve"> (</w:t>
      </w:r>
      <w:proofErr w:type="spellStart"/>
      <w:r w:rsidRPr="00F50D13">
        <w:rPr>
          <w:sz w:val="22"/>
          <w:szCs w:val="22"/>
          <w:lang w:val="lt-LT"/>
        </w:rPr>
        <w:t>pūslinio</w:t>
      </w:r>
      <w:proofErr w:type="spellEnd"/>
      <w:r w:rsidRPr="00F50D13">
        <w:rPr>
          <w:sz w:val="22"/>
          <w:szCs w:val="22"/>
          <w:lang w:val="lt-LT"/>
        </w:rPr>
        <w:t>) dermatito požymiai);</w:t>
      </w:r>
    </w:p>
    <w:p w14:paraId="76782B92" w14:textId="77777777" w:rsidR="00DE3708" w:rsidRPr="00F91FD7" w:rsidRDefault="00DE3708" w:rsidP="001E6DB9">
      <w:pPr>
        <w:pStyle w:val="Listlevel1"/>
        <w:numPr>
          <w:ilvl w:val="0"/>
          <w:numId w:val="14"/>
        </w:numPr>
        <w:tabs>
          <w:tab w:val="clear" w:pos="357"/>
        </w:tabs>
        <w:spacing w:before="0" w:after="0"/>
        <w:ind w:left="567" w:hanging="567"/>
        <w:contextualSpacing/>
        <w:rPr>
          <w:sz w:val="22"/>
          <w:szCs w:val="22"/>
          <w:lang w:val="lt-LT"/>
        </w:rPr>
      </w:pPr>
      <w:r w:rsidRPr="00F50D13">
        <w:rPr>
          <w:sz w:val="22"/>
          <w:szCs w:val="22"/>
          <w:lang w:val="lt-LT"/>
        </w:rPr>
        <w:t xml:space="preserve">alerginė reakcija, pasireiškianti išbėrimu, niežuliu ir dilgėline; galimi tokie simptomai kaip karščiavimas, sąnarių patinimas ir </w:t>
      </w:r>
      <w:r w:rsidRPr="00F91FD7">
        <w:rPr>
          <w:sz w:val="22"/>
          <w:szCs w:val="22"/>
          <w:lang w:val="lt-LT"/>
        </w:rPr>
        <w:t>skausmas, raumenų skausmas, limfmazgių patinimas ir (arba) simptomai, panašūs į gripo (</w:t>
      </w:r>
      <w:proofErr w:type="spellStart"/>
      <w:r w:rsidRPr="00F91FD7">
        <w:rPr>
          <w:sz w:val="22"/>
          <w:szCs w:val="22"/>
          <w:lang w:val="lt-LT"/>
        </w:rPr>
        <w:t>seruminės</w:t>
      </w:r>
      <w:proofErr w:type="spellEnd"/>
      <w:r w:rsidRPr="00F91FD7">
        <w:rPr>
          <w:sz w:val="22"/>
          <w:szCs w:val="22"/>
          <w:lang w:val="lt-LT"/>
        </w:rPr>
        <w:t xml:space="preserve"> ligos požymiai);</w:t>
      </w:r>
    </w:p>
    <w:p w14:paraId="7B2C7F0A" w14:textId="77777777" w:rsidR="00DE3708" w:rsidRPr="001E6DB9" w:rsidRDefault="00DE3708" w:rsidP="00307CD6">
      <w:pPr>
        <w:numPr>
          <w:ilvl w:val="0"/>
          <w:numId w:val="16"/>
        </w:numPr>
        <w:autoSpaceDE w:val="0"/>
        <w:autoSpaceDN w:val="0"/>
        <w:adjustRightInd w:val="0"/>
        <w:spacing w:line="240" w:lineRule="auto"/>
        <w:contextualSpacing/>
        <w:rPr>
          <w:szCs w:val="22"/>
        </w:rPr>
      </w:pPr>
      <w:r w:rsidRPr="001E6DB9">
        <w:rPr>
          <w:szCs w:val="22"/>
        </w:rPr>
        <w:t xml:space="preserve">rausvos-raudonos dėmės, karščiavimas, niežulys (kraujagyslių uždegimo, taip pat vadinamo </w:t>
      </w:r>
      <w:proofErr w:type="spellStart"/>
      <w:r w:rsidRPr="001E6DB9">
        <w:rPr>
          <w:szCs w:val="22"/>
        </w:rPr>
        <w:t>vaskulitu</w:t>
      </w:r>
      <w:proofErr w:type="spellEnd"/>
      <w:r w:rsidRPr="001E6DB9">
        <w:rPr>
          <w:szCs w:val="22"/>
        </w:rPr>
        <w:t xml:space="preserve">, požymiai); </w:t>
      </w:r>
    </w:p>
    <w:p w14:paraId="75129E56" w14:textId="77777777" w:rsidR="00DE3708" w:rsidRPr="001E6DB9" w:rsidRDefault="00DE3708" w:rsidP="00307CD6">
      <w:pPr>
        <w:numPr>
          <w:ilvl w:val="0"/>
          <w:numId w:val="16"/>
        </w:numPr>
        <w:autoSpaceDE w:val="0"/>
        <w:autoSpaceDN w:val="0"/>
        <w:adjustRightInd w:val="0"/>
        <w:spacing w:line="240" w:lineRule="auto"/>
        <w:contextualSpacing/>
        <w:rPr>
          <w:szCs w:val="22"/>
        </w:rPr>
      </w:pPr>
      <w:r w:rsidRPr="001E6DB9">
        <w:rPr>
          <w:szCs w:val="22"/>
        </w:rPr>
        <w:t xml:space="preserve">neįprastas kraujavimas ar mėlynės (trombocitopenijos požymiai); </w:t>
      </w:r>
    </w:p>
    <w:p w14:paraId="6651453F"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raumenų skausmas (mialgija); </w:t>
      </w:r>
    </w:p>
    <w:p w14:paraId="56DA7367"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karščiavimas, gerklės skausmas ar infekcijos sukeltas burnos išopėjimas (per mažo leukocitų kiekio, dar vadinamo neutropenija, požymiai);</w:t>
      </w:r>
    </w:p>
    <w:p w14:paraId="158A1761"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hemoglobino kiekio sumažėjimas ir eritrocitų procentinės dalies kraujyje sumažėjimas (tai sunkiais atvejais gali būti anemijos priežastimi); </w:t>
      </w:r>
    </w:p>
    <w:p w14:paraId="6DAF995C"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kalio koncentracijos kraujyje padidėjimas (tai sunkiais atvejais tai gali sukelti raumenų spazmus, sutrikdyti širdies ritmą); </w:t>
      </w:r>
    </w:p>
    <w:p w14:paraId="049B5650"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kepenų funkcijos rodmenų padidėjimas (tai gali rodyti kepenų pažeidimą), įskaitant bilirubino kiekio padidėjimą kraujyje (dėl to sunkiais atvejais gali pagelsti oda ir akys); </w:t>
      </w:r>
    </w:p>
    <w:p w14:paraId="564AE027"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šlapalo kiekio kraujyje ir kreatinino kiekio kraujo serume padidėjimas (tai gali rodyti nenormalią inkstų funkciją);</w:t>
      </w:r>
    </w:p>
    <w:p w14:paraId="11860EA3"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natrio koncentracijos kraujyje sumažėjimas (kuris sunkiais atvejais gali sukelti nuovargį, sumišimą, raumenų trūkčiojimą ir (arba) traukulius).</w:t>
      </w:r>
    </w:p>
    <w:p w14:paraId="5EEC4E37" w14:textId="77777777" w:rsidR="00DE3708" w:rsidRPr="00F50D13" w:rsidRDefault="00DE3708" w:rsidP="00307CD6">
      <w:pPr>
        <w:spacing w:line="240" w:lineRule="auto"/>
        <w:contextualSpacing/>
        <w:rPr>
          <w:szCs w:val="22"/>
        </w:rPr>
      </w:pPr>
      <w:r w:rsidRPr="00F50D13">
        <w:rPr>
          <w:szCs w:val="22"/>
        </w:rPr>
        <w:t xml:space="preserve">Kai kurių šalutinių reakcijų dažnis gali būti skirtingas, priklausomai nuo Jūsų būklės. Pavyzdžiui, tokios reakcijos kaip svaigulys ir inkstų funkcijos susilpnėjimas rečiau buvo stebimos tiems pacientams, kurie buvo gydomi nuo aukšto kraujospūdžio, nei tiems, kurie buvo gydomi nuo širdies nepakankamumo ar po neseniai įvykusio širdies priepuolio. </w:t>
      </w:r>
    </w:p>
    <w:p w14:paraId="2A818D5E" w14:textId="77777777" w:rsidR="00DE3708" w:rsidRPr="00F91FD7" w:rsidRDefault="00DE3708" w:rsidP="00307CD6">
      <w:pPr>
        <w:spacing w:line="240" w:lineRule="auto"/>
        <w:contextualSpacing/>
        <w:rPr>
          <w:szCs w:val="22"/>
        </w:rPr>
      </w:pPr>
    </w:p>
    <w:p w14:paraId="47190C84" w14:textId="77777777" w:rsidR="00DE3708" w:rsidRPr="00F91FD7" w:rsidRDefault="00DE3708" w:rsidP="00307CD6">
      <w:pPr>
        <w:spacing w:line="240" w:lineRule="auto"/>
        <w:ind w:right="-2"/>
        <w:contextualSpacing/>
        <w:rPr>
          <w:szCs w:val="22"/>
        </w:rPr>
      </w:pPr>
      <w:r w:rsidRPr="00F91FD7">
        <w:rPr>
          <w:szCs w:val="22"/>
        </w:rPr>
        <w:t>Vaikams ir paaugliams pasireiškiantis šalutinis poveikis būna panašus į atsirandantį suaugusiesiems žmonėms.</w:t>
      </w:r>
    </w:p>
    <w:p w14:paraId="2701F4BA" w14:textId="77777777" w:rsidR="00DE3708" w:rsidRPr="00F91FD7" w:rsidRDefault="00DE3708" w:rsidP="00307CD6">
      <w:pPr>
        <w:spacing w:line="240" w:lineRule="auto"/>
        <w:ind w:right="-2"/>
        <w:contextualSpacing/>
        <w:rPr>
          <w:szCs w:val="22"/>
        </w:rPr>
      </w:pPr>
    </w:p>
    <w:p w14:paraId="11165612" w14:textId="77777777" w:rsidR="00DE3708" w:rsidRPr="0078402A" w:rsidRDefault="00DE3708" w:rsidP="00307CD6">
      <w:pPr>
        <w:spacing w:line="240" w:lineRule="auto"/>
        <w:contextualSpacing/>
        <w:rPr>
          <w:b/>
          <w:szCs w:val="22"/>
        </w:rPr>
      </w:pPr>
      <w:r w:rsidRPr="0078402A">
        <w:rPr>
          <w:b/>
          <w:szCs w:val="22"/>
        </w:rPr>
        <w:t>Pranešimas apie šalutinį poveikį</w:t>
      </w:r>
    </w:p>
    <w:p w14:paraId="7FF6AF41" w14:textId="06DA14DE" w:rsidR="00375329" w:rsidRPr="00CE4A05" w:rsidRDefault="00375329" w:rsidP="00375329">
      <w:pPr>
        <w:spacing w:line="240" w:lineRule="auto"/>
      </w:pPr>
      <w:r w:rsidRPr="00CE4A0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1A040E">
          <w:rPr>
            <w:rStyle w:val="Hipersaitas"/>
          </w:rPr>
          <w:t>https://vvkt.lrv.lt/lt/</w:t>
        </w:r>
      </w:hyperlink>
      <w:r w:rsidRPr="00CE4A05">
        <w:t xml:space="preserve"> nurodytais būdais arba paskambinti nemokamu telefonu </w:t>
      </w:r>
      <w:r w:rsidR="00E378AB">
        <w:t>+370</w:t>
      </w:r>
      <w:r w:rsidRPr="00CE4A05">
        <w:t xml:space="preserve"> 800 73 568. Pranešdami apie šalutinį poveikį galite mums padėti gauti daugiau informacijos apie šio vaisto saugumą.</w:t>
      </w:r>
    </w:p>
    <w:p w14:paraId="4AEB62C8" w14:textId="77777777" w:rsidR="00DE3708" w:rsidRDefault="00DE3708" w:rsidP="00307CD6">
      <w:pPr>
        <w:spacing w:line="240" w:lineRule="auto"/>
        <w:contextualSpacing/>
        <w:rPr>
          <w:szCs w:val="22"/>
        </w:rPr>
      </w:pPr>
    </w:p>
    <w:p w14:paraId="1B984CC1" w14:textId="77777777" w:rsidR="00097B52" w:rsidRPr="00F91FD7" w:rsidRDefault="00097B52" w:rsidP="00307CD6">
      <w:pPr>
        <w:spacing w:line="240" w:lineRule="auto"/>
        <w:contextualSpacing/>
        <w:rPr>
          <w:szCs w:val="22"/>
        </w:rPr>
      </w:pPr>
    </w:p>
    <w:p w14:paraId="43395E42" w14:textId="77777777" w:rsidR="00DE3708" w:rsidRPr="00F91FD7" w:rsidRDefault="00DE3708" w:rsidP="00307CD6">
      <w:pPr>
        <w:spacing w:line="240" w:lineRule="auto"/>
        <w:contextualSpacing/>
        <w:rPr>
          <w:b/>
          <w:szCs w:val="22"/>
        </w:rPr>
      </w:pPr>
      <w:r w:rsidRPr="00F91FD7">
        <w:rPr>
          <w:b/>
          <w:szCs w:val="22"/>
        </w:rPr>
        <w:t>5.</w:t>
      </w:r>
      <w:r w:rsidRPr="00F91FD7">
        <w:rPr>
          <w:b/>
          <w:szCs w:val="22"/>
        </w:rPr>
        <w:tab/>
        <w:t xml:space="preserve">Kaip laikyti </w:t>
      </w:r>
      <w:proofErr w:type="spellStart"/>
      <w:r w:rsidRPr="00F91FD7">
        <w:rPr>
          <w:b/>
          <w:szCs w:val="22"/>
        </w:rPr>
        <w:t>Suvartar</w:t>
      </w:r>
      <w:proofErr w:type="spellEnd"/>
      <w:r w:rsidRPr="00F91FD7">
        <w:rPr>
          <w:b/>
          <w:szCs w:val="22"/>
        </w:rPr>
        <w:t xml:space="preserve"> </w:t>
      </w:r>
    </w:p>
    <w:p w14:paraId="0AE1EE62" w14:textId="77777777" w:rsidR="00DE3708" w:rsidRPr="0078402A" w:rsidRDefault="00DE3708" w:rsidP="00307CD6">
      <w:pPr>
        <w:spacing w:line="240" w:lineRule="auto"/>
        <w:contextualSpacing/>
        <w:rPr>
          <w:szCs w:val="22"/>
        </w:rPr>
      </w:pPr>
    </w:p>
    <w:p w14:paraId="1882E85E" w14:textId="77777777" w:rsidR="00DE3708" w:rsidRPr="00307CD6" w:rsidRDefault="00DE3708" w:rsidP="00307CD6">
      <w:pPr>
        <w:spacing w:line="240" w:lineRule="auto"/>
        <w:contextualSpacing/>
        <w:rPr>
          <w:szCs w:val="22"/>
        </w:rPr>
      </w:pPr>
      <w:r w:rsidRPr="00307CD6">
        <w:rPr>
          <w:szCs w:val="22"/>
        </w:rPr>
        <w:lastRenderedPageBreak/>
        <w:t>Šį vaistą laikykite vaikams nepastebimoje ir nepasiekiamoje vietoje.</w:t>
      </w:r>
    </w:p>
    <w:p w14:paraId="71190B8D" w14:textId="77777777" w:rsidR="00DE3708" w:rsidRPr="00307CD6" w:rsidRDefault="00DE3708" w:rsidP="00307CD6">
      <w:pPr>
        <w:spacing w:line="240" w:lineRule="auto"/>
        <w:contextualSpacing/>
        <w:rPr>
          <w:szCs w:val="22"/>
        </w:rPr>
      </w:pPr>
    </w:p>
    <w:p w14:paraId="68DD2345" w14:textId="77777777" w:rsidR="00DE3708" w:rsidRPr="00F50D13" w:rsidRDefault="00DE3708" w:rsidP="00307CD6">
      <w:pPr>
        <w:spacing w:line="240" w:lineRule="auto"/>
        <w:contextualSpacing/>
        <w:rPr>
          <w:szCs w:val="22"/>
        </w:rPr>
      </w:pPr>
      <w:r w:rsidRPr="007F15BA">
        <w:rPr>
          <w:szCs w:val="22"/>
        </w:rPr>
        <w:t>Ant kartono dėžutės ir lizdinės plokštelės po „</w:t>
      </w:r>
      <w:r w:rsidR="00F50D13">
        <w:rPr>
          <w:szCs w:val="22"/>
        </w:rPr>
        <w:t xml:space="preserve"> EXP“</w:t>
      </w:r>
      <w:r w:rsidR="00617EBE">
        <w:rPr>
          <w:szCs w:val="22"/>
        </w:rPr>
        <w:t xml:space="preserve"> </w:t>
      </w:r>
      <w:r w:rsidRPr="00F50D13">
        <w:rPr>
          <w:szCs w:val="22"/>
        </w:rPr>
        <w:t>nurodytam tinkamumo laikui pasibaigus, šio vaisto vartoti negalima. Vaistas tinkamas vartoti iki paskutinės nurodyto mėnesio dienos.</w:t>
      </w:r>
    </w:p>
    <w:p w14:paraId="069F026F" w14:textId="77777777" w:rsidR="00DE3708" w:rsidRPr="00F50D13" w:rsidRDefault="00DE3708" w:rsidP="00307CD6">
      <w:pPr>
        <w:spacing w:line="240" w:lineRule="auto"/>
        <w:contextualSpacing/>
        <w:rPr>
          <w:szCs w:val="22"/>
        </w:rPr>
      </w:pPr>
    </w:p>
    <w:p w14:paraId="1D2D132D" w14:textId="77777777" w:rsidR="00DE3708" w:rsidRPr="00F50D13" w:rsidRDefault="00DE3708" w:rsidP="00307CD6">
      <w:pPr>
        <w:spacing w:line="240" w:lineRule="auto"/>
        <w:contextualSpacing/>
        <w:rPr>
          <w:szCs w:val="22"/>
        </w:rPr>
      </w:pPr>
      <w:r w:rsidRPr="00F91FD7">
        <w:rPr>
          <w:szCs w:val="22"/>
        </w:rPr>
        <w:t>Laikyti ne aukštesnėje kaip 30</w:t>
      </w:r>
      <w:r w:rsidR="00617EBE">
        <w:rPr>
          <w:szCs w:val="22"/>
        </w:rPr>
        <w:t> </w:t>
      </w:r>
      <w:r w:rsidRPr="00F50D13">
        <w:rPr>
          <w:szCs w:val="22"/>
        </w:rPr>
        <w:sym w:font="Symbol" w:char="F0B0"/>
      </w:r>
      <w:r w:rsidRPr="00F50D13">
        <w:rPr>
          <w:szCs w:val="22"/>
        </w:rPr>
        <w:t>C temperatūroje.</w:t>
      </w:r>
    </w:p>
    <w:p w14:paraId="65455753" w14:textId="77777777" w:rsidR="00DE3708" w:rsidRPr="00F50D13" w:rsidRDefault="00DE3708" w:rsidP="00307CD6">
      <w:pPr>
        <w:spacing w:line="240" w:lineRule="auto"/>
        <w:contextualSpacing/>
        <w:rPr>
          <w:szCs w:val="22"/>
        </w:rPr>
      </w:pPr>
      <w:r w:rsidRPr="00F50D13">
        <w:rPr>
          <w:szCs w:val="22"/>
        </w:rPr>
        <w:t>Laikyti gamintojo pakuotėje, kad vaistas būtų apsaugotas nuo drėgmės.</w:t>
      </w:r>
    </w:p>
    <w:p w14:paraId="3033EAE9" w14:textId="77777777" w:rsidR="00DE3708" w:rsidRPr="00F50D13" w:rsidRDefault="00DE3708" w:rsidP="00307CD6">
      <w:pPr>
        <w:spacing w:line="240" w:lineRule="auto"/>
        <w:contextualSpacing/>
        <w:rPr>
          <w:szCs w:val="22"/>
        </w:rPr>
      </w:pPr>
    </w:p>
    <w:p w14:paraId="52C7CBBA" w14:textId="77777777" w:rsidR="00DE3708" w:rsidRPr="00F91FD7" w:rsidRDefault="00DE3708" w:rsidP="00307CD6">
      <w:pPr>
        <w:spacing w:line="240" w:lineRule="auto"/>
        <w:contextualSpacing/>
        <w:rPr>
          <w:szCs w:val="22"/>
        </w:rPr>
      </w:pPr>
      <w:r w:rsidRPr="00F91FD7">
        <w:rPr>
          <w:szCs w:val="22"/>
        </w:rPr>
        <w:t>Pastebėjus, kad pažeista pakuotė ar yra matomų gedimo požymių, šio vaisto vartoti negalima.</w:t>
      </w:r>
    </w:p>
    <w:p w14:paraId="55DF8BAA" w14:textId="77777777" w:rsidR="00DE3708" w:rsidRPr="00F91FD7" w:rsidRDefault="00DE3708" w:rsidP="00307CD6">
      <w:pPr>
        <w:spacing w:line="240" w:lineRule="auto"/>
        <w:contextualSpacing/>
        <w:rPr>
          <w:szCs w:val="22"/>
        </w:rPr>
      </w:pPr>
    </w:p>
    <w:p w14:paraId="7BFDE494" w14:textId="77777777" w:rsidR="00DE3708" w:rsidRPr="00F50D13" w:rsidRDefault="00DE3708" w:rsidP="00307CD6">
      <w:pPr>
        <w:spacing w:line="240" w:lineRule="auto"/>
        <w:contextualSpacing/>
        <w:rPr>
          <w:szCs w:val="22"/>
        </w:rPr>
      </w:pPr>
      <w:r w:rsidRPr="0078402A">
        <w:rPr>
          <w:szCs w:val="22"/>
        </w:rPr>
        <w:t>Vaistų negalima išmesti į kanalizaciją arba su buitinėmis</w:t>
      </w:r>
      <w:r w:rsidRPr="001E6DB9">
        <w:rPr>
          <w:szCs w:val="22"/>
        </w:rPr>
        <w:t xml:space="preserve"> </w:t>
      </w:r>
      <w:r w:rsidRPr="00F50D13">
        <w:rPr>
          <w:szCs w:val="22"/>
        </w:rPr>
        <w:t>atliekomis. Kaip išmesti nereikalingus vaistus, klauskite vaistininko. Šios priemonės padės apsaugoti aplinką.</w:t>
      </w:r>
    </w:p>
    <w:p w14:paraId="5636EA37" w14:textId="77777777" w:rsidR="00DE3708" w:rsidRPr="00F50D13" w:rsidRDefault="00DE3708" w:rsidP="00307CD6">
      <w:pPr>
        <w:spacing w:line="240" w:lineRule="auto"/>
        <w:contextualSpacing/>
        <w:rPr>
          <w:szCs w:val="22"/>
        </w:rPr>
      </w:pPr>
    </w:p>
    <w:p w14:paraId="13C421EA" w14:textId="77777777" w:rsidR="00DE3708" w:rsidRPr="00F91FD7" w:rsidRDefault="00DE3708" w:rsidP="00307CD6">
      <w:pPr>
        <w:spacing w:line="240" w:lineRule="auto"/>
        <w:contextualSpacing/>
        <w:rPr>
          <w:szCs w:val="22"/>
        </w:rPr>
      </w:pPr>
    </w:p>
    <w:p w14:paraId="6655D0FE" w14:textId="77777777" w:rsidR="00DE3708" w:rsidRPr="00F91FD7" w:rsidRDefault="00DE3708" w:rsidP="00307CD6">
      <w:pPr>
        <w:spacing w:line="240" w:lineRule="auto"/>
        <w:contextualSpacing/>
        <w:rPr>
          <w:b/>
          <w:szCs w:val="22"/>
        </w:rPr>
      </w:pPr>
      <w:r w:rsidRPr="00F91FD7">
        <w:rPr>
          <w:b/>
          <w:szCs w:val="22"/>
        </w:rPr>
        <w:t>6.</w:t>
      </w:r>
      <w:r w:rsidRPr="00F91FD7">
        <w:rPr>
          <w:b/>
          <w:szCs w:val="22"/>
        </w:rPr>
        <w:tab/>
        <w:t>Pakuotės turinys ir kita informacija</w:t>
      </w:r>
    </w:p>
    <w:p w14:paraId="053F88F4" w14:textId="77777777" w:rsidR="00DE3708" w:rsidRPr="00F91FD7" w:rsidRDefault="00DE3708" w:rsidP="00307CD6">
      <w:pPr>
        <w:shd w:val="clear" w:color="auto" w:fill="FFFFFF"/>
        <w:spacing w:line="240" w:lineRule="auto"/>
        <w:contextualSpacing/>
        <w:rPr>
          <w:b/>
          <w:szCs w:val="22"/>
        </w:rPr>
      </w:pPr>
    </w:p>
    <w:p w14:paraId="7175A299" w14:textId="77777777" w:rsidR="00DE3708" w:rsidRPr="0078402A" w:rsidRDefault="00DE3708" w:rsidP="00307CD6">
      <w:pPr>
        <w:shd w:val="clear" w:color="auto" w:fill="FFFFFF"/>
        <w:spacing w:line="240" w:lineRule="auto"/>
        <w:contextualSpacing/>
        <w:rPr>
          <w:b/>
          <w:szCs w:val="22"/>
        </w:rPr>
      </w:pPr>
      <w:proofErr w:type="spellStart"/>
      <w:r w:rsidRPr="0078402A">
        <w:rPr>
          <w:b/>
          <w:szCs w:val="22"/>
        </w:rPr>
        <w:t>Suvartar</w:t>
      </w:r>
      <w:proofErr w:type="spellEnd"/>
      <w:r w:rsidRPr="0078402A">
        <w:rPr>
          <w:b/>
          <w:szCs w:val="22"/>
        </w:rPr>
        <w:t xml:space="preserve"> sudėtis</w:t>
      </w:r>
    </w:p>
    <w:p w14:paraId="48EBBCFF" w14:textId="77777777" w:rsidR="00DE3708" w:rsidRPr="00617EBE" w:rsidRDefault="00DE3708" w:rsidP="00307CD6">
      <w:pPr>
        <w:numPr>
          <w:ilvl w:val="0"/>
          <w:numId w:val="19"/>
        </w:numPr>
        <w:shd w:val="clear" w:color="auto" w:fill="FFFFFF"/>
        <w:spacing w:line="240" w:lineRule="auto"/>
        <w:contextualSpacing/>
        <w:rPr>
          <w:szCs w:val="22"/>
        </w:rPr>
      </w:pPr>
      <w:r w:rsidRPr="00617EBE">
        <w:rPr>
          <w:szCs w:val="22"/>
        </w:rPr>
        <w:t xml:space="preserve">Veiklioji medžiaga yra valsartanas. </w:t>
      </w:r>
    </w:p>
    <w:p w14:paraId="16BE4E64" w14:textId="77777777" w:rsidR="00DE3708" w:rsidRPr="00157287" w:rsidRDefault="00DE3708" w:rsidP="001E6DB9">
      <w:pPr>
        <w:shd w:val="clear" w:color="auto" w:fill="FFFFFF"/>
        <w:spacing w:line="240" w:lineRule="auto"/>
        <w:ind w:firstLine="567"/>
        <w:contextualSpacing/>
        <w:rPr>
          <w:szCs w:val="22"/>
        </w:rPr>
      </w:pPr>
      <w:r w:rsidRPr="00157287">
        <w:rPr>
          <w:szCs w:val="22"/>
        </w:rPr>
        <w:t>Kiekvienoje plėvele dengtoje tabletėje yra 80 mg valsartano.</w:t>
      </w:r>
    </w:p>
    <w:p w14:paraId="1DD21E4F" w14:textId="77777777" w:rsidR="00DE3708" w:rsidRPr="001E6DB9" w:rsidRDefault="00DE3708" w:rsidP="001E6DB9">
      <w:pPr>
        <w:shd w:val="clear" w:color="auto" w:fill="FFFFFF"/>
        <w:spacing w:line="240" w:lineRule="auto"/>
        <w:ind w:firstLine="567"/>
        <w:contextualSpacing/>
        <w:rPr>
          <w:szCs w:val="22"/>
          <w:highlight w:val="lightGray"/>
        </w:rPr>
      </w:pPr>
      <w:r w:rsidRPr="001E6DB9">
        <w:rPr>
          <w:szCs w:val="22"/>
          <w:highlight w:val="lightGray"/>
        </w:rPr>
        <w:t>Kiekvienoje plėvele dengtoje tabletėje yra 160 mg valsartano.</w:t>
      </w:r>
    </w:p>
    <w:p w14:paraId="20E17738" w14:textId="77777777" w:rsidR="00DE3708" w:rsidRPr="001E6DB9" w:rsidRDefault="00DE3708" w:rsidP="001E6DB9">
      <w:pPr>
        <w:shd w:val="clear" w:color="auto" w:fill="FFFFFF"/>
        <w:spacing w:line="240" w:lineRule="auto"/>
        <w:ind w:firstLine="567"/>
        <w:contextualSpacing/>
        <w:rPr>
          <w:szCs w:val="22"/>
          <w:highlight w:val="lightGray"/>
        </w:rPr>
      </w:pPr>
      <w:r w:rsidRPr="001E6DB9">
        <w:rPr>
          <w:szCs w:val="22"/>
          <w:highlight w:val="lightGray"/>
        </w:rPr>
        <w:t>Kiekvienoje plėvele dengtoje tabletėje yra 320 mg valsartano.</w:t>
      </w:r>
    </w:p>
    <w:p w14:paraId="04A773DE" w14:textId="77777777" w:rsidR="00DE3708" w:rsidRPr="00F50D13" w:rsidRDefault="00DE3708" w:rsidP="00307CD6">
      <w:pPr>
        <w:shd w:val="clear" w:color="auto" w:fill="FFFFFF"/>
        <w:spacing w:line="240" w:lineRule="auto"/>
        <w:ind w:left="567" w:hanging="567"/>
        <w:contextualSpacing/>
        <w:rPr>
          <w:szCs w:val="22"/>
        </w:rPr>
      </w:pPr>
    </w:p>
    <w:p w14:paraId="2714BAEE" w14:textId="77777777" w:rsidR="00DE3708" w:rsidRPr="00F91FD7" w:rsidRDefault="00DE3708" w:rsidP="00307CD6">
      <w:pPr>
        <w:numPr>
          <w:ilvl w:val="0"/>
          <w:numId w:val="19"/>
        </w:numPr>
        <w:shd w:val="clear" w:color="auto" w:fill="FFFFFF"/>
        <w:tabs>
          <w:tab w:val="left" w:pos="0"/>
        </w:tabs>
        <w:spacing w:line="240" w:lineRule="auto"/>
        <w:contextualSpacing/>
        <w:rPr>
          <w:szCs w:val="22"/>
        </w:rPr>
      </w:pPr>
      <w:r w:rsidRPr="00F91FD7">
        <w:rPr>
          <w:szCs w:val="22"/>
        </w:rPr>
        <w:t>Pagalbinės medžiagos.</w:t>
      </w:r>
    </w:p>
    <w:p w14:paraId="6154078A" w14:textId="77777777" w:rsidR="00DE3708" w:rsidRPr="0078402A" w:rsidRDefault="00DE3708" w:rsidP="00307CD6">
      <w:pPr>
        <w:shd w:val="clear" w:color="auto" w:fill="FFFFFF"/>
        <w:spacing w:line="240" w:lineRule="auto"/>
        <w:ind w:left="567"/>
        <w:contextualSpacing/>
        <w:rPr>
          <w:szCs w:val="22"/>
        </w:rPr>
      </w:pPr>
      <w:r w:rsidRPr="00F91FD7">
        <w:rPr>
          <w:i/>
          <w:szCs w:val="22"/>
        </w:rPr>
        <w:t>Tabletės branduolys</w:t>
      </w:r>
      <w:r w:rsidRPr="0078402A">
        <w:rPr>
          <w:szCs w:val="22"/>
        </w:rPr>
        <w:t>: mikrokristalinė celiuliozė, krospovidonas, bevandenis koloidinis silicio dioksidas, magnio stearatas.</w:t>
      </w:r>
    </w:p>
    <w:p w14:paraId="6FB2131E" w14:textId="77777777" w:rsidR="00DE3708" w:rsidRPr="00F50D13" w:rsidRDefault="00DE3708" w:rsidP="00307CD6">
      <w:pPr>
        <w:shd w:val="clear" w:color="auto" w:fill="FFFFFF"/>
        <w:spacing w:line="240" w:lineRule="auto"/>
        <w:ind w:left="567"/>
        <w:contextualSpacing/>
        <w:rPr>
          <w:i/>
          <w:szCs w:val="22"/>
        </w:rPr>
      </w:pPr>
      <w:r w:rsidRPr="00307CD6">
        <w:rPr>
          <w:i/>
          <w:szCs w:val="22"/>
        </w:rPr>
        <w:t xml:space="preserve">Tabletės plėvelė: </w:t>
      </w:r>
      <w:r w:rsidRPr="00157287">
        <w:rPr>
          <w:szCs w:val="22"/>
        </w:rPr>
        <w:t>hipromeliozė, titano dioksidas (E171), makrogolis 8000, raudonasis geležies oksidas (E172), geltonasis geležies oksidas (E172);</w:t>
      </w:r>
      <w:r w:rsidRPr="00157287">
        <w:rPr>
          <w:i/>
          <w:szCs w:val="22"/>
        </w:rPr>
        <w:t xml:space="preserve"> </w:t>
      </w:r>
      <w:r w:rsidRPr="001E6DB9">
        <w:rPr>
          <w:i/>
          <w:szCs w:val="22"/>
          <w:highlight w:val="lightGray"/>
        </w:rPr>
        <w:t xml:space="preserve">papildomai </w:t>
      </w:r>
      <w:proofErr w:type="spellStart"/>
      <w:r w:rsidRPr="001E6DB9">
        <w:rPr>
          <w:i/>
          <w:szCs w:val="22"/>
          <w:highlight w:val="lightGray"/>
        </w:rPr>
        <w:t>Suvartar</w:t>
      </w:r>
      <w:proofErr w:type="spellEnd"/>
      <w:r w:rsidRPr="001E6DB9">
        <w:rPr>
          <w:i/>
          <w:szCs w:val="22"/>
          <w:highlight w:val="lightGray"/>
        </w:rPr>
        <w:t xml:space="preserve"> 160 mg ir 320 mg plėvele dengtose tabletėse:</w:t>
      </w:r>
      <w:r w:rsidRPr="00F50D13">
        <w:rPr>
          <w:i/>
          <w:szCs w:val="22"/>
          <w:highlight w:val="lightGray"/>
        </w:rPr>
        <w:t xml:space="preserve"> </w:t>
      </w:r>
      <w:r w:rsidRPr="001E6DB9">
        <w:rPr>
          <w:i/>
          <w:szCs w:val="22"/>
          <w:highlight w:val="lightGray"/>
        </w:rPr>
        <w:t>juodasis geležies oksidas (E172)</w:t>
      </w:r>
      <w:r w:rsidRPr="00F50D13">
        <w:rPr>
          <w:szCs w:val="22"/>
        </w:rPr>
        <w:t>.</w:t>
      </w:r>
      <w:r w:rsidRPr="00F50D13">
        <w:rPr>
          <w:i/>
          <w:szCs w:val="22"/>
        </w:rPr>
        <w:t xml:space="preserve"> </w:t>
      </w:r>
    </w:p>
    <w:p w14:paraId="1D946BDF" w14:textId="77777777" w:rsidR="00DE3708" w:rsidRPr="00F50D13" w:rsidRDefault="00DE3708" w:rsidP="00307CD6">
      <w:pPr>
        <w:shd w:val="clear" w:color="auto" w:fill="FFFFFF"/>
        <w:spacing w:line="240" w:lineRule="auto"/>
        <w:contextualSpacing/>
        <w:rPr>
          <w:szCs w:val="22"/>
        </w:rPr>
      </w:pPr>
    </w:p>
    <w:p w14:paraId="61FB1B28" w14:textId="77777777" w:rsidR="00DE3708" w:rsidRPr="00F91FD7" w:rsidRDefault="00DE3708" w:rsidP="00307CD6">
      <w:pPr>
        <w:shd w:val="clear" w:color="auto" w:fill="FFFFFF"/>
        <w:spacing w:line="240" w:lineRule="auto"/>
        <w:contextualSpacing/>
        <w:rPr>
          <w:b/>
          <w:szCs w:val="22"/>
        </w:rPr>
      </w:pPr>
      <w:proofErr w:type="spellStart"/>
      <w:r w:rsidRPr="00F91FD7">
        <w:rPr>
          <w:b/>
          <w:szCs w:val="22"/>
        </w:rPr>
        <w:t>Suvartar</w:t>
      </w:r>
      <w:proofErr w:type="spellEnd"/>
      <w:r w:rsidRPr="00F91FD7">
        <w:rPr>
          <w:b/>
          <w:szCs w:val="22"/>
        </w:rPr>
        <w:t xml:space="preserve"> išvaizda ir kiekis pakuotėje</w:t>
      </w:r>
    </w:p>
    <w:p w14:paraId="794DC2DE" w14:textId="77777777" w:rsidR="00DE3708" w:rsidRPr="00F91FD7" w:rsidRDefault="00DE3708" w:rsidP="00307CD6">
      <w:pPr>
        <w:shd w:val="clear" w:color="auto" w:fill="FFFFFF"/>
        <w:spacing w:line="240" w:lineRule="auto"/>
        <w:contextualSpacing/>
        <w:rPr>
          <w:i/>
          <w:szCs w:val="22"/>
        </w:rPr>
      </w:pPr>
      <w:proofErr w:type="spellStart"/>
      <w:r w:rsidRPr="00F91FD7">
        <w:rPr>
          <w:i/>
          <w:szCs w:val="22"/>
        </w:rPr>
        <w:t>Suvartar</w:t>
      </w:r>
      <w:proofErr w:type="spellEnd"/>
      <w:r w:rsidRPr="00F91FD7">
        <w:rPr>
          <w:i/>
          <w:szCs w:val="22"/>
        </w:rPr>
        <w:t xml:space="preserve"> 80 mg plėvele dengtos tabletės </w:t>
      </w:r>
    </w:p>
    <w:p w14:paraId="3739A9B9" w14:textId="77777777" w:rsidR="00DE3708" w:rsidRPr="0078402A" w:rsidRDefault="00DE3708" w:rsidP="00307CD6">
      <w:pPr>
        <w:shd w:val="clear" w:color="auto" w:fill="FFFFFF"/>
        <w:spacing w:line="240" w:lineRule="auto"/>
        <w:contextualSpacing/>
        <w:rPr>
          <w:szCs w:val="22"/>
        </w:rPr>
      </w:pPr>
      <w:r w:rsidRPr="00F91FD7">
        <w:rPr>
          <w:szCs w:val="22"/>
        </w:rPr>
        <w:t>Tabletė yra rausva, apvali, maždaug 8,2 mm diametro, dengta plėvele, nuožulniais kraštais, vienoje jos pusėje yra vagelė, šalia kurios iš v</w:t>
      </w:r>
      <w:r w:rsidRPr="0078402A">
        <w:rPr>
          <w:szCs w:val="22"/>
        </w:rPr>
        <w:t>ienos pusės įspausta raidė „D“, iš kitos – „V“, kitoje tabletės pusėje įspaustos raidės „NVR“.</w:t>
      </w:r>
    </w:p>
    <w:p w14:paraId="3A30E76A" w14:textId="77777777" w:rsidR="00DE3708" w:rsidRPr="00307CD6" w:rsidRDefault="00DE3708" w:rsidP="00307CD6">
      <w:pPr>
        <w:shd w:val="clear" w:color="auto" w:fill="FFFFFF"/>
        <w:spacing w:line="240" w:lineRule="auto"/>
        <w:contextualSpacing/>
        <w:rPr>
          <w:b/>
          <w:szCs w:val="22"/>
        </w:rPr>
      </w:pPr>
      <w:r w:rsidRPr="00307CD6">
        <w:rPr>
          <w:szCs w:val="22"/>
        </w:rPr>
        <w:t xml:space="preserve">Vagelė skirta tik tabletei perlaužti, kad būtų lengviau nuryti, bet ne jai padalyti į lygias </w:t>
      </w:r>
      <w:r w:rsidR="001E6DB9">
        <w:rPr>
          <w:szCs w:val="22"/>
        </w:rPr>
        <w:t>puses</w:t>
      </w:r>
      <w:r w:rsidRPr="00307CD6">
        <w:rPr>
          <w:szCs w:val="22"/>
        </w:rPr>
        <w:t>.</w:t>
      </w:r>
    </w:p>
    <w:p w14:paraId="012A92BF" w14:textId="77777777" w:rsidR="00DE3708" w:rsidRPr="007F15BA" w:rsidRDefault="00DE3708" w:rsidP="00307CD6">
      <w:pPr>
        <w:shd w:val="clear" w:color="auto" w:fill="FFFFFF"/>
        <w:spacing w:line="240" w:lineRule="auto"/>
        <w:contextualSpacing/>
        <w:rPr>
          <w:szCs w:val="22"/>
        </w:rPr>
      </w:pPr>
    </w:p>
    <w:p w14:paraId="594C5691"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160 mg plėvele dengtos tabletės </w:t>
      </w:r>
    </w:p>
    <w:p w14:paraId="60A1E6D2"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Tabletė yra pilkai oranžinė, ovali, maždaug </w:t>
      </w:r>
      <w:r w:rsidRPr="001E6DB9">
        <w:rPr>
          <w:bCs/>
          <w:szCs w:val="22"/>
          <w:highlight w:val="lightGray"/>
        </w:rPr>
        <w:t>14,2 mm x 5,7 mm,</w:t>
      </w:r>
      <w:r w:rsidRPr="001E6DB9">
        <w:rPr>
          <w:szCs w:val="22"/>
          <w:highlight w:val="lightGray"/>
        </w:rPr>
        <w:t xml:space="preserve"> dengta plėvele, šiek tiek išgaubta, vienoje jos pusėje yra vagelė, šalia kurios iš abiejų pusių įspaustos raidės „DX“, kitoje tabletės pusėje įspaustos raidės „NVR“.</w:t>
      </w:r>
    </w:p>
    <w:p w14:paraId="3E20EC0B" w14:textId="77777777" w:rsidR="00DE3708" w:rsidRPr="001E6DB9" w:rsidRDefault="00DE3708" w:rsidP="00307CD6">
      <w:pPr>
        <w:shd w:val="clear" w:color="auto" w:fill="FFFFFF"/>
        <w:spacing w:line="240" w:lineRule="auto"/>
        <w:contextualSpacing/>
        <w:rPr>
          <w:b/>
          <w:szCs w:val="22"/>
          <w:highlight w:val="lightGray"/>
        </w:rPr>
      </w:pPr>
      <w:r w:rsidRPr="001E6DB9">
        <w:rPr>
          <w:szCs w:val="22"/>
          <w:highlight w:val="lightGray"/>
        </w:rPr>
        <w:t>Vagelė skirta tik tabletei perlaužti, kad būtų lengviau nuryti, bet ne jai padalyti į lygias dozes.</w:t>
      </w:r>
    </w:p>
    <w:p w14:paraId="100C2F1A" w14:textId="77777777" w:rsidR="00DE3708" w:rsidRPr="001E6DB9" w:rsidRDefault="00DE3708" w:rsidP="00307CD6">
      <w:pPr>
        <w:shd w:val="clear" w:color="auto" w:fill="FFFFFF"/>
        <w:spacing w:line="240" w:lineRule="auto"/>
        <w:contextualSpacing/>
        <w:rPr>
          <w:szCs w:val="22"/>
          <w:highlight w:val="lightGray"/>
        </w:rPr>
      </w:pPr>
    </w:p>
    <w:p w14:paraId="3E77A866"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320 mg plėvele dengtos tabletės </w:t>
      </w:r>
    </w:p>
    <w:p w14:paraId="0F84347D"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Tabletė yra pilkai violetinė, ovali, maždaug </w:t>
      </w:r>
      <w:r w:rsidRPr="001E6DB9">
        <w:rPr>
          <w:bCs/>
          <w:szCs w:val="22"/>
          <w:highlight w:val="lightGray"/>
        </w:rPr>
        <w:t xml:space="preserve">17,6 mm x 8,1 mm, </w:t>
      </w:r>
      <w:r w:rsidRPr="001E6DB9">
        <w:rPr>
          <w:szCs w:val="22"/>
          <w:highlight w:val="lightGray"/>
        </w:rPr>
        <w:t>dengta plėvele, šiek tiek išgaubta, nuožulniais kraštais, vienoje jos pusėje yra vagelė, šalia kurios iš abiejų pusių įspaustos raidės „DC“, kitoje tabletės pusėje įspaustos raidės „NVR“.</w:t>
      </w:r>
    </w:p>
    <w:p w14:paraId="5DDE544F" w14:textId="77777777" w:rsidR="00DE3708" w:rsidRPr="00F50D13" w:rsidRDefault="00DE3708" w:rsidP="00307CD6">
      <w:pPr>
        <w:shd w:val="clear" w:color="auto" w:fill="FFFFFF"/>
        <w:spacing w:line="240" w:lineRule="auto"/>
        <w:contextualSpacing/>
        <w:rPr>
          <w:b/>
          <w:szCs w:val="22"/>
        </w:rPr>
      </w:pPr>
      <w:r w:rsidRPr="001E6DB9">
        <w:rPr>
          <w:szCs w:val="22"/>
          <w:highlight w:val="lightGray"/>
        </w:rPr>
        <w:t>Vagelė skirta tik tabletei perlaužti, kad būtų lengviau nuryti, bet ne jai padalyti į lygias dozes.</w:t>
      </w:r>
    </w:p>
    <w:p w14:paraId="35553DAE" w14:textId="77777777" w:rsidR="00DE3708" w:rsidRPr="00F50D13" w:rsidRDefault="00DE3708" w:rsidP="00307CD6">
      <w:pPr>
        <w:spacing w:line="240" w:lineRule="auto"/>
        <w:contextualSpacing/>
        <w:rPr>
          <w:szCs w:val="22"/>
        </w:rPr>
      </w:pPr>
    </w:p>
    <w:p w14:paraId="222C1407" w14:textId="77777777" w:rsidR="00DE3708" w:rsidRPr="00F91FD7" w:rsidRDefault="00DE3708" w:rsidP="00307CD6">
      <w:pPr>
        <w:spacing w:line="240" w:lineRule="auto"/>
        <w:contextualSpacing/>
        <w:rPr>
          <w:szCs w:val="22"/>
        </w:rPr>
      </w:pPr>
      <w:r w:rsidRPr="00F91FD7">
        <w:rPr>
          <w:szCs w:val="22"/>
        </w:rPr>
        <w:t>Pakuotės dydžiai: vienoje pakuotėje yra 7, 10, 14, 15, 20, 28, 30, 50, 50x1, 56, 60, 84, 90, 98, 100 arba 280 plėvele dengtų tablečių.</w:t>
      </w:r>
    </w:p>
    <w:p w14:paraId="100925E4" w14:textId="77777777" w:rsidR="00DE3708" w:rsidRPr="00F91FD7" w:rsidRDefault="00DE3708" w:rsidP="00307CD6">
      <w:pPr>
        <w:tabs>
          <w:tab w:val="left" w:pos="0"/>
        </w:tabs>
        <w:spacing w:line="240" w:lineRule="auto"/>
        <w:contextualSpacing/>
        <w:rPr>
          <w:i/>
          <w:szCs w:val="22"/>
        </w:rPr>
      </w:pPr>
    </w:p>
    <w:p w14:paraId="49FF4B08" w14:textId="77777777" w:rsidR="00DE3708" w:rsidRPr="0078402A" w:rsidRDefault="00DE3708" w:rsidP="00307CD6">
      <w:pPr>
        <w:tabs>
          <w:tab w:val="left" w:pos="0"/>
        </w:tabs>
        <w:spacing w:line="240" w:lineRule="auto"/>
        <w:contextualSpacing/>
        <w:rPr>
          <w:szCs w:val="22"/>
        </w:rPr>
      </w:pPr>
      <w:r w:rsidRPr="0078402A">
        <w:rPr>
          <w:szCs w:val="22"/>
        </w:rPr>
        <w:t>Gali būti tiekiamos ne visų dydžių pakuotės</w:t>
      </w:r>
    </w:p>
    <w:p w14:paraId="61EE5C61" w14:textId="77777777" w:rsidR="00DE3708" w:rsidRPr="00307CD6" w:rsidRDefault="00DE3708" w:rsidP="00307CD6">
      <w:pPr>
        <w:tabs>
          <w:tab w:val="left" w:pos="0"/>
        </w:tabs>
        <w:spacing w:line="240" w:lineRule="auto"/>
        <w:contextualSpacing/>
        <w:rPr>
          <w:b/>
          <w:szCs w:val="22"/>
        </w:rPr>
      </w:pPr>
    </w:p>
    <w:p w14:paraId="105AD35A" w14:textId="77777777" w:rsidR="00DE3708" w:rsidRPr="00307CD6" w:rsidRDefault="00DE3708" w:rsidP="00307CD6">
      <w:pPr>
        <w:tabs>
          <w:tab w:val="left" w:pos="0"/>
        </w:tabs>
        <w:spacing w:line="240" w:lineRule="auto"/>
        <w:contextualSpacing/>
        <w:rPr>
          <w:b/>
          <w:szCs w:val="22"/>
        </w:rPr>
      </w:pPr>
      <w:r w:rsidRPr="00307CD6">
        <w:rPr>
          <w:b/>
          <w:szCs w:val="22"/>
        </w:rPr>
        <w:t>Registruotojas ir gamintojas</w:t>
      </w:r>
    </w:p>
    <w:p w14:paraId="076ADC92" w14:textId="77777777" w:rsidR="00DE3708" w:rsidRPr="007F15BA" w:rsidRDefault="00DE3708" w:rsidP="00307CD6">
      <w:pPr>
        <w:tabs>
          <w:tab w:val="left" w:pos="0"/>
        </w:tabs>
        <w:spacing w:line="240" w:lineRule="auto"/>
        <w:contextualSpacing/>
        <w:rPr>
          <w:i/>
          <w:szCs w:val="22"/>
        </w:rPr>
      </w:pPr>
    </w:p>
    <w:p w14:paraId="299C7B59" w14:textId="77777777" w:rsidR="00DE3708" w:rsidRPr="007F15BA" w:rsidRDefault="00DE3708" w:rsidP="00307CD6">
      <w:pPr>
        <w:tabs>
          <w:tab w:val="left" w:pos="0"/>
        </w:tabs>
        <w:spacing w:line="240" w:lineRule="auto"/>
        <w:contextualSpacing/>
        <w:rPr>
          <w:i/>
          <w:szCs w:val="22"/>
        </w:rPr>
      </w:pPr>
      <w:r w:rsidRPr="007F15BA">
        <w:rPr>
          <w:i/>
          <w:szCs w:val="22"/>
        </w:rPr>
        <w:t>Registruotojas</w:t>
      </w:r>
    </w:p>
    <w:p w14:paraId="7334C28C" w14:textId="77777777" w:rsidR="00DE3708" w:rsidRPr="00D36517" w:rsidRDefault="00DE3708" w:rsidP="00307CD6">
      <w:pPr>
        <w:spacing w:line="240" w:lineRule="auto"/>
        <w:contextualSpacing/>
        <w:rPr>
          <w:szCs w:val="22"/>
        </w:rPr>
      </w:pPr>
      <w:proofErr w:type="spellStart"/>
      <w:r w:rsidRPr="00D36517">
        <w:rPr>
          <w:szCs w:val="22"/>
        </w:rPr>
        <w:lastRenderedPageBreak/>
        <w:t>Sandoz</w:t>
      </w:r>
      <w:proofErr w:type="spellEnd"/>
      <w:r w:rsidRPr="00D36517">
        <w:rPr>
          <w:szCs w:val="22"/>
        </w:rPr>
        <w:t xml:space="preserve"> </w:t>
      </w:r>
      <w:proofErr w:type="spellStart"/>
      <w:r w:rsidRPr="00D36517">
        <w:rPr>
          <w:szCs w:val="22"/>
        </w:rPr>
        <w:t>d.d</w:t>
      </w:r>
      <w:proofErr w:type="spellEnd"/>
      <w:r w:rsidRPr="00D36517">
        <w:rPr>
          <w:szCs w:val="22"/>
        </w:rPr>
        <w:t xml:space="preserve">. </w:t>
      </w:r>
      <w:r w:rsidRPr="00D36517">
        <w:rPr>
          <w:szCs w:val="22"/>
        </w:rPr>
        <w:br/>
      </w:r>
      <w:proofErr w:type="spellStart"/>
      <w:r w:rsidRPr="00D36517">
        <w:rPr>
          <w:szCs w:val="22"/>
        </w:rPr>
        <w:t>Verovškova</w:t>
      </w:r>
      <w:proofErr w:type="spellEnd"/>
      <w:r w:rsidRPr="00D36517">
        <w:rPr>
          <w:szCs w:val="22"/>
        </w:rPr>
        <w:t xml:space="preserve"> 57</w:t>
      </w:r>
    </w:p>
    <w:p w14:paraId="4A185E0F" w14:textId="77777777" w:rsidR="00DE3708" w:rsidRPr="00D36517" w:rsidRDefault="00DE3708" w:rsidP="00307CD6">
      <w:pPr>
        <w:spacing w:line="240" w:lineRule="auto"/>
        <w:contextualSpacing/>
        <w:rPr>
          <w:szCs w:val="22"/>
        </w:rPr>
      </w:pPr>
      <w:r w:rsidRPr="00D36517">
        <w:rPr>
          <w:szCs w:val="22"/>
        </w:rPr>
        <w:t xml:space="preserve">SI-1000 </w:t>
      </w:r>
      <w:proofErr w:type="spellStart"/>
      <w:r w:rsidRPr="00D36517">
        <w:rPr>
          <w:szCs w:val="22"/>
        </w:rPr>
        <w:t>Ljubljana</w:t>
      </w:r>
      <w:proofErr w:type="spellEnd"/>
      <w:r w:rsidRPr="00D36517">
        <w:rPr>
          <w:szCs w:val="22"/>
        </w:rPr>
        <w:t xml:space="preserve"> </w:t>
      </w:r>
      <w:r w:rsidRPr="00D36517">
        <w:rPr>
          <w:szCs w:val="22"/>
        </w:rPr>
        <w:br/>
        <w:t>Slovėnija</w:t>
      </w:r>
    </w:p>
    <w:p w14:paraId="23DD4030" w14:textId="77777777" w:rsidR="00DE3708" w:rsidRPr="009F455C" w:rsidRDefault="00DE3708" w:rsidP="00307CD6">
      <w:pPr>
        <w:tabs>
          <w:tab w:val="left" w:pos="1260"/>
        </w:tabs>
        <w:spacing w:line="240" w:lineRule="auto"/>
        <w:contextualSpacing/>
        <w:rPr>
          <w:szCs w:val="22"/>
        </w:rPr>
      </w:pPr>
    </w:p>
    <w:p w14:paraId="79F44A00" w14:textId="77777777" w:rsidR="00DE3708" w:rsidRPr="00FB60E5" w:rsidRDefault="00DE3708" w:rsidP="00307CD6">
      <w:pPr>
        <w:tabs>
          <w:tab w:val="left" w:pos="1260"/>
        </w:tabs>
        <w:spacing w:line="240" w:lineRule="auto"/>
        <w:contextualSpacing/>
        <w:rPr>
          <w:i/>
          <w:szCs w:val="22"/>
        </w:rPr>
      </w:pPr>
      <w:r w:rsidRPr="00FB60E5">
        <w:rPr>
          <w:i/>
          <w:szCs w:val="22"/>
        </w:rPr>
        <w:t>Gamintojas</w:t>
      </w:r>
    </w:p>
    <w:p w14:paraId="2BC7D6AA" w14:textId="77777777" w:rsidR="00DE3708" w:rsidRPr="00FB60E5" w:rsidRDefault="00DE3708" w:rsidP="00307CD6">
      <w:pPr>
        <w:tabs>
          <w:tab w:val="left" w:pos="1260"/>
        </w:tabs>
        <w:spacing w:line="240" w:lineRule="auto"/>
        <w:contextualSpacing/>
        <w:rPr>
          <w:szCs w:val="22"/>
        </w:rPr>
      </w:pPr>
      <w:proofErr w:type="spellStart"/>
      <w:r w:rsidRPr="00FB60E5">
        <w:rPr>
          <w:szCs w:val="22"/>
        </w:rPr>
        <w:t>Salutas</w:t>
      </w:r>
      <w:proofErr w:type="spellEnd"/>
      <w:r w:rsidRPr="00FB60E5">
        <w:rPr>
          <w:szCs w:val="22"/>
        </w:rPr>
        <w:t xml:space="preserve"> Pharma </w:t>
      </w:r>
      <w:proofErr w:type="spellStart"/>
      <w:r w:rsidRPr="00FB60E5">
        <w:rPr>
          <w:szCs w:val="22"/>
        </w:rPr>
        <w:t>GmbH</w:t>
      </w:r>
      <w:proofErr w:type="spellEnd"/>
    </w:p>
    <w:p w14:paraId="2C830A8E" w14:textId="77777777" w:rsidR="00DE3708" w:rsidRPr="001765A8" w:rsidRDefault="00DE3708" w:rsidP="00307CD6">
      <w:pPr>
        <w:tabs>
          <w:tab w:val="left" w:pos="1260"/>
        </w:tabs>
        <w:spacing w:line="240" w:lineRule="auto"/>
        <w:contextualSpacing/>
        <w:rPr>
          <w:szCs w:val="22"/>
        </w:rPr>
      </w:pPr>
      <w:proofErr w:type="spellStart"/>
      <w:r w:rsidRPr="001765A8">
        <w:rPr>
          <w:szCs w:val="22"/>
        </w:rPr>
        <w:t>Otto-von-Guericke-Allee</w:t>
      </w:r>
      <w:proofErr w:type="spellEnd"/>
      <w:r w:rsidRPr="001765A8">
        <w:rPr>
          <w:szCs w:val="22"/>
        </w:rPr>
        <w:t xml:space="preserve"> 1, 39179 </w:t>
      </w:r>
      <w:proofErr w:type="spellStart"/>
      <w:r w:rsidRPr="001765A8">
        <w:rPr>
          <w:szCs w:val="22"/>
        </w:rPr>
        <w:t>Barleben</w:t>
      </w:r>
      <w:proofErr w:type="spellEnd"/>
    </w:p>
    <w:p w14:paraId="3A38B869" w14:textId="77777777" w:rsidR="00DE3708" w:rsidRPr="001E6DB9" w:rsidRDefault="00DE3708" w:rsidP="00307CD6">
      <w:pPr>
        <w:tabs>
          <w:tab w:val="left" w:pos="1260"/>
        </w:tabs>
        <w:spacing w:line="240" w:lineRule="auto"/>
        <w:contextualSpacing/>
        <w:rPr>
          <w:szCs w:val="22"/>
        </w:rPr>
      </w:pPr>
      <w:r w:rsidRPr="001E6DB9">
        <w:rPr>
          <w:szCs w:val="22"/>
        </w:rPr>
        <w:t>Vokietija</w:t>
      </w:r>
    </w:p>
    <w:p w14:paraId="2D077148" w14:textId="77777777" w:rsidR="00DE3708" w:rsidRPr="001E6DB9" w:rsidRDefault="00DE3708" w:rsidP="00307CD6">
      <w:pPr>
        <w:tabs>
          <w:tab w:val="left" w:pos="1260"/>
        </w:tabs>
        <w:spacing w:line="240" w:lineRule="auto"/>
        <w:contextualSpacing/>
        <w:rPr>
          <w:szCs w:val="22"/>
        </w:rPr>
      </w:pPr>
    </w:p>
    <w:p w14:paraId="1191A888" w14:textId="77777777" w:rsidR="00DE3708" w:rsidRPr="001E6DB9" w:rsidRDefault="00DE3708" w:rsidP="00307CD6">
      <w:pPr>
        <w:tabs>
          <w:tab w:val="left" w:pos="1260"/>
        </w:tabs>
        <w:spacing w:line="240" w:lineRule="auto"/>
        <w:contextualSpacing/>
        <w:rPr>
          <w:szCs w:val="22"/>
        </w:rPr>
      </w:pPr>
      <w:r w:rsidRPr="001E6DB9">
        <w:rPr>
          <w:szCs w:val="22"/>
        </w:rPr>
        <w:t>arba</w:t>
      </w:r>
    </w:p>
    <w:p w14:paraId="1BFB26ED" w14:textId="77777777" w:rsidR="00DE3708" w:rsidRPr="001E6DB9" w:rsidRDefault="00DE3708" w:rsidP="00307CD6">
      <w:pPr>
        <w:tabs>
          <w:tab w:val="left" w:pos="1260"/>
        </w:tabs>
        <w:spacing w:line="240" w:lineRule="auto"/>
        <w:contextualSpacing/>
        <w:rPr>
          <w:szCs w:val="22"/>
        </w:rPr>
      </w:pPr>
    </w:p>
    <w:p w14:paraId="0D110A72" w14:textId="77777777" w:rsidR="00DE3708" w:rsidRPr="001E6DB9" w:rsidRDefault="00DE3708" w:rsidP="00307CD6">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61CA81AB" w14:textId="77777777" w:rsidR="00DE3708" w:rsidRPr="001E6DB9" w:rsidRDefault="00DE3708" w:rsidP="00307CD6">
      <w:pPr>
        <w:tabs>
          <w:tab w:val="left" w:pos="1260"/>
        </w:tabs>
        <w:spacing w:line="240" w:lineRule="auto"/>
        <w:contextualSpacing/>
        <w:rPr>
          <w:szCs w:val="22"/>
        </w:rPr>
      </w:pPr>
      <w:proofErr w:type="spellStart"/>
      <w:r w:rsidRPr="001E6DB9">
        <w:rPr>
          <w:szCs w:val="22"/>
        </w:rPr>
        <w:t>Verovškova</w:t>
      </w:r>
      <w:proofErr w:type="spellEnd"/>
      <w:r w:rsidRPr="001E6DB9">
        <w:rPr>
          <w:szCs w:val="22"/>
        </w:rPr>
        <w:t xml:space="preserve"> 57, SI-1526 </w:t>
      </w:r>
      <w:proofErr w:type="spellStart"/>
      <w:r w:rsidRPr="001E6DB9">
        <w:rPr>
          <w:szCs w:val="22"/>
        </w:rPr>
        <w:t>Ljubljana</w:t>
      </w:r>
      <w:proofErr w:type="spellEnd"/>
    </w:p>
    <w:p w14:paraId="30DD5730" w14:textId="77777777" w:rsidR="00DE3708" w:rsidRPr="001E6DB9" w:rsidRDefault="00DE3708" w:rsidP="00307CD6">
      <w:pPr>
        <w:tabs>
          <w:tab w:val="left" w:pos="1260"/>
        </w:tabs>
        <w:spacing w:line="240" w:lineRule="auto"/>
        <w:contextualSpacing/>
        <w:rPr>
          <w:szCs w:val="22"/>
        </w:rPr>
      </w:pPr>
      <w:r w:rsidRPr="001E6DB9">
        <w:rPr>
          <w:szCs w:val="22"/>
        </w:rPr>
        <w:t>Slovėnija</w:t>
      </w:r>
    </w:p>
    <w:p w14:paraId="36668CA7" w14:textId="77777777" w:rsidR="00DE3708" w:rsidRPr="001E6DB9" w:rsidRDefault="00DE3708" w:rsidP="00307CD6">
      <w:pPr>
        <w:tabs>
          <w:tab w:val="left" w:pos="1260"/>
        </w:tabs>
        <w:spacing w:line="240" w:lineRule="auto"/>
        <w:contextualSpacing/>
        <w:rPr>
          <w:szCs w:val="22"/>
        </w:rPr>
      </w:pPr>
    </w:p>
    <w:p w14:paraId="172EAFB2" w14:textId="77777777" w:rsidR="00DE3708" w:rsidRPr="001E6DB9" w:rsidRDefault="00DE3708" w:rsidP="00307CD6">
      <w:pPr>
        <w:tabs>
          <w:tab w:val="left" w:pos="1260"/>
        </w:tabs>
        <w:spacing w:line="240" w:lineRule="auto"/>
        <w:contextualSpacing/>
        <w:rPr>
          <w:szCs w:val="22"/>
        </w:rPr>
      </w:pPr>
      <w:r w:rsidRPr="001E6DB9">
        <w:rPr>
          <w:szCs w:val="22"/>
        </w:rPr>
        <w:t>arba</w:t>
      </w:r>
    </w:p>
    <w:p w14:paraId="75170F03" w14:textId="77777777" w:rsidR="00DE3708" w:rsidRPr="001E6DB9" w:rsidRDefault="00DE3708" w:rsidP="00307CD6">
      <w:pPr>
        <w:tabs>
          <w:tab w:val="left" w:pos="1260"/>
        </w:tabs>
        <w:spacing w:line="240" w:lineRule="auto"/>
        <w:contextualSpacing/>
        <w:rPr>
          <w:szCs w:val="22"/>
        </w:rPr>
      </w:pPr>
    </w:p>
    <w:p w14:paraId="10A7CDA5" w14:textId="77777777" w:rsidR="00DE3708" w:rsidRPr="001E6DB9" w:rsidRDefault="00DE3708" w:rsidP="00307CD6">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1088E79F" w14:textId="77777777" w:rsidR="00DE3708" w:rsidRPr="001E6DB9" w:rsidRDefault="00DE3708" w:rsidP="00307CD6">
      <w:pPr>
        <w:tabs>
          <w:tab w:val="left" w:pos="1260"/>
        </w:tabs>
        <w:spacing w:line="240" w:lineRule="auto"/>
        <w:contextualSpacing/>
        <w:rPr>
          <w:szCs w:val="22"/>
        </w:rPr>
      </w:pPr>
      <w:proofErr w:type="spellStart"/>
      <w:r w:rsidRPr="001E6DB9">
        <w:rPr>
          <w:szCs w:val="22"/>
        </w:rPr>
        <w:t>Trimlini</w:t>
      </w:r>
      <w:proofErr w:type="spellEnd"/>
      <w:r w:rsidRPr="001E6DB9">
        <w:rPr>
          <w:szCs w:val="22"/>
        </w:rPr>
        <w:t xml:space="preserve"> 2 D, 9220 </w:t>
      </w:r>
      <w:proofErr w:type="spellStart"/>
      <w:r w:rsidRPr="001E6DB9">
        <w:rPr>
          <w:szCs w:val="22"/>
        </w:rPr>
        <w:t>Lendava</w:t>
      </w:r>
      <w:proofErr w:type="spellEnd"/>
      <w:r w:rsidRPr="001E6DB9">
        <w:rPr>
          <w:szCs w:val="22"/>
        </w:rPr>
        <w:t xml:space="preserve"> </w:t>
      </w:r>
    </w:p>
    <w:p w14:paraId="6F2A6679" w14:textId="77777777" w:rsidR="00DE3708" w:rsidRPr="001E6DB9" w:rsidRDefault="00DE3708" w:rsidP="00307CD6">
      <w:pPr>
        <w:tabs>
          <w:tab w:val="left" w:pos="1260"/>
        </w:tabs>
        <w:spacing w:line="240" w:lineRule="auto"/>
        <w:contextualSpacing/>
        <w:rPr>
          <w:szCs w:val="22"/>
        </w:rPr>
      </w:pPr>
      <w:r w:rsidRPr="001E6DB9">
        <w:rPr>
          <w:szCs w:val="22"/>
        </w:rPr>
        <w:t>Slovėnija</w:t>
      </w:r>
    </w:p>
    <w:p w14:paraId="48AA1423" w14:textId="77777777" w:rsidR="00DE3708" w:rsidRPr="001E6DB9" w:rsidRDefault="00DE3708" w:rsidP="00307CD6">
      <w:pPr>
        <w:tabs>
          <w:tab w:val="left" w:pos="1260"/>
        </w:tabs>
        <w:spacing w:line="240" w:lineRule="auto"/>
        <w:contextualSpacing/>
        <w:rPr>
          <w:szCs w:val="22"/>
        </w:rPr>
      </w:pPr>
    </w:p>
    <w:p w14:paraId="3FD35702" w14:textId="77777777" w:rsidR="00DE3708" w:rsidRPr="001E6DB9" w:rsidRDefault="00DE3708" w:rsidP="00307CD6">
      <w:pPr>
        <w:tabs>
          <w:tab w:val="left" w:pos="1260"/>
        </w:tabs>
        <w:spacing w:line="240" w:lineRule="auto"/>
        <w:contextualSpacing/>
        <w:rPr>
          <w:szCs w:val="22"/>
        </w:rPr>
      </w:pPr>
      <w:r w:rsidRPr="001E6DB9">
        <w:rPr>
          <w:szCs w:val="22"/>
        </w:rPr>
        <w:t>arba</w:t>
      </w:r>
    </w:p>
    <w:p w14:paraId="29BDCED4" w14:textId="77777777" w:rsidR="00DE3708" w:rsidRPr="001E6DB9" w:rsidRDefault="00DE3708" w:rsidP="00307CD6">
      <w:pPr>
        <w:tabs>
          <w:tab w:val="left" w:pos="1260"/>
        </w:tabs>
        <w:spacing w:line="240" w:lineRule="auto"/>
        <w:contextualSpacing/>
        <w:rPr>
          <w:szCs w:val="22"/>
        </w:rPr>
      </w:pPr>
    </w:p>
    <w:p w14:paraId="71B47274" w14:textId="77777777" w:rsidR="00DE3708" w:rsidRPr="001E6DB9" w:rsidRDefault="00DE3708" w:rsidP="00307CD6">
      <w:pPr>
        <w:tabs>
          <w:tab w:val="left" w:pos="1260"/>
        </w:tabs>
        <w:spacing w:line="240" w:lineRule="auto"/>
        <w:contextualSpacing/>
        <w:rPr>
          <w:szCs w:val="22"/>
        </w:rPr>
      </w:pPr>
      <w:r w:rsidRPr="001E6DB9">
        <w:rPr>
          <w:szCs w:val="22"/>
        </w:rPr>
        <w:t>LEK S.A.</w:t>
      </w:r>
    </w:p>
    <w:p w14:paraId="3297CB5F"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Podlipie</w:t>
      </w:r>
      <w:proofErr w:type="spellEnd"/>
      <w:r w:rsidRPr="001E6DB9">
        <w:rPr>
          <w:szCs w:val="22"/>
        </w:rPr>
        <w:t xml:space="preserve"> 16, 95-010 </w:t>
      </w:r>
      <w:proofErr w:type="spellStart"/>
      <w:r w:rsidRPr="001E6DB9">
        <w:rPr>
          <w:szCs w:val="22"/>
        </w:rPr>
        <w:t>Stryków</w:t>
      </w:r>
      <w:proofErr w:type="spellEnd"/>
    </w:p>
    <w:p w14:paraId="0461BF7A"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34FB5522" w14:textId="77777777" w:rsidR="00DE3708" w:rsidRPr="001E6DB9" w:rsidRDefault="00DE3708" w:rsidP="00307CD6">
      <w:pPr>
        <w:tabs>
          <w:tab w:val="left" w:pos="1260"/>
        </w:tabs>
        <w:spacing w:line="240" w:lineRule="auto"/>
        <w:contextualSpacing/>
        <w:rPr>
          <w:szCs w:val="22"/>
        </w:rPr>
      </w:pPr>
    </w:p>
    <w:p w14:paraId="28FDBA77" w14:textId="77777777" w:rsidR="00DE3708" w:rsidRPr="001E6DB9" w:rsidRDefault="00DE3708" w:rsidP="00307CD6">
      <w:pPr>
        <w:tabs>
          <w:tab w:val="left" w:pos="1260"/>
        </w:tabs>
        <w:spacing w:line="240" w:lineRule="auto"/>
        <w:contextualSpacing/>
        <w:rPr>
          <w:szCs w:val="22"/>
        </w:rPr>
      </w:pPr>
      <w:r w:rsidRPr="001E6DB9">
        <w:rPr>
          <w:szCs w:val="22"/>
        </w:rPr>
        <w:t>arba</w:t>
      </w:r>
    </w:p>
    <w:p w14:paraId="28E73B27" w14:textId="77777777" w:rsidR="00DE3708" w:rsidRPr="001E6DB9" w:rsidRDefault="00DE3708" w:rsidP="00307CD6">
      <w:pPr>
        <w:tabs>
          <w:tab w:val="left" w:pos="1260"/>
        </w:tabs>
        <w:spacing w:line="240" w:lineRule="auto"/>
        <w:contextualSpacing/>
        <w:rPr>
          <w:szCs w:val="22"/>
        </w:rPr>
      </w:pPr>
    </w:p>
    <w:p w14:paraId="49D50B6D" w14:textId="77777777" w:rsidR="00DE3708" w:rsidRPr="001E6DB9" w:rsidRDefault="00DE3708" w:rsidP="00307CD6">
      <w:pPr>
        <w:tabs>
          <w:tab w:val="left" w:pos="1260"/>
        </w:tabs>
        <w:spacing w:line="240" w:lineRule="auto"/>
        <w:contextualSpacing/>
        <w:rPr>
          <w:szCs w:val="22"/>
        </w:rPr>
      </w:pPr>
      <w:r w:rsidRPr="001E6DB9">
        <w:rPr>
          <w:szCs w:val="22"/>
        </w:rPr>
        <w:t>LEK S.A.</w:t>
      </w:r>
    </w:p>
    <w:p w14:paraId="0D2440A6"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Domaniewska</w:t>
      </w:r>
      <w:proofErr w:type="spellEnd"/>
      <w:r w:rsidRPr="001E6DB9">
        <w:rPr>
          <w:szCs w:val="22"/>
        </w:rPr>
        <w:t xml:space="preserve"> 50 C, 02-672 </w:t>
      </w:r>
      <w:proofErr w:type="spellStart"/>
      <w:r w:rsidRPr="001E6DB9">
        <w:rPr>
          <w:szCs w:val="22"/>
        </w:rPr>
        <w:t>Warszawa</w:t>
      </w:r>
      <w:proofErr w:type="spellEnd"/>
    </w:p>
    <w:p w14:paraId="42D0D0EF"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5FEC363E" w14:textId="77777777" w:rsidR="00DE3708" w:rsidRPr="001E6DB9" w:rsidRDefault="00DE3708" w:rsidP="00307CD6">
      <w:pPr>
        <w:spacing w:line="240" w:lineRule="auto"/>
        <w:contextualSpacing/>
        <w:rPr>
          <w:szCs w:val="22"/>
        </w:rPr>
      </w:pPr>
    </w:p>
    <w:p w14:paraId="03E9C510" w14:textId="77777777" w:rsidR="00DE3708" w:rsidRPr="001E6DB9" w:rsidRDefault="00DE3708" w:rsidP="00307CD6">
      <w:pPr>
        <w:tabs>
          <w:tab w:val="left" w:pos="1260"/>
        </w:tabs>
        <w:spacing w:line="240" w:lineRule="auto"/>
        <w:contextualSpacing/>
        <w:rPr>
          <w:szCs w:val="22"/>
        </w:rPr>
      </w:pPr>
      <w:r w:rsidRPr="001E6DB9">
        <w:rPr>
          <w:szCs w:val="22"/>
        </w:rPr>
        <w:t>arba</w:t>
      </w:r>
    </w:p>
    <w:p w14:paraId="3A39B6CD" w14:textId="77777777" w:rsidR="00DE3708" w:rsidRPr="001E6DB9" w:rsidRDefault="00DE3708" w:rsidP="00307CD6">
      <w:pPr>
        <w:tabs>
          <w:tab w:val="left" w:pos="1260"/>
        </w:tabs>
        <w:spacing w:line="240" w:lineRule="auto"/>
        <w:contextualSpacing/>
        <w:rPr>
          <w:szCs w:val="22"/>
        </w:rPr>
      </w:pPr>
    </w:p>
    <w:p w14:paraId="5326B4F5" w14:textId="77777777" w:rsidR="00DE3708" w:rsidRPr="001E6DB9" w:rsidRDefault="00DE3708" w:rsidP="00307CD6">
      <w:pPr>
        <w:tabs>
          <w:tab w:val="left" w:pos="1260"/>
        </w:tabs>
        <w:spacing w:line="240" w:lineRule="auto"/>
        <w:contextualSpacing/>
        <w:rPr>
          <w:szCs w:val="22"/>
        </w:rPr>
      </w:pPr>
      <w:proofErr w:type="spellStart"/>
      <w:r w:rsidRPr="001E6DB9">
        <w:rPr>
          <w:szCs w:val="22"/>
        </w:rPr>
        <w:t>Novartis</w:t>
      </w:r>
      <w:proofErr w:type="spellEnd"/>
      <w:r w:rsidRPr="001E6DB9">
        <w:rPr>
          <w:szCs w:val="22"/>
        </w:rPr>
        <w:t xml:space="preserve"> </w:t>
      </w:r>
      <w:proofErr w:type="spellStart"/>
      <w:r w:rsidRPr="001E6DB9">
        <w:rPr>
          <w:szCs w:val="22"/>
        </w:rPr>
        <w:t>farmaceutica</w:t>
      </w:r>
      <w:proofErr w:type="spellEnd"/>
      <w:r w:rsidRPr="001E6DB9">
        <w:rPr>
          <w:szCs w:val="22"/>
        </w:rPr>
        <w:t xml:space="preserve"> S.A.</w:t>
      </w:r>
    </w:p>
    <w:p w14:paraId="1318AE84" w14:textId="77777777" w:rsidR="00761BA2" w:rsidRPr="00F50D13" w:rsidRDefault="00761BA2" w:rsidP="00761BA2">
      <w:pPr>
        <w:spacing w:line="240" w:lineRule="auto"/>
        <w:contextualSpacing/>
        <w:rPr>
          <w:szCs w:val="22"/>
          <w:lang w:val="es-ES"/>
        </w:rPr>
      </w:pPr>
      <w:r w:rsidRPr="00FF1FF9">
        <w:rPr>
          <w:rFonts w:cstheme="minorHAnsi"/>
          <w:lang w:val="pt-PT"/>
        </w:rPr>
        <w:t>Gran Vía de les Corts Catalanes, 764</w:t>
      </w:r>
      <w:r w:rsidRPr="00F50D13">
        <w:rPr>
          <w:szCs w:val="22"/>
          <w:lang w:val="es-ES"/>
        </w:rPr>
        <w:t xml:space="preserve"> </w:t>
      </w:r>
    </w:p>
    <w:p w14:paraId="0E1899BD" w14:textId="34EBB1E1" w:rsidR="00DE3708" w:rsidRPr="001E6DB9" w:rsidRDefault="00761BA2" w:rsidP="00761BA2">
      <w:pPr>
        <w:tabs>
          <w:tab w:val="left" w:pos="1260"/>
        </w:tabs>
        <w:spacing w:line="240" w:lineRule="auto"/>
        <w:contextualSpacing/>
        <w:rPr>
          <w:szCs w:val="22"/>
        </w:rPr>
      </w:pPr>
      <w:r>
        <w:rPr>
          <w:szCs w:val="22"/>
          <w:lang w:val="es-ES"/>
        </w:rPr>
        <w:t xml:space="preserve">08013 </w:t>
      </w:r>
      <w:r w:rsidR="00DE3708" w:rsidRPr="001E6DB9">
        <w:rPr>
          <w:szCs w:val="22"/>
        </w:rPr>
        <w:t>Barselona</w:t>
      </w:r>
    </w:p>
    <w:p w14:paraId="60CE98E3" w14:textId="77777777" w:rsidR="00DE3708" w:rsidRPr="001E6DB9" w:rsidRDefault="00DE3708" w:rsidP="00307CD6">
      <w:pPr>
        <w:tabs>
          <w:tab w:val="left" w:pos="1260"/>
        </w:tabs>
        <w:spacing w:line="240" w:lineRule="auto"/>
        <w:contextualSpacing/>
        <w:rPr>
          <w:szCs w:val="22"/>
        </w:rPr>
      </w:pPr>
      <w:r w:rsidRPr="001E6DB9">
        <w:rPr>
          <w:szCs w:val="22"/>
        </w:rPr>
        <w:t>Ispanija</w:t>
      </w:r>
    </w:p>
    <w:p w14:paraId="31564F79" w14:textId="7D4EE190" w:rsidR="006661D0" w:rsidRDefault="006661D0" w:rsidP="00307CD6">
      <w:pPr>
        <w:spacing w:line="240" w:lineRule="auto"/>
        <w:contextualSpacing/>
        <w:rPr>
          <w:szCs w:val="22"/>
        </w:rPr>
      </w:pPr>
    </w:p>
    <w:p w14:paraId="56305376" w14:textId="5EF587DD" w:rsidR="006661D0" w:rsidRPr="00E46189" w:rsidRDefault="006661D0" w:rsidP="00E46189">
      <w:pPr>
        <w:spacing w:line="240" w:lineRule="auto"/>
        <w:contextualSpacing/>
      </w:pPr>
      <w:r w:rsidRPr="00E46189">
        <w:t>arba</w:t>
      </w:r>
    </w:p>
    <w:p w14:paraId="0B038C35" w14:textId="214B1777" w:rsidR="006661D0" w:rsidRPr="00E46189" w:rsidRDefault="006661D0" w:rsidP="00E46189">
      <w:pPr>
        <w:spacing w:line="240" w:lineRule="auto"/>
        <w:contextualSpacing/>
      </w:pPr>
    </w:p>
    <w:p w14:paraId="6E0BA65E" w14:textId="77777777" w:rsidR="006661D0" w:rsidRPr="006661D0" w:rsidRDefault="006661D0" w:rsidP="006661D0">
      <w:pPr>
        <w:spacing w:line="240" w:lineRule="auto"/>
        <w:contextualSpacing/>
        <w:rPr>
          <w:szCs w:val="22"/>
        </w:rPr>
      </w:pPr>
      <w:proofErr w:type="spellStart"/>
      <w:r w:rsidRPr="006661D0">
        <w:rPr>
          <w:szCs w:val="22"/>
        </w:rPr>
        <w:t>Novartis</w:t>
      </w:r>
      <w:proofErr w:type="spellEnd"/>
      <w:r w:rsidRPr="006661D0">
        <w:rPr>
          <w:szCs w:val="22"/>
        </w:rPr>
        <w:t xml:space="preserve"> </w:t>
      </w:r>
      <w:proofErr w:type="spellStart"/>
      <w:r w:rsidRPr="006661D0">
        <w:rPr>
          <w:szCs w:val="22"/>
        </w:rPr>
        <w:t>Farma</w:t>
      </w:r>
      <w:proofErr w:type="spellEnd"/>
      <w:r w:rsidRPr="006661D0">
        <w:rPr>
          <w:szCs w:val="22"/>
        </w:rPr>
        <w:t xml:space="preserve"> </w:t>
      </w:r>
      <w:proofErr w:type="spellStart"/>
      <w:r w:rsidRPr="006661D0">
        <w:rPr>
          <w:szCs w:val="22"/>
        </w:rPr>
        <w:t>S.p.A</w:t>
      </w:r>
      <w:proofErr w:type="spellEnd"/>
    </w:p>
    <w:p w14:paraId="4FFA4A33" w14:textId="77777777" w:rsidR="006661D0" w:rsidRPr="006661D0" w:rsidRDefault="006661D0" w:rsidP="006661D0">
      <w:pPr>
        <w:spacing w:line="240" w:lineRule="auto"/>
        <w:contextualSpacing/>
        <w:rPr>
          <w:szCs w:val="22"/>
        </w:rPr>
      </w:pPr>
      <w:r w:rsidRPr="006661D0">
        <w:rPr>
          <w:szCs w:val="22"/>
        </w:rPr>
        <w:t xml:space="preserve">Via Provinciale </w:t>
      </w:r>
      <w:proofErr w:type="spellStart"/>
      <w:r w:rsidRPr="006661D0">
        <w:rPr>
          <w:szCs w:val="22"/>
        </w:rPr>
        <w:t>Schito</w:t>
      </w:r>
      <w:proofErr w:type="spellEnd"/>
      <w:r w:rsidRPr="006661D0">
        <w:rPr>
          <w:szCs w:val="22"/>
        </w:rPr>
        <w:t xml:space="preserve"> 131</w:t>
      </w:r>
    </w:p>
    <w:p w14:paraId="4FFD6FA7" w14:textId="77777777" w:rsidR="006661D0" w:rsidRPr="006661D0" w:rsidRDefault="006661D0" w:rsidP="006661D0">
      <w:pPr>
        <w:spacing w:line="240" w:lineRule="auto"/>
        <w:contextualSpacing/>
        <w:rPr>
          <w:szCs w:val="22"/>
        </w:rPr>
      </w:pPr>
      <w:r w:rsidRPr="006661D0">
        <w:rPr>
          <w:szCs w:val="22"/>
        </w:rPr>
        <w:t xml:space="preserve">80058 </w:t>
      </w:r>
      <w:proofErr w:type="spellStart"/>
      <w:r w:rsidRPr="006661D0">
        <w:rPr>
          <w:szCs w:val="22"/>
        </w:rPr>
        <w:t>Torre</w:t>
      </w:r>
      <w:proofErr w:type="spellEnd"/>
      <w:r w:rsidRPr="006661D0">
        <w:rPr>
          <w:szCs w:val="22"/>
        </w:rPr>
        <w:t xml:space="preserve"> </w:t>
      </w:r>
      <w:proofErr w:type="spellStart"/>
      <w:r w:rsidRPr="006661D0">
        <w:rPr>
          <w:szCs w:val="22"/>
        </w:rPr>
        <w:t>Annunziata</w:t>
      </w:r>
      <w:proofErr w:type="spellEnd"/>
      <w:r w:rsidRPr="006661D0">
        <w:rPr>
          <w:szCs w:val="22"/>
        </w:rPr>
        <w:t xml:space="preserve"> (NA)</w:t>
      </w:r>
    </w:p>
    <w:p w14:paraId="58CFF204" w14:textId="48B12D70" w:rsidR="006661D0" w:rsidRPr="00F91FD7" w:rsidRDefault="006661D0" w:rsidP="006661D0">
      <w:pPr>
        <w:spacing w:line="240" w:lineRule="auto"/>
        <w:contextualSpacing/>
        <w:rPr>
          <w:szCs w:val="22"/>
        </w:rPr>
      </w:pPr>
      <w:r w:rsidRPr="006661D0">
        <w:rPr>
          <w:szCs w:val="22"/>
        </w:rPr>
        <w:t>Italija</w:t>
      </w:r>
    </w:p>
    <w:p w14:paraId="6BEAE58B" w14:textId="77777777" w:rsidR="00DE3708" w:rsidRPr="00F91FD7" w:rsidRDefault="00DE3708" w:rsidP="00307CD6">
      <w:pPr>
        <w:spacing w:line="240" w:lineRule="auto"/>
        <w:contextualSpacing/>
        <w:rPr>
          <w:szCs w:val="22"/>
        </w:rPr>
      </w:pPr>
    </w:p>
    <w:p w14:paraId="2D74F19E" w14:textId="77777777" w:rsidR="00DE3708" w:rsidRPr="0078402A" w:rsidRDefault="00DE3708" w:rsidP="00307CD6">
      <w:pPr>
        <w:pStyle w:val="BTEMEASMCA"/>
        <w:contextualSpacing/>
      </w:pPr>
      <w:r w:rsidRPr="00F91FD7">
        <w:t>Jeigu apie šį vais</w:t>
      </w:r>
      <w:r w:rsidRPr="0078402A">
        <w:t>tą norite sužinoti daugiau, kreipkitės į vietinį registruotojo atstovą.</w:t>
      </w:r>
    </w:p>
    <w:p w14:paraId="7A66186E" w14:textId="77777777" w:rsidR="00DE3708" w:rsidRPr="00F91FD7" w:rsidRDefault="00DE3708" w:rsidP="00307CD6">
      <w:pPr>
        <w:pStyle w:val="BTEMEASMCA"/>
        <w:contextualSpacing/>
      </w:pPr>
    </w:p>
    <w:p w14:paraId="39C43297" w14:textId="77777777" w:rsidR="00DE3708" w:rsidRPr="00617EBE" w:rsidRDefault="00DE3708" w:rsidP="00307CD6">
      <w:pPr>
        <w:pStyle w:val="BTEMEASMCA"/>
        <w:contextualSpacing/>
      </w:pPr>
      <w:r w:rsidRPr="0078402A">
        <w:t>Sandoz Pharmaceuticals d.d. filialas</w:t>
      </w:r>
    </w:p>
    <w:p w14:paraId="4026C0A5" w14:textId="77777777" w:rsidR="00DE3708" w:rsidRPr="007F15BA" w:rsidRDefault="00DE3708" w:rsidP="001E6DB9">
      <w:pPr>
        <w:pStyle w:val="BTEMEASMCA"/>
        <w:contextualSpacing/>
      </w:pPr>
      <w:r w:rsidRPr="007F15BA">
        <w:t>Tel.: +370 5 2636037</w:t>
      </w:r>
    </w:p>
    <w:p w14:paraId="1D8D82EF" w14:textId="77777777" w:rsidR="00DE3708" w:rsidRPr="00F50D13" w:rsidRDefault="00DE3708" w:rsidP="00307CD6">
      <w:pPr>
        <w:spacing w:line="240" w:lineRule="auto"/>
        <w:contextualSpacing/>
        <w:rPr>
          <w:szCs w:val="22"/>
        </w:rPr>
      </w:pPr>
    </w:p>
    <w:p w14:paraId="58E4C2CB" w14:textId="562FA977" w:rsidR="00DE3708" w:rsidRPr="00F50D13" w:rsidRDefault="00DE3708" w:rsidP="00307CD6">
      <w:pPr>
        <w:pStyle w:val="prastasiniatinklio"/>
        <w:spacing w:after="0"/>
        <w:contextualSpacing/>
        <w:rPr>
          <w:rFonts w:ascii="Times New Roman"/>
          <w:b/>
          <w:sz w:val="22"/>
          <w:szCs w:val="22"/>
          <w:lang w:val="lt-LT"/>
        </w:rPr>
      </w:pPr>
      <w:r w:rsidRPr="00F50D13">
        <w:rPr>
          <w:rFonts w:ascii="Times New Roman"/>
          <w:b/>
          <w:sz w:val="22"/>
          <w:szCs w:val="22"/>
          <w:lang w:val="lt-LT"/>
        </w:rPr>
        <w:t xml:space="preserve">Šis vaistas </w:t>
      </w:r>
      <w:r w:rsidR="00323657" w:rsidRPr="00323657">
        <w:rPr>
          <w:rFonts w:ascii="Times New Roman"/>
          <w:b/>
          <w:sz w:val="22"/>
          <w:szCs w:val="22"/>
          <w:lang w:val="lt-LT"/>
        </w:rPr>
        <w:t xml:space="preserve">Europos ekonominės erdvės </w:t>
      </w:r>
      <w:r w:rsidRPr="00F50D13">
        <w:rPr>
          <w:rFonts w:ascii="Times New Roman"/>
          <w:b/>
          <w:sz w:val="22"/>
          <w:szCs w:val="22"/>
          <w:lang w:val="lt-LT"/>
        </w:rPr>
        <w:t>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3C1D10" w14:paraId="02AAE746" w14:textId="77777777" w:rsidTr="003C1D10">
        <w:tc>
          <w:tcPr>
            <w:tcW w:w="4530" w:type="dxa"/>
          </w:tcPr>
          <w:p w14:paraId="5B11D9E2" w14:textId="77777777" w:rsidR="003C1D10" w:rsidRDefault="003C1D10" w:rsidP="00797E1D">
            <w:pPr>
              <w:spacing w:line="240" w:lineRule="auto"/>
              <w:contextualSpacing/>
              <w:rPr>
                <w:b/>
                <w:szCs w:val="22"/>
              </w:rPr>
            </w:pPr>
            <w:r w:rsidRPr="00F91FD7">
              <w:rPr>
                <w:szCs w:val="22"/>
              </w:rPr>
              <w:t>Švedija</w:t>
            </w:r>
            <w:r>
              <w:rPr>
                <w:szCs w:val="22"/>
              </w:rPr>
              <w:t xml:space="preserve">, </w:t>
            </w:r>
            <w:r w:rsidRPr="00F91FD7">
              <w:rPr>
                <w:szCs w:val="22"/>
              </w:rPr>
              <w:t>Austrija</w:t>
            </w:r>
            <w:r>
              <w:rPr>
                <w:szCs w:val="22"/>
              </w:rPr>
              <w:t xml:space="preserve">, </w:t>
            </w:r>
            <w:r w:rsidRPr="00617EBE">
              <w:rPr>
                <w:szCs w:val="22"/>
              </w:rPr>
              <w:t>Belgija</w:t>
            </w:r>
            <w:r>
              <w:rPr>
                <w:szCs w:val="22"/>
              </w:rPr>
              <w:t xml:space="preserve">, </w:t>
            </w:r>
            <w:r w:rsidRPr="00307CD6">
              <w:rPr>
                <w:szCs w:val="22"/>
              </w:rPr>
              <w:t>Kipras</w:t>
            </w:r>
            <w:r>
              <w:rPr>
                <w:szCs w:val="22"/>
              </w:rPr>
              <w:t xml:space="preserve">, </w:t>
            </w:r>
            <w:r w:rsidRPr="00307CD6">
              <w:rPr>
                <w:szCs w:val="22"/>
              </w:rPr>
              <w:t>Danija</w:t>
            </w:r>
            <w:r>
              <w:rPr>
                <w:szCs w:val="22"/>
              </w:rPr>
              <w:t xml:space="preserve">, </w:t>
            </w:r>
            <w:r w:rsidRPr="007F15BA">
              <w:rPr>
                <w:szCs w:val="22"/>
              </w:rPr>
              <w:t>Ispanija</w:t>
            </w:r>
            <w:r>
              <w:rPr>
                <w:szCs w:val="22"/>
              </w:rPr>
              <w:t xml:space="preserve">, </w:t>
            </w:r>
            <w:r w:rsidRPr="00617EBE">
              <w:rPr>
                <w:szCs w:val="22"/>
              </w:rPr>
              <w:t>Suomija</w:t>
            </w:r>
            <w:r>
              <w:rPr>
                <w:szCs w:val="22"/>
              </w:rPr>
              <w:t xml:space="preserve">, </w:t>
            </w:r>
            <w:r w:rsidRPr="00617EBE">
              <w:rPr>
                <w:szCs w:val="22"/>
              </w:rPr>
              <w:t>Prancūzija</w:t>
            </w:r>
            <w:r>
              <w:rPr>
                <w:szCs w:val="22"/>
              </w:rPr>
              <w:t xml:space="preserve">, </w:t>
            </w:r>
            <w:r w:rsidRPr="00617EBE">
              <w:rPr>
                <w:szCs w:val="22"/>
              </w:rPr>
              <w:t>Vengrija</w:t>
            </w:r>
            <w:r>
              <w:rPr>
                <w:szCs w:val="22"/>
              </w:rPr>
              <w:t xml:space="preserve">, </w:t>
            </w:r>
            <w:r w:rsidRPr="00307CD6">
              <w:rPr>
                <w:szCs w:val="22"/>
              </w:rPr>
              <w:t>Islandija</w:t>
            </w:r>
            <w:r>
              <w:rPr>
                <w:szCs w:val="22"/>
              </w:rPr>
              <w:t xml:space="preserve">, </w:t>
            </w:r>
            <w:r w:rsidRPr="00F50D13">
              <w:rPr>
                <w:szCs w:val="22"/>
              </w:rPr>
              <w:t>Nyderlandai</w:t>
            </w:r>
            <w:r>
              <w:rPr>
                <w:szCs w:val="22"/>
              </w:rPr>
              <w:t xml:space="preserve">, </w:t>
            </w:r>
            <w:r w:rsidRPr="00F91FD7">
              <w:rPr>
                <w:szCs w:val="22"/>
              </w:rPr>
              <w:t>Norvegija</w:t>
            </w:r>
            <w:r>
              <w:rPr>
                <w:szCs w:val="22"/>
              </w:rPr>
              <w:t xml:space="preserve">, </w:t>
            </w:r>
            <w:r w:rsidRPr="00617EBE">
              <w:rPr>
                <w:szCs w:val="22"/>
              </w:rPr>
              <w:t>Portugalija</w:t>
            </w:r>
          </w:p>
        </w:tc>
        <w:tc>
          <w:tcPr>
            <w:tcW w:w="4531" w:type="dxa"/>
          </w:tcPr>
          <w:p w14:paraId="56E0A1C5" w14:textId="77777777" w:rsidR="003C1D10" w:rsidRDefault="003C1D10" w:rsidP="003C1D10">
            <w:pPr>
              <w:spacing w:line="240" w:lineRule="auto"/>
              <w:contextualSpacing/>
              <w:jc w:val="both"/>
              <w:rPr>
                <w:b/>
                <w:szCs w:val="22"/>
              </w:rPr>
            </w:pPr>
            <w:proofErr w:type="spellStart"/>
            <w:r w:rsidRPr="00F91FD7">
              <w:rPr>
                <w:szCs w:val="22"/>
              </w:rPr>
              <w:t>Valsartan</w:t>
            </w:r>
            <w:proofErr w:type="spellEnd"/>
            <w:r w:rsidRPr="00F91FD7">
              <w:rPr>
                <w:szCs w:val="22"/>
              </w:rPr>
              <w:t xml:space="preserve"> </w:t>
            </w:r>
            <w:proofErr w:type="spellStart"/>
            <w:r w:rsidRPr="00F91FD7">
              <w:rPr>
                <w:szCs w:val="22"/>
              </w:rPr>
              <w:t>Sandoz</w:t>
            </w:r>
            <w:proofErr w:type="spellEnd"/>
            <w:r w:rsidRPr="00F91FD7">
              <w:rPr>
                <w:szCs w:val="22"/>
              </w:rPr>
              <w:t xml:space="preserve"> </w:t>
            </w:r>
          </w:p>
        </w:tc>
      </w:tr>
      <w:tr w:rsidR="003C1D10" w14:paraId="47A64E1C" w14:textId="77777777" w:rsidTr="003C1D10">
        <w:tc>
          <w:tcPr>
            <w:tcW w:w="4530" w:type="dxa"/>
          </w:tcPr>
          <w:p w14:paraId="717720B3" w14:textId="77777777" w:rsidR="003C1D10" w:rsidRDefault="003C1D10" w:rsidP="00307CD6">
            <w:pPr>
              <w:spacing w:line="240" w:lineRule="auto"/>
              <w:contextualSpacing/>
              <w:jc w:val="both"/>
              <w:rPr>
                <w:b/>
                <w:szCs w:val="22"/>
              </w:rPr>
            </w:pPr>
            <w:r w:rsidRPr="00307CD6">
              <w:rPr>
                <w:szCs w:val="22"/>
              </w:rPr>
              <w:lastRenderedPageBreak/>
              <w:t>Bulgarija</w:t>
            </w:r>
            <w:r>
              <w:rPr>
                <w:szCs w:val="22"/>
              </w:rPr>
              <w:t xml:space="preserve">, </w:t>
            </w:r>
            <w:r w:rsidRPr="00157287">
              <w:rPr>
                <w:szCs w:val="22"/>
              </w:rPr>
              <w:t>Lietuva</w:t>
            </w:r>
            <w:r>
              <w:rPr>
                <w:szCs w:val="22"/>
              </w:rPr>
              <w:t xml:space="preserve"> </w:t>
            </w:r>
          </w:p>
        </w:tc>
        <w:tc>
          <w:tcPr>
            <w:tcW w:w="4531" w:type="dxa"/>
          </w:tcPr>
          <w:p w14:paraId="022E5CAF" w14:textId="77777777" w:rsidR="003C1D10" w:rsidRDefault="003C1D10" w:rsidP="00307CD6">
            <w:pPr>
              <w:spacing w:line="240" w:lineRule="auto"/>
              <w:contextualSpacing/>
              <w:jc w:val="both"/>
              <w:rPr>
                <w:b/>
                <w:szCs w:val="22"/>
              </w:rPr>
            </w:pPr>
            <w:proofErr w:type="spellStart"/>
            <w:r w:rsidRPr="00307CD6">
              <w:rPr>
                <w:szCs w:val="22"/>
              </w:rPr>
              <w:t>Suvartar</w:t>
            </w:r>
            <w:proofErr w:type="spellEnd"/>
          </w:p>
        </w:tc>
      </w:tr>
      <w:tr w:rsidR="003C1D10" w14:paraId="55A2DB8C" w14:textId="77777777" w:rsidTr="003C1D10">
        <w:tc>
          <w:tcPr>
            <w:tcW w:w="4530" w:type="dxa"/>
          </w:tcPr>
          <w:p w14:paraId="520F6C47" w14:textId="77777777" w:rsidR="003C1D10" w:rsidRDefault="003C1D10" w:rsidP="00307CD6">
            <w:pPr>
              <w:spacing w:line="240" w:lineRule="auto"/>
              <w:contextualSpacing/>
              <w:jc w:val="both"/>
              <w:rPr>
                <w:b/>
                <w:szCs w:val="22"/>
              </w:rPr>
            </w:pPr>
            <w:r w:rsidRPr="007F15BA">
              <w:rPr>
                <w:szCs w:val="22"/>
              </w:rPr>
              <w:t>Graikija</w:t>
            </w:r>
          </w:p>
        </w:tc>
        <w:tc>
          <w:tcPr>
            <w:tcW w:w="4531" w:type="dxa"/>
          </w:tcPr>
          <w:p w14:paraId="34B9C40C" w14:textId="77777777" w:rsidR="003C1D10" w:rsidRDefault="003C1D10" w:rsidP="00307CD6">
            <w:pPr>
              <w:spacing w:line="240" w:lineRule="auto"/>
              <w:contextualSpacing/>
              <w:jc w:val="both"/>
              <w:rPr>
                <w:b/>
                <w:szCs w:val="22"/>
              </w:rPr>
            </w:pPr>
            <w:proofErr w:type="spellStart"/>
            <w:r w:rsidRPr="007F15BA">
              <w:rPr>
                <w:szCs w:val="22"/>
              </w:rPr>
              <w:t>Valsartan</w:t>
            </w:r>
            <w:proofErr w:type="spellEnd"/>
            <w:r w:rsidRPr="007F15BA">
              <w:rPr>
                <w:szCs w:val="22"/>
              </w:rPr>
              <w:t>/</w:t>
            </w:r>
            <w:proofErr w:type="spellStart"/>
            <w:r w:rsidRPr="007F15BA">
              <w:rPr>
                <w:szCs w:val="22"/>
              </w:rPr>
              <w:t>Sandoz</w:t>
            </w:r>
            <w:proofErr w:type="spellEnd"/>
          </w:p>
        </w:tc>
      </w:tr>
      <w:tr w:rsidR="003C1D10" w14:paraId="3439FA3F" w14:textId="77777777" w:rsidTr="003C1D10">
        <w:tc>
          <w:tcPr>
            <w:tcW w:w="4530" w:type="dxa"/>
          </w:tcPr>
          <w:p w14:paraId="63CD65DF" w14:textId="77777777" w:rsidR="003C1D10" w:rsidRPr="007F15BA" w:rsidRDefault="003C1D10" w:rsidP="00307CD6">
            <w:pPr>
              <w:spacing w:line="240" w:lineRule="auto"/>
              <w:contextualSpacing/>
              <w:jc w:val="both"/>
              <w:rPr>
                <w:szCs w:val="22"/>
              </w:rPr>
            </w:pPr>
            <w:r w:rsidRPr="0078402A">
              <w:rPr>
                <w:szCs w:val="22"/>
              </w:rPr>
              <w:t>Lenkija</w:t>
            </w:r>
          </w:p>
        </w:tc>
        <w:tc>
          <w:tcPr>
            <w:tcW w:w="4531" w:type="dxa"/>
          </w:tcPr>
          <w:p w14:paraId="59C9F7F3" w14:textId="2BAC5202" w:rsidR="003C1D10" w:rsidRPr="007F15BA" w:rsidRDefault="003C1D10" w:rsidP="00307CD6">
            <w:pPr>
              <w:spacing w:line="240" w:lineRule="auto"/>
              <w:contextualSpacing/>
              <w:jc w:val="both"/>
              <w:rPr>
                <w:szCs w:val="22"/>
              </w:rPr>
            </w:pPr>
            <w:proofErr w:type="spellStart"/>
            <w:r>
              <w:rPr>
                <w:szCs w:val="22"/>
              </w:rPr>
              <w:t>Dipper</w:t>
            </w:r>
            <w:r w:rsidR="00681854">
              <w:rPr>
                <w:szCs w:val="22"/>
              </w:rPr>
              <w:t>-Mono</w:t>
            </w:r>
            <w:proofErr w:type="spellEnd"/>
          </w:p>
        </w:tc>
      </w:tr>
      <w:tr w:rsidR="003C1D10" w14:paraId="01F84A03" w14:textId="77777777" w:rsidTr="003C1D10">
        <w:tc>
          <w:tcPr>
            <w:tcW w:w="4530" w:type="dxa"/>
          </w:tcPr>
          <w:p w14:paraId="2F421BFA" w14:textId="77777777" w:rsidR="003C1D10" w:rsidRPr="0078402A" w:rsidRDefault="006F47A1" w:rsidP="00307CD6">
            <w:pPr>
              <w:spacing w:line="240" w:lineRule="auto"/>
              <w:contextualSpacing/>
              <w:jc w:val="both"/>
              <w:rPr>
                <w:szCs w:val="22"/>
              </w:rPr>
            </w:pPr>
            <w:r w:rsidRPr="00617EBE">
              <w:rPr>
                <w:szCs w:val="22"/>
              </w:rPr>
              <w:t>Slovakija</w:t>
            </w:r>
          </w:p>
        </w:tc>
        <w:tc>
          <w:tcPr>
            <w:tcW w:w="4531" w:type="dxa"/>
          </w:tcPr>
          <w:p w14:paraId="16381E8A" w14:textId="77777777" w:rsidR="003C1D10" w:rsidRDefault="006F47A1" w:rsidP="00307CD6">
            <w:pPr>
              <w:spacing w:line="240" w:lineRule="auto"/>
              <w:contextualSpacing/>
              <w:jc w:val="both"/>
              <w:rPr>
                <w:szCs w:val="22"/>
              </w:rPr>
            </w:pPr>
            <w:proofErr w:type="spellStart"/>
            <w:r w:rsidRPr="006F47A1">
              <w:rPr>
                <w:szCs w:val="22"/>
              </w:rPr>
              <w:t>Valsartan</w:t>
            </w:r>
            <w:proofErr w:type="spellEnd"/>
            <w:r w:rsidRPr="006F47A1">
              <w:rPr>
                <w:szCs w:val="22"/>
              </w:rPr>
              <w:t xml:space="preserve"> </w:t>
            </w:r>
            <w:proofErr w:type="spellStart"/>
            <w:r w:rsidRPr="006F47A1">
              <w:rPr>
                <w:szCs w:val="22"/>
              </w:rPr>
              <w:t>Lek</w:t>
            </w:r>
            <w:proofErr w:type="spellEnd"/>
          </w:p>
        </w:tc>
      </w:tr>
    </w:tbl>
    <w:p w14:paraId="2A46D351" w14:textId="77777777" w:rsidR="004B1C40" w:rsidRDefault="004B1C40" w:rsidP="00307CD6">
      <w:pPr>
        <w:spacing w:line="240" w:lineRule="auto"/>
        <w:contextualSpacing/>
        <w:rPr>
          <w:b/>
          <w:szCs w:val="22"/>
        </w:rPr>
      </w:pPr>
    </w:p>
    <w:p w14:paraId="3111862B" w14:textId="7D850B72" w:rsidR="00DE3708" w:rsidRPr="00D36517" w:rsidRDefault="00DE3708" w:rsidP="00307CD6">
      <w:pPr>
        <w:spacing w:line="240" w:lineRule="auto"/>
        <w:contextualSpacing/>
        <w:rPr>
          <w:b/>
          <w:szCs w:val="22"/>
        </w:rPr>
      </w:pPr>
      <w:r w:rsidRPr="007F15BA">
        <w:rPr>
          <w:b/>
          <w:szCs w:val="22"/>
        </w:rPr>
        <w:t xml:space="preserve">Šis pakuotės lapelis paskutinį kartą peržiūrėtas </w:t>
      </w:r>
      <w:r w:rsidR="005D7FC3">
        <w:rPr>
          <w:b/>
          <w:szCs w:val="22"/>
        </w:rPr>
        <w:t>2026</w:t>
      </w:r>
      <w:r w:rsidR="00323657" w:rsidRPr="00323657">
        <w:rPr>
          <w:b/>
          <w:szCs w:val="22"/>
        </w:rPr>
        <w:t>-</w:t>
      </w:r>
      <w:r w:rsidR="005D7FC3">
        <w:rPr>
          <w:b/>
          <w:szCs w:val="22"/>
        </w:rPr>
        <w:t>01</w:t>
      </w:r>
      <w:r w:rsidR="00323657" w:rsidRPr="00323657">
        <w:rPr>
          <w:b/>
          <w:szCs w:val="22"/>
        </w:rPr>
        <w:t>-</w:t>
      </w:r>
      <w:r w:rsidR="005D7FC3">
        <w:rPr>
          <w:b/>
          <w:szCs w:val="22"/>
        </w:rPr>
        <w:t>15</w:t>
      </w:r>
      <w:r w:rsidR="00323657" w:rsidRPr="00323657">
        <w:rPr>
          <w:b/>
          <w:szCs w:val="22"/>
        </w:rPr>
        <w:t>.</w:t>
      </w:r>
    </w:p>
    <w:p w14:paraId="0854DFFD" w14:textId="77777777" w:rsidR="00DE3708" w:rsidRPr="00D36517" w:rsidRDefault="00DE3708" w:rsidP="00307CD6">
      <w:pPr>
        <w:pStyle w:val="BTEMEASMCA"/>
        <w:contextualSpacing/>
      </w:pPr>
    </w:p>
    <w:p w14:paraId="3B21A183" w14:textId="77777777" w:rsidR="00DE3708" w:rsidRPr="009F455C" w:rsidRDefault="00DE3708" w:rsidP="00307CD6">
      <w:pPr>
        <w:pStyle w:val="BTEMEASMCA"/>
        <w:contextualSpacing/>
      </w:pPr>
    </w:p>
    <w:p w14:paraId="25A1C5F7" w14:textId="5903D2FB" w:rsidR="00DE3708" w:rsidRPr="00F50D13" w:rsidRDefault="00DE3708" w:rsidP="00FF1FF9">
      <w:pPr>
        <w:pStyle w:val="BTEMEASMCA"/>
        <w:contextualSpacing/>
      </w:pPr>
      <w:r w:rsidRPr="00FB60E5">
        <w:t xml:space="preserve">Išsami informacija apie šį vaistą pateikiama Valstybinės vaistų kontrolės tarnybos prie Lietuvos Respublikos sveikatos apsaugos ministerijos tinklalapyje </w:t>
      </w:r>
      <w:hyperlink r:id="rId10" w:history="1">
        <w:r w:rsidR="00E378AB" w:rsidRPr="00291A4A">
          <w:rPr>
            <w:rStyle w:val="Hipersaitas"/>
          </w:rPr>
          <w:t>https://vvkt.lrv.lt/lt/</w:t>
        </w:r>
      </w:hyperlink>
      <w:r w:rsidR="00E378AB">
        <w:t xml:space="preserve">. </w:t>
      </w:r>
    </w:p>
    <w:p w14:paraId="4A346893" w14:textId="77777777" w:rsidR="00380268" w:rsidRPr="00F50D13" w:rsidRDefault="00380268" w:rsidP="008E6CDC">
      <w:pPr>
        <w:spacing w:line="240" w:lineRule="auto"/>
        <w:contextualSpacing/>
      </w:pPr>
    </w:p>
    <w:sectPr w:rsidR="00380268" w:rsidRPr="00F50D13" w:rsidSect="005B2EE3">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C06D" w14:textId="77777777" w:rsidR="00667362" w:rsidRDefault="00667362" w:rsidP="00483D04">
      <w:r>
        <w:separator/>
      </w:r>
    </w:p>
  </w:endnote>
  <w:endnote w:type="continuationSeparator" w:id="0">
    <w:p w14:paraId="45D41869" w14:textId="77777777" w:rsidR="00667362" w:rsidRDefault="00667362" w:rsidP="00483D04">
      <w:r>
        <w:continuationSeparator/>
      </w:r>
    </w:p>
  </w:endnote>
  <w:endnote w:type="continuationNotice" w:id="1">
    <w:p w14:paraId="019029A4" w14:textId="77777777" w:rsidR="00667362" w:rsidRDefault="006673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B30E" w14:textId="53EA2201" w:rsidR="003C1D10" w:rsidRDefault="003C1D1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25A86">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643B" w14:textId="7841F824" w:rsidR="003C1D10" w:rsidRDefault="003C1D1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25A86">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E927" w14:textId="77777777" w:rsidR="00667362" w:rsidRDefault="00667362" w:rsidP="00483D04">
      <w:r>
        <w:separator/>
      </w:r>
    </w:p>
  </w:footnote>
  <w:footnote w:type="continuationSeparator" w:id="0">
    <w:p w14:paraId="44655E21" w14:textId="77777777" w:rsidR="00667362" w:rsidRDefault="00667362" w:rsidP="00483D04">
      <w:r>
        <w:continuationSeparator/>
      </w:r>
    </w:p>
  </w:footnote>
  <w:footnote w:type="continuationNotice" w:id="1">
    <w:p w14:paraId="3DDC850E" w14:textId="77777777" w:rsidR="00667362" w:rsidRDefault="006673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86F9" w14:textId="77777777" w:rsidR="00483D04" w:rsidRDefault="00483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00208"/>
    <w:multiLevelType w:val="hybridMultilevel"/>
    <w:tmpl w:val="C7580E6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C7B12"/>
    <w:multiLevelType w:val="hybridMultilevel"/>
    <w:tmpl w:val="814A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60AE"/>
    <w:multiLevelType w:val="hybridMultilevel"/>
    <w:tmpl w:val="9A0EB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9E1724"/>
    <w:multiLevelType w:val="hybridMultilevel"/>
    <w:tmpl w:val="F8F2F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6B763B"/>
    <w:multiLevelType w:val="hybridMultilevel"/>
    <w:tmpl w:val="F4587500"/>
    <w:lvl w:ilvl="0" w:tplc="46AC9F3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83F33"/>
    <w:multiLevelType w:val="hybridMultilevel"/>
    <w:tmpl w:val="710A1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94AE8"/>
    <w:multiLevelType w:val="hybridMultilevel"/>
    <w:tmpl w:val="B500484A"/>
    <w:lvl w:ilvl="0" w:tplc="FFFFFFFF">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75547504">
    <w:abstractNumId w:val="6"/>
  </w:num>
  <w:num w:numId="2" w16cid:durableId="1196695756">
    <w:abstractNumId w:val="18"/>
  </w:num>
  <w:num w:numId="3" w16cid:durableId="714281602">
    <w:abstractNumId w:val="17"/>
  </w:num>
  <w:num w:numId="4" w16cid:durableId="1093354395">
    <w:abstractNumId w:val="0"/>
    <w:lvlOverride w:ilvl="0">
      <w:lvl w:ilvl="0">
        <w:numFmt w:val="bullet"/>
        <w:lvlText w:val="-"/>
        <w:legacy w:legacy="1" w:legacySpace="0" w:legacyIndent="360"/>
        <w:lvlJc w:val="left"/>
        <w:pPr>
          <w:ind w:left="360" w:hanging="360"/>
        </w:pPr>
      </w:lvl>
    </w:lvlOverride>
  </w:num>
  <w:num w:numId="5" w16cid:durableId="1341540542">
    <w:abstractNumId w:val="1"/>
  </w:num>
  <w:num w:numId="6" w16cid:durableId="936980332">
    <w:abstractNumId w:val="9"/>
  </w:num>
  <w:num w:numId="7" w16cid:durableId="1853105170">
    <w:abstractNumId w:val="13"/>
  </w:num>
  <w:num w:numId="8" w16cid:durableId="1829900932">
    <w:abstractNumId w:val="20"/>
  </w:num>
  <w:num w:numId="9" w16cid:durableId="1755198996">
    <w:abstractNumId w:val="12"/>
  </w:num>
  <w:num w:numId="10" w16cid:durableId="749430042">
    <w:abstractNumId w:val="10"/>
  </w:num>
  <w:num w:numId="11" w16cid:durableId="614366300">
    <w:abstractNumId w:val="16"/>
  </w:num>
  <w:num w:numId="12" w16cid:durableId="1692683926">
    <w:abstractNumId w:val="15"/>
  </w:num>
  <w:num w:numId="13" w16cid:durableId="1482037924">
    <w:abstractNumId w:val="2"/>
  </w:num>
  <w:num w:numId="14" w16cid:durableId="1514421857">
    <w:abstractNumId w:val="19"/>
  </w:num>
  <w:num w:numId="15" w16cid:durableId="1470125579">
    <w:abstractNumId w:val="21"/>
  </w:num>
  <w:num w:numId="16" w16cid:durableId="370763697">
    <w:abstractNumId w:val="4"/>
  </w:num>
  <w:num w:numId="17" w16cid:durableId="1005861241">
    <w:abstractNumId w:val="11"/>
  </w:num>
  <w:num w:numId="18" w16cid:durableId="690299211">
    <w:abstractNumId w:val="7"/>
  </w:num>
  <w:num w:numId="19" w16cid:durableId="1947273800">
    <w:abstractNumId w:val="3"/>
  </w:num>
  <w:num w:numId="20" w16cid:durableId="1596135623">
    <w:abstractNumId w:val="14"/>
  </w:num>
  <w:num w:numId="21" w16cid:durableId="812061922">
    <w:abstractNumId w:val="8"/>
  </w:num>
  <w:num w:numId="22" w16cid:durableId="116073420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C3E"/>
    <w:rsid w:val="0000362A"/>
    <w:rsid w:val="00003884"/>
    <w:rsid w:val="000050DA"/>
    <w:rsid w:val="00005701"/>
    <w:rsid w:val="00005BFC"/>
    <w:rsid w:val="00005DAC"/>
    <w:rsid w:val="00007528"/>
    <w:rsid w:val="00010905"/>
    <w:rsid w:val="0001164F"/>
    <w:rsid w:val="00012292"/>
    <w:rsid w:val="00012D51"/>
    <w:rsid w:val="00012E67"/>
    <w:rsid w:val="000143D2"/>
    <w:rsid w:val="0001475C"/>
    <w:rsid w:val="00014869"/>
    <w:rsid w:val="000150D3"/>
    <w:rsid w:val="000166C1"/>
    <w:rsid w:val="00016CC0"/>
    <w:rsid w:val="000179EB"/>
    <w:rsid w:val="0002006B"/>
    <w:rsid w:val="00020AE8"/>
    <w:rsid w:val="00021945"/>
    <w:rsid w:val="00021E9C"/>
    <w:rsid w:val="00023A2C"/>
    <w:rsid w:val="00025AB4"/>
    <w:rsid w:val="00025EBE"/>
    <w:rsid w:val="00026BE0"/>
    <w:rsid w:val="00026BF2"/>
    <w:rsid w:val="00027036"/>
    <w:rsid w:val="000271F6"/>
    <w:rsid w:val="00030445"/>
    <w:rsid w:val="00030BF3"/>
    <w:rsid w:val="000318C7"/>
    <w:rsid w:val="00033D26"/>
    <w:rsid w:val="00033FDB"/>
    <w:rsid w:val="000344F6"/>
    <w:rsid w:val="00040138"/>
    <w:rsid w:val="0004026D"/>
    <w:rsid w:val="00040554"/>
    <w:rsid w:val="000406FD"/>
    <w:rsid w:val="000417EB"/>
    <w:rsid w:val="00041B98"/>
    <w:rsid w:val="00042263"/>
    <w:rsid w:val="000427FC"/>
    <w:rsid w:val="00043505"/>
    <w:rsid w:val="00043817"/>
    <w:rsid w:val="00043C70"/>
    <w:rsid w:val="00044042"/>
    <w:rsid w:val="00044B85"/>
    <w:rsid w:val="00044F14"/>
    <w:rsid w:val="000474D2"/>
    <w:rsid w:val="000479C5"/>
    <w:rsid w:val="00050DFD"/>
    <w:rsid w:val="00053809"/>
    <w:rsid w:val="0005384B"/>
    <w:rsid w:val="00053914"/>
    <w:rsid w:val="00053C8A"/>
    <w:rsid w:val="00054756"/>
    <w:rsid w:val="000560C5"/>
    <w:rsid w:val="00056C49"/>
    <w:rsid w:val="00056FE0"/>
    <w:rsid w:val="000603C8"/>
    <w:rsid w:val="000608A4"/>
    <w:rsid w:val="000609E5"/>
    <w:rsid w:val="00060AA1"/>
    <w:rsid w:val="000614D3"/>
    <w:rsid w:val="00061C97"/>
    <w:rsid w:val="000631FD"/>
    <w:rsid w:val="0006394F"/>
    <w:rsid w:val="000643D3"/>
    <w:rsid w:val="00064A24"/>
    <w:rsid w:val="00065B05"/>
    <w:rsid w:val="00067A0C"/>
    <w:rsid w:val="00067B16"/>
    <w:rsid w:val="000707BD"/>
    <w:rsid w:val="00071AAA"/>
    <w:rsid w:val="00071F8A"/>
    <w:rsid w:val="000722A2"/>
    <w:rsid w:val="0007297D"/>
    <w:rsid w:val="00073891"/>
    <w:rsid w:val="00073E04"/>
    <w:rsid w:val="00074514"/>
    <w:rsid w:val="00074A71"/>
    <w:rsid w:val="0007628D"/>
    <w:rsid w:val="0007763B"/>
    <w:rsid w:val="0007772C"/>
    <w:rsid w:val="0007785A"/>
    <w:rsid w:val="00077EF2"/>
    <w:rsid w:val="0008105B"/>
    <w:rsid w:val="00081DAB"/>
    <w:rsid w:val="000827DB"/>
    <w:rsid w:val="000835F7"/>
    <w:rsid w:val="00083B75"/>
    <w:rsid w:val="00085442"/>
    <w:rsid w:val="00087C6E"/>
    <w:rsid w:val="00091E4C"/>
    <w:rsid w:val="00092829"/>
    <w:rsid w:val="00092B09"/>
    <w:rsid w:val="00092BF7"/>
    <w:rsid w:val="0009351E"/>
    <w:rsid w:val="00093EFE"/>
    <w:rsid w:val="000944CB"/>
    <w:rsid w:val="0009479A"/>
    <w:rsid w:val="00094AD6"/>
    <w:rsid w:val="00094DEF"/>
    <w:rsid w:val="00095D61"/>
    <w:rsid w:val="00095E44"/>
    <w:rsid w:val="00096D8D"/>
    <w:rsid w:val="0009755A"/>
    <w:rsid w:val="00097B52"/>
    <w:rsid w:val="00097FEF"/>
    <w:rsid w:val="000A04D8"/>
    <w:rsid w:val="000A08ED"/>
    <w:rsid w:val="000A1232"/>
    <w:rsid w:val="000A2556"/>
    <w:rsid w:val="000A40D0"/>
    <w:rsid w:val="000A49BD"/>
    <w:rsid w:val="000A6D70"/>
    <w:rsid w:val="000B0097"/>
    <w:rsid w:val="000B0CAA"/>
    <w:rsid w:val="000B101F"/>
    <w:rsid w:val="000B1EE7"/>
    <w:rsid w:val="000B1F4B"/>
    <w:rsid w:val="000B2F27"/>
    <w:rsid w:val="000B2F58"/>
    <w:rsid w:val="000B2FD6"/>
    <w:rsid w:val="000B35D4"/>
    <w:rsid w:val="000B37A8"/>
    <w:rsid w:val="000B4BB9"/>
    <w:rsid w:val="000B51D9"/>
    <w:rsid w:val="000B5842"/>
    <w:rsid w:val="000C03FB"/>
    <w:rsid w:val="000C308F"/>
    <w:rsid w:val="000C372E"/>
    <w:rsid w:val="000C46F2"/>
    <w:rsid w:val="000C4879"/>
    <w:rsid w:val="000C5A4E"/>
    <w:rsid w:val="000C635D"/>
    <w:rsid w:val="000C6537"/>
    <w:rsid w:val="000C7576"/>
    <w:rsid w:val="000C76D2"/>
    <w:rsid w:val="000C7F49"/>
    <w:rsid w:val="000D1AEE"/>
    <w:rsid w:val="000D1F4F"/>
    <w:rsid w:val="000D2467"/>
    <w:rsid w:val="000D2ACD"/>
    <w:rsid w:val="000D2F48"/>
    <w:rsid w:val="000D34F5"/>
    <w:rsid w:val="000D40F3"/>
    <w:rsid w:val="000D4D07"/>
    <w:rsid w:val="000D5CF2"/>
    <w:rsid w:val="000D7535"/>
    <w:rsid w:val="000D778F"/>
    <w:rsid w:val="000E0A82"/>
    <w:rsid w:val="000E165D"/>
    <w:rsid w:val="000E1BAF"/>
    <w:rsid w:val="000E223E"/>
    <w:rsid w:val="000E2491"/>
    <w:rsid w:val="000E2A67"/>
    <w:rsid w:val="000E2AC9"/>
    <w:rsid w:val="000E2EA9"/>
    <w:rsid w:val="000E4118"/>
    <w:rsid w:val="000E43D2"/>
    <w:rsid w:val="000E46A3"/>
    <w:rsid w:val="000E4E88"/>
    <w:rsid w:val="000E5726"/>
    <w:rsid w:val="000E6C94"/>
    <w:rsid w:val="000F1BB2"/>
    <w:rsid w:val="000F217A"/>
    <w:rsid w:val="000F3259"/>
    <w:rsid w:val="000F3E94"/>
    <w:rsid w:val="000F3F94"/>
    <w:rsid w:val="000F44A0"/>
    <w:rsid w:val="000F5B21"/>
    <w:rsid w:val="000F78E0"/>
    <w:rsid w:val="001008C8"/>
    <w:rsid w:val="00103501"/>
    <w:rsid w:val="00103B2D"/>
    <w:rsid w:val="00103CD2"/>
    <w:rsid w:val="00104061"/>
    <w:rsid w:val="00104110"/>
    <w:rsid w:val="0010532D"/>
    <w:rsid w:val="00106909"/>
    <w:rsid w:val="00106939"/>
    <w:rsid w:val="00106F14"/>
    <w:rsid w:val="00107236"/>
    <w:rsid w:val="001101A2"/>
    <w:rsid w:val="001106F7"/>
    <w:rsid w:val="001108A9"/>
    <w:rsid w:val="0011094A"/>
    <w:rsid w:val="00110A75"/>
    <w:rsid w:val="00111A6A"/>
    <w:rsid w:val="00112A47"/>
    <w:rsid w:val="00112EDA"/>
    <w:rsid w:val="00113621"/>
    <w:rsid w:val="00114116"/>
    <w:rsid w:val="00114174"/>
    <w:rsid w:val="00114AAA"/>
    <w:rsid w:val="00114BFB"/>
    <w:rsid w:val="00115743"/>
    <w:rsid w:val="001159EC"/>
    <w:rsid w:val="00116408"/>
    <w:rsid w:val="0011665A"/>
    <w:rsid w:val="00117AFD"/>
    <w:rsid w:val="00117C1D"/>
    <w:rsid w:val="001214C6"/>
    <w:rsid w:val="001226A1"/>
    <w:rsid w:val="00123688"/>
    <w:rsid w:val="00123AB0"/>
    <w:rsid w:val="00123DFA"/>
    <w:rsid w:val="00124851"/>
    <w:rsid w:val="00124BDD"/>
    <w:rsid w:val="00125CE4"/>
    <w:rsid w:val="00125CE8"/>
    <w:rsid w:val="00127F47"/>
    <w:rsid w:val="00130EEC"/>
    <w:rsid w:val="0013209A"/>
    <w:rsid w:val="00133572"/>
    <w:rsid w:val="00133B68"/>
    <w:rsid w:val="001349C4"/>
    <w:rsid w:val="00134B25"/>
    <w:rsid w:val="0013600B"/>
    <w:rsid w:val="001364FB"/>
    <w:rsid w:val="001365F2"/>
    <w:rsid w:val="00136D7A"/>
    <w:rsid w:val="0013721B"/>
    <w:rsid w:val="00137C7D"/>
    <w:rsid w:val="00140BC5"/>
    <w:rsid w:val="0014110E"/>
    <w:rsid w:val="0014137D"/>
    <w:rsid w:val="00141470"/>
    <w:rsid w:val="00141540"/>
    <w:rsid w:val="0014392E"/>
    <w:rsid w:val="001449DF"/>
    <w:rsid w:val="00144B8F"/>
    <w:rsid w:val="00145381"/>
    <w:rsid w:val="0014569B"/>
    <w:rsid w:val="0014590B"/>
    <w:rsid w:val="001470E0"/>
    <w:rsid w:val="00147D83"/>
    <w:rsid w:val="00150060"/>
    <w:rsid w:val="00154C69"/>
    <w:rsid w:val="00155374"/>
    <w:rsid w:val="00156408"/>
    <w:rsid w:val="00156811"/>
    <w:rsid w:val="0015704C"/>
    <w:rsid w:val="00157287"/>
    <w:rsid w:val="00157895"/>
    <w:rsid w:val="00157F9B"/>
    <w:rsid w:val="00161701"/>
    <w:rsid w:val="00161E87"/>
    <w:rsid w:val="00163162"/>
    <w:rsid w:val="00163BB1"/>
    <w:rsid w:val="001652F1"/>
    <w:rsid w:val="0016566C"/>
    <w:rsid w:val="00166D2E"/>
    <w:rsid w:val="001727F0"/>
    <w:rsid w:val="00172A6D"/>
    <w:rsid w:val="00172B06"/>
    <w:rsid w:val="0017347E"/>
    <w:rsid w:val="00174005"/>
    <w:rsid w:val="001752D8"/>
    <w:rsid w:val="00175931"/>
    <w:rsid w:val="00175E7C"/>
    <w:rsid w:val="00176581"/>
    <w:rsid w:val="001765A8"/>
    <w:rsid w:val="00176B25"/>
    <w:rsid w:val="00177C27"/>
    <w:rsid w:val="0018238B"/>
    <w:rsid w:val="00182707"/>
    <w:rsid w:val="00183419"/>
    <w:rsid w:val="0018394A"/>
    <w:rsid w:val="00184DCC"/>
    <w:rsid w:val="00186A9D"/>
    <w:rsid w:val="001874A6"/>
    <w:rsid w:val="00187659"/>
    <w:rsid w:val="0018765B"/>
    <w:rsid w:val="00187DDD"/>
    <w:rsid w:val="00190913"/>
    <w:rsid w:val="001913A2"/>
    <w:rsid w:val="0019209C"/>
    <w:rsid w:val="001929FE"/>
    <w:rsid w:val="001930DF"/>
    <w:rsid w:val="00193BB9"/>
    <w:rsid w:val="00193DD3"/>
    <w:rsid w:val="001948AA"/>
    <w:rsid w:val="00194FA7"/>
    <w:rsid w:val="00195D52"/>
    <w:rsid w:val="00195F65"/>
    <w:rsid w:val="001A040E"/>
    <w:rsid w:val="001A07E2"/>
    <w:rsid w:val="001A2018"/>
    <w:rsid w:val="001A3336"/>
    <w:rsid w:val="001A35F6"/>
    <w:rsid w:val="001A47A0"/>
    <w:rsid w:val="001A56F1"/>
    <w:rsid w:val="001A5B02"/>
    <w:rsid w:val="001A5D0E"/>
    <w:rsid w:val="001A5FE6"/>
    <w:rsid w:val="001A66C1"/>
    <w:rsid w:val="001A67D7"/>
    <w:rsid w:val="001A69C3"/>
    <w:rsid w:val="001A7A59"/>
    <w:rsid w:val="001B01C8"/>
    <w:rsid w:val="001B0B52"/>
    <w:rsid w:val="001B13F6"/>
    <w:rsid w:val="001B1747"/>
    <w:rsid w:val="001B26D2"/>
    <w:rsid w:val="001B2D44"/>
    <w:rsid w:val="001B32F2"/>
    <w:rsid w:val="001B36BF"/>
    <w:rsid w:val="001B3BA8"/>
    <w:rsid w:val="001B5B1C"/>
    <w:rsid w:val="001B752A"/>
    <w:rsid w:val="001C12FB"/>
    <w:rsid w:val="001C174F"/>
    <w:rsid w:val="001C2CDF"/>
    <w:rsid w:val="001C2DB4"/>
    <w:rsid w:val="001C3228"/>
    <w:rsid w:val="001C35E9"/>
    <w:rsid w:val="001C36BD"/>
    <w:rsid w:val="001C3733"/>
    <w:rsid w:val="001C3F06"/>
    <w:rsid w:val="001C476C"/>
    <w:rsid w:val="001C49B3"/>
    <w:rsid w:val="001C4F39"/>
    <w:rsid w:val="001C5B30"/>
    <w:rsid w:val="001C6A56"/>
    <w:rsid w:val="001C76DF"/>
    <w:rsid w:val="001C7B31"/>
    <w:rsid w:val="001D082A"/>
    <w:rsid w:val="001D3B23"/>
    <w:rsid w:val="001D3B89"/>
    <w:rsid w:val="001D3C05"/>
    <w:rsid w:val="001D5629"/>
    <w:rsid w:val="001D5D74"/>
    <w:rsid w:val="001D6AF4"/>
    <w:rsid w:val="001D7A47"/>
    <w:rsid w:val="001E0CC1"/>
    <w:rsid w:val="001E176F"/>
    <w:rsid w:val="001E1C10"/>
    <w:rsid w:val="001E288E"/>
    <w:rsid w:val="001E3CC0"/>
    <w:rsid w:val="001E6760"/>
    <w:rsid w:val="001E6D81"/>
    <w:rsid w:val="001E6DB9"/>
    <w:rsid w:val="001E77C3"/>
    <w:rsid w:val="001E7BDA"/>
    <w:rsid w:val="001F090B"/>
    <w:rsid w:val="001F180A"/>
    <w:rsid w:val="001F1A28"/>
    <w:rsid w:val="001F1AD0"/>
    <w:rsid w:val="001F2DFE"/>
    <w:rsid w:val="001F35E8"/>
    <w:rsid w:val="001F390A"/>
    <w:rsid w:val="001F3C9F"/>
    <w:rsid w:val="001F4014"/>
    <w:rsid w:val="001F445E"/>
    <w:rsid w:val="001F570A"/>
    <w:rsid w:val="001F6423"/>
    <w:rsid w:val="001F655D"/>
    <w:rsid w:val="001F661D"/>
    <w:rsid w:val="001F7804"/>
    <w:rsid w:val="00201213"/>
    <w:rsid w:val="0020165E"/>
    <w:rsid w:val="0020272E"/>
    <w:rsid w:val="00202BAD"/>
    <w:rsid w:val="00202E50"/>
    <w:rsid w:val="00203346"/>
    <w:rsid w:val="00203C97"/>
    <w:rsid w:val="00203F57"/>
    <w:rsid w:val="00204A7D"/>
    <w:rsid w:val="00204C8C"/>
    <w:rsid w:val="00205180"/>
    <w:rsid w:val="002055CF"/>
    <w:rsid w:val="0020596A"/>
    <w:rsid w:val="00206347"/>
    <w:rsid w:val="00207F81"/>
    <w:rsid w:val="00210747"/>
    <w:rsid w:val="002109F4"/>
    <w:rsid w:val="00211679"/>
    <w:rsid w:val="00211FDA"/>
    <w:rsid w:val="00212F3B"/>
    <w:rsid w:val="00213478"/>
    <w:rsid w:val="00213BD6"/>
    <w:rsid w:val="00213C8F"/>
    <w:rsid w:val="00215CBB"/>
    <w:rsid w:val="00215FDA"/>
    <w:rsid w:val="002160C2"/>
    <w:rsid w:val="002166EC"/>
    <w:rsid w:val="00220EBB"/>
    <w:rsid w:val="002229AE"/>
    <w:rsid w:val="00222BB9"/>
    <w:rsid w:val="00223055"/>
    <w:rsid w:val="002245BA"/>
    <w:rsid w:val="00224EED"/>
    <w:rsid w:val="002252BB"/>
    <w:rsid w:val="002258D6"/>
    <w:rsid w:val="00225A86"/>
    <w:rsid w:val="00226778"/>
    <w:rsid w:val="002274FB"/>
    <w:rsid w:val="002309D2"/>
    <w:rsid w:val="00230B6E"/>
    <w:rsid w:val="00231401"/>
    <w:rsid w:val="00231B61"/>
    <w:rsid w:val="0023315B"/>
    <w:rsid w:val="00233718"/>
    <w:rsid w:val="00233983"/>
    <w:rsid w:val="00234274"/>
    <w:rsid w:val="002347FE"/>
    <w:rsid w:val="00234C02"/>
    <w:rsid w:val="00234E0C"/>
    <w:rsid w:val="002367B4"/>
    <w:rsid w:val="00236EB6"/>
    <w:rsid w:val="00237761"/>
    <w:rsid w:val="0024178D"/>
    <w:rsid w:val="002418E3"/>
    <w:rsid w:val="002426D3"/>
    <w:rsid w:val="00242962"/>
    <w:rsid w:val="0024392B"/>
    <w:rsid w:val="00243EBE"/>
    <w:rsid w:val="002450C6"/>
    <w:rsid w:val="00245DCF"/>
    <w:rsid w:val="00246C17"/>
    <w:rsid w:val="00246C65"/>
    <w:rsid w:val="0024721F"/>
    <w:rsid w:val="00250864"/>
    <w:rsid w:val="002515C6"/>
    <w:rsid w:val="002519CE"/>
    <w:rsid w:val="00251A10"/>
    <w:rsid w:val="00251A2F"/>
    <w:rsid w:val="00251ABD"/>
    <w:rsid w:val="00252192"/>
    <w:rsid w:val="00252BFF"/>
    <w:rsid w:val="00253732"/>
    <w:rsid w:val="002542A8"/>
    <w:rsid w:val="00254BBF"/>
    <w:rsid w:val="00254DD3"/>
    <w:rsid w:val="00255D31"/>
    <w:rsid w:val="00256914"/>
    <w:rsid w:val="002569A2"/>
    <w:rsid w:val="0025727C"/>
    <w:rsid w:val="00260A11"/>
    <w:rsid w:val="00260F5A"/>
    <w:rsid w:val="002610A8"/>
    <w:rsid w:val="0026169A"/>
    <w:rsid w:val="00262763"/>
    <w:rsid w:val="00264026"/>
    <w:rsid w:val="002643D1"/>
    <w:rsid w:val="00264BEA"/>
    <w:rsid w:val="00265669"/>
    <w:rsid w:val="002662E7"/>
    <w:rsid w:val="002664C7"/>
    <w:rsid w:val="0026688E"/>
    <w:rsid w:val="00267850"/>
    <w:rsid w:val="00270981"/>
    <w:rsid w:val="00271032"/>
    <w:rsid w:val="00271E79"/>
    <w:rsid w:val="002721FA"/>
    <w:rsid w:val="00273E3E"/>
    <w:rsid w:val="00274147"/>
    <w:rsid w:val="00275189"/>
    <w:rsid w:val="002756DC"/>
    <w:rsid w:val="002760A6"/>
    <w:rsid w:val="00276412"/>
    <w:rsid w:val="00276437"/>
    <w:rsid w:val="00280053"/>
    <w:rsid w:val="0028063F"/>
    <w:rsid w:val="00280740"/>
    <w:rsid w:val="00282775"/>
    <w:rsid w:val="00283130"/>
    <w:rsid w:val="00283B02"/>
    <w:rsid w:val="00283C5D"/>
    <w:rsid w:val="00283F4A"/>
    <w:rsid w:val="002844B0"/>
    <w:rsid w:val="00285A4D"/>
    <w:rsid w:val="00286322"/>
    <w:rsid w:val="00286D23"/>
    <w:rsid w:val="00286E3A"/>
    <w:rsid w:val="00287052"/>
    <w:rsid w:val="0028759E"/>
    <w:rsid w:val="00291F02"/>
    <w:rsid w:val="00293471"/>
    <w:rsid w:val="002937E3"/>
    <w:rsid w:val="002947CF"/>
    <w:rsid w:val="002963E7"/>
    <w:rsid w:val="00296920"/>
    <w:rsid w:val="00296B03"/>
    <w:rsid w:val="00296C1F"/>
    <w:rsid w:val="00296E08"/>
    <w:rsid w:val="002974D6"/>
    <w:rsid w:val="00297BDB"/>
    <w:rsid w:val="00297D3F"/>
    <w:rsid w:val="002A0B08"/>
    <w:rsid w:val="002A1C9C"/>
    <w:rsid w:val="002A27D3"/>
    <w:rsid w:val="002A41E6"/>
    <w:rsid w:val="002A4305"/>
    <w:rsid w:val="002A432F"/>
    <w:rsid w:val="002A44C8"/>
    <w:rsid w:val="002A47CA"/>
    <w:rsid w:val="002A4CBE"/>
    <w:rsid w:val="002A5E48"/>
    <w:rsid w:val="002A5FF2"/>
    <w:rsid w:val="002A63B2"/>
    <w:rsid w:val="002A6A91"/>
    <w:rsid w:val="002B0059"/>
    <w:rsid w:val="002B0455"/>
    <w:rsid w:val="002B1183"/>
    <w:rsid w:val="002B1678"/>
    <w:rsid w:val="002B256A"/>
    <w:rsid w:val="002B261C"/>
    <w:rsid w:val="002B2870"/>
    <w:rsid w:val="002B29F4"/>
    <w:rsid w:val="002B2BEE"/>
    <w:rsid w:val="002B306C"/>
    <w:rsid w:val="002B35C5"/>
    <w:rsid w:val="002B3935"/>
    <w:rsid w:val="002B406A"/>
    <w:rsid w:val="002B41D4"/>
    <w:rsid w:val="002B4C19"/>
    <w:rsid w:val="002B543F"/>
    <w:rsid w:val="002B5BF9"/>
    <w:rsid w:val="002B74CE"/>
    <w:rsid w:val="002B7C07"/>
    <w:rsid w:val="002B7D73"/>
    <w:rsid w:val="002C06E3"/>
    <w:rsid w:val="002C0801"/>
    <w:rsid w:val="002C13FE"/>
    <w:rsid w:val="002C145F"/>
    <w:rsid w:val="002C155C"/>
    <w:rsid w:val="002C33B3"/>
    <w:rsid w:val="002C3F65"/>
    <w:rsid w:val="002C44B0"/>
    <w:rsid w:val="002C4E07"/>
    <w:rsid w:val="002C4E3E"/>
    <w:rsid w:val="002C5D62"/>
    <w:rsid w:val="002C6403"/>
    <w:rsid w:val="002C7379"/>
    <w:rsid w:val="002D0586"/>
    <w:rsid w:val="002D0A23"/>
    <w:rsid w:val="002D1023"/>
    <w:rsid w:val="002D1459"/>
    <w:rsid w:val="002D1470"/>
    <w:rsid w:val="002D1DD8"/>
    <w:rsid w:val="002D21CF"/>
    <w:rsid w:val="002D3A31"/>
    <w:rsid w:val="002D3DB7"/>
    <w:rsid w:val="002D40EC"/>
    <w:rsid w:val="002D42EB"/>
    <w:rsid w:val="002D43D4"/>
    <w:rsid w:val="002D4403"/>
    <w:rsid w:val="002D4564"/>
    <w:rsid w:val="002D4705"/>
    <w:rsid w:val="002D4770"/>
    <w:rsid w:val="002D48D6"/>
    <w:rsid w:val="002D4C6C"/>
    <w:rsid w:val="002D52A4"/>
    <w:rsid w:val="002D5B65"/>
    <w:rsid w:val="002D6130"/>
    <w:rsid w:val="002D6396"/>
    <w:rsid w:val="002D76B6"/>
    <w:rsid w:val="002D7E5E"/>
    <w:rsid w:val="002E07BA"/>
    <w:rsid w:val="002E07EF"/>
    <w:rsid w:val="002E0D06"/>
    <w:rsid w:val="002E1810"/>
    <w:rsid w:val="002E184E"/>
    <w:rsid w:val="002E1A03"/>
    <w:rsid w:val="002E4E94"/>
    <w:rsid w:val="002F0091"/>
    <w:rsid w:val="002F1F28"/>
    <w:rsid w:val="002F2540"/>
    <w:rsid w:val="002F2708"/>
    <w:rsid w:val="002F27A0"/>
    <w:rsid w:val="002F3DE1"/>
    <w:rsid w:val="002F43CA"/>
    <w:rsid w:val="002F53C2"/>
    <w:rsid w:val="002F57AA"/>
    <w:rsid w:val="002F6EF7"/>
    <w:rsid w:val="002F6F09"/>
    <w:rsid w:val="002F714C"/>
    <w:rsid w:val="002F77BF"/>
    <w:rsid w:val="0030035A"/>
    <w:rsid w:val="003004A2"/>
    <w:rsid w:val="00302050"/>
    <w:rsid w:val="00302849"/>
    <w:rsid w:val="00302964"/>
    <w:rsid w:val="00302ECF"/>
    <w:rsid w:val="00303009"/>
    <w:rsid w:val="00303192"/>
    <w:rsid w:val="003033B4"/>
    <w:rsid w:val="00303767"/>
    <w:rsid w:val="00303CA8"/>
    <w:rsid w:val="00303DD5"/>
    <w:rsid w:val="00304F2A"/>
    <w:rsid w:val="00305ED6"/>
    <w:rsid w:val="00306BF8"/>
    <w:rsid w:val="00307B07"/>
    <w:rsid w:val="00307B74"/>
    <w:rsid w:val="00307CD6"/>
    <w:rsid w:val="00310764"/>
    <w:rsid w:val="00311BFD"/>
    <w:rsid w:val="00311DA5"/>
    <w:rsid w:val="00312228"/>
    <w:rsid w:val="003133F9"/>
    <w:rsid w:val="00313A01"/>
    <w:rsid w:val="00313E1F"/>
    <w:rsid w:val="00314653"/>
    <w:rsid w:val="00314718"/>
    <w:rsid w:val="0031488A"/>
    <w:rsid w:val="00315E91"/>
    <w:rsid w:val="00316648"/>
    <w:rsid w:val="00317128"/>
    <w:rsid w:val="003175E1"/>
    <w:rsid w:val="00320203"/>
    <w:rsid w:val="00320BFB"/>
    <w:rsid w:val="003210D8"/>
    <w:rsid w:val="00322002"/>
    <w:rsid w:val="00323657"/>
    <w:rsid w:val="00323C49"/>
    <w:rsid w:val="00323C79"/>
    <w:rsid w:val="00323D0C"/>
    <w:rsid w:val="003247B0"/>
    <w:rsid w:val="00325BF5"/>
    <w:rsid w:val="00325E81"/>
    <w:rsid w:val="0032655D"/>
    <w:rsid w:val="00326948"/>
    <w:rsid w:val="00327052"/>
    <w:rsid w:val="00327B4E"/>
    <w:rsid w:val="00327D6B"/>
    <w:rsid w:val="00327F5E"/>
    <w:rsid w:val="0033074C"/>
    <w:rsid w:val="00330771"/>
    <w:rsid w:val="00330B42"/>
    <w:rsid w:val="00332B14"/>
    <w:rsid w:val="003340C1"/>
    <w:rsid w:val="0033486D"/>
    <w:rsid w:val="00335263"/>
    <w:rsid w:val="00335DDE"/>
    <w:rsid w:val="003367C4"/>
    <w:rsid w:val="00336D8E"/>
    <w:rsid w:val="003376B3"/>
    <w:rsid w:val="00340D00"/>
    <w:rsid w:val="00345F9C"/>
    <w:rsid w:val="00347776"/>
    <w:rsid w:val="003478EF"/>
    <w:rsid w:val="00347B4F"/>
    <w:rsid w:val="00347C6F"/>
    <w:rsid w:val="00350F62"/>
    <w:rsid w:val="00350F99"/>
    <w:rsid w:val="0035135F"/>
    <w:rsid w:val="00351A91"/>
    <w:rsid w:val="003520C4"/>
    <w:rsid w:val="003533AE"/>
    <w:rsid w:val="00355E14"/>
    <w:rsid w:val="00357C5E"/>
    <w:rsid w:val="00357EF7"/>
    <w:rsid w:val="00360487"/>
    <w:rsid w:val="003608BD"/>
    <w:rsid w:val="00360CFF"/>
    <w:rsid w:val="00360D4A"/>
    <w:rsid w:val="00361280"/>
    <w:rsid w:val="003615F1"/>
    <w:rsid w:val="003619FC"/>
    <w:rsid w:val="00361A6E"/>
    <w:rsid w:val="003624A7"/>
    <w:rsid w:val="00363D7F"/>
    <w:rsid w:val="003651E3"/>
    <w:rsid w:val="00365AC7"/>
    <w:rsid w:val="00365DCB"/>
    <w:rsid w:val="0036655E"/>
    <w:rsid w:val="003667F1"/>
    <w:rsid w:val="00366F15"/>
    <w:rsid w:val="00367145"/>
    <w:rsid w:val="00367352"/>
    <w:rsid w:val="00367948"/>
    <w:rsid w:val="00367C66"/>
    <w:rsid w:val="00367DD0"/>
    <w:rsid w:val="003700B2"/>
    <w:rsid w:val="003704FE"/>
    <w:rsid w:val="0037233D"/>
    <w:rsid w:val="0037249B"/>
    <w:rsid w:val="003736EF"/>
    <w:rsid w:val="003737E3"/>
    <w:rsid w:val="00374C04"/>
    <w:rsid w:val="00375329"/>
    <w:rsid w:val="0037576E"/>
    <w:rsid w:val="00375F7C"/>
    <w:rsid w:val="00376AB4"/>
    <w:rsid w:val="00376D0E"/>
    <w:rsid w:val="00377432"/>
    <w:rsid w:val="00380268"/>
    <w:rsid w:val="0038052C"/>
    <w:rsid w:val="00380A1A"/>
    <w:rsid w:val="00380D80"/>
    <w:rsid w:val="0038119E"/>
    <w:rsid w:val="0038120E"/>
    <w:rsid w:val="0038195A"/>
    <w:rsid w:val="00382A63"/>
    <w:rsid w:val="003843FF"/>
    <w:rsid w:val="00384F82"/>
    <w:rsid w:val="0038500E"/>
    <w:rsid w:val="0038754D"/>
    <w:rsid w:val="0038761D"/>
    <w:rsid w:val="00387F71"/>
    <w:rsid w:val="003906F8"/>
    <w:rsid w:val="00390F1F"/>
    <w:rsid w:val="003917B6"/>
    <w:rsid w:val="00391BDD"/>
    <w:rsid w:val="00392DB7"/>
    <w:rsid w:val="003935B2"/>
    <w:rsid w:val="003935EE"/>
    <w:rsid w:val="00393EE9"/>
    <w:rsid w:val="0039408A"/>
    <w:rsid w:val="003945F5"/>
    <w:rsid w:val="0039673D"/>
    <w:rsid w:val="003975DA"/>
    <w:rsid w:val="00397893"/>
    <w:rsid w:val="003A08EB"/>
    <w:rsid w:val="003A0AD6"/>
    <w:rsid w:val="003A1226"/>
    <w:rsid w:val="003A2407"/>
    <w:rsid w:val="003A2CF0"/>
    <w:rsid w:val="003A33D3"/>
    <w:rsid w:val="003A3673"/>
    <w:rsid w:val="003A3880"/>
    <w:rsid w:val="003A3B23"/>
    <w:rsid w:val="003A3C1D"/>
    <w:rsid w:val="003A4B52"/>
    <w:rsid w:val="003A5BC5"/>
    <w:rsid w:val="003A5D55"/>
    <w:rsid w:val="003A5FBC"/>
    <w:rsid w:val="003A66E2"/>
    <w:rsid w:val="003A7232"/>
    <w:rsid w:val="003A75E6"/>
    <w:rsid w:val="003B255B"/>
    <w:rsid w:val="003B3317"/>
    <w:rsid w:val="003B33F0"/>
    <w:rsid w:val="003B3480"/>
    <w:rsid w:val="003B364A"/>
    <w:rsid w:val="003B4B2F"/>
    <w:rsid w:val="003B52D4"/>
    <w:rsid w:val="003B6F43"/>
    <w:rsid w:val="003B7D79"/>
    <w:rsid w:val="003C05B1"/>
    <w:rsid w:val="003C1130"/>
    <w:rsid w:val="003C1CA5"/>
    <w:rsid w:val="003C1D10"/>
    <w:rsid w:val="003C1EC7"/>
    <w:rsid w:val="003C3D8E"/>
    <w:rsid w:val="003C64A0"/>
    <w:rsid w:val="003C6F0B"/>
    <w:rsid w:val="003C7BA3"/>
    <w:rsid w:val="003D1CB4"/>
    <w:rsid w:val="003D34A8"/>
    <w:rsid w:val="003D3E6F"/>
    <w:rsid w:val="003D4015"/>
    <w:rsid w:val="003D4E9C"/>
    <w:rsid w:val="003D62A6"/>
    <w:rsid w:val="003D736A"/>
    <w:rsid w:val="003E075E"/>
    <w:rsid w:val="003E0D78"/>
    <w:rsid w:val="003E1787"/>
    <w:rsid w:val="003E19A8"/>
    <w:rsid w:val="003E1CB1"/>
    <w:rsid w:val="003E1FAE"/>
    <w:rsid w:val="003E3863"/>
    <w:rsid w:val="003E3A1D"/>
    <w:rsid w:val="003E3EDF"/>
    <w:rsid w:val="003E56AD"/>
    <w:rsid w:val="003E5819"/>
    <w:rsid w:val="003E5BA8"/>
    <w:rsid w:val="003E5F48"/>
    <w:rsid w:val="003E6B82"/>
    <w:rsid w:val="003E6CA0"/>
    <w:rsid w:val="003F1889"/>
    <w:rsid w:val="003F1F41"/>
    <w:rsid w:val="003F2F33"/>
    <w:rsid w:val="003F2FDE"/>
    <w:rsid w:val="003F330B"/>
    <w:rsid w:val="003F5578"/>
    <w:rsid w:val="003F57C2"/>
    <w:rsid w:val="003F6863"/>
    <w:rsid w:val="003F6FDF"/>
    <w:rsid w:val="003F6FE2"/>
    <w:rsid w:val="0040043D"/>
    <w:rsid w:val="00400F3E"/>
    <w:rsid w:val="004016F5"/>
    <w:rsid w:val="004045AA"/>
    <w:rsid w:val="00404FE5"/>
    <w:rsid w:val="0040549A"/>
    <w:rsid w:val="00405CC9"/>
    <w:rsid w:val="0040606C"/>
    <w:rsid w:val="0040711E"/>
    <w:rsid w:val="00407D67"/>
    <w:rsid w:val="004103C7"/>
    <w:rsid w:val="00411C9B"/>
    <w:rsid w:val="00411DE1"/>
    <w:rsid w:val="00412450"/>
    <w:rsid w:val="0041291A"/>
    <w:rsid w:val="00413592"/>
    <w:rsid w:val="004138DE"/>
    <w:rsid w:val="00413B39"/>
    <w:rsid w:val="004140B5"/>
    <w:rsid w:val="004148FE"/>
    <w:rsid w:val="00414998"/>
    <w:rsid w:val="00414B2F"/>
    <w:rsid w:val="00415171"/>
    <w:rsid w:val="004153C5"/>
    <w:rsid w:val="00415E58"/>
    <w:rsid w:val="00416231"/>
    <w:rsid w:val="004162F1"/>
    <w:rsid w:val="00416348"/>
    <w:rsid w:val="00417D19"/>
    <w:rsid w:val="004208AB"/>
    <w:rsid w:val="004219EF"/>
    <w:rsid w:val="00421A72"/>
    <w:rsid w:val="004231DA"/>
    <w:rsid w:val="00424348"/>
    <w:rsid w:val="00425F65"/>
    <w:rsid w:val="004268C6"/>
    <w:rsid w:val="00426CD9"/>
    <w:rsid w:val="00427A10"/>
    <w:rsid w:val="00427CBC"/>
    <w:rsid w:val="00427DAF"/>
    <w:rsid w:val="00430FEB"/>
    <w:rsid w:val="004310EE"/>
    <w:rsid w:val="00433677"/>
    <w:rsid w:val="004340D5"/>
    <w:rsid w:val="00434880"/>
    <w:rsid w:val="00434A21"/>
    <w:rsid w:val="00434F06"/>
    <w:rsid w:val="0043526D"/>
    <w:rsid w:val="004354D9"/>
    <w:rsid w:val="004378FE"/>
    <w:rsid w:val="00441866"/>
    <w:rsid w:val="00441DA9"/>
    <w:rsid w:val="00441F30"/>
    <w:rsid w:val="00442721"/>
    <w:rsid w:val="00444F5B"/>
    <w:rsid w:val="0044577D"/>
    <w:rsid w:val="004460E9"/>
    <w:rsid w:val="00447760"/>
    <w:rsid w:val="00447B6F"/>
    <w:rsid w:val="0045272B"/>
    <w:rsid w:val="00453623"/>
    <w:rsid w:val="00453C11"/>
    <w:rsid w:val="00454052"/>
    <w:rsid w:val="004542C6"/>
    <w:rsid w:val="004548D8"/>
    <w:rsid w:val="00454D9A"/>
    <w:rsid w:val="004557B0"/>
    <w:rsid w:val="00455A66"/>
    <w:rsid w:val="0045660A"/>
    <w:rsid w:val="004568E1"/>
    <w:rsid w:val="00456C34"/>
    <w:rsid w:val="00457946"/>
    <w:rsid w:val="00457AA0"/>
    <w:rsid w:val="00457D8B"/>
    <w:rsid w:val="00460A17"/>
    <w:rsid w:val="00462F79"/>
    <w:rsid w:val="00463ECE"/>
    <w:rsid w:val="00470CB5"/>
    <w:rsid w:val="00471EAB"/>
    <w:rsid w:val="00471EBA"/>
    <w:rsid w:val="004723EE"/>
    <w:rsid w:val="00473F5A"/>
    <w:rsid w:val="00475A92"/>
    <w:rsid w:val="004773BA"/>
    <w:rsid w:val="00477BB9"/>
    <w:rsid w:val="004818ED"/>
    <w:rsid w:val="00482281"/>
    <w:rsid w:val="004831C2"/>
    <w:rsid w:val="00483D04"/>
    <w:rsid w:val="0048450A"/>
    <w:rsid w:val="00485324"/>
    <w:rsid w:val="004859EE"/>
    <w:rsid w:val="00487366"/>
    <w:rsid w:val="004873E4"/>
    <w:rsid w:val="0049072C"/>
    <w:rsid w:val="004907B5"/>
    <w:rsid w:val="00490D15"/>
    <w:rsid w:val="00490FD1"/>
    <w:rsid w:val="00491AD2"/>
    <w:rsid w:val="004935C0"/>
    <w:rsid w:val="00493B43"/>
    <w:rsid w:val="00493D1C"/>
    <w:rsid w:val="00494DC2"/>
    <w:rsid w:val="00494EB1"/>
    <w:rsid w:val="00495A4B"/>
    <w:rsid w:val="00496414"/>
    <w:rsid w:val="0049648D"/>
    <w:rsid w:val="00496AD9"/>
    <w:rsid w:val="00497524"/>
    <w:rsid w:val="00497A38"/>
    <w:rsid w:val="00497C45"/>
    <w:rsid w:val="004A2D95"/>
    <w:rsid w:val="004A45BD"/>
    <w:rsid w:val="004A4656"/>
    <w:rsid w:val="004A4A3F"/>
    <w:rsid w:val="004A6406"/>
    <w:rsid w:val="004A673D"/>
    <w:rsid w:val="004A7042"/>
    <w:rsid w:val="004A77B0"/>
    <w:rsid w:val="004A7DCD"/>
    <w:rsid w:val="004B08A9"/>
    <w:rsid w:val="004B1C40"/>
    <w:rsid w:val="004B1CED"/>
    <w:rsid w:val="004B2765"/>
    <w:rsid w:val="004B2C1C"/>
    <w:rsid w:val="004B2D99"/>
    <w:rsid w:val="004B34A7"/>
    <w:rsid w:val="004B3AFE"/>
    <w:rsid w:val="004B3B06"/>
    <w:rsid w:val="004B4643"/>
    <w:rsid w:val="004B4CB0"/>
    <w:rsid w:val="004B7F67"/>
    <w:rsid w:val="004C06BE"/>
    <w:rsid w:val="004C0938"/>
    <w:rsid w:val="004C1994"/>
    <w:rsid w:val="004C2838"/>
    <w:rsid w:val="004C35D3"/>
    <w:rsid w:val="004C4754"/>
    <w:rsid w:val="004C507E"/>
    <w:rsid w:val="004C551A"/>
    <w:rsid w:val="004C70FC"/>
    <w:rsid w:val="004D0DDA"/>
    <w:rsid w:val="004D2675"/>
    <w:rsid w:val="004D29F5"/>
    <w:rsid w:val="004D3884"/>
    <w:rsid w:val="004D3D4F"/>
    <w:rsid w:val="004D4080"/>
    <w:rsid w:val="004D483D"/>
    <w:rsid w:val="004D6C14"/>
    <w:rsid w:val="004D7E82"/>
    <w:rsid w:val="004E05FD"/>
    <w:rsid w:val="004E16FE"/>
    <w:rsid w:val="004E1A0D"/>
    <w:rsid w:val="004E1D4B"/>
    <w:rsid w:val="004E23F5"/>
    <w:rsid w:val="004E5418"/>
    <w:rsid w:val="004E55F2"/>
    <w:rsid w:val="004E63E5"/>
    <w:rsid w:val="004E6B76"/>
    <w:rsid w:val="004E732B"/>
    <w:rsid w:val="004F1437"/>
    <w:rsid w:val="004F1FC5"/>
    <w:rsid w:val="004F3540"/>
    <w:rsid w:val="004F52DB"/>
    <w:rsid w:val="004F5624"/>
    <w:rsid w:val="004F5DA4"/>
    <w:rsid w:val="004F62B2"/>
    <w:rsid w:val="004F6424"/>
    <w:rsid w:val="004F6674"/>
    <w:rsid w:val="00500DA6"/>
    <w:rsid w:val="00502302"/>
    <w:rsid w:val="00502764"/>
    <w:rsid w:val="005031F5"/>
    <w:rsid w:val="00503A25"/>
    <w:rsid w:val="00503EB9"/>
    <w:rsid w:val="005040CD"/>
    <w:rsid w:val="0050509C"/>
    <w:rsid w:val="00505229"/>
    <w:rsid w:val="005055AE"/>
    <w:rsid w:val="00506DD3"/>
    <w:rsid w:val="00507A12"/>
    <w:rsid w:val="00507E14"/>
    <w:rsid w:val="00507F98"/>
    <w:rsid w:val="005100A3"/>
    <w:rsid w:val="005108A3"/>
    <w:rsid w:val="00510F6E"/>
    <w:rsid w:val="00511422"/>
    <w:rsid w:val="005118AE"/>
    <w:rsid w:val="00511DDC"/>
    <w:rsid w:val="0051316A"/>
    <w:rsid w:val="0051352F"/>
    <w:rsid w:val="005151B7"/>
    <w:rsid w:val="0051587A"/>
    <w:rsid w:val="005158FA"/>
    <w:rsid w:val="005165C3"/>
    <w:rsid w:val="005169AD"/>
    <w:rsid w:val="00517F79"/>
    <w:rsid w:val="005205D3"/>
    <w:rsid w:val="005208B9"/>
    <w:rsid w:val="0052169F"/>
    <w:rsid w:val="00521C5B"/>
    <w:rsid w:val="005221F0"/>
    <w:rsid w:val="00523B06"/>
    <w:rsid w:val="00524807"/>
    <w:rsid w:val="005252FE"/>
    <w:rsid w:val="00525B12"/>
    <w:rsid w:val="00525FF9"/>
    <w:rsid w:val="005274EF"/>
    <w:rsid w:val="00527F75"/>
    <w:rsid w:val="00532C41"/>
    <w:rsid w:val="00532CA1"/>
    <w:rsid w:val="00532D3F"/>
    <w:rsid w:val="0053386D"/>
    <w:rsid w:val="00534700"/>
    <w:rsid w:val="00534892"/>
    <w:rsid w:val="0053791F"/>
    <w:rsid w:val="0054007B"/>
    <w:rsid w:val="0054063B"/>
    <w:rsid w:val="00541FBA"/>
    <w:rsid w:val="005437D2"/>
    <w:rsid w:val="00547082"/>
    <w:rsid w:val="005470C3"/>
    <w:rsid w:val="00547396"/>
    <w:rsid w:val="00547538"/>
    <w:rsid w:val="00551089"/>
    <w:rsid w:val="00551F4C"/>
    <w:rsid w:val="00553BFA"/>
    <w:rsid w:val="00553C36"/>
    <w:rsid w:val="00554731"/>
    <w:rsid w:val="00554D05"/>
    <w:rsid w:val="0055509B"/>
    <w:rsid w:val="00556A10"/>
    <w:rsid w:val="00557401"/>
    <w:rsid w:val="0056066B"/>
    <w:rsid w:val="0056077E"/>
    <w:rsid w:val="00560EDA"/>
    <w:rsid w:val="005629EE"/>
    <w:rsid w:val="005648FA"/>
    <w:rsid w:val="00564D50"/>
    <w:rsid w:val="005653F2"/>
    <w:rsid w:val="00565807"/>
    <w:rsid w:val="00567346"/>
    <w:rsid w:val="0057034E"/>
    <w:rsid w:val="00571D86"/>
    <w:rsid w:val="0057371B"/>
    <w:rsid w:val="0057485E"/>
    <w:rsid w:val="00575317"/>
    <w:rsid w:val="00575EB8"/>
    <w:rsid w:val="00577401"/>
    <w:rsid w:val="005822F0"/>
    <w:rsid w:val="00582A78"/>
    <w:rsid w:val="00582A9B"/>
    <w:rsid w:val="005832AB"/>
    <w:rsid w:val="0058394C"/>
    <w:rsid w:val="0058437C"/>
    <w:rsid w:val="005856C7"/>
    <w:rsid w:val="00586D1C"/>
    <w:rsid w:val="00587EA6"/>
    <w:rsid w:val="00590823"/>
    <w:rsid w:val="00590A0E"/>
    <w:rsid w:val="005920C3"/>
    <w:rsid w:val="005921FC"/>
    <w:rsid w:val="00592445"/>
    <w:rsid w:val="005935F4"/>
    <w:rsid w:val="00593C30"/>
    <w:rsid w:val="00593E0A"/>
    <w:rsid w:val="005A167F"/>
    <w:rsid w:val="005A2EE1"/>
    <w:rsid w:val="005A3298"/>
    <w:rsid w:val="005A346E"/>
    <w:rsid w:val="005A350C"/>
    <w:rsid w:val="005A4DD8"/>
    <w:rsid w:val="005A500F"/>
    <w:rsid w:val="005A73CF"/>
    <w:rsid w:val="005B0A89"/>
    <w:rsid w:val="005B12FE"/>
    <w:rsid w:val="005B1576"/>
    <w:rsid w:val="005B271B"/>
    <w:rsid w:val="005B28B8"/>
    <w:rsid w:val="005B2EE3"/>
    <w:rsid w:val="005B2FC2"/>
    <w:rsid w:val="005B3F6F"/>
    <w:rsid w:val="005B574A"/>
    <w:rsid w:val="005B5A2D"/>
    <w:rsid w:val="005B630D"/>
    <w:rsid w:val="005B735B"/>
    <w:rsid w:val="005B798B"/>
    <w:rsid w:val="005C133E"/>
    <w:rsid w:val="005C180A"/>
    <w:rsid w:val="005C19F2"/>
    <w:rsid w:val="005C1FAE"/>
    <w:rsid w:val="005C24E1"/>
    <w:rsid w:val="005C39E8"/>
    <w:rsid w:val="005C3B76"/>
    <w:rsid w:val="005C3D29"/>
    <w:rsid w:val="005C4209"/>
    <w:rsid w:val="005C5660"/>
    <w:rsid w:val="005C5B2B"/>
    <w:rsid w:val="005C72E3"/>
    <w:rsid w:val="005D2980"/>
    <w:rsid w:val="005D3A18"/>
    <w:rsid w:val="005D4353"/>
    <w:rsid w:val="005D4B68"/>
    <w:rsid w:val="005D58C1"/>
    <w:rsid w:val="005D6C42"/>
    <w:rsid w:val="005D6DEB"/>
    <w:rsid w:val="005D7BDE"/>
    <w:rsid w:val="005D7FC3"/>
    <w:rsid w:val="005E0325"/>
    <w:rsid w:val="005E0715"/>
    <w:rsid w:val="005E09C2"/>
    <w:rsid w:val="005E10FB"/>
    <w:rsid w:val="005E11C1"/>
    <w:rsid w:val="005E2533"/>
    <w:rsid w:val="005E2563"/>
    <w:rsid w:val="005E2F8C"/>
    <w:rsid w:val="005E394C"/>
    <w:rsid w:val="005E42BF"/>
    <w:rsid w:val="005E4E70"/>
    <w:rsid w:val="005E6592"/>
    <w:rsid w:val="005E65BB"/>
    <w:rsid w:val="005E689F"/>
    <w:rsid w:val="005F0AEE"/>
    <w:rsid w:val="005F0DA0"/>
    <w:rsid w:val="005F2767"/>
    <w:rsid w:val="005F3992"/>
    <w:rsid w:val="005F39BE"/>
    <w:rsid w:val="005F4914"/>
    <w:rsid w:val="005F51C8"/>
    <w:rsid w:val="005F5668"/>
    <w:rsid w:val="005F5F02"/>
    <w:rsid w:val="005F62B7"/>
    <w:rsid w:val="005F6869"/>
    <w:rsid w:val="005F6BB9"/>
    <w:rsid w:val="005F700D"/>
    <w:rsid w:val="005F7D91"/>
    <w:rsid w:val="00600C57"/>
    <w:rsid w:val="00603148"/>
    <w:rsid w:val="006032AA"/>
    <w:rsid w:val="00604793"/>
    <w:rsid w:val="006057F9"/>
    <w:rsid w:val="00606FC7"/>
    <w:rsid w:val="00607C4B"/>
    <w:rsid w:val="00610456"/>
    <w:rsid w:val="00611473"/>
    <w:rsid w:val="00611B36"/>
    <w:rsid w:val="006123D0"/>
    <w:rsid w:val="00613634"/>
    <w:rsid w:val="00613A34"/>
    <w:rsid w:val="006156D2"/>
    <w:rsid w:val="00615722"/>
    <w:rsid w:val="00615ADA"/>
    <w:rsid w:val="00615D23"/>
    <w:rsid w:val="00616080"/>
    <w:rsid w:val="006169DD"/>
    <w:rsid w:val="00616F13"/>
    <w:rsid w:val="00617EBE"/>
    <w:rsid w:val="006215B5"/>
    <w:rsid w:val="006221CD"/>
    <w:rsid w:val="00625213"/>
    <w:rsid w:val="00625847"/>
    <w:rsid w:val="00625F7C"/>
    <w:rsid w:val="00626138"/>
    <w:rsid w:val="006266A9"/>
    <w:rsid w:val="0062790C"/>
    <w:rsid w:val="00627FEC"/>
    <w:rsid w:val="00630426"/>
    <w:rsid w:val="00630BB0"/>
    <w:rsid w:val="006316C1"/>
    <w:rsid w:val="00631ED4"/>
    <w:rsid w:val="006327A7"/>
    <w:rsid w:val="00633847"/>
    <w:rsid w:val="00633BC7"/>
    <w:rsid w:val="0063400F"/>
    <w:rsid w:val="0063500D"/>
    <w:rsid w:val="00635AC7"/>
    <w:rsid w:val="00635E9C"/>
    <w:rsid w:val="006371FB"/>
    <w:rsid w:val="0063750F"/>
    <w:rsid w:val="00637B41"/>
    <w:rsid w:val="0064037C"/>
    <w:rsid w:val="00640BA2"/>
    <w:rsid w:val="00641134"/>
    <w:rsid w:val="006414EE"/>
    <w:rsid w:val="00641DFD"/>
    <w:rsid w:val="00642524"/>
    <w:rsid w:val="006425E0"/>
    <w:rsid w:val="0064269C"/>
    <w:rsid w:val="00642D0A"/>
    <w:rsid w:val="006455D2"/>
    <w:rsid w:val="0064562B"/>
    <w:rsid w:val="0064630E"/>
    <w:rsid w:val="00646FE1"/>
    <w:rsid w:val="00647075"/>
    <w:rsid w:val="0065136C"/>
    <w:rsid w:val="006520FA"/>
    <w:rsid w:val="0065254F"/>
    <w:rsid w:val="00654DED"/>
    <w:rsid w:val="0065581D"/>
    <w:rsid w:val="00655C2F"/>
    <w:rsid w:val="00657111"/>
    <w:rsid w:val="006601DC"/>
    <w:rsid w:val="00660403"/>
    <w:rsid w:val="00661140"/>
    <w:rsid w:val="00663313"/>
    <w:rsid w:val="006647C7"/>
    <w:rsid w:val="006661D0"/>
    <w:rsid w:val="0066694F"/>
    <w:rsid w:val="00667362"/>
    <w:rsid w:val="0067102C"/>
    <w:rsid w:val="006710DD"/>
    <w:rsid w:val="00671107"/>
    <w:rsid w:val="00672318"/>
    <w:rsid w:val="00673200"/>
    <w:rsid w:val="0067501E"/>
    <w:rsid w:val="0067679C"/>
    <w:rsid w:val="006773D2"/>
    <w:rsid w:val="00680581"/>
    <w:rsid w:val="00681854"/>
    <w:rsid w:val="006819BA"/>
    <w:rsid w:val="00681A41"/>
    <w:rsid w:val="006821B2"/>
    <w:rsid w:val="0068312C"/>
    <w:rsid w:val="006838C0"/>
    <w:rsid w:val="0068545E"/>
    <w:rsid w:val="00685901"/>
    <w:rsid w:val="00685BB9"/>
    <w:rsid w:val="00690127"/>
    <w:rsid w:val="00690EAC"/>
    <w:rsid w:val="006912E2"/>
    <w:rsid w:val="00691BE9"/>
    <w:rsid w:val="00691BFF"/>
    <w:rsid w:val="00691DB4"/>
    <w:rsid w:val="0069357D"/>
    <w:rsid w:val="00693D4F"/>
    <w:rsid w:val="00694340"/>
    <w:rsid w:val="00695330"/>
    <w:rsid w:val="006953C1"/>
    <w:rsid w:val="006956DC"/>
    <w:rsid w:val="00696EB2"/>
    <w:rsid w:val="00696FBD"/>
    <w:rsid w:val="0069701C"/>
    <w:rsid w:val="006A1378"/>
    <w:rsid w:val="006A16E9"/>
    <w:rsid w:val="006A1DE1"/>
    <w:rsid w:val="006A33F0"/>
    <w:rsid w:val="006A4180"/>
    <w:rsid w:val="006A5450"/>
    <w:rsid w:val="006A6D72"/>
    <w:rsid w:val="006A6F31"/>
    <w:rsid w:val="006B0199"/>
    <w:rsid w:val="006B08A1"/>
    <w:rsid w:val="006B0A32"/>
    <w:rsid w:val="006B0BD8"/>
    <w:rsid w:val="006B10BC"/>
    <w:rsid w:val="006B14F2"/>
    <w:rsid w:val="006B1618"/>
    <w:rsid w:val="006B3079"/>
    <w:rsid w:val="006B3B9F"/>
    <w:rsid w:val="006B4553"/>
    <w:rsid w:val="006B4557"/>
    <w:rsid w:val="006B462B"/>
    <w:rsid w:val="006B5287"/>
    <w:rsid w:val="006B71CC"/>
    <w:rsid w:val="006C0251"/>
    <w:rsid w:val="006C03C3"/>
    <w:rsid w:val="006C2207"/>
    <w:rsid w:val="006C2B9A"/>
    <w:rsid w:val="006C2E13"/>
    <w:rsid w:val="006C33A2"/>
    <w:rsid w:val="006C39BB"/>
    <w:rsid w:val="006C4502"/>
    <w:rsid w:val="006C49AB"/>
    <w:rsid w:val="006C6114"/>
    <w:rsid w:val="006C73D6"/>
    <w:rsid w:val="006C76EF"/>
    <w:rsid w:val="006D076F"/>
    <w:rsid w:val="006D0CBF"/>
    <w:rsid w:val="006D0EE3"/>
    <w:rsid w:val="006D0FA3"/>
    <w:rsid w:val="006D10F2"/>
    <w:rsid w:val="006D16B6"/>
    <w:rsid w:val="006D2288"/>
    <w:rsid w:val="006D240D"/>
    <w:rsid w:val="006D4464"/>
    <w:rsid w:val="006D4BD1"/>
    <w:rsid w:val="006D52C0"/>
    <w:rsid w:val="006D5E91"/>
    <w:rsid w:val="006E0193"/>
    <w:rsid w:val="006E14E6"/>
    <w:rsid w:val="006E1AEE"/>
    <w:rsid w:val="006E2F52"/>
    <w:rsid w:val="006E3162"/>
    <w:rsid w:val="006E32A9"/>
    <w:rsid w:val="006E3803"/>
    <w:rsid w:val="006E3B9C"/>
    <w:rsid w:val="006E3E9F"/>
    <w:rsid w:val="006E45C5"/>
    <w:rsid w:val="006E51A2"/>
    <w:rsid w:val="006E5D48"/>
    <w:rsid w:val="006E6857"/>
    <w:rsid w:val="006E6EBB"/>
    <w:rsid w:val="006F02F3"/>
    <w:rsid w:val="006F0DE2"/>
    <w:rsid w:val="006F0F40"/>
    <w:rsid w:val="006F11BD"/>
    <w:rsid w:val="006F25B4"/>
    <w:rsid w:val="006F28CD"/>
    <w:rsid w:val="006F32C7"/>
    <w:rsid w:val="006F3495"/>
    <w:rsid w:val="006F3629"/>
    <w:rsid w:val="006F37FE"/>
    <w:rsid w:val="006F417D"/>
    <w:rsid w:val="006F47A1"/>
    <w:rsid w:val="006F4C11"/>
    <w:rsid w:val="006F5520"/>
    <w:rsid w:val="006F5C83"/>
    <w:rsid w:val="006F63BA"/>
    <w:rsid w:val="006F67CC"/>
    <w:rsid w:val="006F6B89"/>
    <w:rsid w:val="00701C2D"/>
    <w:rsid w:val="00701F7F"/>
    <w:rsid w:val="00702162"/>
    <w:rsid w:val="00702A15"/>
    <w:rsid w:val="007035DB"/>
    <w:rsid w:val="00703930"/>
    <w:rsid w:val="00704484"/>
    <w:rsid w:val="00705EDB"/>
    <w:rsid w:val="0070610E"/>
    <w:rsid w:val="007061CA"/>
    <w:rsid w:val="0070674F"/>
    <w:rsid w:val="00707759"/>
    <w:rsid w:val="00710081"/>
    <w:rsid w:val="00710B0D"/>
    <w:rsid w:val="00711146"/>
    <w:rsid w:val="00712753"/>
    <w:rsid w:val="00713184"/>
    <w:rsid w:val="00713CB5"/>
    <w:rsid w:val="00714E3F"/>
    <w:rsid w:val="0071558B"/>
    <w:rsid w:val="00715CD1"/>
    <w:rsid w:val="00715DB8"/>
    <w:rsid w:val="00715ED1"/>
    <w:rsid w:val="007162A7"/>
    <w:rsid w:val="007165B1"/>
    <w:rsid w:val="0071696E"/>
    <w:rsid w:val="0071776A"/>
    <w:rsid w:val="00717B64"/>
    <w:rsid w:val="00721189"/>
    <w:rsid w:val="00721271"/>
    <w:rsid w:val="007221C3"/>
    <w:rsid w:val="00722F2C"/>
    <w:rsid w:val="00723C97"/>
    <w:rsid w:val="00723E4E"/>
    <w:rsid w:val="00724219"/>
    <w:rsid w:val="007254D1"/>
    <w:rsid w:val="00725B32"/>
    <w:rsid w:val="00725B3C"/>
    <w:rsid w:val="00727C16"/>
    <w:rsid w:val="007309BE"/>
    <w:rsid w:val="00731189"/>
    <w:rsid w:val="00731B02"/>
    <w:rsid w:val="00732A95"/>
    <w:rsid w:val="00732C25"/>
    <w:rsid w:val="00733D54"/>
    <w:rsid w:val="00735811"/>
    <w:rsid w:val="00736A4F"/>
    <w:rsid w:val="00737753"/>
    <w:rsid w:val="00737768"/>
    <w:rsid w:val="00737E44"/>
    <w:rsid w:val="00740CE9"/>
    <w:rsid w:val="00741605"/>
    <w:rsid w:val="0074252E"/>
    <w:rsid w:val="007425B2"/>
    <w:rsid w:val="007428E3"/>
    <w:rsid w:val="00742DF8"/>
    <w:rsid w:val="0074394E"/>
    <w:rsid w:val="0074422D"/>
    <w:rsid w:val="00745138"/>
    <w:rsid w:val="00745A58"/>
    <w:rsid w:val="00746FB9"/>
    <w:rsid w:val="0075070C"/>
    <w:rsid w:val="00750A3B"/>
    <w:rsid w:val="00750D0A"/>
    <w:rsid w:val="00751D93"/>
    <w:rsid w:val="00751F28"/>
    <w:rsid w:val="00752300"/>
    <w:rsid w:val="00752BD2"/>
    <w:rsid w:val="00753BF5"/>
    <w:rsid w:val="007546F8"/>
    <w:rsid w:val="0075579B"/>
    <w:rsid w:val="00755BAB"/>
    <w:rsid w:val="007565C5"/>
    <w:rsid w:val="0076080E"/>
    <w:rsid w:val="007612C8"/>
    <w:rsid w:val="00761BA2"/>
    <w:rsid w:val="0076243B"/>
    <w:rsid w:val="00763B25"/>
    <w:rsid w:val="0076411D"/>
    <w:rsid w:val="00764CCA"/>
    <w:rsid w:val="007670F8"/>
    <w:rsid w:val="007671D4"/>
    <w:rsid w:val="00770A85"/>
    <w:rsid w:val="00773DC9"/>
    <w:rsid w:val="0077572E"/>
    <w:rsid w:val="00777BE4"/>
    <w:rsid w:val="00777D6D"/>
    <w:rsid w:val="00780299"/>
    <w:rsid w:val="0078031B"/>
    <w:rsid w:val="007819EE"/>
    <w:rsid w:val="007824B6"/>
    <w:rsid w:val="00782E39"/>
    <w:rsid w:val="007837DB"/>
    <w:rsid w:val="0078402A"/>
    <w:rsid w:val="007841DA"/>
    <w:rsid w:val="00784F44"/>
    <w:rsid w:val="00786672"/>
    <w:rsid w:val="007872CF"/>
    <w:rsid w:val="007873DC"/>
    <w:rsid w:val="007876DC"/>
    <w:rsid w:val="00790C32"/>
    <w:rsid w:val="0079201C"/>
    <w:rsid w:val="00793048"/>
    <w:rsid w:val="0079307F"/>
    <w:rsid w:val="007940C5"/>
    <w:rsid w:val="007947C4"/>
    <w:rsid w:val="00794A1D"/>
    <w:rsid w:val="00794E5C"/>
    <w:rsid w:val="007950B1"/>
    <w:rsid w:val="00795CE1"/>
    <w:rsid w:val="0079654B"/>
    <w:rsid w:val="00797A6E"/>
    <w:rsid w:val="00797E1D"/>
    <w:rsid w:val="007A0646"/>
    <w:rsid w:val="007A06AC"/>
    <w:rsid w:val="007A11F8"/>
    <w:rsid w:val="007A1C7D"/>
    <w:rsid w:val="007A25CC"/>
    <w:rsid w:val="007A3283"/>
    <w:rsid w:val="007A32F4"/>
    <w:rsid w:val="007A4636"/>
    <w:rsid w:val="007A4B94"/>
    <w:rsid w:val="007A5122"/>
    <w:rsid w:val="007A57DF"/>
    <w:rsid w:val="007A7FD7"/>
    <w:rsid w:val="007B1014"/>
    <w:rsid w:val="007B103F"/>
    <w:rsid w:val="007B10BC"/>
    <w:rsid w:val="007B1484"/>
    <w:rsid w:val="007B1A10"/>
    <w:rsid w:val="007B31AB"/>
    <w:rsid w:val="007B3268"/>
    <w:rsid w:val="007B42D3"/>
    <w:rsid w:val="007B46D9"/>
    <w:rsid w:val="007B6659"/>
    <w:rsid w:val="007B6C39"/>
    <w:rsid w:val="007B76AB"/>
    <w:rsid w:val="007B7A66"/>
    <w:rsid w:val="007B7DBD"/>
    <w:rsid w:val="007C0E7C"/>
    <w:rsid w:val="007C40F9"/>
    <w:rsid w:val="007C45D3"/>
    <w:rsid w:val="007C48E9"/>
    <w:rsid w:val="007C4CEF"/>
    <w:rsid w:val="007C597B"/>
    <w:rsid w:val="007C5FF7"/>
    <w:rsid w:val="007C6271"/>
    <w:rsid w:val="007C6A24"/>
    <w:rsid w:val="007C760C"/>
    <w:rsid w:val="007D0893"/>
    <w:rsid w:val="007D08FD"/>
    <w:rsid w:val="007D12E9"/>
    <w:rsid w:val="007D1584"/>
    <w:rsid w:val="007D2044"/>
    <w:rsid w:val="007D2484"/>
    <w:rsid w:val="007D4460"/>
    <w:rsid w:val="007D4F33"/>
    <w:rsid w:val="007D554B"/>
    <w:rsid w:val="007D5BA5"/>
    <w:rsid w:val="007D5D9A"/>
    <w:rsid w:val="007D65C7"/>
    <w:rsid w:val="007D730B"/>
    <w:rsid w:val="007D73AD"/>
    <w:rsid w:val="007D74D2"/>
    <w:rsid w:val="007D7909"/>
    <w:rsid w:val="007D79B5"/>
    <w:rsid w:val="007E2334"/>
    <w:rsid w:val="007E23CE"/>
    <w:rsid w:val="007E2CE7"/>
    <w:rsid w:val="007E40AF"/>
    <w:rsid w:val="007E419A"/>
    <w:rsid w:val="007E43D0"/>
    <w:rsid w:val="007E4DEF"/>
    <w:rsid w:val="007E4F00"/>
    <w:rsid w:val="007E54F8"/>
    <w:rsid w:val="007E5987"/>
    <w:rsid w:val="007E5BD8"/>
    <w:rsid w:val="007E7BF9"/>
    <w:rsid w:val="007F02BC"/>
    <w:rsid w:val="007F0C7B"/>
    <w:rsid w:val="007F15BA"/>
    <w:rsid w:val="007F171C"/>
    <w:rsid w:val="007F1A27"/>
    <w:rsid w:val="007F1D17"/>
    <w:rsid w:val="007F20D7"/>
    <w:rsid w:val="007F2204"/>
    <w:rsid w:val="007F2246"/>
    <w:rsid w:val="007F2722"/>
    <w:rsid w:val="007F2E65"/>
    <w:rsid w:val="007F43BA"/>
    <w:rsid w:val="007F45D1"/>
    <w:rsid w:val="007F54A6"/>
    <w:rsid w:val="007F64BE"/>
    <w:rsid w:val="007F6DC3"/>
    <w:rsid w:val="007F74DA"/>
    <w:rsid w:val="008006B4"/>
    <w:rsid w:val="00800AF0"/>
    <w:rsid w:val="00800E24"/>
    <w:rsid w:val="008013FE"/>
    <w:rsid w:val="008015B6"/>
    <w:rsid w:val="008015CF"/>
    <w:rsid w:val="00802C2C"/>
    <w:rsid w:val="00803683"/>
    <w:rsid w:val="00803F6D"/>
    <w:rsid w:val="00803FD4"/>
    <w:rsid w:val="008042F2"/>
    <w:rsid w:val="0080481C"/>
    <w:rsid w:val="00804C54"/>
    <w:rsid w:val="008053FB"/>
    <w:rsid w:val="008056DD"/>
    <w:rsid w:val="00805B41"/>
    <w:rsid w:val="0081104C"/>
    <w:rsid w:val="0081126E"/>
    <w:rsid w:val="008121F2"/>
    <w:rsid w:val="00812D16"/>
    <w:rsid w:val="00814E3C"/>
    <w:rsid w:val="0081547F"/>
    <w:rsid w:val="00816589"/>
    <w:rsid w:val="00816BDA"/>
    <w:rsid w:val="00816C51"/>
    <w:rsid w:val="00821865"/>
    <w:rsid w:val="00821F95"/>
    <w:rsid w:val="008225EB"/>
    <w:rsid w:val="00822A02"/>
    <w:rsid w:val="008231B4"/>
    <w:rsid w:val="0082327D"/>
    <w:rsid w:val="00823E8B"/>
    <w:rsid w:val="0082433D"/>
    <w:rsid w:val="00825F84"/>
    <w:rsid w:val="00826509"/>
    <w:rsid w:val="008275E7"/>
    <w:rsid w:val="008302FE"/>
    <w:rsid w:val="00830AFA"/>
    <w:rsid w:val="00830D6C"/>
    <w:rsid w:val="0083128F"/>
    <w:rsid w:val="0083265C"/>
    <w:rsid w:val="0083354D"/>
    <w:rsid w:val="0083561B"/>
    <w:rsid w:val="00835978"/>
    <w:rsid w:val="00837498"/>
    <w:rsid w:val="0083761F"/>
    <w:rsid w:val="00837D78"/>
    <w:rsid w:val="00840854"/>
    <w:rsid w:val="00840B18"/>
    <w:rsid w:val="00840D79"/>
    <w:rsid w:val="008410E6"/>
    <w:rsid w:val="00842960"/>
    <w:rsid w:val="00842A21"/>
    <w:rsid w:val="00842DF7"/>
    <w:rsid w:val="00845DAD"/>
    <w:rsid w:val="00847696"/>
    <w:rsid w:val="00851377"/>
    <w:rsid w:val="0085437C"/>
    <w:rsid w:val="00854B2F"/>
    <w:rsid w:val="00855481"/>
    <w:rsid w:val="00855947"/>
    <w:rsid w:val="00856354"/>
    <w:rsid w:val="008568E1"/>
    <w:rsid w:val="00856BE9"/>
    <w:rsid w:val="00856DC7"/>
    <w:rsid w:val="0085728B"/>
    <w:rsid w:val="008578F8"/>
    <w:rsid w:val="00860566"/>
    <w:rsid w:val="00860917"/>
    <w:rsid w:val="0086165C"/>
    <w:rsid w:val="00861B26"/>
    <w:rsid w:val="00861DD8"/>
    <w:rsid w:val="00862EED"/>
    <w:rsid w:val="0086375B"/>
    <w:rsid w:val="008642C5"/>
    <w:rsid w:val="008643FC"/>
    <w:rsid w:val="008649B9"/>
    <w:rsid w:val="00864BAE"/>
    <w:rsid w:val="00865E05"/>
    <w:rsid w:val="00866B19"/>
    <w:rsid w:val="00867698"/>
    <w:rsid w:val="0086784F"/>
    <w:rsid w:val="00870394"/>
    <w:rsid w:val="0087070F"/>
    <w:rsid w:val="0087073B"/>
    <w:rsid w:val="008712ED"/>
    <w:rsid w:val="0087388E"/>
    <w:rsid w:val="00873967"/>
    <w:rsid w:val="00875DFC"/>
    <w:rsid w:val="008770D4"/>
    <w:rsid w:val="008776F7"/>
    <w:rsid w:val="008800E5"/>
    <w:rsid w:val="008807E7"/>
    <w:rsid w:val="00881085"/>
    <w:rsid w:val="0088127F"/>
    <w:rsid w:val="00881342"/>
    <w:rsid w:val="008815EF"/>
    <w:rsid w:val="00883BFC"/>
    <w:rsid w:val="00883E88"/>
    <w:rsid w:val="00885273"/>
    <w:rsid w:val="00885F2C"/>
    <w:rsid w:val="00886288"/>
    <w:rsid w:val="00886386"/>
    <w:rsid w:val="008868BE"/>
    <w:rsid w:val="0088701C"/>
    <w:rsid w:val="0089094C"/>
    <w:rsid w:val="00892459"/>
    <w:rsid w:val="008929AA"/>
    <w:rsid w:val="00892AA5"/>
    <w:rsid w:val="00893897"/>
    <w:rsid w:val="00893F59"/>
    <w:rsid w:val="008947E9"/>
    <w:rsid w:val="0089499B"/>
    <w:rsid w:val="00894A9B"/>
    <w:rsid w:val="00894ACA"/>
    <w:rsid w:val="00894EC5"/>
    <w:rsid w:val="00895C88"/>
    <w:rsid w:val="00895DBE"/>
    <w:rsid w:val="00896109"/>
    <w:rsid w:val="00896658"/>
    <w:rsid w:val="008967B5"/>
    <w:rsid w:val="008A0197"/>
    <w:rsid w:val="008A03AC"/>
    <w:rsid w:val="008A0C91"/>
    <w:rsid w:val="008A1008"/>
    <w:rsid w:val="008A3016"/>
    <w:rsid w:val="008A3114"/>
    <w:rsid w:val="008A345A"/>
    <w:rsid w:val="008A3DB9"/>
    <w:rsid w:val="008A6A5C"/>
    <w:rsid w:val="008A6F18"/>
    <w:rsid w:val="008A7163"/>
    <w:rsid w:val="008A7316"/>
    <w:rsid w:val="008B01B5"/>
    <w:rsid w:val="008B1990"/>
    <w:rsid w:val="008B3014"/>
    <w:rsid w:val="008B36A1"/>
    <w:rsid w:val="008B38F8"/>
    <w:rsid w:val="008B4A1C"/>
    <w:rsid w:val="008B4F1F"/>
    <w:rsid w:val="008B500A"/>
    <w:rsid w:val="008B5030"/>
    <w:rsid w:val="008B60BD"/>
    <w:rsid w:val="008B6D72"/>
    <w:rsid w:val="008C11A9"/>
    <w:rsid w:val="008C1610"/>
    <w:rsid w:val="008C2DC1"/>
    <w:rsid w:val="008C2F1E"/>
    <w:rsid w:val="008C30E5"/>
    <w:rsid w:val="008C3331"/>
    <w:rsid w:val="008C3B5B"/>
    <w:rsid w:val="008C4091"/>
    <w:rsid w:val="008C409F"/>
    <w:rsid w:val="008C5033"/>
    <w:rsid w:val="008C602D"/>
    <w:rsid w:val="008C6A30"/>
    <w:rsid w:val="008C6BCC"/>
    <w:rsid w:val="008C6D33"/>
    <w:rsid w:val="008C7C23"/>
    <w:rsid w:val="008D00CE"/>
    <w:rsid w:val="008D098D"/>
    <w:rsid w:val="008D135A"/>
    <w:rsid w:val="008D2205"/>
    <w:rsid w:val="008D2331"/>
    <w:rsid w:val="008D32A9"/>
    <w:rsid w:val="008D347F"/>
    <w:rsid w:val="008D35AD"/>
    <w:rsid w:val="008D36CD"/>
    <w:rsid w:val="008D3CFE"/>
    <w:rsid w:val="008D3F5D"/>
    <w:rsid w:val="008D4380"/>
    <w:rsid w:val="008D479B"/>
    <w:rsid w:val="008D48D1"/>
    <w:rsid w:val="008D4AD4"/>
    <w:rsid w:val="008D4B10"/>
    <w:rsid w:val="008D53FF"/>
    <w:rsid w:val="008D5F69"/>
    <w:rsid w:val="008D6BE8"/>
    <w:rsid w:val="008D6C30"/>
    <w:rsid w:val="008D7E23"/>
    <w:rsid w:val="008E008B"/>
    <w:rsid w:val="008E27E9"/>
    <w:rsid w:val="008E31FE"/>
    <w:rsid w:val="008E42DE"/>
    <w:rsid w:val="008E47CA"/>
    <w:rsid w:val="008E6CDC"/>
    <w:rsid w:val="008F17F1"/>
    <w:rsid w:val="008F20E4"/>
    <w:rsid w:val="008F25CD"/>
    <w:rsid w:val="008F25DD"/>
    <w:rsid w:val="008F2A96"/>
    <w:rsid w:val="008F2C49"/>
    <w:rsid w:val="008F36F0"/>
    <w:rsid w:val="008F42A1"/>
    <w:rsid w:val="008F66BC"/>
    <w:rsid w:val="008F7CFF"/>
    <w:rsid w:val="008F7ED1"/>
    <w:rsid w:val="00901C8D"/>
    <w:rsid w:val="009023B4"/>
    <w:rsid w:val="00903E27"/>
    <w:rsid w:val="009047DB"/>
    <w:rsid w:val="00904A4D"/>
    <w:rsid w:val="00905643"/>
    <w:rsid w:val="00905EE9"/>
    <w:rsid w:val="009065F4"/>
    <w:rsid w:val="00906887"/>
    <w:rsid w:val="00907079"/>
    <w:rsid w:val="009075A7"/>
    <w:rsid w:val="00907DFB"/>
    <w:rsid w:val="00907F49"/>
    <w:rsid w:val="00910624"/>
    <w:rsid w:val="00910FBA"/>
    <w:rsid w:val="00911D39"/>
    <w:rsid w:val="00912B9F"/>
    <w:rsid w:val="009164D5"/>
    <w:rsid w:val="00917C0F"/>
    <w:rsid w:val="00917CAB"/>
    <w:rsid w:val="0092040E"/>
    <w:rsid w:val="00920C6C"/>
    <w:rsid w:val="009212BA"/>
    <w:rsid w:val="00921897"/>
    <w:rsid w:val="00921C6D"/>
    <w:rsid w:val="009227D9"/>
    <w:rsid w:val="0092337B"/>
    <w:rsid w:val="00923B63"/>
    <w:rsid w:val="00923C44"/>
    <w:rsid w:val="00926869"/>
    <w:rsid w:val="009276F2"/>
    <w:rsid w:val="00927791"/>
    <w:rsid w:val="00930607"/>
    <w:rsid w:val="00930D0A"/>
    <w:rsid w:val="009315A1"/>
    <w:rsid w:val="00932574"/>
    <w:rsid w:val="009329BA"/>
    <w:rsid w:val="00932BD5"/>
    <w:rsid w:val="0093304D"/>
    <w:rsid w:val="00934F35"/>
    <w:rsid w:val="00936939"/>
    <w:rsid w:val="00936C4A"/>
    <w:rsid w:val="00936C92"/>
    <w:rsid w:val="0094053B"/>
    <w:rsid w:val="009415D9"/>
    <w:rsid w:val="00941871"/>
    <w:rsid w:val="00942040"/>
    <w:rsid w:val="009420BD"/>
    <w:rsid w:val="00942C9F"/>
    <w:rsid w:val="0094304C"/>
    <w:rsid w:val="00945631"/>
    <w:rsid w:val="00946059"/>
    <w:rsid w:val="0094610A"/>
    <w:rsid w:val="00947507"/>
    <w:rsid w:val="00947549"/>
    <w:rsid w:val="00947CF3"/>
    <w:rsid w:val="00951522"/>
    <w:rsid w:val="009518B9"/>
    <w:rsid w:val="00951DF7"/>
    <w:rsid w:val="009531FC"/>
    <w:rsid w:val="0095554D"/>
    <w:rsid w:val="00955607"/>
    <w:rsid w:val="00956B46"/>
    <w:rsid w:val="0095793C"/>
    <w:rsid w:val="00960EF3"/>
    <w:rsid w:val="00961038"/>
    <w:rsid w:val="0096111E"/>
    <w:rsid w:val="00961125"/>
    <w:rsid w:val="009612EF"/>
    <w:rsid w:val="009613AA"/>
    <w:rsid w:val="00962050"/>
    <w:rsid w:val="009623D8"/>
    <w:rsid w:val="009625DC"/>
    <w:rsid w:val="00962B88"/>
    <w:rsid w:val="009630CA"/>
    <w:rsid w:val="00963362"/>
    <w:rsid w:val="00963AA7"/>
    <w:rsid w:val="00963BD1"/>
    <w:rsid w:val="00964E9C"/>
    <w:rsid w:val="009650C5"/>
    <w:rsid w:val="00966B1F"/>
    <w:rsid w:val="00967D4D"/>
    <w:rsid w:val="00970A7E"/>
    <w:rsid w:val="0097116E"/>
    <w:rsid w:val="00973069"/>
    <w:rsid w:val="00974518"/>
    <w:rsid w:val="00975519"/>
    <w:rsid w:val="009757DC"/>
    <w:rsid w:val="0098011D"/>
    <w:rsid w:val="00980FE0"/>
    <w:rsid w:val="0098105D"/>
    <w:rsid w:val="00982D10"/>
    <w:rsid w:val="00984640"/>
    <w:rsid w:val="00984F82"/>
    <w:rsid w:val="00985295"/>
    <w:rsid w:val="00985969"/>
    <w:rsid w:val="00985F8B"/>
    <w:rsid w:val="009863B5"/>
    <w:rsid w:val="00990C3B"/>
    <w:rsid w:val="00991B8C"/>
    <w:rsid w:val="00991CBD"/>
    <w:rsid w:val="009921E6"/>
    <w:rsid w:val="009922AA"/>
    <w:rsid w:val="009928B7"/>
    <w:rsid w:val="0099314B"/>
    <w:rsid w:val="0099321A"/>
    <w:rsid w:val="00993ABE"/>
    <w:rsid w:val="009942F3"/>
    <w:rsid w:val="009947E8"/>
    <w:rsid w:val="009960B7"/>
    <w:rsid w:val="00996693"/>
    <w:rsid w:val="00996F08"/>
    <w:rsid w:val="00997135"/>
    <w:rsid w:val="009972FE"/>
    <w:rsid w:val="009A3324"/>
    <w:rsid w:val="009A418D"/>
    <w:rsid w:val="009B10A9"/>
    <w:rsid w:val="009B536C"/>
    <w:rsid w:val="009B5C19"/>
    <w:rsid w:val="009B636C"/>
    <w:rsid w:val="009B6496"/>
    <w:rsid w:val="009B7215"/>
    <w:rsid w:val="009B74CB"/>
    <w:rsid w:val="009C01DA"/>
    <w:rsid w:val="009C046B"/>
    <w:rsid w:val="009C0AC4"/>
    <w:rsid w:val="009C1528"/>
    <w:rsid w:val="009C181D"/>
    <w:rsid w:val="009C20CC"/>
    <w:rsid w:val="009C2BDF"/>
    <w:rsid w:val="009C3558"/>
    <w:rsid w:val="009C37C8"/>
    <w:rsid w:val="009C562E"/>
    <w:rsid w:val="009C5E44"/>
    <w:rsid w:val="009C6F5A"/>
    <w:rsid w:val="009C7531"/>
    <w:rsid w:val="009D1673"/>
    <w:rsid w:val="009D220C"/>
    <w:rsid w:val="009D221F"/>
    <w:rsid w:val="009D2886"/>
    <w:rsid w:val="009D4BD7"/>
    <w:rsid w:val="009D6A13"/>
    <w:rsid w:val="009D7293"/>
    <w:rsid w:val="009D7320"/>
    <w:rsid w:val="009D7BA0"/>
    <w:rsid w:val="009E09F0"/>
    <w:rsid w:val="009E175B"/>
    <w:rsid w:val="009E19E8"/>
    <w:rsid w:val="009E2C6F"/>
    <w:rsid w:val="009E377C"/>
    <w:rsid w:val="009E3E56"/>
    <w:rsid w:val="009E411C"/>
    <w:rsid w:val="009E458A"/>
    <w:rsid w:val="009E52F0"/>
    <w:rsid w:val="009E5316"/>
    <w:rsid w:val="009E5BD1"/>
    <w:rsid w:val="009E5D7C"/>
    <w:rsid w:val="009E5DFC"/>
    <w:rsid w:val="009F1789"/>
    <w:rsid w:val="009F17D5"/>
    <w:rsid w:val="009F1B90"/>
    <w:rsid w:val="009F1C62"/>
    <w:rsid w:val="009F23C7"/>
    <w:rsid w:val="009F2E3B"/>
    <w:rsid w:val="009F30B1"/>
    <w:rsid w:val="009F36D2"/>
    <w:rsid w:val="009F3B6B"/>
    <w:rsid w:val="009F4504"/>
    <w:rsid w:val="009F455C"/>
    <w:rsid w:val="009F502C"/>
    <w:rsid w:val="009F603B"/>
    <w:rsid w:val="009F6987"/>
    <w:rsid w:val="009F720F"/>
    <w:rsid w:val="00A00885"/>
    <w:rsid w:val="00A010E7"/>
    <w:rsid w:val="00A01667"/>
    <w:rsid w:val="00A01A17"/>
    <w:rsid w:val="00A01A60"/>
    <w:rsid w:val="00A02060"/>
    <w:rsid w:val="00A04849"/>
    <w:rsid w:val="00A06E6E"/>
    <w:rsid w:val="00A076F9"/>
    <w:rsid w:val="00A07997"/>
    <w:rsid w:val="00A07F87"/>
    <w:rsid w:val="00A10BD3"/>
    <w:rsid w:val="00A12E05"/>
    <w:rsid w:val="00A13659"/>
    <w:rsid w:val="00A1413F"/>
    <w:rsid w:val="00A1453E"/>
    <w:rsid w:val="00A15162"/>
    <w:rsid w:val="00A15F40"/>
    <w:rsid w:val="00A1637F"/>
    <w:rsid w:val="00A16534"/>
    <w:rsid w:val="00A173F0"/>
    <w:rsid w:val="00A206ED"/>
    <w:rsid w:val="00A207DE"/>
    <w:rsid w:val="00A20806"/>
    <w:rsid w:val="00A20C7F"/>
    <w:rsid w:val="00A21D41"/>
    <w:rsid w:val="00A22DBA"/>
    <w:rsid w:val="00A2329D"/>
    <w:rsid w:val="00A23945"/>
    <w:rsid w:val="00A2490E"/>
    <w:rsid w:val="00A252BB"/>
    <w:rsid w:val="00A25442"/>
    <w:rsid w:val="00A25BFF"/>
    <w:rsid w:val="00A26648"/>
    <w:rsid w:val="00A26A4E"/>
    <w:rsid w:val="00A26B4A"/>
    <w:rsid w:val="00A26F79"/>
    <w:rsid w:val="00A272DC"/>
    <w:rsid w:val="00A27522"/>
    <w:rsid w:val="00A27D3E"/>
    <w:rsid w:val="00A27F25"/>
    <w:rsid w:val="00A30D4E"/>
    <w:rsid w:val="00A3136F"/>
    <w:rsid w:val="00A32418"/>
    <w:rsid w:val="00A33394"/>
    <w:rsid w:val="00A34D0C"/>
    <w:rsid w:val="00A34D76"/>
    <w:rsid w:val="00A3552B"/>
    <w:rsid w:val="00A35740"/>
    <w:rsid w:val="00A357E6"/>
    <w:rsid w:val="00A365D0"/>
    <w:rsid w:val="00A3661B"/>
    <w:rsid w:val="00A402B8"/>
    <w:rsid w:val="00A4043E"/>
    <w:rsid w:val="00A41A6C"/>
    <w:rsid w:val="00A437D9"/>
    <w:rsid w:val="00A43962"/>
    <w:rsid w:val="00A43B3B"/>
    <w:rsid w:val="00A43C16"/>
    <w:rsid w:val="00A443A6"/>
    <w:rsid w:val="00A45A1A"/>
    <w:rsid w:val="00A45E61"/>
    <w:rsid w:val="00A46624"/>
    <w:rsid w:val="00A46FCD"/>
    <w:rsid w:val="00A47473"/>
    <w:rsid w:val="00A47F32"/>
    <w:rsid w:val="00A5004D"/>
    <w:rsid w:val="00A53220"/>
    <w:rsid w:val="00A538E6"/>
    <w:rsid w:val="00A55435"/>
    <w:rsid w:val="00A55879"/>
    <w:rsid w:val="00A56102"/>
    <w:rsid w:val="00A56405"/>
    <w:rsid w:val="00A56800"/>
    <w:rsid w:val="00A56D7E"/>
    <w:rsid w:val="00A57404"/>
    <w:rsid w:val="00A575BD"/>
    <w:rsid w:val="00A57AA4"/>
    <w:rsid w:val="00A57D99"/>
    <w:rsid w:val="00A60EEC"/>
    <w:rsid w:val="00A61DC8"/>
    <w:rsid w:val="00A623CE"/>
    <w:rsid w:val="00A63518"/>
    <w:rsid w:val="00A63B83"/>
    <w:rsid w:val="00A63FE9"/>
    <w:rsid w:val="00A653DF"/>
    <w:rsid w:val="00A65BD9"/>
    <w:rsid w:val="00A65C1F"/>
    <w:rsid w:val="00A65CCF"/>
    <w:rsid w:val="00A66718"/>
    <w:rsid w:val="00A671EF"/>
    <w:rsid w:val="00A67728"/>
    <w:rsid w:val="00A7023E"/>
    <w:rsid w:val="00A70B31"/>
    <w:rsid w:val="00A726E5"/>
    <w:rsid w:val="00A7304C"/>
    <w:rsid w:val="00A7345A"/>
    <w:rsid w:val="00A73A74"/>
    <w:rsid w:val="00A74EAF"/>
    <w:rsid w:val="00A75355"/>
    <w:rsid w:val="00A759FE"/>
    <w:rsid w:val="00A75FE1"/>
    <w:rsid w:val="00A76D67"/>
    <w:rsid w:val="00A77562"/>
    <w:rsid w:val="00A776B8"/>
    <w:rsid w:val="00A77824"/>
    <w:rsid w:val="00A81EB6"/>
    <w:rsid w:val="00A837FE"/>
    <w:rsid w:val="00A83D38"/>
    <w:rsid w:val="00A847F1"/>
    <w:rsid w:val="00A85357"/>
    <w:rsid w:val="00A86EE3"/>
    <w:rsid w:val="00A902DD"/>
    <w:rsid w:val="00A9140A"/>
    <w:rsid w:val="00A91617"/>
    <w:rsid w:val="00A93BF8"/>
    <w:rsid w:val="00A94B43"/>
    <w:rsid w:val="00A94CE3"/>
    <w:rsid w:val="00A9613D"/>
    <w:rsid w:val="00A96FA8"/>
    <w:rsid w:val="00A9770A"/>
    <w:rsid w:val="00AA0A43"/>
    <w:rsid w:val="00AA0DD3"/>
    <w:rsid w:val="00AA1934"/>
    <w:rsid w:val="00AA1C07"/>
    <w:rsid w:val="00AA218E"/>
    <w:rsid w:val="00AA3688"/>
    <w:rsid w:val="00AA4466"/>
    <w:rsid w:val="00AA4B5B"/>
    <w:rsid w:val="00AA4D90"/>
    <w:rsid w:val="00AA4E26"/>
    <w:rsid w:val="00AA5869"/>
    <w:rsid w:val="00AA5887"/>
    <w:rsid w:val="00AA58BC"/>
    <w:rsid w:val="00AA654D"/>
    <w:rsid w:val="00AA689B"/>
    <w:rsid w:val="00AB005C"/>
    <w:rsid w:val="00AB0982"/>
    <w:rsid w:val="00AB19F8"/>
    <w:rsid w:val="00AB2A61"/>
    <w:rsid w:val="00AB3419"/>
    <w:rsid w:val="00AB3857"/>
    <w:rsid w:val="00AB3A12"/>
    <w:rsid w:val="00AB4527"/>
    <w:rsid w:val="00AB473A"/>
    <w:rsid w:val="00AB5281"/>
    <w:rsid w:val="00AB57F3"/>
    <w:rsid w:val="00AB5A8D"/>
    <w:rsid w:val="00AB6642"/>
    <w:rsid w:val="00AC0D9E"/>
    <w:rsid w:val="00AC10B0"/>
    <w:rsid w:val="00AC25B0"/>
    <w:rsid w:val="00AC2EFE"/>
    <w:rsid w:val="00AC385D"/>
    <w:rsid w:val="00AC3930"/>
    <w:rsid w:val="00AC3AB1"/>
    <w:rsid w:val="00AC518A"/>
    <w:rsid w:val="00AC68C6"/>
    <w:rsid w:val="00AC79C1"/>
    <w:rsid w:val="00AC7CA4"/>
    <w:rsid w:val="00AC7E6D"/>
    <w:rsid w:val="00AC7E79"/>
    <w:rsid w:val="00AD2BA9"/>
    <w:rsid w:val="00AD3677"/>
    <w:rsid w:val="00AD390A"/>
    <w:rsid w:val="00AD3954"/>
    <w:rsid w:val="00AD3D5C"/>
    <w:rsid w:val="00AD3DD1"/>
    <w:rsid w:val="00AD4483"/>
    <w:rsid w:val="00AD493B"/>
    <w:rsid w:val="00AD4A1A"/>
    <w:rsid w:val="00AD4A64"/>
    <w:rsid w:val="00AD4C32"/>
    <w:rsid w:val="00AD4D4E"/>
    <w:rsid w:val="00AD598F"/>
    <w:rsid w:val="00AD6389"/>
    <w:rsid w:val="00AD6D09"/>
    <w:rsid w:val="00AD70A9"/>
    <w:rsid w:val="00AE07DA"/>
    <w:rsid w:val="00AE098E"/>
    <w:rsid w:val="00AE0BBA"/>
    <w:rsid w:val="00AE141A"/>
    <w:rsid w:val="00AE1A45"/>
    <w:rsid w:val="00AE2291"/>
    <w:rsid w:val="00AE25C8"/>
    <w:rsid w:val="00AE2851"/>
    <w:rsid w:val="00AE2F1C"/>
    <w:rsid w:val="00AE3BAE"/>
    <w:rsid w:val="00AE4113"/>
    <w:rsid w:val="00AE4380"/>
    <w:rsid w:val="00AE4FAC"/>
    <w:rsid w:val="00AE5525"/>
    <w:rsid w:val="00AE5A61"/>
    <w:rsid w:val="00AE6381"/>
    <w:rsid w:val="00AE656F"/>
    <w:rsid w:val="00AE6CE4"/>
    <w:rsid w:val="00AE716F"/>
    <w:rsid w:val="00AE7328"/>
    <w:rsid w:val="00AE76FF"/>
    <w:rsid w:val="00AE7D78"/>
    <w:rsid w:val="00AF2824"/>
    <w:rsid w:val="00AF3123"/>
    <w:rsid w:val="00AF41F6"/>
    <w:rsid w:val="00AF438E"/>
    <w:rsid w:val="00AF45CA"/>
    <w:rsid w:val="00AF4749"/>
    <w:rsid w:val="00AF4847"/>
    <w:rsid w:val="00AF5CEE"/>
    <w:rsid w:val="00AF693D"/>
    <w:rsid w:val="00AF7506"/>
    <w:rsid w:val="00B007DD"/>
    <w:rsid w:val="00B0098A"/>
    <w:rsid w:val="00B01016"/>
    <w:rsid w:val="00B0146E"/>
    <w:rsid w:val="00B01496"/>
    <w:rsid w:val="00B02160"/>
    <w:rsid w:val="00B027CB"/>
    <w:rsid w:val="00B0352B"/>
    <w:rsid w:val="00B03D50"/>
    <w:rsid w:val="00B04F37"/>
    <w:rsid w:val="00B073E6"/>
    <w:rsid w:val="00B074F8"/>
    <w:rsid w:val="00B07C10"/>
    <w:rsid w:val="00B10459"/>
    <w:rsid w:val="00B11115"/>
    <w:rsid w:val="00B11335"/>
    <w:rsid w:val="00B11A3D"/>
    <w:rsid w:val="00B12171"/>
    <w:rsid w:val="00B121B0"/>
    <w:rsid w:val="00B13622"/>
    <w:rsid w:val="00B13B87"/>
    <w:rsid w:val="00B153C8"/>
    <w:rsid w:val="00B157FE"/>
    <w:rsid w:val="00B15E02"/>
    <w:rsid w:val="00B17CA8"/>
    <w:rsid w:val="00B17FAB"/>
    <w:rsid w:val="00B20EA9"/>
    <w:rsid w:val="00B2199D"/>
    <w:rsid w:val="00B22C5F"/>
    <w:rsid w:val="00B23687"/>
    <w:rsid w:val="00B2549D"/>
    <w:rsid w:val="00B25710"/>
    <w:rsid w:val="00B26807"/>
    <w:rsid w:val="00B27B03"/>
    <w:rsid w:val="00B31B62"/>
    <w:rsid w:val="00B3208E"/>
    <w:rsid w:val="00B33711"/>
    <w:rsid w:val="00B34889"/>
    <w:rsid w:val="00B3517D"/>
    <w:rsid w:val="00B35181"/>
    <w:rsid w:val="00B357A8"/>
    <w:rsid w:val="00B36523"/>
    <w:rsid w:val="00B37550"/>
    <w:rsid w:val="00B402C6"/>
    <w:rsid w:val="00B4067D"/>
    <w:rsid w:val="00B4148E"/>
    <w:rsid w:val="00B417A8"/>
    <w:rsid w:val="00B41DC1"/>
    <w:rsid w:val="00B426F6"/>
    <w:rsid w:val="00B4274E"/>
    <w:rsid w:val="00B42A4E"/>
    <w:rsid w:val="00B42EBB"/>
    <w:rsid w:val="00B42F69"/>
    <w:rsid w:val="00B45E24"/>
    <w:rsid w:val="00B46097"/>
    <w:rsid w:val="00B46934"/>
    <w:rsid w:val="00B46EC7"/>
    <w:rsid w:val="00B502FF"/>
    <w:rsid w:val="00B5070D"/>
    <w:rsid w:val="00B50742"/>
    <w:rsid w:val="00B50A91"/>
    <w:rsid w:val="00B50AEE"/>
    <w:rsid w:val="00B5160B"/>
    <w:rsid w:val="00B51761"/>
    <w:rsid w:val="00B51871"/>
    <w:rsid w:val="00B52015"/>
    <w:rsid w:val="00B52022"/>
    <w:rsid w:val="00B52187"/>
    <w:rsid w:val="00B54691"/>
    <w:rsid w:val="00B55ED6"/>
    <w:rsid w:val="00B57736"/>
    <w:rsid w:val="00B600CA"/>
    <w:rsid w:val="00B60CCD"/>
    <w:rsid w:val="00B62854"/>
    <w:rsid w:val="00B62EF1"/>
    <w:rsid w:val="00B63875"/>
    <w:rsid w:val="00B63CAC"/>
    <w:rsid w:val="00B640CC"/>
    <w:rsid w:val="00B645B6"/>
    <w:rsid w:val="00B64B2F"/>
    <w:rsid w:val="00B64BA4"/>
    <w:rsid w:val="00B664E4"/>
    <w:rsid w:val="00B667BF"/>
    <w:rsid w:val="00B674D6"/>
    <w:rsid w:val="00B6797D"/>
    <w:rsid w:val="00B67D53"/>
    <w:rsid w:val="00B70D5C"/>
    <w:rsid w:val="00B70EED"/>
    <w:rsid w:val="00B713D6"/>
    <w:rsid w:val="00B7147E"/>
    <w:rsid w:val="00B721B4"/>
    <w:rsid w:val="00B72FBF"/>
    <w:rsid w:val="00B734CC"/>
    <w:rsid w:val="00B735B8"/>
    <w:rsid w:val="00B7377A"/>
    <w:rsid w:val="00B738DA"/>
    <w:rsid w:val="00B74858"/>
    <w:rsid w:val="00B74BFC"/>
    <w:rsid w:val="00B752EB"/>
    <w:rsid w:val="00B765F7"/>
    <w:rsid w:val="00B76758"/>
    <w:rsid w:val="00B77BE4"/>
    <w:rsid w:val="00B802CC"/>
    <w:rsid w:val="00B812BE"/>
    <w:rsid w:val="00B813D5"/>
    <w:rsid w:val="00B81A04"/>
    <w:rsid w:val="00B81ABF"/>
    <w:rsid w:val="00B81AE9"/>
    <w:rsid w:val="00B81FC4"/>
    <w:rsid w:val="00B8258D"/>
    <w:rsid w:val="00B825B4"/>
    <w:rsid w:val="00B83C7B"/>
    <w:rsid w:val="00B84733"/>
    <w:rsid w:val="00B84E7E"/>
    <w:rsid w:val="00B853FE"/>
    <w:rsid w:val="00B85499"/>
    <w:rsid w:val="00B85585"/>
    <w:rsid w:val="00B8603F"/>
    <w:rsid w:val="00B86608"/>
    <w:rsid w:val="00B86EA9"/>
    <w:rsid w:val="00B87847"/>
    <w:rsid w:val="00B90477"/>
    <w:rsid w:val="00B90C89"/>
    <w:rsid w:val="00B912C4"/>
    <w:rsid w:val="00B92AA5"/>
    <w:rsid w:val="00B93904"/>
    <w:rsid w:val="00B94053"/>
    <w:rsid w:val="00B955FE"/>
    <w:rsid w:val="00B96744"/>
    <w:rsid w:val="00B9725B"/>
    <w:rsid w:val="00BA0B9F"/>
    <w:rsid w:val="00BA15D3"/>
    <w:rsid w:val="00BA249D"/>
    <w:rsid w:val="00BA2853"/>
    <w:rsid w:val="00BA3287"/>
    <w:rsid w:val="00BA3B47"/>
    <w:rsid w:val="00BA6419"/>
    <w:rsid w:val="00BA6550"/>
    <w:rsid w:val="00BB3642"/>
    <w:rsid w:val="00BB4A3B"/>
    <w:rsid w:val="00BB59F6"/>
    <w:rsid w:val="00BB5EF0"/>
    <w:rsid w:val="00BB6675"/>
    <w:rsid w:val="00BB66AB"/>
    <w:rsid w:val="00BB681A"/>
    <w:rsid w:val="00BB7E7C"/>
    <w:rsid w:val="00BC0AD6"/>
    <w:rsid w:val="00BC122E"/>
    <w:rsid w:val="00BC3584"/>
    <w:rsid w:val="00BC42DA"/>
    <w:rsid w:val="00BC437E"/>
    <w:rsid w:val="00BC5838"/>
    <w:rsid w:val="00BC6DC2"/>
    <w:rsid w:val="00BD0137"/>
    <w:rsid w:val="00BD2685"/>
    <w:rsid w:val="00BD3283"/>
    <w:rsid w:val="00BD5F8E"/>
    <w:rsid w:val="00BD6F16"/>
    <w:rsid w:val="00BD6FCE"/>
    <w:rsid w:val="00BD76DB"/>
    <w:rsid w:val="00BD7D2B"/>
    <w:rsid w:val="00BE124F"/>
    <w:rsid w:val="00BE1517"/>
    <w:rsid w:val="00BE3839"/>
    <w:rsid w:val="00BE459D"/>
    <w:rsid w:val="00BE4ED6"/>
    <w:rsid w:val="00BE54F3"/>
    <w:rsid w:val="00BE5F67"/>
    <w:rsid w:val="00BE605C"/>
    <w:rsid w:val="00BE6C0E"/>
    <w:rsid w:val="00BE6D7B"/>
    <w:rsid w:val="00BE7633"/>
    <w:rsid w:val="00BE7920"/>
    <w:rsid w:val="00BE79A2"/>
    <w:rsid w:val="00BE7FC8"/>
    <w:rsid w:val="00BF1287"/>
    <w:rsid w:val="00BF1E46"/>
    <w:rsid w:val="00BF2CD1"/>
    <w:rsid w:val="00BF48DE"/>
    <w:rsid w:val="00BF4B6A"/>
    <w:rsid w:val="00BF5135"/>
    <w:rsid w:val="00C00312"/>
    <w:rsid w:val="00C009F5"/>
    <w:rsid w:val="00C01129"/>
    <w:rsid w:val="00C02239"/>
    <w:rsid w:val="00C022E1"/>
    <w:rsid w:val="00C033C7"/>
    <w:rsid w:val="00C0380F"/>
    <w:rsid w:val="00C0398D"/>
    <w:rsid w:val="00C04AB0"/>
    <w:rsid w:val="00C04E4D"/>
    <w:rsid w:val="00C05C3D"/>
    <w:rsid w:val="00C0621E"/>
    <w:rsid w:val="00C071AC"/>
    <w:rsid w:val="00C07E79"/>
    <w:rsid w:val="00C103ED"/>
    <w:rsid w:val="00C108D6"/>
    <w:rsid w:val="00C109A2"/>
    <w:rsid w:val="00C10F1B"/>
    <w:rsid w:val="00C10F9E"/>
    <w:rsid w:val="00C11E4C"/>
    <w:rsid w:val="00C14954"/>
    <w:rsid w:val="00C17893"/>
    <w:rsid w:val="00C179B0"/>
    <w:rsid w:val="00C20245"/>
    <w:rsid w:val="00C20CA6"/>
    <w:rsid w:val="00C212C2"/>
    <w:rsid w:val="00C21ACD"/>
    <w:rsid w:val="00C21B83"/>
    <w:rsid w:val="00C226F9"/>
    <w:rsid w:val="00C23398"/>
    <w:rsid w:val="00C23B23"/>
    <w:rsid w:val="00C2428B"/>
    <w:rsid w:val="00C26C22"/>
    <w:rsid w:val="00C27B03"/>
    <w:rsid w:val="00C30396"/>
    <w:rsid w:val="00C3089B"/>
    <w:rsid w:val="00C30B01"/>
    <w:rsid w:val="00C3105D"/>
    <w:rsid w:val="00C34B40"/>
    <w:rsid w:val="00C34F35"/>
    <w:rsid w:val="00C35345"/>
    <w:rsid w:val="00C35836"/>
    <w:rsid w:val="00C361D6"/>
    <w:rsid w:val="00C37670"/>
    <w:rsid w:val="00C379D3"/>
    <w:rsid w:val="00C37BBA"/>
    <w:rsid w:val="00C40451"/>
    <w:rsid w:val="00C40E27"/>
    <w:rsid w:val="00C413DC"/>
    <w:rsid w:val="00C413DD"/>
    <w:rsid w:val="00C41CD3"/>
    <w:rsid w:val="00C4216E"/>
    <w:rsid w:val="00C43438"/>
    <w:rsid w:val="00C4367D"/>
    <w:rsid w:val="00C43DE2"/>
    <w:rsid w:val="00C44264"/>
    <w:rsid w:val="00C4580A"/>
    <w:rsid w:val="00C45A26"/>
    <w:rsid w:val="00C46251"/>
    <w:rsid w:val="00C475E1"/>
    <w:rsid w:val="00C4790F"/>
    <w:rsid w:val="00C47FC0"/>
    <w:rsid w:val="00C50544"/>
    <w:rsid w:val="00C50BFB"/>
    <w:rsid w:val="00C5189F"/>
    <w:rsid w:val="00C51B64"/>
    <w:rsid w:val="00C528CC"/>
    <w:rsid w:val="00C52C5B"/>
    <w:rsid w:val="00C52F62"/>
    <w:rsid w:val="00C53ABD"/>
    <w:rsid w:val="00C53AD3"/>
    <w:rsid w:val="00C53C94"/>
    <w:rsid w:val="00C5427E"/>
    <w:rsid w:val="00C54289"/>
    <w:rsid w:val="00C550B0"/>
    <w:rsid w:val="00C56B0F"/>
    <w:rsid w:val="00C57741"/>
    <w:rsid w:val="00C60454"/>
    <w:rsid w:val="00C6074F"/>
    <w:rsid w:val="00C60B10"/>
    <w:rsid w:val="00C62230"/>
    <w:rsid w:val="00C62568"/>
    <w:rsid w:val="00C63EDC"/>
    <w:rsid w:val="00C64143"/>
    <w:rsid w:val="00C6434D"/>
    <w:rsid w:val="00C652E5"/>
    <w:rsid w:val="00C65725"/>
    <w:rsid w:val="00C6686A"/>
    <w:rsid w:val="00C67446"/>
    <w:rsid w:val="00C677E9"/>
    <w:rsid w:val="00C67C41"/>
    <w:rsid w:val="00C70962"/>
    <w:rsid w:val="00C71674"/>
    <w:rsid w:val="00C739AD"/>
    <w:rsid w:val="00C74C98"/>
    <w:rsid w:val="00C7559B"/>
    <w:rsid w:val="00C76230"/>
    <w:rsid w:val="00C7697F"/>
    <w:rsid w:val="00C77489"/>
    <w:rsid w:val="00C80195"/>
    <w:rsid w:val="00C8075B"/>
    <w:rsid w:val="00C8136C"/>
    <w:rsid w:val="00C81389"/>
    <w:rsid w:val="00C82336"/>
    <w:rsid w:val="00C82FAC"/>
    <w:rsid w:val="00C82FFA"/>
    <w:rsid w:val="00C848D8"/>
    <w:rsid w:val="00C84A1B"/>
    <w:rsid w:val="00C84F83"/>
    <w:rsid w:val="00C85521"/>
    <w:rsid w:val="00C85537"/>
    <w:rsid w:val="00C856C0"/>
    <w:rsid w:val="00C863EE"/>
    <w:rsid w:val="00C9026F"/>
    <w:rsid w:val="00C91762"/>
    <w:rsid w:val="00C91D84"/>
    <w:rsid w:val="00C92646"/>
    <w:rsid w:val="00C92900"/>
    <w:rsid w:val="00C9316A"/>
    <w:rsid w:val="00C93B5E"/>
    <w:rsid w:val="00C93C2E"/>
    <w:rsid w:val="00C95022"/>
    <w:rsid w:val="00C951DE"/>
    <w:rsid w:val="00C95D8D"/>
    <w:rsid w:val="00C96BE9"/>
    <w:rsid w:val="00C97C7F"/>
    <w:rsid w:val="00CA0DB7"/>
    <w:rsid w:val="00CA2283"/>
    <w:rsid w:val="00CA2AEF"/>
    <w:rsid w:val="00CA325F"/>
    <w:rsid w:val="00CA33B8"/>
    <w:rsid w:val="00CA3A97"/>
    <w:rsid w:val="00CA5F7D"/>
    <w:rsid w:val="00CA75E7"/>
    <w:rsid w:val="00CB1582"/>
    <w:rsid w:val="00CB21EC"/>
    <w:rsid w:val="00CB22B7"/>
    <w:rsid w:val="00CB2719"/>
    <w:rsid w:val="00CB2EF1"/>
    <w:rsid w:val="00CB31DA"/>
    <w:rsid w:val="00CB3264"/>
    <w:rsid w:val="00CB4687"/>
    <w:rsid w:val="00CB5032"/>
    <w:rsid w:val="00CB531C"/>
    <w:rsid w:val="00CB5781"/>
    <w:rsid w:val="00CB5A16"/>
    <w:rsid w:val="00CB6152"/>
    <w:rsid w:val="00CB7DF6"/>
    <w:rsid w:val="00CC00DD"/>
    <w:rsid w:val="00CC0DB8"/>
    <w:rsid w:val="00CC303F"/>
    <w:rsid w:val="00CC3C96"/>
    <w:rsid w:val="00CC45BC"/>
    <w:rsid w:val="00CC4C15"/>
    <w:rsid w:val="00CC4D87"/>
    <w:rsid w:val="00CC5103"/>
    <w:rsid w:val="00CC633C"/>
    <w:rsid w:val="00CC6AAE"/>
    <w:rsid w:val="00CC6B91"/>
    <w:rsid w:val="00CC6CB9"/>
    <w:rsid w:val="00CC7CF2"/>
    <w:rsid w:val="00CD077C"/>
    <w:rsid w:val="00CD07E6"/>
    <w:rsid w:val="00CD228D"/>
    <w:rsid w:val="00CD342A"/>
    <w:rsid w:val="00CD3940"/>
    <w:rsid w:val="00CD3A36"/>
    <w:rsid w:val="00CD3E93"/>
    <w:rsid w:val="00CD434F"/>
    <w:rsid w:val="00CD47A3"/>
    <w:rsid w:val="00CD6F6B"/>
    <w:rsid w:val="00CE036C"/>
    <w:rsid w:val="00CE12FD"/>
    <w:rsid w:val="00CE2183"/>
    <w:rsid w:val="00CE47B2"/>
    <w:rsid w:val="00CE4C7B"/>
    <w:rsid w:val="00CE5F82"/>
    <w:rsid w:val="00CE6640"/>
    <w:rsid w:val="00CE6A0B"/>
    <w:rsid w:val="00CE72DD"/>
    <w:rsid w:val="00CE7FF0"/>
    <w:rsid w:val="00CF0950"/>
    <w:rsid w:val="00CF15FE"/>
    <w:rsid w:val="00CF3B07"/>
    <w:rsid w:val="00CF3BCC"/>
    <w:rsid w:val="00CF3DBF"/>
    <w:rsid w:val="00CF4C13"/>
    <w:rsid w:val="00CF5EAA"/>
    <w:rsid w:val="00CF62E0"/>
    <w:rsid w:val="00CF6384"/>
    <w:rsid w:val="00CF6902"/>
    <w:rsid w:val="00D0001A"/>
    <w:rsid w:val="00D0211D"/>
    <w:rsid w:val="00D057FC"/>
    <w:rsid w:val="00D06E88"/>
    <w:rsid w:val="00D1077F"/>
    <w:rsid w:val="00D11DA5"/>
    <w:rsid w:val="00D11F90"/>
    <w:rsid w:val="00D129E4"/>
    <w:rsid w:val="00D13527"/>
    <w:rsid w:val="00D14731"/>
    <w:rsid w:val="00D15E4E"/>
    <w:rsid w:val="00D170AC"/>
    <w:rsid w:val="00D17601"/>
    <w:rsid w:val="00D20459"/>
    <w:rsid w:val="00D204A0"/>
    <w:rsid w:val="00D20CC0"/>
    <w:rsid w:val="00D20CCB"/>
    <w:rsid w:val="00D20D6E"/>
    <w:rsid w:val="00D21300"/>
    <w:rsid w:val="00D22F7B"/>
    <w:rsid w:val="00D230DC"/>
    <w:rsid w:val="00D245CD"/>
    <w:rsid w:val="00D251A3"/>
    <w:rsid w:val="00D251D9"/>
    <w:rsid w:val="00D25457"/>
    <w:rsid w:val="00D26303"/>
    <w:rsid w:val="00D26C9A"/>
    <w:rsid w:val="00D27B57"/>
    <w:rsid w:val="00D303E8"/>
    <w:rsid w:val="00D31BA6"/>
    <w:rsid w:val="00D32A36"/>
    <w:rsid w:val="00D331AF"/>
    <w:rsid w:val="00D335E1"/>
    <w:rsid w:val="00D34078"/>
    <w:rsid w:val="00D3430F"/>
    <w:rsid w:val="00D343AD"/>
    <w:rsid w:val="00D3492F"/>
    <w:rsid w:val="00D3545E"/>
    <w:rsid w:val="00D35733"/>
    <w:rsid w:val="00D35FEA"/>
    <w:rsid w:val="00D36517"/>
    <w:rsid w:val="00D366E4"/>
    <w:rsid w:val="00D402F7"/>
    <w:rsid w:val="00D411AF"/>
    <w:rsid w:val="00D423AC"/>
    <w:rsid w:val="00D42BB1"/>
    <w:rsid w:val="00D44B15"/>
    <w:rsid w:val="00D44C88"/>
    <w:rsid w:val="00D44DC6"/>
    <w:rsid w:val="00D476EA"/>
    <w:rsid w:val="00D51239"/>
    <w:rsid w:val="00D514E5"/>
    <w:rsid w:val="00D52079"/>
    <w:rsid w:val="00D524A7"/>
    <w:rsid w:val="00D53589"/>
    <w:rsid w:val="00D539D5"/>
    <w:rsid w:val="00D544D5"/>
    <w:rsid w:val="00D562C1"/>
    <w:rsid w:val="00D56DD7"/>
    <w:rsid w:val="00D57897"/>
    <w:rsid w:val="00D6011A"/>
    <w:rsid w:val="00D60120"/>
    <w:rsid w:val="00D602DE"/>
    <w:rsid w:val="00D60430"/>
    <w:rsid w:val="00D6096A"/>
    <w:rsid w:val="00D60ABE"/>
    <w:rsid w:val="00D60CE5"/>
    <w:rsid w:val="00D61811"/>
    <w:rsid w:val="00D630A3"/>
    <w:rsid w:val="00D63F9F"/>
    <w:rsid w:val="00D646D3"/>
    <w:rsid w:val="00D64998"/>
    <w:rsid w:val="00D65D5C"/>
    <w:rsid w:val="00D662F2"/>
    <w:rsid w:val="00D665F1"/>
    <w:rsid w:val="00D66AE4"/>
    <w:rsid w:val="00D6711E"/>
    <w:rsid w:val="00D67448"/>
    <w:rsid w:val="00D6752E"/>
    <w:rsid w:val="00D71CEE"/>
    <w:rsid w:val="00D71FE2"/>
    <w:rsid w:val="00D73247"/>
    <w:rsid w:val="00D7335E"/>
    <w:rsid w:val="00D733A8"/>
    <w:rsid w:val="00D73B08"/>
    <w:rsid w:val="00D740F9"/>
    <w:rsid w:val="00D7668E"/>
    <w:rsid w:val="00D7699F"/>
    <w:rsid w:val="00D80127"/>
    <w:rsid w:val="00D80137"/>
    <w:rsid w:val="00D804E2"/>
    <w:rsid w:val="00D805D1"/>
    <w:rsid w:val="00D81E7B"/>
    <w:rsid w:val="00D81FB3"/>
    <w:rsid w:val="00D8286C"/>
    <w:rsid w:val="00D82FD7"/>
    <w:rsid w:val="00D84862"/>
    <w:rsid w:val="00D84FA6"/>
    <w:rsid w:val="00D85C5F"/>
    <w:rsid w:val="00D85ECC"/>
    <w:rsid w:val="00D86055"/>
    <w:rsid w:val="00D864C7"/>
    <w:rsid w:val="00D86EB7"/>
    <w:rsid w:val="00D87BC7"/>
    <w:rsid w:val="00D87C4E"/>
    <w:rsid w:val="00D90305"/>
    <w:rsid w:val="00D9043D"/>
    <w:rsid w:val="00D911DB"/>
    <w:rsid w:val="00D91E9F"/>
    <w:rsid w:val="00D91F41"/>
    <w:rsid w:val="00D9295C"/>
    <w:rsid w:val="00D92B5E"/>
    <w:rsid w:val="00D93388"/>
    <w:rsid w:val="00D93CFF"/>
    <w:rsid w:val="00D95457"/>
    <w:rsid w:val="00D97A7B"/>
    <w:rsid w:val="00DA0109"/>
    <w:rsid w:val="00DA0A8F"/>
    <w:rsid w:val="00DA1259"/>
    <w:rsid w:val="00DA1AAD"/>
    <w:rsid w:val="00DA1B5D"/>
    <w:rsid w:val="00DA1E08"/>
    <w:rsid w:val="00DA41A5"/>
    <w:rsid w:val="00DA42B5"/>
    <w:rsid w:val="00DA4A52"/>
    <w:rsid w:val="00DA4FBC"/>
    <w:rsid w:val="00DA7457"/>
    <w:rsid w:val="00DB0789"/>
    <w:rsid w:val="00DB0F72"/>
    <w:rsid w:val="00DB1083"/>
    <w:rsid w:val="00DB16EA"/>
    <w:rsid w:val="00DB2995"/>
    <w:rsid w:val="00DB2ED0"/>
    <w:rsid w:val="00DB312E"/>
    <w:rsid w:val="00DB37B7"/>
    <w:rsid w:val="00DB38F0"/>
    <w:rsid w:val="00DB3EE8"/>
    <w:rsid w:val="00DB4701"/>
    <w:rsid w:val="00DB4E76"/>
    <w:rsid w:val="00DB59C0"/>
    <w:rsid w:val="00DB6110"/>
    <w:rsid w:val="00DC0146"/>
    <w:rsid w:val="00DC03EE"/>
    <w:rsid w:val="00DC2D81"/>
    <w:rsid w:val="00DC36B8"/>
    <w:rsid w:val="00DC4581"/>
    <w:rsid w:val="00DC53F2"/>
    <w:rsid w:val="00DC6B01"/>
    <w:rsid w:val="00DC7797"/>
    <w:rsid w:val="00DC7868"/>
    <w:rsid w:val="00DC7E53"/>
    <w:rsid w:val="00DD0099"/>
    <w:rsid w:val="00DD04AE"/>
    <w:rsid w:val="00DD0562"/>
    <w:rsid w:val="00DD078A"/>
    <w:rsid w:val="00DD1737"/>
    <w:rsid w:val="00DD311E"/>
    <w:rsid w:val="00DD31F9"/>
    <w:rsid w:val="00DD34E1"/>
    <w:rsid w:val="00DD45C1"/>
    <w:rsid w:val="00DD45E7"/>
    <w:rsid w:val="00DD4B1C"/>
    <w:rsid w:val="00DD6AA5"/>
    <w:rsid w:val="00DD71F6"/>
    <w:rsid w:val="00DD7667"/>
    <w:rsid w:val="00DD777C"/>
    <w:rsid w:val="00DE0070"/>
    <w:rsid w:val="00DE0475"/>
    <w:rsid w:val="00DE0D2F"/>
    <w:rsid w:val="00DE0D75"/>
    <w:rsid w:val="00DE19EB"/>
    <w:rsid w:val="00DE1B47"/>
    <w:rsid w:val="00DE3708"/>
    <w:rsid w:val="00DE5B0F"/>
    <w:rsid w:val="00DE5FF9"/>
    <w:rsid w:val="00DE65C6"/>
    <w:rsid w:val="00DE6BE6"/>
    <w:rsid w:val="00DF001A"/>
    <w:rsid w:val="00DF0FE3"/>
    <w:rsid w:val="00DF2633"/>
    <w:rsid w:val="00DF2CB1"/>
    <w:rsid w:val="00DF3118"/>
    <w:rsid w:val="00DF3F8F"/>
    <w:rsid w:val="00DF4C1A"/>
    <w:rsid w:val="00DF5DC2"/>
    <w:rsid w:val="00DF63B3"/>
    <w:rsid w:val="00DF661D"/>
    <w:rsid w:val="00DF69F9"/>
    <w:rsid w:val="00DF71A6"/>
    <w:rsid w:val="00DF79A4"/>
    <w:rsid w:val="00E012D8"/>
    <w:rsid w:val="00E02579"/>
    <w:rsid w:val="00E02B50"/>
    <w:rsid w:val="00E040B0"/>
    <w:rsid w:val="00E04A03"/>
    <w:rsid w:val="00E04B3F"/>
    <w:rsid w:val="00E050A6"/>
    <w:rsid w:val="00E060C1"/>
    <w:rsid w:val="00E06B1E"/>
    <w:rsid w:val="00E07787"/>
    <w:rsid w:val="00E07BEA"/>
    <w:rsid w:val="00E10AAF"/>
    <w:rsid w:val="00E10C74"/>
    <w:rsid w:val="00E11411"/>
    <w:rsid w:val="00E11AD6"/>
    <w:rsid w:val="00E11AF2"/>
    <w:rsid w:val="00E12974"/>
    <w:rsid w:val="00E135DD"/>
    <w:rsid w:val="00E1381A"/>
    <w:rsid w:val="00E147D5"/>
    <w:rsid w:val="00E14C0E"/>
    <w:rsid w:val="00E1525C"/>
    <w:rsid w:val="00E15CC0"/>
    <w:rsid w:val="00E16406"/>
    <w:rsid w:val="00E16642"/>
    <w:rsid w:val="00E16CDA"/>
    <w:rsid w:val="00E16F16"/>
    <w:rsid w:val="00E174E3"/>
    <w:rsid w:val="00E1787C"/>
    <w:rsid w:val="00E20436"/>
    <w:rsid w:val="00E20467"/>
    <w:rsid w:val="00E21064"/>
    <w:rsid w:val="00E21427"/>
    <w:rsid w:val="00E2249E"/>
    <w:rsid w:val="00E22B76"/>
    <w:rsid w:val="00E22C5D"/>
    <w:rsid w:val="00E22F17"/>
    <w:rsid w:val="00E234F1"/>
    <w:rsid w:val="00E241ED"/>
    <w:rsid w:val="00E24E3A"/>
    <w:rsid w:val="00E25AF8"/>
    <w:rsid w:val="00E2688B"/>
    <w:rsid w:val="00E26C55"/>
    <w:rsid w:val="00E26F6C"/>
    <w:rsid w:val="00E2752F"/>
    <w:rsid w:val="00E30F37"/>
    <w:rsid w:val="00E31BD0"/>
    <w:rsid w:val="00E32A91"/>
    <w:rsid w:val="00E33760"/>
    <w:rsid w:val="00E33BE3"/>
    <w:rsid w:val="00E341A6"/>
    <w:rsid w:val="00E34CA3"/>
    <w:rsid w:val="00E35C4A"/>
    <w:rsid w:val="00E37381"/>
    <w:rsid w:val="00E378AB"/>
    <w:rsid w:val="00E37A0F"/>
    <w:rsid w:val="00E37DA6"/>
    <w:rsid w:val="00E37EA1"/>
    <w:rsid w:val="00E37FE3"/>
    <w:rsid w:val="00E40A2F"/>
    <w:rsid w:val="00E40AA1"/>
    <w:rsid w:val="00E40EB7"/>
    <w:rsid w:val="00E42ECB"/>
    <w:rsid w:val="00E43AAA"/>
    <w:rsid w:val="00E44C62"/>
    <w:rsid w:val="00E44CAA"/>
    <w:rsid w:val="00E44CEA"/>
    <w:rsid w:val="00E45F56"/>
    <w:rsid w:val="00E460F4"/>
    <w:rsid w:val="00E46189"/>
    <w:rsid w:val="00E50DB4"/>
    <w:rsid w:val="00E53452"/>
    <w:rsid w:val="00E5387C"/>
    <w:rsid w:val="00E54EF2"/>
    <w:rsid w:val="00E575AC"/>
    <w:rsid w:val="00E605CB"/>
    <w:rsid w:val="00E60DC5"/>
    <w:rsid w:val="00E62CBF"/>
    <w:rsid w:val="00E63559"/>
    <w:rsid w:val="00E64502"/>
    <w:rsid w:val="00E64FCC"/>
    <w:rsid w:val="00E65DAA"/>
    <w:rsid w:val="00E660C3"/>
    <w:rsid w:val="00E6680C"/>
    <w:rsid w:val="00E66C59"/>
    <w:rsid w:val="00E67180"/>
    <w:rsid w:val="00E675DC"/>
    <w:rsid w:val="00E676E2"/>
    <w:rsid w:val="00E67B18"/>
    <w:rsid w:val="00E71A08"/>
    <w:rsid w:val="00E729BF"/>
    <w:rsid w:val="00E72B7F"/>
    <w:rsid w:val="00E74990"/>
    <w:rsid w:val="00E74FA5"/>
    <w:rsid w:val="00E75272"/>
    <w:rsid w:val="00E756A8"/>
    <w:rsid w:val="00E76032"/>
    <w:rsid w:val="00E76441"/>
    <w:rsid w:val="00E768F2"/>
    <w:rsid w:val="00E77E9E"/>
    <w:rsid w:val="00E8003F"/>
    <w:rsid w:val="00E80C38"/>
    <w:rsid w:val="00E81AAB"/>
    <w:rsid w:val="00E81DED"/>
    <w:rsid w:val="00E82316"/>
    <w:rsid w:val="00E825B3"/>
    <w:rsid w:val="00E849DE"/>
    <w:rsid w:val="00E84CFB"/>
    <w:rsid w:val="00E85948"/>
    <w:rsid w:val="00E85D21"/>
    <w:rsid w:val="00E86536"/>
    <w:rsid w:val="00E86EAB"/>
    <w:rsid w:val="00E910DB"/>
    <w:rsid w:val="00E9167E"/>
    <w:rsid w:val="00E920B0"/>
    <w:rsid w:val="00E922A4"/>
    <w:rsid w:val="00E925CE"/>
    <w:rsid w:val="00E929FA"/>
    <w:rsid w:val="00E92B2D"/>
    <w:rsid w:val="00E92C6F"/>
    <w:rsid w:val="00E9320C"/>
    <w:rsid w:val="00E93F3F"/>
    <w:rsid w:val="00E949E6"/>
    <w:rsid w:val="00E94F5D"/>
    <w:rsid w:val="00E9512D"/>
    <w:rsid w:val="00E959AC"/>
    <w:rsid w:val="00E95CFE"/>
    <w:rsid w:val="00E95DD9"/>
    <w:rsid w:val="00E974B5"/>
    <w:rsid w:val="00EA05D9"/>
    <w:rsid w:val="00EA0D86"/>
    <w:rsid w:val="00EA1104"/>
    <w:rsid w:val="00EA45FA"/>
    <w:rsid w:val="00EA5257"/>
    <w:rsid w:val="00EA59B6"/>
    <w:rsid w:val="00EA6401"/>
    <w:rsid w:val="00EA6D5E"/>
    <w:rsid w:val="00EA727F"/>
    <w:rsid w:val="00EA7415"/>
    <w:rsid w:val="00EA7FE0"/>
    <w:rsid w:val="00EB0433"/>
    <w:rsid w:val="00EB0885"/>
    <w:rsid w:val="00EB1B8B"/>
    <w:rsid w:val="00EB2D7C"/>
    <w:rsid w:val="00EB3C54"/>
    <w:rsid w:val="00EB476B"/>
    <w:rsid w:val="00EB4951"/>
    <w:rsid w:val="00EB516A"/>
    <w:rsid w:val="00EB595B"/>
    <w:rsid w:val="00EB6233"/>
    <w:rsid w:val="00EB63C7"/>
    <w:rsid w:val="00EB7C55"/>
    <w:rsid w:val="00EC098E"/>
    <w:rsid w:val="00EC0AC4"/>
    <w:rsid w:val="00EC0BCB"/>
    <w:rsid w:val="00EC0E71"/>
    <w:rsid w:val="00EC2DDF"/>
    <w:rsid w:val="00EC3F06"/>
    <w:rsid w:val="00EC690E"/>
    <w:rsid w:val="00ED2C5B"/>
    <w:rsid w:val="00ED2C7E"/>
    <w:rsid w:val="00ED3E31"/>
    <w:rsid w:val="00ED4C9A"/>
    <w:rsid w:val="00ED5CBA"/>
    <w:rsid w:val="00ED613A"/>
    <w:rsid w:val="00ED6CFA"/>
    <w:rsid w:val="00ED6D53"/>
    <w:rsid w:val="00ED75B3"/>
    <w:rsid w:val="00ED7A9B"/>
    <w:rsid w:val="00ED7DAC"/>
    <w:rsid w:val="00ED7DB1"/>
    <w:rsid w:val="00EE0E92"/>
    <w:rsid w:val="00EE1855"/>
    <w:rsid w:val="00EE2452"/>
    <w:rsid w:val="00EE2A1C"/>
    <w:rsid w:val="00EE2B68"/>
    <w:rsid w:val="00EE3733"/>
    <w:rsid w:val="00EE395E"/>
    <w:rsid w:val="00EE6D70"/>
    <w:rsid w:val="00EF05EA"/>
    <w:rsid w:val="00EF1386"/>
    <w:rsid w:val="00EF20D9"/>
    <w:rsid w:val="00EF2491"/>
    <w:rsid w:val="00EF256B"/>
    <w:rsid w:val="00EF3B05"/>
    <w:rsid w:val="00EF3F9F"/>
    <w:rsid w:val="00EF5277"/>
    <w:rsid w:val="00EF59A3"/>
    <w:rsid w:val="00EF5CAD"/>
    <w:rsid w:val="00EF5E20"/>
    <w:rsid w:val="00EF611F"/>
    <w:rsid w:val="00EF76E1"/>
    <w:rsid w:val="00F0126A"/>
    <w:rsid w:val="00F02647"/>
    <w:rsid w:val="00F029AF"/>
    <w:rsid w:val="00F03B28"/>
    <w:rsid w:val="00F06322"/>
    <w:rsid w:val="00F077DB"/>
    <w:rsid w:val="00F1030E"/>
    <w:rsid w:val="00F1075D"/>
    <w:rsid w:val="00F10925"/>
    <w:rsid w:val="00F10ED0"/>
    <w:rsid w:val="00F1122B"/>
    <w:rsid w:val="00F11286"/>
    <w:rsid w:val="00F12B6C"/>
    <w:rsid w:val="00F12F6C"/>
    <w:rsid w:val="00F13DAE"/>
    <w:rsid w:val="00F14EA0"/>
    <w:rsid w:val="00F157D8"/>
    <w:rsid w:val="00F15EE9"/>
    <w:rsid w:val="00F1688B"/>
    <w:rsid w:val="00F201AD"/>
    <w:rsid w:val="00F20966"/>
    <w:rsid w:val="00F210A7"/>
    <w:rsid w:val="00F21481"/>
    <w:rsid w:val="00F21B21"/>
    <w:rsid w:val="00F21FAA"/>
    <w:rsid w:val="00F222BB"/>
    <w:rsid w:val="00F2491A"/>
    <w:rsid w:val="00F24EF6"/>
    <w:rsid w:val="00F25335"/>
    <w:rsid w:val="00F254E4"/>
    <w:rsid w:val="00F26C0E"/>
    <w:rsid w:val="00F26F5D"/>
    <w:rsid w:val="00F34C92"/>
    <w:rsid w:val="00F351D9"/>
    <w:rsid w:val="00F35D19"/>
    <w:rsid w:val="00F377AE"/>
    <w:rsid w:val="00F40E3A"/>
    <w:rsid w:val="00F41269"/>
    <w:rsid w:val="00F41319"/>
    <w:rsid w:val="00F44B13"/>
    <w:rsid w:val="00F44CF7"/>
    <w:rsid w:val="00F45BE7"/>
    <w:rsid w:val="00F45E0F"/>
    <w:rsid w:val="00F463D7"/>
    <w:rsid w:val="00F46ED8"/>
    <w:rsid w:val="00F473F2"/>
    <w:rsid w:val="00F47B43"/>
    <w:rsid w:val="00F50163"/>
    <w:rsid w:val="00F50478"/>
    <w:rsid w:val="00F50D13"/>
    <w:rsid w:val="00F510E2"/>
    <w:rsid w:val="00F515F1"/>
    <w:rsid w:val="00F52516"/>
    <w:rsid w:val="00F5273A"/>
    <w:rsid w:val="00F527D5"/>
    <w:rsid w:val="00F52D6B"/>
    <w:rsid w:val="00F52E18"/>
    <w:rsid w:val="00F54251"/>
    <w:rsid w:val="00F54406"/>
    <w:rsid w:val="00F5468F"/>
    <w:rsid w:val="00F546FB"/>
    <w:rsid w:val="00F54FC1"/>
    <w:rsid w:val="00F55335"/>
    <w:rsid w:val="00F557E7"/>
    <w:rsid w:val="00F55CF7"/>
    <w:rsid w:val="00F56604"/>
    <w:rsid w:val="00F57D1C"/>
    <w:rsid w:val="00F6086A"/>
    <w:rsid w:val="00F60AFD"/>
    <w:rsid w:val="00F6161D"/>
    <w:rsid w:val="00F6169B"/>
    <w:rsid w:val="00F61958"/>
    <w:rsid w:val="00F6208C"/>
    <w:rsid w:val="00F62824"/>
    <w:rsid w:val="00F62D7C"/>
    <w:rsid w:val="00F634C8"/>
    <w:rsid w:val="00F63ADD"/>
    <w:rsid w:val="00F640E2"/>
    <w:rsid w:val="00F64D0D"/>
    <w:rsid w:val="00F6634A"/>
    <w:rsid w:val="00F67155"/>
    <w:rsid w:val="00F70499"/>
    <w:rsid w:val="00F7058F"/>
    <w:rsid w:val="00F70D21"/>
    <w:rsid w:val="00F70FEF"/>
    <w:rsid w:val="00F71290"/>
    <w:rsid w:val="00F7287D"/>
    <w:rsid w:val="00F72BC6"/>
    <w:rsid w:val="00F73F06"/>
    <w:rsid w:val="00F747D5"/>
    <w:rsid w:val="00F74F3A"/>
    <w:rsid w:val="00F75C02"/>
    <w:rsid w:val="00F7735E"/>
    <w:rsid w:val="00F77ECB"/>
    <w:rsid w:val="00F81BF8"/>
    <w:rsid w:val="00F81E47"/>
    <w:rsid w:val="00F824EF"/>
    <w:rsid w:val="00F8364B"/>
    <w:rsid w:val="00F8374A"/>
    <w:rsid w:val="00F83CC6"/>
    <w:rsid w:val="00F84408"/>
    <w:rsid w:val="00F8501C"/>
    <w:rsid w:val="00F85DBB"/>
    <w:rsid w:val="00F85F53"/>
    <w:rsid w:val="00F86474"/>
    <w:rsid w:val="00F868B4"/>
    <w:rsid w:val="00F8730A"/>
    <w:rsid w:val="00F9016F"/>
    <w:rsid w:val="00F90601"/>
    <w:rsid w:val="00F90A6D"/>
    <w:rsid w:val="00F910E8"/>
    <w:rsid w:val="00F91FD7"/>
    <w:rsid w:val="00F93703"/>
    <w:rsid w:val="00F93D0D"/>
    <w:rsid w:val="00F945C2"/>
    <w:rsid w:val="00F9484C"/>
    <w:rsid w:val="00F958A7"/>
    <w:rsid w:val="00F96599"/>
    <w:rsid w:val="00F97548"/>
    <w:rsid w:val="00FA04BA"/>
    <w:rsid w:val="00FA149F"/>
    <w:rsid w:val="00FA1736"/>
    <w:rsid w:val="00FA274C"/>
    <w:rsid w:val="00FA3EAD"/>
    <w:rsid w:val="00FA4C37"/>
    <w:rsid w:val="00FA75F5"/>
    <w:rsid w:val="00FA78FD"/>
    <w:rsid w:val="00FA7908"/>
    <w:rsid w:val="00FB11BE"/>
    <w:rsid w:val="00FB1357"/>
    <w:rsid w:val="00FB171F"/>
    <w:rsid w:val="00FB1799"/>
    <w:rsid w:val="00FB1807"/>
    <w:rsid w:val="00FB1B56"/>
    <w:rsid w:val="00FB1D43"/>
    <w:rsid w:val="00FB27F1"/>
    <w:rsid w:val="00FB2ABC"/>
    <w:rsid w:val="00FB3E00"/>
    <w:rsid w:val="00FB4C6F"/>
    <w:rsid w:val="00FB5DE1"/>
    <w:rsid w:val="00FB60E5"/>
    <w:rsid w:val="00FB6ED9"/>
    <w:rsid w:val="00FC1A21"/>
    <w:rsid w:val="00FC2E03"/>
    <w:rsid w:val="00FC35F1"/>
    <w:rsid w:val="00FC4C67"/>
    <w:rsid w:val="00FC5029"/>
    <w:rsid w:val="00FC5A6B"/>
    <w:rsid w:val="00FC5E76"/>
    <w:rsid w:val="00FC69CF"/>
    <w:rsid w:val="00FC7214"/>
    <w:rsid w:val="00FD058F"/>
    <w:rsid w:val="00FD0B70"/>
    <w:rsid w:val="00FD11B8"/>
    <w:rsid w:val="00FD1440"/>
    <w:rsid w:val="00FD1489"/>
    <w:rsid w:val="00FD1630"/>
    <w:rsid w:val="00FD17D7"/>
    <w:rsid w:val="00FD1E95"/>
    <w:rsid w:val="00FD24FC"/>
    <w:rsid w:val="00FD2DA9"/>
    <w:rsid w:val="00FD35FA"/>
    <w:rsid w:val="00FD59F1"/>
    <w:rsid w:val="00FD6FE2"/>
    <w:rsid w:val="00FD7192"/>
    <w:rsid w:val="00FD74CB"/>
    <w:rsid w:val="00FD7543"/>
    <w:rsid w:val="00FD7BF5"/>
    <w:rsid w:val="00FE014C"/>
    <w:rsid w:val="00FE185C"/>
    <w:rsid w:val="00FE3C5F"/>
    <w:rsid w:val="00FE401B"/>
    <w:rsid w:val="00FE44F9"/>
    <w:rsid w:val="00FE4705"/>
    <w:rsid w:val="00FE54D7"/>
    <w:rsid w:val="00FE557C"/>
    <w:rsid w:val="00FE60A8"/>
    <w:rsid w:val="00FE631E"/>
    <w:rsid w:val="00FF1765"/>
    <w:rsid w:val="00FF1FF9"/>
    <w:rsid w:val="00FF2DF9"/>
    <w:rsid w:val="00FF38B6"/>
    <w:rsid w:val="00FF4C3A"/>
    <w:rsid w:val="00FF62F4"/>
    <w:rsid w:val="00FF6519"/>
    <w:rsid w:val="00FF66F0"/>
    <w:rsid w:val="00FF7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8ED17"/>
  <w15:chartTrackingRefBased/>
  <w15:docId w15:val="{EE9ECC00-B0DE-4800-9360-DD866CD3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83D04"/>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autoRedefine/>
    <w:qFormat/>
    <w:rsid w:val="00DE3708"/>
    <w:pPr>
      <w:keepNext/>
      <w:tabs>
        <w:tab w:val="clear" w:pos="567"/>
      </w:tabs>
      <w:spacing w:line="240" w:lineRule="auto"/>
      <w:outlineLvl w:val="0"/>
    </w:pPr>
    <w:rPr>
      <w:b/>
      <w:lang w:eastAsia="lt-LT"/>
    </w:rPr>
  </w:style>
  <w:style w:type="paragraph" w:styleId="Antrat2">
    <w:name w:val="heading 2"/>
    <w:basedOn w:val="prastasis"/>
    <w:next w:val="prastasis"/>
    <w:link w:val="Antrat2Diagrama"/>
    <w:autoRedefine/>
    <w:qFormat/>
    <w:rsid w:val="00DE3708"/>
    <w:pPr>
      <w:keepNext/>
      <w:tabs>
        <w:tab w:val="clear" w:pos="567"/>
      </w:tabs>
      <w:spacing w:line="240" w:lineRule="auto"/>
      <w:outlineLvl w:val="1"/>
    </w:pPr>
    <w:rPr>
      <w:szCs w:val="22"/>
      <w:u w:val="single"/>
      <w:lang w:eastAsia="lt-LT"/>
    </w:rPr>
  </w:style>
  <w:style w:type="paragraph" w:styleId="Antrat3">
    <w:name w:val="heading 3"/>
    <w:basedOn w:val="prastasis"/>
    <w:next w:val="prastasis"/>
    <w:link w:val="Antrat3Diagrama"/>
    <w:qFormat/>
    <w:rsid w:val="00DE3708"/>
    <w:pPr>
      <w:keepNext/>
      <w:tabs>
        <w:tab w:val="clear" w:pos="567"/>
      </w:tabs>
      <w:spacing w:before="240" w:after="60" w:line="240" w:lineRule="auto"/>
      <w:outlineLvl w:val="2"/>
    </w:pPr>
    <w:rPr>
      <w:rFonts w:ascii="Arial"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E3708"/>
    <w:rPr>
      <w:b/>
      <w:sz w:val="22"/>
      <w:lang w:val="lt-LT" w:eastAsia="lt-LT" w:bidi="ar-SA"/>
    </w:rPr>
  </w:style>
  <w:style w:type="character" w:customStyle="1" w:styleId="Antrat2Diagrama">
    <w:name w:val="Antraštė 2 Diagrama"/>
    <w:link w:val="Antrat2"/>
    <w:locked/>
    <w:rsid w:val="00DE3708"/>
    <w:rPr>
      <w:sz w:val="22"/>
      <w:szCs w:val="22"/>
      <w:u w:val="single"/>
      <w:lang w:val="lt-LT" w:eastAsia="lt-LT" w:bidi="ar-SA"/>
    </w:rPr>
  </w:style>
  <w:style w:type="character" w:customStyle="1" w:styleId="Antrat3Diagrama">
    <w:name w:val="Antraštė 3 Diagrama"/>
    <w:link w:val="Antrat3"/>
    <w:locked/>
    <w:rsid w:val="00DE3708"/>
    <w:rPr>
      <w:rFonts w:ascii="Arial" w:hAnsi="Arial" w:cs="Arial"/>
      <w:b/>
      <w:bCs/>
      <w:sz w:val="26"/>
      <w:szCs w:val="26"/>
      <w:lang w:val="lt-LT" w:eastAsia="lt-LT" w:bidi="ar-SA"/>
    </w:rPr>
  </w:style>
  <w:style w:type="paragraph" w:styleId="Porat">
    <w:name w:val="footer"/>
    <w:basedOn w:val="prastasis"/>
    <w:link w:val="PoratDiagrama"/>
    <w:pPr>
      <w:tabs>
        <w:tab w:val="center" w:pos="4536"/>
        <w:tab w:val="right" w:pos="8306"/>
      </w:tabs>
    </w:pPr>
    <w:rPr>
      <w:rFonts w:ascii="Arial" w:hAnsi="Arial"/>
      <w:noProof/>
      <w:sz w:val="16"/>
    </w:rPr>
  </w:style>
  <w:style w:type="character" w:customStyle="1" w:styleId="PoratDiagrama">
    <w:name w:val="Poraštė Diagrama"/>
    <w:link w:val="Porat"/>
    <w:locked/>
    <w:rsid w:val="00DE3708"/>
    <w:rPr>
      <w:rFonts w:ascii="Arial" w:hAnsi="Arial"/>
      <w:noProof/>
      <w:sz w:val="16"/>
      <w:lang w:val="lt-LT" w:eastAsia="en-US" w:bidi="ar-SA"/>
    </w:rPr>
  </w:style>
  <w:style w:type="paragraph" w:styleId="Antrats">
    <w:name w:val="header"/>
    <w:basedOn w:val="prastasis"/>
    <w:link w:val="AntratsDiagrama"/>
    <w:pPr>
      <w:tabs>
        <w:tab w:val="center" w:pos="4153"/>
        <w:tab w:val="right" w:pos="8306"/>
      </w:tabs>
    </w:pPr>
    <w:rPr>
      <w:rFonts w:ascii="Arial" w:hAnsi="Arial"/>
      <w:sz w:val="20"/>
    </w:rPr>
  </w:style>
  <w:style w:type="character" w:customStyle="1" w:styleId="AntratsDiagrama">
    <w:name w:val="Antraštės Diagrama"/>
    <w:link w:val="Antrats"/>
    <w:locked/>
    <w:rsid w:val="008B4F1F"/>
    <w:rPr>
      <w:rFonts w:ascii="Arial" w:hAnsi="Arial"/>
      <w:lang w:val="lt-LT" w:eastAsia="en-US" w:bidi="ar-SA"/>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character" w:customStyle="1" w:styleId="PagrindinistekstasDiagrama">
    <w:name w:val="Pagrindinis tekstas Diagrama"/>
    <w:link w:val="Pagrindinistekstas"/>
    <w:locked/>
    <w:rsid w:val="00DE3708"/>
    <w:rPr>
      <w:i/>
      <w:color w:val="008000"/>
      <w:sz w:val="22"/>
      <w:lang w:val="lt-LT" w:eastAsia="en-US" w:bidi="ar-SA"/>
    </w:rPr>
  </w:style>
  <w:style w:type="paragraph" w:styleId="Komentarotekstas">
    <w:name w:val="annotation text"/>
    <w:basedOn w:val="prastasis"/>
    <w:link w:val="KomentarotekstasDiagrama"/>
    <w:uiPriority w:val="99"/>
    <w:rsid w:val="00812D16"/>
    <w:rPr>
      <w:sz w:val="20"/>
      <w:lang w:val="x-none"/>
    </w:rPr>
  </w:style>
  <w:style w:type="character" w:customStyle="1" w:styleId="KomentarotekstasDiagrama">
    <w:name w:val="Komentaro tekstas Diagrama"/>
    <w:link w:val="Komentarotekstas"/>
    <w:uiPriority w:val="99"/>
    <w:rsid w:val="00BC6DC2"/>
    <w:rPr>
      <w:rFonts w:eastAsia="Times New Roman"/>
      <w:lang w:eastAsia="en-US"/>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semiHidden/>
    <w:rsid w:val="00A20C7F"/>
    <w:rPr>
      <w:rFonts w:ascii="Tahoma" w:hAnsi="Tahoma" w:cs="Tahoma"/>
      <w:sz w:val="16"/>
      <w:szCs w:val="16"/>
    </w:rPr>
  </w:style>
  <w:style w:type="character" w:customStyle="1" w:styleId="DebesliotekstasDiagrama">
    <w:name w:val="Debesėlio tekstas Diagrama"/>
    <w:link w:val="Debesliotekstas"/>
    <w:semiHidden/>
    <w:locked/>
    <w:rsid w:val="00DE3708"/>
    <w:rPr>
      <w:rFonts w:ascii="Tahoma" w:hAnsi="Tahoma" w:cs="Tahoma"/>
      <w:sz w:val="16"/>
      <w:szCs w:val="16"/>
      <w:lang w:val="lt-LT" w:eastAsia="en-US" w:bidi="ar-SA"/>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483D04"/>
    <w:rPr>
      <w:rFonts w:ascii="Verdana" w:eastAsia="Verdana" w:hAnsi="Verdana" w:cs="Verdana"/>
      <w:sz w:val="18"/>
      <w:szCs w:val="18"/>
      <w:lang w:val="en-GB" w:eastAsia="en-GB"/>
    </w:rPr>
  </w:style>
  <w:style w:type="character" w:customStyle="1" w:styleId="NormalAgencyChar">
    <w:name w:val="Normal (Agency) Char"/>
    <w:link w:val="NormalAgency"/>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maDiagrama">
    <w:name w:val="Komentaro tema Diagrama"/>
    <w:link w:val="Komentarotema"/>
    <w:rsid w:val="00BC6DC2"/>
    <w:rPr>
      <w:rFonts w:eastAsia="Times New Roman"/>
      <w:b/>
      <w:bCs/>
      <w:lang w:eastAsia="en-US"/>
    </w:rPr>
  </w:style>
  <w:style w:type="paragraph" w:styleId="Puslapioinaostekstas">
    <w:name w:val="footnote text"/>
    <w:basedOn w:val="prastasis"/>
    <w:link w:val="PuslapioinaostekstasDiagrama"/>
    <w:uiPriority w:val="99"/>
    <w:unhideWhenUsed/>
    <w:rsid w:val="005E0715"/>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link w:val="Puslapioinaostekstas"/>
    <w:uiPriority w:val="99"/>
    <w:rsid w:val="005E0715"/>
    <w:rPr>
      <w:rFonts w:ascii="Calibri" w:eastAsia="Calibri" w:hAnsi="Calibri"/>
      <w:lang w:val="en-US" w:eastAsia="en-US"/>
    </w:rPr>
  </w:style>
  <w:style w:type="character" w:styleId="Puslapioinaosnuoroda">
    <w:name w:val="footnote reference"/>
    <w:uiPriority w:val="99"/>
    <w:unhideWhenUsed/>
    <w:rsid w:val="005E0715"/>
    <w:rPr>
      <w:vertAlign w:val="superscript"/>
    </w:rPr>
  </w:style>
  <w:style w:type="paragraph" w:styleId="Sraopastraipa">
    <w:name w:val="List Paragraph"/>
    <w:basedOn w:val="prastasis"/>
    <w:uiPriority w:val="34"/>
    <w:qFormat/>
    <w:rsid w:val="0011665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483D04"/>
    <w:rPr>
      <w:rFonts w:eastAsia="Times New Roman"/>
      <w:sz w:val="22"/>
      <w:lang w:val="en-GB" w:eastAsia="en-US"/>
    </w:rPr>
  </w:style>
  <w:style w:type="character" w:customStyle="1" w:styleId="tw4winMark">
    <w:name w:val="tw4winMark"/>
    <w:uiPriority w:val="99"/>
    <w:rsid w:val="00286E3A"/>
    <w:rPr>
      <w:rFonts w:ascii="Courier New" w:hAnsi="Courier New"/>
      <w:vanish/>
      <w:color w:val="800080"/>
      <w:vertAlign w:val="subscript"/>
    </w:rPr>
  </w:style>
  <w:style w:type="character" w:customStyle="1" w:styleId="DoNotTranslateExternal1">
    <w:name w:val="DoNotTranslateExternal1"/>
    <w:qFormat/>
    <w:rsid w:val="005470C3"/>
    <w:rPr>
      <w:b/>
      <w:noProof/>
      <w:szCs w:val="22"/>
    </w:rPr>
  </w:style>
  <w:style w:type="paragraph" w:customStyle="1" w:styleId="Default">
    <w:name w:val="Default"/>
    <w:rsid w:val="00483D04"/>
    <w:pPr>
      <w:autoSpaceDE w:val="0"/>
      <w:autoSpaceDN w:val="0"/>
      <w:adjustRightInd w:val="0"/>
    </w:pPr>
    <w:rPr>
      <w:color w:val="000000"/>
      <w:sz w:val="24"/>
      <w:szCs w:val="24"/>
    </w:rPr>
  </w:style>
  <w:style w:type="table" w:styleId="Lentelstinklelis">
    <w:name w:val="Table Grid"/>
    <w:basedOn w:val="prastojilentel"/>
    <w:rsid w:val="0004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DE3708"/>
    <w:pPr>
      <w:tabs>
        <w:tab w:val="clear" w:pos="567"/>
      </w:tabs>
      <w:spacing w:after="240" w:line="240" w:lineRule="auto"/>
    </w:pPr>
    <w:rPr>
      <w:rFonts w:ascii="Arial Unicode MS" w:eastAsia="Arial Unicode MS"/>
      <w:sz w:val="24"/>
      <w:szCs w:val="24"/>
      <w:lang w:val="en-US" w:eastAsia="ja-JP"/>
    </w:rPr>
  </w:style>
  <w:style w:type="character" w:customStyle="1" w:styleId="HeaderChar">
    <w:name w:val="Header Char"/>
    <w:locked/>
    <w:rsid w:val="00483D04"/>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DE3708"/>
    <w:pPr>
      <w:tabs>
        <w:tab w:val="clear" w:pos="567"/>
      </w:tabs>
      <w:spacing w:line="240" w:lineRule="auto"/>
      <w:jc w:val="center"/>
      <w:outlineLvl w:val="0"/>
    </w:pPr>
    <w:rPr>
      <w:b/>
      <w:kern w:val="28"/>
      <w:lang w:eastAsia="lt-LT"/>
    </w:rPr>
  </w:style>
  <w:style w:type="character" w:customStyle="1" w:styleId="PavadinimasDiagrama">
    <w:name w:val="Pavadinimas Diagrama"/>
    <w:link w:val="Pavadinimas"/>
    <w:locked/>
    <w:rsid w:val="00DE3708"/>
    <w:rPr>
      <w:b/>
      <w:kern w:val="28"/>
      <w:sz w:val="22"/>
      <w:lang w:val="lt-LT" w:eastAsia="lt-LT" w:bidi="ar-SA"/>
    </w:rPr>
  </w:style>
  <w:style w:type="paragraph" w:styleId="Pagrindiniotekstotrauka">
    <w:name w:val="Body Text Indent"/>
    <w:basedOn w:val="prastasis"/>
    <w:link w:val="PagrindiniotekstotraukaDiagrama"/>
    <w:rsid w:val="00DE3708"/>
    <w:pPr>
      <w:tabs>
        <w:tab w:val="clear" w:pos="567"/>
      </w:tabs>
      <w:spacing w:after="120" w:line="240" w:lineRule="auto"/>
      <w:ind w:left="283"/>
    </w:pPr>
    <w:rPr>
      <w:lang w:eastAsia="lt-LT"/>
    </w:rPr>
  </w:style>
  <w:style w:type="character" w:customStyle="1" w:styleId="PagrindiniotekstotraukaDiagrama">
    <w:name w:val="Pagrindinio teksto įtrauka Diagrama"/>
    <w:link w:val="Pagrindiniotekstotrauka"/>
    <w:locked/>
    <w:rsid w:val="00DE3708"/>
    <w:rPr>
      <w:sz w:val="22"/>
      <w:lang w:val="lt-LT" w:eastAsia="lt-LT" w:bidi="ar-SA"/>
    </w:rPr>
  </w:style>
  <w:style w:type="character" w:customStyle="1" w:styleId="PI-1labEMEASMCAChar">
    <w:name w:val="PI-1_lab EMEA_SMCA Char"/>
    <w:link w:val="PI-1labEMEASMCA"/>
    <w:locked/>
    <w:rsid w:val="00DE3708"/>
    <w:rPr>
      <w:rFonts w:eastAsia="Times New Roman"/>
      <w:b/>
      <w:noProof/>
    </w:rPr>
  </w:style>
  <w:style w:type="paragraph" w:customStyle="1" w:styleId="PI-1labEMEASMCA">
    <w:name w:val="PI-1_lab EMEA_SMCA"/>
    <w:basedOn w:val="prastasis"/>
    <w:link w:val="PI-1labEMEASMCAChar"/>
    <w:autoRedefine/>
    <w:rsid w:val="00483D0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eastAsia="lt-LT"/>
    </w:rPr>
  </w:style>
  <w:style w:type="character" w:customStyle="1" w:styleId="TTEMEASMCADiagrama">
    <w:name w:val="TT EMEA_SMCA Diagrama"/>
    <w:link w:val="TTEMEASMCA"/>
    <w:locked/>
    <w:rsid w:val="00DE3708"/>
    <w:rPr>
      <w:rFonts w:eastAsia="Times New Roman"/>
      <w:b/>
      <w:caps/>
      <w:lang w:val="x-none" w:eastAsia="x-none"/>
    </w:rPr>
  </w:style>
  <w:style w:type="paragraph" w:customStyle="1" w:styleId="TTEMEASMCA">
    <w:name w:val="TT EMEA_SMCA"/>
    <w:basedOn w:val="Antrat1"/>
    <w:link w:val="TTEMEASMCADiagrama"/>
    <w:autoRedefine/>
    <w:rsid w:val="00483D04"/>
    <w:pPr>
      <w:keepNext w:val="0"/>
      <w:tabs>
        <w:tab w:val="left" w:pos="567"/>
      </w:tabs>
      <w:ind w:left="567" w:hanging="567"/>
      <w:jc w:val="center"/>
    </w:pPr>
    <w:rPr>
      <w:caps/>
      <w:sz w:val="20"/>
      <w:lang w:val="x-none" w:eastAsia="x-none"/>
    </w:rPr>
  </w:style>
  <w:style w:type="paragraph" w:customStyle="1" w:styleId="BT-EMEASMCA">
    <w:name w:val="BT- EMEA_SMCA"/>
    <w:basedOn w:val="prastasis"/>
    <w:autoRedefine/>
    <w:rsid w:val="00DE3708"/>
    <w:pPr>
      <w:tabs>
        <w:tab w:val="num" w:pos="567"/>
      </w:tabs>
      <w:spacing w:line="240" w:lineRule="auto"/>
      <w:ind w:left="567" w:hanging="567"/>
    </w:pPr>
    <w:rPr>
      <w:noProof/>
      <w:szCs w:val="22"/>
    </w:rPr>
  </w:style>
  <w:style w:type="character" w:customStyle="1" w:styleId="BTEMEASMCADiagrama">
    <w:name w:val="BT EMEA_SMCA Diagrama"/>
    <w:link w:val="BTEMEASMCA"/>
    <w:locked/>
    <w:rsid w:val="00F91FD7"/>
    <w:rPr>
      <w:rFonts w:eastAsia="Times New Roman"/>
      <w:noProof/>
      <w:sz w:val="22"/>
      <w:szCs w:val="22"/>
    </w:rPr>
  </w:style>
  <w:style w:type="paragraph" w:customStyle="1" w:styleId="BTEMEASMCA">
    <w:name w:val="BT EMEA_SMCA"/>
    <w:basedOn w:val="prastasis"/>
    <w:link w:val="BTEMEASMCADiagrama"/>
    <w:autoRedefine/>
    <w:rsid w:val="00483D04"/>
    <w:pPr>
      <w:tabs>
        <w:tab w:val="clear" w:pos="567"/>
      </w:tabs>
      <w:spacing w:line="240" w:lineRule="auto"/>
    </w:pPr>
    <w:rPr>
      <w:noProof/>
      <w:szCs w:val="22"/>
      <w:lang w:eastAsia="lt-LT"/>
    </w:rPr>
  </w:style>
  <w:style w:type="character" w:customStyle="1" w:styleId="EMEABodyTextChar">
    <w:name w:val="EMEA Body Text Char"/>
    <w:link w:val="EMEABodyText"/>
    <w:locked/>
    <w:rsid w:val="00DE3708"/>
    <w:rPr>
      <w:rFonts w:eastAsia="Times New Roman"/>
      <w:lang w:val="en-GB" w:eastAsia="x-none"/>
    </w:rPr>
  </w:style>
  <w:style w:type="paragraph" w:customStyle="1" w:styleId="EMEABodyText">
    <w:name w:val="EMEA Body Text"/>
    <w:basedOn w:val="prastasis"/>
    <w:link w:val="EMEABodyTextChar"/>
    <w:rsid w:val="00483D04"/>
    <w:pPr>
      <w:tabs>
        <w:tab w:val="clear" w:pos="567"/>
      </w:tabs>
      <w:spacing w:line="240" w:lineRule="auto"/>
    </w:pPr>
    <w:rPr>
      <w:sz w:val="20"/>
      <w:lang w:val="en-GB" w:eastAsia="x-none"/>
    </w:rPr>
  </w:style>
  <w:style w:type="paragraph" w:customStyle="1" w:styleId="NormalLatinArial">
    <w:name w:val="Normal + (Latin) Arial"/>
    <w:aliases w:val="(Complex) Arial,9 pt"/>
    <w:basedOn w:val="Default"/>
    <w:next w:val="Default"/>
    <w:rsid w:val="00483D04"/>
    <w:pPr>
      <w:numPr>
        <w:numId w:val="1"/>
      </w:numPr>
    </w:pPr>
    <w:rPr>
      <w:rFonts w:eastAsia="Times New Roman"/>
      <w:color w:val="auto"/>
      <w:lang w:val="en-US" w:eastAsia="en-US"/>
    </w:rPr>
  </w:style>
  <w:style w:type="character" w:customStyle="1" w:styleId="PI-1EMEASMCAChar">
    <w:name w:val="PI-1 EMEA_SMCA Char"/>
    <w:link w:val="PI-1EMEASMCA"/>
    <w:locked/>
    <w:rsid w:val="00DE3708"/>
    <w:rPr>
      <w:rFonts w:eastAsia="Times New Roman"/>
      <w:b/>
    </w:rPr>
  </w:style>
  <w:style w:type="paragraph" w:customStyle="1" w:styleId="PI-1EMEASMCA">
    <w:name w:val="PI-1 EMEA_SMCA"/>
    <w:basedOn w:val="Antrat2"/>
    <w:link w:val="PI-1EMEASMCAChar"/>
    <w:autoRedefine/>
    <w:rsid w:val="00483D04"/>
    <w:pPr>
      <w:tabs>
        <w:tab w:val="left" w:pos="567"/>
      </w:tabs>
      <w:ind w:left="567" w:hanging="567"/>
    </w:pPr>
    <w:rPr>
      <w:b/>
      <w:sz w:val="20"/>
      <w:szCs w:val="20"/>
      <w:u w:val="none"/>
    </w:rPr>
  </w:style>
  <w:style w:type="paragraph" w:customStyle="1" w:styleId="PI-2EMEASMCA">
    <w:name w:val="PI-2 EMEA_SMCA"/>
    <w:basedOn w:val="Antrat3"/>
    <w:autoRedefine/>
    <w:rsid w:val="00DE3708"/>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DE3708"/>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BTuEMEASMCA">
    <w:name w:val="BT(u) EMEA_SMCA"/>
    <w:basedOn w:val="BTEMEASMCA"/>
    <w:autoRedefine/>
    <w:rsid w:val="00DE3708"/>
    <w:rPr>
      <w:noProof w:val="0"/>
      <w:u w:val="single"/>
    </w:rPr>
  </w:style>
  <w:style w:type="paragraph" w:customStyle="1" w:styleId="Text">
    <w:name w:val="Text"/>
    <w:basedOn w:val="prastasis"/>
    <w:rsid w:val="00DE3708"/>
    <w:pPr>
      <w:tabs>
        <w:tab w:val="clear" w:pos="567"/>
      </w:tabs>
      <w:spacing w:before="120" w:line="240" w:lineRule="auto"/>
      <w:jc w:val="both"/>
    </w:pPr>
    <w:rPr>
      <w:sz w:val="24"/>
      <w:lang w:val="en-US"/>
    </w:rPr>
  </w:style>
  <w:style w:type="paragraph" w:customStyle="1" w:styleId="Listlevel1">
    <w:name w:val="List level 1"/>
    <w:basedOn w:val="prastasis"/>
    <w:rsid w:val="00DE3708"/>
    <w:pPr>
      <w:tabs>
        <w:tab w:val="clear" w:pos="567"/>
      </w:tabs>
      <w:spacing w:before="40" w:after="20" w:line="240" w:lineRule="auto"/>
      <w:ind w:left="425" w:hanging="425"/>
    </w:pPr>
    <w:rPr>
      <w:sz w:val="24"/>
      <w:lang w:val="en-US"/>
    </w:rPr>
  </w:style>
  <w:style w:type="character" w:customStyle="1" w:styleId="BTEMEASMCAChar">
    <w:name w:val="BT EMEA_SMCA Char"/>
    <w:rsid w:val="00DE3708"/>
    <w:rPr>
      <w:b/>
      <w:sz w:val="22"/>
      <w:lang w:val="lt-LT" w:eastAsia="en-US"/>
    </w:rPr>
  </w:style>
  <w:style w:type="character" w:customStyle="1" w:styleId="TTEMEASMCAChar">
    <w:name w:val="TT EMEA_SMCA Char"/>
    <w:rsid w:val="00DE3708"/>
    <w:rPr>
      <w:b/>
      <w:caps/>
      <w:sz w:val="22"/>
      <w:lang w:val="en-US" w:eastAsia="en-US"/>
    </w:rPr>
  </w:style>
  <w:style w:type="character" w:customStyle="1" w:styleId="hps">
    <w:name w:val="hps"/>
    <w:rsid w:val="00DE3708"/>
  </w:style>
  <w:style w:type="character" w:customStyle="1" w:styleId="UnresolvedMention1">
    <w:name w:val="Unresolved Mention1"/>
    <w:basedOn w:val="Numatytasispastraiposriftas"/>
    <w:uiPriority w:val="99"/>
    <w:semiHidden/>
    <w:unhideWhenUsed/>
    <w:rsid w:val="00E378AB"/>
    <w:rPr>
      <w:color w:val="605E5C"/>
      <w:shd w:val="clear" w:color="auto" w:fill="E1DFDD"/>
    </w:rPr>
  </w:style>
  <w:style w:type="character" w:styleId="Neapdorotaspaminjimas">
    <w:name w:val="Unresolved Mention"/>
    <w:basedOn w:val="Numatytasispastraiposriftas"/>
    <w:uiPriority w:val="99"/>
    <w:semiHidden/>
    <w:unhideWhenUsed/>
    <w:rsid w:val="00C6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818">
      <w:bodyDiv w:val="1"/>
      <w:marLeft w:val="0"/>
      <w:marRight w:val="0"/>
      <w:marTop w:val="0"/>
      <w:marBottom w:val="0"/>
      <w:divBdr>
        <w:top w:val="none" w:sz="0" w:space="0" w:color="auto"/>
        <w:left w:val="none" w:sz="0" w:space="0" w:color="auto"/>
        <w:bottom w:val="none" w:sz="0" w:space="0" w:color="auto"/>
        <w:right w:val="none" w:sz="0" w:space="0" w:color="auto"/>
      </w:divBdr>
    </w:div>
    <w:div w:id="217593070">
      <w:bodyDiv w:val="1"/>
      <w:marLeft w:val="0"/>
      <w:marRight w:val="0"/>
      <w:marTop w:val="0"/>
      <w:marBottom w:val="0"/>
      <w:divBdr>
        <w:top w:val="none" w:sz="0" w:space="0" w:color="auto"/>
        <w:left w:val="none" w:sz="0" w:space="0" w:color="auto"/>
        <w:bottom w:val="none" w:sz="0" w:space="0" w:color="auto"/>
        <w:right w:val="none" w:sz="0" w:space="0" w:color="auto"/>
      </w:divBdr>
    </w:div>
    <w:div w:id="305817693">
      <w:bodyDiv w:val="1"/>
      <w:marLeft w:val="0"/>
      <w:marRight w:val="0"/>
      <w:marTop w:val="0"/>
      <w:marBottom w:val="0"/>
      <w:divBdr>
        <w:top w:val="none" w:sz="0" w:space="0" w:color="auto"/>
        <w:left w:val="none" w:sz="0" w:space="0" w:color="auto"/>
        <w:bottom w:val="none" w:sz="0" w:space="0" w:color="auto"/>
        <w:right w:val="none" w:sz="0" w:space="0" w:color="auto"/>
      </w:divBdr>
    </w:div>
    <w:div w:id="315886251">
      <w:bodyDiv w:val="1"/>
      <w:marLeft w:val="0"/>
      <w:marRight w:val="0"/>
      <w:marTop w:val="0"/>
      <w:marBottom w:val="0"/>
      <w:divBdr>
        <w:top w:val="none" w:sz="0" w:space="0" w:color="auto"/>
        <w:left w:val="none" w:sz="0" w:space="0" w:color="auto"/>
        <w:bottom w:val="none" w:sz="0" w:space="0" w:color="auto"/>
        <w:right w:val="none" w:sz="0" w:space="0" w:color="auto"/>
      </w:divBdr>
    </w:div>
    <w:div w:id="452015527">
      <w:bodyDiv w:val="1"/>
      <w:marLeft w:val="0"/>
      <w:marRight w:val="0"/>
      <w:marTop w:val="0"/>
      <w:marBottom w:val="0"/>
      <w:divBdr>
        <w:top w:val="none" w:sz="0" w:space="0" w:color="auto"/>
        <w:left w:val="none" w:sz="0" w:space="0" w:color="auto"/>
        <w:bottom w:val="none" w:sz="0" w:space="0" w:color="auto"/>
        <w:right w:val="none" w:sz="0" w:space="0" w:color="auto"/>
      </w:divBdr>
    </w:div>
    <w:div w:id="55292996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575013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01820292">
      <w:bodyDiv w:val="1"/>
      <w:marLeft w:val="0"/>
      <w:marRight w:val="0"/>
      <w:marTop w:val="0"/>
      <w:marBottom w:val="0"/>
      <w:divBdr>
        <w:top w:val="none" w:sz="0" w:space="0" w:color="auto"/>
        <w:left w:val="none" w:sz="0" w:space="0" w:color="auto"/>
        <w:bottom w:val="none" w:sz="0" w:space="0" w:color="auto"/>
        <w:right w:val="none" w:sz="0" w:space="0" w:color="auto"/>
      </w:divBdr>
    </w:div>
    <w:div w:id="15743114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6818978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027295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3ABE-34F0-4E8C-97AB-D9B6BB736E7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40</Pages>
  <Words>60486</Words>
  <Characters>34478</Characters>
  <Application>Microsoft Office Word</Application>
  <DocSecurity>4</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Z30825</vt:lpstr>
      <vt:lpstr>Z30825</vt:lpstr>
    </vt:vector>
  </TitlesOfParts>
  <Manager>K021 and P022</Manager>
  <Company>Zebra Translations Limited</Company>
  <LinksUpToDate>false</LinksUpToDate>
  <CharactersWithSpaces>94775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dc:description/>
  <cp:lastModifiedBy>Albina Burkauskaitė</cp:lastModifiedBy>
  <cp:revision>2</cp:revision>
  <dcterms:created xsi:type="dcterms:W3CDTF">2026-06-19T12:38:00Z</dcterms:created>
  <dcterms:modified xsi:type="dcterms:W3CDTF">2026-06-19T12:38:00Z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2021-06-16T08:39:36Z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7bc7fcb7-3e0d-43c8-b3ee-070625b94ec9</vt:lpwstr>
  </property>
  <property fmtid="{D5CDD505-2E9C-101B-9397-08002B2CF9AE}" pid="8" name="MSIP_Label_4929bff8-5b33-42aa-95d2-28f72e792cb0_ContentBits">
    <vt:lpwstr>0</vt:lpwstr>
  </property>
</Properties>
</file>