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4C66" w:rsidRDefault="00444C66">
      <w:pPr>
        <w:widowControl w:val="0"/>
        <w:tabs>
          <w:tab w:val="left" w:pos="-1440"/>
          <w:tab w:val="left" w:pos="-720"/>
        </w:tabs>
        <w:spacing w:after="0" w:line="240" w:lineRule="auto"/>
        <w:jc w:val="center"/>
        <w:rPr>
          <w:rFonts w:ascii="Times New Roman" w:hAnsi="Times New Roman"/>
          <w:b/>
        </w:rPr>
      </w:pPr>
      <w:bookmarkStart w:id="0" w:name="Tab"/>
      <w:bookmarkEnd w:id="0"/>
    </w:p>
    <w:p w:rsidR="00444C66" w:rsidRDefault="00444C66">
      <w:pPr>
        <w:widowControl w:val="0"/>
        <w:tabs>
          <w:tab w:val="left" w:pos="-1440"/>
          <w:tab w:val="left" w:pos="-720"/>
        </w:tabs>
        <w:spacing w:after="0" w:line="240" w:lineRule="auto"/>
        <w:jc w:val="center"/>
        <w:rPr>
          <w:rFonts w:ascii="Times New Roman" w:hAnsi="Times New Roman"/>
          <w:b/>
        </w:rPr>
      </w:pPr>
    </w:p>
    <w:p w:rsidR="00444C66" w:rsidRDefault="00444C66">
      <w:pPr>
        <w:widowControl w:val="0"/>
        <w:tabs>
          <w:tab w:val="left" w:pos="567"/>
        </w:tabs>
        <w:spacing w:after="0" w:line="240" w:lineRule="auto"/>
        <w:jc w:val="center"/>
        <w:rPr>
          <w:rFonts w:ascii="Times New Roman" w:hAnsi="Times New Roman"/>
        </w:rPr>
      </w:pPr>
    </w:p>
    <w:p w:rsidR="00444C66" w:rsidRDefault="00444C66">
      <w:pPr>
        <w:widowControl w:val="0"/>
        <w:tabs>
          <w:tab w:val="left" w:pos="567"/>
        </w:tabs>
        <w:spacing w:after="0" w:line="240" w:lineRule="auto"/>
        <w:jc w:val="center"/>
        <w:rPr>
          <w:rFonts w:ascii="Times New Roman" w:hAnsi="Times New Roman"/>
        </w:rPr>
      </w:pPr>
    </w:p>
    <w:p w:rsidR="00444C66" w:rsidRDefault="00444C66">
      <w:pPr>
        <w:widowControl w:val="0"/>
        <w:tabs>
          <w:tab w:val="left" w:pos="567"/>
        </w:tabs>
        <w:spacing w:after="0" w:line="240" w:lineRule="auto"/>
        <w:jc w:val="center"/>
        <w:rPr>
          <w:rFonts w:ascii="Times New Roman" w:hAnsi="Times New Roman"/>
        </w:rPr>
      </w:pPr>
    </w:p>
    <w:p w:rsidR="00444C66" w:rsidRDefault="00444C66">
      <w:pPr>
        <w:widowControl w:val="0"/>
        <w:tabs>
          <w:tab w:val="left" w:pos="567"/>
        </w:tabs>
        <w:spacing w:after="0" w:line="240" w:lineRule="auto"/>
        <w:jc w:val="center"/>
        <w:rPr>
          <w:rFonts w:ascii="Times New Roman" w:hAnsi="Times New Roman"/>
        </w:rPr>
      </w:pPr>
    </w:p>
    <w:p w:rsidR="00444C66" w:rsidRDefault="00444C66">
      <w:pPr>
        <w:widowControl w:val="0"/>
        <w:tabs>
          <w:tab w:val="left" w:pos="567"/>
        </w:tabs>
        <w:spacing w:after="0" w:line="240" w:lineRule="auto"/>
        <w:jc w:val="center"/>
        <w:rPr>
          <w:rFonts w:ascii="Times New Roman" w:hAnsi="Times New Roman"/>
        </w:rPr>
      </w:pPr>
    </w:p>
    <w:p w:rsidR="00444C66" w:rsidRDefault="00444C66">
      <w:pPr>
        <w:widowControl w:val="0"/>
        <w:tabs>
          <w:tab w:val="left" w:pos="567"/>
        </w:tabs>
        <w:spacing w:after="0" w:line="240" w:lineRule="auto"/>
        <w:jc w:val="center"/>
        <w:rPr>
          <w:rFonts w:ascii="Times New Roman" w:hAnsi="Times New Roman"/>
        </w:rPr>
      </w:pPr>
    </w:p>
    <w:p w:rsidR="00444C66" w:rsidRDefault="00444C66">
      <w:pPr>
        <w:widowControl w:val="0"/>
        <w:tabs>
          <w:tab w:val="left" w:pos="567"/>
        </w:tabs>
        <w:spacing w:after="0" w:line="240" w:lineRule="auto"/>
        <w:jc w:val="center"/>
        <w:rPr>
          <w:rFonts w:ascii="Times New Roman" w:hAnsi="Times New Roman"/>
        </w:rPr>
      </w:pPr>
    </w:p>
    <w:p w:rsidR="00444C66" w:rsidRDefault="00444C66">
      <w:pPr>
        <w:widowControl w:val="0"/>
        <w:tabs>
          <w:tab w:val="left" w:pos="567"/>
        </w:tabs>
        <w:spacing w:after="0" w:line="240" w:lineRule="auto"/>
        <w:jc w:val="center"/>
        <w:rPr>
          <w:rFonts w:ascii="Times New Roman" w:hAnsi="Times New Roman"/>
        </w:rPr>
      </w:pPr>
    </w:p>
    <w:p w:rsidR="00444C66" w:rsidRDefault="00444C66">
      <w:pPr>
        <w:widowControl w:val="0"/>
        <w:tabs>
          <w:tab w:val="left" w:pos="567"/>
        </w:tabs>
        <w:spacing w:after="0" w:line="240" w:lineRule="auto"/>
        <w:jc w:val="center"/>
        <w:rPr>
          <w:rFonts w:ascii="Times New Roman" w:hAnsi="Times New Roman"/>
        </w:rPr>
      </w:pPr>
    </w:p>
    <w:p w:rsidR="00444C66" w:rsidRDefault="00444C66">
      <w:pPr>
        <w:widowControl w:val="0"/>
        <w:tabs>
          <w:tab w:val="left" w:pos="567"/>
        </w:tabs>
        <w:spacing w:after="0" w:line="240" w:lineRule="auto"/>
        <w:jc w:val="center"/>
        <w:rPr>
          <w:rFonts w:ascii="Times New Roman" w:hAnsi="Times New Roman"/>
        </w:rPr>
      </w:pPr>
    </w:p>
    <w:p w:rsidR="00444C66" w:rsidRDefault="00444C66">
      <w:pPr>
        <w:widowControl w:val="0"/>
        <w:tabs>
          <w:tab w:val="left" w:pos="567"/>
        </w:tabs>
        <w:spacing w:after="0" w:line="240" w:lineRule="auto"/>
        <w:jc w:val="center"/>
        <w:rPr>
          <w:rFonts w:ascii="Times New Roman" w:hAnsi="Times New Roman"/>
        </w:rPr>
      </w:pPr>
    </w:p>
    <w:p w:rsidR="00444C66" w:rsidRDefault="00444C66">
      <w:pPr>
        <w:widowControl w:val="0"/>
        <w:tabs>
          <w:tab w:val="left" w:pos="567"/>
        </w:tabs>
        <w:spacing w:after="0" w:line="240" w:lineRule="auto"/>
        <w:jc w:val="center"/>
        <w:rPr>
          <w:rFonts w:ascii="Times New Roman" w:hAnsi="Times New Roman"/>
        </w:rPr>
      </w:pPr>
    </w:p>
    <w:p w:rsidR="00444C66" w:rsidRDefault="00444C66">
      <w:pPr>
        <w:widowControl w:val="0"/>
        <w:tabs>
          <w:tab w:val="left" w:pos="567"/>
        </w:tabs>
        <w:spacing w:after="0" w:line="240" w:lineRule="auto"/>
        <w:jc w:val="center"/>
        <w:rPr>
          <w:rFonts w:ascii="Times New Roman" w:hAnsi="Times New Roman"/>
        </w:rPr>
      </w:pPr>
    </w:p>
    <w:p w:rsidR="00444C66" w:rsidRDefault="00444C66">
      <w:pPr>
        <w:widowControl w:val="0"/>
        <w:tabs>
          <w:tab w:val="left" w:pos="567"/>
        </w:tabs>
        <w:spacing w:after="0" w:line="240" w:lineRule="auto"/>
        <w:jc w:val="center"/>
        <w:rPr>
          <w:rFonts w:ascii="Times New Roman" w:hAnsi="Times New Roman"/>
        </w:rPr>
      </w:pPr>
    </w:p>
    <w:p w:rsidR="00444C66" w:rsidRDefault="00444C66">
      <w:pPr>
        <w:widowControl w:val="0"/>
        <w:tabs>
          <w:tab w:val="left" w:pos="567"/>
        </w:tabs>
        <w:spacing w:after="0" w:line="240" w:lineRule="auto"/>
        <w:jc w:val="center"/>
        <w:rPr>
          <w:rFonts w:ascii="Times New Roman" w:hAnsi="Times New Roman"/>
        </w:rPr>
      </w:pPr>
    </w:p>
    <w:p w:rsidR="00444C66" w:rsidRDefault="00444C66">
      <w:pPr>
        <w:widowControl w:val="0"/>
        <w:tabs>
          <w:tab w:val="left" w:pos="567"/>
        </w:tabs>
        <w:spacing w:after="0" w:line="240" w:lineRule="auto"/>
        <w:jc w:val="center"/>
        <w:rPr>
          <w:rFonts w:ascii="Times New Roman" w:hAnsi="Times New Roman"/>
        </w:rPr>
      </w:pPr>
    </w:p>
    <w:p w:rsidR="00444C66" w:rsidRDefault="00444C66">
      <w:pPr>
        <w:widowControl w:val="0"/>
        <w:tabs>
          <w:tab w:val="left" w:pos="567"/>
        </w:tabs>
        <w:spacing w:after="0" w:line="240" w:lineRule="auto"/>
        <w:jc w:val="center"/>
        <w:rPr>
          <w:rFonts w:ascii="Times New Roman" w:hAnsi="Times New Roman"/>
        </w:rPr>
      </w:pPr>
    </w:p>
    <w:p w:rsidR="00444C66" w:rsidRDefault="00444C66">
      <w:pPr>
        <w:widowControl w:val="0"/>
        <w:tabs>
          <w:tab w:val="left" w:pos="567"/>
        </w:tabs>
        <w:spacing w:after="0" w:line="240" w:lineRule="auto"/>
        <w:jc w:val="center"/>
        <w:rPr>
          <w:rFonts w:ascii="Times New Roman" w:hAnsi="Times New Roman"/>
        </w:rPr>
      </w:pPr>
    </w:p>
    <w:p w:rsidR="00444C66" w:rsidRDefault="00444C66">
      <w:pPr>
        <w:widowControl w:val="0"/>
        <w:tabs>
          <w:tab w:val="left" w:pos="567"/>
        </w:tabs>
        <w:spacing w:after="0" w:line="240" w:lineRule="auto"/>
        <w:jc w:val="center"/>
        <w:rPr>
          <w:rFonts w:ascii="Times New Roman" w:hAnsi="Times New Roman"/>
        </w:rPr>
      </w:pPr>
    </w:p>
    <w:p w:rsidR="00444C66" w:rsidRDefault="00444C66">
      <w:pPr>
        <w:widowControl w:val="0"/>
        <w:tabs>
          <w:tab w:val="left" w:pos="567"/>
        </w:tabs>
        <w:spacing w:after="0" w:line="240" w:lineRule="auto"/>
        <w:jc w:val="center"/>
        <w:rPr>
          <w:rFonts w:ascii="Times New Roman" w:hAnsi="Times New Roman"/>
        </w:rPr>
      </w:pPr>
    </w:p>
    <w:p w:rsidR="00444C66" w:rsidRDefault="00444C66">
      <w:pPr>
        <w:widowControl w:val="0"/>
        <w:tabs>
          <w:tab w:val="left" w:pos="567"/>
        </w:tabs>
        <w:spacing w:after="0" w:line="240" w:lineRule="auto"/>
        <w:jc w:val="center"/>
        <w:rPr>
          <w:rFonts w:ascii="Times New Roman" w:hAnsi="Times New Roman"/>
        </w:rPr>
      </w:pPr>
    </w:p>
    <w:p w:rsidR="00444C66" w:rsidRDefault="00444C66">
      <w:pPr>
        <w:widowControl w:val="0"/>
        <w:tabs>
          <w:tab w:val="left" w:pos="567"/>
        </w:tabs>
        <w:spacing w:after="0" w:line="240" w:lineRule="auto"/>
        <w:ind w:left="567" w:hanging="567"/>
        <w:jc w:val="center"/>
        <w:outlineLvl w:val="0"/>
        <w:rPr>
          <w:rFonts w:ascii="Times New Roman" w:hAnsi="Times New Roman"/>
          <w:b/>
          <w:caps/>
        </w:rPr>
      </w:pPr>
      <w:bookmarkStart w:id="1" w:name="_Toc129243096"/>
      <w:bookmarkStart w:id="2" w:name="_Toc129243221"/>
      <w:r>
        <w:rPr>
          <w:rFonts w:ascii="Times New Roman" w:hAnsi="Times New Roman"/>
          <w:b/>
          <w:caps/>
        </w:rPr>
        <w:t>I PRIEDAS</w:t>
      </w:r>
      <w:bookmarkEnd w:id="1"/>
      <w:bookmarkEnd w:id="2"/>
    </w:p>
    <w:p w:rsidR="00444C66" w:rsidRDefault="00444C66">
      <w:pPr>
        <w:widowControl w:val="0"/>
        <w:tabs>
          <w:tab w:val="left" w:pos="567"/>
        </w:tabs>
        <w:spacing w:after="0" w:line="240" w:lineRule="auto"/>
        <w:jc w:val="center"/>
        <w:rPr>
          <w:rFonts w:ascii="Times New Roman" w:hAnsi="Times New Roman"/>
        </w:rPr>
      </w:pPr>
    </w:p>
    <w:p w:rsidR="00444C66" w:rsidRDefault="00444C66">
      <w:pPr>
        <w:widowControl w:val="0"/>
        <w:spacing w:after="0" w:line="240" w:lineRule="auto"/>
        <w:ind w:left="567" w:hanging="567"/>
        <w:jc w:val="center"/>
        <w:rPr>
          <w:rFonts w:ascii="Times New Roman" w:hAnsi="Times New Roman"/>
        </w:rPr>
      </w:pPr>
      <w:r>
        <w:rPr>
          <w:rFonts w:ascii="Times New Roman" w:hAnsi="Times New Roman"/>
          <w:b/>
        </w:rPr>
        <w:t>PREPARATO CHARAKTERISTIKŲ SANTRAUKA</w:t>
      </w:r>
    </w:p>
    <w:p w:rsidR="00444C66" w:rsidRDefault="00444C66">
      <w:pPr>
        <w:widowControl w:val="0"/>
        <w:tabs>
          <w:tab w:val="left" w:pos="567"/>
        </w:tabs>
        <w:spacing w:after="0" w:line="240" w:lineRule="auto"/>
        <w:rPr>
          <w:rFonts w:ascii="Times New Roman" w:hAnsi="Times New Roman"/>
          <w:b/>
        </w:rPr>
      </w:pPr>
      <w:r>
        <w:rPr>
          <w:rFonts w:ascii="Times New Roman" w:hAnsi="Times New Roman"/>
        </w:rPr>
        <w:br w:type="page"/>
      </w:r>
      <w:r>
        <w:rPr>
          <w:rFonts w:ascii="Times New Roman" w:hAnsi="Times New Roman"/>
          <w:b/>
        </w:rPr>
        <w:lastRenderedPageBreak/>
        <w:t>1.</w:t>
      </w:r>
      <w:r>
        <w:rPr>
          <w:rFonts w:ascii="Times New Roman" w:hAnsi="Times New Roman"/>
          <w:b/>
        </w:rPr>
        <w:tab/>
      </w:r>
      <w:r>
        <w:rPr>
          <w:rFonts w:ascii="Times New Roman" w:hAnsi="Times New Roman"/>
          <w:b/>
          <w:caps/>
        </w:rPr>
        <w:t>VAISTINIO</w:t>
      </w:r>
      <w:r>
        <w:rPr>
          <w:rFonts w:ascii="Times New Roman" w:hAnsi="Times New Roman"/>
          <w:b/>
        </w:rPr>
        <w:t xml:space="preserve"> PREPARATO PAVADINIMAS</w:t>
      </w:r>
    </w:p>
    <w:p w:rsidR="00444C66" w:rsidRDefault="00444C66">
      <w:pPr>
        <w:widowControl w:val="0"/>
        <w:tabs>
          <w:tab w:val="left" w:pos="567"/>
        </w:tabs>
        <w:spacing w:after="0" w:line="240" w:lineRule="auto"/>
        <w:rPr>
          <w:rFonts w:ascii="Times New Roman" w:hAnsi="Times New Roman"/>
        </w:rPr>
      </w:pPr>
    </w:p>
    <w:p w:rsidR="00444C66" w:rsidRDefault="00444C66">
      <w:pPr>
        <w:widowControl w:val="0"/>
        <w:spacing w:after="0" w:line="240" w:lineRule="auto"/>
        <w:rPr>
          <w:rFonts w:ascii="Times New Roman" w:hAnsi="Times New Roman"/>
        </w:rPr>
      </w:pPr>
      <w:r>
        <w:rPr>
          <w:rFonts w:ascii="Times New Roman" w:hAnsi="Times New Roman"/>
        </w:rPr>
        <w:t>Olimestra 10 mg plėvele dengtos tabletės</w:t>
      </w:r>
    </w:p>
    <w:p w:rsidR="00444C66" w:rsidRDefault="00444C66">
      <w:pPr>
        <w:widowControl w:val="0"/>
        <w:spacing w:after="0" w:line="240" w:lineRule="auto"/>
        <w:rPr>
          <w:rFonts w:ascii="Times New Roman" w:hAnsi="Times New Roman"/>
          <w:highlight w:val="lightGray"/>
        </w:rPr>
      </w:pPr>
      <w:r>
        <w:rPr>
          <w:rFonts w:ascii="Times New Roman" w:hAnsi="Times New Roman"/>
          <w:highlight w:val="lightGray"/>
          <w:shd w:val="clear" w:color="auto" w:fill="E6E6E6"/>
        </w:rPr>
        <w:t>Olimestra 20 mg plėvele dengtos tabletės</w:t>
      </w:r>
    </w:p>
    <w:p w:rsidR="00444C66" w:rsidRDefault="00444C66">
      <w:pPr>
        <w:widowControl w:val="0"/>
        <w:spacing w:after="0" w:line="240" w:lineRule="auto"/>
        <w:rPr>
          <w:rFonts w:ascii="Times New Roman" w:hAnsi="Times New Roman"/>
        </w:rPr>
      </w:pPr>
      <w:r>
        <w:rPr>
          <w:rFonts w:ascii="Times New Roman" w:hAnsi="Times New Roman"/>
          <w:highlight w:val="darkGray"/>
          <w:shd w:val="clear" w:color="auto" w:fill="C0C0C0"/>
        </w:rPr>
        <w:t>Olimestra 40 mg plėvele dengtos tabletės</w:t>
      </w:r>
    </w:p>
    <w:p w:rsidR="00444C66" w:rsidRDefault="00444C66">
      <w:pPr>
        <w:widowControl w:val="0"/>
        <w:spacing w:after="0" w:line="240" w:lineRule="auto"/>
        <w:rPr>
          <w:rFonts w:ascii="Times New Roman" w:hAnsi="Times New Roman"/>
        </w:rPr>
      </w:pPr>
    </w:p>
    <w:p w:rsidR="00444C66" w:rsidRDefault="00444C66">
      <w:pPr>
        <w:widowControl w:val="0"/>
        <w:tabs>
          <w:tab w:val="left" w:pos="567"/>
        </w:tabs>
        <w:spacing w:after="0" w:line="240" w:lineRule="auto"/>
        <w:rPr>
          <w:rFonts w:ascii="Times New Roman" w:hAnsi="Times New Roman"/>
          <w:b/>
        </w:rPr>
      </w:pPr>
    </w:p>
    <w:p w:rsidR="00444C66" w:rsidRDefault="00444C66">
      <w:pPr>
        <w:widowControl w:val="0"/>
        <w:tabs>
          <w:tab w:val="left" w:pos="567"/>
        </w:tabs>
        <w:spacing w:after="0" w:line="240" w:lineRule="auto"/>
        <w:rPr>
          <w:rFonts w:ascii="Times New Roman" w:hAnsi="Times New Roman"/>
        </w:rPr>
      </w:pPr>
      <w:r>
        <w:rPr>
          <w:rFonts w:ascii="Times New Roman" w:hAnsi="Times New Roman"/>
          <w:b/>
        </w:rPr>
        <w:t>2.</w:t>
      </w:r>
      <w:r>
        <w:rPr>
          <w:rFonts w:ascii="Times New Roman" w:hAnsi="Times New Roman"/>
          <w:b/>
        </w:rPr>
        <w:tab/>
      </w:r>
      <w:r>
        <w:rPr>
          <w:rFonts w:ascii="Times New Roman" w:hAnsi="Times New Roman"/>
          <w:b/>
          <w:caps/>
        </w:rPr>
        <w:t>kokybinė ir kiekybinė sudėtis</w:t>
      </w:r>
    </w:p>
    <w:p w:rsidR="00444C66" w:rsidRDefault="00444C66">
      <w:pPr>
        <w:widowControl w:val="0"/>
        <w:tabs>
          <w:tab w:val="left" w:pos="567"/>
        </w:tabs>
        <w:spacing w:after="0" w:line="240" w:lineRule="auto"/>
        <w:rPr>
          <w:rFonts w:ascii="Times New Roman" w:hAnsi="Times New Roman"/>
        </w:rPr>
      </w:pPr>
    </w:p>
    <w:p w:rsidR="00444C66" w:rsidRDefault="00444C66">
      <w:pPr>
        <w:widowControl w:val="0"/>
        <w:spacing w:after="0" w:line="240" w:lineRule="auto"/>
        <w:rPr>
          <w:rFonts w:ascii="Times New Roman" w:hAnsi="Times New Roman"/>
          <w:u w:val="single"/>
        </w:rPr>
      </w:pPr>
      <w:r>
        <w:rPr>
          <w:rFonts w:ascii="Times New Roman" w:hAnsi="Times New Roman"/>
          <w:u w:val="single"/>
        </w:rPr>
        <w:t>Olimestra 10 mg plėvele dengtos tabletės</w:t>
      </w:r>
    </w:p>
    <w:p w:rsidR="00444C66" w:rsidRDefault="00444C66">
      <w:pPr>
        <w:widowControl w:val="0"/>
        <w:tabs>
          <w:tab w:val="left" w:pos="567"/>
        </w:tabs>
        <w:spacing w:after="0" w:line="240" w:lineRule="auto"/>
        <w:rPr>
          <w:rFonts w:ascii="Times New Roman" w:hAnsi="Times New Roman"/>
        </w:rPr>
      </w:pPr>
      <w:r>
        <w:rPr>
          <w:rFonts w:ascii="Times New Roman" w:hAnsi="Times New Roman"/>
        </w:rPr>
        <w:t xml:space="preserve">Kiekvienoje plėvele dengtoje tabletėje yra 10 mg </w:t>
      </w:r>
      <w:bookmarkStart w:id="3" w:name="_Hlk192237420"/>
      <w:r>
        <w:rPr>
          <w:rFonts w:ascii="Times New Roman" w:hAnsi="Times New Roman"/>
        </w:rPr>
        <w:t>olmesartano medoksomilio</w:t>
      </w:r>
      <w:bookmarkEnd w:id="3"/>
      <w:r>
        <w:rPr>
          <w:rFonts w:ascii="Times New Roman" w:hAnsi="Times New Roman"/>
        </w:rPr>
        <w:t>.</w:t>
      </w:r>
    </w:p>
    <w:p w:rsidR="00444C66" w:rsidRDefault="00444C66">
      <w:pPr>
        <w:widowControl w:val="0"/>
        <w:spacing w:after="0" w:line="240" w:lineRule="auto"/>
        <w:rPr>
          <w:rFonts w:ascii="Times New Roman" w:hAnsi="Times New Roman"/>
          <w:highlight w:val="lightGray"/>
        </w:rPr>
      </w:pPr>
    </w:p>
    <w:p w:rsidR="00444C66" w:rsidRDefault="00444C66">
      <w:pPr>
        <w:widowControl w:val="0"/>
        <w:spacing w:after="0" w:line="240" w:lineRule="auto"/>
        <w:rPr>
          <w:rFonts w:ascii="Times New Roman" w:hAnsi="Times New Roman"/>
          <w:highlight w:val="lightGray"/>
          <w:u w:val="single"/>
        </w:rPr>
      </w:pPr>
      <w:r>
        <w:rPr>
          <w:rFonts w:ascii="Times New Roman" w:hAnsi="Times New Roman"/>
          <w:highlight w:val="lightGray"/>
          <w:u w:val="single"/>
          <w:shd w:val="clear" w:color="auto" w:fill="E6E6E6"/>
        </w:rPr>
        <w:t>Olimestra 20 mg plėvele dengtos tabletės</w:t>
      </w:r>
    </w:p>
    <w:p w:rsidR="00444C66" w:rsidRDefault="00444C66">
      <w:pPr>
        <w:widowControl w:val="0"/>
        <w:tabs>
          <w:tab w:val="left" w:pos="567"/>
        </w:tabs>
        <w:spacing w:after="0" w:line="240" w:lineRule="auto"/>
        <w:rPr>
          <w:rFonts w:ascii="Times New Roman" w:hAnsi="Times New Roman"/>
        </w:rPr>
      </w:pPr>
      <w:r>
        <w:rPr>
          <w:rFonts w:ascii="Times New Roman" w:hAnsi="Times New Roman"/>
          <w:highlight w:val="lightGray"/>
          <w:shd w:val="clear" w:color="auto" w:fill="E6E6E6"/>
        </w:rPr>
        <w:t>Kiekvienoje plėvele dengtoje tabletėje yra 20 mg olmesartano medoksomilio.</w:t>
      </w:r>
    </w:p>
    <w:p w:rsidR="00444C66" w:rsidRDefault="00444C66">
      <w:pPr>
        <w:widowControl w:val="0"/>
        <w:spacing w:after="0" w:line="240" w:lineRule="auto"/>
        <w:rPr>
          <w:rFonts w:ascii="Times New Roman" w:hAnsi="Times New Roman"/>
          <w:highlight w:val="lightGray"/>
        </w:rPr>
      </w:pPr>
    </w:p>
    <w:p w:rsidR="00444C66" w:rsidRDefault="00444C66">
      <w:pPr>
        <w:widowControl w:val="0"/>
        <w:spacing w:after="0" w:line="240" w:lineRule="auto"/>
        <w:rPr>
          <w:rFonts w:ascii="Times New Roman" w:hAnsi="Times New Roman"/>
          <w:highlight w:val="darkGray"/>
          <w:u w:val="single"/>
        </w:rPr>
      </w:pPr>
      <w:r>
        <w:rPr>
          <w:rFonts w:ascii="Times New Roman" w:hAnsi="Times New Roman"/>
          <w:highlight w:val="darkGray"/>
          <w:u w:val="single"/>
          <w:shd w:val="clear" w:color="auto" w:fill="C0C0C0"/>
        </w:rPr>
        <w:t>Olimestra 40 mg plėvele dengtos tabletės</w:t>
      </w:r>
    </w:p>
    <w:p w:rsidR="00444C66" w:rsidRDefault="00444C66">
      <w:pPr>
        <w:widowControl w:val="0"/>
        <w:tabs>
          <w:tab w:val="left" w:pos="567"/>
        </w:tabs>
        <w:spacing w:after="0" w:line="240" w:lineRule="auto"/>
        <w:rPr>
          <w:rFonts w:ascii="Times New Roman" w:hAnsi="Times New Roman"/>
        </w:rPr>
      </w:pPr>
      <w:r>
        <w:rPr>
          <w:rFonts w:ascii="Times New Roman" w:hAnsi="Times New Roman"/>
          <w:highlight w:val="darkGray"/>
          <w:shd w:val="clear" w:color="auto" w:fill="C0C0C0"/>
        </w:rPr>
        <w:t>Kiekvienoje plėvele dengtoje tabletėje yra 40 mg olmesartano medoksomilio.</w:t>
      </w:r>
    </w:p>
    <w:p w:rsidR="00444C66" w:rsidRDefault="00444C66">
      <w:pPr>
        <w:widowControl w:val="0"/>
        <w:autoSpaceDE w:val="0"/>
        <w:autoSpaceDN w:val="0"/>
        <w:adjustRightInd w:val="0"/>
        <w:spacing w:after="0" w:line="240" w:lineRule="auto"/>
        <w:jc w:val="both"/>
        <w:rPr>
          <w:rFonts w:ascii="Times New Roman" w:hAnsi="Times New Roman"/>
        </w:rPr>
      </w:pPr>
    </w:p>
    <w:p w:rsidR="00444C66" w:rsidRDefault="00444C66">
      <w:pPr>
        <w:widowControl w:val="0"/>
        <w:tabs>
          <w:tab w:val="left" w:pos="567"/>
        </w:tabs>
        <w:spacing w:after="0" w:line="240" w:lineRule="auto"/>
        <w:rPr>
          <w:rFonts w:ascii="Times New Roman" w:hAnsi="Times New Roman"/>
          <w:u w:val="single"/>
        </w:rPr>
      </w:pPr>
      <w:r>
        <w:rPr>
          <w:rFonts w:ascii="Times New Roman" w:hAnsi="Times New Roman"/>
          <w:u w:val="single"/>
        </w:rPr>
        <w:t>Pagalbinė medžiaga, kurios poveikis žinomas:</w:t>
      </w:r>
    </w:p>
    <w:p w:rsidR="00444C66" w:rsidRDefault="00444C66">
      <w:pPr>
        <w:widowControl w:val="0"/>
        <w:tabs>
          <w:tab w:val="left" w:pos="567"/>
        </w:tabs>
        <w:spacing w:after="0" w:line="240" w:lineRule="auto"/>
        <w:rPr>
          <w:rFonts w:ascii="Times New Roman" w:hAnsi="Times New Roman"/>
        </w:rPr>
      </w:pPr>
      <w:r>
        <w:rPr>
          <w:rFonts w:ascii="Times New Roman" w:hAnsi="Times New Roman"/>
        </w:rPr>
        <w:t>10 mg:</w:t>
      </w:r>
    </w:p>
    <w:p w:rsidR="00444C66" w:rsidRDefault="00444C66">
      <w:pPr>
        <w:widowControl w:val="0"/>
        <w:tabs>
          <w:tab w:val="left" w:pos="567"/>
        </w:tabs>
        <w:spacing w:after="0" w:line="240" w:lineRule="auto"/>
        <w:rPr>
          <w:rFonts w:ascii="Times New Roman" w:hAnsi="Times New Roman"/>
        </w:rPr>
      </w:pPr>
      <w:r>
        <w:rPr>
          <w:rFonts w:ascii="Times New Roman" w:hAnsi="Times New Roman"/>
        </w:rPr>
        <w:t>Vienoje tabletėje yra 54,63 mg laktozės.</w:t>
      </w:r>
    </w:p>
    <w:p w:rsidR="00444C66" w:rsidRDefault="00444C66">
      <w:pPr>
        <w:widowControl w:val="0"/>
        <w:tabs>
          <w:tab w:val="left" w:pos="567"/>
        </w:tabs>
        <w:spacing w:after="0" w:line="240" w:lineRule="auto"/>
        <w:rPr>
          <w:rFonts w:ascii="Times New Roman" w:hAnsi="Times New Roman"/>
        </w:rPr>
      </w:pPr>
    </w:p>
    <w:p w:rsidR="00444C66" w:rsidRDefault="00444C66">
      <w:pPr>
        <w:widowControl w:val="0"/>
        <w:tabs>
          <w:tab w:val="left" w:pos="567"/>
        </w:tabs>
        <w:spacing w:after="0" w:line="240" w:lineRule="auto"/>
        <w:rPr>
          <w:rFonts w:ascii="Times New Roman" w:hAnsi="Times New Roman"/>
          <w:highlight w:val="lightGray"/>
        </w:rPr>
      </w:pPr>
      <w:r>
        <w:rPr>
          <w:rFonts w:ascii="Times New Roman" w:hAnsi="Times New Roman"/>
          <w:highlight w:val="lightGray"/>
          <w:shd w:val="clear" w:color="auto" w:fill="E6E6E6"/>
        </w:rPr>
        <w:t>20 mg:</w:t>
      </w:r>
    </w:p>
    <w:p w:rsidR="00444C66" w:rsidRDefault="00444C66">
      <w:pPr>
        <w:widowControl w:val="0"/>
        <w:tabs>
          <w:tab w:val="left" w:pos="567"/>
        </w:tabs>
        <w:spacing w:after="0" w:line="240" w:lineRule="auto"/>
        <w:rPr>
          <w:rFonts w:ascii="Times New Roman" w:hAnsi="Times New Roman"/>
        </w:rPr>
      </w:pPr>
      <w:r>
        <w:rPr>
          <w:rFonts w:ascii="Times New Roman" w:hAnsi="Times New Roman"/>
          <w:highlight w:val="lightGray"/>
          <w:shd w:val="clear" w:color="auto" w:fill="E6E6E6"/>
        </w:rPr>
        <w:t xml:space="preserve">Vienoje tabletėje yra </w:t>
      </w:r>
      <w:r>
        <w:rPr>
          <w:rFonts w:ascii="Times New Roman" w:hAnsi="Times New Roman"/>
          <w:highlight w:val="lightGray"/>
        </w:rPr>
        <w:t>109,25</w:t>
      </w:r>
      <w:r>
        <w:rPr>
          <w:rFonts w:ascii="Times New Roman" w:hAnsi="Times New Roman"/>
          <w:highlight w:val="lightGray"/>
          <w:shd w:val="clear" w:color="auto" w:fill="E6E6E6"/>
        </w:rPr>
        <w:t> mg laktozės.</w:t>
      </w:r>
    </w:p>
    <w:p w:rsidR="00444C66" w:rsidRDefault="00444C66">
      <w:pPr>
        <w:widowControl w:val="0"/>
        <w:tabs>
          <w:tab w:val="left" w:pos="567"/>
        </w:tabs>
        <w:spacing w:after="0" w:line="240" w:lineRule="auto"/>
        <w:rPr>
          <w:rFonts w:ascii="Times New Roman" w:hAnsi="Times New Roman"/>
        </w:rPr>
      </w:pPr>
    </w:p>
    <w:p w:rsidR="00444C66" w:rsidRDefault="00444C66">
      <w:pPr>
        <w:widowControl w:val="0"/>
        <w:tabs>
          <w:tab w:val="left" w:pos="567"/>
        </w:tabs>
        <w:spacing w:after="0" w:line="240" w:lineRule="auto"/>
        <w:rPr>
          <w:rFonts w:ascii="Times New Roman" w:hAnsi="Times New Roman"/>
          <w:highlight w:val="darkGray"/>
        </w:rPr>
      </w:pPr>
      <w:r>
        <w:rPr>
          <w:rFonts w:ascii="Times New Roman" w:hAnsi="Times New Roman"/>
          <w:highlight w:val="darkGray"/>
          <w:shd w:val="clear" w:color="auto" w:fill="C0C0C0"/>
        </w:rPr>
        <w:t>40 mg:</w:t>
      </w:r>
    </w:p>
    <w:p w:rsidR="00444C66" w:rsidRDefault="00444C66">
      <w:pPr>
        <w:widowControl w:val="0"/>
        <w:tabs>
          <w:tab w:val="left" w:pos="567"/>
        </w:tabs>
        <w:spacing w:after="0" w:line="240" w:lineRule="auto"/>
        <w:rPr>
          <w:rFonts w:ascii="Times New Roman" w:hAnsi="Times New Roman"/>
        </w:rPr>
      </w:pPr>
      <w:r>
        <w:rPr>
          <w:rFonts w:ascii="Times New Roman" w:hAnsi="Times New Roman"/>
          <w:highlight w:val="darkGray"/>
          <w:shd w:val="clear" w:color="auto" w:fill="C0C0C0"/>
        </w:rPr>
        <w:t xml:space="preserve">Vienoje tabletėje yra </w:t>
      </w:r>
      <w:r>
        <w:rPr>
          <w:rFonts w:ascii="Times New Roman" w:hAnsi="Times New Roman"/>
          <w:highlight w:val="darkGray"/>
        </w:rPr>
        <w:t>218,5</w:t>
      </w:r>
      <w:r>
        <w:rPr>
          <w:rFonts w:ascii="Times New Roman" w:hAnsi="Times New Roman"/>
          <w:highlight w:val="darkGray"/>
          <w:shd w:val="clear" w:color="auto" w:fill="C0C0C0"/>
        </w:rPr>
        <w:t> mg laktozės.</w:t>
      </w:r>
    </w:p>
    <w:p w:rsidR="00444C66" w:rsidRDefault="00444C66">
      <w:pPr>
        <w:widowControl w:val="0"/>
        <w:tabs>
          <w:tab w:val="left" w:pos="567"/>
        </w:tabs>
        <w:spacing w:after="0" w:line="240" w:lineRule="auto"/>
        <w:rPr>
          <w:rFonts w:ascii="Times New Roman" w:hAnsi="Times New Roman"/>
        </w:rPr>
      </w:pPr>
    </w:p>
    <w:p w:rsidR="00444C66" w:rsidRDefault="00444C66">
      <w:pPr>
        <w:widowControl w:val="0"/>
        <w:tabs>
          <w:tab w:val="left" w:pos="567"/>
        </w:tabs>
        <w:spacing w:after="0" w:line="240" w:lineRule="auto"/>
        <w:rPr>
          <w:rFonts w:ascii="Times New Roman" w:hAnsi="Times New Roman"/>
        </w:rPr>
      </w:pPr>
      <w:r>
        <w:rPr>
          <w:rFonts w:ascii="Times New Roman" w:hAnsi="Times New Roman"/>
        </w:rPr>
        <w:t>Visos pagalbinės medžiagos išvardytos 6.1 skyriuje.</w:t>
      </w:r>
    </w:p>
    <w:p w:rsidR="00444C66" w:rsidRDefault="00444C66">
      <w:pPr>
        <w:widowControl w:val="0"/>
        <w:tabs>
          <w:tab w:val="left" w:pos="567"/>
        </w:tabs>
        <w:spacing w:after="0" w:line="240" w:lineRule="auto"/>
        <w:rPr>
          <w:rFonts w:ascii="Times New Roman" w:hAnsi="Times New Roman"/>
        </w:rPr>
      </w:pPr>
    </w:p>
    <w:p w:rsidR="00444C66" w:rsidRDefault="00444C66">
      <w:pPr>
        <w:widowControl w:val="0"/>
        <w:tabs>
          <w:tab w:val="left" w:pos="567"/>
        </w:tabs>
        <w:spacing w:after="0" w:line="240" w:lineRule="auto"/>
        <w:rPr>
          <w:rFonts w:ascii="Times New Roman" w:hAnsi="Times New Roman"/>
        </w:rPr>
      </w:pPr>
    </w:p>
    <w:p w:rsidR="00444C66" w:rsidRDefault="00444C66">
      <w:pPr>
        <w:widowControl w:val="0"/>
        <w:tabs>
          <w:tab w:val="left" w:pos="567"/>
        </w:tabs>
        <w:spacing w:after="0" w:line="240" w:lineRule="auto"/>
        <w:ind w:left="567" w:hanging="567"/>
        <w:rPr>
          <w:rFonts w:ascii="Times New Roman" w:hAnsi="Times New Roman"/>
          <w:b/>
          <w:caps/>
        </w:rPr>
      </w:pPr>
      <w:r>
        <w:rPr>
          <w:rFonts w:ascii="Times New Roman" w:hAnsi="Times New Roman"/>
          <w:b/>
        </w:rPr>
        <w:t>3.</w:t>
      </w:r>
      <w:r>
        <w:rPr>
          <w:rFonts w:ascii="Times New Roman" w:hAnsi="Times New Roman"/>
          <w:b/>
        </w:rPr>
        <w:tab/>
        <w:t xml:space="preserve">FARMACINĖ </w:t>
      </w:r>
      <w:r>
        <w:rPr>
          <w:rFonts w:ascii="Times New Roman" w:hAnsi="Times New Roman"/>
          <w:b/>
          <w:caps/>
        </w:rPr>
        <w:t>formA</w:t>
      </w:r>
    </w:p>
    <w:p w:rsidR="00444C66" w:rsidRDefault="00444C66">
      <w:pPr>
        <w:widowControl w:val="0"/>
        <w:tabs>
          <w:tab w:val="left" w:pos="567"/>
        </w:tabs>
        <w:spacing w:after="0" w:line="240" w:lineRule="auto"/>
        <w:rPr>
          <w:rFonts w:ascii="Times New Roman" w:hAnsi="Times New Roman"/>
        </w:rPr>
      </w:pPr>
    </w:p>
    <w:p w:rsidR="00444C66" w:rsidRDefault="00444C66">
      <w:pPr>
        <w:widowControl w:val="0"/>
        <w:tabs>
          <w:tab w:val="left" w:pos="567"/>
        </w:tabs>
        <w:spacing w:after="0" w:line="240" w:lineRule="auto"/>
        <w:rPr>
          <w:rFonts w:ascii="Times New Roman" w:hAnsi="Times New Roman"/>
        </w:rPr>
      </w:pPr>
      <w:r>
        <w:rPr>
          <w:rFonts w:ascii="Times New Roman" w:hAnsi="Times New Roman"/>
        </w:rPr>
        <w:t>Plėvele dengta tabletė.</w:t>
      </w:r>
    </w:p>
    <w:p w:rsidR="00444C66" w:rsidRDefault="00444C66">
      <w:pPr>
        <w:widowControl w:val="0"/>
        <w:tabs>
          <w:tab w:val="left" w:pos="567"/>
        </w:tabs>
        <w:spacing w:after="0" w:line="240" w:lineRule="auto"/>
        <w:rPr>
          <w:rFonts w:ascii="Times New Roman" w:hAnsi="Times New Roman"/>
        </w:rPr>
      </w:pPr>
    </w:p>
    <w:p w:rsidR="00444C66" w:rsidRDefault="00444C66">
      <w:pPr>
        <w:widowControl w:val="0"/>
        <w:spacing w:after="0" w:line="240" w:lineRule="auto"/>
        <w:rPr>
          <w:rFonts w:ascii="Times New Roman" w:hAnsi="Times New Roman"/>
        </w:rPr>
      </w:pPr>
      <w:r>
        <w:rPr>
          <w:rFonts w:ascii="Times New Roman" w:hAnsi="Times New Roman"/>
        </w:rPr>
        <w:t>10 mg tabletės yra baltos, apvalios, šiek tiek abipus išgaubtos, dengtos plėvele. Vienoje tabletės pusėje yra įspaustas užrašas „S1“, tabletės skersmuo 6,5 mm.</w:t>
      </w:r>
    </w:p>
    <w:p w:rsidR="00444C66" w:rsidRDefault="00444C66">
      <w:pPr>
        <w:widowControl w:val="0"/>
        <w:spacing w:after="0" w:line="240" w:lineRule="auto"/>
        <w:rPr>
          <w:rFonts w:ascii="Times New Roman" w:hAnsi="Times New Roman"/>
          <w:highlight w:val="lightGray"/>
        </w:rPr>
      </w:pPr>
      <w:r>
        <w:rPr>
          <w:rFonts w:ascii="Times New Roman" w:hAnsi="Times New Roman"/>
          <w:highlight w:val="lightGray"/>
          <w:shd w:val="clear" w:color="auto" w:fill="E6E6E6"/>
        </w:rPr>
        <w:t>20 mg tabletės yra baltos, apvalios, šiek tiek abipus išgaubtos, dengtos plėvele. Vienoje tabletės pusėje yra įspaustas užrašas „S2“, tabletės skersmuo 8 mm.</w:t>
      </w:r>
    </w:p>
    <w:p w:rsidR="00444C66" w:rsidRDefault="00444C66">
      <w:pPr>
        <w:widowControl w:val="0"/>
        <w:spacing w:after="0" w:line="240" w:lineRule="auto"/>
        <w:rPr>
          <w:rFonts w:ascii="Times New Roman" w:hAnsi="Times New Roman"/>
        </w:rPr>
      </w:pPr>
      <w:r>
        <w:rPr>
          <w:rFonts w:ascii="Times New Roman" w:hAnsi="Times New Roman"/>
          <w:highlight w:val="darkGray"/>
          <w:shd w:val="clear" w:color="auto" w:fill="C0C0C0"/>
        </w:rPr>
        <w:t>40 mg tabletės yra baltos, ovalios, abipus išgaubtos, dengtos plėvele. Vienoje tabletės pusėje yra įspaustas užrašas „S3“, tabletės dydis 13x8 mm.</w:t>
      </w:r>
    </w:p>
    <w:p w:rsidR="00444C66" w:rsidRDefault="00444C66">
      <w:pPr>
        <w:widowControl w:val="0"/>
        <w:tabs>
          <w:tab w:val="left" w:pos="567"/>
        </w:tabs>
        <w:spacing w:after="0" w:line="240" w:lineRule="auto"/>
        <w:rPr>
          <w:rFonts w:ascii="Times New Roman" w:hAnsi="Times New Roman"/>
        </w:rPr>
      </w:pPr>
    </w:p>
    <w:p w:rsidR="00444C66" w:rsidRDefault="00444C66">
      <w:pPr>
        <w:widowControl w:val="0"/>
        <w:tabs>
          <w:tab w:val="left" w:pos="567"/>
        </w:tabs>
        <w:spacing w:after="0" w:line="240" w:lineRule="auto"/>
        <w:rPr>
          <w:rFonts w:ascii="Times New Roman" w:hAnsi="Times New Roman"/>
        </w:rPr>
      </w:pPr>
    </w:p>
    <w:p w:rsidR="00444C66" w:rsidRDefault="00444C66">
      <w:pPr>
        <w:widowControl w:val="0"/>
        <w:spacing w:after="0" w:line="240" w:lineRule="auto"/>
        <w:ind w:left="567" w:hanging="567"/>
        <w:rPr>
          <w:rFonts w:ascii="Times New Roman" w:hAnsi="Times New Roman"/>
          <w:b/>
          <w:caps/>
        </w:rPr>
      </w:pPr>
      <w:r>
        <w:rPr>
          <w:rFonts w:ascii="Times New Roman" w:hAnsi="Times New Roman"/>
          <w:b/>
          <w:caps/>
        </w:rPr>
        <w:t>4.</w:t>
      </w:r>
      <w:r>
        <w:rPr>
          <w:rFonts w:ascii="Times New Roman" w:hAnsi="Times New Roman"/>
          <w:b/>
          <w:caps/>
        </w:rPr>
        <w:tab/>
        <w:t>klinikinĖ informacija</w:t>
      </w:r>
    </w:p>
    <w:p w:rsidR="00444C66" w:rsidRDefault="00444C66">
      <w:pPr>
        <w:widowControl w:val="0"/>
        <w:spacing w:after="0" w:line="240" w:lineRule="auto"/>
        <w:ind w:left="567" w:hanging="567"/>
        <w:rPr>
          <w:rFonts w:ascii="Times New Roman" w:hAnsi="Times New Roman"/>
        </w:rPr>
      </w:pPr>
    </w:p>
    <w:p w:rsidR="00444C66" w:rsidRDefault="00444C66">
      <w:pPr>
        <w:widowControl w:val="0"/>
        <w:spacing w:after="0" w:line="240" w:lineRule="auto"/>
        <w:ind w:left="567" w:hanging="567"/>
        <w:rPr>
          <w:rFonts w:ascii="Times New Roman" w:hAnsi="Times New Roman"/>
          <w:b/>
        </w:rPr>
      </w:pPr>
      <w:r>
        <w:rPr>
          <w:rFonts w:ascii="Times New Roman" w:hAnsi="Times New Roman"/>
          <w:b/>
        </w:rPr>
        <w:t>4.1</w:t>
      </w:r>
      <w:r>
        <w:rPr>
          <w:rFonts w:ascii="Times New Roman" w:hAnsi="Times New Roman"/>
          <w:b/>
        </w:rPr>
        <w:tab/>
        <w:t>Terapinės indikacijos</w:t>
      </w:r>
    </w:p>
    <w:p w:rsidR="00444C66" w:rsidRDefault="00444C66">
      <w:pPr>
        <w:widowControl w:val="0"/>
        <w:tabs>
          <w:tab w:val="left" w:pos="567"/>
        </w:tabs>
        <w:spacing w:after="0" w:line="240" w:lineRule="auto"/>
        <w:rPr>
          <w:rFonts w:ascii="Times New Roman" w:hAnsi="Times New Roman"/>
        </w:rPr>
      </w:pPr>
    </w:p>
    <w:p w:rsidR="00444C66" w:rsidRDefault="00444C66">
      <w:pPr>
        <w:widowControl w:val="0"/>
        <w:tabs>
          <w:tab w:val="left" w:pos="567"/>
        </w:tabs>
        <w:spacing w:after="0" w:line="240" w:lineRule="auto"/>
        <w:rPr>
          <w:rFonts w:ascii="Times New Roman" w:hAnsi="Times New Roman"/>
        </w:rPr>
      </w:pPr>
      <w:r>
        <w:rPr>
          <w:rFonts w:ascii="Times New Roman" w:hAnsi="Times New Roman"/>
        </w:rPr>
        <w:t>Pirminės arterinės hipertenzijos gydymas suaugusiems.</w:t>
      </w:r>
    </w:p>
    <w:p w:rsidR="00444C66" w:rsidRDefault="00444C66">
      <w:pPr>
        <w:widowControl w:val="0"/>
        <w:tabs>
          <w:tab w:val="left" w:pos="567"/>
        </w:tabs>
        <w:spacing w:after="0" w:line="240" w:lineRule="auto"/>
        <w:rPr>
          <w:rFonts w:ascii="Times New Roman" w:hAnsi="Times New Roman"/>
        </w:rPr>
      </w:pPr>
    </w:p>
    <w:p w:rsidR="00444C66" w:rsidRDefault="00444C66">
      <w:pPr>
        <w:widowControl w:val="0"/>
        <w:tabs>
          <w:tab w:val="left" w:pos="567"/>
        </w:tabs>
        <w:spacing w:after="0" w:line="240" w:lineRule="auto"/>
        <w:rPr>
          <w:rFonts w:ascii="Times New Roman" w:hAnsi="Times New Roman"/>
        </w:rPr>
      </w:pPr>
      <w:r>
        <w:rPr>
          <w:rFonts w:ascii="Times New Roman" w:hAnsi="Times New Roman"/>
        </w:rPr>
        <w:t>Arterinės hipertenzijos gydymas vaikams nuo 6 metų ir jaunesniems kaip 18 metų paaugliams.</w:t>
      </w:r>
    </w:p>
    <w:p w:rsidR="00444C66" w:rsidRDefault="00444C66">
      <w:pPr>
        <w:widowControl w:val="0"/>
        <w:tabs>
          <w:tab w:val="left" w:pos="567"/>
        </w:tabs>
        <w:spacing w:after="0" w:line="240" w:lineRule="auto"/>
        <w:rPr>
          <w:rFonts w:ascii="Times New Roman" w:hAnsi="Times New Roman"/>
        </w:rPr>
      </w:pPr>
    </w:p>
    <w:p w:rsidR="00444C66" w:rsidRDefault="00444C66">
      <w:pPr>
        <w:widowControl w:val="0"/>
        <w:tabs>
          <w:tab w:val="left" w:pos="567"/>
        </w:tabs>
        <w:spacing w:after="0" w:line="240" w:lineRule="auto"/>
        <w:ind w:left="567" w:hanging="567"/>
        <w:rPr>
          <w:rFonts w:ascii="Times New Roman" w:hAnsi="Times New Roman"/>
          <w:b/>
        </w:rPr>
      </w:pPr>
      <w:r>
        <w:rPr>
          <w:rFonts w:ascii="Times New Roman" w:hAnsi="Times New Roman"/>
          <w:b/>
        </w:rPr>
        <w:t>4.2</w:t>
      </w:r>
      <w:r>
        <w:rPr>
          <w:rFonts w:ascii="Times New Roman" w:hAnsi="Times New Roman"/>
          <w:b/>
        </w:rPr>
        <w:tab/>
        <w:t>Dozavimas ir vartojimo metodas</w:t>
      </w:r>
    </w:p>
    <w:p w:rsidR="00444C66" w:rsidRDefault="00444C66">
      <w:pPr>
        <w:widowControl w:val="0"/>
        <w:tabs>
          <w:tab w:val="left" w:pos="567"/>
        </w:tabs>
        <w:spacing w:after="0" w:line="240" w:lineRule="auto"/>
        <w:ind w:left="567" w:hanging="567"/>
        <w:rPr>
          <w:rFonts w:ascii="Times New Roman" w:hAnsi="Times New Roman"/>
        </w:rPr>
      </w:pPr>
    </w:p>
    <w:p w:rsidR="00444C66" w:rsidRDefault="00444C66">
      <w:pPr>
        <w:widowControl w:val="0"/>
        <w:tabs>
          <w:tab w:val="left" w:pos="567"/>
        </w:tabs>
        <w:spacing w:after="0" w:line="240" w:lineRule="auto"/>
        <w:ind w:left="567" w:hanging="567"/>
        <w:rPr>
          <w:rFonts w:ascii="Times New Roman" w:hAnsi="Times New Roman"/>
          <w:u w:val="single"/>
        </w:rPr>
      </w:pPr>
      <w:r>
        <w:rPr>
          <w:rFonts w:ascii="Times New Roman" w:hAnsi="Times New Roman"/>
          <w:u w:val="single"/>
        </w:rPr>
        <w:t>Dozavimas</w:t>
      </w:r>
    </w:p>
    <w:p w:rsidR="00444C66" w:rsidRDefault="00444C66">
      <w:pPr>
        <w:widowControl w:val="0"/>
        <w:tabs>
          <w:tab w:val="left" w:pos="567"/>
        </w:tabs>
        <w:spacing w:after="0" w:line="240" w:lineRule="auto"/>
        <w:ind w:left="567" w:hanging="567"/>
        <w:rPr>
          <w:rFonts w:ascii="Times New Roman" w:hAnsi="Times New Roman"/>
        </w:rPr>
      </w:pPr>
    </w:p>
    <w:p w:rsidR="00444C66" w:rsidRDefault="00444C66">
      <w:pPr>
        <w:widowControl w:val="0"/>
        <w:spacing w:after="0" w:line="240" w:lineRule="auto"/>
        <w:rPr>
          <w:rFonts w:ascii="Times New Roman" w:hAnsi="Times New Roman"/>
        </w:rPr>
      </w:pPr>
      <w:r>
        <w:rPr>
          <w:rFonts w:ascii="Times New Roman" w:hAnsi="Times New Roman"/>
          <w:i/>
        </w:rPr>
        <w:t>Suaugusieji</w:t>
      </w:r>
    </w:p>
    <w:p w:rsidR="00444C66" w:rsidRDefault="00444C66">
      <w:pPr>
        <w:widowControl w:val="0"/>
        <w:spacing w:after="0" w:line="240" w:lineRule="auto"/>
        <w:rPr>
          <w:rFonts w:ascii="Times New Roman" w:hAnsi="Times New Roman"/>
        </w:rPr>
      </w:pPr>
      <w:r>
        <w:rPr>
          <w:rFonts w:ascii="Times New Roman" w:hAnsi="Times New Roman"/>
        </w:rPr>
        <w:lastRenderedPageBreak/>
        <w:t>Rekomenduojama pradinė olmesartano medoksomilio dozė yra 10 mg vieną kartą per parą. Jeigu ši dozė paciento kraujospūdį reguliuoja nepakankamai, olmesartano medoksomilio dozę galima padidinti iki optimalios 20 mg dozės vieną kartą per parą. Jeigu kraujospūdį reikia sumažinti dar daugiau, olmesartano medoksomilio dozę galima padidinti iki didžiausios 40 mg paros dozės arba papildomai skirti gydymą hidrochlorotiazidu.</w:t>
      </w:r>
    </w:p>
    <w:p w:rsidR="00444C66" w:rsidRDefault="00444C66">
      <w:pPr>
        <w:widowControl w:val="0"/>
        <w:spacing w:after="0" w:line="240" w:lineRule="auto"/>
        <w:rPr>
          <w:rFonts w:ascii="Times New Roman" w:hAnsi="Times New Roman"/>
        </w:rPr>
      </w:pPr>
    </w:p>
    <w:p w:rsidR="00444C66" w:rsidRDefault="00444C66">
      <w:pPr>
        <w:widowControl w:val="0"/>
        <w:spacing w:after="0" w:line="240" w:lineRule="auto"/>
        <w:rPr>
          <w:rFonts w:ascii="Times New Roman" w:hAnsi="Times New Roman"/>
        </w:rPr>
      </w:pPr>
      <w:r>
        <w:rPr>
          <w:rFonts w:ascii="Times New Roman" w:hAnsi="Times New Roman"/>
        </w:rPr>
        <w:t>Olmesartano medoksomilio antihipertenzinis poveikis pasireiškia palaipsniui per 2 savaites, o stipriausias būna praėjus maždaug 8 savaitėms nuo gydymo pradžios. Į tai reikia atsižvelgti prieš apsisprendžiant keisti dozavimo režimą bet kuriam pacientui.</w:t>
      </w:r>
    </w:p>
    <w:p w:rsidR="00444C66" w:rsidRDefault="00444C66">
      <w:pPr>
        <w:widowControl w:val="0"/>
        <w:spacing w:after="0" w:line="240" w:lineRule="auto"/>
        <w:rPr>
          <w:rFonts w:ascii="Times New Roman" w:hAnsi="Times New Roman"/>
        </w:rPr>
      </w:pPr>
    </w:p>
    <w:p w:rsidR="00444C66" w:rsidRDefault="00444C66">
      <w:pPr>
        <w:widowControl w:val="0"/>
        <w:spacing w:after="0" w:line="240" w:lineRule="auto"/>
        <w:rPr>
          <w:rFonts w:ascii="Times New Roman" w:hAnsi="Times New Roman"/>
        </w:rPr>
      </w:pPr>
      <w:r>
        <w:rPr>
          <w:rFonts w:ascii="Times New Roman" w:hAnsi="Times New Roman"/>
          <w:i/>
        </w:rPr>
        <w:t>Senyviems pacientams (65 metų ir vyresniems)</w:t>
      </w:r>
    </w:p>
    <w:p w:rsidR="00444C66" w:rsidRDefault="00444C66">
      <w:pPr>
        <w:widowControl w:val="0"/>
        <w:spacing w:after="0" w:line="240" w:lineRule="auto"/>
        <w:rPr>
          <w:rFonts w:ascii="Times New Roman" w:hAnsi="Times New Roman"/>
        </w:rPr>
      </w:pPr>
      <w:r>
        <w:rPr>
          <w:rFonts w:ascii="Times New Roman" w:hAnsi="Times New Roman"/>
        </w:rPr>
        <w:t>Senyviems pacientams dozės keisti paprastai nebūtina (žr. toliau dozavimo rekomendacijas pacientams, kurie serga inkstų funkcijos sutrikimu). Jeigu dozę reikia palaipsniui padidinti iki didžiausios 40 mg paros dozės, reikia atidžiai stebėti kraujospūdį.</w:t>
      </w:r>
    </w:p>
    <w:p w:rsidR="00444C66" w:rsidRDefault="00444C66">
      <w:pPr>
        <w:widowControl w:val="0"/>
        <w:spacing w:after="0" w:line="240" w:lineRule="auto"/>
        <w:rPr>
          <w:rFonts w:ascii="Times New Roman" w:hAnsi="Times New Roman"/>
        </w:rPr>
      </w:pPr>
    </w:p>
    <w:p w:rsidR="00444C66" w:rsidRDefault="00444C66">
      <w:pPr>
        <w:widowControl w:val="0"/>
        <w:spacing w:after="0" w:line="240" w:lineRule="auto"/>
        <w:rPr>
          <w:rFonts w:ascii="Times New Roman" w:hAnsi="Times New Roman"/>
          <w:i/>
        </w:rPr>
      </w:pPr>
      <w:r>
        <w:rPr>
          <w:rFonts w:ascii="Times New Roman" w:hAnsi="Times New Roman"/>
          <w:i/>
        </w:rPr>
        <w:t>Pacientams, kurių inkstų funkcija sutrikusi</w:t>
      </w:r>
    </w:p>
    <w:p w:rsidR="00444C66" w:rsidRDefault="00444C66">
      <w:pPr>
        <w:widowControl w:val="0"/>
        <w:spacing w:after="0" w:line="240" w:lineRule="auto"/>
        <w:rPr>
          <w:rFonts w:ascii="Times New Roman" w:hAnsi="Times New Roman"/>
        </w:rPr>
      </w:pPr>
      <w:r>
        <w:rPr>
          <w:rFonts w:ascii="Times New Roman" w:hAnsi="Times New Roman"/>
        </w:rPr>
        <w:t>Didžiausia dozė pacientams, kurie serga lengvu ar vidutinio sunkumo inkstų funkcijos sutrikimu (kreatinino klirensas 20</w:t>
      </w:r>
      <w:r>
        <w:rPr>
          <w:rFonts w:ascii="Times New Roman" w:hAnsi="Times New Roman"/>
        </w:rPr>
        <w:noBreakHyphen/>
        <w:t>60 ml/min.), yra 20 mg olmesartano medoksomilio vieną kartą per parą, nes didesnių dozių vartojimo šios grupės pacientams patirtis yra ribota. Pacientams, kurie serga sunkiu inkstų funkcijos sutrikimu (kreatinino klirensas &lt; 20 ml/min.), olmesartano medoksomilį vartoti nerekomenduojama, nes yra tik ribota vaistinio preparato vartojimo šios grupės pacientams patirtis (žr. 4.4 ir 5.2  skyrius).</w:t>
      </w:r>
    </w:p>
    <w:p w:rsidR="00444C66" w:rsidRDefault="00444C66">
      <w:pPr>
        <w:widowControl w:val="0"/>
        <w:spacing w:after="0" w:line="240" w:lineRule="auto"/>
        <w:rPr>
          <w:rFonts w:ascii="Times New Roman" w:hAnsi="Times New Roman"/>
        </w:rPr>
      </w:pPr>
    </w:p>
    <w:p w:rsidR="00444C66" w:rsidRDefault="00444C66">
      <w:pPr>
        <w:widowControl w:val="0"/>
        <w:spacing w:after="0" w:line="240" w:lineRule="auto"/>
        <w:rPr>
          <w:rFonts w:ascii="Times New Roman" w:hAnsi="Times New Roman"/>
        </w:rPr>
      </w:pPr>
      <w:r>
        <w:rPr>
          <w:rFonts w:ascii="Times New Roman" w:hAnsi="Times New Roman"/>
          <w:i/>
        </w:rPr>
        <w:t>Pacientams, kurių kepenų funkcija sutrikusi</w:t>
      </w:r>
    </w:p>
    <w:p w:rsidR="00444C66" w:rsidRDefault="00444C66">
      <w:pPr>
        <w:widowControl w:val="0"/>
        <w:spacing w:after="0" w:line="240" w:lineRule="auto"/>
        <w:rPr>
          <w:rFonts w:ascii="Times New Roman" w:hAnsi="Times New Roman"/>
        </w:rPr>
      </w:pPr>
      <w:r>
        <w:rPr>
          <w:rFonts w:ascii="Times New Roman" w:hAnsi="Times New Roman"/>
        </w:rPr>
        <w:t>Pacientams, kurie serga lengvu kepenų funkcijos sutrikimu, dozavimo keitimo rekomendacijų nereikia. Pacientams, kurie serga vidutinio sunkumo kepenų funkcijos sutrikimu, rekomenduojama vartoti pradinę 10 mg olmesartano medoksomilio dozę vieną kartą per parą ir neviršyti didžiausios 20 mg dozės vieną kartą per parą. Rekomenduojama atidžiai stebėti pacientų, kurių kepenų funkcija yra sutrikusi, jau vartojančių diuretikų ir (arba) kitokių antihipertenzinių vaistinių preparatų, kraujospūdį ir inkstų funkciją. Olmesartano medoksomilio vartojimo pacientams, kurie serga sunkiu kepenų funkcijos sutrikimu, patirties nėra, todėl olmesartano medoksomilį šios grupės pacientams vartoti nerekomenduojama (žr. 4.4 ir 5.2 skyrius). Pacientams, kuriems pasireiškia tulžies latakų obstrukcija, olmesartano medoksomilio vartoti draudžiama (žr. 4.3 skyrių).</w:t>
      </w:r>
    </w:p>
    <w:p w:rsidR="00444C66" w:rsidRDefault="00444C66">
      <w:pPr>
        <w:widowControl w:val="0"/>
        <w:spacing w:after="0" w:line="240" w:lineRule="auto"/>
        <w:rPr>
          <w:rFonts w:ascii="Times New Roman" w:hAnsi="Times New Roman"/>
        </w:rPr>
      </w:pPr>
    </w:p>
    <w:p w:rsidR="00444C66" w:rsidRDefault="00444C66">
      <w:pPr>
        <w:widowControl w:val="0"/>
        <w:spacing w:after="0" w:line="240" w:lineRule="auto"/>
        <w:rPr>
          <w:rFonts w:ascii="Times New Roman" w:hAnsi="Times New Roman"/>
        </w:rPr>
      </w:pPr>
      <w:r>
        <w:rPr>
          <w:rFonts w:ascii="Times New Roman" w:hAnsi="Times New Roman"/>
          <w:i/>
        </w:rPr>
        <w:t>Vaikų populiacija</w:t>
      </w:r>
    </w:p>
    <w:p w:rsidR="00444C66" w:rsidRDefault="00444C66">
      <w:pPr>
        <w:widowControl w:val="0"/>
        <w:tabs>
          <w:tab w:val="left" w:pos="567"/>
        </w:tabs>
        <w:spacing w:after="0" w:line="240" w:lineRule="auto"/>
        <w:rPr>
          <w:rFonts w:ascii="Times New Roman" w:hAnsi="Times New Roman"/>
        </w:rPr>
      </w:pPr>
      <w:r>
        <w:rPr>
          <w:rFonts w:ascii="Times New Roman" w:hAnsi="Times New Roman"/>
          <w:u w:val="single"/>
        </w:rPr>
        <w:t>Vaikams nuo 6 metų ir jaunesniems kaip 18 metų paaugliams</w:t>
      </w:r>
    </w:p>
    <w:p w:rsidR="00444C66" w:rsidRDefault="00444C66">
      <w:pPr>
        <w:widowControl w:val="0"/>
        <w:tabs>
          <w:tab w:val="left" w:pos="567"/>
        </w:tabs>
        <w:spacing w:after="0" w:line="240" w:lineRule="auto"/>
        <w:rPr>
          <w:rFonts w:ascii="Times New Roman" w:eastAsia="Times New Roman" w:hAnsi="Times New Roman"/>
          <w:lang w:eastAsia="sl-SI"/>
        </w:rPr>
      </w:pPr>
      <w:r>
        <w:rPr>
          <w:rFonts w:ascii="Times New Roman" w:eastAsia="Times New Roman" w:hAnsi="Times New Roman"/>
          <w:lang w:eastAsia="sl-SI"/>
        </w:rPr>
        <w:t xml:space="preserve">Rekomenduojama pradinė olmesartano medoksomilio dozė vaikams nuo 6 iki 18 metų yra 10 mg olmesartano medoksomilio vieną kartą per parą. Vaikams, kurių kraujospūdis šia doze kontroliuojamas nepakankamai, olmesartano medoksomilio dozė gali būti padidinta iki 20 mg vieną kartą per parą. Jei papildomas kraujospūdžio mažinimas yra būtinas, vaikams, sveriantiems </w:t>
      </w:r>
      <w:r w:rsidRPr="004F5963">
        <w:rPr>
          <w:rFonts w:ascii="Times New Roman" w:hAnsi="Times New Roman"/>
        </w:rPr>
        <w:t>&gt; 35 kg</w:t>
      </w:r>
      <w:r>
        <w:rPr>
          <w:rFonts w:ascii="Times New Roman" w:eastAsia="Times New Roman" w:hAnsi="Times New Roman"/>
          <w:lang w:eastAsia="sl-SI"/>
        </w:rPr>
        <w:t xml:space="preserve">, </w:t>
      </w:r>
      <w:proofErr w:type="spellStart"/>
      <w:r>
        <w:rPr>
          <w:rFonts w:ascii="Times New Roman" w:eastAsia="Times New Roman" w:hAnsi="Times New Roman"/>
          <w:lang w:eastAsia="sl-SI"/>
        </w:rPr>
        <w:t>olmesartano</w:t>
      </w:r>
      <w:proofErr w:type="spellEnd"/>
      <w:r>
        <w:rPr>
          <w:rFonts w:ascii="Times New Roman" w:eastAsia="Times New Roman" w:hAnsi="Times New Roman"/>
          <w:lang w:eastAsia="sl-SI"/>
        </w:rPr>
        <w:t xml:space="preserve"> </w:t>
      </w:r>
      <w:proofErr w:type="spellStart"/>
      <w:r>
        <w:rPr>
          <w:rFonts w:ascii="Times New Roman" w:eastAsia="Times New Roman" w:hAnsi="Times New Roman"/>
          <w:lang w:eastAsia="sl-SI"/>
        </w:rPr>
        <w:t>medoksomilio</w:t>
      </w:r>
      <w:proofErr w:type="spellEnd"/>
      <w:r>
        <w:rPr>
          <w:rFonts w:ascii="Times New Roman" w:eastAsia="Times New Roman" w:hAnsi="Times New Roman"/>
          <w:lang w:eastAsia="sl-SI"/>
        </w:rPr>
        <w:t xml:space="preserve"> dozė gali būti padidinta iki maksimalios 40 mg. Vaikams, sveriantiems &lt; </w:t>
      </w:r>
      <w:r w:rsidRPr="004F5963">
        <w:rPr>
          <w:rFonts w:ascii="Times New Roman" w:hAnsi="Times New Roman"/>
        </w:rPr>
        <w:t>35 kg</w:t>
      </w:r>
      <w:r>
        <w:rPr>
          <w:rFonts w:ascii="Times New Roman" w:eastAsia="Times New Roman" w:hAnsi="Times New Roman"/>
          <w:lang w:eastAsia="sl-SI"/>
        </w:rPr>
        <w:t>, paros dozė neturėtų viršyti 20 mg.</w:t>
      </w:r>
    </w:p>
    <w:p w:rsidR="00444C66" w:rsidRDefault="00444C66">
      <w:pPr>
        <w:widowControl w:val="0"/>
        <w:tabs>
          <w:tab w:val="left" w:pos="567"/>
        </w:tabs>
        <w:spacing w:after="0" w:line="240" w:lineRule="auto"/>
        <w:rPr>
          <w:rFonts w:ascii="Times New Roman" w:eastAsia="Times New Roman" w:hAnsi="Times New Roman"/>
          <w:lang w:eastAsia="sl-SI"/>
        </w:rPr>
      </w:pPr>
    </w:p>
    <w:p w:rsidR="00444C66" w:rsidRDefault="00444C66">
      <w:pPr>
        <w:widowControl w:val="0"/>
        <w:tabs>
          <w:tab w:val="left" w:pos="567"/>
        </w:tabs>
        <w:spacing w:after="0" w:line="240" w:lineRule="auto"/>
        <w:rPr>
          <w:rFonts w:ascii="Times New Roman" w:eastAsia="Times New Roman" w:hAnsi="Times New Roman"/>
          <w:u w:val="single"/>
          <w:lang w:eastAsia="sl-SI"/>
        </w:rPr>
      </w:pPr>
      <w:r>
        <w:rPr>
          <w:rFonts w:ascii="Times New Roman" w:eastAsia="Times New Roman" w:hAnsi="Times New Roman"/>
          <w:u w:val="single"/>
          <w:lang w:eastAsia="sl-SI"/>
        </w:rPr>
        <w:t>Kita vaikų populiacija</w:t>
      </w:r>
    </w:p>
    <w:p w:rsidR="00444C66" w:rsidRDefault="00444C66">
      <w:pPr>
        <w:widowControl w:val="0"/>
        <w:tabs>
          <w:tab w:val="left" w:pos="567"/>
        </w:tabs>
        <w:spacing w:after="0" w:line="240" w:lineRule="auto"/>
        <w:rPr>
          <w:rFonts w:ascii="Times New Roman" w:eastAsia="Times New Roman" w:hAnsi="Times New Roman"/>
          <w:lang w:eastAsia="sl-SI"/>
        </w:rPr>
      </w:pPr>
    </w:p>
    <w:p w:rsidR="00444C66" w:rsidRDefault="00444C66">
      <w:pPr>
        <w:widowControl w:val="0"/>
        <w:tabs>
          <w:tab w:val="left" w:pos="567"/>
        </w:tabs>
        <w:spacing w:after="0" w:line="240" w:lineRule="auto"/>
        <w:rPr>
          <w:rFonts w:ascii="Times New Roman" w:hAnsi="Times New Roman"/>
        </w:rPr>
      </w:pPr>
      <w:r>
        <w:rPr>
          <w:rFonts w:ascii="Times New Roman" w:eastAsia="Times New Roman" w:hAnsi="Times New Roman"/>
          <w:lang w:eastAsia="sl-SI"/>
        </w:rPr>
        <w:t>Olmesartano medoksomilio</w:t>
      </w:r>
      <w:r>
        <w:rPr>
          <w:rFonts w:ascii="Times New Roman" w:hAnsi="Times New Roman"/>
        </w:rPr>
        <w:t xml:space="preserve"> saugumas ir veiksmingumas vaikams nuo 1 iki 5 metų nenustatytas. </w:t>
      </w:r>
      <w:r>
        <w:rPr>
          <w:rFonts w:ascii="Times New Roman" w:eastAsia="Times New Roman" w:hAnsi="Times New Roman"/>
          <w:lang w:eastAsia="sl-SI"/>
        </w:rPr>
        <w:t>Šiuo metu turimi duomenis pateikti 4.8 ir 5.1 skyriuose, tačiau dozavimo rekomendacijų pateikti negalima.</w:t>
      </w:r>
    </w:p>
    <w:p w:rsidR="00444C66" w:rsidRDefault="00444C66">
      <w:pPr>
        <w:widowControl w:val="0"/>
        <w:tabs>
          <w:tab w:val="left" w:pos="567"/>
        </w:tabs>
        <w:spacing w:after="0" w:line="240" w:lineRule="auto"/>
        <w:rPr>
          <w:rFonts w:ascii="Times New Roman" w:eastAsia="Times New Roman" w:hAnsi="Times New Roman"/>
          <w:lang w:eastAsia="sl-SI"/>
        </w:rPr>
      </w:pPr>
    </w:p>
    <w:p w:rsidR="00444C66" w:rsidRDefault="00444C66">
      <w:pPr>
        <w:widowControl w:val="0"/>
        <w:tabs>
          <w:tab w:val="left" w:pos="567"/>
        </w:tabs>
        <w:spacing w:after="0" w:line="240" w:lineRule="auto"/>
        <w:rPr>
          <w:rFonts w:ascii="Times New Roman" w:eastAsia="Times New Roman" w:hAnsi="Times New Roman"/>
          <w:lang w:eastAsia="sl-SI"/>
        </w:rPr>
      </w:pPr>
      <w:r>
        <w:rPr>
          <w:rFonts w:ascii="Times New Roman" w:eastAsia="Times New Roman" w:hAnsi="Times New Roman"/>
          <w:lang w:eastAsia="sl-SI"/>
        </w:rPr>
        <w:t>Olmesartano medoksomilis neturėtų būti vartojamas vaikams iki 1 metų amžiaus, dėl saugumo problemų ir duomenų šioje amžiaus grupėje trūkumo.</w:t>
      </w:r>
    </w:p>
    <w:p w:rsidR="00444C66" w:rsidRDefault="00444C66">
      <w:pPr>
        <w:widowControl w:val="0"/>
        <w:tabs>
          <w:tab w:val="left" w:pos="567"/>
        </w:tabs>
        <w:spacing w:after="0" w:line="240" w:lineRule="auto"/>
        <w:rPr>
          <w:rFonts w:ascii="Times New Roman" w:hAnsi="Times New Roman"/>
        </w:rPr>
      </w:pPr>
    </w:p>
    <w:p w:rsidR="00444C66" w:rsidRDefault="00444C66">
      <w:pPr>
        <w:widowControl w:val="0"/>
        <w:tabs>
          <w:tab w:val="left" w:pos="567"/>
        </w:tabs>
        <w:spacing w:after="0" w:line="240" w:lineRule="auto"/>
        <w:rPr>
          <w:rFonts w:ascii="Times New Roman" w:hAnsi="Times New Roman"/>
          <w:u w:val="single"/>
        </w:rPr>
      </w:pPr>
      <w:r>
        <w:rPr>
          <w:rFonts w:ascii="Times New Roman" w:hAnsi="Times New Roman"/>
          <w:u w:val="single"/>
        </w:rPr>
        <w:t>Vartojimo metodas</w:t>
      </w:r>
    </w:p>
    <w:p w:rsidR="00444C66" w:rsidRDefault="00444C66">
      <w:pPr>
        <w:widowControl w:val="0"/>
        <w:tabs>
          <w:tab w:val="left" w:pos="567"/>
        </w:tabs>
        <w:spacing w:after="0" w:line="240" w:lineRule="auto"/>
        <w:rPr>
          <w:rFonts w:ascii="Times New Roman" w:hAnsi="Times New Roman"/>
        </w:rPr>
      </w:pPr>
    </w:p>
    <w:p w:rsidR="00444C66" w:rsidRDefault="00444C66">
      <w:pPr>
        <w:widowControl w:val="0"/>
        <w:spacing w:after="0" w:line="240" w:lineRule="auto"/>
        <w:rPr>
          <w:rFonts w:ascii="Times New Roman" w:hAnsi="Times New Roman"/>
        </w:rPr>
      </w:pPr>
      <w:r>
        <w:rPr>
          <w:rFonts w:ascii="Times New Roman" w:hAnsi="Times New Roman"/>
        </w:rPr>
        <w:t>Siekiant užtikrinti paciento drausmingumą, Olimestra tabletes rekomenduojama gerti kasdien tuo pačiu laiku, valgant arba be maisto, pvz., per pusryčius. Tabletę reikia užgerti pakankamu kiekiu skysčio (pvz., stikline vandens). Tabletės negalima kramtyti.</w:t>
      </w:r>
    </w:p>
    <w:p w:rsidR="00444C66" w:rsidRDefault="00444C66">
      <w:pPr>
        <w:widowControl w:val="0"/>
        <w:tabs>
          <w:tab w:val="left" w:pos="567"/>
        </w:tabs>
        <w:spacing w:after="0" w:line="240" w:lineRule="auto"/>
        <w:rPr>
          <w:rFonts w:ascii="Times New Roman" w:hAnsi="Times New Roman"/>
        </w:rPr>
      </w:pPr>
    </w:p>
    <w:p w:rsidR="00444C66" w:rsidRDefault="00444C66">
      <w:pPr>
        <w:widowControl w:val="0"/>
        <w:tabs>
          <w:tab w:val="left" w:pos="567"/>
        </w:tabs>
        <w:spacing w:after="0" w:line="240" w:lineRule="auto"/>
        <w:rPr>
          <w:rFonts w:ascii="Times New Roman" w:hAnsi="Times New Roman"/>
        </w:rPr>
      </w:pPr>
      <w:r>
        <w:rPr>
          <w:rFonts w:ascii="Times New Roman" w:hAnsi="Times New Roman"/>
          <w:b/>
        </w:rPr>
        <w:t>4.3</w:t>
      </w:r>
      <w:r>
        <w:rPr>
          <w:rFonts w:ascii="Times New Roman" w:hAnsi="Times New Roman"/>
          <w:b/>
        </w:rPr>
        <w:tab/>
        <w:t>Kontraindikacijos</w:t>
      </w:r>
    </w:p>
    <w:p w:rsidR="00444C66" w:rsidRDefault="00444C66">
      <w:pPr>
        <w:widowControl w:val="0"/>
        <w:tabs>
          <w:tab w:val="left" w:pos="567"/>
        </w:tabs>
        <w:spacing w:after="0" w:line="240" w:lineRule="auto"/>
        <w:rPr>
          <w:rFonts w:ascii="Times New Roman" w:hAnsi="Times New Roman"/>
        </w:rPr>
      </w:pPr>
    </w:p>
    <w:p w:rsidR="00444C66" w:rsidRDefault="00444C66">
      <w:pPr>
        <w:widowControl w:val="0"/>
        <w:tabs>
          <w:tab w:val="left" w:pos="567"/>
        </w:tabs>
        <w:spacing w:after="0" w:line="240" w:lineRule="auto"/>
        <w:rPr>
          <w:rFonts w:ascii="Times New Roman" w:hAnsi="Times New Roman"/>
        </w:rPr>
      </w:pPr>
      <w:r>
        <w:rPr>
          <w:rFonts w:ascii="Times New Roman" w:hAnsi="Times New Roman"/>
        </w:rPr>
        <w:t>Padidėjęs jautrumas veikliajai arba bet kuriai 6.1 skyriuje nurodytai pagalbinei medžiagai.</w:t>
      </w:r>
    </w:p>
    <w:p w:rsidR="00444C66" w:rsidRDefault="00444C66">
      <w:pPr>
        <w:widowControl w:val="0"/>
        <w:tabs>
          <w:tab w:val="left" w:pos="567"/>
        </w:tabs>
        <w:spacing w:after="0" w:line="240" w:lineRule="auto"/>
        <w:rPr>
          <w:rFonts w:ascii="Times New Roman" w:hAnsi="Times New Roman"/>
        </w:rPr>
      </w:pPr>
      <w:r>
        <w:rPr>
          <w:rFonts w:ascii="Times New Roman" w:hAnsi="Times New Roman"/>
        </w:rPr>
        <w:t>Antras arba trečias nėštumo trimestras (žr. 4.4 ir 4.6 skyrius).</w:t>
      </w:r>
    </w:p>
    <w:p w:rsidR="00444C66" w:rsidRDefault="00444C66">
      <w:pPr>
        <w:widowControl w:val="0"/>
        <w:tabs>
          <w:tab w:val="left" w:pos="567"/>
        </w:tabs>
        <w:spacing w:after="0" w:line="240" w:lineRule="auto"/>
        <w:rPr>
          <w:rFonts w:ascii="Times New Roman" w:hAnsi="Times New Roman"/>
        </w:rPr>
      </w:pPr>
      <w:r>
        <w:rPr>
          <w:rFonts w:ascii="Times New Roman" w:hAnsi="Times New Roman"/>
        </w:rPr>
        <w:t>Tulžies latakų obstrukcija (žr. 5.2 skyrių).</w:t>
      </w:r>
    </w:p>
    <w:p w:rsidR="00444C66" w:rsidRDefault="00444C66">
      <w:pPr>
        <w:widowControl w:val="0"/>
        <w:tabs>
          <w:tab w:val="left" w:pos="567"/>
        </w:tabs>
        <w:spacing w:after="0" w:line="240" w:lineRule="auto"/>
        <w:rPr>
          <w:rFonts w:ascii="Times New Roman" w:hAnsi="Times New Roman"/>
        </w:rPr>
      </w:pPr>
      <w:r>
        <w:rPr>
          <w:rFonts w:ascii="Times New Roman" w:hAnsi="Times New Roman"/>
        </w:rPr>
        <w:t>Pacientams, kurie serga cukriniu diabetu arba kurių inkstų funkcija sutrikusi (GFG &lt; 60 ml/min/1,73 m</w:t>
      </w:r>
      <w:r>
        <w:rPr>
          <w:rFonts w:ascii="Times New Roman" w:hAnsi="Times New Roman"/>
          <w:vertAlign w:val="superscript"/>
        </w:rPr>
        <w:t>2</w:t>
      </w:r>
      <w:r>
        <w:rPr>
          <w:rFonts w:ascii="Times New Roman" w:hAnsi="Times New Roman"/>
        </w:rPr>
        <w:t>), Olimestra negalima vartoti kartu su vaistiniais preparatais, kurių sudėtyje yra aliskireno (žr. 4.5 ir 5.1 skyrius).</w:t>
      </w:r>
    </w:p>
    <w:p w:rsidR="00444C66" w:rsidRDefault="00444C66">
      <w:pPr>
        <w:widowControl w:val="0"/>
        <w:tabs>
          <w:tab w:val="left" w:pos="567"/>
        </w:tabs>
        <w:spacing w:after="0" w:line="240" w:lineRule="auto"/>
        <w:rPr>
          <w:rFonts w:ascii="Times New Roman" w:hAnsi="Times New Roman"/>
        </w:rPr>
      </w:pPr>
    </w:p>
    <w:p w:rsidR="00444C66" w:rsidRDefault="00444C66">
      <w:pPr>
        <w:widowControl w:val="0"/>
        <w:tabs>
          <w:tab w:val="left" w:pos="567"/>
        </w:tabs>
        <w:spacing w:after="0" w:line="240" w:lineRule="auto"/>
        <w:ind w:left="567" w:hanging="567"/>
        <w:rPr>
          <w:rFonts w:ascii="Times New Roman" w:hAnsi="Times New Roman"/>
        </w:rPr>
      </w:pPr>
      <w:r>
        <w:rPr>
          <w:rFonts w:ascii="Times New Roman" w:hAnsi="Times New Roman"/>
          <w:b/>
        </w:rPr>
        <w:t>4.4</w:t>
      </w:r>
      <w:r>
        <w:rPr>
          <w:rFonts w:ascii="Times New Roman" w:hAnsi="Times New Roman"/>
          <w:b/>
        </w:rPr>
        <w:tab/>
        <w:t>Specialūs įspėjimai ir atsargumo priemonės</w:t>
      </w:r>
    </w:p>
    <w:p w:rsidR="00444C66" w:rsidRDefault="00444C66">
      <w:pPr>
        <w:widowControl w:val="0"/>
        <w:tabs>
          <w:tab w:val="left" w:pos="567"/>
        </w:tabs>
        <w:spacing w:after="0" w:line="240" w:lineRule="auto"/>
        <w:rPr>
          <w:rFonts w:ascii="Times New Roman" w:hAnsi="Times New Roman"/>
        </w:rPr>
      </w:pPr>
    </w:p>
    <w:p w:rsidR="00444C66" w:rsidRDefault="00444C66">
      <w:pPr>
        <w:widowControl w:val="0"/>
        <w:spacing w:after="0" w:line="240" w:lineRule="auto"/>
        <w:rPr>
          <w:rFonts w:ascii="Times New Roman" w:hAnsi="Times New Roman"/>
          <w:i/>
        </w:rPr>
      </w:pPr>
      <w:r>
        <w:rPr>
          <w:rFonts w:ascii="Times New Roman" w:hAnsi="Times New Roman"/>
          <w:i/>
        </w:rPr>
        <w:t>Intravaskulinis skysčių trūkumas</w:t>
      </w:r>
    </w:p>
    <w:p w:rsidR="00444C66" w:rsidRDefault="00444C66">
      <w:pPr>
        <w:widowControl w:val="0"/>
        <w:spacing w:after="0" w:line="240" w:lineRule="auto"/>
        <w:rPr>
          <w:rFonts w:ascii="Times New Roman" w:hAnsi="Times New Roman"/>
        </w:rPr>
      </w:pPr>
      <w:r>
        <w:rPr>
          <w:rFonts w:ascii="Times New Roman" w:hAnsi="Times New Roman"/>
        </w:rPr>
        <w:t>Pacientams, kurių organizme dėl intensyvaus gydymo diuretikais, druskos suvartojimo su maistu ribojimo, viduriavimo ar vėmimo trūksta skysčių ir (arba) natrio, gali pasireikšti simptominė hipotenzija. Tokią būklę reikia koreguoti prieš skiriant vartoti olmesartano medoksomilį.</w:t>
      </w:r>
    </w:p>
    <w:p w:rsidR="00444C66" w:rsidRDefault="00444C66">
      <w:pPr>
        <w:widowControl w:val="0"/>
        <w:spacing w:after="0" w:line="240" w:lineRule="auto"/>
        <w:rPr>
          <w:rFonts w:ascii="Times New Roman" w:hAnsi="Times New Roman"/>
        </w:rPr>
      </w:pPr>
    </w:p>
    <w:p w:rsidR="00444C66" w:rsidRDefault="00444C66">
      <w:pPr>
        <w:widowControl w:val="0"/>
        <w:spacing w:after="0" w:line="240" w:lineRule="auto"/>
        <w:rPr>
          <w:rFonts w:ascii="Times New Roman" w:hAnsi="Times New Roman"/>
          <w:i/>
        </w:rPr>
      </w:pPr>
      <w:r>
        <w:rPr>
          <w:rFonts w:ascii="Times New Roman" w:hAnsi="Times New Roman"/>
          <w:i/>
        </w:rPr>
        <w:t>Kitos būklės, kurioms esant, stimuliuojama renino, angiotenzino ir aldosterono sistema</w:t>
      </w:r>
    </w:p>
    <w:p w:rsidR="00444C66" w:rsidRDefault="00444C66">
      <w:pPr>
        <w:widowControl w:val="0"/>
        <w:spacing w:after="0" w:line="240" w:lineRule="auto"/>
        <w:rPr>
          <w:rFonts w:ascii="Times New Roman" w:hAnsi="Times New Roman"/>
        </w:rPr>
      </w:pPr>
      <w:r>
        <w:rPr>
          <w:rFonts w:ascii="Times New Roman" w:hAnsi="Times New Roman"/>
        </w:rPr>
        <w:t>Pacientų, kurių kraujagyslių tonusas ir inkstų funkcija daugiausiai priklauso nuo renino, angiotenzino ir aldosterono sistemos aktyvumo (pvz., pacientų, kurie serga sunkiu staziniu širdies nepakankamumu arba gretutine inkstų liga, įskaitant inkstų arterijos stenozę), gydymas kitokiais vaistiniais preparatais, kurie veikia šią sistemą, buvo susijęs su ūmine hipotenzija, azotemija, oligurija arba, retais atvejais, ūminiu inkstų nepakankamumu. Tokio poveikio galimybės, vartojant angiotenzino II receptorių blokatorius, paneigti negalima.</w:t>
      </w:r>
    </w:p>
    <w:p w:rsidR="00444C66" w:rsidRDefault="00444C66">
      <w:pPr>
        <w:widowControl w:val="0"/>
        <w:spacing w:after="0" w:line="240" w:lineRule="auto"/>
        <w:rPr>
          <w:rFonts w:ascii="Times New Roman" w:hAnsi="Times New Roman"/>
        </w:rPr>
      </w:pPr>
    </w:p>
    <w:p w:rsidR="00444C66" w:rsidRDefault="00444C66">
      <w:pPr>
        <w:widowControl w:val="0"/>
        <w:spacing w:after="0" w:line="240" w:lineRule="auto"/>
        <w:rPr>
          <w:rFonts w:ascii="Times New Roman" w:hAnsi="Times New Roman"/>
          <w:i/>
        </w:rPr>
      </w:pPr>
      <w:r>
        <w:rPr>
          <w:rFonts w:ascii="Times New Roman" w:hAnsi="Times New Roman"/>
          <w:i/>
        </w:rPr>
        <w:t>Renovaskulinė hipertenzija</w:t>
      </w:r>
    </w:p>
    <w:p w:rsidR="00444C66" w:rsidRDefault="00444C66">
      <w:pPr>
        <w:widowControl w:val="0"/>
        <w:spacing w:after="0" w:line="240" w:lineRule="auto"/>
        <w:rPr>
          <w:rFonts w:ascii="Times New Roman" w:hAnsi="Times New Roman"/>
        </w:rPr>
      </w:pPr>
      <w:r>
        <w:rPr>
          <w:rFonts w:ascii="Times New Roman" w:hAnsi="Times New Roman"/>
        </w:rPr>
        <w:t>Pacientus, kuriems pasireiškia inkstų arba vienintelio veikiančio inksto arterijos stenozė, gydant vaistiniais preparatais, kurie veikia renino, angiotenzino ir aldosterono sistemą, padidėja sunkios hipotenzijos ir inkstų funkcijos nepakankamumo rizika.</w:t>
      </w:r>
    </w:p>
    <w:p w:rsidR="00444C66" w:rsidRDefault="00444C66">
      <w:pPr>
        <w:widowControl w:val="0"/>
        <w:spacing w:after="0" w:line="240" w:lineRule="auto"/>
        <w:rPr>
          <w:rFonts w:ascii="Times New Roman" w:hAnsi="Times New Roman"/>
        </w:rPr>
      </w:pPr>
    </w:p>
    <w:p w:rsidR="00444C66" w:rsidRDefault="00444C66">
      <w:pPr>
        <w:widowControl w:val="0"/>
        <w:spacing w:after="0" w:line="240" w:lineRule="auto"/>
        <w:rPr>
          <w:rFonts w:ascii="Times New Roman" w:hAnsi="Times New Roman"/>
          <w:i/>
        </w:rPr>
      </w:pPr>
      <w:r>
        <w:rPr>
          <w:rFonts w:ascii="Times New Roman" w:hAnsi="Times New Roman"/>
          <w:i/>
        </w:rPr>
        <w:t>Inkstų funkcijos sutrikimas ir inkstų persodinimas</w:t>
      </w:r>
    </w:p>
    <w:p w:rsidR="00444C66" w:rsidRDefault="00444C66">
      <w:pPr>
        <w:widowControl w:val="0"/>
        <w:spacing w:after="0" w:line="240" w:lineRule="auto"/>
        <w:rPr>
          <w:rFonts w:ascii="Times New Roman" w:hAnsi="Times New Roman"/>
        </w:rPr>
      </w:pPr>
      <w:r>
        <w:rPr>
          <w:rFonts w:ascii="Times New Roman" w:hAnsi="Times New Roman"/>
        </w:rPr>
        <w:t>Vartojant olmesartano medoksomilį pacientams, kurių inkstų funkcija yra sutrikusi, rekomenduojama periodiškai stebėti kalio ir kreatinino koncentracijas serume. Pacientams, kurie serga sunkiu inkstų funkcijos sutrikimu (kreatinino klirensas &lt; 20 ml/min.). Olmesartano medoksomilio nerekomenduojama vartoti pacientams, kurie serga sunkiu inkstų funkcijos sutrikimu (kreatinino klirensas &lt; 20 ml/min.) (žr. 4.2 ir 5.2 skyrius). Pacientų, kuriems neseniai buvo persodinti inkstai, arba pacientų, kurie serga galutinės stadijos inkstų funkcijos sutrikimu, gydymo olmesartano medoksomiliu patirties nėra (t. y. kreatinino klirensas &lt; 12 ml/min.).</w:t>
      </w:r>
    </w:p>
    <w:p w:rsidR="00444C66" w:rsidRDefault="00444C66">
      <w:pPr>
        <w:widowControl w:val="0"/>
        <w:spacing w:after="0" w:line="240" w:lineRule="auto"/>
        <w:rPr>
          <w:rFonts w:ascii="Times New Roman" w:hAnsi="Times New Roman"/>
        </w:rPr>
      </w:pPr>
    </w:p>
    <w:p w:rsidR="00444C66" w:rsidRPr="004F5963" w:rsidRDefault="00444C66">
      <w:pPr>
        <w:autoSpaceDE w:val="0"/>
        <w:autoSpaceDN w:val="0"/>
        <w:adjustRightInd w:val="0"/>
        <w:spacing w:after="0" w:line="240" w:lineRule="auto"/>
        <w:rPr>
          <w:rFonts w:ascii="Times New Roman" w:eastAsia="Times New Roman" w:hAnsi="Times New Roman"/>
          <w:i/>
          <w:iCs/>
          <w:color w:val="000000"/>
          <w:lang w:eastAsia="lt-LT"/>
        </w:rPr>
      </w:pPr>
      <w:r w:rsidRPr="004F5963">
        <w:rPr>
          <w:rFonts w:ascii="Times New Roman" w:eastAsia="Times New Roman" w:hAnsi="Times New Roman"/>
          <w:i/>
          <w:iCs/>
          <w:color w:val="000000"/>
          <w:lang w:eastAsia="lt-LT"/>
        </w:rPr>
        <w:t>Žarnyno angioneurozinė edema</w:t>
      </w:r>
    </w:p>
    <w:p w:rsidR="00444C66" w:rsidRDefault="00444C66">
      <w:pPr>
        <w:widowControl w:val="0"/>
        <w:spacing w:after="0" w:line="240" w:lineRule="auto"/>
        <w:rPr>
          <w:rFonts w:ascii="Times New Roman" w:eastAsia="Times New Roman" w:hAnsi="Times New Roman"/>
          <w:color w:val="000000"/>
          <w:lang w:eastAsia="lt-LT"/>
        </w:rPr>
      </w:pPr>
      <w:r>
        <w:rPr>
          <w:rFonts w:ascii="Times New Roman" w:eastAsia="Times New Roman" w:hAnsi="Times New Roman"/>
          <w:color w:val="000000"/>
          <w:lang w:eastAsia="lt-LT"/>
        </w:rPr>
        <w:t xml:space="preserve">Gauta pranešimų apie žarnyno angioneurozinės edemos atvejus, pasireiškusius pacientams, gydytiems angiotenzino II receptorių blokatoriais (įskaitant </w:t>
      </w:r>
      <w:r>
        <w:rPr>
          <w:rFonts w:ascii="Times New Roman" w:hAnsi="Times New Roman"/>
        </w:rPr>
        <w:t>olmesartano medoksomilį</w:t>
      </w:r>
      <w:r>
        <w:rPr>
          <w:rFonts w:ascii="Times New Roman" w:eastAsia="Times New Roman" w:hAnsi="Times New Roman"/>
          <w:color w:val="000000"/>
          <w:lang w:eastAsia="lt-LT"/>
        </w:rPr>
        <w:t>) (žr. 4.8 skyrių). Šiems pacientams pasireiškė pilvo skausmas, pykinimas, vėmimas ir viduriavimas. Nutraukus angiotenzino II receptorių antagonistų vartojimą, simptomai išnyko. Diagnozavus žarnyno angioneurozinę edemą, reikia nutraukti olmesartano medoksomilio vartojimą ir pradėti atitinkamą stebėseną, kol simptomai visiškai išnyksta.</w:t>
      </w:r>
    </w:p>
    <w:p w:rsidR="00444C66" w:rsidRDefault="00444C66">
      <w:pPr>
        <w:widowControl w:val="0"/>
        <w:spacing w:after="0" w:line="240" w:lineRule="auto"/>
        <w:rPr>
          <w:rFonts w:ascii="Times New Roman" w:hAnsi="Times New Roman"/>
        </w:rPr>
      </w:pPr>
    </w:p>
    <w:p w:rsidR="00444C66" w:rsidRDefault="00444C66">
      <w:pPr>
        <w:widowControl w:val="0"/>
        <w:spacing w:after="0" w:line="240" w:lineRule="auto"/>
        <w:rPr>
          <w:rFonts w:ascii="Times New Roman" w:hAnsi="Times New Roman"/>
          <w:i/>
        </w:rPr>
      </w:pPr>
      <w:r>
        <w:rPr>
          <w:rFonts w:ascii="Times New Roman" w:hAnsi="Times New Roman"/>
          <w:i/>
        </w:rPr>
        <w:t>Kepenų funkcijos sutrikimas</w:t>
      </w:r>
    </w:p>
    <w:p w:rsidR="00444C66" w:rsidRDefault="00444C66">
      <w:pPr>
        <w:widowControl w:val="0"/>
        <w:spacing w:after="0" w:line="240" w:lineRule="auto"/>
        <w:rPr>
          <w:rFonts w:ascii="Times New Roman" w:hAnsi="Times New Roman"/>
        </w:rPr>
      </w:pPr>
      <w:r>
        <w:rPr>
          <w:rFonts w:ascii="Times New Roman" w:hAnsi="Times New Roman"/>
        </w:rPr>
        <w:t>Pacientų, kurie serga sunkiu kepenų funkcijos sutrikimu, gydymo šiuo vaistiniu preparatu patirties nėra, todėl olmesartano medoksomilį šios grupės pacientams vartoti nerekomenduojama (dozavimo rekomendacijas pacientams, kurie serga lengvu ar vidutinio sunkumo kepenų funkcijos sutrikimu, žr. 4.2 skyriuje).</w:t>
      </w:r>
    </w:p>
    <w:p w:rsidR="00444C66" w:rsidRDefault="00444C66">
      <w:pPr>
        <w:widowControl w:val="0"/>
        <w:spacing w:after="0" w:line="240" w:lineRule="auto"/>
        <w:rPr>
          <w:rFonts w:ascii="Times New Roman" w:hAnsi="Times New Roman"/>
        </w:rPr>
      </w:pPr>
    </w:p>
    <w:p w:rsidR="00444C66" w:rsidRDefault="00444C66">
      <w:pPr>
        <w:widowControl w:val="0"/>
        <w:spacing w:after="0" w:line="240" w:lineRule="auto"/>
        <w:rPr>
          <w:rFonts w:ascii="Times New Roman" w:hAnsi="Times New Roman"/>
          <w:i/>
        </w:rPr>
      </w:pPr>
      <w:r>
        <w:rPr>
          <w:rFonts w:ascii="Times New Roman" w:hAnsi="Times New Roman"/>
          <w:i/>
        </w:rPr>
        <w:t>Hiperkalemija</w:t>
      </w:r>
    </w:p>
    <w:p w:rsidR="00444C66" w:rsidRDefault="00444C66">
      <w:pPr>
        <w:widowControl w:val="0"/>
        <w:spacing w:after="0" w:line="240" w:lineRule="auto"/>
        <w:rPr>
          <w:rFonts w:ascii="Times New Roman" w:hAnsi="Times New Roman"/>
        </w:rPr>
      </w:pPr>
      <w:r>
        <w:rPr>
          <w:rFonts w:ascii="Times New Roman" w:hAnsi="Times New Roman"/>
        </w:rPr>
        <w:t>Vaistinių preparatų, kurie veikia renino, angiotenzino ar aldosterono sistemą, vartojimas gali sukelti hiperkalemiją.</w:t>
      </w:r>
    </w:p>
    <w:p w:rsidR="00444C66" w:rsidRDefault="00444C66">
      <w:pPr>
        <w:widowControl w:val="0"/>
        <w:spacing w:after="0" w:line="240" w:lineRule="auto"/>
        <w:rPr>
          <w:rFonts w:ascii="Times New Roman" w:hAnsi="Times New Roman"/>
        </w:rPr>
      </w:pPr>
    </w:p>
    <w:p w:rsidR="00444C66" w:rsidRDefault="00444C66">
      <w:pPr>
        <w:widowControl w:val="0"/>
        <w:spacing w:after="0" w:line="240" w:lineRule="auto"/>
        <w:rPr>
          <w:rFonts w:ascii="Times New Roman" w:hAnsi="Times New Roman"/>
        </w:rPr>
      </w:pPr>
      <w:r>
        <w:rPr>
          <w:rFonts w:ascii="Times New Roman" w:hAnsi="Times New Roman"/>
        </w:rPr>
        <w:t>Rizika, kuri gali būti mirtina, yra didesnė pacientams, kurie serga inkstų nepakankamumu, sergantiems diabetu, pacientams, kurie kartu gydomi kitokiais vaistiniais preparatais, kurie gali didinti kalio koncentraciją, ir (arba) pacientams, kuriems pasireiškia gretutinių reiškinių.</w:t>
      </w:r>
    </w:p>
    <w:p w:rsidR="00444C66" w:rsidRDefault="00444C66">
      <w:pPr>
        <w:widowControl w:val="0"/>
        <w:spacing w:after="0" w:line="240" w:lineRule="auto"/>
        <w:rPr>
          <w:rFonts w:ascii="Times New Roman" w:hAnsi="Times New Roman"/>
        </w:rPr>
      </w:pPr>
    </w:p>
    <w:p w:rsidR="00444C66" w:rsidRDefault="00444C66">
      <w:pPr>
        <w:widowControl w:val="0"/>
        <w:spacing w:after="0" w:line="240" w:lineRule="auto"/>
        <w:rPr>
          <w:rFonts w:ascii="Times New Roman" w:hAnsi="Times New Roman"/>
        </w:rPr>
      </w:pPr>
      <w:r>
        <w:rPr>
          <w:rFonts w:ascii="Times New Roman" w:hAnsi="Times New Roman"/>
        </w:rPr>
        <w:t>Prieš nusprendžiant kartu vartoti vaistinių preparatų, kurie veikia renino, angiotenzino ir aldosterono sistemą, reikia įvertinti naudos ir rizikos santykį ir apsvarstyti kitokias galimybes.</w:t>
      </w:r>
    </w:p>
    <w:p w:rsidR="00444C66" w:rsidRDefault="00444C66">
      <w:pPr>
        <w:widowControl w:val="0"/>
        <w:spacing w:after="0" w:line="240" w:lineRule="auto"/>
        <w:rPr>
          <w:rFonts w:ascii="Times New Roman" w:hAnsi="Times New Roman"/>
        </w:rPr>
      </w:pPr>
    </w:p>
    <w:p w:rsidR="00444C66" w:rsidRDefault="00444C66">
      <w:pPr>
        <w:widowControl w:val="0"/>
        <w:spacing w:after="0" w:line="240" w:lineRule="auto"/>
        <w:rPr>
          <w:rFonts w:ascii="Times New Roman" w:hAnsi="Times New Roman"/>
        </w:rPr>
      </w:pPr>
      <w:r>
        <w:rPr>
          <w:rFonts w:ascii="Times New Roman" w:hAnsi="Times New Roman"/>
        </w:rPr>
        <w:t>Manoma, kad pagrindiniai hiperkalemijos rizikos veiksniai yra:</w:t>
      </w:r>
    </w:p>
    <w:p w:rsidR="00444C66" w:rsidRDefault="00444C66">
      <w:pPr>
        <w:widowControl w:val="0"/>
        <w:numPr>
          <w:ilvl w:val="0"/>
          <w:numId w:val="38"/>
        </w:numPr>
        <w:spacing w:after="0" w:line="240" w:lineRule="auto"/>
        <w:ind w:left="567" w:hanging="567"/>
        <w:rPr>
          <w:rFonts w:ascii="Times New Roman" w:hAnsi="Times New Roman"/>
        </w:rPr>
      </w:pPr>
      <w:r>
        <w:rPr>
          <w:rFonts w:ascii="Times New Roman" w:hAnsi="Times New Roman"/>
        </w:rPr>
        <w:t>diabetas, inkstų funkcijos sutrikimas, amžius (&gt; 70 metų);</w:t>
      </w:r>
    </w:p>
    <w:p w:rsidR="00444C66" w:rsidRDefault="00444C66">
      <w:pPr>
        <w:widowControl w:val="0"/>
        <w:numPr>
          <w:ilvl w:val="0"/>
          <w:numId w:val="38"/>
        </w:numPr>
        <w:spacing w:after="0" w:line="240" w:lineRule="auto"/>
        <w:ind w:left="567" w:hanging="567"/>
        <w:rPr>
          <w:rFonts w:ascii="Times New Roman" w:hAnsi="Times New Roman"/>
        </w:rPr>
      </w:pPr>
      <w:r>
        <w:rPr>
          <w:rFonts w:ascii="Times New Roman" w:hAnsi="Times New Roman"/>
        </w:rPr>
        <w:t>vartojimas kartu su vienu arba keliais kitokiais vaistiniais preparatais, kurie veikia renino, angiotenzino ir aldosterono sistemą ir (arba) kalio papildais. Kai kurie vaistiniai preparatai ar kai kurių terapinių grupių vaistiniai preparatai gali skatinti hiperkalemiją: druskų pakaitalai, kurių sudėtyje yra kalio, kalį organizme sulaikantys diuretikai, AKF inhibitoriai, angiotenzino II receptorių blokatoriai, nesteroidiniai vaistai nuo uždegimo (įskaitant selektyviuosius COX-2 inhibitorius), heparinas, imunosupresantai, pavyzdžiui, ciklosporinas ar takrolimuzas, trimetoprimas;</w:t>
      </w:r>
    </w:p>
    <w:p w:rsidR="00444C66" w:rsidRDefault="00444C66">
      <w:pPr>
        <w:widowControl w:val="0"/>
        <w:numPr>
          <w:ilvl w:val="0"/>
          <w:numId w:val="38"/>
        </w:numPr>
        <w:spacing w:after="0" w:line="240" w:lineRule="auto"/>
        <w:ind w:left="567" w:hanging="567"/>
        <w:rPr>
          <w:rFonts w:ascii="Times New Roman" w:hAnsi="Times New Roman"/>
        </w:rPr>
      </w:pPr>
      <w:r>
        <w:rPr>
          <w:rFonts w:ascii="Times New Roman" w:hAnsi="Times New Roman"/>
        </w:rPr>
        <w:t>gretutiniai reiškiniai, ypač dehidracija, ūminė širdies dekompensacija, metabolinė acidozė, inkstų funkcijos pasunkėjimas, staigus inkstų būklės pablogėjimas (pvz., infekcinės ligos), ląstelių lizė (pvz.: ūminė galūnių išemija, rabdomiolizė, didelė trauma).</w:t>
      </w:r>
    </w:p>
    <w:p w:rsidR="00444C66" w:rsidRDefault="00444C66">
      <w:pPr>
        <w:widowControl w:val="0"/>
        <w:spacing w:after="0" w:line="240" w:lineRule="auto"/>
        <w:ind w:left="567" w:hanging="567"/>
        <w:rPr>
          <w:rFonts w:ascii="Times New Roman" w:hAnsi="Times New Roman"/>
        </w:rPr>
      </w:pPr>
    </w:p>
    <w:p w:rsidR="00444C66" w:rsidRDefault="00444C66">
      <w:pPr>
        <w:widowControl w:val="0"/>
        <w:spacing w:after="0" w:line="240" w:lineRule="auto"/>
        <w:ind w:left="567" w:hanging="567"/>
        <w:rPr>
          <w:rFonts w:ascii="Times New Roman" w:hAnsi="Times New Roman"/>
        </w:rPr>
      </w:pPr>
      <w:r>
        <w:rPr>
          <w:rFonts w:ascii="Times New Roman" w:hAnsi="Times New Roman"/>
        </w:rPr>
        <w:t>Rekomenduojama atidžiai stebėti kalio koncentraciją rizikos grupės pacientų serume (žr. 4.5 skyrių).</w:t>
      </w:r>
    </w:p>
    <w:p w:rsidR="00444C66" w:rsidRDefault="00444C66">
      <w:pPr>
        <w:widowControl w:val="0"/>
        <w:spacing w:after="0" w:line="240" w:lineRule="auto"/>
        <w:rPr>
          <w:rFonts w:ascii="Times New Roman" w:hAnsi="Times New Roman"/>
          <w:u w:val="single"/>
        </w:rPr>
      </w:pPr>
    </w:p>
    <w:p w:rsidR="00444C66" w:rsidRDefault="00444C66">
      <w:pPr>
        <w:widowControl w:val="0"/>
        <w:spacing w:after="0" w:line="240" w:lineRule="auto"/>
        <w:rPr>
          <w:rFonts w:ascii="Times New Roman" w:hAnsi="Times New Roman"/>
          <w:i/>
        </w:rPr>
      </w:pPr>
      <w:r>
        <w:rPr>
          <w:rFonts w:ascii="Times New Roman" w:hAnsi="Times New Roman"/>
          <w:i/>
        </w:rPr>
        <w:t>Dviguba renino, angiotenzino ir aldosterono sistemos (RAAS) blokada</w:t>
      </w:r>
    </w:p>
    <w:p w:rsidR="00444C66" w:rsidRDefault="00444C66">
      <w:pPr>
        <w:widowControl w:val="0"/>
        <w:spacing w:after="0" w:line="240" w:lineRule="auto"/>
        <w:rPr>
          <w:rFonts w:ascii="Times New Roman" w:hAnsi="Times New Roman"/>
        </w:rPr>
      </w:pPr>
      <w:r>
        <w:rPr>
          <w:rFonts w:ascii="Times New Roman" w:hAnsi="Times New Roman"/>
        </w:rPr>
        <w:t>Gauta duomenų, kad kartu vartojant AKF inhibitorių, angiotenzino II receptorių blokatorių ar aliskireno didėja hipotenzijos, hiperkalemijos ir inkstų funkcijos sutrikimo (įskaitant ūminį inkstų nepakankamumą) rizika. Dėl šios priežasties dviguba RAAS blokada, pasireiškianti kartu vartojant AKF inhibitorių, angiotenzino II receptorių blokatorių ar aliskireno, yra nerekomenduojama (žr. 4.5 ir 5.1 skyrius).</w:t>
      </w:r>
    </w:p>
    <w:p w:rsidR="00444C66" w:rsidRDefault="00444C66">
      <w:pPr>
        <w:widowControl w:val="0"/>
        <w:spacing w:after="0" w:line="240" w:lineRule="auto"/>
        <w:rPr>
          <w:rFonts w:ascii="Times New Roman" w:hAnsi="Times New Roman"/>
        </w:rPr>
      </w:pPr>
      <w:r>
        <w:rPr>
          <w:rFonts w:ascii="Times New Roman" w:hAnsi="Times New Roman"/>
        </w:rPr>
        <w:t>Jeigu manoma, kad dvigubą blokadą sukeliantis gydymas yra neabejotinai būtinas, jis galimas tik prižiūrint specialistams ir dažnai bei atidžiai tiriant inkstų funkciją ir nustatant elektrolitų kiekį bei kraujospūdį. Pacientams, kuriems yra diabetinė nefropatija, AKF inhibitorių ir angiotenzino II receptorių blokatorių kartu vartoti nerekomenduojama.</w:t>
      </w:r>
    </w:p>
    <w:p w:rsidR="00444C66" w:rsidRDefault="00444C66">
      <w:pPr>
        <w:widowControl w:val="0"/>
        <w:spacing w:after="0" w:line="240" w:lineRule="auto"/>
        <w:rPr>
          <w:rFonts w:ascii="Times New Roman" w:hAnsi="Times New Roman"/>
        </w:rPr>
      </w:pPr>
    </w:p>
    <w:p w:rsidR="00444C66" w:rsidRDefault="00444C66">
      <w:pPr>
        <w:widowControl w:val="0"/>
        <w:spacing w:after="0" w:line="240" w:lineRule="auto"/>
        <w:rPr>
          <w:rFonts w:ascii="Times New Roman" w:hAnsi="Times New Roman"/>
          <w:i/>
        </w:rPr>
      </w:pPr>
      <w:r>
        <w:rPr>
          <w:rFonts w:ascii="Times New Roman" w:hAnsi="Times New Roman"/>
          <w:i/>
        </w:rPr>
        <w:t>Litis</w:t>
      </w:r>
    </w:p>
    <w:p w:rsidR="00444C66" w:rsidRDefault="00444C66">
      <w:pPr>
        <w:widowControl w:val="0"/>
        <w:spacing w:after="0" w:line="240" w:lineRule="auto"/>
        <w:rPr>
          <w:rFonts w:ascii="Times New Roman" w:hAnsi="Times New Roman"/>
        </w:rPr>
      </w:pPr>
      <w:r>
        <w:rPr>
          <w:rFonts w:ascii="Times New Roman" w:hAnsi="Times New Roman"/>
        </w:rPr>
        <w:t>Olmesartano medoksomilio, kaip ir kitokių angiotenzino II receptorių blokatorių, vartoti kartu su ličiu nerekomenduojama (žr. 4.5 skyrių).</w:t>
      </w:r>
    </w:p>
    <w:p w:rsidR="00444C66" w:rsidRDefault="00444C66">
      <w:pPr>
        <w:widowControl w:val="0"/>
        <w:spacing w:after="0" w:line="240" w:lineRule="auto"/>
        <w:rPr>
          <w:rFonts w:ascii="Times New Roman" w:hAnsi="Times New Roman"/>
        </w:rPr>
      </w:pPr>
    </w:p>
    <w:p w:rsidR="00444C66" w:rsidRDefault="00444C66">
      <w:pPr>
        <w:widowControl w:val="0"/>
        <w:spacing w:after="0" w:line="240" w:lineRule="auto"/>
        <w:rPr>
          <w:rFonts w:ascii="Times New Roman" w:hAnsi="Times New Roman"/>
          <w:i/>
        </w:rPr>
      </w:pPr>
      <w:r>
        <w:rPr>
          <w:rFonts w:ascii="Times New Roman" w:hAnsi="Times New Roman"/>
          <w:i/>
        </w:rPr>
        <w:t>Aortos ar mitralinio vožtuvo stenozė, obstrukcinė hipertrofinė kardiomiopatija</w:t>
      </w:r>
    </w:p>
    <w:p w:rsidR="00444C66" w:rsidRDefault="00444C66">
      <w:pPr>
        <w:widowControl w:val="0"/>
        <w:spacing w:after="0" w:line="240" w:lineRule="auto"/>
        <w:rPr>
          <w:rFonts w:ascii="Times New Roman" w:hAnsi="Times New Roman"/>
        </w:rPr>
      </w:pPr>
      <w:r>
        <w:rPr>
          <w:rFonts w:ascii="Times New Roman" w:hAnsi="Times New Roman"/>
        </w:rPr>
        <w:t>Kaip ir vartojant kitokius kraujagysles plečiančius vaistinius preparatus, labai atsargiai reikia gydyti pacientus, kuriems pasireiškia aortos ar mitralinio vožtuvo stenozė arba obstrukcinė hipertrofinė kardiomiopatija.</w:t>
      </w:r>
    </w:p>
    <w:p w:rsidR="00444C66" w:rsidRDefault="00444C66">
      <w:pPr>
        <w:widowControl w:val="0"/>
        <w:spacing w:after="0" w:line="240" w:lineRule="auto"/>
        <w:rPr>
          <w:rFonts w:ascii="Times New Roman" w:hAnsi="Times New Roman"/>
        </w:rPr>
      </w:pPr>
    </w:p>
    <w:p w:rsidR="00444C66" w:rsidRDefault="00444C66">
      <w:pPr>
        <w:widowControl w:val="0"/>
        <w:spacing w:after="0" w:line="240" w:lineRule="auto"/>
        <w:rPr>
          <w:rFonts w:ascii="Times New Roman" w:hAnsi="Times New Roman"/>
          <w:i/>
        </w:rPr>
      </w:pPr>
      <w:r>
        <w:rPr>
          <w:rFonts w:ascii="Times New Roman" w:hAnsi="Times New Roman"/>
          <w:i/>
        </w:rPr>
        <w:t>Pirminis hiperaldosteronizmas</w:t>
      </w:r>
    </w:p>
    <w:p w:rsidR="00444C66" w:rsidRDefault="00444C66">
      <w:pPr>
        <w:widowControl w:val="0"/>
        <w:spacing w:after="0" w:line="240" w:lineRule="auto"/>
        <w:rPr>
          <w:rFonts w:ascii="Times New Roman" w:hAnsi="Times New Roman"/>
        </w:rPr>
      </w:pPr>
      <w:r>
        <w:rPr>
          <w:rFonts w:ascii="Times New Roman" w:hAnsi="Times New Roman"/>
        </w:rPr>
        <w:t>Pacientai, kuriems pasireiškia pirminis hiperaldosteronizmas, paprastai nereaguoja į antihipertenzinius vaistinius preparatus, kurie slopina renino, angiotenzino ir aldosterono sistemą. Todėl tokiems pacientams olmesartano medoksomilio vartoti nerekomenduojama.</w:t>
      </w:r>
    </w:p>
    <w:p w:rsidR="00444C66" w:rsidRDefault="00444C66">
      <w:pPr>
        <w:widowControl w:val="0"/>
        <w:spacing w:after="0" w:line="240" w:lineRule="auto"/>
        <w:rPr>
          <w:rFonts w:ascii="Times New Roman" w:hAnsi="Times New Roman"/>
        </w:rPr>
      </w:pPr>
    </w:p>
    <w:p w:rsidR="00444C66" w:rsidRDefault="00444C66">
      <w:pPr>
        <w:widowControl w:val="0"/>
        <w:tabs>
          <w:tab w:val="left" w:pos="540"/>
          <w:tab w:val="left" w:pos="2127"/>
          <w:tab w:val="left" w:pos="2977"/>
        </w:tabs>
        <w:spacing w:after="0" w:line="240" w:lineRule="auto"/>
        <w:rPr>
          <w:rFonts w:ascii="Times New Roman" w:eastAsia="Times New Roman" w:hAnsi="Times New Roman"/>
          <w:i/>
          <w:u w:val="single"/>
        </w:rPr>
      </w:pPr>
      <w:r>
        <w:rPr>
          <w:rFonts w:ascii="Times New Roman" w:eastAsia="Times New Roman" w:hAnsi="Times New Roman"/>
          <w:i/>
          <w:u w:val="single"/>
        </w:rPr>
        <w:t>Į žarnyno sindromą panaši enteropatija</w:t>
      </w:r>
    </w:p>
    <w:p w:rsidR="00444C66" w:rsidRDefault="00444C66">
      <w:pPr>
        <w:widowControl w:val="0"/>
        <w:tabs>
          <w:tab w:val="left" w:pos="540"/>
          <w:tab w:val="left" w:pos="2127"/>
          <w:tab w:val="left" w:pos="2977"/>
        </w:tabs>
        <w:spacing w:after="0" w:line="240" w:lineRule="auto"/>
        <w:rPr>
          <w:rFonts w:ascii="Times New Roman" w:eastAsia="Times New Roman" w:hAnsi="Times New Roman"/>
        </w:rPr>
      </w:pPr>
      <w:r>
        <w:rPr>
          <w:rFonts w:ascii="Times New Roman" w:eastAsia="Times New Roman" w:hAnsi="Times New Roman"/>
        </w:rPr>
        <w:t>Labai retais atvejais pacientams, vartojantiems olmesartaną, po kelių mėnesių ar metų nuo gydymo pradžios gali vystytis sunkus lėtinis viduriavimas, lydimas žymaus kūno svorio sumažėjimo. Tokių pacientų žarnų biopsijos rezultatai dažnai parodydavo žarnyno gaurelių atrofiją. Jeigu gydomam olmesartanu pacientui yra minėti požymiai, atmeskite kitas galimas priežastis. Aptarkite tolesnio gydymo olmesartanu klausimą jeigu kitokių priežasčių nebuvo nustatyta.</w:t>
      </w:r>
    </w:p>
    <w:p w:rsidR="00444C66" w:rsidRDefault="00444C66">
      <w:pPr>
        <w:widowControl w:val="0"/>
        <w:spacing w:after="0" w:line="240" w:lineRule="auto"/>
        <w:rPr>
          <w:rFonts w:ascii="Times New Roman" w:eastAsia="Times New Roman" w:hAnsi="Times New Roman"/>
          <w:lang w:eastAsia="sl-SI"/>
        </w:rPr>
      </w:pPr>
    </w:p>
    <w:p w:rsidR="00444C66" w:rsidRDefault="00444C66">
      <w:pPr>
        <w:widowControl w:val="0"/>
        <w:spacing w:after="0" w:line="240" w:lineRule="auto"/>
        <w:rPr>
          <w:rFonts w:ascii="Times New Roman" w:hAnsi="Times New Roman"/>
          <w:i/>
        </w:rPr>
      </w:pPr>
      <w:r>
        <w:rPr>
          <w:rFonts w:ascii="Times New Roman" w:hAnsi="Times New Roman"/>
          <w:i/>
        </w:rPr>
        <w:t>Etniniai skirtumai</w:t>
      </w:r>
    </w:p>
    <w:p w:rsidR="00444C66" w:rsidRDefault="00444C66">
      <w:pPr>
        <w:widowControl w:val="0"/>
        <w:spacing w:after="0" w:line="240" w:lineRule="auto"/>
        <w:rPr>
          <w:rFonts w:ascii="Times New Roman" w:hAnsi="Times New Roman"/>
        </w:rPr>
      </w:pPr>
      <w:r>
        <w:rPr>
          <w:rFonts w:ascii="Times New Roman" w:hAnsi="Times New Roman"/>
        </w:rPr>
        <w:lastRenderedPageBreak/>
        <w:t>Olmesartano medoksomilio, kaip ir kitokių angiotenzino II receptorių blokatorių, kraujospūdį mažinantis poveikis juodaodžiams yra šiek tiek silpnesnis nei kitų rasių pacientams greičiausiai dėl to, kad hipertenzija sergančių juodaodžių serume dažniau būna maža renino koncentracija, palyginti su kitų rasių pacientais.</w:t>
      </w:r>
    </w:p>
    <w:p w:rsidR="00444C66" w:rsidRDefault="00444C66">
      <w:pPr>
        <w:widowControl w:val="0"/>
        <w:spacing w:after="0" w:line="240" w:lineRule="auto"/>
        <w:rPr>
          <w:rFonts w:ascii="Times New Roman" w:hAnsi="Times New Roman"/>
        </w:rPr>
      </w:pPr>
    </w:p>
    <w:p w:rsidR="00444C66" w:rsidRDefault="00444C66">
      <w:pPr>
        <w:widowControl w:val="0"/>
        <w:spacing w:after="0" w:line="240" w:lineRule="auto"/>
        <w:rPr>
          <w:rFonts w:ascii="Times New Roman" w:hAnsi="Times New Roman"/>
          <w:i/>
        </w:rPr>
      </w:pPr>
      <w:r>
        <w:rPr>
          <w:rFonts w:ascii="Times New Roman" w:hAnsi="Times New Roman"/>
          <w:i/>
        </w:rPr>
        <w:t>Nėštumas</w:t>
      </w:r>
    </w:p>
    <w:p w:rsidR="00444C66" w:rsidRDefault="00444C66">
      <w:pPr>
        <w:widowControl w:val="0"/>
        <w:spacing w:after="0" w:line="240" w:lineRule="auto"/>
        <w:rPr>
          <w:rFonts w:ascii="Times New Roman" w:hAnsi="Times New Roman"/>
        </w:rPr>
      </w:pPr>
      <w:r>
        <w:rPr>
          <w:rFonts w:ascii="Times New Roman" w:hAnsi="Times New Roman"/>
        </w:rPr>
        <w:t>Angiotenzino II receptorių blokatorių (AIIRB) negalima pradėti vartoti nėštumo metu. Jeigu nusprendžiama, kad būtina tęsti gydymą AIIRB, pastoti planuojančių pacienčių gydymą reikia keisti ir skirti vartoti kitokius antihipertenzinius vaistinius preparatus, kurių vartojimo saugumas nėštumo metu įrodytas. Diagnozavus nėštumą, gydymą AIIRB reikia nedelsiant nutraukti ir, jeigu tinka, pradėti kitokį gydymą (žr. 4.3 ir 4.6 skyrius).</w:t>
      </w:r>
    </w:p>
    <w:p w:rsidR="00444C66" w:rsidRDefault="00444C66">
      <w:pPr>
        <w:widowControl w:val="0"/>
        <w:spacing w:after="0" w:line="240" w:lineRule="auto"/>
        <w:rPr>
          <w:rFonts w:ascii="Times New Roman" w:hAnsi="Times New Roman"/>
        </w:rPr>
      </w:pPr>
    </w:p>
    <w:p w:rsidR="00444C66" w:rsidRDefault="00444C66">
      <w:pPr>
        <w:widowControl w:val="0"/>
        <w:spacing w:after="0" w:line="240" w:lineRule="auto"/>
        <w:rPr>
          <w:rFonts w:ascii="Times New Roman" w:hAnsi="Times New Roman"/>
          <w:i/>
        </w:rPr>
      </w:pPr>
      <w:r>
        <w:rPr>
          <w:rFonts w:ascii="Times New Roman" w:hAnsi="Times New Roman"/>
          <w:i/>
        </w:rPr>
        <w:t>Kita</w:t>
      </w:r>
    </w:p>
    <w:p w:rsidR="00444C66" w:rsidRDefault="00444C66">
      <w:pPr>
        <w:widowControl w:val="0"/>
        <w:spacing w:after="0" w:line="240" w:lineRule="auto"/>
        <w:rPr>
          <w:rFonts w:ascii="Times New Roman" w:hAnsi="Times New Roman"/>
        </w:rPr>
      </w:pPr>
      <w:r>
        <w:rPr>
          <w:rFonts w:ascii="Times New Roman" w:hAnsi="Times New Roman"/>
        </w:rPr>
        <w:t>Kaip ir vartojant kitokius antihipertenzinius vaistinius preparatus, labai sumažėjus pacientų, kurie serga išemine širdies liga arba išemine cerebrovaskuline liga, kraujospūdžiui gali ištikti miokardo infarktas arba insultas.</w:t>
      </w:r>
    </w:p>
    <w:p w:rsidR="00444C66" w:rsidRDefault="00444C66">
      <w:pPr>
        <w:widowControl w:val="0"/>
        <w:tabs>
          <w:tab w:val="left" w:pos="567"/>
        </w:tabs>
        <w:spacing w:after="0" w:line="240" w:lineRule="auto"/>
        <w:rPr>
          <w:rFonts w:ascii="Times New Roman" w:hAnsi="Times New Roman"/>
        </w:rPr>
      </w:pPr>
    </w:p>
    <w:p w:rsidR="00444C66" w:rsidRDefault="00444C66">
      <w:pPr>
        <w:widowControl w:val="0"/>
        <w:tabs>
          <w:tab w:val="left" w:pos="426"/>
          <w:tab w:val="left" w:pos="851"/>
        </w:tabs>
        <w:spacing w:after="0" w:line="240" w:lineRule="auto"/>
        <w:rPr>
          <w:rFonts w:ascii="Times New Roman" w:hAnsi="Times New Roman"/>
        </w:rPr>
      </w:pPr>
      <w:r>
        <w:rPr>
          <w:rFonts w:ascii="Times New Roman" w:hAnsi="Times New Roman"/>
        </w:rPr>
        <w:t>Olimestra sudėtyje yra laktozės. Šio vaistinio preparato negalima vartoti pacientams, kuriems nustatytas retas paveldimas sutrikimas – visiškas laktazės stygius arba gliukozės ir galaktozės malabsorbcija.</w:t>
      </w:r>
    </w:p>
    <w:p w:rsidR="00444C66" w:rsidRDefault="00444C66">
      <w:pPr>
        <w:widowControl w:val="0"/>
        <w:tabs>
          <w:tab w:val="left" w:pos="567"/>
        </w:tabs>
        <w:spacing w:after="0" w:line="240" w:lineRule="auto"/>
        <w:rPr>
          <w:rFonts w:ascii="Times New Roman" w:hAnsi="Times New Roman"/>
        </w:rPr>
      </w:pPr>
    </w:p>
    <w:p w:rsidR="00444C66" w:rsidRDefault="00444C66">
      <w:pPr>
        <w:widowControl w:val="0"/>
        <w:tabs>
          <w:tab w:val="left" w:pos="567"/>
        </w:tabs>
        <w:spacing w:after="0" w:line="240" w:lineRule="auto"/>
        <w:ind w:left="567" w:hanging="567"/>
        <w:rPr>
          <w:rFonts w:ascii="Times New Roman" w:hAnsi="Times New Roman"/>
        </w:rPr>
      </w:pPr>
      <w:r>
        <w:rPr>
          <w:rFonts w:ascii="Times New Roman" w:hAnsi="Times New Roman"/>
          <w:b/>
        </w:rPr>
        <w:t>4.5</w:t>
      </w:r>
      <w:r>
        <w:rPr>
          <w:rFonts w:ascii="Times New Roman" w:hAnsi="Times New Roman"/>
          <w:b/>
        </w:rPr>
        <w:tab/>
        <w:t>Sąveika su kitais vaistiniais preparatais ir kitokia sąveika</w:t>
      </w:r>
    </w:p>
    <w:p w:rsidR="00444C66" w:rsidRDefault="00444C66">
      <w:pPr>
        <w:widowControl w:val="0"/>
        <w:tabs>
          <w:tab w:val="left" w:pos="567"/>
        </w:tabs>
        <w:spacing w:after="0" w:line="240" w:lineRule="auto"/>
        <w:rPr>
          <w:rFonts w:ascii="Times New Roman" w:hAnsi="Times New Roman"/>
        </w:rPr>
      </w:pPr>
    </w:p>
    <w:p w:rsidR="00444C66" w:rsidRDefault="00444C66">
      <w:pPr>
        <w:widowControl w:val="0"/>
        <w:tabs>
          <w:tab w:val="left" w:pos="567"/>
        </w:tabs>
        <w:spacing w:after="0" w:line="240" w:lineRule="auto"/>
        <w:rPr>
          <w:rFonts w:ascii="Times New Roman" w:hAnsi="Times New Roman"/>
        </w:rPr>
      </w:pPr>
      <w:r>
        <w:rPr>
          <w:rFonts w:ascii="Times New Roman" w:hAnsi="Times New Roman"/>
        </w:rPr>
        <w:t>Vaikų populiacija</w:t>
      </w:r>
    </w:p>
    <w:p w:rsidR="00444C66" w:rsidRDefault="00444C66">
      <w:pPr>
        <w:widowControl w:val="0"/>
        <w:spacing w:after="0" w:line="240" w:lineRule="auto"/>
        <w:rPr>
          <w:rFonts w:ascii="Times New Roman" w:hAnsi="Times New Roman"/>
        </w:rPr>
      </w:pPr>
      <w:r>
        <w:rPr>
          <w:rFonts w:ascii="Times New Roman" w:hAnsi="Times New Roman"/>
        </w:rPr>
        <w:t>Sąveikos tyrimai atlikti tik suaugusiesiems.</w:t>
      </w:r>
    </w:p>
    <w:p w:rsidR="00444C66" w:rsidRDefault="00444C66">
      <w:pPr>
        <w:widowControl w:val="0"/>
        <w:spacing w:after="0" w:line="240" w:lineRule="auto"/>
        <w:rPr>
          <w:rFonts w:ascii="Times New Roman" w:hAnsi="Times New Roman"/>
        </w:rPr>
      </w:pPr>
    </w:p>
    <w:p w:rsidR="00444C66" w:rsidRDefault="00444C66">
      <w:pPr>
        <w:widowControl w:val="0"/>
        <w:spacing w:after="0" w:line="240" w:lineRule="auto"/>
        <w:rPr>
          <w:rFonts w:ascii="Times New Roman" w:hAnsi="Times New Roman"/>
        </w:rPr>
      </w:pPr>
      <w:r>
        <w:rPr>
          <w:rFonts w:ascii="Times New Roman" w:hAnsi="Times New Roman"/>
        </w:rPr>
        <w:t>Nėra žinoma ar sąveika vaikams yra tokia pati kaip suaugusiems.</w:t>
      </w:r>
    </w:p>
    <w:p w:rsidR="00444C66" w:rsidRDefault="00444C66">
      <w:pPr>
        <w:widowControl w:val="0"/>
        <w:spacing w:after="0" w:line="240" w:lineRule="auto"/>
        <w:rPr>
          <w:rFonts w:ascii="Times New Roman" w:hAnsi="Times New Roman"/>
        </w:rPr>
      </w:pPr>
    </w:p>
    <w:p w:rsidR="00444C66" w:rsidRDefault="00444C66">
      <w:pPr>
        <w:widowControl w:val="0"/>
        <w:spacing w:after="0" w:line="240" w:lineRule="auto"/>
        <w:rPr>
          <w:rFonts w:ascii="Times New Roman" w:hAnsi="Times New Roman"/>
          <w:u w:val="single"/>
        </w:rPr>
      </w:pPr>
      <w:r>
        <w:rPr>
          <w:rFonts w:ascii="Times New Roman" w:hAnsi="Times New Roman"/>
          <w:u w:val="single"/>
        </w:rPr>
        <w:t>Kitų vaistinių preparatų poveikis olmesartano medoksomiliui</w:t>
      </w:r>
    </w:p>
    <w:p w:rsidR="00444C66" w:rsidRDefault="00444C66">
      <w:pPr>
        <w:widowControl w:val="0"/>
        <w:spacing w:after="0" w:line="240" w:lineRule="auto"/>
        <w:rPr>
          <w:rFonts w:ascii="Times New Roman" w:hAnsi="Times New Roman"/>
          <w:u w:val="single"/>
        </w:rPr>
      </w:pPr>
    </w:p>
    <w:p w:rsidR="00444C66" w:rsidRDefault="00444C66">
      <w:pPr>
        <w:widowControl w:val="0"/>
        <w:spacing w:after="0" w:line="240" w:lineRule="auto"/>
        <w:rPr>
          <w:rFonts w:ascii="Times New Roman" w:hAnsi="Times New Roman"/>
        </w:rPr>
      </w:pPr>
      <w:r>
        <w:rPr>
          <w:rFonts w:ascii="Times New Roman" w:hAnsi="Times New Roman"/>
          <w:i/>
        </w:rPr>
        <w:t>Kitokie antihipertenziniai vaistiniai preparatai</w:t>
      </w:r>
    </w:p>
    <w:p w:rsidR="00444C66" w:rsidRDefault="00444C66">
      <w:pPr>
        <w:widowControl w:val="0"/>
        <w:spacing w:after="0" w:line="240" w:lineRule="auto"/>
        <w:rPr>
          <w:rFonts w:ascii="Times New Roman" w:hAnsi="Times New Roman"/>
        </w:rPr>
      </w:pPr>
      <w:r>
        <w:rPr>
          <w:rFonts w:ascii="Times New Roman" w:hAnsi="Times New Roman"/>
        </w:rPr>
        <w:t>Olmesartano medoksomilio kraujospūdį mažinantis poveikis gali sustiprėti vartojant kartu su kitokiais antihipertenziniais vaistiniais preparatais.</w:t>
      </w:r>
    </w:p>
    <w:p w:rsidR="00444C66" w:rsidRDefault="00444C66">
      <w:pPr>
        <w:widowControl w:val="0"/>
        <w:spacing w:after="0" w:line="240" w:lineRule="auto"/>
        <w:rPr>
          <w:rFonts w:ascii="Times New Roman" w:hAnsi="Times New Roman"/>
          <w:u w:val="single"/>
        </w:rPr>
      </w:pPr>
    </w:p>
    <w:p w:rsidR="00444C66" w:rsidRDefault="00444C66">
      <w:pPr>
        <w:widowControl w:val="0"/>
        <w:spacing w:after="0" w:line="240" w:lineRule="auto"/>
        <w:rPr>
          <w:rFonts w:ascii="Times New Roman" w:eastAsia="Times New Roman" w:hAnsi="Times New Roman"/>
        </w:rPr>
      </w:pPr>
      <w:r>
        <w:rPr>
          <w:rFonts w:ascii="Times New Roman" w:eastAsia="Times New Roman" w:hAnsi="Times New Roman"/>
          <w:i/>
          <w:iCs/>
        </w:rPr>
        <w:t>AKF inhibitoriai, angiotenzino II receptorių blokatoriai ar aliskireno deriniai</w:t>
      </w:r>
    </w:p>
    <w:p w:rsidR="00444C66" w:rsidRDefault="00444C66">
      <w:pPr>
        <w:widowControl w:val="0"/>
        <w:tabs>
          <w:tab w:val="left" w:pos="540"/>
          <w:tab w:val="left" w:pos="2127"/>
          <w:tab w:val="left" w:pos="2977"/>
        </w:tabs>
        <w:spacing w:after="0" w:line="240" w:lineRule="auto"/>
        <w:rPr>
          <w:rFonts w:ascii="Times New Roman" w:eastAsia="Times New Roman" w:hAnsi="Times New Roman"/>
        </w:rPr>
      </w:pPr>
      <w:r>
        <w:rPr>
          <w:rFonts w:ascii="Times New Roman" w:eastAsia="Times New Roman" w:hAnsi="Times New Roman"/>
        </w:rPr>
        <w:t>Klinikinių tyrimų duomenys parodė, kad, palyginti su vieno RAAS veikiančio preparato vartojimu, dvigubas renino, angiotenzino ir aldosterono sistemos (RAAS) nuslopinimas, kai vartojamas AKF inhibitorių, angiotenzino II receptorių blokatorių ar aliskireno derinys, siejamas su dažniau pasitaikančiais nepageidaujamais reiškiniais, tokiais kaip hipotenzija, hiperkalemija ir inkstų funkcijos susilpnėjimas (įskaitant ūminį inkstų nepakankamumą).(žr. 4.3, 4.4 ir 5.1 skyrius).</w:t>
      </w:r>
    </w:p>
    <w:p w:rsidR="00444C66" w:rsidRDefault="00444C66">
      <w:pPr>
        <w:widowControl w:val="0"/>
        <w:spacing w:after="0" w:line="240" w:lineRule="auto"/>
        <w:rPr>
          <w:rFonts w:ascii="Times New Roman" w:eastAsia="Times New Roman" w:hAnsi="Times New Roman"/>
          <w:u w:val="single"/>
          <w:lang w:eastAsia="sl-SI"/>
        </w:rPr>
      </w:pPr>
    </w:p>
    <w:p w:rsidR="00444C66" w:rsidRDefault="00444C66">
      <w:pPr>
        <w:widowControl w:val="0"/>
        <w:spacing w:after="0" w:line="240" w:lineRule="auto"/>
        <w:rPr>
          <w:rFonts w:ascii="Times New Roman" w:hAnsi="Times New Roman"/>
        </w:rPr>
      </w:pPr>
      <w:r>
        <w:rPr>
          <w:rFonts w:ascii="Times New Roman" w:hAnsi="Times New Roman"/>
          <w:i/>
        </w:rPr>
        <w:t>Kalio papildai ir kalį organizme sulaikantys diuretikai</w:t>
      </w:r>
    </w:p>
    <w:p w:rsidR="00444C66" w:rsidRDefault="00444C66">
      <w:pPr>
        <w:widowControl w:val="0"/>
        <w:spacing w:after="0" w:line="240" w:lineRule="auto"/>
        <w:rPr>
          <w:rFonts w:ascii="Times New Roman" w:hAnsi="Times New Roman"/>
        </w:rPr>
      </w:pPr>
      <w:r>
        <w:rPr>
          <w:rFonts w:ascii="Times New Roman" w:hAnsi="Times New Roman"/>
        </w:rPr>
        <w:t>Remiantis kitokių vaistinių preparatų, kurie veikia renino, angiotenzino ir aldosterono sistemą, vartojimo patirtimi, dėl kalį organizme sulaikančių diuretikų, kalio papildų, druskų pakaitalų, kurių sudėtyje yra kalio, arba kitokių vaistinių preparatų, kurie gali didinti kalio koncentraciją serume (pvz., heparino), vartojimo kartu serume gali padaugėti kalio (žr. 4.4 skyrių). Todėl vartoti kartu nerekomenduojama.</w:t>
      </w:r>
    </w:p>
    <w:p w:rsidR="00444C66" w:rsidRDefault="00444C66">
      <w:pPr>
        <w:widowControl w:val="0"/>
        <w:spacing w:after="0" w:line="240" w:lineRule="auto"/>
        <w:rPr>
          <w:rFonts w:ascii="Times New Roman" w:hAnsi="Times New Roman"/>
        </w:rPr>
      </w:pPr>
    </w:p>
    <w:p w:rsidR="00444C66" w:rsidRDefault="00444C66">
      <w:pPr>
        <w:widowControl w:val="0"/>
        <w:spacing w:after="0" w:line="240" w:lineRule="auto"/>
        <w:rPr>
          <w:rFonts w:ascii="Times New Roman" w:hAnsi="Times New Roman"/>
        </w:rPr>
      </w:pPr>
      <w:r>
        <w:rPr>
          <w:rFonts w:ascii="Times New Roman" w:hAnsi="Times New Roman"/>
          <w:i/>
        </w:rPr>
        <w:t>Nesteroidiniai vaistai nuo uždegimo (NVNU)</w:t>
      </w:r>
    </w:p>
    <w:p w:rsidR="00444C66" w:rsidRDefault="00444C66">
      <w:pPr>
        <w:widowControl w:val="0"/>
        <w:spacing w:after="0" w:line="240" w:lineRule="auto"/>
        <w:rPr>
          <w:rFonts w:ascii="Times New Roman" w:hAnsi="Times New Roman"/>
        </w:rPr>
      </w:pPr>
      <w:r>
        <w:rPr>
          <w:rFonts w:ascii="Times New Roman" w:hAnsi="Times New Roman"/>
        </w:rPr>
        <w:t>NVNU (įskaitant didesnes kaip 3 g acetilsalicilo rūgšties dozes per parą, o taip pat COX-2 inhibitorius) ir angiotenzino II receptorių blokatoriai gali veikti sinergistiškai mažindami glomerulų filtraciją. NVNU vartojant kartu su angiotenzino II receptorių blokatoriais kyla ūminio inkstų nepakankamumo rizika. Rekomenduojama pradėjus gydymą stebėti inkstų funkciją ir pacientui reguliariai vartoti skysčių.</w:t>
      </w:r>
    </w:p>
    <w:p w:rsidR="00444C66" w:rsidRDefault="00444C66">
      <w:pPr>
        <w:widowControl w:val="0"/>
        <w:spacing w:after="0" w:line="240" w:lineRule="auto"/>
        <w:rPr>
          <w:rFonts w:ascii="Times New Roman" w:hAnsi="Times New Roman"/>
        </w:rPr>
      </w:pPr>
      <w:r>
        <w:rPr>
          <w:rFonts w:ascii="Times New Roman" w:hAnsi="Times New Roman"/>
        </w:rPr>
        <w:t>Be to, vartojant kartu, gali sumažėti antihipertenzinis angiotenzino II receptorių blokatoriaus poveikis ir dėl to iš dalies sumažėti veiksmingumas.</w:t>
      </w:r>
    </w:p>
    <w:p w:rsidR="00444C66" w:rsidRDefault="00444C66">
      <w:pPr>
        <w:widowControl w:val="0"/>
        <w:spacing w:after="0" w:line="240" w:lineRule="auto"/>
        <w:rPr>
          <w:rFonts w:ascii="Times New Roman" w:eastAsia="Times New Roman" w:hAnsi="Times New Roman"/>
          <w:lang w:eastAsia="sl-SI"/>
        </w:rPr>
      </w:pPr>
    </w:p>
    <w:p w:rsidR="00444C66" w:rsidRDefault="00444C66">
      <w:pPr>
        <w:widowControl w:val="0"/>
        <w:spacing w:after="0" w:line="240" w:lineRule="auto"/>
        <w:jc w:val="both"/>
        <w:rPr>
          <w:rFonts w:ascii="Times New Roman" w:eastAsia="Times New Roman" w:hAnsi="Times New Roman"/>
          <w:i/>
          <w:noProof/>
          <w:color w:val="000000"/>
          <w:lang w:val="en-GB" w:eastAsia="lt-LT"/>
        </w:rPr>
      </w:pPr>
      <w:r>
        <w:rPr>
          <w:rFonts w:ascii="Times New Roman" w:eastAsia="Times New Roman" w:hAnsi="Times New Roman"/>
          <w:i/>
          <w:noProof/>
          <w:color w:val="000000"/>
          <w:lang w:val="en-GB" w:eastAsia="lt-LT"/>
        </w:rPr>
        <w:t>Tulžies rūgštis surišantis vaistinis preparatas kolesevelamas</w:t>
      </w:r>
    </w:p>
    <w:p w:rsidR="00444C66" w:rsidRDefault="00444C66">
      <w:pPr>
        <w:widowControl w:val="0"/>
        <w:tabs>
          <w:tab w:val="left" w:pos="540"/>
          <w:tab w:val="left" w:pos="2127"/>
          <w:tab w:val="left" w:pos="2977"/>
        </w:tabs>
        <w:spacing w:after="0" w:line="240" w:lineRule="auto"/>
        <w:rPr>
          <w:rFonts w:ascii="Times New Roman" w:eastAsia="Times New Roman" w:hAnsi="Times New Roman"/>
          <w:color w:val="000000"/>
        </w:rPr>
      </w:pPr>
      <w:r>
        <w:rPr>
          <w:rFonts w:ascii="Times New Roman" w:eastAsia="Times New Roman" w:hAnsi="Times New Roman"/>
          <w:color w:val="000000"/>
        </w:rPr>
        <w:t>Vartojant olmesartaną kartu su tulžies rūgštis surišančiu vaistiniu preparatu kolesevelamo hidrochloridu, tai mažina olmesartano biologinį prieinamumą ir maksimalią plazmos koncentraciją. Jeigu olmesartanas vartojamas bent 4 val. prieš kolesevelamo hidrochloridą, minėta sąveika yra mažesnė. Todėl olmesartano medoksomilio rekomenduojama vartoti bent 4 val. prieš geriant kolesevelamo hidrochlorido (žr. 5.2 skyrių).</w:t>
      </w:r>
    </w:p>
    <w:p w:rsidR="00444C66" w:rsidRDefault="00444C66">
      <w:pPr>
        <w:widowControl w:val="0"/>
        <w:spacing w:after="0" w:line="240" w:lineRule="auto"/>
        <w:rPr>
          <w:rFonts w:ascii="Times New Roman" w:hAnsi="Times New Roman"/>
        </w:rPr>
      </w:pPr>
    </w:p>
    <w:p w:rsidR="00444C66" w:rsidRDefault="00444C66">
      <w:pPr>
        <w:widowControl w:val="0"/>
        <w:spacing w:after="0" w:line="240" w:lineRule="auto"/>
        <w:rPr>
          <w:rFonts w:ascii="Times New Roman" w:hAnsi="Times New Roman"/>
        </w:rPr>
      </w:pPr>
      <w:r>
        <w:rPr>
          <w:rFonts w:ascii="Times New Roman" w:hAnsi="Times New Roman"/>
          <w:i/>
        </w:rPr>
        <w:t>Kitos medžiagos</w:t>
      </w:r>
    </w:p>
    <w:p w:rsidR="00444C66" w:rsidRDefault="00444C66">
      <w:pPr>
        <w:widowControl w:val="0"/>
        <w:spacing w:after="0" w:line="240" w:lineRule="auto"/>
        <w:rPr>
          <w:rFonts w:ascii="Times New Roman" w:hAnsi="Times New Roman"/>
        </w:rPr>
      </w:pPr>
      <w:r>
        <w:rPr>
          <w:rFonts w:ascii="Times New Roman" w:hAnsi="Times New Roman"/>
        </w:rPr>
        <w:t>Pavartojus antacidinių preparatų (aliuminio ar magnio hidroksidų), vidutiniškai sumažėjo olmesartano biologinis prieinamumas. Varfarino ar digoksino vartojimas kartu įtakos olmesartano farmakokinetikai neturėjo.</w:t>
      </w:r>
    </w:p>
    <w:p w:rsidR="00444C66" w:rsidRDefault="00444C66">
      <w:pPr>
        <w:widowControl w:val="0"/>
        <w:spacing w:after="0" w:line="240" w:lineRule="auto"/>
        <w:rPr>
          <w:rFonts w:ascii="Times New Roman" w:hAnsi="Times New Roman"/>
        </w:rPr>
      </w:pPr>
    </w:p>
    <w:p w:rsidR="00444C66" w:rsidRDefault="00444C66">
      <w:pPr>
        <w:widowControl w:val="0"/>
        <w:tabs>
          <w:tab w:val="left" w:pos="426"/>
          <w:tab w:val="left" w:pos="851"/>
        </w:tabs>
        <w:spacing w:after="0" w:line="240" w:lineRule="auto"/>
        <w:rPr>
          <w:rFonts w:ascii="Times New Roman" w:hAnsi="Times New Roman"/>
          <w:i/>
        </w:rPr>
      </w:pPr>
      <w:r>
        <w:rPr>
          <w:rFonts w:ascii="Times New Roman" w:hAnsi="Times New Roman"/>
          <w:i/>
        </w:rPr>
        <w:t>Dviguba renino, angiotenzino ir aldosterono sistemos (RAAS) blokada</w:t>
      </w:r>
    </w:p>
    <w:p w:rsidR="00444C66" w:rsidRDefault="00444C66">
      <w:pPr>
        <w:widowControl w:val="0"/>
        <w:spacing w:after="0" w:line="240" w:lineRule="auto"/>
        <w:rPr>
          <w:rFonts w:ascii="Times New Roman" w:hAnsi="Times New Roman"/>
        </w:rPr>
      </w:pPr>
      <w:r>
        <w:rPr>
          <w:rFonts w:ascii="Times New Roman" w:hAnsi="Times New Roman"/>
        </w:rPr>
        <w:t>Klinikinių tyrimų metu gauti duomenys rodo, kad dviguba renino, angiotenzino ir aldosterono sistemos (RAAS) blokada, pasireiškianti kartu vartojant AKF inhibitorių, angiotenzino II receptorių blokatorių ar aliskireno, yra susijusi su tokių nepageidaujamų reiškinių kaip hipotenzija, hiperkalemija ir inkstų funkcijos sutrikimas (įskaitant ūminį inkstų nepakankamumą), dažnio padidėjimu, palyginti su dažniu, būnančiu vartojant vieną RAAS veikiantį vaistinį preparatą (žr. 4.3, 4.4 ir 5.1 skyrius).</w:t>
      </w:r>
    </w:p>
    <w:p w:rsidR="00444C66" w:rsidRDefault="00444C66">
      <w:pPr>
        <w:widowControl w:val="0"/>
        <w:spacing w:after="0" w:line="240" w:lineRule="auto"/>
        <w:rPr>
          <w:rFonts w:ascii="Times New Roman" w:hAnsi="Times New Roman"/>
        </w:rPr>
      </w:pPr>
    </w:p>
    <w:p w:rsidR="00444C66" w:rsidRDefault="00444C66">
      <w:pPr>
        <w:widowControl w:val="0"/>
        <w:spacing w:after="0" w:line="240" w:lineRule="auto"/>
        <w:rPr>
          <w:rFonts w:ascii="Times New Roman" w:hAnsi="Times New Roman"/>
          <w:u w:val="single"/>
        </w:rPr>
      </w:pPr>
      <w:r>
        <w:rPr>
          <w:rFonts w:ascii="Times New Roman" w:hAnsi="Times New Roman"/>
          <w:u w:val="single"/>
        </w:rPr>
        <w:t>Olmesartano medoksomilio poveikis kitokiems vaistiniams preparatams</w:t>
      </w:r>
    </w:p>
    <w:p w:rsidR="00444C66" w:rsidRDefault="00444C66">
      <w:pPr>
        <w:widowControl w:val="0"/>
        <w:spacing w:after="0" w:line="240" w:lineRule="auto"/>
        <w:rPr>
          <w:rFonts w:ascii="Times New Roman" w:hAnsi="Times New Roman"/>
          <w:b/>
        </w:rPr>
      </w:pPr>
    </w:p>
    <w:p w:rsidR="00444C66" w:rsidRDefault="00444C66">
      <w:pPr>
        <w:widowControl w:val="0"/>
        <w:spacing w:after="0" w:line="240" w:lineRule="auto"/>
        <w:rPr>
          <w:rFonts w:ascii="Times New Roman" w:hAnsi="Times New Roman"/>
        </w:rPr>
      </w:pPr>
      <w:r>
        <w:rPr>
          <w:rFonts w:ascii="Times New Roman" w:hAnsi="Times New Roman"/>
          <w:i/>
        </w:rPr>
        <w:t>Litis</w:t>
      </w:r>
    </w:p>
    <w:p w:rsidR="00444C66" w:rsidRDefault="00444C66">
      <w:pPr>
        <w:widowControl w:val="0"/>
        <w:spacing w:after="0" w:line="240" w:lineRule="auto"/>
        <w:rPr>
          <w:rFonts w:ascii="Times New Roman" w:hAnsi="Times New Roman"/>
        </w:rPr>
      </w:pPr>
      <w:r>
        <w:rPr>
          <w:rFonts w:ascii="Times New Roman" w:hAnsi="Times New Roman"/>
        </w:rPr>
        <w:t>Litį vartojant kartu su angiotenziną konvertuojančio fermento inhibitoriais ir angiotenzino II receptorių blokatoriais, pasireiškė grįžtamas ličio koncentracijos serume padidėjimas. Todėl olmesartano medoksomilį vartoti kartu su ličiu nerekomenduojama (žr. 4.4 skyrių). Jeigu nusprendžiama, kad vaistinius preparatus vartoti kartu būtina, rekomenduojama atidžiai stebėti ličio koncentracijas serume.</w:t>
      </w:r>
    </w:p>
    <w:p w:rsidR="00444C66" w:rsidRDefault="00444C66">
      <w:pPr>
        <w:widowControl w:val="0"/>
        <w:spacing w:after="0" w:line="240" w:lineRule="auto"/>
        <w:rPr>
          <w:rFonts w:ascii="Times New Roman" w:hAnsi="Times New Roman"/>
          <w:i/>
        </w:rPr>
      </w:pPr>
    </w:p>
    <w:p w:rsidR="00444C66" w:rsidRDefault="00444C66">
      <w:pPr>
        <w:widowControl w:val="0"/>
        <w:spacing w:after="0" w:line="240" w:lineRule="auto"/>
        <w:rPr>
          <w:rFonts w:ascii="Times New Roman" w:hAnsi="Times New Roman"/>
        </w:rPr>
      </w:pPr>
      <w:r>
        <w:rPr>
          <w:rFonts w:ascii="Times New Roman" w:hAnsi="Times New Roman"/>
          <w:i/>
        </w:rPr>
        <w:t>Kitos medžiagos</w:t>
      </w:r>
    </w:p>
    <w:p w:rsidR="00444C66" w:rsidRDefault="00444C66">
      <w:pPr>
        <w:widowControl w:val="0"/>
        <w:spacing w:after="0" w:line="240" w:lineRule="auto"/>
        <w:rPr>
          <w:rFonts w:ascii="Times New Roman" w:hAnsi="Times New Roman"/>
        </w:rPr>
      </w:pPr>
      <w:r>
        <w:rPr>
          <w:rFonts w:ascii="Times New Roman" w:hAnsi="Times New Roman"/>
        </w:rPr>
        <w:t>Medžiagos, kurios buvo tirtos specialių klinikinių tyrimų su sveikais savanoriais metu, yra varfarinas, digoksinas, antacidiniai preparatai (magnio ir aliuminio hidroksidas), hidrochlorotiazidas ir pravastatinas. Kliniškai reikšmingos sąveikos nepastebėta, olmesartano medoksomilis reikšmingai neveikė varfarino farmakokinetikos ar farmakodinamikos arba digoksino farmakokinetikos.</w:t>
      </w:r>
    </w:p>
    <w:p w:rsidR="00444C66" w:rsidRDefault="00444C66">
      <w:pPr>
        <w:widowControl w:val="0"/>
        <w:spacing w:after="0" w:line="240" w:lineRule="auto"/>
        <w:rPr>
          <w:rFonts w:ascii="Times New Roman" w:hAnsi="Times New Roman"/>
        </w:rPr>
      </w:pPr>
    </w:p>
    <w:p w:rsidR="00444C66" w:rsidRDefault="00444C66">
      <w:pPr>
        <w:widowControl w:val="0"/>
        <w:tabs>
          <w:tab w:val="left" w:pos="567"/>
        </w:tabs>
        <w:spacing w:after="0" w:line="240" w:lineRule="auto"/>
        <w:rPr>
          <w:rFonts w:ascii="Times New Roman" w:hAnsi="Times New Roman"/>
        </w:rPr>
      </w:pPr>
      <w:r>
        <w:rPr>
          <w:rFonts w:ascii="Times New Roman" w:hAnsi="Times New Roman"/>
        </w:rPr>
        <w:t xml:space="preserve">Olmesartanas </w:t>
      </w:r>
      <w:r>
        <w:rPr>
          <w:rFonts w:ascii="Times New Roman" w:hAnsi="Times New Roman"/>
          <w:i/>
        </w:rPr>
        <w:t xml:space="preserve">in vitro </w:t>
      </w:r>
      <w:r>
        <w:rPr>
          <w:rFonts w:ascii="Times New Roman" w:hAnsi="Times New Roman"/>
        </w:rPr>
        <w:t xml:space="preserve">kliniškai reikšmingai neslopino žmogaus citochromo P450 izofermentų 1A1/2, 2A6, 2C8/9, 2C19, 2D6, 2E1 ar 3A4, ir nesužadino arba tik minimaliai sužadino žiurkių citochromo P450 aktyvumą. Todėl sąveikos tyrimų </w:t>
      </w:r>
      <w:r>
        <w:rPr>
          <w:rFonts w:ascii="Times New Roman" w:hAnsi="Times New Roman"/>
          <w:i/>
        </w:rPr>
        <w:t xml:space="preserve">in vivo </w:t>
      </w:r>
      <w:r>
        <w:rPr>
          <w:rFonts w:ascii="Times New Roman" w:hAnsi="Times New Roman"/>
        </w:rPr>
        <w:t>su žinomais citochromo P450 izofermentų inhibitoriais arba juos sužadinančiais vaistiniais preparatais neatlikta ir kliniškai reikšmingos olmesartano sąveikos su vaistiniais preparatais, kurių metabolizmą veikia citochromo P450 izofermentai, nesitikima.</w:t>
      </w:r>
    </w:p>
    <w:p w:rsidR="00444C66" w:rsidRDefault="00444C66">
      <w:pPr>
        <w:widowControl w:val="0"/>
        <w:tabs>
          <w:tab w:val="left" w:pos="567"/>
        </w:tabs>
        <w:spacing w:after="0" w:line="240" w:lineRule="auto"/>
        <w:rPr>
          <w:rFonts w:ascii="Times New Roman" w:hAnsi="Times New Roman"/>
        </w:rPr>
      </w:pPr>
    </w:p>
    <w:p w:rsidR="00444C66" w:rsidRDefault="00444C66">
      <w:pPr>
        <w:widowControl w:val="0"/>
        <w:tabs>
          <w:tab w:val="left" w:pos="567"/>
        </w:tabs>
        <w:spacing w:after="0" w:line="240" w:lineRule="auto"/>
        <w:ind w:left="567" w:hanging="567"/>
        <w:rPr>
          <w:rFonts w:ascii="Times New Roman" w:hAnsi="Times New Roman"/>
        </w:rPr>
      </w:pPr>
      <w:r>
        <w:rPr>
          <w:rFonts w:ascii="Times New Roman" w:hAnsi="Times New Roman"/>
          <w:b/>
        </w:rPr>
        <w:t>4.6</w:t>
      </w:r>
      <w:r>
        <w:rPr>
          <w:rFonts w:ascii="Times New Roman" w:hAnsi="Times New Roman"/>
          <w:b/>
        </w:rPr>
        <w:tab/>
        <w:t>Vaisingumas, nėštumo ir žindymo laikotarpis</w:t>
      </w:r>
    </w:p>
    <w:p w:rsidR="00444C66" w:rsidRDefault="00444C66">
      <w:pPr>
        <w:widowControl w:val="0"/>
        <w:tabs>
          <w:tab w:val="left" w:pos="567"/>
        </w:tabs>
        <w:spacing w:after="0" w:line="240" w:lineRule="auto"/>
        <w:ind w:left="567" w:hanging="567"/>
        <w:rPr>
          <w:rFonts w:ascii="Times New Roman" w:hAnsi="Times New Roman"/>
          <w:b/>
        </w:rPr>
      </w:pPr>
    </w:p>
    <w:p w:rsidR="00444C66" w:rsidRDefault="00444C66">
      <w:pPr>
        <w:widowControl w:val="0"/>
        <w:spacing w:after="0" w:line="240" w:lineRule="auto"/>
        <w:rPr>
          <w:rFonts w:ascii="Times New Roman" w:hAnsi="Times New Roman"/>
        </w:rPr>
      </w:pPr>
      <w:r>
        <w:rPr>
          <w:rFonts w:ascii="Times New Roman" w:hAnsi="Times New Roman"/>
          <w:u w:val="single"/>
        </w:rPr>
        <w:t>Nėštumas</w:t>
      </w:r>
    </w:p>
    <w:p w:rsidR="00444C66" w:rsidRDefault="00444C66">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rPr>
      </w:pPr>
      <w:r>
        <w:rPr>
          <w:rFonts w:ascii="Times New Roman" w:hAnsi="Times New Roman"/>
        </w:rPr>
        <w:t>Pirmą nėštumo trimestrą AIIRB vartoti nerekomenduojama (žr. 4.4 skyrių). Antrą ir trečią nėštumo trimestrais AIIRB vartoti draudžiama (žr. 4.3 ir 4.4 skyrius).</w:t>
      </w:r>
    </w:p>
    <w:p w:rsidR="00444C66" w:rsidRDefault="00444C66">
      <w:pPr>
        <w:widowControl w:val="0"/>
        <w:tabs>
          <w:tab w:val="left" w:pos="567"/>
        </w:tabs>
        <w:spacing w:after="0" w:line="240" w:lineRule="auto"/>
        <w:rPr>
          <w:rFonts w:ascii="Times New Roman" w:hAnsi="Times New Roman"/>
        </w:rPr>
      </w:pPr>
    </w:p>
    <w:p w:rsidR="00444C66" w:rsidRDefault="00444C66">
      <w:pPr>
        <w:widowControl w:val="0"/>
        <w:tabs>
          <w:tab w:val="left" w:pos="567"/>
        </w:tabs>
        <w:spacing w:after="0" w:line="240" w:lineRule="auto"/>
        <w:rPr>
          <w:rFonts w:ascii="Times New Roman" w:hAnsi="Times New Roman"/>
        </w:rPr>
      </w:pPr>
      <w:r>
        <w:rPr>
          <w:rFonts w:ascii="Times New Roman" w:hAnsi="Times New Roman"/>
        </w:rPr>
        <w:t>Epidemiologiniai duomenys apie teratogeninio poveikio dėl AKF inhibitorių ekspozicijos pirmais trimis nėštumo mėnesiais riziką nėra galutiniai, tačiau nedidelio rizikos padidėjimo paneigti negalima. Kontroliuojamųjų epidemiologinių angiotenzino II receptorių blokatorių keliamos rizikos tyrimų neatlikta, bet vartojant šios grupės vaistinius preparatus, rizika gali būti panaši. Jeigu nusprendžiama, kad būtina tęsti gydymą AIIRB, pastoti planuojančių pacienčių gydymą reikia keisti ir skirti vartoti kitokius antihipertenzinius vaistinius preparatus, kurių vartojimo saugumas nėštumo metu įrodytas. Diagnozavus nėštumą, gydymą AIIRB reikia nedelsiant nutraukti ir, jeigu tinka, pradėti kitokį gydymą.</w:t>
      </w:r>
    </w:p>
    <w:p w:rsidR="00444C66" w:rsidRDefault="00444C66">
      <w:pPr>
        <w:widowControl w:val="0"/>
        <w:tabs>
          <w:tab w:val="left" w:pos="567"/>
        </w:tabs>
        <w:spacing w:after="0" w:line="240" w:lineRule="auto"/>
        <w:rPr>
          <w:rFonts w:ascii="Times New Roman" w:hAnsi="Times New Roman"/>
        </w:rPr>
      </w:pPr>
    </w:p>
    <w:p w:rsidR="00444C66" w:rsidRDefault="00444C66">
      <w:pPr>
        <w:widowControl w:val="0"/>
        <w:autoSpaceDE w:val="0"/>
        <w:autoSpaceDN w:val="0"/>
        <w:adjustRightInd w:val="0"/>
        <w:spacing w:after="0" w:line="240" w:lineRule="auto"/>
        <w:rPr>
          <w:rFonts w:ascii="Times New Roman" w:hAnsi="Times New Roman"/>
        </w:rPr>
      </w:pPr>
      <w:r>
        <w:rPr>
          <w:rFonts w:ascii="Times New Roman" w:hAnsi="Times New Roman"/>
        </w:rPr>
        <w:t>Nustatyta, kad dėl AIIRB ekspozicijos antrą ir trečią nėštumo trimestrais, pasireiškė toksinis poveikis žmogaus vaisiui (susilpnėjo inkstų funkcija, pasireiškė oligohidramnionas, sulėtėjo kaukolės kaulėjimas) ir naujagimiui (inkstų nepakankamumas, hipotenzija, hiperkalemija) (žr. 5.3 skyrių).</w:t>
      </w:r>
    </w:p>
    <w:p w:rsidR="00444C66" w:rsidRDefault="00444C66">
      <w:pPr>
        <w:widowControl w:val="0"/>
        <w:autoSpaceDE w:val="0"/>
        <w:autoSpaceDN w:val="0"/>
        <w:adjustRightInd w:val="0"/>
        <w:spacing w:after="0" w:line="240" w:lineRule="auto"/>
        <w:rPr>
          <w:rFonts w:ascii="Times New Roman" w:hAnsi="Times New Roman"/>
        </w:rPr>
      </w:pPr>
    </w:p>
    <w:p w:rsidR="00444C66" w:rsidRDefault="00444C66">
      <w:pPr>
        <w:widowControl w:val="0"/>
        <w:autoSpaceDE w:val="0"/>
        <w:autoSpaceDN w:val="0"/>
        <w:adjustRightInd w:val="0"/>
        <w:spacing w:after="0" w:line="240" w:lineRule="auto"/>
        <w:rPr>
          <w:rFonts w:ascii="Times New Roman" w:hAnsi="Times New Roman"/>
        </w:rPr>
      </w:pPr>
      <w:r>
        <w:rPr>
          <w:rFonts w:ascii="Times New Roman" w:hAnsi="Times New Roman"/>
        </w:rPr>
        <w:t>Jeigu po antro nėštumo trimestro nėščioji vartojo angiotenzino II receptorių blokatorių, rekomenduojama ultragarsu tirti vaisiaus inkstų funkciją ir kaukolę.</w:t>
      </w:r>
    </w:p>
    <w:p w:rsidR="00444C66" w:rsidRDefault="00444C66">
      <w:pPr>
        <w:widowControl w:val="0"/>
        <w:autoSpaceDE w:val="0"/>
        <w:autoSpaceDN w:val="0"/>
        <w:adjustRightInd w:val="0"/>
        <w:spacing w:after="0" w:line="240" w:lineRule="auto"/>
        <w:rPr>
          <w:rFonts w:ascii="Times New Roman" w:hAnsi="Times New Roman"/>
        </w:rPr>
      </w:pPr>
      <w:r>
        <w:rPr>
          <w:rFonts w:ascii="Times New Roman" w:hAnsi="Times New Roman"/>
        </w:rPr>
        <w:t>Reikia atidžiai stebėti, ar kūdikiams, kurių motinos vartojo angiotenzino II receptorių blokatorių, nepasireiškia hipotenzija (žr. 4.3 ir 4.4 skyrius.).</w:t>
      </w:r>
    </w:p>
    <w:p w:rsidR="00444C66" w:rsidRDefault="00444C66">
      <w:pPr>
        <w:widowControl w:val="0"/>
        <w:autoSpaceDE w:val="0"/>
        <w:autoSpaceDN w:val="0"/>
        <w:adjustRightInd w:val="0"/>
        <w:spacing w:after="0" w:line="240" w:lineRule="auto"/>
        <w:rPr>
          <w:rFonts w:ascii="Times New Roman" w:hAnsi="Times New Roman"/>
        </w:rPr>
      </w:pPr>
    </w:p>
    <w:p w:rsidR="00444C66" w:rsidRDefault="00444C66">
      <w:pPr>
        <w:widowControl w:val="0"/>
        <w:spacing w:after="0" w:line="240" w:lineRule="auto"/>
        <w:rPr>
          <w:rFonts w:ascii="Times New Roman" w:hAnsi="Times New Roman"/>
          <w:u w:val="single"/>
        </w:rPr>
      </w:pPr>
      <w:r>
        <w:rPr>
          <w:rFonts w:ascii="Times New Roman" w:hAnsi="Times New Roman"/>
          <w:u w:val="single"/>
        </w:rPr>
        <w:t>Žindymas</w:t>
      </w:r>
    </w:p>
    <w:p w:rsidR="00444C66" w:rsidRDefault="00444C66">
      <w:pPr>
        <w:widowControl w:val="0"/>
        <w:autoSpaceDE w:val="0"/>
        <w:autoSpaceDN w:val="0"/>
        <w:adjustRightInd w:val="0"/>
        <w:spacing w:after="0" w:line="240" w:lineRule="auto"/>
        <w:rPr>
          <w:rFonts w:ascii="Times New Roman" w:hAnsi="Times New Roman"/>
        </w:rPr>
      </w:pPr>
      <w:r>
        <w:rPr>
          <w:rFonts w:ascii="Times New Roman" w:hAnsi="Times New Roman"/>
        </w:rPr>
        <w:t>Olmesartano išsiskiria į žiurkių pieną, tačiau ar olmesartano išsiskiria į moters pieną, nežinoma. Duomenų apie Olimestra vartojimą žindymo laikotarpiu nėra, Olimestra vartoti nerekomenduojama, geriau keisti gydymą ir skirti vartoti vaistinius preparatus, kurių vartojimo nėštumo metu saugumas įrodytas, ypač jeigu žindomas naujagimis ar prieš laiką gimęs kūdikis.</w:t>
      </w:r>
    </w:p>
    <w:p w:rsidR="00444C66" w:rsidRDefault="00444C66">
      <w:pPr>
        <w:widowControl w:val="0"/>
        <w:autoSpaceDE w:val="0"/>
        <w:autoSpaceDN w:val="0"/>
        <w:adjustRightInd w:val="0"/>
        <w:spacing w:after="0" w:line="240" w:lineRule="auto"/>
        <w:rPr>
          <w:rFonts w:ascii="Times New Roman" w:hAnsi="Times New Roman"/>
        </w:rPr>
      </w:pPr>
    </w:p>
    <w:p w:rsidR="00444C66" w:rsidRDefault="00444C66">
      <w:pPr>
        <w:widowControl w:val="0"/>
        <w:tabs>
          <w:tab w:val="left" w:pos="567"/>
        </w:tabs>
        <w:spacing w:after="0" w:line="240" w:lineRule="auto"/>
        <w:ind w:left="567" w:hanging="567"/>
        <w:rPr>
          <w:rFonts w:ascii="Times New Roman" w:hAnsi="Times New Roman"/>
        </w:rPr>
      </w:pPr>
      <w:r>
        <w:rPr>
          <w:rFonts w:ascii="Times New Roman" w:hAnsi="Times New Roman"/>
          <w:b/>
        </w:rPr>
        <w:t>4.7</w:t>
      </w:r>
      <w:r>
        <w:rPr>
          <w:rFonts w:ascii="Times New Roman" w:hAnsi="Times New Roman"/>
          <w:b/>
        </w:rPr>
        <w:tab/>
        <w:t>Poveikis gebėjimui vairuoti ir valdyti mechanizmus</w:t>
      </w:r>
    </w:p>
    <w:p w:rsidR="00444C66" w:rsidRDefault="00444C66">
      <w:pPr>
        <w:widowControl w:val="0"/>
        <w:tabs>
          <w:tab w:val="left" w:pos="567"/>
        </w:tabs>
        <w:spacing w:after="0" w:line="240" w:lineRule="auto"/>
        <w:rPr>
          <w:rFonts w:ascii="Times New Roman" w:hAnsi="Times New Roman"/>
        </w:rPr>
      </w:pPr>
    </w:p>
    <w:p w:rsidR="00444C66" w:rsidRDefault="00444C66">
      <w:pPr>
        <w:widowControl w:val="0"/>
        <w:tabs>
          <w:tab w:val="left" w:pos="567"/>
        </w:tabs>
        <w:spacing w:after="0" w:line="240" w:lineRule="auto"/>
        <w:rPr>
          <w:rFonts w:ascii="Times New Roman" w:hAnsi="Times New Roman"/>
        </w:rPr>
      </w:pPr>
      <w:r>
        <w:rPr>
          <w:rFonts w:ascii="Times New Roman" w:hAnsi="Times New Roman"/>
        </w:rPr>
        <w:t>Olimestra gebėjimą vairuoti ir valdyti mechanizmus veikia silpnai arba vidutiniškai. Pacientams, kuriems taikomas antihipertenzinis gydymas, kartais gali pasireikšti galvos svaigimas ar nuovargis, kuris gali trikdyti gebėjimą reaguoti.</w:t>
      </w:r>
    </w:p>
    <w:p w:rsidR="00444C66" w:rsidRDefault="00444C66">
      <w:pPr>
        <w:widowControl w:val="0"/>
        <w:tabs>
          <w:tab w:val="left" w:pos="567"/>
        </w:tabs>
        <w:spacing w:after="0" w:line="240" w:lineRule="auto"/>
        <w:rPr>
          <w:rFonts w:ascii="Times New Roman" w:hAnsi="Times New Roman"/>
        </w:rPr>
      </w:pPr>
    </w:p>
    <w:p w:rsidR="00444C66" w:rsidRDefault="00444C66">
      <w:pPr>
        <w:widowControl w:val="0"/>
        <w:spacing w:after="0" w:line="240" w:lineRule="auto"/>
        <w:ind w:left="567" w:hanging="567"/>
        <w:rPr>
          <w:rFonts w:ascii="Times New Roman" w:hAnsi="Times New Roman"/>
          <w:b/>
        </w:rPr>
      </w:pPr>
      <w:r>
        <w:rPr>
          <w:rFonts w:ascii="Times New Roman" w:hAnsi="Times New Roman"/>
          <w:b/>
        </w:rPr>
        <w:t>4.8</w:t>
      </w:r>
      <w:r>
        <w:rPr>
          <w:rFonts w:ascii="Times New Roman" w:hAnsi="Times New Roman"/>
          <w:b/>
        </w:rPr>
        <w:tab/>
        <w:t>Nepageidaujamas poveikis</w:t>
      </w:r>
    </w:p>
    <w:p w:rsidR="00444C66" w:rsidRDefault="00444C66">
      <w:pPr>
        <w:widowControl w:val="0"/>
        <w:tabs>
          <w:tab w:val="left" w:pos="567"/>
        </w:tabs>
        <w:spacing w:after="0" w:line="240" w:lineRule="auto"/>
        <w:rPr>
          <w:rFonts w:ascii="Times New Roman" w:hAnsi="Times New Roman"/>
        </w:rPr>
      </w:pPr>
    </w:p>
    <w:p w:rsidR="00444C66" w:rsidRDefault="00444C66">
      <w:pPr>
        <w:widowControl w:val="0"/>
        <w:tabs>
          <w:tab w:val="left" w:pos="567"/>
        </w:tabs>
        <w:spacing w:after="0" w:line="240" w:lineRule="auto"/>
        <w:rPr>
          <w:rFonts w:ascii="Times New Roman" w:eastAsia="Times New Roman" w:hAnsi="Times New Roman"/>
          <w:i/>
          <w:u w:val="single"/>
          <w:lang w:eastAsia="sl-SI"/>
        </w:rPr>
      </w:pPr>
      <w:r>
        <w:rPr>
          <w:rFonts w:ascii="Times New Roman" w:eastAsia="Times New Roman" w:hAnsi="Times New Roman"/>
          <w:i/>
          <w:u w:val="single"/>
          <w:lang w:eastAsia="sl-SI"/>
        </w:rPr>
        <w:t>Saugumo duomenų santrauka</w:t>
      </w:r>
    </w:p>
    <w:p w:rsidR="00444C66" w:rsidRDefault="00444C66">
      <w:pPr>
        <w:widowControl w:val="0"/>
        <w:tabs>
          <w:tab w:val="left" w:pos="567"/>
        </w:tabs>
        <w:spacing w:after="0" w:line="240" w:lineRule="auto"/>
        <w:rPr>
          <w:rFonts w:ascii="Times New Roman" w:eastAsia="Times New Roman" w:hAnsi="Times New Roman"/>
          <w:lang w:eastAsia="sl-SI"/>
        </w:rPr>
      </w:pPr>
    </w:p>
    <w:p w:rsidR="00444C66" w:rsidRDefault="00444C66">
      <w:pPr>
        <w:widowControl w:val="0"/>
        <w:spacing w:after="0" w:line="240" w:lineRule="auto"/>
        <w:rPr>
          <w:rFonts w:ascii="Times New Roman" w:hAnsi="Times New Roman"/>
        </w:rPr>
      </w:pPr>
      <w:r>
        <w:rPr>
          <w:rFonts w:ascii="Times New Roman" w:hAnsi="Times New Roman"/>
        </w:rPr>
        <w:t>Vartojant olmesartano dažniausiai pasitaikančios nepageidaujamos reakcijos yra galvos skausmas (7,7 %), į gripą panašūs simptomai (4,0 %) ir svaigulys (3,7 %).</w:t>
      </w:r>
    </w:p>
    <w:p w:rsidR="00444C66" w:rsidRDefault="00444C66">
      <w:pPr>
        <w:widowControl w:val="0"/>
        <w:spacing w:after="0" w:line="240" w:lineRule="auto"/>
        <w:rPr>
          <w:rFonts w:ascii="Times New Roman" w:hAnsi="Times New Roman"/>
        </w:rPr>
      </w:pPr>
    </w:p>
    <w:p w:rsidR="00444C66" w:rsidRDefault="00444C66">
      <w:pPr>
        <w:widowControl w:val="0"/>
        <w:spacing w:after="0" w:line="240" w:lineRule="auto"/>
        <w:rPr>
          <w:rFonts w:ascii="Times New Roman" w:hAnsi="Times New Roman"/>
        </w:rPr>
      </w:pPr>
      <w:r>
        <w:rPr>
          <w:rFonts w:ascii="Times New Roman" w:hAnsi="Times New Roman"/>
        </w:rPr>
        <w:t>Placebu kontroliuojamųjų monoterapijos tyrimų duomenimis, vienintelė su vaistiniu preparatu neabejotinai susijusi nepageidaujama reakcija buvo svaigulys (dažnis 2,5 %, vartojant olmesartano medoksomilį, ir 0,9 %, vartojant placebą).</w:t>
      </w:r>
    </w:p>
    <w:p w:rsidR="00444C66" w:rsidRDefault="00444C66">
      <w:pPr>
        <w:widowControl w:val="0"/>
        <w:spacing w:after="0" w:line="240" w:lineRule="auto"/>
        <w:rPr>
          <w:rFonts w:ascii="Times New Roman" w:hAnsi="Times New Roman"/>
        </w:rPr>
      </w:pPr>
    </w:p>
    <w:p w:rsidR="00444C66" w:rsidRDefault="00444C66">
      <w:pPr>
        <w:widowControl w:val="0"/>
        <w:spacing w:after="0" w:line="240" w:lineRule="auto"/>
        <w:rPr>
          <w:rFonts w:ascii="Times New Roman" w:hAnsi="Times New Roman"/>
        </w:rPr>
      </w:pPr>
      <w:r>
        <w:rPr>
          <w:rFonts w:ascii="Times New Roman" w:hAnsi="Times New Roman"/>
        </w:rPr>
        <w:t>Olmesartano medoksomilio grupėje šiek tiek dažniau nei placebo grupėje pasireiškė hipertrigliceridemija (2 % palyginus su 1,1 %) ir kreatinfosfokinazės aktyvumo padidėjimas (1,3 % palyginus su 0,7 %).</w:t>
      </w:r>
    </w:p>
    <w:p w:rsidR="00444C66" w:rsidRDefault="00444C66">
      <w:pPr>
        <w:widowControl w:val="0"/>
        <w:spacing w:after="0" w:line="240" w:lineRule="auto"/>
        <w:rPr>
          <w:rFonts w:ascii="Times New Roman" w:hAnsi="Times New Roman"/>
        </w:rPr>
      </w:pPr>
    </w:p>
    <w:p w:rsidR="00444C66" w:rsidRDefault="00444C66">
      <w:pPr>
        <w:widowControl w:val="0"/>
        <w:spacing w:after="0" w:line="240" w:lineRule="auto"/>
        <w:rPr>
          <w:rFonts w:ascii="Times New Roman" w:hAnsi="Times New Roman"/>
          <w:u w:val="single"/>
        </w:rPr>
      </w:pPr>
      <w:r>
        <w:rPr>
          <w:rFonts w:ascii="Times New Roman" w:hAnsi="Times New Roman"/>
          <w:u w:val="single"/>
        </w:rPr>
        <w:t>Bendra nepageidaujamų reakcijų santrauka</w:t>
      </w:r>
    </w:p>
    <w:p w:rsidR="00444C66" w:rsidRDefault="00444C66">
      <w:pPr>
        <w:widowControl w:val="0"/>
        <w:tabs>
          <w:tab w:val="left" w:pos="540"/>
          <w:tab w:val="left" w:pos="2977"/>
        </w:tabs>
        <w:spacing w:after="0" w:line="240" w:lineRule="auto"/>
        <w:rPr>
          <w:rFonts w:ascii="Times New Roman" w:hAnsi="Times New Roman"/>
          <w:lang w:val="sl-SI"/>
        </w:rPr>
      </w:pPr>
      <w:r>
        <w:rPr>
          <w:rFonts w:ascii="Times New Roman" w:hAnsi="Times New Roman"/>
        </w:rPr>
        <w:t xml:space="preserve">Iš klinikinių tyrimų, poregistracinio saugumo tyrimų ir spontaninių pranešimų būdu gautos </w:t>
      </w:r>
      <w:r>
        <w:rPr>
          <w:rFonts w:ascii="Times New Roman" w:eastAsia="Times New Roman" w:hAnsi="Times New Roman"/>
          <w:lang w:eastAsia="sl-SI"/>
        </w:rPr>
        <w:t>olmesartano medoksomilio</w:t>
      </w:r>
      <w:r>
        <w:rPr>
          <w:rFonts w:ascii="Times New Roman" w:hAnsi="Times New Roman"/>
        </w:rPr>
        <w:t xml:space="preserve"> sukeliamos nepageidaujamos reakcijos apibendrintos žemiau pateiktoje lentelėje.</w:t>
      </w:r>
    </w:p>
    <w:p w:rsidR="00444C66" w:rsidRDefault="00444C66">
      <w:pPr>
        <w:widowControl w:val="0"/>
        <w:tabs>
          <w:tab w:val="left" w:pos="540"/>
          <w:tab w:val="left" w:pos="2977"/>
        </w:tabs>
        <w:spacing w:after="0" w:line="240" w:lineRule="auto"/>
        <w:rPr>
          <w:rFonts w:ascii="Times New Roman" w:hAnsi="Times New Roman"/>
          <w:lang w:eastAsia="lt-LT"/>
        </w:rPr>
      </w:pPr>
    </w:p>
    <w:p w:rsidR="00444C66" w:rsidRDefault="00444C66">
      <w:pPr>
        <w:widowControl w:val="0"/>
        <w:spacing w:after="0" w:line="240" w:lineRule="auto"/>
        <w:rPr>
          <w:rFonts w:ascii="Times New Roman" w:hAnsi="Times New Roman"/>
        </w:rPr>
      </w:pPr>
      <w:r>
        <w:rPr>
          <w:rFonts w:ascii="Times New Roman" w:hAnsi="Times New Roman"/>
          <w:lang w:val="sl-SI"/>
        </w:rPr>
        <w:t>Nepageidaujamos reakcijos išvardytos pagal organų sistemų klases, naudojant tokius sutrikimų dažnio apibūdinimus</w:t>
      </w:r>
      <w:r>
        <w:rPr>
          <w:rFonts w:ascii="Times New Roman" w:hAnsi="Times New Roman"/>
        </w:rPr>
        <w:t>: labai dažnas (≥ 1/10), dažnas (nuo ≥ 1/100 iki &lt; 1/10), nedažnas (nuo ≥ 1/1 000 iki &lt; 1/100), retas (nuo ≥ 1/10 000 iki &lt; 1/1 000), labai retas (&lt; 1/10 000), nežinomas (negali būti apskaičiuotas pagal turimus duomenis).</w:t>
      </w:r>
    </w:p>
    <w:p w:rsidR="00444C66" w:rsidRDefault="00444C66">
      <w:pPr>
        <w:widowControl w:val="0"/>
        <w:spacing w:after="0" w:line="240" w:lineRule="auto"/>
        <w:rPr>
          <w:rFonts w:ascii="Times New Roman" w:eastAsia="Times New Roman" w:hAnsi="Times New Roman"/>
          <w:lang w:eastAsia="sl-SI"/>
        </w:rPr>
      </w:pPr>
    </w:p>
    <w:tbl>
      <w:tblPr>
        <w:tblW w:w="533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30"/>
        <w:gridCol w:w="2768"/>
        <w:gridCol w:w="3472"/>
        <w:tblGridChange w:id="4">
          <w:tblGrid>
            <w:gridCol w:w="3430"/>
            <w:gridCol w:w="2768"/>
            <w:gridCol w:w="3472"/>
          </w:tblGrid>
        </w:tblGridChange>
      </w:tblGrid>
      <w:tr w:rsidR="00444C66">
        <w:trPr>
          <w:trHeight w:val="407"/>
        </w:trPr>
        <w:tc>
          <w:tcPr>
            <w:tcW w:w="1774" w:type="pct"/>
            <w:tcBorders>
              <w:top w:val="single" w:sz="12" w:space="0" w:color="auto"/>
              <w:bottom w:val="double" w:sz="4" w:space="0" w:color="auto"/>
            </w:tcBorders>
            <w:vAlign w:val="center"/>
          </w:tcPr>
          <w:p w:rsidR="00444C66" w:rsidRDefault="00444C66">
            <w:pPr>
              <w:widowControl w:val="0"/>
              <w:tabs>
                <w:tab w:val="left" w:pos="567"/>
              </w:tabs>
              <w:spacing w:after="0" w:line="240" w:lineRule="auto"/>
              <w:rPr>
                <w:rFonts w:ascii="Times New Roman" w:hAnsi="Times New Roman"/>
                <w:b/>
              </w:rPr>
            </w:pPr>
            <w:r>
              <w:rPr>
                <w:rFonts w:ascii="Times New Roman" w:hAnsi="Times New Roman"/>
                <w:b/>
                <w:i/>
                <w:iCs/>
              </w:rPr>
              <w:t>MedDRA</w:t>
            </w:r>
          </w:p>
          <w:p w:rsidR="00444C66" w:rsidRDefault="00444C66">
            <w:pPr>
              <w:widowControl w:val="0"/>
              <w:tabs>
                <w:tab w:val="left" w:pos="567"/>
              </w:tabs>
              <w:spacing w:after="0" w:line="240" w:lineRule="auto"/>
              <w:rPr>
                <w:rFonts w:ascii="Times New Roman" w:eastAsia="Times New Roman" w:hAnsi="Times New Roman"/>
                <w:b/>
                <w:lang w:eastAsia="sl-SI"/>
              </w:rPr>
            </w:pPr>
            <w:r>
              <w:rPr>
                <w:rFonts w:ascii="Times New Roman" w:hAnsi="Times New Roman"/>
                <w:b/>
              </w:rPr>
              <w:t>organų sistemų klasė</w:t>
            </w:r>
          </w:p>
        </w:tc>
        <w:tc>
          <w:tcPr>
            <w:tcW w:w="1431" w:type="pct"/>
            <w:tcBorders>
              <w:top w:val="single" w:sz="12" w:space="0" w:color="auto"/>
              <w:bottom w:val="double" w:sz="4" w:space="0" w:color="auto"/>
            </w:tcBorders>
            <w:vAlign w:val="center"/>
          </w:tcPr>
          <w:p w:rsidR="00444C66" w:rsidRDefault="00444C66">
            <w:pPr>
              <w:widowControl w:val="0"/>
              <w:tabs>
                <w:tab w:val="left" w:pos="567"/>
              </w:tabs>
              <w:spacing w:after="0" w:line="240" w:lineRule="auto"/>
              <w:jc w:val="center"/>
              <w:rPr>
                <w:rFonts w:ascii="Times New Roman" w:eastAsia="Times New Roman" w:hAnsi="Times New Roman"/>
                <w:b/>
                <w:lang w:eastAsia="sl-SI"/>
              </w:rPr>
            </w:pPr>
            <w:r>
              <w:rPr>
                <w:rFonts w:ascii="Times New Roman" w:hAnsi="Times New Roman"/>
                <w:b/>
              </w:rPr>
              <w:t>Nepageidaujamos reakcijos</w:t>
            </w:r>
          </w:p>
        </w:tc>
        <w:tc>
          <w:tcPr>
            <w:tcW w:w="1795" w:type="pct"/>
            <w:tcBorders>
              <w:top w:val="single" w:sz="12" w:space="0" w:color="auto"/>
              <w:bottom w:val="double" w:sz="4" w:space="0" w:color="auto"/>
            </w:tcBorders>
            <w:vAlign w:val="center"/>
          </w:tcPr>
          <w:p w:rsidR="00444C66" w:rsidRDefault="00444C66">
            <w:pPr>
              <w:widowControl w:val="0"/>
              <w:tabs>
                <w:tab w:val="left" w:pos="567"/>
              </w:tabs>
              <w:spacing w:after="0" w:line="240" w:lineRule="auto"/>
              <w:jc w:val="center"/>
              <w:rPr>
                <w:rFonts w:ascii="Times New Roman" w:eastAsia="Times New Roman" w:hAnsi="Times New Roman"/>
                <w:b/>
                <w:lang w:eastAsia="sl-SI"/>
              </w:rPr>
            </w:pPr>
            <w:r>
              <w:rPr>
                <w:rFonts w:ascii="Times New Roman" w:hAnsi="Times New Roman"/>
                <w:b/>
              </w:rPr>
              <w:t>Dažnis</w:t>
            </w:r>
          </w:p>
        </w:tc>
      </w:tr>
      <w:tr w:rsidR="00444C66">
        <w:trPr>
          <w:trHeight w:val="493"/>
        </w:trPr>
        <w:tc>
          <w:tcPr>
            <w:tcW w:w="1774" w:type="pct"/>
            <w:tcBorders>
              <w:top w:val="double" w:sz="4" w:space="0" w:color="auto"/>
            </w:tcBorders>
            <w:vAlign w:val="center"/>
          </w:tcPr>
          <w:p w:rsidR="00444C66" w:rsidRDefault="00444C66">
            <w:pPr>
              <w:widowControl w:val="0"/>
              <w:tabs>
                <w:tab w:val="left" w:pos="567"/>
              </w:tabs>
              <w:spacing w:after="0" w:line="240" w:lineRule="auto"/>
              <w:rPr>
                <w:rFonts w:ascii="Times New Roman" w:eastAsia="Times New Roman" w:hAnsi="Times New Roman"/>
                <w:lang w:eastAsia="sl-SI"/>
              </w:rPr>
            </w:pPr>
            <w:r>
              <w:rPr>
                <w:rFonts w:ascii="Times New Roman" w:eastAsia="Times New Roman" w:hAnsi="Times New Roman"/>
                <w:lang w:eastAsia="sl-SI"/>
              </w:rPr>
              <w:t>Kraujo ir limfinės sistemos sutrikimai</w:t>
            </w:r>
          </w:p>
        </w:tc>
        <w:tc>
          <w:tcPr>
            <w:tcW w:w="1431" w:type="pct"/>
            <w:tcBorders>
              <w:top w:val="double" w:sz="4" w:space="0" w:color="auto"/>
            </w:tcBorders>
            <w:vAlign w:val="center"/>
          </w:tcPr>
          <w:p w:rsidR="00444C66" w:rsidRDefault="00444C66">
            <w:pPr>
              <w:widowControl w:val="0"/>
              <w:tabs>
                <w:tab w:val="left" w:pos="567"/>
              </w:tabs>
              <w:spacing w:after="0" w:line="240" w:lineRule="auto"/>
              <w:rPr>
                <w:rFonts w:ascii="Times New Roman" w:eastAsia="Times New Roman" w:hAnsi="Times New Roman"/>
                <w:lang w:eastAsia="sl-SI"/>
              </w:rPr>
            </w:pPr>
            <w:r>
              <w:rPr>
                <w:rFonts w:ascii="Times New Roman" w:eastAsia="Times New Roman" w:hAnsi="Times New Roman"/>
                <w:lang w:eastAsia="sl-SI"/>
              </w:rPr>
              <w:t>Trombocitopenija</w:t>
            </w:r>
          </w:p>
        </w:tc>
        <w:tc>
          <w:tcPr>
            <w:tcW w:w="1795" w:type="pct"/>
            <w:tcBorders>
              <w:top w:val="double" w:sz="4" w:space="0" w:color="auto"/>
            </w:tcBorders>
            <w:vAlign w:val="center"/>
          </w:tcPr>
          <w:p w:rsidR="00444C66" w:rsidRDefault="00444C66">
            <w:pPr>
              <w:widowControl w:val="0"/>
              <w:tabs>
                <w:tab w:val="left" w:pos="567"/>
              </w:tabs>
              <w:spacing w:after="0" w:line="240" w:lineRule="auto"/>
              <w:rPr>
                <w:rFonts w:ascii="Times New Roman" w:eastAsia="Times New Roman" w:hAnsi="Times New Roman"/>
                <w:lang w:eastAsia="sl-SI"/>
              </w:rPr>
            </w:pPr>
            <w:r>
              <w:rPr>
                <w:rFonts w:ascii="Times New Roman" w:hAnsi="Times New Roman"/>
              </w:rPr>
              <w:t>Nedažnas</w:t>
            </w:r>
          </w:p>
        </w:tc>
      </w:tr>
      <w:tr w:rsidR="00444C66">
        <w:trPr>
          <w:trHeight w:val="358"/>
        </w:trPr>
        <w:tc>
          <w:tcPr>
            <w:tcW w:w="1774" w:type="pct"/>
            <w:vAlign w:val="center"/>
          </w:tcPr>
          <w:p w:rsidR="00444C66" w:rsidRDefault="00444C66">
            <w:pPr>
              <w:widowControl w:val="0"/>
              <w:tabs>
                <w:tab w:val="left" w:pos="567"/>
              </w:tabs>
              <w:spacing w:after="0" w:line="240" w:lineRule="auto"/>
              <w:rPr>
                <w:rFonts w:ascii="Times New Roman" w:eastAsia="Times New Roman" w:hAnsi="Times New Roman"/>
                <w:lang w:eastAsia="sl-SI"/>
              </w:rPr>
            </w:pPr>
            <w:r>
              <w:rPr>
                <w:rFonts w:ascii="Times New Roman" w:eastAsia="Times New Roman" w:hAnsi="Times New Roman"/>
                <w:lang w:eastAsia="sl-SI"/>
              </w:rPr>
              <w:t>Imuninės sistemos sutrikimai</w:t>
            </w:r>
          </w:p>
        </w:tc>
        <w:tc>
          <w:tcPr>
            <w:tcW w:w="1431" w:type="pct"/>
            <w:vAlign w:val="center"/>
          </w:tcPr>
          <w:p w:rsidR="00444C66" w:rsidRDefault="00444C66">
            <w:pPr>
              <w:widowControl w:val="0"/>
              <w:tabs>
                <w:tab w:val="left" w:pos="567"/>
              </w:tabs>
              <w:spacing w:after="0" w:line="240" w:lineRule="auto"/>
              <w:rPr>
                <w:rFonts w:ascii="Times New Roman" w:eastAsia="Times New Roman" w:hAnsi="Times New Roman"/>
                <w:lang w:eastAsia="sl-SI"/>
              </w:rPr>
            </w:pPr>
            <w:r>
              <w:rPr>
                <w:rFonts w:ascii="Times New Roman" w:eastAsia="Times New Roman" w:hAnsi="Times New Roman"/>
                <w:lang w:eastAsia="sl-SI"/>
              </w:rPr>
              <w:t>Anafilaksinė reakcija</w:t>
            </w:r>
          </w:p>
        </w:tc>
        <w:tc>
          <w:tcPr>
            <w:tcW w:w="1795" w:type="pct"/>
            <w:vAlign w:val="center"/>
          </w:tcPr>
          <w:p w:rsidR="00444C66" w:rsidRDefault="00444C66">
            <w:pPr>
              <w:widowControl w:val="0"/>
              <w:tabs>
                <w:tab w:val="left" w:pos="567"/>
              </w:tabs>
              <w:spacing w:after="0" w:line="240" w:lineRule="auto"/>
              <w:rPr>
                <w:rFonts w:ascii="Times New Roman" w:eastAsia="Times New Roman" w:hAnsi="Times New Roman"/>
                <w:lang w:eastAsia="sl-SI"/>
              </w:rPr>
            </w:pPr>
            <w:r>
              <w:rPr>
                <w:rFonts w:ascii="Times New Roman" w:hAnsi="Times New Roman"/>
              </w:rPr>
              <w:t>Nedažnas</w:t>
            </w:r>
          </w:p>
        </w:tc>
      </w:tr>
      <w:tr w:rsidR="00444C66">
        <w:trPr>
          <w:trHeight w:val="264"/>
        </w:trPr>
        <w:tc>
          <w:tcPr>
            <w:tcW w:w="1774" w:type="pct"/>
            <w:vMerge w:val="restart"/>
          </w:tcPr>
          <w:p w:rsidR="00444C66" w:rsidRDefault="00444C66">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Metabolizmo ir mitybos sutrikimai</w:t>
            </w:r>
          </w:p>
        </w:tc>
        <w:tc>
          <w:tcPr>
            <w:tcW w:w="1431" w:type="pct"/>
            <w:vAlign w:val="center"/>
          </w:tcPr>
          <w:p w:rsidR="00444C66" w:rsidRDefault="00444C66">
            <w:pPr>
              <w:widowControl w:val="0"/>
              <w:tabs>
                <w:tab w:val="left" w:pos="567"/>
              </w:tabs>
              <w:spacing w:after="0" w:line="240" w:lineRule="auto"/>
              <w:rPr>
                <w:rFonts w:ascii="Times New Roman" w:eastAsia="Times New Roman" w:hAnsi="Times New Roman"/>
                <w:lang w:eastAsia="sl-SI"/>
              </w:rPr>
            </w:pPr>
            <w:r>
              <w:rPr>
                <w:rFonts w:ascii="Times New Roman" w:eastAsia="Times New Roman" w:hAnsi="Times New Roman"/>
                <w:lang w:eastAsia="sl-SI"/>
              </w:rPr>
              <w:t>Hipertrigliceridemija</w:t>
            </w:r>
          </w:p>
        </w:tc>
        <w:tc>
          <w:tcPr>
            <w:tcW w:w="1795" w:type="pct"/>
            <w:vAlign w:val="center"/>
          </w:tcPr>
          <w:p w:rsidR="00444C66" w:rsidRDefault="00444C66">
            <w:pPr>
              <w:widowControl w:val="0"/>
              <w:tabs>
                <w:tab w:val="left" w:pos="567"/>
              </w:tabs>
              <w:spacing w:after="0" w:line="240" w:lineRule="auto"/>
              <w:rPr>
                <w:rFonts w:ascii="Times New Roman" w:eastAsia="Times New Roman" w:hAnsi="Times New Roman"/>
                <w:lang w:eastAsia="sl-SI"/>
              </w:rPr>
            </w:pPr>
            <w:r>
              <w:rPr>
                <w:rFonts w:ascii="Times New Roman" w:hAnsi="Times New Roman"/>
              </w:rPr>
              <w:t>Dažnas</w:t>
            </w:r>
          </w:p>
        </w:tc>
      </w:tr>
      <w:tr w:rsidR="00444C66">
        <w:trPr>
          <w:trHeight w:val="254"/>
        </w:trPr>
        <w:tc>
          <w:tcPr>
            <w:tcW w:w="1774" w:type="pct"/>
            <w:vMerge/>
          </w:tcPr>
          <w:p w:rsidR="00444C66" w:rsidRDefault="00444C66">
            <w:pPr>
              <w:widowControl w:val="0"/>
              <w:spacing w:after="0" w:line="240" w:lineRule="auto"/>
              <w:rPr>
                <w:rFonts w:ascii="Times New Roman" w:eastAsia="Times New Roman" w:hAnsi="Times New Roman"/>
                <w:lang w:eastAsia="sl-SI"/>
              </w:rPr>
            </w:pPr>
          </w:p>
        </w:tc>
        <w:tc>
          <w:tcPr>
            <w:tcW w:w="1431" w:type="pct"/>
            <w:vAlign w:val="center"/>
          </w:tcPr>
          <w:p w:rsidR="00444C66" w:rsidRDefault="00444C66">
            <w:pPr>
              <w:widowControl w:val="0"/>
              <w:tabs>
                <w:tab w:val="left" w:pos="567"/>
              </w:tabs>
              <w:spacing w:after="0" w:line="240" w:lineRule="auto"/>
              <w:rPr>
                <w:rFonts w:ascii="Times New Roman" w:eastAsia="Times New Roman" w:hAnsi="Times New Roman"/>
                <w:lang w:eastAsia="sl-SI"/>
              </w:rPr>
            </w:pPr>
            <w:r>
              <w:rPr>
                <w:rFonts w:ascii="Times New Roman" w:eastAsia="Times New Roman" w:hAnsi="Times New Roman"/>
                <w:lang w:eastAsia="sl-SI"/>
              </w:rPr>
              <w:t>Hiperurikemija</w:t>
            </w:r>
          </w:p>
        </w:tc>
        <w:tc>
          <w:tcPr>
            <w:tcW w:w="1795" w:type="pct"/>
            <w:vAlign w:val="center"/>
          </w:tcPr>
          <w:p w:rsidR="00444C66" w:rsidRDefault="00444C66">
            <w:pPr>
              <w:widowControl w:val="0"/>
              <w:tabs>
                <w:tab w:val="left" w:pos="567"/>
              </w:tabs>
              <w:spacing w:after="0" w:line="240" w:lineRule="auto"/>
              <w:rPr>
                <w:rFonts w:ascii="Times New Roman" w:eastAsia="Times New Roman" w:hAnsi="Times New Roman"/>
                <w:lang w:eastAsia="sl-SI"/>
              </w:rPr>
            </w:pPr>
            <w:r>
              <w:rPr>
                <w:rFonts w:ascii="Times New Roman" w:hAnsi="Times New Roman"/>
              </w:rPr>
              <w:t>Dažnas</w:t>
            </w:r>
          </w:p>
        </w:tc>
      </w:tr>
      <w:tr w:rsidR="00444C66">
        <w:trPr>
          <w:trHeight w:val="239"/>
        </w:trPr>
        <w:tc>
          <w:tcPr>
            <w:tcW w:w="1774" w:type="pct"/>
            <w:vMerge/>
          </w:tcPr>
          <w:p w:rsidR="00444C66" w:rsidRDefault="00444C66">
            <w:pPr>
              <w:widowControl w:val="0"/>
              <w:spacing w:after="0" w:line="240" w:lineRule="auto"/>
              <w:rPr>
                <w:rFonts w:ascii="Times New Roman" w:eastAsia="Times New Roman" w:hAnsi="Times New Roman"/>
                <w:lang w:eastAsia="sl-SI"/>
              </w:rPr>
            </w:pPr>
          </w:p>
        </w:tc>
        <w:tc>
          <w:tcPr>
            <w:tcW w:w="1431" w:type="pct"/>
            <w:vAlign w:val="center"/>
          </w:tcPr>
          <w:p w:rsidR="00444C66" w:rsidRDefault="00444C66">
            <w:pPr>
              <w:widowControl w:val="0"/>
              <w:tabs>
                <w:tab w:val="left" w:pos="567"/>
              </w:tabs>
              <w:spacing w:after="0" w:line="240" w:lineRule="auto"/>
              <w:rPr>
                <w:rFonts w:ascii="Times New Roman" w:eastAsia="Times New Roman" w:hAnsi="Times New Roman"/>
                <w:lang w:eastAsia="sl-SI"/>
              </w:rPr>
            </w:pPr>
            <w:r>
              <w:rPr>
                <w:rFonts w:ascii="Times New Roman" w:eastAsia="Times New Roman" w:hAnsi="Times New Roman"/>
                <w:lang w:eastAsia="sl-SI"/>
              </w:rPr>
              <w:t>Hiperkalemija</w:t>
            </w:r>
          </w:p>
        </w:tc>
        <w:tc>
          <w:tcPr>
            <w:tcW w:w="1795" w:type="pct"/>
            <w:vAlign w:val="center"/>
          </w:tcPr>
          <w:p w:rsidR="00444C66" w:rsidRDefault="00444C66">
            <w:pPr>
              <w:widowControl w:val="0"/>
              <w:tabs>
                <w:tab w:val="left" w:pos="567"/>
              </w:tabs>
              <w:spacing w:after="0" w:line="240" w:lineRule="auto"/>
              <w:rPr>
                <w:rFonts w:ascii="Times New Roman" w:eastAsia="Times New Roman" w:hAnsi="Times New Roman"/>
                <w:lang w:eastAsia="sl-SI"/>
              </w:rPr>
            </w:pPr>
            <w:r>
              <w:rPr>
                <w:rFonts w:ascii="Times New Roman" w:hAnsi="Times New Roman"/>
              </w:rPr>
              <w:t>Retas</w:t>
            </w:r>
          </w:p>
        </w:tc>
      </w:tr>
      <w:tr w:rsidR="00444C66">
        <w:trPr>
          <w:trHeight w:val="254"/>
        </w:trPr>
        <w:tc>
          <w:tcPr>
            <w:tcW w:w="1774" w:type="pct"/>
            <w:vMerge w:val="restart"/>
          </w:tcPr>
          <w:p w:rsidR="00444C66" w:rsidRDefault="00444C66">
            <w:pPr>
              <w:widowControl w:val="0"/>
              <w:tabs>
                <w:tab w:val="center" w:pos="4536"/>
                <w:tab w:val="right" w:pos="9072"/>
              </w:tabs>
              <w:spacing w:after="0" w:line="240" w:lineRule="auto"/>
              <w:rPr>
                <w:rFonts w:ascii="Times New Roman" w:eastAsia="Times New Roman" w:hAnsi="Times New Roman"/>
                <w:lang w:eastAsia="sl-SI"/>
              </w:rPr>
            </w:pPr>
            <w:r>
              <w:rPr>
                <w:rFonts w:ascii="Times New Roman" w:eastAsia="Times New Roman" w:hAnsi="Times New Roman"/>
                <w:lang w:eastAsia="sl-SI"/>
              </w:rPr>
              <w:lastRenderedPageBreak/>
              <w:t>Nervų sistemos sutrikimai</w:t>
            </w:r>
          </w:p>
        </w:tc>
        <w:tc>
          <w:tcPr>
            <w:tcW w:w="1431" w:type="pct"/>
            <w:vAlign w:val="center"/>
          </w:tcPr>
          <w:p w:rsidR="00444C66" w:rsidRDefault="00444C66">
            <w:pPr>
              <w:widowControl w:val="0"/>
              <w:tabs>
                <w:tab w:val="left" w:pos="567"/>
              </w:tabs>
              <w:spacing w:after="0" w:line="240" w:lineRule="auto"/>
              <w:rPr>
                <w:rFonts w:ascii="Times New Roman" w:eastAsia="Times New Roman" w:hAnsi="Times New Roman"/>
                <w:lang w:eastAsia="sl-SI"/>
              </w:rPr>
            </w:pPr>
            <w:r>
              <w:rPr>
                <w:rFonts w:ascii="Times New Roman" w:eastAsia="Times New Roman" w:hAnsi="Times New Roman"/>
                <w:lang w:eastAsia="sl-SI"/>
              </w:rPr>
              <w:t>Svaigulys</w:t>
            </w:r>
          </w:p>
        </w:tc>
        <w:tc>
          <w:tcPr>
            <w:tcW w:w="1795" w:type="pct"/>
            <w:vAlign w:val="center"/>
          </w:tcPr>
          <w:p w:rsidR="00444C66" w:rsidRDefault="00444C66">
            <w:pPr>
              <w:widowControl w:val="0"/>
              <w:tabs>
                <w:tab w:val="left" w:pos="567"/>
              </w:tabs>
              <w:spacing w:after="0" w:line="240" w:lineRule="auto"/>
              <w:rPr>
                <w:rFonts w:ascii="Times New Roman" w:eastAsia="Times New Roman" w:hAnsi="Times New Roman"/>
                <w:lang w:eastAsia="sl-SI"/>
              </w:rPr>
            </w:pPr>
            <w:r>
              <w:rPr>
                <w:rFonts w:ascii="Times New Roman" w:hAnsi="Times New Roman"/>
              </w:rPr>
              <w:t>Dažnas</w:t>
            </w:r>
          </w:p>
        </w:tc>
      </w:tr>
      <w:tr w:rsidR="00444C66">
        <w:trPr>
          <w:trHeight w:val="239"/>
        </w:trPr>
        <w:tc>
          <w:tcPr>
            <w:tcW w:w="1774" w:type="pct"/>
            <w:vMerge/>
          </w:tcPr>
          <w:p w:rsidR="00444C66" w:rsidRDefault="00444C66">
            <w:pPr>
              <w:widowControl w:val="0"/>
              <w:tabs>
                <w:tab w:val="center" w:pos="4536"/>
                <w:tab w:val="right" w:pos="9072"/>
              </w:tabs>
              <w:spacing w:after="0" w:line="240" w:lineRule="auto"/>
              <w:rPr>
                <w:rFonts w:ascii="Times New Roman" w:eastAsia="Times New Roman" w:hAnsi="Times New Roman"/>
                <w:lang w:eastAsia="sl-SI"/>
              </w:rPr>
            </w:pPr>
          </w:p>
        </w:tc>
        <w:tc>
          <w:tcPr>
            <w:tcW w:w="1431" w:type="pct"/>
            <w:vAlign w:val="center"/>
          </w:tcPr>
          <w:p w:rsidR="00444C66" w:rsidRDefault="00444C66">
            <w:pPr>
              <w:widowControl w:val="0"/>
              <w:tabs>
                <w:tab w:val="left" w:pos="567"/>
              </w:tabs>
              <w:spacing w:after="0" w:line="240" w:lineRule="auto"/>
              <w:rPr>
                <w:rFonts w:ascii="Times New Roman" w:eastAsia="Times New Roman" w:hAnsi="Times New Roman"/>
                <w:lang w:eastAsia="sl-SI"/>
              </w:rPr>
            </w:pPr>
            <w:r>
              <w:rPr>
                <w:rFonts w:ascii="Times New Roman" w:eastAsia="Times New Roman" w:hAnsi="Times New Roman"/>
                <w:lang w:eastAsia="sl-SI"/>
              </w:rPr>
              <w:t>Galvos skausmas</w:t>
            </w:r>
          </w:p>
        </w:tc>
        <w:tc>
          <w:tcPr>
            <w:tcW w:w="1795" w:type="pct"/>
            <w:vAlign w:val="center"/>
          </w:tcPr>
          <w:p w:rsidR="00444C66" w:rsidRDefault="00444C66">
            <w:pPr>
              <w:widowControl w:val="0"/>
              <w:tabs>
                <w:tab w:val="left" w:pos="567"/>
              </w:tabs>
              <w:spacing w:after="0" w:line="240" w:lineRule="auto"/>
              <w:rPr>
                <w:rFonts w:ascii="Times New Roman" w:eastAsia="Times New Roman" w:hAnsi="Times New Roman"/>
                <w:lang w:eastAsia="sl-SI"/>
              </w:rPr>
            </w:pPr>
            <w:r>
              <w:rPr>
                <w:rFonts w:ascii="Times New Roman" w:hAnsi="Times New Roman"/>
              </w:rPr>
              <w:t>Dažnas</w:t>
            </w:r>
          </w:p>
        </w:tc>
      </w:tr>
      <w:tr w:rsidR="00444C66">
        <w:trPr>
          <w:trHeight w:val="254"/>
        </w:trPr>
        <w:tc>
          <w:tcPr>
            <w:tcW w:w="1774" w:type="pct"/>
          </w:tcPr>
          <w:p w:rsidR="00444C66" w:rsidRDefault="00444C66">
            <w:pPr>
              <w:widowControl w:val="0"/>
              <w:tabs>
                <w:tab w:val="center" w:pos="4536"/>
                <w:tab w:val="right" w:pos="9072"/>
              </w:tabs>
              <w:spacing w:after="0" w:line="240" w:lineRule="auto"/>
              <w:rPr>
                <w:rFonts w:ascii="Times New Roman" w:eastAsia="Times New Roman" w:hAnsi="Times New Roman"/>
                <w:lang w:eastAsia="sl-SI"/>
              </w:rPr>
            </w:pPr>
            <w:r>
              <w:rPr>
                <w:rFonts w:ascii="Times New Roman" w:eastAsia="Times New Roman" w:hAnsi="Times New Roman"/>
                <w:lang w:eastAsia="sl-SI"/>
              </w:rPr>
              <w:t>Ausų ir labirintų sutrikimai</w:t>
            </w:r>
          </w:p>
        </w:tc>
        <w:tc>
          <w:tcPr>
            <w:tcW w:w="1431" w:type="pct"/>
            <w:vAlign w:val="center"/>
          </w:tcPr>
          <w:p w:rsidR="00444C66" w:rsidRDefault="00444C66">
            <w:pPr>
              <w:widowControl w:val="0"/>
              <w:tabs>
                <w:tab w:val="left" w:pos="567"/>
              </w:tabs>
              <w:spacing w:after="0" w:line="240" w:lineRule="auto"/>
              <w:rPr>
                <w:rFonts w:ascii="Times New Roman" w:eastAsia="Times New Roman" w:hAnsi="Times New Roman"/>
                <w:lang w:eastAsia="sl-SI"/>
              </w:rPr>
            </w:pPr>
            <w:r>
              <w:rPr>
                <w:rFonts w:ascii="Times New Roman" w:eastAsia="Times New Roman" w:hAnsi="Times New Roman"/>
                <w:lang w:eastAsia="sl-SI"/>
              </w:rPr>
              <w:t>Galvos sukimasis</w:t>
            </w:r>
          </w:p>
        </w:tc>
        <w:tc>
          <w:tcPr>
            <w:tcW w:w="1795" w:type="pct"/>
            <w:vAlign w:val="center"/>
          </w:tcPr>
          <w:p w:rsidR="00444C66" w:rsidRDefault="00444C66">
            <w:pPr>
              <w:widowControl w:val="0"/>
              <w:tabs>
                <w:tab w:val="left" w:pos="567"/>
              </w:tabs>
              <w:spacing w:after="0" w:line="240" w:lineRule="auto"/>
              <w:rPr>
                <w:rFonts w:ascii="Times New Roman" w:eastAsia="Times New Roman" w:hAnsi="Times New Roman"/>
                <w:lang w:eastAsia="sl-SI"/>
              </w:rPr>
            </w:pPr>
            <w:r>
              <w:rPr>
                <w:rFonts w:ascii="Times New Roman" w:hAnsi="Times New Roman"/>
              </w:rPr>
              <w:t>Nedažnas</w:t>
            </w:r>
          </w:p>
        </w:tc>
      </w:tr>
      <w:tr w:rsidR="00444C66">
        <w:trPr>
          <w:trHeight w:val="239"/>
        </w:trPr>
        <w:tc>
          <w:tcPr>
            <w:tcW w:w="1774" w:type="pct"/>
          </w:tcPr>
          <w:p w:rsidR="00444C66" w:rsidRDefault="00444C66">
            <w:pPr>
              <w:widowControl w:val="0"/>
              <w:tabs>
                <w:tab w:val="center" w:pos="4536"/>
                <w:tab w:val="right" w:pos="9072"/>
              </w:tabs>
              <w:spacing w:after="0" w:line="240" w:lineRule="auto"/>
              <w:rPr>
                <w:rFonts w:ascii="Times New Roman" w:eastAsia="Times New Roman" w:hAnsi="Times New Roman"/>
                <w:lang w:eastAsia="sl-SI"/>
              </w:rPr>
            </w:pPr>
            <w:r>
              <w:rPr>
                <w:rFonts w:ascii="Times New Roman" w:eastAsia="Times New Roman" w:hAnsi="Times New Roman"/>
                <w:lang w:eastAsia="sl-SI"/>
              </w:rPr>
              <w:t>Širdies sutrikimai</w:t>
            </w:r>
          </w:p>
        </w:tc>
        <w:tc>
          <w:tcPr>
            <w:tcW w:w="1431" w:type="pct"/>
            <w:vAlign w:val="center"/>
          </w:tcPr>
          <w:p w:rsidR="00444C66" w:rsidRDefault="00444C66">
            <w:pPr>
              <w:widowControl w:val="0"/>
              <w:spacing w:after="0" w:line="240" w:lineRule="auto"/>
              <w:rPr>
                <w:rFonts w:ascii="Times New Roman" w:eastAsia="Times New Roman" w:hAnsi="Times New Roman"/>
                <w:lang w:eastAsia="sl-SI"/>
              </w:rPr>
            </w:pPr>
            <w:r>
              <w:rPr>
                <w:rFonts w:ascii="Times New Roman" w:eastAsia="Times New Roman" w:hAnsi="Times New Roman"/>
                <w:lang w:eastAsia="sl-SI"/>
              </w:rPr>
              <w:t>Krūtinės angina</w:t>
            </w:r>
          </w:p>
        </w:tc>
        <w:tc>
          <w:tcPr>
            <w:tcW w:w="1795" w:type="pct"/>
            <w:vAlign w:val="center"/>
          </w:tcPr>
          <w:p w:rsidR="00444C66" w:rsidRDefault="00444C66">
            <w:pPr>
              <w:widowControl w:val="0"/>
              <w:tabs>
                <w:tab w:val="left" w:pos="567"/>
              </w:tabs>
              <w:spacing w:after="0" w:line="240" w:lineRule="auto"/>
              <w:rPr>
                <w:rFonts w:ascii="Times New Roman" w:eastAsia="Times New Roman" w:hAnsi="Times New Roman"/>
                <w:lang w:eastAsia="sl-SI"/>
              </w:rPr>
            </w:pPr>
            <w:r>
              <w:rPr>
                <w:rFonts w:ascii="Times New Roman" w:hAnsi="Times New Roman"/>
              </w:rPr>
              <w:t>Nedažnas</w:t>
            </w:r>
          </w:p>
        </w:tc>
      </w:tr>
      <w:tr w:rsidR="00444C66">
        <w:trPr>
          <w:trHeight w:val="254"/>
        </w:trPr>
        <w:tc>
          <w:tcPr>
            <w:tcW w:w="1774" w:type="pct"/>
          </w:tcPr>
          <w:p w:rsidR="00444C66" w:rsidRDefault="00444C66">
            <w:pPr>
              <w:widowControl w:val="0"/>
              <w:tabs>
                <w:tab w:val="center" w:pos="4536"/>
                <w:tab w:val="right" w:pos="9072"/>
              </w:tabs>
              <w:spacing w:after="0" w:line="240" w:lineRule="auto"/>
              <w:rPr>
                <w:rFonts w:ascii="Times New Roman" w:eastAsia="Times New Roman" w:hAnsi="Times New Roman"/>
                <w:lang w:eastAsia="sl-SI"/>
              </w:rPr>
            </w:pPr>
            <w:r>
              <w:rPr>
                <w:rFonts w:ascii="Times New Roman" w:eastAsia="Times New Roman" w:hAnsi="Times New Roman"/>
                <w:lang w:eastAsia="sl-SI"/>
              </w:rPr>
              <w:t>Kraujagyslių sutrikimai</w:t>
            </w:r>
          </w:p>
        </w:tc>
        <w:tc>
          <w:tcPr>
            <w:tcW w:w="1431" w:type="pct"/>
            <w:vAlign w:val="center"/>
          </w:tcPr>
          <w:p w:rsidR="00444C66" w:rsidRDefault="00444C66">
            <w:pPr>
              <w:widowControl w:val="0"/>
              <w:tabs>
                <w:tab w:val="left" w:pos="567"/>
              </w:tabs>
              <w:spacing w:after="0" w:line="240" w:lineRule="auto"/>
              <w:rPr>
                <w:rFonts w:ascii="Times New Roman" w:eastAsia="Times New Roman" w:hAnsi="Times New Roman"/>
                <w:lang w:eastAsia="sl-SI"/>
              </w:rPr>
            </w:pPr>
            <w:r>
              <w:rPr>
                <w:rFonts w:ascii="Times New Roman" w:eastAsia="Times New Roman" w:hAnsi="Times New Roman"/>
                <w:lang w:eastAsia="sl-SI"/>
              </w:rPr>
              <w:t>Hipotenzija</w:t>
            </w:r>
          </w:p>
        </w:tc>
        <w:tc>
          <w:tcPr>
            <w:tcW w:w="1795" w:type="pct"/>
            <w:vAlign w:val="center"/>
          </w:tcPr>
          <w:p w:rsidR="00444C66" w:rsidRDefault="00444C66">
            <w:pPr>
              <w:widowControl w:val="0"/>
              <w:tabs>
                <w:tab w:val="left" w:pos="567"/>
              </w:tabs>
              <w:spacing w:after="0" w:line="240" w:lineRule="auto"/>
              <w:rPr>
                <w:rFonts w:ascii="Times New Roman" w:eastAsia="Times New Roman" w:hAnsi="Times New Roman"/>
                <w:lang w:eastAsia="sl-SI"/>
              </w:rPr>
            </w:pPr>
            <w:r>
              <w:rPr>
                <w:rFonts w:ascii="Times New Roman" w:hAnsi="Times New Roman"/>
              </w:rPr>
              <w:t>Retas</w:t>
            </w:r>
          </w:p>
        </w:tc>
      </w:tr>
      <w:tr w:rsidR="00444C66">
        <w:trPr>
          <w:trHeight w:val="279"/>
        </w:trPr>
        <w:tc>
          <w:tcPr>
            <w:tcW w:w="1774" w:type="pct"/>
            <w:vMerge w:val="restart"/>
          </w:tcPr>
          <w:p w:rsidR="00444C66" w:rsidRDefault="00444C66">
            <w:pPr>
              <w:widowControl w:val="0"/>
              <w:tabs>
                <w:tab w:val="center" w:pos="4536"/>
                <w:tab w:val="right" w:pos="9072"/>
              </w:tabs>
              <w:spacing w:after="0" w:line="240" w:lineRule="auto"/>
              <w:rPr>
                <w:rFonts w:ascii="Times New Roman" w:eastAsia="Times New Roman" w:hAnsi="Times New Roman"/>
                <w:lang w:eastAsia="sl-SI"/>
              </w:rPr>
            </w:pPr>
            <w:r>
              <w:rPr>
                <w:rFonts w:ascii="Times New Roman" w:eastAsia="Times New Roman" w:hAnsi="Times New Roman"/>
                <w:lang w:eastAsia="sl-SI"/>
              </w:rPr>
              <w:t>Kvėpavimo sistemos, krūtinės ląstos ir tarpuplaučio sutrikimai</w:t>
            </w:r>
          </w:p>
        </w:tc>
        <w:tc>
          <w:tcPr>
            <w:tcW w:w="1431" w:type="pct"/>
            <w:vAlign w:val="center"/>
          </w:tcPr>
          <w:p w:rsidR="00444C66" w:rsidRDefault="00444C66">
            <w:pPr>
              <w:widowControl w:val="0"/>
              <w:tabs>
                <w:tab w:val="left" w:pos="567"/>
              </w:tabs>
              <w:spacing w:after="0" w:line="240" w:lineRule="auto"/>
              <w:rPr>
                <w:rFonts w:ascii="Times New Roman" w:eastAsia="Times New Roman" w:hAnsi="Times New Roman"/>
                <w:lang w:eastAsia="sl-SI"/>
              </w:rPr>
            </w:pPr>
            <w:r>
              <w:rPr>
                <w:rFonts w:ascii="Times New Roman" w:eastAsia="Times New Roman" w:hAnsi="Times New Roman"/>
                <w:lang w:eastAsia="sl-SI"/>
              </w:rPr>
              <w:t>Bronchitas</w:t>
            </w:r>
          </w:p>
        </w:tc>
        <w:tc>
          <w:tcPr>
            <w:tcW w:w="1795" w:type="pct"/>
            <w:vAlign w:val="center"/>
          </w:tcPr>
          <w:p w:rsidR="00444C66" w:rsidRDefault="00444C66">
            <w:pPr>
              <w:widowControl w:val="0"/>
              <w:tabs>
                <w:tab w:val="left" w:pos="567"/>
              </w:tabs>
              <w:spacing w:after="0" w:line="240" w:lineRule="auto"/>
              <w:rPr>
                <w:rFonts w:ascii="Times New Roman" w:eastAsia="Times New Roman" w:hAnsi="Times New Roman"/>
                <w:lang w:eastAsia="sl-SI"/>
              </w:rPr>
            </w:pPr>
            <w:r>
              <w:rPr>
                <w:rFonts w:ascii="Times New Roman" w:hAnsi="Times New Roman"/>
              </w:rPr>
              <w:t>Dažnas</w:t>
            </w:r>
          </w:p>
        </w:tc>
      </w:tr>
      <w:tr w:rsidR="00444C66">
        <w:trPr>
          <w:trHeight w:val="254"/>
        </w:trPr>
        <w:tc>
          <w:tcPr>
            <w:tcW w:w="1774" w:type="pct"/>
            <w:vMerge/>
          </w:tcPr>
          <w:p w:rsidR="00444C66" w:rsidRDefault="00444C66">
            <w:pPr>
              <w:widowControl w:val="0"/>
              <w:tabs>
                <w:tab w:val="center" w:pos="4536"/>
                <w:tab w:val="right" w:pos="9072"/>
              </w:tabs>
              <w:spacing w:after="0" w:line="240" w:lineRule="auto"/>
              <w:rPr>
                <w:rFonts w:ascii="Times New Roman" w:eastAsia="Times New Roman" w:hAnsi="Times New Roman"/>
                <w:lang w:eastAsia="sl-SI"/>
              </w:rPr>
            </w:pPr>
          </w:p>
        </w:tc>
        <w:tc>
          <w:tcPr>
            <w:tcW w:w="1431" w:type="pct"/>
            <w:vAlign w:val="center"/>
          </w:tcPr>
          <w:p w:rsidR="00444C66" w:rsidRDefault="00444C66">
            <w:pPr>
              <w:widowControl w:val="0"/>
              <w:tabs>
                <w:tab w:val="left" w:pos="567"/>
              </w:tabs>
              <w:spacing w:after="0" w:line="240" w:lineRule="auto"/>
              <w:rPr>
                <w:rFonts w:ascii="Times New Roman" w:eastAsia="Times New Roman" w:hAnsi="Times New Roman"/>
                <w:lang w:eastAsia="sl-SI"/>
              </w:rPr>
            </w:pPr>
            <w:r>
              <w:rPr>
                <w:rFonts w:ascii="Times New Roman" w:eastAsia="Times New Roman" w:hAnsi="Times New Roman"/>
                <w:lang w:eastAsia="sl-SI"/>
              </w:rPr>
              <w:t>Faringitas</w:t>
            </w:r>
          </w:p>
        </w:tc>
        <w:tc>
          <w:tcPr>
            <w:tcW w:w="1795" w:type="pct"/>
            <w:vAlign w:val="center"/>
          </w:tcPr>
          <w:p w:rsidR="00444C66" w:rsidRDefault="00444C66">
            <w:pPr>
              <w:widowControl w:val="0"/>
              <w:tabs>
                <w:tab w:val="left" w:pos="567"/>
              </w:tabs>
              <w:spacing w:after="0" w:line="240" w:lineRule="auto"/>
              <w:rPr>
                <w:rFonts w:ascii="Times New Roman" w:eastAsia="Times New Roman" w:hAnsi="Times New Roman"/>
                <w:lang w:eastAsia="sl-SI"/>
              </w:rPr>
            </w:pPr>
            <w:r>
              <w:rPr>
                <w:rFonts w:ascii="Times New Roman" w:hAnsi="Times New Roman"/>
              </w:rPr>
              <w:t>Dažnas</w:t>
            </w:r>
          </w:p>
        </w:tc>
      </w:tr>
      <w:tr w:rsidR="00444C66">
        <w:trPr>
          <w:trHeight w:val="239"/>
        </w:trPr>
        <w:tc>
          <w:tcPr>
            <w:tcW w:w="1774" w:type="pct"/>
            <w:vMerge/>
          </w:tcPr>
          <w:p w:rsidR="00444C66" w:rsidRDefault="00444C66">
            <w:pPr>
              <w:widowControl w:val="0"/>
              <w:tabs>
                <w:tab w:val="center" w:pos="4536"/>
                <w:tab w:val="right" w:pos="9072"/>
              </w:tabs>
              <w:spacing w:after="0" w:line="240" w:lineRule="auto"/>
              <w:rPr>
                <w:rFonts w:ascii="Times New Roman" w:eastAsia="Times New Roman" w:hAnsi="Times New Roman"/>
                <w:lang w:eastAsia="sl-SI"/>
              </w:rPr>
            </w:pPr>
          </w:p>
        </w:tc>
        <w:tc>
          <w:tcPr>
            <w:tcW w:w="1431" w:type="pct"/>
            <w:vAlign w:val="center"/>
          </w:tcPr>
          <w:p w:rsidR="00444C66" w:rsidRDefault="00444C66">
            <w:pPr>
              <w:widowControl w:val="0"/>
              <w:tabs>
                <w:tab w:val="left" w:pos="567"/>
              </w:tabs>
              <w:spacing w:after="0" w:line="240" w:lineRule="auto"/>
              <w:rPr>
                <w:rFonts w:ascii="Times New Roman" w:eastAsia="Times New Roman" w:hAnsi="Times New Roman"/>
                <w:lang w:eastAsia="sl-SI"/>
              </w:rPr>
            </w:pPr>
            <w:r>
              <w:rPr>
                <w:rFonts w:ascii="Times New Roman" w:eastAsia="Times New Roman" w:hAnsi="Times New Roman"/>
                <w:lang w:eastAsia="sl-SI"/>
              </w:rPr>
              <w:t>Kosulys</w:t>
            </w:r>
          </w:p>
        </w:tc>
        <w:tc>
          <w:tcPr>
            <w:tcW w:w="1795" w:type="pct"/>
            <w:vAlign w:val="center"/>
          </w:tcPr>
          <w:p w:rsidR="00444C66" w:rsidRDefault="00444C66">
            <w:pPr>
              <w:widowControl w:val="0"/>
              <w:tabs>
                <w:tab w:val="left" w:pos="567"/>
              </w:tabs>
              <w:spacing w:after="0" w:line="240" w:lineRule="auto"/>
              <w:rPr>
                <w:rFonts w:ascii="Times New Roman" w:eastAsia="Times New Roman" w:hAnsi="Times New Roman"/>
                <w:lang w:eastAsia="sl-SI"/>
              </w:rPr>
            </w:pPr>
            <w:r>
              <w:rPr>
                <w:rFonts w:ascii="Times New Roman" w:hAnsi="Times New Roman"/>
              </w:rPr>
              <w:t>Dažnas</w:t>
            </w:r>
          </w:p>
        </w:tc>
      </w:tr>
      <w:tr w:rsidR="00444C66">
        <w:trPr>
          <w:trHeight w:val="254"/>
        </w:trPr>
        <w:tc>
          <w:tcPr>
            <w:tcW w:w="1774" w:type="pct"/>
            <w:vMerge/>
          </w:tcPr>
          <w:p w:rsidR="00444C66" w:rsidRDefault="00444C66">
            <w:pPr>
              <w:widowControl w:val="0"/>
              <w:tabs>
                <w:tab w:val="center" w:pos="4536"/>
                <w:tab w:val="right" w:pos="9072"/>
              </w:tabs>
              <w:spacing w:after="0" w:line="240" w:lineRule="auto"/>
              <w:rPr>
                <w:rFonts w:ascii="Times New Roman" w:eastAsia="Times New Roman" w:hAnsi="Times New Roman"/>
                <w:lang w:eastAsia="sl-SI"/>
              </w:rPr>
            </w:pPr>
          </w:p>
        </w:tc>
        <w:tc>
          <w:tcPr>
            <w:tcW w:w="1431" w:type="pct"/>
            <w:vAlign w:val="center"/>
          </w:tcPr>
          <w:p w:rsidR="00444C66" w:rsidRDefault="00444C66">
            <w:pPr>
              <w:widowControl w:val="0"/>
              <w:tabs>
                <w:tab w:val="left" w:pos="567"/>
              </w:tabs>
              <w:spacing w:after="0" w:line="240" w:lineRule="auto"/>
              <w:rPr>
                <w:rFonts w:ascii="Times New Roman" w:eastAsia="Times New Roman" w:hAnsi="Times New Roman"/>
                <w:lang w:eastAsia="sl-SI"/>
              </w:rPr>
            </w:pPr>
            <w:r>
              <w:rPr>
                <w:rFonts w:ascii="Times New Roman" w:eastAsia="Times New Roman" w:hAnsi="Times New Roman"/>
                <w:lang w:eastAsia="sl-SI"/>
              </w:rPr>
              <w:t>Rinitas</w:t>
            </w:r>
          </w:p>
        </w:tc>
        <w:tc>
          <w:tcPr>
            <w:tcW w:w="1795" w:type="pct"/>
            <w:vAlign w:val="center"/>
          </w:tcPr>
          <w:p w:rsidR="00444C66" w:rsidRDefault="00444C66">
            <w:pPr>
              <w:widowControl w:val="0"/>
              <w:tabs>
                <w:tab w:val="left" w:pos="567"/>
              </w:tabs>
              <w:spacing w:after="0" w:line="240" w:lineRule="auto"/>
              <w:rPr>
                <w:rFonts w:ascii="Times New Roman" w:eastAsia="Times New Roman" w:hAnsi="Times New Roman"/>
                <w:lang w:eastAsia="sl-SI"/>
              </w:rPr>
            </w:pPr>
            <w:r>
              <w:rPr>
                <w:rFonts w:ascii="Times New Roman" w:hAnsi="Times New Roman"/>
              </w:rPr>
              <w:t>Dažnas</w:t>
            </w:r>
          </w:p>
        </w:tc>
      </w:tr>
      <w:tr w:rsidR="004F7604">
        <w:trPr>
          <w:trHeight w:val="181"/>
        </w:trPr>
        <w:tc>
          <w:tcPr>
            <w:tcW w:w="1774" w:type="pct"/>
            <w:vMerge w:val="restart"/>
          </w:tcPr>
          <w:p w:rsidR="004F7604" w:rsidRDefault="004F7604">
            <w:pPr>
              <w:widowControl w:val="0"/>
              <w:tabs>
                <w:tab w:val="center" w:pos="4536"/>
                <w:tab w:val="right" w:pos="9072"/>
              </w:tabs>
              <w:spacing w:after="0" w:line="240" w:lineRule="auto"/>
              <w:rPr>
                <w:rFonts w:ascii="Times New Roman" w:eastAsia="Times New Roman" w:hAnsi="Times New Roman"/>
                <w:lang w:eastAsia="sl-SI"/>
              </w:rPr>
            </w:pPr>
            <w:r>
              <w:rPr>
                <w:rFonts w:ascii="Times New Roman" w:eastAsia="Times New Roman" w:hAnsi="Times New Roman"/>
                <w:lang w:eastAsia="sl-SI"/>
              </w:rPr>
              <w:t>Virškinimo trakto sutrikimai</w:t>
            </w:r>
          </w:p>
        </w:tc>
        <w:tc>
          <w:tcPr>
            <w:tcW w:w="1431" w:type="pct"/>
            <w:vAlign w:val="center"/>
          </w:tcPr>
          <w:p w:rsidR="004F7604" w:rsidRDefault="004F7604">
            <w:pPr>
              <w:widowControl w:val="0"/>
              <w:tabs>
                <w:tab w:val="left" w:pos="567"/>
              </w:tabs>
              <w:spacing w:after="0" w:line="240" w:lineRule="auto"/>
              <w:rPr>
                <w:rFonts w:ascii="Times New Roman" w:eastAsia="Times New Roman" w:hAnsi="Times New Roman"/>
                <w:lang w:eastAsia="sl-SI"/>
              </w:rPr>
            </w:pPr>
            <w:r>
              <w:rPr>
                <w:rFonts w:ascii="Times New Roman" w:eastAsia="Times New Roman" w:hAnsi="Times New Roman"/>
                <w:lang w:eastAsia="sl-SI"/>
              </w:rPr>
              <w:t xml:space="preserve">Gastroenteritas </w:t>
            </w:r>
          </w:p>
        </w:tc>
        <w:tc>
          <w:tcPr>
            <w:tcW w:w="1795" w:type="pct"/>
            <w:vAlign w:val="center"/>
          </w:tcPr>
          <w:p w:rsidR="004F7604" w:rsidRDefault="004F7604">
            <w:pPr>
              <w:widowControl w:val="0"/>
              <w:tabs>
                <w:tab w:val="left" w:pos="567"/>
              </w:tabs>
              <w:spacing w:after="0" w:line="240" w:lineRule="auto"/>
              <w:rPr>
                <w:rFonts w:ascii="Times New Roman" w:eastAsia="Times New Roman" w:hAnsi="Times New Roman"/>
                <w:lang w:eastAsia="sl-SI"/>
              </w:rPr>
            </w:pPr>
            <w:r>
              <w:rPr>
                <w:rFonts w:ascii="Times New Roman" w:hAnsi="Times New Roman"/>
              </w:rPr>
              <w:t>Dažnas</w:t>
            </w:r>
          </w:p>
        </w:tc>
      </w:tr>
      <w:tr w:rsidR="004F7604">
        <w:trPr>
          <w:trHeight w:val="254"/>
        </w:trPr>
        <w:tc>
          <w:tcPr>
            <w:tcW w:w="1774" w:type="pct"/>
            <w:vMerge/>
          </w:tcPr>
          <w:p w:rsidR="004F7604" w:rsidRDefault="004F7604">
            <w:pPr>
              <w:widowControl w:val="0"/>
              <w:tabs>
                <w:tab w:val="center" w:pos="4536"/>
                <w:tab w:val="right" w:pos="9072"/>
              </w:tabs>
              <w:spacing w:after="0" w:line="240" w:lineRule="auto"/>
              <w:rPr>
                <w:rFonts w:ascii="Times New Roman" w:eastAsia="Times New Roman" w:hAnsi="Times New Roman"/>
                <w:lang w:eastAsia="sl-SI"/>
              </w:rPr>
            </w:pPr>
          </w:p>
        </w:tc>
        <w:tc>
          <w:tcPr>
            <w:tcW w:w="1431" w:type="pct"/>
            <w:vAlign w:val="center"/>
          </w:tcPr>
          <w:p w:rsidR="004F7604" w:rsidRDefault="004F7604">
            <w:pPr>
              <w:widowControl w:val="0"/>
              <w:tabs>
                <w:tab w:val="left" w:pos="567"/>
              </w:tabs>
              <w:spacing w:after="0" w:line="240" w:lineRule="auto"/>
              <w:rPr>
                <w:rFonts w:ascii="Times New Roman" w:eastAsia="Times New Roman" w:hAnsi="Times New Roman"/>
                <w:lang w:eastAsia="sl-SI"/>
              </w:rPr>
            </w:pPr>
            <w:r>
              <w:rPr>
                <w:rFonts w:ascii="Times New Roman" w:eastAsia="Times New Roman" w:hAnsi="Times New Roman"/>
                <w:lang w:eastAsia="sl-SI"/>
              </w:rPr>
              <w:t>Viduriavimas</w:t>
            </w:r>
          </w:p>
        </w:tc>
        <w:tc>
          <w:tcPr>
            <w:tcW w:w="1795" w:type="pct"/>
            <w:vAlign w:val="center"/>
          </w:tcPr>
          <w:p w:rsidR="004F7604" w:rsidRDefault="004F7604">
            <w:pPr>
              <w:widowControl w:val="0"/>
              <w:tabs>
                <w:tab w:val="left" w:pos="567"/>
              </w:tabs>
              <w:spacing w:after="0" w:line="240" w:lineRule="auto"/>
              <w:rPr>
                <w:rFonts w:ascii="Times New Roman" w:eastAsia="Times New Roman" w:hAnsi="Times New Roman"/>
                <w:lang w:eastAsia="sl-SI"/>
              </w:rPr>
            </w:pPr>
            <w:r>
              <w:rPr>
                <w:rFonts w:ascii="Times New Roman" w:hAnsi="Times New Roman"/>
              </w:rPr>
              <w:t>Dažnas</w:t>
            </w:r>
          </w:p>
        </w:tc>
      </w:tr>
      <w:tr w:rsidR="004F7604">
        <w:trPr>
          <w:trHeight w:val="239"/>
        </w:trPr>
        <w:tc>
          <w:tcPr>
            <w:tcW w:w="1774" w:type="pct"/>
            <w:vMerge/>
          </w:tcPr>
          <w:p w:rsidR="004F7604" w:rsidRDefault="004F7604">
            <w:pPr>
              <w:widowControl w:val="0"/>
              <w:tabs>
                <w:tab w:val="center" w:pos="4536"/>
                <w:tab w:val="right" w:pos="9072"/>
              </w:tabs>
              <w:spacing w:after="0" w:line="240" w:lineRule="auto"/>
              <w:rPr>
                <w:rFonts w:ascii="Times New Roman" w:eastAsia="Times New Roman" w:hAnsi="Times New Roman"/>
                <w:lang w:eastAsia="sl-SI"/>
              </w:rPr>
            </w:pPr>
          </w:p>
        </w:tc>
        <w:tc>
          <w:tcPr>
            <w:tcW w:w="1431" w:type="pct"/>
            <w:vAlign w:val="center"/>
          </w:tcPr>
          <w:p w:rsidR="004F7604" w:rsidRDefault="004F7604">
            <w:pPr>
              <w:widowControl w:val="0"/>
              <w:tabs>
                <w:tab w:val="left" w:pos="567"/>
              </w:tabs>
              <w:spacing w:after="0" w:line="240" w:lineRule="auto"/>
              <w:rPr>
                <w:rFonts w:ascii="Times New Roman" w:eastAsia="Times New Roman" w:hAnsi="Times New Roman"/>
                <w:lang w:eastAsia="sl-SI"/>
              </w:rPr>
            </w:pPr>
            <w:r>
              <w:rPr>
                <w:rFonts w:ascii="Times New Roman" w:eastAsia="Times New Roman" w:hAnsi="Times New Roman"/>
                <w:lang w:eastAsia="sl-SI"/>
              </w:rPr>
              <w:t>Pilvo skausmas</w:t>
            </w:r>
          </w:p>
        </w:tc>
        <w:tc>
          <w:tcPr>
            <w:tcW w:w="1795" w:type="pct"/>
            <w:vAlign w:val="center"/>
          </w:tcPr>
          <w:p w:rsidR="004F7604" w:rsidRDefault="004F7604">
            <w:pPr>
              <w:widowControl w:val="0"/>
              <w:tabs>
                <w:tab w:val="left" w:pos="567"/>
              </w:tabs>
              <w:spacing w:after="0" w:line="240" w:lineRule="auto"/>
              <w:rPr>
                <w:rFonts w:ascii="Times New Roman" w:eastAsia="Times New Roman" w:hAnsi="Times New Roman"/>
                <w:lang w:eastAsia="sl-SI"/>
              </w:rPr>
            </w:pPr>
            <w:r>
              <w:rPr>
                <w:rFonts w:ascii="Times New Roman" w:hAnsi="Times New Roman"/>
              </w:rPr>
              <w:t>Dažnas</w:t>
            </w:r>
          </w:p>
        </w:tc>
      </w:tr>
      <w:tr w:rsidR="004F7604">
        <w:trPr>
          <w:trHeight w:val="254"/>
        </w:trPr>
        <w:tc>
          <w:tcPr>
            <w:tcW w:w="1774" w:type="pct"/>
            <w:vMerge/>
          </w:tcPr>
          <w:p w:rsidR="004F7604" w:rsidRDefault="004F7604">
            <w:pPr>
              <w:widowControl w:val="0"/>
              <w:tabs>
                <w:tab w:val="center" w:pos="4536"/>
                <w:tab w:val="right" w:pos="9072"/>
              </w:tabs>
              <w:spacing w:after="0" w:line="240" w:lineRule="auto"/>
              <w:rPr>
                <w:rFonts w:ascii="Times New Roman" w:eastAsia="Times New Roman" w:hAnsi="Times New Roman"/>
                <w:lang w:eastAsia="sl-SI"/>
              </w:rPr>
            </w:pPr>
          </w:p>
        </w:tc>
        <w:tc>
          <w:tcPr>
            <w:tcW w:w="1431" w:type="pct"/>
            <w:vAlign w:val="center"/>
          </w:tcPr>
          <w:p w:rsidR="004F7604" w:rsidRDefault="004F7604">
            <w:pPr>
              <w:widowControl w:val="0"/>
              <w:tabs>
                <w:tab w:val="left" w:pos="567"/>
              </w:tabs>
              <w:spacing w:after="0" w:line="240" w:lineRule="auto"/>
              <w:rPr>
                <w:rFonts w:ascii="Times New Roman" w:eastAsia="Times New Roman" w:hAnsi="Times New Roman"/>
                <w:lang w:eastAsia="sl-SI"/>
              </w:rPr>
            </w:pPr>
            <w:r>
              <w:rPr>
                <w:rFonts w:ascii="Times New Roman" w:eastAsia="Times New Roman" w:hAnsi="Times New Roman"/>
                <w:lang w:eastAsia="sl-SI"/>
              </w:rPr>
              <w:t>Pykinimas</w:t>
            </w:r>
          </w:p>
        </w:tc>
        <w:tc>
          <w:tcPr>
            <w:tcW w:w="1795" w:type="pct"/>
            <w:vAlign w:val="center"/>
          </w:tcPr>
          <w:p w:rsidR="004F7604" w:rsidRDefault="004F7604">
            <w:pPr>
              <w:widowControl w:val="0"/>
              <w:tabs>
                <w:tab w:val="left" w:pos="567"/>
              </w:tabs>
              <w:spacing w:after="0" w:line="240" w:lineRule="auto"/>
              <w:rPr>
                <w:rFonts w:ascii="Times New Roman" w:eastAsia="Times New Roman" w:hAnsi="Times New Roman"/>
                <w:lang w:eastAsia="sl-SI"/>
              </w:rPr>
            </w:pPr>
            <w:r>
              <w:rPr>
                <w:rFonts w:ascii="Times New Roman" w:hAnsi="Times New Roman"/>
              </w:rPr>
              <w:t>Dažnas</w:t>
            </w:r>
          </w:p>
        </w:tc>
      </w:tr>
      <w:tr w:rsidR="004F7604">
        <w:trPr>
          <w:trHeight w:val="239"/>
        </w:trPr>
        <w:tc>
          <w:tcPr>
            <w:tcW w:w="1774" w:type="pct"/>
            <w:vMerge/>
          </w:tcPr>
          <w:p w:rsidR="004F7604" w:rsidRDefault="004F7604">
            <w:pPr>
              <w:widowControl w:val="0"/>
              <w:tabs>
                <w:tab w:val="center" w:pos="4536"/>
                <w:tab w:val="right" w:pos="9072"/>
              </w:tabs>
              <w:spacing w:after="0" w:line="240" w:lineRule="auto"/>
              <w:rPr>
                <w:rFonts w:ascii="Times New Roman" w:eastAsia="Times New Roman" w:hAnsi="Times New Roman"/>
                <w:lang w:eastAsia="sl-SI"/>
              </w:rPr>
            </w:pPr>
          </w:p>
        </w:tc>
        <w:tc>
          <w:tcPr>
            <w:tcW w:w="1431" w:type="pct"/>
            <w:vAlign w:val="center"/>
          </w:tcPr>
          <w:p w:rsidR="004F7604" w:rsidRDefault="004F7604">
            <w:pPr>
              <w:widowControl w:val="0"/>
              <w:tabs>
                <w:tab w:val="left" w:pos="567"/>
              </w:tabs>
              <w:spacing w:after="0" w:line="240" w:lineRule="auto"/>
              <w:rPr>
                <w:rFonts w:ascii="Times New Roman" w:eastAsia="Times New Roman" w:hAnsi="Times New Roman"/>
                <w:lang w:eastAsia="sl-SI"/>
              </w:rPr>
            </w:pPr>
            <w:r>
              <w:rPr>
                <w:rFonts w:ascii="Times New Roman" w:eastAsia="Times New Roman" w:hAnsi="Times New Roman"/>
                <w:lang w:eastAsia="sl-SI"/>
              </w:rPr>
              <w:t>Dispepsija</w:t>
            </w:r>
          </w:p>
        </w:tc>
        <w:tc>
          <w:tcPr>
            <w:tcW w:w="1795" w:type="pct"/>
            <w:vAlign w:val="center"/>
          </w:tcPr>
          <w:p w:rsidR="004F7604" w:rsidRDefault="004F7604">
            <w:pPr>
              <w:widowControl w:val="0"/>
              <w:tabs>
                <w:tab w:val="left" w:pos="567"/>
              </w:tabs>
              <w:spacing w:after="0" w:line="240" w:lineRule="auto"/>
              <w:rPr>
                <w:rFonts w:ascii="Times New Roman" w:eastAsia="Times New Roman" w:hAnsi="Times New Roman"/>
                <w:lang w:eastAsia="sl-SI"/>
              </w:rPr>
            </w:pPr>
            <w:r>
              <w:rPr>
                <w:rFonts w:ascii="Times New Roman" w:hAnsi="Times New Roman"/>
              </w:rPr>
              <w:t>Dažnas</w:t>
            </w:r>
          </w:p>
        </w:tc>
      </w:tr>
      <w:tr w:rsidR="004F7604">
        <w:trPr>
          <w:trHeight w:val="254"/>
        </w:trPr>
        <w:tc>
          <w:tcPr>
            <w:tcW w:w="1774" w:type="pct"/>
            <w:vMerge/>
          </w:tcPr>
          <w:p w:rsidR="004F7604" w:rsidRDefault="004F7604">
            <w:pPr>
              <w:widowControl w:val="0"/>
              <w:tabs>
                <w:tab w:val="center" w:pos="4536"/>
                <w:tab w:val="right" w:pos="9072"/>
              </w:tabs>
              <w:spacing w:after="0" w:line="240" w:lineRule="auto"/>
              <w:rPr>
                <w:rFonts w:ascii="Times New Roman" w:eastAsia="Times New Roman" w:hAnsi="Times New Roman"/>
                <w:lang w:eastAsia="sl-SI"/>
              </w:rPr>
            </w:pPr>
          </w:p>
        </w:tc>
        <w:tc>
          <w:tcPr>
            <w:tcW w:w="1431" w:type="pct"/>
            <w:vAlign w:val="center"/>
          </w:tcPr>
          <w:p w:rsidR="004F7604" w:rsidRDefault="004F7604">
            <w:pPr>
              <w:widowControl w:val="0"/>
              <w:tabs>
                <w:tab w:val="left" w:pos="567"/>
              </w:tabs>
              <w:spacing w:after="0" w:line="240" w:lineRule="auto"/>
              <w:rPr>
                <w:rFonts w:ascii="Times New Roman" w:eastAsia="Times New Roman" w:hAnsi="Times New Roman"/>
                <w:lang w:eastAsia="sl-SI"/>
              </w:rPr>
            </w:pPr>
            <w:r>
              <w:rPr>
                <w:rFonts w:ascii="Times New Roman" w:eastAsia="Times New Roman" w:hAnsi="Times New Roman"/>
                <w:lang w:eastAsia="sl-SI"/>
              </w:rPr>
              <w:t>Vėmimas</w:t>
            </w:r>
          </w:p>
        </w:tc>
        <w:tc>
          <w:tcPr>
            <w:tcW w:w="1795" w:type="pct"/>
            <w:vAlign w:val="center"/>
          </w:tcPr>
          <w:p w:rsidR="004F7604" w:rsidRDefault="004F7604">
            <w:pPr>
              <w:widowControl w:val="0"/>
              <w:tabs>
                <w:tab w:val="left" w:pos="567"/>
              </w:tabs>
              <w:spacing w:after="0" w:line="240" w:lineRule="auto"/>
              <w:rPr>
                <w:rFonts w:ascii="Times New Roman" w:eastAsia="Times New Roman" w:hAnsi="Times New Roman"/>
                <w:lang w:eastAsia="sl-SI"/>
              </w:rPr>
            </w:pPr>
            <w:r>
              <w:rPr>
                <w:rFonts w:ascii="Times New Roman" w:hAnsi="Times New Roman"/>
              </w:rPr>
              <w:t>Nedažnas</w:t>
            </w:r>
          </w:p>
        </w:tc>
      </w:tr>
      <w:tr w:rsidR="004F7604" w:rsidTr="004F5963">
        <w:trPr>
          <w:trHeight w:val="254"/>
        </w:trPr>
        <w:tc>
          <w:tcPr>
            <w:tcW w:w="1774" w:type="pct"/>
            <w:vMerge/>
          </w:tcPr>
          <w:p w:rsidR="004F7604" w:rsidRDefault="004F7604">
            <w:pPr>
              <w:widowControl w:val="0"/>
              <w:tabs>
                <w:tab w:val="center" w:pos="4536"/>
                <w:tab w:val="right" w:pos="9072"/>
              </w:tabs>
              <w:spacing w:after="0" w:line="240" w:lineRule="auto"/>
              <w:rPr>
                <w:rFonts w:ascii="Times New Roman" w:eastAsia="Times New Roman" w:hAnsi="Times New Roman"/>
                <w:lang w:eastAsia="sl-SI"/>
              </w:rPr>
            </w:pPr>
          </w:p>
        </w:tc>
        <w:tc>
          <w:tcPr>
            <w:tcW w:w="1431" w:type="pct"/>
          </w:tcPr>
          <w:p w:rsidR="004F7604" w:rsidRDefault="004F7604">
            <w:pPr>
              <w:widowControl w:val="0"/>
              <w:tabs>
                <w:tab w:val="left" w:pos="567"/>
              </w:tabs>
              <w:spacing w:after="0" w:line="240" w:lineRule="auto"/>
              <w:rPr>
                <w:rFonts w:ascii="Times New Roman" w:eastAsia="Times New Roman" w:hAnsi="Times New Roman"/>
                <w:lang w:eastAsia="sl-SI"/>
              </w:rPr>
            </w:pPr>
            <w:r w:rsidRPr="004F7604">
              <w:rPr>
                <w:rFonts w:ascii="Times New Roman" w:eastAsia="Times New Roman" w:hAnsi="Times New Roman"/>
                <w:lang w:eastAsia="sl-SI"/>
              </w:rPr>
              <w:t xml:space="preserve">Žarnyno </w:t>
            </w:r>
            <w:proofErr w:type="spellStart"/>
            <w:r w:rsidRPr="004F7604">
              <w:rPr>
                <w:rFonts w:ascii="Times New Roman" w:eastAsia="Times New Roman" w:hAnsi="Times New Roman"/>
                <w:lang w:eastAsia="sl-SI"/>
              </w:rPr>
              <w:t>angioneurozinė</w:t>
            </w:r>
            <w:proofErr w:type="spellEnd"/>
            <w:r w:rsidRPr="004F7604">
              <w:rPr>
                <w:rFonts w:ascii="Times New Roman" w:eastAsia="Times New Roman" w:hAnsi="Times New Roman"/>
                <w:lang w:eastAsia="sl-SI"/>
              </w:rPr>
              <w:t xml:space="preserve"> edema</w:t>
            </w:r>
          </w:p>
        </w:tc>
        <w:tc>
          <w:tcPr>
            <w:tcW w:w="1795" w:type="pct"/>
          </w:tcPr>
          <w:p w:rsidR="004F7604" w:rsidRDefault="004F7604">
            <w:pPr>
              <w:widowControl w:val="0"/>
              <w:tabs>
                <w:tab w:val="left" w:pos="567"/>
              </w:tabs>
              <w:spacing w:after="0" w:line="240" w:lineRule="auto"/>
              <w:rPr>
                <w:rFonts w:ascii="Times New Roman" w:hAnsi="Times New Roman"/>
              </w:rPr>
            </w:pPr>
            <w:r w:rsidRPr="004F7604">
              <w:rPr>
                <w:rFonts w:ascii="Times New Roman" w:hAnsi="Times New Roman"/>
              </w:rPr>
              <w:t>Retas</w:t>
            </w:r>
          </w:p>
        </w:tc>
      </w:tr>
      <w:tr w:rsidR="004F7604" w:rsidTr="004F5963">
        <w:trPr>
          <w:trHeight w:val="254"/>
        </w:trPr>
        <w:tc>
          <w:tcPr>
            <w:tcW w:w="1774" w:type="pct"/>
            <w:vMerge/>
          </w:tcPr>
          <w:p w:rsidR="004F7604" w:rsidRDefault="004F7604">
            <w:pPr>
              <w:widowControl w:val="0"/>
              <w:tabs>
                <w:tab w:val="center" w:pos="4536"/>
                <w:tab w:val="right" w:pos="9072"/>
              </w:tabs>
              <w:spacing w:after="0" w:line="240" w:lineRule="auto"/>
              <w:rPr>
                <w:rFonts w:ascii="Times New Roman" w:eastAsia="Times New Roman" w:hAnsi="Times New Roman"/>
                <w:lang w:eastAsia="sl-SI"/>
              </w:rPr>
            </w:pPr>
          </w:p>
        </w:tc>
        <w:tc>
          <w:tcPr>
            <w:tcW w:w="1431" w:type="pct"/>
          </w:tcPr>
          <w:p w:rsidR="004F7604" w:rsidRDefault="004F7604">
            <w:pPr>
              <w:widowControl w:val="0"/>
              <w:tabs>
                <w:tab w:val="left" w:pos="567"/>
              </w:tabs>
              <w:spacing w:after="0" w:line="240" w:lineRule="auto"/>
              <w:rPr>
                <w:rFonts w:ascii="Times New Roman" w:eastAsia="Times New Roman" w:hAnsi="Times New Roman"/>
                <w:lang w:eastAsia="sl-SI"/>
              </w:rPr>
            </w:pPr>
            <w:r w:rsidRPr="004F7604">
              <w:rPr>
                <w:rFonts w:ascii="Times New Roman" w:eastAsia="Times New Roman" w:hAnsi="Times New Roman"/>
                <w:lang w:eastAsia="sl-SI"/>
              </w:rPr>
              <w:t xml:space="preserve">Į žarnyno sindromą panaši </w:t>
            </w:r>
            <w:proofErr w:type="spellStart"/>
            <w:r w:rsidRPr="004F7604">
              <w:rPr>
                <w:rFonts w:ascii="Times New Roman" w:eastAsia="Times New Roman" w:hAnsi="Times New Roman"/>
                <w:lang w:eastAsia="sl-SI"/>
              </w:rPr>
              <w:t>enteropatija</w:t>
            </w:r>
            <w:proofErr w:type="spellEnd"/>
          </w:p>
        </w:tc>
        <w:tc>
          <w:tcPr>
            <w:tcW w:w="1795" w:type="pct"/>
          </w:tcPr>
          <w:p w:rsidR="004F7604" w:rsidRDefault="004F7604">
            <w:pPr>
              <w:widowControl w:val="0"/>
              <w:tabs>
                <w:tab w:val="left" w:pos="567"/>
              </w:tabs>
              <w:spacing w:after="0" w:line="240" w:lineRule="auto"/>
              <w:rPr>
                <w:rFonts w:ascii="Times New Roman" w:hAnsi="Times New Roman"/>
              </w:rPr>
            </w:pPr>
            <w:r w:rsidRPr="004F7604">
              <w:rPr>
                <w:rFonts w:ascii="Times New Roman" w:hAnsi="Times New Roman"/>
              </w:rPr>
              <w:t>Labai retas</w:t>
            </w:r>
          </w:p>
        </w:tc>
      </w:tr>
      <w:tr w:rsidR="00444C66">
        <w:trPr>
          <w:trHeight w:val="212"/>
        </w:trPr>
        <w:tc>
          <w:tcPr>
            <w:tcW w:w="1774" w:type="pct"/>
          </w:tcPr>
          <w:p w:rsidR="00444C66" w:rsidRDefault="00444C66">
            <w:pPr>
              <w:widowControl w:val="0"/>
              <w:tabs>
                <w:tab w:val="center" w:pos="4536"/>
                <w:tab w:val="right" w:pos="9072"/>
              </w:tabs>
              <w:spacing w:after="0" w:line="240" w:lineRule="auto"/>
              <w:rPr>
                <w:rFonts w:ascii="Times New Roman" w:eastAsia="Times New Roman" w:hAnsi="Times New Roman"/>
                <w:lang w:eastAsia="sl-SI"/>
              </w:rPr>
            </w:pPr>
            <w:r>
              <w:rPr>
                <w:rFonts w:ascii="Times New Roman" w:eastAsia="Times New Roman" w:hAnsi="Times New Roman"/>
                <w:lang w:eastAsia="sl-SI"/>
              </w:rPr>
              <w:t>Kepenų, tulžies pūslės ir latakų sutrikimai</w:t>
            </w:r>
          </w:p>
        </w:tc>
        <w:tc>
          <w:tcPr>
            <w:tcW w:w="1431" w:type="pct"/>
            <w:vAlign w:val="center"/>
          </w:tcPr>
          <w:p w:rsidR="00444C66" w:rsidRDefault="00444C66">
            <w:pPr>
              <w:widowControl w:val="0"/>
              <w:tabs>
                <w:tab w:val="left" w:pos="567"/>
              </w:tabs>
              <w:spacing w:after="0" w:line="240" w:lineRule="auto"/>
              <w:rPr>
                <w:rFonts w:ascii="Times New Roman" w:eastAsia="Times New Roman" w:hAnsi="Times New Roman"/>
                <w:lang w:eastAsia="sl-SI"/>
              </w:rPr>
            </w:pPr>
            <w:r>
              <w:rPr>
                <w:rFonts w:ascii="Times New Roman" w:eastAsia="Times New Roman" w:hAnsi="Times New Roman"/>
                <w:lang w:eastAsia="sl-SI"/>
              </w:rPr>
              <w:t>Autoimuninis hepatitas*</w:t>
            </w:r>
          </w:p>
        </w:tc>
        <w:tc>
          <w:tcPr>
            <w:tcW w:w="1795" w:type="pct"/>
            <w:vAlign w:val="center"/>
          </w:tcPr>
          <w:p w:rsidR="00444C66" w:rsidRDefault="00444C66">
            <w:pPr>
              <w:widowControl w:val="0"/>
              <w:tabs>
                <w:tab w:val="left" w:pos="567"/>
              </w:tabs>
              <w:spacing w:after="0" w:line="240" w:lineRule="auto"/>
              <w:rPr>
                <w:rFonts w:ascii="Times New Roman" w:hAnsi="Times New Roman"/>
              </w:rPr>
            </w:pPr>
            <w:r>
              <w:rPr>
                <w:rFonts w:ascii="Times New Roman" w:hAnsi="Times New Roman"/>
              </w:rPr>
              <w:t>Dažnis nežinomas</w:t>
            </w:r>
          </w:p>
        </w:tc>
      </w:tr>
      <w:tr w:rsidR="00444C66">
        <w:trPr>
          <w:trHeight w:val="212"/>
        </w:trPr>
        <w:tc>
          <w:tcPr>
            <w:tcW w:w="1774" w:type="pct"/>
            <w:vMerge w:val="restart"/>
          </w:tcPr>
          <w:p w:rsidR="00444C66" w:rsidRDefault="00444C66">
            <w:pPr>
              <w:widowControl w:val="0"/>
              <w:tabs>
                <w:tab w:val="center" w:pos="4536"/>
                <w:tab w:val="right" w:pos="9072"/>
              </w:tabs>
              <w:spacing w:after="0" w:line="240" w:lineRule="auto"/>
              <w:rPr>
                <w:rFonts w:ascii="Times New Roman" w:eastAsia="Times New Roman" w:hAnsi="Times New Roman"/>
                <w:lang w:eastAsia="sl-SI"/>
              </w:rPr>
            </w:pPr>
            <w:r>
              <w:rPr>
                <w:rFonts w:ascii="Times New Roman" w:eastAsia="Times New Roman" w:hAnsi="Times New Roman"/>
                <w:lang w:eastAsia="sl-SI"/>
              </w:rPr>
              <w:t>Odos ir poodinio audinio sutrikimai</w:t>
            </w:r>
          </w:p>
        </w:tc>
        <w:tc>
          <w:tcPr>
            <w:tcW w:w="1431" w:type="pct"/>
            <w:vAlign w:val="center"/>
          </w:tcPr>
          <w:p w:rsidR="00444C66" w:rsidRDefault="00444C66">
            <w:pPr>
              <w:widowControl w:val="0"/>
              <w:tabs>
                <w:tab w:val="left" w:pos="567"/>
              </w:tabs>
              <w:spacing w:after="0" w:line="240" w:lineRule="auto"/>
              <w:rPr>
                <w:rFonts w:ascii="Times New Roman" w:eastAsia="Times New Roman" w:hAnsi="Times New Roman"/>
                <w:lang w:eastAsia="sl-SI"/>
              </w:rPr>
            </w:pPr>
            <w:r>
              <w:rPr>
                <w:rFonts w:ascii="Times New Roman" w:eastAsia="Times New Roman" w:hAnsi="Times New Roman"/>
                <w:lang w:eastAsia="sl-SI"/>
              </w:rPr>
              <w:t>Egzantema</w:t>
            </w:r>
          </w:p>
        </w:tc>
        <w:tc>
          <w:tcPr>
            <w:tcW w:w="1795" w:type="pct"/>
            <w:vAlign w:val="center"/>
          </w:tcPr>
          <w:p w:rsidR="00444C66" w:rsidRDefault="00444C66">
            <w:pPr>
              <w:widowControl w:val="0"/>
              <w:tabs>
                <w:tab w:val="left" w:pos="567"/>
              </w:tabs>
              <w:spacing w:after="0" w:line="240" w:lineRule="auto"/>
              <w:rPr>
                <w:rFonts w:ascii="Times New Roman" w:eastAsia="Times New Roman" w:hAnsi="Times New Roman"/>
                <w:lang w:eastAsia="sl-SI"/>
              </w:rPr>
            </w:pPr>
            <w:r>
              <w:rPr>
                <w:rFonts w:ascii="Times New Roman" w:hAnsi="Times New Roman"/>
              </w:rPr>
              <w:t>Nedažnas</w:t>
            </w:r>
          </w:p>
        </w:tc>
      </w:tr>
      <w:tr w:rsidR="00444C66">
        <w:trPr>
          <w:trHeight w:val="239"/>
        </w:trPr>
        <w:tc>
          <w:tcPr>
            <w:tcW w:w="1774" w:type="pct"/>
            <w:vMerge/>
          </w:tcPr>
          <w:p w:rsidR="00444C66" w:rsidRDefault="00444C66">
            <w:pPr>
              <w:widowControl w:val="0"/>
              <w:tabs>
                <w:tab w:val="center" w:pos="4536"/>
                <w:tab w:val="right" w:pos="9072"/>
              </w:tabs>
              <w:spacing w:after="0" w:line="240" w:lineRule="auto"/>
              <w:rPr>
                <w:rFonts w:ascii="Times New Roman" w:eastAsia="Times New Roman" w:hAnsi="Times New Roman"/>
                <w:lang w:eastAsia="sl-SI"/>
              </w:rPr>
            </w:pPr>
          </w:p>
        </w:tc>
        <w:tc>
          <w:tcPr>
            <w:tcW w:w="1431" w:type="pct"/>
            <w:vAlign w:val="center"/>
          </w:tcPr>
          <w:p w:rsidR="00444C66" w:rsidRDefault="00444C66">
            <w:pPr>
              <w:widowControl w:val="0"/>
              <w:tabs>
                <w:tab w:val="left" w:pos="567"/>
              </w:tabs>
              <w:spacing w:after="0" w:line="240" w:lineRule="auto"/>
              <w:rPr>
                <w:rFonts w:ascii="Times New Roman" w:eastAsia="Times New Roman" w:hAnsi="Times New Roman"/>
                <w:lang w:eastAsia="sl-SI"/>
              </w:rPr>
            </w:pPr>
            <w:r>
              <w:rPr>
                <w:rFonts w:ascii="Times New Roman" w:eastAsia="Times New Roman" w:hAnsi="Times New Roman"/>
                <w:lang w:eastAsia="sl-SI"/>
              </w:rPr>
              <w:t>Alerginis dermatitas</w:t>
            </w:r>
          </w:p>
        </w:tc>
        <w:tc>
          <w:tcPr>
            <w:tcW w:w="1795" w:type="pct"/>
            <w:vAlign w:val="center"/>
          </w:tcPr>
          <w:p w:rsidR="00444C66" w:rsidRDefault="00444C66">
            <w:pPr>
              <w:widowControl w:val="0"/>
              <w:tabs>
                <w:tab w:val="left" w:pos="567"/>
              </w:tabs>
              <w:spacing w:after="0" w:line="240" w:lineRule="auto"/>
              <w:rPr>
                <w:rFonts w:ascii="Times New Roman" w:eastAsia="Times New Roman" w:hAnsi="Times New Roman"/>
                <w:lang w:eastAsia="sl-SI"/>
              </w:rPr>
            </w:pPr>
            <w:r>
              <w:rPr>
                <w:rFonts w:ascii="Times New Roman" w:hAnsi="Times New Roman"/>
              </w:rPr>
              <w:t>Nedažnas</w:t>
            </w:r>
          </w:p>
        </w:tc>
      </w:tr>
      <w:tr w:rsidR="00444C66">
        <w:trPr>
          <w:trHeight w:val="254"/>
        </w:trPr>
        <w:tc>
          <w:tcPr>
            <w:tcW w:w="1774" w:type="pct"/>
            <w:vMerge/>
          </w:tcPr>
          <w:p w:rsidR="00444C66" w:rsidRDefault="00444C66">
            <w:pPr>
              <w:widowControl w:val="0"/>
              <w:tabs>
                <w:tab w:val="center" w:pos="4536"/>
                <w:tab w:val="right" w:pos="9072"/>
              </w:tabs>
              <w:spacing w:after="0" w:line="240" w:lineRule="auto"/>
              <w:rPr>
                <w:rFonts w:ascii="Times New Roman" w:eastAsia="Times New Roman" w:hAnsi="Times New Roman"/>
                <w:lang w:eastAsia="sl-SI"/>
              </w:rPr>
            </w:pPr>
          </w:p>
        </w:tc>
        <w:tc>
          <w:tcPr>
            <w:tcW w:w="1431" w:type="pct"/>
            <w:vAlign w:val="center"/>
          </w:tcPr>
          <w:p w:rsidR="00444C66" w:rsidRDefault="00444C66">
            <w:pPr>
              <w:widowControl w:val="0"/>
              <w:tabs>
                <w:tab w:val="left" w:pos="567"/>
              </w:tabs>
              <w:spacing w:after="0" w:line="240" w:lineRule="auto"/>
              <w:rPr>
                <w:rFonts w:ascii="Times New Roman" w:eastAsia="Times New Roman" w:hAnsi="Times New Roman"/>
                <w:lang w:eastAsia="sl-SI"/>
              </w:rPr>
            </w:pPr>
            <w:r>
              <w:rPr>
                <w:rFonts w:ascii="Times New Roman" w:eastAsia="Times New Roman" w:hAnsi="Times New Roman"/>
                <w:lang w:eastAsia="sl-SI"/>
              </w:rPr>
              <w:t>Dilgėlinė</w:t>
            </w:r>
          </w:p>
        </w:tc>
        <w:tc>
          <w:tcPr>
            <w:tcW w:w="1795" w:type="pct"/>
            <w:vAlign w:val="center"/>
          </w:tcPr>
          <w:p w:rsidR="00444C66" w:rsidRDefault="00444C66">
            <w:pPr>
              <w:widowControl w:val="0"/>
              <w:tabs>
                <w:tab w:val="left" w:pos="567"/>
              </w:tabs>
              <w:spacing w:after="0" w:line="240" w:lineRule="auto"/>
              <w:rPr>
                <w:rFonts w:ascii="Times New Roman" w:eastAsia="Times New Roman" w:hAnsi="Times New Roman"/>
                <w:lang w:eastAsia="sl-SI"/>
              </w:rPr>
            </w:pPr>
            <w:r>
              <w:rPr>
                <w:rFonts w:ascii="Times New Roman" w:hAnsi="Times New Roman"/>
              </w:rPr>
              <w:t>Nedažnas</w:t>
            </w:r>
          </w:p>
        </w:tc>
      </w:tr>
      <w:tr w:rsidR="00444C66">
        <w:trPr>
          <w:trHeight w:val="239"/>
        </w:trPr>
        <w:tc>
          <w:tcPr>
            <w:tcW w:w="1774" w:type="pct"/>
            <w:vMerge/>
          </w:tcPr>
          <w:p w:rsidR="00444C66" w:rsidRDefault="00444C66">
            <w:pPr>
              <w:widowControl w:val="0"/>
              <w:tabs>
                <w:tab w:val="center" w:pos="4536"/>
                <w:tab w:val="right" w:pos="9072"/>
              </w:tabs>
              <w:spacing w:after="0" w:line="240" w:lineRule="auto"/>
              <w:rPr>
                <w:rFonts w:ascii="Times New Roman" w:eastAsia="Times New Roman" w:hAnsi="Times New Roman"/>
                <w:lang w:eastAsia="sl-SI"/>
              </w:rPr>
            </w:pPr>
          </w:p>
        </w:tc>
        <w:tc>
          <w:tcPr>
            <w:tcW w:w="1431" w:type="pct"/>
            <w:vAlign w:val="center"/>
          </w:tcPr>
          <w:p w:rsidR="00444C66" w:rsidRDefault="00444C66">
            <w:pPr>
              <w:widowControl w:val="0"/>
              <w:tabs>
                <w:tab w:val="left" w:pos="567"/>
              </w:tabs>
              <w:spacing w:after="0" w:line="240" w:lineRule="auto"/>
              <w:rPr>
                <w:rFonts w:ascii="Times New Roman" w:eastAsia="Times New Roman" w:hAnsi="Times New Roman"/>
                <w:lang w:eastAsia="sl-SI"/>
              </w:rPr>
            </w:pPr>
            <w:r>
              <w:rPr>
                <w:rFonts w:ascii="Times New Roman" w:eastAsia="Times New Roman" w:hAnsi="Times New Roman"/>
                <w:lang w:eastAsia="sl-SI"/>
              </w:rPr>
              <w:t>Bėrimas</w:t>
            </w:r>
          </w:p>
        </w:tc>
        <w:tc>
          <w:tcPr>
            <w:tcW w:w="1795" w:type="pct"/>
            <w:vAlign w:val="center"/>
          </w:tcPr>
          <w:p w:rsidR="00444C66" w:rsidRDefault="00444C66">
            <w:pPr>
              <w:widowControl w:val="0"/>
              <w:tabs>
                <w:tab w:val="left" w:pos="567"/>
              </w:tabs>
              <w:spacing w:after="0" w:line="240" w:lineRule="auto"/>
              <w:rPr>
                <w:rFonts w:ascii="Times New Roman" w:eastAsia="Times New Roman" w:hAnsi="Times New Roman"/>
                <w:lang w:eastAsia="sl-SI"/>
              </w:rPr>
            </w:pPr>
            <w:r>
              <w:rPr>
                <w:rFonts w:ascii="Times New Roman" w:hAnsi="Times New Roman"/>
              </w:rPr>
              <w:t>Nedažnas</w:t>
            </w:r>
          </w:p>
        </w:tc>
      </w:tr>
      <w:tr w:rsidR="00444C66">
        <w:trPr>
          <w:trHeight w:val="254"/>
        </w:trPr>
        <w:tc>
          <w:tcPr>
            <w:tcW w:w="1774" w:type="pct"/>
            <w:vMerge/>
          </w:tcPr>
          <w:p w:rsidR="00444C66" w:rsidRDefault="00444C66">
            <w:pPr>
              <w:widowControl w:val="0"/>
              <w:tabs>
                <w:tab w:val="center" w:pos="4536"/>
                <w:tab w:val="right" w:pos="9072"/>
              </w:tabs>
              <w:spacing w:after="0" w:line="240" w:lineRule="auto"/>
              <w:rPr>
                <w:rFonts w:ascii="Times New Roman" w:eastAsia="Times New Roman" w:hAnsi="Times New Roman"/>
                <w:lang w:eastAsia="sl-SI"/>
              </w:rPr>
            </w:pPr>
          </w:p>
        </w:tc>
        <w:tc>
          <w:tcPr>
            <w:tcW w:w="1431" w:type="pct"/>
            <w:vAlign w:val="center"/>
          </w:tcPr>
          <w:p w:rsidR="00444C66" w:rsidRDefault="00444C66">
            <w:pPr>
              <w:widowControl w:val="0"/>
              <w:tabs>
                <w:tab w:val="left" w:pos="567"/>
              </w:tabs>
              <w:spacing w:after="0" w:line="240" w:lineRule="auto"/>
              <w:rPr>
                <w:rFonts w:ascii="Times New Roman" w:eastAsia="Times New Roman" w:hAnsi="Times New Roman"/>
                <w:lang w:eastAsia="sl-SI"/>
              </w:rPr>
            </w:pPr>
            <w:r>
              <w:rPr>
                <w:rFonts w:ascii="Times New Roman" w:eastAsia="Times New Roman" w:hAnsi="Times New Roman"/>
                <w:lang w:eastAsia="sl-SI"/>
              </w:rPr>
              <w:t>Niežėjimas</w:t>
            </w:r>
          </w:p>
        </w:tc>
        <w:tc>
          <w:tcPr>
            <w:tcW w:w="1795" w:type="pct"/>
            <w:vAlign w:val="center"/>
          </w:tcPr>
          <w:p w:rsidR="00444C66" w:rsidRDefault="00444C66">
            <w:pPr>
              <w:widowControl w:val="0"/>
              <w:tabs>
                <w:tab w:val="left" w:pos="567"/>
              </w:tabs>
              <w:spacing w:after="0" w:line="240" w:lineRule="auto"/>
              <w:rPr>
                <w:rFonts w:ascii="Times New Roman" w:eastAsia="Times New Roman" w:hAnsi="Times New Roman"/>
                <w:lang w:eastAsia="sl-SI"/>
              </w:rPr>
            </w:pPr>
            <w:r>
              <w:rPr>
                <w:rFonts w:ascii="Times New Roman" w:hAnsi="Times New Roman"/>
              </w:rPr>
              <w:t>Nedažnas</w:t>
            </w:r>
          </w:p>
        </w:tc>
      </w:tr>
      <w:tr w:rsidR="00444C66">
        <w:trPr>
          <w:trHeight w:val="315"/>
        </w:trPr>
        <w:tc>
          <w:tcPr>
            <w:tcW w:w="1774" w:type="pct"/>
            <w:vMerge/>
          </w:tcPr>
          <w:p w:rsidR="00444C66" w:rsidRDefault="00444C66">
            <w:pPr>
              <w:widowControl w:val="0"/>
              <w:tabs>
                <w:tab w:val="center" w:pos="4536"/>
                <w:tab w:val="right" w:pos="9072"/>
              </w:tabs>
              <w:spacing w:after="0" w:line="240" w:lineRule="auto"/>
              <w:rPr>
                <w:rFonts w:ascii="Times New Roman" w:eastAsia="Times New Roman" w:hAnsi="Times New Roman"/>
                <w:lang w:eastAsia="sl-SI"/>
              </w:rPr>
            </w:pPr>
          </w:p>
        </w:tc>
        <w:tc>
          <w:tcPr>
            <w:tcW w:w="1431" w:type="pct"/>
            <w:vAlign w:val="center"/>
          </w:tcPr>
          <w:p w:rsidR="00444C66" w:rsidRDefault="00444C66">
            <w:pPr>
              <w:widowControl w:val="0"/>
              <w:tabs>
                <w:tab w:val="left" w:pos="567"/>
              </w:tabs>
              <w:spacing w:after="0" w:line="240" w:lineRule="auto"/>
              <w:rPr>
                <w:rFonts w:ascii="Times New Roman" w:eastAsia="Times New Roman" w:hAnsi="Times New Roman"/>
                <w:lang w:eastAsia="sl-SI"/>
              </w:rPr>
            </w:pPr>
            <w:r>
              <w:rPr>
                <w:rFonts w:ascii="Times New Roman" w:eastAsia="Times New Roman" w:hAnsi="Times New Roman"/>
                <w:lang w:eastAsia="sl-SI"/>
              </w:rPr>
              <w:t>Angioneurozinė edema</w:t>
            </w:r>
          </w:p>
        </w:tc>
        <w:tc>
          <w:tcPr>
            <w:tcW w:w="1795" w:type="pct"/>
            <w:vAlign w:val="center"/>
          </w:tcPr>
          <w:p w:rsidR="00444C66" w:rsidRDefault="00444C66">
            <w:pPr>
              <w:widowControl w:val="0"/>
              <w:tabs>
                <w:tab w:val="left" w:pos="567"/>
              </w:tabs>
              <w:spacing w:after="0" w:line="240" w:lineRule="auto"/>
              <w:rPr>
                <w:rFonts w:ascii="Times New Roman" w:eastAsia="Times New Roman" w:hAnsi="Times New Roman"/>
                <w:lang w:eastAsia="sl-SI"/>
              </w:rPr>
            </w:pPr>
            <w:r>
              <w:rPr>
                <w:rFonts w:ascii="Times New Roman" w:hAnsi="Times New Roman"/>
              </w:rPr>
              <w:t>Retas</w:t>
            </w:r>
          </w:p>
        </w:tc>
      </w:tr>
      <w:tr w:rsidR="00444C66">
        <w:trPr>
          <w:trHeight w:val="264"/>
        </w:trPr>
        <w:tc>
          <w:tcPr>
            <w:tcW w:w="1774" w:type="pct"/>
            <w:vMerge w:val="restart"/>
          </w:tcPr>
          <w:p w:rsidR="00444C66" w:rsidRDefault="00444C66">
            <w:pPr>
              <w:widowControl w:val="0"/>
              <w:tabs>
                <w:tab w:val="center" w:pos="4536"/>
                <w:tab w:val="right" w:pos="9072"/>
              </w:tabs>
              <w:spacing w:after="0" w:line="240" w:lineRule="auto"/>
              <w:rPr>
                <w:rFonts w:ascii="Times New Roman" w:eastAsia="Times New Roman" w:hAnsi="Times New Roman"/>
                <w:lang w:eastAsia="sl-SI"/>
              </w:rPr>
            </w:pPr>
            <w:r>
              <w:rPr>
                <w:rFonts w:ascii="Times New Roman" w:eastAsia="Times New Roman" w:hAnsi="Times New Roman"/>
                <w:lang w:eastAsia="sl-SI"/>
              </w:rPr>
              <w:t>Skeleto, raumenų ir jungiamojo audinio sutrikimai</w:t>
            </w:r>
          </w:p>
        </w:tc>
        <w:tc>
          <w:tcPr>
            <w:tcW w:w="1431" w:type="pct"/>
            <w:vAlign w:val="center"/>
          </w:tcPr>
          <w:p w:rsidR="00444C66" w:rsidRDefault="00444C66">
            <w:pPr>
              <w:widowControl w:val="0"/>
              <w:tabs>
                <w:tab w:val="left" w:pos="567"/>
              </w:tabs>
              <w:spacing w:after="0" w:line="240" w:lineRule="auto"/>
              <w:rPr>
                <w:rFonts w:ascii="Times New Roman" w:eastAsia="Times New Roman" w:hAnsi="Times New Roman"/>
                <w:lang w:eastAsia="sl-SI"/>
              </w:rPr>
            </w:pPr>
            <w:r>
              <w:rPr>
                <w:rFonts w:ascii="Times New Roman" w:eastAsia="Times New Roman" w:hAnsi="Times New Roman"/>
                <w:lang w:eastAsia="sl-SI"/>
              </w:rPr>
              <w:t>Artritas</w:t>
            </w:r>
          </w:p>
        </w:tc>
        <w:tc>
          <w:tcPr>
            <w:tcW w:w="1795" w:type="pct"/>
            <w:vAlign w:val="center"/>
          </w:tcPr>
          <w:p w:rsidR="00444C66" w:rsidRDefault="00444C66">
            <w:pPr>
              <w:widowControl w:val="0"/>
              <w:tabs>
                <w:tab w:val="left" w:pos="567"/>
              </w:tabs>
              <w:spacing w:after="0" w:line="240" w:lineRule="auto"/>
              <w:rPr>
                <w:rFonts w:ascii="Times New Roman" w:eastAsia="Times New Roman" w:hAnsi="Times New Roman"/>
                <w:lang w:eastAsia="sl-SI"/>
              </w:rPr>
            </w:pPr>
            <w:r>
              <w:rPr>
                <w:rFonts w:ascii="Times New Roman" w:hAnsi="Times New Roman"/>
              </w:rPr>
              <w:t>Dažnas</w:t>
            </w:r>
          </w:p>
        </w:tc>
      </w:tr>
      <w:tr w:rsidR="00444C66">
        <w:trPr>
          <w:trHeight w:val="254"/>
        </w:trPr>
        <w:tc>
          <w:tcPr>
            <w:tcW w:w="1774" w:type="pct"/>
            <w:vMerge/>
          </w:tcPr>
          <w:p w:rsidR="00444C66" w:rsidRDefault="00444C66">
            <w:pPr>
              <w:widowControl w:val="0"/>
              <w:tabs>
                <w:tab w:val="center" w:pos="4536"/>
                <w:tab w:val="right" w:pos="9072"/>
              </w:tabs>
              <w:spacing w:after="0" w:line="240" w:lineRule="auto"/>
              <w:rPr>
                <w:rFonts w:ascii="Times New Roman" w:eastAsia="Times New Roman" w:hAnsi="Times New Roman"/>
                <w:lang w:eastAsia="sl-SI"/>
              </w:rPr>
            </w:pPr>
          </w:p>
        </w:tc>
        <w:tc>
          <w:tcPr>
            <w:tcW w:w="1431" w:type="pct"/>
            <w:vAlign w:val="center"/>
          </w:tcPr>
          <w:p w:rsidR="00444C66" w:rsidRDefault="00444C66">
            <w:pPr>
              <w:widowControl w:val="0"/>
              <w:tabs>
                <w:tab w:val="left" w:pos="567"/>
              </w:tabs>
              <w:spacing w:after="0" w:line="240" w:lineRule="auto"/>
              <w:rPr>
                <w:rFonts w:ascii="Times New Roman" w:eastAsia="Times New Roman" w:hAnsi="Times New Roman"/>
                <w:lang w:eastAsia="sl-SI"/>
              </w:rPr>
            </w:pPr>
            <w:r>
              <w:rPr>
                <w:rFonts w:ascii="Times New Roman" w:eastAsia="Times New Roman" w:hAnsi="Times New Roman"/>
                <w:lang w:eastAsia="sl-SI"/>
              </w:rPr>
              <w:t>Nugaros skausmas</w:t>
            </w:r>
          </w:p>
        </w:tc>
        <w:tc>
          <w:tcPr>
            <w:tcW w:w="1795" w:type="pct"/>
            <w:vAlign w:val="center"/>
          </w:tcPr>
          <w:p w:rsidR="00444C66" w:rsidRDefault="00444C66">
            <w:pPr>
              <w:widowControl w:val="0"/>
              <w:tabs>
                <w:tab w:val="left" w:pos="567"/>
              </w:tabs>
              <w:spacing w:after="0" w:line="240" w:lineRule="auto"/>
              <w:rPr>
                <w:rFonts w:ascii="Times New Roman" w:eastAsia="Times New Roman" w:hAnsi="Times New Roman"/>
                <w:lang w:eastAsia="sl-SI"/>
              </w:rPr>
            </w:pPr>
            <w:r>
              <w:rPr>
                <w:rFonts w:ascii="Times New Roman" w:hAnsi="Times New Roman"/>
              </w:rPr>
              <w:t>Dažnas</w:t>
            </w:r>
          </w:p>
        </w:tc>
      </w:tr>
      <w:tr w:rsidR="00444C66">
        <w:trPr>
          <w:trHeight w:val="239"/>
        </w:trPr>
        <w:tc>
          <w:tcPr>
            <w:tcW w:w="1774" w:type="pct"/>
            <w:vMerge/>
          </w:tcPr>
          <w:p w:rsidR="00444C66" w:rsidRDefault="00444C66">
            <w:pPr>
              <w:widowControl w:val="0"/>
              <w:tabs>
                <w:tab w:val="center" w:pos="4536"/>
                <w:tab w:val="right" w:pos="9072"/>
              </w:tabs>
              <w:spacing w:after="0" w:line="240" w:lineRule="auto"/>
              <w:rPr>
                <w:rFonts w:ascii="Times New Roman" w:eastAsia="Times New Roman" w:hAnsi="Times New Roman"/>
                <w:lang w:eastAsia="sl-SI"/>
              </w:rPr>
            </w:pPr>
          </w:p>
        </w:tc>
        <w:tc>
          <w:tcPr>
            <w:tcW w:w="1431" w:type="pct"/>
            <w:vAlign w:val="center"/>
          </w:tcPr>
          <w:p w:rsidR="00444C66" w:rsidRDefault="00444C66">
            <w:pPr>
              <w:widowControl w:val="0"/>
              <w:tabs>
                <w:tab w:val="left" w:pos="567"/>
              </w:tabs>
              <w:spacing w:after="0" w:line="240" w:lineRule="auto"/>
              <w:rPr>
                <w:rFonts w:ascii="Times New Roman" w:eastAsia="Times New Roman" w:hAnsi="Times New Roman"/>
                <w:lang w:eastAsia="sl-SI"/>
              </w:rPr>
            </w:pPr>
            <w:r>
              <w:rPr>
                <w:rFonts w:ascii="Times New Roman" w:eastAsia="Times New Roman" w:hAnsi="Times New Roman"/>
                <w:lang w:eastAsia="sl-SI"/>
              </w:rPr>
              <w:t>Skeleto skausmas</w:t>
            </w:r>
          </w:p>
        </w:tc>
        <w:tc>
          <w:tcPr>
            <w:tcW w:w="1795" w:type="pct"/>
            <w:vAlign w:val="center"/>
          </w:tcPr>
          <w:p w:rsidR="00444C66" w:rsidRDefault="00444C66">
            <w:pPr>
              <w:widowControl w:val="0"/>
              <w:tabs>
                <w:tab w:val="left" w:pos="567"/>
              </w:tabs>
              <w:spacing w:after="0" w:line="240" w:lineRule="auto"/>
              <w:rPr>
                <w:rFonts w:ascii="Times New Roman" w:eastAsia="Times New Roman" w:hAnsi="Times New Roman"/>
                <w:lang w:eastAsia="sl-SI"/>
              </w:rPr>
            </w:pPr>
            <w:r>
              <w:rPr>
                <w:rFonts w:ascii="Times New Roman" w:hAnsi="Times New Roman"/>
              </w:rPr>
              <w:t>Dažnas</w:t>
            </w:r>
          </w:p>
        </w:tc>
      </w:tr>
      <w:tr w:rsidR="00444C66">
        <w:trPr>
          <w:trHeight w:val="254"/>
        </w:trPr>
        <w:tc>
          <w:tcPr>
            <w:tcW w:w="1774" w:type="pct"/>
            <w:vMerge/>
          </w:tcPr>
          <w:p w:rsidR="00444C66" w:rsidRDefault="00444C66">
            <w:pPr>
              <w:widowControl w:val="0"/>
              <w:tabs>
                <w:tab w:val="center" w:pos="4536"/>
                <w:tab w:val="right" w:pos="9072"/>
              </w:tabs>
              <w:spacing w:after="0" w:line="240" w:lineRule="auto"/>
              <w:rPr>
                <w:rFonts w:ascii="Times New Roman" w:eastAsia="Times New Roman" w:hAnsi="Times New Roman"/>
                <w:lang w:eastAsia="sl-SI"/>
              </w:rPr>
            </w:pPr>
          </w:p>
        </w:tc>
        <w:tc>
          <w:tcPr>
            <w:tcW w:w="1431" w:type="pct"/>
            <w:vAlign w:val="center"/>
          </w:tcPr>
          <w:p w:rsidR="00444C66" w:rsidRDefault="00444C66">
            <w:pPr>
              <w:widowControl w:val="0"/>
              <w:tabs>
                <w:tab w:val="left" w:pos="567"/>
              </w:tabs>
              <w:spacing w:after="0" w:line="240" w:lineRule="auto"/>
              <w:rPr>
                <w:rFonts w:ascii="Times New Roman" w:eastAsia="Times New Roman" w:hAnsi="Times New Roman"/>
                <w:lang w:eastAsia="sl-SI"/>
              </w:rPr>
            </w:pPr>
            <w:r>
              <w:rPr>
                <w:rFonts w:ascii="Times New Roman" w:eastAsia="Times New Roman" w:hAnsi="Times New Roman"/>
                <w:lang w:eastAsia="sl-SI"/>
              </w:rPr>
              <w:t>Mialgija</w:t>
            </w:r>
          </w:p>
        </w:tc>
        <w:tc>
          <w:tcPr>
            <w:tcW w:w="1795" w:type="pct"/>
            <w:vAlign w:val="center"/>
          </w:tcPr>
          <w:p w:rsidR="00444C66" w:rsidRDefault="00444C66">
            <w:pPr>
              <w:widowControl w:val="0"/>
              <w:tabs>
                <w:tab w:val="left" w:pos="567"/>
              </w:tabs>
              <w:spacing w:after="0" w:line="240" w:lineRule="auto"/>
              <w:rPr>
                <w:rFonts w:ascii="Times New Roman" w:eastAsia="Times New Roman" w:hAnsi="Times New Roman"/>
                <w:lang w:eastAsia="sl-SI"/>
              </w:rPr>
            </w:pPr>
            <w:r>
              <w:rPr>
                <w:rFonts w:ascii="Times New Roman" w:hAnsi="Times New Roman"/>
              </w:rPr>
              <w:t>Nedažnas</w:t>
            </w:r>
          </w:p>
        </w:tc>
      </w:tr>
      <w:tr w:rsidR="00444C66">
        <w:trPr>
          <w:trHeight w:val="239"/>
        </w:trPr>
        <w:tc>
          <w:tcPr>
            <w:tcW w:w="1774" w:type="pct"/>
            <w:vMerge/>
          </w:tcPr>
          <w:p w:rsidR="00444C66" w:rsidRDefault="00444C66">
            <w:pPr>
              <w:widowControl w:val="0"/>
              <w:tabs>
                <w:tab w:val="center" w:pos="4536"/>
                <w:tab w:val="right" w:pos="9072"/>
              </w:tabs>
              <w:spacing w:after="0" w:line="240" w:lineRule="auto"/>
              <w:rPr>
                <w:rFonts w:ascii="Times New Roman" w:eastAsia="Times New Roman" w:hAnsi="Times New Roman"/>
                <w:lang w:eastAsia="sl-SI"/>
              </w:rPr>
            </w:pPr>
          </w:p>
        </w:tc>
        <w:tc>
          <w:tcPr>
            <w:tcW w:w="1431" w:type="pct"/>
            <w:vAlign w:val="center"/>
          </w:tcPr>
          <w:p w:rsidR="00444C66" w:rsidRDefault="00444C66">
            <w:pPr>
              <w:widowControl w:val="0"/>
              <w:tabs>
                <w:tab w:val="left" w:pos="567"/>
              </w:tabs>
              <w:spacing w:after="0" w:line="240" w:lineRule="auto"/>
              <w:rPr>
                <w:rFonts w:ascii="Times New Roman" w:eastAsia="Times New Roman" w:hAnsi="Times New Roman"/>
                <w:lang w:eastAsia="sl-SI"/>
              </w:rPr>
            </w:pPr>
            <w:r>
              <w:rPr>
                <w:rFonts w:ascii="Times New Roman" w:eastAsia="Times New Roman" w:hAnsi="Times New Roman"/>
                <w:lang w:eastAsia="sl-SI"/>
              </w:rPr>
              <w:t>Raumenų spazmai</w:t>
            </w:r>
          </w:p>
        </w:tc>
        <w:tc>
          <w:tcPr>
            <w:tcW w:w="1795" w:type="pct"/>
            <w:vAlign w:val="center"/>
          </w:tcPr>
          <w:p w:rsidR="00444C66" w:rsidRDefault="00444C66">
            <w:pPr>
              <w:widowControl w:val="0"/>
              <w:tabs>
                <w:tab w:val="left" w:pos="567"/>
              </w:tabs>
              <w:spacing w:after="0" w:line="240" w:lineRule="auto"/>
              <w:rPr>
                <w:rFonts w:ascii="Times New Roman" w:eastAsia="Times New Roman" w:hAnsi="Times New Roman"/>
                <w:lang w:eastAsia="sl-SI"/>
              </w:rPr>
            </w:pPr>
            <w:r>
              <w:rPr>
                <w:rFonts w:ascii="Times New Roman" w:hAnsi="Times New Roman"/>
              </w:rPr>
              <w:t>Retas</w:t>
            </w:r>
          </w:p>
        </w:tc>
      </w:tr>
      <w:tr w:rsidR="00444C66">
        <w:trPr>
          <w:trHeight w:val="254"/>
        </w:trPr>
        <w:tc>
          <w:tcPr>
            <w:tcW w:w="1774" w:type="pct"/>
            <w:vMerge w:val="restart"/>
          </w:tcPr>
          <w:p w:rsidR="00444C66" w:rsidRDefault="00444C66">
            <w:pPr>
              <w:widowControl w:val="0"/>
              <w:tabs>
                <w:tab w:val="center" w:pos="4536"/>
                <w:tab w:val="right" w:pos="9072"/>
              </w:tabs>
              <w:spacing w:after="0" w:line="240" w:lineRule="auto"/>
              <w:rPr>
                <w:rFonts w:ascii="Times New Roman" w:eastAsia="Times New Roman" w:hAnsi="Times New Roman"/>
                <w:lang w:eastAsia="sl-SI"/>
              </w:rPr>
            </w:pPr>
            <w:r>
              <w:rPr>
                <w:rFonts w:ascii="Times New Roman" w:eastAsia="Times New Roman" w:hAnsi="Times New Roman"/>
                <w:lang w:eastAsia="sl-SI"/>
              </w:rPr>
              <w:t>Inkstų ir šlapimo takų sutrikimai</w:t>
            </w:r>
          </w:p>
        </w:tc>
        <w:tc>
          <w:tcPr>
            <w:tcW w:w="1431" w:type="pct"/>
            <w:tcBorders>
              <w:bottom w:val="single" w:sz="4" w:space="0" w:color="auto"/>
            </w:tcBorders>
            <w:vAlign w:val="center"/>
          </w:tcPr>
          <w:p w:rsidR="00444C66" w:rsidRDefault="00444C66">
            <w:pPr>
              <w:widowControl w:val="0"/>
              <w:tabs>
                <w:tab w:val="left" w:pos="567"/>
              </w:tabs>
              <w:spacing w:after="0" w:line="240" w:lineRule="auto"/>
              <w:rPr>
                <w:rFonts w:ascii="Times New Roman" w:eastAsia="Times New Roman" w:hAnsi="Times New Roman"/>
                <w:lang w:eastAsia="sl-SI"/>
              </w:rPr>
            </w:pPr>
            <w:r>
              <w:rPr>
                <w:rFonts w:ascii="Times New Roman" w:eastAsia="Times New Roman" w:hAnsi="Times New Roman"/>
                <w:lang w:eastAsia="sl-SI"/>
              </w:rPr>
              <w:t xml:space="preserve">Hematurija </w:t>
            </w:r>
          </w:p>
        </w:tc>
        <w:tc>
          <w:tcPr>
            <w:tcW w:w="1795" w:type="pct"/>
            <w:tcBorders>
              <w:bottom w:val="single" w:sz="4" w:space="0" w:color="auto"/>
            </w:tcBorders>
            <w:vAlign w:val="center"/>
          </w:tcPr>
          <w:p w:rsidR="00444C66" w:rsidRDefault="00444C66">
            <w:pPr>
              <w:widowControl w:val="0"/>
              <w:tabs>
                <w:tab w:val="left" w:pos="567"/>
              </w:tabs>
              <w:spacing w:after="0" w:line="240" w:lineRule="auto"/>
              <w:rPr>
                <w:rFonts w:ascii="Times New Roman" w:eastAsia="Times New Roman" w:hAnsi="Times New Roman"/>
                <w:lang w:eastAsia="sl-SI"/>
              </w:rPr>
            </w:pPr>
            <w:r>
              <w:rPr>
                <w:rFonts w:ascii="Times New Roman" w:hAnsi="Times New Roman"/>
              </w:rPr>
              <w:t>Dažnas</w:t>
            </w:r>
          </w:p>
        </w:tc>
      </w:tr>
      <w:tr w:rsidR="00444C66">
        <w:trPr>
          <w:trHeight w:val="230"/>
        </w:trPr>
        <w:tc>
          <w:tcPr>
            <w:tcW w:w="1774" w:type="pct"/>
            <w:vMerge/>
          </w:tcPr>
          <w:p w:rsidR="00444C66" w:rsidRDefault="00444C66">
            <w:pPr>
              <w:widowControl w:val="0"/>
              <w:tabs>
                <w:tab w:val="center" w:pos="4536"/>
                <w:tab w:val="right" w:pos="9072"/>
              </w:tabs>
              <w:spacing w:after="0" w:line="240" w:lineRule="auto"/>
              <w:rPr>
                <w:rFonts w:ascii="Times New Roman" w:eastAsia="Times New Roman" w:hAnsi="Times New Roman"/>
                <w:lang w:eastAsia="sl-SI"/>
              </w:rPr>
            </w:pPr>
          </w:p>
        </w:tc>
        <w:tc>
          <w:tcPr>
            <w:tcW w:w="1431" w:type="pct"/>
            <w:tcBorders>
              <w:bottom w:val="single" w:sz="4" w:space="0" w:color="auto"/>
            </w:tcBorders>
            <w:vAlign w:val="center"/>
          </w:tcPr>
          <w:p w:rsidR="00444C66" w:rsidRDefault="00444C66">
            <w:pPr>
              <w:widowControl w:val="0"/>
              <w:tabs>
                <w:tab w:val="left" w:pos="567"/>
              </w:tabs>
              <w:spacing w:after="0" w:line="240" w:lineRule="auto"/>
              <w:rPr>
                <w:rFonts w:ascii="Times New Roman" w:eastAsia="Times New Roman" w:hAnsi="Times New Roman"/>
                <w:lang w:eastAsia="sl-SI"/>
              </w:rPr>
            </w:pPr>
            <w:r>
              <w:rPr>
                <w:rFonts w:ascii="Times New Roman" w:eastAsia="Times New Roman" w:hAnsi="Times New Roman"/>
                <w:lang w:eastAsia="sl-SI"/>
              </w:rPr>
              <w:t>Šlapimo takų infekcija</w:t>
            </w:r>
          </w:p>
        </w:tc>
        <w:tc>
          <w:tcPr>
            <w:tcW w:w="1795" w:type="pct"/>
            <w:tcBorders>
              <w:bottom w:val="single" w:sz="4" w:space="0" w:color="auto"/>
            </w:tcBorders>
            <w:vAlign w:val="center"/>
          </w:tcPr>
          <w:p w:rsidR="00444C66" w:rsidRDefault="00444C66">
            <w:pPr>
              <w:widowControl w:val="0"/>
              <w:tabs>
                <w:tab w:val="left" w:pos="567"/>
              </w:tabs>
              <w:spacing w:after="0" w:line="240" w:lineRule="auto"/>
              <w:rPr>
                <w:rFonts w:ascii="Times New Roman" w:eastAsia="Times New Roman" w:hAnsi="Times New Roman"/>
                <w:lang w:eastAsia="sl-SI"/>
              </w:rPr>
            </w:pPr>
            <w:r>
              <w:rPr>
                <w:rFonts w:ascii="Times New Roman" w:hAnsi="Times New Roman"/>
              </w:rPr>
              <w:t>Dažnas</w:t>
            </w:r>
          </w:p>
        </w:tc>
      </w:tr>
      <w:tr w:rsidR="00444C66">
        <w:trPr>
          <w:trHeight w:val="403"/>
        </w:trPr>
        <w:tc>
          <w:tcPr>
            <w:tcW w:w="1774" w:type="pct"/>
            <w:vMerge/>
          </w:tcPr>
          <w:p w:rsidR="00444C66" w:rsidRDefault="00444C66">
            <w:pPr>
              <w:widowControl w:val="0"/>
              <w:tabs>
                <w:tab w:val="center" w:pos="4536"/>
                <w:tab w:val="right" w:pos="9072"/>
              </w:tabs>
              <w:spacing w:after="0" w:line="240" w:lineRule="auto"/>
              <w:rPr>
                <w:rFonts w:ascii="Times New Roman" w:eastAsia="Times New Roman" w:hAnsi="Times New Roman"/>
                <w:lang w:eastAsia="sl-SI"/>
              </w:rPr>
            </w:pPr>
          </w:p>
        </w:tc>
        <w:tc>
          <w:tcPr>
            <w:tcW w:w="1431" w:type="pct"/>
            <w:tcBorders>
              <w:bottom w:val="single" w:sz="4" w:space="0" w:color="auto"/>
            </w:tcBorders>
            <w:vAlign w:val="center"/>
          </w:tcPr>
          <w:p w:rsidR="00444C66" w:rsidRDefault="00444C66">
            <w:pPr>
              <w:widowControl w:val="0"/>
              <w:tabs>
                <w:tab w:val="left" w:pos="567"/>
              </w:tabs>
              <w:spacing w:after="0" w:line="240" w:lineRule="auto"/>
              <w:rPr>
                <w:rFonts w:ascii="Times New Roman" w:eastAsia="Times New Roman" w:hAnsi="Times New Roman"/>
                <w:lang w:eastAsia="sl-SI"/>
              </w:rPr>
            </w:pPr>
            <w:r>
              <w:rPr>
                <w:rFonts w:ascii="Times New Roman" w:eastAsia="Times New Roman" w:hAnsi="Times New Roman"/>
                <w:lang w:eastAsia="sl-SI"/>
              </w:rPr>
              <w:t>Ūminis inkstų funkcijos nepakankamumas</w:t>
            </w:r>
          </w:p>
        </w:tc>
        <w:tc>
          <w:tcPr>
            <w:tcW w:w="1795" w:type="pct"/>
            <w:tcBorders>
              <w:bottom w:val="single" w:sz="4" w:space="0" w:color="auto"/>
            </w:tcBorders>
            <w:vAlign w:val="center"/>
          </w:tcPr>
          <w:p w:rsidR="00444C66" w:rsidRDefault="00444C66">
            <w:pPr>
              <w:widowControl w:val="0"/>
              <w:tabs>
                <w:tab w:val="left" w:pos="567"/>
              </w:tabs>
              <w:spacing w:after="0" w:line="240" w:lineRule="auto"/>
              <w:rPr>
                <w:rFonts w:ascii="Times New Roman" w:eastAsia="Times New Roman" w:hAnsi="Times New Roman"/>
                <w:lang w:eastAsia="sl-SI"/>
              </w:rPr>
            </w:pPr>
            <w:r>
              <w:rPr>
                <w:rFonts w:ascii="Times New Roman" w:hAnsi="Times New Roman"/>
              </w:rPr>
              <w:t>Retas</w:t>
            </w:r>
          </w:p>
        </w:tc>
      </w:tr>
      <w:tr w:rsidR="00444C66">
        <w:trPr>
          <w:trHeight w:val="312"/>
        </w:trPr>
        <w:tc>
          <w:tcPr>
            <w:tcW w:w="1774" w:type="pct"/>
            <w:vMerge/>
            <w:tcBorders>
              <w:bottom w:val="single" w:sz="4" w:space="0" w:color="auto"/>
            </w:tcBorders>
          </w:tcPr>
          <w:p w:rsidR="00444C66" w:rsidRDefault="00444C66">
            <w:pPr>
              <w:widowControl w:val="0"/>
              <w:tabs>
                <w:tab w:val="center" w:pos="4536"/>
                <w:tab w:val="right" w:pos="9072"/>
              </w:tabs>
              <w:spacing w:after="0" w:line="240" w:lineRule="auto"/>
              <w:rPr>
                <w:rFonts w:ascii="Times New Roman" w:eastAsia="Times New Roman" w:hAnsi="Times New Roman"/>
                <w:lang w:eastAsia="sl-SI"/>
              </w:rPr>
            </w:pPr>
          </w:p>
        </w:tc>
        <w:tc>
          <w:tcPr>
            <w:tcW w:w="1431" w:type="pct"/>
            <w:tcBorders>
              <w:bottom w:val="single" w:sz="4" w:space="0" w:color="auto"/>
            </w:tcBorders>
            <w:vAlign w:val="center"/>
          </w:tcPr>
          <w:p w:rsidR="00444C66" w:rsidRDefault="00444C66">
            <w:pPr>
              <w:widowControl w:val="0"/>
              <w:tabs>
                <w:tab w:val="left" w:pos="567"/>
              </w:tabs>
              <w:spacing w:after="0" w:line="240" w:lineRule="auto"/>
              <w:rPr>
                <w:rFonts w:ascii="Times New Roman" w:eastAsia="Times New Roman" w:hAnsi="Times New Roman"/>
                <w:lang w:eastAsia="sl-SI"/>
              </w:rPr>
            </w:pPr>
            <w:r>
              <w:rPr>
                <w:rFonts w:ascii="Times New Roman" w:eastAsia="Times New Roman" w:hAnsi="Times New Roman"/>
                <w:lang w:eastAsia="sl-SI"/>
              </w:rPr>
              <w:t>Inkstų nepakankamumas</w:t>
            </w:r>
          </w:p>
        </w:tc>
        <w:tc>
          <w:tcPr>
            <w:tcW w:w="1795" w:type="pct"/>
            <w:tcBorders>
              <w:bottom w:val="single" w:sz="4" w:space="0" w:color="auto"/>
            </w:tcBorders>
            <w:vAlign w:val="center"/>
          </w:tcPr>
          <w:p w:rsidR="00444C66" w:rsidRDefault="00444C66">
            <w:pPr>
              <w:widowControl w:val="0"/>
              <w:tabs>
                <w:tab w:val="left" w:pos="567"/>
              </w:tabs>
              <w:spacing w:after="0" w:line="240" w:lineRule="auto"/>
              <w:rPr>
                <w:rFonts w:ascii="Times New Roman" w:eastAsia="Times New Roman" w:hAnsi="Times New Roman"/>
                <w:lang w:eastAsia="sl-SI"/>
              </w:rPr>
            </w:pPr>
            <w:r>
              <w:rPr>
                <w:rFonts w:ascii="Times New Roman" w:hAnsi="Times New Roman"/>
              </w:rPr>
              <w:t>Retas</w:t>
            </w:r>
          </w:p>
        </w:tc>
      </w:tr>
      <w:tr w:rsidR="00444C66">
        <w:trPr>
          <w:trHeight w:val="274"/>
        </w:trPr>
        <w:tc>
          <w:tcPr>
            <w:tcW w:w="1774" w:type="pct"/>
            <w:vMerge w:val="restart"/>
          </w:tcPr>
          <w:p w:rsidR="00444C66" w:rsidRDefault="00444C66">
            <w:pPr>
              <w:widowControl w:val="0"/>
              <w:tabs>
                <w:tab w:val="center" w:pos="4536"/>
                <w:tab w:val="right" w:pos="9072"/>
              </w:tabs>
              <w:spacing w:after="0" w:line="240" w:lineRule="auto"/>
              <w:rPr>
                <w:rFonts w:ascii="Times New Roman" w:eastAsia="Times New Roman" w:hAnsi="Times New Roman"/>
                <w:lang w:eastAsia="sl-SI"/>
              </w:rPr>
            </w:pPr>
            <w:r>
              <w:rPr>
                <w:rFonts w:ascii="Times New Roman" w:eastAsia="Times New Roman" w:hAnsi="Times New Roman"/>
                <w:lang w:eastAsia="sl-SI"/>
              </w:rPr>
              <w:t>Bendrieji sutrikimai ir vartojimo vietos pažeidimai</w:t>
            </w:r>
          </w:p>
        </w:tc>
        <w:tc>
          <w:tcPr>
            <w:tcW w:w="1431" w:type="pct"/>
            <w:vAlign w:val="center"/>
          </w:tcPr>
          <w:p w:rsidR="00444C66" w:rsidRDefault="00444C66">
            <w:pPr>
              <w:widowControl w:val="0"/>
              <w:tabs>
                <w:tab w:val="left" w:pos="567"/>
              </w:tabs>
              <w:spacing w:after="0" w:line="240" w:lineRule="auto"/>
              <w:rPr>
                <w:rFonts w:ascii="Times New Roman" w:eastAsia="Times New Roman" w:hAnsi="Times New Roman"/>
                <w:lang w:eastAsia="sl-SI"/>
              </w:rPr>
            </w:pPr>
            <w:r>
              <w:rPr>
                <w:rFonts w:ascii="Times New Roman" w:eastAsia="Times New Roman" w:hAnsi="Times New Roman"/>
                <w:lang w:eastAsia="sl-SI"/>
              </w:rPr>
              <w:t>Skausmas</w:t>
            </w:r>
          </w:p>
        </w:tc>
        <w:tc>
          <w:tcPr>
            <w:tcW w:w="1795" w:type="pct"/>
            <w:vAlign w:val="center"/>
          </w:tcPr>
          <w:p w:rsidR="00444C66" w:rsidRDefault="00444C66">
            <w:pPr>
              <w:widowControl w:val="0"/>
              <w:tabs>
                <w:tab w:val="left" w:pos="567"/>
              </w:tabs>
              <w:spacing w:after="0" w:line="240" w:lineRule="auto"/>
              <w:rPr>
                <w:rFonts w:ascii="Times New Roman" w:eastAsia="Times New Roman" w:hAnsi="Times New Roman"/>
                <w:lang w:eastAsia="sl-SI"/>
              </w:rPr>
            </w:pPr>
            <w:r>
              <w:rPr>
                <w:rFonts w:ascii="Times New Roman" w:hAnsi="Times New Roman"/>
              </w:rPr>
              <w:t>Dažnas</w:t>
            </w:r>
          </w:p>
        </w:tc>
      </w:tr>
      <w:tr w:rsidR="00444C66">
        <w:trPr>
          <w:trHeight w:val="239"/>
        </w:trPr>
        <w:tc>
          <w:tcPr>
            <w:tcW w:w="1774" w:type="pct"/>
            <w:vMerge/>
          </w:tcPr>
          <w:p w:rsidR="00444C66" w:rsidRDefault="00444C66">
            <w:pPr>
              <w:widowControl w:val="0"/>
              <w:tabs>
                <w:tab w:val="center" w:pos="4536"/>
                <w:tab w:val="right" w:pos="9072"/>
              </w:tabs>
              <w:spacing w:after="0" w:line="240" w:lineRule="auto"/>
              <w:rPr>
                <w:rFonts w:ascii="Times New Roman" w:eastAsia="Times New Roman" w:hAnsi="Times New Roman"/>
                <w:lang w:eastAsia="sl-SI"/>
              </w:rPr>
            </w:pPr>
          </w:p>
        </w:tc>
        <w:tc>
          <w:tcPr>
            <w:tcW w:w="1431" w:type="pct"/>
            <w:vAlign w:val="center"/>
          </w:tcPr>
          <w:p w:rsidR="00444C66" w:rsidRDefault="00444C66">
            <w:pPr>
              <w:widowControl w:val="0"/>
              <w:tabs>
                <w:tab w:val="left" w:pos="567"/>
              </w:tabs>
              <w:spacing w:after="0" w:line="240" w:lineRule="auto"/>
              <w:rPr>
                <w:rFonts w:ascii="Times New Roman" w:eastAsia="Times New Roman" w:hAnsi="Times New Roman"/>
                <w:lang w:eastAsia="sl-SI"/>
              </w:rPr>
            </w:pPr>
            <w:r>
              <w:rPr>
                <w:rFonts w:ascii="Times New Roman" w:eastAsia="Times New Roman" w:hAnsi="Times New Roman"/>
                <w:lang w:eastAsia="sl-SI"/>
              </w:rPr>
              <w:t>Krūtinės skausmas</w:t>
            </w:r>
          </w:p>
        </w:tc>
        <w:tc>
          <w:tcPr>
            <w:tcW w:w="1795" w:type="pct"/>
            <w:vAlign w:val="center"/>
          </w:tcPr>
          <w:p w:rsidR="00444C66" w:rsidRDefault="00444C66">
            <w:pPr>
              <w:widowControl w:val="0"/>
              <w:tabs>
                <w:tab w:val="left" w:pos="567"/>
              </w:tabs>
              <w:spacing w:after="0" w:line="240" w:lineRule="auto"/>
              <w:rPr>
                <w:rFonts w:ascii="Times New Roman" w:eastAsia="Times New Roman" w:hAnsi="Times New Roman"/>
                <w:lang w:eastAsia="sl-SI"/>
              </w:rPr>
            </w:pPr>
            <w:r>
              <w:rPr>
                <w:rFonts w:ascii="Times New Roman" w:hAnsi="Times New Roman"/>
              </w:rPr>
              <w:t>Dažnas</w:t>
            </w:r>
          </w:p>
        </w:tc>
      </w:tr>
      <w:tr w:rsidR="00444C66">
        <w:trPr>
          <w:trHeight w:val="254"/>
        </w:trPr>
        <w:tc>
          <w:tcPr>
            <w:tcW w:w="1774" w:type="pct"/>
            <w:vMerge/>
          </w:tcPr>
          <w:p w:rsidR="00444C66" w:rsidRDefault="00444C66">
            <w:pPr>
              <w:widowControl w:val="0"/>
              <w:tabs>
                <w:tab w:val="center" w:pos="4536"/>
                <w:tab w:val="right" w:pos="9072"/>
              </w:tabs>
              <w:spacing w:after="0" w:line="240" w:lineRule="auto"/>
              <w:rPr>
                <w:rFonts w:ascii="Times New Roman" w:eastAsia="Times New Roman" w:hAnsi="Times New Roman"/>
                <w:lang w:eastAsia="sl-SI"/>
              </w:rPr>
            </w:pPr>
          </w:p>
        </w:tc>
        <w:tc>
          <w:tcPr>
            <w:tcW w:w="1431" w:type="pct"/>
            <w:vAlign w:val="center"/>
          </w:tcPr>
          <w:p w:rsidR="00444C66" w:rsidRDefault="00444C66">
            <w:pPr>
              <w:widowControl w:val="0"/>
              <w:tabs>
                <w:tab w:val="left" w:pos="567"/>
              </w:tabs>
              <w:spacing w:after="0" w:line="240" w:lineRule="auto"/>
              <w:rPr>
                <w:rFonts w:ascii="Times New Roman" w:eastAsia="Times New Roman" w:hAnsi="Times New Roman"/>
                <w:lang w:eastAsia="sl-SI"/>
              </w:rPr>
            </w:pPr>
            <w:r>
              <w:rPr>
                <w:rFonts w:ascii="Times New Roman" w:eastAsia="Times New Roman" w:hAnsi="Times New Roman"/>
                <w:lang w:eastAsia="sl-SI"/>
              </w:rPr>
              <w:t>Periferinė edema</w:t>
            </w:r>
          </w:p>
        </w:tc>
        <w:tc>
          <w:tcPr>
            <w:tcW w:w="1795" w:type="pct"/>
            <w:vAlign w:val="center"/>
          </w:tcPr>
          <w:p w:rsidR="00444C66" w:rsidRDefault="00444C66">
            <w:pPr>
              <w:widowControl w:val="0"/>
              <w:tabs>
                <w:tab w:val="left" w:pos="567"/>
              </w:tabs>
              <w:spacing w:after="0" w:line="240" w:lineRule="auto"/>
              <w:rPr>
                <w:rFonts w:ascii="Times New Roman" w:eastAsia="Times New Roman" w:hAnsi="Times New Roman"/>
                <w:lang w:eastAsia="sl-SI"/>
              </w:rPr>
            </w:pPr>
            <w:r>
              <w:rPr>
                <w:rFonts w:ascii="Times New Roman" w:hAnsi="Times New Roman"/>
              </w:rPr>
              <w:t>Dažnas</w:t>
            </w:r>
          </w:p>
        </w:tc>
      </w:tr>
      <w:tr w:rsidR="00444C66">
        <w:trPr>
          <w:trHeight w:val="239"/>
        </w:trPr>
        <w:tc>
          <w:tcPr>
            <w:tcW w:w="1774" w:type="pct"/>
            <w:vMerge/>
          </w:tcPr>
          <w:p w:rsidR="00444C66" w:rsidRDefault="00444C66">
            <w:pPr>
              <w:widowControl w:val="0"/>
              <w:tabs>
                <w:tab w:val="center" w:pos="4536"/>
                <w:tab w:val="right" w:pos="9072"/>
              </w:tabs>
              <w:spacing w:after="0" w:line="240" w:lineRule="auto"/>
              <w:rPr>
                <w:rFonts w:ascii="Times New Roman" w:eastAsia="Times New Roman" w:hAnsi="Times New Roman"/>
                <w:lang w:eastAsia="sl-SI"/>
              </w:rPr>
            </w:pPr>
          </w:p>
        </w:tc>
        <w:tc>
          <w:tcPr>
            <w:tcW w:w="1431" w:type="pct"/>
            <w:vAlign w:val="center"/>
          </w:tcPr>
          <w:p w:rsidR="00444C66" w:rsidRDefault="00444C66">
            <w:pPr>
              <w:widowControl w:val="0"/>
              <w:tabs>
                <w:tab w:val="left" w:pos="567"/>
              </w:tabs>
              <w:spacing w:after="0" w:line="240" w:lineRule="auto"/>
              <w:rPr>
                <w:rFonts w:ascii="Times New Roman" w:eastAsia="Times New Roman" w:hAnsi="Times New Roman"/>
                <w:lang w:eastAsia="sl-SI"/>
              </w:rPr>
            </w:pPr>
            <w:r>
              <w:rPr>
                <w:rFonts w:ascii="Times New Roman" w:eastAsia="Times New Roman" w:hAnsi="Times New Roman"/>
                <w:lang w:eastAsia="sl-SI"/>
              </w:rPr>
              <w:t>Nuovargis</w:t>
            </w:r>
          </w:p>
        </w:tc>
        <w:tc>
          <w:tcPr>
            <w:tcW w:w="1795" w:type="pct"/>
            <w:vAlign w:val="center"/>
          </w:tcPr>
          <w:p w:rsidR="00444C66" w:rsidRDefault="00444C66">
            <w:pPr>
              <w:widowControl w:val="0"/>
              <w:tabs>
                <w:tab w:val="left" w:pos="567"/>
              </w:tabs>
              <w:spacing w:after="0" w:line="240" w:lineRule="auto"/>
              <w:rPr>
                <w:rFonts w:ascii="Times New Roman" w:eastAsia="Times New Roman" w:hAnsi="Times New Roman"/>
                <w:lang w:eastAsia="sl-SI"/>
              </w:rPr>
            </w:pPr>
            <w:r>
              <w:rPr>
                <w:rFonts w:ascii="Times New Roman" w:hAnsi="Times New Roman"/>
              </w:rPr>
              <w:t>Dažnas</w:t>
            </w:r>
          </w:p>
        </w:tc>
      </w:tr>
      <w:tr w:rsidR="00444C66">
        <w:trPr>
          <w:trHeight w:val="300"/>
        </w:trPr>
        <w:tc>
          <w:tcPr>
            <w:tcW w:w="1774" w:type="pct"/>
            <w:vMerge/>
          </w:tcPr>
          <w:p w:rsidR="00444C66" w:rsidRDefault="00444C66">
            <w:pPr>
              <w:widowControl w:val="0"/>
              <w:tabs>
                <w:tab w:val="center" w:pos="4536"/>
                <w:tab w:val="right" w:pos="9072"/>
              </w:tabs>
              <w:spacing w:after="0" w:line="240" w:lineRule="auto"/>
              <w:rPr>
                <w:rFonts w:ascii="Times New Roman" w:eastAsia="Times New Roman" w:hAnsi="Times New Roman"/>
                <w:lang w:eastAsia="sl-SI"/>
              </w:rPr>
            </w:pPr>
          </w:p>
        </w:tc>
        <w:tc>
          <w:tcPr>
            <w:tcW w:w="1431" w:type="pct"/>
            <w:vAlign w:val="center"/>
          </w:tcPr>
          <w:p w:rsidR="00444C66" w:rsidRDefault="00444C66">
            <w:pPr>
              <w:widowControl w:val="0"/>
              <w:tabs>
                <w:tab w:val="left" w:pos="567"/>
              </w:tabs>
              <w:spacing w:after="0" w:line="240" w:lineRule="auto"/>
              <w:rPr>
                <w:rFonts w:ascii="Times New Roman" w:eastAsia="Times New Roman" w:hAnsi="Times New Roman"/>
                <w:lang w:eastAsia="sl-SI"/>
              </w:rPr>
            </w:pPr>
            <w:r>
              <w:rPr>
                <w:rFonts w:ascii="Times New Roman" w:eastAsia="Times New Roman" w:hAnsi="Times New Roman"/>
                <w:lang w:eastAsia="sl-SI"/>
              </w:rPr>
              <w:t>Į gripo panašūs simptomai</w:t>
            </w:r>
          </w:p>
        </w:tc>
        <w:tc>
          <w:tcPr>
            <w:tcW w:w="1795" w:type="pct"/>
            <w:vAlign w:val="center"/>
          </w:tcPr>
          <w:p w:rsidR="00444C66" w:rsidRDefault="00444C66">
            <w:pPr>
              <w:widowControl w:val="0"/>
              <w:tabs>
                <w:tab w:val="left" w:pos="567"/>
              </w:tabs>
              <w:spacing w:after="0" w:line="240" w:lineRule="auto"/>
              <w:rPr>
                <w:rFonts w:ascii="Times New Roman" w:eastAsia="Times New Roman" w:hAnsi="Times New Roman"/>
                <w:lang w:eastAsia="sl-SI"/>
              </w:rPr>
            </w:pPr>
            <w:r>
              <w:rPr>
                <w:rFonts w:ascii="Times New Roman" w:hAnsi="Times New Roman"/>
              </w:rPr>
              <w:t>Dažnas</w:t>
            </w:r>
          </w:p>
        </w:tc>
      </w:tr>
      <w:tr w:rsidR="00444C66">
        <w:trPr>
          <w:trHeight w:val="239"/>
        </w:trPr>
        <w:tc>
          <w:tcPr>
            <w:tcW w:w="1774" w:type="pct"/>
            <w:vMerge/>
          </w:tcPr>
          <w:p w:rsidR="00444C66" w:rsidRDefault="00444C66">
            <w:pPr>
              <w:widowControl w:val="0"/>
              <w:tabs>
                <w:tab w:val="center" w:pos="4536"/>
                <w:tab w:val="right" w:pos="9072"/>
              </w:tabs>
              <w:spacing w:after="0" w:line="240" w:lineRule="auto"/>
              <w:rPr>
                <w:rFonts w:ascii="Times New Roman" w:eastAsia="Times New Roman" w:hAnsi="Times New Roman"/>
                <w:lang w:eastAsia="sl-SI"/>
              </w:rPr>
            </w:pPr>
          </w:p>
        </w:tc>
        <w:tc>
          <w:tcPr>
            <w:tcW w:w="1431" w:type="pct"/>
            <w:vAlign w:val="center"/>
          </w:tcPr>
          <w:p w:rsidR="00444C66" w:rsidRDefault="00444C66">
            <w:pPr>
              <w:widowControl w:val="0"/>
              <w:tabs>
                <w:tab w:val="left" w:pos="567"/>
              </w:tabs>
              <w:spacing w:after="0" w:line="240" w:lineRule="auto"/>
              <w:rPr>
                <w:rFonts w:ascii="Times New Roman" w:eastAsia="Times New Roman" w:hAnsi="Times New Roman"/>
                <w:lang w:eastAsia="sl-SI"/>
              </w:rPr>
            </w:pPr>
            <w:r>
              <w:rPr>
                <w:rFonts w:ascii="Times New Roman" w:eastAsia="Times New Roman" w:hAnsi="Times New Roman"/>
                <w:lang w:eastAsia="sl-SI"/>
              </w:rPr>
              <w:t>Nuovargis</w:t>
            </w:r>
          </w:p>
        </w:tc>
        <w:tc>
          <w:tcPr>
            <w:tcW w:w="1795" w:type="pct"/>
            <w:vAlign w:val="center"/>
          </w:tcPr>
          <w:p w:rsidR="00444C66" w:rsidRDefault="00444C66">
            <w:pPr>
              <w:widowControl w:val="0"/>
              <w:tabs>
                <w:tab w:val="left" w:pos="567"/>
              </w:tabs>
              <w:spacing w:after="0" w:line="240" w:lineRule="auto"/>
              <w:rPr>
                <w:rFonts w:ascii="Times New Roman" w:eastAsia="Times New Roman" w:hAnsi="Times New Roman"/>
                <w:lang w:eastAsia="sl-SI"/>
              </w:rPr>
            </w:pPr>
            <w:r>
              <w:rPr>
                <w:rFonts w:ascii="Times New Roman" w:hAnsi="Times New Roman"/>
              </w:rPr>
              <w:t>Nedažnas</w:t>
            </w:r>
          </w:p>
        </w:tc>
      </w:tr>
      <w:tr w:rsidR="00444C66">
        <w:trPr>
          <w:trHeight w:val="293"/>
        </w:trPr>
        <w:tc>
          <w:tcPr>
            <w:tcW w:w="1774" w:type="pct"/>
            <w:vMerge/>
          </w:tcPr>
          <w:p w:rsidR="00444C66" w:rsidRDefault="00444C66">
            <w:pPr>
              <w:widowControl w:val="0"/>
              <w:tabs>
                <w:tab w:val="center" w:pos="4536"/>
                <w:tab w:val="right" w:pos="9072"/>
              </w:tabs>
              <w:spacing w:after="0" w:line="240" w:lineRule="auto"/>
              <w:rPr>
                <w:rFonts w:ascii="Times New Roman" w:eastAsia="Times New Roman" w:hAnsi="Times New Roman"/>
                <w:lang w:eastAsia="sl-SI"/>
              </w:rPr>
            </w:pPr>
          </w:p>
        </w:tc>
        <w:tc>
          <w:tcPr>
            <w:tcW w:w="1431" w:type="pct"/>
            <w:vAlign w:val="center"/>
          </w:tcPr>
          <w:p w:rsidR="00444C66" w:rsidRDefault="00444C66">
            <w:pPr>
              <w:widowControl w:val="0"/>
              <w:tabs>
                <w:tab w:val="left" w:pos="567"/>
              </w:tabs>
              <w:spacing w:after="0" w:line="240" w:lineRule="auto"/>
              <w:rPr>
                <w:rFonts w:ascii="Times New Roman" w:eastAsia="Times New Roman" w:hAnsi="Times New Roman"/>
                <w:lang w:eastAsia="sl-SI"/>
              </w:rPr>
            </w:pPr>
            <w:r>
              <w:rPr>
                <w:rFonts w:ascii="Times New Roman" w:eastAsia="Times New Roman" w:hAnsi="Times New Roman"/>
                <w:lang w:eastAsia="sl-SI"/>
              </w:rPr>
              <w:t>Veido edema, astenija</w:t>
            </w:r>
          </w:p>
        </w:tc>
        <w:tc>
          <w:tcPr>
            <w:tcW w:w="1795" w:type="pct"/>
            <w:vAlign w:val="center"/>
          </w:tcPr>
          <w:p w:rsidR="00444C66" w:rsidRDefault="00444C66">
            <w:pPr>
              <w:widowControl w:val="0"/>
              <w:tabs>
                <w:tab w:val="left" w:pos="567"/>
              </w:tabs>
              <w:spacing w:after="0" w:line="240" w:lineRule="auto"/>
              <w:rPr>
                <w:rFonts w:ascii="Times New Roman" w:eastAsia="Times New Roman" w:hAnsi="Times New Roman"/>
                <w:lang w:eastAsia="sl-SI"/>
              </w:rPr>
            </w:pPr>
            <w:r>
              <w:rPr>
                <w:rFonts w:ascii="Times New Roman" w:hAnsi="Times New Roman"/>
              </w:rPr>
              <w:t>Nedažnas</w:t>
            </w:r>
          </w:p>
        </w:tc>
      </w:tr>
      <w:tr w:rsidR="00444C66">
        <w:trPr>
          <w:trHeight w:val="239"/>
        </w:trPr>
        <w:tc>
          <w:tcPr>
            <w:tcW w:w="1774" w:type="pct"/>
            <w:vMerge/>
          </w:tcPr>
          <w:p w:rsidR="00444C66" w:rsidRDefault="00444C66">
            <w:pPr>
              <w:widowControl w:val="0"/>
              <w:tabs>
                <w:tab w:val="center" w:pos="4536"/>
                <w:tab w:val="right" w:pos="9072"/>
              </w:tabs>
              <w:spacing w:after="0" w:line="240" w:lineRule="auto"/>
              <w:rPr>
                <w:rFonts w:ascii="Times New Roman" w:eastAsia="Times New Roman" w:hAnsi="Times New Roman"/>
                <w:lang w:eastAsia="sl-SI"/>
              </w:rPr>
            </w:pPr>
          </w:p>
        </w:tc>
        <w:tc>
          <w:tcPr>
            <w:tcW w:w="1431" w:type="pct"/>
            <w:vAlign w:val="center"/>
          </w:tcPr>
          <w:p w:rsidR="00444C66" w:rsidRDefault="00444C66">
            <w:pPr>
              <w:widowControl w:val="0"/>
              <w:tabs>
                <w:tab w:val="left" w:pos="567"/>
              </w:tabs>
              <w:spacing w:after="0" w:line="240" w:lineRule="auto"/>
              <w:rPr>
                <w:rFonts w:ascii="Times New Roman" w:eastAsia="Times New Roman" w:hAnsi="Times New Roman"/>
                <w:lang w:eastAsia="sl-SI"/>
              </w:rPr>
            </w:pPr>
            <w:r>
              <w:rPr>
                <w:rFonts w:ascii="Times New Roman" w:eastAsia="Times New Roman" w:hAnsi="Times New Roman"/>
                <w:lang w:eastAsia="sl-SI"/>
              </w:rPr>
              <w:t>Bendras negalavimas</w:t>
            </w:r>
          </w:p>
        </w:tc>
        <w:tc>
          <w:tcPr>
            <w:tcW w:w="1795" w:type="pct"/>
            <w:vAlign w:val="center"/>
          </w:tcPr>
          <w:p w:rsidR="00444C66" w:rsidRDefault="00444C66">
            <w:pPr>
              <w:widowControl w:val="0"/>
              <w:tabs>
                <w:tab w:val="left" w:pos="567"/>
              </w:tabs>
              <w:spacing w:after="0" w:line="240" w:lineRule="auto"/>
              <w:rPr>
                <w:rFonts w:ascii="Times New Roman" w:eastAsia="Times New Roman" w:hAnsi="Times New Roman"/>
                <w:lang w:eastAsia="sl-SI"/>
              </w:rPr>
            </w:pPr>
            <w:r>
              <w:rPr>
                <w:rFonts w:ascii="Times New Roman" w:hAnsi="Times New Roman"/>
              </w:rPr>
              <w:t>Nedažnas</w:t>
            </w:r>
          </w:p>
        </w:tc>
      </w:tr>
      <w:tr w:rsidR="00444C66">
        <w:trPr>
          <w:trHeight w:val="254"/>
        </w:trPr>
        <w:tc>
          <w:tcPr>
            <w:tcW w:w="1774" w:type="pct"/>
            <w:vMerge/>
          </w:tcPr>
          <w:p w:rsidR="00444C66" w:rsidRDefault="00444C66">
            <w:pPr>
              <w:widowControl w:val="0"/>
              <w:tabs>
                <w:tab w:val="center" w:pos="4536"/>
                <w:tab w:val="right" w:pos="9072"/>
              </w:tabs>
              <w:spacing w:after="0" w:line="240" w:lineRule="auto"/>
              <w:rPr>
                <w:rFonts w:ascii="Times New Roman" w:eastAsia="Times New Roman" w:hAnsi="Times New Roman"/>
                <w:lang w:eastAsia="sl-SI"/>
              </w:rPr>
            </w:pPr>
          </w:p>
        </w:tc>
        <w:tc>
          <w:tcPr>
            <w:tcW w:w="1431" w:type="pct"/>
            <w:vAlign w:val="center"/>
          </w:tcPr>
          <w:p w:rsidR="00444C66" w:rsidRDefault="00444C66">
            <w:pPr>
              <w:widowControl w:val="0"/>
              <w:tabs>
                <w:tab w:val="left" w:pos="567"/>
              </w:tabs>
              <w:spacing w:after="0" w:line="240" w:lineRule="auto"/>
              <w:rPr>
                <w:rFonts w:ascii="Times New Roman" w:eastAsia="Times New Roman" w:hAnsi="Times New Roman"/>
                <w:lang w:eastAsia="sl-SI"/>
              </w:rPr>
            </w:pPr>
            <w:r>
              <w:rPr>
                <w:rFonts w:ascii="Times New Roman" w:eastAsia="Times New Roman" w:hAnsi="Times New Roman"/>
                <w:lang w:eastAsia="sl-SI"/>
              </w:rPr>
              <w:t>Letargija</w:t>
            </w:r>
          </w:p>
        </w:tc>
        <w:tc>
          <w:tcPr>
            <w:tcW w:w="1795" w:type="pct"/>
            <w:vAlign w:val="center"/>
          </w:tcPr>
          <w:p w:rsidR="00444C66" w:rsidRDefault="00444C66">
            <w:pPr>
              <w:widowControl w:val="0"/>
              <w:tabs>
                <w:tab w:val="left" w:pos="567"/>
              </w:tabs>
              <w:spacing w:after="0" w:line="240" w:lineRule="auto"/>
              <w:rPr>
                <w:rFonts w:ascii="Times New Roman" w:eastAsia="Times New Roman" w:hAnsi="Times New Roman"/>
                <w:lang w:eastAsia="sl-SI"/>
              </w:rPr>
            </w:pPr>
            <w:r>
              <w:rPr>
                <w:rFonts w:ascii="Times New Roman" w:hAnsi="Times New Roman"/>
              </w:rPr>
              <w:t>Retas</w:t>
            </w:r>
          </w:p>
        </w:tc>
      </w:tr>
      <w:tr w:rsidR="00444C66">
        <w:trPr>
          <w:trHeight w:val="447"/>
        </w:trPr>
        <w:tc>
          <w:tcPr>
            <w:tcW w:w="1774" w:type="pct"/>
            <w:vMerge w:val="restart"/>
          </w:tcPr>
          <w:p w:rsidR="00444C66" w:rsidRDefault="00444C66">
            <w:pPr>
              <w:widowControl w:val="0"/>
              <w:tabs>
                <w:tab w:val="center" w:pos="4536"/>
                <w:tab w:val="right" w:pos="9072"/>
              </w:tabs>
              <w:spacing w:after="0" w:line="240" w:lineRule="auto"/>
              <w:rPr>
                <w:rFonts w:ascii="Times New Roman" w:eastAsia="Times New Roman" w:hAnsi="Times New Roman"/>
                <w:lang w:eastAsia="sl-SI"/>
              </w:rPr>
            </w:pPr>
            <w:r>
              <w:rPr>
                <w:rFonts w:ascii="Times New Roman" w:eastAsia="Times New Roman" w:hAnsi="Times New Roman"/>
                <w:lang w:eastAsia="sl-SI"/>
              </w:rPr>
              <w:t>Tyrimai</w:t>
            </w:r>
          </w:p>
        </w:tc>
        <w:tc>
          <w:tcPr>
            <w:tcW w:w="1431" w:type="pct"/>
            <w:vAlign w:val="center"/>
          </w:tcPr>
          <w:p w:rsidR="00444C66" w:rsidRDefault="00444C66">
            <w:pPr>
              <w:widowControl w:val="0"/>
              <w:tabs>
                <w:tab w:val="left" w:pos="567"/>
              </w:tabs>
              <w:spacing w:after="0" w:line="240" w:lineRule="auto"/>
              <w:rPr>
                <w:rFonts w:ascii="Times New Roman" w:eastAsia="Times New Roman" w:hAnsi="Times New Roman"/>
                <w:lang w:eastAsia="sl-SI"/>
              </w:rPr>
            </w:pPr>
            <w:r>
              <w:rPr>
                <w:rFonts w:ascii="Times New Roman" w:eastAsia="Times New Roman" w:hAnsi="Times New Roman"/>
                <w:lang w:val="sl-SI" w:eastAsia="sl-SI"/>
              </w:rPr>
              <w:t>Padidėjęs kepenų fermentų aktyvumas kraujyje</w:t>
            </w:r>
          </w:p>
        </w:tc>
        <w:tc>
          <w:tcPr>
            <w:tcW w:w="1795" w:type="pct"/>
            <w:vAlign w:val="center"/>
          </w:tcPr>
          <w:p w:rsidR="00444C66" w:rsidRDefault="00444C66">
            <w:pPr>
              <w:widowControl w:val="0"/>
              <w:tabs>
                <w:tab w:val="left" w:pos="567"/>
              </w:tabs>
              <w:spacing w:after="0" w:line="240" w:lineRule="auto"/>
              <w:rPr>
                <w:rFonts w:ascii="Times New Roman" w:eastAsia="Times New Roman" w:hAnsi="Times New Roman"/>
                <w:lang w:eastAsia="sl-SI"/>
              </w:rPr>
            </w:pPr>
            <w:r>
              <w:rPr>
                <w:rFonts w:ascii="Times New Roman" w:hAnsi="Times New Roman"/>
              </w:rPr>
              <w:t>Dažnas</w:t>
            </w:r>
          </w:p>
        </w:tc>
      </w:tr>
      <w:tr w:rsidR="00444C66">
        <w:trPr>
          <w:trHeight w:val="493"/>
        </w:trPr>
        <w:tc>
          <w:tcPr>
            <w:tcW w:w="1774" w:type="pct"/>
            <w:vMerge/>
            <w:vAlign w:val="center"/>
          </w:tcPr>
          <w:p w:rsidR="00444C66" w:rsidRDefault="00444C66">
            <w:pPr>
              <w:widowControl w:val="0"/>
              <w:tabs>
                <w:tab w:val="center" w:pos="4536"/>
                <w:tab w:val="right" w:pos="9072"/>
              </w:tabs>
              <w:spacing w:after="0" w:line="240" w:lineRule="auto"/>
              <w:rPr>
                <w:rFonts w:ascii="Times New Roman" w:eastAsia="Times New Roman" w:hAnsi="Times New Roman"/>
                <w:lang w:eastAsia="sl-SI"/>
              </w:rPr>
            </w:pPr>
          </w:p>
        </w:tc>
        <w:tc>
          <w:tcPr>
            <w:tcW w:w="1431" w:type="pct"/>
            <w:vAlign w:val="center"/>
          </w:tcPr>
          <w:p w:rsidR="00444C66" w:rsidRDefault="00444C66">
            <w:pPr>
              <w:widowControl w:val="0"/>
              <w:tabs>
                <w:tab w:val="left" w:pos="567"/>
              </w:tabs>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Padidėjęs urėjos kiekis kraujyje</w:t>
            </w:r>
          </w:p>
        </w:tc>
        <w:tc>
          <w:tcPr>
            <w:tcW w:w="1795" w:type="pct"/>
            <w:vAlign w:val="center"/>
          </w:tcPr>
          <w:p w:rsidR="00444C66" w:rsidRDefault="00444C66">
            <w:pPr>
              <w:widowControl w:val="0"/>
              <w:tabs>
                <w:tab w:val="left" w:pos="567"/>
              </w:tabs>
              <w:spacing w:after="0" w:line="240" w:lineRule="auto"/>
              <w:rPr>
                <w:rFonts w:ascii="Times New Roman" w:eastAsia="Times New Roman" w:hAnsi="Times New Roman"/>
                <w:lang w:eastAsia="sl-SI"/>
              </w:rPr>
            </w:pPr>
            <w:r>
              <w:rPr>
                <w:rFonts w:ascii="Times New Roman" w:hAnsi="Times New Roman"/>
              </w:rPr>
              <w:t>Dažnas</w:t>
            </w:r>
          </w:p>
        </w:tc>
      </w:tr>
      <w:tr w:rsidR="00444C66">
        <w:trPr>
          <w:trHeight w:val="763"/>
        </w:trPr>
        <w:tc>
          <w:tcPr>
            <w:tcW w:w="1774" w:type="pct"/>
            <w:vMerge/>
            <w:vAlign w:val="center"/>
          </w:tcPr>
          <w:p w:rsidR="00444C66" w:rsidRDefault="00444C66">
            <w:pPr>
              <w:widowControl w:val="0"/>
              <w:tabs>
                <w:tab w:val="center" w:pos="4536"/>
                <w:tab w:val="right" w:pos="9072"/>
              </w:tabs>
              <w:spacing w:after="0" w:line="240" w:lineRule="auto"/>
              <w:rPr>
                <w:rFonts w:ascii="Times New Roman" w:eastAsia="Times New Roman" w:hAnsi="Times New Roman"/>
                <w:lang w:eastAsia="sl-SI"/>
              </w:rPr>
            </w:pPr>
          </w:p>
        </w:tc>
        <w:tc>
          <w:tcPr>
            <w:tcW w:w="1431" w:type="pct"/>
            <w:vAlign w:val="center"/>
          </w:tcPr>
          <w:p w:rsidR="00444C66" w:rsidRDefault="00444C66">
            <w:pPr>
              <w:widowControl w:val="0"/>
              <w:tabs>
                <w:tab w:val="left" w:pos="567"/>
              </w:tabs>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Padidėjęs kreatinino fosfokinazės aktyvumas kraujyje</w:t>
            </w:r>
          </w:p>
        </w:tc>
        <w:tc>
          <w:tcPr>
            <w:tcW w:w="1795" w:type="pct"/>
            <w:vAlign w:val="center"/>
          </w:tcPr>
          <w:p w:rsidR="00444C66" w:rsidRDefault="00444C66">
            <w:pPr>
              <w:widowControl w:val="0"/>
              <w:tabs>
                <w:tab w:val="left" w:pos="567"/>
              </w:tabs>
              <w:spacing w:after="0" w:line="240" w:lineRule="auto"/>
              <w:rPr>
                <w:rFonts w:ascii="Times New Roman" w:eastAsia="Times New Roman" w:hAnsi="Times New Roman"/>
                <w:lang w:eastAsia="sl-SI"/>
              </w:rPr>
            </w:pPr>
            <w:r>
              <w:rPr>
                <w:rFonts w:ascii="Times New Roman" w:hAnsi="Times New Roman"/>
              </w:rPr>
              <w:t>Dažnas</w:t>
            </w:r>
          </w:p>
        </w:tc>
      </w:tr>
      <w:tr w:rsidR="00444C66">
        <w:trPr>
          <w:trHeight w:val="493"/>
        </w:trPr>
        <w:tc>
          <w:tcPr>
            <w:tcW w:w="1774" w:type="pct"/>
            <w:vMerge/>
            <w:tcBorders>
              <w:bottom w:val="single" w:sz="12" w:space="0" w:color="auto"/>
            </w:tcBorders>
            <w:vAlign w:val="center"/>
          </w:tcPr>
          <w:p w:rsidR="00444C66" w:rsidRDefault="00444C66">
            <w:pPr>
              <w:widowControl w:val="0"/>
              <w:tabs>
                <w:tab w:val="center" w:pos="4536"/>
                <w:tab w:val="right" w:pos="9072"/>
              </w:tabs>
              <w:spacing w:after="0" w:line="240" w:lineRule="auto"/>
              <w:rPr>
                <w:rFonts w:ascii="Times New Roman" w:eastAsia="Times New Roman" w:hAnsi="Times New Roman"/>
                <w:lang w:eastAsia="sl-SI"/>
              </w:rPr>
            </w:pPr>
          </w:p>
        </w:tc>
        <w:tc>
          <w:tcPr>
            <w:tcW w:w="1431" w:type="pct"/>
            <w:tcBorders>
              <w:bottom w:val="single" w:sz="12" w:space="0" w:color="auto"/>
            </w:tcBorders>
            <w:vAlign w:val="center"/>
          </w:tcPr>
          <w:p w:rsidR="00444C66" w:rsidRDefault="00444C66">
            <w:pPr>
              <w:widowControl w:val="0"/>
              <w:tabs>
                <w:tab w:val="left" w:pos="567"/>
              </w:tabs>
              <w:spacing w:after="0" w:line="240" w:lineRule="auto"/>
              <w:rPr>
                <w:rFonts w:ascii="Times New Roman" w:eastAsia="Times New Roman" w:hAnsi="Times New Roman"/>
                <w:lang w:val="sl-SI" w:eastAsia="sl-SI"/>
              </w:rPr>
            </w:pPr>
            <w:r>
              <w:rPr>
                <w:rFonts w:ascii="Times New Roman" w:eastAsia="Times New Roman" w:hAnsi="Times New Roman"/>
                <w:lang w:val="sl-SI" w:eastAsia="sl-SI"/>
              </w:rPr>
              <w:t>Padidėjęs kreatinino kiekis kraujyje</w:t>
            </w:r>
          </w:p>
        </w:tc>
        <w:tc>
          <w:tcPr>
            <w:tcW w:w="1795" w:type="pct"/>
            <w:tcBorders>
              <w:bottom w:val="single" w:sz="12" w:space="0" w:color="auto"/>
            </w:tcBorders>
            <w:vAlign w:val="center"/>
          </w:tcPr>
          <w:p w:rsidR="00444C66" w:rsidRDefault="00444C66">
            <w:pPr>
              <w:widowControl w:val="0"/>
              <w:tabs>
                <w:tab w:val="left" w:pos="567"/>
              </w:tabs>
              <w:spacing w:after="0" w:line="240" w:lineRule="auto"/>
              <w:rPr>
                <w:rFonts w:ascii="Times New Roman" w:eastAsia="Times New Roman" w:hAnsi="Times New Roman"/>
                <w:lang w:eastAsia="sl-SI"/>
              </w:rPr>
            </w:pPr>
            <w:r>
              <w:rPr>
                <w:rFonts w:ascii="Times New Roman" w:hAnsi="Times New Roman"/>
              </w:rPr>
              <w:t>Retas</w:t>
            </w:r>
          </w:p>
        </w:tc>
      </w:tr>
    </w:tbl>
    <w:p w:rsidR="00444C66" w:rsidRDefault="00444C66">
      <w:pPr>
        <w:widowControl w:val="0"/>
        <w:tabs>
          <w:tab w:val="left" w:pos="567"/>
        </w:tabs>
        <w:spacing w:after="0" w:line="240" w:lineRule="auto"/>
        <w:rPr>
          <w:rFonts w:ascii="Times New Roman" w:eastAsia="Times New Roman" w:hAnsi="Times New Roman"/>
          <w:lang w:eastAsia="sl-SI"/>
        </w:rPr>
      </w:pPr>
      <w:r>
        <w:rPr>
          <w:rFonts w:ascii="Times New Roman" w:eastAsia="Times New Roman" w:hAnsi="Times New Roman"/>
          <w:lang w:eastAsia="sl-SI"/>
        </w:rPr>
        <w:t>*Po vaistinio preparato pateikimo rinkai gauta pranešimų apie autoimuninio hepatito, kurio latentinis laikotarpis trunka nuo kelių mėnesių iki kelių metų, ir kuris praeina nutraukus olmesartano vartojimą, atvejus.</w:t>
      </w:r>
    </w:p>
    <w:p w:rsidR="00444C66" w:rsidRDefault="00444C66">
      <w:pPr>
        <w:widowControl w:val="0"/>
        <w:tabs>
          <w:tab w:val="left" w:pos="567"/>
        </w:tabs>
        <w:spacing w:after="0" w:line="240" w:lineRule="auto"/>
        <w:rPr>
          <w:rFonts w:ascii="Times New Roman" w:eastAsia="Times New Roman" w:hAnsi="Times New Roman"/>
          <w:lang w:eastAsia="sl-SI"/>
        </w:rPr>
      </w:pPr>
    </w:p>
    <w:p w:rsidR="00444C66" w:rsidRDefault="00444C66">
      <w:pPr>
        <w:widowControl w:val="0"/>
        <w:tabs>
          <w:tab w:val="left" w:pos="567"/>
        </w:tabs>
        <w:spacing w:after="0" w:line="240" w:lineRule="auto"/>
        <w:rPr>
          <w:rFonts w:ascii="Times New Roman" w:hAnsi="Times New Roman"/>
          <w:lang w:val="sl-SI"/>
        </w:rPr>
      </w:pPr>
      <w:r>
        <w:rPr>
          <w:rFonts w:ascii="Times New Roman" w:hAnsi="Times New Roman"/>
          <w:lang w:val="sl-SI"/>
        </w:rPr>
        <w:t>Gauta pranešimų apie pavienius rabdomiolizės atvejus, kai kartu laikinai buvo vartojami angiotenzino II receptorių inhibitoriai.</w:t>
      </w:r>
    </w:p>
    <w:p w:rsidR="00444C66" w:rsidRDefault="00444C66">
      <w:pPr>
        <w:widowControl w:val="0"/>
        <w:tabs>
          <w:tab w:val="left" w:pos="567"/>
        </w:tabs>
        <w:spacing w:after="0" w:line="240" w:lineRule="auto"/>
        <w:rPr>
          <w:rFonts w:ascii="Times New Roman" w:hAnsi="Times New Roman"/>
        </w:rPr>
      </w:pPr>
    </w:p>
    <w:p w:rsidR="00444C66" w:rsidRDefault="00444C66">
      <w:pPr>
        <w:widowControl w:val="0"/>
        <w:spacing w:after="0" w:line="240" w:lineRule="auto"/>
        <w:rPr>
          <w:rFonts w:ascii="Times New Roman" w:hAnsi="Times New Roman"/>
        </w:rPr>
      </w:pPr>
      <w:r>
        <w:rPr>
          <w:rFonts w:ascii="Times New Roman" w:hAnsi="Times New Roman"/>
          <w:u w:val="single"/>
        </w:rPr>
        <w:t>Papildoma informacija apie specialių grupių pacientus</w:t>
      </w:r>
    </w:p>
    <w:p w:rsidR="00444C66" w:rsidRDefault="00444C66">
      <w:pPr>
        <w:widowControl w:val="0"/>
        <w:tabs>
          <w:tab w:val="left" w:pos="567"/>
        </w:tabs>
        <w:spacing w:after="0" w:line="240" w:lineRule="auto"/>
        <w:rPr>
          <w:rFonts w:ascii="Times New Roman" w:hAnsi="Times New Roman"/>
        </w:rPr>
      </w:pPr>
      <w:r>
        <w:rPr>
          <w:rFonts w:ascii="Times New Roman" w:hAnsi="Times New Roman"/>
        </w:rPr>
        <w:t>Senyviems pacientams hipotenzija pasireiškia šiek tiek dažniau (pasireiškia ne retai, o nedažnai).</w:t>
      </w:r>
    </w:p>
    <w:p w:rsidR="00444C66" w:rsidRDefault="00444C66">
      <w:pPr>
        <w:widowControl w:val="0"/>
        <w:tabs>
          <w:tab w:val="left" w:pos="540"/>
          <w:tab w:val="left" w:pos="2127"/>
          <w:tab w:val="left" w:pos="2977"/>
        </w:tabs>
        <w:spacing w:after="0" w:line="240" w:lineRule="auto"/>
        <w:rPr>
          <w:rFonts w:ascii="Times New Roman" w:hAnsi="Times New Roman"/>
        </w:rPr>
      </w:pPr>
    </w:p>
    <w:p w:rsidR="00444C66" w:rsidRDefault="00444C66">
      <w:pPr>
        <w:widowControl w:val="0"/>
        <w:tabs>
          <w:tab w:val="left" w:pos="540"/>
          <w:tab w:val="left" w:pos="2127"/>
          <w:tab w:val="left" w:pos="2977"/>
        </w:tabs>
        <w:spacing w:after="0" w:line="240" w:lineRule="auto"/>
        <w:rPr>
          <w:rFonts w:ascii="Times New Roman" w:eastAsia="Times New Roman" w:hAnsi="Times New Roman"/>
          <w:lang w:eastAsia="sl-SI"/>
        </w:rPr>
      </w:pPr>
      <w:r>
        <w:rPr>
          <w:rFonts w:ascii="Times New Roman" w:eastAsia="Times New Roman" w:hAnsi="Times New Roman"/>
          <w:lang w:eastAsia="sl-SI"/>
        </w:rPr>
        <w:t>Vaikų populiacija</w:t>
      </w:r>
    </w:p>
    <w:p w:rsidR="00444C66" w:rsidRDefault="00444C66">
      <w:pPr>
        <w:widowControl w:val="0"/>
        <w:tabs>
          <w:tab w:val="left" w:pos="540"/>
          <w:tab w:val="left" w:pos="2127"/>
          <w:tab w:val="left" w:pos="2977"/>
        </w:tabs>
        <w:spacing w:after="0" w:line="240" w:lineRule="auto"/>
        <w:rPr>
          <w:rFonts w:ascii="Times New Roman" w:eastAsia="Times New Roman" w:hAnsi="Times New Roman"/>
          <w:lang w:eastAsia="sl-SI"/>
        </w:rPr>
      </w:pPr>
      <w:r>
        <w:rPr>
          <w:rFonts w:ascii="Times New Roman" w:eastAsia="Times New Roman" w:hAnsi="Times New Roman"/>
          <w:lang w:eastAsia="sl-SI"/>
        </w:rPr>
        <w:t>Olmesartano saugumas buvo stebimas 361 1-17 metų amžiaus vaikams ir paaugliams 2 klinikinius tyrimų metus. Nors nepageidaujamų reiškinių pobūdis ir sunkumas yra panašus į suaugusiųjų, vaikų dažnis yra didesnis:</w:t>
      </w:r>
    </w:p>
    <w:p w:rsidR="00444C66" w:rsidRDefault="00444C66">
      <w:pPr>
        <w:widowControl w:val="0"/>
        <w:numPr>
          <w:ilvl w:val="0"/>
          <w:numId w:val="43"/>
        </w:numPr>
        <w:spacing w:after="0" w:line="240" w:lineRule="auto"/>
        <w:ind w:left="567" w:hanging="567"/>
        <w:rPr>
          <w:rFonts w:ascii="Times New Roman" w:eastAsia="Times New Roman" w:hAnsi="Times New Roman"/>
          <w:lang w:eastAsia="sl-SI"/>
        </w:rPr>
      </w:pPr>
      <w:r>
        <w:rPr>
          <w:rFonts w:ascii="Times New Roman" w:eastAsia="Times New Roman" w:hAnsi="Times New Roman"/>
          <w:lang w:eastAsia="sl-SI"/>
        </w:rPr>
        <w:t>Kraujavimas iš nosies yra bendras nepageidaujamas reiškinys vaikams (t. y ≥ 1/100 iki &lt; 1/10), suaugusiems nebuvo pranešta.</w:t>
      </w:r>
    </w:p>
    <w:p w:rsidR="00444C66" w:rsidRDefault="00444C66">
      <w:pPr>
        <w:widowControl w:val="0"/>
        <w:numPr>
          <w:ilvl w:val="0"/>
          <w:numId w:val="43"/>
        </w:numPr>
        <w:spacing w:after="0" w:line="240" w:lineRule="auto"/>
        <w:ind w:left="567" w:hanging="567"/>
        <w:rPr>
          <w:rFonts w:ascii="Times New Roman" w:eastAsia="Times New Roman" w:hAnsi="Times New Roman"/>
          <w:lang w:eastAsia="sl-SI"/>
        </w:rPr>
      </w:pPr>
      <w:r>
        <w:rPr>
          <w:rFonts w:ascii="Times New Roman" w:eastAsia="Times New Roman" w:hAnsi="Times New Roman"/>
          <w:lang w:eastAsia="sl-SI"/>
        </w:rPr>
        <w:t>Per 3 savaites dvigubai aklo tyrimo, gydymo metu galvos svaigimas ir galvos skausmas 6-17 metų amžiaus vaikams aukštos olmesartano dozės grupėje pasireiškė beveik dvigubai.</w:t>
      </w:r>
    </w:p>
    <w:p w:rsidR="00444C66" w:rsidRDefault="00444C66">
      <w:pPr>
        <w:widowControl w:val="0"/>
        <w:tabs>
          <w:tab w:val="left" w:pos="540"/>
          <w:tab w:val="left" w:pos="2127"/>
          <w:tab w:val="left" w:pos="2977"/>
        </w:tabs>
        <w:spacing w:after="0" w:line="240" w:lineRule="auto"/>
        <w:rPr>
          <w:rFonts w:ascii="Times New Roman" w:eastAsia="Times New Roman" w:hAnsi="Times New Roman"/>
          <w:lang w:eastAsia="sl-SI"/>
        </w:rPr>
      </w:pPr>
    </w:p>
    <w:p w:rsidR="00444C66" w:rsidRDefault="00444C66">
      <w:pPr>
        <w:widowControl w:val="0"/>
        <w:tabs>
          <w:tab w:val="left" w:pos="540"/>
          <w:tab w:val="left" w:pos="2127"/>
          <w:tab w:val="left" w:pos="2977"/>
        </w:tabs>
        <w:spacing w:after="0" w:line="240" w:lineRule="auto"/>
        <w:rPr>
          <w:rFonts w:ascii="Times New Roman" w:eastAsia="Times New Roman" w:hAnsi="Times New Roman"/>
          <w:lang w:eastAsia="sl-SI"/>
        </w:rPr>
      </w:pPr>
      <w:r>
        <w:rPr>
          <w:rFonts w:ascii="Times New Roman" w:eastAsia="Times New Roman" w:hAnsi="Times New Roman"/>
          <w:lang w:eastAsia="sl-SI"/>
        </w:rPr>
        <w:t>Bendras olmesartano saugumo profilis vaikų populiacijai reikšmingai nesiskiria nuo saugumo profilio suaugusiems.</w:t>
      </w:r>
    </w:p>
    <w:p w:rsidR="00444C66" w:rsidRDefault="00444C66">
      <w:pPr>
        <w:widowControl w:val="0"/>
        <w:tabs>
          <w:tab w:val="left" w:pos="540"/>
          <w:tab w:val="left" w:pos="2127"/>
          <w:tab w:val="left" w:pos="2977"/>
        </w:tabs>
        <w:spacing w:after="0" w:line="240" w:lineRule="auto"/>
        <w:rPr>
          <w:rFonts w:ascii="Times New Roman" w:eastAsia="Times New Roman" w:hAnsi="Times New Roman"/>
          <w:lang w:eastAsia="sl-SI"/>
        </w:rPr>
      </w:pPr>
    </w:p>
    <w:p w:rsidR="00444C66" w:rsidRDefault="00444C66">
      <w:pPr>
        <w:widowControl w:val="0"/>
        <w:tabs>
          <w:tab w:val="left" w:pos="567"/>
        </w:tabs>
        <w:autoSpaceDE w:val="0"/>
        <w:autoSpaceDN w:val="0"/>
        <w:adjustRightInd w:val="0"/>
        <w:spacing w:after="0" w:line="240" w:lineRule="auto"/>
        <w:rPr>
          <w:rFonts w:ascii="Times New Roman" w:hAnsi="Times New Roman"/>
          <w:u w:val="single"/>
        </w:rPr>
      </w:pPr>
      <w:r>
        <w:rPr>
          <w:rFonts w:ascii="Times New Roman" w:hAnsi="Times New Roman"/>
          <w:u w:val="single"/>
        </w:rPr>
        <w:t>Pranešimas apie įtariamas nepageidaujamas reakcijas</w:t>
      </w:r>
    </w:p>
    <w:p w:rsidR="00444C66" w:rsidRDefault="00444C66">
      <w:pPr>
        <w:widowControl w:val="0"/>
        <w:tabs>
          <w:tab w:val="left" w:pos="567"/>
        </w:tabs>
        <w:autoSpaceDE w:val="0"/>
        <w:autoSpaceDN w:val="0"/>
        <w:adjustRightInd w:val="0"/>
        <w:spacing w:after="0" w:line="240" w:lineRule="auto"/>
        <w:rPr>
          <w:rFonts w:ascii="Times New Roman" w:hAnsi="Times New Roman"/>
        </w:rPr>
      </w:pPr>
      <w:r>
        <w:rPr>
          <w:rFonts w:ascii="Times New Roman" w:hAnsi="Times New Roman"/>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tiesiogiai užpildę pranešimo formą internetu Tarnybos Vaistinių preparatų informacinėje sistemoje https://vapris.vvkt.lt/vvkt-web/public/nrvSpecialist arba užpildę Sveikatos priežiūros ar farmacijos specialisto pranešimo apie įtariamą nepageidaujamą reakciją (ĮNR) formą, kuri skelbiama https://www.vvkt.lt/index.php?1399030386, ir atsiųsti elektroniniu paštu (adresu </w:t>
      </w:r>
      <w:hyperlink r:id="rId8" w:history="1">
        <w:r>
          <w:rPr>
            <w:rStyle w:val="Hipersaitas"/>
            <w:sz w:val="22"/>
            <w:szCs w:val="22"/>
            <w:lang w:val="lt-LT"/>
          </w:rPr>
          <w:t>NepageidaujamaR@vvkt.lt</w:t>
        </w:r>
      </w:hyperlink>
      <w:r>
        <w:rPr>
          <w:rFonts w:ascii="Times New Roman" w:hAnsi="Times New Roman"/>
        </w:rPr>
        <w:t>).</w:t>
      </w:r>
    </w:p>
    <w:p w:rsidR="00444C66" w:rsidRDefault="00444C66">
      <w:pPr>
        <w:widowControl w:val="0"/>
        <w:tabs>
          <w:tab w:val="left" w:pos="567"/>
        </w:tabs>
        <w:spacing w:after="0" w:line="240" w:lineRule="auto"/>
        <w:rPr>
          <w:rFonts w:ascii="Times New Roman" w:hAnsi="Times New Roman"/>
        </w:rPr>
      </w:pPr>
    </w:p>
    <w:p w:rsidR="00444C66" w:rsidRDefault="00444C66">
      <w:pPr>
        <w:widowControl w:val="0"/>
        <w:tabs>
          <w:tab w:val="left" w:pos="567"/>
        </w:tabs>
        <w:spacing w:after="0" w:line="240" w:lineRule="auto"/>
        <w:ind w:left="567" w:hanging="567"/>
        <w:rPr>
          <w:rFonts w:ascii="Times New Roman" w:hAnsi="Times New Roman"/>
        </w:rPr>
      </w:pPr>
      <w:r>
        <w:rPr>
          <w:rFonts w:ascii="Times New Roman" w:hAnsi="Times New Roman"/>
          <w:b/>
        </w:rPr>
        <w:t>4.9</w:t>
      </w:r>
      <w:r>
        <w:rPr>
          <w:rFonts w:ascii="Times New Roman" w:hAnsi="Times New Roman"/>
          <w:b/>
        </w:rPr>
        <w:tab/>
        <w:t>Perdozavimas</w:t>
      </w:r>
    </w:p>
    <w:p w:rsidR="00444C66" w:rsidRDefault="00444C66">
      <w:pPr>
        <w:widowControl w:val="0"/>
        <w:tabs>
          <w:tab w:val="left" w:pos="567"/>
        </w:tabs>
        <w:spacing w:after="0" w:line="240" w:lineRule="auto"/>
        <w:rPr>
          <w:rFonts w:ascii="Times New Roman" w:hAnsi="Times New Roman"/>
        </w:rPr>
      </w:pPr>
    </w:p>
    <w:p w:rsidR="00444C66" w:rsidRDefault="00444C66">
      <w:pPr>
        <w:widowControl w:val="0"/>
        <w:tabs>
          <w:tab w:val="left" w:pos="540"/>
          <w:tab w:val="left" w:pos="2977"/>
        </w:tabs>
        <w:spacing w:after="0" w:line="240" w:lineRule="auto"/>
        <w:rPr>
          <w:rFonts w:ascii="Times New Roman" w:hAnsi="Times New Roman"/>
        </w:rPr>
      </w:pPr>
      <w:r>
        <w:rPr>
          <w:rFonts w:ascii="Times New Roman" w:hAnsi="Times New Roman"/>
        </w:rPr>
        <w:t>Yra tik riboti duomenys apie šio vaistinio preparato perdozavimą žmogui. Didžiausia tikimybė, kad perdozavimo atveju pasireikš hipotenzija. Perdozavimo atveju pacientą reikia atidžiai stebėti ir taikyti simptominį bei palaikomąjį gydymą.</w:t>
      </w:r>
    </w:p>
    <w:p w:rsidR="00444C66" w:rsidRDefault="00444C66">
      <w:pPr>
        <w:widowControl w:val="0"/>
        <w:tabs>
          <w:tab w:val="left" w:pos="540"/>
          <w:tab w:val="left" w:pos="2977"/>
        </w:tabs>
        <w:spacing w:after="0" w:line="240" w:lineRule="auto"/>
        <w:rPr>
          <w:rFonts w:ascii="Times New Roman" w:hAnsi="Times New Roman"/>
        </w:rPr>
      </w:pPr>
    </w:p>
    <w:p w:rsidR="00444C66" w:rsidRDefault="00444C66">
      <w:pPr>
        <w:widowControl w:val="0"/>
        <w:tabs>
          <w:tab w:val="left" w:pos="540"/>
          <w:tab w:val="left" w:pos="2977"/>
        </w:tabs>
        <w:spacing w:after="0" w:line="240" w:lineRule="auto"/>
        <w:rPr>
          <w:rFonts w:ascii="Times New Roman" w:hAnsi="Times New Roman"/>
        </w:rPr>
      </w:pPr>
      <w:r>
        <w:rPr>
          <w:rFonts w:ascii="Times New Roman" w:hAnsi="Times New Roman"/>
        </w:rPr>
        <w:t>Duomenų apie olmesartano šalinimą iš organizmo dializės metu nėra.</w:t>
      </w:r>
    </w:p>
    <w:p w:rsidR="00444C66" w:rsidRDefault="00444C66">
      <w:pPr>
        <w:widowControl w:val="0"/>
        <w:spacing w:after="0" w:line="240" w:lineRule="auto"/>
        <w:rPr>
          <w:rFonts w:ascii="Times New Roman" w:hAnsi="Times New Roman"/>
        </w:rPr>
      </w:pPr>
    </w:p>
    <w:p w:rsidR="00444C66" w:rsidRDefault="00444C66">
      <w:pPr>
        <w:widowControl w:val="0"/>
        <w:tabs>
          <w:tab w:val="left" w:pos="567"/>
        </w:tabs>
        <w:spacing w:after="0" w:line="240" w:lineRule="auto"/>
        <w:rPr>
          <w:rFonts w:ascii="Times New Roman" w:hAnsi="Times New Roman"/>
        </w:rPr>
      </w:pPr>
    </w:p>
    <w:p w:rsidR="00444C66" w:rsidRDefault="00444C66">
      <w:pPr>
        <w:widowControl w:val="0"/>
        <w:spacing w:after="0" w:line="240" w:lineRule="auto"/>
        <w:ind w:left="567" w:hanging="567"/>
        <w:rPr>
          <w:rFonts w:ascii="Times New Roman" w:hAnsi="Times New Roman"/>
          <w:b/>
          <w:caps/>
        </w:rPr>
      </w:pPr>
      <w:r>
        <w:rPr>
          <w:rFonts w:ascii="Times New Roman" w:hAnsi="Times New Roman"/>
          <w:b/>
          <w:caps/>
        </w:rPr>
        <w:t>5.</w:t>
      </w:r>
      <w:r>
        <w:rPr>
          <w:rFonts w:ascii="Times New Roman" w:hAnsi="Times New Roman"/>
          <w:b/>
          <w:caps/>
        </w:rPr>
        <w:tab/>
      </w:r>
      <w:r>
        <w:rPr>
          <w:rFonts w:ascii="Times New Roman" w:hAnsi="Times New Roman"/>
          <w:b/>
        </w:rPr>
        <w:t xml:space="preserve">FARMAKOLOGINĖS </w:t>
      </w:r>
      <w:r>
        <w:rPr>
          <w:rFonts w:ascii="Times New Roman" w:hAnsi="Times New Roman"/>
          <w:b/>
          <w:caps/>
        </w:rPr>
        <w:t>savybės</w:t>
      </w:r>
    </w:p>
    <w:p w:rsidR="00444C66" w:rsidRDefault="00444C66">
      <w:pPr>
        <w:widowControl w:val="0"/>
        <w:spacing w:after="0" w:line="240" w:lineRule="auto"/>
        <w:ind w:left="567" w:hanging="567"/>
        <w:rPr>
          <w:rFonts w:ascii="Times New Roman" w:hAnsi="Times New Roman"/>
        </w:rPr>
      </w:pPr>
    </w:p>
    <w:p w:rsidR="00444C66" w:rsidRDefault="00444C66">
      <w:pPr>
        <w:widowControl w:val="0"/>
        <w:spacing w:after="0" w:line="240" w:lineRule="auto"/>
        <w:ind w:left="567" w:hanging="567"/>
        <w:rPr>
          <w:rFonts w:ascii="Times New Roman" w:hAnsi="Times New Roman"/>
          <w:b/>
        </w:rPr>
      </w:pPr>
      <w:r>
        <w:rPr>
          <w:rFonts w:ascii="Times New Roman" w:hAnsi="Times New Roman"/>
          <w:b/>
        </w:rPr>
        <w:t>5.1</w:t>
      </w:r>
      <w:r>
        <w:rPr>
          <w:rFonts w:ascii="Times New Roman" w:hAnsi="Times New Roman"/>
          <w:b/>
        </w:rPr>
        <w:tab/>
        <w:t>Farmakodinaminės savybės</w:t>
      </w:r>
    </w:p>
    <w:p w:rsidR="00444C66" w:rsidRDefault="00444C66">
      <w:pPr>
        <w:widowControl w:val="0"/>
        <w:spacing w:after="0" w:line="240" w:lineRule="auto"/>
        <w:ind w:left="567" w:hanging="567"/>
        <w:rPr>
          <w:rFonts w:ascii="Times New Roman" w:hAnsi="Times New Roman"/>
        </w:rPr>
      </w:pPr>
    </w:p>
    <w:p w:rsidR="00444C66" w:rsidRDefault="00444C66">
      <w:pPr>
        <w:widowControl w:val="0"/>
        <w:tabs>
          <w:tab w:val="left" w:pos="567"/>
        </w:tabs>
        <w:spacing w:after="0" w:line="240" w:lineRule="auto"/>
        <w:rPr>
          <w:rFonts w:ascii="Times New Roman" w:hAnsi="Times New Roman"/>
        </w:rPr>
      </w:pPr>
      <w:r>
        <w:rPr>
          <w:rFonts w:ascii="Times New Roman" w:hAnsi="Times New Roman"/>
        </w:rPr>
        <w:t>Farmakoterapinė grupė – angiotenzino II receptorių blokatoriai, gryni, ATC kodas – C09CA08.</w:t>
      </w:r>
    </w:p>
    <w:p w:rsidR="00444C66" w:rsidRDefault="00444C66">
      <w:pPr>
        <w:widowControl w:val="0"/>
        <w:tabs>
          <w:tab w:val="left" w:pos="567"/>
        </w:tabs>
        <w:spacing w:after="0" w:line="240" w:lineRule="auto"/>
        <w:rPr>
          <w:rFonts w:ascii="Times New Roman" w:hAnsi="Times New Roman"/>
        </w:rPr>
      </w:pPr>
    </w:p>
    <w:p w:rsidR="00444C66" w:rsidRDefault="00444C66">
      <w:pPr>
        <w:widowControl w:val="0"/>
        <w:tabs>
          <w:tab w:val="left" w:pos="567"/>
        </w:tabs>
        <w:spacing w:after="0" w:line="240" w:lineRule="auto"/>
        <w:rPr>
          <w:rFonts w:ascii="Times New Roman" w:hAnsi="Times New Roman"/>
          <w:u w:val="single"/>
        </w:rPr>
      </w:pPr>
      <w:r>
        <w:rPr>
          <w:rFonts w:ascii="Times New Roman" w:hAnsi="Times New Roman"/>
          <w:u w:val="single"/>
        </w:rPr>
        <w:t>Veikimo mechanizmas / Farmakodinaminis poveikis</w:t>
      </w:r>
    </w:p>
    <w:p w:rsidR="00444C66" w:rsidRDefault="00444C66">
      <w:pPr>
        <w:widowControl w:val="0"/>
        <w:tabs>
          <w:tab w:val="left" w:pos="567"/>
        </w:tabs>
        <w:spacing w:after="0" w:line="240" w:lineRule="auto"/>
        <w:rPr>
          <w:rFonts w:ascii="Times New Roman" w:hAnsi="Times New Roman"/>
        </w:rPr>
      </w:pPr>
      <w:r>
        <w:rPr>
          <w:rFonts w:ascii="Times New Roman" w:hAnsi="Times New Roman"/>
        </w:rPr>
        <w:t>Olmesartano medoksomilis yra stiprus geriamasis selektyvus angiotenzino II receptorių (AT</w:t>
      </w:r>
      <w:r>
        <w:rPr>
          <w:rFonts w:ascii="Times New Roman" w:hAnsi="Times New Roman"/>
          <w:vertAlign w:val="subscript"/>
        </w:rPr>
        <w:t>1</w:t>
      </w:r>
      <w:r>
        <w:rPr>
          <w:rFonts w:ascii="Times New Roman" w:hAnsi="Times New Roman"/>
        </w:rPr>
        <w:t xml:space="preserve"> tipo) blokatorius. Manoma, kad jis blokuoja visą su AT</w:t>
      </w:r>
      <w:r>
        <w:rPr>
          <w:rFonts w:ascii="Times New Roman" w:hAnsi="Times New Roman"/>
          <w:vertAlign w:val="subscript"/>
        </w:rPr>
        <w:t>1</w:t>
      </w:r>
      <w:r>
        <w:rPr>
          <w:rFonts w:ascii="Times New Roman" w:hAnsi="Times New Roman"/>
        </w:rPr>
        <w:t xml:space="preserve"> receptorių sužadinimu susijusį angiotenzino II veikimą, nesvarbu, kokiu būdu ir kur sintezuojamas angiotenzinas II. Dėl selektyvaus antagonizmo angiotenzino II receptoriams (AT</w:t>
      </w:r>
      <w:r>
        <w:rPr>
          <w:rFonts w:ascii="Times New Roman" w:hAnsi="Times New Roman"/>
          <w:vertAlign w:val="subscript"/>
        </w:rPr>
        <w:t>1</w:t>
      </w:r>
      <w:r>
        <w:rPr>
          <w:rFonts w:ascii="Times New Roman" w:hAnsi="Times New Roman"/>
        </w:rPr>
        <w:t>) plazmoje padidėja renino bei angiotenzino I ir II koncentracijos padidėjimą, o aldosterono koncentracijos plazmoje šiek tiek sumažėja.</w:t>
      </w:r>
    </w:p>
    <w:p w:rsidR="00444C66" w:rsidRDefault="00444C66">
      <w:pPr>
        <w:widowControl w:val="0"/>
        <w:tabs>
          <w:tab w:val="left" w:pos="567"/>
        </w:tabs>
        <w:spacing w:after="0" w:line="240" w:lineRule="auto"/>
        <w:rPr>
          <w:rFonts w:ascii="Times New Roman" w:hAnsi="Times New Roman"/>
        </w:rPr>
      </w:pPr>
    </w:p>
    <w:p w:rsidR="00444C66" w:rsidRDefault="00444C66">
      <w:pPr>
        <w:widowControl w:val="0"/>
        <w:tabs>
          <w:tab w:val="left" w:pos="567"/>
        </w:tabs>
        <w:spacing w:after="0" w:line="240" w:lineRule="auto"/>
        <w:rPr>
          <w:rFonts w:ascii="Times New Roman" w:hAnsi="Times New Roman"/>
        </w:rPr>
      </w:pPr>
      <w:r>
        <w:rPr>
          <w:rFonts w:ascii="Times New Roman" w:hAnsi="Times New Roman"/>
        </w:rPr>
        <w:t>Angiotenzinas II yra renino, angiotenzino ir aldosterono sistemos hormonas, pirmiausiai darantis poveikį kraujagyslėms, ir yra labai svarbus hipertenzijos patologinės fiziologijos, susijusios su poveikiu I tipo receptoriams (AT</w:t>
      </w:r>
      <w:r>
        <w:rPr>
          <w:rFonts w:ascii="Times New Roman" w:hAnsi="Times New Roman"/>
          <w:vertAlign w:val="subscript"/>
        </w:rPr>
        <w:t>1</w:t>
      </w:r>
      <w:r>
        <w:rPr>
          <w:rFonts w:ascii="Times New Roman" w:hAnsi="Times New Roman"/>
        </w:rPr>
        <w:t>), veiksnys.</w:t>
      </w:r>
    </w:p>
    <w:p w:rsidR="00444C66" w:rsidRDefault="00444C66">
      <w:pPr>
        <w:widowControl w:val="0"/>
        <w:tabs>
          <w:tab w:val="left" w:pos="567"/>
        </w:tabs>
        <w:spacing w:after="0" w:line="240" w:lineRule="auto"/>
        <w:rPr>
          <w:rFonts w:ascii="Times New Roman" w:hAnsi="Times New Roman"/>
        </w:rPr>
      </w:pPr>
    </w:p>
    <w:p w:rsidR="00444C66" w:rsidRDefault="00444C66">
      <w:pPr>
        <w:widowControl w:val="0"/>
        <w:tabs>
          <w:tab w:val="left" w:pos="567"/>
        </w:tabs>
        <w:spacing w:after="0" w:line="240" w:lineRule="auto"/>
        <w:rPr>
          <w:rFonts w:ascii="Times New Roman" w:hAnsi="Times New Roman"/>
          <w:u w:val="single"/>
        </w:rPr>
      </w:pPr>
      <w:r>
        <w:rPr>
          <w:rFonts w:ascii="Times New Roman" w:hAnsi="Times New Roman"/>
          <w:u w:val="single"/>
        </w:rPr>
        <w:t>Klinikinis veiksmingumas ir saugumas</w:t>
      </w:r>
    </w:p>
    <w:p w:rsidR="00444C66" w:rsidRDefault="00444C66">
      <w:pPr>
        <w:widowControl w:val="0"/>
        <w:tabs>
          <w:tab w:val="left" w:pos="567"/>
        </w:tabs>
        <w:spacing w:after="0" w:line="240" w:lineRule="auto"/>
        <w:rPr>
          <w:rFonts w:ascii="Times New Roman" w:hAnsi="Times New Roman"/>
        </w:rPr>
      </w:pPr>
      <w:r>
        <w:rPr>
          <w:rFonts w:ascii="Times New Roman" w:hAnsi="Times New Roman"/>
        </w:rPr>
        <w:t>Hipertenzijos atveju olmesartano medoksomilis sukelia ilgalaikį nuo dozės priklausomą arterinio kraujospūdžio sumažėjimą. Duomenų, kurie rodytų, kad pirmoji dozė sukelia hipotenziją, dėl ilgalaikio gydymo pasireiškia tachifilaksija arba nutraukus gydymą atoveiksmio hipertenzija, nėra.</w:t>
      </w:r>
    </w:p>
    <w:p w:rsidR="00444C66" w:rsidRDefault="00444C66">
      <w:pPr>
        <w:widowControl w:val="0"/>
        <w:tabs>
          <w:tab w:val="left" w:pos="567"/>
        </w:tabs>
        <w:spacing w:after="0" w:line="240" w:lineRule="auto"/>
        <w:rPr>
          <w:rFonts w:ascii="Times New Roman" w:hAnsi="Times New Roman"/>
        </w:rPr>
      </w:pPr>
    </w:p>
    <w:p w:rsidR="00444C66" w:rsidRDefault="00444C66">
      <w:pPr>
        <w:widowControl w:val="0"/>
        <w:tabs>
          <w:tab w:val="left" w:pos="567"/>
        </w:tabs>
        <w:spacing w:after="0" w:line="240" w:lineRule="auto"/>
        <w:rPr>
          <w:rFonts w:ascii="Times New Roman" w:hAnsi="Times New Roman"/>
        </w:rPr>
      </w:pPr>
      <w:r>
        <w:rPr>
          <w:rFonts w:ascii="Times New Roman" w:hAnsi="Times New Roman"/>
        </w:rPr>
        <w:t>Vartojant olmesartano medoksomilį vieną kartą per parą, palaikomas veiksmingas tolygus kraujospūdžio sumažėjimas ilgiau kaip 24 valandas. Vartojant olmesartano medoksomilį vieną kartą per parą, sukeliamas panašus kraujospūdžio sumažėjimas, kaip ir suvartojant tokią pat dozę padalytą į dvi lygias dalis per du kartus.</w:t>
      </w:r>
    </w:p>
    <w:p w:rsidR="00444C66" w:rsidRDefault="00444C66">
      <w:pPr>
        <w:widowControl w:val="0"/>
        <w:tabs>
          <w:tab w:val="left" w:pos="567"/>
        </w:tabs>
        <w:spacing w:after="0" w:line="240" w:lineRule="auto"/>
        <w:rPr>
          <w:rFonts w:ascii="Times New Roman" w:hAnsi="Times New Roman"/>
        </w:rPr>
      </w:pPr>
    </w:p>
    <w:p w:rsidR="00444C66" w:rsidRDefault="00444C66">
      <w:pPr>
        <w:widowControl w:val="0"/>
        <w:tabs>
          <w:tab w:val="left" w:pos="567"/>
        </w:tabs>
        <w:spacing w:after="0" w:line="240" w:lineRule="auto"/>
        <w:rPr>
          <w:rFonts w:ascii="Times New Roman" w:hAnsi="Times New Roman"/>
        </w:rPr>
      </w:pPr>
      <w:r>
        <w:rPr>
          <w:rFonts w:ascii="Times New Roman" w:hAnsi="Times New Roman"/>
        </w:rPr>
        <w:t>Taikant ilgalaikį gydymą, didžiausias kraujospūdžio sumažėjimas pasiekiamas praėjus 8 savaitėms nuo gydymo pradžios, nors žymus sumažėjimas pasireiškia jau po 2 gydymo savaičių. Vartojant kartu su hidrochlorotiazidu, pasireiškia adityvus kraujospūdį mažinantis poveikis, o gydymas gerai toleruojamas.</w:t>
      </w:r>
    </w:p>
    <w:p w:rsidR="00444C66" w:rsidRDefault="00444C66">
      <w:pPr>
        <w:widowControl w:val="0"/>
        <w:tabs>
          <w:tab w:val="left" w:pos="567"/>
        </w:tabs>
        <w:spacing w:after="0" w:line="240" w:lineRule="auto"/>
        <w:rPr>
          <w:rFonts w:ascii="Times New Roman" w:hAnsi="Times New Roman"/>
        </w:rPr>
      </w:pPr>
    </w:p>
    <w:p w:rsidR="00444C66" w:rsidRDefault="00444C66">
      <w:pPr>
        <w:widowControl w:val="0"/>
        <w:tabs>
          <w:tab w:val="left" w:pos="567"/>
        </w:tabs>
        <w:spacing w:after="0" w:line="240" w:lineRule="auto"/>
        <w:rPr>
          <w:rFonts w:ascii="Times New Roman" w:hAnsi="Times New Roman"/>
        </w:rPr>
      </w:pPr>
      <w:r>
        <w:rPr>
          <w:rFonts w:ascii="Times New Roman" w:hAnsi="Times New Roman"/>
        </w:rPr>
        <w:t>Olmesartano įtaka mirtingumui ir sergamumui iki šiol neištirta.</w:t>
      </w:r>
    </w:p>
    <w:p w:rsidR="00444C66" w:rsidRDefault="00444C66">
      <w:pPr>
        <w:widowControl w:val="0"/>
        <w:tabs>
          <w:tab w:val="left" w:pos="567"/>
        </w:tabs>
        <w:spacing w:after="0" w:line="240" w:lineRule="auto"/>
        <w:rPr>
          <w:rFonts w:ascii="Times New Roman" w:eastAsia="Times New Roman" w:hAnsi="Times New Roman"/>
          <w:lang w:eastAsia="sl-SI"/>
        </w:rPr>
      </w:pPr>
    </w:p>
    <w:p w:rsidR="00444C66" w:rsidRDefault="00444C66">
      <w:pPr>
        <w:widowControl w:val="0"/>
        <w:tabs>
          <w:tab w:val="left" w:pos="567"/>
        </w:tabs>
        <w:spacing w:after="0" w:line="240" w:lineRule="auto"/>
        <w:rPr>
          <w:rFonts w:ascii="Times New Roman" w:eastAsia="MS Mincho" w:hAnsi="Times New Roman"/>
        </w:rPr>
      </w:pPr>
      <w:r>
        <w:rPr>
          <w:rFonts w:ascii="Times New Roman" w:hAnsi="Times New Roman"/>
        </w:rPr>
        <w:t xml:space="preserve">Atsitiktinės atrankos olmesartano ir cukrinio diabeto mikroalbuminurijos profilaktikos klinikiniame </w:t>
      </w:r>
      <w:r>
        <w:rPr>
          <w:rFonts w:ascii="Times New Roman" w:eastAsia="Times New Roman" w:hAnsi="Times New Roman"/>
        </w:rPr>
        <w:t xml:space="preserve">tyrime </w:t>
      </w:r>
      <w:r>
        <w:rPr>
          <w:rFonts w:ascii="Times New Roman" w:eastAsia="MS Mincho" w:hAnsi="Times New Roman"/>
        </w:rPr>
        <w:t>(ROADMAP) dalyvavo 4447 2 tipo cukriniu diabetu sergantys pacientai, kuriems nustatytas normalus albumino kiekis šlapime ir mažiausiai vienas papildomas širdies ir kraujagysliųs sistemos pažeidimų rizikos veiksnys, siekta nustatyti, ar gydymas olmesartanu gali pavėlinti mikroalbuminurijos pasireiškimo pradžios laiką. Stebint pacientus vidutiniškai 3,2 metų, jie vartojo olmesartaną arba placebo kartu su kitais vaistais nuo hipertenzijos, išskyrus AKF inhibitorius arba adrenoreceptorių blokatorius,</w:t>
      </w:r>
    </w:p>
    <w:p w:rsidR="00444C66" w:rsidRDefault="00444C66">
      <w:pPr>
        <w:widowControl w:val="0"/>
        <w:tabs>
          <w:tab w:val="left" w:pos="540"/>
          <w:tab w:val="left" w:pos="2127"/>
          <w:tab w:val="left" w:pos="2977"/>
        </w:tabs>
        <w:spacing w:after="0" w:line="240" w:lineRule="auto"/>
        <w:rPr>
          <w:rFonts w:ascii="Times New Roman" w:eastAsia="MS Mincho" w:hAnsi="Times New Roman"/>
        </w:rPr>
      </w:pPr>
    </w:p>
    <w:p w:rsidR="00444C66" w:rsidRDefault="00444C66">
      <w:pPr>
        <w:widowControl w:val="0"/>
        <w:tabs>
          <w:tab w:val="left" w:pos="540"/>
          <w:tab w:val="left" w:pos="2127"/>
          <w:tab w:val="left" w:pos="2977"/>
        </w:tabs>
        <w:spacing w:after="0" w:line="240" w:lineRule="auto"/>
        <w:rPr>
          <w:rFonts w:ascii="Times New Roman" w:eastAsia="MS Mincho" w:hAnsi="Times New Roman"/>
        </w:rPr>
      </w:pPr>
      <w:r>
        <w:rPr>
          <w:rFonts w:ascii="Times New Roman" w:eastAsia="MS Mincho" w:hAnsi="Times New Roman"/>
        </w:rPr>
        <w:t>Klinikinis tyrimas nustatė, kad, vertinant pagal pirminį vertinamosios baigties kriterijų - mikroalbuminurijos pasireiškimo laiką vartojant olmesartaną, rizika sumažėjo. Po koregavimo pagal kraujospūdžio skirtumus, panaudojant specifinius rodmenis dvigubai koduotam tyrimui, vartojant olmesartano rizikos sumažėjimas nebuvo statistiškai reikšmingas. Mikroalbuminurija išryškėjo 8,2 % pacientų olmesartano grupėje (178 iš 2160) ir 9,8 % pacientų placebo grupėje (210 iš 2139).</w:t>
      </w:r>
    </w:p>
    <w:p w:rsidR="00444C66" w:rsidRDefault="00444C66">
      <w:pPr>
        <w:widowControl w:val="0"/>
        <w:tabs>
          <w:tab w:val="left" w:pos="540"/>
          <w:tab w:val="left" w:pos="2127"/>
          <w:tab w:val="left" w:pos="2977"/>
        </w:tabs>
        <w:spacing w:after="0" w:line="240" w:lineRule="auto"/>
        <w:rPr>
          <w:rFonts w:ascii="Times New Roman" w:eastAsia="MS Mincho" w:hAnsi="Times New Roman"/>
        </w:rPr>
      </w:pPr>
    </w:p>
    <w:p w:rsidR="00444C66" w:rsidRDefault="00444C66">
      <w:pPr>
        <w:widowControl w:val="0"/>
        <w:tabs>
          <w:tab w:val="left" w:pos="540"/>
          <w:tab w:val="left" w:pos="2127"/>
          <w:tab w:val="left" w:pos="2977"/>
        </w:tabs>
        <w:spacing w:after="0" w:line="240" w:lineRule="auto"/>
        <w:rPr>
          <w:rFonts w:ascii="Times New Roman" w:eastAsia="MS Mincho" w:hAnsi="Times New Roman"/>
        </w:rPr>
      </w:pPr>
      <w:r>
        <w:rPr>
          <w:rFonts w:ascii="Times New Roman" w:eastAsia="MS Mincho" w:hAnsi="Times New Roman"/>
        </w:rPr>
        <w:t>Širdies ir kraujagyslių sistemos sutrikimai pasireiškė vartojusiems olmesartaną 96 pacientams (4,3 %) palyginti su 94 pacientais (4,2 %), vartojusiais placebą. Mirtingumas dėl širdies ir kraujagyslių sistemos sutrikimų buvo didesnis olmesartano grupėje, palyginti su placebo grupe (15 pacientų (0,7 %) ir 3 pacientai (0,1 %)), nors mirties nesukėlusio insulto (14 pacientų (0,6 %) ir 8 pacientai (0,4 %)), mirties nesukėlusio miokardo infarkto (17 pacientų (0,8 %) ir 26 pacientai (1,2 %)) bei mirties ne dėl širdies ir kraujagyslių sutrikimų (11 pacientų (0,5 %) ir 12 pacientų (0,5 %)) dažnis buvo panašus. Bendras mirtingumas olmesartano grupėje buvo didesnis (26 pacientai (1,2 %) palyginti su 15 pacientų (0,7 %)); tai labiausiai susiję su didesniu mirtinų širdies ir kraujagyslių sutrikimų skaičiumi.</w:t>
      </w:r>
    </w:p>
    <w:p w:rsidR="00444C66" w:rsidRDefault="00444C66">
      <w:pPr>
        <w:widowControl w:val="0"/>
        <w:spacing w:after="0" w:line="240" w:lineRule="auto"/>
        <w:rPr>
          <w:rFonts w:ascii="Times New Roman" w:eastAsia="MS Mincho" w:hAnsi="Times New Roman"/>
          <w:lang w:eastAsia="ja-JP"/>
        </w:rPr>
      </w:pPr>
    </w:p>
    <w:p w:rsidR="00444C66" w:rsidRDefault="00444C66">
      <w:pPr>
        <w:widowControl w:val="0"/>
        <w:spacing w:after="0" w:line="240" w:lineRule="auto"/>
        <w:rPr>
          <w:rFonts w:ascii="Times New Roman" w:eastAsia="MS Mincho" w:hAnsi="Times New Roman"/>
          <w:lang w:eastAsia="ja-JP"/>
        </w:rPr>
      </w:pPr>
      <w:r>
        <w:rPr>
          <w:rFonts w:ascii="Times New Roman" w:eastAsia="MS Mincho" w:hAnsi="Times New Roman"/>
          <w:lang w:eastAsia="ja-JP"/>
        </w:rPr>
        <w:t>Galutinės stadijos inkstų ligos dažnį sergant cukriniu diabetu mažinantis olmesartano klinikinio tyrimo (ORIENT) metu 577 atsitiktinai atrinktiems japonams ir kinams, sergantiems 2 tipo cukriniu diabetu ir akivaizdžia nefropatija, tirtas olmesartano poveikis inkstų pažeidimo ir širdies-kraujagyslių sistemos sutrikimų baigčiai. Vidutiniškai 3,1 metus trukusio stebėjimo metu pacientai buvo gydomi olmesartanu arba vartojo placebą kartu su kitais antihipertenzinisis vaistais, įskaitant AKF inhibitorius.</w:t>
      </w:r>
    </w:p>
    <w:p w:rsidR="00444C66" w:rsidRDefault="00444C66">
      <w:pPr>
        <w:widowControl w:val="0"/>
        <w:tabs>
          <w:tab w:val="left" w:pos="540"/>
          <w:tab w:val="left" w:pos="2127"/>
          <w:tab w:val="left" w:pos="2977"/>
        </w:tabs>
        <w:spacing w:after="0" w:line="240" w:lineRule="auto"/>
        <w:rPr>
          <w:rFonts w:ascii="Times New Roman" w:eastAsia="MS Mincho" w:hAnsi="Times New Roman"/>
        </w:rPr>
      </w:pPr>
    </w:p>
    <w:p w:rsidR="00444C66" w:rsidRDefault="00444C66">
      <w:pPr>
        <w:widowControl w:val="0"/>
        <w:tabs>
          <w:tab w:val="left" w:pos="540"/>
          <w:tab w:val="left" w:pos="2127"/>
          <w:tab w:val="left" w:pos="2977"/>
        </w:tabs>
        <w:spacing w:after="0" w:line="240" w:lineRule="auto"/>
        <w:rPr>
          <w:rFonts w:ascii="Times New Roman" w:eastAsia="MS Mincho" w:hAnsi="Times New Roman"/>
        </w:rPr>
      </w:pPr>
      <w:r>
        <w:rPr>
          <w:rFonts w:ascii="Times New Roman" w:eastAsia="MS Mincho" w:hAnsi="Times New Roman"/>
        </w:rPr>
        <w:t xml:space="preserve">Pagrindinis sudėtinis vertinamosios baigties kriterijus (laikas iki pirmojo poveikio kreatinino koncentraciją serume padvigubinus, paskutinės stadijos inkstų liga, visos sukeltos mirtys) įvyko 116 pacientų olmesartano grupėje (41,1 %) ir 129 pacientams placebo grupėje (45,4 %) (HR 0,97 (95 % PI 0,75 iki 1,24); p = 0,791). Sudėtinė antrinė širdies ir kraujagyslių baigtis įvyko 40 </w:t>
      </w:r>
      <w:r>
        <w:rPr>
          <w:rFonts w:ascii="Times New Roman" w:eastAsia="MS Mincho" w:hAnsi="Times New Roman"/>
        </w:rPr>
        <w:lastRenderedPageBreak/>
        <w:t>olmesartano gydytų pacientų (14,2 %) ir 53 pacientų, gydytų placebu (18,7 %). Ši sudėtinė baigtis apimė širdies ir kraujagyslių kardiovaskulinę mirtį 10 (3,5 %) pacientų, vartojusių olmesartano ir 3 pacientams (1,1 %), vartojusiems placebą, bendrą mirtingumą - 19 (6,7 %), palyginti su 20 (7,0 %), nemirtiną smegenų insultą - 8 (2,8 %), palyginti su 11 (3,9 %) ir nemirtiną miokardo infarktą - 3 (1,1 %), palyginti su 7 (2,5 %), atitinkamai.</w:t>
      </w:r>
    </w:p>
    <w:p w:rsidR="00444C66" w:rsidRDefault="00444C66">
      <w:pPr>
        <w:widowControl w:val="0"/>
        <w:spacing w:after="0" w:line="240" w:lineRule="auto"/>
        <w:rPr>
          <w:rFonts w:ascii="Times New Roman" w:eastAsia="MS Mincho" w:hAnsi="Times New Roman"/>
          <w:lang w:eastAsia="ja-JP"/>
        </w:rPr>
      </w:pPr>
    </w:p>
    <w:p w:rsidR="00444C66" w:rsidRDefault="00444C66">
      <w:pPr>
        <w:widowControl w:val="0"/>
        <w:tabs>
          <w:tab w:val="left" w:pos="567"/>
        </w:tabs>
        <w:spacing w:after="0" w:line="240" w:lineRule="auto"/>
        <w:rPr>
          <w:rFonts w:ascii="Times New Roman" w:eastAsia="Times New Roman" w:hAnsi="Times New Roman"/>
          <w:u w:val="single"/>
          <w:lang w:eastAsia="sl-SI"/>
        </w:rPr>
      </w:pPr>
      <w:r>
        <w:rPr>
          <w:rFonts w:ascii="Times New Roman" w:eastAsia="Times New Roman" w:hAnsi="Times New Roman"/>
          <w:u w:val="single"/>
          <w:lang w:eastAsia="sl-SI"/>
        </w:rPr>
        <w:t>Kita informacija</w:t>
      </w:r>
    </w:p>
    <w:p w:rsidR="00444C66" w:rsidRDefault="00444C66">
      <w:pPr>
        <w:widowControl w:val="0"/>
        <w:tabs>
          <w:tab w:val="left" w:pos="567"/>
        </w:tabs>
        <w:spacing w:after="0" w:line="240" w:lineRule="auto"/>
        <w:rPr>
          <w:rFonts w:ascii="Times New Roman" w:hAnsi="Times New Roman"/>
        </w:rPr>
      </w:pPr>
      <w:r>
        <w:rPr>
          <w:rFonts w:ascii="Times New Roman" w:hAnsi="Times New Roman"/>
        </w:rPr>
        <w:t>Dviejų didelių, atsitiktinių imčių, kontroliuotų tyrimų (ONTARGET (</w:t>
      </w:r>
      <w:r>
        <w:rPr>
          <w:rFonts w:ascii="Times New Roman" w:hAnsi="Times New Roman"/>
          <w:i/>
        </w:rPr>
        <w:t>ONgoing Telmisartan Alone and in Combination with Ramipril Global Endpoint Trial</w:t>
      </w:r>
      <w:r>
        <w:rPr>
          <w:rFonts w:ascii="Times New Roman" w:hAnsi="Times New Roman"/>
        </w:rPr>
        <w:t>), VA NEPHRON-D (</w:t>
      </w:r>
      <w:r>
        <w:rPr>
          <w:rFonts w:ascii="Times New Roman" w:hAnsi="Times New Roman"/>
          <w:i/>
        </w:rPr>
        <w:t>The Veterans AAffairs Nepropathy in Diabetes</w:t>
      </w:r>
      <w:r>
        <w:rPr>
          <w:rFonts w:ascii="Times New Roman" w:hAnsi="Times New Roman"/>
        </w:rPr>
        <w:t>) metu tirtas kombinuotasis gydymas AKF inhibitoriumi ir angiotenzino II receptorių blokatoriumi.</w:t>
      </w:r>
    </w:p>
    <w:p w:rsidR="00444C66" w:rsidRDefault="00444C66">
      <w:pPr>
        <w:widowControl w:val="0"/>
        <w:tabs>
          <w:tab w:val="left" w:pos="567"/>
        </w:tabs>
        <w:spacing w:after="0" w:line="240" w:lineRule="auto"/>
        <w:rPr>
          <w:rFonts w:ascii="Times New Roman" w:hAnsi="Times New Roman"/>
        </w:rPr>
      </w:pPr>
      <w:r>
        <w:rPr>
          <w:rFonts w:ascii="Times New Roman" w:hAnsi="Times New Roman"/>
        </w:rPr>
        <w:t>ONTARGET tyrime dalyvavo pacientai, sirgę kardiovaskuline ar smegenų kraujagyslių liga arba 2 tipo cukriniu diabetu su įrodyta organų taikinių pažaida. VA NEPHRON-D tyrime dalyvavę pacientai sirgo 2 tipo cukriniu diabetu ir diabetine nefropatija.</w:t>
      </w:r>
    </w:p>
    <w:p w:rsidR="00444C66" w:rsidRDefault="00444C66">
      <w:pPr>
        <w:widowControl w:val="0"/>
        <w:tabs>
          <w:tab w:val="left" w:pos="567"/>
        </w:tabs>
        <w:spacing w:after="0" w:line="240" w:lineRule="auto"/>
        <w:rPr>
          <w:rFonts w:ascii="Times New Roman" w:hAnsi="Times New Roman"/>
        </w:rPr>
      </w:pPr>
      <w:r>
        <w:rPr>
          <w:rFonts w:ascii="Times New Roman" w:hAnsi="Times New Roman"/>
        </w:rPr>
        <w:t>Šių tyrimų metu reikšmingo palankaus poveikio inkstų ir (arba) kardiovaskulinėms baigtims bei mirtingumui negauta, tačiau nustatytas hiperkalemijos, ūminės inkstų pažaidos ir (arba) hipotenzijos rizikos padidėjimas, palyginti su monoterapija. Atsižvelgiant į panašias farmakodinamines savybes, tokie rezultatai yra aktualūs ir kitiems AKF inhibitoriams ir angiotenzino II receptorių blokatoriams.</w:t>
      </w:r>
    </w:p>
    <w:p w:rsidR="00444C66" w:rsidRDefault="00444C66">
      <w:pPr>
        <w:widowControl w:val="0"/>
        <w:tabs>
          <w:tab w:val="left" w:pos="567"/>
        </w:tabs>
        <w:spacing w:after="0" w:line="240" w:lineRule="auto"/>
        <w:rPr>
          <w:rFonts w:ascii="Times New Roman" w:hAnsi="Times New Roman"/>
        </w:rPr>
      </w:pPr>
      <w:r>
        <w:rPr>
          <w:rFonts w:ascii="Times New Roman" w:hAnsi="Times New Roman"/>
        </w:rPr>
        <w:t>Dėl šios priežasties pacientams, kuriems yra diabetinė nefropatija, AKF inhibitorių ir angiotenzino II receptorių blokatorių kartu vartoti nerekomenduojama.</w:t>
      </w:r>
    </w:p>
    <w:p w:rsidR="00444C66" w:rsidRDefault="00444C66">
      <w:pPr>
        <w:widowControl w:val="0"/>
        <w:tabs>
          <w:tab w:val="left" w:pos="567"/>
        </w:tabs>
        <w:spacing w:after="0" w:line="240" w:lineRule="auto"/>
        <w:rPr>
          <w:rFonts w:ascii="Times New Roman" w:hAnsi="Times New Roman"/>
        </w:rPr>
      </w:pPr>
      <w:r>
        <w:rPr>
          <w:rFonts w:ascii="Times New Roman" w:hAnsi="Times New Roman"/>
        </w:rPr>
        <w:t>ALTITUDE (</w:t>
      </w:r>
      <w:r>
        <w:rPr>
          <w:rFonts w:ascii="Times New Roman" w:hAnsi="Times New Roman"/>
          <w:i/>
        </w:rPr>
        <w:t>AliskirenTrial in Type 2 Diabetes Using Cardiovascular and Renal Disease Endpoints</w:t>
      </w:r>
      <w:r>
        <w:rPr>
          <w:rFonts w:ascii="Times New Roman" w:hAnsi="Times New Roman"/>
        </w:rPr>
        <w:t>) tyrimo metu buvo analizuojamas palankus standartinio gydymo AKF inhibitoriumi ar angiotenzino II receptorių blokatoriumi papildymo aliskirenu poveikis pacientams, kurie serga 2tipo cukriniu diabetu ir lėtine inkstų liga ar kardiovaskuline liga ar abiem. Tyrimas buvo anksti nutrauktas, kadangi nustatyta padidėjusi nepageidaujamų baigčių rizika. Ir kardiovaskulinė mirtis, ir insultas, vertinant pacientų skaičių, dažniau pasireiškė aliskireno vartojusiųjų grupėje, palyginti su vartojusiais placebo, be to, apie nepageidaujamus reiškinius bei sunkius nepageidaujamus reiškinius, į kuriuos ypač buvo kreipiamas dėmesys (hiperkalemija, hipotenzija ir inkstų funkcijos sutrikimas), dažniau pranešta aliskireno vartojusiųjų grupėje, palyginti su vartojusiais placebo.</w:t>
      </w:r>
    </w:p>
    <w:p w:rsidR="00444C66" w:rsidRDefault="00444C66">
      <w:pPr>
        <w:widowControl w:val="0"/>
        <w:tabs>
          <w:tab w:val="left" w:pos="567"/>
        </w:tabs>
        <w:spacing w:after="0" w:line="240" w:lineRule="auto"/>
        <w:rPr>
          <w:rFonts w:ascii="Times New Roman" w:hAnsi="Times New Roman"/>
        </w:rPr>
      </w:pPr>
    </w:p>
    <w:p w:rsidR="00444C66" w:rsidRDefault="00444C66">
      <w:pPr>
        <w:widowControl w:val="0"/>
        <w:tabs>
          <w:tab w:val="left" w:pos="567"/>
        </w:tabs>
        <w:spacing w:after="0" w:line="240" w:lineRule="auto"/>
        <w:rPr>
          <w:rFonts w:ascii="Times New Roman" w:eastAsia="Verdana" w:hAnsi="Times New Roman"/>
          <w:snapToGrid w:val="0"/>
          <w:lang w:eastAsia="en-GB"/>
        </w:rPr>
      </w:pPr>
      <w:r>
        <w:rPr>
          <w:rFonts w:ascii="Times New Roman" w:eastAsia="Verdana" w:hAnsi="Times New Roman"/>
          <w:snapToGrid w:val="0"/>
          <w:lang w:eastAsia="en-GB"/>
        </w:rPr>
        <w:t>Vaikų populiacija</w:t>
      </w:r>
    </w:p>
    <w:p w:rsidR="00444C66" w:rsidRDefault="00444C66">
      <w:pPr>
        <w:widowControl w:val="0"/>
        <w:tabs>
          <w:tab w:val="left" w:pos="567"/>
        </w:tabs>
        <w:spacing w:after="0" w:line="240" w:lineRule="auto"/>
        <w:rPr>
          <w:rFonts w:ascii="Times New Roman" w:eastAsia="Verdana" w:hAnsi="Times New Roman"/>
          <w:snapToGrid w:val="0"/>
          <w:lang w:eastAsia="en-GB"/>
        </w:rPr>
      </w:pPr>
      <w:r>
        <w:rPr>
          <w:rFonts w:ascii="Times New Roman" w:eastAsia="Verdana" w:hAnsi="Times New Roman"/>
          <w:snapToGrid w:val="0"/>
          <w:lang w:eastAsia="en-GB"/>
        </w:rPr>
        <w:t>Antihipertenzinis olmesartano medoksomilio poveikis vaikų populiacijai buvo įvertintas atsitiktinių imčių, dvigubai aklo, placebu kontroliuojamo tyrimo metu 302 hipertenzija sergantiems nuo 6 iki 17 metų amžiaus pacientams. Tyrimas gyventojų sudarė "viskas juoda kohortos 112 pacientų ir mišrios rasės kohortos 190 pacientų, įskaitant 38 juodi. Iš hipertenzija etiologijos daugiausia buvo hipertenzija (87</w:t>
      </w:r>
      <w:r>
        <w:rPr>
          <w:rFonts w:ascii="Times New Roman" w:eastAsia="MS Mincho" w:hAnsi="Times New Roman"/>
        </w:rPr>
        <w:t> </w:t>
      </w:r>
      <w:r>
        <w:rPr>
          <w:rFonts w:ascii="Times New Roman" w:eastAsia="Verdana" w:hAnsi="Times New Roman"/>
          <w:snapToGrid w:val="0"/>
          <w:lang w:eastAsia="en-GB"/>
        </w:rPr>
        <w:t>% iš juodos spalvos kohortos ir 67</w:t>
      </w:r>
      <w:r>
        <w:rPr>
          <w:rFonts w:ascii="Times New Roman" w:eastAsia="MS Mincho" w:hAnsi="Times New Roman"/>
        </w:rPr>
        <w:t> </w:t>
      </w:r>
      <w:r>
        <w:rPr>
          <w:rFonts w:ascii="Times New Roman" w:eastAsia="Verdana" w:hAnsi="Times New Roman"/>
          <w:snapToGrid w:val="0"/>
          <w:lang w:eastAsia="en-GB"/>
        </w:rPr>
        <w:t>% mišraus grupė). Pacientai, kuriems pasverti nuo 20 iki &lt;</w:t>
      </w:r>
      <w:r>
        <w:rPr>
          <w:rFonts w:ascii="Times New Roman" w:eastAsia="MS Mincho" w:hAnsi="Times New Roman"/>
        </w:rPr>
        <w:t> </w:t>
      </w:r>
      <w:r>
        <w:rPr>
          <w:rFonts w:ascii="Times New Roman" w:eastAsia="Verdana" w:hAnsi="Times New Roman"/>
          <w:snapToGrid w:val="0"/>
          <w:lang w:eastAsia="en-GB"/>
        </w:rPr>
        <w:t>35</w:t>
      </w:r>
      <w:r>
        <w:rPr>
          <w:rFonts w:ascii="Times New Roman" w:eastAsia="MS Mincho" w:hAnsi="Times New Roman"/>
        </w:rPr>
        <w:t> </w:t>
      </w:r>
      <w:r>
        <w:rPr>
          <w:rFonts w:ascii="Times New Roman" w:eastAsia="Verdana" w:hAnsi="Times New Roman"/>
          <w:snapToGrid w:val="0"/>
          <w:lang w:eastAsia="en-GB"/>
        </w:rPr>
        <w:t>kg, buvo randomizuoti į 2,5</w:t>
      </w:r>
      <w:r>
        <w:rPr>
          <w:rFonts w:ascii="Times New Roman" w:eastAsia="MS Mincho" w:hAnsi="Times New Roman"/>
        </w:rPr>
        <w:t> </w:t>
      </w:r>
      <w:r>
        <w:rPr>
          <w:rFonts w:ascii="Times New Roman" w:eastAsia="Verdana" w:hAnsi="Times New Roman"/>
          <w:snapToGrid w:val="0"/>
          <w:lang w:eastAsia="en-GB"/>
        </w:rPr>
        <w:t>mg (mažos dozės) arba 20</w:t>
      </w:r>
      <w:r>
        <w:rPr>
          <w:rFonts w:ascii="Times New Roman" w:eastAsia="MS Mincho" w:hAnsi="Times New Roman"/>
        </w:rPr>
        <w:t> </w:t>
      </w:r>
      <w:r>
        <w:rPr>
          <w:rFonts w:ascii="Times New Roman" w:eastAsia="Verdana" w:hAnsi="Times New Roman"/>
          <w:snapToGrid w:val="0"/>
          <w:lang w:eastAsia="en-GB"/>
        </w:rPr>
        <w:t>mg (didžiausios dozės) olmesartano medoksomilis vieną kartą per parą, o pacientai, kuriems pasverti ≥</w:t>
      </w:r>
      <w:r>
        <w:rPr>
          <w:rFonts w:ascii="Times New Roman" w:eastAsia="MS Mincho" w:hAnsi="Times New Roman"/>
        </w:rPr>
        <w:t> </w:t>
      </w:r>
      <w:r>
        <w:rPr>
          <w:rFonts w:ascii="Times New Roman" w:eastAsia="Verdana" w:hAnsi="Times New Roman"/>
          <w:snapToGrid w:val="0"/>
          <w:lang w:eastAsia="en-GB"/>
        </w:rPr>
        <w:t>35</w:t>
      </w:r>
      <w:r>
        <w:rPr>
          <w:rFonts w:ascii="Times New Roman" w:eastAsia="MS Mincho" w:hAnsi="Times New Roman"/>
        </w:rPr>
        <w:t> </w:t>
      </w:r>
      <w:r>
        <w:rPr>
          <w:rFonts w:ascii="Times New Roman" w:eastAsia="Verdana" w:hAnsi="Times New Roman"/>
          <w:snapToGrid w:val="0"/>
          <w:lang w:eastAsia="en-GB"/>
        </w:rPr>
        <w:t>kg, buvo randomizuoti iki 5</w:t>
      </w:r>
      <w:r>
        <w:rPr>
          <w:rFonts w:ascii="Times New Roman" w:eastAsia="MS Mincho" w:hAnsi="Times New Roman"/>
        </w:rPr>
        <w:t> </w:t>
      </w:r>
      <w:r>
        <w:rPr>
          <w:rFonts w:ascii="Times New Roman" w:eastAsia="Verdana" w:hAnsi="Times New Roman"/>
          <w:snapToGrid w:val="0"/>
          <w:lang w:eastAsia="en-GB"/>
        </w:rPr>
        <w:t>mg (mažos dozės) arba 40</w:t>
      </w:r>
      <w:r>
        <w:rPr>
          <w:rFonts w:ascii="Times New Roman" w:eastAsia="MS Mincho" w:hAnsi="Times New Roman"/>
        </w:rPr>
        <w:t> </w:t>
      </w:r>
      <w:r>
        <w:rPr>
          <w:rFonts w:ascii="Times New Roman" w:eastAsia="Verdana" w:hAnsi="Times New Roman"/>
          <w:snapToGrid w:val="0"/>
          <w:lang w:eastAsia="en-GB"/>
        </w:rPr>
        <w:t>mg (didelės vieną kartą per parą dozė) olmesartano medoksomilio. Olmesartano medoksomilio žymiai sumažino tiek sistolinį ir diastolinį kraujospūdį svorio pakoreguotas priklausomai nuo dozės. Olmesartano medoksomilis ne tiek mažos ir didelės dozės žymiai sumažino sistolinį kraujo spaudimą 6,6 ir 11,9</w:t>
      </w:r>
      <w:r>
        <w:rPr>
          <w:rFonts w:ascii="Times New Roman" w:eastAsia="MS Mincho" w:hAnsi="Times New Roman"/>
        </w:rPr>
        <w:t> </w:t>
      </w:r>
      <w:r>
        <w:rPr>
          <w:rFonts w:ascii="Times New Roman" w:eastAsia="Verdana" w:hAnsi="Times New Roman"/>
          <w:snapToGrid w:val="0"/>
          <w:lang w:eastAsia="en-GB"/>
        </w:rPr>
        <w:t>mmHg nuo bazinės linijos, atitinkamai. Šis poveikis taip pat buvo pastebėta per 2 savaites randomizuotų pasitraukimas etape, pagal kurią tiek vidutinio sistolinio ir diastolinio kraujo spaudimo statistiškai reikšmingai rikošetas placebo grupėje parodė, palyginti su olmesartano medoksomilio grupei. Gydymas buvo veiksmingas tiek vaikams, sergantiems pirmine ir antrine hipertenzija. Kaip pastebėjo tarp suaugusiųjų, kraujospūdžio sumažėjimas buvo mažesnis juodaodžiams būna.</w:t>
      </w:r>
    </w:p>
    <w:p w:rsidR="00444C66" w:rsidRDefault="00444C66">
      <w:pPr>
        <w:widowControl w:val="0"/>
        <w:tabs>
          <w:tab w:val="left" w:pos="567"/>
        </w:tabs>
        <w:spacing w:after="0" w:line="240" w:lineRule="auto"/>
        <w:rPr>
          <w:rFonts w:ascii="Times New Roman" w:eastAsia="Verdana" w:hAnsi="Times New Roman"/>
          <w:snapToGrid w:val="0"/>
          <w:lang w:eastAsia="en-GB"/>
        </w:rPr>
      </w:pPr>
    </w:p>
    <w:p w:rsidR="00444C66" w:rsidRDefault="00444C66">
      <w:pPr>
        <w:widowControl w:val="0"/>
        <w:tabs>
          <w:tab w:val="left" w:pos="567"/>
        </w:tabs>
        <w:spacing w:after="0" w:line="240" w:lineRule="auto"/>
        <w:rPr>
          <w:rFonts w:ascii="Times New Roman" w:eastAsia="Verdana" w:hAnsi="Times New Roman"/>
          <w:snapToGrid w:val="0"/>
          <w:lang w:eastAsia="en-GB"/>
        </w:rPr>
      </w:pPr>
      <w:r>
        <w:rPr>
          <w:rFonts w:ascii="Times New Roman" w:eastAsia="Verdana" w:hAnsi="Times New Roman"/>
          <w:snapToGrid w:val="0"/>
          <w:lang w:eastAsia="en-GB"/>
        </w:rPr>
        <w:t>To paties tyrimo, brandinamas 59 pacientai nuo 1 iki 5 metų, kuris pasverti ≥</w:t>
      </w:r>
      <w:r>
        <w:rPr>
          <w:rFonts w:ascii="Times New Roman" w:eastAsia="MS Mincho" w:hAnsi="Times New Roman"/>
        </w:rPr>
        <w:t> </w:t>
      </w:r>
      <w:r>
        <w:rPr>
          <w:rFonts w:ascii="Times New Roman" w:eastAsia="Verdana" w:hAnsi="Times New Roman"/>
          <w:snapToGrid w:val="0"/>
          <w:lang w:eastAsia="en-GB"/>
        </w:rPr>
        <w:t>5</w:t>
      </w:r>
      <w:r>
        <w:rPr>
          <w:rFonts w:ascii="Times New Roman" w:eastAsia="MS Mincho" w:hAnsi="Times New Roman"/>
        </w:rPr>
        <w:t> </w:t>
      </w:r>
      <w:r>
        <w:rPr>
          <w:rFonts w:ascii="Times New Roman" w:eastAsia="Verdana" w:hAnsi="Times New Roman"/>
          <w:snapToGrid w:val="0"/>
          <w:lang w:eastAsia="en-GB"/>
        </w:rPr>
        <w:t>kg, gavo 0,3</w:t>
      </w:r>
      <w:r>
        <w:rPr>
          <w:rFonts w:ascii="Times New Roman" w:eastAsia="MS Mincho" w:hAnsi="Times New Roman"/>
        </w:rPr>
        <w:t> </w:t>
      </w:r>
      <w:r>
        <w:rPr>
          <w:rFonts w:ascii="Times New Roman" w:eastAsia="Verdana" w:hAnsi="Times New Roman"/>
          <w:snapToGrid w:val="0"/>
          <w:lang w:eastAsia="en-GB"/>
        </w:rPr>
        <w:t>mg/kg olmesartano medoksomilis vieną kartą per parą tris savaites dalyvavo atvirame etape ir tada atsitiktiniu būdu buvo suskirstyti gauti olmesartano medoksomilį arba placebą dvigubai aklu etapas. Ties antrą savaitę atsisakyti pabaigoje, vidutinis sistolinis / diastolinis kraujospūdis ne lovio buvo 3/3</w:t>
      </w:r>
      <w:r>
        <w:rPr>
          <w:rFonts w:ascii="Times New Roman" w:eastAsia="MS Mincho" w:hAnsi="Times New Roman"/>
        </w:rPr>
        <w:t> </w:t>
      </w:r>
      <w:r>
        <w:rPr>
          <w:rFonts w:ascii="Times New Roman" w:eastAsia="Verdana" w:hAnsi="Times New Roman"/>
          <w:snapToGrid w:val="0"/>
          <w:lang w:eastAsia="en-GB"/>
        </w:rPr>
        <w:t>mmHg mažesnis grupė atsitiktiniu būdu olmesartano medoksomilis; šis skirtumas kraujospūdžio nebuvo statistiškai reikšmingas (95</w:t>
      </w:r>
      <w:r>
        <w:rPr>
          <w:rFonts w:ascii="Times New Roman" w:eastAsia="MS Mincho" w:hAnsi="Times New Roman"/>
        </w:rPr>
        <w:t> </w:t>
      </w:r>
      <w:r>
        <w:rPr>
          <w:rFonts w:ascii="Times New Roman" w:eastAsia="Verdana" w:hAnsi="Times New Roman"/>
          <w:snapToGrid w:val="0"/>
          <w:lang w:eastAsia="en-GB"/>
        </w:rPr>
        <w:t>% BP -2 7 / -1 iki 7).</w:t>
      </w:r>
    </w:p>
    <w:p w:rsidR="00444C66" w:rsidRDefault="00444C66">
      <w:pPr>
        <w:widowControl w:val="0"/>
        <w:tabs>
          <w:tab w:val="left" w:pos="567"/>
        </w:tabs>
        <w:spacing w:after="0" w:line="240" w:lineRule="auto"/>
        <w:ind w:left="567" w:hanging="567"/>
        <w:rPr>
          <w:rFonts w:ascii="Times New Roman" w:eastAsia="Times New Roman" w:hAnsi="Times New Roman"/>
          <w:b/>
          <w:lang w:eastAsia="sl-SI"/>
        </w:rPr>
      </w:pPr>
    </w:p>
    <w:p w:rsidR="00444C66" w:rsidRDefault="00444C66">
      <w:pPr>
        <w:widowControl w:val="0"/>
        <w:tabs>
          <w:tab w:val="left" w:pos="567"/>
        </w:tabs>
        <w:spacing w:after="0" w:line="240" w:lineRule="auto"/>
        <w:ind w:left="567" w:hanging="567"/>
        <w:rPr>
          <w:rFonts w:ascii="Times New Roman" w:hAnsi="Times New Roman"/>
          <w:b/>
        </w:rPr>
      </w:pPr>
      <w:r>
        <w:rPr>
          <w:rFonts w:ascii="Times New Roman" w:hAnsi="Times New Roman"/>
          <w:b/>
        </w:rPr>
        <w:t>5.2</w:t>
      </w:r>
      <w:r>
        <w:rPr>
          <w:rFonts w:ascii="Times New Roman" w:hAnsi="Times New Roman"/>
          <w:b/>
        </w:rPr>
        <w:tab/>
        <w:t>Farmakokinetinės savybės</w:t>
      </w:r>
    </w:p>
    <w:p w:rsidR="00444C66" w:rsidRDefault="00444C66">
      <w:pPr>
        <w:widowControl w:val="0"/>
        <w:tabs>
          <w:tab w:val="left" w:pos="567"/>
        </w:tabs>
        <w:spacing w:after="0" w:line="240" w:lineRule="auto"/>
        <w:rPr>
          <w:rFonts w:ascii="Times New Roman" w:hAnsi="Times New Roman"/>
        </w:rPr>
      </w:pPr>
    </w:p>
    <w:p w:rsidR="00444C66" w:rsidRDefault="00444C66">
      <w:pPr>
        <w:widowControl w:val="0"/>
        <w:tabs>
          <w:tab w:val="left" w:pos="567"/>
        </w:tabs>
        <w:spacing w:after="0" w:line="240" w:lineRule="auto"/>
        <w:rPr>
          <w:rFonts w:ascii="Times New Roman" w:hAnsi="Times New Roman"/>
          <w:u w:val="single"/>
        </w:rPr>
      </w:pPr>
      <w:r>
        <w:rPr>
          <w:rFonts w:ascii="Times New Roman" w:hAnsi="Times New Roman"/>
          <w:u w:val="single"/>
        </w:rPr>
        <w:t>Absorbcija ir pasiskirstymas</w:t>
      </w:r>
    </w:p>
    <w:p w:rsidR="00444C66" w:rsidRDefault="00444C66">
      <w:pPr>
        <w:widowControl w:val="0"/>
        <w:tabs>
          <w:tab w:val="left" w:pos="567"/>
        </w:tabs>
        <w:spacing w:after="0" w:line="240" w:lineRule="auto"/>
        <w:rPr>
          <w:rFonts w:ascii="Times New Roman" w:hAnsi="Times New Roman"/>
        </w:rPr>
      </w:pPr>
      <w:r>
        <w:rPr>
          <w:rFonts w:ascii="Times New Roman" w:hAnsi="Times New Roman"/>
        </w:rPr>
        <w:t>Olmesartano medoksomilis yra veikliosios medžiagos pirmtakas. Absorbcijos iš virškinimo trakto metu, veikiant žarnų gleivinės ir vartų venos kraujo esterazėms, jis greitai konvertuojamas į farmakologiškai aktyvų metabolitą olmesartaną.</w:t>
      </w:r>
    </w:p>
    <w:p w:rsidR="00444C66" w:rsidRDefault="00444C66">
      <w:pPr>
        <w:widowControl w:val="0"/>
        <w:tabs>
          <w:tab w:val="left" w:pos="567"/>
        </w:tabs>
        <w:spacing w:after="0" w:line="240" w:lineRule="auto"/>
        <w:rPr>
          <w:rFonts w:ascii="Times New Roman" w:hAnsi="Times New Roman"/>
        </w:rPr>
      </w:pPr>
    </w:p>
    <w:p w:rsidR="00444C66" w:rsidRDefault="00444C66">
      <w:pPr>
        <w:widowControl w:val="0"/>
        <w:tabs>
          <w:tab w:val="left" w:pos="567"/>
        </w:tabs>
        <w:spacing w:after="0" w:line="240" w:lineRule="auto"/>
        <w:rPr>
          <w:rFonts w:ascii="Times New Roman" w:hAnsi="Times New Roman"/>
        </w:rPr>
      </w:pPr>
      <w:r>
        <w:rPr>
          <w:rFonts w:ascii="Times New Roman" w:hAnsi="Times New Roman"/>
        </w:rPr>
        <w:t>Nepakitusio olmesartano medoksomilio ar nepakitusios šoninės grandinės medoksomilio plazmoje ar organizmo išskyrose nerandama. Geriamųjų tablečių pavidalu vartojamo olmesartano vidutinis biologinis prieinamumas yra 25,6</w:t>
      </w:r>
      <w:r>
        <w:rPr>
          <w:rFonts w:ascii="Times New Roman" w:eastAsia="MS Mincho" w:hAnsi="Times New Roman"/>
        </w:rPr>
        <w:t> </w:t>
      </w:r>
      <w:r>
        <w:rPr>
          <w:rFonts w:ascii="Times New Roman" w:hAnsi="Times New Roman"/>
        </w:rPr>
        <w:t>%.</w:t>
      </w:r>
    </w:p>
    <w:p w:rsidR="00444C66" w:rsidRDefault="00444C66">
      <w:pPr>
        <w:widowControl w:val="0"/>
        <w:tabs>
          <w:tab w:val="left" w:pos="567"/>
        </w:tabs>
        <w:spacing w:after="0" w:line="240" w:lineRule="auto"/>
        <w:rPr>
          <w:rFonts w:ascii="Times New Roman" w:hAnsi="Times New Roman"/>
        </w:rPr>
      </w:pPr>
    </w:p>
    <w:p w:rsidR="00444C66" w:rsidRDefault="00444C66">
      <w:pPr>
        <w:widowControl w:val="0"/>
        <w:tabs>
          <w:tab w:val="left" w:pos="567"/>
        </w:tabs>
        <w:spacing w:after="0" w:line="240" w:lineRule="auto"/>
        <w:rPr>
          <w:rFonts w:ascii="Times New Roman" w:hAnsi="Times New Roman"/>
        </w:rPr>
      </w:pPr>
      <w:r>
        <w:rPr>
          <w:rFonts w:ascii="Times New Roman" w:hAnsi="Times New Roman"/>
        </w:rPr>
        <w:t>Vidutinė didžiausia olmesartano koncentracija plazmoje (C</w:t>
      </w:r>
      <w:r>
        <w:rPr>
          <w:rFonts w:ascii="Times New Roman" w:hAnsi="Times New Roman"/>
          <w:vertAlign w:val="subscript"/>
        </w:rPr>
        <w:t>max</w:t>
      </w:r>
      <w:r>
        <w:rPr>
          <w:rFonts w:ascii="Times New Roman" w:hAnsi="Times New Roman"/>
        </w:rPr>
        <w:t>), pasiekiama maždaug per 2</w:t>
      </w:r>
      <w:r>
        <w:rPr>
          <w:rFonts w:ascii="Times New Roman" w:eastAsia="MS Mincho" w:hAnsi="Times New Roman"/>
        </w:rPr>
        <w:t> </w:t>
      </w:r>
      <w:r>
        <w:rPr>
          <w:rFonts w:ascii="Times New Roman" w:hAnsi="Times New Roman"/>
        </w:rPr>
        <w:t>val. po olmesartano medoksomilio išgėrimo. Didinant vieną kartą per parą vartojamas dozes iki maždaug iki 80 mg, olmesartano koncentracija plazmoje didėja maždaug linijiniu būdu.</w:t>
      </w:r>
    </w:p>
    <w:p w:rsidR="00444C66" w:rsidRDefault="00444C66">
      <w:pPr>
        <w:widowControl w:val="0"/>
        <w:tabs>
          <w:tab w:val="left" w:pos="567"/>
        </w:tabs>
        <w:spacing w:after="0" w:line="240" w:lineRule="auto"/>
        <w:rPr>
          <w:rFonts w:ascii="Times New Roman" w:hAnsi="Times New Roman"/>
        </w:rPr>
      </w:pPr>
    </w:p>
    <w:p w:rsidR="00444C66" w:rsidRDefault="00444C66">
      <w:pPr>
        <w:widowControl w:val="0"/>
        <w:tabs>
          <w:tab w:val="left" w:pos="567"/>
        </w:tabs>
        <w:spacing w:after="0" w:line="240" w:lineRule="auto"/>
        <w:rPr>
          <w:rFonts w:ascii="Times New Roman" w:hAnsi="Times New Roman"/>
        </w:rPr>
      </w:pPr>
      <w:r>
        <w:rPr>
          <w:rFonts w:ascii="Times New Roman" w:hAnsi="Times New Roman"/>
        </w:rPr>
        <w:t>Maisto įtaka olmesartano biologiniam prieinamumui yra minimali, todėl olmesartano medoksomilį galima vartoti valgant arba be maisto.</w:t>
      </w:r>
    </w:p>
    <w:p w:rsidR="00444C66" w:rsidRDefault="00444C66">
      <w:pPr>
        <w:widowControl w:val="0"/>
        <w:tabs>
          <w:tab w:val="left" w:pos="567"/>
        </w:tabs>
        <w:spacing w:after="0" w:line="240" w:lineRule="auto"/>
        <w:rPr>
          <w:rFonts w:ascii="Times New Roman" w:hAnsi="Times New Roman"/>
        </w:rPr>
      </w:pPr>
    </w:p>
    <w:p w:rsidR="00444C66" w:rsidRDefault="00444C66">
      <w:pPr>
        <w:widowControl w:val="0"/>
        <w:tabs>
          <w:tab w:val="left" w:pos="567"/>
        </w:tabs>
        <w:spacing w:after="0" w:line="240" w:lineRule="auto"/>
        <w:rPr>
          <w:rFonts w:ascii="Times New Roman" w:hAnsi="Times New Roman"/>
        </w:rPr>
      </w:pPr>
      <w:r>
        <w:rPr>
          <w:rFonts w:ascii="Times New Roman" w:hAnsi="Times New Roman"/>
        </w:rPr>
        <w:t>Kliniškai reikšmingų olmesartano farmakokinetikos skirtumų tarp lyčių nepastebėta.</w:t>
      </w:r>
    </w:p>
    <w:p w:rsidR="00444C66" w:rsidRDefault="00444C66">
      <w:pPr>
        <w:widowControl w:val="0"/>
        <w:tabs>
          <w:tab w:val="left" w:pos="567"/>
        </w:tabs>
        <w:spacing w:after="0" w:line="240" w:lineRule="auto"/>
        <w:rPr>
          <w:rFonts w:ascii="Times New Roman" w:hAnsi="Times New Roman"/>
        </w:rPr>
      </w:pPr>
    </w:p>
    <w:p w:rsidR="00444C66" w:rsidRDefault="00444C66">
      <w:pPr>
        <w:widowControl w:val="0"/>
        <w:tabs>
          <w:tab w:val="left" w:pos="567"/>
        </w:tabs>
        <w:spacing w:after="0" w:line="240" w:lineRule="auto"/>
        <w:rPr>
          <w:rFonts w:ascii="Times New Roman" w:hAnsi="Times New Roman"/>
        </w:rPr>
      </w:pPr>
      <w:r>
        <w:rPr>
          <w:rFonts w:ascii="Times New Roman" w:hAnsi="Times New Roman"/>
        </w:rPr>
        <w:t>Olmesartanas stipriai susijungia su plazmos baltymais (99,7</w:t>
      </w:r>
      <w:r>
        <w:rPr>
          <w:rFonts w:ascii="Times New Roman" w:eastAsia="MS Mincho" w:hAnsi="Times New Roman"/>
        </w:rPr>
        <w:t> </w:t>
      </w:r>
      <w:r>
        <w:rPr>
          <w:rFonts w:ascii="Times New Roman" w:hAnsi="Times New Roman"/>
        </w:rPr>
        <w:t>%), bet kliniškai reikšmingos olmesartano sąveikos dėl išstūmimo iš jungties su kartu vartojamais kitais vaistiniais preparatais, kurių didelė dalis prisijungia prie baltymų, tikimybė yra maža (tai patvirtina duomenys, kad nepasireiškė kliniškai reikšminga olmesartano medoksomilio sąveika su varfarinu). Olmesartano susijungimas su kraujo ląstelėmis yra nereikšmingas. Sušvirkštus vaistinio preparato dozę į veną, vidutinis pasiskirstymo tūris yra mažas (16</w:t>
      </w:r>
      <w:r>
        <w:rPr>
          <w:rFonts w:ascii="Times New Roman" w:hAnsi="Times New Roman"/>
        </w:rPr>
        <w:noBreakHyphen/>
        <w:t>29 l).</w:t>
      </w:r>
    </w:p>
    <w:p w:rsidR="00444C66" w:rsidRDefault="00444C66">
      <w:pPr>
        <w:widowControl w:val="0"/>
        <w:tabs>
          <w:tab w:val="left" w:pos="567"/>
        </w:tabs>
        <w:spacing w:after="0" w:line="240" w:lineRule="auto"/>
        <w:rPr>
          <w:rFonts w:ascii="Times New Roman" w:hAnsi="Times New Roman"/>
        </w:rPr>
      </w:pPr>
    </w:p>
    <w:p w:rsidR="00444C66" w:rsidRDefault="00444C66">
      <w:pPr>
        <w:widowControl w:val="0"/>
        <w:tabs>
          <w:tab w:val="left" w:pos="567"/>
        </w:tabs>
        <w:spacing w:after="0" w:line="240" w:lineRule="auto"/>
        <w:rPr>
          <w:rFonts w:ascii="Times New Roman" w:hAnsi="Times New Roman"/>
          <w:u w:val="single"/>
        </w:rPr>
      </w:pPr>
      <w:r>
        <w:rPr>
          <w:rFonts w:ascii="Times New Roman" w:hAnsi="Times New Roman"/>
          <w:u w:val="single"/>
        </w:rPr>
        <w:t>Biotransformacija ir eliminacija</w:t>
      </w:r>
    </w:p>
    <w:p w:rsidR="00444C66" w:rsidRDefault="00444C66">
      <w:pPr>
        <w:widowControl w:val="0"/>
        <w:tabs>
          <w:tab w:val="left" w:pos="567"/>
        </w:tabs>
        <w:spacing w:after="0" w:line="240" w:lineRule="auto"/>
        <w:rPr>
          <w:rFonts w:ascii="Times New Roman" w:hAnsi="Times New Roman"/>
        </w:rPr>
      </w:pPr>
      <w:r>
        <w:rPr>
          <w:rFonts w:ascii="Times New Roman" w:hAnsi="Times New Roman"/>
        </w:rPr>
        <w:t>Bendras klirensas iš plazmos paprastai buvo 1,3 l/val. (CV, 19</w:t>
      </w:r>
      <w:r>
        <w:rPr>
          <w:rFonts w:ascii="Times New Roman" w:eastAsia="MS Mincho" w:hAnsi="Times New Roman"/>
        </w:rPr>
        <w:t> </w:t>
      </w:r>
      <w:r>
        <w:rPr>
          <w:rFonts w:ascii="Times New Roman" w:hAnsi="Times New Roman"/>
        </w:rPr>
        <w:t>%) ir buvo palyginti lėtas, palyginti su kraujotaka kepenyse (maždaug 90 l/val.). Išgėrus vienkartinę žymėtojo 14C olmesartano medoksomilio dozę, 10</w:t>
      </w:r>
      <w:r>
        <w:rPr>
          <w:rFonts w:ascii="Times New Roman" w:hAnsi="Times New Roman"/>
        </w:rPr>
        <w:noBreakHyphen/>
        <w:t>16</w:t>
      </w:r>
      <w:r>
        <w:rPr>
          <w:rFonts w:ascii="Times New Roman" w:eastAsia="MS Mincho" w:hAnsi="Times New Roman"/>
        </w:rPr>
        <w:t> </w:t>
      </w:r>
      <w:r>
        <w:rPr>
          <w:rFonts w:ascii="Times New Roman" w:hAnsi="Times New Roman"/>
        </w:rPr>
        <w:t>% bendrojo radioaktyvumo pasišalino su šlapimu (didžiausia dalis per 24 valandas po dozės pavartojimo), o kita dalis radioaktyvumo su išmatomis. Atsižvelgiant į sisteminį 25,6</w:t>
      </w:r>
      <w:r>
        <w:rPr>
          <w:rFonts w:ascii="Times New Roman" w:eastAsia="MS Mincho" w:hAnsi="Times New Roman"/>
        </w:rPr>
        <w:t> </w:t>
      </w:r>
      <w:r>
        <w:rPr>
          <w:rFonts w:ascii="Times New Roman" w:hAnsi="Times New Roman"/>
        </w:rPr>
        <w:t>% prieinamumą, galima apskaičiuoti, kad absorbuotas olmesartanas šalinamas ir per inkstus (maždaug 40</w:t>
      </w:r>
      <w:r>
        <w:rPr>
          <w:rFonts w:ascii="Times New Roman" w:eastAsia="MS Mincho" w:hAnsi="Times New Roman"/>
        </w:rPr>
        <w:t> </w:t>
      </w:r>
      <w:r>
        <w:rPr>
          <w:rFonts w:ascii="Times New Roman" w:hAnsi="Times New Roman"/>
        </w:rPr>
        <w:t>%), ir su tulžimi per kepenis (maždaug 60</w:t>
      </w:r>
      <w:r>
        <w:rPr>
          <w:rFonts w:ascii="Times New Roman" w:eastAsia="MS Mincho" w:hAnsi="Times New Roman"/>
        </w:rPr>
        <w:t> </w:t>
      </w:r>
      <w:r>
        <w:rPr>
          <w:rFonts w:ascii="Times New Roman" w:hAnsi="Times New Roman"/>
        </w:rPr>
        <w:t>%). Visa pašalinta radioaktyvioji medžiaga buvo olmesartanas. Kitų svarbių metabolitų nenustatyta. Olmesartano enterohepatinė cirkuliacija yra minimali. Didelė dalis olmesartano šalinama iš organizmo su tulžimi, todėl šio vaistinio preparato negalima vartoti pacientams, kuriems nustatyta tulžies latakų obstrukcija (žr. 4.3</w:t>
      </w:r>
      <w:r>
        <w:rPr>
          <w:rFonts w:ascii="Times New Roman" w:eastAsia="MS Mincho" w:hAnsi="Times New Roman"/>
        </w:rPr>
        <w:t> </w:t>
      </w:r>
      <w:r>
        <w:rPr>
          <w:rFonts w:ascii="Times New Roman" w:hAnsi="Times New Roman"/>
        </w:rPr>
        <w:t>skyrių).</w:t>
      </w:r>
    </w:p>
    <w:p w:rsidR="00444C66" w:rsidRDefault="00444C66">
      <w:pPr>
        <w:widowControl w:val="0"/>
        <w:tabs>
          <w:tab w:val="left" w:pos="567"/>
        </w:tabs>
        <w:spacing w:after="0" w:line="240" w:lineRule="auto"/>
        <w:rPr>
          <w:rFonts w:ascii="Times New Roman" w:hAnsi="Times New Roman"/>
        </w:rPr>
      </w:pPr>
    </w:p>
    <w:p w:rsidR="00444C66" w:rsidRDefault="00444C66">
      <w:pPr>
        <w:widowControl w:val="0"/>
        <w:tabs>
          <w:tab w:val="left" w:pos="567"/>
        </w:tabs>
        <w:spacing w:after="0" w:line="240" w:lineRule="auto"/>
        <w:rPr>
          <w:rFonts w:ascii="Times New Roman" w:hAnsi="Times New Roman"/>
        </w:rPr>
      </w:pPr>
      <w:r>
        <w:rPr>
          <w:rFonts w:ascii="Times New Roman" w:hAnsi="Times New Roman"/>
        </w:rPr>
        <w:t>Vartojant kartotines vaistinio preparato dozes per burną, galutinis pusinės olmesartano eliminacijos periodas trunka 10</w:t>
      </w:r>
      <w:r>
        <w:rPr>
          <w:rFonts w:ascii="Times New Roman" w:hAnsi="Times New Roman"/>
        </w:rPr>
        <w:noBreakHyphen/>
        <w:t>15 val. Pusiausvyros apykaita buvo pasiekta po kelių pirmųjų dozių ir, 14</w:t>
      </w:r>
      <w:r>
        <w:rPr>
          <w:rFonts w:ascii="Times New Roman" w:eastAsia="MS Mincho" w:hAnsi="Times New Roman"/>
        </w:rPr>
        <w:t> </w:t>
      </w:r>
      <w:r>
        <w:rPr>
          <w:rFonts w:ascii="Times New Roman" w:hAnsi="Times New Roman"/>
        </w:rPr>
        <w:t>parų vartojant kartotines dozes, vaistinio preparato organizme nesikaupė. Klirensas per inkstus buvo maždaug 0,5</w:t>
      </w:r>
      <w:r>
        <w:rPr>
          <w:rFonts w:ascii="Times New Roman" w:hAnsi="Times New Roman"/>
        </w:rPr>
        <w:noBreakHyphen/>
        <w:t>0,7 l/val. ir nepriklausė nuo dozės.</w:t>
      </w:r>
    </w:p>
    <w:p w:rsidR="00444C66" w:rsidRDefault="00444C66">
      <w:pPr>
        <w:widowControl w:val="0"/>
        <w:tabs>
          <w:tab w:val="left" w:pos="567"/>
        </w:tabs>
        <w:spacing w:after="0" w:line="240" w:lineRule="auto"/>
        <w:rPr>
          <w:rFonts w:ascii="Times New Roman" w:hAnsi="Times New Roman"/>
        </w:rPr>
      </w:pPr>
    </w:p>
    <w:p w:rsidR="00444C66" w:rsidRDefault="00444C66">
      <w:pPr>
        <w:widowControl w:val="0"/>
        <w:tabs>
          <w:tab w:val="left" w:pos="567"/>
        </w:tabs>
        <w:spacing w:after="0" w:line="240" w:lineRule="auto"/>
        <w:rPr>
          <w:rFonts w:ascii="Times New Roman" w:hAnsi="Times New Roman"/>
          <w:u w:val="single"/>
        </w:rPr>
      </w:pPr>
      <w:r>
        <w:rPr>
          <w:rFonts w:ascii="Times New Roman" w:hAnsi="Times New Roman"/>
          <w:u w:val="single"/>
        </w:rPr>
        <w:t>Farmakokinetika specialių grupių pacientų organizme</w:t>
      </w:r>
    </w:p>
    <w:p w:rsidR="00444C66" w:rsidRDefault="00444C66">
      <w:pPr>
        <w:widowControl w:val="0"/>
        <w:spacing w:after="0" w:line="240" w:lineRule="auto"/>
        <w:rPr>
          <w:rFonts w:ascii="Times New Roman" w:hAnsi="Times New Roman"/>
        </w:rPr>
      </w:pPr>
      <w:r>
        <w:rPr>
          <w:rFonts w:ascii="Times New Roman" w:hAnsi="Times New Roman"/>
          <w:i/>
        </w:rPr>
        <w:t>Senyviems pacientams (65</w:t>
      </w:r>
      <w:r>
        <w:rPr>
          <w:rFonts w:ascii="Times New Roman" w:eastAsia="MS Mincho" w:hAnsi="Times New Roman"/>
        </w:rPr>
        <w:t> </w:t>
      </w:r>
      <w:r>
        <w:rPr>
          <w:rFonts w:ascii="Times New Roman" w:hAnsi="Times New Roman"/>
          <w:i/>
        </w:rPr>
        <w:t>metų ir vyresniems)</w:t>
      </w:r>
    </w:p>
    <w:p w:rsidR="00444C66" w:rsidRDefault="00444C66">
      <w:pPr>
        <w:widowControl w:val="0"/>
        <w:tabs>
          <w:tab w:val="left" w:pos="567"/>
        </w:tabs>
        <w:spacing w:after="0" w:line="240" w:lineRule="auto"/>
        <w:rPr>
          <w:rFonts w:ascii="Times New Roman" w:hAnsi="Times New Roman"/>
        </w:rPr>
      </w:pPr>
      <w:r>
        <w:rPr>
          <w:rFonts w:ascii="Times New Roman" w:hAnsi="Times New Roman"/>
        </w:rPr>
        <w:t>Hipertenzija sergančių senyvų pacientų (65</w:t>
      </w:r>
      <w:r>
        <w:rPr>
          <w:rFonts w:ascii="Times New Roman" w:hAnsi="Times New Roman"/>
        </w:rPr>
        <w:noBreakHyphen/>
        <w:t>75 metų) organizme pusiausvyros apykaitos sąlygomis AUC padidėjo maždaug 35</w:t>
      </w:r>
      <w:r>
        <w:rPr>
          <w:rFonts w:ascii="Times New Roman" w:eastAsia="MS Mincho" w:hAnsi="Times New Roman"/>
        </w:rPr>
        <w:t> </w:t>
      </w:r>
      <w:r>
        <w:rPr>
          <w:rFonts w:ascii="Times New Roman" w:hAnsi="Times New Roman"/>
        </w:rPr>
        <w:t>%, dar vyresnių (75 metų ir vyresnių) maždaug 44</w:t>
      </w:r>
      <w:r>
        <w:rPr>
          <w:rFonts w:ascii="Times New Roman" w:eastAsia="MS Mincho" w:hAnsi="Times New Roman"/>
        </w:rPr>
        <w:t> </w:t>
      </w:r>
      <w:r>
        <w:rPr>
          <w:rFonts w:ascii="Times New Roman" w:hAnsi="Times New Roman"/>
        </w:rPr>
        <w:t>%, palyginti su jaunesnio amžiaus grupės pacientais. Tai bent iš dalies gali būti susiję su vidutinio sunkumo inkstų funkcijos sutrikimu šioje pacientų grupėje.</w:t>
      </w:r>
    </w:p>
    <w:p w:rsidR="00444C66" w:rsidRDefault="00444C66">
      <w:pPr>
        <w:widowControl w:val="0"/>
        <w:tabs>
          <w:tab w:val="left" w:pos="567"/>
        </w:tabs>
        <w:spacing w:after="0" w:line="240" w:lineRule="auto"/>
        <w:rPr>
          <w:rFonts w:ascii="Times New Roman" w:hAnsi="Times New Roman"/>
        </w:rPr>
      </w:pPr>
    </w:p>
    <w:p w:rsidR="00444C66" w:rsidRDefault="00444C66">
      <w:pPr>
        <w:widowControl w:val="0"/>
        <w:tabs>
          <w:tab w:val="left" w:pos="567"/>
        </w:tabs>
        <w:spacing w:after="0" w:line="240" w:lineRule="auto"/>
        <w:rPr>
          <w:rFonts w:ascii="Times New Roman" w:hAnsi="Times New Roman"/>
          <w:i/>
        </w:rPr>
      </w:pPr>
      <w:r>
        <w:rPr>
          <w:rFonts w:ascii="Times New Roman" w:hAnsi="Times New Roman"/>
          <w:i/>
        </w:rPr>
        <w:t>Sutrikusi inkstų funkcija</w:t>
      </w:r>
    </w:p>
    <w:p w:rsidR="00444C66" w:rsidRDefault="00444C66">
      <w:pPr>
        <w:widowControl w:val="0"/>
        <w:tabs>
          <w:tab w:val="left" w:pos="567"/>
        </w:tabs>
        <w:spacing w:after="0" w:line="240" w:lineRule="auto"/>
        <w:rPr>
          <w:rFonts w:ascii="Times New Roman" w:hAnsi="Times New Roman"/>
        </w:rPr>
      </w:pPr>
      <w:r>
        <w:rPr>
          <w:rFonts w:ascii="Times New Roman" w:hAnsi="Times New Roman"/>
        </w:rPr>
        <w:t>Pacientų, kurie serga lengvu, vidutinio sunkumo ar sunkiu inkstų funkcijos sutrikimu, organizme pusiausvyros apykaitos sąlygomis AUC padidėjo atitinkamai 62</w:t>
      </w:r>
      <w:r>
        <w:rPr>
          <w:rFonts w:ascii="Times New Roman" w:eastAsia="MS Mincho" w:hAnsi="Times New Roman"/>
        </w:rPr>
        <w:t> </w:t>
      </w:r>
      <w:r>
        <w:rPr>
          <w:rFonts w:ascii="Times New Roman" w:hAnsi="Times New Roman"/>
        </w:rPr>
        <w:t>%, 82</w:t>
      </w:r>
      <w:r>
        <w:rPr>
          <w:rFonts w:ascii="Times New Roman" w:eastAsia="MS Mincho" w:hAnsi="Times New Roman"/>
        </w:rPr>
        <w:t> </w:t>
      </w:r>
      <w:r>
        <w:rPr>
          <w:rFonts w:ascii="Times New Roman" w:hAnsi="Times New Roman"/>
        </w:rPr>
        <w:t>% ir 179</w:t>
      </w:r>
      <w:r>
        <w:rPr>
          <w:rFonts w:ascii="Times New Roman" w:eastAsia="MS Mincho" w:hAnsi="Times New Roman"/>
        </w:rPr>
        <w:t> </w:t>
      </w:r>
      <w:r>
        <w:rPr>
          <w:rFonts w:ascii="Times New Roman" w:hAnsi="Times New Roman"/>
        </w:rPr>
        <w:t>%, palyginti su sveikų kontrolinės grupės asmenų (žr. 4.2 ir 4.4</w:t>
      </w:r>
      <w:r>
        <w:rPr>
          <w:rFonts w:ascii="Times New Roman" w:eastAsia="MS Mincho" w:hAnsi="Times New Roman"/>
        </w:rPr>
        <w:t> </w:t>
      </w:r>
      <w:r>
        <w:rPr>
          <w:rFonts w:ascii="Times New Roman" w:hAnsi="Times New Roman"/>
        </w:rPr>
        <w:t>skyrius).</w:t>
      </w:r>
    </w:p>
    <w:p w:rsidR="00444C66" w:rsidRDefault="00444C66">
      <w:pPr>
        <w:widowControl w:val="0"/>
        <w:tabs>
          <w:tab w:val="left" w:pos="567"/>
        </w:tabs>
        <w:spacing w:after="0" w:line="240" w:lineRule="auto"/>
        <w:rPr>
          <w:rFonts w:ascii="Times New Roman" w:hAnsi="Times New Roman"/>
        </w:rPr>
      </w:pPr>
    </w:p>
    <w:p w:rsidR="00444C66" w:rsidRDefault="00444C66">
      <w:pPr>
        <w:widowControl w:val="0"/>
        <w:tabs>
          <w:tab w:val="left" w:pos="567"/>
        </w:tabs>
        <w:spacing w:after="0" w:line="240" w:lineRule="auto"/>
        <w:rPr>
          <w:rFonts w:ascii="Times New Roman" w:hAnsi="Times New Roman"/>
          <w:i/>
        </w:rPr>
      </w:pPr>
      <w:r>
        <w:rPr>
          <w:rFonts w:ascii="Times New Roman" w:hAnsi="Times New Roman"/>
          <w:i/>
        </w:rPr>
        <w:t>Sutrikusi kepenų funkcija</w:t>
      </w:r>
    </w:p>
    <w:p w:rsidR="00444C66" w:rsidRDefault="00444C66">
      <w:pPr>
        <w:widowControl w:val="0"/>
        <w:tabs>
          <w:tab w:val="left" w:pos="567"/>
        </w:tabs>
        <w:spacing w:after="0" w:line="240" w:lineRule="auto"/>
        <w:rPr>
          <w:rFonts w:ascii="Times New Roman" w:hAnsi="Times New Roman"/>
        </w:rPr>
      </w:pPr>
      <w:r>
        <w:rPr>
          <w:rFonts w:ascii="Times New Roman" w:hAnsi="Times New Roman"/>
        </w:rPr>
        <w:t xml:space="preserve">Pavartojus olmesartano per burną vieną kartą, olmesartano AUC rodmenys lengvo ar vidutinio kepenų </w:t>
      </w:r>
      <w:r>
        <w:rPr>
          <w:rFonts w:ascii="Times New Roman" w:hAnsi="Times New Roman"/>
        </w:rPr>
        <w:lastRenderedPageBreak/>
        <w:t>funkcijos sutrikimo atveju buvo atitinkamai 6</w:t>
      </w:r>
      <w:r>
        <w:rPr>
          <w:rFonts w:ascii="Times New Roman" w:eastAsia="MS Mincho" w:hAnsi="Times New Roman"/>
        </w:rPr>
        <w:t> </w:t>
      </w:r>
      <w:r>
        <w:rPr>
          <w:rFonts w:ascii="Times New Roman" w:hAnsi="Times New Roman"/>
        </w:rPr>
        <w:t>% ir 65</w:t>
      </w:r>
      <w:r>
        <w:rPr>
          <w:rFonts w:ascii="Times New Roman" w:eastAsia="MS Mincho" w:hAnsi="Times New Roman"/>
        </w:rPr>
        <w:t> </w:t>
      </w:r>
      <w:r>
        <w:rPr>
          <w:rFonts w:ascii="Times New Roman" w:hAnsi="Times New Roman"/>
        </w:rPr>
        <w:t>% didesni, su sveikų kontrolinės grupės asmenų. Neprisijungusio olmesartano frakcija praėjus 2 valandoms po vaistinio preparato pavartojimo sveikų asmenų, pacientų, sergančių lengvu kepenų funkcijos sutrikimu, ar pacientų, sergančių vidutinio sunkumo kepenų funkcijos sutrikimu, organizme buvo atitinkamai 0,26</w:t>
      </w:r>
      <w:r>
        <w:rPr>
          <w:rFonts w:ascii="Times New Roman" w:eastAsia="MS Mincho" w:hAnsi="Times New Roman"/>
        </w:rPr>
        <w:t> </w:t>
      </w:r>
      <w:r>
        <w:rPr>
          <w:rFonts w:ascii="Times New Roman" w:hAnsi="Times New Roman"/>
        </w:rPr>
        <w:t>%, 0,34</w:t>
      </w:r>
      <w:r>
        <w:rPr>
          <w:rFonts w:ascii="Times New Roman" w:eastAsia="MS Mincho" w:hAnsi="Times New Roman"/>
        </w:rPr>
        <w:t> </w:t>
      </w:r>
      <w:r>
        <w:rPr>
          <w:rFonts w:ascii="Times New Roman" w:hAnsi="Times New Roman"/>
        </w:rPr>
        <w:t>% ir 0,41</w:t>
      </w:r>
      <w:r>
        <w:rPr>
          <w:rFonts w:ascii="Times New Roman" w:eastAsia="MS Mincho" w:hAnsi="Times New Roman"/>
        </w:rPr>
        <w:t> </w:t>
      </w:r>
      <w:r>
        <w:rPr>
          <w:rFonts w:ascii="Times New Roman" w:hAnsi="Times New Roman"/>
        </w:rPr>
        <w:t>%. Vartojant kartotines dozes pacientams, kurie serga vidutinio sunkumo kepenų funkcijos sutrikimu, vidutinė olmesartano AUC buvo maždaug 65</w:t>
      </w:r>
      <w:r>
        <w:rPr>
          <w:rFonts w:ascii="Times New Roman" w:eastAsia="MS Mincho" w:hAnsi="Times New Roman"/>
        </w:rPr>
        <w:t> </w:t>
      </w:r>
      <w:r>
        <w:rPr>
          <w:rFonts w:ascii="Times New Roman" w:hAnsi="Times New Roman"/>
        </w:rPr>
        <w:t>% didesnė, palyginti su sveikų asmenų. Vidutinė olmesartano C</w:t>
      </w:r>
      <w:r>
        <w:rPr>
          <w:rFonts w:ascii="Times New Roman" w:hAnsi="Times New Roman"/>
          <w:vertAlign w:val="subscript"/>
        </w:rPr>
        <w:t>max</w:t>
      </w:r>
      <w:r>
        <w:rPr>
          <w:rFonts w:ascii="Times New Roman" w:hAnsi="Times New Roman"/>
        </w:rPr>
        <w:t xml:space="preserve"> pacientų, kurių kepenų funkcija sutrikusi, organizme buvo panaši į sveikų asmenų. Olmesartano medoksomilio tyrimų su pacientais, kurie serga sunkiu kepenų funkcijos sutrikimu, neatlikta (žr. 4.2 ir 4.4</w:t>
      </w:r>
      <w:r>
        <w:rPr>
          <w:rFonts w:ascii="Times New Roman" w:eastAsia="MS Mincho" w:hAnsi="Times New Roman"/>
        </w:rPr>
        <w:t> </w:t>
      </w:r>
      <w:r>
        <w:rPr>
          <w:rFonts w:ascii="Times New Roman" w:hAnsi="Times New Roman"/>
        </w:rPr>
        <w:t>skyrius).</w:t>
      </w:r>
    </w:p>
    <w:p w:rsidR="00444C66" w:rsidRDefault="00444C66">
      <w:pPr>
        <w:widowControl w:val="0"/>
        <w:tabs>
          <w:tab w:val="left" w:pos="567"/>
        </w:tabs>
        <w:spacing w:after="0" w:line="240" w:lineRule="auto"/>
        <w:rPr>
          <w:rFonts w:ascii="Times New Roman" w:hAnsi="Times New Roman"/>
        </w:rPr>
      </w:pPr>
    </w:p>
    <w:p w:rsidR="00444C66" w:rsidRDefault="00444C66">
      <w:pPr>
        <w:widowControl w:val="0"/>
        <w:tabs>
          <w:tab w:val="left" w:pos="567"/>
        </w:tabs>
        <w:spacing w:after="0" w:line="240" w:lineRule="auto"/>
        <w:rPr>
          <w:rFonts w:ascii="Times New Roman" w:eastAsia="Times New Roman" w:hAnsi="Times New Roman"/>
          <w:lang w:eastAsia="sl-SI"/>
        </w:rPr>
      </w:pPr>
      <w:r>
        <w:rPr>
          <w:rFonts w:ascii="Times New Roman" w:eastAsia="Times New Roman" w:hAnsi="Times New Roman"/>
          <w:lang w:eastAsia="sl-SI"/>
        </w:rPr>
        <w:t>Vaikų populiacija</w:t>
      </w:r>
    </w:p>
    <w:p w:rsidR="00444C66" w:rsidRDefault="00444C66">
      <w:pPr>
        <w:widowControl w:val="0"/>
        <w:tabs>
          <w:tab w:val="left" w:pos="567"/>
        </w:tabs>
        <w:spacing w:after="0" w:line="240" w:lineRule="auto"/>
        <w:rPr>
          <w:rFonts w:ascii="Times New Roman" w:eastAsia="Times New Roman" w:hAnsi="Times New Roman"/>
          <w:lang w:eastAsia="sl-SI"/>
        </w:rPr>
      </w:pPr>
      <w:r>
        <w:rPr>
          <w:rFonts w:ascii="Times New Roman" w:eastAsia="Times New Roman" w:hAnsi="Times New Roman"/>
          <w:lang w:eastAsia="sl-SI"/>
        </w:rPr>
        <w:t>Olmesartano farmakokinetika tirta hipertenzija sergantiems vaikams nuo 1 iki 16 metų. Vaikų Olmesartano klirensas buvo panašus į suaugusių pacientų, pakoreguotą pagal kūno svorio.</w:t>
      </w:r>
    </w:p>
    <w:p w:rsidR="00444C66" w:rsidRDefault="00444C66">
      <w:pPr>
        <w:widowControl w:val="0"/>
        <w:tabs>
          <w:tab w:val="left" w:pos="567"/>
        </w:tabs>
        <w:spacing w:after="0" w:line="240" w:lineRule="auto"/>
        <w:rPr>
          <w:rFonts w:ascii="Times New Roman" w:eastAsia="Times New Roman" w:hAnsi="Times New Roman"/>
          <w:lang w:eastAsia="sl-SI"/>
        </w:rPr>
      </w:pPr>
    </w:p>
    <w:p w:rsidR="00444C66" w:rsidRDefault="00444C66">
      <w:pPr>
        <w:widowControl w:val="0"/>
        <w:tabs>
          <w:tab w:val="left" w:pos="567"/>
        </w:tabs>
        <w:spacing w:after="0" w:line="240" w:lineRule="auto"/>
        <w:rPr>
          <w:rFonts w:ascii="Times New Roman" w:eastAsia="Times New Roman" w:hAnsi="Times New Roman"/>
          <w:lang w:eastAsia="sl-SI"/>
        </w:rPr>
      </w:pPr>
      <w:r>
        <w:rPr>
          <w:rFonts w:ascii="Times New Roman" w:eastAsia="Times New Roman" w:hAnsi="Times New Roman"/>
          <w:lang w:eastAsia="sl-SI"/>
        </w:rPr>
        <w:t>Nėra farmakokinetinės informacijos apie vaikus, kurių inkstų funkcija sutrikusi.</w:t>
      </w:r>
    </w:p>
    <w:p w:rsidR="00444C66" w:rsidRDefault="00444C66">
      <w:pPr>
        <w:widowControl w:val="0"/>
        <w:tabs>
          <w:tab w:val="left" w:pos="567"/>
        </w:tabs>
        <w:spacing w:after="0" w:line="240" w:lineRule="auto"/>
        <w:rPr>
          <w:rFonts w:ascii="Times New Roman" w:eastAsia="Times New Roman" w:hAnsi="Times New Roman"/>
          <w:lang w:eastAsia="sl-SI"/>
        </w:rPr>
      </w:pPr>
    </w:p>
    <w:p w:rsidR="00444C66" w:rsidRDefault="00444C66">
      <w:pPr>
        <w:widowControl w:val="0"/>
        <w:tabs>
          <w:tab w:val="left" w:pos="567"/>
        </w:tabs>
        <w:spacing w:after="0" w:line="240" w:lineRule="auto"/>
        <w:rPr>
          <w:rFonts w:ascii="Times New Roman" w:eastAsia="Times New Roman" w:hAnsi="Times New Roman"/>
          <w:lang w:eastAsia="sl-SI"/>
        </w:rPr>
      </w:pPr>
      <w:r>
        <w:rPr>
          <w:rFonts w:ascii="Times New Roman" w:eastAsia="Times New Roman" w:hAnsi="Times New Roman"/>
          <w:lang w:eastAsia="sl-SI"/>
        </w:rPr>
        <w:t>Vaistų sąveika</w:t>
      </w:r>
    </w:p>
    <w:p w:rsidR="00444C66" w:rsidRDefault="00444C66">
      <w:pPr>
        <w:widowControl w:val="0"/>
        <w:tabs>
          <w:tab w:val="left" w:pos="567"/>
        </w:tabs>
        <w:spacing w:after="0" w:line="240" w:lineRule="auto"/>
        <w:rPr>
          <w:rFonts w:ascii="Times New Roman" w:eastAsia="Times New Roman" w:hAnsi="Times New Roman"/>
          <w:lang w:eastAsia="sl-SI"/>
        </w:rPr>
      </w:pPr>
      <w:r>
        <w:rPr>
          <w:rFonts w:ascii="Times New Roman" w:eastAsia="Times New Roman" w:hAnsi="Times New Roman"/>
          <w:lang w:eastAsia="sl-SI"/>
        </w:rPr>
        <w:t>Tulžies rūgštis surišantis vaistinis preparatas kolesevelamas</w:t>
      </w:r>
    </w:p>
    <w:p w:rsidR="00444C66" w:rsidRDefault="00444C66">
      <w:pPr>
        <w:widowControl w:val="0"/>
        <w:tabs>
          <w:tab w:val="left" w:pos="540"/>
          <w:tab w:val="left" w:pos="2127"/>
          <w:tab w:val="left" w:pos="2977"/>
        </w:tabs>
        <w:spacing w:after="0" w:line="240" w:lineRule="auto"/>
        <w:rPr>
          <w:rFonts w:ascii="Times New Roman" w:eastAsia="Times New Roman" w:hAnsi="Times New Roman"/>
          <w:color w:val="000000"/>
        </w:rPr>
      </w:pPr>
      <w:r>
        <w:rPr>
          <w:rFonts w:ascii="Times New Roman" w:eastAsia="Times New Roman" w:hAnsi="Times New Roman"/>
          <w:iCs/>
          <w:color w:val="000000"/>
          <w:spacing w:val="-3"/>
          <w:shd w:val="clear" w:color="auto" w:fill="FFFFFF"/>
        </w:rPr>
        <w:t>Kai sveiki žmonės vartojo 40</w:t>
      </w:r>
      <w:r>
        <w:rPr>
          <w:rFonts w:ascii="Times New Roman" w:eastAsia="MS Mincho" w:hAnsi="Times New Roman"/>
        </w:rPr>
        <w:t> </w:t>
      </w:r>
      <w:r>
        <w:rPr>
          <w:rFonts w:ascii="Times New Roman" w:eastAsia="Times New Roman" w:hAnsi="Times New Roman"/>
          <w:iCs/>
          <w:color w:val="000000"/>
          <w:spacing w:val="-3"/>
          <w:shd w:val="clear" w:color="auto" w:fill="FFFFFF"/>
        </w:rPr>
        <w:t>mg olmesartano medoksomilio kartu su 3750</w:t>
      </w:r>
      <w:r>
        <w:rPr>
          <w:rFonts w:ascii="Times New Roman" w:eastAsia="MS Mincho" w:hAnsi="Times New Roman"/>
        </w:rPr>
        <w:t> </w:t>
      </w:r>
      <w:r>
        <w:rPr>
          <w:rFonts w:ascii="Times New Roman" w:eastAsia="Times New Roman" w:hAnsi="Times New Roman"/>
          <w:iCs/>
          <w:color w:val="000000"/>
          <w:spacing w:val="-3"/>
          <w:shd w:val="clear" w:color="auto" w:fill="FFFFFF"/>
        </w:rPr>
        <w:t>mg kolesevelamo hidrochloridu, tai 28</w:t>
      </w:r>
      <w:r>
        <w:rPr>
          <w:rFonts w:ascii="Times New Roman" w:eastAsia="MS Mincho" w:hAnsi="Times New Roman"/>
        </w:rPr>
        <w:t> </w:t>
      </w:r>
      <w:r>
        <w:rPr>
          <w:rFonts w:ascii="Times New Roman" w:eastAsia="Times New Roman" w:hAnsi="Times New Roman"/>
          <w:iCs/>
          <w:color w:val="000000"/>
          <w:spacing w:val="-3"/>
          <w:shd w:val="clear" w:color="auto" w:fill="FFFFFF"/>
        </w:rPr>
        <w:t>% sumažino maksimalią olmesartano plazmos koncentraciją ir 39</w:t>
      </w:r>
      <w:r>
        <w:rPr>
          <w:rFonts w:ascii="Times New Roman" w:eastAsia="MS Mincho" w:hAnsi="Times New Roman"/>
        </w:rPr>
        <w:t> </w:t>
      </w:r>
      <w:r>
        <w:rPr>
          <w:rFonts w:ascii="Times New Roman" w:eastAsia="Times New Roman" w:hAnsi="Times New Roman"/>
          <w:iCs/>
          <w:color w:val="000000"/>
          <w:spacing w:val="-3"/>
          <w:shd w:val="clear" w:color="auto" w:fill="FFFFFF"/>
        </w:rPr>
        <w:t>% jo biologinį prieinamumą. Kai olmesartano buvo vartojama bent 4</w:t>
      </w:r>
      <w:r>
        <w:rPr>
          <w:rFonts w:ascii="Times New Roman" w:eastAsia="MS Mincho" w:hAnsi="Times New Roman"/>
        </w:rPr>
        <w:t> </w:t>
      </w:r>
      <w:r>
        <w:rPr>
          <w:rFonts w:ascii="Times New Roman" w:eastAsia="Times New Roman" w:hAnsi="Times New Roman"/>
          <w:iCs/>
          <w:color w:val="000000"/>
          <w:spacing w:val="-3"/>
          <w:shd w:val="clear" w:color="auto" w:fill="FFFFFF"/>
        </w:rPr>
        <w:t>val. prieš kolesevelamo hidrochloridą, minėta sąveika buvo mažesnė (maksimali plazmos koncentracija sumažėjo tik 4</w:t>
      </w:r>
      <w:r>
        <w:rPr>
          <w:rFonts w:ascii="Times New Roman" w:eastAsia="MS Mincho" w:hAnsi="Times New Roman"/>
        </w:rPr>
        <w:t> </w:t>
      </w:r>
      <w:r>
        <w:rPr>
          <w:rFonts w:ascii="Times New Roman" w:eastAsia="Times New Roman" w:hAnsi="Times New Roman"/>
          <w:iCs/>
          <w:color w:val="000000"/>
          <w:spacing w:val="-3"/>
          <w:shd w:val="clear" w:color="auto" w:fill="FFFFFF"/>
        </w:rPr>
        <w:t>%, o biologinis prieinamumas 15</w:t>
      </w:r>
      <w:r>
        <w:rPr>
          <w:rFonts w:ascii="Times New Roman" w:eastAsia="MS Mincho" w:hAnsi="Times New Roman"/>
        </w:rPr>
        <w:t> </w:t>
      </w:r>
      <w:r>
        <w:rPr>
          <w:rFonts w:ascii="Times New Roman" w:eastAsia="Times New Roman" w:hAnsi="Times New Roman"/>
          <w:iCs/>
          <w:color w:val="000000"/>
          <w:spacing w:val="-3"/>
          <w:shd w:val="clear" w:color="auto" w:fill="FFFFFF"/>
        </w:rPr>
        <w:t>%).</w:t>
      </w:r>
      <w:r>
        <w:rPr>
          <w:rFonts w:ascii="Times New Roman" w:eastAsia="Times New Roman" w:hAnsi="Times New Roman"/>
          <w:color w:val="000000"/>
        </w:rPr>
        <w:t xml:space="preserve"> </w:t>
      </w:r>
      <w:r>
        <w:rPr>
          <w:rFonts w:ascii="Times New Roman" w:eastAsia="Times New Roman" w:hAnsi="Times New Roman"/>
          <w:lang w:eastAsia="sl-SI"/>
        </w:rPr>
        <w:t>Olmesartano pusinės eliminacijos laikas buvo sumažintas 50 - 52</w:t>
      </w:r>
      <w:r>
        <w:rPr>
          <w:rFonts w:ascii="Times New Roman" w:eastAsia="MS Mincho" w:hAnsi="Times New Roman"/>
        </w:rPr>
        <w:t> </w:t>
      </w:r>
      <w:r>
        <w:rPr>
          <w:rFonts w:ascii="Times New Roman" w:eastAsia="Times New Roman" w:hAnsi="Times New Roman"/>
          <w:lang w:eastAsia="sl-SI"/>
        </w:rPr>
        <w:t>%, nepriklausomai nuo to ar buvo vartojama kartu ar 4</w:t>
      </w:r>
      <w:r>
        <w:rPr>
          <w:rFonts w:ascii="Times New Roman" w:eastAsia="MS Mincho" w:hAnsi="Times New Roman"/>
        </w:rPr>
        <w:t> </w:t>
      </w:r>
      <w:r>
        <w:rPr>
          <w:rFonts w:ascii="Times New Roman" w:eastAsia="Times New Roman" w:hAnsi="Times New Roman"/>
          <w:lang w:eastAsia="sl-SI"/>
        </w:rPr>
        <w:t xml:space="preserve">valandas prieš </w:t>
      </w:r>
      <w:r>
        <w:rPr>
          <w:rFonts w:ascii="Times New Roman" w:eastAsia="Times New Roman" w:hAnsi="Times New Roman"/>
          <w:iCs/>
          <w:color w:val="000000"/>
          <w:spacing w:val="-3"/>
          <w:shd w:val="clear" w:color="auto" w:fill="FFFFFF"/>
        </w:rPr>
        <w:t>kolesevelamo hidrochloridą</w:t>
      </w:r>
      <w:r>
        <w:rPr>
          <w:rFonts w:ascii="Times New Roman" w:eastAsia="Times New Roman" w:hAnsi="Times New Roman"/>
          <w:lang w:eastAsia="sl-SI"/>
        </w:rPr>
        <w:t xml:space="preserve"> </w:t>
      </w:r>
      <w:r>
        <w:rPr>
          <w:rFonts w:ascii="Times New Roman" w:eastAsia="Times New Roman" w:hAnsi="Times New Roman"/>
          <w:iCs/>
          <w:color w:val="000000"/>
          <w:spacing w:val="-3"/>
          <w:shd w:val="clear" w:color="auto" w:fill="FFFFFF"/>
        </w:rPr>
        <w:t>(žr. 4.5</w:t>
      </w:r>
      <w:r>
        <w:rPr>
          <w:rFonts w:ascii="Times New Roman" w:eastAsia="MS Mincho" w:hAnsi="Times New Roman"/>
        </w:rPr>
        <w:t> </w:t>
      </w:r>
      <w:r>
        <w:rPr>
          <w:rFonts w:ascii="Times New Roman" w:eastAsia="Times New Roman" w:hAnsi="Times New Roman"/>
          <w:iCs/>
          <w:color w:val="000000"/>
          <w:spacing w:val="-3"/>
          <w:shd w:val="clear" w:color="auto" w:fill="FFFFFF"/>
        </w:rPr>
        <w:t>skyrių).</w:t>
      </w:r>
    </w:p>
    <w:p w:rsidR="00444C66" w:rsidRDefault="00444C66">
      <w:pPr>
        <w:widowControl w:val="0"/>
        <w:tabs>
          <w:tab w:val="left" w:pos="567"/>
        </w:tabs>
        <w:spacing w:after="0" w:line="240" w:lineRule="auto"/>
        <w:rPr>
          <w:rFonts w:ascii="Times New Roman" w:eastAsia="Times New Roman" w:hAnsi="Times New Roman"/>
          <w:lang w:eastAsia="sl-SI"/>
        </w:rPr>
      </w:pPr>
    </w:p>
    <w:p w:rsidR="00444C66" w:rsidRDefault="00444C66">
      <w:pPr>
        <w:widowControl w:val="0"/>
        <w:tabs>
          <w:tab w:val="left" w:pos="567"/>
        </w:tabs>
        <w:spacing w:after="0" w:line="240" w:lineRule="auto"/>
        <w:ind w:left="567" w:hanging="567"/>
        <w:rPr>
          <w:rFonts w:ascii="Times New Roman" w:hAnsi="Times New Roman"/>
        </w:rPr>
      </w:pPr>
      <w:r>
        <w:rPr>
          <w:rFonts w:ascii="Times New Roman" w:hAnsi="Times New Roman"/>
          <w:b/>
        </w:rPr>
        <w:t>5.3</w:t>
      </w:r>
      <w:r>
        <w:rPr>
          <w:rFonts w:ascii="Times New Roman" w:hAnsi="Times New Roman"/>
          <w:b/>
        </w:rPr>
        <w:tab/>
        <w:t>Ikiklinikinių saugumo tyrimų duomenys</w:t>
      </w:r>
    </w:p>
    <w:p w:rsidR="00444C66" w:rsidRDefault="00444C66">
      <w:pPr>
        <w:widowControl w:val="0"/>
        <w:tabs>
          <w:tab w:val="left" w:pos="567"/>
        </w:tabs>
        <w:spacing w:after="0" w:line="240" w:lineRule="auto"/>
        <w:rPr>
          <w:rFonts w:ascii="Times New Roman" w:hAnsi="Times New Roman"/>
        </w:rPr>
      </w:pPr>
    </w:p>
    <w:p w:rsidR="00444C66" w:rsidRDefault="00444C66">
      <w:pPr>
        <w:widowControl w:val="0"/>
        <w:tabs>
          <w:tab w:val="left" w:pos="567"/>
        </w:tabs>
        <w:spacing w:after="0" w:line="240" w:lineRule="auto"/>
        <w:rPr>
          <w:rFonts w:ascii="Times New Roman" w:hAnsi="Times New Roman"/>
        </w:rPr>
      </w:pPr>
      <w:r>
        <w:rPr>
          <w:rFonts w:ascii="Times New Roman" w:hAnsi="Times New Roman"/>
        </w:rPr>
        <w:t>Toksinio kartotinių dozių tyrimų su žiurkėmis ir šunimis duomenimis, olmesartano medoksomilio poveikis buvo panašus kitų AT</w:t>
      </w:r>
      <w:r>
        <w:rPr>
          <w:rFonts w:ascii="Times New Roman" w:hAnsi="Times New Roman"/>
          <w:vertAlign w:val="subscript"/>
        </w:rPr>
        <w:t>1</w:t>
      </w:r>
      <w:r>
        <w:rPr>
          <w:rFonts w:ascii="Times New Roman" w:hAnsi="Times New Roman"/>
        </w:rPr>
        <w:t xml:space="preserve"> receptorių antagonistų ir AKF inhibitorių: padidėjo šlapalo ir kreatinino koncentracijos kraujyje (dėl inkstų funkcijos pokyčių blokavus AT</w:t>
      </w:r>
      <w:r>
        <w:rPr>
          <w:rFonts w:ascii="Times New Roman" w:hAnsi="Times New Roman"/>
          <w:vertAlign w:val="subscript"/>
        </w:rPr>
        <w:t>1</w:t>
      </w:r>
      <w:r>
        <w:rPr>
          <w:rFonts w:ascii="Times New Roman" w:hAnsi="Times New Roman"/>
        </w:rPr>
        <w:t xml:space="preserve"> receptorius), sumažėjo širdies svoris, sumažėjo raudonųjų kraujo ląstelių rodmenys (eritrocitų kiekis, hemoglobino koncentracija, hematokritas), histologiniai inkstų pažaidos požymiai (regeneracinė inkstų epitelio pažaida, bazinės membranos suplonėjimas, inkstų kanalėlių išsiplėtimas). Toks nepageidaujamas poveikis, kuris pasireiškė dėl olmesartano medoksomilio farmakologinio poveikio, buvo nustatytas ir ikiklinikinių kitų AT</w:t>
      </w:r>
      <w:r>
        <w:rPr>
          <w:rFonts w:ascii="Times New Roman" w:hAnsi="Times New Roman"/>
          <w:vertAlign w:val="subscript"/>
        </w:rPr>
        <w:t>1</w:t>
      </w:r>
      <w:r>
        <w:rPr>
          <w:rFonts w:ascii="Times New Roman" w:hAnsi="Times New Roman"/>
        </w:rPr>
        <w:t xml:space="preserve"> receptorių blokatorių ir AKF inhibitorių tyrimų metu ir jį galima sumažinti, per burną kartu vartojant natrio chlorido.</w:t>
      </w:r>
    </w:p>
    <w:p w:rsidR="00444C66" w:rsidRDefault="00444C66">
      <w:pPr>
        <w:widowControl w:val="0"/>
        <w:tabs>
          <w:tab w:val="left" w:pos="567"/>
        </w:tabs>
        <w:spacing w:after="0" w:line="240" w:lineRule="auto"/>
        <w:rPr>
          <w:rFonts w:ascii="Times New Roman" w:hAnsi="Times New Roman"/>
        </w:rPr>
      </w:pPr>
    </w:p>
    <w:p w:rsidR="00444C66" w:rsidRDefault="00444C66">
      <w:pPr>
        <w:widowControl w:val="0"/>
        <w:tabs>
          <w:tab w:val="left" w:pos="567"/>
        </w:tabs>
        <w:spacing w:after="0" w:line="240" w:lineRule="auto"/>
        <w:rPr>
          <w:rFonts w:ascii="Times New Roman" w:hAnsi="Times New Roman"/>
        </w:rPr>
      </w:pPr>
      <w:r>
        <w:rPr>
          <w:rFonts w:ascii="Times New Roman" w:hAnsi="Times New Roman"/>
        </w:rPr>
        <w:t>Abiejų rūšių gyvūnų plazmoje padidėjo renino aktyvumas ir pasireiškė inkstų jukstaglomerulinių ląstelių hipertrofija ar hiperplazija. Manoma, kad šie pokyčiai, kurie yra būdingi ir kitiems AKF inhibitoriams bei AT</w:t>
      </w:r>
      <w:r>
        <w:rPr>
          <w:rFonts w:ascii="Times New Roman" w:hAnsi="Times New Roman"/>
          <w:vertAlign w:val="subscript"/>
        </w:rPr>
        <w:t>1</w:t>
      </w:r>
      <w:r>
        <w:rPr>
          <w:rFonts w:ascii="Times New Roman" w:hAnsi="Times New Roman"/>
        </w:rPr>
        <w:t xml:space="preserve"> receptorių blokatoriams, neturi klinikinės reikšmės.</w:t>
      </w:r>
    </w:p>
    <w:p w:rsidR="00444C66" w:rsidRDefault="00444C66">
      <w:pPr>
        <w:widowControl w:val="0"/>
        <w:tabs>
          <w:tab w:val="left" w:pos="567"/>
        </w:tabs>
        <w:spacing w:after="0" w:line="240" w:lineRule="auto"/>
        <w:rPr>
          <w:rFonts w:ascii="Times New Roman" w:hAnsi="Times New Roman"/>
        </w:rPr>
      </w:pPr>
    </w:p>
    <w:p w:rsidR="00444C66" w:rsidRDefault="00444C66">
      <w:pPr>
        <w:widowControl w:val="0"/>
        <w:tabs>
          <w:tab w:val="left" w:pos="567"/>
        </w:tabs>
        <w:spacing w:after="0" w:line="240" w:lineRule="auto"/>
        <w:rPr>
          <w:rFonts w:ascii="Times New Roman" w:hAnsi="Times New Roman"/>
        </w:rPr>
      </w:pPr>
      <w:r>
        <w:rPr>
          <w:rFonts w:ascii="Times New Roman" w:hAnsi="Times New Roman"/>
        </w:rPr>
        <w:t>Olmesartano medoksomilis, kaip ir kiti AT</w:t>
      </w:r>
      <w:r>
        <w:rPr>
          <w:rFonts w:ascii="Times New Roman" w:hAnsi="Times New Roman"/>
          <w:vertAlign w:val="subscript"/>
        </w:rPr>
        <w:t>1</w:t>
      </w:r>
      <w:r>
        <w:rPr>
          <w:rFonts w:ascii="Times New Roman" w:hAnsi="Times New Roman"/>
        </w:rPr>
        <w:t xml:space="preserve"> receptorių blokatoriai, nedažnino chromosomų pažaidos ląstelių kultūrose </w:t>
      </w:r>
      <w:r>
        <w:rPr>
          <w:rFonts w:ascii="Times New Roman" w:hAnsi="Times New Roman"/>
          <w:i/>
        </w:rPr>
        <w:t>in vitro</w:t>
      </w:r>
      <w:r>
        <w:rPr>
          <w:rFonts w:ascii="Times New Roman" w:hAnsi="Times New Roman"/>
        </w:rPr>
        <w:t xml:space="preserve">. Įvairių tyrimų </w:t>
      </w:r>
      <w:r>
        <w:rPr>
          <w:rFonts w:ascii="Times New Roman" w:hAnsi="Times New Roman"/>
          <w:i/>
        </w:rPr>
        <w:t>in vivo</w:t>
      </w:r>
      <w:r>
        <w:rPr>
          <w:rFonts w:ascii="Times New Roman" w:hAnsi="Times New Roman"/>
        </w:rPr>
        <w:t xml:space="preserve"> metu girdant labai dideles iki 2000 mg/kg kūno svorio olmesartano medoksomilio dozes, reikšmingo poveikio nepastebėta. Visapusiškų genotoksinio poveikio tyrimų duomenys rodo, kad vartojant gydomąsias vaistinio preparato dozes, olmesartano genotoksinio poveikio tikimybė yra maža.</w:t>
      </w:r>
    </w:p>
    <w:p w:rsidR="00444C66" w:rsidRDefault="00444C66">
      <w:pPr>
        <w:widowControl w:val="0"/>
        <w:tabs>
          <w:tab w:val="left" w:pos="567"/>
        </w:tabs>
        <w:spacing w:after="0" w:line="240" w:lineRule="auto"/>
        <w:rPr>
          <w:rFonts w:ascii="Times New Roman" w:hAnsi="Times New Roman"/>
        </w:rPr>
      </w:pPr>
    </w:p>
    <w:p w:rsidR="00444C66" w:rsidRDefault="00444C66">
      <w:pPr>
        <w:widowControl w:val="0"/>
        <w:tabs>
          <w:tab w:val="left" w:pos="567"/>
        </w:tabs>
        <w:spacing w:after="0" w:line="240" w:lineRule="auto"/>
        <w:rPr>
          <w:rFonts w:ascii="Times New Roman" w:hAnsi="Times New Roman"/>
        </w:rPr>
      </w:pPr>
      <w:r>
        <w:rPr>
          <w:rFonts w:ascii="Times New Roman" w:hAnsi="Times New Roman"/>
        </w:rPr>
        <w:t>Olmesartano medoksomilis nesukėlė kancerogeninio poveikio nei 2 metus trukusių tyrimų su žiurkėmis, nei 6 mėnesius trukusių tyrimų su transgeninėmis pelėmis metu.</w:t>
      </w:r>
    </w:p>
    <w:p w:rsidR="00444C66" w:rsidRDefault="00444C66">
      <w:pPr>
        <w:widowControl w:val="0"/>
        <w:tabs>
          <w:tab w:val="left" w:pos="567"/>
        </w:tabs>
        <w:spacing w:after="0" w:line="240" w:lineRule="auto"/>
        <w:rPr>
          <w:rFonts w:ascii="Times New Roman" w:hAnsi="Times New Roman"/>
        </w:rPr>
      </w:pPr>
    </w:p>
    <w:p w:rsidR="00444C66" w:rsidRDefault="00444C66">
      <w:pPr>
        <w:widowControl w:val="0"/>
        <w:tabs>
          <w:tab w:val="left" w:pos="567"/>
        </w:tabs>
        <w:spacing w:after="0" w:line="240" w:lineRule="auto"/>
        <w:rPr>
          <w:rFonts w:ascii="Times New Roman" w:hAnsi="Times New Roman"/>
        </w:rPr>
      </w:pPr>
      <w:r>
        <w:rPr>
          <w:rFonts w:ascii="Times New Roman" w:hAnsi="Times New Roman"/>
        </w:rPr>
        <w:t xml:space="preserve">Reprodukcijos tyrimų su žiurkėmis duomenimis, olmesartano medoksomilis neveikia reprodukcijos ir nesukelia teratogeninio poveikio. Dėl olmesartano medoksomilio, panašiai kaip ir dėl kitokių angiotenzino II receptorių blokatorių, ekspozicijos sumažėjo palikuonių išgyvenamumas, o dėl ekspozicijos patelėms veisimosi pabaigoje ar žindymo laikotarpiu buvo nustatytas jų inkstų geldelių išsiplėtimas. Olmesartano medoksomilis, panašiai kaip ir kiti antihipertenziniai vaistiniai preparatai, buvo labiau toksiškas vaikingoms triušių patelėms nei vaikingoms žiurkių patelėms, vis dėlto toksinio </w:t>
      </w:r>
      <w:r>
        <w:rPr>
          <w:rFonts w:ascii="Times New Roman" w:hAnsi="Times New Roman"/>
        </w:rPr>
        <w:lastRenderedPageBreak/>
        <w:t>poveikio vaisiui nenustatyta.</w:t>
      </w:r>
    </w:p>
    <w:p w:rsidR="00444C66" w:rsidRDefault="00444C66">
      <w:pPr>
        <w:widowControl w:val="0"/>
        <w:tabs>
          <w:tab w:val="left" w:pos="567"/>
        </w:tabs>
        <w:spacing w:after="0" w:line="240" w:lineRule="auto"/>
        <w:rPr>
          <w:rFonts w:ascii="Times New Roman" w:hAnsi="Times New Roman"/>
        </w:rPr>
      </w:pPr>
    </w:p>
    <w:p w:rsidR="00444C66" w:rsidRDefault="00444C66">
      <w:pPr>
        <w:widowControl w:val="0"/>
        <w:tabs>
          <w:tab w:val="left" w:pos="567"/>
        </w:tabs>
        <w:spacing w:after="0" w:line="240" w:lineRule="auto"/>
        <w:rPr>
          <w:rFonts w:ascii="Times New Roman" w:hAnsi="Times New Roman"/>
          <w:b/>
        </w:rPr>
      </w:pPr>
    </w:p>
    <w:p w:rsidR="00444C66" w:rsidRDefault="00444C66">
      <w:pPr>
        <w:widowControl w:val="0"/>
        <w:tabs>
          <w:tab w:val="left" w:pos="567"/>
        </w:tabs>
        <w:spacing w:after="0" w:line="240" w:lineRule="auto"/>
        <w:ind w:left="567" w:hanging="567"/>
        <w:rPr>
          <w:rFonts w:ascii="Times New Roman" w:hAnsi="Times New Roman"/>
          <w:b/>
        </w:rPr>
      </w:pPr>
      <w:r>
        <w:rPr>
          <w:rFonts w:ascii="Times New Roman" w:hAnsi="Times New Roman"/>
          <w:b/>
        </w:rPr>
        <w:t>6.</w:t>
      </w:r>
      <w:r>
        <w:rPr>
          <w:rFonts w:ascii="Times New Roman" w:hAnsi="Times New Roman"/>
          <w:b/>
        </w:rPr>
        <w:tab/>
        <w:t>FARMACINĖ INFORMACIJA</w:t>
      </w:r>
    </w:p>
    <w:p w:rsidR="00444C66" w:rsidRDefault="00444C66">
      <w:pPr>
        <w:widowControl w:val="0"/>
        <w:tabs>
          <w:tab w:val="left" w:pos="567"/>
        </w:tabs>
        <w:spacing w:after="0" w:line="240" w:lineRule="auto"/>
        <w:rPr>
          <w:rFonts w:ascii="Times New Roman" w:hAnsi="Times New Roman"/>
          <w:b/>
        </w:rPr>
      </w:pPr>
    </w:p>
    <w:p w:rsidR="00444C66" w:rsidRDefault="00444C66">
      <w:pPr>
        <w:widowControl w:val="0"/>
        <w:tabs>
          <w:tab w:val="left" w:pos="567"/>
        </w:tabs>
        <w:spacing w:after="0" w:line="240" w:lineRule="auto"/>
        <w:ind w:left="567" w:hanging="567"/>
        <w:rPr>
          <w:rFonts w:ascii="Times New Roman" w:hAnsi="Times New Roman"/>
          <w:b/>
        </w:rPr>
      </w:pPr>
      <w:r>
        <w:rPr>
          <w:rFonts w:ascii="Times New Roman" w:hAnsi="Times New Roman"/>
          <w:b/>
        </w:rPr>
        <w:t>6.1</w:t>
      </w:r>
      <w:r>
        <w:rPr>
          <w:rFonts w:ascii="Times New Roman" w:hAnsi="Times New Roman"/>
          <w:b/>
        </w:rPr>
        <w:tab/>
        <w:t>Pagalbinių medžiagų sąrašas</w:t>
      </w:r>
    </w:p>
    <w:p w:rsidR="00444C66" w:rsidRDefault="00444C66">
      <w:pPr>
        <w:widowControl w:val="0"/>
        <w:tabs>
          <w:tab w:val="left" w:pos="567"/>
        </w:tabs>
        <w:spacing w:after="0" w:line="240" w:lineRule="auto"/>
        <w:rPr>
          <w:rFonts w:ascii="Times New Roman" w:hAnsi="Times New Roman"/>
        </w:rPr>
      </w:pPr>
    </w:p>
    <w:p w:rsidR="00444C66" w:rsidRDefault="00444C66">
      <w:pPr>
        <w:widowControl w:val="0"/>
        <w:tabs>
          <w:tab w:val="left" w:pos="567"/>
        </w:tabs>
        <w:spacing w:after="0" w:line="240" w:lineRule="auto"/>
        <w:rPr>
          <w:rFonts w:ascii="Times New Roman" w:hAnsi="Times New Roman"/>
          <w:i/>
          <w:u w:val="single"/>
        </w:rPr>
      </w:pPr>
      <w:r>
        <w:rPr>
          <w:rFonts w:ascii="Times New Roman" w:hAnsi="Times New Roman"/>
          <w:i/>
          <w:u w:val="single"/>
        </w:rPr>
        <w:t>Tabletės branduolys</w:t>
      </w:r>
    </w:p>
    <w:p w:rsidR="00444C66" w:rsidRDefault="00444C66">
      <w:pPr>
        <w:widowControl w:val="0"/>
        <w:tabs>
          <w:tab w:val="left" w:pos="567"/>
        </w:tabs>
        <w:spacing w:after="0" w:line="240" w:lineRule="auto"/>
        <w:rPr>
          <w:rFonts w:ascii="Times New Roman" w:hAnsi="Times New Roman"/>
        </w:rPr>
      </w:pPr>
      <w:r>
        <w:rPr>
          <w:rFonts w:ascii="Times New Roman" w:hAnsi="Times New Roman"/>
        </w:rPr>
        <w:t>Mikrokristalinė celiuliozė</w:t>
      </w:r>
    </w:p>
    <w:p w:rsidR="00444C66" w:rsidRDefault="00444C66">
      <w:pPr>
        <w:widowControl w:val="0"/>
        <w:tabs>
          <w:tab w:val="left" w:pos="567"/>
        </w:tabs>
        <w:spacing w:after="0" w:line="240" w:lineRule="auto"/>
        <w:rPr>
          <w:rFonts w:ascii="Times New Roman" w:hAnsi="Times New Roman"/>
        </w:rPr>
      </w:pPr>
      <w:r>
        <w:rPr>
          <w:rFonts w:ascii="Times New Roman" w:hAnsi="Times New Roman"/>
        </w:rPr>
        <w:t>Laktozė monohidratas</w:t>
      </w:r>
    </w:p>
    <w:p w:rsidR="00444C66" w:rsidRDefault="00444C66">
      <w:pPr>
        <w:widowControl w:val="0"/>
        <w:tabs>
          <w:tab w:val="left" w:pos="567"/>
        </w:tabs>
        <w:spacing w:after="0" w:line="240" w:lineRule="auto"/>
        <w:rPr>
          <w:rFonts w:ascii="Times New Roman" w:hAnsi="Times New Roman"/>
        </w:rPr>
      </w:pPr>
      <w:r>
        <w:rPr>
          <w:rFonts w:ascii="Times New Roman" w:hAnsi="Times New Roman"/>
        </w:rPr>
        <w:t>Mažai pakeista hidroksipropilceliuliozė</w:t>
      </w:r>
    </w:p>
    <w:p w:rsidR="00444C66" w:rsidRDefault="00444C66">
      <w:pPr>
        <w:widowControl w:val="0"/>
        <w:tabs>
          <w:tab w:val="left" w:pos="567"/>
        </w:tabs>
        <w:spacing w:after="0" w:line="240" w:lineRule="auto"/>
        <w:rPr>
          <w:rFonts w:ascii="Times New Roman" w:hAnsi="Times New Roman"/>
        </w:rPr>
      </w:pPr>
      <w:r>
        <w:rPr>
          <w:rFonts w:ascii="Times New Roman" w:hAnsi="Times New Roman"/>
        </w:rPr>
        <w:t>Magnio stearatas</w:t>
      </w:r>
    </w:p>
    <w:p w:rsidR="00444C66" w:rsidRDefault="00444C66">
      <w:pPr>
        <w:widowControl w:val="0"/>
        <w:tabs>
          <w:tab w:val="left" w:pos="567"/>
        </w:tabs>
        <w:spacing w:after="0" w:line="240" w:lineRule="auto"/>
        <w:rPr>
          <w:rFonts w:ascii="Times New Roman" w:hAnsi="Times New Roman"/>
        </w:rPr>
      </w:pPr>
    </w:p>
    <w:p w:rsidR="00444C66" w:rsidRDefault="00444C66">
      <w:pPr>
        <w:widowControl w:val="0"/>
        <w:tabs>
          <w:tab w:val="left" w:pos="567"/>
        </w:tabs>
        <w:spacing w:after="0" w:line="240" w:lineRule="auto"/>
        <w:rPr>
          <w:rFonts w:ascii="Times New Roman" w:hAnsi="Times New Roman"/>
          <w:i/>
          <w:u w:val="single"/>
        </w:rPr>
      </w:pPr>
      <w:r>
        <w:rPr>
          <w:rFonts w:ascii="Times New Roman" w:hAnsi="Times New Roman"/>
          <w:i/>
          <w:u w:val="single"/>
        </w:rPr>
        <w:t>Tabletės plėvelė</w:t>
      </w:r>
    </w:p>
    <w:p w:rsidR="00444C66" w:rsidRDefault="00444C66">
      <w:pPr>
        <w:widowControl w:val="0"/>
        <w:tabs>
          <w:tab w:val="left" w:pos="567"/>
        </w:tabs>
        <w:spacing w:after="0" w:line="240" w:lineRule="auto"/>
        <w:rPr>
          <w:rFonts w:ascii="Times New Roman" w:hAnsi="Times New Roman"/>
        </w:rPr>
      </w:pPr>
      <w:r>
        <w:rPr>
          <w:rFonts w:ascii="Times New Roman" w:hAnsi="Times New Roman"/>
        </w:rPr>
        <w:t>Titano dioksidas</w:t>
      </w:r>
    </w:p>
    <w:p w:rsidR="00444C66" w:rsidRDefault="00444C66">
      <w:pPr>
        <w:widowControl w:val="0"/>
        <w:tabs>
          <w:tab w:val="left" w:pos="567"/>
        </w:tabs>
        <w:spacing w:after="0" w:line="240" w:lineRule="auto"/>
        <w:rPr>
          <w:rFonts w:ascii="Times New Roman" w:hAnsi="Times New Roman"/>
        </w:rPr>
      </w:pPr>
      <w:r>
        <w:rPr>
          <w:rFonts w:ascii="Times New Roman" w:hAnsi="Times New Roman"/>
        </w:rPr>
        <w:t>Talkas</w:t>
      </w:r>
    </w:p>
    <w:p w:rsidR="00444C66" w:rsidRDefault="00444C66">
      <w:pPr>
        <w:widowControl w:val="0"/>
        <w:tabs>
          <w:tab w:val="left" w:pos="567"/>
        </w:tabs>
        <w:spacing w:after="0" w:line="240" w:lineRule="auto"/>
        <w:rPr>
          <w:rFonts w:ascii="Times New Roman" w:hAnsi="Times New Roman"/>
        </w:rPr>
      </w:pPr>
      <w:r>
        <w:rPr>
          <w:rFonts w:ascii="Times New Roman" w:hAnsi="Times New Roman"/>
        </w:rPr>
        <w:t>Makrogolis 3000</w:t>
      </w:r>
    </w:p>
    <w:p w:rsidR="00444C66" w:rsidRDefault="00444C66">
      <w:pPr>
        <w:widowControl w:val="0"/>
        <w:tabs>
          <w:tab w:val="left" w:pos="567"/>
        </w:tabs>
        <w:spacing w:after="0" w:line="240" w:lineRule="auto"/>
        <w:rPr>
          <w:rFonts w:ascii="Times New Roman" w:hAnsi="Times New Roman"/>
        </w:rPr>
      </w:pPr>
      <w:r>
        <w:rPr>
          <w:rFonts w:ascii="Times New Roman" w:hAnsi="Times New Roman"/>
        </w:rPr>
        <w:t>Dalinai hidrolizuotas polivinilo alkoholis</w:t>
      </w:r>
    </w:p>
    <w:p w:rsidR="00444C66" w:rsidRDefault="00444C66">
      <w:pPr>
        <w:widowControl w:val="0"/>
        <w:tabs>
          <w:tab w:val="left" w:pos="567"/>
        </w:tabs>
        <w:spacing w:after="0" w:line="240" w:lineRule="auto"/>
        <w:rPr>
          <w:rFonts w:ascii="Times New Roman" w:hAnsi="Times New Roman"/>
        </w:rPr>
      </w:pPr>
    </w:p>
    <w:p w:rsidR="00444C66" w:rsidRDefault="00444C66">
      <w:pPr>
        <w:widowControl w:val="0"/>
        <w:tabs>
          <w:tab w:val="left" w:pos="567"/>
        </w:tabs>
        <w:spacing w:after="0" w:line="240" w:lineRule="auto"/>
        <w:ind w:left="567" w:hanging="567"/>
        <w:rPr>
          <w:rFonts w:ascii="Times New Roman" w:hAnsi="Times New Roman"/>
        </w:rPr>
      </w:pPr>
      <w:r>
        <w:rPr>
          <w:rFonts w:ascii="Times New Roman" w:hAnsi="Times New Roman"/>
          <w:b/>
        </w:rPr>
        <w:t>6.2</w:t>
      </w:r>
      <w:r>
        <w:rPr>
          <w:rFonts w:ascii="Times New Roman" w:hAnsi="Times New Roman"/>
          <w:b/>
        </w:rPr>
        <w:tab/>
        <w:t>Nesuderinamumas</w:t>
      </w:r>
    </w:p>
    <w:p w:rsidR="00444C66" w:rsidRDefault="00444C66">
      <w:pPr>
        <w:widowControl w:val="0"/>
        <w:tabs>
          <w:tab w:val="left" w:pos="567"/>
        </w:tabs>
        <w:spacing w:after="0" w:line="240" w:lineRule="auto"/>
        <w:rPr>
          <w:rFonts w:ascii="Times New Roman" w:hAnsi="Times New Roman"/>
        </w:rPr>
      </w:pPr>
    </w:p>
    <w:p w:rsidR="00444C66" w:rsidRDefault="00444C66">
      <w:pPr>
        <w:widowControl w:val="0"/>
        <w:tabs>
          <w:tab w:val="left" w:pos="567"/>
        </w:tabs>
        <w:spacing w:after="0" w:line="240" w:lineRule="auto"/>
        <w:rPr>
          <w:rFonts w:ascii="Times New Roman" w:hAnsi="Times New Roman"/>
        </w:rPr>
      </w:pPr>
      <w:r>
        <w:rPr>
          <w:rFonts w:ascii="Times New Roman" w:hAnsi="Times New Roman"/>
        </w:rPr>
        <w:t>Duomenys nebūtini.</w:t>
      </w:r>
    </w:p>
    <w:p w:rsidR="00444C66" w:rsidRDefault="00444C66">
      <w:pPr>
        <w:widowControl w:val="0"/>
        <w:tabs>
          <w:tab w:val="left" w:pos="567"/>
        </w:tabs>
        <w:spacing w:after="0" w:line="240" w:lineRule="auto"/>
        <w:rPr>
          <w:rFonts w:ascii="Times New Roman" w:hAnsi="Times New Roman"/>
        </w:rPr>
      </w:pPr>
    </w:p>
    <w:p w:rsidR="00444C66" w:rsidRDefault="00444C66">
      <w:pPr>
        <w:widowControl w:val="0"/>
        <w:tabs>
          <w:tab w:val="left" w:pos="567"/>
        </w:tabs>
        <w:spacing w:after="0" w:line="240" w:lineRule="auto"/>
        <w:ind w:left="567" w:hanging="567"/>
        <w:rPr>
          <w:rFonts w:ascii="Times New Roman" w:hAnsi="Times New Roman"/>
          <w:b/>
        </w:rPr>
      </w:pPr>
      <w:r>
        <w:rPr>
          <w:rFonts w:ascii="Times New Roman" w:hAnsi="Times New Roman"/>
          <w:b/>
        </w:rPr>
        <w:t>6.3</w:t>
      </w:r>
      <w:r>
        <w:rPr>
          <w:rFonts w:ascii="Times New Roman" w:hAnsi="Times New Roman"/>
          <w:b/>
        </w:rPr>
        <w:tab/>
        <w:t>Tinkamumo laikas</w:t>
      </w:r>
    </w:p>
    <w:p w:rsidR="00444C66" w:rsidRDefault="00444C66">
      <w:pPr>
        <w:widowControl w:val="0"/>
        <w:tabs>
          <w:tab w:val="left" w:pos="567"/>
        </w:tabs>
        <w:spacing w:after="0" w:line="240" w:lineRule="auto"/>
        <w:rPr>
          <w:rFonts w:ascii="Times New Roman" w:hAnsi="Times New Roman"/>
        </w:rPr>
      </w:pPr>
    </w:p>
    <w:p w:rsidR="00444C66" w:rsidRDefault="00444C66">
      <w:pPr>
        <w:widowControl w:val="0"/>
        <w:tabs>
          <w:tab w:val="left" w:pos="567"/>
        </w:tabs>
        <w:spacing w:after="0" w:line="240" w:lineRule="auto"/>
        <w:rPr>
          <w:rFonts w:ascii="Times New Roman" w:hAnsi="Times New Roman"/>
        </w:rPr>
      </w:pPr>
      <w:r>
        <w:rPr>
          <w:rFonts w:ascii="Times New Roman" w:hAnsi="Times New Roman"/>
        </w:rPr>
        <w:t>3 metai.</w:t>
      </w:r>
    </w:p>
    <w:p w:rsidR="00444C66" w:rsidRDefault="00444C66">
      <w:pPr>
        <w:widowControl w:val="0"/>
        <w:tabs>
          <w:tab w:val="left" w:pos="567"/>
        </w:tabs>
        <w:spacing w:after="0" w:line="240" w:lineRule="auto"/>
        <w:rPr>
          <w:rFonts w:ascii="Times New Roman" w:hAnsi="Times New Roman"/>
        </w:rPr>
      </w:pPr>
    </w:p>
    <w:p w:rsidR="00444C66" w:rsidRDefault="00444C66">
      <w:pPr>
        <w:widowControl w:val="0"/>
        <w:tabs>
          <w:tab w:val="left" w:pos="567"/>
        </w:tabs>
        <w:spacing w:after="0" w:line="240" w:lineRule="auto"/>
        <w:ind w:left="567" w:hanging="567"/>
        <w:rPr>
          <w:rFonts w:ascii="Times New Roman" w:hAnsi="Times New Roman"/>
          <w:b/>
        </w:rPr>
      </w:pPr>
      <w:r>
        <w:rPr>
          <w:rFonts w:ascii="Times New Roman" w:hAnsi="Times New Roman"/>
          <w:b/>
        </w:rPr>
        <w:t>6.4</w:t>
      </w:r>
      <w:r>
        <w:rPr>
          <w:rFonts w:ascii="Times New Roman" w:hAnsi="Times New Roman"/>
          <w:b/>
        </w:rPr>
        <w:tab/>
        <w:t>Specialios laikymo sąlygos</w:t>
      </w:r>
    </w:p>
    <w:p w:rsidR="00444C66" w:rsidRDefault="00444C66">
      <w:pPr>
        <w:widowControl w:val="0"/>
        <w:tabs>
          <w:tab w:val="left" w:pos="567"/>
        </w:tabs>
        <w:spacing w:after="0" w:line="240" w:lineRule="auto"/>
        <w:rPr>
          <w:rFonts w:ascii="Times New Roman" w:hAnsi="Times New Roman"/>
          <w:i/>
        </w:rPr>
      </w:pPr>
    </w:p>
    <w:p w:rsidR="00444C66" w:rsidRDefault="00444C66">
      <w:pPr>
        <w:widowControl w:val="0"/>
        <w:tabs>
          <w:tab w:val="left" w:pos="567"/>
        </w:tabs>
        <w:spacing w:after="0" w:line="240" w:lineRule="auto"/>
        <w:rPr>
          <w:rFonts w:ascii="Times New Roman" w:hAnsi="Times New Roman"/>
        </w:rPr>
      </w:pPr>
      <w:r>
        <w:rPr>
          <w:rFonts w:ascii="Times New Roman" w:hAnsi="Times New Roman"/>
        </w:rPr>
        <w:t>Šiam vaistiniam preparatui specialių laikymo sąlygų nereikia.</w:t>
      </w:r>
    </w:p>
    <w:p w:rsidR="00444C66" w:rsidRDefault="00444C66">
      <w:pPr>
        <w:widowControl w:val="0"/>
        <w:tabs>
          <w:tab w:val="left" w:pos="567"/>
        </w:tabs>
        <w:spacing w:after="0" w:line="240" w:lineRule="auto"/>
        <w:rPr>
          <w:rFonts w:ascii="Times New Roman" w:hAnsi="Times New Roman"/>
        </w:rPr>
      </w:pPr>
    </w:p>
    <w:p w:rsidR="00444C66" w:rsidRDefault="00444C66">
      <w:pPr>
        <w:widowControl w:val="0"/>
        <w:tabs>
          <w:tab w:val="left" w:pos="567"/>
        </w:tabs>
        <w:spacing w:after="0" w:line="240" w:lineRule="auto"/>
        <w:ind w:left="567" w:hanging="567"/>
        <w:rPr>
          <w:rFonts w:ascii="Times New Roman" w:hAnsi="Times New Roman"/>
          <w:b/>
        </w:rPr>
      </w:pPr>
      <w:r>
        <w:rPr>
          <w:rFonts w:ascii="Times New Roman" w:hAnsi="Times New Roman"/>
          <w:b/>
        </w:rPr>
        <w:t>6.5</w:t>
      </w:r>
      <w:r>
        <w:rPr>
          <w:rFonts w:ascii="Times New Roman" w:hAnsi="Times New Roman"/>
          <w:b/>
        </w:rPr>
        <w:tab/>
        <w:t>Talpyklės pobūdis ir jos turinys</w:t>
      </w:r>
    </w:p>
    <w:p w:rsidR="00444C66" w:rsidRDefault="00444C66">
      <w:pPr>
        <w:widowControl w:val="0"/>
        <w:tabs>
          <w:tab w:val="left" w:pos="567"/>
        </w:tabs>
        <w:spacing w:after="0" w:line="240" w:lineRule="auto"/>
        <w:rPr>
          <w:rFonts w:ascii="Times New Roman" w:hAnsi="Times New Roman"/>
        </w:rPr>
      </w:pPr>
    </w:p>
    <w:p w:rsidR="00444C66" w:rsidRDefault="00444C66">
      <w:pPr>
        <w:widowControl w:val="0"/>
        <w:tabs>
          <w:tab w:val="left" w:pos="567"/>
        </w:tabs>
        <w:spacing w:after="0" w:line="240" w:lineRule="auto"/>
        <w:rPr>
          <w:rFonts w:ascii="Times New Roman" w:hAnsi="Times New Roman"/>
        </w:rPr>
      </w:pPr>
      <w:r>
        <w:rPr>
          <w:rFonts w:ascii="Times New Roman" w:hAnsi="Times New Roman"/>
        </w:rPr>
        <w:t>OPA/Al/PVC folijos-aliuminio folijos lizdinės plokštelės. Dėžutėje yra 10, 14, 28, 30, 56, 60, 84, 90, 98 arba 100 plėvele dengtų tablečių.</w:t>
      </w:r>
    </w:p>
    <w:p w:rsidR="00444C66" w:rsidRDefault="00444C66">
      <w:pPr>
        <w:widowControl w:val="0"/>
        <w:tabs>
          <w:tab w:val="left" w:pos="567"/>
        </w:tabs>
        <w:spacing w:after="0" w:line="240" w:lineRule="auto"/>
        <w:rPr>
          <w:rFonts w:ascii="Times New Roman" w:hAnsi="Times New Roman"/>
        </w:rPr>
      </w:pPr>
      <w:r>
        <w:rPr>
          <w:rFonts w:ascii="Times New Roman" w:hAnsi="Times New Roman"/>
        </w:rPr>
        <w:t xml:space="preserve">DTPE tablečių talpyklė su plastikiniu PP užsukamu </w:t>
      </w:r>
      <w:r>
        <w:rPr>
          <w:rFonts w:ascii="Times New Roman" w:eastAsia="Times New Roman" w:hAnsi="Times New Roman"/>
          <w:lang w:eastAsia="sl-SI"/>
        </w:rPr>
        <w:t>dangteliu</w:t>
      </w:r>
      <w:r>
        <w:rPr>
          <w:rFonts w:ascii="Times New Roman" w:hAnsi="Times New Roman"/>
        </w:rPr>
        <w:t xml:space="preserve"> ir sausikliu. Dėžutėje yra 100 plėvele dengtų tablečių.</w:t>
      </w:r>
    </w:p>
    <w:p w:rsidR="00444C66" w:rsidRDefault="00444C66">
      <w:pPr>
        <w:widowControl w:val="0"/>
        <w:tabs>
          <w:tab w:val="left" w:pos="567"/>
        </w:tabs>
        <w:spacing w:after="0" w:line="240" w:lineRule="auto"/>
        <w:rPr>
          <w:rFonts w:ascii="Times New Roman" w:hAnsi="Times New Roman"/>
        </w:rPr>
      </w:pPr>
    </w:p>
    <w:p w:rsidR="00444C66" w:rsidRDefault="00444C66">
      <w:pPr>
        <w:widowControl w:val="0"/>
        <w:tabs>
          <w:tab w:val="left" w:pos="567"/>
        </w:tabs>
        <w:spacing w:after="0" w:line="240" w:lineRule="auto"/>
        <w:rPr>
          <w:rFonts w:ascii="Times New Roman" w:hAnsi="Times New Roman"/>
        </w:rPr>
      </w:pPr>
      <w:r>
        <w:rPr>
          <w:rFonts w:ascii="Times New Roman" w:hAnsi="Times New Roman"/>
        </w:rPr>
        <w:t>Gali būti tiekiamos ne visų dydžių pakuotės.</w:t>
      </w:r>
    </w:p>
    <w:p w:rsidR="00444C66" w:rsidRDefault="00444C66">
      <w:pPr>
        <w:widowControl w:val="0"/>
        <w:tabs>
          <w:tab w:val="left" w:pos="567"/>
        </w:tabs>
        <w:spacing w:after="0" w:line="240" w:lineRule="auto"/>
        <w:rPr>
          <w:rFonts w:ascii="Times New Roman" w:hAnsi="Times New Roman"/>
        </w:rPr>
      </w:pPr>
    </w:p>
    <w:p w:rsidR="00444C66" w:rsidRDefault="00444C66">
      <w:pPr>
        <w:widowControl w:val="0"/>
        <w:tabs>
          <w:tab w:val="left" w:pos="567"/>
        </w:tabs>
        <w:spacing w:after="0" w:line="240" w:lineRule="auto"/>
        <w:ind w:left="567" w:hanging="567"/>
        <w:rPr>
          <w:rFonts w:ascii="Times New Roman" w:hAnsi="Times New Roman"/>
          <w:b/>
        </w:rPr>
      </w:pPr>
      <w:r>
        <w:rPr>
          <w:rFonts w:ascii="Times New Roman" w:hAnsi="Times New Roman"/>
          <w:b/>
        </w:rPr>
        <w:t>6.6</w:t>
      </w:r>
      <w:r>
        <w:rPr>
          <w:rFonts w:ascii="Times New Roman" w:hAnsi="Times New Roman"/>
          <w:b/>
        </w:rPr>
        <w:tab/>
        <w:t>Specialūs reikalavimai atliekoms tvarkyti ir vaistiniam preparatui ruošti</w:t>
      </w:r>
    </w:p>
    <w:p w:rsidR="00444C66" w:rsidRDefault="00444C66">
      <w:pPr>
        <w:widowControl w:val="0"/>
        <w:tabs>
          <w:tab w:val="left" w:pos="567"/>
        </w:tabs>
        <w:spacing w:after="0" w:line="240" w:lineRule="auto"/>
        <w:rPr>
          <w:rFonts w:ascii="Times New Roman" w:hAnsi="Times New Roman"/>
        </w:rPr>
      </w:pPr>
    </w:p>
    <w:p w:rsidR="00444C66" w:rsidRDefault="00444C66">
      <w:pPr>
        <w:widowControl w:val="0"/>
        <w:tabs>
          <w:tab w:val="left" w:pos="567"/>
        </w:tabs>
        <w:spacing w:after="0" w:line="240" w:lineRule="auto"/>
        <w:rPr>
          <w:rFonts w:ascii="Times New Roman" w:hAnsi="Times New Roman"/>
        </w:rPr>
      </w:pPr>
      <w:r>
        <w:rPr>
          <w:rFonts w:ascii="Times New Roman" w:hAnsi="Times New Roman"/>
        </w:rPr>
        <w:t>Nesuvartotą vaistinį preparatą ar atliekas reikia tvarkyti laikantis vietinių reikalavimų.</w:t>
      </w:r>
    </w:p>
    <w:p w:rsidR="00444C66" w:rsidRDefault="00444C66">
      <w:pPr>
        <w:widowControl w:val="0"/>
        <w:tabs>
          <w:tab w:val="left" w:pos="567"/>
        </w:tabs>
        <w:spacing w:after="0" w:line="240" w:lineRule="auto"/>
        <w:rPr>
          <w:rFonts w:ascii="Times New Roman" w:hAnsi="Times New Roman"/>
        </w:rPr>
      </w:pPr>
    </w:p>
    <w:p w:rsidR="00444C66" w:rsidRDefault="00444C66">
      <w:pPr>
        <w:widowControl w:val="0"/>
        <w:tabs>
          <w:tab w:val="left" w:pos="567"/>
        </w:tabs>
        <w:spacing w:after="0" w:line="240" w:lineRule="auto"/>
        <w:rPr>
          <w:rFonts w:ascii="Times New Roman" w:hAnsi="Times New Roman"/>
        </w:rPr>
      </w:pPr>
    </w:p>
    <w:p w:rsidR="00444C66" w:rsidRDefault="00444C66">
      <w:pPr>
        <w:widowControl w:val="0"/>
        <w:tabs>
          <w:tab w:val="left" w:pos="567"/>
        </w:tabs>
        <w:spacing w:after="0" w:line="240" w:lineRule="auto"/>
        <w:ind w:left="567" w:hanging="567"/>
        <w:rPr>
          <w:rFonts w:ascii="Times New Roman" w:eastAsia="Times New Roman" w:hAnsi="Times New Roman"/>
          <w:lang w:eastAsia="sl-SI"/>
        </w:rPr>
      </w:pPr>
      <w:r>
        <w:rPr>
          <w:rFonts w:ascii="Times New Roman" w:eastAsia="Times New Roman" w:hAnsi="Times New Roman"/>
          <w:b/>
          <w:lang w:eastAsia="sl-SI"/>
        </w:rPr>
        <w:t>7.</w:t>
      </w:r>
      <w:r>
        <w:rPr>
          <w:rFonts w:ascii="Times New Roman" w:eastAsia="Times New Roman" w:hAnsi="Times New Roman"/>
          <w:b/>
          <w:lang w:eastAsia="sl-SI"/>
        </w:rPr>
        <w:tab/>
      </w:r>
      <w:r>
        <w:rPr>
          <w:rFonts w:ascii="Times New Roman" w:eastAsia="Times New Roman" w:hAnsi="Times New Roman"/>
          <w:b/>
          <w:caps/>
          <w:lang w:eastAsia="sl-SI"/>
        </w:rPr>
        <w:t>REGISTRUOTOJAS</w:t>
      </w:r>
    </w:p>
    <w:p w:rsidR="00444C66" w:rsidRDefault="00444C66">
      <w:pPr>
        <w:widowControl w:val="0"/>
        <w:tabs>
          <w:tab w:val="left" w:pos="567"/>
        </w:tabs>
        <w:spacing w:after="0" w:line="240" w:lineRule="auto"/>
        <w:rPr>
          <w:rFonts w:ascii="Times New Roman" w:hAnsi="Times New Roman"/>
        </w:rPr>
      </w:pPr>
    </w:p>
    <w:p w:rsidR="00444C66" w:rsidRDefault="00444C66">
      <w:pPr>
        <w:widowControl w:val="0"/>
        <w:autoSpaceDE w:val="0"/>
        <w:autoSpaceDN w:val="0"/>
        <w:adjustRightInd w:val="0"/>
        <w:spacing w:after="0" w:line="240" w:lineRule="auto"/>
        <w:jc w:val="both"/>
        <w:rPr>
          <w:rFonts w:ascii="Times New Roman" w:hAnsi="Times New Roman"/>
        </w:rPr>
      </w:pPr>
      <w:r>
        <w:rPr>
          <w:rFonts w:ascii="Times New Roman" w:hAnsi="Times New Roman"/>
        </w:rPr>
        <w:t>KRKA, d.d., Novo mesto</w:t>
      </w:r>
    </w:p>
    <w:p w:rsidR="00444C66" w:rsidRDefault="00444C66">
      <w:pPr>
        <w:widowControl w:val="0"/>
        <w:autoSpaceDE w:val="0"/>
        <w:autoSpaceDN w:val="0"/>
        <w:adjustRightInd w:val="0"/>
        <w:spacing w:after="0" w:line="240" w:lineRule="auto"/>
        <w:jc w:val="both"/>
        <w:rPr>
          <w:rFonts w:ascii="Times New Roman" w:hAnsi="Times New Roman"/>
        </w:rPr>
      </w:pPr>
      <w:r>
        <w:rPr>
          <w:rFonts w:ascii="Times New Roman" w:hAnsi="Times New Roman"/>
        </w:rPr>
        <w:t>Šmarješka cesta 6</w:t>
      </w:r>
    </w:p>
    <w:p w:rsidR="00444C66" w:rsidRDefault="00444C66">
      <w:pPr>
        <w:widowControl w:val="0"/>
        <w:autoSpaceDE w:val="0"/>
        <w:autoSpaceDN w:val="0"/>
        <w:adjustRightInd w:val="0"/>
        <w:spacing w:after="0" w:line="240" w:lineRule="auto"/>
        <w:jc w:val="both"/>
        <w:rPr>
          <w:rFonts w:ascii="Times New Roman" w:hAnsi="Times New Roman"/>
        </w:rPr>
      </w:pPr>
      <w:r>
        <w:rPr>
          <w:rFonts w:ascii="Times New Roman" w:hAnsi="Times New Roman"/>
        </w:rPr>
        <w:t>8501 Novo mesto</w:t>
      </w:r>
    </w:p>
    <w:p w:rsidR="00444C66" w:rsidRDefault="00444C66">
      <w:pPr>
        <w:widowControl w:val="0"/>
        <w:autoSpaceDE w:val="0"/>
        <w:autoSpaceDN w:val="0"/>
        <w:adjustRightInd w:val="0"/>
        <w:spacing w:after="0" w:line="240" w:lineRule="auto"/>
        <w:jc w:val="both"/>
        <w:rPr>
          <w:rFonts w:ascii="Times New Roman" w:hAnsi="Times New Roman"/>
        </w:rPr>
      </w:pPr>
      <w:r>
        <w:rPr>
          <w:rFonts w:ascii="Times New Roman" w:hAnsi="Times New Roman"/>
        </w:rPr>
        <w:t>Slovėnija</w:t>
      </w:r>
    </w:p>
    <w:p w:rsidR="00444C66" w:rsidRDefault="00444C66">
      <w:pPr>
        <w:widowControl w:val="0"/>
        <w:autoSpaceDE w:val="0"/>
        <w:autoSpaceDN w:val="0"/>
        <w:adjustRightInd w:val="0"/>
        <w:spacing w:after="0" w:line="240" w:lineRule="auto"/>
        <w:jc w:val="both"/>
        <w:rPr>
          <w:rFonts w:ascii="Times New Roman" w:hAnsi="Times New Roman"/>
          <w:highlight w:val="yellow"/>
        </w:rPr>
      </w:pPr>
    </w:p>
    <w:p w:rsidR="00444C66" w:rsidRDefault="00444C66">
      <w:pPr>
        <w:widowControl w:val="0"/>
        <w:tabs>
          <w:tab w:val="left" w:pos="567"/>
        </w:tabs>
        <w:spacing w:after="0" w:line="240" w:lineRule="auto"/>
        <w:rPr>
          <w:rFonts w:ascii="Times New Roman" w:hAnsi="Times New Roman"/>
        </w:rPr>
      </w:pPr>
    </w:p>
    <w:p w:rsidR="00444C66" w:rsidRDefault="00444C66">
      <w:pPr>
        <w:widowControl w:val="0"/>
        <w:tabs>
          <w:tab w:val="left" w:pos="567"/>
        </w:tabs>
        <w:spacing w:after="0" w:line="240" w:lineRule="auto"/>
        <w:ind w:left="567" w:hanging="567"/>
        <w:rPr>
          <w:rFonts w:ascii="Times New Roman" w:hAnsi="Times New Roman"/>
          <w:b/>
          <w:caps/>
        </w:rPr>
      </w:pPr>
      <w:r>
        <w:rPr>
          <w:rFonts w:ascii="Times New Roman" w:hAnsi="Times New Roman"/>
          <w:b/>
        </w:rPr>
        <w:t>8.</w:t>
      </w:r>
      <w:r>
        <w:rPr>
          <w:rFonts w:ascii="Times New Roman" w:hAnsi="Times New Roman"/>
          <w:b/>
        </w:rPr>
        <w:tab/>
      </w:r>
      <w:r>
        <w:rPr>
          <w:rFonts w:ascii="Times New Roman" w:eastAsia="Times New Roman" w:hAnsi="Times New Roman"/>
          <w:b/>
          <w:caps/>
          <w:lang w:eastAsia="sl-SI"/>
        </w:rPr>
        <w:t>REGISTRACIJOS</w:t>
      </w:r>
      <w:r>
        <w:rPr>
          <w:rFonts w:ascii="Times New Roman" w:hAnsi="Times New Roman"/>
          <w:b/>
          <w:caps/>
        </w:rPr>
        <w:t xml:space="preserve"> PAŽYMĖJIMO numeris (-IAI)</w:t>
      </w:r>
    </w:p>
    <w:p w:rsidR="00444C66" w:rsidRDefault="00444C66">
      <w:pPr>
        <w:widowControl w:val="0"/>
        <w:tabs>
          <w:tab w:val="left" w:pos="567"/>
        </w:tabs>
        <w:spacing w:after="0" w:line="240" w:lineRule="auto"/>
        <w:rPr>
          <w:rFonts w:ascii="Times New Roman" w:hAnsi="Times New Roman"/>
          <w:i/>
        </w:rPr>
      </w:pPr>
    </w:p>
    <w:tbl>
      <w:tblPr>
        <w:tblW w:w="0" w:type="auto"/>
        <w:tblLook w:val="04A0" w:firstRow="1" w:lastRow="0" w:firstColumn="1" w:lastColumn="0" w:noHBand="0" w:noVBand="1"/>
      </w:tblPr>
      <w:tblGrid>
        <w:gridCol w:w="3023"/>
        <w:gridCol w:w="3024"/>
        <w:gridCol w:w="3024"/>
      </w:tblGrid>
      <w:tr w:rsidR="00444C66">
        <w:tc>
          <w:tcPr>
            <w:tcW w:w="3095" w:type="dxa"/>
            <w:shd w:val="clear" w:color="auto" w:fill="auto"/>
          </w:tcPr>
          <w:p w:rsidR="00444C66" w:rsidRDefault="00444C66">
            <w:pPr>
              <w:widowControl w:val="0"/>
              <w:spacing w:after="0" w:line="240" w:lineRule="auto"/>
              <w:rPr>
                <w:rFonts w:ascii="Times New Roman" w:hAnsi="Times New Roman"/>
              </w:rPr>
            </w:pPr>
            <w:r>
              <w:rPr>
                <w:rFonts w:ascii="Times New Roman" w:hAnsi="Times New Roman"/>
              </w:rPr>
              <w:t>Olimestra 10 mg</w:t>
            </w:r>
          </w:p>
          <w:p w:rsidR="00444C66" w:rsidRDefault="00444C66">
            <w:pPr>
              <w:widowControl w:val="0"/>
              <w:spacing w:after="0" w:line="240" w:lineRule="auto"/>
              <w:rPr>
                <w:rFonts w:ascii="Times New Roman" w:hAnsi="Times New Roman"/>
                <w:u w:val="single"/>
              </w:rPr>
            </w:pPr>
            <w:r>
              <w:rPr>
                <w:rFonts w:ascii="Times New Roman" w:hAnsi="Times New Roman"/>
                <w:u w:val="single"/>
              </w:rPr>
              <w:lastRenderedPageBreak/>
              <w:t>Lizdinė plokštelė:</w:t>
            </w:r>
          </w:p>
          <w:p w:rsidR="00444C66" w:rsidRDefault="00444C66">
            <w:pPr>
              <w:widowControl w:val="0"/>
              <w:spacing w:after="0" w:line="240" w:lineRule="auto"/>
              <w:rPr>
                <w:rFonts w:ascii="Times New Roman" w:hAnsi="Times New Roman"/>
              </w:rPr>
            </w:pPr>
            <w:r>
              <w:rPr>
                <w:rFonts w:ascii="Times New Roman" w:hAnsi="Times New Roman"/>
              </w:rPr>
              <w:t>N10 - LT/1/10/2114/001</w:t>
            </w:r>
          </w:p>
          <w:p w:rsidR="00444C66" w:rsidRDefault="00444C66">
            <w:pPr>
              <w:widowControl w:val="0"/>
              <w:spacing w:after="0" w:line="240" w:lineRule="auto"/>
              <w:rPr>
                <w:rFonts w:ascii="Times New Roman" w:hAnsi="Times New Roman"/>
              </w:rPr>
            </w:pPr>
            <w:r>
              <w:rPr>
                <w:rFonts w:ascii="Times New Roman" w:hAnsi="Times New Roman"/>
              </w:rPr>
              <w:t>N14 - LT/1/10/2114/002</w:t>
            </w:r>
          </w:p>
          <w:p w:rsidR="00444C66" w:rsidRDefault="00444C66">
            <w:pPr>
              <w:widowControl w:val="0"/>
              <w:spacing w:after="0" w:line="240" w:lineRule="auto"/>
              <w:rPr>
                <w:rFonts w:ascii="Times New Roman" w:hAnsi="Times New Roman"/>
              </w:rPr>
            </w:pPr>
            <w:r>
              <w:rPr>
                <w:rFonts w:ascii="Times New Roman" w:hAnsi="Times New Roman"/>
              </w:rPr>
              <w:t>N28 - LT/1/10/2114/003</w:t>
            </w:r>
          </w:p>
          <w:p w:rsidR="00444C66" w:rsidRDefault="00444C66">
            <w:pPr>
              <w:widowControl w:val="0"/>
              <w:spacing w:after="0" w:line="240" w:lineRule="auto"/>
              <w:rPr>
                <w:rFonts w:ascii="Times New Roman" w:hAnsi="Times New Roman"/>
              </w:rPr>
            </w:pPr>
            <w:r>
              <w:rPr>
                <w:rFonts w:ascii="Times New Roman" w:hAnsi="Times New Roman"/>
              </w:rPr>
              <w:t>N30 - LT/1/10/2114/004</w:t>
            </w:r>
          </w:p>
          <w:p w:rsidR="00444C66" w:rsidRDefault="00444C66">
            <w:pPr>
              <w:widowControl w:val="0"/>
              <w:spacing w:after="0" w:line="240" w:lineRule="auto"/>
              <w:rPr>
                <w:rFonts w:ascii="Times New Roman" w:hAnsi="Times New Roman"/>
              </w:rPr>
            </w:pPr>
            <w:r>
              <w:rPr>
                <w:rFonts w:ascii="Times New Roman" w:hAnsi="Times New Roman"/>
              </w:rPr>
              <w:t>N56 - LT/1/10/2114/005</w:t>
            </w:r>
          </w:p>
          <w:p w:rsidR="00444C66" w:rsidRDefault="00444C66">
            <w:pPr>
              <w:widowControl w:val="0"/>
              <w:spacing w:after="0" w:line="240" w:lineRule="auto"/>
              <w:rPr>
                <w:rFonts w:ascii="Times New Roman" w:hAnsi="Times New Roman"/>
              </w:rPr>
            </w:pPr>
            <w:r>
              <w:rPr>
                <w:rFonts w:ascii="Times New Roman" w:hAnsi="Times New Roman"/>
              </w:rPr>
              <w:t>N60 - LT/1/10/2114/006</w:t>
            </w:r>
          </w:p>
          <w:p w:rsidR="00444C66" w:rsidRDefault="00444C66">
            <w:pPr>
              <w:widowControl w:val="0"/>
              <w:spacing w:after="0" w:line="240" w:lineRule="auto"/>
              <w:rPr>
                <w:rFonts w:ascii="Times New Roman" w:hAnsi="Times New Roman"/>
              </w:rPr>
            </w:pPr>
            <w:r>
              <w:rPr>
                <w:rFonts w:ascii="Times New Roman" w:hAnsi="Times New Roman"/>
              </w:rPr>
              <w:t>N84 - LT/1/10/2114/007</w:t>
            </w:r>
          </w:p>
          <w:p w:rsidR="00444C66" w:rsidRDefault="00444C66">
            <w:pPr>
              <w:widowControl w:val="0"/>
              <w:spacing w:after="0" w:line="240" w:lineRule="auto"/>
              <w:rPr>
                <w:rFonts w:ascii="Times New Roman" w:hAnsi="Times New Roman"/>
              </w:rPr>
            </w:pPr>
            <w:r>
              <w:rPr>
                <w:rFonts w:ascii="Times New Roman" w:hAnsi="Times New Roman"/>
              </w:rPr>
              <w:t>N90 - LT/1/10/2114/008</w:t>
            </w:r>
          </w:p>
          <w:p w:rsidR="00444C66" w:rsidRDefault="00444C66">
            <w:pPr>
              <w:widowControl w:val="0"/>
              <w:spacing w:after="0" w:line="240" w:lineRule="auto"/>
              <w:rPr>
                <w:rFonts w:ascii="Times New Roman" w:hAnsi="Times New Roman"/>
              </w:rPr>
            </w:pPr>
            <w:r>
              <w:rPr>
                <w:rFonts w:ascii="Times New Roman" w:hAnsi="Times New Roman"/>
              </w:rPr>
              <w:t>N98 - LT/1/10/2114/009</w:t>
            </w:r>
          </w:p>
          <w:p w:rsidR="00444C66" w:rsidRDefault="00444C66">
            <w:pPr>
              <w:widowControl w:val="0"/>
              <w:spacing w:after="0" w:line="240" w:lineRule="auto"/>
              <w:rPr>
                <w:rFonts w:ascii="Times New Roman" w:hAnsi="Times New Roman"/>
              </w:rPr>
            </w:pPr>
            <w:r>
              <w:rPr>
                <w:rFonts w:ascii="Times New Roman" w:hAnsi="Times New Roman"/>
              </w:rPr>
              <w:t>N100 - LT/1/10/2114/010</w:t>
            </w:r>
          </w:p>
          <w:p w:rsidR="00444C66" w:rsidRDefault="00444C66">
            <w:pPr>
              <w:widowControl w:val="0"/>
              <w:spacing w:after="0" w:line="240" w:lineRule="auto"/>
              <w:rPr>
                <w:rFonts w:ascii="Times New Roman" w:hAnsi="Times New Roman"/>
                <w:u w:val="single"/>
              </w:rPr>
            </w:pPr>
            <w:r>
              <w:rPr>
                <w:rFonts w:ascii="Times New Roman" w:hAnsi="Times New Roman"/>
                <w:u w:val="single"/>
              </w:rPr>
              <w:t>Tablečių talpyklė:</w:t>
            </w:r>
          </w:p>
          <w:p w:rsidR="00444C66" w:rsidRDefault="00444C66">
            <w:pPr>
              <w:widowControl w:val="0"/>
              <w:spacing w:after="0" w:line="240" w:lineRule="auto"/>
              <w:rPr>
                <w:rFonts w:ascii="Times New Roman" w:hAnsi="Times New Roman"/>
                <w:i/>
              </w:rPr>
            </w:pPr>
            <w:r>
              <w:rPr>
                <w:rFonts w:ascii="Times New Roman" w:hAnsi="Times New Roman"/>
              </w:rPr>
              <w:t>N100 - LT/1/10/2114/011</w:t>
            </w:r>
          </w:p>
        </w:tc>
        <w:tc>
          <w:tcPr>
            <w:tcW w:w="3096" w:type="dxa"/>
            <w:shd w:val="clear" w:color="auto" w:fill="auto"/>
          </w:tcPr>
          <w:p w:rsidR="00444C66" w:rsidRDefault="00444C66">
            <w:pPr>
              <w:widowControl w:val="0"/>
              <w:spacing w:after="0" w:line="240" w:lineRule="auto"/>
              <w:rPr>
                <w:rFonts w:ascii="Times New Roman" w:hAnsi="Times New Roman"/>
              </w:rPr>
            </w:pPr>
            <w:r>
              <w:rPr>
                <w:rFonts w:ascii="Times New Roman" w:hAnsi="Times New Roman"/>
              </w:rPr>
              <w:lastRenderedPageBreak/>
              <w:t>Olimestra 20 mg</w:t>
            </w:r>
          </w:p>
          <w:p w:rsidR="00444C66" w:rsidRDefault="00444C66">
            <w:pPr>
              <w:widowControl w:val="0"/>
              <w:spacing w:after="0" w:line="240" w:lineRule="auto"/>
              <w:rPr>
                <w:rFonts w:ascii="Times New Roman" w:hAnsi="Times New Roman"/>
                <w:u w:val="single"/>
              </w:rPr>
            </w:pPr>
            <w:r>
              <w:rPr>
                <w:rFonts w:ascii="Times New Roman" w:hAnsi="Times New Roman"/>
                <w:u w:val="single"/>
              </w:rPr>
              <w:lastRenderedPageBreak/>
              <w:t>Lizdinė plokštelė:</w:t>
            </w:r>
          </w:p>
          <w:p w:rsidR="00444C66" w:rsidRDefault="00444C66">
            <w:pPr>
              <w:widowControl w:val="0"/>
              <w:spacing w:after="0" w:line="240" w:lineRule="auto"/>
              <w:rPr>
                <w:rFonts w:ascii="Times New Roman" w:hAnsi="Times New Roman"/>
              </w:rPr>
            </w:pPr>
            <w:r>
              <w:rPr>
                <w:rFonts w:ascii="Times New Roman" w:hAnsi="Times New Roman"/>
              </w:rPr>
              <w:t>N10 - LT/1/10/2114/012</w:t>
            </w:r>
          </w:p>
          <w:p w:rsidR="00444C66" w:rsidRDefault="00444C66">
            <w:pPr>
              <w:widowControl w:val="0"/>
              <w:spacing w:after="0" w:line="240" w:lineRule="auto"/>
              <w:rPr>
                <w:rFonts w:ascii="Times New Roman" w:hAnsi="Times New Roman"/>
              </w:rPr>
            </w:pPr>
            <w:r>
              <w:rPr>
                <w:rFonts w:ascii="Times New Roman" w:hAnsi="Times New Roman"/>
              </w:rPr>
              <w:t>N14 - LT/1/10/2114/013</w:t>
            </w:r>
          </w:p>
          <w:p w:rsidR="00444C66" w:rsidRDefault="00444C66">
            <w:pPr>
              <w:widowControl w:val="0"/>
              <w:spacing w:after="0" w:line="240" w:lineRule="auto"/>
              <w:rPr>
                <w:rFonts w:ascii="Times New Roman" w:hAnsi="Times New Roman"/>
              </w:rPr>
            </w:pPr>
            <w:r>
              <w:rPr>
                <w:rFonts w:ascii="Times New Roman" w:hAnsi="Times New Roman"/>
              </w:rPr>
              <w:t>N28 - LT/1/10/2114/014</w:t>
            </w:r>
          </w:p>
          <w:p w:rsidR="00444C66" w:rsidRDefault="00444C66">
            <w:pPr>
              <w:widowControl w:val="0"/>
              <w:spacing w:after="0" w:line="240" w:lineRule="auto"/>
              <w:rPr>
                <w:rFonts w:ascii="Times New Roman" w:hAnsi="Times New Roman"/>
              </w:rPr>
            </w:pPr>
            <w:r>
              <w:rPr>
                <w:rFonts w:ascii="Times New Roman" w:hAnsi="Times New Roman"/>
              </w:rPr>
              <w:t>N30 - LT/1/10/2114/015</w:t>
            </w:r>
          </w:p>
          <w:p w:rsidR="00444C66" w:rsidRDefault="00444C66">
            <w:pPr>
              <w:widowControl w:val="0"/>
              <w:spacing w:after="0" w:line="240" w:lineRule="auto"/>
              <w:rPr>
                <w:rFonts w:ascii="Times New Roman" w:hAnsi="Times New Roman"/>
              </w:rPr>
            </w:pPr>
            <w:r>
              <w:rPr>
                <w:rFonts w:ascii="Times New Roman" w:hAnsi="Times New Roman"/>
              </w:rPr>
              <w:t>N56 - LT/1/10/2114/016</w:t>
            </w:r>
          </w:p>
          <w:p w:rsidR="00444C66" w:rsidRDefault="00444C66">
            <w:pPr>
              <w:widowControl w:val="0"/>
              <w:spacing w:after="0" w:line="240" w:lineRule="auto"/>
              <w:rPr>
                <w:rFonts w:ascii="Times New Roman" w:hAnsi="Times New Roman"/>
              </w:rPr>
            </w:pPr>
            <w:r>
              <w:rPr>
                <w:rFonts w:ascii="Times New Roman" w:hAnsi="Times New Roman"/>
              </w:rPr>
              <w:t>N60 - LT/1/10/2114/017</w:t>
            </w:r>
          </w:p>
          <w:p w:rsidR="00444C66" w:rsidRDefault="00444C66">
            <w:pPr>
              <w:widowControl w:val="0"/>
              <w:spacing w:after="0" w:line="240" w:lineRule="auto"/>
              <w:rPr>
                <w:rFonts w:ascii="Times New Roman" w:hAnsi="Times New Roman"/>
              </w:rPr>
            </w:pPr>
            <w:r>
              <w:rPr>
                <w:rFonts w:ascii="Times New Roman" w:hAnsi="Times New Roman"/>
              </w:rPr>
              <w:t>N84 - LT/1/10/2114/018</w:t>
            </w:r>
          </w:p>
          <w:p w:rsidR="00444C66" w:rsidRDefault="00444C66">
            <w:pPr>
              <w:widowControl w:val="0"/>
              <w:spacing w:after="0" w:line="240" w:lineRule="auto"/>
              <w:rPr>
                <w:rFonts w:ascii="Times New Roman" w:hAnsi="Times New Roman"/>
              </w:rPr>
            </w:pPr>
            <w:r>
              <w:rPr>
                <w:rFonts w:ascii="Times New Roman" w:hAnsi="Times New Roman"/>
              </w:rPr>
              <w:t>N90 - LT/1/10/2114/019</w:t>
            </w:r>
          </w:p>
          <w:p w:rsidR="00444C66" w:rsidRDefault="00444C66">
            <w:pPr>
              <w:widowControl w:val="0"/>
              <w:spacing w:after="0" w:line="240" w:lineRule="auto"/>
              <w:rPr>
                <w:rFonts w:ascii="Times New Roman" w:hAnsi="Times New Roman"/>
              </w:rPr>
            </w:pPr>
            <w:r>
              <w:rPr>
                <w:rFonts w:ascii="Times New Roman" w:hAnsi="Times New Roman"/>
              </w:rPr>
              <w:t>N98 - LT/1/10/2114/020</w:t>
            </w:r>
          </w:p>
          <w:p w:rsidR="00444C66" w:rsidRDefault="00444C66">
            <w:pPr>
              <w:widowControl w:val="0"/>
              <w:spacing w:after="0" w:line="240" w:lineRule="auto"/>
              <w:rPr>
                <w:rFonts w:ascii="Times New Roman" w:hAnsi="Times New Roman"/>
              </w:rPr>
            </w:pPr>
            <w:r>
              <w:rPr>
                <w:rFonts w:ascii="Times New Roman" w:hAnsi="Times New Roman"/>
              </w:rPr>
              <w:t>N100 - LT/1/10/2114/021</w:t>
            </w:r>
          </w:p>
          <w:p w:rsidR="00444C66" w:rsidRDefault="00444C66">
            <w:pPr>
              <w:widowControl w:val="0"/>
              <w:spacing w:after="0" w:line="240" w:lineRule="auto"/>
              <w:rPr>
                <w:rFonts w:ascii="Times New Roman" w:hAnsi="Times New Roman"/>
                <w:u w:val="single"/>
              </w:rPr>
            </w:pPr>
            <w:r>
              <w:rPr>
                <w:rFonts w:ascii="Times New Roman" w:hAnsi="Times New Roman"/>
                <w:u w:val="single"/>
              </w:rPr>
              <w:t>Tablečių talpyklė:</w:t>
            </w:r>
          </w:p>
          <w:p w:rsidR="00444C66" w:rsidRDefault="00444C66">
            <w:pPr>
              <w:widowControl w:val="0"/>
              <w:spacing w:after="0" w:line="240" w:lineRule="auto"/>
              <w:rPr>
                <w:rFonts w:ascii="Times New Roman" w:hAnsi="Times New Roman"/>
                <w:i/>
              </w:rPr>
            </w:pPr>
            <w:r>
              <w:rPr>
                <w:rFonts w:ascii="Times New Roman" w:hAnsi="Times New Roman"/>
              </w:rPr>
              <w:t>N100 - LT/1/10/2114/022</w:t>
            </w:r>
          </w:p>
        </w:tc>
        <w:tc>
          <w:tcPr>
            <w:tcW w:w="3096" w:type="dxa"/>
            <w:shd w:val="clear" w:color="auto" w:fill="auto"/>
          </w:tcPr>
          <w:p w:rsidR="00444C66" w:rsidRDefault="00444C66">
            <w:pPr>
              <w:widowControl w:val="0"/>
              <w:spacing w:after="0" w:line="240" w:lineRule="auto"/>
              <w:rPr>
                <w:rFonts w:ascii="Times New Roman" w:hAnsi="Times New Roman"/>
              </w:rPr>
            </w:pPr>
            <w:r>
              <w:rPr>
                <w:rFonts w:ascii="Times New Roman" w:hAnsi="Times New Roman"/>
              </w:rPr>
              <w:lastRenderedPageBreak/>
              <w:t>Olimestra 40 mg</w:t>
            </w:r>
          </w:p>
          <w:p w:rsidR="00444C66" w:rsidRDefault="00444C66">
            <w:pPr>
              <w:widowControl w:val="0"/>
              <w:spacing w:after="0" w:line="240" w:lineRule="auto"/>
              <w:rPr>
                <w:rFonts w:ascii="Times New Roman" w:hAnsi="Times New Roman"/>
                <w:u w:val="single"/>
              </w:rPr>
            </w:pPr>
            <w:r>
              <w:rPr>
                <w:rFonts w:ascii="Times New Roman" w:hAnsi="Times New Roman"/>
                <w:u w:val="single"/>
              </w:rPr>
              <w:lastRenderedPageBreak/>
              <w:t>Lizdinė plokštelė:</w:t>
            </w:r>
          </w:p>
          <w:p w:rsidR="00444C66" w:rsidRDefault="00444C66">
            <w:pPr>
              <w:widowControl w:val="0"/>
              <w:spacing w:after="0" w:line="240" w:lineRule="auto"/>
              <w:rPr>
                <w:rFonts w:ascii="Times New Roman" w:hAnsi="Times New Roman"/>
              </w:rPr>
            </w:pPr>
            <w:r>
              <w:rPr>
                <w:rFonts w:ascii="Times New Roman" w:hAnsi="Times New Roman"/>
              </w:rPr>
              <w:t>N10 - LT/1/10/2114/023</w:t>
            </w:r>
          </w:p>
          <w:p w:rsidR="00444C66" w:rsidRDefault="00444C66">
            <w:pPr>
              <w:widowControl w:val="0"/>
              <w:spacing w:after="0" w:line="240" w:lineRule="auto"/>
              <w:rPr>
                <w:rFonts w:ascii="Times New Roman" w:hAnsi="Times New Roman"/>
              </w:rPr>
            </w:pPr>
            <w:r>
              <w:rPr>
                <w:rFonts w:ascii="Times New Roman" w:hAnsi="Times New Roman"/>
              </w:rPr>
              <w:t>N14 - LT/1/10/2114/024</w:t>
            </w:r>
          </w:p>
          <w:p w:rsidR="00444C66" w:rsidRDefault="00444C66">
            <w:pPr>
              <w:widowControl w:val="0"/>
              <w:spacing w:after="0" w:line="240" w:lineRule="auto"/>
              <w:rPr>
                <w:rFonts w:ascii="Times New Roman" w:hAnsi="Times New Roman"/>
              </w:rPr>
            </w:pPr>
            <w:r>
              <w:rPr>
                <w:rFonts w:ascii="Times New Roman" w:hAnsi="Times New Roman"/>
              </w:rPr>
              <w:t>N28 - LT/1/10/2114/025</w:t>
            </w:r>
          </w:p>
          <w:p w:rsidR="00444C66" w:rsidRDefault="00444C66">
            <w:pPr>
              <w:widowControl w:val="0"/>
              <w:spacing w:after="0" w:line="240" w:lineRule="auto"/>
              <w:rPr>
                <w:rFonts w:ascii="Times New Roman" w:hAnsi="Times New Roman"/>
              </w:rPr>
            </w:pPr>
            <w:r>
              <w:rPr>
                <w:rFonts w:ascii="Times New Roman" w:hAnsi="Times New Roman"/>
              </w:rPr>
              <w:t>N30 - LT/1/10/2114/026</w:t>
            </w:r>
          </w:p>
          <w:p w:rsidR="00444C66" w:rsidRDefault="00444C66">
            <w:pPr>
              <w:widowControl w:val="0"/>
              <w:spacing w:after="0" w:line="240" w:lineRule="auto"/>
              <w:rPr>
                <w:rFonts w:ascii="Times New Roman" w:hAnsi="Times New Roman"/>
              </w:rPr>
            </w:pPr>
            <w:r>
              <w:rPr>
                <w:rFonts w:ascii="Times New Roman" w:hAnsi="Times New Roman"/>
              </w:rPr>
              <w:t>N56 - LT/1/10/2114/027</w:t>
            </w:r>
          </w:p>
          <w:p w:rsidR="00444C66" w:rsidRDefault="00444C66">
            <w:pPr>
              <w:widowControl w:val="0"/>
              <w:spacing w:after="0" w:line="240" w:lineRule="auto"/>
              <w:rPr>
                <w:rFonts w:ascii="Times New Roman" w:hAnsi="Times New Roman"/>
              </w:rPr>
            </w:pPr>
            <w:r>
              <w:rPr>
                <w:rFonts w:ascii="Times New Roman" w:hAnsi="Times New Roman"/>
              </w:rPr>
              <w:t>N60 - LT/1/10/2114/028</w:t>
            </w:r>
          </w:p>
          <w:p w:rsidR="00444C66" w:rsidRDefault="00444C66">
            <w:pPr>
              <w:widowControl w:val="0"/>
              <w:spacing w:after="0" w:line="240" w:lineRule="auto"/>
              <w:rPr>
                <w:rFonts w:ascii="Times New Roman" w:hAnsi="Times New Roman"/>
              </w:rPr>
            </w:pPr>
            <w:r>
              <w:rPr>
                <w:rFonts w:ascii="Times New Roman" w:hAnsi="Times New Roman"/>
              </w:rPr>
              <w:t>N84 - LT/1/10/2114/029</w:t>
            </w:r>
          </w:p>
          <w:p w:rsidR="00444C66" w:rsidRDefault="00444C66">
            <w:pPr>
              <w:widowControl w:val="0"/>
              <w:spacing w:after="0" w:line="240" w:lineRule="auto"/>
              <w:rPr>
                <w:rFonts w:ascii="Times New Roman" w:hAnsi="Times New Roman"/>
              </w:rPr>
            </w:pPr>
            <w:r>
              <w:rPr>
                <w:rFonts w:ascii="Times New Roman" w:hAnsi="Times New Roman"/>
              </w:rPr>
              <w:t>N90 - LT/1/10/2114/030</w:t>
            </w:r>
          </w:p>
          <w:p w:rsidR="00444C66" w:rsidRDefault="00444C66">
            <w:pPr>
              <w:widowControl w:val="0"/>
              <w:spacing w:after="0" w:line="240" w:lineRule="auto"/>
              <w:rPr>
                <w:rFonts w:ascii="Times New Roman" w:hAnsi="Times New Roman"/>
              </w:rPr>
            </w:pPr>
            <w:r>
              <w:rPr>
                <w:rFonts w:ascii="Times New Roman" w:hAnsi="Times New Roman"/>
              </w:rPr>
              <w:t>N98 - LT/1/10/2114/031</w:t>
            </w:r>
          </w:p>
          <w:p w:rsidR="00444C66" w:rsidRDefault="00444C66">
            <w:pPr>
              <w:widowControl w:val="0"/>
              <w:spacing w:after="0" w:line="240" w:lineRule="auto"/>
              <w:rPr>
                <w:rFonts w:ascii="Times New Roman" w:hAnsi="Times New Roman"/>
              </w:rPr>
            </w:pPr>
            <w:r>
              <w:rPr>
                <w:rFonts w:ascii="Times New Roman" w:hAnsi="Times New Roman"/>
              </w:rPr>
              <w:t>N100 - LT/1/10/2114/032</w:t>
            </w:r>
          </w:p>
          <w:p w:rsidR="00444C66" w:rsidRDefault="00444C66">
            <w:pPr>
              <w:widowControl w:val="0"/>
              <w:spacing w:after="0" w:line="240" w:lineRule="auto"/>
              <w:rPr>
                <w:rFonts w:ascii="Times New Roman" w:hAnsi="Times New Roman"/>
                <w:u w:val="single"/>
              </w:rPr>
            </w:pPr>
            <w:r>
              <w:rPr>
                <w:rFonts w:ascii="Times New Roman" w:hAnsi="Times New Roman"/>
                <w:u w:val="single"/>
              </w:rPr>
              <w:t>Tablečių talpyklė:</w:t>
            </w:r>
          </w:p>
          <w:p w:rsidR="00444C66" w:rsidRDefault="00444C66">
            <w:pPr>
              <w:widowControl w:val="0"/>
              <w:spacing w:after="0" w:line="240" w:lineRule="auto"/>
              <w:rPr>
                <w:rFonts w:ascii="Times New Roman" w:hAnsi="Times New Roman"/>
              </w:rPr>
            </w:pPr>
            <w:r>
              <w:rPr>
                <w:rFonts w:ascii="Times New Roman" w:hAnsi="Times New Roman"/>
              </w:rPr>
              <w:t>N100 - LT/1/10/2114/033</w:t>
            </w:r>
          </w:p>
        </w:tc>
      </w:tr>
    </w:tbl>
    <w:p w:rsidR="00444C66" w:rsidRDefault="00444C66">
      <w:pPr>
        <w:widowControl w:val="0"/>
        <w:tabs>
          <w:tab w:val="left" w:pos="567"/>
        </w:tabs>
        <w:spacing w:after="0" w:line="240" w:lineRule="auto"/>
        <w:rPr>
          <w:rFonts w:ascii="Times New Roman" w:hAnsi="Times New Roman"/>
        </w:rPr>
      </w:pPr>
    </w:p>
    <w:p w:rsidR="00444C66" w:rsidRDefault="00444C66">
      <w:pPr>
        <w:widowControl w:val="0"/>
        <w:tabs>
          <w:tab w:val="left" w:pos="567"/>
        </w:tabs>
        <w:spacing w:after="0" w:line="240" w:lineRule="auto"/>
        <w:rPr>
          <w:rFonts w:ascii="Times New Roman" w:hAnsi="Times New Roman"/>
        </w:rPr>
      </w:pPr>
    </w:p>
    <w:p w:rsidR="00444C66" w:rsidRDefault="00444C66">
      <w:pPr>
        <w:widowControl w:val="0"/>
        <w:tabs>
          <w:tab w:val="left" w:pos="567"/>
        </w:tabs>
        <w:spacing w:after="0" w:line="240" w:lineRule="auto"/>
        <w:ind w:left="567" w:hanging="567"/>
        <w:rPr>
          <w:rFonts w:ascii="Times New Roman" w:hAnsi="Times New Roman"/>
        </w:rPr>
      </w:pPr>
      <w:r>
        <w:rPr>
          <w:rFonts w:ascii="Times New Roman" w:hAnsi="Times New Roman"/>
          <w:b/>
        </w:rPr>
        <w:t>9.</w:t>
      </w:r>
      <w:r>
        <w:rPr>
          <w:rFonts w:ascii="Times New Roman" w:hAnsi="Times New Roman"/>
          <w:b/>
        </w:rPr>
        <w:tab/>
      </w:r>
      <w:r>
        <w:rPr>
          <w:rFonts w:ascii="Times New Roman" w:eastAsia="Times New Roman" w:hAnsi="Times New Roman"/>
          <w:b/>
          <w:caps/>
          <w:lang w:eastAsia="sl-SI"/>
        </w:rPr>
        <w:t>REGISTRAVIMO / PERREGISTRAVIMO</w:t>
      </w:r>
      <w:r>
        <w:rPr>
          <w:rFonts w:ascii="Times New Roman" w:hAnsi="Times New Roman"/>
          <w:b/>
          <w:caps/>
        </w:rPr>
        <w:t xml:space="preserve"> data</w:t>
      </w:r>
    </w:p>
    <w:p w:rsidR="00444C66" w:rsidRDefault="00444C66">
      <w:pPr>
        <w:widowControl w:val="0"/>
        <w:tabs>
          <w:tab w:val="left" w:pos="567"/>
        </w:tabs>
        <w:spacing w:after="0" w:line="240" w:lineRule="auto"/>
        <w:rPr>
          <w:rFonts w:ascii="Times New Roman" w:hAnsi="Times New Roman"/>
          <w:i/>
        </w:rPr>
      </w:pPr>
    </w:p>
    <w:p w:rsidR="00444C66" w:rsidRDefault="00444C66">
      <w:pPr>
        <w:widowControl w:val="0"/>
        <w:spacing w:after="0" w:line="240" w:lineRule="auto"/>
        <w:rPr>
          <w:rFonts w:ascii="Times New Roman" w:hAnsi="Times New Roman"/>
        </w:rPr>
      </w:pPr>
      <w:r>
        <w:rPr>
          <w:rFonts w:ascii="Times New Roman" w:eastAsia="Times New Roman" w:hAnsi="Times New Roman"/>
          <w:snapToGrid w:val="0"/>
          <w:lang w:eastAsia="sl-SI"/>
        </w:rPr>
        <w:t>Registravimo data</w:t>
      </w:r>
      <w:r>
        <w:rPr>
          <w:rFonts w:ascii="Times New Roman" w:hAnsi="Times New Roman"/>
        </w:rPr>
        <w:t xml:space="preserve"> 2010 m. liepos mėn. 29 d.</w:t>
      </w:r>
    </w:p>
    <w:p w:rsidR="00444C66" w:rsidRDefault="00444C66">
      <w:pPr>
        <w:widowControl w:val="0"/>
        <w:spacing w:after="0" w:line="240" w:lineRule="auto"/>
        <w:rPr>
          <w:rFonts w:ascii="Times New Roman" w:hAnsi="Times New Roman"/>
          <w:lang w:val="sl-SI"/>
        </w:rPr>
      </w:pPr>
      <w:r>
        <w:rPr>
          <w:rFonts w:ascii="Times New Roman" w:eastAsia="Times New Roman" w:hAnsi="Times New Roman"/>
          <w:lang w:val="sl-SI" w:eastAsia="sl-SI"/>
        </w:rPr>
        <w:t>Paskutinio perregistravimo data</w:t>
      </w:r>
      <w:r>
        <w:rPr>
          <w:rFonts w:ascii="Times New Roman" w:hAnsi="Times New Roman"/>
          <w:lang w:val="sl-SI"/>
        </w:rPr>
        <w:t xml:space="preserve"> 2015 m. vasario mėn. 25 d.</w:t>
      </w:r>
    </w:p>
    <w:p w:rsidR="00444C66" w:rsidRDefault="00444C66">
      <w:pPr>
        <w:widowControl w:val="0"/>
        <w:tabs>
          <w:tab w:val="left" w:pos="567"/>
        </w:tabs>
        <w:spacing w:after="0" w:line="240" w:lineRule="auto"/>
        <w:rPr>
          <w:rFonts w:ascii="Times New Roman" w:hAnsi="Times New Roman"/>
        </w:rPr>
      </w:pPr>
    </w:p>
    <w:p w:rsidR="00444C66" w:rsidRDefault="00444C66">
      <w:pPr>
        <w:widowControl w:val="0"/>
        <w:tabs>
          <w:tab w:val="left" w:pos="567"/>
        </w:tabs>
        <w:spacing w:after="0" w:line="240" w:lineRule="auto"/>
        <w:rPr>
          <w:rFonts w:ascii="Times New Roman" w:hAnsi="Times New Roman"/>
        </w:rPr>
      </w:pPr>
    </w:p>
    <w:p w:rsidR="00444C66" w:rsidRDefault="00444C66">
      <w:pPr>
        <w:widowControl w:val="0"/>
        <w:tabs>
          <w:tab w:val="left" w:pos="567"/>
        </w:tabs>
        <w:spacing w:after="0" w:line="240" w:lineRule="auto"/>
        <w:ind w:left="567" w:hanging="567"/>
        <w:rPr>
          <w:rFonts w:ascii="Times New Roman" w:hAnsi="Times New Roman"/>
          <w:b/>
          <w:caps/>
        </w:rPr>
      </w:pPr>
      <w:r>
        <w:rPr>
          <w:rFonts w:ascii="Times New Roman" w:hAnsi="Times New Roman"/>
          <w:b/>
        </w:rPr>
        <w:t>10.</w:t>
      </w:r>
      <w:r>
        <w:rPr>
          <w:rFonts w:ascii="Times New Roman" w:hAnsi="Times New Roman"/>
          <w:b/>
        </w:rPr>
        <w:tab/>
      </w:r>
      <w:r>
        <w:rPr>
          <w:rFonts w:ascii="Times New Roman" w:hAnsi="Times New Roman"/>
          <w:b/>
          <w:caps/>
        </w:rPr>
        <w:t>teksto peržiūros data</w:t>
      </w:r>
    </w:p>
    <w:p w:rsidR="00444C66" w:rsidRDefault="00444C66">
      <w:pPr>
        <w:widowControl w:val="0"/>
        <w:tabs>
          <w:tab w:val="left" w:pos="567"/>
        </w:tabs>
        <w:spacing w:after="0" w:line="240" w:lineRule="auto"/>
        <w:rPr>
          <w:rFonts w:ascii="Times New Roman" w:hAnsi="Times New Roman"/>
        </w:rPr>
      </w:pPr>
    </w:p>
    <w:p w:rsidR="00444C66" w:rsidRDefault="00444C66">
      <w:pPr>
        <w:widowControl w:val="0"/>
        <w:tabs>
          <w:tab w:val="left" w:pos="567"/>
        </w:tabs>
        <w:spacing w:after="0" w:line="240" w:lineRule="auto"/>
        <w:rPr>
          <w:rFonts w:ascii="Times New Roman" w:hAnsi="Times New Roman"/>
        </w:rPr>
      </w:pPr>
      <w:r>
        <w:rPr>
          <w:rFonts w:ascii="Times New Roman" w:hAnsi="Times New Roman"/>
        </w:rPr>
        <w:t>2025 m. kovo 20 d.</w:t>
      </w:r>
    </w:p>
    <w:p w:rsidR="00444C66" w:rsidRDefault="00444C66">
      <w:pPr>
        <w:widowControl w:val="0"/>
        <w:spacing w:after="0" w:line="240" w:lineRule="auto"/>
        <w:rPr>
          <w:rFonts w:ascii="Times New Roman" w:hAnsi="Times New Roman"/>
          <w:b/>
        </w:rPr>
      </w:pPr>
    </w:p>
    <w:p w:rsidR="00444C66" w:rsidRDefault="00444C66">
      <w:pPr>
        <w:widowControl w:val="0"/>
        <w:tabs>
          <w:tab w:val="left" w:pos="540"/>
          <w:tab w:val="left" w:pos="2977"/>
        </w:tabs>
        <w:spacing w:after="0" w:line="240" w:lineRule="auto"/>
        <w:rPr>
          <w:rFonts w:ascii="Times New Roman" w:hAnsi="Times New Roman"/>
          <w:color w:val="0000FF"/>
        </w:rPr>
      </w:pPr>
      <w:r>
        <w:rPr>
          <w:rFonts w:ascii="Times New Roman" w:hAnsi="Times New Roman"/>
        </w:rPr>
        <w:t>Išsami informacija apie šį vaistinį preparatą pateikiama Valstybinės vaistų kontrolės tarnybos prie Lietuvos Respublikos sveikatos apsaugos ministerijos tinklalapyje</w:t>
      </w:r>
      <w:r>
        <w:rPr>
          <w:rFonts w:ascii="Times New Roman" w:hAnsi="Times New Roman"/>
          <w:i/>
        </w:rPr>
        <w:t xml:space="preserve"> </w:t>
      </w:r>
      <w:hyperlink r:id="rId9" w:history="1">
        <w:r>
          <w:rPr>
            <w:rFonts w:ascii="Times New Roman" w:hAnsi="Times New Roman"/>
            <w:color w:val="0000FF"/>
            <w:u w:val="single"/>
          </w:rPr>
          <w:t>http://www.vvkt.lt/</w:t>
        </w:r>
      </w:hyperlink>
    </w:p>
    <w:p w:rsidR="00444C66" w:rsidRDefault="00444C66">
      <w:pPr>
        <w:widowControl w:val="0"/>
        <w:tabs>
          <w:tab w:val="left" w:pos="540"/>
          <w:tab w:val="left" w:pos="2977"/>
        </w:tabs>
        <w:spacing w:after="0" w:line="240" w:lineRule="auto"/>
        <w:rPr>
          <w:rFonts w:ascii="Times New Roman" w:hAnsi="Times New Roman"/>
        </w:rPr>
      </w:pPr>
      <w:r>
        <w:rPr>
          <w:rFonts w:ascii="Times New Roman" w:hAnsi="Times New Roman"/>
        </w:rPr>
        <w:br w:type="page"/>
      </w:r>
    </w:p>
    <w:p w:rsidR="00444C66" w:rsidRDefault="00444C66">
      <w:pPr>
        <w:widowControl w:val="0"/>
        <w:tabs>
          <w:tab w:val="left" w:pos="540"/>
          <w:tab w:val="left" w:pos="2977"/>
        </w:tabs>
        <w:spacing w:after="0" w:line="240" w:lineRule="auto"/>
        <w:rPr>
          <w:rFonts w:ascii="Times New Roman" w:hAnsi="Times New Roman"/>
        </w:rPr>
      </w:pPr>
    </w:p>
    <w:p w:rsidR="00444C66" w:rsidRDefault="00444C66">
      <w:pPr>
        <w:widowControl w:val="0"/>
        <w:tabs>
          <w:tab w:val="left" w:pos="540"/>
          <w:tab w:val="left" w:pos="2977"/>
        </w:tabs>
        <w:spacing w:after="0" w:line="240" w:lineRule="auto"/>
        <w:rPr>
          <w:rFonts w:ascii="Times New Roman" w:hAnsi="Times New Roman"/>
        </w:rPr>
      </w:pPr>
    </w:p>
    <w:p w:rsidR="00444C66" w:rsidRDefault="00444C66">
      <w:pPr>
        <w:widowControl w:val="0"/>
        <w:tabs>
          <w:tab w:val="left" w:pos="540"/>
          <w:tab w:val="left" w:pos="2977"/>
        </w:tabs>
        <w:spacing w:after="0" w:line="240" w:lineRule="auto"/>
        <w:rPr>
          <w:rFonts w:ascii="Times New Roman" w:hAnsi="Times New Roman"/>
        </w:rPr>
      </w:pPr>
    </w:p>
    <w:p w:rsidR="00444C66" w:rsidRDefault="00444C66">
      <w:pPr>
        <w:widowControl w:val="0"/>
        <w:tabs>
          <w:tab w:val="left" w:pos="540"/>
          <w:tab w:val="left" w:pos="2977"/>
        </w:tabs>
        <w:spacing w:after="0" w:line="240" w:lineRule="auto"/>
        <w:rPr>
          <w:rFonts w:ascii="Times New Roman" w:hAnsi="Times New Roman"/>
        </w:rPr>
      </w:pPr>
    </w:p>
    <w:p w:rsidR="00444C66" w:rsidRDefault="00444C66">
      <w:pPr>
        <w:widowControl w:val="0"/>
        <w:tabs>
          <w:tab w:val="left" w:pos="540"/>
          <w:tab w:val="left" w:pos="2977"/>
        </w:tabs>
        <w:spacing w:after="0" w:line="240" w:lineRule="auto"/>
        <w:rPr>
          <w:rFonts w:ascii="Times New Roman" w:hAnsi="Times New Roman"/>
        </w:rPr>
      </w:pPr>
    </w:p>
    <w:p w:rsidR="00444C66" w:rsidRDefault="00444C66">
      <w:pPr>
        <w:widowControl w:val="0"/>
        <w:tabs>
          <w:tab w:val="left" w:pos="540"/>
          <w:tab w:val="left" w:pos="2977"/>
        </w:tabs>
        <w:spacing w:after="0" w:line="240" w:lineRule="auto"/>
        <w:rPr>
          <w:rFonts w:ascii="Times New Roman" w:hAnsi="Times New Roman"/>
        </w:rPr>
      </w:pPr>
    </w:p>
    <w:p w:rsidR="00444C66" w:rsidRDefault="00444C66">
      <w:pPr>
        <w:widowControl w:val="0"/>
        <w:tabs>
          <w:tab w:val="left" w:pos="540"/>
          <w:tab w:val="left" w:pos="2977"/>
        </w:tabs>
        <w:spacing w:after="0" w:line="240" w:lineRule="auto"/>
        <w:rPr>
          <w:rFonts w:ascii="Times New Roman" w:hAnsi="Times New Roman"/>
        </w:rPr>
      </w:pPr>
    </w:p>
    <w:p w:rsidR="00444C66" w:rsidRDefault="00444C66">
      <w:pPr>
        <w:widowControl w:val="0"/>
        <w:tabs>
          <w:tab w:val="left" w:pos="540"/>
          <w:tab w:val="left" w:pos="2977"/>
        </w:tabs>
        <w:spacing w:after="0" w:line="240" w:lineRule="auto"/>
        <w:rPr>
          <w:rFonts w:ascii="Times New Roman" w:hAnsi="Times New Roman"/>
        </w:rPr>
      </w:pPr>
    </w:p>
    <w:p w:rsidR="00444C66" w:rsidRDefault="00444C66">
      <w:pPr>
        <w:widowControl w:val="0"/>
        <w:tabs>
          <w:tab w:val="left" w:pos="540"/>
          <w:tab w:val="left" w:pos="2977"/>
        </w:tabs>
        <w:spacing w:after="0" w:line="240" w:lineRule="auto"/>
        <w:rPr>
          <w:rFonts w:ascii="Times New Roman" w:hAnsi="Times New Roman"/>
        </w:rPr>
      </w:pPr>
    </w:p>
    <w:p w:rsidR="00444C66" w:rsidRDefault="00444C66">
      <w:pPr>
        <w:widowControl w:val="0"/>
        <w:tabs>
          <w:tab w:val="left" w:pos="540"/>
          <w:tab w:val="left" w:pos="2977"/>
        </w:tabs>
        <w:spacing w:after="0" w:line="240" w:lineRule="auto"/>
        <w:rPr>
          <w:rFonts w:ascii="Times New Roman" w:hAnsi="Times New Roman"/>
        </w:rPr>
      </w:pPr>
    </w:p>
    <w:p w:rsidR="00444C66" w:rsidRDefault="00444C66">
      <w:pPr>
        <w:widowControl w:val="0"/>
        <w:tabs>
          <w:tab w:val="left" w:pos="540"/>
          <w:tab w:val="left" w:pos="2977"/>
        </w:tabs>
        <w:spacing w:after="0" w:line="240" w:lineRule="auto"/>
        <w:rPr>
          <w:rFonts w:ascii="Times New Roman" w:hAnsi="Times New Roman"/>
        </w:rPr>
      </w:pPr>
    </w:p>
    <w:p w:rsidR="00444C66" w:rsidRDefault="00444C66">
      <w:pPr>
        <w:widowControl w:val="0"/>
        <w:tabs>
          <w:tab w:val="left" w:pos="540"/>
          <w:tab w:val="left" w:pos="2977"/>
        </w:tabs>
        <w:spacing w:after="0" w:line="240" w:lineRule="auto"/>
        <w:rPr>
          <w:rFonts w:ascii="Times New Roman" w:hAnsi="Times New Roman"/>
        </w:rPr>
      </w:pPr>
    </w:p>
    <w:p w:rsidR="00444C66" w:rsidRDefault="00444C66">
      <w:pPr>
        <w:widowControl w:val="0"/>
        <w:tabs>
          <w:tab w:val="left" w:pos="540"/>
          <w:tab w:val="left" w:pos="2977"/>
        </w:tabs>
        <w:spacing w:after="0" w:line="240" w:lineRule="auto"/>
        <w:rPr>
          <w:rFonts w:ascii="Times New Roman" w:hAnsi="Times New Roman"/>
        </w:rPr>
      </w:pPr>
    </w:p>
    <w:p w:rsidR="00444C66" w:rsidRDefault="00444C66">
      <w:pPr>
        <w:widowControl w:val="0"/>
        <w:tabs>
          <w:tab w:val="left" w:pos="540"/>
          <w:tab w:val="left" w:pos="2977"/>
        </w:tabs>
        <w:spacing w:after="0" w:line="240" w:lineRule="auto"/>
        <w:rPr>
          <w:rFonts w:ascii="Times New Roman" w:hAnsi="Times New Roman"/>
        </w:rPr>
      </w:pPr>
    </w:p>
    <w:p w:rsidR="00444C66" w:rsidRDefault="00444C66">
      <w:pPr>
        <w:widowControl w:val="0"/>
        <w:tabs>
          <w:tab w:val="left" w:pos="540"/>
          <w:tab w:val="left" w:pos="2977"/>
        </w:tabs>
        <w:spacing w:after="0" w:line="240" w:lineRule="auto"/>
        <w:rPr>
          <w:rFonts w:ascii="Times New Roman" w:hAnsi="Times New Roman"/>
        </w:rPr>
      </w:pPr>
    </w:p>
    <w:p w:rsidR="00444C66" w:rsidRDefault="00444C66">
      <w:pPr>
        <w:widowControl w:val="0"/>
        <w:tabs>
          <w:tab w:val="left" w:pos="540"/>
          <w:tab w:val="left" w:pos="2977"/>
        </w:tabs>
        <w:spacing w:after="0" w:line="240" w:lineRule="auto"/>
        <w:rPr>
          <w:rFonts w:ascii="Times New Roman" w:hAnsi="Times New Roman"/>
        </w:rPr>
      </w:pPr>
    </w:p>
    <w:p w:rsidR="00444C66" w:rsidRDefault="00444C66">
      <w:pPr>
        <w:widowControl w:val="0"/>
        <w:tabs>
          <w:tab w:val="left" w:pos="540"/>
          <w:tab w:val="left" w:pos="2977"/>
        </w:tabs>
        <w:spacing w:after="0" w:line="240" w:lineRule="auto"/>
        <w:rPr>
          <w:rFonts w:ascii="Times New Roman" w:hAnsi="Times New Roman"/>
        </w:rPr>
      </w:pPr>
    </w:p>
    <w:p w:rsidR="00444C66" w:rsidRDefault="00444C66">
      <w:pPr>
        <w:widowControl w:val="0"/>
        <w:tabs>
          <w:tab w:val="left" w:pos="540"/>
          <w:tab w:val="left" w:pos="2977"/>
        </w:tabs>
        <w:spacing w:after="0" w:line="240" w:lineRule="auto"/>
        <w:rPr>
          <w:rFonts w:ascii="Times New Roman" w:hAnsi="Times New Roman"/>
        </w:rPr>
      </w:pPr>
    </w:p>
    <w:p w:rsidR="00444C66" w:rsidRDefault="00444C66">
      <w:pPr>
        <w:widowControl w:val="0"/>
        <w:tabs>
          <w:tab w:val="left" w:pos="540"/>
          <w:tab w:val="left" w:pos="2977"/>
        </w:tabs>
        <w:spacing w:after="0" w:line="240" w:lineRule="auto"/>
        <w:rPr>
          <w:rFonts w:ascii="Times New Roman" w:hAnsi="Times New Roman"/>
        </w:rPr>
      </w:pPr>
    </w:p>
    <w:p w:rsidR="00444C66" w:rsidRDefault="00444C66">
      <w:pPr>
        <w:widowControl w:val="0"/>
        <w:tabs>
          <w:tab w:val="left" w:pos="540"/>
          <w:tab w:val="left" w:pos="2977"/>
        </w:tabs>
        <w:spacing w:after="0" w:line="240" w:lineRule="auto"/>
        <w:rPr>
          <w:rFonts w:ascii="Times New Roman" w:hAnsi="Times New Roman"/>
        </w:rPr>
      </w:pPr>
    </w:p>
    <w:p w:rsidR="00444C66" w:rsidRDefault="00444C66">
      <w:pPr>
        <w:widowControl w:val="0"/>
        <w:tabs>
          <w:tab w:val="left" w:pos="540"/>
          <w:tab w:val="left" w:pos="2977"/>
        </w:tabs>
        <w:spacing w:after="0" w:line="240" w:lineRule="auto"/>
        <w:rPr>
          <w:rFonts w:ascii="Times New Roman" w:hAnsi="Times New Roman"/>
        </w:rPr>
      </w:pPr>
    </w:p>
    <w:p w:rsidR="00444C66" w:rsidRDefault="00444C66">
      <w:pPr>
        <w:widowControl w:val="0"/>
        <w:tabs>
          <w:tab w:val="left" w:pos="540"/>
          <w:tab w:val="left" w:pos="2977"/>
        </w:tabs>
        <w:spacing w:after="0" w:line="240" w:lineRule="auto"/>
        <w:rPr>
          <w:rFonts w:ascii="Times New Roman" w:hAnsi="Times New Roman"/>
        </w:rPr>
      </w:pPr>
    </w:p>
    <w:p w:rsidR="00444C66" w:rsidRDefault="00444C66">
      <w:pPr>
        <w:widowControl w:val="0"/>
        <w:tabs>
          <w:tab w:val="left" w:pos="540"/>
          <w:tab w:val="left" w:pos="2977"/>
        </w:tabs>
        <w:spacing w:after="0" w:line="240" w:lineRule="auto"/>
        <w:rPr>
          <w:rFonts w:ascii="Times New Roman" w:hAnsi="Times New Roman"/>
        </w:rPr>
      </w:pPr>
    </w:p>
    <w:p w:rsidR="00444C66" w:rsidRDefault="00444C66">
      <w:pPr>
        <w:widowControl w:val="0"/>
        <w:tabs>
          <w:tab w:val="left" w:pos="567"/>
        </w:tabs>
        <w:spacing w:after="0" w:line="240" w:lineRule="auto"/>
        <w:ind w:left="567" w:hanging="567"/>
        <w:jc w:val="center"/>
        <w:outlineLvl w:val="0"/>
        <w:rPr>
          <w:rFonts w:ascii="Times New Roman" w:hAnsi="Times New Roman"/>
          <w:b/>
          <w:caps/>
        </w:rPr>
      </w:pPr>
      <w:bookmarkStart w:id="5" w:name="_Toc129243128"/>
      <w:bookmarkStart w:id="6" w:name="_Toc129243253"/>
      <w:r>
        <w:rPr>
          <w:rFonts w:ascii="Times New Roman" w:hAnsi="Times New Roman"/>
          <w:b/>
          <w:caps/>
        </w:rPr>
        <w:t>II PRIEDAS</w:t>
      </w:r>
      <w:bookmarkEnd w:id="5"/>
      <w:bookmarkEnd w:id="6"/>
    </w:p>
    <w:p w:rsidR="00444C66" w:rsidRDefault="00444C66">
      <w:pPr>
        <w:widowControl w:val="0"/>
        <w:tabs>
          <w:tab w:val="left" w:pos="567"/>
        </w:tabs>
        <w:spacing w:after="0" w:line="240" w:lineRule="auto"/>
        <w:ind w:left="567" w:hanging="567"/>
        <w:jc w:val="center"/>
        <w:outlineLvl w:val="0"/>
        <w:rPr>
          <w:rFonts w:ascii="Times New Roman" w:hAnsi="Times New Roman"/>
          <w:b/>
          <w:caps/>
        </w:rPr>
      </w:pPr>
    </w:p>
    <w:p w:rsidR="00444C66" w:rsidRDefault="00444C66">
      <w:pPr>
        <w:widowControl w:val="0"/>
        <w:tabs>
          <w:tab w:val="left" w:pos="567"/>
        </w:tabs>
        <w:spacing w:after="0" w:line="240" w:lineRule="auto"/>
        <w:ind w:left="567" w:hanging="567"/>
        <w:jc w:val="center"/>
        <w:outlineLvl w:val="0"/>
        <w:rPr>
          <w:rFonts w:ascii="Times New Roman" w:hAnsi="Times New Roman"/>
          <w:b/>
          <w:caps/>
        </w:rPr>
      </w:pPr>
      <w:r>
        <w:rPr>
          <w:rFonts w:ascii="Times New Roman" w:eastAsia="Times New Roman" w:hAnsi="Times New Roman"/>
          <w:b/>
          <w:caps/>
          <w:lang w:eastAsia="sl-SI"/>
        </w:rPr>
        <w:t>REGISTRACIJOS</w:t>
      </w:r>
      <w:r>
        <w:rPr>
          <w:rFonts w:ascii="Times New Roman" w:hAnsi="Times New Roman"/>
          <w:b/>
          <w:caps/>
        </w:rPr>
        <w:t xml:space="preserve"> SĄLYGOS</w:t>
      </w:r>
    </w:p>
    <w:p w:rsidR="00444C66" w:rsidRDefault="00444C66">
      <w:pPr>
        <w:widowControl w:val="0"/>
        <w:tabs>
          <w:tab w:val="left" w:pos="540"/>
          <w:tab w:val="left" w:pos="2977"/>
        </w:tabs>
        <w:spacing w:after="0" w:line="240" w:lineRule="auto"/>
        <w:rPr>
          <w:rFonts w:ascii="Times New Roman" w:hAnsi="Times New Roman"/>
        </w:rPr>
      </w:pPr>
    </w:p>
    <w:p w:rsidR="00444C66" w:rsidRDefault="00444C66">
      <w:pPr>
        <w:widowControl w:val="0"/>
        <w:tabs>
          <w:tab w:val="left" w:pos="1701"/>
        </w:tabs>
        <w:spacing w:after="0" w:line="240" w:lineRule="auto"/>
        <w:ind w:left="1701" w:hanging="567"/>
        <w:rPr>
          <w:rFonts w:ascii="Times New Roman" w:hAnsi="Times New Roman"/>
          <w:b/>
          <w:highlight w:val="yellow"/>
        </w:rPr>
      </w:pPr>
      <w:r>
        <w:rPr>
          <w:rFonts w:ascii="Times New Roman" w:hAnsi="Times New Roman"/>
          <w:b/>
        </w:rPr>
        <w:t>A.</w:t>
      </w:r>
      <w:r>
        <w:rPr>
          <w:rFonts w:ascii="Times New Roman" w:hAnsi="Times New Roman"/>
          <w:b/>
        </w:rPr>
        <w:tab/>
        <w:t>GAMINTOJAS (-AI), ATSAKINGAS (-I) UŽ SERIJŲ IŠLEIDIMĄ</w:t>
      </w:r>
    </w:p>
    <w:p w:rsidR="00444C66" w:rsidRDefault="00444C66">
      <w:pPr>
        <w:widowControl w:val="0"/>
        <w:tabs>
          <w:tab w:val="left" w:pos="540"/>
          <w:tab w:val="left" w:pos="2977"/>
        </w:tabs>
        <w:spacing w:after="0" w:line="240" w:lineRule="auto"/>
        <w:rPr>
          <w:rFonts w:ascii="Times New Roman" w:hAnsi="Times New Roman"/>
          <w:highlight w:val="yellow"/>
        </w:rPr>
      </w:pPr>
    </w:p>
    <w:p w:rsidR="00444C66" w:rsidRDefault="00444C66">
      <w:pPr>
        <w:widowControl w:val="0"/>
        <w:tabs>
          <w:tab w:val="left" w:pos="1701"/>
        </w:tabs>
        <w:spacing w:after="0" w:line="240" w:lineRule="auto"/>
        <w:ind w:left="1701" w:hanging="567"/>
        <w:rPr>
          <w:rFonts w:ascii="Times New Roman" w:hAnsi="Times New Roman"/>
          <w:b/>
        </w:rPr>
      </w:pPr>
      <w:r>
        <w:rPr>
          <w:rFonts w:ascii="Times New Roman" w:hAnsi="Times New Roman"/>
          <w:b/>
        </w:rPr>
        <w:t>B.</w:t>
      </w:r>
      <w:r>
        <w:rPr>
          <w:rFonts w:ascii="Times New Roman" w:hAnsi="Times New Roman"/>
          <w:b/>
        </w:rPr>
        <w:tab/>
        <w:t>TIEKIMO IR VARTOJIMO SĄLYGOS AR APRIBOJIMAI</w:t>
      </w:r>
    </w:p>
    <w:p w:rsidR="00444C66" w:rsidRDefault="00444C66">
      <w:pPr>
        <w:widowControl w:val="0"/>
        <w:tabs>
          <w:tab w:val="left" w:pos="540"/>
          <w:tab w:val="left" w:pos="2977"/>
        </w:tabs>
        <w:spacing w:after="0" w:line="240" w:lineRule="auto"/>
        <w:rPr>
          <w:rFonts w:ascii="Times New Roman" w:hAnsi="Times New Roman"/>
          <w:highlight w:val="yellow"/>
        </w:rPr>
      </w:pPr>
    </w:p>
    <w:p w:rsidR="00444C66" w:rsidRDefault="00444C66">
      <w:pPr>
        <w:widowControl w:val="0"/>
        <w:tabs>
          <w:tab w:val="left" w:pos="567"/>
        </w:tabs>
        <w:spacing w:after="0" w:line="240" w:lineRule="auto"/>
        <w:ind w:left="567" w:hanging="567"/>
        <w:outlineLvl w:val="1"/>
        <w:rPr>
          <w:rFonts w:ascii="Times New Roman" w:hAnsi="Times New Roman"/>
          <w:b/>
        </w:rPr>
      </w:pPr>
      <w:r>
        <w:rPr>
          <w:rFonts w:ascii="Times New Roman" w:hAnsi="Times New Roman"/>
          <w:b/>
        </w:rPr>
        <w:br w:type="page"/>
      </w:r>
      <w:r>
        <w:rPr>
          <w:rFonts w:ascii="Times New Roman" w:hAnsi="Times New Roman"/>
          <w:b/>
        </w:rPr>
        <w:lastRenderedPageBreak/>
        <w:t>A.</w:t>
      </w:r>
      <w:r>
        <w:rPr>
          <w:rFonts w:ascii="Times New Roman" w:hAnsi="Times New Roman"/>
          <w:b/>
        </w:rPr>
        <w:tab/>
        <w:t>GAMINTOJAS (-AI), ATSAKINGAS (-I) UŽ SERIJŲ IŠLEIDIMĄ</w:t>
      </w:r>
    </w:p>
    <w:p w:rsidR="00444C66" w:rsidRDefault="00444C66">
      <w:pPr>
        <w:widowControl w:val="0"/>
        <w:tabs>
          <w:tab w:val="left" w:pos="540"/>
          <w:tab w:val="left" w:pos="2977"/>
        </w:tabs>
        <w:spacing w:after="0" w:line="240" w:lineRule="auto"/>
        <w:rPr>
          <w:rFonts w:ascii="Times New Roman" w:hAnsi="Times New Roman"/>
          <w:highlight w:val="yellow"/>
        </w:rPr>
      </w:pPr>
    </w:p>
    <w:p w:rsidR="00444C66" w:rsidRDefault="00444C66">
      <w:pPr>
        <w:widowControl w:val="0"/>
        <w:spacing w:after="0" w:line="240" w:lineRule="auto"/>
        <w:rPr>
          <w:rFonts w:ascii="Times New Roman" w:hAnsi="Times New Roman"/>
          <w:u w:val="single"/>
        </w:rPr>
      </w:pPr>
      <w:r>
        <w:rPr>
          <w:rFonts w:ascii="Times New Roman" w:hAnsi="Times New Roman"/>
          <w:u w:val="single"/>
        </w:rPr>
        <w:t>Gamintojo (-ų), atsakingo (-ų) už serijų išleidimą, pavadinimas (-ai) ir adresas (-ai)</w:t>
      </w:r>
    </w:p>
    <w:p w:rsidR="00444C66" w:rsidRDefault="00444C66">
      <w:pPr>
        <w:widowControl w:val="0"/>
        <w:tabs>
          <w:tab w:val="left" w:pos="540"/>
          <w:tab w:val="left" w:pos="2977"/>
        </w:tabs>
        <w:spacing w:after="0" w:line="240" w:lineRule="auto"/>
        <w:rPr>
          <w:rFonts w:ascii="Times New Roman" w:hAnsi="Times New Roman"/>
        </w:rPr>
      </w:pPr>
    </w:p>
    <w:p w:rsidR="00444C66" w:rsidRDefault="00444C66">
      <w:pPr>
        <w:widowControl w:val="0"/>
        <w:autoSpaceDE w:val="0"/>
        <w:autoSpaceDN w:val="0"/>
        <w:adjustRightInd w:val="0"/>
        <w:spacing w:after="0" w:line="240" w:lineRule="auto"/>
        <w:jc w:val="both"/>
        <w:rPr>
          <w:rFonts w:ascii="Times New Roman" w:hAnsi="Times New Roman"/>
        </w:rPr>
      </w:pPr>
      <w:r>
        <w:rPr>
          <w:rFonts w:ascii="Times New Roman" w:hAnsi="Times New Roman"/>
        </w:rPr>
        <w:t>KRKA, d.d., Novo mesto</w:t>
      </w:r>
    </w:p>
    <w:p w:rsidR="00444C66" w:rsidRDefault="00444C66">
      <w:pPr>
        <w:widowControl w:val="0"/>
        <w:autoSpaceDE w:val="0"/>
        <w:autoSpaceDN w:val="0"/>
        <w:adjustRightInd w:val="0"/>
        <w:spacing w:after="0" w:line="240" w:lineRule="auto"/>
        <w:jc w:val="both"/>
        <w:rPr>
          <w:rFonts w:ascii="Times New Roman" w:hAnsi="Times New Roman"/>
        </w:rPr>
      </w:pPr>
      <w:r>
        <w:rPr>
          <w:rFonts w:ascii="Times New Roman" w:hAnsi="Times New Roman"/>
        </w:rPr>
        <w:t>Šmarješka cesta 6</w:t>
      </w:r>
    </w:p>
    <w:p w:rsidR="00444C66" w:rsidRDefault="00444C66">
      <w:pPr>
        <w:widowControl w:val="0"/>
        <w:autoSpaceDE w:val="0"/>
        <w:autoSpaceDN w:val="0"/>
        <w:adjustRightInd w:val="0"/>
        <w:spacing w:after="0" w:line="240" w:lineRule="auto"/>
        <w:jc w:val="both"/>
        <w:rPr>
          <w:rFonts w:ascii="Times New Roman" w:hAnsi="Times New Roman"/>
        </w:rPr>
      </w:pPr>
      <w:r>
        <w:rPr>
          <w:rFonts w:ascii="Times New Roman" w:hAnsi="Times New Roman"/>
        </w:rPr>
        <w:t>8501 Novo mesto</w:t>
      </w:r>
    </w:p>
    <w:p w:rsidR="00444C66" w:rsidRDefault="00444C66">
      <w:pPr>
        <w:widowControl w:val="0"/>
        <w:tabs>
          <w:tab w:val="left" w:pos="540"/>
          <w:tab w:val="left" w:pos="2977"/>
        </w:tabs>
        <w:spacing w:after="0" w:line="240" w:lineRule="auto"/>
        <w:rPr>
          <w:rFonts w:ascii="Times New Roman" w:hAnsi="Times New Roman"/>
        </w:rPr>
      </w:pPr>
      <w:r>
        <w:rPr>
          <w:rFonts w:ascii="Times New Roman" w:hAnsi="Times New Roman"/>
        </w:rPr>
        <w:t>Slovėnija</w:t>
      </w:r>
    </w:p>
    <w:p w:rsidR="00444C66" w:rsidRDefault="00444C66">
      <w:pPr>
        <w:widowControl w:val="0"/>
        <w:tabs>
          <w:tab w:val="left" w:pos="540"/>
          <w:tab w:val="left" w:pos="2977"/>
        </w:tabs>
        <w:spacing w:after="0" w:line="240" w:lineRule="auto"/>
        <w:rPr>
          <w:rFonts w:ascii="Times New Roman" w:hAnsi="Times New Roman"/>
          <w:highlight w:val="yellow"/>
        </w:rPr>
      </w:pPr>
    </w:p>
    <w:p w:rsidR="00444C66" w:rsidRDefault="00444C66">
      <w:pPr>
        <w:widowControl w:val="0"/>
        <w:tabs>
          <w:tab w:val="left" w:pos="540"/>
          <w:tab w:val="left" w:pos="2977"/>
        </w:tabs>
        <w:spacing w:after="0" w:line="240" w:lineRule="auto"/>
        <w:rPr>
          <w:rFonts w:ascii="Times New Roman" w:hAnsi="Times New Roman"/>
          <w:highlight w:val="yellow"/>
        </w:rPr>
      </w:pPr>
    </w:p>
    <w:p w:rsidR="00444C66" w:rsidRDefault="00444C66">
      <w:pPr>
        <w:widowControl w:val="0"/>
        <w:tabs>
          <w:tab w:val="left" w:pos="567"/>
        </w:tabs>
        <w:spacing w:after="0" w:line="240" w:lineRule="auto"/>
        <w:ind w:left="567" w:hanging="567"/>
        <w:outlineLvl w:val="1"/>
        <w:rPr>
          <w:rFonts w:ascii="Times New Roman" w:hAnsi="Times New Roman"/>
          <w:b/>
          <w:kern w:val="28"/>
        </w:rPr>
      </w:pPr>
      <w:bookmarkStart w:id="7" w:name="_Toc129243129"/>
      <w:bookmarkStart w:id="8" w:name="_Toc129243254"/>
      <w:r>
        <w:rPr>
          <w:rFonts w:ascii="Times New Roman" w:hAnsi="Times New Roman"/>
          <w:b/>
        </w:rPr>
        <w:t>B.</w:t>
      </w:r>
      <w:r>
        <w:rPr>
          <w:rFonts w:ascii="Times New Roman" w:hAnsi="Times New Roman"/>
          <w:b/>
        </w:rPr>
        <w:tab/>
        <w:t>TIEKIMO IR VARTOJIMO SĄLYGOS AR APRIBOJIMAI</w:t>
      </w:r>
      <w:bookmarkEnd w:id="7"/>
      <w:bookmarkEnd w:id="8"/>
    </w:p>
    <w:p w:rsidR="00444C66" w:rsidRDefault="00444C66">
      <w:pPr>
        <w:widowControl w:val="0"/>
        <w:tabs>
          <w:tab w:val="left" w:pos="540"/>
          <w:tab w:val="left" w:pos="2977"/>
        </w:tabs>
        <w:spacing w:after="0" w:line="240" w:lineRule="auto"/>
        <w:rPr>
          <w:rFonts w:ascii="Times New Roman" w:hAnsi="Times New Roman"/>
        </w:rPr>
      </w:pPr>
    </w:p>
    <w:p w:rsidR="00444C66" w:rsidRDefault="00444C66">
      <w:pPr>
        <w:widowControl w:val="0"/>
        <w:tabs>
          <w:tab w:val="left" w:pos="540"/>
          <w:tab w:val="left" w:pos="2977"/>
        </w:tabs>
        <w:spacing w:after="0" w:line="240" w:lineRule="auto"/>
        <w:rPr>
          <w:rFonts w:ascii="Times New Roman" w:hAnsi="Times New Roman"/>
        </w:rPr>
      </w:pPr>
      <w:r>
        <w:rPr>
          <w:rFonts w:ascii="Times New Roman" w:hAnsi="Times New Roman"/>
        </w:rPr>
        <w:t>Receptinis vaistinis preparatas.</w:t>
      </w:r>
    </w:p>
    <w:p w:rsidR="00444C66" w:rsidRDefault="00444C66">
      <w:pPr>
        <w:widowControl w:val="0"/>
        <w:tabs>
          <w:tab w:val="left" w:pos="540"/>
          <w:tab w:val="left" w:pos="2977"/>
        </w:tabs>
        <w:spacing w:after="0" w:line="240" w:lineRule="auto"/>
        <w:rPr>
          <w:rFonts w:ascii="Times New Roman" w:hAnsi="Times New Roman"/>
        </w:rPr>
      </w:pPr>
    </w:p>
    <w:p w:rsidR="00444C66" w:rsidRDefault="00444C66">
      <w:pPr>
        <w:widowControl w:val="0"/>
        <w:tabs>
          <w:tab w:val="left" w:pos="540"/>
          <w:tab w:val="left" w:pos="2977"/>
        </w:tabs>
        <w:spacing w:after="0" w:line="240" w:lineRule="auto"/>
        <w:rPr>
          <w:rFonts w:ascii="Times New Roman" w:hAnsi="Times New Roman"/>
        </w:rPr>
      </w:pPr>
      <w:r>
        <w:rPr>
          <w:rFonts w:ascii="Times New Roman" w:hAnsi="Times New Roman"/>
        </w:rPr>
        <w:br w:type="page"/>
      </w:r>
    </w:p>
    <w:p w:rsidR="00444C66" w:rsidRDefault="00444C66">
      <w:pPr>
        <w:widowControl w:val="0"/>
        <w:tabs>
          <w:tab w:val="left" w:pos="540"/>
          <w:tab w:val="left" w:pos="2977"/>
        </w:tabs>
        <w:spacing w:after="0" w:line="240" w:lineRule="auto"/>
        <w:rPr>
          <w:rFonts w:ascii="Times New Roman" w:hAnsi="Times New Roman"/>
        </w:rPr>
      </w:pPr>
    </w:p>
    <w:p w:rsidR="00444C66" w:rsidRDefault="00444C66">
      <w:pPr>
        <w:widowControl w:val="0"/>
        <w:tabs>
          <w:tab w:val="left" w:pos="540"/>
          <w:tab w:val="left" w:pos="2977"/>
        </w:tabs>
        <w:spacing w:after="0" w:line="240" w:lineRule="auto"/>
        <w:rPr>
          <w:rFonts w:ascii="Times New Roman" w:hAnsi="Times New Roman"/>
        </w:rPr>
      </w:pPr>
    </w:p>
    <w:p w:rsidR="00444C66" w:rsidRDefault="00444C66">
      <w:pPr>
        <w:widowControl w:val="0"/>
        <w:tabs>
          <w:tab w:val="left" w:pos="540"/>
          <w:tab w:val="left" w:pos="2977"/>
        </w:tabs>
        <w:spacing w:after="0" w:line="240" w:lineRule="auto"/>
        <w:rPr>
          <w:rFonts w:ascii="Times New Roman" w:hAnsi="Times New Roman"/>
        </w:rPr>
      </w:pPr>
    </w:p>
    <w:p w:rsidR="00444C66" w:rsidRDefault="00444C66">
      <w:pPr>
        <w:widowControl w:val="0"/>
        <w:tabs>
          <w:tab w:val="left" w:pos="540"/>
          <w:tab w:val="left" w:pos="2977"/>
        </w:tabs>
        <w:spacing w:after="0" w:line="240" w:lineRule="auto"/>
        <w:rPr>
          <w:rFonts w:ascii="Times New Roman" w:hAnsi="Times New Roman"/>
        </w:rPr>
      </w:pPr>
    </w:p>
    <w:p w:rsidR="00444C66" w:rsidRDefault="00444C66">
      <w:pPr>
        <w:widowControl w:val="0"/>
        <w:tabs>
          <w:tab w:val="left" w:pos="540"/>
          <w:tab w:val="left" w:pos="2977"/>
        </w:tabs>
        <w:spacing w:after="0" w:line="240" w:lineRule="auto"/>
        <w:rPr>
          <w:rFonts w:ascii="Times New Roman" w:hAnsi="Times New Roman"/>
        </w:rPr>
      </w:pPr>
    </w:p>
    <w:p w:rsidR="00444C66" w:rsidRDefault="00444C66">
      <w:pPr>
        <w:widowControl w:val="0"/>
        <w:tabs>
          <w:tab w:val="left" w:pos="540"/>
          <w:tab w:val="left" w:pos="2977"/>
        </w:tabs>
        <w:spacing w:after="0" w:line="240" w:lineRule="auto"/>
        <w:rPr>
          <w:rFonts w:ascii="Times New Roman" w:hAnsi="Times New Roman"/>
        </w:rPr>
      </w:pPr>
    </w:p>
    <w:p w:rsidR="00444C66" w:rsidRDefault="00444C66">
      <w:pPr>
        <w:widowControl w:val="0"/>
        <w:tabs>
          <w:tab w:val="left" w:pos="540"/>
          <w:tab w:val="left" w:pos="2977"/>
        </w:tabs>
        <w:spacing w:after="0" w:line="240" w:lineRule="auto"/>
        <w:rPr>
          <w:rFonts w:ascii="Times New Roman" w:hAnsi="Times New Roman"/>
        </w:rPr>
      </w:pPr>
    </w:p>
    <w:p w:rsidR="00444C66" w:rsidRDefault="00444C66">
      <w:pPr>
        <w:widowControl w:val="0"/>
        <w:tabs>
          <w:tab w:val="left" w:pos="540"/>
          <w:tab w:val="left" w:pos="2977"/>
        </w:tabs>
        <w:spacing w:after="0" w:line="240" w:lineRule="auto"/>
        <w:rPr>
          <w:rFonts w:ascii="Times New Roman" w:hAnsi="Times New Roman"/>
        </w:rPr>
      </w:pPr>
    </w:p>
    <w:p w:rsidR="00444C66" w:rsidRDefault="00444C66">
      <w:pPr>
        <w:widowControl w:val="0"/>
        <w:tabs>
          <w:tab w:val="left" w:pos="540"/>
          <w:tab w:val="left" w:pos="2977"/>
        </w:tabs>
        <w:spacing w:after="0" w:line="240" w:lineRule="auto"/>
        <w:rPr>
          <w:rFonts w:ascii="Times New Roman" w:hAnsi="Times New Roman"/>
        </w:rPr>
      </w:pPr>
    </w:p>
    <w:p w:rsidR="00444C66" w:rsidRDefault="00444C66">
      <w:pPr>
        <w:widowControl w:val="0"/>
        <w:tabs>
          <w:tab w:val="left" w:pos="540"/>
          <w:tab w:val="left" w:pos="2977"/>
        </w:tabs>
        <w:spacing w:after="0" w:line="240" w:lineRule="auto"/>
        <w:rPr>
          <w:rFonts w:ascii="Times New Roman" w:hAnsi="Times New Roman"/>
        </w:rPr>
      </w:pPr>
    </w:p>
    <w:p w:rsidR="00444C66" w:rsidRDefault="00444C66">
      <w:pPr>
        <w:widowControl w:val="0"/>
        <w:tabs>
          <w:tab w:val="left" w:pos="540"/>
          <w:tab w:val="left" w:pos="2977"/>
        </w:tabs>
        <w:spacing w:after="0" w:line="240" w:lineRule="auto"/>
        <w:rPr>
          <w:rFonts w:ascii="Times New Roman" w:hAnsi="Times New Roman"/>
        </w:rPr>
      </w:pPr>
    </w:p>
    <w:p w:rsidR="00444C66" w:rsidRDefault="00444C66">
      <w:pPr>
        <w:widowControl w:val="0"/>
        <w:tabs>
          <w:tab w:val="left" w:pos="540"/>
          <w:tab w:val="left" w:pos="2977"/>
        </w:tabs>
        <w:spacing w:after="0" w:line="240" w:lineRule="auto"/>
        <w:rPr>
          <w:rFonts w:ascii="Times New Roman" w:hAnsi="Times New Roman"/>
        </w:rPr>
      </w:pPr>
    </w:p>
    <w:p w:rsidR="00444C66" w:rsidRDefault="00444C66">
      <w:pPr>
        <w:widowControl w:val="0"/>
        <w:tabs>
          <w:tab w:val="left" w:pos="540"/>
          <w:tab w:val="left" w:pos="2977"/>
        </w:tabs>
        <w:spacing w:after="0" w:line="240" w:lineRule="auto"/>
        <w:rPr>
          <w:rFonts w:ascii="Times New Roman" w:hAnsi="Times New Roman"/>
        </w:rPr>
      </w:pPr>
    </w:p>
    <w:p w:rsidR="00444C66" w:rsidRDefault="00444C66">
      <w:pPr>
        <w:widowControl w:val="0"/>
        <w:tabs>
          <w:tab w:val="left" w:pos="540"/>
          <w:tab w:val="left" w:pos="2977"/>
        </w:tabs>
        <w:spacing w:after="0" w:line="240" w:lineRule="auto"/>
        <w:rPr>
          <w:rFonts w:ascii="Times New Roman" w:hAnsi="Times New Roman"/>
        </w:rPr>
      </w:pPr>
    </w:p>
    <w:p w:rsidR="00444C66" w:rsidRDefault="00444C66">
      <w:pPr>
        <w:widowControl w:val="0"/>
        <w:tabs>
          <w:tab w:val="left" w:pos="540"/>
          <w:tab w:val="left" w:pos="2977"/>
        </w:tabs>
        <w:spacing w:after="0" w:line="240" w:lineRule="auto"/>
        <w:rPr>
          <w:rFonts w:ascii="Times New Roman" w:hAnsi="Times New Roman"/>
        </w:rPr>
      </w:pPr>
    </w:p>
    <w:p w:rsidR="00444C66" w:rsidRDefault="00444C66">
      <w:pPr>
        <w:widowControl w:val="0"/>
        <w:tabs>
          <w:tab w:val="left" w:pos="540"/>
          <w:tab w:val="left" w:pos="2977"/>
        </w:tabs>
        <w:spacing w:after="0" w:line="240" w:lineRule="auto"/>
        <w:rPr>
          <w:rFonts w:ascii="Times New Roman" w:hAnsi="Times New Roman"/>
        </w:rPr>
      </w:pPr>
    </w:p>
    <w:p w:rsidR="00444C66" w:rsidRDefault="00444C66">
      <w:pPr>
        <w:widowControl w:val="0"/>
        <w:tabs>
          <w:tab w:val="left" w:pos="540"/>
          <w:tab w:val="left" w:pos="2977"/>
        </w:tabs>
        <w:spacing w:after="0" w:line="240" w:lineRule="auto"/>
        <w:rPr>
          <w:rFonts w:ascii="Times New Roman" w:hAnsi="Times New Roman"/>
        </w:rPr>
      </w:pPr>
    </w:p>
    <w:p w:rsidR="00444C66" w:rsidRDefault="00444C66">
      <w:pPr>
        <w:widowControl w:val="0"/>
        <w:tabs>
          <w:tab w:val="left" w:pos="540"/>
          <w:tab w:val="left" w:pos="2977"/>
        </w:tabs>
        <w:spacing w:after="0" w:line="240" w:lineRule="auto"/>
        <w:rPr>
          <w:rFonts w:ascii="Times New Roman" w:hAnsi="Times New Roman"/>
        </w:rPr>
      </w:pPr>
    </w:p>
    <w:p w:rsidR="00444C66" w:rsidRDefault="00444C66">
      <w:pPr>
        <w:widowControl w:val="0"/>
        <w:tabs>
          <w:tab w:val="left" w:pos="540"/>
          <w:tab w:val="left" w:pos="2977"/>
        </w:tabs>
        <w:spacing w:after="0" w:line="240" w:lineRule="auto"/>
        <w:rPr>
          <w:rFonts w:ascii="Times New Roman" w:hAnsi="Times New Roman"/>
        </w:rPr>
      </w:pPr>
    </w:p>
    <w:p w:rsidR="00444C66" w:rsidRDefault="00444C66">
      <w:pPr>
        <w:widowControl w:val="0"/>
        <w:tabs>
          <w:tab w:val="left" w:pos="540"/>
          <w:tab w:val="left" w:pos="2977"/>
        </w:tabs>
        <w:spacing w:after="0" w:line="240" w:lineRule="auto"/>
        <w:rPr>
          <w:rFonts w:ascii="Times New Roman" w:hAnsi="Times New Roman"/>
        </w:rPr>
      </w:pPr>
    </w:p>
    <w:p w:rsidR="00444C66" w:rsidRDefault="00444C66">
      <w:pPr>
        <w:widowControl w:val="0"/>
        <w:tabs>
          <w:tab w:val="left" w:pos="540"/>
          <w:tab w:val="left" w:pos="2977"/>
        </w:tabs>
        <w:spacing w:after="0" w:line="240" w:lineRule="auto"/>
        <w:rPr>
          <w:rFonts w:ascii="Times New Roman" w:hAnsi="Times New Roman"/>
        </w:rPr>
      </w:pPr>
    </w:p>
    <w:p w:rsidR="00444C66" w:rsidRDefault="00444C66">
      <w:pPr>
        <w:widowControl w:val="0"/>
        <w:tabs>
          <w:tab w:val="left" w:pos="540"/>
          <w:tab w:val="left" w:pos="2977"/>
        </w:tabs>
        <w:spacing w:after="0" w:line="240" w:lineRule="auto"/>
        <w:rPr>
          <w:rFonts w:ascii="Times New Roman" w:hAnsi="Times New Roman"/>
        </w:rPr>
      </w:pPr>
    </w:p>
    <w:p w:rsidR="00444C66" w:rsidRDefault="00444C66">
      <w:pPr>
        <w:widowControl w:val="0"/>
        <w:tabs>
          <w:tab w:val="left" w:pos="540"/>
          <w:tab w:val="left" w:pos="2977"/>
        </w:tabs>
        <w:spacing w:after="0" w:line="240" w:lineRule="auto"/>
        <w:rPr>
          <w:rFonts w:ascii="Times New Roman" w:hAnsi="Times New Roman"/>
        </w:rPr>
      </w:pPr>
    </w:p>
    <w:p w:rsidR="00444C66" w:rsidRDefault="00444C66">
      <w:pPr>
        <w:widowControl w:val="0"/>
        <w:tabs>
          <w:tab w:val="left" w:pos="567"/>
        </w:tabs>
        <w:spacing w:after="0" w:line="240" w:lineRule="auto"/>
        <w:ind w:left="567" w:hanging="567"/>
        <w:jc w:val="center"/>
        <w:outlineLvl w:val="0"/>
        <w:rPr>
          <w:rFonts w:ascii="Times New Roman" w:hAnsi="Times New Roman"/>
          <w:b/>
          <w:caps/>
        </w:rPr>
      </w:pPr>
      <w:bookmarkStart w:id="9" w:name="_Toc129243134"/>
      <w:bookmarkStart w:id="10" w:name="_Toc129243259"/>
      <w:r>
        <w:rPr>
          <w:rFonts w:ascii="Times New Roman" w:hAnsi="Times New Roman"/>
          <w:b/>
          <w:caps/>
        </w:rPr>
        <w:t>III PRIEDAS</w:t>
      </w:r>
      <w:bookmarkEnd w:id="9"/>
      <w:bookmarkEnd w:id="10"/>
    </w:p>
    <w:p w:rsidR="00444C66" w:rsidRDefault="00444C66">
      <w:pPr>
        <w:widowControl w:val="0"/>
        <w:tabs>
          <w:tab w:val="left" w:pos="540"/>
          <w:tab w:val="left" w:pos="2977"/>
        </w:tabs>
        <w:spacing w:after="0" w:line="240" w:lineRule="auto"/>
        <w:rPr>
          <w:rFonts w:ascii="Times New Roman" w:hAnsi="Times New Roman"/>
        </w:rPr>
      </w:pPr>
    </w:p>
    <w:p w:rsidR="00444C66" w:rsidRDefault="00444C66">
      <w:pPr>
        <w:widowControl w:val="0"/>
        <w:tabs>
          <w:tab w:val="left" w:pos="567"/>
        </w:tabs>
        <w:spacing w:after="0" w:line="240" w:lineRule="auto"/>
        <w:ind w:left="567" w:hanging="567"/>
        <w:jc w:val="center"/>
        <w:outlineLvl w:val="0"/>
        <w:rPr>
          <w:rFonts w:ascii="Times New Roman" w:hAnsi="Times New Roman"/>
          <w:b/>
          <w:caps/>
        </w:rPr>
      </w:pPr>
      <w:bookmarkStart w:id="11" w:name="_Toc129243135"/>
      <w:bookmarkStart w:id="12" w:name="_Toc129243260"/>
      <w:r>
        <w:rPr>
          <w:rFonts w:ascii="Times New Roman" w:hAnsi="Times New Roman"/>
          <w:b/>
          <w:caps/>
        </w:rPr>
        <w:t>ŽENKLINIMAS IR PAKUOTĖS LAPELIS</w:t>
      </w:r>
      <w:bookmarkEnd w:id="11"/>
      <w:bookmarkEnd w:id="12"/>
    </w:p>
    <w:p w:rsidR="00444C66" w:rsidRDefault="00444C66">
      <w:pPr>
        <w:widowControl w:val="0"/>
        <w:tabs>
          <w:tab w:val="left" w:pos="540"/>
          <w:tab w:val="left" w:pos="2977"/>
        </w:tabs>
        <w:spacing w:after="0" w:line="240" w:lineRule="auto"/>
        <w:rPr>
          <w:rFonts w:ascii="Times New Roman" w:hAnsi="Times New Roman"/>
        </w:rPr>
      </w:pPr>
      <w:r>
        <w:rPr>
          <w:rFonts w:ascii="Times New Roman" w:hAnsi="Times New Roman"/>
        </w:rPr>
        <w:br w:type="page"/>
      </w:r>
    </w:p>
    <w:p w:rsidR="00444C66" w:rsidRDefault="00444C66">
      <w:pPr>
        <w:widowControl w:val="0"/>
        <w:spacing w:after="0" w:line="240" w:lineRule="auto"/>
        <w:jc w:val="center"/>
        <w:rPr>
          <w:rFonts w:ascii="Times New Roman" w:hAnsi="Times New Roman"/>
        </w:rPr>
      </w:pPr>
    </w:p>
    <w:p w:rsidR="00444C66" w:rsidRDefault="00444C66">
      <w:pPr>
        <w:widowControl w:val="0"/>
        <w:spacing w:after="0" w:line="240" w:lineRule="auto"/>
        <w:jc w:val="center"/>
        <w:rPr>
          <w:rFonts w:ascii="Times New Roman" w:hAnsi="Times New Roman"/>
        </w:rPr>
      </w:pPr>
    </w:p>
    <w:p w:rsidR="00444C66" w:rsidRDefault="00444C66">
      <w:pPr>
        <w:widowControl w:val="0"/>
        <w:spacing w:after="0" w:line="240" w:lineRule="auto"/>
        <w:jc w:val="center"/>
        <w:rPr>
          <w:rFonts w:ascii="Times New Roman" w:hAnsi="Times New Roman"/>
        </w:rPr>
      </w:pPr>
    </w:p>
    <w:p w:rsidR="00444C66" w:rsidRDefault="00444C66">
      <w:pPr>
        <w:widowControl w:val="0"/>
        <w:spacing w:after="0" w:line="240" w:lineRule="auto"/>
        <w:jc w:val="center"/>
        <w:rPr>
          <w:rFonts w:ascii="Times New Roman" w:hAnsi="Times New Roman"/>
        </w:rPr>
      </w:pPr>
    </w:p>
    <w:p w:rsidR="00444C66" w:rsidRDefault="00444C66">
      <w:pPr>
        <w:widowControl w:val="0"/>
        <w:spacing w:after="0" w:line="240" w:lineRule="auto"/>
        <w:jc w:val="center"/>
        <w:rPr>
          <w:rFonts w:ascii="Times New Roman" w:hAnsi="Times New Roman"/>
        </w:rPr>
      </w:pPr>
    </w:p>
    <w:p w:rsidR="00444C66" w:rsidRDefault="00444C66">
      <w:pPr>
        <w:widowControl w:val="0"/>
        <w:spacing w:after="0" w:line="240" w:lineRule="auto"/>
        <w:jc w:val="center"/>
        <w:rPr>
          <w:rFonts w:ascii="Times New Roman" w:hAnsi="Times New Roman"/>
        </w:rPr>
      </w:pPr>
    </w:p>
    <w:p w:rsidR="00444C66" w:rsidRDefault="00444C66">
      <w:pPr>
        <w:widowControl w:val="0"/>
        <w:spacing w:after="0" w:line="240" w:lineRule="auto"/>
        <w:jc w:val="center"/>
        <w:rPr>
          <w:rFonts w:ascii="Times New Roman" w:hAnsi="Times New Roman"/>
        </w:rPr>
      </w:pPr>
    </w:p>
    <w:p w:rsidR="00444C66" w:rsidRDefault="00444C66">
      <w:pPr>
        <w:widowControl w:val="0"/>
        <w:spacing w:after="0" w:line="240" w:lineRule="auto"/>
        <w:jc w:val="center"/>
        <w:rPr>
          <w:rFonts w:ascii="Times New Roman" w:hAnsi="Times New Roman"/>
        </w:rPr>
      </w:pPr>
    </w:p>
    <w:p w:rsidR="00444C66" w:rsidRDefault="00444C66">
      <w:pPr>
        <w:widowControl w:val="0"/>
        <w:spacing w:after="0" w:line="240" w:lineRule="auto"/>
        <w:jc w:val="center"/>
        <w:rPr>
          <w:rFonts w:ascii="Times New Roman" w:hAnsi="Times New Roman"/>
        </w:rPr>
      </w:pPr>
    </w:p>
    <w:p w:rsidR="00444C66" w:rsidRDefault="00444C66">
      <w:pPr>
        <w:widowControl w:val="0"/>
        <w:spacing w:after="0" w:line="240" w:lineRule="auto"/>
        <w:jc w:val="center"/>
        <w:rPr>
          <w:rFonts w:ascii="Times New Roman" w:hAnsi="Times New Roman"/>
        </w:rPr>
      </w:pPr>
    </w:p>
    <w:p w:rsidR="00444C66" w:rsidRDefault="00444C66">
      <w:pPr>
        <w:widowControl w:val="0"/>
        <w:spacing w:after="0" w:line="240" w:lineRule="auto"/>
        <w:jc w:val="center"/>
        <w:rPr>
          <w:rFonts w:ascii="Times New Roman" w:hAnsi="Times New Roman"/>
        </w:rPr>
      </w:pPr>
    </w:p>
    <w:p w:rsidR="00444C66" w:rsidRDefault="00444C66">
      <w:pPr>
        <w:widowControl w:val="0"/>
        <w:spacing w:after="0" w:line="240" w:lineRule="auto"/>
        <w:jc w:val="center"/>
        <w:rPr>
          <w:rFonts w:ascii="Times New Roman" w:hAnsi="Times New Roman"/>
        </w:rPr>
      </w:pPr>
    </w:p>
    <w:p w:rsidR="00444C66" w:rsidRDefault="00444C66">
      <w:pPr>
        <w:widowControl w:val="0"/>
        <w:spacing w:after="0" w:line="240" w:lineRule="auto"/>
        <w:jc w:val="center"/>
        <w:rPr>
          <w:rFonts w:ascii="Times New Roman" w:hAnsi="Times New Roman"/>
        </w:rPr>
      </w:pPr>
    </w:p>
    <w:p w:rsidR="00444C66" w:rsidRDefault="00444C66">
      <w:pPr>
        <w:widowControl w:val="0"/>
        <w:spacing w:after="0" w:line="240" w:lineRule="auto"/>
        <w:jc w:val="center"/>
        <w:rPr>
          <w:rFonts w:ascii="Times New Roman" w:hAnsi="Times New Roman"/>
        </w:rPr>
      </w:pPr>
    </w:p>
    <w:p w:rsidR="00444C66" w:rsidRDefault="00444C66">
      <w:pPr>
        <w:widowControl w:val="0"/>
        <w:spacing w:after="0" w:line="240" w:lineRule="auto"/>
        <w:jc w:val="center"/>
        <w:rPr>
          <w:rFonts w:ascii="Times New Roman" w:hAnsi="Times New Roman"/>
        </w:rPr>
      </w:pPr>
    </w:p>
    <w:p w:rsidR="00444C66" w:rsidRDefault="00444C66">
      <w:pPr>
        <w:widowControl w:val="0"/>
        <w:spacing w:after="0" w:line="240" w:lineRule="auto"/>
        <w:jc w:val="center"/>
        <w:rPr>
          <w:rFonts w:ascii="Times New Roman" w:hAnsi="Times New Roman"/>
        </w:rPr>
      </w:pPr>
    </w:p>
    <w:p w:rsidR="00444C66" w:rsidRDefault="00444C66">
      <w:pPr>
        <w:widowControl w:val="0"/>
        <w:spacing w:after="0" w:line="240" w:lineRule="auto"/>
        <w:jc w:val="center"/>
        <w:rPr>
          <w:rFonts w:ascii="Times New Roman" w:hAnsi="Times New Roman"/>
        </w:rPr>
      </w:pPr>
    </w:p>
    <w:p w:rsidR="00444C66" w:rsidRDefault="00444C66">
      <w:pPr>
        <w:widowControl w:val="0"/>
        <w:spacing w:after="0" w:line="240" w:lineRule="auto"/>
        <w:jc w:val="center"/>
        <w:rPr>
          <w:rFonts w:ascii="Times New Roman" w:hAnsi="Times New Roman"/>
        </w:rPr>
      </w:pPr>
    </w:p>
    <w:p w:rsidR="00444C66" w:rsidRDefault="00444C66">
      <w:pPr>
        <w:widowControl w:val="0"/>
        <w:spacing w:after="0" w:line="240" w:lineRule="auto"/>
        <w:jc w:val="center"/>
        <w:rPr>
          <w:rFonts w:ascii="Times New Roman" w:hAnsi="Times New Roman"/>
        </w:rPr>
      </w:pPr>
    </w:p>
    <w:p w:rsidR="00444C66" w:rsidRDefault="00444C66">
      <w:pPr>
        <w:widowControl w:val="0"/>
        <w:spacing w:after="0" w:line="240" w:lineRule="auto"/>
        <w:jc w:val="center"/>
        <w:rPr>
          <w:rFonts w:ascii="Times New Roman" w:hAnsi="Times New Roman"/>
        </w:rPr>
      </w:pPr>
    </w:p>
    <w:p w:rsidR="00444C66" w:rsidRDefault="00444C66">
      <w:pPr>
        <w:widowControl w:val="0"/>
        <w:spacing w:after="0" w:line="240" w:lineRule="auto"/>
        <w:jc w:val="center"/>
        <w:rPr>
          <w:rFonts w:ascii="Times New Roman" w:hAnsi="Times New Roman"/>
        </w:rPr>
      </w:pPr>
    </w:p>
    <w:p w:rsidR="00444C66" w:rsidRDefault="00444C66">
      <w:pPr>
        <w:widowControl w:val="0"/>
        <w:spacing w:after="0" w:line="240" w:lineRule="auto"/>
        <w:jc w:val="center"/>
        <w:rPr>
          <w:rFonts w:ascii="Times New Roman" w:hAnsi="Times New Roman"/>
        </w:rPr>
      </w:pPr>
    </w:p>
    <w:p w:rsidR="00444C66" w:rsidRDefault="00444C66">
      <w:pPr>
        <w:widowControl w:val="0"/>
        <w:spacing w:after="0" w:line="240" w:lineRule="auto"/>
        <w:jc w:val="center"/>
        <w:rPr>
          <w:rFonts w:ascii="Times New Roman" w:hAnsi="Times New Roman"/>
        </w:rPr>
      </w:pPr>
    </w:p>
    <w:p w:rsidR="00444C66" w:rsidRDefault="00444C66">
      <w:pPr>
        <w:widowControl w:val="0"/>
        <w:tabs>
          <w:tab w:val="left" w:pos="567"/>
        </w:tabs>
        <w:spacing w:after="0" w:line="240" w:lineRule="auto"/>
        <w:ind w:left="567" w:hanging="567"/>
        <w:jc w:val="center"/>
        <w:outlineLvl w:val="0"/>
        <w:rPr>
          <w:rFonts w:ascii="Times New Roman" w:hAnsi="Times New Roman"/>
          <w:b/>
          <w:caps/>
        </w:rPr>
      </w:pPr>
      <w:bookmarkStart w:id="13" w:name="_Toc129243136"/>
      <w:bookmarkStart w:id="14" w:name="_Toc129243261"/>
      <w:r>
        <w:rPr>
          <w:rFonts w:ascii="Times New Roman" w:hAnsi="Times New Roman"/>
          <w:b/>
          <w:caps/>
        </w:rPr>
        <w:t>A. ŽENKLINIMAS</w:t>
      </w:r>
      <w:bookmarkEnd w:id="13"/>
      <w:bookmarkEnd w:id="14"/>
    </w:p>
    <w:p w:rsidR="00444C66" w:rsidRDefault="00444C66">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Pr>
          <w:rFonts w:ascii="Times New Roman" w:hAnsi="Times New Roman"/>
        </w:rPr>
        <w:br w:type="page"/>
      </w:r>
      <w:r>
        <w:rPr>
          <w:rFonts w:ascii="Times New Roman" w:hAnsi="Times New Roman"/>
          <w:b/>
        </w:rPr>
        <w:lastRenderedPageBreak/>
        <w:t>INFORMACIJA ANT IŠORINĖS PAKUOTĖS</w:t>
      </w:r>
    </w:p>
    <w:p w:rsidR="00444C66" w:rsidRDefault="00444C66">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rPr>
      </w:pPr>
    </w:p>
    <w:p w:rsidR="00444C66" w:rsidRDefault="00444C66">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rPr>
      </w:pPr>
      <w:r>
        <w:rPr>
          <w:rFonts w:ascii="Times New Roman" w:hAnsi="Times New Roman"/>
          <w:b/>
        </w:rPr>
        <w:t>KARTONO DĖŽUTĖ</w:t>
      </w:r>
    </w:p>
    <w:p w:rsidR="00444C66" w:rsidRDefault="00444C66">
      <w:pPr>
        <w:widowControl w:val="0"/>
        <w:spacing w:after="0" w:line="240" w:lineRule="auto"/>
        <w:rPr>
          <w:rFonts w:ascii="Times New Roman" w:hAnsi="Times New Roman"/>
        </w:rPr>
      </w:pPr>
    </w:p>
    <w:p w:rsidR="00444C66" w:rsidRDefault="00444C66">
      <w:pPr>
        <w:widowControl w:val="0"/>
        <w:spacing w:after="0" w:line="240" w:lineRule="auto"/>
        <w:rPr>
          <w:rFonts w:ascii="Times New Roman" w:hAnsi="Times New Roman"/>
        </w:rPr>
      </w:pPr>
    </w:p>
    <w:p w:rsidR="00444C66" w:rsidRDefault="00444C66">
      <w:pPr>
        <w:widowControl w:val="0"/>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Pr>
          <w:rFonts w:ascii="Times New Roman" w:hAnsi="Times New Roman"/>
          <w:b/>
        </w:rPr>
        <w:t>1.</w:t>
      </w:r>
      <w:r>
        <w:rPr>
          <w:rFonts w:ascii="Times New Roman" w:hAnsi="Times New Roman"/>
          <w:b/>
        </w:rPr>
        <w:tab/>
        <w:t>VAISTINIO PREPARATO PAVADINIMAS</w:t>
      </w:r>
    </w:p>
    <w:p w:rsidR="00444C66" w:rsidRDefault="00444C66">
      <w:pPr>
        <w:widowControl w:val="0"/>
        <w:spacing w:after="0" w:line="240" w:lineRule="auto"/>
        <w:rPr>
          <w:rFonts w:ascii="Times New Roman" w:hAnsi="Times New Roman"/>
        </w:rPr>
      </w:pPr>
    </w:p>
    <w:p w:rsidR="00444C66" w:rsidRDefault="00444C66">
      <w:pPr>
        <w:widowControl w:val="0"/>
        <w:spacing w:after="0" w:line="240" w:lineRule="auto"/>
        <w:rPr>
          <w:rFonts w:ascii="Times New Roman" w:hAnsi="Times New Roman"/>
        </w:rPr>
      </w:pPr>
      <w:r>
        <w:rPr>
          <w:rFonts w:ascii="Times New Roman" w:hAnsi="Times New Roman"/>
        </w:rPr>
        <w:t>Olimestra 10 mg plėvele dengtos tabletės</w:t>
      </w:r>
    </w:p>
    <w:p w:rsidR="00444C66" w:rsidRDefault="00444C66">
      <w:pPr>
        <w:widowControl w:val="0"/>
        <w:spacing w:after="0" w:line="240" w:lineRule="auto"/>
        <w:rPr>
          <w:rFonts w:ascii="Times New Roman" w:hAnsi="Times New Roman"/>
          <w:highlight w:val="lightGray"/>
        </w:rPr>
      </w:pPr>
      <w:r>
        <w:rPr>
          <w:rFonts w:ascii="Times New Roman" w:hAnsi="Times New Roman"/>
          <w:highlight w:val="lightGray"/>
        </w:rPr>
        <w:t>Olimestra 20 mg plėvele dengtos tabletės</w:t>
      </w:r>
    </w:p>
    <w:p w:rsidR="00444C66" w:rsidRDefault="00444C66">
      <w:pPr>
        <w:widowControl w:val="0"/>
        <w:spacing w:after="0" w:line="240" w:lineRule="auto"/>
        <w:rPr>
          <w:rFonts w:ascii="Times New Roman" w:hAnsi="Times New Roman"/>
        </w:rPr>
      </w:pPr>
      <w:r>
        <w:rPr>
          <w:rFonts w:ascii="Times New Roman" w:hAnsi="Times New Roman"/>
          <w:highlight w:val="darkGray"/>
        </w:rPr>
        <w:t>Olimestra 40 mg plėvele dengtos tabletės</w:t>
      </w:r>
    </w:p>
    <w:p w:rsidR="00444C66" w:rsidRDefault="00444C66">
      <w:pPr>
        <w:widowControl w:val="0"/>
        <w:spacing w:after="0" w:line="240" w:lineRule="auto"/>
        <w:rPr>
          <w:rFonts w:ascii="Times New Roman" w:hAnsi="Times New Roman"/>
        </w:rPr>
      </w:pPr>
    </w:p>
    <w:p w:rsidR="00444C66" w:rsidRDefault="00444C66">
      <w:pPr>
        <w:widowControl w:val="0"/>
        <w:overflowPunct w:val="0"/>
        <w:autoSpaceDE w:val="0"/>
        <w:autoSpaceDN w:val="0"/>
        <w:adjustRightInd w:val="0"/>
        <w:spacing w:after="0" w:line="240" w:lineRule="auto"/>
        <w:jc w:val="both"/>
        <w:textAlignment w:val="baseline"/>
        <w:rPr>
          <w:rFonts w:ascii="Times New Roman" w:hAnsi="Times New Roman"/>
        </w:rPr>
      </w:pPr>
      <w:r>
        <w:rPr>
          <w:rFonts w:ascii="Times New Roman" w:hAnsi="Times New Roman"/>
        </w:rPr>
        <w:t>olmesartanas medoksomilis</w:t>
      </w:r>
    </w:p>
    <w:p w:rsidR="00444C66" w:rsidRDefault="00444C66">
      <w:pPr>
        <w:widowControl w:val="0"/>
        <w:spacing w:after="0" w:line="240" w:lineRule="auto"/>
        <w:rPr>
          <w:rFonts w:ascii="Times New Roman" w:hAnsi="Times New Roman"/>
        </w:rPr>
      </w:pPr>
    </w:p>
    <w:p w:rsidR="00444C66" w:rsidRDefault="00444C66">
      <w:pPr>
        <w:widowControl w:val="0"/>
        <w:spacing w:after="0" w:line="240" w:lineRule="auto"/>
        <w:rPr>
          <w:rFonts w:ascii="Times New Roman" w:hAnsi="Times New Roman"/>
        </w:rPr>
      </w:pPr>
    </w:p>
    <w:p w:rsidR="00444C66" w:rsidRDefault="00444C66">
      <w:pPr>
        <w:widowControl w:val="0"/>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rPr>
      </w:pPr>
      <w:r>
        <w:rPr>
          <w:rFonts w:ascii="Times New Roman" w:hAnsi="Times New Roman"/>
          <w:b/>
        </w:rPr>
        <w:t>2.</w:t>
      </w:r>
      <w:r>
        <w:rPr>
          <w:rFonts w:ascii="Times New Roman" w:hAnsi="Times New Roman"/>
          <w:b/>
        </w:rPr>
        <w:tab/>
        <w:t>VEIKLIOJI (-IOS) MEDŽIAGA (-OS) IR JOS (-Ų) KIEKIS (-IAI)</w:t>
      </w:r>
    </w:p>
    <w:p w:rsidR="00444C66" w:rsidRDefault="00444C66">
      <w:pPr>
        <w:widowControl w:val="0"/>
        <w:spacing w:after="0" w:line="240" w:lineRule="auto"/>
        <w:rPr>
          <w:rFonts w:ascii="Times New Roman" w:hAnsi="Times New Roman"/>
        </w:rPr>
      </w:pPr>
    </w:p>
    <w:p w:rsidR="00444C66" w:rsidRDefault="00444C66">
      <w:pPr>
        <w:widowControl w:val="0"/>
        <w:tabs>
          <w:tab w:val="left" w:pos="567"/>
        </w:tabs>
        <w:spacing w:after="0" w:line="240" w:lineRule="auto"/>
        <w:rPr>
          <w:rFonts w:ascii="Times New Roman" w:hAnsi="Times New Roman"/>
        </w:rPr>
      </w:pPr>
      <w:r>
        <w:rPr>
          <w:rFonts w:ascii="Times New Roman" w:hAnsi="Times New Roman"/>
        </w:rPr>
        <w:t>Kiekvienoje plėvele dengtoje tabletėje yra 10 mg olmesartano medoksomilio.</w:t>
      </w:r>
    </w:p>
    <w:p w:rsidR="00444C66" w:rsidRDefault="00444C66">
      <w:pPr>
        <w:widowControl w:val="0"/>
        <w:tabs>
          <w:tab w:val="left" w:pos="567"/>
        </w:tabs>
        <w:spacing w:after="0" w:line="240" w:lineRule="auto"/>
        <w:rPr>
          <w:rFonts w:ascii="Times New Roman" w:hAnsi="Times New Roman"/>
          <w:highlight w:val="lightGray"/>
        </w:rPr>
      </w:pPr>
      <w:r>
        <w:rPr>
          <w:rFonts w:ascii="Times New Roman" w:hAnsi="Times New Roman"/>
          <w:highlight w:val="lightGray"/>
        </w:rPr>
        <w:t>Kiekvienoje plėvele dengtoje tabletėje yra 20 mg olmesartano medoksomilio.</w:t>
      </w:r>
    </w:p>
    <w:p w:rsidR="00444C66" w:rsidRDefault="00444C66">
      <w:pPr>
        <w:widowControl w:val="0"/>
        <w:tabs>
          <w:tab w:val="left" w:pos="567"/>
        </w:tabs>
        <w:spacing w:after="0" w:line="240" w:lineRule="auto"/>
        <w:rPr>
          <w:rFonts w:ascii="Times New Roman" w:hAnsi="Times New Roman"/>
        </w:rPr>
      </w:pPr>
      <w:r>
        <w:rPr>
          <w:rFonts w:ascii="Times New Roman" w:hAnsi="Times New Roman"/>
          <w:highlight w:val="darkGray"/>
        </w:rPr>
        <w:t>Kiekvienoje plėvele dengtoje tabletėje yra 40 mg olmesartano medoksomilio.</w:t>
      </w:r>
    </w:p>
    <w:p w:rsidR="00444C66" w:rsidRDefault="00444C66">
      <w:pPr>
        <w:widowControl w:val="0"/>
        <w:spacing w:after="0" w:line="240" w:lineRule="auto"/>
        <w:rPr>
          <w:rFonts w:ascii="Times New Roman" w:hAnsi="Times New Roman"/>
        </w:rPr>
      </w:pPr>
    </w:p>
    <w:p w:rsidR="00444C66" w:rsidRDefault="00444C66">
      <w:pPr>
        <w:widowControl w:val="0"/>
        <w:spacing w:after="0" w:line="240" w:lineRule="auto"/>
        <w:rPr>
          <w:rFonts w:ascii="Times New Roman" w:hAnsi="Times New Roman"/>
        </w:rPr>
      </w:pPr>
    </w:p>
    <w:p w:rsidR="00444C66" w:rsidRDefault="00444C66">
      <w:pPr>
        <w:widowControl w:val="0"/>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highlight w:val="lightGray"/>
        </w:rPr>
      </w:pPr>
      <w:r>
        <w:rPr>
          <w:rFonts w:ascii="Times New Roman" w:hAnsi="Times New Roman"/>
          <w:b/>
        </w:rPr>
        <w:t>3.</w:t>
      </w:r>
      <w:r>
        <w:rPr>
          <w:rFonts w:ascii="Times New Roman" w:hAnsi="Times New Roman"/>
          <w:b/>
        </w:rPr>
        <w:tab/>
        <w:t>PAGALBINIŲ MEDŽIAGŲ SĄRAŠAS</w:t>
      </w:r>
    </w:p>
    <w:p w:rsidR="00444C66" w:rsidRDefault="00444C66">
      <w:pPr>
        <w:widowControl w:val="0"/>
        <w:spacing w:after="0" w:line="240" w:lineRule="auto"/>
        <w:rPr>
          <w:rFonts w:ascii="Times New Roman" w:hAnsi="Times New Roman"/>
        </w:rPr>
      </w:pPr>
    </w:p>
    <w:p w:rsidR="00444C66" w:rsidRDefault="00444C66">
      <w:pPr>
        <w:widowControl w:val="0"/>
        <w:spacing w:after="0" w:line="240" w:lineRule="auto"/>
        <w:rPr>
          <w:rFonts w:ascii="Times New Roman" w:hAnsi="Times New Roman"/>
        </w:rPr>
      </w:pPr>
      <w:r>
        <w:rPr>
          <w:rFonts w:ascii="Times New Roman" w:hAnsi="Times New Roman"/>
        </w:rPr>
        <w:t>Pagalbinė medžiaga: laktozė monohidratas.</w:t>
      </w:r>
    </w:p>
    <w:p w:rsidR="00444C66" w:rsidRDefault="00444C66">
      <w:pPr>
        <w:widowControl w:val="0"/>
        <w:spacing w:after="0" w:line="240" w:lineRule="auto"/>
        <w:rPr>
          <w:rFonts w:ascii="Times New Roman" w:hAnsi="Times New Roman"/>
        </w:rPr>
      </w:pPr>
      <w:r>
        <w:rPr>
          <w:rFonts w:ascii="Times New Roman" w:hAnsi="Times New Roman"/>
        </w:rPr>
        <w:t>Daugiau informacijos pateikta pakuotės lapelyje.</w:t>
      </w:r>
    </w:p>
    <w:p w:rsidR="00444C66" w:rsidRDefault="00444C66">
      <w:pPr>
        <w:widowControl w:val="0"/>
        <w:spacing w:after="0" w:line="240" w:lineRule="auto"/>
        <w:rPr>
          <w:rFonts w:ascii="Times New Roman" w:hAnsi="Times New Roman"/>
        </w:rPr>
      </w:pPr>
    </w:p>
    <w:p w:rsidR="00444C66" w:rsidRDefault="00444C66">
      <w:pPr>
        <w:widowControl w:val="0"/>
        <w:spacing w:after="0" w:line="240" w:lineRule="auto"/>
        <w:rPr>
          <w:rFonts w:ascii="Times New Roman" w:hAnsi="Times New Roman"/>
        </w:rPr>
      </w:pPr>
    </w:p>
    <w:p w:rsidR="00444C66" w:rsidRDefault="00444C66">
      <w:pPr>
        <w:widowControl w:val="0"/>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rPr>
      </w:pPr>
      <w:r>
        <w:rPr>
          <w:rFonts w:ascii="Times New Roman" w:hAnsi="Times New Roman"/>
          <w:b/>
        </w:rPr>
        <w:t>4.</w:t>
      </w:r>
      <w:r>
        <w:rPr>
          <w:rFonts w:ascii="Times New Roman" w:hAnsi="Times New Roman"/>
          <w:b/>
        </w:rPr>
        <w:tab/>
        <w:t>FARMACINĖ FORMA IR KIEKIS PAKUOTĖJE</w:t>
      </w:r>
    </w:p>
    <w:p w:rsidR="00444C66" w:rsidRDefault="00444C66">
      <w:pPr>
        <w:widowControl w:val="0"/>
        <w:spacing w:after="0" w:line="240" w:lineRule="auto"/>
        <w:rPr>
          <w:rFonts w:ascii="Times New Roman" w:hAnsi="Times New Roman"/>
        </w:rPr>
      </w:pPr>
    </w:p>
    <w:p w:rsidR="00444C66" w:rsidRDefault="00444C66">
      <w:pPr>
        <w:widowControl w:val="0"/>
        <w:spacing w:after="0" w:line="240" w:lineRule="auto"/>
        <w:rPr>
          <w:rFonts w:ascii="Times New Roman" w:hAnsi="Times New Roman"/>
        </w:rPr>
      </w:pPr>
      <w:r>
        <w:rPr>
          <w:rFonts w:ascii="Times New Roman" w:hAnsi="Times New Roman"/>
          <w:highlight w:val="lightGray"/>
        </w:rPr>
        <w:t>Plėvele dengta tabletė.</w:t>
      </w:r>
    </w:p>
    <w:p w:rsidR="00444C66" w:rsidRDefault="00444C66">
      <w:pPr>
        <w:widowControl w:val="0"/>
        <w:spacing w:after="0" w:line="240" w:lineRule="auto"/>
        <w:rPr>
          <w:rFonts w:ascii="Times New Roman" w:hAnsi="Times New Roman"/>
        </w:rPr>
      </w:pPr>
    </w:p>
    <w:p w:rsidR="00444C66" w:rsidRDefault="00444C66">
      <w:pPr>
        <w:widowControl w:val="0"/>
        <w:spacing w:after="0" w:line="240" w:lineRule="auto"/>
        <w:rPr>
          <w:rFonts w:ascii="Times New Roman" w:hAnsi="Times New Roman"/>
          <w:u w:val="single"/>
        </w:rPr>
      </w:pPr>
      <w:r>
        <w:rPr>
          <w:rFonts w:ascii="Times New Roman" w:hAnsi="Times New Roman"/>
          <w:highlight w:val="lightGray"/>
          <w:u w:val="single"/>
        </w:rPr>
        <w:t>Lizdinė plokštelė</w:t>
      </w:r>
    </w:p>
    <w:p w:rsidR="00444C66" w:rsidRDefault="00444C66">
      <w:pPr>
        <w:widowControl w:val="0"/>
        <w:spacing w:after="0" w:line="240" w:lineRule="auto"/>
        <w:rPr>
          <w:rFonts w:ascii="Times New Roman" w:hAnsi="Times New Roman"/>
        </w:rPr>
      </w:pPr>
      <w:r>
        <w:rPr>
          <w:rFonts w:ascii="Times New Roman" w:hAnsi="Times New Roman"/>
        </w:rPr>
        <w:t>10 plėvele dengtų tablečių</w:t>
      </w:r>
    </w:p>
    <w:p w:rsidR="00444C66" w:rsidRDefault="00444C66">
      <w:pPr>
        <w:widowControl w:val="0"/>
        <w:spacing w:after="0" w:line="240" w:lineRule="auto"/>
        <w:rPr>
          <w:rFonts w:ascii="Times New Roman" w:hAnsi="Times New Roman"/>
          <w:highlight w:val="lightGray"/>
        </w:rPr>
      </w:pPr>
      <w:r>
        <w:rPr>
          <w:rFonts w:ascii="Times New Roman" w:hAnsi="Times New Roman"/>
          <w:highlight w:val="lightGray"/>
        </w:rPr>
        <w:t>14 plėvele dengtų tablečių</w:t>
      </w:r>
    </w:p>
    <w:p w:rsidR="00444C66" w:rsidRDefault="00444C66">
      <w:pPr>
        <w:widowControl w:val="0"/>
        <w:spacing w:after="0" w:line="240" w:lineRule="auto"/>
        <w:rPr>
          <w:rFonts w:ascii="Times New Roman" w:hAnsi="Times New Roman"/>
        </w:rPr>
      </w:pPr>
      <w:r>
        <w:rPr>
          <w:rFonts w:ascii="Times New Roman" w:hAnsi="Times New Roman"/>
          <w:highlight w:val="lightGray"/>
        </w:rPr>
        <w:t>28 plėvele dengtos tabletės</w:t>
      </w:r>
    </w:p>
    <w:p w:rsidR="00444C66" w:rsidRDefault="00444C66">
      <w:pPr>
        <w:widowControl w:val="0"/>
        <w:spacing w:after="0" w:line="240" w:lineRule="auto"/>
        <w:rPr>
          <w:rFonts w:ascii="Times New Roman" w:hAnsi="Times New Roman"/>
        </w:rPr>
      </w:pPr>
      <w:r>
        <w:rPr>
          <w:rFonts w:ascii="Times New Roman" w:hAnsi="Times New Roman"/>
          <w:highlight w:val="lightGray"/>
        </w:rPr>
        <w:t>30 plėvele dengtų tablečių</w:t>
      </w:r>
    </w:p>
    <w:p w:rsidR="00444C66" w:rsidRDefault="00444C66">
      <w:pPr>
        <w:widowControl w:val="0"/>
        <w:spacing w:after="0" w:line="240" w:lineRule="auto"/>
        <w:rPr>
          <w:rFonts w:ascii="Times New Roman" w:hAnsi="Times New Roman"/>
        </w:rPr>
      </w:pPr>
      <w:r>
        <w:rPr>
          <w:rFonts w:ascii="Times New Roman" w:hAnsi="Times New Roman"/>
          <w:highlight w:val="lightGray"/>
        </w:rPr>
        <w:t>56 plėvele dengtos tabletės</w:t>
      </w:r>
    </w:p>
    <w:p w:rsidR="00444C66" w:rsidRDefault="00444C66">
      <w:pPr>
        <w:widowControl w:val="0"/>
        <w:spacing w:after="0" w:line="240" w:lineRule="auto"/>
        <w:rPr>
          <w:rFonts w:ascii="Times New Roman" w:hAnsi="Times New Roman"/>
        </w:rPr>
      </w:pPr>
      <w:r>
        <w:rPr>
          <w:rFonts w:ascii="Times New Roman" w:hAnsi="Times New Roman"/>
          <w:highlight w:val="lightGray"/>
        </w:rPr>
        <w:t>60 plėvele dengtų tablečių</w:t>
      </w:r>
    </w:p>
    <w:p w:rsidR="00444C66" w:rsidRDefault="00444C66">
      <w:pPr>
        <w:widowControl w:val="0"/>
        <w:spacing w:after="0" w:line="240" w:lineRule="auto"/>
        <w:rPr>
          <w:rFonts w:ascii="Times New Roman" w:hAnsi="Times New Roman"/>
        </w:rPr>
      </w:pPr>
      <w:r>
        <w:rPr>
          <w:rFonts w:ascii="Times New Roman" w:hAnsi="Times New Roman"/>
          <w:highlight w:val="lightGray"/>
        </w:rPr>
        <w:t>84 plėvele dengtos tabletės</w:t>
      </w:r>
    </w:p>
    <w:p w:rsidR="00444C66" w:rsidRDefault="00444C66">
      <w:pPr>
        <w:widowControl w:val="0"/>
        <w:spacing w:after="0" w:line="240" w:lineRule="auto"/>
        <w:rPr>
          <w:rFonts w:ascii="Times New Roman" w:hAnsi="Times New Roman"/>
        </w:rPr>
      </w:pPr>
      <w:r>
        <w:rPr>
          <w:rFonts w:ascii="Times New Roman" w:hAnsi="Times New Roman"/>
          <w:highlight w:val="lightGray"/>
        </w:rPr>
        <w:t>90 plėvele dengtų tablečių</w:t>
      </w:r>
    </w:p>
    <w:p w:rsidR="00444C66" w:rsidRDefault="00444C66">
      <w:pPr>
        <w:widowControl w:val="0"/>
        <w:spacing w:after="0" w:line="240" w:lineRule="auto"/>
        <w:rPr>
          <w:rFonts w:ascii="Times New Roman" w:hAnsi="Times New Roman"/>
        </w:rPr>
      </w:pPr>
      <w:r>
        <w:rPr>
          <w:rFonts w:ascii="Times New Roman" w:hAnsi="Times New Roman"/>
          <w:highlight w:val="lightGray"/>
        </w:rPr>
        <w:t>98 plėvele dengtos tabletės</w:t>
      </w:r>
    </w:p>
    <w:p w:rsidR="00444C66" w:rsidRDefault="00444C66">
      <w:pPr>
        <w:widowControl w:val="0"/>
        <w:spacing w:after="0" w:line="240" w:lineRule="auto"/>
        <w:rPr>
          <w:rFonts w:ascii="Times New Roman" w:hAnsi="Times New Roman"/>
        </w:rPr>
      </w:pPr>
      <w:r>
        <w:rPr>
          <w:rFonts w:ascii="Times New Roman" w:hAnsi="Times New Roman"/>
          <w:highlight w:val="lightGray"/>
        </w:rPr>
        <w:t>100 plėvele dengtų tablečių</w:t>
      </w:r>
    </w:p>
    <w:p w:rsidR="00444C66" w:rsidRDefault="00444C66">
      <w:pPr>
        <w:widowControl w:val="0"/>
        <w:spacing w:after="0" w:line="240" w:lineRule="auto"/>
        <w:rPr>
          <w:rFonts w:ascii="Times New Roman" w:hAnsi="Times New Roman"/>
        </w:rPr>
      </w:pPr>
    </w:p>
    <w:p w:rsidR="00444C66" w:rsidRDefault="00444C66">
      <w:pPr>
        <w:widowControl w:val="0"/>
        <w:spacing w:after="0" w:line="240" w:lineRule="auto"/>
        <w:rPr>
          <w:rFonts w:ascii="Times New Roman" w:hAnsi="Times New Roman"/>
          <w:highlight w:val="lightGray"/>
          <w:u w:val="single"/>
        </w:rPr>
      </w:pPr>
      <w:r>
        <w:rPr>
          <w:rFonts w:ascii="Times New Roman" w:hAnsi="Times New Roman"/>
          <w:highlight w:val="lightGray"/>
          <w:u w:val="single"/>
        </w:rPr>
        <w:t>Tablečių talpyklė</w:t>
      </w:r>
    </w:p>
    <w:p w:rsidR="00444C66" w:rsidRDefault="00444C66">
      <w:pPr>
        <w:widowControl w:val="0"/>
        <w:spacing w:after="0" w:line="240" w:lineRule="auto"/>
        <w:rPr>
          <w:rFonts w:ascii="Times New Roman" w:hAnsi="Times New Roman"/>
        </w:rPr>
      </w:pPr>
      <w:r>
        <w:rPr>
          <w:rFonts w:ascii="Times New Roman" w:hAnsi="Times New Roman"/>
          <w:highlight w:val="lightGray"/>
        </w:rPr>
        <w:t>100 plėvele dengtų tablečių</w:t>
      </w:r>
    </w:p>
    <w:p w:rsidR="00444C66" w:rsidRDefault="00444C66">
      <w:pPr>
        <w:widowControl w:val="0"/>
        <w:spacing w:after="0" w:line="240" w:lineRule="auto"/>
        <w:rPr>
          <w:rFonts w:ascii="Times New Roman" w:hAnsi="Times New Roman"/>
        </w:rPr>
      </w:pPr>
    </w:p>
    <w:p w:rsidR="00444C66" w:rsidRDefault="00444C66">
      <w:pPr>
        <w:widowControl w:val="0"/>
        <w:spacing w:after="0" w:line="240" w:lineRule="auto"/>
        <w:rPr>
          <w:rFonts w:ascii="Times New Roman" w:hAnsi="Times New Roman"/>
        </w:rPr>
      </w:pPr>
    </w:p>
    <w:p w:rsidR="00444C66" w:rsidRDefault="00444C66">
      <w:pPr>
        <w:widowControl w:val="0"/>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highlight w:val="lightGray"/>
        </w:rPr>
      </w:pPr>
      <w:r>
        <w:rPr>
          <w:rFonts w:ascii="Times New Roman" w:hAnsi="Times New Roman"/>
          <w:b/>
        </w:rPr>
        <w:t>5.</w:t>
      </w:r>
      <w:r>
        <w:rPr>
          <w:rFonts w:ascii="Times New Roman" w:hAnsi="Times New Roman"/>
          <w:b/>
        </w:rPr>
        <w:tab/>
        <w:t>VARTOJIMO METODAS IR BŪDAS (-AI)</w:t>
      </w:r>
    </w:p>
    <w:p w:rsidR="00444C66" w:rsidRDefault="00444C66">
      <w:pPr>
        <w:widowControl w:val="0"/>
        <w:spacing w:after="0" w:line="240" w:lineRule="auto"/>
        <w:rPr>
          <w:rFonts w:ascii="Times New Roman" w:hAnsi="Times New Roman"/>
          <w:i/>
        </w:rPr>
      </w:pPr>
    </w:p>
    <w:p w:rsidR="00444C66" w:rsidRDefault="00444C66">
      <w:pPr>
        <w:widowControl w:val="0"/>
        <w:spacing w:after="0" w:line="240" w:lineRule="auto"/>
        <w:rPr>
          <w:rFonts w:ascii="Times New Roman" w:hAnsi="Times New Roman"/>
        </w:rPr>
      </w:pPr>
      <w:r>
        <w:rPr>
          <w:rFonts w:ascii="Times New Roman" w:hAnsi="Times New Roman"/>
        </w:rPr>
        <w:t>Prieš vartojimą perskaitykite pakuotės lapelį.</w:t>
      </w:r>
    </w:p>
    <w:p w:rsidR="00444C66" w:rsidRDefault="00444C66">
      <w:pPr>
        <w:widowControl w:val="0"/>
        <w:tabs>
          <w:tab w:val="left" w:pos="567"/>
        </w:tabs>
        <w:spacing w:after="0" w:line="240" w:lineRule="auto"/>
        <w:rPr>
          <w:rFonts w:ascii="Times New Roman" w:hAnsi="Times New Roman"/>
        </w:rPr>
      </w:pPr>
      <w:r>
        <w:rPr>
          <w:rFonts w:ascii="Times New Roman" w:hAnsi="Times New Roman"/>
        </w:rPr>
        <w:t>Vartoti per burną.</w:t>
      </w:r>
    </w:p>
    <w:p w:rsidR="00444C66" w:rsidRDefault="00444C66">
      <w:pPr>
        <w:widowControl w:val="0"/>
        <w:spacing w:after="0" w:line="240" w:lineRule="auto"/>
        <w:rPr>
          <w:rFonts w:ascii="Times New Roman" w:hAnsi="Times New Roman"/>
        </w:rPr>
      </w:pPr>
    </w:p>
    <w:p w:rsidR="00444C66" w:rsidRDefault="00444C66">
      <w:pPr>
        <w:widowControl w:val="0"/>
        <w:spacing w:after="0" w:line="240" w:lineRule="auto"/>
        <w:rPr>
          <w:rFonts w:ascii="Times New Roman" w:hAnsi="Times New Roman"/>
        </w:rPr>
      </w:pPr>
    </w:p>
    <w:p w:rsidR="00444C66" w:rsidRDefault="00444C66">
      <w:pPr>
        <w:widowControl w:val="0"/>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Pr>
          <w:rFonts w:ascii="Times New Roman" w:hAnsi="Times New Roman"/>
          <w:b/>
        </w:rPr>
        <w:t>6.</w:t>
      </w:r>
      <w:r>
        <w:rPr>
          <w:rFonts w:ascii="Times New Roman" w:hAnsi="Times New Roman"/>
          <w:b/>
        </w:rPr>
        <w:tab/>
        <w:t xml:space="preserve">SPECIALUS ĮSPĖJIMAS, KAD VAISTINĮ PREPARATĄ BŪTINA LAIKYTI </w:t>
      </w:r>
      <w:r>
        <w:rPr>
          <w:rFonts w:ascii="Times New Roman" w:hAnsi="Times New Roman"/>
          <w:b/>
        </w:rPr>
        <w:lastRenderedPageBreak/>
        <w:t>VAIKAMS NEPASTEBIMOJE IR NEPASIEKIAMOJE VIETOJE</w:t>
      </w:r>
    </w:p>
    <w:p w:rsidR="00444C66" w:rsidRDefault="00444C66">
      <w:pPr>
        <w:widowControl w:val="0"/>
        <w:spacing w:after="0" w:line="240" w:lineRule="auto"/>
        <w:rPr>
          <w:rFonts w:ascii="Times New Roman" w:hAnsi="Times New Roman"/>
        </w:rPr>
      </w:pPr>
    </w:p>
    <w:p w:rsidR="00444C66" w:rsidRDefault="00444C66">
      <w:pPr>
        <w:widowControl w:val="0"/>
        <w:spacing w:after="0" w:line="240" w:lineRule="auto"/>
        <w:rPr>
          <w:rFonts w:ascii="Times New Roman" w:hAnsi="Times New Roman"/>
        </w:rPr>
      </w:pPr>
      <w:r>
        <w:rPr>
          <w:rFonts w:ascii="Times New Roman" w:hAnsi="Times New Roman"/>
        </w:rPr>
        <w:t>Laikyti vaikams nepastebimoje ir nepasiekiamoje vietoje.</w:t>
      </w:r>
    </w:p>
    <w:p w:rsidR="00444C66" w:rsidRDefault="00444C66">
      <w:pPr>
        <w:widowControl w:val="0"/>
        <w:spacing w:after="0" w:line="240" w:lineRule="auto"/>
        <w:rPr>
          <w:rFonts w:ascii="Times New Roman" w:hAnsi="Times New Roman"/>
        </w:rPr>
      </w:pPr>
    </w:p>
    <w:p w:rsidR="00444C66" w:rsidRDefault="00444C66">
      <w:pPr>
        <w:widowControl w:val="0"/>
        <w:spacing w:after="0" w:line="240" w:lineRule="auto"/>
        <w:rPr>
          <w:rFonts w:ascii="Times New Roman" w:hAnsi="Times New Roman"/>
        </w:rPr>
      </w:pPr>
    </w:p>
    <w:p w:rsidR="00444C66" w:rsidRDefault="00444C66">
      <w:pPr>
        <w:widowControl w:val="0"/>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Pr>
          <w:rFonts w:ascii="Times New Roman" w:hAnsi="Times New Roman"/>
          <w:b/>
        </w:rPr>
        <w:t>7.</w:t>
      </w:r>
      <w:r>
        <w:rPr>
          <w:rFonts w:ascii="Times New Roman" w:hAnsi="Times New Roman"/>
          <w:b/>
        </w:rPr>
        <w:tab/>
        <w:t>KITAS (-I) SPECIALUS (-ŪS) ĮSPĖJIMAS (-AI) (JEI REIKIA)</w:t>
      </w:r>
    </w:p>
    <w:p w:rsidR="00444C66" w:rsidRDefault="00444C66">
      <w:pPr>
        <w:widowControl w:val="0"/>
        <w:spacing w:after="0" w:line="240" w:lineRule="auto"/>
        <w:rPr>
          <w:rFonts w:ascii="Times New Roman" w:hAnsi="Times New Roman"/>
        </w:rPr>
      </w:pPr>
    </w:p>
    <w:p w:rsidR="00444C66" w:rsidRDefault="00444C66">
      <w:pPr>
        <w:widowControl w:val="0"/>
        <w:spacing w:after="0" w:line="240" w:lineRule="auto"/>
        <w:rPr>
          <w:rFonts w:ascii="Times New Roman" w:hAnsi="Times New Roman"/>
        </w:rPr>
      </w:pPr>
    </w:p>
    <w:p w:rsidR="00444C66" w:rsidRDefault="00444C66">
      <w:pPr>
        <w:widowControl w:val="0"/>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rPr>
      </w:pPr>
      <w:r>
        <w:rPr>
          <w:rFonts w:ascii="Times New Roman" w:hAnsi="Times New Roman"/>
          <w:b/>
        </w:rPr>
        <w:t>8.</w:t>
      </w:r>
      <w:r>
        <w:rPr>
          <w:rFonts w:ascii="Times New Roman" w:hAnsi="Times New Roman"/>
          <w:b/>
        </w:rPr>
        <w:tab/>
        <w:t>TINKAMUMO LAIKAS</w:t>
      </w:r>
    </w:p>
    <w:p w:rsidR="00444C66" w:rsidRDefault="00444C66">
      <w:pPr>
        <w:widowControl w:val="0"/>
        <w:spacing w:after="0" w:line="240" w:lineRule="auto"/>
        <w:rPr>
          <w:rFonts w:ascii="Times New Roman" w:hAnsi="Times New Roman"/>
        </w:rPr>
      </w:pPr>
    </w:p>
    <w:p w:rsidR="00444C66" w:rsidRDefault="00444C66">
      <w:pPr>
        <w:widowControl w:val="0"/>
        <w:tabs>
          <w:tab w:val="left" w:pos="567"/>
        </w:tabs>
        <w:spacing w:after="0" w:line="240" w:lineRule="auto"/>
        <w:rPr>
          <w:rFonts w:ascii="Times New Roman" w:hAnsi="Times New Roman"/>
        </w:rPr>
      </w:pPr>
      <w:r>
        <w:rPr>
          <w:rFonts w:ascii="Times New Roman" w:hAnsi="Times New Roman"/>
        </w:rPr>
        <w:t>Tinka iki (mmMMMM)</w:t>
      </w:r>
    </w:p>
    <w:p w:rsidR="00444C66" w:rsidRDefault="00444C66">
      <w:pPr>
        <w:widowControl w:val="0"/>
        <w:tabs>
          <w:tab w:val="left" w:pos="567"/>
        </w:tabs>
        <w:spacing w:after="0" w:line="240" w:lineRule="auto"/>
        <w:rPr>
          <w:rFonts w:ascii="Times New Roman" w:hAnsi="Times New Roman"/>
        </w:rPr>
      </w:pPr>
      <w:r>
        <w:rPr>
          <w:rFonts w:ascii="Times New Roman" w:hAnsi="Times New Roman"/>
          <w:highlight w:val="lightGray"/>
        </w:rPr>
        <w:t>EXP (mmMMMM)</w:t>
      </w:r>
    </w:p>
    <w:p w:rsidR="00444C66" w:rsidRDefault="00444C66">
      <w:pPr>
        <w:widowControl w:val="0"/>
        <w:spacing w:after="0" w:line="240" w:lineRule="auto"/>
        <w:rPr>
          <w:rFonts w:ascii="Times New Roman" w:hAnsi="Times New Roman"/>
        </w:rPr>
      </w:pPr>
    </w:p>
    <w:p w:rsidR="00444C66" w:rsidRDefault="00444C66">
      <w:pPr>
        <w:widowControl w:val="0"/>
        <w:spacing w:after="0" w:line="240" w:lineRule="auto"/>
        <w:rPr>
          <w:rFonts w:ascii="Times New Roman" w:hAnsi="Times New Roman"/>
        </w:rPr>
      </w:pPr>
    </w:p>
    <w:p w:rsidR="00444C66" w:rsidRDefault="00444C66">
      <w:pPr>
        <w:widowControl w:val="0"/>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rPr>
      </w:pPr>
      <w:r>
        <w:rPr>
          <w:rFonts w:ascii="Times New Roman" w:hAnsi="Times New Roman"/>
          <w:b/>
        </w:rPr>
        <w:t>9.</w:t>
      </w:r>
      <w:r>
        <w:rPr>
          <w:rFonts w:ascii="Times New Roman" w:hAnsi="Times New Roman"/>
          <w:b/>
        </w:rPr>
        <w:tab/>
      </w:r>
      <w:r>
        <w:rPr>
          <w:rFonts w:ascii="Times New Roman" w:hAnsi="Times New Roman"/>
          <w:b/>
          <w:caps/>
        </w:rPr>
        <w:t>SPECIALIOS laikymo sąlygos</w:t>
      </w:r>
    </w:p>
    <w:p w:rsidR="00444C66" w:rsidRDefault="00444C66">
      <w:pPr>
        <w:widowControl w:val="0"/>
        <w:spacing w:after="0" w:line="240" w:lineRule="auto"/>
        <w:rPr>
          <w:rFonts w:ascii="Times New Roman" w:hAnsi="Times New Roman"/>
        </w:rPr>
      </w:pPr>
    </w:p>
    <w:p w:rsidR="00444C66" w:rsidRDefault="00444C66">
      <w:pPr>
        <w:widowControl w:val="0"/>
        <w:spacing w:after="0" w:line="240" w:lineRule="auto"/>
        <w:ind w:left="567" w:hanging="567"/>
        <w:rPr>
          <w:rFonts w:ascii="Times New Roman" w:hAnsi="Times New Roman"/>
        </w:rPr>
      </w:pPr>
    </w:p>
    <w:p w:rsidR="00444C66" w:rsidRDefault="00444C66">
      <w:pPr>
        <w:widowControl w:val="0"/>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rPr>
      </w:pPr>
      <w:r>
        <w:rPr>
          <w:rFonts w:ascii="Times New Roman" w:hAnsi="Times New Roman"/>
          <w:b/>
        </w:rPr>
        <w:t>10.</w:t>
      </w:r>
      <w:r>
        <w:rPr>
          <w:rFonts w:ascii="Times New Roman" w:hAnsi="Times New Roman"/>
          <w:b/>
        </w:rPr>
        <w:tab/>
      </w:r>
      <w:r>
        <w:rPr>
          <w:rFonts w:ascii="Times New Roman" w:hAnsi="Times New Roman"/>
          <w:b/>
          <w:caps/>
        </w:rPr>
        <w:t>specialios atsargumo priemonės DĖL NESUVARTOTO VAISTINIO PREPARATO AR JO ATLIEKU TVARKYMO (jei reikia)</w:t>
      </w:r>
    </w:p>
    <w:p w:rsidR="00444C66" w:rsidRDefault="00444C66">
      <w:pPr>
        <w:widowControl w:val="0"/>
        <w:spacing w:after="0" w:line="240" w:lineRule="auto"/>
        <w:rPr>
          <w:rFonts w:ascii="Times New Roman" w:hAnsi="Times New Roman"/>
        </w:rPr>
      </w:pPr>
    </w:p>
    <w:p w:rsidR="00444C66" w:rsidRDefault="00444C66">
      <w:pPr>
        <w:widowControl w:val="0"/>
        <w:spacing w:after="0" w:line="240" w:lineRule="auto"/>
        <w:rPr>
          <w:rFonts w:ascii="Times New Roman" w:hAnsi="Times New Roman"/>
        </w:rPr>
      </w:pPr>
    </w:p>
    <w:p w:rsidR="00444C66" w:rsidRDefault="00444C66">
      <w:pPr>
        <w:widowControl w:val="0"/>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b/>
        </w:rPr>
      </w:pPr>
      <w:r>
        <w:rPr>
          <w:rFonts w:ascii="Times New Roman" w:hAnsi="Times New Roman"/>
          <w:b/>
        </w:rPr>
        <w:t>11.</w:t>
      </w:r>
      <w:r>
        <w:rPr>
          <w:rFonts w:ascii="Times New Roman" w:eastAsia="Times New Roman" w:hAnsi="Times New Roman"/>
          <w:b/>
          <w:caps/>
          <w:lang w:eastAsia="sl-SI"/>
        </w:rPr>
        <w:t>REGISTRUOTOJO</w:t>
      </w:r>
      <w:r>
        <w:rPr>
          <w:rFonts w:ascii="Times New Roman" w:hAnsi="Times New Roman"/>
          <w:b/>
          <w:caps/>
        </w:rPr>
        <w:t xml:space="preserve"> pavadinimas ir adresas</w:t>
      </w:r>
    </w:p>
    <w:p w:rsidR="00444C66" w:rsidRDefault="00444C66">
      <w:pPr>
        <w:widowControl w:val="0"/>
        <w:spacing w:after="0" w:line="240" w:lineRule="auto"/>
        <w:rPr>
          <w:rFonts w:ascii="Times New Roman" w:hAnsi="Times New Roman"/>
        </w:rPr>
      </w:pPr>
    </w:p>
    <w:p w:rsidR="00444C66" w:rsidRDefault="00444C66">
      <w:pPr>
        <w:widowControl w:val="0"/>
        <w:autoSpaceDE w:val="0"/>
        <w:autoSpaceDN w:val="0"/>
        <w:adjustRightInd w:val="0"/>
        <w:spacing w:after="0" w:line="240" w:lineRule="auto"/>
        <w:jc w:val="both"/>
        <w:rPr>
          <w:rFonts w:ascii="Times New Roman" w:hAnsi="Times New Roman"/>
        </w:rPr>
      </w:pPr>
      <w:r>
        <w:rPr>
          <w:rFonts w:ascii="Times New Roman" w:hAnsi="Times New Roman"/>
        </w:rPr>
        <w:t>KRKA, d.d., Novo mesto, Šmarješka cesta 6, 8501 Novo mesto, Slovėnija</w:t>
      </w:r>
    </w:p>
    <w:p w:rsidR="00444C66" w:rsidRDefault="00444C66">
      <w:pPr>
        <w:widowControl w:val="0"/>
        <w:autoSpaceDE w:val="0"/>
        <w:autoSpaceDN w:val="0"/>
        <w:adjustRightInd w:val="0"/>
        <w:spacing w:after="0" w:line="240" w:lineRule="auto"/>
        <w:jc w:val="both"/>
        <w:rPr>
          <w:rFonts w:ascii="Times New Roman" w:hAnsi="Times New Roman"/>
          <w:highlight w:val="yellow"/>
        </w:rPr>
      </w:pPr>
    </w:p>
    <w:p w:rsidR="00444C66" w:rsidRDefault="00444C66">
      <w:pPr>
        <w:widowControl w:val="0"/>
        <w:spacing w:after="0" w:line="240" w:lineRule="auto"/>
        <w:rPr>
          <w:rFonts w:ascii="Times New Roman" w:hAnsi="Times New Roman"/>
        </w:rPr>
      </w:pPr>
    </w:p>
    <w:p w:rsidR="00444C66" w:rsidRDefault="00444C66">
      <w:pPr>
        <w:widowControl w:val="0"/>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b/>
        </w:rPr>
      </w:pPr>
      <w:r>
        <w:rPr>
          <w:rFonts w:ascii="Times New Roman" w:hAnsi="Times New Roman"/>
          <w:b/>
        </w:rPr>
        <w:t>12.</w:t>
      </w:r>
      <w:r>
        <w:rPr>
          <w:rFonts w:ascii="Times New Roman" w:eastAsia="Times New Roman" w:hAnsi="Times New Roman"/>
          <w:b/>
          <w:caps/>
          <w:lang w:eastAsia="sl-SI"/>
        </w:rPr>
        <w:t>REGISTRACIJOS</w:t>
      </w:r>
      <w:r>
        <w:rPr>
          <w:rFonts w:ascii="Times New Roman" w:hAnsi="Times New Roman"/>
          <w:b/>
          <w:caps/>
        </w:rPr>
        <w:t xml:space="preserve"> PAŽYMĖJIMO NUMERIS (-IAI)</w:t>
      </w:r>
    </w:p>
    <w:p w:rsidR="00444C66" w:rsidRDefault="00444C66">
      <w:pPr>
        <w:widowControl w:val="0"/>
        <w:spacing w:after="0" w:line="240" w:lineRule="auto"/>
        <w:outlineLvl w:val="0"/>
        <w:rPr>
          <w:rFonts w:ascii="Times New Roman" w:hAnsi="Times New Roman"/>
        </w:rPr>
      </w:pPr>
    </w:p>
    <w:p w:rsidR="00444C66" w:rsidRDefault="00444C66">
      <w:pPr>
        <w:widowControl w:val="0"/>
        <w:spacing w:after="0" w:line="240" w:lineRule="auto"/>
        <w:rPr>
          <w:rFonts w:ascii="Times New Roman" w:hAnsi="Times New Roman"/>
          <w:highlight w:val="lightGray"/>
        </w:rPr>
      </w:pPr>
      <w:r>
        <w:rPr>
          <w:rFonts w:ascii="Times New Roman" w:hAnsi="Times New Roman"/>
          <w:highlight w:val="lightGray"/>
        </w:rPr>
        <w:t>Olimestra 10 mg</w:t>
      </w:r>
    </w:p>
    <w:p w:rsidR="00444C66" w:rsidRDefault="00444C66">
      <w:pPr>
        <w:widowControl w:val="0"/>
        <w:spacing w:after="0" w:line="240" w:lineRule="auto"/>
        <w:rPr>
          <w:rFonts w:ascii="Times New Roman" w:hAnsi="Times New Roman"/>
          <w:highlight w:val="lightGray"/>
          <w:u w:val="single"/>
        </w:rPr>
      </w:pPr>
      <w:r>
        <w:rPr>
          <w:rFonts w:ascii="Times New Roman" w:hAnsi="Times New Roman"/>
          <w:highlight w:val="lightGray"/>
          <w:u w:val="single"/>
        </w:rPr>
        <w:t>Lizdinė plokštelė:</w:t>
      </w:r>
    </w:p>
    <w:p w:rsidR="00444C66" w:rsidRDefault="00444C66">
      <w:pPr>
        <w:widowControl w:val="0"/>
        <w:spacing w:after="0" w:line="240" w:lineRule="auto"/>
        <w:rPr>
          <w:rFonts w:ascii="Times New Roman" w:hAnsi="Times New Roman"/>
        </w:rPr>
      </w:pPr>
      <w:r>
        <w:rPr>
          <w:rFonts w:ascii="Times New Roman" w:hAnsi="Times New Roman"/>
          <w:highlight w:val="lightGray"/>
        </w:rPr>
        <w:t>N10 -</w:t>
      </w:r>
      <w:r>
        <w:rPr>
          <w:rFonts w:ascii="Times New Roman" w:hAnsi="Times New Roman"/>
        </w:rPr>
        <w:t xml:space="preserve"> LT/1/10/2114/001</w:t>
      </w:r>
    </w:p>
    <w:p w:rsidR="00444C66" w:rsidRDefault="00444C66">
      <w:pPr>
        <w:widowControl w:val="0"/>
        <w:spacing w:after="0" w:line="240" w:lineRule="auto"/>
        <w:rPr>
          <w:rFonts w:ascii="Times New Roman" w:hAnsi="Times New Roman"/>
          <w:highlight w:val="lightGray"/>
        </w:rPr>
      </w:pPr>
      <w:r>
        <w:rPr>
          <w:rFonts w:ascii="Times New Roman" w:hAnsi="Times New Roman"/>
          <w:highlight w:val="lightGray"/>
        </w:rPr>
        <w:t>N14 - LT/1/10/2114/002</w:t>
      </w:r>
    </w:p>
    <w:p w:rsidR="00444C66" w:rsidRDefault="00444C66">
      <w:pPr>
        <w:widowControl w:val="0"/>
        <w:spacing w:after="0" w:line="240" w:lineRule="auto"/>
        <w:rPr>
          <w:rFonts w:ascii="Times New Roman" w:hAnsi="Times New Roman"/>
          <w:highlight w:val="lightGray"/>
        </w:rPr>
      </w:pPr>
      <w:r>
        <w:rPr>
          <w:rFonts w:ascii="Times New Roman" w:hAnsi="Times New Roman"/>
          <w:highlight w:val="lightGray"/>
        </w:rPr>
        <w:t>N28 - LT/1/10/2114/003</w:t>
      </w:r>
    </w:p>
    <w:p w:rsidR="00444C66" w:rsidRDefault="00444C66">
      <w:pPr>
        <w:widowControl w:val="0"/>
        <w:spacing w:after="0" w:line="240" w:lineRule="auto"/>
        <w:rPr>
          <w:rFonts w:ascii="Times New Roman" w:hAnsi="Times New Roman"/>
          <w:highlight w:val="lightGray"/>
        </w:rPr>
      </w:pPr>
      <w:r>
        <w:rPr>
          <w:rFonts w:ascii="Times New Roman" w:hAnsi="Times New Roman"/>
          <w:highlight w:val="lightGray"/>
        </w:rPr>
        <w:t>N30 - LT/1/10/2114/004</w:t>
      </w:r>
    </w:p>
    <w:p w:rsidR="00444C66" w:rsidRDefault="00444C66">
      <w:pPr>
        <w:widowControl w:val="0"/>
        <w:spacing w:after="0" w:line="240" w:lineRule="auto"/>
        <w:rPr>
          <w:rFonts w:ascii="Times New Roman" w:hAnsi="Times New Roman"/>
          <w:highlight w:val="lightGray"/>
        </w:rPr>
      </w:pPr>
      <w:r>
        <w:rPr>
          <w:rFonts w:ascii="Times New Roman" w:hAnsi="Times New Roman"/>
          <w:highlight w:val="lightGray"/>
        </w:rPr>
        <w:t>N56 - LT/1/10/2114/005</w:t>
      </w:r>
    </w:p>
    <w:p w:rsidR="00444C66" w:rsidRDefault="00444C66">
      <w:pPr>
        <w:widowControl w:val="0"/>
        <w:spacing w:after="0" w:line="240" w:lineRule="auto"/>
        <w:rPr>
          <w:rFonts w:ascii="Times New Roman" w:hAnsi="Times New Roman"/>
          <w:highlight w:val="lightGray"/>
        </w:rPr>
      </w:pPr>
      <w:r>
        <w:rPr>
          <w:rFonts w:ascii="Times New Roman" w:hAnsi="Times New Roman"/>
          <w:highlight w:val="lightGray"/>
        </w:rPr>
        <w:t>N60 - LT/1/10/2114/006</w:t>
      </w:r>
    </w:p>
    <w:p w:rsidR="00444C66" w:rsidRDefault="00444C66">
      <w:pPr>
        <w:widowControl w:val="0"/>
        <w:spacing w:after="0" w:line="240" w:lineRule="auto"/>
        <w:rPr>
          <w:rFonts w:ascii="Times New Roman" w:hAnsi="Times New Roman"/>
          <w:highlight w:val="lightGray"/>
        </w:rPr>
      </w:pPr>
      <w:r>
        <w:rPr>
          <w:rFonts w:ascii="Times New Roman" w:hAnsi="Times New Roman"/>
          <w:highlight w:val="lightGray"/>
        </w:rPr>
        <w:t>N84 - LT/1/10/2114/007</w:t>
      </w:r>
    </w:p>
    <w:p w:rsidR="00444C66" w:rsidRDefault="00444C66">
      <w:pPr>
        <w:widowControl w:val="0"/>
        <w:spacing w:after="0" w:line="240" w:lineRule="auto"/>
        <w:rPr>
          <w:rFonts w:ascii="Times New Roman" w:hAnsi="Times New Roman"/>
          <w:highlight w:val="lightGray"/>
        </w:rPr>
      </w:pPr>
      <w:r>
        <w:rPr>
          <w:rFonts w:ascii="Times New Roman" w:hAnsi="Times New Roman"/>
          <w:highlight w:val="lightGray"/>
        </w:rPr>
        <w:t>N90 - LT/1/10/2114/008</w:t>
      </w:r>
    </w:p>
    <w:p w:rsidR="00444C66" w:rsidRDefault="00444C66">
      <w:pPr>
        <w:widowControl w:val="0"/>
        <w:spacing w:after="0" w:line="240" w:lineRule="auto"/>
        <w:rPr>
          <w:rFonts w:ascii="Times New Roman" w:hAnsi="Times New Roman"/>
          <w:highlight w:val="lightGray"/>
        </w:rPr>
      </w:pPr>
      <w:r>
        <w:rPr>
          <w:rFonts w:ascii="Times New Roman" w:hAnsi="Times New Roman"/>
          <w:highlight w:val="lightGray"/>
        </w:rPr>
        <w:t>N98 - LT/1/10/2114/009</w:t>
      </w:r>
    </w:p>
    <w:p w:rsidR="00444C66" w:rsidRDefault="00444C66">
      <w:pPr>
        <w:widowControl w:val="0"/>
        <w:spacing w:after="0" w:line="240" w:lineRule="auto"/>
        <w:rPr>
          <w:rFonts w:ascii="Times New Roman" w:hAnsi="Times New Roman"/>
          <w:highlight w:val="lightGray"/>
        </w:rPr>
      </w:pPr>
      <w:r>
        <w:rPr>
          <w:rFonts w:ascii="Times New Roman" w:hAnsi="Times New Roman"/>
          <w:highlight w:val="lightGray"/>
        </w:rPr>
        <w:t>N100 - LT/1/10/2114/010</w:t>
      </w:r>
    </w:p>
    <w:p w:rsidR="00444C66" w:rsidRDefault="00444C66">
      <w:pPr>
        <w:widowControl w:val="0"/>
        <w:spacing w:after="0" w:line="240" w:lineRule="auto"/>
        <w:rPr>
          <w:rFonts w:ascii="Times New Roman" w:hAnsi="Times New Roman"/>
          <w:highlight w:val="lightGray"/>
          <w:u w:val="single"/>
        </w:rPr>
      </w:pPr>
      <w:r>
        <w:rPr>
          <w:rFonts w:ascii="Times New Roman" w:hAnsi="Times New Roman"/>
          <w:highlight w:val="lightGray"/>
          <w:u w:val="single"/>
        </w:rPr>
        <w:t>Tablečių talpyklė:</w:t>
      </w:r>
    </w:p>
    <w:p w:rsidR="00444C66" w:rsidRDefault="00444C66">
      <w:pPr>
        <w:widowControl w:val="0"/>
        <w:spacing w:after="0" w:line="240" w:lineRule="auto"/>
        <w:rPr>
          <w:rFonts w:ascii="Times New Roman" w:hAnsi="Times New Roman"/>
          <w:highlight w:val="lightGray"/>
        </w:rPr>
      </w:pPr>
      <w:r>
        <w:rPr>
          <w:rFonts w:ascii="Times New Roman" w:hAnsi="Times New Roman"/>
          <w:highlight w:val="lightGray"/>
        </w:rPr>
        <w:t>N100 - LT/1/10/2114/011</w:t>
      </w:r>
    </w:p>
    <w:p w:rsidR="00444C66" w:rsidRDefault="00444C66">
      <w:pPr>
        <w:widowControl w:val="0"/>
        <w:spacing w:after="0" w:line="240" w:lineRule="auto"/>
        <w:rPr>
          <w:rFonts w:ascii="Times New Roman" w:hAnsi="Times New Roman"/>
          <w:highlight w:val="lightGray"/>
        </w:rPr>
      </w:pPr>
    </w:p>
    <w:p w:rsidR="00444C66" w:rsidRDefault="00444C66">
      <w:pPr>
        <w:widowControl w:val="0"/>
        <w:spacing w:after="0" w:line="240" w:lineRule="auto"/>
        <w:rPr>
          <w:rFonts w:ascii="Times New Roman" w:hAnsi="Times New Roman"/>
          <w:highlight w:val="lightGray"/>
        </w:rPr>
      </w:pPr>
      <w:r>
        <w:rPr>
          <w:rFonts w:ascii="Times New Roman" w:hAnsi="Times New Roman"/>
          <w:highlight w:val="lightGray"/>
        </w:rPr>
        <w:t>Olimestra 20 mg</w:t>
      </w:r>
    </w:p>
    <w:p w:rsidR="00444C66" w:rsidRDefault="00444C66">
      <w:pPr>
        <w:widowControl w:val="0"/>
        <w:spacing w:after="0" w:line="240" w:lineRule="auto"/>
        <w:rPr>
          <w:rFonts w:ascii="Times New Roman" w:hAnsi="Times New Roman"/>
          <w:highlight w:val="lightGray"/>
          <w:u w:val="single"/>
        </w:rPr>
      </w:pPr>
      <w:r>
        <w:rPr>
          <w:rFonts w:ascii="Times New Roman" w:hAnsi="Times New Roman"/>
          <w:highlight w:val="lightGray"/>
          <w:u w:val="single"/>
        </w:rPr>
        <w:t>Lizdinė plokštelė:</w:t>
      </w:r>
    </w:p>
    <w:p w:rsidR="00444C66" w:rsidRDefault="00444C66">
      <w:pPr>
        <w:widowControl w:val="0"/>
        <w:spacing w:after="0" w:line="240" w:lineRule="auto"/>
        <w:rPr>
          <w:rFonts w:ascii="Times New Roman" w:hAnsi="Times New Roman"/>
          <w:highlight w:val="lightGray"/>
        </w:rPr>
      </w:pPr>
      <w:r>
        <w:rPr>
          <w:rFonts w:ascii="Times New Roman" w:hAnsi="Times New Roman"/>
          <w:highlight w:val="lightGray"/>
        </w:rPr>
        <w:t>N10 - LT/1/10/2114/012</w:t>
      </w:r>
    </w:p>
    <w:p w:rsidR="00444C66" w:rsidRDefault="00444C66">
      <w:pPr>
        <w:widowControl w:val="0"/>
        <w:spacing w:after="0" w:line="240" w:lineRule="auto"/>
        <w:rPr>
          <w:rFonts w:ascii="Times New Roman" w:hAnsi="Times New Roman"/>
          <w:highlight w:val="lightGray"/>
        </w:rPr>
      </w:pPr>
      <w:r>
        <w:rPr>
          <w:rFonts w:ascii="Times New Roman" w:hAnsi="Times New Roman"/>
          <w:highlight w:val="lightGray"/>
        </w:rPr>
        <w:t>N14 - LT/1/10/2114/013</w:t>
      </w:r>
    </w:p>
    <w:p w:rsidR="00444C66" w:rsidRDefault="00444C66">
      <w:pPr>
        <w:widowControl w:val="0"/>
        <w:spacing w:after="0" w:line="240" w:lineRule="auto"/>
        <w:rPr>
          <w:rFonts w:ascii="Times New Roman" w:hAnsi="Times New Roman"/>
          <w:highlight w:val="lightGray"/>
        </w:rPr>
      </w:pPr>
      <w:r>
        <w:rPr>
          <w:rFonts w:ascii="Times New Roman" w:hAnsi="Times New Roman"/>
          <w:highlight w:val="lightGray"/>
        </w:rPr>
        <w:t>N28 - LT/1/10/2114/014</w:t>
      </w:r>
    </w:p>
    <w:p w:rsidR="00444C66" w:rsidRDefault="00444C66">
      <w:pPr>
        <w:widowControl w:val="0"/>
        <w:spacing w:after="0" w:line="240" w:lineRule="auto"/>
        <w:rPr>
          <w:rFonts w:ascii="Times New Roman" w:hAnsi="Times New Roman"/>
          <w:highlight w:val="lightGray"/>
        </w:rPr>
      </w:pPr>
      <w:r>
        <w:rPr>
          <w:rFonts w:ascii="Times New Roman" w:hAnsi="Times New Roman"/>
          <w:highlight w:val="lightGray"/>
        </w:rPr>
        <w:t>N30 - LT/1/10/2114/015</w:t>
      </w:r>
    </w:p>
    <w:p w:rsidR="00444C66" w:rsidRDefault="00444C66">
      <w:pPr>
        <w:widowControl w:val="0"/>
        <w:spacing w:after="0" w:line="240" w:lineRule="auto"/>
        <w:rPr>
          <w:rFonts w:ascii="Times New Roman" w:hAnsi="Times New Roman"/>
          <w:highlight w:val="lightGray"/>
        </w:rPr>
      </w:pPr>
      <w:r>
        <w:rPr>
          <w:rFonts w:ascii="Times New Roman" w:hAnsi="Times New Roman"/>
          <w:highlight w:val="lightGray"/>
        </w:rPr>
        <w:t>N56 - LT/1/10/2114/016</w:t>
      </w:r>
    </w:p>
    <w:p w:rsidR="00444C66" w:rsidRDefault="00444C66">
      <w:pPr>
        <w:widowControl w:val="0"/>
        <w:spacing w:after="0" w:line="240" w:lineRule="auto"/>
        <w:rPr>
          <w:rFonts w:ascii="Times New Roman" w:hAnsi="Times New Roman"/>
          <w:highlight w:val="lightGray"/>
        </w:rPr>
      </w:pPr>
      <w:r>
        <w:rPr>
          <w:rFonts w:ascii="Times New Roman" w:hAnsi="Times New Roman"/>
          <w:highlight w:val="lightGray"/>
        </w:rPr>
        <w:t>N60 - LT/1/10/2114/017</w:t>
      </w:r>
    </w:p>
    <w:p w:rsidR="00444C66" w:rsidRDefault="00444C66">
      <w:pPr>
        <w:widowControl w:val="0"/>
        <w:spacing w:after="0" w:line="240" w:lineRule="auto"/>
        <w:rPr>
          <w:rFonts w:ascii="Times New Roman" w:hAnsi="Times New Roman"/>
          <w:highlight w:val="lightGray"/>
        </w:rPr>
      </w:pPr>
      <w:r>
        <w:rPr>
          <w:rFonts w:ascii="Times New Roman" w:hAnsi="Times New Roman"/>
          <w:highlight w:val="lightGray"/>
        </w:rPr>
        <w:t>N84 - LT/1/10/2114/018</w:t>
      </w:r>
    </w:p>
    <w:p w:rsidR="00444C66" w:rsidRDefault="00444C66">
      <w:pPr>
        <w:widowControl w:val="0"/>
        <w:spacing w:after="0" w:line="240" w:lineRule="auto"/>
        <w:rPr>
          <w:rFonts w:ascii="Times New Roman" w:hAnsi="Times New Roman"/>
          <w:highlight w:val="lightGray"/>
        </w:rPr>
      </w:pPr>
      <w:r>
        <w:rPr>
          <w:rFonts w:ascii="Times New Roman" w:hAnsi="Times New Roman"/>
          <w:highlight w:val="lightGray"/>
        </w:rPr>
        <w:t>N90 - LT/1/10/2114/019</w:t>
      </w:r>
    </w:p>
    <w:p w:rsidR="00444C66" w:rsidRDefault="00444C66">
      <w:pPr>
        <w:widowControl w:val="0"/>
        <w:spacing w:after="0" w:line="240" w:lineRule="auto"/>
        <w:rPr>
          <w:rFonts w:ascii="Times New Roman" w:hAnsi="Times New Roman"/>
          <w:highlight w:val="lightGray"/>
        </w:rPr>
      </w:pPr>
      <w:r>
        <w:rPr>
          <w:rFonts w:ascii="Times New Roman" w:hAnsi="Times New Roman"/>
          <w:highlight w:val="lightGray"/>
        </w:rPr>
        <w:t>N98 - LT/1/10/2114/020</w:t>
      </w:r>
    </w:p>
    <w:p w:rsidR="00444C66" w:rsidRDefault="00444C66">
      <w:pPr>
        <w:widowControl w:val="0"/>
        <w:spacing w:after="0" w:line="240" w:lineRule="auto"/>
        <w:rPr>
          <w:rFonts w:ascii="Times New Roman" w:hAnsi="Times New Roman"/>
          <w:highlight w:val="lightGray"/>
        </w:rPr>
      </w:pPr>
      <w:r>
        <w:rPr>
          <w:rFonts w:ascii="Times New Roman" w:hAnsi="Times New Roman"/>
          <w:highlight w:val="lightGray"/>
        </w:rPr>
        <w:lastRenderedPageBreak/>
        <w:t>N100 - LT/1/10/2114/021</w:t>
      </w:r>
    </w:p>
    <w:p w:rsidR="00444C66" w:rsidRDefault="00444C66">
      <w:pPr>
        <w:widowControl w:val="0"/>
        <w:spacing w:after="0" w:line="240" w:lineRule="auto"/>
        <w:rPr>
          <w:rFonts w:ascii="Times New Roman" w:hAnsi="Times New Roman"/>
          <w:highlight w:val="lightGray"/>
          <w:u w:val="single"/>
        </w:rPr>
      </w:pPr>
      <w:r>
        <w:rPr>
          <w:rFonts w:ascii="Times New Roman" w:hAnsi="Times New Roman"/>
          <w:highlight w:val="lightGray"/>
          <w:u w:val="single"/>
        </w:rPr>
        <w:t>Tablečių talpyklė:</w:t>
      </w:r>
    </w:p>
    <w:p w:rsidR="00444C66" w:rsidRDefault="00444C66">
      <w:pPr>
        <w:widowControl w:val="0"/>
        <w:spacing w:after="0" w:line="240" w:lineRule="auto"/>
        <w:rPr>
          <w:rFonts w:ascii="Times New Roman" w:hAnsi="Times New Roman"/>
          <w:highlight w:val="lightGray"/>
        </w:rPr>
      </w:pPr>
      <w:r>
        <w:rPr>
          <w:rFonts w:ascii="Times New Roman" w:hAnsi="Times New Roman"/>
          <w:highlight w:val="lightGray"/>
        </w:rPr>
        <w:t>N100 - LT/1/10/2114/022</w:t>
      </w:r>
    </w:p>
    <w:p w:rsidR="00444C66" w:rsidRDefault="00444C66">
      <w:pPr>
        <w:widowControl w:val="0"/>
        <w:tabs>
          <w:tab w:val="left" w:pos="567"/>
        </w:tabs>
        <w:spacing w:after="0" w:line="240" w:lineRule="auto"/>
        <w:rPr>
          <w:rFonts w:ascii="Times New Roman" w:hAnsi="Times New Roman"/>
          <w:highlight w:val="lightGray"/>
        </w:rPr>
      </w:pPr>
    </w:p>
    <w:p w:rsidR="00444C66" w:rsidRDefault="00444C66">
      <w:pPr>
        <w:widowControl w:val="0"/>
        <w:spacing w:after="0" w:line="240" w:lineRule="auto"/>
        <w:rPr>
          <w:rFonts w:ascii="Times New Roman" w:hAnsi="Times New Roman"/>
          <w:highlight w:val="lightGray"/>
        </w:rPr>
      </w:pPr>
      <w:r>
        <w:rPr>
          <w:rFonts w:ascii="Times New Roman" w:hAnsi="Times New Roman"/>
          <w:highlight w:val="lightGray"/>
        </w:rPr>
        <w:t>Olimestra 40 mg</w:t>
      </w:r>
    </w:p>
    <w:p w:rsidR="00444C66" w:rsidRDefault="00444C66">
      <w:pPr>
        <w:widowControl w:val="0"/>
        <w:spacing w:after="0" w:line="240" w:lineRule="auto"/>
        <w:rPr>
          <w:rFonts w:ascii="Times New Roman" w:hAnsi="Times New Roman"/>
          <w:highlight w:val="lightGray"/>
          <w:u w:val="single"/>
        </w:rPr>
      </w:pPr>
      <w:r>
        <w:rPr>
          <w:rFonts w:ascii="Times New Roman" w:hAnsi="Times New Roman"/>
          <w:highlight w:val="lightGray"/>
          <w:u w:val="single"/>
        </w:rPr>
        <w:t>Lizdinė plokštelė:</w:t>
      </w:r>
    </w:p>
    <w:p w:rsidR="00444C66" w:rsidRDefault="00444C66">
      <w:pPr>
        <w:widowControl w:val="0"/>
        <w:spacing w:after="0" w:line="240" w:lineRule="auto"/>
        <w:rPr>
          <w:rFonts w:ascii="Times New Roman" w:hAnsi="Times New Roman"/>
          <w:highlight w:val="lightGray"/>
        </w:rPr>
      </w:pPr>
      <w:r>
        <w:rPr>
          <w:rFonts w:ascii="Times New Roman" w:hAnsi="Times New Roman"/>
          <w:highlight w:val="lightGray"/>
        </w:rPr>
        <w:t>N10 - LT/1/10/2114/023</w:t>
      </w:r>
    </w:p>
    <w:p w:rsidR="00444C66" w:rsidRDefault="00444C66">
      <w:pPr>
        <w:widowControl w:val="0"/>
        <w:spacing w:after="0" w:line="240" w:lineRule="auto"/>
        <w:rPr>
          <w:rFonts w:ascii="Times New Roman" w:hAnsi="Times New Roman"/>
          <w:highlight w:val="lightGray"/>
        </w:rPr>
      </w:pPr>
      <w:r>
        <w:rPr>
          <w:rFonts w:ascii="Times New Roman" w:hAnsi="Times New Roman"/>
          <w:highlight w:val="lightGray"/>
        </w:rPr>
        <w:t>N14 - LT/1/10/2114/024</w:t>
      </w:r>
    </w:p>
    <w:p w:rsidR="00444C66" w:rsidRDefault="00444C66">
      <w:pPr>
        <w:widowControl w:val="0"/>
        <w:spacing w:after="0" w:line="240" w:lineRule="auto"/>
        <w:rPr>
          <w:rFonts w:ascii="Times New Roman" w:hAnsi="Times New Roman"/>
          <w:highlight w:val="lightGray"/>
        </w:rPr>
      </w:pPr>
      <w:r>
        <w:rPr>
          <w:rFonts w:ascii="Times New Roman" w:hAnsi="Times New Roman"/>
          <w:highlight w:val="lightGray"/>
        </w:rPr>
        <w:t>N28 - LT/1/10/2114/025</w:t>
      </w:r>
    </w:p>
    <w:p w:rsidR="00444C66" w:rsidRDefault="00444C66">
      <w:pPr>
        <w:widowControl w:val="0"/>
        <w:spacing w:after="0" w:line="240" w:lineRule="auto"/>
        <w:rPr>
          <w:rFonts w:ascii="Times New Roman" w:hAnsi="Times New Roman"/>
          <w:highlight w:val="lightGray"/>
        </w:rPr>
      </w:pPr>
      <w:r>
        <w:rPr>
          <w:rFonts w:ascii="Times New Roman" w:hAnsi="Times New Roman"/>
          <w:highlight w:val="lightGray"/>
        </w:rPr>
        <w:t>N30 - LT/1/10/2114/026</w:t>
      </w:r>
    </w:p>
    <w:p w:rsidR="00444C66" w:rsidRDefault="00444C66">
      <w:pPr>
        <w:widowControl w:val="0"/>
        <w:spacing w:after="0" w:line="240" w:lineRule="auto"/>
        <w:rPr>
          <w:rFonts w:ascii="Times New Roman" w:hAnsi="Times New Roman"/>
          <w:highlight w:val="lightGray"/>
        </w:rPr>
      </w:pPr>
      <w:r>
        <w:rPr>
          <w:rFonts w:ascii="Times New Roman" w:hAnsi="Times New Roman"/>
          <w:highlight w:val="lightGray"/>
        </w:rPr>
        <w:t>N56 - LT/1/10/2114/027</w:t>
      </w:r>
    </w:p>
    <w:p w:rsidR="00444C66" w:rsidRDefault="00444C66">
      <w:pPr>
        <w:widowControl w:val="0"/>
        <w:spacing w:after="0" w:line="240" w:lineRule="auto"/>
        <w:rPr>
          <w:rFonts w:ascii="Times New Roman" w:hAnsi="Times New Roman"/>
          <w:highlight w:val="lightGray"/>
        </w:rPr>
      </w:pPr>
      <w:r>
        <w:rPr>
          <w:rFonts w:ascii="Times New Roman" w:hAnsi="Times New Roman"/>
          <w:highlight w:val="lightGray"/>
        </w:rPr>
        <w:t>N60 - LT/1/10/2114/028</w:t>
      </w:r>
    </w:p>
    <w:p w:rsidR="00444C66" w:rsidRDefault="00444C66">
      <w:pPr>
        <w:widowControl w:val="0"/>
        <w:spacing w:after="0" w:line="240" w:lineRule="auto"/>
        <w:rPr>
          <w:rFonts w:ascii="Times New Roman" w:hAnsi="Times New Roman"/>
          <w:highlight w:val="lightGray"/>
        </w:rPr>
      </w:pPr>
      <w:r>
        <w:rPr>
          <w:rFonts w:ascii="Times New Roman" w:hAnsi="Times New Roman"/>
          <w:highlight w:val="lightGray"/>
        </w:rPr>
        <w:t>N84 - LT/1/10/2114/029</w:t>
      </w:r>
    </w:p>
    <w:p w:rsidR="00444C66" w:rsidRDefault="00444C66">
      <w:pPr>
        <w:widowControl w:val="0"/>
        <w:spacing w:after="0" w:line="240" w:lineRule="auto"/>
        <w:rPr>
          <w:rFonts w:ascii="Times New Roman" w:hAnsi="Times New Roman"/>
          <w:highlight w:val="lightGray"/>
        </w:rPr>
      </w:pPr>
      <w:r>
        <w:rPr>
          <w:rFonts w:ascii="Times New Roman" w:hAnsi="Times New Roman"/>
          <w:highlight w:val="lightGray"/>
        </w:rPr>
        <w:t>N90 - LT/1/10/2114/030</w:t>
      </w:r>
    </w:p>
    <w:p w:rsidR="00444C66" w:rsidRDefault="00444C66">
      <w:pPr>
        <w:widowControl w:val="0"/>
        <w:spacing w:after="0" w:line="240" w:lineRule="auto"/>
        <w:rPr>
          <w:rFonts w:ascii="Times New Roman" w:hAnsi="Times New Roman"/>
          <w:highlight w:val="lightGray"/>
        </w:rPr>
      </w:pPr>
      <w:r>
        <w:rPr>
          <w:rFonts w:ascii="Times New Roman" w:hAnsi="Times New Roman"/>
          <w:highlight w:val="lightGray"/>
        </w:rPr>
        <w:t>N98 - LT/1/10/2114/031</w:t>
      </w:r>
    </w:p>
    <w:p w:rsidR="00444C66" w:rsidRDefault="00444C66">
      <w:pPr>
        <w:widowControl w:val="0"/>
        <w:spacing w:after="0" w:line="240" w:lineRule="auto"/>
        <w:rPr>
          <w:rFonts w:ascii="Times New Roman" w:hAnsi="Times New Roman"/>
          <w:highlight w:val="lightGray"/>
        </w:rPr>
      </w:pPr>
      <w:r>
        <w:rPr>
          <w:rFonts w:ascii="Times New Roman" w:hAnsi="Times New Roman"/>
          <w:highlight w:val="lightGray"/>
        </w:rPr>
        <w:t>N100 - LT/1/10/2114/032</w:t>
      </w:r>
    </w:p>
    <w:p w:rsidR="00444C66" w:rsidRDefault="00444C66">
      <w:pPr>
        <w:widowControl w:val="0"/>
        <w:spacing w:after="0" w:line="240" w:lineRule="auto"/>
        <w:rPr>
          <w:rFonts w:ascii="Times New Roman" w:hAnsi="Times New Roman"/>
          <w:highlight w:val="lightGray"/>
          <w:u w:val="single"/>
        </w:rPr>
      </w:pPr>
      <w:r>
        <w:rPr>
          <w:rFonts w:ascii="Times New Roman" w:hAnsi="Times New Roman"/>
          <w:highlight w:val="lightGray"/>
          <w:u w:val="single"/>
        </w:rPr>
        <w:t>Tablečių talpyklė:</w:t>
      </w:r>
    </w:p>
    <w:p w:rsidR="00444C66" w:rsidRDefault="00444C66">
      <w:pPr>
        <w:widowControl w:val="0"/>
        <w:spacing w:after="0" w:line="240" w:lineRule="auto"/>
        <w:rPr>
          <w:rFonts w:ascii="Times New Roman" w:hAnsi="Times New Roman"/>
        </w:rPr>
      </w:pPr>
      <w:r>
        <w:rPr>
          <w:rFonts w:ascii="Times New Roman" w:hAnsi="Times New Roman"/>
          <w:highlight w:val="lightGray"/>
        </w:rPr>
        <w:t>N100 - LT/1/10/2114/033</w:t>
      </w:r>
    </w:p>
    <w:p w:rsidR="00444C66" w:rsidRDefault="00444C66">
      <w:pPr>
        <w:widowControl w:val="0"/>
        <w:spacing w:after="0" w:line="240" w:lineRule="auto"/>
        <w:rPr>
          <w:rFonts w:ascii="Times New Roman" w:hAnsi="Times New Roman"/>
        </w:rPr>
      </w:pPr>
    </w:p>
    <w:p w:rsidR="00444C66" w:rsidRDefault="00444C66">
      <w:pPr>
        <w:widowControl w:val="0"/>
        <w:spacing w:after="0" w:line="240" w:lineRule="auto"/>
        <w:rPr>
          <w:rFonts w:ascii="Times New Roman" w:hAnsi="Times New Roman"/>
        </w:rPr>
      </w:pPr>
    </w:p>
    <w:p w:rsidR="00444C66" w:rsidRDefault="00444C66">
      <w:pPr>
        <w:widowControl w:val="0"/>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b/>
          <w:caps/>
        </w:rPr>
      </w:pPr>
      <w:r>
        <w:rPr>
          <w:rFonts w:ascii="Times New Roman" w:hAnsi="Times New Roman"/>
          <w:b/>
        </w:rPr>
        <w:t>13.</w:t>
      </w:r>
      <w:r>
        <w:rPr>
          <w:rFonts w:ascii="Times New Roman" w:hAnsi="Times New Roman"/>
          <w:b/>
        </w:rPr>
        <w:tab/>
      </w:r>
      <w:r>
        <w:rPr>
          <w:rFonts w:ascii="Times New Roman" w:hAnsi="Times New Roman"/>
          <w:b/>
          <w:caps/>
        </w:rPr>
        <w:t>SERIJOS NUMERIS</w:t>
      </w:r>
    </w:p>
    <w:p w:rsidR="00444C66" w:rsidRDefault="00444C66">
      <w:pPr>
        <w:widowControl w:val="0"/>
        <w:spacing w:after="0" w:line="240" w:lineRule="auto"/>
        <w:rPr>
          <w:rFonts w:ascii="Times New Roman" w:hAnsi="Times New Roman"/>
        </w:rPr>
      </w:pPr>
    </w:p>
    <w:p w:rsidR="00444C66" w:rsidRDefault="00444C66">
      <w:pPr>
        <w:widowControl w:val="0"/>
        <w:tabs>
          <w:tab w:val="left" w:pos="567"/>
        </w:tabs>
        <w:spacing w:after="0" w:line="240" w:lineRule="auto"/>
        <w:rPr>
          <w:rFonts w:ascii="Times New Roman" w:hAnsi="Times New Roman"/>
        </w:rPr>
      </w:pPr>
      <w:bookmarkStart w:id="15" w:name="OLE_LINK1"/>
      <w:bookmarkStart w:id="16" w:name="OLE_LINK2"/>
      <w:r>
        <w:rPr>
          <w:rFonts w:ascii="Times New Roman" w:hAnsi="Times New Roman"/>
        </w:rPr>
        <w:t>Serija (numeris)</w:t>
      </w:r>
    </w:p>
    <w:p w:rsidR="00444C66" w:rsidRDefault="00444C66">
      <w:pPr>
        <w:widowControl w:val="0"/>
        <w:tabs>
          <w:tab w:val="left" w:pos="567"/>
        </w:tabs>
        <w:spacing w:after="0" w:line="240" w:lineRule="auto"/>
        <w:rPr>
          <w:rFonts w:ascii="Times New Roman" w:hAnsi="Times New Roman"/>
        </w:rPr>
      </w:pPr>
      <w:r>
        <w:rPr>
          <w:rFonts w:ascii="Times New Roman" w:hAnsi="Times New Roman"/>
          <w:highlight w:val="lightGray"/>
        </w:rPr>
        <w:t>Lot (numeris)</w:t>
      </w:r>
    </w:p>
    <w:bookmarkEnd w:id="15"/>
    <w:bookmarkEnd w:id="16"/>
    <w:p w:rsidR="00444C66" w:rsidRDefault="00444C66">
      <w:pPr>
        <w:widowControl w:val="0"/>
        <w:spacing w:after="0" w:line="240" w:lineRule="auto"/>
        <w:rPr>
          <w:rFonts w:ascii="Times New Roman" w:hAnsi="Times New Roman"/>
        </w:rPr>
      </w:pPr>
    </w:p>
    <w:p w:rsidR="00444C66" w:rsidRDefault="00444C66">
      <w:pPr>
        <w:widowControl w:val="0"/>
        <w:spacing w:after="0" w:line="240" w:lineRule="auto"/>
        <w:rPr>
          <w:rFonts w:ascii="Times New Roman" w:hAnsi="Times New Roman"/>
        </w:rPr>
      </w:pPr>
    </w:p>
    <w:p w:rsidR="00444C66" w:rsidRDefault="00444C66">
      <w:pPr>
        <w:widowControl w:val="0"/>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rPr>
      </w:pPr>
      <w:r>
        <w:rPr>
          <w:rFonts w:ascii="Times New Roman" w:hAnsi="Times New Roman"/>
          <w:b/>
        </w:rPr>
        <w:t>14.</w:t>
      </w:r>
      <w:r>
        <w:rPr>
          <w:rFonts w:ascii="Times New Roman" w:hAnsi="Times New Roman"/>
          <w:b/>
        </w:rPr>
        <w:tab/>
        <w:t>PARDAVIMO (IŠDAVIMO)</w:t>
      </w:r>
      <w:r>
        <w:rPr>
          <w:rFonts w:ascii="Times New Roman" w:hAnsi="Times New Roman"/>
          <w:b/>
          <w:caps/>
        </w:rPr>
        <w:t xml:space="preserve"> tvarka</w:t>
      </w:r>
    </w:p>
    <w:p w:rsidR="00444C66" w:rsidRDefault="00444C66">
      <w:pPr>
        <w:widowControl w:val="0"/>
        <w:spacing w:after="0" w:line="240" w:lineRule="auto"/>
        <w:rPr>
          <w:rFonts w:ascii="Times New Roman" w:hAnsi="Times New Roman"/>
        </w:rPr>
      </w:pPr>
    </w:p>
    <w:p w:rsidR="00444C66" w:rsidRDefault="00444C66">
      <w:pPr>
        <w:widowControl w:val="0"/>
        <w:tabs>
          <w:tab w:val="left" w:pos="540"/>
          <w:tab w:val="left" w:pos="2977"/>
        </w:tabs>
        <w:spacing w:after="0" w:line="240" w:lineRule="auto"/>
        <w:rPr>
          <w:rFonts w:ascii="Times New Roman" w:hAnsi="Times New Roman"/>
        </w:rPr>
      </w:pPr>
      <w:r>
        <w:rPr>
          <w:rFonts w:ascii="Times New Roman" w:hAnsi="Times New Roman"/>
        </w:rPr>
        <w:t>Receptinis vaistas.</w:t>
      </w:r>
    </w:p>
    <w:p w:rsidR="00444C66" w:rsidRDefault="00444C66">
      <w:pPr>
        <w:widowControl w:val="0"/>
        <w:spacing w:after="0" w:line="240" w:lineRule="auto"/>
        <w:rPr>
          <w:rFonts w:ascii="Times New Roman" w:hAnsi="Times New Roman"/>
        </w:rPr>
      </w:pPr>
    </w:p>
    <w:p w:rsidR="00444C66" w:rsidRDefault="00444C66">
      <w:pPr>
        <w:widowControl w:val="0"/>
        <w:spacing w:after="0" w:line="240" w:lineRule="auto"/>
        <w:rPr>
          <w:rFonts w:ascii="Times New Roman" w:hAnsi="Times New Roman"/>
        </w:rPr>
      </w:pPr>
    </w:p>
    <w:p w:rsidR="00444C66" w:rsidRDefault="00444C66">
      <w:pPr>
        <w:widowControl w:val="0"/>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rPr>
      </w:pPr>
      <w:r>
        <w:rPr>
          <w:rFonts w:ascii="Times New Roman" w:hAnsi="Times New Roman"/>
          <w:b/>
        </w:rPr>
        <w:t>15.</w:t>
      </w:r>
      <w:r>
        <w:rPr>
          <w:rFonts w:ascii="Times New Roman" w:hAnsi="Times New Roman"/>
          <w:b/>
        </w:rPr>
        <w:tab/>
      </w:r>
      <w:r>
        <w:rPr>
          <w:rFonts w:ascii="Times New Roman" w:hAnsi="Times New Roman"/>
          <w:b/>
          <w:caps/>
        </w:rPr>
        <w:t>vartojimo instrukcijA</w:t>
      </w:r>
    </w:p>
    <w:p w:rsidR="00444C66" w:rsidRDefault="00444C66">
      <w:pPr>
        <w:widowControl w:val="0"/>
        <w:spacing w:after="0" w:line="240" w:lineRule="auto"/>
        <w:rPr>
          <w:rFonts w:ascii="Times New Roman" w:hAnsi="Times New Roman"/>
        </w:rPr>
      </w:pPr>
    </w:p>
    <w:p w:rsidR="00444C66" w:rsidRDefault="00444C66">
      <w:pPr>
        <w:widowControl w:val="0"/>
        <w:spacing w:after="0" w:line="240" w:lineRule="auto"/>
        <w:rPr>
          <w:rFonts w:ascii="Times New Roman" w:hAnsi="Times New Roman"/>
        </w:rPr>
      </w:pPr>
    </w:p>
    <w:p w:rsidR="00444C66" w:rsidRDefault="00444C66">
      <w:pPr>
        <w:widowControl w:val="0"/>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rPr>
      </w:pPr>
      <w:r>
        <w:rPr>
          <w:rFonts w:ascii="Times New Roman" w:hAnsi="Times New Roman"/>
          <w:b/>
        </w:rPr>
        <w:t>16.</w:t>
      </w:r>
      <w:r>
        <w:rPr>
          <w:rFonts w:ascii="Times New Roman" w:hAnsi="Times New Roman"/>
          <w:b/>
        </w:rPr>
        <w:tab/>
      </w:r>
      <w:r>
        <w:rPr>
          <w:rFonts w:ascii="Times New Roman" w:hAnsi="Times New Roman"/>
          <w:b/>
          <w:caps/>
        </w:rPr>
        <w:t>INFORMACIJA BRAILIO RAŠTU</w:t>
      </w:r>
    </w:p>
    <w:p w:rsidR="00444C66" w:rsidRDefault="00444C66">
      <w:pPr>
        <w:widowControl w:val="0"/>
        <w:spacing w:after="0" w:line="240" w:lineRule="auto"/>
        <w:rPr>
          <w:rFonts w:ascii="Times New Roman" w:hAnsi="Times New Roman"/>
        </w:rPr>
      </w:pPr>
    </w:p>
    <w:p w:rsidR="00444C66" w:rsidRDefault="00444C66">
      <w:pPr>
        <w:widowControl w:val="0"/>
        <w:spacing w:after="0" w:line="240" w:lineRule="auto"/>
        <w:rPr>
          <w:rFonts w:ascii="Times New Roman" w:hAnsi="Times New Roman"/>
        </w:rPr>
      </w:pPr>
      <w:r>
        <w:rPr>
          <w:rFonts w:ascii="Times New Roman" w:hAnsi="Times New Roman"/>
        </w:rPr>
        <w:t>Olimestra 10 mg</w:t>
      </w:r>
    </w:p>
    <w:p w:rsidR="00444C66" w:rsidRDefault="00444C66">
      <w:pPr>
        <w:widowControl w:val="0"/>
        <w:spacing w:after="0" w:line="240" w:lineRule="auto"/>
        <w:rPr>
          <w:rFonts w:ascii="Times New Roman" w:hAnsi="Times New Roman"/>
          <w:highlight w:val="lightGray"/>
        </w:rPr>
      </w:pPr>
      <w:r>
        <w:rPr>
          <w:rFonts w:ascii="Times New Roman" w:hAnsi="Times New Roman"/>
          <w:highlight w:val="lightGray"/>
        </w:rPr>
        <w:t>Olimestra 20 mg</w:t>
      </w:r>
    </w:p>
    <w:p w:rsidR="00444C66" w:rsidRDefault="00444C66">
      <w:pPr>
        <w:widowControl w:val="0"/>
        <w:spacing w:after="0" w:line="240" w:lineRule="auto"/>
        <w:rPr>
          <w:rFonts w:ascii="Times New Roman" w:hAnsi="Times New Roman"/>
        </w:rPr>
      </w:pPr>
      <w:r>
        <w:rPr>
          <w:rFonts w:ascii="Times New Roman" w:hAnsi="Times New Roman"/>
          <w:highlight w:val="lightGray"/>
        </w:rPr>
        <w:t>Olimestra 40 mg</w:t>
      </w:r>
    </w:p>
    <w:p w:rsidR="00444C66" w:rsidRDefault="00444C66">
      <w:pPr>
        <w:widowControl w:val="0"/>
        <w:spacing w:after="0" w:line="240" w:lineRule="auto"/>
        <w:rPr>
          <w:rFonts w:ascii="Times New Roman" w:hAnsi="Times New Roman"/>
        </w:rPr>
      </w:pPr>
    </w:p>
    <w:p w:rsidR="00444C66" w:rsidRDefault="00444C66">
      <w:pPr>
        <w:widowControl w:val="0"/>
        <w:spacing w:after="0" w:line="240" w:lineRule="auto"/>
        <w:rPr>
          <w:rFonts w:ascii="Times New Roman" w:hAnsi="Times New Roman"/>
        </w:rPr>
      </w:pPr>
    </w:p>
    <w:p w:rsidR="00444C66" w:rsidRDefault="00444C66">
      <w:pPr>
        <w:widowControl w:val="0"/>
        <w:pBdr>
          <w:top w:val="single" w:sz="4" w:space="1" w:color="auto"/>
          <w:left w:val="single" w:sz="4" w:space="4" w:color="auto"/>
          <w:bottom w:val="single" w:sz="4" w:space="0" w:color="auto"/>
          <w:right w:val="single" w:sz="4" w:space="4" w:color="auto"/>
        </w:pBdr>
        <w:tabs>
          <w:tab w:val="left" w:pos="567"/>
        </w:tabs>
        <w:spacing w:after="0" w:line="240" w:lineRule="auto"/>
        <w:ind w:left="539" w:hanging="539"/>
        <w:rPr>
          <w:rFonts w:ascii="Times New Roman" w:eastAsia="Times New Roman" w:hAnsi="Times New Roman"/>
          <w:i/>
          <w:noProof/>
          <w:lang w:val="en-GB"/>
        </w:rPr>
      </w:pPr>
      <w:r>
        <w:rPr>
          <w:rFonts w:ascii="Times New Roman" w:eastAsia="Times New Roman" w:hAnsi="Times New Roman"/>
          <w:b/>
          <w:noProof/>
          <w:lang w:val="en-GB"/>
        </w:rPr>
        <w:t>17.</w:t>
      </w:r>
      <w:r>
        <w:rPr>
          <w:rFonts w:ascii="Times New Roman" w:eastAsia="Times New Roman" w:hAnsi="Times New Roman"/>
          <w:b/>
          <w:noProof/>
          <w:lang w:val="en-GB"/>
        </w:rPr>
        <w:tab/>
        <w:t>UNIKALUS IDENTIFIKATORIUS – 2D BRŪKŠNINIS KODAS</w:t>
      </w:r>
    </w:p>
    <w:p w:rsidR="00444C66" w:rsidRDefault="00444C66">
      <w:pPr>
        <w:widowControl w:val="0"/>
        <w:spacing w:after="0" w:line="240" w:lineRule="auto"/>
        <w:ind w:left="539" w:hanging="539"/>
        <w:rPr>
          <w:rFonts w:ascii="Times New Roman" w:hAnsi="Times New Roman"/>
        </w:rPr>
      </w:pPr>
    </w:p>
    <w:p w:rsidR="00444C66" w:rsidRDefault="00444C66">
      <w:pPr>
        <w:widowControl w:val="0"/>
        <w:spacing w:after="0" w:line="240" w:lineRule="auto"/>
        <w:ind w:left="539" w:hanging="539"/>
        <w:rPr>
          <w:rFonts w:ascii="Times New Roman" w:hAnsi="Times New Roman"/>
          <w:highlight w:val="lightGray"/>
        </w:rPr>
      </w:pPr>
      <w:r>
        <w:rPr>
          <w:rFonts w:ascii="Times New Roman" w:hAnsi="Times New Roman"/>
          <w:highlight w:val="lightGray"/>
        </w:rPr>
        <w:t>&lt;2D brūkšninis kodas su nurodytu unikaliu identifikatoriumi.&gt;</w:t>
      </w:r>
    </w:p>
    <w:p w:rsidR="00444C66" w:rsidRDefault="00444C66">
      <w:pPr>
        <w:widowControl w:val="0"/>
        <w:spacing w:after="0" w:line="240" w:lineRule="auto"/>
        <w:ind w:left="539" w:hanging="539"/>
        <w:rPr>
          <w:rFonts w:ascii="Times New Roman" w:hAnsi="Times New Roman"/>
        </w:rPr>
      </w:pPr>
    </w:p>
    <w:p w:rsidR="00444C66" w:rsidRDefault="00444C66">
      <w:pPr>
        <w:widowControl w:val="0"/>
        <w:tabs>
          <w:tab w:val="left" w:pos="567"/>
        </w:tabs>
        <w:spacing w:after="0" w:line="240" w:lineRule="auto"/>
        <w:ind w:left="539" w:hanging="539"/>
        <w:rPr>
          <w:rFonts w:ascii="Times New Roman" w:eastAsia="Times New Roman" w:hAnsi="Times New Roman"/>
          <w:snapToGrid w:val="0"/>
          <w:lang w:eastAsia="zh-CN"/>
        </w:rPr>
      </w:pPr>
    </w:p>
    <w:p w:rsidR="00444C66" w:rsidRPr="004F5963" w:rsidRDefault="00444C66">
      <w:pPr>
        <w:widowControl w:val="0"/>
        <w:pBdr>
          <w:top w:val="single" w:sz="4" w:space="1" w:color="auto"/>
          <w:left w:val="single" w:sz="4" w:space="4" w:color="auto"/>
          <w:bottom w:val="single" w:sz="4" w:space="0" w:color="auto"/>
          <w:right w:val="single" w:sz="4" w:space="4" w:color="auto"/>
        </w:pBdr>
        <w:tabs>
          <w:tab w:val="left" w:pos="567"/>
        </w:tabs>
        <w:spacing w:after="0" w:line="240" w:lineRule="auto"/>
        <w:ind w:left="539" w:hanging="539"/>
        <w:rPr>
          <w:rFonts w:ascii="Times New Roman" w:eastAsia="Times New Roman" w:hAnsi="Times New Roman"/>
          <w:i/>
          <w:noProof/>
          <w:lang w:val="pl-PL"/>
        </w:rPr>
      </w:pPr>
      <w:r w:rsidRPr="004F5963">
        <w:rPr>
          <w:rFonts w:ascii="Times New Roman" w:eastAsia="Times New Roman" w:hAnsi="Times New Roman"/>
          <w:b/>
          <w:noProof/>
          <w:lang w:val="pl-PL"/>
        </w:rPr>
        <w:t>18.</w:t>
      </w:r>
      <w:r w:rsidRPr="004F5963">
        <w:rPr>
          <w:rFonts w:ascii="Times New Roman" w:eastAsia="Times New Roman" w:hAnsi="Times New Roman"/>
          <w:b/>
          <w:noProof/>
          <w:lang w:val="pl-PL"/>
        </w:rPr>
        <w:tab/>
        <w:t>UNIKALUS IDENTIFIKATORIUS – ŽMONĖMS SUPRANTAMI DUOMENYS</w:t>
      </w:r>
    </w:p>
    <w:p w:rsidR="00444C66" w:rsidRDefault="00444C66">
      <w:pPr>
        <w:widowControl w:val="0"/>
        <w:spacing w:after="0" w:line="240" w:lineRule="auto"/>
        <w:ind w:left="539" w:hanging="539"/>
        <w:rPr>
          <w:rFonts w:ascii="Times New Roman" w:hAnsi="Times New Roman"/>
        </w:rPr>
      </w:pPr>
    </w:p>
    <w:p w:rsidR="00444C66" w:rsidRDefault="00444C66">
      <w:pPr>
        <w:widowControl w:val="0"/>
        <w:spacing w:after="0" w:line="240" w:lineRule="auto"/>
        <w:ind w:left="539" w:hanging="539"/>
        <w:rPr>
          <w:rFonts w:ascii="Times New Roman" w:hAnsi="Times New Roman"/>
        </w:rPr>
      </w:pPr>
      <w:r>
        <w:rPr>
          <w:rFonts w:ascii="Times New Roman" w:hAnsi="Times New Roman"/>
        </w:rPr>
        <w:t>PC</w:t>
      </w:r>
    </w:p>
    <w:p w:rsidR="00444C66" w:rsidRDefault="00444C66">
      <w:pPr>
        <w:widowControl w:val="0"/>
        <w:spacing w:after="0" w:line="240" w:lineRule="auto"/>
        <w:ind w:left="539" w:hanging="539"/>
        <w:rPr>
          <w:rFonts w:ascii="Times New Roman" w:hAnsi="Times New Roman"/>
        </w:rPr>
      </w:pPr>
      <w:r>
        <w:rPr>
          <w:rFonts w:ascii="Times New Roman" w:hAnsi="Times New Roman"/>
        </w:rPr>
        <w:t>SN</w:t>
      </w:r>
    </w:p>
    <w:p w:rsidR="00444C66" w:rsidRDefault="00444C66">
      <w:pPr>
        <w:widowControl w:val="0"/>
        <w:spacing w:after="0" w:line="240" w:lineRule="auto"/>
        <w:ind w:left="539" w:hanging="539"/>
        <w:rPr>
          <w:rFonts w:ascii="Times New Roman" w:hAnsi="Times New Roman"/>
        </w:rPr>
      </w:pPr>
      <w:r>
        <w:rPr>
          <w:rFonts w:ascii="Times New Roman" w:hAnsi="Times New Roman"/>
          <w:highlight w:val="lightGray"/>
        </w:rPr>
        <w:t>NN</w:t>
      </w:r>
    </w:p>
    <w:p w:rsidR="00444C66" w:rsidRDefault="00444C66">
      <w:pPr>
        <w:widowControl w:val="0"/>
        <w:spacing w:after="0" w:line="240" w:lineRule="auto"/>
        <w:rPr>
          <w:rFonts w:ascii="Times New Roman" w:hAnsi="Times New Roman"/>
        </w:rPr>
      </w:pPr>
    </w:p>
    <w:p w:rsidR="00444C66" w:rsidRDefault="00444C66">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caps/>
        </w:rPr>
      </w:pPr>
      <w:r>
        <w:rPr>
          <w:rFonts w:ascii="Times New Roman" w:hAnsi="Times New Roman"/>
          <w:highlight w:val="darkGray"/>
        </w:rPr>
        <w:br w:type="page"/>
      </w:r>
      <w:r>
        <w:rPr>
          <w:rFonts w:ascii="Times New Roman" w:hAnsi="Times New Roman"/>
          <w:b/>
        </w:rPr>
        <w:lastRenderedPageBreak/>
        <w:t xml:space="preserve">MINIMALI </w:t>
      </w:r>
      <w:r>
        <w:rPr>
          <w:rFonts w:ascii="Times New Roman" w:hAnsi="Times New Roman"/>
          <w:b/>
          <w:caps/>
        </w:rPr>
        <w:t>informacija ant mažų VIDINIŲ pakuočių</w:t>
      </w:r>
    </w:p>
    <w:p w:rsidR="00444C66" w:rsidRDefault="00444C66">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caps/>
        </w:rPr>
      </w:pPr>
    </w:p>
    <w:p w:rsidR="00444C66" w:rsidRDefault="00444C66">
      <w:pPr>
        <w:widowControl w:val="0"/>
        <w:pBdr>
          <w:top w:val="single" w:sz="4" w:space="1" w:color="auto"/>
          <w:left w:val="single" w:sz="4" w:space="4" w:color="auto"/>
          <w:bottom w:val="single" w:sz="4" w:space="1" w:color="auto"/>
          <w:right w:val="single" w:sz="4" w:space="4" w:color="auto"/>
        </w:pBdr>
        <w:tabs>
          <w:tab w:val="left" w:pos="708"/>
        </w:tabs>
        <w:spacing w:after="0" w:line="240" w:lineRule="auto"/>
        <w:rPr>
          <w:rFonts w:ascii="Times New Roman" w:hAnsi="Times New Roman"/>
          <w:b/>
          <w:caps/>
        </w:rPr>
      </w:pPr>
      <w:r>
        <w:rPr>
          <w:rFonts w:ascii="Times New Roman" w:hAnsi="Times New Roman"/>
          <w:b/>
          <w:caps/>
        </w:rPr>
        <w:t>Tablečių talpyklės etiketė</w:t>
      </w:r>
    </w:p>
    <w:p w:rsidR="00444C66" w:rsidRDefault="00444C66">
      <w:pPr>
        <w:widowControl w:val="0"/>
        <w:tabs>
          <w:tab w:val="left" w:pos="708"/>
        </w:tabs>
        <w:spacing w:after="0" w:line="240" w:lineRule="auto"/>
        <w:rPr>
          <w:rFonts w:ascii="Times New Roman" w:hAnsi="Times New Roman"/>
        </w:rPr>
      </w:pPr>
    </w:p>
    <w:p w:rsidR="00444C66" w:rsidRDefault="00444C66">
      <w:pPr>
        <w:widowControl w:val="0"/>
        <w:tabs>
          <w:tab w:val="left" w:pos="708"/>
        </w:tabs>
        <w:spacing w:after="0" w:line="240" w:lineRule="auto"/>
        <w:rPr>
          <w:rFonts w:ascii="Times New Roman" w:hAnsi="Times New Roman"/>
        </w:rPr>
      </w:pPr>
    </w:p>
    <w:p w:rsidR="00444C66" w:rsidRDefault="00444C66">
      <w:pPr>
        <w:widowControl w:val="0"/>
        <w:pBdr>
          <w:top w:val="single" w:sz="4" w:space="1" w:color="auto"/>
          <w:left w:val="single" w:sz="4" w:space="4" w:color="auto"/>
          <w:bottom w:val="single" w:sz="4" w:space="1" w:color="auto"/>
          <w:right w:val="single" w:sz="4" w:space="4" w:color="auto"/>
        </w:pBdr>
        <w:tabs>
          <w:tab w:val="left" w:pos="540"/>
        </w:tabs>
        <w:spacing w:after="0" w:line="240" w:lineRule="auto"/>
        <w:outlineLvl w:val="0"/>
        <w:rPr>
          <w:rFonts w:ascii="Times New Roman" w:hAnsi="Times New Roman"/>
          <w:b/>
        </w:rPr>
      </w:pPr>
      <w:r>
        <w:rPr>
          <w:rFonts w:ascii="Times New Roman" w:hAnsi="Times New Roman"/>
          <w:b/>
        </w:rPr>
        <w:t>1.</w:t>
      </w:r>
      <w:r>
        <w:rPr>
          <w:rFonts w:ascii="Times New Roman" w:hAnsi="Times New Roman"/>
          <w:b/>
        </w:rPr>
        <w:tab/>
      </w:r>
      <w:r>
        <w:rPr>
          <w:rFonts w:ascii="Times New Roman" w:hAnsi="Times New Roman"/>
          <w:b/>
          <w:caps/>
        </w:rPr>
        <w:t>VAISTINIO PREPARATO PAVADINIMAS IR VARTOJIMO BŪDAS (-AI)</w:t>
      </w:r>
    </w:p>
    <w:p w:rsidR="00444C66" w:rsidRDefault="00444C66">
      <w:pPr>
        <w:widowControl w:val="0"/>
        <w:tabs>
          <w:tab w:val="left" w:pos="708"/>
        </w:tabs>
        <w:spacing w:after="0" w:line="240" w:lineRule="auto"/>
        <w:ind w:left="567" w:hanging="567"/>
        <w:rPr>
          <w:rFonts w:ascii="Times New Roman" w:hAnsi="Times New Roman"/>
        </w:rPr>
      </w:pPr>
    </w:p>
    <w:p w:rsidR="00444C66" w:rsidRDefault="00444C66">
      <w:pPr>
        <w:widowControl w:val="0"/>
        <w:spacing w:after="0" w:line="240" w:lineRule="auto"/>
        <w:rPr>
          <w:rFonts w:ascii="Times New Roman" w:hAnsi="Times New Roman"/>
        </w:rPr>
      </w:pPr>
      <w:r>
        <w:rPr>
          <w:rFonts w:ascii="Times New Roman" w:hAnsi="Times New Roman"/>
        </w:rPr>
        <w:t>Olimestra 10 mg plėvele dengtos tabletės</w:t>
      </w:r>
    </w:p>
    <w:p w:rsidR="00444C66" w:rsidRDefault="00444C66">
      <w:pPr>
        <w:widowControl w:val="0"/>
        <w:spacing w:after="0" w:line="240" w:lineRule="auto"/>
        <w:rPr>
          <w:rFonts w:ascii="Times New Roman" w:hAnsi="Times New Roman"/>
          <w:highlight w:val="lightGray"/>
        </w:rPr>
      </w:pPr>
      <w:r>
        <w:rPr>
          <w:rFonts w:ascii="Times New Roman" w:hAnsi="Times New Roman"/>
          <w:highlight w:val="lightGray"/>
        </w:rPr>
        <w:t>Olimestra 20 mg plėvele dengtos tabletės</w:t>
      </w:r>
    </w:p>
    <w:p w:rsidR="00444C66" w:rsidRDefault="00444C66">
      <w:pPr>
        <w:widowControl w:val="0"/>
        <w:spacing w:after="0" w:line="240" w:lineRule="auto"/>
        <w:rPr>
          <w:rFonts w:ascii="Times New Roman" w:hAnsi="Times New Roman"/>
        </w:rPr>
      </w:pPr>
      <w:r>
        <w:rPr>
          <w:rFonts w:ascii="Times New Roman" w:hAnsi="Times New Roman"/>
          <w:highlight w:val="lightGray"/>
        </w:rPr>
        <w:t>Olimestra 40 mg plėvele dengtos tabletės</w:t>
      </w:r>
    </w:p>
    <w:p w:rsidR="00444C66" w:rsidRDefault="00444C66">
      <w:pPr>
        <w:widowControl w:val="0"/>
        <w:spacing w:after="0" w:line="240" w:lineRule="auto"/>
        <w:rPr>
          <w:rFonts w:ascii="Times New Roman" w:hAnsi="Times New Roman"/>
        </w:rPr>
      </w:pPr>
    </w:p>
    <w:p w:rsidR="00444C66" w:rsidRDefault="00444C66">
      <w:pPr>
        <w:widowControl w:val="0"/>
        <w:overflowPunct w:val="0"/>
        <w:autoSpaceDE w:val="0"/>
        <w:autoSpaceDN w:val="0"/>
        <w:adjustRightInd w:val="0"/>
        <w:spacing w:after="0" w:line="240" w:lineRule="auto"/>
        <w:jc w:val="both"/>
        <w:textAlignment w:val="baseline"/>
        <w:rPr>
          <w:rFonts w:ascii="Times New Roman" w:hAnsi="Times New Roman"/>
        </w:rPr>
      </w:pPr>
      <w:r>
        <w:rPr>
          <w:rFonts w:ascii="Times New Roman" w:hAnsi="Times New Roman"/>
        </w:rPr>
        <w:t>olmesartanas medoksomilis</w:t>
      </w:r>
    </w:p>
    <w:p w:rsidR="00444C66" w:rsidRDefault="00444C66">
      <w:pPr>
        <w:widowControl w:val="0"/>
        <w:tabs>
          <w:tab w:val="left" w:pos="708"/>
        </w:tabs>
        <w:spacing w:after="0" w:line="240" w:lineRule="auto"/>
        <w:rPr>
          <w:rFonts w:ascii="Times New Roman" w:hAnsi="Times New Roman"/>
        </w:rPr>
      </w:pPr>
    </w:p>
    <w:p w:rsidR="00444C66" w:rsidRDefault="00444C66">
      <w:pPr>
        <w:widowControl w:val="0"/>
        <w:tabs>
          <w:tab w:val="left" w:pos="708"/>
        </w:tabs>
        <w:spacing w:after="0" w:line="240" w:lineRule="auto"/>
        <w:rPr>
          <w:rFonts w:ascii="Times New Roman" w:hAnsi="Times New Roman"/>
        </w:rPr>
      </w:pPr>
      <w:r>
        <w:rPr>
          <w:rFonts w:ascii="Times New Roman" w:hAnsi="Times New Roman"/>
        </w:rPr>
        <w:t>Vartoti per burną.</w:t>
      </w:r>
    </w:p>
    <w:p w:rsidR="00444C66" w:rsidRDefault="00444C66">
      <w:pPr>
        <w:widowControl w:val="0"/>
        <w:tabs>
          <w:tab w:val="left" w:pos="708"/>
        </w:tabs>
        <w:spacing w:after="0" w:line="240" w:lineRule="auto"/>
        <w:rPr>
          <w:rFonts w:ascii="Times New Roman" w:hAnsi="Times New Roman"/>
        </w:rPr>
      </w:pPr>
    </w:p>
    <w:p w:rsidR="00444C66" w:rsidRDefault="00444C66">
      <w:pPr>
        <w:widowControl w:val="0"/>
        <w:tabs>
          <w:tab w:val="left" w:pos="708"/>
        </w:tabs>
        <w:spacing w:after="0" w:line="240" w:lineRule="auto"/>
        <w:rPr>
          <w:rFonts w:ascii="Times New Roman" w:hAnsi="Times New Roman"/>
        </w:rPr>
      </w:pPr>
    </w:p>
    <w:p w:rsidR="00444C66" w:rsidRDefault="00444C66">
      <w:pPr>
        <w:widowControl w:val="0"/>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outlineLvl w:val="0"/>
        <w:rPr>
          <w:rFonts w:ascii="Times New Roman" w:hAnsi="Times New Roman"/>
          <w:b/>
          <w:caps/>
        </w:rPr>
      </w:pPr>
      <w:r>
        <w:rPr>
          <w:rFonts w:ascii="Times New Roman" w:hAnsi="Times New Roman"/>
          <w:b/>
        </w:rPr>
        <w:t>2.</w:t>
      </w:r>
      <w:r>
        <w:rPr>
          <w:rFonts w:ascii="Times New Roman" w:hAnsi="Times New Roman"/>
          <w:b/>
        </w:rPr>
        <w:tab/>
      </w:r>
      <w:r>
        <w:rPr>
          <w:rFonts w:ascii="Times New Roman" w:hAnsi="Times New Roman"/>
          <w:b/>
          <w:caps/>
        </w:rPr>
        <w:t>VARTOJIMO METODAS</w:t>
      </w:r>
    </w:p>
    <w:p w:rsidR="00444C66" w:rsidRDefault="00444C66">
      <w:pPr>
        <w:widowControl w:val="0"/>
        <w:tabs>
          <w:tab w:val="left" w:pos="708"/>
        </w:tabs>
        <w:spacing w:after="0" w:line="240" w:lineRule="auto"/>
        <w:rPr>
          <w:rFonts w:ascii="Times New Roman" w:hAnsi="Times New Roman"/>
        </w:rPr>
      </w:pPr>
    </w:p>
    <w:p w:rsidR="00444C66" w:rsidRDefault="00444C66">
      <w:pPr>
        <w:widowControl w:val="0"/>
        <w:spacing w:after="0" w:line="240" w:lineRule="auto"/>
        <w:rPr>
          <w:rFonts w:ascii="Times New Roman" w:hAnsi="Times New Roman"/>
        </w:rPr>
      </w:pPr>
      <w:r>
        <w:rPr>
          <w:rFonts w:ascii="Times New Roman" w:hAnsi="Times New Roman"/>
        </w:rPr>
        <w:t>Prieš vartojimą perskaitykite pakuotės lapelį.</w:t>
      </w:r>
    </w:p>
    <w:p w:rsidR="00444C66" w:rsidRDefault="00444C66">
      <w:pPr>
        <w:widowControl w:val="0"/>
        <w:tabs>
          <w:tab w:val="left" w:pos="708"/>
        </w:tabs>
        <w:spacing w:after="0" w:line="240" w:lineRule="auto"/>
        <w:rPr>
          <w:rFonts w:ascii="Times New Roman" w:hAnsi="Times New Roman"/>
          <w:i/>
        </w:rPr>
      </w:pPr>
    </w:p>
    <w:p w:rsidR="00444C66" w:rsidRDefault="00444C66">
      <w:pPr>
        <w:widowControl w:val="0"/>
        <w:tabs>
          <w:tab w:val="left" w:pos="708"/>
        </w:tabs>
        <w:spacing w:after="0" w:line="240" w:lineRule="auto"/>
        <w:rPr>
          <w:rFonts w:ascii="Times New Roman" w:hAnsi="Times New Roman"/>
        </w:rPr>
      </w:pPr>
    </w:p>
    <w:p w:rsidR="00444C66" w:rsidRDefault="00444C66">
      <w:pPr>
        <w:widowControl w:val="0"/>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outlineLvl w:val="0"/>
        <w:rPr>
          <w:rFonts w:ascii="Times New Roman" w:hAnsi="Times New Roman"/>
          <w:b/>
          <w:caps/>
        </w:rPr>
      </w:pPr>
      <w:r>
        <w:rPr>
          <w:rFonts w:ascii="Times New Roman" w:hAnsi="Times New Roman"/>
          <w:b/>
        </w:rPr>
        <w:t>3.</w:t>
      </w:r>
      <w:r>
        <w:rPr>
          <w:rFonts w:ascii="Times New Roman" w:hAnsi="Times New Roman"/>
          <w:b/>
        </w:rPr>
        <w:tab/>
      </w:r>
      <w:r>
        <w:rPr>
          <w:rFonts w:ascii="Times New Roman" w:hAnsi="Times New Roman"/>
          <w:b/>
          <w:caps/>
        </w:rPr>
        <w:t>tinkamumo laikas</w:t>
      </w:r>
    </w:p>
    <w:p w:rsidR="00444C66" w:rsidRDefault="00444C66">
      <w:pPr>
        <w:widowControl w:val="0"/>
        <w:tabs>
          <w:tab w:val="left" w:pos="708"/>
        </w:tabs>
        <w:spacing w:after="0" w:line="240" w:lineRule="auto"/>
        <w:rPr>
          <w:rFonts w:ascii="Times New Roman" w:hAnsi="Times New Roman"/>
        </w:rPr>
      </w:pPr>
    </w:p>
    <w:p w:rsidR="00444C66" w:rsidRDefault="00444C66">
      <w:pPr>
        <w:widowControl w:val="0"/>
        <w:tabs>
          <w:tab w:val="left" w:pos="567"/>
        </w:tabs>
        <w:spacing w:after="0" w:line="240" w:lineRule="auto"/>
        <w:rPr>
          <w:rFonts w:ascii="Times New Roman" w:hAnsi="Times New Roman"/>
        </w:rPr>
      </w:pPr>
      <w:r>
        <w:rPr>
          <w:rFonts w:ascii="Times New Roman" w:hAnsi="Times New Roman"/>
        </w:rPr>
        <w:t>EXP (mmMMMM)</w:t>
      </w:r>
    </w:p>
    <w:p w:rsidR="00444C66" w:rsidRDefault="00444C66">
      <w:pPr>
        <w:widowControl w:val="0"/>
        <w:tabs>
          <w:tab w:val="left" w:pos="708"/>
        </w:tabs>
        <w:spacing w:after="0" w:line="240" w:lineRule="auto"/>
        <w:rPr>
          <w:rFonts w:ascii="Times New Roman" w:hAnsi="Times New Roman"/>
        </w:rPr>
      </w:pPr>
    </w:p>
    <w:p w:rsidR="00444C66" w:rsidRDefault="00444C66">
      <w:pPr>
        <w:widowControl w:val="0"/>
        <w:tabs>
          <w:tab w:val="left" w:pos="708"/>
        </w:tabs>
        <w:spacing w:after="0" w:line="240" w:lineRule="auto"/>
        <w:rPr>
          <w:rFonts w:ascii="Times New Roman" w:hAnsi="Times New Roman"/>
        </w:rPr>
      </w:pPr>
    </w:p>
    <w:p w:rsidR="00444C66" w:rsidRDefault="00444C66">
      <w:pPr>
        <w:widowControl w:val="0"/>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outlineLvl w:val="0"/>
        <w:rPr>
          <w:rFonts w:ascii="Times New Roman" w:hAnsi="Times New Roman"/>
          <w:b/>
          <w:caps/>
        </w:rPr>
      </w:pPr>
      <w:r>
        <w:rPr>
          <w:rFonts w:ascii="Times New Roman" w:hAnsi="Times New Roman"/>
          <w:b/>
        </w:rPr>
        <w:t>4.</w:t>
      </w:r>
      <w:r>
        <w:rPr>
          <w:rFonts w:ascii="Times New Roman" w:hAnsi="Times New Roman"/>
          <w:b/>
        </w:rPr>
        <w:tab/>
      </w:r>
      <w:r>
        <w:rPr>
          <w:rFonts w:ascii="Times New Roman" w:hAnsi="Times New Roman"/>
          <w:b/>
          <w:caps/>
        </w:rPr>
        <w:t>serijos numeris</w:t>
      </w:r>
    </w:p>
    <w:p w:rsidR="00444C66" w:rsidRDefault="00444C66">
      <w:pPr>
        <w:widowControl w:val="0"/>
        <w:tabs>
          <w:tab w:val="left" w:pos="708"/>
        </w:tabs>
        <w:spacing w:after="0" w:line="240" w:lineRule="auto"/>
        <w:ind w:right="113"/>
        <w:rPr>
          <w:rFonts w:ascii="Times New Roman" w:hAnsi="Times New Roman"/>
        </w:rPr>
      </w:pPr>
    </w:p>
    <w:p w:rsidR="00444C66" w:rsidRDefault="00444C66">
      <w:pPr>
        <w:widowControl w:val="0"/>
        <w:tabs>
          <w:tab w:val="left" w:pos="567"/>
        </w:tabs>
        <w:spacing w:after="0" w:line="240" w:lineRule="auto"/>
        <w:rPr>
          <w:rFonts w:ascii="Times New Roman" w:hAnsi="Times New Roman"/>
        </w:rPr>
      </w:pPr>
      <w:r>
        <w:rPr>
          <w:rFonts w:ascii="Times New Roman" w:hAnsi="Times New Roman"/>
        </w:rPr>
        <w:t>Lot (numeris)</w:t>
      </w:r>
    </w:p>
    <w:p w:rsidR="00444C66" w:rsidRDefault="00444C66">
      <w:pPr>
        <w:widowControl w:val="0"/>
        <w:tabs>
          <w:tab w:val="left" w:pos="708"/>
        </w:tabs>
        <w:spacing w:after="0" w:line="240" w:lineRule="auto"/>
        <w:ind w:right="113"/>
        <w:rPr>
          <w:rFonts w:ascii="Times New Roman" w:hAnsi="Times New Roman"/>
        </w:rPr>
      </w:pPr>
    </w:p>
    <w:p w:rsidR="00444C66" w:rsidRDefault="00444C66">
      <w:pPr>
        <w:widowControl w:val="0"/>
        <w:tabs>
          <w:tab w:val="left" w:pos="708"/>
        </w:tabs>
        <w:spacing w:after="0" w:line="240" w:lineRule="auto"/>
        <w:ind w:right="113"/>
        <w:rPr>
          <w:rFonts w:ascii="Times New Roman" w:hAnsi="Times New Roman"/>
        </w:rPr>
      </w:pPr>
    </w:p>
    <w:p w:rsidR="00444C66" w:rsidRDefault="00444C66">
      <w:pPr>
        <w:widowControl w:val="0"/>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outlineLvl w:val="0"/>
        <w:rPr>
          <w:rFonts w:ascii="Times New Roman" w:hAnsi="Times New Roman"/>
          <w:b/>
          <w:caps/>
        </w:rPr>
      </w:pPr>
      <w:r>
        <w:rPr>
          <w:rFonts w:ascii="Times New Roman" w:hAnsi="Times New Roman"/>
          <w:b/>
        </w:rPr>
        <w:t>5.</w:t>
      </w:r>
      <w:r>
        <w:rPr>
          <w:rFonts w:ascii="Times New Roman" w:hAnsi="Times New Roman"/>
          <w:b/>
        </w:rPr>
        <w:tab/>
      </w:r>
      <w:r>
        <w:rPr>
          <w:rFonts w:ascii="Times New Roman" w:hAnsi="Times New Roman"/>
          <w:b/>
          <w:caps/>
        </w:rPr>
        <w:t>kiekis (MASĖ, TŪRIS ARBA VIENETAI)</w:t>
      </w:r>
    </w:p>
    <w:p w:rsidR="00444C66" w:rsidRDefault="00444C66">
      <w:pPr>
        <w:widowControl w:val="0"/>
        <w:tabs>
          <w:tab w:val="left" w:pos="708"/>
        </w:tabs>
        <w:spacing w:after="0" w:line="240" w:lineRule="auto"/>
        <w:ind w:right="113"/>
        <w:rPr>
          <w:rFonts w:ascii="Times New Roman" w:hAnsi="Times New Roman"/>
        </w:rPr>
      </w:pPr>
    </w:p>
    <w:p w:rsidR="00444C66" w:rsidRDefault="00444C66">
      <w:pPr>
        <w:widowControl w:val="0"/>
        <w:spacing w:after="0" w:line="240" w:lineRule="auto"/>
        <w:rPr>
          <w:rFonts w:ascii="Times New Roman" w:hAnsi="Times New Roman"/>
        </w:rPr>
      </w:pPr>
      <w:r>
        <w:rPr>
          <w:rFonts w:ascii="Times New Roman" w:hAnsi="Times New Roman"/>
        </w:rPr>
        <w:t>100 plėvele dengtų tablečių</w:t>
      </w:r>
    </w:p>
    <w:p w:rsidR="00444C66" w:rsidRDefault="00444C66">
      <w:pPr>
        <w:widowControl w:val="0"/>
        <w:tabs>
          <w:tab w:val="left" w:pos="708"/>
        </w:tabs>
        <w:spacing w:after="0" w:line="240" w:lineRule="auto"/>
        <w:ind w:right="113"/>
        <w:rPr>
          <w:rFonts w:ascii="Times New Roman" w:hAnsi="Times New Roman"/>
        </w:rPr>
      </w:pPr>
    </w:p>
    <w:p w:rsidR="00444C66" w:rsidRDefault="00444C66">
      <w:pPr>
        <w:widowControl w:val="0"/>
        <w:tabs>
          <w:tab w:val="left" w:pos="708"/>
        </w:tabs>
        <w:spacing w:after="0" w:line="240" w:lineRule="auto"/>
        <w:ind w:right="113"/>
        <w:rPr>
          <w:rFonts w:ascii="Times New Roman" w:hAnsi="Times New Roman"/>
        </w:rPr>
      </w:pPr>
    </w:p>
    <w:p w:rsidR="00444C66" w:rsidRDefault="00444C66">
      <w:pPr>
        <w:widowControl w:val="0"/>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outlineLvl w:val="0"/>
        <w:rPr>
          <w:rFonts w:ascii="Times New Roman" w:hAnsi="Times New Roman"/>
          <w:b/>
          <w:caps/>
        </w:rPr>
      </w:pPr>
      <w:r>
        <w:rPr>
          <w:rFonts w:ascii="Times New Roman" w:hAnsi="Times New Roman"/>
          <w:b/>
        </w:rPr>
        <w:t>6.</w:t>
      </w:r>
      <w:r>
        <w:rPr>
          <w:rFonts w:ascii="Times New Roman" w:hAnsi="Times New Roman"/>
          <w:b/>
        </w:rPr>
        <w:tab/>
      </w:r>
      <w:r>
        <w:rPr>
          <w:rFonts w:ascii="Times New Roman" w:hAnsi="Times New Roman"/>
          <w:b/>
          <w:caps/>
        </w:rPr>
        <w:t>KITA</w:t>
      </w:r>
    </w:p>
    <w:p w:rsidR="00444C66" w:rsidRDefault="00444C66">
      <w:pPr>
        <w:widowControl w:val="0"/>
        <w:tabs>
          <w:tab w:val="left" w:pos="708"/>
        </w:tabs>
        <w:spacing w:after="0" w:line="240" w:lineRule="auto"/>
        <w:rPr>
          <w:rFonts w:ascii="Times New Roman" w:hAnsi="Times New Roman"/>
        </w:rPr>
      </w:pPr>
    </w:p>
    <w:p w:rsidR="00444C66" w:rsidRDefault="00444C66">
      <w:pPr>
        <w:widowControl w:val="0"/>
        <w:spacing w:after="0" w:line="240" w:lineRule="auto"/>
        <w:rPr>
          <w:rFonts w:ascii="Times New Roman" w:hAnsi="Times New Roman"/>
        </w:rPr>
      </w:pPr>
      <w:r>
        <w:rPr>
          <w:rFonts w:ascii="Times New Roman" w:hAnsi="Times New Roman"/>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Look w:val="0000" w:firstRow="0" w:lastRow="0" w:firstColumn="0" w:lastColumn="0" w:noHBand="0" w:noVBand="0"/>
      </w:tblPr>
      <w:tblGrid>
        <w:gridCol w:w="9287"/>
      </w:tblGrid>
      <w:tr w:rsidR="00444C66">
        <w:trPr>
          <w:trHeight w:val="785"/>
        </w:trPr>
        <w:tc>
          <w:tcPr>
            <w:tcW w:w="9287" w:type="dxa"/>
          </w:tcPr>
          <w:p w:rsidR="00444C66" w:rsidRDefault="00444C66">
            <w:pPr>
              <w:widowControl w:val="0"/>
              <w:pBdr>
                <w:between w:val="single" w:sz="4" w:space="1" w:color="auto"/>
              </w:pBdr>
              <w:tabs>
                <w:tab w:val="left" w:pos="567"/>
              </w:tabs>
              <w:spacing w:after="0" w:line="240" w:lineRule="auto"/>
              <w:rPr>
                <w:rFonts w:ascii="Times New Roman" w:hAnsi="Times New Roman"/>
                <w:b/>
              </w:rPr>
            </w:pPr>
            <w:r>
              <w:rPr>
                <w:rFonts w:ascii="Times New Roman" w:hAnsi="Times New Roman"/>
                <w:b/>
              </w:rPr>
              <w:lastRenderedPageBreak/>
              <w:br w:type="page"/>
              <w:t xml:space="preserve">MINIMALI </w:t>
            </w:r>
            <w:r>
              <w:rPr>
                <w:rFonts w:ascii="Times New Roman" w:hAnsi="Times New Roman"/>
                <w:b/>
                <w:caps/>
              </w:rPr>
              <w:t xml:space="preserve">informacija ant </w:t>
            </w:r>
            <w:r>
              <w:rPr>
                <w:rFonts w:ascii="Times New Roman" w:hAnsi="Times New Roman"/>
                <w:b/>
              </w:rPr>
              <w:t>LIZDINIŲ PLOKŠTELIŲ ARBA DVISLUOKSNIŲ JUOSTELIŲ</w:t>
            </w:r>
          </w:p>
          <w:p w:rsidR="00444C66" w:rsidRDefault="00444C66">
            <w:pPr>
              <w:widowControl w:val="0"/>
              <w:tabs>
                <w:tab w:val="left" w:pos="567"/>
              </w:tabs>
              <w:spacing w:after="0" w:line="240" w:lineRule="auto"/>
              <w:rPr>
                <w:rFonts w:ascii="Times New Roman" w:hAnsi="Times New Roman"/>
                <w:b/>
              </w:rPr>
            </w:pPr>
          </w:p>
          <w:p w:rsidR="00444C66" w:rsidRDefault="00444C66">
            <w:pPr>
              <w:widowControl w:val="0"/>
              <w:tabs>
                <w:tab w:val="left" w:pos="567"/>
              </w:tabs>
              <w:spacing w:after="0" w:line="240" w:lineRule="auto"/>
              <w:rPr>
                <w:rFonts w:ascii="Times New Roman" w:hAnsi="Times New Roman"/>
                <w:b/>
              </w:rPr>
            </w:pPr>
            <w:r>
              <w:rPr>
                <w:rFonts w:ascii="Times New Roman" w:hAnsi="Times New Roman"/>
                <w:b/>
              </w:rPr>
              <w:t>LIZDINĖ PLOKŠTELĖ</w:t>
            </w:r>
          </w:p>
        </w:tc>
      </w:tr>
    </w:tbl>
    <w:p w:rsidR="00444C66" w:rsidRDefault="00444C66">
      <w:pPr>
        <w:widowControl w:val="0"/>
        <w:spacing w:after="0" w:line="240" w:lineRule="auto"/>
        <w:rPr>
          <w:rFonts w:ascii="Times New Roman" w:hAnsi="Times New Roman"/>
          <w:b/>
        </w:rPr>
      </w:pPr>
    </w:p>
    <w:p w:rsidR="00444C66" w:rsidRDefault="00444C66">
      <w:pPr>
        <w:widowControl w:val="0"/>
        <w:spacing w:after="0" w:line="240" w:lineRule="auto"/>
        <w:rPr>
          <w:rFonts w:ascii="Times New Roman" w:hAnsi="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44C66">
        <w:tc>
          <w:tcPr>
            <w:tcW w:w="9287" w:type="dxa"/>
          </w:tcPr>
          <w:p w:rsidR="00444C66" w:rsidRDefault="00444C66">
            <w:pPr>
              <w:widowControl w:val="0"/>
              <w:tabs>
                <w:tab w:val="left" w:pos="142"/>
              </w:tabs>
              <w:spacing w:after="0" w:line="240" w:lineRule="auto"/>
              <w:ind w:left="567" w:hanging="567"/>
              <w:rPr>
                <w:rFonts w:ascii="Times New Roman" w:hAnsi="Times New Roman"/>
                <w:b/>
              </w:rPr>
            </w:pPr>
            <w:r>
              <w:rPr>
                <w:rFonts w:ascii="Times New Roman" w:hAnsi="Times New Roman"/>
                <w:b/>
              </w:rPr>
              <w:t>1.</w:t>
            </w:r>
            <w:r>
              <w:rPr>
                <w:rFonts w:ascii="Times New Roman" w:hAnsi="Times New Roman"/>
                <w:b/>
              </w:rPr>
              <w:tab/>
            </w:r>
            <w:r>
              <w:rPr>
                <w:rFonts w:ascii="Times New Roman" w:hAnsi="Times New Roman"/>
                <w:b/>
                <w:caps/>
              </w:rPr>
              <w:t>Vaistinio preparato pavadinimas</w:t>
            </w:r>
          </w:p>
        </w:tc>
      </w:tr>
    </w:tbl>
    <w:p w:rsidR="00444C66" w:rsidRDefault="00444C66">
      <w:pPr>
        <w:widowControl w:val="0"/>
        <w:spacing w:after="0" w:line="240" w:lineRule="auto"/>
        <w:ind w:left="567" w:hanging="567"/>
        <w:rPr>
          <w:rFonts w:ascii="Times New Roman" w:hAnsi="Times New Roman"/>
        </w:rPr>
      </w:pPr>
    </w:p>
    <w:p w:rsidR="00444C66" w:rsidRDefault="00444C66">
      <w:pPr>
        <w:widowControl w:val="0"/>
        <w:spacing w:after="0" w:line="240" w:lineRule="auto"/>
        <w:rPr>
          <w:rFonts w:ascii="Times New Roman" w:hAnsi="Times New Roman"/>
        </w:rPr>
      </w:pPr>
      <w:r>
        <w:rPr>
          <w:rFonts w:ascii="Times New Roman" w:hAnsi="Times New Roman"/>
        </w:rPr>
        <w:t>Olimestra 10 mg plėvele dengtos tabletės</w:t>
      </w:r>
    </w:p>
    <w:p w:rsidR="00444C66" w:rsidRDefault="00444C66">
      <w:pPr>
        <w:widowControl w:val="0"/>
        <w:spacing w:after="0" w:line="240" w:lineRule="auto"/>
        <w:rPr>
          <w:rFonts w:ascii="Times New Roman" w:hAnsi="Times New Roman"/>
          <w:highlight w:val="lightGray"/>
        </w:rPr>
      </w:pPr>
      <w:r>
        <w:rPr>
          <w:rFonts w:ascii="Times New Roman" w:hAnsi="Times New Roman"/>
          <w:highlight w:val="lightGray"/>
        </w:rPr>
        <w:t>Olimestra 20 mg plėvele dengtos tabletės</w:t>
      </w:r>
    </w:p>
    <w:p w:rsidR="00444C66" w:rsidRDefault="00444C66">
      <w:pPr>
        <w:widowControl w:val="0"/>
        <w:spacing w:after="0" w:line="240" w:lineRule="auto"/>
        <w:rPr>
          <w:rFonts w:ascii="Times New Roman" w:hAnsi="Times New Roman"/>
        </w:rPr>
      </w:pPr>
      <w:r>
        <w:rPr>
          <w:rFonts w:ascii="Times New Roman" w:hAnsi="Times New Roman"/>
          <w:highlight w:val="lightGray"/>
        </w:rPr>
        <w:t>Olimestra 40 mg plėvele dengtos tabletės</w:t>
      </w:r>
    </w:p>
    <w:p w:rsidR="00444C66" w:rsidRDefault="00444C66">
      <w:pPr>
        <w:widowControl w:val="0"/>
        <w:spacing w:after="0" w:line="240" w:lineRule="auto"/>
        <w:rPr>
          <w:rFonts w:ascii="Times New Roman" w:hAnsi="Times New Roman"/>
        </w:rPr>
      </w:pPr>
    </w:p>
    <w:p w:rsidR="00444C66" w:rsidRDefault="00444C66">
      <w:pPr>
        <w:widowControl w:val="0"/>
        <w:overflowPunct w:val="0"/>
        <w:autoSpaceDE w:val="0"/>
        <w:autoSpaceDN w:val="0"/>
        <w:adjustRightInd w:val="0"/>
        <w:spacing w:after="0" w:line="240" w:lineRule="auto"/>
        <w:jc w:val="both"/>
        <w:textAlignment w:val="baseline"/>
        <w:rPr>
          <w:rFonts w:ascii="Times New Roman" w:hAnsi="Times New Roman"/>
        </w:rPr>
      </w:pPr>
      <w:r>
        <w:rPr>
          <w:rFonts w:ascii="Times New Roman" w:hAnsi="Times New Roman"/>
        </w:rPr>
        <w:t>olmesartanas medoksomilis</w:t>
      </w:r>
    </w:p>
    <w:p w:rsidR="00444C66" w:rsidRDefault="00444C66">
      <w:pPr>
        <w:widowControl w:val="0"/>
        <w:spacing w:after="0" w:line="240" w:lineRule="auto"/>
        <w:rPr>
          <w:rFonts w:ascii="Times New Roman" w:hAnsi="Times New Roman"/>
          <w:b/>
        </w:rPr>
      </w:pPr>
    </w:p>
    <w:p w:rsidR="00444C66" w:rsidRDefault="00444C66">
      <w:pPr>
        <w:widowControl w:val="0"/>
        <w:spacing w:after="0" w:line="240" w:lineRule="auto"/>
        <w:rPr>
          <w:rFonts w:ascii="Times New Roman" w:hAnsi="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44C66">
        <w:tc>
          <w:tcPr>
            <w:tcW w:w="9287" w:type="dxa"/>
          </w:tcPr>
          <w:p w:rsidR="00444C66" w:rsidRDefault="00444C66">
            <w:pPr>
              <w:widowControl w:val="0"/>
              <w:tabs>
                <w:tab w:val="left" w:pos="142"/>
              </w:tabs>
              <w:spacing w:after="0" w:line="240" w:lineRule="auto"/>
              <w:ind w:left="567" w:hanging="567"/>
              <w:rPr>
                <w:rFonts w:ascii="Times New Roman" w:hAnsi="Times New Roman"/>
                <w:b/>
              </w:rPr>
            </w:pPr>
            <w:r>
              <w:rPr>
                <w:rFonts w:ascii="Times New Roman" w:hAnsi="Times New Roman"/>
                <w:b/>
              </w:rPr>
              <w:t>2.</w:t>
            </w:r>
            <w:r>
              <w:rPr>
                <w:rFonts w:ascii="Times New Roman" w:hAnsi="Times New Roman"/>
                <w:b/>
              </w:rPr>
              <w:tab/>
            </w:r>
            <w:r>
              <w:rPr>
                <w:rFonts w:ascii="Times New Roman" w:eastAsia="Times New Roman" w:hAnsi="Times New Roman"/>
                <w:b/>
                <w:caps/>
                <w:lang w:eastAsia="sl-SI"/>
              </w:rPr>
              <w:t>Registruotojo</w:t>
            </w:r>
            <w:r>
              <w:rPr>
                <w:rFonts w:ascii="Times New Roman" w:hAnsi="Times New Roman"/>
                <w:b/>
                <w:caps/>
              </w:rPr>
              <w:t xml:space="preserve"> pavadinimas</w:t>
            </w:r>
          </w:p>
        </w:tc>
      </w:tr>
    </w:tbl>
    <w:p w:rsidR="00444C66" w:rsidRDefault="00444C66">
      <w:pPr>
        <w:widowControl w:val="0"/>
        <w:spacing w:after="0" w:line="240" w:lineRule="auto"/>
        <w:rPr>
          <w:rFonts w:ascii="Times New Roman" w:hAnsi="Times New Roman"/>
          <w:b/>
        </w:rPr>
      </w:pPr>
    </w:p>
    <w:p w:rsidR="00444C66" w:rsidRDefault="00444C66">
      <w:pPr>
        <w:widowControl w:val="0"/>
        <w:spacing w:after="0" w:line="240" w:lineRule="auto"/>
        <w:rPr>
          <w:rFonts w:ascii="Times New Roman" w:hAnsi="Times New Roman"/>
        </w:rPr>
      </w:pPr>
      <w:r>
        <w:rPr>
          <w:rFonts w:ascii="Times New Roman" w:hAnsi="Times New Roman"/>
        </w:rPr>
        <w:t>KRKA</w:t>
      </w:r>
    </w:p>
    <w:p w:rsidR="00444C66" w:rsidRDefault="00444C66">
      <w:pPr>
        <w:widowControl w:val="0"/>
        <w:spacing w:after="0" w:line="240" w:lineRule="auto"/>
        <w:rPr>
          <w:rFonts w:ascii="Times New Roman" w:hAnsi="Times New Roman"/>
          <w:b/>
        </w:rPr>
      </w:pPr>
    </w:p>
    <w:p w:rsidR="00444C66" w:rsidRDefault="00444C66">
      <w:pPr>
        <w:widowControl w:val="0"/>
        <w:spacing w:after="0" w:line="240" w:lineRule="auto"/>
        <w:rPr>
          <w:rFonts w:ascii="Times New Roman" w:hAnsi="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44C66">
        <w:tc>
          <w:tcPr>
            <w:tcW w:w="9287" w:type="dxa"/>
          </w:tcPr>
          <w:p w:rsidR="00444C66" w:rsidRDefault="00444C66">
            <w:pPr>
              <w:widowControl w:val="0"/>
              <w:tabs>
                <w:tab w:val="left" w:pos="142"/>
              </w:tabs>
              <w:spacing w:after="0" w:line="240" w:lineRule="auto"/>
              <w:ind w:left="567" w:hanging="567"/>
              <w:rPr>
                <w:rFonts w:ascii="Times New Roman" w:hAnsi="Times New Roman"/>
                <w:b/>
              </w:rPr>
            </w:pPr>
            <w:r>
              <w:rPr>
                <w:rFonts w:ascii="Times New Roman" w:hAnsi="Times New Roman"/>
                <w:b/>
              </w:rPr>
              <w:t>3.</w:t>
            </w:r>
            <w:r>
              <w:rPr>
                <w:rFonts w:ascii="Times New Roman" w:hAnsi="Times New Roman"/>
                <w:b/>
              </w:rPr>
              <w:tab/>
            </w:r>
            <w:r>
              <w:rPr>
                <w:rFonts w:ascii="Times New Roman" w:hAnsi="Times New Roman"/>
                <w:b/>
                <w:caps/>
              </w:rPr>
              <w:t>tinkamumo laikas</w:t>
            </w:r>
          </w:p>
        </w:tc>
      </w:tr>
    </w:tbl>
    <w:p w:rsidR="00444C66" w:rsidRDefault="00444C66">
      <w:pPr>
        <w:widowControl w:val="0"/>
        <w:spacing w:after="0" w:line="240" w:lineRule="auto"/>
        <w:rPr>
          <w:rFonts w:ascii="Times New Roman" w:hAnsi="Times New Roman"/>
          <w:b/>
        </w:rPr>
      </w:pPr>
    </w:p>
    <w:p w:rsidR="00444C66" w:rsidRDefault="00444C66">
      <w:pPr>
        <w:widowControl w:val="0"/>
        <w:spacing w:after="0" w:line="240" w:lineRule="auto"/>
        <w:rPr>
          <w:rFonts w:ascii="Times New Roman" w:hAnsi="Times New Roman"/>
        </w:rPr>
      </w:pPr>
      <w:r>
        <w:rPr>
          <w:rFonts w:ascii="Times New Roman" w:hAnsi="Times New Roman"/>
        </w:rPr>
        <w:t>EXP (mmMMMM)</w:t>
      </w:r>
    </w:p>
    <w:p w:rsidR="00444C66" w:rsidRDefault="00444C66">
      <w:pPr>
        <w:widowControl w:val="0"/>
        <w:spacing w:after="0" w:line="240" w:lineRule="auto"/>
        <w:rPr>
          <w:rFonts w:ascii="Times New Roman" w:hAnsi="Times New Roman"/>
        </w:rPr>
      </w:pPr>
    </w:p>
    <w:p w:rsidR="00444C66" w:rsidRDefault="00444C66">
      <w:pPr>
        <w:widowControl w:val="0"/>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44C66">
        <w:tc>
          <w:tcPr>
            <w:tcW w:w="9287" w:type="dxa"/>
          </w:tcPr>
          <w:p w:rsidR="00444C66" w:rsidRDefault="00444C66">
            <w:pPr>
              <w:widowControl w:val="0"/>
              <w:tabs>
                <w:tab w:val="left" w:pos="142"/>
              </w:tabs>
              <w:spacing w:after="0" w:line="240" w:lineRule="auto"/>
              <w:ind w:left="567" w:hanging="567"/>
              <w:rPr>
                <w:rFonts w:ascii="Times New Roman" w:hAnsi="Times New Roman"/>
                <w:b/>
              </w:rPr>
            </w:pPr>
            <w:r>
              <w:rPr>
                <w:rFonts w:ascii="Times New Roman" w:hAnsi="Times New Roman"/>
                <w:b/>
              </w:rPr>
              <w:t>4.</w:t>
            </w:r>
            <w:r>
              <w:rPr>
                <w:rFonts w:ascii="Times New Roman" w:hAnsi="Times New Roman"/>
                <w:b/>
              </w:rPr>
              <w:tab/>
              <w:t>SERIJOS NUMERIS</w:t>
            </w:r>
          </w:p>
        </w:tc>
      </w:tr>
    </w:tbl>
    <w:p w:rsidR="00444C66" w:rsidRDefault="00444C66">
      <w:pPr>
        <w:widowControl w:val="0"/>
        <w:spacing w:after="0" w:line="240" w:lineRule="auto"/>
        <w:ind w:right="113"/>
        <w:rPr>
          <w:rFonts w:ascii="Times New Roman" w:hAnsi="Times New Roman"/>
        </w:rPr>
      </w:pPr>
    </w:p>
    <w:p w:rsidR="00444C66" w:rsidRDefault="00444C66">
      <w:pPr>
        <w:widowControl w:val="0"/>
        <w:spacing w:after="0" w:line="240" w:lineRule="auto"/>
        <w:ind w:right="113"/>
        <w:rPr>
          <w:rFonts w:ascii="Times New Roman" w:hAnsi="Times New Roman"/>
        </w:rPr>
      </w:pPr>
      <w:r>
        <w:rPr>
          <w:rFonts w:ascii="Times New Roman" w:hAnsi="Times New Roman"/>
        </w:rPr>
        <w:t>Lot (numeris)</w:t>
      </w:r>
    </w:p>
    <w:p w:rsidR="00444C66" w:rsidRDefault="00444C66">
      <w:pPr>
        <w:widowControl w:val="0"/>
        <w:spacing w:after="0" w:line="240" w:lineRule="auto"/>
        <w:ind w:right="113"/>
        <w:rPr>
          <w:rFonts w:ascii="Times New Roman" w:hAnsi="Times New Roman"/>
        </w:rPr>
      </w:pPr>
    </w:p>
    <w:p w:rsidR="00444C66" w:rsidRDefault="00444C66">
      <w:pPr>
        <w:widowControl w:val="0"/>
        <w:spacing w:after="0" w:line="240" w:lineRule="auto"/>
        <w:ind w:right="113"/>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44C66">
        <w:tc>
          <w:tcPr>
            <w:tcW w:w="9287" w:type="dxa"/>
          </w:tcPr>
          <w:p w:rsidR="00444C66" w:rsidRDefault="00444C66">
            <w:pPr>
              <w:widowControl w:val="0"/>
              <w:tabs>
                <w:tab w:val="left" w:pos="142"/>
              </w:tabs>
              <w:spacing w:after="0" w:line="240" w:lineRule="auto"/>
              <w:ind w:left="567" w:hanging="567"/>
              <w:rPr>
                <w:rFonts w:ascii="Times New Roman" w:hAnsi="Times New Roman"/>
                <w:b/>
              </w:rPr>
            </w:pPr>
            <w:r>
              <w:rPr>
                <w:rFonts w:ascii="Times New Roman" w:hAnsi="Times New Roman"/>
                <w:b/>
              </w:rPr>
              <w:t>5.</w:t>
            </w:r>
            <w:r>
              <w:rPr>
                <w:rFonts w:ascii="Times New Roman" w:hAnsi="Times New Roman"/>
                <w:b/>
              </w:rPr>
              <w:tab/>
              <w:t>KITA</w:t>
            </w:r>
          </w:p>
        </w:tc>
      </w:tr>
    </w:tbl>
    <w:p w:rsidR="00444C66" w:rsidRDefault="00444C66">
      <w:pPr>
        <w:widowControl w:val="0"/>
        <w:spacing w:after="0" w:line="240" w:lineRule="auto"/>
        <w:ind w:right="113"/>
        <w:rPr>
          <w:rFonts w:ascii="Times New Roman" w:hAnsi="Times New Roman"/>
        </w:rPr>
      </w:pPr>
    </w:p>
    <w:p w:rsidR="00444C66" w:rsidRDefault="00444C66">
      <w:pPr>
        <w:widowControl w:val="0"/>
        <w:spacing w:after="0" w:line="240" w:lineRule="auto"/>
        <w:ind w:right="113"/>
        <w:rPr>
          <w:rFonts w:ascii="Times New Roman" w:hAnsi="Times New Roman"/>
        </w:rPr>
      </w:pPr>
      <w:r>
        <w:rPr>
          <w:rFonts w:ascii="Times New Roman" w:hAnsi="Times New Roman"/>
          <w:i/>
        </w:rPr>
        <w:br w:type="page"/>
      </w:r>
    </w:p>
    <w:p w:rsidR="00444C66" w:rsidRDefault="00444C66">
      <w:pPr>
        <w:widowControl w:val="0"/>
        <w:spacing w:after="0" w:line="240" w:lineRule="auto"/>
        <w:jc w:val="center"/>
        <w:rPr>
          <w:rFonts w:ascii="Times New Roman" w:hAnsi="Times New Roman"/>
        </w:rPr>
      </w:pPr>
    </w:p>
    <w:p w:rsidR="00444C66" w:rsidRDefault="00444C66">
      <w:pPr>
        <w:widowControl w:val="0"/>
        <w:spacing w:after="0" w:line="240" w:lineRule="auto"/>
        <w:jc w:val="center"/>
        <w:rPr>
          <w:rFonts w:ascii="Times New Roman" w:hAnsi="Times New Roman"/>
        </w:rPr>
      </w:pPr>
    </w:p>
    <w:p w:rsidR="00444C66" w:rsidRDefault="00444C66">
      <w:pPr>
        <w:widowControl w:val="0"/>
        <w:spacing w:after="0" w:line="240" w:lineRule="auto"/>
        <w:jc w:val="center"/>
        <w:rPr>
          <w:rFonts w:ascii="Times New Roman" w:hAnsi="Times New Roman"/>
        </w:rPr>
      </w:pPr>
    </w:p>
    <w:p w:rsidR="00444C66" w:rsidRDefault="00444C66">
      <w:pPr>
        <w:widowControl w:val="0"/>
        <w:spacing w:after="0" w:line="240" w:lineRule="auto"/>
        <w:jc w:val="center"/>
        <w:rPr>
          <w:rFonts w:ascii="Times New Roman" w:hAnsi="Times New Roman"/>
        </w:rPr>
      </w:pPr>
    </w:p>
    <w:p w:rsidR="00444C66" w:rsidRDefault="00444C66">
      <w:pPr>
        <w:widowControl w:val="0"/>
        <w:spacing w:after="0" w:line="240" w:lineRule="auto"/>
        <w:jc w:val="center"/>
        <w:rPr>
          <w:rFonts w:ascii="Times New Roman" w:hAnsi="Times New Roman"/>
        </w:rPr>
      </w:pPr>
    </w:p>
    <w:p w:rsidR="00444C66" w:rsidRDefault="00444C66">
      <w:pPr>
        <w:widowControl w:val="0"/>
        <w:spacing w:after="0" w:line="240" w:lineRule="auto"/>
        <w:jc w:val="center"/>
        <w:rPr>
          <w:rFonts w:ascii="Times New Roman" w:hAnsi="Times New Roman"/>
        </w:rPr>
      </w:pPr>
    </w:p>
    <w:p w:rsidR="00444C66" w:rsidRDefault="00444C66">
      <w:pPr>
        <w:widowControl w:val="0"/>
        <w:spacing w:after="0" w:line="240" w:lineRule="auto"/>
        <w:jc w:val="center"/>
        <w:rPr>
          <w:rFonts w:ascii="Times New Roman" w:hAnsi="Times New Roman"/>
        </w:rPr>
      </w:pPr>
    </w:p>
    <w:p w:rsidR="00444C66" w:rsidRDefault="00444C66">
      <w:pPr>
        <w:widowControl w:val="0"/>
        <w:spacing w:after="0" w:line="240" w:lineRule="auto"/>
        <w:jc w:val="center"/>
        <w:rPr>
          <w:rFonts w:ascii="Times New Roman" w:hAnsi="Times New Roman"/>
        </w:rPr>
      </w:pPr>
    </w:p>
    <w:p w:rsidR="00444C66" w:rsidRDefault="00444C66">
      <w:pPr>
        <w:widowControl w:val="0"/>
        <w:spacing w:after="0" w:line="240" w:lineRule="auto"/>
        <w:jc w:val="center"/>
        <w:rPr>
          <w:rFonts w:ascii="Times New Roman" w:hAnsi="Times New Roman"/>
        </w:rPr>
      </w:pPr>
    </w:p>
    <w:p w:rsidR="00444C66" w:rsidRDefault="00444C66">
      <w:pPr>
        <w:widowControl w:val="0"/>
        <w:spacing w:after="0" w:line="240" w:lineRule="auto"/>
        <w:jc w:val="center"/>
        <w:rPr>
          <w:rFonts w:ascii="Times New Roman" w:hAnsi="Times New Roman"/>
        </w:rPr>
      </w:pPr>
    </w:p>
    <w:p w:rsidR="00444C66" w:rsidRDefault="00444C66">
      <w:pPr>
        <w:widowControl w:val="0"/>
        <w:spacing w:after="0" w:line="240" w:lineRule="auto"/>
        <w:jc w:val="center"/>
        <w:rPr>
          <w:rFonts w:ascii="Times New Roman" w:hAnsi="Times New Roman"/>
        </w:rPr>
      </w:pPr>
    </w:p>
    <w:p w:rsidR="00444C66" w:rsidRDefault="00444C66">
      <w:pPr>
        <w:widowControl w:val="0"/>
        <w:spacing w:after="0" w:line="240" w:lineRule="auto"/>
        <w:jc w:val="center"/>
        <w:rPr>
          <w:rFonts w:ascii="Times New Roman" w:hAnsi="Times New Roman"/>
        </w:rPr>
      </w:pPr>
    </w:p>
    <w:p w:rsidR="00444C66" w:rsidRDefault="00444C66">
      <w:pPr>
        <w:widowControl w:val="0"/>
        <w:spacing w:after="0" w:line="240" w:lineRule="auto"/>
        <w:jc w:val="center"/>
        <w:rPr>
          <w:rFonts w:ascii="Times New Roman" w:hAnsi="Times New Roman"/>
        </w:rPr>
      </w:pPr>
    </w:p>
    <w:p w:rsidR="00444C66" w:rsidRDefault="00444C66">
      <w:pPr>
        <w:widowControl w:val="0"/>
        <w:spacing w:after="0" w:line="240" w:lineRule="auto"/>
        <w:jc w:val="center"/>
        <w:rPr>
          <w:rFonts w:ascii="Times New Roman" w:hAnsi="Times New Roman"/>
        </w:rPr>
      </w:pPr>
    </w:p>
    <w:p w:rsidR="00444C66" w:rsidRDefault="00444C66">
      <w:pPr>
        <w:widowControl w:val="0"/>
        <w:spacing w:after="0" w:line="240" w:lineRule="auto"/>
        <w:jc w:val="center"/>
        <w:rPr>
          <w:rFonts w:ascii="Times New Roman" w:hAnsi="Times New Roman"/>
        </w:rPr>
      </w:pPr>
    </w:p>
    <w:p w:rsidR="00444C66" w:rsidRDefault="00444C66">
      <w:pPr>
        <w:widowControl w:val="0"/>
        <w:spacing w:after="0" w:line="240" w:lineRule="auto"/>
        <w:jc w:val="center"/>
        <w:rPr>
          <w:rFonts w:ascii="Times New Roman" w:hAnsi="Times New Roman"/>
        </w:rPr>
      </w:pPr>
    </w:p>
    <w:p w:rsidR="00444C66" w:rsidRDefault="00444C66">
      <w:pPr>
        <w:widowControl w:val="0"/>
        <w:spacing w:after="0" w:line="240" w:lineRule="auto"/>
        <w:jc w:val="center"/>
        <w:rPr>
          <w:rFonts w:ascii="Times New Roman" w:hAnsi="Times New Roman"/>
        </w:rPr>
      </w:pPr>
    </w:p>
    <w:p w:rsidR="00444C66" w:rsidRDefault="00444C66">
      <w:pPr>
        <w:widowControl w:val="0"/>
        <w:spacing w:after="0" w:line="240" w:lineRule="auto"/>
        <w:jc w:val="center"/>
        <w:rPr>
          <w:rFonts w:ascii="Times New Roman" w:hAnsi="Times New Roman"/>
        </w:rPr>
      </w:pPr>
    </w:p>
    <w:p w:rsidR="00444C66" w:rsidRDefault="00444C66">
      <w:pPr>
        <w:widowControl w:val="0"/>
        <w:spacing w:after="0" w:line="240" w:lineRule="auto"/>
        <w:jc w:val="center"/>
        <w:rPr>
          <w:rFonts w:ascii="Times New Roman" w:hAnsi="Times New Roman"/>
        </w:rPr>
      </w:pPr>
    </w:p>
    <w:p w:rsidR="00444C66" w:rsidRDefault="00444C66">
      <w:pPr>
        <w:widowControl w:val="0"/>
        <w:spacing w:after="0" w:line="240" w:lineRule="auto"/>
        <w:jc w:val="center"/>
        <w:rPr>
          <w:rFonts w:ascii="Times New Roman" w:hAnsi="Times New Roman"/>
        </w:rPr>
      </w:pPr>
    </w:p>
    <w:p w:rsidR="00444C66" w:rsidRDefault="00444C66">
      <w:pPr>
        <w:widowControl w:val="0"/>
        <w:spacing w:after="0" w:line="240" w:lineRule="auto"/>
        <w:jc w:val="center"/>
        <w:rPr>
          <w:rFonts w:ascii="Times New Roman" w:hAnsi="Times New Roman"/>
        </w:rPr>
      </w:pPr>
    </w:p>
    <w:p w:rsidR="00444C66" w:rsidRDefault="00444C66">
      <w:pPr>
        <w:widowControl w:val="0"/>
        <w:spacing w:after="0" w:line="240" w:lineRule="auto"/>
        <w:jc w:val="center"/>
        <w:rPr>
          <w:rFonts w:ascii="Times New Roman" w:hAnsi="Times New Roman"/>
        </w:rPr>
      </w:pPr>
    </w:p>
    <w:p w:rsidR="00444C66" w:rsidRDefault="00444C66">
      <w:pPr>
        <w:widowControl w:val="0"/>
        <w:spacing w:after="0" w:line="240" w:lineRule="auto"/>
        <w:jc w:val="center"/>
        <w:rPr>
          <w:rFonts w:ascii="Times New Roman" w:hAnsi="Times New Roman"/>
        </w:rPr>
      </w:pPr>
    </w:p>
    <w:p w:rsidR="00444C66" w:rsidRDefault="00444C66">
      <w:pPr>
        <w:widowControl w:val="0"/>
        <w:tabs>
          <w:tab w:val="left" w:pos="567"/>
        </w:tabs>
        <w:spacing w:after="0" w:line="240" w:lineRule="auto"/>
        <w:ind w:left="567" w:hanging="567"/>
        <w:jc w:val="center"/>
        <w:outlineLvl w:val="0"/>
        <w:rPr>
          <w:rFonts w:ascii="Times New Roman" w:hAnsi="Times New Roman"/>
          <w:b/>
          <w:caps/>
        </w:rPr>
      </w:pPr>
      <w:bookmarkStart w:id="17" w:name="_Toc129243137"/>
      <w:bookmarkStart w:id="18" w:name="_Toc129243262"/>
      <w:r>
        <w:rPr>
          <w:rFonts w:ascii="Times New Roman" w:hAnsi="Times New Roman"/>
          <w:b/>
          <w:caps/>
        </w:rPr>
        <w:t>B. PAKUOTĖS LAPELIS</w:t>
      </w:r>
      <w:bookmarkEnd w:id="17"/>
      <w:bookmarkEnd w:id="18"/>
    </w:p>
    <w:p w:rsidR="00444C66" w:rsidRDefault="00444C66">
      <w:pPr>
        <w:widowControl w:val="0"/>
        <w:tabs>
          <w:tab w:val="left" w:pos="567"/>
        </w:tabs>
        <w:spacing w:after="0" w:line="240" w:lineRule="auto"/>
        <w:jc w:val="center"/>
        <w:outlineLvl w:val="0"/>
        <w:rPr>
          <w:rFonts w:ascii="Times New Roman" w:hAnsi="Times New Roman"/>
          <w:b/>
        </w:rPr>
      </w:pPr>
      <w:r>
        <w:rPr>
          <w:rFonts w:ascii="Times New Roman" w:hAnsi="Times New Roman"/>
          <w:b/>
        </w:rPr>
        <w:br w:type="page"/>
      </w:r>
      <w:r>
        <w:rPr>
          <w:rFonts w:ascii="Times New Roman" w:hAnsi="Times New Roman"/>
          <w:b/>
        </w:rPr>
        <w:lastRenderedPageBreak/>
        <w:t xml:space="preserve">Pakuotės lapelis: informacija </w:t>
      </w:r>
      <w:r>
        <w:rPr>
          <w:rFonts w:ascii="Times New Roman" w:eastAsia="Times New Roman" w:hAnsi="Times New Roman"/>
          <w:b/>
          <w:lang w:eastAsia="sl-SI"/>
        </w:rPr>
        <w:t>pacientui</w:t>
      </w:r>
    </w:p>
    <w:p w:rsidR="00444C66" w:rsidRDefault="00444C66">
      <w:pPr>
        <w:widowControl w:val="0"/>
        <w:tabs>
          <w:tab w:val="left" w:pos="567"/>
        </w:tabs>
        <w:spacing w:after="0" w:line="240" w:lineRule="auto"/>
        <w:jc w:val="center"/>
        <w:outlineLvl w:val="0"/>
        <w:rPr>
          <w:rFonts w:ascii="Times New Roman" w:hAnsi="Times New Roman"/>
          <w:b/>
        </w:rPr>
      </w:pPr>
    </w:p>
    <w:p w:rsidR="00444C66" w:rsidRDefault="00444C66">
      <w:pPr>
        <w:widowControl w:val="0"/>
        <w:tabs>
          <w:tab w:val="left" w:pos="567"/>
        </w:tabs>
        <w:spacing w:after="0" w:line="240" w:lineRule="auto"/>
        <w:jc w:val="center"/>
        <w:rPr>
          <w:rFonts w:ascii="Times New Roman" w:hAnsi="Times New Roman"/>
          <w:b/>
        </w:rPr>
      </w:pPr>
      <w:r>
        <w:rPr>
          <w:rFonts w:ascii="Times New Roman" w:hAnsi="Times New Roman"/>
          <w:b/>
        </w:rPr>
        <w:t>Olimestra 10 mg plėvele dengtos tabletės</w:t>
      </w:r>
    </w:p>
    <w:p w:rsidR="00444C66" w:rsidRDefault="00444C66">
      <w:pPr>
        <w:widowControl w:val="0"/>
        <w:tabs>
          <w:tab w:val="left" w:pos="567"/>
        </w:tabs>
        <w:spacing w:after="0" w:line="240" w:lineRule="auto"/>
        <w:jc w:val="center"/>
        <w:rPr>
          <w:rFonts w:ascii="Times New Roman" w:hAnsi="Times New Roman"/>
          <w:b/>
          <w:highlight w:val="lightGray"/>
        </w:rPr>
      </w:pPr>
      <w:r>
        <w:rPr>
          <w:rFonts w:ascii="Times New Roman" w:hAnsi="Times New Roman"/>
          <w:b/>
          <w:highlight w:val="lightGray"/>
        </w:rPr>
        <w:t>Olimestra 20 mg plėvele dengtos tabletės</w:t>
      </w:r>
    </w:p>
    <w:p w:rsidR="00444C66" w:rsidRDefault="00444C66">
      <w:pPr>
        <w:widowControl w:val="0"/>
        <w:tabs>
          <w:tab w:val="left" w:pos="567"/>
        </w:tabs>
        <w:spacing w:after="0" w:line="240" w:lineRule="auto"/>
        <w:jc w:val="center"/>
        <w:rPr>
          <w:rFonts w:ascii="Times New Roman" w:hAnsi="Times New Roman"/>
          <w:b/>
        </w:rPr>
      </w:pPr>
      <w:r>
        <w:rPr>
          <w:rFonts w:ascii="Times New Roman" w:hAnsi="Times New Roman"/>
          <w:b/>
          <w:highlight w:val="lightGray"/>
        </w:rPr>
        <w:t>Olimestra 40 mg plėvele dengtos tabletės</w:t>
      </w:r>
    </w:p>
    <w:p w:rsidR="00444C66" w:rsidRDefault="00444C66">
      <w:pPr>
        <w:widowControl w:val="0"/>
        <w:numPr>
          <w:ilvl w:val="12"/>
          <w:numId w:val="0"/>
        </w:numPr>
        <w:tabs>
          <w:tab w:val="left" w:pos="567"/>
        </w:tabs>
        <w:spacing w:after="0" w:line="240" w:lineRule="auto"/>
        <w:jc w:val="center"/>
        <w:rPr>
          <w:rFonts w:ascii="Times New Roman" w:hAnsi="Times New Roman"/>
        </w:rPr>
      </w:pPr>
      <w:r>
        <w:rPr>
          <w:rFonts w:ascii="Times New Roman" w:hAnsi="Times New Roman"/>
        </w:rPr>
        <w:t>olmesartanas medoksomilis</w:t>
      </w:r>
    </w:p>
    <w:p w:rsidR="00444C66" w:rsidRDefault="00444C66">
      <w:pPr>
        <w:widowControl w:val="0"/>
        <w:tabs>
          <w:tab w:val="left" w:pos="567"/>
        </w:tabs>
        <w:spacing w:after="0" w:line="240" w:lineRule="auto"/>
        <w:jc w:val="center"/>
        <w:rPr>
          <w:rFonts w:ascii="Times New Roman" w:hAnsi="Times New Roman"/>
        </w:rPr>
      </w:pPr>
    </w:p>
    <w:p w:rsidR="00444C66" w:rsidRDefault="00444C66">
      <w:pPr>
        <w:widowControl w:val="0"/>
        <w:spacing w:after="0" w:line="240" w:lineRule="auto"/>
        <w:rPr>
          <w:rFonts w:ascii="Times New Roman" w:hAnsi="Times New Roman"/>
          <w:b/>
        </w:rPr>
      </w:pPr>
      <w:r>
        <w:rPr>
          <w:rFonts w:ascii="Times New Roman" w:hAnsi="Times New Roman"/>
          <w:b/>
        </w:rPr>
        <w:t>Atidžiai perskaitykite visą šį lapelį, prieš pradėdami vartoti vaistą, nes jame pateikiama Jums svarbi informacija.</w:t>
      </w:r>
    </w:p>
    <w:p w:rsidR="00444C66" w:rsidRDefault="00444C66">
      <w:pPr>
        <w:widowControl w:val="0"/>
        <w:numPr>
          <w:ilvl w:val="0"/>
          <w:numId w:val="40"/>
        </w:numPr>
        <w:spacing w:after="0" w:line="240" w:lineRule="auto"/>
        <w:ind w:left="567" w:hanging="567"/>
        <w:rPr>
          <w:rFonts w:ascii="Times New Roman" w:hAnsi="Times New Roman"/>
        </w:rPr>
      </w:pPr>
      <w:r>
        <w:rPr>
          <w:rFonts w:ascii="Times New Roman" w:hAnsi="Times New Roman"/>
        </w:rPr>
        <w:t>Neišmeskite šio lapelio, nes vėl gali prireikti jį perskaityti.</w:t>
      </w:r>
    </w:p>
    <w:p w:rsidR="00444C66" w:rsidRDefault="00444C66">
      <w:pPr>
        <w:widowControl w:val="0"/>
        <w:numPr>
          <w:ilvl w:val="0"/>
          <w:numId w:val="40"/>
        </w:numPr>
        <w:spacing w:after="0" w:line="240" w:lineRule="auto"/>
        <w:ind w:left="567" w:hanging="567"/>
        <w:rPr>
          <w:rFonts w:ascii="Times New Roman" w:hAnsi="Times New Roman"/>
        </w:rPr>
      </w:pPr>
      <w:r>
        <w:rPr>
          <w:rFonts w:ascii="Times New Roman" w:hAnsi="Times New Roman"/>
        </w:rPr>
        <w:t>Jeigu kiltų daugiau klausimų, kreipkitės į gydytoją arba vaistininką.</w:t>
      </w:r>
    </w:p>
    <w:p w:rsidR="00444C66" w:rsidRDefault="00444C66">
      <w:pPr>
        <w:widowControl w:val="0"/>
        <w:numPr>
          <w:ilvl w:val="0"/>
          <w:numId w:val="40"/>
        </w:numPr>
        <w:spacing w:after="0" w:line="240" w:lineRule="auto"/>
        <w:ind w:left="567" w:hanging="567"/>
        <w:rPr>
          <w:rFonts w:ascii="Times New Roman" w:hAnsi="Times New Roman"/>
        </w:rPr>
      </w:pPr>
      <w:r>
        <w:rPr>
          <w:rFonts w:ascii="Times New Roman" w:hAnsi="Times New Roman"/>
        </w:rPr>
        <w:t>Šis vaistas skirtas tik Jums, todėl kitiems žmonėms jo duoti negalima. Vaistas gali jiems pakenkti (net tiems, kurių ligos požymiai yra tokie patys kaip Jūsų).</w:t>
      </w:r>
    </w:p>
    <w:p w:rsidR="00444C66" w:rsidRDefault="00444C66">
      <w:pPr>
        <w:widowControl w:val="0"/>
        <w:numPr>
          <w:ilvl w:val="0"/>
          <w:numId w:val="40"/>
        </w:numPr>
        <w:spacing w:after="0" w:line="240" w:lineRule="auto"/>
        <w:ind w:left="567" w:right="-2" w:hanging="567"/>
        <w:rPr>
          <w:rFonts w:ascii="Times New Roman" w:hAnsi="Times New Roman"/>
        </w:rPr>
      </w:pPr>
      <w:r>
        <w:rPr>
          <w:rFonts w:ascii="Times New Roman" w:hAnsi="Times New Roman"/>
        </w:rPr>
        <w:t>Jeigu pasireiškė šalutinis poveikis (net jeigu jis šiame lapelyje nenurodytas), kreipkitės į gydytoją arba vaistininką. Žr. 4 skyrių.</w:t>
      </w:r>
    </w:p>
    <w:p w:rsidR="00444C66" w:rsidRDefault="00444C66">
      <w:pPr>
        <w:widowControl w:val="0"/>
        <w:tabs>
          <w:tab w:val="left" w:pos="567"/>
        </w:tabs>
        <w:spacing w:after="0" w:line="240" w:lineRule="auto"/>
        <w:ind w:right="-2"/>
        <w:rPr>
          <w:rFonts w:ascii="Times New Roman" w:hAnsi="Times New Roman"/>
        </w:rPr>
      </w:pPr>
    </w:p>
    <w:p w:rsidR="00444C66" w:rsidRDefault="00444C66">
      <w:pPr>
        <w:widowControl w:val="0"/>
        <w:spacing w:after="0" w:line="240" w:lineRule="auto"/>
        <w:rPr>
          <w:rFonts w:ascii="Times New Roman" w:hAnsi="Times New Roman"/>
          <w:b/>
        </w:rPr>
      </w:pPr>
      <w:r>
        <w:rPr>
          <w:rFonts w:ascii="Times New Roman" w:hAnsi="Times New Roman"/>
          <w:b/>
        </w:rPr>
        <w:t>Apie ką rašoma šiame lapelyje?</w:t>
      </w:r>
    </w:p>
    <w:p w:rsidR="00444C66" w:rsidRDefault="00444C66">
      <w:pPr>
        <w:widowControl w:val="0"/>
        <w:spacing w:after="0" w:line="240" w:lineRule="auto"/>
        <w:ind w:left="567" w:hanging="567"/>
        <w:rPr>
          <w:rFonts w:ascii="Times New Roman" w:hAnsi="Times New Roman"/>
          <w:b/>
        </w:rPr>
      </w:pPr>
    </w:p>
    <w:p w:rsidR="00444C66" w:rsidRDefault="00444C66">
      <w:pPr>
        <w:widowControl w:val="0"/>
        <w:spacing w:after="0" w:line="240" w:lineRule="auto"/>
        <w:ind w:left="567" w:hanging="567"/>
        <w:rPr>
          <w:rFonts w:ascii="Times New Roman" w:hAnsi="Times New Roman"/>
        </w:rPr>
      </w:pPr>
      <w:r>
        <w:rPr>
          <w:rFonts w:ascii="Times New Roman" w:hAnsi="Times New Roman"/>
        </w:rPr>
        <w:t>1.</w:t>
      </w:r>
      <w:r>
        <w:rPr>
          <w:rFonts w:ascii="Times New Roman" w:hAnsi="Times New Roman"/>
        </w:rPr>
        <w:tab/>
        <w:t>Kas yra Olimestra ir kam jis vartojamas</w:t>
      </w:r>
    </w:p>
    <w:p w:rsidR="00444C66" w:rsidRDefault="00444C66">
      <w:pPr>
        <w:widowControl w:val="0"/>
        <w:spacing w:after="0" w:line="240" w:lineRule="auto"/>
        <w:ind w:left="567" w:hanging="567"/>
        <w:rPr>
          <w:rFonts w:ascii="Times New Roman" w:hAnsi="Times New Roman"/>
        </w:rPr>
      </w:pPr>
      <w:r>
        <w:rPr>
          <w:rFonts w:ascii="Times New Roman" w:hAnsi="Times New Roman"/>
        </w:rPr>
        <w:t>2.</w:t>
      </w:r>
      <w:r>
        <w:rPr>
          <w:rFonts w:ascii="Times New Roman" w:hAnsi="Times New Roman"/>
        </w:rPr>
        <w:tab/>
        <w:t>Kas žinotina prieš vartojant Olimestra</w:t>
      </w:r>
    </w:p>
    <w:p w:rsidR="00444C66" w:rsidRDefault="00444C66">
      <w:pPr>
        <w:widowControl w:val="0"/>
        <w:spacing w:after="0" w:line="240" w:lineRule="auto"/>
        <w:ind w:left="567" w:hanging="567"/>
        <w:rPr>
          <w:rFonts w:ascii="Times New Roman" w:hAnsi="Times New Roman"/>
        </w:rPr>
      </w:pPr>
      <w:r>
        <w:rPr>
          <w:rFonts w:ascii="Times New Roman" w:hAnsi="Times New Roman"/>
        </w:rPr>
        <w:t>3.</w:t>
      </w:r>
      <w:r>
        <w:rPr>
          <w:rFonts w:ascii="Times New Roman" w:hAnsi="Times New Roman"/>
        </w:rPr>
        <w:tab/>
        <w:t>Kaip vartoti Olimestra</w:t>
      </w:r>
    </w:p>
    <w:p w:rsidR="00444C66" w:rsidRDefault="00444C66">
      <w:pPr>
        <w:widowControl w:val="0"/>
        <w:spacing w:after="0" w:line="240" w:lineRule="auto"/>
        <w:ind w:left="567" w:hanging="567"/>
        <w:rPr>
          <w:rFonts w:ascii="Times New Roman" w:hAnsi="Times New Roman"/>
        </w:rPr>
      </w:pPr>
      <w:r>
        <w:rPr>
          <w:rFonts w:ascii="Times New Roman" w:hAnsi="Times New Roman"/>
        </w:rPr>
        <w:t>4.</w:t>
      </w:r>
      <w:r>
        <w:rPr>
          <w:rFonts w:ascii="Times New Roman" w:hAnsi="Times New Roman"/>
        </w:rPr>
        <w:tab/>
        <w:t>Galimas šalutinis poveikis</w:t>
      </w:r>
    </w:p>
    <w:p w:rsidR="00444C66" w:rsidRDefault="00444C66">
      <w:pPr>
        <w:widowControl w:val="0"/>
        <w:spacing w:after="0" w:line="240" w:lineRule="auto"/>
        <w:ind w:left="567" w:hanging="567"/>
        <w:rPr>
          <w:rFonts w:ascii="Times New Roman" w:hAnsi="Times New Roman"/>
        </w:rPr>
      </w:pPr>
      <w:r>
        <w:rPr>
          <w:rFonts w:ascii="Times New Roman" w:hAnsi="Times New Roman"/>
        </w:rPr>
        <w:t>5.</w:t>
      </w:r>
      <w:r>
        <w:rPr>
          <w:rFonts w:ascii="Times New Roman" w:hAnsi="Times New Roman"/>
        </w:rPr>
        <w:tab/>
        <w:t>Kaip laikyti Olimestra</w:t>
      </w:r>
    </w:p>
    <w:p w:rsidR="00444C66" w:rsidRDefault="00444C66">
      <w:pPr>
        <w:widowControl w:val="0"/>
        <w:spacing w:after="0" w:line="240" w:lineRule="auto"/>
        <w:ind w:left="567" w:hanging="567"/>
        <w:rPr>
          <w:rFonts w:ascii="Times New Roman" w:hAnsi="Times New Roman"/>
        </w:rPr>
      </w:pPr>
      <w:r>
        <w:rPr>
          <w:rFonts w:ascii="Times New Roman" w:hAnsi="Times New Roman"/>
        </w:rPr>
        <w:t>6.</w:t>
      </w:r>
      <w:r>
        <w:rPr>
          <w:rFonts w:ascii="Times New Roman" w:hAnsi="Times New Roman"/>
        </w:rPr>
        <w:tab/>
        <w:t>Pakuotės turinys ir kita informacija</w:t>
      </w:r>
    </w:p>
    <w:p w:rsidR="00444C66" w:rsidRDefault="00444C66">
      <w:pPr>
        <w:widowControl w:val="0"/>
        <w:numPr>
          <w:ilvl w:val="12"/>
          <w:numId w:val="0"/>
        </w:numPr>
        <w:spacing w:after="0" w:line="240" w:lineRule="auto"/>
        <w:rPr>
          <w:rFonts w:ascii="Times New Roman" w:hAnsi="Times New Roman"/>
        </w:rPr>
      </w:pPr>
    </w:p>
    <w:p w:rsidR="00444C66" w:rsidRDefault="00444C66">
      <w:pPr>
        <w:widowControl w:val="0"/>
        <w:numPr>
          <w:ilvl w:val="12"/>
          <w:numId w:val="0"/>
        </w:numPr>
        <w:tabs>
          <w:tab w:val="left" w:pos="567"/>
        </w:tabs>
        <w:spacing w:after="0" w:line="240" w:lineRule="auto"/>
        <w:rPr>
          <w:rFonts w:ascii="Times New Roman" w:hAnsi="Times New Roman"/>
        </w:rPr>
      </w:pPr>
    </w:p>
    <w:p w:rsidR="00444C66" w:rsidRDefault="00444C66">
      <w:pPr>
        <w:widowControl w:val="0"/>
        <w:spacing w:after="0" w:line="240" w:lineRule="auto"/>
        <w:ind w:left="567" w:right="-2" w:hanging="567"/>
        <w:rPr>
          <w:rFonts w:ascii="Times New Roman" w:hAnsi="Times New Roman"/>
          <w:b/>
        </w:rPr>
      </w:pPr>
      <w:r>
        <w:rPr>
          <w:rFonts w:ascii="Times New Roman" w:hAnsi="Times New Roman"/>
          <w:b/>
        </w:rPr>
        <w:t>1.</w:t>
      </w:r>
      <w:r>
        <w:rPr>
          <w:rFonts w:ascii="Times New Roman" w:hAnsi="Times New Roman"/>
          <w:b/>
        </w:rPr>
        <w:tab/>
        <w:t>Kas yra Olimestra ir kam jis vartojamas</w:t>
      </w:r>
    </w:p>
    <w:p w:rsidR="00444C66" w:rsidRDefault="00444C66">
      <w:pPr>
        <w:widowControl w:val="0"/>
        <w:tabs>
          <w:tab w:val="left" w:pos="567"/>
        </w:tabs>
        <w:autoSpaceDE w:val="0"/>
        <w:autoSpaceDN w:val="0"/>
        <w:adjustRightInd w:val="0"/>
        <w:spacing w:after="0" w:line="240" w:lineRule="auto"/>
        <w:rPr>
          <w:rFonts w:ascii="Times New Roman" w:hAnsi="Times New Roman"/>
        </w:rPr>
      </w:pPr>
    </w:p>
    <w:p w:rsidR="00444C66" w:rsidRDefault="00444C66">
      <w:pPr>
        <w:widowControl w:val="0"/>
        <w:tabs>
          <w:tab w:val="left" w:pos="567"/>
        </w:tabs>
        <w:autoSpaceDE w:val="0"/>
        <w:autoSpaceDN w:val="0"/>
        <w:adjustRightInd w:val="0"/>
        <w:spacing w:after="0" w:line="240" w:lineRule="auto"/>
        <w:rPr>
          <w:rFonts w:ascii="Times New Roman" w:hAnsi="Times New Roman"/>
        </w:rPr>
      </w:pPr>
      <w:r>
        <w:rPr>
          <w:rFonts w:ascii="Times New Roman" w:hAnsi="Times New Roman"/>
        </w:rPr>
        <w:t>Olimestra priklauso vaistų, vadinamų angiotenzino II receptorių blokatoriais, grupei. Šie vaistai mažina kraujospūdį atpalaiduodami kraujagysles.</w:t>
      </w:r>
    </w:p>
    <w:p w:rsidR="00444C66" w:rsidRDefault="00444C66">
      <w:pPr>
        <w:widowControl w:val="0"/>
        <w:tabs>
          <w:tab w:val="left" w:pos="567"/>
        </w:tabs>
        <w:autoSpaceDE w:val="0"/>
        <w:autoSpaceDN w:val="0"/>
        <w:adjustRightInd w:val="0"/>
        <w:spacing w:after="0" w:line="240" w:lineRule="auto"/>
        <w:rPr>
          <w:rFonts w:ascii="Times New Roman" w:hAnsi="Times New Roman"/>
        </w:rPr>
      </w:pPr>
    </w:p>
    <w:p w:rsidR="00444C66" w:rsidRDefault="00444C66">
      <w:pPr>
        <w:widowControl w:val="0"/>
        <w:tabs>
          <w:tab w:val="left" w:pos="567"/>
        </w:tabs>
        <w:autoSpaceDE w:val="0"/>
        <w:autoSpaceDN w:val="0"/>
        <w:adjustRightInd w:val="0"/>
        <w:spacing w:after="0" w:line="240" w:lineRule="auto"/>
        <w:rPr>
          <w:rFonts w:ascii="Times New Roman" w:hAnsi="Times New Roman"/>
        </w:rPr>
      </w:pPr>
      <w:r>
        <w:rPr>
          <w:rFonts w:ascii="Times New Roman" w:hAnsi="Times New Roman"/>
        </w:rPr>
        <w:t>Olimestra gydomas padidėjęs kraujospūdis (dar vadinamas hipertenzija) suaugusiems, vaikams nuo 6 metų ir jaunesniems kaip 18 metų paaugliams. Padidėjęs kraujospūdis gali pažeisti įvairių organų (pvz., širdies, inkstų, smegenų ar akių) kraujagysles. Kai kuriais atvejais dėl to gali pasireikšti širdies priepuolis, širdies arba inkstų nepakankamumas, insultas ar apakimas. Dažniausiai padidėjusio kraujospūdžio požymių nebūna. Norint išvengti galimos pažaidos, svarbu matuoti kraujospūdį.</w:t>
      </w:r>
    </w:p>
    <w:p w:rsidR="00444C66" w:rsidRDefault="00444C66">
      <w:pPr>
        <w:widowControl w:val="0"/>
        <w:tabs>
          <w:tab w:val="left" w:pos="567"/>
        </w:tabs>
        <w:autoSpaceDE w:val="0"/>
        <w:autoSpaceDN w:val="0"/>
        <w:adjustRightInd w:val="0"/>
        <w:spacing w:after="0" w:line="240" w:lineRule="auto"/>
        <w:rPr>
          <w:rFonts w:ascii="Times New Roman" w:hAnsi="Times New Roman"/>
        </w:rPr>
      </w:pPr>
    </w:p>
    <w:p w:rsidR="00444C66" w:rsidRDefault="00444C66">
      <w:pPr>
        <w:widowControl w:val="0"/>
        <w:tabs>
          <w:tab w:val="left" w:pos="567"/>
        </w:tabs>
        <w:autoSpaceDE w:val="0"/>
        <w:autoSpaceDN w:val="0"/>
        <w:adjustRightInd w:val="0"/>
        <w:spacing w:after="0" w:line="240" w:lineRule="auto"/>
        <w:rPr>
          <w:rFonts w:ascii="Times New Roman" w:hAnsi="Times New Roman"/>
        </w:rPr>
      </w:pPr>
      <w:r>
        <w:rPr>
          <w:rFonts w:ascii="Times New Roman" w:hAnsi="Times New Roman"/>
        </w:rPr>
        <w:t>Padidėjusį kraujospūdį galima reguliuoti vaistais, pavyzdžiui, Olimestra tabletėmis. Greičiausiai Jūsų gydytojas jau rekomendavo pakeisti kai kuriuos gyvenimo būdo įpročius, kad būtų lengviau mažinti kraujospūdį (pvz., sumažinti kūno svorį, nustoti rūkyti, vengti vartoti alkoholį, sumažinti druskos suvartojimą su maistu). Be to, gydytojas galbūt paskatino užsiimti reguliaria fizine veikla, pavyzdžiui, pasivaikščioti, plaukioti. Svarbu laikytis šių gydytojo nurodymų.</w:t>
      </w:r>
    </w:p>
    <w:p w:rsidR="00444C66" w:rsidRDefault="00444C66">
      <w:pPr>
        <w:widowControl w:val="0"/>
        <w:tabs>
          <w:tab w:val="left" w:pos="567"/>
        </w:tabs>
        <w:autoSpaceDE w:val="0"/>
        <w:autoSpaceDN w:val="0"/>
        <w:adjustRightInd w:val="0"/>
        <w:spacing w:after="0" w:line="240" w:lineRule="auto"/>
        <w:rPr>
          <w:rFonts w:ascii="Times New Roman" w:hAnsi="Times New Roman"/>
        </w:rPr>
      </w:pPr>
    </w:p>
    <w:p w:rsidR="00444C66" w:rsidRDefault="00444C66">
      <w:pPr>
        <w:widowControl w:val="0"/>
        <w:tabs>
          <w:tab w:val="left" w:pos="567"/>
        </w:tabs>
        <w:autoSpaceDE w:val="0"/>
        <w:autoSpaceDN w:val="0"/>
        <w:adjustRightInd w:val="0"/>
        <w:spacing w:after="0" w:line="240" w:lineRule="auto"/>
        <w:rPr>
          <w:rFonts w:ascii="Times New Roman" w:hAnsi="Times New Roman"/>
        </w:rPr>
      </w:pPr>
    </w:p>
    <w:p w:rsidR="00444C66" w:rsidRDefault="00444C66">
      <w:pPr>
        <w:widowControl w:val="0"/>
        <w:spacing w:after="0" w:line="240" w:lineRule="auto"/>
        <w:ind w:left="567" w:right="-2" w:hanging="567"/>
        <w:rPr>
          <w:rFonts w:ascii="Times New Roman" w:hAnsi="Times New Roman"/>
          <w:b/>
        </w:rPr>
      </w:pPr>
      <w:r>
        <w:rPr>
          <w:rFonts w:ascii="Times New Roman" w:hAnsi="Times New Roman"/>
          <w:b/>
        </w:rPr>
        <w:t>2.</w:t>
      </w:r>
      <w:r>
        <w:rPr>
          <w:rFonts w:ascii="Times New Roman" w:hAnsi="Times New Roman"/>
          <w:b/>
        </w:rPr>
        <w:tab/>
        <w:t>Kas žinotina prieš vartojant Olimestra</w:t>
      </w:r>
    </w:p>
    <w:p w:rsidR="00444C66" w:rsidRDefault="00444C66">
      <w:pPr>
        <w:widowControl w:val="0"/>
        <w:numPr>
          <w:ilvl w:val="12"/>
          <w:numId w:val="0"/>
        </w:numPr>
        <w:tabs>
          <w:tab w:val="left" w:pos="567"/>
        </w:tabs>
        <w:spacing w:after="0" w:line="240" w:lineRule="auto"/>
        <w:ind w:right="-2"/>
        <w:rPr>
          <w:rFonts w:ascii="Times New Roman" w:hAnsi="Times New Roman"/>
        </w:rPr>
      </w:pPr>
    </w:p>
    <w:p w:rsidR="00444C66" w:rsidRDefault="00444C66">
      <w:pPr>
        <w:widowControl w:val="0"/>
        <w:numPr>
          <w:ilvl w:val="12"/>
          <w:numId w:val="0"/>
        </w:numPr>
        <w:tabs>
          <w:tab w:val="left" w:pos="567"/>
        </w:tabs>
        <w:spacing w:after="0" w:line="240" w:lineRule="auto"/>
        <w:outlineLvl w:val="0"/>
        <w:rPr>
          <w:rFonts w:ascii="Times New Roman" w:hAnsi="Times New Roman"/>
          <w:b/>
        </w:rPr>
      </w:pPr>
      <w:r>
        <w:rPr>
          <w:rFonts w:ascii="Times New Roman" w:hAnsi="Times New Roman"/>
          <w:b/>
        </w:rPr>
        <w:t>Olimestra vartoti draudžiama:</w:t>
      </w:r>
    </w:p>
    <w:p w:rsidR="00444C66" w:rsidRDefault="00444C66">
      <w:pPr>
        <w:widowControl w:val="0"/>
        <w:numPr>
          <w:ilvl w:val="0"/>
          <w:numId w:val="32"/>
        </w:numPr>
        <w:tabs>
          <w:tab w:val="left" w:pos="567"/>
        </w:tabs>
        <w:spacing w:after="0" w:line="240" w:lineRule="auto"/>
        <w:rPr>
          <w:rFonts w:ascii="Times New Roman" w:hAnsi="Times New Roman"/>
        </w:rPr>
      </w:pPr>
      <w:r>
        <w:rPr>
          <w:rFonts w:ascii="Times New Roman" w:hAnsi="Times New Roman"/>
        </w:rPr>
        <w:t>jeigu yra alergija olmesartano medoksomiliui arba bet kuriai pagalbinei šio vaisto medžiagai (jos išvardytos 6 skyriuje);</w:t>
      </w:r>
    </w:p>
    <w:p w:rsidR="00444C66" w:rsidRDefault="00444C66">
      <w:pPr>
        <w:widowControl w:val="0"/>
        <w:numPr>
          <w:ilvl w:val="0"/>
          <w:numId w:val="32"/>
        </w:numPr>
        <w:autoSpaceDE w:val="0"/>
        <w:autoSpaceDN w:val="0"/>
        <w:adjustRightInd w:val="0"/>
        <w:spacing w:after="0" w:line="240" w:lineRule="auto"/>
        <w:rPr>
          <w:rFonts w:ascii="Times New Roman" w:hAnsi="Times New Roman"/>
        </w:rPr>
      </w:pPr>
      <w:r>
        <w:rPr>
          <w:rFonts w:ascii="Times New Roman" w:hAnsi="Times New Roman"/>
        </w:rPr>
        <w:t>jeigu yra daugiau kaip 3 nėštumo mėnesiai (Olimestra geriau nevartoti ir nėštumo pradžioje, apie tai žr. skyrelyje apie nėštumą);</w:t>
      </w:r>
    </w:p>
    <w:p w:rsidR="00444C66" w:rsidRDefault="00444C66">
      <w:pPr>
        <w:widowControl w:val="0"/>
        <w:numPr>
          <w:ilvl w:val="0"/>
          <w:numId w:val="32"/>
        </w:numPr>
        <w:spacing w:after="0" w:line="240" w:lineRule="auto"/>
        <w:rPr>
          <w:rFonts w:ascii="Times New Roman" w:hAnsi="Times New Roman"/>
        </w:rPr>
      </w:pPr>
      <w:r>
        <w:rPr>
          <w:rFonts w:ascii="Times New Roman" w:hAnsi="Times New Roman"/>
        </w:rPr>
        <w:t xml:space="preserve">jeigu pasireiškia gelta (odos </w:t>
      </w:r>
      <w:r>
        <w:rPr>
          <w:rFonts w:ascii="Times New Roman" w:eastAsia="Times New Roman" w:hAnsi="Times New Roman"/>
          <w:lang w:eastAsia="sl-SI"/>
        </w:rPr>
        <w:t xml:space="preserve">ir akių </w:t>
      </w:r>
      <w:r>
        <w:rPr>
          <w:rFonts w:ascii="Times New Roman" w:hAnsi="Times New Roman"/>
        </w:rPr>
        <w:t>pageltimas</w:t>
      </w:r>
      <w:r>
        <w:rPr>
          <w:rFonts w:ascii="Times New Roman" w:eastAsia="Times New Roman" w:hAnsi="Times New Roman"/>
          <w:lang w:eastAsia="sl-SI"/>
        </w:rPr>
        <w:t>)</w:t>
      </w:r>
      <w:r>
        <w:rPr>
          <w:rFonts w:ascii="Times New Roman" w:hAnsi="Times New Roman"/>
        </w:rPr>
        <w:t xml:space="preserve"> </w:t>
      </w:r>
      <w:r>
        <w:rPr>
          <w:rFonts w:ascii="Times New Roman" w:eastAsia="Times New Roman" w:hAnsi="Times New Roman"/>
          <w:lang w:eastAsia="sl-SI"/>
        </w:rPr>
        <w:t xml:space="preserve">ar </w:t>
      </w:r>
      <w:r>
        <w:rPr>
          <w:rFonts w:ascii="Times New Roman" w:hAnsi="Times New Roman"/>
        </w:rPr>
        <w:t>jeigu jums yra tulžies latakų užsikimšimas</w:t>
      </w:r>
      <w:r>
        <w:rPr>
          <w:rFonts w:ascii="Times New Roman" w:eastAsia="Times New Roman" w:hAnsi="Times New Roman"/>
          <w:lang w:eastAsia="sl-SI"/>
        </w:rPr>
        <w:t>, (pvz tulžies akmenys</w:t>
      </w:r>
      <w:r>
        <w:rPr>
          <w:rFonts w:ascii="Times New Roman" w:hAnsi="Times New Roman"/>
        </w:rPr>
        <w:t>);</w:t>
      </w:r>
    </w:p>
    <w:p w:rsidR="00444C66" w:rsidRDefault="00444C66">
      <w:pPr>
        <w:widowControl w:val="0"/>
        <w:numPr>
          <w:ilvl w:val="0"/>
          <w:numId w:val="32"/>
        </w:numPr>
        <w:tabs>
          <w:tab w:val="left" w:pos="567"/>
        </w:tabs>
        <w:spacing w:after="0" w:line="240" w:lineRule="auto"/>
        <w:rPr>
          <w:rFonts w:ascii="Times New Roman" w:hAnsi="Times New Roman"/>
        </w:rPr>
      </w:pPr>
      <w:r>
        <w:rPr>
          <w:rFonts w:ascii="Times New Roman" w:hAnsi="Times New Roman"/>
        </w:rPr>
        <w:t>jeigu sergate cukriniu diabetu arba yra inkstų funkcijos sutrikimas ir kraujospūdžiui mažinti vartojate vaisto, kurio sudėtyje yra aliskireno.</w:t>
      </w:r>
    </w:p>
    <w:p w:rsidR="00444C66" w:rsidRDefault="00444C66">
      <w:pPr>
        <w:widowControl w:val="0"/>
        <w:numPr>
          <w:ilvl w:val="12"/>
          <w:numId w:val="0"/>
        </w:numPr>
        <w:tabs>
          <w:tab w:val="left" w:pos="567"/>
        </w:tabs>
        <w:spacing w:after="0" w:line="240" w:lineRule="auto"/>
        <w:ind w:right="-2"/>
        <w:rPr>
          <w:rFonts w:ascii="Times New Roman" w:hAnsi="Times New Roman"/>
        </w:rPr>
      </w:pPr>
    </w:p>
    <w:p w:rsidR="00444C66" w:rsidRDefault="00444C66">
      <w:pPr>
        <w:widowControl w:val="0"/>
        <w:tabs>
          <w:tab w:val="left" w:pos="567"/>
        </w:tabs>
        <w:spacing w:after="0" w:line="240" w:lineRule="auto"/>
        <w:jc w:val="both"/>
        <w:outlineLvl w:val="3"/>
        <w:rPr>
          <w:rFonts w:ascii="Times New Roman" w:hAnsi="Times New Roman"/>
          <w:b/>
        </w:rPr>
      </w:pPr>
      <w:r>
        <w:rPr>
          <w:rFonts w:ascii="Times New Roman" w:hAnsi="Times New Roman"/>
          <w:b/>
        </w:rPr>
        <w:lastRenderedPageBreak/>
        <w:t>Įspėjimai ir atsargumo priemonės</w:t>
      </w:r>
    </w:p>
    <w:p w:rsidR="00444C66" w:rsidRDefault="00444C66">
      <w:pPr>
        <w:widowControl w:val="0"/>
        <w:numPr>
          <w:ilvl w:val="12"/>
          <w:numId w:val="0"/>
        </w:numPr>
        <w:tabs>
          <w:tab w:val="left" w:pos="567"/>
        </w:tabs>
        <w:spacing w:after="0" w:line="240" w:lineRule="auto"/>
        <w:ind w:right="-2"/>
        <w:outlineLvl w:val="0"/>
        <w:rPr>
          <w:rFonts w:ascii="Times New Roman" w:hAnsi="Times New Roman"/>
          <w:b/>
        </w:rPr>
      </w:pPr>
      <w:r>
        <w:rPr>
          <w:rFonts w:ascii="Times New Roman" w:hAnsi="Times New Roman"/>
        </w:rPr>
        <w:t>Pasitarkite su gydytoju arba vaistininku, prieš pradėdami vartoti Olimestra.</w:t>
      </w:r>
    </w:p>
    <w:p w:rsidR="00444C66" w:rsidRDefault="00444C66">
      <w:pPr>
        <w:widowControl w:val="0"/>
        <w:tabs>
          <w:tab w:val="left" w:pos="567"/>
        </w:tabs>
        <w:spacing w:after="0" w:line="240" w:lineRule="auto"/>
        <w:rPr>
          <w:rFonts w:ascii="Times New Roman" w:hAnsi="Times New Roman"/>
        </w:rPr>
      </w:pPr>
    </w:p>
    <w:p w:rsidR="00444C66" w:rsidRDefault="00444C66">
      <w:pPr>
        <w:widowControl w:val="0"/>
        <w:tabs>
          <w:tab w:val="left" w:pos="567"/>
        </w:tabs>
        <w:spacing w:after="0" w:line="240" w:lineRule="auto"/>
        <w:rPr>
          <w:rFonts w:ascii="Times New Roman" w:eastAsia="Times New Roman" w:hAnsi="Times New Roman"/>
          <w:lang w:eastAsia="sl-SI"/>
        </w:rPr>
      </w:pPr>
      <w:r>
        <w:rPr>
          <w:rFonts w:ascii="Times New Roman" w:eastAsia="Times New Roman" w:hAnsi="Times New Roman"/>
          <w:b/>
          <w:lang w:eastAsia="sl-SI"/>
        </w:rPr>
        <w:t>Pasitarkite su gydytoju</w:t>
      </w:r>
      <w:r>
        <w:rPr>
          <w:rFonts w:ascii="Times New Roman" w:eastAsia="Times New Roman" w:hAnsi="Times New Roman"/>
          <w:lang w:eastAsia="sl-SI"/>
        </w:rPr>
        <w:t xml:space="preserve"> jeigu vartojate kurį nors iš šių vaistų padidėjusiam kraujospūdžiui gydyti:</w:t>
      </w:r>
    </w:p>
    <w:p w:rsidR="00444C66" w:rsidRDefault="00444C66">
      <w:pPr>
        <w:widowControl w:val="0"/>
        <w:numPr>
          <w:ilvl w:val="0"/>
          <w:numId w:val="44"/>
        </w:numPr>
        <w:spacing w:after="0" w:line="240" w:lineRule="auto"/>
        <w:ind w:left="567" w:hanging="567"/>
        <w:rPr>
          <w:rFonts w:ascii="Times New Roman" w:eastAsia="Times New Roman" w:hAnsi="Times New Roman"/>
          <w:lang w:eastAsia="sl-SI"/>
        </w:rPr>
      </w:pPr>
      <w:r>
        <w:rPr>
          <w:rFonts w:ascii="Times New Roman" w:eastAsia="Times New Roman" w:hAnsi="Times New Roman"/>
          <w:lang w:eastAsia="sl-SI"/>
        </w:rPr>
        <w:t>AKF inhibitorių (pavyzdžiui, enalaprilį, lizinoprilį, ramiprilį), ypač jei turite su diabetu susijusių inkstų sutrikimų;</w:t>
      </w:r>
    </w:p>
    <w:p w:rsidR="00444C66" w:rsidRDefault="00444C66">
      <w:pPr>
        <w:widowControl w:val="0"/>
        <w:numPr>
          <w:ilvl w:val="0"/>
          <w:numId w:val="44"/>
        </w:numPr>
        <w:spacing w:after="0" w:line="240" w:lineRule="auto"/>
        <w:ind w:left="567" w:hanging="567"/>
        <w:rPr>
          <w:rFonts w:ascii="Times New Roman" w:eastAsia="Times New Roman" w:hAnsi="Times New Roman"/>
          <w:lang w:eastAsia="sl-SI"/>
        </w:rPr>
      </w:pPr>
      <w:r>
        <w:rPr>
          <w:rFonts w:ascii="Times New Roman" w:eastAsia="Times New Roman" w:hAnsi="Times New Roman"/>
          <w:lang w:eastAsia="sl-SI"/>
        </w:rPr>
        <w:t>aliskireną.</w:t>
      </w:r>
    </w:p>
    <w:p w:rsidR="00444C66" w:rsidRDefault="00444C66">
      <w:pPr>
        <w:widowControl w:val="0"/>
        <w:tabs>
          <w:tab w:val="left" w:pos="567"/>
        </w:tabs>
        <w:spacing w:after="0" w:line="240" w:lineRule="auto"/>
        <w:rPr>
          <w:rFonts w:ascii="Times New Roman" w:eastAsia="Times New Roman" w:hAnsi="Times New Roman"/>
          <w:lang w:eastAsia="sl-SI"/>
        </w:rPr>
      </w:pPr>
    </w:p>
    <w:p w:rsidR="00444C66" w:rsidRDefault="00444C66">
      <w:pPr>
        <w:widowControl w:val="0"/>
        <w:autoSpaceDE w:val="0"/>
        <w:autoSpaceDN w:val="0"/>
        <w:adjustRightInd w:val="0"/>
        <w:spacing w:after="0" w:line="240" w:lineRule="auto"/>
        <w:rPr>
          <w:rFonts w:ascii="Times New Roman" w:eastAsia="Times New Roman" w:hAnsi="Times New Roman"/>
          <w:iCs/>
          <w:color w:val="000000"/>
        </w:rPr>
      </w:pPr>
      <w:r>
        <w:rPr>
          <w:rFonts w:ascii="Times New Roman" w:eastAsia="Times New Roman" w:hAnsi="Times New Roman"/>
          <w:iCs/>
          <w:color w:val="000000"/>
        </w:rPr>
        <w:t xml:space="preserve">Jūsų gydytojas gali reguliariai ištirti Jūsų inkstų funkciją, kraujospūdį ir elektrolitų (pvz., </w:t>
      </w:r>
      <w:r>
        <w:rPr>
          <w:rFonts w:ascii="Times New Roman" w:hAnsi="Times New Roman"/>
          <w:color w:val="000000"/>
        </w:rPr>
        <w:t>kalio) kiekį kraujyje.</w:t>
      </w:r>
    </w:p>
    <w:p w:rsidR="00444C66" w:rsidRDefault="00444C66">
      <w:pPr>
        <w:widowControl w:val="0"/>
        <w:tabs>
          <w:tab w:val="left" w:pos="0"/>
        </w:tabs>
        <w:spacing w:after="0" w:line="240" w:lineRule="auto"/>
        <w:rPr>
          <w:rFonts w:ascii="Times New Roman" w:hAnsi="Times New Roman"/>
        </w:rPr>
      </w:pPr>
    </w:p>
    <w:p w:rsidR="00444C66" w:rsidRDefault="00444C66">
      <w:pPr>
        <w:widowControl w:val="0"/>
        <w:spacing w:after="0" w:line="240" w:lineRule="auto"/>
        <w:rPr>
          <w:rFonts w:ascii="Times New Roman" w:hAnsi="Times New Roman"/>
          <w:color w:val="000000"/>
        </w:rPr>
      </w:pPr>
      <w:r>
        <w:rPr>
          <w:rFonts w:ascii="Times New Roman" w:hAnsi="Times New Roman"/>
        </w:rPr>
        <w:t>Taip pat informacijos pateikta poskyryje „Olimestra vartoti draudžiama“.</w:t>
      </w:r>
    </w:p>
    <w:p w:rsidR="00444C66" w:rsidRDefault="00444C66">
      <w:pPr>
        <w:widowControl w:val="0"/>
        <w:tabs>
          <w:tab w:val="left" w:pos="567"/>
        </w:tabs>
        <w:spacing w:after="0" w:line="240" w:lineRule="auto"/>
        <w:rPr>
          <w:rFonts w:ascii="Times New Roman" w:eastAsia="Times New Roman" w:hAnsi="Times New Roman"/>
          <w:lang w:eastAsia="sl-SI"/>
        </w:rPr>
      </w:pPr>
    </w:p>
    <w:p w:rsidR="00444C66" w:rsidRDefault="00444C66">
      <w:pPr>
        <w:widowControl w:val="0"/>
        <w:tabs>
          <w:tab w:val="left" w:pos="567"/>
        </w:tabs>
        <w:spacing w:after="0" w:line="240" w:lineRule="auto"/>
        <w:rPr>
          <w:rFonts w:ascii="Times New Roman" w:hAnsi="Times New Roman"/>
        </w:rPr>
      </w:pPr>
      <w:r>
        <w:rPr>
          <w:rFonts w:ascii="Times New Roman" w:hAnsi="Times New Roman"/>
        </w:rPr>
        <w:t>Prieš vartojant tabletes, pasakykite gydytojui, jeigu yra išvardytų sveikatos sutrikimų:</w:t>
      </w:r>
    </w:p>
    <w:p w:rsidR="00444C66" w:rsidRDefault="00444C66">
      <w:pPr>
        <w:widowControl w:val="0"/>
        <w:numPr>
          <w:ilvl w:val="0"/>
          <w:numId w:val="33"/>
        </w:numPr>
        <w:tabs>
          <w:tab w:val="left" w:pos="567"/>
        </w:tabs>
        <w:spacing w:after="0" w:line="240" w:lineRule="auto"/>
        <w:rPr>
          <w:rFonts w:ascii="Times New Roman" w:hAnsi="Times New Roman"/>
        </w:rPr>
      </w:pPr>
      <w:r>
        <w:rPr>
          <w:rFonts w:ascii="Times New Roman" w:hAnsi="Times New Roman"/>
        </w:rPr>
        <w:t>inkstų funkcijos sutrikimų;</w:t>
      </w:r>
    </w:p>
    <w:p w:rsidR="00444C66" w:rsidRDefault="00444C66">
      <w:pPr>
        <w:widowControl w:val="0"/>
        <w:numPr>
          <w:ilvl w:val="0"/>
          <w:numId w:val="33"/>
        </w:numPr>
        <w:tabs>
          <w:tab w:val="left" w:pos="567"/>
        </w:tabs>
        <w:spacing w:after="0" w:line="240" w:lineRule="auto"/>
        <w:rPr>
          <w:rFonts w:ascii="Times New Roman" w:hAnsi="Times New Roman"/>
        </w:rPr>
      </w:pPr>
      <w:r>
        <w:rPr>
          <w:rFonts w:ascii="Times New Roman" w:hAnsi="Times New Roman"/>
        </w:rPr>
        <w:t>kepenų liga;</w:t>
      </w:r>
    </w:p>
    <w:p w:rsidR="00444C66" w:rsidRDefault="00444C66">
      <w:pPr>
        <w:widowControl w:val="0"/>
        <w:numPr>
          <w:ilvl w:val="0"/>
          <w:numId w:val="33"/>
        </w:numPr>
        <w:tabs>
          <w:tab w:val="left" w:pos="567"/>
        </w:tabs>
        <w:spacing w:after="0" w:line="240" w:lineRule="auto"/>
        <w:rPr>
          <w:rFonts w:ascii="Times New Roman" w:hAnsi="Times New Roman"/>
        </w:rPr>
      </w:pPr>
      <w:r>
        <w:rPr>
          <w:rFonts w:ascii="Times New Roman" w:hAnsi="Times New Roman"/>
        </w:rPr>
        <w:t>širdies nepakankamumas, širdies vožtuvų ar širdies raumens sutrikimų;</w:t>
      </w:r>
    </w:p>
    <w:p w:rsidR="00444C66" w:rsidRDefault="00444C66">
      <w:pPr>
        <w:widowControl w:val="0"/>
        <w:numPr>
          <w:ilvl w:val="0"/>
          <w:numId w:val="33"/>
        </w:numPr>
        <w:tabs>
          <w:tab w:val="left" w:pos="567"/>
        </w:tabs>
        <w:spacing w:after="0" w:line="240" w:lineRule="auto"/>
        <w:rPr>
          <w:rFonts w:ascii="Times New Roman" w:hAnsi="Times New Roman"/>
        </w:rPr>
      </w:pPr>
      <w:r>
        <w:rPr>
          <w:rFonts w:ascii="Times New Roman" w:hAnsi="Times New Roman"/>
        </w:rPr>
        <w:t>sunkus vėmimas, viduriavimas, gydymas didelėmis šlapimo išsiskyrimą skatinančių vaistų (diuretikų) dozėmis arba jeigu ribojate druskos suvartojimą su maistu;</w:t>
      </w:r>
    </w:p>
    <w:p w:rsidR="00444C66" w:rsidRDefault="00444C66">
      <w:pPr>
        <w:widowControl w:val="0"/>
        <w:numPr>
          <w:ilvl w:val="0"/>
          <w:numId w:val="33"/>
        </w:numPr>
        <w:tabs>
          <w:tab w:val="left" w:pos="567"/>
        </w:tabs>
        <w:spacing w:after="0" w:line="240" w:lineRule="auto"/>
        <w:rPr>
          <w:rFonts w:ascii="Times New Roman" w:hAnsi="Times New Roman"/>
        </w:rPr>
      </w:pPr>
      <w:r>
        <w:rPr>
          <w:rFonts w:ascii="Times New Roman" w:hAnsi="Times New Roman"/>
        </w:rPr>
        <w:t>kalio koncentracijos kraujyje padidėjimas;</w:t>
      </w:r>
    </w:p>
    <w:p w:rsidR="00444C66" w:rsidRDefault="00444C66">
      <w:pPr>
        <w:widowControl w:val="0"/>
        <w:numPr>
          <w:ilvl w:val="0"/>
          <w:numId w:val="33"/>
        </w:numPr>
        <w:tabs>
          <w:tab w:val="left" w:pos="567"/>
        </w:tabs>
        <w:spacing w:after="0" w:line="240" w:lineRule="auto"/>
        <w:rPr>
          <w:rFonts w:ascii="Times New Roman" w:hAnsi="Times New Roman"/>
        </w:rPr>
      </w:pPr>
      <w:r>
        <w:rPr>
          <w:rFonts w:ascii="Times New Roman" w:hAnsi="Times New Roman"/>
        </w:rPr>
        <w:t>antinksčių sutrikimai.</w:t>
      </w:r>
    </w:p>
    <w:p w:rsidR="00444C66" w:rsidRDefault="00444C66">
      <w:pPr>
        <w:widowControl w:val="0"/>
        <w:spacing w:after="0" w:line="240" w:lineRule="auto"/>
        <w:rPr>
          <w:rFonts w:ascii="Times New Roman" w:eastAsia="Times New Roman" w:hAnsi="Times New Roman"/>
          <w:lang w:eastAsia="sl-SI"/>
        </w:rPr>
      </w:pPr>
    </w:p>
    <w:p w:rsidR="00444C66" w:rsidRDefault="00444C66">
      <w:pPr>
        <w:widowControl w:val="0"/>
        <w:tabs>
          <w:tab w:val="left" w:pos="540"/>
          <w:tab w:val="left" w:pos="2127"/>
          <w:tab w:val="left" w:pos="2977"/>
        </w:tabs>
        <w:spacing w:after="0" w:line="240" w:lineRule="auto"/>
        <w:rPr>
          <w:rFonts w:ascii="Times New Roman" w:eastAsia="Times New Roman" w:hAnsi="Times New Roman"/>
          <w:color w:val="222222"/>
        </w:rPr>
      </w:pPr>
      <w:r>
        <w:rPr>
          <w:rFonts w:ascii="Times New Roman" w:eastAsia="Times New Roman" w:hAnsi="Times New Roman"/>
          <w:color w:val="222222"/>
        </w:rPr>
        <w:t>Kreipkitės į gydytoją</w:t>
      </w:r>
      <w:r>
        <w:rPr>
          <w:rFonts w:ascii="Times New Roman" w:eastAsia="Times New Roman" w:hAnsi="Times New Roman"/>
        </w:rPr>
        <w:t xml:space="preserve">, jei atsiranda </w:t>
      </w:r>
      <w:r>
        <w:rPr>
          <w:rFonts w:ascii="Times New Roman" w:eastAsia="Times New Roman" w:hAnsi="Times New Roman"/>
          <w:color w:val="222222"/>
        </w:rPr>
        <w:t>viduriavimas</w:t>
      </w:r>
      <w:r>
        <w:rPr>
          <w:rFonts w:ascii="Times New Roman" w:eastAsia="Times New Roman" w:hAnsi="Times New Roman"/>
        </w:rPr>
        <w:t xml:space="preserve">, kuris yra </w:t>
      </w:r>
      <w:r>
        <w:rPr>
          <w:rFonts w:ascii="Times New Roman" w:eastAsia="Times New Roman" w:hAnsi="Times New Roman"/>
          <w:color w:val="222222"/>
        </w:rPr>
        <w:t>sunkus, nuolatinis</w:t>
      </w:r>
      <w:r>
        <w:rPr>
          <w:rFonts w:ascii="Times New Roman" w:eastAsia="Times New Roman" w:hAnsi="Times New Roman"/>
        </w:rPr>
        <w:t xml:space="preserve"> </w:t>
      </w:r>
      <w:r>
        <w:rPr>
          <w:rFonts w:ascii="Times New Roman" w:eastAsia="Times New Roman" w:hAnsi="Times New Roman"/>
          <w:color w:val="222222"/>
        </w:rPr>
        <w:t>ir sukelia staigų svorio kritimą.</w:t>
      </w:r>
      <w:r>
        <w:rPr>
          <w:rFonts w:ascii="Times New Roman" w:eastAsia="Times New Roman" w:hAnsi="Times New Roman"/>
        </w:rPr>
        <w:t xml:space="preserve"> </w:t>
      </w:r>
      <w:r>
        <w:rPr>
          <w:rFonts w:ascii="Times New Roman" w:eastAsia="Times New Roman" w:hAnsi="Times New Roman"/>
          <w:color w:val="222222"/>
        </w:rPr>
        <w:t>Jūsų gydytojas gali</w:t>
      </w:r>
      <w:r>
        <w:rPr>
          <w:rFonts w:ascii="Times New Roman" w:eastAsia="Times New Roman" w:hAnsi="Times New Roman"/>
        </w:rPr>
        <w:t xml:space="preserve"> </w:t>
      </w:r>
      <w:r>
        <w:rPr>
          <w:rFonts w:ascii="Times New Roman" w:eastAsia="Times New Roman" w:hAnsi="Times New Roman"/>
          <w:color w:val="222222"/>
        </w:rPr>
        <w:t>įvertinti jūsų</w:t>
      </w:r>
      <w:r>
        <w:rPr>
          <w:rFonts w:ascii="Times New Roman" w:eastAsia="Times New Roman" w:hAnsi="Times New Roman"/>
        </w:rPr>
        <w:t xml:space="preserve"> </w:t>
      </w:r>
      <w:r>
        <w:rPr>
          <w:rFonts w:ascii="Times New Roman" w:eastAsia="Times New Roman" w:hAnsi="Times New Roman"/>
          <w:color w:val="222222"/>
        </w:rPr>
        <w:t>simptomus</w:t>
      </w:r>
      <w:r>
        <w:rPr>
          <w:rFonts w:ascii="Times New Roman" w:eastAsia="Times New Roman" w:hAnsi="Times New Roman"/>
        </w:rPr>
        <w:t xml:space="preserve"> </w:t>
      </w:r>
      <w:r>
        <w:rPr>
          <w:rFonts w:ascii="Times New Roman" w:eastAsia="Times New Roman" w:hAnsi="Times New Roman"/>
          <w:color w:val="222222"/>
        </w:rPr>
        <w:t>ir</w:t>
      </w:r>
      <w:r>
        <w:rPr>
          <w:rFonts w:ascii="Times New Roman" w:eastAsia="Times New Roman" w:hAnsi="Times New Roman"/>
        </w:rPr>
        <w:t xml:space="preserve"> </w:t>
      </w:r>
      <w:r>
        <w:rPr>
          <w:rFonts w:ascii="Times New Roman" w:eastAsia="Times New Roman" w:hAnsi="Times New Roman"/>
          <w:color w:val="222222"/>
        </w:rPr>
        <w:t>nuspręsti, kaip</w:t>
      </w:r>
      <w:r>
        <w:rPr>
          <w:rFonts w:ascii="Times New Roman" w:eastAsia="Times New Roman" w:hAnsi="Times New Roman"/>
        </w:rPr>
        <w:t xml:space="preserve"> </w:t>
      </w:r>
      <w:r>
        <w:rPr>
          <w:rFonts w:ascii="Times New Roman" w:eastAsia="Times New Roman" w:hAnsi="Times New Roman"/>
          <w:color w:val="222222"/>
        </w:rPr>
        <w:t>tęsti kraujospūdį</w:t>
      </w:r>
      <w:r>
        <w:rPr>
          <w:rFonts w:ascii="Times New Roman" w:eastAsia="Times New Roman" w:hAnsi="Times New Roman"/>
        </w:rPr>
        <w:t xml:space="preserve"> mažinančio </w:t>
      </w:r>
      <w:r>
        <w:rPr>
          <w:rFonts w:ascii="Times New Roman" w:eastAsia="Times New Roman" w:hAnsi="Times New Roman"/>
          <w:color w:val="222222"/>
        </w:rPr>
        <w:t>vaisto vartojimą.</w:t>
      </w:r>
    </w:p>
    <w:p w:rsidR="00444C66" w:rsidRDefault="00444C66">
      <w:pPr>
        <w:widowControl w:val="0"/>
        <w:spacing w:after="0" w:line="240" w:lineRule="auto"/>
        <w:rPr>
          <w:rFonts w:ascii="Times New Roman" w:hAnsi="Times New Roman"/>
        </w:rPr>
      </w:pPr>
    </w:p>
    <w:p w:rsidR="00444C66" w:rsidRPr="004F5963" w:rsidRDefault="00444C66">
      <w:pPr>
        <w:widowControl w:val="0"/>
        <w:spacing w:after="0" w:line="240" w:lineRule="auto"/>
        <w:rPr>
          <w:rFonts w:ascii="Times New Roman" w:hAnsi="Times New Roman"/>
        </w:rPr>
      </w:pPr>
      <w:r w:rsidRPr="004F5963">
        <w:rPr>
          <w:rFonts w:ascii="Times New Roman" w:hAnsi="Times New Roman"/>
        </w:rPr>
        <w:t xml:space="preserve">Pasitarkite su gydytoju, jei pavartojus </w:t>
      </w:r>
      <w:r>
        <w:rPr>
          <w:rFonts w:ascii="Times New Roman" w:hAnsi="Times New Roman"/>
        </w:rPr>
        <w:t>Olimestra</w:t>
      </w:r>
      <w:r w:rsidRPr="004F5963">
        <w:rPr>
          <w:rFonts w:ascii="Times New Roman" w:hAnsi="Times New Roman"/>
        </w:rPr>
        <w:t xml:space="preserve"> jaučiate pilvo skausmą, pykinimą, vėmimą arba viduriavimą. Dėl tolesnio gydymo nuspręs Jūsų gydytojas. Nenustokite vartoti</w:t>
      </w:r>
      <w:r>
        <w:rPr>
          <w:rFonts w:ascii="Times New Roman" w:hAnsi="Times New Roman"/>
        </w:rPr>
        <w:t xml:space="preserve"> Olimestra</w:t>
      </w:r>
      <w:r w:rsidRPr="004F5963">
        <w:rPr>
          <w:rFonts w:ascii="Times New Roman" w:hAnsi="Times New Roman"/>
        </w:rPr>
        <w:t xml:space="preserve"> pats.</w:t>
      </w:r>
    </w:p>
    <w:p w:rsidR="00444C66" w:rsidRDefault="00444C66">
      <w:pPr>
        <w:widowControl w:val="0"/>
        <w:spacing w:after="0" w:line="240" w:lineRule="auto"/>
        <w:rPr>
          <w:rFonts w:ascii="Times New Roman" w:hAnsi="Times New Roman"/>
        </w:rPr>
      </w:pPr>
    </w:p>
    <w:p w:rsidR="00444C66" w:rsidRDefault="00444C66">
      <w:pPr>
        <w:widowControl w:val="0"/>
        <w:tabs>
          <w:tab w:val="left" w:pos="567"/>
        </w:tabs>
        <w:spacing w:after="0" w:line="240" w:lineRule="auto"/>
        <w:rPr>
          <w:rFonts w:ascii="Times New Roman" w:hAnsi="Times New Roman"/>
        </w:rPr>
      </w:pPr>
      <w:r>
        <w:rPr>
          <w:rFonts w:ascii="Times New Roman" w:hAnsi="Times New Roman"/>
        </w:rPr>
        <w:t>Kaip ir vartojant kitokius vaistus, kurie mažina kraujospūdį, pacientus, kurių širdies ar smegenų kraujotaka yra sutrikusi, dėl pernelyg sumažėjusio kraujospūdžio gali ištikti širdies priepuolis ar insultas. Todėl gydytojas atidžiai stebės kraujospūdį.</w:t>
      </w:r>
    </w:p>
    <w:p w:rsidR="00444C66" w:rsidRDefault="00444C66">
      <w:pPr>
        <w:widowControl w:val="0"/>
        <w:tabs>
          <w:tab w:val="left" w:pos="567"/>
        </w:tabs>
        <w:spacing w:after="0" w:line="240" w:lineRule="auto"/>
        <w:rPr>
          <w:rFonts w:ascii="Times New Roman" w:hAnsi="Times New Roman"/>
        </w:rPr>
      </w:pPr>
    </w:p>
    <w:p w:rsidR="00444C66" w:rsidRDefault="00444C66">
      <w:pPr>
        <w:widowControl w:val="0"/>
        <w:autoSpaceDE w:val="0"/>
        <w:autoSpaceDN w:val="0"/>
        <w:adjustRightInd w:val="0"/>
        <w:spacing w:after="0" w:line="240" w:lineRule="auto"/>
        <w:rPr>
          <w:rFonts w:ascii="Times New Roman" w:hAnsi="Times New Roman"/>
        </w:rPr>
      </w:pPr>
      <w:r>
        <w:rPr>
          <w:rFonts w:ascii="Times New Roman" w:hAnsi="Times New Roman"/>
        </w:rPr>
        <w:t>Jeigu galvojate, kad galite būti nėščia (</w:t>
      </w:r>
      <w:r>
        <w:rPr>
          <w:rFonts w:ascii="Times New Roman" w:hAnsi="Times New Roman"/>
          <w:u w:val="single"/>
        </w:rPr>
        <w:t>arba galite pastoti</w:t>
      </w:r>
      <w:r>
        <w:rPr>
          <w:rFonts w:ascii="Times New Roman" w:hAnsi="Times New Roman"/>
        </w:rPr>
        <w:t>), pasakykite gydytojui. Olimestra nerekomenduojama nėštumo pradžioje ir negalima vartoti, jeigu yra daugiau kaip 3 nėštumo mėnesiai, nes šiuo laikotarpiu vartojamas vaistas gali sukelti sunkią vaisiaus pažaidą (žr. skyrelyje apie nėštumą).</w:t>
      </w:r>
    </w:p>
    <w:p w:rsidR="00444C66" w:rsidRDefault="00444C66">
      <w:pPr>
        <w:widowControl w:val="0"/>
        <w:tabs>
          <w:tab w:val="left" w:pos="567"/>
        </w:tabs>
        <w:spacing w:after="0" w:line="240" w:lineRule="auto"/>
        <w:rPr>
          <w:rFonts w:ascii="Times New Roman" w:hAnsi="Times New Roman"/>
        </w:rPr>
      </w:pPr>
    </w:p>
    <w:p w:rsidR="00444C66" w:rsidRDefault="00444C66">
      <w:pPr>
        <w:widowControl w:val="0"/>
        <w:tabs>
          <w:tab w:val="left" w:pos="567"/>
        </w:tabs>
        <w:spacing w:after="0" w:line="240" w:lineRule="auto"/>
        <w:rPr>
          <w:rFonts w:ascii="Times New Roman" w:hAnsi="Times New Roman"/>
          <w:b/>
        </w:rPr>
      </w:pPr>
      <w:bookmarkStart w:id="19" w:name="section"/>
      <w:bookmarkEnd w:id="19"/>
      <w:r>
        <w:rPr>
          <w:rFonts w:ascii="Times New Roman" w:hAnsi="Times New Roman"/>
          <w:b/>
        </w:rPr>
        <w:t>Vaikams ir paaugliams</w:t>
      </w:r>
    </w:p>
    <w:p w:rsidR="00444C66" w:rsidRDefault="00444C66">
      <w:pPr>
        <w:widowControl w:val="0"/>
        <w:tabs>
          <w:tab w:val="left" w:pos="567"/>
        </w:tabs>
        <w:spacing w:after="0" w:line="240" w:lineRule="auto"/>
        <w:rPr>
          <w:rFonts w:ascii="Times New Roman" w:hAnsi="Times New Roman"/>
        </w:rPr>
      </w:pPr>
      <w:r>
        <w:rPr>
          <w:rFonts w:ascii="Times New Roman" w:hAnsi="Times New Roman"/>
        </w:rPr>
        <w:t>Olimestra buvo tirtas vaikams ir paaugliams. Dėl daugiau informacijos, kreipkitės į savo gydytoją.</w:t>
      </w:r>
    </w:p>
    <w:p w:rsidR="00444C66" w:rsidRDefault="00444C66">
      <w:pPr>
        <w:widowControl w:val="0"/>
        <w:tabs>
          <w:tab w:val="left" w:pos="567"/>
        </w:tabs>
        <w:spacing w:after="0" w:line="240" w:lineRule="auto"/>
        <w:rPr>
          <w:rFonts w:ascii="Times New Roman" w:hAnsi="Times New Roman"/>
        </w:rPr>
      </w:pPr>
      <w:r>
        <w:rPr>
          <w:rFonts w:ascii="Times New Roman" w:hAnsi="Times New Roman"/>
        </w:rPr>
        <w:t>Olimestra vaikams nuo 1 iki 6 metų ir jaunesniems kaip 1 metų vaikams vartoti nerekomenduojama, kadangi nėra vartojimo patirties.</w:t>
      </w:r>
    </w:p>
    <w:p w:rsidR="00444C66" w:rsidRDefault="00444C66">
      <w:pPr>
        <w:widowControl w:val="0"/>
        <w:numPr>
          <w:ilvl w:val="12"/>
          <w:numId w:val="0"/>
        </w:numPr>
        <w:tabs>
          <w:tab w:val="left" w:pos="567"/>
        </w:tabs>
        <w:spacing w:after="0" w:line="240" w:lineRule="auto"/>
        <w:rPr>
          <w:rFonts w:ascii="Times New Roman" w:hAnsi="Times New Roman"/>
        </w:rPr>
      </w:pPr>
    </w:p>
    <w:p w:rsidR="00444C66" w:rsidRDefault="00444C66">
      <w:pPr>
        <w:widowControl w:val="0"/>
        <w:numPr>
          <w:ilvl w:val="12"/>
          <w:numId w:val="0"/>
        </w:numPr>
        <w:tabs>
          <w:tab w:val="left" w:pos="567"/>
        </w:tabs>
        <w:spacing w:after="0" w:line="240" w:lineRule="auto"/>
        <w:ind w:right="-2"/>
        <w:rPr>
          <w:rFonts w:ascii="Times New Roman" w:hAnsi="Times New Roman"/>
          <w:b/>
        </w:rPr>
      </w:pPr>
      <w:r>
        <w:rPr>
          <w:rFonts w:ascii="Times New Roman" w:hAnsi="Times New Roman"/>
          <w:b/>
        </w:rPr>
        <w:t>Kiti vaistai ir</w:t>
      </w:r>
      <w:r>
        <w:rPr>
          <w:rFonts w:ascii="Times New Roman" w:hAnsi="Times New Roman"/>
        </w:rPr>
        <w:t xml:space="preserve"> </w:t>
      </w:r>
      <w:r>
        <w:rPr>
          <w:rFonts w:ascii="Times New Roman" w:hAnsi="Times New Roman"/>
          <w:b/>
        </w:rPr>
        <w:t>Olimestra</w:t>
      </w:r>
    </w:p>
    <w:p w:rsidR="00444C66" w:rsidRDefault="00444C66">
      <w:pPr>
        <w:widowControl w:val="0"/>
        <w:tabs>
          <w:tab w:val="left" w:pos="567"/>
        </w:tabs>
        <w:spacing w:after="0" w:line="240" w:lineRule="auto"/>
        <w:rPr>
          <w:rFonts w:ascii="Times New Roman" w:hAnsi="Times New Roman"/>
        </w:rPr>
      </w:pPr>
      <w:r>
        <w:rPr>
          <w:rFonts w:ascii="Times New Roman" w:hAnsi="Times New Roman"/>
        </w:rPr>
        <w:t>Jeigu vartojate arba neseniai vartojote kitų vaistų arba dėl to nesate tikri, apie tai pasakykite gydytojui arba vaistininkui. Pasakykite gydytojui arba vaistininkui, jeigu vartojate:</w:t>
      </w:r>
    </w:p>
    <w:p w:rsidR="00444C66" w:rsidRDefault="00444C66">
      <w:pPr>
        <w:pStyle w:val="BT-EMEASMCA"/>
        <w:widowControl w:val="0"/>
        <w:numPr>
          <w:ilvl w:val="0"/>
          <w:numId w:val="34"/>
        </w:numPr>
        <w:rPr>
          <w:szCs w:val="22"/>
        </w:rPr>
      </w:pPr>
      <w:r>
        <w:rPr>
          <w:szCs w:val="22"/>
        </w:rPr>
        <w:t>kitų kraujospūdį mažinančių vaistų, nes tuomet gali sustiprėti Olimestra poveikis ir gali padidėti šalutinio poveikio dažnis. Jūsų gydytojui gali tekti pakeisti Jūsų dozę ir (arba) imtis kitų atsargumo priemonių: jeigu vartojate AKF inhibitorių arba aliskireną (taip pat žiūrėkite informaciją, pateiktą poskyriuose „Olimestra vartoti draudžiama“ ir „Įspėjimai ir atsargumo priemonės“);</w:t>
      </w:r>
    </w:p>
    <w:p w:rsidR="00444C66" w:rsidRDefault="00444C66">
      <w:pPr>
        <w:widowControl w:val="0"/>
        <w:numPr>
          <w:ilvl w:val="0"/>
          <w:numId w:val="34"/>
        </w:numPr>
        <w:tabs>
          <w:tab w:val="left" w:pos="567"/>
        </w:tabs>
        <w:spacing w:after="0" w:line="240" w:lineRule="auto"/>
        <w:rPr>
          <w:rFonts w:ascii="Times New Roman" w:hAnsi="Times New Roman"/>
        </w:rPr>
      </w:pPr>
      <w:r>
        <w:rPr>
          <w:rFonts w:ascii="Times New Roman" w:hAnsi="Times New Roman"/>
        </w:rPr>
        <w:t>kalio papildų, druskos pakaitalų, kurių sudėtyje yra kalio, šlapimo išsiskyrimą skatinančių vaistų (diuretikų) ar hepariną (mažina kraujo krešėjimą). Šiuos vaistus vartojant kartu su Olimestra, gali padidėti kalio koncentracija kraujyje;</w:t>
      </w:r>
    </w:p>
    <w:p w:rsidR="00444C66" w:rsidRDefault="00444C66">
      <w:pPr>
        <w:widowControl w:val="0"/>
        <w:numPr>
          <w:ilvl w:val="0"/>
          <w:numId w:val="34"/>
        </w:numPr>
        <w:tabs>
          <w:tab w:val="left" w:pos="567"/>
        </w:tabs>
        <w:spacing w:after="0" w:line="240" w:lineRule="auto"/>
        <w:rPr>
          <w:rFonts w:ascii="Times New Roman" w:hAnsi="Times New Roman"/>
        </w:rPr>
      </w:pPr>
      <w:r>
        <w:rPr>
          <w:rFonts w:ascii="Times New Roman" w:hAnsi="Times New Roman"/>
        </w:rPr>
        <w:t xml:space="preserve">kartu su Olimestra vartojant litį (vaistas, kuriuo gydoma nuotaikų kaita ir tam tikros rūšies </w:t>
      </w:r>
      <w:r>
        <w:rPr>
          <w:rFonts w:ascii="Times New Roman" w:hAnsi="Times New Roman"/>
        </w:rPr>
        <w:lastRenderedPageBreak/>
        <w:t>depresija), gali padidėti ličio toksinis poveikis. Jeigu vartojate litį, gydytojas matuos ličio koncentraciją kraujyje;</w:t>
      </w:r>
    </w:p>
    <w:p w:rsidR="00444C66" w:rsidRDefault="00444C66">
      <w:pPr>
        <w:widowControl w:val="0"/>
        <w:numPr>
          <w:ilvl w:val="0"/>
          <w:numId w:val="34"/>
        </w:numPr>
        <w:tabs>
          <w:tab w:val="left" w:pos="567"/>
        </w:tabs>
        <w:spacing w:after="0" w:line="240" w:lineRule="auto"/>
        <w:rPr>
          <w:rFonts w:ascii="Times New Roman" w:hAnsi="Times New Roman"/>
        </w:rPr>
      </w:pPr>
      <w:r>
        <w:rPr>
          <w:rFonts w:ascii="Times New Roman" w:hAnsi="Times New Roman"/>
        </w:rPr>
        <w:t>kartu su Olimestra vartojant nesteroidinius vaistus nuo uždegimo (NVNU) (vaistai, kuriais malšinamas skausmas, patinimas ar kiti uždegimo simptomai, įskaitant artritą), gali padidėti inkstų funkcijos nepakankamumo rizika ir NVNU gali silpninti Olimestra poveikį;</w:t>
      </w:r>
    </w:p>
    <w:p w:rsidR="00444C66" w:rsidRDefault="00444C66">
      <w:pPr>
        <w:pStyle w:val="BT-EMEASMCA"/>
        <w:widowControl w:val="0"/>
        <w:numPr>
          <w:ilvl w:val="0"/>
          <w:numId w:val="34"/>
        </w:numPr>
        <w:rPr>
          <w:szCs w:val="22"/>
        </w:rPr>
      </w:pPr>
      <w:r>
        <w:rPr>
          <w:szCs w:val="22"/>
        </w:rPr>
        <w:t>kolesevelamo hidrochlorido (vaisto, kuris mažina cholesterolio koncentraciją Jūsų kraujyje), nes Olimestra poveikis gali būti silpnesnis. Jūsų gydytojas Jums patars vartoti Olimestra bent 4 val. prieš geriant kolesevelamo hidrochlorido;</w:t>
      </w:r>
    </w:p>
    <w:p w:rsidR="00444C66" w:rsidRDefault="00444C66">
      <w:pPr>
        <w:widowControl w:val="0"/>
        <w:numPr>
          <w:ilvl w:val="0"/>
          <w:numId w:val="34"/>
        </w:numPr>
        <w:tabs>
          <w:tab w:val="left" w:pos="567"/>
        </w:tabs>
        <w:spacing w:after="0" w:line="240" w:lineRule="auto"/>
        <w:rPr>
          <w:rFonts w:ascii="Times New Roman" w:hAnsi="Times New Roman"/>
        </w:rPr>
      </w:pPr>
      <w:r>
        <w:rPr>
          <w:rFonts w:ascii="Times New Roman" w:hAnsi="Times New Roman"/>
        </w:rPr>
        <w:t>kai kurių antacidinių vaistų (vaistai nuo padidėjusio skrandžio rūgštingumo), nes gali šiek tiek susilpnėti Olimestra poveikis.</w:t>
      </w:r>
    </w:p>
    <w:p w:rsidR="00444C66" w:rsidRDefault="00444C66">
      <w:pPr>
        <w:widowControl w:val="0"/>
        <w:tabs>
          <w:tab w:val="left" w:pos="567"/>
        </w:tabs>
        <w:spacing w:after="0" w:line="240" w:lineRule="auto"/>
        <w:rPr>
          <w:rFonts w:ascii="Times New Roman" w:hAnsi="Times New Roman"/>
        </w:rPr>
      </w:pPr>
    </w:p>
    <w:p w:rsidR="00444C66" w:rsidRDefault="00444C66">
      <w:pPr>
        <w:widowControl w:val="0"/>
        <w:tabs>
          <w:tab w:val="left" w:pos="567"/>
        </w:tabs>
        <w:spacing w:after="0" w:line="240" w:lineRule="auto"/>
        <w:rPr>
          <w:rFonts w:ascii="Times New Roman" w:hAnsi="Times New Roman"/>
          <w:b/>
        </w:rPr>
      </w:pPr>
      <w:r>
        <w:rPr>
          <w:rFonts w:ascii="Times New Roman" w:hAnsi="Times New Roman"/>
          <w:b/>
        </w:rPr>
        <w:t>Senyvi pacientai</w:t>
      </w:r>
    </w:p>
    <w:p w:rsidR="00444C66" w:rsidRDefault="00444C66">
      <w:pPr>
        <w:widowControl w:val="0"/>
        <w:tabs>
          <w:tab w:val="left" w:pos="540"/>
          <w:tab w:val="left" w:pos="2127"/>
          <w:tab w:val="left" w:pos="2977"/>
        </w:tabs>
        <w:spacing w:after="0" w:line="240" w:lineRule="auto"/>
        <w:rPr>
          <w:rFonts w:ascii="Times New Roman" w:hAnsi="Times New Roman"/>
        </w:rPr>
      </w:pPr>
      <w:r>
        <w:rPr>
          <w:rFonts w:ascii="Times New Roman" w:hAnsi="Times New Roman"/>
        </w:rPr>
        <w:t>Jei Jūs esate vyresnis kaip 65 metų ir Jūsų gydytojas nusprendė padidinti olmesartano medoksomilio paros dozę iki 40 mg, gydytojas būtinai turi reguliariai tikrinti Jūsų kraujospūdį, kad patikrintų, jog jis netapo per mažas.</w:t>
      </w:r>
    </w:p>
    <w:p w:rsidR="00444C66" w:rsidRDefault="00444C66">
      <w:pPr>
        <w:widowControl w:val="0"/>
        <w:tabs>
          <w:tab w:val="left" w:pos="540"/>
          <w:tab w:val="left" w:pos="2127"/>
          <w:tab w:val="left" w:pos="2977"/>
        </w:tabs>
        <w:spacing w:after="0" w:line="240" w:lineRule="auto"/>
        <w:rPr>
          <w:rFonts w:ascii="Times New Roman" w:hAnsi="Times New Roman"/>
        </w:rPr>
      </w:pPr>
    </w:p>
    <w:p w:rsidR="00444C66" w:rsidRDefault="00444C66">
      <w:pPr>
        <w:widowControl w:val="0"/>
        <w:tabs>
          <w:tab w:val="left" w:pos="567"/>
        </w:tabs>
        <w:spacing w:after="0" w:line="240" w:lineRule="auto"/>
        <w:rPr>
          <w:rFonts w:ascii="Times New Roman" w:hAnsi="Times New Roman"/>
          <w:b/>
        </w:rPr>
      </w:pPr>
      <w:r>
        <w:rPr>
          <w:rFonts w:ascii="Times New Roman" w:hAnsi="Times New Roman"/>
          <w:b/>
        </w:rPr>
        <w:t>Juodaodžiai pacientai</w:t>
      </w:r>
    </w:p>
    <w:p w:rsidR="00444C66" w:rsidRDefault="00444C66">
      <w:pPr>
        <w:widowControl w:val="0"/>
        <w:tabs>
          <w:tab w:val="left" w:pos="540"/>
          <w:tab w:val="left" w:pos="2127"/>
          <w:tab w:val="left" w:pos="2977"/>
        </w:tabs>
        <w:spacing w:after="0" w:line="240" w:lineRule="auto"/>
        <w:rPr>
          <w:rFonts w:ascii="Times New Roman" w:hAnsi="Times New Roman"/>
        </w:rPr>
      </w:pPr>
      <w:r>
        <w:rPr>
          <w:rFonts w:ascii="Times New Roman" w:hAnsi="Times New Roman"/>
        </w:rPr>
        <w:t>Kaip ir vartojant kitus panašius vaistus, Olimestra kraujospūdį mažinantis poveikis juodaodžiams yra šiek tiek silpnesnis.</w:t>
      </w:r>
    </w:p>
    <w:p w:rsidR="00444C66" w:rsidRDefault="00444C66">
      <w:pPr>
        <w:widowControl w:val="0"/>
        <w:numPr>
          <w:ilvl w:val="12"/>
          <w:numId w:val="0"/>
        </w:numPr>
        <w:tabs>
          <w:tab w:val="left" w:pos="567"/>
        </w:tabs>
        <w:spacing w:after="0" w:line="240" w:lineRule="auto"/>
        <w:ind w:right="-2"/>
        <w:rPr>
          <w:rFonts w:ascii="Times New Roman" w:hAnsi="Times New Roman"/>
        </w:rPr>
      </w:pPr>
    </w:p>
    <w:p w:rsidR="00444C66" w:rsidRDefault="00444C66">
      <w:pPr>
        <w:widowControl w:val="0"/>
        <w:numPr>
          <w:ilvl w:val="12"/>
          <w:numId w:val="0"/>
        </w:numPr>
        <w:tabs>
          <w:tab w:val="left" w:pos="567"/>
        </w:tabs>
        <w:spacing w:after="0" w:line="240" w:lineRule="auto"/>
        <w:ind w:right="-2"/>
        <w:rPr>
          <w:rFonts w:ascii="Times New Roman" w:hAnsi="Times New Roman"/>
          <w:b/>
        </w:rPr>
      </w:pPr>
      <w:r>
        <w:rPr>
          <w:rFonts w:ascii="Times New Roman" w:hAnsi="Times New Roman"/>
          <w:b/>
        </w:rPr>
        <w:t>Olimestra vartojimas su maistu ir gėrimais</w:t>
      </w:r>
    </w:p>
    <w:p w:rsidR="00444C66" w:rsidRDefault="00444C66">
      <w:pPr>
        <w:widowControl w:val="0"/>
        <w:tabs>
          <w:tab w:val="left" w:pos="567"/>
        </w:tabs>
        <w:spacing w:after="0" w:line="240" w:lineRule="auto"/>
        <w:rPr>
          <w:rFonts w:ascii="Times New Roman" w:hAnsi="Times New Roman"/>
        </w:rPr>
      </w:pPr>
      <w:r>
        <w:rPr>
          <w:rFonts w:ascii="Times New Roman" w:hAnsi="Times New Roman"/>
        </w:rPr>
        <w:t>Olimestra galima vartoti valgant arba be maisto. Nurykite tabletes užgerdami nedideliu kiekiu vandens. Jeigu įmanoma, išgerkite paros dozę kasdien tuo pačiu laiku, pavyzdžiui, per pusryčius.</w:t>
      </w:r>
    </w:p>
    <w:p w:rsidR="00444C66" w:rsidRDefault="00444C66">
      <w:pPr>
        <w:widowControl w:val="0"/>
        <w:numPr>
          <w:ilvl w:val="12"/>
          <w:numId w:val="0"/>
        </w:numPr>
        <w:tabs>
          <w:tab w:val="left" w:pos="567"/>
        </w:tabs>
        <w:spacing w:after="0" w:line="240" w:lineRule="auto"/>
        <w:ind w:right="-2"/>
        <w:rPr>
          <w:rFonts w:ascii="Times New Roman" w:hAnsi="Times New Roman"/>
        </w:rPr>
      </w:pPr>
    </w:p>
    <w:p w:rsidR="00444C66" w:rsidRDefault="00444C66">
      <w:pPr>
        <w:widowControl w:val="0"/>
        <w:spacing w:after="0" w:line="240" w:lineRule="auto"/>
        <w:ind w:left="567" w:hanging="567"/>
        <w:rPr>
          <w:rFonts w:ascii="Times New Roman" w:hAnsi="Times New Roman"/>
          <w:b/>
        </w:rPr>
      </w:pPr>
      <w:r>
        <w:rPr>
          <w:rFonts w:ascii="Times New Roman" w:hAnsi="Times New Roman"/>
          <w:b/>
        </w:rPr>
        <w:t>Nėštumas ir žindymo laikotarpis</w:t>
      </w:r>
    </w:p>
    <w:p w:rsidR="00444C66" w:rsidRDefault="00444C66">
      <w:pPr>
        <w:widowControl w:val="0"/>
        <w:spacing w:after="0" w:line="240" w:lineRule="auto"/>
        <w:rPr>
          <w:rFonts w:ascii="Times New Roman" w:hAnsi="Times New Roman"/>
        </w:rPr>
      </w:pPr>
      <w:r>
        <w:rPr>
          <w:rFonts w:ascii="Times New Roman" w:hAnsi="Times New Roman"/>
        </w:rPr>
        <w:t>Jeigu esate nėščia, žindote kūdikį, manote, kad galbūt esate nėščia arba planuojate pastoti, tai prieš vartodama šį vaistą pasitarkite su gydytoju arba vaistininku.</w:t>
      </w:r>
    </w:p>
    <w:p w:rsidR="00444C66" w:rsidRDefault="00444C66">
      <w:pPr>
        <w:widowControl w:val="0"/>
        <w:spacing w:after="0" w:line="240" w:lineRule="auto"/>
        <w:ind w:left="567" w:hanging="567"/>
        <w:rPr>
          <w:rFonts w:ascii="Times New Roman" w:hAnsi="Times New Roman"/>
        </w:rPr>
      </w:pPr>
    </w:p>
    <w:p w:rsidR="00444C66" w:rsidRDefault="00444C66">
      <w:pPr>
        <w:widowControl w:val="0"/>
        <w:numPr>
          <w:ilvl w:val="12"/>
          <w:numId w:val="0"/>
        </w:numPr>
        <w:tabs>
          <w:tab w:val="left" w:pos="567"/>
        </w:tabs>
        <w:spacing w:after="0" w:line="240" w:lineRule="auto"/>
        <w:rPr>
          <w:rFonts w:ascii="Times New Roman" w:hAnsi="Times New Roman"/>
        </w:rPr>
      </w:pPr>
      <w:r>
        <w:rPr>
          <w:rFonts w:ascii="Times New Roman" w:hAnsi="Times New Roman"/>
          <w:i/>
        </w:rPr>
        <w:t>Nėštumas</w:t>
      </w:r>
    </w:p>
    <w:p w:rsidR="00444C66" w:rsidRDefault="00444C66">
      <w:pPr>
        <w:widowControl w:val="0"/>
        <w:autoSpaceDE w:val="0"/>
        <w:autoSpaceDN w:val="0"/>
        <w:adjustRightInd w:val="0"/>
        <w:spacing w:after="0" w:line="240" w:lineRule="auto"/>
        <w:rPr>
          <w:rFonts w:ascii="Times New Roman" w:hAnsi="Times New Roman"/>
        </w:rPr>
      </w:pPr>
      <w:r>
        <w:rPr>
          <w:rFonts w:ascii="Times New Roman" w:hAnsi="Times New Roman"/>
        </w:rPr>
        <w:t>Jeigu galvojate, kad galite būti nėščia (</w:t>
      </w:r>
      <w:r>
        <w:rPr>
          <w:rFonts w:ascii="Times New Roman" w:hAnsi="Times New Roman"/>
          <w:u w:val="single"/>
        </w:rPr>
        <w:t>arba galite pastoti</w:t>
      </w:r>
      <w:r>
        <w:rPr>
          <w:rFonts w:ascii="Times New Roman" w:hAnsi="Times New Roman"/>
        </w:rPr>
        <w:t>), pasakykite gydytojui. Gydytojas dažniausiai rekomenduos nutraukti Olimestra vartojimą prieš pastojant arba iš karto diagnozavus nėštumą ir rekomenduos vietoj Olimestra vartoti kitokių vaistų. Olimestra nerekomenduojam vartoti nėštumo pradžioje ir negalima vartoti, jeigu yra daugiau kaip 3 nėštumo mėnesiai, nes vaistas gali sukelti sunkią vaisiaus pažaidą.</w:t>
      </w:r>
    </w:p>
    <w:p w:rsidR="00444C66" w:rsidRDefault="00444C66">
      <w:pPr>
        <w:widowControl w:val="0"/>
        <w:tabs>
          <w:tab w:val="left" w:pos="567"/>
        </w:tabs>
        <w:spacing w:after="0" w:line="240" w:lineRule="auto"/>
        <w:rPr>
          <w:rFonts w:ascii="Times New Roman" w:hAnsi="Times New Roman"/>
        </w:rPr>
      </w:pPr>
    </w:p>
    <w:p w:rsidR="00444C66" w:rsidRDefault="00444C66">
      <w:pPr>
        <w:widowControl w:val="0"/>
        <w:tabs>
          <w:tab w:val="left" w:pos="567"/>
        </w:tabs>
        <w:spacing w:after="0" w:line="240" w:lineRule="auto"/>
        <w:rPr>
          <w:rFonts w:ascii="Times New Roman" w:hAnsi="Times New Roman"/>
          <w:i/>
        </w:rPr>
      </w:pPr>
      <w:r>
        <w:rPr>
          <w:rFonts w:ascii="Times New Roman" w:hAnsi="Times New Roman"/>
          <w:i/>
        </w:rPr>
        <w:t>Žindymas</w:t>
      </w:r>
    </w:p>
    <w:p w:rsidR="00444C66" w:rsidRDefault="00444C66">
      <w:pPr>
        <w:widowControl w:val="0"/>
        <w:autoSpaceDE w:val="0"/>
        <w:autoSpaceDN w:val="0"/>
        <w:adjustRightInd w:val="0"/>
        <w:spacing w:after="0" w:line="240" w:lineRule="auto"/>
        <w:rPr>
          <w:rFonts w:ascii="Times New Roman" w:hAnsi="Times New Roman"/>
        </w:rPr>
      </w:pPr>
      <w:r>
        <w:rPr>
          <w:rFonts w:ascii="Times New Roman" w:hAnsi="Times New Roman"/>
        </w:rPr>
        <w:t>Jeigu žindote arba ketinate pradėti žindyti kūdikį, pasakykite gydytojui. Žindyvėms Olimestra vartoti nerekomenduojama. Jeigu norite žindyti, gydytojas gali skirti kitokį gydymą, ypač jeigu žindomas naujagimis arba prieš laiką gimęs kūdikis.</w:t>
      </w:r>
    </w:p>
    <w:p w:rsidR="00444C66" w:rsidRDefault="00444C66">
      <w:pPr>
        <w:widowControl w:val="0"/>
        <w:tabs>
          <w:tab w:val="left" w:pos="567"/>
        </w:tabs>
        <w:spacing w:after="0" w:line="240" w:lineRule="auto"/>
        <w:rPr>
          <w:rFonts w:ascii="Times New Roman" w:hAnsi="Times New Roman"/>
        </w:rPr>
      </w:pPr>
    </w:p>
    <w:p w:rsidR="00444C66" w:rsidRDefault="00444C66">
      <w:pPr>
        <w:widowControl w:val="0"/>
        <w:numPr>
          <w:ilvl w:val="12"/>
          <w:numId w:val="0"/>
        </w:numPr>
        <w:tabs>
          <w:tab w:val="left" w:pos="567"/>
        </w:tabs>
        <w:spacing w:after="0" w:line="240" w:lineRule="auto"/>
        <w:ind w:right="-2"/>
        <w:outlineLvl w:val="0"/>
        <w:rPr>
          <w:rFonts w:ascii="Times New Roman" w:hAnsi="Times New Roman"/>
          <w:b/>
        </w:rPr>
      </w:pPr>
      <w:r>
        <w:rPr>
          <w:rFonts w:ascii="Times New Roman" w:hAnsi="Times New Roman"/>
          <w:b/>
        </w:rPr>
        <w:t>Vairavimas ir mechanizmų valdymas</w:t>
      </w:r>
    </w:p>
    <w:p w:rsidR="00444C66" w:rsidRDefault="00444C66">
      <w:pPr>
        <w:widowControl w:val="0"/>
        <w:tabs>
          <w:tab w:val="left" w:pos="567"/>
        </w:tabs>
        <w:spacing w:after="0" w:line="240" w:lineRule="auto"/>
        <w:rPr>
          <w:rFonts w:ascii="Times New Roman" w:hAnsi="Times New Roman"/>
        </w:rPr>
      </w:pPr>
      <w:r>
        <w:rPr>
          <w:rFonts w:ascii="Times New Roman" w:hAnsi="Times New Roman"/>
        </w:rPr>
        <w:t>Vartojant vaistus nuo padidėjusio kraujospūdžio, kartais gali pasireikšti svaigulys ar nuovargis. Jeigu pastebėjote tokį poveikį, vairuoti ar mechanizmų valdyti negalima tol, kol toks poveikis neišnyks. Kreipkitės patarimo į gydytoją.</w:t>
      </w:r>
    </w:p>
    <w:p w:rsidR="00444C66" w:rsidRDefault="00444C66">
      <w:pPr>
        <w:widowControl w:val="0"/>
        <w:tabs>
          <w:tab w:val="left" w:pos="567"/>
        </w:tabs>
        <w:spacing w:after="0" w:line="240" w:lineRule="auto"/>
        <w:rPr>
          <w:rFonts w:ascii="Times New Roman" w:hAnsi="Times New Roman"/>
        </w:rPr>
      </w:pPr>
    </w:p>
    <w:p w:rsidR="00444C66" w:rsidRDefault="00444C66">
      <w:pPr>
        <w:widowControl w:val="0"/>
        <w:numPr>
          <w:ilvl w:val="12"/>
          <w:numId w:val="0"/>
        </w:numPr>
        <w:tabs>
          <w:tab w:val="left" w:pos="567"/>
        </w:tabs>
        <w:spacing w:after="0" w:line="240" w:lineRule="auto"/>
        <w:ind w:right="-2"/>
        <w:outlineLvl w:val="0"/>
        <w:rPr>
          <w:rFonts w:ascii="Times New Roman" w:hAnsi="Times New Roman"/>
          <w:b/>
        </w:rPr>
      </w:pPr>
      <w:r>
        <w:rPr>
          <w:rFonts w:ascii="Times New Roman" w:hAnsi="Times New Roman"/>
          <w:b/>
        </w:rPr>
        <w:t>Olimestra sudėtyje yra laktozės</w:t>
      </w:r>
    </w:p>
    <w:p w:rsidR="00444C66" w:rsidRDefault="00444C66">
      <w:pPr>
        <w:widowControl w:val="0"/>
        <w:tabs>
          <w:tab w:val="left" w:pos="567"/>
        </w:tabs>
        <w:spacing w:after="0" w:line="240" w:lineRule="auto"/>
        <w:rPr>
          <w:rFonts w:ascii="Times New Roman" w:hAnsi="Times New Roman"/>
        </w:rPr>
      </w:pPr>
      <w:r>
        <w:rPr>
          <w:rFonts w:ascii="Times New Roman" w:hAnsi="Times New Roman"/>
        </w:rPr>
        <w:t>Jeigu gydytojas Jums yra sakęs, kad netoleruojate kokių nors angliavandenių, kreipkitės į jį prieš pradėdami vartoti šį vaistą.</w:t>
      </w:r>
    </w:p>
    <w:p w:rsidR="00444C66" w:rsidRDefault="00444C66">
      <w:pPr>
        <w:widowControl w:val="0"/>
        <w:numPr>
          <w:ilvl w:val="12"/>
          <w:numId w:val="0"/>
        </w:numPr>
        <w:tabs>
          <w:tab w:val="left" w:pos="567"/>
        </w:tabs>
        <w:spacing w:after="0" w:line="240" w:lineRule="auto"/>
        <w:rPr>
          <w:rFonts w:ascii="Times New Roman" w:hAnsi="Times New Roman"/>
        </w:rPr>
      </w:pPr>
    </w:p>
    <w:p w:rsidR="00444C66" w:rsidRDefault="00444C66">
      <w:pPr>
        <w:widowControl w:val="0"/>
        <w:numPr>
          <w:ilvl w:val="12"/>
          <w:numId w:val="0"/>
        </w:numPr>
        <w:tabs>
          <w:tab w:val="left" w:pos="567"/>
        </w:tabs>
        <w:spacing w:after="0" w:line="240" w:lineRule="auto"/>
        <w:ind w:right="-2"/>
        <w:rPr>
          <w:rFonts w:ascii="Times New Roman" w:hAnsi="Times New Roman"/>
        </w:rPr>
      </w:pPr>
    </w:p>
    <w:p w:rsidR="00444C66" w:rsidRDefault="00444C66">
      <w:pPr>
        <w:widowControl w:val="0"/>
        <w:spacing w:after="0" w:line="240" w:lineRule="auto"/>
        <w:ind w:left="567" w:hanging="567"/>
        <w:rPr>
          <w:rFonts w:ascii="Times New Roman" w:hAnsi="Times New Roman"/>
          <w:b/>
        </w:rPr>
      </w:pPr>
      <w:r>
        <w:rPr>
          <w:rFonts w:ascii="Times New Roman" w:hAnsi="Times New Roman"/>
          <w:b/>
        </w:rPr>
        <w:t>3.</w:t>
      </w:r>
      <w:r>
        <w:rPr>
          <w:rFonts w:ascii="Times New Roman" w:hAnsi="Times New Roman"/>
          <w:b/>
        </w:rPr>
        <w:tab/>
        <w:t>Kaip vartoti Olimestra</w:t>
      </w:r>
    </w:p>
    <w:p w:rsidR="00444C66" w:rsidRDefault="00444C66">
      <w:pPr>
        <w:widowControl w:val="0"/>
        <w:tabs>
          <w:tab w:val="left" w:pos="567"/>
        </w:tabs>
        <w:spacing w:after="0" w:line="240" w:lineRule="auto"/>
        <w:rPr>
          <w:rFonts w:ascii="Times New Roman" w:hAnsi="Times New Roman"/>
          <w:b/>
        </w:rPr>
      </w:pPr>
    </w:p>
    <w:p w:rsidR="00444C66" w:rsidRDefault="00444C66">
      <w:pPr>
        <w:widowControl w:val="0"/>
        <w:numPr>
          <w:ilvl w:val="12"/>
          <w:numId w:val="0"/>
        </w:numPr>
        <w:tabs>
          <w:tab w:val="left" w:pos="567"/>
        </w:tabs>
        <w:spacing w:after="0" w:line="240" w:lineRule="auto"/>
        <w:ind w:right="-2"/>
        <w:rPr>
          <w:rFonts w:ascii="Times New Roman" w:hAnsi="Times New Roman"/>
        </w:rPr>
      </w:pPr>
      <w:r>
        <w:rPr>
          <w:rFonts w:ascii="Times New Roman" w:hAnsi="Times New Roman"/>
        </w:rPr>
        <w:t>Visada vartokite šį vaistą tiksliai kaip nurodė gydytojas arba vaistininkas. Jeigu abejojate, kreipkitės į gydytoją arba vaistininką.</w:t>
      </w:r>
    </w:p>
    <w:p w:rsidR="00444C66" w:rsidRDefault="00444C66">
      <w:pPr>
        <w:widowControl w:val="0"/>
        <w:numPr>
          <w:ilvl w:val="12"/>
          <w:numId w:val="0"/>
        </w:numPr>
        <w:tabs>
          <w:tab w:val="left" w:pos="567"/>
        </w:tabs>
        <w:spacing w:after="0" w:line="240" w:lineRule="auto"/>
        <w:ind w:right="-2"/>
        <w:rPr>
          <w:rFonts w:ascii="Times New Roman" w:hAnsi="Times New Roman"/>
        </w:rPr>
      </w:pPr>
    </w:p>
    <w:p w:rsidR="00444C66" w:rsidRDefault="00444C66">
      <w:pPr>
        <w:widowControl w:val="0"/>
        <w:numPr>
          <w:ilvl w:val="12"/>
          <w:numId w:val="0"/>
        </w:numPr>
        <w:tabs>
          <w:tab w:val="left" w:pos="567"/>
        </w:tabs>
        <w:spacing w:after="0" w:line="240" w:lineRule="auto"/>
        <w:ind w:right="-2"/>
        <w:rPr>
          <w:rFonts w:ascii="Times New Roman" w:hAnsi="Times New Roman"/>
          <w:b/>
        </w:rPr>
      </w:pPr>
      <w:r>
        <w:rPr>
          <w:rFonts w:ascii="Times New Roman" w:hAnsi="Times New Roman"/>
          <w:b/>
        </w:rPr>
        <w:t>Suaugusieji</w:t>
      </w:r>
    </w:p>
    <w:p w:rsidR="00444C66" w:rsidRDefault="00444C66">
      <w:pPr>
        <w:widowControl w:val="0"/>
        <w:tabs>
          <w:tab w:val="left" w:pos="567"/>
        </w:tabs>
        <w:spacing w:after="0" w:line="240" w:lineRule="auto"/>
        <w:rPr>
          <w:rFonts w:ascii="Times New Roman" w:hAnsi="Times New Roman"/>
        </w:rPr>
      </w:pPr>
      <w:r>
        <w:rPr>
          <w:rFonts w:ascii="Times New Roman" w:hAnsi="Times New Roman"/>
        </w:rPr>
        <w:lastRenderedPageBreak/>
        <w:t>Rekomenduojama dozė</w:t>
      </w:r>
      <w:r>
        <w:rPr>
          <w:rFonts w:ascii="Times New Roman" w:eastAsia="Times New Roman" w:hAnsi="Times New Roman"/>
          <w:lang w:eastAsia="sl-SI"/>
        </w:rPr>
        <w:t xml:space="preserve"> vartojimo pradžioje</w:t>
      </w:r>
      <w:r>
        <w:rPr>
          <w:rFonts w:ascii="Times New Roman" w:hAnsi="Times New Roman"/>
        </w:rPr>
        <w:t xml:space="preserve"> yra viena 10 mg tabletė vieną kartą per parą. Vis dėlto jeigu kraujospūdis nesureguliuojamas, gydytojas dozę gali keisti padidindamas iki 20 mg ar 40 mg vieną kartą per parą arba skirti vartoti kitokį vaistą.</w:t>
      </w:r>
    </w:p>
    <w:p w:rsidR="00444C66" w:rsidRDefault="00444C66">
      <w:pPr>
        <w:widowControl w:val="0"/>
        <w:tabs>
          <w:tab w:val="left" w:pos="567"/>
        </w:tabs>
        <w:spacing w:after="0" w:line="240" w:lineRule="auto"/>
        <w:rPr>
          <w:rFonts w:ascii="Times New Roman" w:hAnsi="Times New Roman"/>
        </w:rPr>
      </w:pPr>
    </w:p>
    <w:p w:rsidR="00444C66" w:rsidRDefault="00444C66">
      <w:pPr>
        <w:widowControl w:val="0"/>
        <w:tabs>
          <w:tab w:val="left" w:pos="567"/>
        </w:tabs>
        <w:spacing w:after="0" w:line="240" w:lineRule="auto"/>
        <w:rPr>
          <w:rFonts w:ascii="Times New Roman" w:hAnsi="Times New Roman"/>
          <w:b/>
        </w:rPr>
      </w:pPr>
      <w:r>
        <w:rPr>
          <w:rFonts w:ascii="Times New Roman" w:hAnsi="Times New Roman"/>
          <w:b/>
        </w:rPr>
        <w:t>Vaikai nuo 6 metų ir jaunesni kaip 18 metų paaugliai</w:t>
      </w:r>
    </w:p>
    <w:p w:rsidR="00444C66" w:rsidRDefault="00444C66">
      <w:pPr>
        <w:widowControl w:val="0"/>
        <w:tabs>
          <w:tab w:val="left" w:pos="567"/>
        </w:tabs>
        <w:spacing w:after="0" w:line="240" w:lineRule="auto"/>
        <w:rPr>
          <w:rFonts w:ascii="Times New Roman" w:hAnsi="Times New Roman"/>
        </w:rPr>
      </w:pPr>
      <w:r>
        <w:rPr>
          <w:rFonts w:ascii="Times New Roman" w:hAnsi="Times New Roman"/>
        </w:rPr>
        <w:t>Rekomenduojama pradinė dozė yra 10 mg vieną kartą per parą. Jei paciento kraujospūdis reguliuojamas nepakankamai, gydytojas gali nuspręsti keisti dozę iki 20 ar 40 mg vieną kartą per dieną. Vaikams, sveriantiems mažiau kaip 35 kg, dozė bus ne didesnė nei 20 mg vieną kartą per parą.</w:t>
      </w:r>
    </w:p>
    <w:p w:rsidR="00444C66" w:rsidRDefault="00444C66">
      <w:pPr>
        <w:widowControl w:val="0"/>
        <w:tabs>
          <w:tab w:val="left" w:pos="567"/>
        </w:tabs>
        <w:spacing w:after="0" w:line="240" w:lineRule="auto"/>
        <w:rPr>
          <w:rFonts w:ascii="Times New Roman" w:hAnsi="Times New Roman"/>
        </w:rPr>
      </w:pPr>
    </w:p>
    <w:p w:rsidR="00444C66" w:rsidRDefault="00444C66">
      <w:pPr>
        <w:widowControl w:val="0"/>
        <w:tabs>
          <w:tab w:val="left" w:pos="567"/>
        </w:tabs>
        <w:spacing w:after="0" w:line="240" w:lineRule="auto"/>
        <w:rPr>
          <w:rFonts w:ascii="Times New Roman" w:hAnsi="Times New Roman"/>
        </w:rPr>
      </w:pPr>
      <w:r>
        <w:rPr>
          <w:rFonts w:ascii="Times New Roman" w:hAnsi="Times New Roman"/>
        </w:rPr>
        <w:t>Pacientams, sergantiems lengva ar vidutinio sunkumo kepenų liga, negalima vartoti didesnės kaip 20 mg dozės vieną kartą per parą.</w:t>
      </w:r>
    </w:p>
    <w:p w:rsidR="00444C66" w:rsidRDefault="00444C66">
      <w:pPr>
        <w:widowControl w:val="0"/>
        <w:numPr>
          <w:ilvl w:val="12"/>
          <w:numId w:val="0"/>
        </w:numPr>
        <w:tabs>
          <w:tab w:val="left" w:pos="567"/>
        </w:tabs>
        <w:spacing w:after="0" w:line="240" w:lineRule="auto"/>
        <w:ind w:right="-2"/>
        <w:rPr>
          <w:rFonts w:ascii="Times New Roman" w:hAnsi="Times New Roman"/>
        </w:rPr>
      </w:pPr>
    </w:p>
    <w:p w:rsidR="00444C66" w:rsidRDefault="00444C66">
      <w:pPr>
        <w:widowControl w:val="0"/>
        <w:tabs>
          <w:tab w:val="left" w:pos="567"/>
        </w:tabs>
        <w:spacing w:after="0" w:line="240" w:lineRule="auto"/>
        <w:rPr>
          <w:rFonts w:ascii="Times New Roman" w:hAnsi="Times New Roman"/>
        </w:rPr>
      </w:pPr>
      <w:r>
        <w:rPr>
          <w:rFonts w:ascii="Times New Roman" w:hAnsi="Times New Roman"/>
        </w:rPr>
        <w:t>Tabletes galima gerti valgant arba be maisto. Nurykite visą tabletę užgerdami pakankamu kiekiu (pavyzdžiui, viena stikline) vandens. Jeigu įmanoma, vartokite paros dozę kasdien tuo pačiu laiku, pavyzdžiui, per pusryčius.</w:t>
      </w:r>
    </w:p>
    <w:p w:rsidR="00444C66" w:rsidRDefault="00444C66">
      <w:pPr>
        <w:widowControl w:val="0"/>
        <w:numPr>
          <w:ilvl w:val="12"/>
          <w:numId w:val="0"/>
        </w:numPr>
        <w:tabs>
          <w:tab w:val="left" w:pos="567"/>
        </w:tabs>
        <w:spacing w:after="0" w:line="240" w:lineRule="auto"/>
        <w:ind w:right="-2"/>
        <w:rPr>
          <w:rFonts w:ascii="Times New Roman" w:hAnsi="Times New Roman"/>
        </w:rPr>
      </w:pPr>
    </w:p>
    <w:p w:rsidR="00444C66" w:rsidRDefault="00444C66">
      <w:pPr>
        <w:widowControl w:val="0"/>
        <w:numPr>
          <w:ilvl w:val="12"/>
          <w:numId w:val="0"/>
        </w:numPr>
        <w:tabs>
          <w:tab w:val="left" w:pos="567"/>
        </w:tabs>
        <w:spacing w:after="0" w:line="240" w:lineRule="auto"/>
        <w:ind w:right="-2"/>
        <w:outlineLvl w:val="0"/>
        <w:rPr>
          <w:rFonts w:ascii="Times New Roman" w:hAnsi="Times New Roman"/>
          <w:b/>
        </w:rPr>
      </w:pPr>
      <w:r>
        <w:rPr>
          <w:rFonts w:ascii="Times New Roman" w:hAnsi="Times New Roman"/>
          <w:b/>
        </w:rPr>
        <w:t>Ką daryti pavartojus per didelę Olimestra dozę</w:t>
      </w:r>
    </w:p>
    <w:p w:rsidR="00444C66" w:rsidRDefault="00444C66">
      <w:pPr>
        <w:widowControl w:val="0"/>
        <w:tabs>
          <w:tab w:val="left" w:pos="567"/>
        </w:tabs>
        <w:spacing w:after="0" w:line="240" w:lineRule="auto"/>
        <w:rPr>
          <w:rFonts w:ascii="Times New Roman" w:hAnsi="Times New Roman"/>
        </w:rPr>
      </w:pPr>
      <w:r>
        <w:rPr>
          <w:rFonts w:ascii="Times New Roman" w:hAnsi="Times New Roman"/>
        </w:rPr>
        <w:t>Jeigu išgėrėte per daug tablečių arba vaikas atsitiktinai išgėrė vaisto, kreipkitės į gydytoją arba artimiausios ligoninės priėmimo skyrių.</w:t>
      </w:r>
    </w:p>
    <w:p w:rsidR="00444C66" w:rsidRDefault="00444C66">
      <w:pPr>
        <w:widowControl w:val="0"/>
        <w:numPr>
          <w:ilvl w:val="12"/>
          <w:numId w:val="0"/>
        </w:numPr>
        <w:tabs>
          <w:tab w:val="left" w:pos="567"/>
        </w:tabs>
        <w:spacing w:after="0" w:line="240" w:lineRule="auto"/>
        <w:rPr>
          <w:rFonts w:ascii="Times New Roman" w:hAnsi="Times New Roman"/>
        </w:rPr>
      </w:pPr>
    </w:p>
    <w:p w:rsidR="00444C66" w:rsidRDefault="00444C66">
      <w:pPr>
        <w:widowControl w:val="0"/>
        <w:numPr>
          <w:ilvl w:val="12"/>
          <w:numId w:val="0"/>
        </w:numPr>
        <w:tabs>
          <w:tab w:val="left" w:pos="567"/>
        </w:tabs>
        <w:spacing w:after="0" w:line="240" w:lineRule="auto"/>
        <w:ind w:right="-2"/>
        <w:outlineLvl w:val="0"/>
        <w:rPr>
          <w:rFonts w:ascii="Times New Roman" w:hAnsi="Times New Roman"/>
          <w:b/>
        </w:rPr>
      </w:pPr>
      <w:r>
        <w:rPr>
          <w:rFonts w:ascii="Times New Roman" w:hAnsi="Times New Roman"/>
          <w:b/>
        </w:rPr>
        <w:t>Pamiršus pavartoti Olimestra</w:t>
      </w:r>
    </w:p>
    <w:p w:rsidR="00444C66" w:rsidRDefault="00444C66">
      <w:pPr>
        <w:widowControl w:val="0"/>
        <w:numPr>
          <w:ilvl w:val="12"/>
          <w:numId w:val="0"/>
        </w:numPr>
        <w:tabs>
          <w:tab w:val="left" w:pos="567"/>
        </w:tabs>
        <w:spacing w:after="0" w:line="240" w:lineRule="auto"/>
        <w:ind w:right="-2"/>
        <w:rPr>
          <w:rFonts w:ascii="Times New Roman" w:hAnsi="Times New Roman"/>
        </w:rPr>
      </w:pPr>
      <w:r>
        <w:rPr>
          <w:rFonts w:ascii="Times New Roman" w:hAnsi="Times New Roman"/>
        </w:rPr>
        <w:t>Jeigu pamiršote išgerti vaisto dozę, išgerkite įprastą dozę kitą dieną įprastu laiku. Negalima vartoti dvigubos dozės norint kompensuoti praleistą dozę.</w:t>
      </w:r>
    </w:p>
    <w:p w:rsidR="00444C66" w:rsidRDefault="00444C66">
      <w:pPr>
        <w:widowControl w:val="0"/>
        <w:numPr>
          <w:ilvl w:val="12"/>
          <w:numId w:val="0"/>
        </w:numPr>
        <w:tabs>
          <w:tab w:val="left" w:pos="567"/>
        </w:tabs>
        <w:spacing w:after="0" w:line="240" w:lineRule="auto"/>
        <w:ind w:right="-2"/>
        <w:rPr>
          <w:rFonts w:ascii="Times New Roman" w:hAnsi="Times New Roman"/>
        </w:rPr>
      </w:pPr>
    </w:p>
    <w:p w:rsidR="00444C66" w:rsidRDefault="00444C66">
      <w:pPr>
        <w:widowControl w:val="0"/>
        <w:numPr>
          <w:ilvl w:val="12"/>
          <w:numId w:val="0"/>
        </w:numPr>
        <w:tabs>
          <w:tab w:val="left" w:pos="567"/>
        </w:tabs>
        <w:spacing w:after="0" w:line="240" w:lineRule="auto"/>
        <w:ind w:right="-2"/>
        <w:outlineLvl w:val="0"/>
        <w:rPr>
          <w:rFonts w:ascii="Times New Roman" w:hAnsi="Times New Roman"/>
          <w:b/>
        </w:rPr>
      </w:pPr>
      <w:r>
        <w:rPr>
          <w:rFonts w:ascii="Times New Roman" w:hAnsi="Times New Roman"/>
          <w:b/>
        </w:rPr>
        <w:t>Nustojus vartoti Olimestra</w:t>
      </w:r>
    </w:p>
    <w:p w:rsidR="00444C66" w:rsidRDefault="00444C66">
      <w:pPr>
        <w:widowControl w:val="0"/>
        <w:numPr>
          <w:ilvl w:val="12"/>
          <w:numId w:val="0"/>
        </w:numPr>
        <w:tabs>
          <w:tab w:val="left" w:pos="567"/>
        </w:tabs>
        <w:spacing w:after="0" w:line="240" w:lineRule="auto"/>
        <w:ind w:right="-2"/>
        <w:rPr>
          <w:rFonts w:ascii="Times New Roman" w:hAnsi="Times New Roman"/>
        </w:rPr>
      </w:pPr>
      <w:r>
        <w:rPr>
          <w:rFonts w:ascii="Times New Roman" w:hAnsi="Times New Roman"/>
        </w:rPr>
        <w:t>Svarbu vartoti Olimestra tol, kol gydytojas nurodys baigti gydymą.</w:t>
      </w:r>
    </w:p>
    <w:p w:rsidR="00444C66" w:rsidRDefault="00444C66">
      <w:pPr>
        <w:widowControl w:val="0"/>
        <w:numPr>
          <w:ilvl w:val="12"/>
          <w:numId w:val="0"/>
        </w:numPr>
        <w:tabs>
          <w:tab w:val="left" w:pos="567"/>
        </w:tabs>
        <w:spacing w:after="0" w:line="240" w:lineRule="auto"/>
        <w:ind w:right="-2"/>
        <w:rPr>
          <w:rFonts w:ascii="Times New Roman" w:hAnsi="Times New Roman"/>
        </w:rPr>
      </w:pPr>
    </w:p>
    <w:p w:rsidR="00444C66" w:rsidRDefault="00444C66">
      <w:pPr>
        <w:widowControl w:val="0"/>
        <w:numPr>
          <w:ilvl w:val="12"/>
          <w:numId w:val="0"/>
        </w:numPr>
        <w:tabs>
          <w:tab w:val="left" w:pos="567"/>
        </w:tabs>
        <w:spacing w:after="0" w:line="240" w:lineRule="auto"/>
        <w:ind w:right="-2"/>
        <w:rPr>
          <w:rFonts w:ascii="Times New Roman" w:hAnsi="Times New Roman"/>
        </w:rPr>
      </w:pPr>
      <w:r>
        <w:rPr>
          <w:rFonts w:ascii="Times New Roman" w:hAnsi="Times New Roman"/>
        </w:rPr>
        <w:t>Jeigu kiltų daugiau klausimų dėl šio vaisto vartojimo, kreipkitės į gydytoją arba vaistininką.</w:t>
      </w:r>
    </w:p>
    <w:p w:rsidR="00444C66" w:rsidRDefault="00444C66">
      <w:pPr>
        <w:widowControl w:val="0"/>
        <w:numPr>
          <w:ilvl w:val="12"/>
          <w:numId w:val="0"/>
        </w:numPr>
        <w:tabs>
          <w:tab w:val="left" w:pos="567"/>
        </w:tabs>
        <w:spacing w:after="0" w:line="240" w:lineRule="auto"/>
        <w:ind w:right="-2"/>
        <w:rPr>
          <w:rFonts w:ascii="Times New Roman" w:hAnsi="Times New Roman"/>
        </w:rPr>
      </w:pPr>
    </w:p>
    <w:p w:rsidR="00444C66" w:rsidRDefault="00444C66">
      <w:pPr>
        <w:widowControl w:val="0"/>
        <w:numPr>
          <w:ilvl w:val="12"/>
          <w:numId w:val="0"/>
        </w:numPr>
        <w:tabs>
          <w:tab w:val="left" w:pos="567"/>
        </w:tabs>
        <w:spacing w:after="0" w:line="240" w:lineRule="auto"/>
        <w:ind w:right="-2"/>
        <w:rPr>
          <w:rFonts w:ascii="Times New Roman" w:hAnsi="Times New Roman"/>
        </w:rPr>
      </w:pPr>
    </w:p>
    <w:p w:rsidR="00444C66" w:rsidRDefault="00444C66">
      <w:pPr>
        <w:widowControl w:val="0"/>
        <w:numPr>
          <w:ilvl w:val="12"/>
          <w:numId w:val="0"/>
        </w:numPr>
        <w:tabs>
          <w:tab w:val="left" w:pos="567"/>
        </w:tabs>
        <w:spacing w:after="0" w:line="240" w:lineRule="auto"/>
        <w:ind w:left="567" w:right="-2" w:hanging="567"/>
        <w:rPr>
          <w:rFonts w:ascii="Times New Roman" w:hAnsi="Times New Roman"/>
        </w:rPr>
      </w:pPr>
      <w:r>
        <w:rPr>
          <w:rFonts w:ascii="Times New Roman" w:hAnsi="Times New Roman"/>
          <w:b/>
        </w:rPr>
        <w:t>4.</w:t>
      </w:r>
      <w:r>
        <w:rPr>
          <w:rFonts w:ascii="Times New Roman" w:hAnsi="Times New Roman"/>
          <w:b/>
        </w:rPr>
        <w:tab/>
        <w:t>Galimas šalutinis poveikis</w:t>
      </w:r>
    </w:p>
    <w:p w:rsidR="00444C66" w:rsidRDefault="00444C66">
      <w:pPr>
        <w:widowControl w:val="0"/>
        <w:numPr>
          <w:ilvl w:val="12"/>
          <w:numId w:val="0"/>
        </w:numPr>
        <w:tabs>
          <w:tab w:val="left" w:pos="567"/>
        </w:tabs>
        <w:spacing w:after="0" w:line="240" w:lineRule="auto"/>
        <w:ind w:right="-2"/>
        <w:rPr>
          <w:rFonts w:ascii="Times New Roman" w:hAnsi="Times New Roman"/>
        </w:rPr>
      </w:pPr>
    </w:p>
    <w:p w:rsidR="00444C66" w:rsidRDefault="00444C66">
      <w:pPr>
        <w:widowControl w:val="0"/>
        <w:numPr>
          <w:ilvl w:val="12"/>
          <w:numId w:val="0"/>
        </w:numPr>
        <w:tabs>
          <w:tab w:val="left" w:pos="567"/>
        </w:tabs>
        <w:spacing w:after="0" w:line="240" w:lineRule="auto"/>
        <w:ind w:right="-2"/>
        <w:rPr>
          <w:rFonts w:ascii="Times New Roman" w:hAnsi="Times New Roman"/>
        </w:rPr>
      </w:pPr>
      <w:r>
        <w:rPr>
          <w:rFonts w:ascii="Times New Roman" w:hAnsi="Times New Roman"/>
        </w:rPr>
        <w:t>Šis vaistas, kaip ir visi kiti, gali sukelti šalutinį poveikį, nors jis pasireiškia ne visiems žmonėms.</w:t>
      </w:r>
      <w:r>
        <w:rPr>
          <w:rFonts w:ascii="Times New Roman" w:hAnsi="Times New Roman"/>
          <w:lang w:val="sl-SI"/>
        </w:rPr>
        <w:t xml:space="preserve"> Jei jis pasireiškia, dažniausiai būna silpnas ir dėl to vaisto vartojimo nutraukti neprireikia.</w:t>
      </w:r>
    </w:p>
    <w:p w:rsidR="00444C66" w:rsidRDefault="00444C66">
      <w:pPr>
        <w:widowControl w:val="0"/>
        <w:tabs>
          <w:tab w:val="left" w:pos="540"/>
          <w:tab w:val="left" w:pos="2977"/>
        </w:tabs>
        <w:spacing w:after="0" w:line="240" w:lineRule="auto"/>
        <w:rPr>
          <w:rFonts w:ascii="Times New Roman" w:hAnsi="Times New Roman"/>
          <w:lang w:val="sl-SI"/>
        </w:rPr>
      </w:pPr>
    </w:p>
    <w:p w:rsidR="00444C66" w:rsidRDefault="00444C66">
      <w:pPr>
        <w:widowControl w:val="0"/>
        <w:tabs>
          <w:tab w:val="left" w:pos="540"/>
          <w:tab w:val="left" w:pos="2977"/>
        </w:tabs>
        <w:spacing w:after="0" w:line="240" w:lineRule="auto"/>
        <w:rPr>
          <w:rFonts w:ascii="Times New Roman" w:hAnsi="Times New Roman"/>
          <w:lang w:val="sl-SI"/>
        </w:rPr>
      </w:pPr>
      <w:r>
        <w:rPr>
          <w:rFonts w:ascii="Times New Roman" w:hAnsi="Times New Roman"/>
        </w:rPr>
        <w:t>Nors pasitaiko tik nedaugeliui ligonių, toliau paminėti šalutinio poveikio reiškiniai gali būti sunkūs.</w:t>
      </w:r>
    </w:p>
    <w:p w:rsidR="00444C66" w:rsidRDefault="00444C66">
      <w:pPr>
        <w:widowControl w:val="0"/>
        <w:numPr>
          <w:ilvl w:val="12"/>
          <w:numId w:val="0"/>
        </w:numPr>
        <w:tabs>
          <w:tab w:val="left" w:pos="567"/>
        </w:tabs>
        <w:spacing w:after="0" w:line="240" w:lineRule="auto"/>
        <w:ind w:right="-2"/>
        <w:rPr>
          <w:rFonts w:ascii="Times New Roman" w:hAnsi="Times New Roman"/>
        </w:rPr>
      </w:pPr>
    </w:p>
    <w:p w:rsidR="00444C66" w:rsidRDefault="00444C66">
      <w:pPr>
        <w:widowControl w:val="0"/>
        <w:numPr>
          <w:ilvl w:val="12"/>
          <w:numId w:val="0"/>
        </w:numPr>
        <w:tabs>
          <w:tab w:val="left" w:pos="567"/>
        </w:tabs>
        <w:spacing w:after="0" w:line="240" w:lineRule="auto"/>
        <w:ind w:right="-2"/>
        <w:rPr>
          <w:rFonts w:ascii="Times New Roman" w:hAnsi="Times New Roman"/>
        </w:rPr>
      </w:pPr>
      <w:r>
        <w:rPr>
          <w:rFonts w:ascii="Times New Roman" w:hAnsi="Times New Roman"/>
        </w:rPr>
        <w:t xml:space="preserve">Retais atvejais </w:t>
      </w:r>
      <w:r>
        <w:rPr>
          <w:rFonts w:ascii="Times New Roman" w:hAnsi="Times New Roman"/>
          <w:lang w:val="sl-SI"/>
        </w:rPr>
        <w:t>(gali pasireikšti rečiau kaip 1 iš 1 000 asmenų)</w:t>
      </w:r>
      <w:r>
        <w:rPr>
          <w:rFonts w:ascii="Times New Roman" w:hAnsi="Times New Roman"/>
          <w:i/>
          <w:lang w:val="sl-SI"/>
        </w:rPr>
        <w:t xml:space="preserve"> </w:t>
      </w:r>
      <w:r>
        <w:rPr>
          <w:rFonts w:ascii="Times New Roman" w:hAnsi="Times New Roman"/>
        </w:rPr>
        <w:t>pasireiškė išvardytos alerginės reakcijos</w:t>
      </w:r>
      <w:r>
        <w:rPr>
          <w:rFonts w:ascii="Times New Roman" w:hAnsi="Times New Roman"/>
          <w:lang w:val="sl-SI"/>
        </w:rPr>
        <w:t>, kurios gali pasireikšti visame kūne</w:t>
      </w:r>
      <w:r>
        <w:rPr>
          <w:rFonts w:ascii="Times New Roman" w:hAnsi="Times New Roman"/>
        </w:rPr>
        <w:t>:</w:t>
      </w:r>
    </w:p>
    <w:p w:rsidR="00444C66" w:rsidRDefault="00444C66">
      <w:pPr>
        <w:widowControl w:val="0"/>
        <w:numPr>
          <w:ilvl w:val="12"/>
          <w:numId w:val="0"/>
        </w:numPr>
        <w:tabs>
          <w:tab w:val="left" w:pos="567"/>
        </w:tabs>
        <w:spacing w:after="0" w:line="240" w:lineRule="auto"/>
        <w:ind w:right="-2"/>
        <w:rPr>
          <w:rFonts w:ascii="Times New Roman" w:hAnsi="Times New Roman"/>
        </w:rPr>
      </w:pPr>
      <w:r>
        <w:rPr>
          <w:rFonts w:ascii="Times New Roman" w:hAnsi="Times New Roman"/>
        </w:rPr>
        <w:t>Gydymo Olimestra metu gali pasireikšti veido, burnos ir (arba) gerklų (balso aparato) patinimas, pasireiškiantis kartu su niežuliu ir išbėrimu. Jeigu pasireiškia tokia reakcija, nutraukite Olimestra vartojimą ir nedelsdami kreipkitės į gydytoją.</w:t>
      </w:r>
    </w:p>
    <w:p w:rsidR="00444C66" w:rsidRDefault="00444C66">
      <w:pPr>
        <w:widowControl w:val="0"/>
        <w:numPr>
          <w:ilvl w:val="12"/>
          <w:numId w:val="0"/>
        </w:numPr>
        <w:tabs>
          <w:tab w:val="left" w:pos="567"/>
        </w:tabs>
        <w:spacing w:after="0" w:line="240" w:lineRule="auto"/>
        <w:ind w:right="-2"/>
        <w:rPr>
          <w:rFonts w:ascii="Times New Roman" w:hAnsi="Times New Roman"/>
        </w:rPr>
      </w:pPr>
    </w:p>
    <w:p w:rsidR="00444C66" w:rsidRDefault="00444C66">
      <w:pPr>
        <w:widowControl w:val="0"/>
        <w:numPr>
          <w:ilvl w:val="12"/>
          <w:numId w:val="0"/>
        </w:numPr>
        <w:tabs>
          <w:tab w:val="left" w:pos="567"/>
        </w:tabs>
        <w:spacing w:after="0" w:line="240" w:lineRule="auto"/>
        <w:ind w:right="-2"/>
        <w:rPr>
          <w:rFonts w:ascii="Times New Roman" w:hAnsi="Times New Roman"/>
        </w:rPr>
      </w:pPr>
      <w:r>
        <w:rPr>
          <w:rFonts w:ascii="Times New Roman" w:hAnsi="Times New Roman"/>
        </w:rPr>
        <w:t xml:space="preserve">Retais atvejais (bet šiek tiek dažniau senyviems pacientams) Olimestra gali sukelti pernelyg didelį kraujospūdžio sumažėjimą </w:t>
      </w:r>
      <w:r>
        <w:rPr>
          <w:rFonts w:ascii="Times New Roman" w:hAnsi="Times New Roman"/>
          <w:lang w:val="sl-SI"/>
        </w:rPr>
        <w:t>arba alerginę reakciją</w:t>
      </w:r>
      <w:r>
        <w:rPr>
          <w:rFonts w:ascii="Times New Roman" w:hAnsi="Times New Roman"/>
        </w:rPr>
        <w:t xml:space="preserve"> jautriems asmenims. Dėl to gali pasireikšti sunkus apsvaigimas ar apalpimas. Jeigu pasireiškia toks poveikis, nutraukite Olimestra vartojimą, nedelsdami kreipkitės į gydytoją ir atsigulkite ant plokščio paviršiaus.</w:t>
      </w:r>
    </w:p>
    <w:p w:rsidR="00444C66" w:rsidRDefault="00444C66">
      <w:pPr>
        <w:widowControl w:val="0"/>
        <w:numPr>
          <w:ilvl w:val="12"/>
          <w:numId w:val="0"/>
        </w:numPr>
        <w:tabs>
          <w:tab w:val="left" w:pos="567"/>
        </w:tabs>
        <w:spacing w:after="0" w:line="240" w:lineRule="auto"/>
        <w:ind w:right="-2"/>
        <w:rPr>
          <w:rFonts w:ascii="Times New Roman" w:hAnsi="Times New Roman"/>
        </w:rPr>
      </w:pPr>
    </w:p>
    <w:p w:rsidR="00444C66" w:rsidRDefault="00444C66">
      <w:pPr>
        <w:widowControl w:val="0"/>
        <w:numPr>
          <w:ilvl w:val="12"/>
          <w:numId w:val="0"/>
        </w:numPr>
        <w:tabs>
          <w:tab w:val="left" w:pos="567"/>
        </w:tabs>
        <w:spacing w:after="0" w:line="240" w:lineRule="auto"/>
        <w:ind w:right="-2"/>
        <w:rPr>
          <w:rFonts w:ascii="Times New Roman" w:hAnsi="Times New Roman"/>
        </w:rPr>
      </w:pPr>
      <w:r>
        <w:rPr>
          <w:rFonts w:ascii="Times New Roman" w:hAnsi="Times New Roman"/>
        </w:rPr>
        <w:t>Dažnis nežinomas (negali būti apskaičiuotas pagal turimus duomenis): Jeigu pagelstų Jūsų akių baltymai, patamsėtų šlapimas, imtų niežėti oda, net jei gydymą Olimestra pradėjote seniau, nedelsdami kreipkitės į savo gydytoją, kuris įvertins Jūsų simptomus ir nuspręs, kaip tęsti Jūsų gydymą vaistais nuo kraujospūdžio.</w:t>
      </w:r>
    </w:p>
    <w:p w:rsidR="00444C66" w:rsidRDefault="00444C66">
      <w:pPr>
        <w:widowControl w:val="0"/>
        <w:numPr>
          <w:ilvl w:val="12"/>
          <w:numId w:val="0"/>
        </w:numPr>
        <w:tabs>
          <w:tab w:val="left" w:pos="567"/>
        </w:tabs>
        <w:spacing w:after="0" w:line="240" w:lineRule="auto"/>
        <w:ind w:right="-2"/>
        <w:rPr>
          <w:rFonts w:ascii="Times New Roman" w:hAnsi="Times New Roman"/>
        </w:rPr>
      </w:pPr>
    </w:p>
    <w:p w:rsidR="00444C66" w:rsidRDefault="00444C66">
      <w:pPr>
        <w:widowControl w:val="0"/>
        <w:numPr>
          <w:ilvl w:val="12"/>
          <w:numId w:val="0"/>
        </w:numPr>
        <w:tabs>
          <w:tab w:val="left" w:pos="567"/>
        </w:tabs>
        <w:spacing w:after="0" w:line="240" w:lineRule="auto"/>
        <w:ind w:right="-2"/>
        <w:rPr>
          <w:rFonts w:ascii="Times New Roman" w:hAnsi="Times New Roman"/>
        </w:rPr>
      </w:pPr>
      <w:r>
        <w:rPr>
          <w:rFonts w:ascii="Times New Roman" w:hAnsi="Times New Roman"/>
        </w:rPr>
        <w:t>Toliau išvardytas šalutinis poveikis, kuris gali pasireikšti vartojant Olimestra:</w:t>
      </w:r>
    </w:p>
    <w:p w:rsidR="00444C66" w:rsidRDefault="00444C66">
      <w:pPr>
        <w:widowControl w:val="0"/>
        <w:spacing w:after="0" w:line="240" w:lineRule="auto"/>
        <w:rPr>
          <w:rFonts w:ascii="Times New Roman" w:hAnsi="Times New Roman"/>
        </w:rPr>
      </w:pPr>
    </w:p>
    <w:p w:rsidR="00444C66" w:rsidRDefault="00444C66">
      <w:pPr>
        <w:widowControl w:val="0"/>
        <w:tabs>
          <w:tab w:val="left" w:pos="567"/>
        </w:tabs>
        <w:spacing w:after="0" w:line="240" w:lineRule="auto"/>
        <w:rPr>
          <w:rFonts w:ascii="Times New Roman" w:hAnsi="Times New Roman"/>
          <w:u w:val="single"/>
        </w:rPr>
      </w:pPr>
      <w:r>
        <w:rPr>
          <w:rFonts w:ascii="Times New Roman" w:hAnsi="Times New Roman"/>
          <w:u w:val="single"/>
        </w:rPr>
        <w:t>Dažni šalutinio poveikio reiškiniai (gali pasireikšti rečiau kaip 1 iš 10 asmenų)</w:t>
      </w:r>
    </w:p>
    <w:p w:rsidR="00444C66" w:rsidRDefault="00444C66">
      <w:pPr>
        <w:widowControl w:val="0"/>
        <w:tabs>
          <w:tab w:val="left" w:pos="567"/>
        </w:tabs>
        <w:spacing w:after="0" w:line="240" w:lineRule="auto"/>
        <w:rPr>
          <w:rFonts w:ascii="Times New Roman" w:hAnsi="Times New Roman"/>
        </w:rPr>
      </w:pPr>
      <w:r>
        <w:rPr>
          <w:rFonts w:ascii="Times New Roman" w:hAnsi="Times New Roman"/>
        </w:rPr>
        <w:lastRenderedPageBreak/>
        <w:t>Svaigulys, galvos skausmas, pykinimas, nevirškinimas, viduriavimas, pilvo skausmas, gastroenteritas, nuovargis, gerklės skausmas, skystos išskyros iš nosies arba nosies užsikimšimas, bronchitas, į gripo panašūs simptomai, kosulys, skausmas, krūtinės, nugaros, kaulų ar sąnarių skausmas, šlapimo takų infekcija, kulkšnių</w:t>
      </w:r>
      <w:smartTag w:uri="schemas-tilde-lv/tildestengine" w:element="metric2">
        <w:smartTagPr>
          <w:attr w:name="metric_text" w:val="pėdų"/>
          <w:attr w:name="metric_value" w:val="."/>
        </w:smartTagPr>
        <w:r>
          <w:rPr>
            <w:rFonts w:ascii="Times New Roman" w:hAnsi="Times New Roman"/>
          </w:rPr>
          <w:t>, pėdų</w:t>
        </w:r>
      </w:smartTag>
      <w:r>
        <w:rPr>
          <w:rFonts w:ascii="Times New Roman" w:hAnsi="Times New Roman"/>
        </w:rPr>
        <w:t>, kojų, delnų ar rankų patinimas, kraujas šlapime.</w:t>
      </w:r>
    </w:p>
    <w:p w:rsidR="00444C66" w:rsidRDefault="00444C66">
      <w:pPr>
        <w:widowControl w:val="0"/>
        <w:tabs>
          <w:tab w:val="left" w:pos="567"/>
        </w:tabs>
        <w:spacing w:after="0" w:line="240" w:lineRule="auto"/>
        <w:rPr>
          <w:rFonts w:ascii="Times New Roman" w:hAnsi="Times New Roman"/>
        </w:rPr>
      </w:pPr>
    </w:p>
    <w:p w:rsidR="00444C66" w:rsidRDefault="00444C66">
      <w:pPr>
        <w:widowControl w:val="0"/>
        <w:tabs>
          <w:tab w:val="left" w:pos="567"/>
        </w:tabs>
        <w:spacing w:after="0" w:line="240" w:lineRule="auto"/>
        <w:rPr>
          <w:rFonts w:ascii="Times New Roman" w:hAnsi="Times New Roman"/>
        </w:rPr>
      </w:pPr>
      <w:r>
        <w:rPr>
          <w:rFonts w:ascii="Times New Roman" w:hAnsi="Times New Roman"/>
        </w:rPr>
        <w:t>Pasireiškė kai kurie kraujo tyrimų rodmenų pokyčiai, būtent:</w:t>
      </w:r>
    </w:p>
    <w:p w:rsidR="00444C66" w:rsidRDefault="00444C66">
      <w:pPr>
        <w:widowControl w:val="0"/>
        <w:tabs>
          <w:tab w:val="left" w:pos="567"/>
        </w:tabs>
        <w:spacing w:after="0" w:line="240" w:lineRule="auto"/>
        <w:rPr>
          <w:rFonts w:ascii="Times New Roman" w:hAnsi="Times New Roman"/>
        </w:rPr>
      </w:pPr>
      <w:r>
        <w:rPr>
          <w:rFonts w:ascii="Times New Roman" w:hAnsi="Times New Roman"/>
        </w:rPr>
        <w:t xml:space="preserve">riebiųjų medžiagų koncentracijos padidėjimas (hipertrigliceridemija), šlapimo rūgšties koncentracijos padidėjimas (hiperurikemija), </w:t>
      </w:r>
      <w:r>
        <w:rPr>
          <w:rFonts w:ascii="Times New Roman" w:hAnsi="Times New Roman"/>
          <w:lang w:val="sl-SI"/>
        </w:rPr>
        <w:t xml:space="preserve">padidėjęs urėjos kiekis kraujyje, </w:t>
      </w:r>
      <w:r>
        <w:rPr>
          <w:rFonts w:ascii="Times New Roman" w:hAnsi="Times New Roman"/>
        </w:rPr>
        <w:t>kepenų ir raumenų funkcijos tyrimų rodmenų padidėjimas.</w:t>
      </w:r>
    </w:p>
    <w:p w:rsidR="00444C66" w:rsidRDefault="00444C66">
      <w:pPr>
        <w:widowControl w:val="0"/>
        <w:tabs>
          <w:tab w:val="left" w:pos="567"/>
        </w:tabs>
        <w:spacing w:after="0" w:line="240" w:lineRule="auto"/>
        <w:rPr>
          <w:rFonts w:ascii="Times New Roman" w:hAnsi="Times New Roman"/>
        </w:rPr>
      </w:pPr>
    </w:p>
    <w:p w:rsidR="00444C66" w:rsidRDefault="00444C66">
      <w:pPr>
        <w:widowControl w:val="0"/>
        <w:tabs>
          <w:tab w:val="left" w:pos="567"/>
        </w:tabs>
        <w:spacing w:after="0" w:line="240" w:lineRule="auto"/>
        <w:rPr>
          <w:rFonts w:ascii="Times New Roman" w:hAnsi="Times New Roman"/>
          <w:u w:val="single"/>
        </w:rPr>
      </w:pPr>
      <w:r>
        <w:rPr>
          <w:rFonts w:ascii="Times New Roman" w:hAnsi="Times New Roman"/>
          <w:u w:val="single"/>
        </w:rPr>
        <w:t>Nedažni šalutinio poveikio reiškiniai (gali pasireikšti rečiau kaip 1 iš 100 asmenų)</w:t>
      </w:r>
    </w:p>
    <w:p w:rsidR="00444C66" w:rsidRDefault="00444C66">
      <w:pPr>
        <w:widowControl w:val="0"/>
        <w:tabs>
          <w:tab w:val="left" w:pos="567"/>
        </w:tabs>
        <w:spacing w:after="0" w:line="240" w:lineRule="auto"/>
        <w:rPr>
          <w:rFonts w:ascii="Times New Roman" w:hAnsi="Times New Roman"/>
          <w:lang w:val="sl-SI"/>
        </w:rPr>
      </w:pPr>
      <w:r>
        <w:rPr>
          <w:rFonts w:ascii="Times New Roman" w:hAnsi="Times New Roman"/>
        </w:rPr>
        <w:t>Greitos alerginės reakcijos, kurios gali paveikti visą organizmą ir gali sukelti kvėpavimo problemų, taip pat staigus kraujospūdžio sumažėjimas, kuris gali sukelti net apalpimą (anafilaksinės reakcijos), galvos svaigimas, vėmimas, silpnumas, bloga savijauta, raumenų skausmas, odos išbėrimas, alerginis odos bėrimas, niežulys, egzantema (odos bėrimas), odos mazgeliai, angina (krūtinės skausmas ar nemalonūs pojūčiai krūtinėje).</w:t>
      </w:r>
    </w:p>
    <w:p w:rsidR="00444C66" w:rsidRDefault="00444C66">
      <w:pPr>
        <w:widowControl w:val="0"/>
        <w:tabs>
          <w:tab w:val="left" w:pos="567"/>
        </w:tabs>
        <w:spacing w:after="0" w:line="240" w:lineRule="auto"/>
        <w:rPr>
          <w:rFonts w:ascii="Times New Roman" w:hAnsi="Times New Roman"/>
          <w:lang w:val="sl-SI"/>
        </w:rPr>
      </w:pPr>
    </w:p>
    <w:p w:rsidR="00444C66" w:rsidRDefault="00444C66">
      <w:pPr>
        <w:widowControl w:val="0"/>
        <w:tabs>
          <w:tab w:val="left" w:pos="567"/>
        </w:tabs>
        <w:spacing w:after="0" w:line="240" w:lineRule="auto"/>
        <w:rPr>
          <w:rFonts w:ascii="Times New Roman" w:hAnsi="Times New Roman"/>
          <w:lang w:val="sl-SI"/>
        </w:rPr>
      </w:pPr>
      <w:r>
        <w:rPr>
          <w:rFonts w:ascii="Times New Roman" w:hAnsi="Times New Roman"/>
          <w:lang w:val="sl-SI"/>
        </w:rPr>
        <w:t>Kraujo tyrimuose buvo pastebėtas sumažėjęs kraujo plokštelių (trombocitų), kiekis (taip vadinamoji trombocitopenija).</w:t>
      </w:r>
    </w:p>
    <w:p w:rsidR="00444C66" w:rsidRDefault="00444C66">
      <w:pPr>
        <w:widowControl w:val="0"/>
        <w:tabs>
          <w:tab w:val="left" w:pos="567"/>
        </w:tabs>
        <w:spacing w:after="0" w:line="240" w:lineRule="auto"/>
        <w:rPr>
          <w:rFonts w:ascii="Times New Roman" w:hAnsi="Times New Roman"/>
        </w:rPr>
      </w:pPr>
    </w:p>
    <w:p w:rsidR="00444C66" w:rsidRDefault="00444C66">
      <w:pPr>
        <w:widowControl w:val="0"/>
        <w:tabs>
          <w:tab w:val="left" w:pos="567"/>
        </w:tabs>
        <w:spacing w:after="0" w:line="240" w:lineRule="auto"/>
        <w:rPr>
          <w:rFonts w:ascii="Times New Roman" w:hAnsi="Times New Roman"/>
          <w:u w:val="single"/>
        </w:rPr>
      </w:pPr>
      <w:r>
        <w:rPr>
          <w:rFonts w:ascii="Times New Roman" w:hAnsi="Times New Roman"/>
          <w:u w:val="single"/>
        </w:rPr>
        <w:t>Reti šalutinio poveikio reiškiniai (gali pasireikšti rečiau kaip 1 iš 1 000 asmenų):</w:t>
      </w:r>
    </w:p>
    <w:p w:rsidR="00444C66" w:rsidRDefault="00444C66">
      <w:pPr>
        <w:widowControl w:val="0"/>
        <w:tabs>
          <w:tab w:val="left" w:pos="567"/>
        </w:tabs>
        <w:spacing w:after="0" w:line="240" w:lineRule="auto"/>
        <w:rPr>
          <w:rFonts w:ascii="Times New Roman" w:hAnsi="Times New Roman"/>
        </w:rPr>
      </w:pPr>
      <w:r>
        <w:rPr>
          <w:rFonts w:ascii="Times New Roman" w:hAnsi="Times New Roman"/>
        </w:rPr>
        <w:t xml:space="preserve">Energijos stoka, raumenų skausmas, inkstų funkcijos sutrikimas, inkstų funkcijos nepakankamumas, </w:t>
      </w:r>
      <w:r w:rsidRPr="004F5963">
        <w:rPr>
          <w:rFonts w:ascii="Times New Roman" w:hAnsi="Times New Roman"/>
        </w:rPr>
        <w:t>žarnyno angioneurozinė edema: tinimas žarnyne, pasireiškiantis tokiais simptomais kaip pilvo skausmas, pykinimas, vėmimas ir viduriavimas.</w:t>
      </w:r>
    </w:p>
    <w:p w:rsidR="00444C66" w:rsidRDefault="00444C66">
      <w:pPr>
        <w:widowControl w:val="0"/>
        <w:tabs>
          <w:tab w:val="left" w:pos="567"/>
        </w:tabs>
        <w:spacing w:after="0" w:line="240" w:lineRule="auto"/>
        <w:rPr>
          <w:rFonts w:ascii="Times New Roman" w:hAnsi="Times New Roman"/>
        </w:rPr>
      </w:pPr>
    </w:p>
    <w:p w:rsidR="00444C66" w:rsidRDefault="00444C66">
      <w:pPr>
        <w:widowControl w:val="0"/>
        <w:tabs>
          <w:tab w:val="left" w:pos="567"/>
        </w:tabs>
        <w:spacing w:after="0" w:line="240" w:lineRule="auto"/>
        <w:rPr>
          <w:rFonts w:ascii="Times New Roman" w:hAnsi="Times New Roman"/>
        </w:rPr>
      </w:pPr>
      <w:r>
        <w:rPr>
          <w:rFonts w:ascii="Times New Roman" w:hAnsi="Times New Roman"/>
        </w:rPr>
        <w:t>Atsirado ir kai kurių kraujo tyrimų rodmenų pokyčių. Tokie pokyčiai yra</w:t>
      </w:r>
      <w:r>
        <w:rPr>
          <w:rFonts w:ascii="Times New Roman" w:hAnsi="Times New Roman"/>
          <w:lang w:val="sl-SI"/>
        </w:rPr>
        <w:t xml:space="preserve"> kalio kiekio padidėjimas kraujyje (hiperkaliemija) ir</w:t>
      </w:r>
      <w:r>
        <w:rPr>
          <w:rFonts w:ascii="Times New Roman" w:hAnsi="Times New Roman"/>
        </w:rPr>
        <w:t xml:space="preserve"> su inkstų funkcija susijusių medžiagų koncentracijų padidėjimas.</w:t>
      </w:r>
    </w:p>
    <w:p w:rsidR="00444C66" w:rsidRDefault="00444C66">
      <w:pPr>
        <w:widowControl w:val="0"/>
        <w:numPr>
          <w:ilvl w:val="12"/>
          <w:numId w:val="0"/>
        </w:numPr>
        <w:tabs>
          <w:tab w:val="left" w:pos="567"/>
        </w:tabs>
        <w:spacing w:after="0" w:line="240" w:lineRule="auto"/>
        <w:ind w:right="-2"/>
        <w:rPr>
          <w:rFonts w:ascii="Times New Roman" w:hAnsi="Times New Roman"/>
        </w:rPr>
      </w:pPr>
    </w:p>
    <w:p w:rsidR="00444C66" w:rsidRDefault="00444C66">
      <w:pPr>
        <w:widowControl w:val="0"/>
        <w:numPr>
          <w:ilvl w:val="12"/>
          <w:numId w:val="0"/>
        </w:numPr>
        <w:tabs>
          <w:tab w:val="left" w:pos="567"/>
        </w:tabs>
        <w:spacing w:after="0" w:line="240" w:lineRule="auto"/>
        <w:ind w:right="-2"/>
        <w:rPr>
          <w:rFonts w:ascii="Times New Roman" w:eastAsia="Times New Roman" w:hAnsi="Times New Roman"/>
          <w:b/>
          <w:lang w:eastAsia="sl-SI"/>
        </w:rPr>
      </w:pPr>
      <w:r>
        <w:rPr>
          <w:rFonts w:ascii="Times New Roman" w:eastAsia="Times New Roman" w:hAnsi="Times New Roman"/>
          <w:b/>
          <w:lang w:eastAsia="sl-SI"/>
        </w:rPr>
        <w:t>Kitas šalutinis poveikis, kuris gali pasireikšti vaikams ir paaugliams</w:t>
      </w:r>
    </w:p>
    <w:p w:rsidR="00444C66" w:rsidRDefault="00444C66">
      <w:pPr>
        <w:widowControl w:val="0"/>
        <w:numPr>
          <w:ilvl w:val="12"/>
          <w:numId w:val="0"/>
        </w:numPr>
        <w:tabs>
          <w:tab w:val="left" w:pos="567"/>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Šalutinis poveikis vaikams yra panašus pasireiškiantį suaugusiems. Tačiau galvos svaigimas ir galvos skausmas yra dažniau pasireiškiantis vaikams, o nosies kraujavimas yra dažnas šalutinis poveikis pastebėtas tik vaikams.</w:t>
      </w:r>
    </w:p>
    <w:p w:rsidR="00444C66" w:rsidRDefault="00444C66">
      <w:pPr>
        <w:widowControl w:val="0"/>
        <w:numPr>
          <w:ilvl w:val="12"/>
          <w:numId w:val="0"/>
        </w:numPr>
        <w:tabs>
          <w:tab w:val="left" w:pos="567"/>
        </w:tabs>
        <w:spacing w:after="0" w:line="240" w:lineRule="auto"/>
        <w:ind w:right="-2"/>
        <w:rPr>
          <w:rFonts w:ascii="Times New Roman" w:eastAsia="Times New Roman" w:hAnsi="Times New Roman"/>
          <w:b/>
          <w:lang w:eastAsia="sl-SI"/>
        </w:rPr>
      </w:pPr>
    </w:p>
    <w:p w:rsidR="00444C66" w:rsidRDefault="00444C66">
      <w:pPr>
        <w:widowControl w:val="0"/>
        <w:tabs>
          <w:tab w:val="left" w:pos="567"/>
        </w:tabs>
        <w:spacing w:after="0" w:line="240" w:lineRule="auto"/>
        <w:rPr>
          <w:rFonts w:ascii="Times New Roman" w:hAnsi="Times New Roman"/>
          <w:b/>
        </w:rPr>
      </w:pPr>
      <w:r>
        <w:rPr>
          <w:rFonts w:ascii="Times New Roman" w:hAnsi="Times New Roman"/>
          <w:b/>
        </w:rPr>
        <w:t>Pranešimas apie šalutinį poveikį</w:t>
      </w:r>
    </w:p>
    <w:p w:rsidR="00444C66" w:rsidRDefault="00444C66">
      <w:pPr>
        <w:widowControl w:val="0"/>
        <w:tabs>
          <w:tab w:val="left" w:pos="567"/>
        </w:tabs>
        <w:spacing w:after="0" w:line="240" w:lineRule="auto"/>
        <w:ind w:right="-449"/>
        <w:rPr>
          <w:rFonts w:ascii="Times New Roman" w:hAnsi="Times New Roman"/>
        </w:rPr>
      </w:pPr>
      <w:r>
        <w:rPr>
          <w:rFonts w:ascii="Times New Roman" w:hAnsi="Times New Roman"/>
        </w:rPr>
        <w:t>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NepageidaujamaR@vvkt.lt) arba nemokamu telefonu 8 800 73 568. Pranešdami apie šalutinį poveikį galite mums padėti gauti daugiau informacijos apie šio vaisto saugumą..</w:t>
      </w:r>
    </w:p>
    <w:p w:rsidR="00444C66" w:rsidRDefault="00444C66">
      <w:pPr>
        <w:widowControl w:val="0"/>
        <w:numPr>
          <w:ilvl w:val="12"/>
          <w:numId w:val="0"/>
        </w:numPr>
        <w:tabs>
          <w:tab w:val="left" w:pos="567"/>
        </w:tabs>
        <w:spacing w:after="0" w:line="240" w:lineRule="auto"/>
        <w:ind w:right="-2"/>
        <w:rPr>
          <w:rFonts w:ascii="Times New Roman" w:hAnsi="Times New Roman"/>
        </w:rPr>
      </w:pPr>
    </w:p>
    <w:p w:rsidR="00444C66" w:rsidRDefault="00444C66">
      <w:pPr>
        <w:widowControl w:val="0"/>
        <w:numPr>
          <w:ilvl w:val="12"/>
          <w:numId w:val="0"/>
        </w:numPr>
        <w:tabs>
          <w:tab w:val="left" w:pos="567"/>
        </w:tabs>
        <w:spacing w:after="0" w:line="240" w:lineRule="auto"/>
        <w:ind w:right="-2"/>
        <w:rPr>
          <w:rFonts w:ascii="Times New Roman" w:hAnsi="Times New Roman"/>
        </w:rPr>
      </w:pPr>
    </w:p>
    <w:p w:rsidR="00444C66" w:rsidRDefault="00444C66">
      <w:pPr>
        <w:widowControl w:val="0"/>
        <w:numPr>
          <w:ilvl w:val="12"/>
          <w:numId w:val="0"/>
        </w:numPr>
        <w:spacing w:after="0" w:line="240" w:lineRule="auto"/>
        <w:ind w:left="567" w:right="-2" w:hanging="567"/>
        <w:rPr>
          <w:rFonts w:ascii="Times New Roman" w:hAnsi="Times New Roman"/>
        </w:rPr>
      </w:pPr>
      <w:r>
        <w:rPr>
          <w:rFonts w:ascii="Times New Roman" w:hAnsi="Times New Roman"/>
          <w:b/>
        </w:rPr>
        <w:t>5.</w:t>
      </w:r>
      <w:r>
        <w:rPr>
          <w:rFonts w:ascii="Times New Roman" w:hAnsi="Times New Roman"/>
          <w:b/>
        </w:rPr>
        <w:tab/>
        <w:t>Kaip laikyti Olimestra</w:t>
      </w:r>
    </w:p>
    <w:p w:rsidR="00444C66" w:rsidRDefault="00444C66">
      <w:pPr>
        <w:widowControl w:val="0"/>
        <w:numPr>
          <w:ilvl w:val="12"/>
          <w:numId w:val="0"/>
        </w:numPr>
        <w:tabs>
          <w:tab w:val="left" w:pos="567"/>
        </w:tabs>
        <w:spacing w:after="0" w:line="240" w:lineRule="auto"/>
        <w:ind w:right="-2"/>
        <w:rPr>
          <w:rFonts w:ascii="Times New Roman" w:hAnsi="Times New Roman"/>
        </w:rPr>
      </w:pPr>
    </w:p>
    <w:p w:rsidR="00444C66" w:rsidRDefault="00444C66">
      <w:pPr>
        <w:widowControl w:val="0"/>
        <w:numPr>
          <w:ilvl w:val="12"/>
          <w:numId w:val="0"/>
        </w:numPr>
        <w:tabs>
          <w:tab w:val="left" w:pos="567"/>
        </w:tabs>
        <w:spacing w:after="0" w:line="240" w:lineRule="auto"/>
        <w:ind w:right="-2"/>
        <w:rPr>
          <w:rFonts w:ascii="Times New Roman" w:hAnsi="Times New Roman"/>
        </w:rPr>
      </w:pPr>
      <w:r>
        <w:rPr>
          <w:rFonts w:ascii="Times New Roman" w:hAnsi="Times New Roman"/>
        </w:rPr>
        <w:t>Šį vaistą laikykite vaikams nepastebimoje ir nepasiekiamoje vietoje.</w:t>
      </w:r>
    </w:p>
    <w:p w:rsidR="00444C66" w:rsidRDefault="00444C66">
      <w:pPr>
        <w:widowControl w:val="0"/>
        <w:numPr>
          <w:ilvl w:val="12"/>
          <w:numId w:val="0"/>
        </w:numPr>
        <w:tabs>
          <w:tab w:val="left" w:pos="567"/>
        </w:tabs>
        <w:spacing w:after="0" w:line="240" w:lineRule="auto"/>
        <w:ind w:right="-2"/>
        <w:rPr>
          <w:rFonts w:ascii="Times New Roman" w:hAnsi="Times New Roman"/>
        </w:rPr>
      </w:pPr>
    </w:p>
    <w:p w:rsidR="00444C66" w:rsidRDefault="00444C66">
      <w:pPr>
        <w:widowControl w:val="0"/>
        <w:numPr>
          <w:ilvl w:val="12"/>
          <w:numId w:val="0"/>
        </w:numPr>
        <w:tabs>
          <w:tab w:val="left" w:pos="567"/>
        </w:tabs>
        <w:spacing w:after="0" w:line="240" w:lineRule="auto"/>
        <w:ind w:right="-2"/>
        <w:rPr>
          <w:rFonts w:ascii="Times New Roman" w:hAnsi="Times New Roman"/>
        </w:rPr>
      </w:pPr>
      <w:r>
        <w:rPr>
          <w:rFonts w:ascii="Times New Roman" w:hAnsi="Times New Roman"/>
        </w:rPr>
        <w:t xml:space="preserve">Ant dėžutės, tablečių talpyklės ir lizdinės plokštelės po </w:t>
      </w:r>
      <w:r>
        <w:rPr>
          <w:rFonts w:ascii="Times New Roman" w:hAnsi="Times New Roman"/>
          <w:highlight w:val="lightGray"/>
        </w:rPr>
        <w:t>„Tinka iki“</w:t>
      </w:r>
      <w:r>
        <w:rPr>
          <w:rFonts w:ascii="Times New Roman" w:hAnsi="Times New Roman"/>
        </w:rPr>
        <w:t>/ „EXP“ nurodytam tinkamumo laikui pasibaigus, šio vaisto vartoti draudžiama. Vaistas tinkamas vartoti iki paskutinės nurodyto mėnesio dienos.</w:t>
      </w:r>
    </w:p>
    <w:p w:rsidR="00444C66" w:rsidRDefault="00444C66">
      <w:pPr>
        <w:widowControl w:val="0"/>
        <w:numPr>
          <w:ilvl w:val="12"/>
          <w:numId w:val="0"/>
        </w:numPr>
        <w:tabs>
          <w:tab w:val="left" w:pos="567"/>
        </w:tabs>
        <w:spacing w:after="0" w:line="240" w:lineRule="auto"/>
        <w:ind w:right="-2"/>
        <w:rPr>
          <w:rFonts w:ascii="Times New Roman" w:hAnsi="Times New Roman"/>
        </w:rPr>
      </w:pPr>
    </w:p>
    <w:p w:rsidR="00444C66" w:rsidRDefault="00444C66">
      <w:pPr>
        <w:widowControl w:val="0"/>
        <w:tabs>
          <w:tab w:val="left" w:pos="567"/>
        </w:tabs>
        <w:spacing w:after="0" w:line="240" w:lineRule="auto"/>
        <w:rPr>
          <w:rFonts w:ascii="Times New Roman" w:hAnsi="Times New Roman"/>
        </w:rPr>
      </w:pPr>
      <w:r>
        <w:rPr>
          <w:rFonts w:ascii="Times New Roman" w:hAnsi="Times New Roman"/>
        </w:rPr>
        <w:t xml:space="preserve">Šiam </w:t>
      </w:r>
      <w:r>
        <w:rPr>
          <w:rFonts w:ascii="Times New Roman" w:eastAsia="Times New Roman" w:hAnsi="Times New Roman"/>
          <w:lang w:eastAsia="sl-SI"/>
        </w:rPr>
        <w:t>vaistui</w:t>
      </w:r>
      <w:r>
        <w:rPr>
          <w:rFonts w:ascii="Times New Roman" w:hAnsi="Times New Roman"/>
        </w:rPr>
        <w:t xml:space="preserve"> specialių laikymo sąlygų nereikia.</w:t>
      </w:r>
    </w:p>
    <w:p w:rsidR="00444C66" w:rsidRDefault="00444C66">
      <w:pPr>
        <w:widowControl w:val="0"/>
        <w:tabs>
          <w:tab w:val="left" w:pos="567"/>
        </w:tabs>
        <w:spacing w:after="0" w:line="240" w:lineRule="auto"/>
        <w:rPr>
          <w:rFonts w:ascii="Times New Roman" w:hAnsi="Times New Roman"/>
        </w:rPr>
      </w:pPr>
    </w:p>
    <w:p w:rsidR="00444C66" w:rsidRDefault="00444C66">
      <w:pPr>
        <w:widowControl w:val="0"/>
        <w:numPr>
          <w:ilvl w:val="12"/>
          <w:numId w:val="0"/>
        </w:numPr>
        <w:tabs>
          <w:tab w:val="left" w:pos="567"/>
        </w:tabs>
        <w:spacing w:after="0" w:line="240" w:lineRule="auto"/>
        <w:ind w:right="-2"/>
        <w:rPr>
          <w:rFonts w:ascii="Times New Roman" w:hAnsi="Times New Roman"/>
        </w:rPr>
      </w:pPr>
      <w:r>
        <w:rPr>
          <w:rFonts w:ascii="Times New Roman" w:hAnsi="Times New Roman"/>
        </w:rPr>
        <w:t>Vaistų negalima išmesti į kanalizaciją arba su buitinėmis atliekomis. Kaip išmesti nereikalingus vaistus, klauskite vaistininko. Šios priemonės padės apsaugoti aplinką.</w:t>
      </w:r>
    </w:p>
    <w:p w:rsidR="00444C66" w:rsidRDefault="00444C66">
      <w:pPr>
        <w:widowControl w:val="0"/>
        <w:numPr>
          <w:ilvl w:val="12"/>
          <w:numId w:val="0"/>
        </w:numPr>
        <w:tabs>
          <w:tab w:val="left" w:pos="567"/>
        </w:tabs>
        <w:spacing w:after="0" w:line="240" w:lineRule="auto"/>
        <w:ind w:right="-2"/>
        <w:rPr>
          <w:rFonts w:ascii="Times New Roman" w:hAnsi="Times New Roman"/>
        </w:rPr>
      </w:pPr>
    </w:p>
    <w:p w:rsidR="00444C66" w:rsidRDefault="00444C66">
      <w:pPr>
        <w:widowControl w:val="0"/>
        <w:numPr>
          <w:ilvl w:val="12"/>
          <w:numId w:val="0"/>
        </w:numPr>
        <w:tabs>
          <w:tab w:val="left" w:pos="567"/>
        </w:tabs>
        <w:spacing w:after="0" w:line="240" w:lineRule="auto"/>
        <w:ind w:right="-2"/>
        <w:rPr>
          <w:rFonts w:ascii="Times New Roman" w:hAnsi="Times New Roman"/>
        </w:rPr>
      </w:pPr>
    </w:p>
    <w:p w:rsidR="00444C66" w:rsidRDefault="00444C66">
      <w:pPr>
        <w:widowControl w:val="0"/>
        <w:numPr>
          <w:ilvl w:val="12"/>
          <w:numId w:val="0"/>
        </w:numPr>
        <w:spacing w:after="0" w:line="240" w:lineRule="auto"/>
        <w:ind w:left="567" w:hanging="567"/>
        <w:rPr>
          <w:rFonts w:ascii="Times New Roman" w:hAnsi="Times New Roman"/>
          <w:b/>
        </w:rPr>
      </w:pPr>
      <w:r>
        <w:rPr>
          <w:rFonts w:ascii="Times New Roman" w:hAnsi="Times New Roman"/>
          <w:b/>
        </w:rPr>
        <w:t>6.</w:t>
      </w:r>
      <w:r>
        <w:rPr>
          <w:rFonts w:ascii="Times New Roman" w:hAnsi="Times New Roman"/>
          <w:b/>
        </w:rPr>
        <w:tab/>
        <w:t>Pakuotės turinys ir kita informacija</w:t>
      </w:r>
    </w:p>
    <w:p w:rsidR="00444C66" w:rsidRDefault="00444C66">
      <w:pPr>
        <w:widowControl w:val="0"/>
        <w:numPr>
          <w:ilvl w:val="12"/>
          <w:numId w:val="0"/>
        </w:numPr>
        <w:tabs>
          <w:tab w:val="left" w:pos="567"/>
        </w:tabs>
        <w:spacing w:after="0" w:line="240" w:lineRule="auto"/>
        <w:ind w:right="-2"/>
        <w:rPr>
          <w:rFonts w:ascii="Times New Roman" w:hAnsi="Times New Roman"/>
        </w:rPr>
      </w:pPr>
    </w:p>
    <w:p w:rsidR="00444C66" w:rsidRDefault="00444C66">
      <w:pPr>
        <w:widowControl w:val="0"/>
        <w:numPr>
          <w:ilvl w:val="12"/>
          <w:numId w:val="0"/>
        </w:numPr>
        <w:tabs>
          <w:tab w:val="left" w:pos="567"/>
        </w:tabs>
        <w:spacing w:after="0" w:line="240" w:lineRule="auto"/>
        <w:ind w:right="-2"/>
        <w:rPr>
          <w:rFonts w:ascii="Times New Roman" w:hAnsi="Times New Roman"/>
          <w:b/>
        </w:rPr>
      </w:pPr>
      <w:r>
        <w:rPr>
          <w:rFonts w:ascii="Times New Roman" w:hAnsi="Times New Roman"/>
          <w:b/>
        </w:rPr>
        <w:t>Olimestra sudėtis</w:t>
      </w:r>
    </w:p>
    <w:p w:rsidR="00444C66" w:rsidRDefault="00444C66">
      <w:pPr>
        <w:widowControl w:val="0"/>
        <w:numPr>
          <w:ilvl w:val="0"/>
          <w:numId w:val="45"/>
        </w:numPr>
        <w:spacing w:after="0" w:line="240" w:lineRule="auto"/>
        <w:ind w:left="567" w:hanging="567"/>
        <w:rPr>
          <w:rFonts w:ascii="Times New Roman" w:hAnsi="Times New Roman"/>
        </w:rPr>
      </w:pPr>
      <w:r>
        <w:rPr>
          <w:rFonts w:ascii="Times New Roman" w:hAnsi="Times New Roman"/>
        </w:rPr>
        <w:t>Veiklioji medžiaga yra olmesartanas medoksomilis.</w:t>
      </w:r>
    </w:p>
    <w:p w:rsidR="00444C66" w:rsidRDefault="00444C66">
      <w:pPr>
        <w:widowControl w:val="0"/>
        <w:spacing w:after="0" w:line="240" w:lineRule="auto"/>
        <w:ind w:left="567"/>
        <w:rPr>
          <w:rFonts w:ascii="Times New Roman" w:hAnsi="Times New Roman"/>
        </w:rPr>
      </w:pPr>
      <w:r>
        <w:rPr>
          <w:rFonts w:ascii="Times New Roman" w:hAnsi="Times New Roman"/>
        </w:rPr>
        <w:t>Kiekvienoje Olimestra 10 mg plėvele dengtoje tabletėje yra 10 mg olmesartano medoksomilio.</w:t>
      </w:r>
    </w:p>
    <w:p w:rsidR="00444C66" w:rsidRDefault="00444C66">
      <w:pPr>
        <w:widowControl w:val="0"/>
        <w:spacing w:after="0" w:line="240" w:lineRule="auto"/>
        <w:ind w:left="567"/>
        <w:rPr>
          <w:rFonts w:ascii="Times New Roman" w:hAnsi="Times New Roman"/>
        </w:rPr>
      </w:pPr>
      <w:r>
        <w:rPr>
          <w:rFonts w:ascii="Times New Roman" w:hAnsi="Times New Roman"/>
          <w:highlight w:val="lightGray"/>
        </w:rPr>
        <w:t>Kiekvienoje Olimestra 20 mg plėvele dengtoje tabletėje yra 20 mg olmesartano medoksomilio.</w:t>
      </w:r>
    </w:p>
    <w:p w:rsidR="00444C66" w:rsidRDefault="00444C66">
      <w:pPr>
        <w:widowControl w:val="0"/>
        <w:spacing w:after="0" w:line="240" w:lineRule="auto"/>
        <w:ind w:left="567"/>
        <w:rPr>
          <w:rFonts w:ascii="Times New Roman" w:hAnsi="Times New Roman"/>
        </w:rPr>
      </w:pPr>
      <w:r>
        <w:rPr>
          <w:rFonts w:ascii="Times New Roman" w:hAnsi="Times New Roman"/>
          <w:highlight w:val="darkGray"/>
        </w:rPr>
        <w:t>Kiekvienoje Olimestra 40 mg plėvele dengtoje tabletėje yra 40 mg olmesartano medoksomilio.</w:t>
      </w:r>
    </w:p>
    <w:p w:rsidR="00444C66" w:rsidRDefault="00444C66">
      <w:pPr>
        <w:widowControl w:val="0"/>
        <w:numPr>
          <w:ilvl w:val="0"/>
          <w:numId w:val="45"/>
        </w:numPr>
        <w:spacing w:after="0" w:line="240" w:lineRule="auto"/>
        <w:ind w:left="567" w:right="-2" w:hanging="567"/>
        <w:rPr>
          <w:rFonts w:ascii="Times New Roman" w:hAnsi="Times New Roman"/>
        </w:rPr>
      </w:pPr>
      <w:r>
        <w:rPr>
          <w:rFonts w:ascii="Times New Roman" w:hAnsi="Times New Roman"/>
        </w:rPr>
        <w:t>Pagalbinės medžiagos. Tabletės branduolys: mikrokristalinė celiuliozė, laktozė monohidratas, mažai pakeista hidroksipropilceliuliozė ir magnio stearatas. Tabletės plėvelė: titano dioksidas, talkas, makrogolis 3000 ir dalinai hidrolizuotas polivinilo alkoholis</w:t>
      </w:r>
      <w:r>
        <w:rPr>
          <w:rFonts w:ascii="Times New Roman" w:eastAsia="Times New Roman" w:hAnsi="Times New Roman"/>
          <w:lang w:eastAsia="sl-SI"/>
        </w:rPr>
        <w:t xml:space="preserve"> (žr. 2 skyrių). Žr. 2 skyrių „Olimestra sudėtyje yra laktozės“.</w:t>
      </w:r>
    </w:p>
    <w:p w:rsidR="00444C66" w:rsidRDefault="00444C66">
      <w:pPr>
        <w:widowControl w:val="0"/>
        <w:tabs>
          <w:tab w:val="left" w:pos="567"/>
        </w:tabs>
        <w:spacing w:after="0" w:line="240" w:lineRule="auto"/>
        <w:ind w:right="-2"/>
        <w:rPr>
          <w:rFonts w:ascii="Times New Roman" w:hAnsi="Times New Roman"/>
        </w:rPr>
      </w:pPr>
    </w:p>
    <w:p w:rsidR="00444C66" w:rsidRDefault="00444C66">
      <w:pPr>
        <w:widowControl w:val="0"/>
        <w:numPr>
          <w:ilvl w:val="12"/>
          <w:numId w:val="0"/>
        </w:numPr>
        <w:tabs>
          <w:tab w:val="left" w:pos="567"/>
        </w:tabs>
        <w:spacing w:after="0" w:line="240" w:lineRule="auto"/>
        <w:ind w:right="-2"/>
        <w:rPr>
          <w:rFonts w:ascii="Times New Roman" w:hAnsi="Times New Roman"/>
          <w:b/>
        </w:rPr>
      </w:pPr>
      <w:r>
        <w:rPr>
          <w:rFonts w:ascii="Times New Roman" w:hAnsi="Times New Roman"/>
          <w:b/>
        </w:rPr>
        <w:t>Olimestra išvaizda ir kiekis pakuotėje</w:t>
      </w:r>
    </w:p>
    <w:p w:rsidR="00444C66" w:rsidRDefault="00444C66">
      <w:pPr>
        <w:widowControl w:val="0"/>
        <w:tabs>
          <w:tab w:val="left" w:pos="567"/>
        </w:tabs>
        <w:spacing w:after="0" w:line="240" w:lineRule="auto"/>
        <w:rPr>
          <w:rFonts w:ascii="Times New Roman" w:hAnsi="Times New Roman"/>
        </w:rPr>
      </w:pPr>
      <w:r>
        <w:rPr>
          <w:rFonts w:ascii="Times New Roman" w:hAnsi="Times New Roman"/>
        </w:rPr>
        <w:t>10 mg plėvele dengtos tabletės yra baltos spalvos, apvalios, šiek tiek abipus išgaubtos. Vienoje tabletės pusėje yra įspaustas užrašas „S1“, tabletės skersmuo 6,5 mm.</w:t>
      </w:r>
    </w:p>
    <w:p w:rsidR="00444C66" w:rsidRDefault="00444C66">
      <w:pPr>
        <w:widowControl w:val="0"/>
        <w:tabs>
          <w:tab w:val="left" w:pos="567"/>
        </w:tabs>
        <w:spacing w:after="0" w:line="240" w:lineRule="auto"/>
        <w:rPr>
          <w:rFonts w:ascii="Times New Roman" w:hAnsi="Times New Roman"/>
        </w:rPr>
      </w:pPr>
      <w:r>
        <w:rPr>
          <w:rFonts w:ascii="Times New Roman" w:hAnsi="Times New Roman"/>
          <w:highlight w:val="lightGray"/>
        </w:rPr>
        <w:t>20 mg plėvele dengtos tabletės yra baltos spalvos, apvalios, šiek tiek abipus išgaubtos.</w:t>
      </w:r>
      <w:r>
        <w:rPr>
          <w:rFonts w:ascii="Times New Roman" w:hAnsi="Times New Roman"/>
          <w:highlight w:val="lightGray"/>
          <w:shd w:val="clear" w:color="auto" w:fill="E6E6E6"/>
        </w:rPr>
        <w:t xml:space="preserve"> Vienoje tabletės pusėje yra įspaustas užrašas „S2“, tabletės skersmuo 8 mm.</w:t>
      </w:r>
    </w:p>
    <w:p w:rsidR="00444C66" w:rsidRDefault="00444C66">
      <w:pPr>
        <w:widowControl w:val="0"/>
        <w:tabs>
          <w:tab w:val="left" w:pos="567"/>
        </w:tabs>
        <w:spacing w:after="0" w:line="240" w:lineRule="auto"/>
        <w:rPr>
          <w:rFonts w:ascii="Times New Roman" w:hAnsi="Times New Roman"/>
        </w:rPr>
      </w:pPr>
      <w:r>
        <w:rPr>
          <w:rFonts w:ascii="Times New Roman" w:hAnsi="Times New Roman"/>
          <w:highlight w:val="darkGray"/>
        </w:rPr>
        <w:t>40 mg plėvele dengtos tabletės yra baltos spalvos, ovalo formos, abipus išgaubtos.</w:t>
      </w:r>
      <w:r>
        <w:rPr>
          <w:rFonts w:ascii="Times New Roman" w:hAnsi="Times New Roman"/>
          <w:highlight w:val="darkGray"/>
          <w:shd w:val="clear" w:color="auto" w:fill="C0C0C0"/>
        </w:rPr>
        <w:t xml:space="preserve"> Vienoje tabletės pusėje yra įspaustas užrašas „S3“, tabletės dydis 13x8 mm.</w:t>
      </w:r>
    </w:p>
    <w:p w:rsidR="00444C66" w:rsidRDefault="00444C66">
      <w:pPr>
        <w:widowControl w:val="0"/>
        <w:numPr>
          <w:ilvl w:val="12"/>
          <w:numId w:val="0"/>
        </w:numPr>
        <w:tabs>
          <w:tab w:val="left" w:pos="567"/>
        </w:tabs>
        <w:spacing w:after="0" w:line="240" w:lineRule="auto"/>
        <w:ind w:right="-2"/>
        <w:rPr>
          <w:rFonts w:ascii="Times New Roman" w:hAnsi="Times New Roman"/>
          <w:b/>
        </w:rPr>
      </w:pPr>
    </w:p>
    <w:p w:rsidR="00444C66" w:rsidRDefault="00444C66">
      <w:pPr>
        <w:widowControl w:val="0"/>
        <w:numPr>
          <w:ilvl w:val="12"/>
          <w:numId w:val="0"/>
        </w:numPr>
        <w:tabs>
          <w:tab w:val="left" w:pos="567"/>
        </w:tabs>
        <w:spacing w:after="0" w:line="240" w:lineRule="auto"/>
        <w:ind w:right="-2"/>
        <w:rPr>
          <w:rFonts w:ascii="Times New Roman" w:hAnsi="Times New Roman"/>
        </w:rPr>
      </w:pPr>
      <w:r>
        <w:rPr>
          <w:rFonts w:ascii="Times New Roman" w:hAnsi="Times New Roman"/>
        </w:rPr>
        <w:t>Tiekiamos Olimestra 10 mg, 20 mg ir 40 mg plėvele dengtų tablečių dėžutės, kuriose yra 10, 14, 28, 30, 56, 60, 84, 90, 98 arba 100 plėvele dengtų tablečių lizdinėse plokštelėse ir 100 plėvele dengtų tablečių talpyklės.</w:t>
      </w:r>
    </w:p>
    <w:p w:rsidR="00444C66" w:rsidRDefault="00444C66">
      <w:pPr>
        <w:widowControl w:val="0"/>
        <w:numPr>
          <w:ilvl w:val="12"/>
          <w:numId w:val="0"/>
        </w:numPr>
        <w:tabs>
          <w:tab w:val="left" w:pos="567"/>
        </w:tabs>
        <w:spacing w:after="0" w:line="240" w:lineRule="auto"/>
        <w:ind w:right="-2"/>
        <w:rPr>
          <w:rFonts w:ascii="Times New Roman" w:hAnsi="Times New Roman"/>
          <w:b/>
        </w:rPr>
      </w:pPr>
    </w:p>
    <w:p w:rsidR="00444C66" w:rsidRDefault="00444C66">
      <w:pPr>
        <w:widowControl w:val="0"/>
        <w:tabs>
          <w:tab w:val="left" w:pos="567"/>
        </w:tabs>
        <w:spacing w:after="0" w:line="240" w:lineRule="auto"/>
        <w:rPr>
          <w:rFonts w:ascii="Times New Roman" w:hAnsi="Times New Roman"/>
        </w:rPr>
      </w:pPr>
      <w:r>
        <w:rPr>
          <w:rFonts w:ascii="Times New Roman" w:hAnsi="Times New Roman"/>
        </w:rPr>
        <w:t>Gali būti tiekiamos ne visų dydžių pakuotės.</w:t>
      </w:r>
    </w:p>
    <w:p w:rsidR="00444C66" w:rsidRDefault="00444C66">
      <w:pPr>
        <w:widowControl w:val="0"/>
        <w:numPr>
          <w:ilvl w:val="12"/>
          <w:numId w:val="0"/>
        </w:numPr>
        <w:tabs>
          <w:tab w:val="left" w:pos="567"/>
        </w:tabs>
        <w:spacing w:after="0" w:line="240" w:lineRule="auto"/>
        <w:ind w:right="-2"/>
        <w:rPr>
          <w:rFonts w:ascii="Times New Roman" w:hAnsi="Times New Roman"/>
          <w:b/>
        </w:rPr>
      </w:pPr>
    </w:p>
    <w:p w:rsidR="00444C66" w:rsidRDefault="00444C66">
      <w:pPr>
        <w:widowControl w:val="0"/>
        <w:numPr>
          <w:ilvl w:val="12"/>
          <w:numId w:val="0"/>
        </w:numPr>
        <w:spacing w:after="0" w:line="240" w:lineRule="auto"/>
        <w:ind w:right="-2"/>
        <w:rPr>
          <w:rFonts w:ascii="Times New Roman" w:hAnsi="Times New Roman"/>
          <w:b/>
        </w:rPr>
      </w:pPr>
      <w:r>
        <w:rPr>
          <w:rFonts w:ascii="Times New Roman" w:eastAsia="Times New Roman" w:hAnsi="Times New Roman"/>
          <w:b/>
          <w:bCs/>
          <w:lang w:eastAsia="sl-SI"/>
        </w:rPr>
        <w:t>Registruotojas</w:t>
      </w:r>
      <w:r>
        <w:rPr>
          <w:rFonts w:ascii="Times New Roman" w:hAnsi="Times New Roman"/>
          <w:b/>
        </w:rPr>
        <w:t xml:space="preserve"> ir gamintojas</w:t>
      </w:r>
    </w:p>
    <w:p w:rsidR="00444C66" w:rsidRDefault="00444C66">
      <w:pPr>
        <w:widowControl w:val="0"/>
        <w:autoSpaceDE w:val="0"/>
        <w:autoSpaceDN w:val="0"/>
        <w:adjustRightInd w:val="0"/>
        <w:spacing w:after="0" w:line="240" w:lineRule="auto"/>
        <w:jc w:val="both"/>
        <w:rPr>
          <w:rFonts w:ascii="Times New Roman" w:hAnsi="Times New Roman"/>
        </w:rPr>
      </w:pPr>
      <w:r>
        <w:rPr>
          <w:rFonts w:ascii="Times New Roman" w:hAnsi="Times New Roman"/>
        </w:rPr>
        <w:t>KRKA, d.d., Novo mesto</w:t>
      </w:r>
    </w:p>
    <w:p w:rsidR="00444C66" w:rsidRDefault="00444C66">
      <w:pPr>
        <w:widowControl w:val="0"/>
        <w:autoSpaceDE w:val="0"/>
        <w:autoSpaceDN w:val="0"/>
        <w:adjustRightInd w:val="0"/>
        <w:spacing w:after="0" w:line="240" w:lineRule="auto"/>
        <w:jc w:val="both"/>
        <w:rPr>
          <w:rFonts w:ascii="Times New Roman" w:hAnsi="Times New Roman"/>
        </w:rPr>
      </w:pPr>
      <w:r>
        <w:rPr>
          <w:rFonts w:ascii="Times New Roman" w:hAnsi="Times New Roman"/>
        </w:rPr>
        <w:t>Šmarješka cesta 6</w:t>
      </w:r>
    </w:p>
    <w:p w:rsidR="00444C66" w:rsidRDefault="00444C66">
      <w:pPr>
        <w:widowControl w:val="0"/>
        <w:autoSpaceDE w:val="0"/>
        <w:autoSpaceDN w:val="0"/>
        <w:adjustRightInd w:val="0"/>
        <w:spacing w:after="0" w:line="240" w:lineRule="auto"/>
        <w:jc w:val="both"/>
        <w:rPr>
          <w:rFonts w:ascii="Times New Roman" w:hAnsi="Times New Roman"/>
        </w:rPr>
      </w:pPr>
      <w:r>
        <w:rPr>
          <w:rFonts w:ascii="Times New Roman" w:hAnsi="Times New Roman"/>
        </w:rPr>
        <w:t>8501 Novo mesto</w:t>
      </w:r>
    </w:p>
    <w:p w:rsidR="00444C66" w:rsidRDefault="00444C66">
      <w:pPr>
        <w:widowControl w:val="0"/>
        <w:autoSpaceDE w:val="0"/>
        <w:autoSpaceDN w:val="0"/>
        <w:adjustRightInd w:val="0"/>
        <w:spacing w:after="0" w:line="240" w:lineRule="auto"/>
        <w:jc w:val="both"/>
        <w:rPr>
          <w:rFonts w:ascii="Times New Roman" w:hAnsi="Times New Roman"/>
        </w:rPr>
      </w:pPr>
      <w:r>
        <w:rPr>
          <w:rFonts w:ascii="Times New Roman" w:hAnsi="Times New Roman"/>
        </w:rPr>
        <w:t>Slovėnija</w:t>
      </w:r>
    </w:p>
    <w:p w:rsidR="00444C66" w:rsidRDefault="00444C66">
      <w:pPr>
        <w:widowControl w:val="0"/>
        <w:tabs>
          <w:tab w:val="left" w:pos="540"/>
          <w:tab w:val="left" w:pos="2977"/>
        </w:tabs>
        <w:spacing w:after="0" w:line="240" w:lineRule="auto"/>
        <w:rPr>
          <w:rFonts w:ascii="Times New Roman" w:hAnsi="Times New Roman"/>
        </w:rPr>
      </w:pPr>
    </w:p>
    <w:p w:rsidR="00444C66" w:rsidRDefault="00444C66">
      <w:pPr>
        <w:widowControl w:val="0"/>
        <w:tabs>
          <w:tab w:val="left" w:pos="540"/>
          <w:tab w:val="left" w:pos="2977"/>
        </w:tabs>
        <w:spacing w:after="0" w:line="240" w:lineRule="auto"/>
        <w:rPr>
          <w:rFonts w:ascii="Times New Roman" w:hAnsi="Times New Roman"/>
        </w:rPr>
      </w:pPr>
      <w:r>
        <w:rPr>
          <w:rFonts w:ascii="Times New Roman" w:hAnsi="Times New Roman"/>
        </w:rPr>
        <w:t xml:space="preserve">Jeigu apie šį vaistą norite sužinoti daugiau, kreipkitės į vietinį </w:t>
      </w:r>
      <w:r>
        <w:rPr>
          <w:rFonts w:ascii="Times New Roman" w:eastAsia="Times New Roman" w:hAnsi="Times New Roman"/>
          <w:lang w:eastAsia="lt-LT"/>
        </w:rPr>
        <w:t>registruotojo</w:t>
      </w:r>
      <w:r>
        <w:rPr>
          <w:rFonts w:ascii="Times New Roman" w:hAnsi="Times New Roman"/>
        </w:rPr>
        <w:t xml:space="preserve"> atstovą.</w:t>
      </w:r>
    </w:p>
    <w:p w:rsidR="00444C66" w:rsidRDefault="00444C66">
      <w:pPr>
        <w:widowControl w:val="0"/>
        <w:spacing w:after="0" w:line="240" w:lineRule="auto"/>
        <w:rPr>
          <w:rFonts w:ascii="Times New Roman" w:hAnsi="Times New Roman"/>
        </w:rPr>
      </w:pPr>
    </w:p>
    <w:tbl>
      <w:tblPr>
        <w:tblW w:w="4678" w:type="dxa"/>
        <w:tblInd w:w="-34" w:type="dxa"/>
        <w:tblLayout w:type="fixed"/>
        <w:tblLook w:val="0000" w:firstRow="0" w:lastRow="0" w:firstColumn="0" w:lastColumn="0" w:noHBand="0" w:noVBand="0"/>
      </w:tblPr>
      <w:tblGrid>
        <w:gridCol w:w="4678"/>
      </w:tblGrid>
      <w:tr w:rsidR="00444C66">
        <w:tc>
          <w:tcPr>
            <w:tcW w:w="4678" w:type="dxa"/>
          </w:tcPr>
          <w:p w:rsidR="00444C66" w:rsidRDefault="00444C66">
            <w:pPr>
              <w:widowControl w:val="0"/>
              <w:spacing w:after="0" w:line="240" w:lineRule="auto"/>
              <w:rPr>
                <w:rFonts w:ascii="Times New Roman" w:hAnsi="Times New Roman"/>
              </w:rPr>
            </w:pPr>
            <w:r>
              <w:rPr>
                <w:rFonts w:ascii="Times New Roman" w:hAnsi="Times New Roman"/>
              </w:rPr>
              <w:t>UAB KRKA Lietuva</w:t>
            </w:r>
          </w:p>
          <w:p w:rsidR="00444C66" w:rsidRDefault="00444C66">
            <w:pPr>
              <w:widowControl w:val="0"/>
              <w:spacing w:after="0" w:line="240" w:lineRule="auto"/>
              <w:rPr>
                <w:rFonts w:ascii="Times New Roman" w:hAnsi="Times New Roman"/>
              </w:rPr>
            </w:pPr>
            <w:r>
              <w:rPr>
                <w:rFonts w:ascii="Times New Roman" w:hAnsi="Times New Roman"/>
              </w:rPr>
              <w:t>Senasis Ukmergės kelias 4,</w:t>
            </w:r>
          </w:p>
          <w:p w:rsidR="00444C66" w:rsidRDefault="00444C66">
            <w:pPr>
              <w:widowControl w:val="0"/>
              <w:spacing w:after="0" w:line="240" w:lineRule="auto"/>
              <w:rPr>
                <w:rFonts w:ascii="Times New Roman" w:hAnsi="Times New Roman"/>
              </w:rPr>
            </w:pPr>
            <w:r>
              <w:rPr>
                <w:rFonts w:ascii="Times New Roman" w:hAnsi="Times New Roman"/>
              </w:rPr>
              <w:t>Užubalių km.,Vilniaus r.</w:t>
            </w:r>
          </w:p>
          <w:p w:rsidR="00444C66" w:rsidRDefault="00444C66">
            <w:pPr>
              <w:widowControl w:val="0"/>
              <w:spacing w:after="0" w:line="240" w:lineRule="auto"/>
              <w:rPr>
                <w:rFonts w:ascii="Times New Roman" w:hAnsi="Times New Roman"/>
              </w:rPr>
            </w:pPr>
            <w:r>
              <w:rPr>
                <w:rFonts w:ascii="Times New Roman" w:hAnsi="Times New Roman"/>
              </w:rPr>
              <w:t>LT - 14013</w:t>
            </w:r>
          </w:p>
          <w:p w:rsidR="00444C66" w:rsidRDefault="00444C66">
            <w:pPr>
              <w:widowControl w:val="0"/>
              <w:spacing w:after="0" w:line="240" w:lineRule="auto"/>
              <w:rPr>
                <w:rFonts w:ascii="Times New Roman" w:hAnsi="Times New Roman"/>
              </w:rPr>
            </w:pPr>
            <w:r>
              <w:rPr>
                <w:rFonts w:ascii="Times New Roman" w:hAnsi="Times New Roman"/>
              </w:rPr>
              <w:t>Tel. + 370 5 236 27 40</w:t>
            </w:r>
          </w:p>
        </w:tc>
      </w:tr>
    </w:tbl>
    <w:p w:rsidR="00444C66" w:rsidRDefault="00444C66">
      <w:pPr>
        <w:widowControl w:val="0"/>
        <w:numPr>
          <w:ilvl w:val="12"/>
          <w:numId w:val="0"/>
        </w:numPr>
        <w:tabs>
          <w:tab w:val="left" w:pos="567"/>
        </w:tabs>
        <w:spacing w:after="0" w:line="240" w:lineRule="auto"/>
        <w:ind w:right="-2"/>
        <w:rPr>
          <w:rFonts w:ascii="Times New Roman" w:hAnsi="Times New Roman"/>
          <w:b/>
          <w:highlight w:val="yellow"/>
        </w:rPr>
      </w:pPr>
    </w:p>
    <w:p w:rsidR="00444C66" w:rsidRDefault="00444C66">
      <w:pPr>
        <w:widowControl w:val="0"/>
        <w:numPr>
          <w:ilvl w:val="12"/>
          <w:numId w:val="0"/>
        </w:numPr>
        <w:tabs>
          <w:tab w:val="left" w:pos="567"/>
        </w:tabs>
        <w:spacing w:after="0" w:line="240" w:lineRule="auto"/>
        <w:ind w:right="-2"/>
        <w:rPr>
          <w:rFonts w:ascii="Times New Roman" w:hAnsi="Times New Roman"/>
        </w:rPr>
      </w:pPr>
      <w:r>
        <w:rPr>
          <w:rFonts w:ascii="Times New Roman" w:eastAsia="Times New Roman" w:hAnsi="Times New Roman"/>
          <w:b/>
          <w:snapToGrid w:val="0"/>
        </w:rPr>
        <w:t>Šis vaistinis preparatas</w:t>
      </w:r>
      <w:r>
        <w:rPr>
          <w:rFonts w:ascii="Times New Roman" w:hAnsi="Times New Roman"/>
          <w:b/>
        </w:rPr>
        <w:t xml:space="preserve"> Europos ekonominės erdvės valstybėse narėse </w:t>
      </w:r>
      <w:r>
        <w:rPr>
          <w:rFonts w:ascii="Times New Roman" w:eastAsia="Times New Roman" w:hAnsi="Times New Roman"/>
          <w:b/>
          <w:snapToGrid w:val="0"/>
        </w:rPr>
        <w:t>registruotas</w:t>
      </w:r>
      <w:r>
        <w:rPr>
          <w:rFonts w:ascii="Times New Roman" w:hAnsi="Times New Roman"/>
          <w:b/>
        </w:rPr>
        <w:t xml:space="preserve"> tokiais pavadinimais</w:t>
      </w:r>
      <w:r>
        <w:rPr>
          <w:rFonts w:ascii="Times New Roman" w:hAnsi="Times New Roman"/>
        </w:rPr>
        <w:t>:</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2"/>
        <w:gridCol w:w="5598"/>
      </w:tblGrid>
      <w:tr w:rsidR="00444C66">
        <w:tc>
          <w:tcPr>
            <w:tcW w:w="3402" w:type="dxa"/>
          </w:tcPr>
          <w:p w:rsidR="00444C66" w:rsidRDefault="00444C66">
            <w:pPr>
              <w:widowControl w:val="0"/>
              <w:numPr>
                <w:ilvl w:val="12"/>
                <w:numId w:val="0"/>
              </w:numPr>
              <w:tabs>
                <w:tab w:val="left" w:pos="567"/>
              </w:tabs>
              <w:spacing w:after="0" w:line="240" w:lineRule="auto"/>
              <w:ind w:right="-2"/>
              <w:rPr>
                <w:rFonts w:ascii="Times New Roman" w:hAnsi="Times New Roman"/>
              </w:rPr>
            </w:pPr>
            <w:r>
              <w:rPr>
                <w:rFonts w:ascii="Times New Roman" w:hAnsi="Times New Roman"/>
              </w:rPr>
              <w:t>Valstybės narės pavadinimas</w:t>
            </w:r>
          </w:p>
        </w:tc>
        <w:tc>
          <w:tcPr>
            <w:tcW w:w="5598" w:type="dxa"/>
          </w:tcPr>
          <w:p w:rsidR="00444C66" w:rsidRDefault="00444C66">
            <w:pPr>
              <w:widowControl w:val="0"/>
              <w:numPr>
                <w:ilvl w:val="12"/>
                <w:numId w:val="0"/>
              </w:numPr>
              <w:tabs>
                <w:tab w:val="left" w:pos="567"/>
              </w:tabs>
              <w:spacing w:after="0" w:line="240" w:lineRule="auto"/>
              <w:ind w:right="-2"/>
              <w:rPr>
                <w:rFonts w:ascii="Times New Roman" w:hAnsi="Times New Roman"/>
              </w:rPr>
            </w:pPr>
            <w:r>
              <w:rPr>
                <w:rFonts w:ascii="Times New Roman" w:hAnsi="Times New Roman"/>
              </w:rPr>
              <w:t>Vaisto pavadinimas</w:t>
            </w:r>
          </w:p>
        </w:tc>
      </w:tr>
      <w:tr w:rsidR="00444C66">
        <w:tc>
          <w:tcPr>
            <w:tcW w:w="3402" w:type="dxa"/>
          </w:tcPr>
          <w:p w:rsidR="00444C66" w:rsidRDefault="00444C66">
            <w:pPr>
              <w:widowControl w:val="0"/>
              <w:numPr>
                <w:ilvl w:val="12"/>
                <w:numId w:val="0"/>
              </w:numPr>
              <w:tabs>
                <w:tab w:val="left" w:pos="567"/>
              </w:tabs>
              <w:spacing w:after="0" w:line="240" w:lineRule="auto"/>
              <w:ind w:right="-2"/>
              <w:rPr>
                <w:rFonts w:ascii="Times New Roman" w:hAnsi="Times New Roman"/>
              </w:rPr>
            </w:pPr>
            <w:r>
              <w:rPr>
                <w:rFonts w:ascii="Times New Roman" w:hAnsi="Times New Roman"/>
              </w:rPr>
              <w:t>Bulgarija, Estija, Lietuva, Lenkija, Rumunija, Slovakija, Slovėnija</w:t>
            </w:r>
          </w:p>
        </w:tc>
        <w:tc>
          <w:tcPr>
            <w:tcW w:w="5598" w:type="dxa"/>
          </w:tcPr>
          <w:p w:rsidR="00444C66" w:rsidRDefault="00444C66">
            <w:pPr>
              <w:widowControl w:val="0"/>
              <w:spacing w:after="0" w:line="240" w:lineRule="auto"/>
              <w:rPr>
                <w:rFonts w:ascii="Times New Roman" w:hAnsi="Times New Roman"/>
              </w:rPr>
            </w:pPr>
            <w:r>
              <w:rPr>
                <w:rFonts w:ascii="Times New Roman" w:hAnsi="Times New Roman"/>
              </w:rPr>
              <w:t>Olimestra</w:t>
            </w:r>
          </w:p>
        </w:tc>
      </w:tr>
      <w:tr w:rsidR="00444C66">
        <w:tc>
          <w:tcPr>
            <w:tcW w:w="3402" w:type="dxa"/>
          </w:tcPr>
          <w:p w:rsidR="00444C66" w:rsidRDefault="00444C66">
            <w:pPr>
              <w:widowControl w:val="0"/>
              <w:numPr>
                <w:ilvl w:val="12"/>
                <w:numId w:val="0"/>
              </w:numPr>
              <w:tabs>
                <w:tab w:val="left" w:pos="567"/>
              </w:tabs>
              <w:spacing w:after="0" w:line="240" w:lineRule="auto"/>
              <w:ind w:right="-2"/>
              <w:rPr>
                <w:rFonts w:ascii="Times New Roman" w:hAnsi="Times New Roman"/>
              </w:rPr>
            </w:pPr>
            <w:r>
              <w:rPr>
                <w:rFonts w:ascii="Times New Roman" w:hAnsi="Times New Roman"/>
              </w:rPr>
              <w:t>Danija</w:t>
            </w:r>
          </w:p>
        </w:tc>
        <w:tc>
          <w:tcPr>
            <w:tcW w:w="5598" w:type="dxa"/>
          </w:tcPr>
          <w:p w:rsidR="00444C66" w:rsidRDefault="00444C66">
            <w:pPr>
              <w:widowControl w:val="0"/>
              <w:spacing w:after="0" w:line="240" w:lineRule="auto"/>
              <w:rPr>
                <w:rFonts w:ascii="Times New Roman" w:hAnsi="Times New Roman"/>
              </w:rPr>
            </w:pPr>
            <w:r>
              <w:rPr>
                <w:rFonts w:ascii="Times New Roman" w:hAnsi="Times New Roman"/>
              </w:rPr>
              <w:t>Olimesta</w:t>
            </w:r>
          </w:p>
        </w:tc>
      </w:tr>
      <w:tr w:rsidR="00444C66">
        <w:tc>
          <w:tcPr>
            <w:tcW w:w="3402" w:type="dxa"/>
          </w:tcPr>
          <w:p w:rsidR="00444C66" w:rsidRDefault="00444C66">
            <w:pPr>
              <w:widowControl w:val="0"/>
              <w:numPr>
                <w:ilvl w:val="12"/>
                <w:numId w:val="0"/>
              </w:numPr>
              <w:tabs>
                <w:tab w:val="left" w:pos="567"/>
              </w:tabs>
              <w:spacing w:after="0" w:line="240" w:lineRule="auto"/>
              <w:ind w:right="-2"/>
              <w:rPr>
                <w:rFonts w:ascii="Times New Roman" w:hAnsi="Times New Roman"/>
              </w:rPr>
            </w:pPr>
            <w:r>
              <w:rPr>
                <w:rFonts w:ascii="Times New Roman" w:hAnsi="Times New Roman"/>
              </w:rPr>
              <w:t>Latvija</w:t>
            </w:r>
          </w:p>
        </w:tc>
        <w:tc>
          <w:tcPr>
            <w:tcW w:w="5598" w:type="dxa"/>
          </w:tcPr>
          <w:p w:rsidR="00444C66" w:rsidRDefault="00444C66">
            <w:pPr>
              <w:widowControl w:val="0"/>
              <w:spacing w:after="0" w:line="240" w:lineRule="auto"/>
              <w:rPr>
                <w:rFonts w:ascii="Times New Roman" w:hAnsi="Times New Roman"/>
              </w:rPr>
            </w:pPr>
            <w:r>
              <w:rPr>
                <w:rFonts w:ascii="Times New Roman" w:hAnsi="Times New Roman"/>
              </w:rPr>
              <w:t>Olmesartan Krka</w:t>
            </w:r>
          </w:p>
        </w:tc>
      </w:tr>
    </w:tbl>
    <w:p w:rsidR="00444C66" w:rsidRDefault="00444C66">
      <w:pPr>
        <w:widowControl w:val="0"/>
        <w:numPr>
          <w:ilvl w:val="12"/>
          <w:numId w:val="0"/>
        </w:numPr>
        <w:tabs>
          <w:tab w:val="left" w:pos="567"/>
        </w:tabs>
        <w:spacing w:after="0" w:line="240" w:lineRule="auto"/>
        <w:ind w:right="-2"/>
        <w:outlineLvl w:val="0"/>
        <w:rPr>
          <w:rFonts w:ascii="Times New Roman" w:hAnsi="Times New Roman"/>
          <w:b/>
        </w:rPr>
      </w:pPr>
    </w:p>
    <w:p w:rsidR="00444C66" w:rsidRDefault="00444C66">
      <w:pPr>
        <w:widowControl w:val="0"/>
        <w:numPr>
          <w:ilvl w:val="12"/>
          <w:numId w:val="0"/>
        </w:numPr>
        <w:spacing w:after="0" w:line="240" w:lineRule="auto"/>
        <w:ind w:right="-2"/>
        <w:outlineLvl w:val="0"/>
        <w:rPr>
          <w:rFonts w:ascii="Times New Roman" w:hAnsi="Times New Roman"/>
          <w:b/>
        </w:rPr>
      </w:pPr>
    </w:p>
    <w:p w:rsidR="00444C66" w:rsidRDefault="00444C66">
      <w:pPr>
        <w:widowControl w:val="0"/>
        <w:numPr>
          <w:ilvl w:val="12"/>
          <w:numId w:val="0"/>
        </w:numPr>
        <w:spacing w:after="0" w:line="240" w:lineRule="auto"/>
        <w:ind w:right="-2"/>
        <w:outlineLvl w:val="0"/>
        <w:rPr>
          <w:rFonts w:ascii="Times New Roman" w:hAnsi="Times New Roman"/>
        </w:rPr>
      </w:pPr>
      <w:r>
        <w:rPr>
          <w:rFonts w:ascii="Times New Roman" w:hAnsi="Times New Roman"/>
          <w:b/>
        </w:rPr>
        <w:t>Šis pakuotės lapelis paskutinį kartą peržiūrėtas 2025-03-20.</w:t>
      </w:r>
    </w:p>
    <w:p w:rsidR="00444C66" w:rsidRDefault="00444C66">
      <w:pPr>
        <w:widowControl w:val="0"/>
        <w:numPr>
          <w:ilvl w:val="12"/>
          <w:numId w:val="0"/>
        </w:numPr>
        <w:spacing w:after="0" w:line="240" w:lineRule="auto"/>
        <w:ind w:right="-2"/>
        <w:rPr>
          <w:rFonts w:ascii="Times New Roman" w:hAnsi="Times New Roman"/>
        </w:rPr>
      </w:pPr>
    </w:p>
    <w:p w:rsidR="00444C66" w:rsidRPr="004F5963" w:rsidRDefault="00444C66" w:rsidP="004F5963">
      <w:pPr>
        <w:widowControl w:val="0"/>
        <w:numPr>
          <w:ilvl w:val="12"/>
          <w:numId w:val="0"/>
        </w:numPr>
        <w:tabs>
          <w:tab w:val="left" w:pos="567"/>
        </w:tabs>
        <w:spacing w:after="0" w:line="240" w:lineRule="auto"/>
        <w:ind w:right="-2"/>
        <w:outlineLvl w:val="0"/>
        <w:rPr>
          <w:rFonts w:ascii="Times New Roman" w:hAnsi="Times New Roman"/>
        </w:rPr>
      </w:pPr>
      <w:r>
        <w:rPr>
          <w:rFonts w:ascii="Times New Roman" w:hAnsi="Times New Roman"/>
        </w:rPr>
        <w:t xml:space="preserve">Išsami informacija apie šį vaistą pateikiama Valstybinės vaistų kontrolės tarnybos prie Lietuvos Respublikos sveikatos apsaugos ministerijos tinklalapyje </w:t>
      </w:r>
      <w:hyperlink r:id="rId10" w:history="1">
        <w:r>
          <w:rPr>
            <w:rFonts w:ascii="Times New Roman" w:hAnsi="Times New Roman"/>
            <w:color w:val="0000FF"/>
            <w:u w:val="single"/>
          </w:rPr>
          <w:t>http://www.vvkt.lt/</w:t>
        </w:r>
      </w:hyperlink>
      <w:r w:rsidR="004F5963">
        <w:rPr>
          <w:rFonts w:ascii="Times New Roman" w:hAnsi="Times New Roman"/>
          <w:color w:val="0000FF"/>
          <w:u w:val="single"/>
        </w:rPr>
        <w:t>.</w:t>
      </w:r>
      <w:r w:rsidR="006B2F79">
        <w:rPr>
          <w:rFonts w:ascii="Times New Roman" w:hAnsi="Times New Roman"/>
          <w:color w:val="0000FF"/>
          <w:u w:val="single"/>
        </w:rPr>
        <w:t xml:space="preserve">    </w:t>
      </w:r>
      <w:bookmarkStart w:id="20" w:name="_GoBack"/>
      <w:bookmarkEnd w:id="20"/>
    </w:p>
    <w:sectPr w:rsidR="00444C66" w:rsidRPr="004F5963">
      <w:headerReference w:type="default" r:id="rId11"/>
      <w:footerReference w:type="even" r:id="rId12"/>
      <w:footerReference w:type="default" r:id="rId13"/>
      <w:pgSz w:w="11907" w:h="16840" w:code="9"/>
      <w:pgMar w:top="1134" w:right="1418" w:bottom="1134" w:left="1418" w:header="1021"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4E4D" w:rsidRDefault="00B64E4D">
      <w:r>
        <w:separator/>
      </w:r>
    </w:p>
  </w:endnote>
  <w:endnote w:type="continuationSeparator" w:id="0">
    <w:p w:rsidR="00B64E4D" w:rsidRDefault="00B64E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MS Mincho">
    <w:altName w:val="Yu Gothic UI"/>
    <w:panose1 w:val="02020609040205080304"/>
    <w:charset w:val="80"/>
    <w:family w:val="roman"/>
    <w:pitch w:val="fixed"/>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4C66" w:rsidRDefault="00444C66">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444C66" w:rsidRDefault="00444C66">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4C66" w:rsidRDefault="00444C66">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4E4D" w:rsidRDefault="00B64E4D">
      <w:r>
        <w:separator/>
      </w:r>
    </w:p>
  </w:footnote>
  <w:footnote w:type="continuationSeparator" w:id="0">
    <w:p w:rsidR="00B64E4D" w:rsidRDefault="00B64E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4C66" w:rsidRDefault="00444C66">
    <w:pPr>
      <w:spacing w:line="20" w:lineRule="exact"/>
    </w:pPr>
  </w:p>
  <w:p w:rsidR="00444C66" w:rsidRDefault="00444C66">
    <w:pPr>
      <w:pStyle w:val="Antrats"/>
    </w:pPr>
    <w:bookmarkStart w:id="21" w:name="TableTag1"/>
    <w:bookmarkEnd w:id="21"/>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A3B27F0"/>
    <w:multiLevelType w:val="hybridMultilevel"/>
    <w:tmpl w:val="546AC6F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DA28433"/>
    <w:multiLevelType w:val="hybridMultilevel"/>
    <w:tmpl w:val="4B98C23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C4081B1C"/>
    <w:multiLevelType w:val="hybridMultilevel"/>
    <w:tmpl w:val="A8AB41A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F576B162"/>
    <w:multiLevelType w:val="hybridMultilevel"/>
    <w:tmpl w:val="2A0F312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F99529AC"/>
    <w:multiLevelType w:val="hybridMultilevel"/>
    <w:tmpl w:val="A3A0F5C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FCCCA0D2"/>
    <w:multiLevelType w:val="hybridMultilevel"/>
    <w:tmpl w:val="6E04898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FFFFFFFE"/>
    <w:multiLevelType w:val="singleLevel"/>
    <w:tmpl w:val="FFFFFFFF"/>
    <w:lvl w:ilvl="0">
      <w:numFmt w:val="decimal"/>
      <w:lvlText w:val="*"/>
      <w:lvlJc w:val="left"/>
    </w:lvl>
  </w:abstractNum>
  <w:abstractNum w:abstractNumId="7" w15:restartNumberingAfterBreak="0">
    <w:nsid w:val="01AB3984"/>
    <w:multiLevelType w:val="hybridMultilevel"/>
    <w:tmpl w:val="7F6483EC"/>
    <w:lvl w:ilvl="0" w:tplc="04F80370">
      <w:start w:val="1"/>
      <w:numFmt w:val="bullet"/>
      <w:lvlText w:val="-"/>
      <w:lvlJc w:val="left"/>
      <w:pPr>
        <w:ind w:left="360"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01EC76B7"/>
    <w:multiLevelType w:val="hybridMultilevel"/>
    <w:tmpl w:val="FA717A8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3341F24"/>
    <w:multiLevelType w:val="singleLevel"/>
    <w:tmpl w:val="BE009D84"/>
    <w:lvl w:ilvl="0">
      <w:start w:val="4"/>
      <w:numFmt w:val="bullet"/>
      <w:lvlText w:val="-"/>
      <w:lvlJc w:val="left"/>
      <w:pPr>
        <w:tabs>
          <w:tab w:val="num" w:pos="720"/>
        </w:tabs>
        <w:ind w:left="720" w:hanging="720"/>
      </w:pPr>
      <w:rPr>
        <w:rFonts w:hint="default"/>
      </w:rPr>
    </w:lvl>
  </w:abstractNum>
  <w:abstractNum w:abstractNumId="10" w15:restartNumberingAfterBreak="0">
    <w:nsid w:val="04A154B8"/>
    <w:multiLevelType w:val="hybridMultilevel"/>
    <w:tmpl w:val="983A94E8"/>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618628E"/>
    <w:multiLevelType w:val="hybridMultilevel"/>
    <w:tmpl w:val="AD9F12E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88B7995"/>
    <w:multiLevelType w:val="hybridMultilevel"/>
    <w:tmpl w:val="22AC8EE4"/>
    <w:lvl w:ilvl="0" w:tplc="D450914A">
      <w:start w:val="1"/>
      <w:numFmt w:val="bullet"/>
      <w:lvlText w:val="-"/>
      <w:lvlJc w:val="left"/>
      <w:pPr>
        <w:tabs>
          <w:tab w:val="num" w:pos="567"/>
        </w:tabs>
        <w:ind w:left="567" w:hanging="567"/>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9E17796"/>
    <w:multiLevelType w:val="hybridMultilevel"/>
    <w:tmpl w:val="EC45366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0B0856DF"/>
    <w:multiLevelType w:val="hybridMultilevel"/>
    <w:tmpl w:val="CE18E514"/>
    <w:lvl w:ilvl="0" w:tplc="494A0656">
      <w:start w:val="1"/>
      <w:numFmt w:val="bullet"/>
      <w:lvlText w:val="­"/>
      <w:lvlJc w:val="left"/>
      <w:pPr>
        <w:ind w:left="720" w:hanging="360"/>
      </w:pPr>
      <w:rPr>
        <w:rFonts w:ascii="Times New Roman" w:hAnsi="Times New Roman" w:cs="Times New Roman" w:hint="default"/>
        <w:b w:val="0"/>
        <w:i w:val="0"/>
        <w:sz w:val="24"/>
        <w:szCs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0C2C3529"/>
    <w:multiLevelType w:val="hybridMultilevel"/>
    <w:tmpl w:val="3B905DF2"/>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0CB770F8"/>
    <w:multiLevelType w:val="hybridMultilevel"/>
    <w:tmpl w:val="3CC237C6"/>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0F04442B"/>
    <w:multiLevelType w:val="hybridMultilevel"/>
    <w:tmpl w:val="FAEA8B30"/>
    <w:lvl w:ilvl="0" w:tplc="DF7E6C7E">
      <w:numFmt w:val="bullet"/>
      <w:lvlText w:val="-"/>
      <w:lvlJc w:val="left"/>
      <w:pPr>
        <w:tabs>
          <w:tab w:val="num" w:pos="567"/>
        </w:tabs>
        <w:ind w:left="567" w:hanging="567"/>
      </w:pPr>
      <w:rPr>
        <w:rFonts w:ascii="Times New Roman" w:eastAsia="Times New Roman" w:hAnsi="Times New Roman" w:cs="Times New Roman" w:hint="default"/>
        <w:color w:val="auto"/>
      </w:rPr>
    </w:lvl>
    <w:lvl w:ilvl="1" w:tplc="0424000F">
      <w:start w:val="1"/>
      <w:numFmt w:val="decimal"/>
      <w:lvlText w:val="%2."/>
      <w:lvlJc w:val="left"/>
      <w:pPr>
        <w:tabs>
          <w:tab w:val="num" w:pos="1440"/>
        </w:tabs>
        <w:ind w:left="1440" w:hanging="360"/>
      </w:pPr>
      <w:rPr>
        <w:rFonts w:hint="default"/>
        <w:color w:val="auto"/>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05E0BC0"/>
    <w:multiLevelType w:val="hybridMultilevel"/>
    <w:tmpl w:val="D72683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116E521F"/>
    <w:multiLevelType w:val="hybridMultilevel"/>
    <w:tmpl w:val="7C486B12"/>
    <w:lvl w:ilvl="0" w:tplc="72E2E094">
      <w:start w:val="1"/>
      <w:numFmt w:val="decimal"/>
      <w:lvlText w:val="%1."/>
      <w:lvlJc w:val="left"/>
      <w:pPr>
        <w:tabs>
          <w:tab w:val="num" w:pos="567"/>
        </w:tabs>
        <w:ind w:left="567" w:hanging="567"/>
      </w:pPr>
      <w:rPr>
        <w:rFonts w:hint="default"/>
        <w:b w:val="0"/>
        <w:i w:val="0"/>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0" w15:restartNumberingAfterBreak="0">
    <w:nsid w:val="1404AD4E"/>
    <w:multiLevelType w:val="hybridMultilevel"/>
    <w:tmpl w:val="4B889A2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144B2666"/>
    <w:multiLevelType w:val="hybridMultilevel"/>
    <w:tmpl w:val="EFA4F8F0"/>
    <w:lvl w:ilvl="0" w:tplc="644E8E56">
      <w:start w:val="10"/>
      <w:numFmt w:val="decimal"/>
      <w:lvlText w:val="%1."/>
      <w:lvlJc w:val="left"/>
      <w:pPr>
        <w:tabs>
          <w:tab w:val="num" w:pos="930"/>
        </w:tabs>
        <w:ind w:left="930" w:hanging="57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2" w15:restartNumberingAfterBreak="0">
    <w:nsid w:val="1C8F5A8A"/>
    <w:multiLevelType w:val="hybridMultilevel"/>
    <w:tmpl w:val="6FA0D8B2"/>
    <w:lvl w:ilvl="0" w:tplc="A50E79C0">
      <w:start w:val="2"/>
      <w:numFmt w:val="bullet"/>
      <w:lvlText w:val="-"/>
      <w:lvlJc w:val="left"/>
      <w:pPr>
        <w:tabs>
          <w:tab w:val="num" w:pos="567"/>
        </w:tabs>
        <w:ind w:left="567" w:hanging="567"/>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5D068CE"/>
    <w:multiLevelType w:val="hybridMultilevel"/>
    <w:tmpl w:val="0E2E7706"/>
    <w:lvl w:ilvl="0" w:tplc="494A0656">
      <w:start w:val="1"/>
      <w:numFmt w:val="bullet"/>
      <w:lvlText w:val="­"/>
      <w:lvlJc w:val="left"/>
      <w:pPr>
        <w:ind w:left="720" w:hanging="360"/>
      </w:pPr>
      <w:rPr>
        <w:rFonts w:ascii="Times New Roman" w:hAnsi="Times New Roman" w:cs="Times New Roman" w:hint="default"/>
        <w:b w:val="0"/>
        <w:i w:val="0"/>
        <w:sz w:val="24"/>
        <w:szCs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2675908C"/>
    <w:multiLevelType w:val="hybridMultilevel"/>
    <w:tmpl w:val="10FE737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6"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15:restartNumberingAfterBreak="0">
    <w:nsid w:val="36964572"/>
    <w:multiLevelType w:val="hybridMultilevel"/>
    <w:tmpl w:val="1F4C18AA"/>
    <w:lvl w:ilvl="0" w:tplc="E2D8FEBE">
      <w:start w:val="1"/>
      <w:numFmt w:val="bullet"/>
      <w:lvlText w:val="-"/>
      <w:lvlJc w:val="left"/>
      <w:pPr>
        <w:tabs>
          <w:tab w:val="num" w:pos="567"/>
        </w:tabs>
        <w:ind w:left="567" w:hanging="567"/>
      </w:pPr>
      <w:rPr>
        <w:rFonts w:hint="default"/>
      </w:rPr>
    </w:lvl>
    <w:lvl w:ilvl="1" w:tplc="FFFFFFFF">
      <w:start w:val="1"/>
      <w:numFmt w:val="bullet"/>
      <w:lvlText w:val="-"/>
      <w:legacy w:legacy="1" w:legacySpace="0" w:legacyIndent="360"/>
      <w:lvlJc w:val="left"/>
      <w:pPr>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7F207B4"/>
    <w:multiLevelType w:val="hybridMultilevel"/>
    <w:tmpl w:val="76760A94"/>
    <w:lvl w:ilvl="0" w:tplc="D450914A">
      <w:start w:val="1"/>
      <w:numFmt w:val="bullet"/>
      <w:lvlText w:val="-"/>
      <w:lvlJc w:val="left"/>
      <w:pPr>
        <w:tabs>
          <w:tab w:val="num" w:pos="567"/>
        </w:tabs>
        <w:ind w:left="567" w:hanging="567"/>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B0333F5"/>
    <w:multiLevelType w:val="hybridMultilevel"/>
    <w:tmpl w:val="DDF0C1D2"/>
    <w:lvl w:ilvl="0" w:tplc="C694A576">
      <w:numFmt w:val="bullet"/>
      <w:lvlText w:val="-"/>
      <w:lvlJc w:val="left"/>
      <w:pPr>
        <w:ind w:left="78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46BC5415"/>
    <w:multiLevelType w:val="hybridMultilevel"/>
    <w:tmpl w:val="075A5F7C"/>
    <w:lvl w:ilvl="0" w:tplc="71B0FED2">
      <w:start w:val="1"/>
      <w:numFmt w:val="bullet"/>
      <w:lvlText w:val="-"/>
      <w:lvlJc w:val="left"/>
      <w:pPr>
        <w:tabs>
          <w:tab w:val="num" w:pos="567"/>
        </w:tabs>
        <w:ind w:left="567" w:hanging="567"/>
      </w:pPr>
      <w:rPr>
        <w:rFonts w:hAnsi="Arial" w:hint="default"/>
      </w:rPr>
    </w:lvl>
    <w:lvl w:ilvl="1" w:tplc="ACFA8BC2">
      <w:start w:val="2"/>
      <w:numFmt w:val="bullet"/>
      <w:lvlText w:val="-"/>
      <w:lvlJc w:val="left"/>
      <w:pPr>
        <w:tabs>
          <w:tab w:val="num" w:pos="1647"/>
        </w:tabs>
        <w:ind w:left="1647" w:hanging="567"/>
      </w:pPr>
      <w:rPr>
        <w:rFonts w:ascii="Times New Roman" w:eastAsia="Times New Roman" w:hAnsi="Times New Roman" w:cs="Times New Roman"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AA67D81"/>
    <w:multiLevelType w:val="hybridMultilevel"/>
    <w:tmpl w:val="012ADF40"/>
    <w:lvl w:ilvl="0" w:tplc="E0BC2F00">
      <w:start w:val="2"/>
      <w:numFmt w:val="bullet"/>
      <w:lvlText w:val="-"/>
      <w:lvlJc w:val="left"/>
      <w:pPr>
        <w:tabs>
          <w:tab w:val="num" w:pos="567"/>
        </w:tabs>
        <w:ind w:left="567" w:hanging="567"/>
      </w:pPr>
      <w:rPr>
        <w:rFont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CC73FDD"/>
    <w:multiLevelType w:val="hybridMultilevel"/>
    <w:tmpl w:val="C4D6FECC"/>
    <w:lvl w:ilvl="0" w:tplc="FFFFFFFF">
      <w:start w:val="1"/>
      <w:numFmt w:val="bullet"/>
      <w:lvlText w:val="-"/>
      <w:legacy w:legacy="1" w:legacySpace="0" w:legacyIndent="360"/>
      <w:lvlJc w:val="left"/>
      <w:pPr>
        <w:ind w:left="360" w:hanging="360"/>
      </w:p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4" w15:restartNumberingAfterBreak="0">
    <w:nsid w:val="626EB0C8"/>
    <w:multiLevelType w:val="hybridMultilevel"/>
    <w:tmpl w:val="0E7B9F2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659EE6BC"/>
    <w:multiLevelType w:val="hybridMultilevel"/>
    <w:tmpl w:val="78EED03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67667BB2"/>
    <w:multiLevelType w:val="hybridMultilevel"/>
    <w:tmpl w:val="7786E730"/>
    <w:lvl w:ilvl="0" w:tplc="39AAB0D8">
      <w:start w:val="2"/>
      <w:numFmt w:val="bullet"/>
      <w:lvlText w:val="-"/>
      <w:lvlJc w:val="left"/>
      <w:pPr>
        <w:tabs>
          <w:tab w:val="num" w:pos="567"/>
        </w:tabs>
        <w:ind w:left="567" w:hanging="567"/>
      </w:pPr>
      <w:rPr>
        <w:rFont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79F7B77"/>
    <w:multiLevelType w:val="hybridMultilevel"/>
    <w:tmpl w:val="73B0C9C6"/>
    <w:lvl w:ilvl="0" w:tplc="C6786660">
      <w:start w:val="2"/>
      <w:numFmt w:val="bullet"/>
      <w:lvlText w:val="-"/>
      <w:lvlJc w:val="left"/>
      <w:pPr>
        <w:tabs>
          <w:tab w:val="num" w:pos="567"/>
        </w:tabs>
        <w:ind w:left="567" w:hanging="567"/>
      </w:pPr>
      <w:rPr>
        <w:rFont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39" w15:restartNumberingAfterBreak="0">
    <w:nsid w:val="6AB60803"/>
    <w:multiLevelType w:val="hybridMultilevel"/>
    <w:tmpl w:val="17F0B1F0"/>
    <w:lvl w:ilvl="0" w:tplc="D450914A">
      <w:start w:val="1"/>
      <w:numFmt w:val="bullet"/>
      <w:lvlText w:val="-"/>
      <w:lvlJc w:val="left"/>
      <w:pPr>
        <w:tabs>
          <w:tab w:val="num" w:pos="567"/>
        </w:tabs>
        <w:ind w:left="567" w:hanging="567"/>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1" w15:restartNumberingAfterBreak="0">
    <w:nsid w:val="6F874BB7"/>
    <w:multiLevelType w:val="hybridMultilevel"/>
    <w:tmpl w:val="9B605336"/>
    <w:lvl w:ilvl="0" w:tplc="903A72F4">
      <w:numFmt w:val="bullet"/>
      <w:lvlText w:val="-"/>
      <w:lvlJc w:val="left"/>
      <w:pPr>
        <w:ind w:left="1080" w:hanging="72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78CB9B3"/>
    <w:multiLevelType w:val="hybridMultilevel"/>
    <w:tmpl w:val="B3E4EBB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 w15:restartNumberingAfterBreak="0">
    <w:nsid w:val="788D0C52"/>
    <w:multiLevelType w:val="hybridMultilevel"/>
    <w:tmpl w:val="CAE679EC"/>
    <w:lvl w:ilvl="0" w:tplc="AD32D8EE">
      <w:numFmt w:val="bullet"/>
      <w:lvlText w:val="-"/>
      <w:lvlJc w:val="left"/>
      <w:pPr>
        <w:ind w:left="360" w:hanging="360"/>
      </w:pPr>
      <w:rPr>
        <w:rFonts w:ascii="Times New Roman" w:eastAsia="Times New Roman" w:hAnsi="Times New Roman" w:cs="Times New Roman"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44" w15:restartNumberingAfterBreak="0">
    <w:nsid w:val="7CECE075"/>
    <w:multiLevelType w:val="hybridMultilevel"/>
    <w:tmpl w:val="F9B746E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30"/>
  </w:num>
  <w:num w:numId="2">
    <w:abstractNumId w:val="22"/>
  </w:num>
  <w:num w:numId="3">
    <w:abstractNumId w:val="21"/>
  </w:num>
  <w:num w:numId="4">
    <w:abstractNumId w:val="6"/>
    <w:lvlOverride w:ilvl="0">
      <w:lvl w:ilvl="0">
        <w:start w:val="1"/>
        <w:numFmt w:val="bullet"/>
        <w:lvlText w:val="-"/>
        <w:legacy w:legacy="1" w:legacySpace="0" w:legacyIndent="360"/>
        <w:lvlJc w:val="left"/>
        <w:pPr>
          <w:ind w:left="360" w:hanging="360"/>
        </w:pPr>
      </w:lvl>
    </w:lvlOverride>
  </w:num>
  <w:num w:numId="5">
    <w:abstractNumId w:val="38"/>
  </w:num>
  <w:num w:numId="6">
    <w:abstractNumId w:val="40"/>
  </w:num>
  <w:num w:numId="7">
    <w:abstractNumId w:val="26"/>
  </w:num>
  <w:num w:numId="8">
    <w:abstractNumId w:val="33"/>
  </w:num>
  <w:num w:numId="9">
    <w:abstractNumId w:val="25"/>
  </w:num>
  <w:num w:numId="10">
    <w:abstractNumId w:val="27"/>
  </w:num>
  <w:num w:numId="11">
    <w:abstractNumId w:val="39"/>
  </w:num>
  <w:num w:numId="12">
    <w:abstractNumId w:val="28"/>
  </w:num>
  <w:num w:numId="13">
    <w:abstractNumId w:val="12"/>
  </w:num>
  <w:num w:numId="14">
    <w:abstractNumId w:val="19"/>
  </w:num>
  <w:num w:numId="15">
    <w:abstractNumId w:val="34"/>
  </w:num>
  <w:num w:numId="16">
    <w:abstractNumId w:val="3"/>
  </w:num>
  <w:num w:numId="17">
    <w:abstractNumId w:val="24"/>
  </w:num>
  <w:num w:numId="18">
    <w:abstractNumId w:val="11"/>
  </w:num>
  <w:num w:numId="19">
    <w:abstractNumId w:val="0"/>
  </w:num>
  <w:num w:numId="20">
    <w:abstractNumId w:val="2"/>
  </w:num>
  <w:num w:numId="21">
    <w:abstractNumId w:val="1"/>
  </w:num>
  <w:num w:numId="22">
    <w:abstractNumId w:val="35"/>
  </w:num>
  <w:num w:numId="23">
    <w:abstractNumId w:val="5"/>
  </w:num>
  <w:num w:numId="24">
    <w:abstractNumId w:val="13"/>
  </w:num>
  <w:num w:numId="25">
    <w:abstractNumId w:val="44"/>
  </w:num>
  <w:num w:numId="26">
    <w:abstractNumId w:val="4"/>
  </w:num>
  <w:num w:numId="27">
    <w:abstractNumId w:val="8"/>
  </w:num>
  <w:num w:numId="28">
    <w:abstractNumId w:val="20"/>
  </w:num>
  <w:num w:numId="29">
    <w:abstractNumId w:val="42"/>
  </w:num>
  <w:num w:numId="30">
    <w:abstractNumId w:val="17"/>
  </w:num>
  <w:num w:numId="31">
    <w:abstractNumId w:val="32"/>
  </w:num>
  <w:num w:numId="32">
    <w:abstractNumId w:val="37"/>
  </w:num>
  <w:num w:numId="33">
    <w:abstractNumId w:val="31"/>
  </w:num>
  <w:num w:numId="34">
    <w:abstractNumId w:val="36"/>
  </w:num>
  <w:num w:numId="35">
    <w:abstractNumId w:val="9"/>
  </w:num>
  <w:num w:numId="36">
    <w:abstractNumId w:val="18"/>
  </w:num>
  <w:num w:numId="37">
    <w:abstractNumId w:val="7"/>
  </w:num>
  <w:num w:numId="38">
    <w:abstractNumId w:val="16"/>
  </w:num>
  <w:num w:numId="39">
    <w:abstractNumId w:val="41"/>
  </w:num>
  <w:num w:numId="40">
    <w:abstractNumId w:val="10"/>
  </w:num>
  <w:num w:numId="41">
    <w:abstractNumId w:val="29"/>
  </w:num>
  <w:num w:numId="42">
    <w:abstractNumId w:val="43"/>
  </w:num>
  <w:num w:numId="43">
    <w:abstractNumId w:val="15"/>
  </w:num>
  <w:num w:numId="44">
    <w:abstractNumId w:val="23"/>
  </w:num>
  <w:num w:numId="4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6917"/>
    <w:rsid w:val="00246EE2"/>
    <w:rsid w:val="00444C66"/>
    <w:rsid w:val="004F5963"/>
    <w:rsid w:val="004F7604"/>
    <w:rsid w:val="005E6917"/>
    <w:rsid w:val="006A66CA"/>
    <w:rsid w:val="006B2F79"/>
    <w:rsid w:val="00723364"/>
    <w:rsid w:val="00B16BC4"/>
    <w:rsid w:val="00B575A2"/>
    <w:rsid w:val="00B64E4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metric2"/>
  <w:shapeDefaults>
    <o:shapedefaults v:ext="edit" spidmax="3074"/>
    <o:shapelayout v:ext="edit">
      <o:idmap v:ext="edit" data="2"/>
    </o:shapelayout>
  </w:shapeDefaults>
  <w:decimalSymbol w:val=","/>
  <w:listSeparator w:val=";"/>
  <w14:docId w14:val="05A00822"/>
  <w15:chartTrackingRefBased/>
  <w15:docId w15:val="{F192E97B-8322-4977-BD36-EE6D2B8EF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200" w:line="276" w:lineRule="auto"/>
    </w:pPr>
    <w:rPr>
      <w:rFonts w:ascii="Calibri" w:eastAsia="Calibri" w:hAnsi="Calibri"/>
      <w:sz w:val="22"/>
      <w:szCs w:val="22"/>
      <w:lang w:eastAsia="en-US"/>
    </w:rPr>
  </w:style>
  <w:style w:type="paragraph" w:styleId="Antrat1">
    <w:name w:val="heading 1"/>
    <w:basedOn w:val="prastasis"/>
    <w:next w:val="prastasis"/>
    <w:link w:val="Antrat1Diagrama"/>
    <w:qFormat/>
    <w:pPr>
      <w:keepNext/>
      <w:spacing w:before="240" w:after="60" w:line="240" w:lineRule="auto"/>
      <w:outlineLvl w:val="0"/>
    </w:pPr>
    <w:rPr>
      <w:rFonts w:ascii="Arial" w:eastAsia="Times New Roman" w:hAnsi="Arial" w:cs="Arial"/>
      <w:b/>
      <w:bCs/>
      <w:kern w:val="32"/>
      <w:sz w:val="32"/>
      <w:szCs w:val="32"/>
      <w:lang w:val="sl-SI" w:eastAsia="sl-SI"/>
    </w:rPr>
  </w:style>
  <w:style w:type="paragraph" w:styleId="Antrat2">
    <w:name w:val="heading 2"/>
    <w:basedOn w:val="prastasis"/>
    <w:next w:val="prastasis"/>
    <w:link w:val="Antrat2Diagrama"/>
    <w:qFormat/>
    <w:pPr>
      <w:keepNext/>
      <w:tabs>
        <w:tab w:val="left" w:pos="4300"/>
        <w:tab w:val="left" w:pos="5940"/>
        <w:tab w:val="left" w:pos="8180"/>
      </w:tabs>
      <w:spacing w:after="0" w:line="360" w:lineRule="atLeast"/>
      <w:outlineLvl w:val="1"/>
    </w:pPr>
    <w:rPr>
      <w:rFonts w:ascii="Times New Roman" w:eastAsia="Times New Roman" w:hAnsi="Times New Roman"/>
      <w:b/>
      <w:sz w:val="24"/>
      <w:szCs w:val="20"/>
      <w:u w:val="single"/>
      <w:lang w:val="en-US" w:eastAsia="sl-SI"/>
    </w:rPr>
  </w:style>
  <w:style w:type="paragraph" w:styleId="Antrat3">
    <w:name w:val="heading 3"/>
    <w:basedOn w:val="prastasis"/>
    <w:next w:val="prastasis"/>
    <w:link w:val="Antrat3Diagrama"/>
    <w:qFormat/>
    <w:pPr>
      <w:keepNext/>
      <w:tabs>
        <w:tab w:val="decimal" w:pos="6760"/>
      </w:tabs>
      <w:spacing w:after="0" w:line="480" w:lineRule="atLeast"/>
      <w:outlineLvl w:val="2"/>
    </w:pPr>
    <w:rPr>
      <w:rFonts w:ascii="Times New Roman" w:eastAsia="Times New Roman" w:hAnsi="Times New Roman"/>
      <w:b/>
      <w:sz w:val="24"/>
      <w:szCs w:val="20"/>
      <w:lang w:val="en-US" w:eastAsia="sl-SI"/>
    </w:rPr>
  </w:style>
  <w:style w:type="paragraph" w:styleId="Antrat4">
    <w:name w:val="heading 4"/>
    <w:basedOn w:val="prastasis"/>
    <w:next w:val="prastasis"/>
    <w:link w:val="Antrat4Diagrama"/>
    <w:qFormat/>
    <w:pPr>
      <w:keepNext/>
      <w:spacing w:before="240" w:after="60" w:line="240" w:lineRule="auto"/>
      <w:outlineLvl w:val="3"/>
    </w:pPr>
    <w:rPr>
      <w:rFonts w:ascii="Times New Roman" w:eastAsia="Times New Roman" w:hAnsi="Times New Roman"/>
      <w:b/>
      <w:bCs/>
      <w:sz w:val="28"/>
      <w:szCs w:val="28"/>
      <w:lang w:val="sl-SI" w:eastAsia="sl-SI"/>
    </w:rPr>
  </w:style>
  <w:style w:type="paragraph" w:styleId="Antrat6">
    <w:name w:val="heading 6"/>
    <w:basedOn w:val="prastasis"/>
    <w:next w:val="prastasis"/>
    <w:link w:val="Antrat6Diagrama"/>
    <w:qFormat/>
    <w:pPr>
      <w:keepNext/>
      <w:keepLines/>
      <w:tabs>
        <w:tab w:val="right" w:pos="4536"/>
        <w:tab w:val="left" w:pos="5180"/>
        <w:tab w:val="left" w:pos="5380"/>
        <w:tab w:val="left" w:pos="8222"/>
      </w:tabs>
      <w:spacing w:after="0" w:line="240" w:lineRule="auto"/>
      <w:outlineLvl w:val="5"/>
    </w:pPr>
    <w:rPr>
      <w:rFonts w:ascii="Times New Roman" w:eastAsia="Times New Roman" w:hAnsi="Times New Roman"/>
      <w:b/>
      <w:sz w:val="24"/>
      <w:szCs w:val="20"/>
      <w:lang w:val="en-US" w:eastAsia="sl-SI"/>
    </w:rPr>
  </w:style>
  <w:style w:type="character" w:default="1" w:styleId="Numatytasispastraiposriftas">
    <w:name w:val="Default Paragraph Font"/>
    <w:uiPriority w:val="1"/>
    <w:unhideWhenUsed/>
  </w:style>
  <w:style w:type="table" w:default="1" w:styleId="prastojilentel">
    <w:name w:val="Normal Table"/>
    <w:semiHidden/>
    <w:tblPr>
      <w:tblInd w:w="0" w:type="dxa"/>
      <w:tblCellMar>
        <w:top w:w="0" w:type="dxa"/>
        <w:left w:w="108" w:type="dxa"/>
        <w:bottom w:w="0" w:type="dxa"/>
        <w:right w:w="108" w:type="dxa"/>
      </w:tblCellMar>
    </w:tblPr>
  </w:style>
  <w:style w:type="numbering" w:default="1" w:styleId="Sraonra">
    <w:name w:val="No List"/>
    <w:uiPriority w:val="99"/>
    <w:semiHidden/>
  </w:style>
  <w:style w:type="paragraph" w:styleId="Antrats">
    <w:name w:val="header"/>
    <w:basedOn w:val="prastasis"/>
    <w:link w:val="AntratsDiagrama"/>
    <w:pPr>
      <w:tabs>
        <w:tab w:val="center" w:pos="4320"/>
        <w:tab w:val="right" w:pos="8640"/>
      </w:tabs>
      <w:spacing w:after="0" w:line="240" w:lineRule="auto"/>
    </w:pPr>
    <w:rPr>
      <w:rFonts w:ascii="Times New Roman" w:eastAsia="Times New Roman" w:hAnsi="Times New Roman"/>
      <w:sz w:val="24"/>
      <w:szCs w:val="20"/>
      <w:lang w:val="sl-SI" w:eastAsia="sl-SI"/>
    </w:rPr>
  </w:style>
  <w:style w:type="paragraph" w:styleId="Porat">
    <w:name w:val="footer"/>
    <w:basedOn w:val="prastasis"/>
    <w:link w:val="PoratDiagrama"/>
    <w:uiPriority w:val="99"/>
    <w:pPr>
      <w:tabs>
        <w:tab w:val="center" w:pos="4320"/>
        <w:tab w:val="right" w:pos="8640"/>
      </w:tabs>
      <w:spacing w:after="0" w:line="240" w:lineRule="auto"/>
    </w:pPr>
    <w:rPr>
      <w:rFonts w:ascii="Times New Roman" w:eastAsia="Times New Roman" w:hAnsi="Times New Roman"/>
      <w:sz w:val="24"/>
      <w:szCs w:val="20"/>
      <w:lang w:val="sl-SI" w:eastAsia="sl-SI"/>
    </w:rPr>
  </w:style>
  <w:style w:type="table" w:styleId="Lentelstinklelis">
    <w:name w:val="Table Grid"/>
    <w:basedOn w:val="prastojilente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uslapionumeris">
    <w:name w:val="page number"/>
    <w:basedOn w:val="Numatytasispastraiposriftas"/>
  </w:style>
  <w:style w:type="character" w:styleId="Hipersaitas">
    <w:name w:val="Hyperlink"/>
    <w:rPr>
      <w:rFonts w:ascii="Times New Roman" w:hAnsi="Times New Roman"/>
      <w:color w:val="auto"/>
      <w:sz w:val="24"/>
      <w:szCs w:val="24"/>
      <w:u w:val="single"/>
      <w:lang w:val="en-US"/>
    </w:rPr>
  </w:style>
  <w:style w:type="character" w:styleId="Perirtashipersaitas">
    <w:name w:val="FollowedHyperlink"/>
    <w:rPr>
      <w:color w:val="800080"/>
      <w:u w:val="single"/>
    </w:rPr>
  </w:style>
  <w:style w:type="paragraph" w:styleId="Paprastasistekstas">
    <w:name w:val="Plain Text"/>
    <w:basedOn w:val="prastasis"/>
    <w:link w:val="PaprastasistekstasDiagrama"/>
    <w:pPr>
      <w:spacing w:after="0" w:line="240" w:lineRule="auto"/>
    </w:pPr>
    <w:rPr>
      <w:rFonts w:ascii="Courier New" w:eastAsia="Times New Roman" w:hAnsi="Courier New"/>
      <w:sz w:val="20"/>
      <w:szCs w:val="20"/>
      <w:lang w:val="en-GB" w:eastAsia="sl-SI"/>
    </w:rPr>
  </w:style>
  <w:style w:type="paragraph" w:styleId="Antrat">
    <w:name w:val="caption"/>
    <w:basedOn w:val="prastasis"/>
    <w:next w:val="prastasis"/>
    <w:qFormat/>
    <w:pPr>
      <w:spacing w:after="0" w:line="240" w:lineRule="auto"/>
      <w:jc w:val="both"/>
    </w:pPr>
    <w:rPr>
      <w:rFonts w:ascii="Times New Roman" w:eastAsia="Times New Roman" w:hAnsi="Times New Roman"/>
      <w:sz w:val="24"/>
      <w:szCs w:val="20"/>
      <w:lang w:val="en-GB" w:eastAsia="sl-SI"/>
    </w:rPr>
  </w:style>
  <w:style w:type="paragraph" w:customStyle="1" w:styleId="Naslov1">
    <w:name w:val="Naslov1"/>
    <w:basedOn w:val="Antrat1"/>
    <w:pPr>
      <w:spacing w:before="0" w:after="0"/>
    </w:pPr>
    <w:rPr>
      <w:rFonts w:ascii="Times New Roman" w:hAnsi="Times New Roman" w:cs="Times New Roman"/>
      <w:bCs w:val="0"/>
      <w:kern w:val="0"/>
      <w:sz w:val="22"/>
      <w:szCs w:val="20"/>
      <w:u w:val="single"/>
    </w:rPr>
  </w:style>
  <w:style w:type="paragraph" w:styleId="Turinys1">
    <w:name w:val="toc 1"/>
    <w:basedOn w:val="prastasis"/>
    <w:next w:val="prastasis"/>
    <w:autoRedefine/>
    <w:semiHidden/>
    <w:pPr>
      <w:spacing w:before="120" w:after="0" w:line="240" w:lineRule="auto"/>
    </w:pPr>
    <w:rPr>
      <w:rFonts w:ascii="Times New Roman" w:eastAsia="Times New Roman" w:hAnsi="Times New Roman"/>
      <w:b/>
      <w:bCs/>
      <w:i/>
      <w:iCs/>
      <w:sz w:val="24"/>
      <w:szCs w:val="28"/>
      <w:lang w:val="sl-SI" w:eastAsia="sl-SI"/>
    </w:rPr>
  </w:style>
  <w:style w:type="paragraph" w:styleId="Pagrindinistekstas">
    <w:name w:val="Body Text"/>
    <w:basedOn w:val="prastasis"/>
    <w:link w:val="PagrindinistekstasDiagrama"/>
    <w:pPr>
      <w:numPr>
        <w:ilvl w:val="12"/>
      </w:numPr>
      <w:tabs>
        <w:tab w:val="left" w:pos="8505"/>
      </w:tabs>
      <w:spacing w:after="0" w:line="240" w:lineRule="auto"/>
      <w:ind w:right="-2"/>
    </w:pPr>
    <w:rPr>
      <w:rFonts w:ascii="Times New Roman" w:eastAsia="Times New Roman" w:hAnsi="Times New Roman"/>
      <w:szCs w:val="20"/>
      <w:lang w:val="sl-SI" w:eastAsia="sl-SI"/>
    </w:rPr>
  </w:style>
  <w:style w:type="paragraph" w:styleId="Pagrindinistekstas2">
    <w:name w:val="Body Text 2"/>
    <w:basedOn w:val="prastasis"/>
    <w:link w:val="Pagrindinistekstas2Diagrama"/>
    <w:pPr>
      <w:spacing w:after="120" w:line="480" w:lineRule="auto"/>
    </w:pPr>
    <w:rPr>
      <w:rFonts w:ascii="Times New Roman" w:eastAsia="Times New Roman" w:hAnsi="Times New Roman"/>
      <w:sz w:val="24"/>
      <w:szCs w:val="20"/>
      <w:lang w:val="sl-SI" w:eastAsia="sl-SI"/>
    </w:rPr>
  </w:style>
  <w:style w:type="paragraph" w:customStyle="1" w:styleId="EMEAEnBodyText">
    <w:name w:val="EMEA En Body Text"/>
    <w:basedOn w:val="prastasis"/>
    <w:pPr>
      <w:spacing w:before="120" w:after="120" w:line="240" w:lineRule="auto"/>
      <w:jc w:val="both"/>
    </w:pPr>
    <w:rPr>
      <w:rFonts w:ascii="Times New Roman" w:eastAsia="Times New Roman" w:hAnsi="Times New Roman"/>
      <w:szCs w:val="20"/>
      <w:lang w:val="en-US"/>
    </w:rPr>
  </w:style>
  <w:style w:type="paragraph" w:customStyle="1" w:styleId="Default">
    <w:name w:val="Default"/>
    <w:pPr>
      <w:autoSpaceDE w:val="0"/>
      <w:autoSpaceDN w:val="0"/>
      <w:adjustRightInd w:val="0"/>
    </w:pPr>
    <w:rPr>
      <w:color w:val="000000"/>
      <w:sz w:val="24"/>
      <w:szCs w:val="24"/>
      <w:lang w:val="sl-SI" w:eastAsia="sl-SI"/>
    </w:rPr>
  </w:style>
  <w:style w:type="character" w:customStyle="1" w:styleId="Antrat1Diagrama">
    <w:name w:val="Antraštė 1 Diagrama"/>
    <w:link w:val="Antrat1"/>
    <w:rPr>
      <w:rFonts w:ascii="Arial" w:hAnsi="Arial" w:cs="Arial"/>
      <w:b/>
      <w:bCs/>
      <w:kern w:val="32"/>
      <w:sz w:val="32"/>
      <w:szCs w:val="32"/>
      <w:lang w:val="sl-SI" w:eastAsia="sl-SI"/>
    </w:rPr>
  </w:style>
  <w:style w:type="character" w:customStyle="1" w:styleId="Antrat2Diagrama">
    <w:name w:val="Antraštė 2 Diagrama"/>
    <w:link w:val="Antrat2"/>
    <w:rPr>
      <w:b/>
      <w:sz w:val="24"/>
      <w:u w:val="single"/>
      <w:lang w:val="en-US" w:eastAsia="sl-SI"/>
    </w:rPr>
  </w:style>
  <w:style w:type="character" w:customStyle="1" w:styleId="Antrat3Diagrama">
    <w:name w:val="Antraštė 3 Diagrama"/>
    <w:link w:val="Antrat3"/>
    <w:rPr>
      <w:b/>
      <w:sz w:val="24"/>
      <w:lang w:val="en-US" w:eastAsia="sl-SI"/>
    </w:rPr>
  </w:style>
  <w:style w:type="character" w:customStyle="1" w:styleId="Antrat4Diagrama">
    <w:name w:val="Antraštė 4 Diagrama"/>
    <w:link w:val="Antrat4"/>
    <w:rPr>
      <w:b/>
      <w:bCs/>
      <w:sz w:val="28"/>
      <w:szCs w:val="28"/>
      <w:lang w:val="sl-SI" w:eastAsia="sl-SI"/>
    </w:rPr>
  </w:style>
  <w:style w:type="character" w:customStyle="1" w:styleId="Antrat6Diagrama">
    <w:name w:val="Antraštė 6 Diagrama"/>
    <w:link w:val="Antrat6"/>
    <w:rPr>
      <w:b/>
      <w:sz w:val="24"/>
      <w:lang w:val="en-US" w:eastAsia="sl-SI"/>
    </w:rPr>
  </w:style>
  <w:style w:type="numbering" w:customStyle="1" w:styleId="Sraonra1">
    <w:name w:val="Sąrašo nėra1"/>
    <w:next w:val="Sraonra"/>
    <w:uiPriority w:val="99"/>
    <w:semiHidden/>
  </w:style>
  <w:style w:type="character" w:customStyle="1" w:styleId="AntratsDiagrama">
    <w:name w:val="Antraštės Diagrama"/>
    <w:link w:val="Antrats"/>
    <w:rPr>
      <w:sz w:val="24"/>
      <w:lang w:val="sl-SI" w:eastAsia="sl-SI"/>
    </w:rPr>
  </w:style>
  <w:style w:type="character" w:customStyle="1" w:styleId="PoratDiagrama">
    <w:name w:val="Poraštė Diagrama"/>
    <w:link w:val="Porat"/>
    <w:uiPriority w:val="99"/>
    <w:rPr>
      <w:sz w:val="24"/>
      <w:lang w:val="sl-SI" w:eastAsia="sl-SI"/>
    </w:rPr>
  </w:style>
  <w:style w:type="character" w:customStyle="1" w:styleId="PaprastasistekstasDiagrama">
    <w:name w:val="Paprastasis tekstas Diagrama"/>
    <w:link w:val="Paprastasistekstas"/>
    <w:rPr>
      <w:rFonts w:ascii="Courier New" w:hAnsi="Courier New"/>
      <w:lang w:eastAsia="sl-SI"/>
    </w:rPr>
  </w:style>
  <w:style w:type="character" w:customStyle="1" w:styleId="PagrindinistekstasDiagrama">
    <w:name w:val="Pagrindinis tekstas Diagrama"/>
    <w:link w:val="Pagrindinistekstas"/>
    <w:rPr>
      <w:sz w:val="22"/>
      <w:lang w:val="sl-SI" w:eastAsia="sl-SI"/>
    </w:rPr>
  </w:style>
  <w:style w:type="character" w:customStyle="1" w:styleId="Pagrindinistekstas2Diagrama">
    <w:name w:val="Pagrindinis tekstas 2 Diagrama"/>
    <w:link w:val="Pagrindinistekstas2"/>
    <w:rPr>
      <w:sz w:val="24"/>
      <w:lang w:val="sl-SI" w:eastAsia="sl-SI"/>
    </w:rPr>
  </w:style>
  <w:style w:type="numbering" w:customStyle="1" w:styleId="Brezseznama1">
    <w:name w:val="Brez seznama1"/>
    <w:next w:val="Sraonra"/>
    <w:semiHidden/>
  </w:style>
  <w:style w:type="paragraph" w:styleId="Dokumentoinaostekstas">
    <w:name w:val="endnote text"/>
    <w:basedOn w:val="prastasis"/>
    <w:link w:val="DokumentoinaostekstasDiagrama"/>
    <w:pPr>
      <w:tabs>
        <w:tab w:val="left" w:pos="567"/>
      </w:tabs>
      <w:spacing w:after="0" w:line="240" w:lineRule="auto"/>
    </w:pPr>
    <w:rPr>
      <w:rFonts w:ascii="Times New Roman" w:eastAsia="Times New Roman" w:hAnsi="Times New Roman"/>
      <w:szCs w:val="20"/>
      <w:lang w:val="en-GB"/>
    </w:rPr>
  </w:style>
  <w:style w:type="character" w:customStyle="1" w:styleId="DokumentoinaostekstasDiagrama">
    <w:name w:val="Dokumento išnašos tekstas Diagrama"/>
    <w:link w:val="Dokumentoinaostekstas"/>
    <w:rPr>
      <w:sz w:val="22"/>
      <w:lang w:eastAsia="en-US"/>
    </w:rPr>
  </w:style>
  <w:style w:type="numbering" w:customStyle="1" w:styleId="Brezseznama2">
    <w:name w:val="Brez seznama2"/>
    <w:next w:val="Sraonra"/>
    <w:semiHidden/>
  </w:style>
  <w:style w:type="numbering" w:customStyle="1" w:styleId="Brezseznama3">
    <w:name w:val="Brez seznama3"/>
    <w:next w:val="Sraonra"/>
    <w:semiHidden/>
  </w:style>
  <w:style w:type="paragraph" w:styleId="Pavadinimas">
    <w:name w:val="Title"/>
    <w:basedOn w:val="prastasis"/>
    <w:link w:val="PavadinimasDiagrama"/>
    <w:qFormat/>
    <w:pPr>
      <w:spacing w:after="0" w:line="240" w:lineRule="auto"/>
      <w:jc w:val="center"/>
    </w:pPr>
    <w:rPr>
      <w:rFonts w:ascii="Times New Roman" w:eastAsia="Times New Roman" w:hAnsi="Times New Roman"/>
      <w:b/>
      <w:szCs w:val="20"/>
      <w:lang w:val="en-GB"/>
    </w:rPr>
  </w:style>
  <w:style w:type="character" w:customStyle="1" w:styleId="PavadinimasDiagrama">
    <w:name w:val="Pavadinimas Diagrama"/>
    <w:link w:val="Pavadinimas"/>
    <w:rPr>
      <w:b/>
      <w:sz w:val="22"/>
      <w:lang w:eastAsia="en-US"/>
    </w:rPr>
  </w:style>
  <w:style w:type="character" w:customStyle="1" w:styleId="bold1">
    <w:name w:val="bold1"/>
    <w:rPr>
      <w:b/>
      <w:bCs/>
    </w:rPr>
  </w:style>
  <w:style w:type="paragraph" w:customStyle="1" w:styleId="paragraph">
    <w:name w:val="paragraph"/>
    <w:basedOn w:val="prastasis"/>
    <w:pPr>
      <w:spacing w:after="0" w:line="240" w:lineRule="auto"/>
    </w:pPr>
    <w:rPr>
      <w:rFonts w:ascii="Times New Roman" w:eastAsia="Times New Roman" w:hAnsi="Times New Roman"/>
      <w:sz w:val="24"/>
      <w:szCs w:val="24"/>
      <w:lang w:eastAsia="sl-SI"/>
    </w:rPr>
  </w:style>
  <w:style w:type="paragraph" w:styleId="prastasiniatinklio">
    <w:name w:val="Normal (Web)"/>
    <w:basedOn w:val="prastasis"/>
    <w:pPr>
      <w:spacing w:before="100" w:beforeAutospacing="1" w:after="100" w:afterAutospacing="1" w:line="240" w:lineRule="auto"/>
    </w:pPr>
    <w:rPr>
      <w:rFonts w:ascii="Times New Roman" w:eastAsia="Times New Roman" w:hAnsi="Times New Roman"/>
      <w:sz w:val="24"/>
      <w:szCs w:val="24"/>
      <w:lang w:eastAsia="sl-SI"/>
    </w:rPr>
  </w:style>
  <w:style w:type="table" w:styleId="LentelKlasikin1">
    <w:name w:val="Table Classic 1"/>
    <w:basedOn w:val="prastojilentel"/>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ZnakZnakZnakZnakZnakCharCharZnakZnak1CharChar">
    <w:name w:val="Znak Znak Znak Znak Znak Char Char Znak Znak1 Char Char"/>
    <w:basedOn w:val="prastasis"/>
    <w:pPr>
      <w:spacing w:after="160" w:line="240" w:lineRule="exact"/>
    </w:pPr>
    <w:rPr>
      <w:rFonts w:ascii="Verdana" w:hAnsi="Verdana"/>
      <w:sz w:val="20"/>
      <w:lang w:val="en-US"/>
    </w:rPr>
  </w:style>
  <w:style w:type="paragraph" w:customStyle="1" w:styleId="BTEMEASMCA">
    <w:name w:val="BT EMEA_SMCA"/>
    <w:basedOn w:val="prastasis"/>
    <w:link w:val="BTEMEASMCAChar"/>
    <w:autoRedefine/>
    <w:pPr>
      <w:tabs>
        <w:tab w:val="left" w:pos="540"/>
        <w:tab w:val="left" w:pos="2977"/>
      </w:tabs>
      <w:spacing w:after="0" w:line="240" w:lineRule="auto"/>
    </w:pPr>
    <w:rPr>
      <w:rFonts w:ascii="Times New Roman" w:eastAsia="Times New Roman" w:hAnsi="Times New Roman"/>
      <w:szCs w:val="20"/>
      <w:lang w:eastAsia="lt-LT"/>
    </w:rPr>
  </w:style>
  <w:style w:type="character" w:styleId="Grietas">
    <w:name w:val="Strong"/>
    <w:qFormat/>
    <w:rPr>
      <w:b/>
      <w:bCs/>
    </w:rPr>
  </w:style>
  <w:style w:type="paragraph" w:styleId="Debesliotekstas">
    <w:name w:val="Balloon Text"/>
    <w:basedOn w:val="prastasis"/>
    <w:link w:val="DebesliotekstasDiagrama"/>
    <w:pPr>
      <w:spacing w:after="0" w:line="240" w:lineRule="auto"/>
    </w:pPr>
    <w:rPr>
      <w:rFonts w:ascii="Tahoma" w:eastAsia="Times New Roman" w:hAnsi="Tahoma" w:cs="Tahoma"/>
      <w:sz w:val="16"/>
      <w:szCs w:val="16"/>
      <w:lang w:eastAsia="sl-SI"/>
    </w:rPr>
  </w:style>
  <w:style w:type="character" w:customStyle="1" w:styleId="DebesliotekstasDiagrama">
    <w:name w:val="Debesėlio tekstas Diagrama"/>
    <w:link w:val="Debesliotekstas"/>
    <w:rPr>
      <w:rFonts w:ascii="Tahoma" w:hAnsi="Tahoma" w:cs="Tahoma"/>
      <w:sz w:val="16"/>
      <w:szCs w:val="16"/>
      <w:lang w:val="lt-LT" w:eastAsia="sl-SI"/>
    </w:rPr>
  </w:style>
  <w:style w:type="paragraph" w:customStyle="1" w:styleId="PI-1EMEASMCA">
    <w:name w:val="PI-1 EMEA_SMCA"/>
    <w:basedOn w:val="Antrat2"/>
    <w:autoRedefine/>
    <w:pPr>
      <w:tabs>
        <w:tab w:val="clear" w:pos="4300"/>
        <w:tab w:val="clear" w:pos="5940"/>
        <w:tab w:val="clear" w:pos="8180"/>
        <w:tab w:val="left" w:pos="567"/>
      </w:tabs>
      <w:spacing w:line="240" w:lineRule="auto"/>
      <w:ind w:left="567" w:hanging="567"/>
    </w:pPr>
    <w:rPr>
      <w:sz w:val="22"/>
      <w:szCs w:val="22"/>
      <w:u w:val="none"/>
      <w:lang w:val="lt-LT" w:eastAsia="en-US"/>
    </w:rPr>
  </w:style>
  <w:style w:type="paragraph" w:customStyle="1" w:styleId="PI-2EMEASMCA">
    <w:name w:val="PI-2 EMEA_SMCA"/>
    <w:basedOn w:val="Antrat3"/>
    <w:autoRedefine/>
    <w:pPr>
      <w:keepLines/>
      <w:tabs>
        <w:tab w:val="clear" w:pos="6760"/>
        <w:tab w:val="left" w:pos="567"/>
      </w:tabs>
      <w:spacing w:line="240" w:lineRule="auto"/>
      <w:ind w:left="567" w:hanging="567"/>
    </w:pPr>
    <w:rPr>
      <w:kern w:val="28"/>
      <w:sz w:val="22"/>
      <w:szCs w:val="22"/>
      <w:lang w:val="lt-LT" w:eastAsia="en-US"/>
    </w:rPr>
  </w:style>
  <w:style w:type="paragraph" w:customStyle="1" w:styleId="TTEMEASMCA">
    <w:name w:val="TT EMEA_SMCA"/>
    <w:basedOn w:val="Antrat1"/>
    <w:link w:val="TTEMEASMCAChar"/>
    <w:autoRedefine/>
    <w:pPr>
      <w:keepNext w:val="0"/>
      <w:tabs>
        <w:tab w:val="left" w:pos="567"/>
      </w:tabs>
      <w:spacing w:before="0" w:after="0"/>
      <w:ind w:left="567" w:hanging="567"/>
      <w:jc w:val="center"/>
    </w:pPr>
    <w:rPr>
      <w:rFonts w:ascii="Times New Roman" w:hAnsi="Times New Roman" w:cs="Times New Roman"/>
      <w:bCs w:val="0"/>
      <w:caps/>
      <w:kern w:val="0"/>
      <w:sz w:val="22"/>
      <w:szCs w:val="22"/>
      <w:lang w:val="en-US" w:eastAsia="en-US"/>
    </w:rPr>
  </w:style>
  <w:style w:type="character" w:customStyle="1" w:styleId="TTEMEASMCAChar">
    <w:name w:val="TT EMEA_SMCA Char"/>
    <w:link w:val="TTEMEASMCA"/>
    <w:rPr>
      <w:b/>
      <w:caps/>
      <w:sz w:val="22"/>
      <w:szCs w:val="22"/>
      <w:lang w:val="en-US" w:eastAsia="en-US"/>
    </w:rPr>
  </w:style>
  <w:style w:type="paragraph" w:customStyle="1" w:styleId="BTAnIIEMEASMCA">
    <w:name w:val="BT(AnII) EMEA_SMCA"/>
    <w:basedOn w:val="Debesliotekstas"/>
    <w:autoRedefine/>
    <w:pPr>
      <w:tabs>
        <w:tab w:val="left" w:pos="1701"/>
      </w:tabs>
      <w:ind w:left="1701" w:hanging="567"/>
    </w:pPr>
    <w:rPr>
      <w:rFonts w:ascii="Times New Roman" w:hAnsi="Times New Roman"/>
      <w:b/>
      <w:sz w:val="22"/>
      <w:szCs w:val="22"/>
      <w:lang w:val="en-GB" w:eastAsia="en-US"/>
    </w:rPr>
  </w:style>
  <w:style w:type="paragraph" w:customStyle="1" w:styleId="BTgEMEASMCA">
    <w:name w:val="BT(g) EMEA_SMCA"/>
    <w:basedOn w:val="BTEMEASMCA"/>
    <w:link w:val="BTgEMEASMCAChar"/>
    <w:autoRedefine/>
    <w:pPr>
      <w:tabs>
        <w:tab w:val="clear" w:pos="540"/>
        <w:tab w:val="clear" w:pos="2977"/>
      </w:tabs>
    </w:pPr>
    <w:rPr>
      <w:i/>
      <w:color w:val="008000"/>
    </w:rPr>
  </w:style>
  <w:style w:type="character" w:customStyle="1" w:styleId="BTEMEASMCAChar">
    <w:name w:val="BT EMEA_SMCA Char"/>
    <w:link w:val="BTEMEASMCA"/>
    <w:rPr>
      <w:sz w:val="22"/>
      <w:lang w:val="lt-LT" w:eastAsia="lt-LT"/>
    </w:rPr>
  </w:style>
  <w:style w:type="character" w:customStyle="1" w:styleId="BTgEMEASMCAChar">
    <w:name w:val="BT(g) EMEA_SMCA Char"/>
    <w:link w:val="BTgEMEASMCA"/>
    <w:rPr>
      <w:i/>
      <w:color w:val="008000"/>
      <w:sz w:val="22"/>
      <w:lang w:val="lt-LT" w:eastAsia="lt-LT"/>
    </w:rPr>
  </w:style>
  <w:style w:type="paragraph" w:customStyle="1" w:styleId="BTuEMEASMCA">
    <w:name w:val="BT(u) EMEA_SMCA"/>
    <w:basedOn w:val="BTEMEASMCA"/>
    <w:autoRedefine/>
    <w:pPr>
      <w:tabs>
        <w:tab w:val="clear" w:pos="540"/>
        <w:tab w:val="clear" w:pos="2977"/>
      </w:tabs>
    </w:pPr>
    <w:rPr>
      <w:noProof/>
      <w:szCs w:val="22"/>
      <w:u w:val="single"/>
      <w:lang w:eastAsia="en-US"/>
    </w:rPr>
  </w:style>
  <w:style w:type="character" w:styleId="Komentaronuoroda">
    <w:name w:val="annotation reference"/>
    <w:rPr>
      <w:sz w:val="16"/>
      <w:szCs w:val="16"/>
    </w:rPr>
  </w:style>
  <w:style w:type="paragraph" w:styleId="Komentarotekstas">
    <w:name w:val="annotation text"/>
    <w:basedOn w:val="prastasis"/>
    <w:link w:val="KomentarotekstasDiagrama"/>
    <w:pPr>
      <w:spacing w:after="0" w:line="240" w:lineRule="auto"/>
    </w:pPr>
    <w:rPr>
      <w:rFonts w:ascii="Times New Roman" w:eastAsia="Times New Roman" w:hAnsi="Times New Roman"/>
      <w:sz w:val="20"/>
      <w:szCs w:val="20"/>
      <w:lang w:eastAsia="sl-SI"/>
    </w:rPr>
  </w:style>
  <w:style w:type="character" w:customStyle="1" w:styleId="KomentarotekstasDiagrama">
    <w:name w:val="Komentaro tekstas Diagrama"/>
    <w:link w:val="Komentarotekstas"/>
    <w:rPr>
      <w:lang w:val="lt-LT" w:eastAsia="sl-SI"/>
    </w:rPr>
  </w:style>
  <w:style w:type="paragraph" w:styleId="Komentarotema">
    <w:name w:val="annotation subject"/>
    <w:basedOn w:val="Komentarotekstas"/>
    <w:next w:val="Komentarotekstas"/>
    <w:link w:val="KomentarotemaDiagrama"/>
    <w:rPr>
      <w:b/>
      <w:bCs/>
    </w:rPr>
  </w:style>
  <w:style w:type="character" w:customStyle="1" w:styleId="KomentarotemaDiagrama">
    <w:name w:val="Komentaro tema Diagrama"/>
    <w:link w:val="Komentarotema"/>
    <w:rPr>
      <w:b/>
      <w:bCs/>
      <w:lang w:val="lt-LT" w:eastAsia="sl-SI"/>
    </w:rPr>
  </w:style>
  <w:style w:type="numbering" w:customStyle="1" w:styleId="Sraonra11">
    <w:name w:val="Sąrašo nėra11"/>
    <w:next w:val="Sraonra"/>
    <w:semiHidden/>
  </w:style>
  <w:style w:type="paragraph" w:styleId="Pataisymai">
    <w:name w:val="Revision"/>
    <w:hidden/>
    <w:uiPriority w:val="99"/>
    <w:semiHidden/>
    <w:rPr>
      <w:sz w:val="24"/>
      <w:lang w:val="sl-SI" w:eastAsia="sl-SI"/>
    </w:rPr>
  </w:style>
  <w:style w:type="paragraph" w:customStyle="1" w:styleId="BT-EMEASMCA">
    <w:name w:val="BT- EMEA_SMCA"/>
    <w:basedOn w:val="BTEMEASMCA"/>
    <w:autoRedefine/>
    <w:pPr>
      <w:tabs>
        <w:tab w:val="clear" w:pos="540"/>
        <w:tab w:val="clear" w:pos="2977"/>
        <w:tab w:val="left" w:pos="0"/>
      </w:tabs>
    </w:pPr>
    <w:rPr>
      <w:lang w:eastAsia="en-US"/>
    </w:rPr>
  </w:style>
  <w:style w:type="paragraph" w:styleId="Sraopastraipa">
    <w:name w:val="List Paragraph"/>
    <w:basedOn w:val="prastasis"/>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556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vvkt.lt/" TargetMode="External"/><Relationship Id="rId4" Type="http://schemas.openxmlformats.org/officeDocument/2006/relationships/settings" Target="settings.xml"/><Relationship Id="rId9" Type="http://schemas.openxmlformats.org/officeDocument/2006/relationships/hyperlink" Target="http://www.vvkt.lt/" TargetMode="Externa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242324-0512-42B1-80F7-88900DC4B7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32</Pages>
  <Words>42935</Words>
  <Characters>24474</Characters>
  <Application>Microsoft Office Word</Application>
  <DocSecurity>0</DocSecurity>
  <Lines>203</Lines>
  <Paragraphs>134</Paragraphs>
  <ScaleCrop>false</ScaleCrop>
  <HeadingPairs>
    <vt:vector size="6" baseType="variant">
      <vt:variant>
        <vt:lpstr>Pavadinimas</vt:lpstr>
      </vt:variant>
      <vt:variant>
        <vt:i4>1</vt:i4>
      </vt:variant>
      <vt:variant>
        <vt:lpstr>Title</vt:lpstr>
      </vt:variant>
      <vt:variant>
        <vt:i4>1</vt:i4>
      </vt:variant>
      <vt:variant>
        <vt:lpstr>Naslov</vt:lpstr>
      </vt:variant>
      <vt:variant>
        <vt:i4>1</vt:i4>
      </vt:variant>
    </vt:vector>
  </HeadingPairs>
  <TitlesOfParts>
    <vt:vector size="3" baseType="lpstr">
      <vt:lpstr>PARTICULARS TO APPEAR ON &lt;THE OUTER PACKAGING&gt; &lt;AND&gt; &lt;THE IMMEDIATE PACKAGING&gt;</vt:lpstr>
      <vt:lpstr>PARTICULARS TO APPEAR ON &lt;THE OUTER PACKAGING&gt; &lt;AND&gt; &lt;THE IMMEDIATE PACKAGING&gt;</vt:lpstr>
      <vt:lpstr>PARTICULARS TO APPEAR ON &lt;THE OUTER PACKAGING&gt; &lt;AND&gt; &lt;THE IMMEDIATE PACKAGING&gt;</vt:lpstr>
    </vt:vector>
  </TitlesOfParts>
  <Company> </Company>
  <LinksUpToDate>false</LinksUpToDate>
  <CharactersWithSpaces>67275</CharactersWithSpaces>
  <SharedDoc>false</SharedDoc>
  <HLinks>
    <vt:vector size="18" baseType="variant">
      <vt:variant>
        <vt:i4>7077950</vt:i4>
      </vt:variant>
      <vt:variant>
        <vt:i4>6</vt:i4>
      </vt:variant>
      <vt:variant>
        <vt:i4>0</vt:i4>
      </vt:variant>
      <vt:variant>
        <vt:i4>5</vt:i4>
      </vt:variant>
      <vt:variant>
        <vt:lpwstr>http://www.vvkt.lt/</vt:lpwstr>
      </vt:variant>
      <vt:variant>
        <vt:lpwstr/>
      </vt:variant>
      <vt:variant>
        <vt:i4>7077950</vt:i4>
      </vt:variant>
      <vt:variant>
        <vt:i4>3</vt:i4>
      </vt:variant>
      <vt:variant>
        <vt:i4>0</vt:i4>
      </vt:variant>
      <vt:variant>
        <vt:i4>5</vt:i4>
      </vt:variant>
      <vt:variant>
        <vt:lpwstr>http://www.vvkt.lt/</vt:lpwstr>
      </vt:variant>
      <vt:variant>
        <vt:lpwstr/>
      </vt:variant>
      <vt:variant>
        <vt:i4>2162708</vt:i4>
      </vt:variant>
      <vt:variant>
        <vt:i4>0</vt:i4>
      </vt:variant>
      <vt:variant>
        <vt:i4>0</vt:i4>
      </vt:variant>
      <vt:variant>
        <vt:i4>5</vt:i4>
      </vt:variant>
      <vt:variant>
        <vt:lpwstr>mailto:NepageidaujamaR@vvkt.lt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PARTICULARS TO APPEAR ON &lt;THE OUTER PACKAGING&gt; &lt;AND&gt; &lt;THE IMMEDIATE PACKAGING&gt;</dc:title>
  <dc:subject/>
  <dc:creator>karmen</dc:creator>
  <cp:keywords/>
  <dc:description/>
  <cp:lastModifiedBy>Albina Burkauskaitė</cp:lastModifiedBy>
  <cp:revision>3</cp:revision>
  <dcterms:created xsi:type="dcterms:W3CDTF">2025-06-27T06:52:00Z</dcterms:created>
  <dcterms:modified xsi:type="dcterms:W3CDTF">2025-06-27T06:53:00Z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p_title">
    <vt:lpwstr/>
  </property>
  <property fmtid="{D5CDD505-2E9C-101B-9397-08002B2CF9AE}" pid="3" name="ph_inn_name">
    <vt:lpwstr/>
  </property>
  <property fmtid="{D5CDD505-2E9C-101B-9397-08002B2CF9AE}" pid="4" name="ph_pharm_form">
    <vt:lpwstr/>
  </property>
  <property fmtid="{D5CDD505-2E9C-101B-9397-08002B2CF9AE}" pid="5" name="ph_unit_measure">
    <vt:lpwstr/>
  </property>
  <property fmtid="{D5CDD505-2E9C-101B-9397-08002B2CF9AE}" pid="6" name="mp_first_effective_date">
    <vt:lpwstr/>
  </property>
  <property fmtid="{D5CDD505-2E9C-101B-9397-08002B2CF9AE}" pid="7" name="mp_updated_effective_date">
    <vt:lpwstr/>
  </property>
  <property fmtid="{D5CDD505-2E9C-101B-9397-08002B2CF9AE}" pid="8" name="object_name">
    <vt:lpwstr>PI_Text089999_1</vt:lpwstr>
  </property>
  <property fmtid="{D5CDD505-2E9C-101B-9397-08002B2CF9AE}" pid="9" name="ph_strength_custom">
    <vt:lpwstr/>
  </property>
  <property fmtid="{D5CDD505-2E9C-101B-9397-08002B2CF9AE}" pid="10" name="mp_document_code">
    <vt:lpwstr/>
  </property>
  <property fmtid="{D5CDD505-2E9C-101B-9397-08002B2CF9AE}" pid="11" name="drz1">
    <vt:lpwstr/>
  </property>
  <property fmtid="{D5CDD505-2E9C-101B-9397-08002B2CF9AE}" pid="12" name="drz2">
    <vt:lpwstr/>
  </property>
  <property fmtid="{D5CDD505-2E9C-101B-9397-08002B2CF9AE}" pid="13" name="drz3">
    <vt:lpwstr/>
  </property>
  <property fmtid="{D5CDD505-2E9C-101B-9397-08002B2CF9AE}" pid="14" name="drz4">
    <vt:lpwstr/>
  </property>
  <property fmtid="{D5CDD505-2E9C-101B-9397-08002B2CF9AE}" pid="15" name="drz5">
    <vt:lpwstr/>
  </property>
  <property fmtid="{D5CDD505-2E9C-101B-9397-08002B2CF9AE}" pid="16" name="drz6">
    <vt:lpwstr/>
  </property>
  <property fmtid="{D5CDD505-2E9C-101B-9397-08002B2CF9AE}" pid="17" name="drz7">
    <vt:lpwstr/>
  </property>
  <property fmtid="{D5CDD505-2E9C-101B-9397-08002B2CF9AE}" pid="18" name="drz8">
    <vt:lpwstr/>
  </property>
  <property fmtid="{D5CDD505-2E9C-101B-9397-08002B2CF9AE}" pid="19" name="drz9">
    <vt:lpwstr/>
  </property>
  <property fmtid="{D5CDD505-2E9C-101B-9397-08002B2CF9AE}" pid="20" name="drz10">
    <vt:lpwstr/>
  </property>
  <property fmtid="{D5CDD505-2E9C-101B-9397-08002B2CF9AE}" pid="21" name="RMS_drz1">
    <vt:lpwstr/>
  </property>
  <property fmtid="{D5CDD505-2E9C-101B-9397-08002B2CF9AE}" pid="22" name="RMS_drz2">
    <vt:lpwstr/>
  </property>
  <property fmtid="{D5CDD505-2E9C-101B-9397-08002B2CF9AE}" pid="23" name="RMS_drz3">
    <vt:lpwstr/>
  </property>
  <property fmtid="{D5CDD505-2E9C-101B-9397-08002B2CF9AE}" pid="24" name="RMS_drz4">
    <vt:lpwstr/>
  </property>
  <property fmtid="{D5CDD505-2E9C-101B-9397-08002B2CF9AE}" pid="25" name="RMS_drz5">
    <vt:lpwstr/>
  </property>
</Properties>
</file>