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C66" w:rsidRDefault="00444C66">
      <w:pPr>
        <w:widowControl w:val="0"/>
        <w:tabs>
          <w:tab w:val="left" w:pos="-1440"/>
          <w:tab w:val="left" w:pos="-720"/>
        </w:tabs>
        <w:spacing w:after="0" w:line="240" w:lineRule="auto"/>
        <w:jc w:val="center"/>
        <w:rPr>
          <w:rFonts w:ascii="Times New Roman" w:hAnsi="Times New Roman"/>
          <w:b/>
        </w:rPr>
      </w:pPr>
      <w:bookmarkStart w:id="0" w:name="Tab"/>
      <w:bookmarkEnd w:id="0"/>
    </w:p>
    <w:p w:rsidR="00444C66" w:rsidRDefault="00444C66">
      <w:pPr>
        <w:widowControl w:val="0"/>
        <w:tabs>
          <w:tab w:val="left" w:pos="-1440"/>
          <w:tab w:val="left" w:pos="-720"/>
        </w:tabs>
        <w:spacing w:after="0" w:line="240" w:lineRule="auto"/>
        <w:jc w:val="center"/>
        <w:rPr>
          <w:rFonts w:ascii="Times New Roman" w:hAnsi="Times New Roman"/>
          <w:b/>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tabs>
          <w:tab w:val="left" w:pos="567"/>
        </w:tabs>
        <w:spacing w:after="0" w:line="240" w:lineRule="auto"/>
        <w:ind w:left="567" w:hanging="567"/>
        <w:jc w:val="center"/>
        <w:outlineLvl w:val="0"/>
        <w:rPr>
          <w:rFonts w:ascii="Times New Roman" w:hAnsi="Times New Roman"/>
          <w:b/>
          <w:caps/>
        </w:rPr>
      </w:pPr>
      <w:bookmarkStart w:id="1" w:name="_Toc129243096"/>
      <w:bookmarkStart w:id="2" w:name="_Toc129243221"/>
      <w:r>
        <w:rPr>
          <w:rFonts w:ascii="Times New Roman" w:hAnsi="Times New Roman"/>
          <w:b/>
          <w:caps/>
        </w:rPr>
        <w:t>I PRIEDAS</w:t>
      </w:r>
      <w:bookmarkEnd w:id="1"/>
      <w:bookmarkEnd w:id="2"/>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spacing w:after="0" w:line="240" w:lineRule="auto"/>
        <w:ind w:left="567" w:hanging="567"/>
        <w:jc w:val="center"/>
        <w:rPr>
          <w:rFonts w:ascii="Times New Roman" w:hAnsi="Times New Roman"/>
        </w:rPr>
      </w:pPr>
      <w:r>
        <w:rPr>
          <w:rFonts w:ascii="Times New Roman" w:hAnsi="Times New Roman"/>
          <w:b/>
        </w:rPr>
        <w:t>PREPARATO CHARAKTERISTIKŲ SANTRAUKA</w:t>
      </w:r>
    </w:p>
    <w:p w:rsidR="00444C66" w:rsidRDefault="00444C66">
      <w:pPr>
        <w:widowControl w:val="0"/>
        <w:tabs>
          <w:tab w:val="left" w:pos="567"/>
        </w:tabs>
        <w:spacing w:after="0" w:line="240" w:lineRule="auto"/>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Olimestra 10 mg plėvele dengtos tabletės</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shd w:val="clear" w:color="auto" w:fill="E6E6E6"/>
        </w:rPr>
        <w:t>Olimestra 20 mg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darkGray"/>
          <w:shd w:val="clear" w:color="auto" w:fill="C0C0C0"/>
        </w:rPr>
        <w:t>Olimestra 40 mg plėvele dengtos tabletės</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b/>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b/>
        </w:rPr>
        <w:t>2.</w:t>
      </w:r>
      <w:r>
        <w:rPr>
          <w:rFonts w:ascii="Times New Roman" w:hAnsi="Times New Roman"/>
          <w:b/>
        </w:rPr>
        <w:tab/>
      </w:r>
      <w:r>
        <w:rPr>
          <w:rFonts w:ascii="Times New Roman" w:hAnsi="Times New Roman"/>
          <w:b/>
          <w:caps/>
        </w:rPr>
        <w:t>kokybinė ir kiekybinė sudėtis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u w:val="single"/>
        </w:rPr>
      </w:pPr>
      <w:r>
        <w:rPr>
          <w:rFonts w:ascii="Times New Roman" w:hAnsi="Times New Roman"/>
          <w:u w:val="single"/>
        </w:rPr>
        <w:t>Olimestra 10 mg plėvele dengtos tabletės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Kiekvienoje plėvele dengtoje tabletėje yra 10 mg </w:t>
      </w:r>
      <w:bookmarkStart w:id="3" w:name="_Hlk192237420"/>
      <w:r>
        <w:rPr>
          <w:rFonts w:ascii="Times New Roman" w:hAnsi="Times New Roman"/>
        </w:rPr>
        <w:t>olmesartano medoksomilio</w:t>
      </w:r>
      <w:bookmarkEnd w:id="3"/>
      <w:r>
        <w:rPr>
          <w:rFonts w:ascii="Times New Roman" w:hAnsi="Times New Roman"/>
        </w:rPr>
        <w:t>.</w:t>
      </w:r>
    </w:p>
    <w:p w:rsidR="00444C66" w:rsidRDefault="00444C66">
      <w:pPr>
        <w:widowControl w:val="0"/>
        <w:spacing w:after="0" w:line="240" w:lineRule="auto"/>
        <w:rPr>
          <w:rFonts w:ascii="Times New Roman" w:hAnsi="Times New Roman"/>
          <w:highlight w:val="lightGray"/>
        </w:rPr>
      </w:pP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shd w:val="clear" w:color="auto" w:fill="E6E6E6"/>
        </w:rPr>
        <w:t>Olimestra 20 mg plėvele dengtos tabletės</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lightGray"/>
          <w:shd w:val="clear" w:color="auto" w:fill="E6E6E6"/>
        </w:rPr>
        <w:t>Kiekvienoje plėvele dengtoje tabletėje yra 20 mg olmesartano medoksomilio.</w:t>
      </w:r>
    </w:p>
    <w:p w:rsidR="00444C66" w:rsidRDefault="00444C66">
      <w:pPr>
        <w:widowControl w:val="0"/>
        <w:spacing w:after="0" w:line="240" w:lineRule="auto"/>
        <w:rPr>
          <w:rFonts w:ascii="Times New Roman" w:hAnsi="Times New Roman"/>
          <w:highlight w:val="lightGray"/>
        </w:rPr>
      </w:pPr>
    </w:p>
    <w:p w:rsidR="00444C66" w:rsidRDefault="00444C66">
      <w:pPr>
        <w:widowControl w:val="0"/>
        <w:spacing w:after="0" w:line="240" w:lineRule="auto"/>
        <w:rPr>
          <w:rFonts w:ascii="Times New Roman" w:hAnsi="Times New Roman"/>
          <w:highlight w:val="darkGray"/>
          <w:u w:val="single"/>
        </w:rPr>
      </w:pPr>
      <w:r>
        <w:rPr>
          <w:rFonts w:ascii="Times New Roman" w:hAnsi="Times New Roman"/>
          <w:highlight w:val="darkGray"/>
          <w:u w:val="single"/>
          <w:shd w:val="clear" w:color="auto" w:fill="C0C0C0"/>
        </w:rPr>
        <w:t>Olimestra 40 mg plėvele dengtos tabletės</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darkGray"/>
          <w:shd w:val="clear" w:color="auto" w:fill="C0C0C0"/>
        </w:rPr>
        <w:t>Kiekvienoje plėvele dengtoje tabletėje yra 40 mg olmesartano medoksomilio.</w:t>
      </w:r>
    </w:p>
    <w:p w:rsidR="00444C66" w:rsidRDefault="00444C66">
      <w:pPr>
        <w:widowControl w:val="0"/>
        <w:autoSpaceDE w:val="0"/>
        <w:autoSpaceDN w:val="0"/>
        <w:adjustRightInd w:val="0"/>
        <w:spacing w:after="0" w:line="240" w:lineRule="auto"/>
        <w:jc w:val="both"/>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Pagalbinė medžiaga, kurios poveikis žinomas: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10 mg:</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Vienoje tabletėje yra 54,63 mg laktozės.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highlight w:val="lightGray"/>
        </w:rPr>
      </w:pPr>
      <w:r>
        <w:rPr>
          <w:rFonts w:ascii="Times New Roman" w:hAnsi="Times New Roman"/>
          <w:highlight w:val="lightGray"/>
          <w:shd w:val="clear" w:color="auto" w:fill="E6E6E6"/>
        </w:rPr>
        <w:t>20 mg:</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lightGray"/>
          <w:shd w:val="clear" w:color="auto" w:fill="E6E6E6"/>
        </w:rPr>
        <w:t xml:space="preserve">Vienoje tabletėje yra </w:t>
      </w:r>
      <w:r>
        <w:rPr>
          <w:rFonts w:ascii="Times New Roman" w:hAnsi="Times New Roman"/>
          <w:highlight w:val="lightGray"/>
        </w:rPr>
        <w:t>109,25</w:t>
      </w:r>
      <w:r>
        <w:rPr>
          <w:rFonts w:ascii="Times New Roman" w:hAnsi="Times New Roman"/>
          <w:highlight w:val="lightGray"/>
          <w:shd w:val="clear" w:color="auto" w:fill="E6E6E6"/>
        </w:rPr>
        <w:t> mg laktozės.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highlight w:val="darkGray"/>
        </w:rPr>
      </w:pPr>
      <w:r>
        <w:rPr>
          <w:rFonts w:ascii="Times New Roman" w:hAnsi="Times New Roman"/>
          <w:highlight w:val="darkGray"/>
          <w:shd w:val="clear" w:color="auto" w:fill="C0C0C0"/>
        </w:rPr>
        <w:t>40 mg:</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darkGray"/>
          <w:shd w:val="clear" w:color="auto" w:fill="C0C0C0"/>
        </w:rPr>
        <w:t xml:space="preserve">Vienoje tabletėje yra </w:t>
      </w:r>
      <w:r>
        <w:rPr>
          <w:rFonts w:ascii="Times New Roman" w:hAnsi="Times New Roman"/>
          <w:highlight w:val="darkGray"/>
        </w:rPr>
        <w:t>218,5</w:t>
      </w:r>
      <w:r>
        <w:rPr>
          <w:rFonts w:ascii="Times New Roman" w:hAnsi="Times New Roman"/>
          <w:highlight w:val="darkGray"/>
          <w:shd w:val="clear" w:color="auto" w:fill="C0C0C0"/>
        </w:rPr>
        <w:t> mg laktozės.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Visos pagalbinės medžiagos išvardytos 6.1 skyriuje.</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caps/>
        </w:rPr>
      </w:pPr>
      <w:r>
        <w:rPr>
          <w:rFonts w:ascii="Times New Roman" w:hAnsi="Times New Roman"/>
          <w:b/>
        </w:rPr>
        <w:t>3.</w:t>
      </w:r>
      <w:r>
        <w:rPr>
          <w:rFonts w:ascii="Times New Roman" w:hAnsi="Times New Roman"/>
          <w:b/>
        </w:rPr>
        <w:tab/>
        <w:t xml:space="preserve">FARMACINĖ </w:t>
      </w:r>
      <w:r>
        <w:rPr>
          <w:rFonts w:ascii="Times New Roman" w:hAnsi="Times New Roman"/>
          <w:b/>
          <w:caps/>
        </w:rPr>
        <w:t>formA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Plėvele dengta tabletė.</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10 mg tabletės yra baltos, apvalios, šiek tiek abipus išgaubtos, dengtos plėvele. Vienoje tabletės pusėje yra įspaustas užrašas „S1“, tabletės skersmuo 6,5 mm.</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shd w:val="clear" w:color="auto" w:fill="E6E6E6"/>
        </w:rPr>
        <w:t>20 mg tabletės yra baltos, apvalios, šiek tiek abipus išgaubtos, dengtos plėvele. Vienoje tabletės pusėje yra įspaustas užrašas „S2“, tabletės skersmuo 8 mm.</w:t>
      </w:r>
    </w:p>
    <w:p w:rsidR="00444C66" w:rsidRDefault="00444C66">
      <w:pPr>
        <w:widowControl w:val="0"/>
        <w:spacing w:after="0" w:line="240" w:lineRule="auto"/>
        <w:rPr>
          <w:rFonts w:ascii="Times New Roman" w:hAnsi="Times New Roman"/>
        </w:rPr>
      </w:pPr>
      <w:r>
        <w:rPr>
          <w:rFonts w:ascii="Times New Roman" w:hAnsi="Times New Roman"/>
          <w:highlight w:val="darkGray"/>
          <w:shd w:val="clear" w:color="auto" w:fill="C0C0C0"/>
        </w:rPr>
        <w:t>40 mg tabletės yra baltos, ovalios, abipus išgaubtos, dengtos plėvele. Vienoje tabletės pusėje yra įspaustas užrašas „S3“, tabletės dydis 13x8 mm.</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ind w:left="567" w:hanging="567"/>
        <w:rPr>
          <w:rFonts w:ascii="Times New Roman" w:hAnsi="Times New Roman"/>
          <w:b/>
          <w:caps/>
        </w:rPr>
      </w:pPr>
      <w:r>
        <w:rPr>
          <w:rFonts w:ascii="Times New Roman" w:hAnsi="Times New Roman"/>
          <w:b/>
          <w:caps/>
        </w:rPr>
        <w:t>4.</w:t>
      </w:r>
      <w:r>
        <w:rPr>
          <w:rFonts w:ascii="Times New Roman" w:hAnsi="Times New Roman"/>
          <w:b/>
          <w:caps/>
        </w:rPr>
        <w:tab/>
        <w:t>klinikinĖ informacija</w:t>
      </w:r>
    </w:p>
    <w:p w:rsidR="00444C66" w:rsidRDefault="00444C66">
      <w:pPr>
        <w:widowControl w:val="0"/>
        <w:spacing w:after="0" w:line="240" w:lineRule="auto"/>
        <w:ind w:left="567" w:hanging="567"/>
        <w:rPr>
          <w:rFonts w:ascii="Times New Roman" w:hAnsi="Times New Roman"/>
        </w:rPr>
      </w:pPr>
    </w:p>
    <w:p w:rsidR="00444C66" w:rsidRDefault="00444C66">
      <w:pPr>
        <w:widowControl w:val="0"/>
        <w:spacing w:after="0" w:line="240" w:lineRule="auto"/>
        <w:ind w:left="567" w:hanging="567"/>
        <w:rPr>
          <w:rFonts w:ascii="Times New Roman" w:hAnsi="Times New Roman"/>
          <w:b/>
        </w:rPr>
      </w:pPr>
      <w:r>
        <w:rPr>
          <w:rFonts w:ascii="Times New Roman" w:hAnsi="Times New Roman"/>
          <w:b/>
        </w:rPr>
        <w:t>4.1</w:t>
      </w:r>
      <w:r>
        <w:rPr>
          <w:rFonts w:ascii="Times New Roman" w:hAnsi="Times New Roman"/>
          <w:b/>
        </w:rPr>
        <w:tab/>
        <w:t>Terapinės indikacijos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Pirminės arterinės hipertenzijos gydymas suaugusiems.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Arterinės hipertenzijos gydymas vaikams nuo 6 metų ir jaunesniems kaip 18 metų paaugliams.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4.2</w:t>
      </w:r>
      <w:r>
        <w:rPr>
          <w:rFonts w:ascii="Times New Roman" w:hAnsi="Times New Roman"/>
          <w:b/>
        </w:rPr>
        <w:tab/>
        <w:t>Dozavimas ir vartojimo metodas</w:t>
      </w:r>
    </w:p>
    <w:p w:rsidR="00444C66" w:rsidRDefault="00444C66">
      <w:pPr>
        <w:widowControl w:val="0"/>
        <w:tabs>
          <w:tab w:val="left" w:pos="567"/>
        </w:tabs>
        <w:spacing w:after="0" w:line="240" w:lineRule="auto"/>
        <w:ind w:left="567" w:hanging="567"/>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u w:val="single"/>
        </w:rPr>
      </w:pPr>
      <w:r>
        <w:rPr>
          <w:rFonts w:ascii="Times New Roman" w:hAnsi="Times New Roman"/>
          <w:u w:val="single"/>
        </w:rPr>
        <w:t>Dozavimas</w:t>
      </w:r>
    </w:p>
    <w:p w:rsidR="00444C66" w:rsidRDefault="00444C66">
      <w:pPr>
        <w:widowControl w:val="0"/>
        <w:tabs>
          <w:tab w:val="left" w:pos="567"/>
        </w:tabs>
        <w:spacing w:after="0" w:line="240" w:lineRule="auto"/>
        <w:ind w:left="567" w:hanging="567"/>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i/>
        </w:rPr>
        <w:t>Suaugusieji</w:t>
      </w:r>
    </w:p>
    <w:p w:rsidR="00444C66" w:rsidRDefault="00444C66">
      <w:pPr>
        <w:widowControl w:val="0"/>
        <w:spacing w:after="0" w:line="240" w:lineRule="auto"/>
        <w:rPr>
          <w:rFonts w:ascii="Times New Roman" w:hAnsi="Times New Roman"/>
        </w:rPr>
      </w:pPr>
      <w:r>
        <w:rPr>
          <w:rFonts w:ascii="Times New Roman" w:hAnsi="Times New Roman"/>
        </w:rPr>
        <w:lastRenderedPageBreak/>
        <w:t>Rekomenduojama pradinė olmesartano medoksomilio dozė yra 10 mg vieną kartą per parą. Jeigu ši dozė paciento kraujospūdį reguliuoja nepakankamai, olmesartano medoksomilio dozę galima padidinti iki optimalios 20 mg dozės vieną kartą per parą. Jeigu kraujospūdį reikia sumažinti dar daugiau, olmesartano medoksomilio dozę galima padidinti iki didžiausios 40 mg paros dozės arba papildomai skirti gydymą hidrochlorotiazidu.</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Olmesartano medoksomilio antihipertenzinis poveikis pasireiškia palaipsniui per 2 savaites, o stipriausias būna praėjus maždaug 8 savaitėms nuo gydymo pradžios. Į tai reikia atsižvelgti prieš apsisprendžiant keisti dozavimo režimą bet kuriam pacientui.</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i/>
        </w:rPr>
        <w:t>Senyviems pacientams (65 metų ir vyresniems)</w:t>
      </w:r>
    </w:p>
    <w:p w:rsidR="00444C66" w:rsidRDefault="00444C66">
      <w:pPr>
        <w:widowControl w:val="0"/>
        <w:spacing w:after="0" w:line="240" w:lineRule="auto"/>
        <w:rPr>
          <w:rFonts w:ascii="Times New Roman" w:hAnsi="Times New Roman"/>
        </w:rPr>
      </w:pPr>
      <w:r>
        <w:rPr>
          <w:rFonts w:ascii="Times New Roman" w:hAnsi="Times New Roman"/>
        </w:rPr>
        <w:t>Senyviems pacientams dozės keisti paprastai nebūtina (žr. toliau dozavimo rekomendacijas pacientams, kurie serga inkstų funkcijos sutrikimu). Jeigu dozę reikia palaipsniui padidinti iki didžiausios 40 mg paros dozės, reikia atidžiai stebėti kraujospūdį.</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Pacientams, kurių inkstų funkcija sutrikusi</w:t>
      </w:r>
    </w:p>
    <w:p w:rsidR="00444C66" w:rsidRDefault="00444C66">
      <w:pPr>
        <w:widowControl w:val="0"/>
        <w:spacing w:after="0" w:line="240" w:lineRule="auto"/>
        <w:rPr>
          <w:rFonts w:ascii="Times New Roman" w:hAnsi="Times New Roman"/>
        </w:rPr>
      </w:pPr>
      <w:r>
        <w:rPr>
          <w:rFonts w:ascii="Times New Roman" w:hAnsi="Times New Roman"/>
        </w:rPr>
        <w:t>Didžiausia dozė pacientams, kurie serga lengvu ar vidutinio sunkumo inkstų funkcijos sutrikimu (kreatinino klirensas 20</w:t>
      </w:r>
      <w:r>
        <w:rPr>
          <w:rFonts w:ascii="Times New Roman" w:hAnsi="Times New Roman"/>
        </w:rPr>
        <w:noBreakHyphen/>
        <w:t>60 ml/min.), yra 20 mg olmesartano medoksomilio vieną kartą per parą, nes didesnių dozių vartojimo šios grupės pacientams patirtis yra ribota. Pacientams, kurie serga sunkiu inkstų funkcijos sutrikimu (kreatinino klirensas &lt; 20 ml/min.), olmesartano medoksomilį vartoti nerekomenduojama, nes yra tik ribota vaistinio preparato vartojimo šios grupės pacientams patirtis (žr. 4.4 ir 5.2  skyrius).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i/>
        </w:rPr>
        <w:t>Pacientams, kurių kepenų funkcija sutrikusi</w:t>
      </w:r>
    </w:p>
    <w:p w:rsidR="00444C66" w:rsidRDefault="00444C66">
      <w:pPr>
        <w:widowControl w:val="0"/>
        <w:spacing w:after="0" w:line="240" w:lineRule="auto"/>
        <w:rPr>
          <w:rFonts w:ascii="Times New Roman" w:hAnsi="Times New Roman"/>
        </w:rPr>
      </w:pPr>
      <w:r>
        <w:rPr>
          <w:rFonts w:ascii="Times New Roman" w:hAnsi="Times New Roman"/>
        </w:rPr>
        <w:t>Pacientams, kurie serga lengvu kepenų funkcijos sutrikimu, dozavimo keitimo rekomendacijų nereikia. Pacientams, kurie serga vidutinio sunkumo kepenų funkcijos sutrikimu, rekomenduojama vartoti pradinę 10 mg olmesartano medoksomilio dozę vieną kartą per parą ir neviršyti didžiausios 20 mg dozės vieną kartą per parą. Rekomenduojama atidžiai stebėti pacientų, kurių kepenų funkcija yra sutrikusi, jau vartojančių diuretikų ir (arba) kitokių antihipertenzinių vaistinių preparatų, kraujospūdį ir inkstų funkciją. Olmesartano medoksomilio vartojimo pacientams, kurie serga sunkiu kepenų funkcijos sutrikimu, patirties nėra, todėl olmesartano medoksomilį šios grupės pacientams vartoti nerekomenduojama (žr. 4.4 ir 5.2 skyrius). Pacientams, kuriems pasireiškia tulžies latakų obstrukcija, olmesartano medoksomilio vartoti draudžiama (žr. 4.3 skyrių).</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i/>
        </w:rPr>
        <w:t>Vaikų populiacija</w:t>
      </w:r>
    </w:p>
    <w:p w:rsidR="00444C66" w:rsidRDefault="00444C66">
      <w:pPr>
        <w:widowControl w:val="0"/>
        <w:tabs>
          <w:tab w:val="left" w:pos="567"/>
        </w:tabs>
        <w:spacing w:after="0" w:line="240" w:lineRule="auto"/>
        <w:rPr>
          <w:rFonts w:ascii="Times New Roman" w:hAnsi="Times New Roman"/>
        </w:rPr>
      </w:pPr>
      <w:r>
        <w:rPr>
          <w:rFonts w:ascii="Times New Roman" w:hAnsi="Times New Roman"/>
          <w:u w:val="single"/>
        </w:rPr>
        <w:t>Vaikams nuo 6 metų ir jaunesniems kaip 18 metų paaugliams</w:t>
      </w: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Rekomenduojama pradinė olmesartano medoksomilio dozė vaikams nuo 6 iki 18 metų yra 10 mg olmesartano medoksomilio vieną kartą per parą. Vaikams, kurių kraujospūdis šia doze kontroliuojamas nepakankamai, olmesartano medoksomilio dozė gali būti padidinta iki 20 mg vieną kartą per parą. Jei papildomas kraujospūdžio mažinimas yra būtinas, vaikams, sveriantiems </w:t>
      </w:r>
      <w:r w:rsidRPr="004F5963">
        <w:rPr>
          <w:rFonts w:ascii="Times New Roman" w:hAnsi="Times New Roman"/>
        </w:rPr>
        <w:t>&gt; 35 kg</w:t>
      </w:r>
      <w:r>
        <w:rPr>
          <w:rFonts w:ascii="Times New Roman" w:eastAsia="Times New Roman" w:hAnsi="Times New Roman"/>
          <w:lang w:eastAsia="sl-SI"/>
        </w:rPr>
        <w:t xml:space="preserve">, </w:t>
      </w:r>
      <w:proofErr w:type="spellStart"/>
      <w:r>
        <w:rPr>
          <w:rFonts w:ascii="Times New Roman" w:eastAsia="Times New Roman" w:hAnsi="Times New Roman"/>
          <w:lang w:eastAsia="sl-SI"/>
        </w:rPr>
        <w:t>olmesartano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medoksomilio</w:t>
      </w:r>
      <w:proofErr w:type="spellEnd"/>
      <w:r>
        <w:rPr>
          <w:rFonts w:ascii="Times New Roman" w:eastAsia="Times New Roman" w:hAnsi="Times New Roman"/>
          <w:lang w:eastAsia="sl-SI"/>
        </w:rPr>
        <w:t xml:space="preserve"> dozė gali būti padidinta iki maksimalios 40 mg. Vaikams, sveriantiems &lt; </w:t>
      </w:r>
      <w:r w:rsidRPr="004F5963">
        <w:rPr>
          <w:rFonts w:ascii="Times New Roman" w:hAnsi="Times New Roman"/>
        </w:rPr>
        <w:t>35 kg</w:t>
      </w:r>
      <w:r>
        <w:rPr>
          <w:rFonts w:ascii="Times New Roman" w:eastAsia="Times New Roman" w:hAnsi="Times New Roman"/>
          <w:lang w:eastAsia="sl-SI"/>
        </w:rPr>
        <w:t>, paros dozė neturėtų viršyti 20 mg.</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Kita vaikų populiacija</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hAnsi="Times New Roman"/>
        </w:rPr>
      </w:pPr>
      <w:r>
        <w:rPr>
          <w:rFonts w:ascii="Times New Roman" w:eastAsia="Times New Roman" w:hAnsi="Times New Roman"/>
          <w:lang w:eastAsia="sl-SI"/>
        </w:rPr>
        <w:t>Olmesartano medoksomilio</w:t>
      </w:r>
      <w:r>
        <w:rPr>
          <w:rFonts w:ascii="Times New Roman" w:hAnsi="Times New Roman"/>
        </w:rPr>
        <w:t xml:space="preserve"> saugumas ir veiksmingumas vaikams nuo 1 iki 5 metų nenustatytas. </w:t>
      </w:r>
      <w:r>
        <w:rPr>
          <w:rFonts w:ascii="Times New Roman" w:eastAsia="Times New Roman" w:hAnsi="Times New Roman"/>
          <w:lang w:eastAsia="sl-SI"/>
        </w:rPr>
        <w:t>Šiuo metu turimi duomenis pateikti 4.8 ir 5.1 skyriuose, tačiau dozavimo rekomendacijų pateikti negalima.</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Olmesartano medoksomilis neturėtų būti vartojamas vaikams iki 1 metų amžiaus, dėl saugumo problemų ir duomenų šioje amžiaus grupėje trūkumo.</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Vartojimo metodas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Siekiant užtikrinti paciento drausmingumą, Olimestra tabletes rekomenduojama gerti kasdien tuo pačiu laiku, valgant arba be maisto, pvz., per pusryčius. Tabletę reikia užgerti pakankamu kiekiu skysčio (pvz., stikline vandens). Tabletės negalima kramtyti.</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b/>
        </w:rPr>
        <w:t>4.3</w:t>
      </w:r>
      <w:r>
        <w:rPr>
          <w:rFonts w:ascii="Times New Roman" w:hAnsi="Times New Roman"/>
          <w:b/>
        </w:rPr>
        <w:tab/>
        <w:t>Kontraindikacijos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Padidėjęs jautrumas veikliajai arba bet kuriai 6.1 skyriuje nurodytai pagalbinei medžiagai.</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Antras arba trečias nėštumo trimestras (žr. 4.4 ir 4.6 skyrius).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Tulžies latakų obstrukcija (žr. 5.2 skyrių).</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Pacientams, kurie serga cukriniu diabetu arba kurių inkstų funkcija sutrikusi (GFG &lt; 60 ml/min/1,73 m</w:t>
      </w:r>
      <w:r>
        <w:rPr>
          <w:rFonts w:ascii="Times New Roman" w:hAnsi="Times New Roman"/>
          <w:vertAlign w:val="superscript"/>
        </w:rPr>
        <w:t>2</w:t>
      </w:r>
      <w:r>
        <w:rPr>
          <w:rFonts w:ascii="Times New Roman" w:hAnsi="Times New Roman"/>
        </w:rPr>
        <w:t>), Olimestra negalima vartoti kartu su vaistiniais preparatais, kurių sudėtyje yra aliskireno (žr. 4.5 ir 5.1 skyrius).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4.4</w:t>
      </w:r>
      <w:r>
        <w:rPr>
          <w:rFonts w:ascii="Times New Roman" w:hAnsi="Times New Roman"/>
          <w:b/>
        </w:rPr>
        <w:tab/>
        <w:t>Specialūs įspėjimai ir atsargumo priemonės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Intravaskulinis skysčių trūkumas</w:t>
      </w:r>
    </w:p>
    <w:p w:rsidR="00444C66" w:rsidRDefault="00444C66">
      <w:pPr>
        <w:widowControl w:val="0"/>
        <w:spacing w:after="0" w:line="240" w:lineRule="auto"/>
        <w:rPr>
          <w:rFonts w:ascii="Times New Roman" w:hAnsi="Times New Roman"/>
        </w:rPr>
      </w:pPr>
      <w:r>
        <w:rPr>
          <w:rFonts w:ascii="Times New Roman" w:hAnsi="Times New Roman"/>
        </w:rPr>
        <w:t>Pacientams, kurių organizme dėl intensyvaus gydymo diuretikais, druskos suvartojimo su maistu ribojimo, viduriavimo ar vėmimo trūksta skysčių ir (arba) natrio, gali pasireikšti simptominė hipotenzija. Tokią būklę reikia koreguoti prieš skiriant vartoti olmesartano medoksomilį.</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Kitos būklės, kurioms esant, stimuliuojama renino, angiotenzino ir aldosterono sistema</w:t>
      </w:r>
    </w:p>
    <w:p w:rsidR="00444C66" w:rsidRDefault="00444C66">
      <w:pPr>
        <w:widowControl w:val="0"/>
        <w:spacing w:after="0" w:line="240" w:lineRule="auto"/>
        <w:rPr>
          <w:rFonts w:ascii="Times New Roman" w:hAnsi="Times New Roman"/>
        </w:rPr>
      </w:pPr>
      <w:r>
        <w:rPr>
          <w:rFonts w:ascii="Times New Roman" w:hAnsi="Times New Roman"/>
        </w:rPr>
        <w:t>Pacientų, kurių kraujagyslių tonusas ir inkstų funkcija daugiausiai priklauso nuo renino, angiotenzino ir aldosterono sistemos aktyvumo (pvz., pacientų, kurie serga sunkiu staziniu širdies nepakankamumu arba gretutine inkstų liga, įskaitant inkstų arterijos stenozę), gydymas kitokiais vaistiniais preparatais, kurie veikia šią sistemą, buvo susijęs su ūmine hipotenzija, azotemija, oligurija arba, retais atvejais, ūminiu inkstų nepakankamumu. Tokio poveikio galimybės, vartojant angiotenzino II receptorių blokatorius, paneigti negalima.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Renovaskulinė hipertenzija</w:t>
      </w:r>
    </w:p>
    <w:p w:rsidR="00444C66" w:rsidRDefault="00444C66">
      <w:pPr>
        <w:widowControl w:val="0"/>
        <w:spacing w:after="0" w:line="240" w:lineRule="auto"/>
        <w:rPr>
          <w:rFonts w:ascii="Times New Roman" w:hAnsi="Times New Roman"/>
        </w:rPr>
      </w:pPr>
      <w:r>
        <w:rPr>
          <w:rFonts w:ascii="Times New Roman" w:hAnsi="Times New Roman"/>
        </w:rPr>
        <w:t>Pacientus, kuriems pasireiškia inkstų arba vienintelio veikiančio inksto arterijos stenozė, gydant vaistiniais preparatais, kurie veikia renino, angiotenzino ir aldosterono sistemą, padidėja sunkios hipotenzijos ir inkstų funkcijos nepakankamumo rizika.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Inkstų funkcijos sutrikimas ir inkstų persodinimas</w:t>
      </w:r>
    </w:p>
    <w:p w:rsidR="00444C66" w:rsidRDefault="00444C66">
      <w:pPr>
        <w:widowControl w:val="0"/>
        <w:spacing w:after="0" w:line="240" w:lineRule="auto"/>
        <w:rPr>
          <w:rFonts w:ascii="Times New Roman" w:hAnsi="Times New Roman"/>
        </w:rPr>
      </w:pPr>
      <w:r>
        <w:rPr>
          <w:rFonts w:ascii="Times New Roman" w:hAnsi="Times New Roman"/>
        </w:rPr>
        <w:t>Vartojant olmesartano medoksomilį pacientams, kurių inkstų funkcija yra sutrikusi, rekomenduojama periodiškai stebėti kalio ir kreatinino koncentracijas serume. Pacientams, kurie serga sunkiu inkstų funkcijos sutrikimu (kreatinino klirensas &lt; 20 ml/min.). Olmesartano medoksomilio nerekomenduojama vartoti pacientams, kurie serga sunkiu inkstų funkcijos sutrikimu (kreatinino klirensas &lt; 20 ml/min.) (žr. 4.2 ir 5.2 skyrius). Pacientų, kuriems neseniai buvo persodinti inkstai, arba pacientų, kurie serga galutinės stadijos inkstų funkcijos sutrikimu, gydymo olmesartano medoksomiliu patirties nėra (t. y. kreatinino klirensas &lt; 12 ml/min.).</w:t>
      </w:r>
    </w:p>
    <w:p w:rsidR="00444C66" w:rsidRDefault="00444C66">
      <w:pPr>
        <w:widowControl w:val="0"/>
        <w:spacing w:after="0" w:line="240" w:lineRule="auto"/>
        <w:rPr>
          <w:rFonts w:ascii="Times New Roman" w:hAnsi="Times New Roman"/>
        </w:rPr>
      </w:pPr>
    </w:p>
    <w:p w:rsidR="00444C66" w:rsidRPr="004F5963" w:rsidRDefault="00444C66">
      <w:pPr>
        <w:autoSpaceDE w:val="0"/>
        <w:autoSpaceDN w:val="0"/>
        <w:adjustRightInd w:val="0"/>
        <w:spacing w:after="0" w:line="240" w:lineRule="auto"/>
        <w:rPr>
          <w:rFonts w:ascii="Times New Roman" w:eastAsia="Times New Roman" w:hAnsi="Times New Roman"/>
          <w:i/>
          <w:iCs/>
          <w:color w:val="000000"/>
          <w:lang w:eastAsia="lt-LT"/>
        </w:rPr>
      </w:pPr>
      <w:r w:rsidRPr="004F5963">
        <w:rPr>
          <w:rFonts w:ascii="Times New Roman" w:eastAsia="Times New Roman" w:hAnsi="Times New Roman"/>
          <w:i/>
          <w:iCs/>
          <w:color w:val="000000"/>
          <w:lang w:eastAsia="lt-LT"/>
        </w:rPr>
        <w:t>Žarnyno angioneurozinė edema</w:t>
      </w:r>
    </w:p>
    <w:p w:rsidR="00444C66" w:rsidRDefault="00444C66">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Gauta pranešimų apie žarnyno angioneurozinės edemos atvejus, pasireiškusius pacientams, gydytiems angiotenzino II receptorių blokatoriais (įskaitant </w:t>
      </w:r>
      <w:r>
        <w:rPr>
          <w:rFonts w:ascii="Times New Roman" w:hAnsi="Times New Roman"/>
        </w:rPr>
        <w:t>olmesartano medoksomilį</w:t>
      </w:r>
      <w:r>
        <w:rPr>
          <w:rFonts w:ascii="Times New Roman" w:eastAsia="Times New Roman" w:hAnsi="Times New Roman"/>
          <w:color w:val="000000"/>
          <w:lang w:eastAsia="lt-LT"/>
        </w:rPr>
        <w:t>) (žr. 4.8 skyrių). Šiems pacientams pasireiškė pilvo skausmas, pykinimas, vėmimas ir viduriavimas. Nutraukus angiotenzino II receptorių antagonistų vartojimą, simptomai išnyko. Diagnozavus žarnyno angioneurozinę edemą, reikia nutraukti olmesartano medoksomilio vartojimą ir pradėti atitinkamą stebėseną, kol simptomai visiškai išnyksta.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Kepenų funkcijos sutrikimas</w:t>
      </w:r>
    </w:p>
    <w:p w:rsidR="00444C66" w:rsidRDefault="00444C66">
      <w:pPr>
        <w:widowControl w:val="0"/>
        <w:spacing w:after="0" w:line="240" w:lineRule="auto"/>
        <w:rPr>
          <w:rFonts w:ascii="Times New Roman" w:hAnsi="Times New Roman"/>
        </w:rPr>
      </w:pPr>
      <w:r>
        <w:rPr>
          <w:rFonts w:ascii="Times New Roman" w:hAnsi="Times New Roman"/>
        </w:rPr>
        <w:t>Pacientų, kurie serga sunkiu kepenų funkcijos sutrikimu, gydymo šiuo vaistiniu preparatu patirties nėra, todėl olmesartano medoksomilį šios grupės pacientams vartoti nerekomenduojama (dozavimo rekomendacijas pacientams, kurie serga lengvu ar vidutinio sunkumo kepenų funkcijos sutrikimu, žr. 4.2 skyriuje).</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Hiperkalemija</w:t>
      </w:r>
    </w:p>
    <w:p w:rsidR="00444C66" w:rsidRDefault="00444C66">
      <w:pPr>
        <w:widowControl w:val="0"/>
        <w:spacing w:after="0" w:line="240" w:lineRule="auto"/>
        <w:rPr>
          <w:rFonts w:ascii="Times New Roman" w:hAnsi="Times New Roman"/>
        </w:rPr>
      </w:pPr>
      <w:r>
        <w:rPr>
          <w:rFonts w:ascii="Times New Roman" w:hAnsi="Times New Roman"/>
        </w:rPr>
        <w:t>Vaistinių preparatų, kurie veikia renino, angiotenzino ar aldosterono sistemą, vartojimas gali sukelti hiperkalemiją.</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Rizika, kuri gali būti mirtina, yra didesnė pacientams, kurie serga inkstų nepakankamumu, sergantiems diabetu, pacientams, kurie kartu gydomi kitokiais vaistiniais preparatais, kurie gali didinti kalio koncentraciją, ir (arba) pacientams, kuriems pasireiškia gretutinių reiškinių.</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Prieš nusprendžiant kartu vartoti vaistinių preparatų, kurie veikia renino, angiotenzino ir aldosterono sistemą, reikia įvertinti naudos ir rizikos santykį ir apsvarstyti kitokias galimybes.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Manoma, kad pagrindiniai hiperkalemijos rizikos veiksniai yra:</w:t>
      </w:r>
    </w:p>
    <w:p w:rsidR="00444C66" w:rsidRDefault="00444C66">
      <w:pPr>
        <w:widowControl w:val="0"/>
        <w:numPr>
          <w:ilvl w:val="0"/>
          <w:numId w:val="38"/>
        </w:numPr>
        <w:spacing w:after="0" w:line="240" w:lineRule="auto"/>
        <w:ind w:left="567" w:hanging="567"/>
        <w:rPr>
          <w:rFonts w:ascii="Times New Roman" w:hAnsi="Times New Roman"/>
        </w:rPr>
      </w:pPr>
      <w:r>
        <w:rPr>
          <w:rFonts w:ascii="Times New Roman" w:hAnsi="Times New Roman"/>
        </w:rPr>
        <w:t>diabetas, inkstų funkcijos sutrikimas, amžius (&gt; 70 metų);</w:t>
      </w:r>
    </w:p>
    <w:p w:rsidR="00444C66" w:rsidRDefault="00444C66">
      <w:pPr>
        <w:widowControl w:val="0"/>
        <w:numPr>
          <w:ilvl w:val="0"/>
          <w:numId w:val="38"/>
        </w:numPr>
        <w:spacing w:after="0" w:line="240" w:lineRule="auto"/>
        <w:ind w:left="567" w:hanging="567"/>
        <w:rPr>
          <w:rFonts w:ascii="Times New Roman" w:hAnsi="Times New Roman"/>
        </w:rPr>
      </w:pPr>
      <w:r>
        <w:rPr>
          <w:rFonts w:ascii="Times New Roman" w:hAnsi="Times New Roman"/>
        </w:rPr>
        <w:t>vartojimas kartu su vienu arba keliais kitokiais vaistiniais preparatais, kurie veikia renino, angiotenzino ir aldosterono sistemą ir (arba) kalio papildais. Kai kurie vaistiniai preparatai ar kai kurių terapinių grupių vaistiniai preparatai gali skatinti hiperkalemiją: druskų pakaitalai, kurių sudėtyje yra kalio, kalį organizme sulaikantys diuretikai, AKF inhibitoriai, angiotenzino II receptorių blokatoriai, nesteroidiniai vaistai nuo uždegimo (įskaitant selektyviuosius COX-2 inhibitorius), heparinas, imunosupresantai, pavyzdžiui, ciklosporinas ar takrolimuzas, trimetoprimas;</w:t>
      </w:r>
    </w:p>
    <w:p w:rsidR="00444C66" w:rsidRDefault="00444C66">
      <w:pPr>
        <w:widowControl w:val="0"/>
        <w:numPr>
          <w:ilvl w:val="0"/>
          <w:numId w:val="38"/>
        </w:numPr>
        <w:spacing w:after="0" w:line="240" w:lineRule="auto"/>
        <w:ind w:left="567" w:hanging="567"/>
        <w:rPr>
          <w:rFonts w:ascii="Times New Roman" w:hAnsi="Times New Roman"/>
        </w:rPr>
      </w:pPr>
      <w:r>
        <w:rPr>
          <w:rFonts w:ascii="Times New Roman" w:hAnsi="Times New Roman"/>
        </w:rPr>
        <w:t>gretutiniai reiškiniai, ypač dehidracija, ūminė širdies dekompensacija, metabolinė acidozė, inkstų funkcijos pasunkėjimas, staigus inkstų būklės pablogėjimas (pvz., infekcinės ligos), ląstelių lizė (pvz.: ūminė galūnių išemija, rabdomiolizė, didelė trauma).</w:t>
      </w:r>
    </w:p>
    <w:p w:rsidR="00444C66" w:rsidRDefault="00444C66">
      <w:pPr>
        <w:widowControl w:val="0"/>
        <w:spacing w:after="0" w:line="240" w:lineRule="auto"/>
        <w:ind w:left="567" w:hanging="567"/>
        <w:rPr>
          <w:rFonts w:ascii="Times New Roman" w:hAnsi="Times New Roman"/>
        </w:rPr>
      </w:pPr>
    </w:p>
    <w:p w:rsidR="00444C66" w:rsidRDefault="00444C66">
      <w:pPr>
        <w:widowControl w:val="0"/>
        <w:spacing w:after="0" w:line="240" w:lineRule="auto"/>
        <w:ind w:left="567" w:hanging="567"/>
        <w:rPr>
          <w:rFonts w:ascii="Times New Roman" w:hAnsi="Times New Roman"/>
        </w:rPr>
      </w:pPr>
      <w:r>
        <w:rPr>
          <w:rFonts w:ascii="Times New Roman" w:hAnsi="Times New Roman"/>
        </w:rPr>
        <w:t>Rekomenduojama atidžiai stebėti kalio koncentraciją rizikos grupės pacientų serume (žr. 4.5 skyrių).</w:t>
      </w:r>
    </w:p>
    <w:p w:rsidR="00444C66" w:rsidRDefault="00444C66">
      <w:pPr>
        <w:widowControl w:val="0"/>
        <w:spacing w:after="0" w:line="240" w:lineRule="auto"/>
        <w:rPr>
          <w:rFonts w:ascii="Times New Roman" w:hAnsi="Times New Roman"/>
          <w:u w:val="single"/>
        </w:rPr>
      </w:pPr>
    </w:p>
    <w:p w:rsidR="00444C66" w:rsidRDefault="00444C66">
      <w:pPr>
        <w:widowControl w:val="0"/>
        <w:spacing w:after="0" w:line="240" w:lineRule="auto"/>
        <w:rPr>
          <w:rFonts w:ascii="Times New Roman" w:hAnsi="Times New Roman"/>
          <w:i/>
        </w:rPr>
      </w:pPr>
      <w:r>
        <w:rPr>
          <w:rFonts w:ascii="Times New Roman" w:hAnsi="Times New Roman"/>
          <w:i/>
        </w:rPr>
        <w:t>Dviguba renino, angiotenzino ir aldosterono sistemos (RAAS) blokada</w:t>
      </w:r>
    </w:p>
    <w:p w:rsidR="00444C66" w:rsidRDefault="00444C66">
      <w:pPr>
        <w:widowControl w:val="0"/>
        <w:spacing w:after="0" w:line="240" w:lineRule="auto"/>
        <w:rPr>
          <w:rFonts w:ascii="Times New Roman" w:hAnsi="Times New Roman"/>
        </w:rPr>
      </w:pPr>
      <w:r>
        <w:rPr>
          <w:rFonts w:ascii="Times New Roman" w:hAnsi="Times New Roman"/>
        </w:rPr>
        <w:t>Gauta duomenų, kad kartu vartojant AKF inhibitorių, angiotenzino II receptorių blokatorių ar aliskireno didėja hipotenzijos, hiperkalemijos ir inkstų funkcijos sutrikimo (įskaitant ūminį inkstų nepakankamumą) rizika. Dėl šios priežasties dviguba RAAS blokada, pasireiškianti kartu vartojant AKF inhibitorių, angiotenzino II receptorių blokatorių ar aliskireno, yra nerekomenduojama (žr. 4.5 ir 5.1 skyrius).</w:t>
      </w:r>
    </w:p>
    <w:p w:rsidR="00444C66" w:rsidRDefault="00444C66">
      <w:pPr>
        <w:widowControl w:val="0"/>
        <w:spacing w:after="0" w:line="240" w:lineRule="auto"/>
        <w:rPr>
          <w:rFonts w:ascii="Times New Roman" w:hAnsi="Times New Roman"/>
        </w:rPr>
      </w:pPr>
      <w:r>
        <w:rPr>
          <w:rFonts w:ascii="Times New Roman" w:hAnsi="Times New Roman"/>
        </w:rPr>
        <w:t>Jeigu manoma, kad dvigubą blokadą sukeliantis gydymas yra neabejotinai būtinas, jis galimas tik prižiūrint specialistams ir dažnai bei atidžiai tiriant inkstų funkciją ir nustatant elektrolitų kiekį bei kraujospūdį. Pacientams, kuriems yra diabetinė nefropatija, AKF inhibitorių ir angiotenzino II receptorių blokatorių kartu vartoti nerekomenduojama.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Litis</w:t>
      </w:r>
    </w:p>
    <w:p w:rsidR="00444C66" w:rsidRDefault="00444C66">
      <w:pPr>
        <w:widowControl w:val="0"/>
        <w:spacing w:after="0" w:line="240" w:lineRule="auto"/>
        <w:rPr>
          <w:rFonts w:ascii="Times New Roman" w:hAnsi="Times New Roman"/>
        </w:rPr>
      </w:pPr>
      <w:r>
        <w:rPr>
          <w:rFonts w:ascii="Times New Roman" w:hAnsi="Times New Roman"/>
        </w:rPr>
        <w:t>Olmesartano medoksomilio, kaip ir kitokių angiotenzino II receptorių blokatorių, vartoti kartu su ličiu nerekomenduojama (žr. 4.5 skyrių).</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Aortos ar mitralinio vožtuvo stenozė, obstrukcinė hipertrofinė kardiomiopatija</w:t>
      </w:r>
    </w:p>
    <w:p w:rsidR="00444C66" w:rsidRDefault="00444C66">
      <w:pPr>
        <w:widowControl w:val="0"/>
        <w:spacing w:after="0" w:line="240" w:lineRule="auto"/>
        <w:rPr>
          <w:rFonts w:ascii="Times New Roman" w:hAnsi="Times New Roman"/>
        </w:rPr>
      </w:pPr>
      <w:r>
        <w:rPr>
          <w:rFonts w:ascii="Times New Roman" w:hAnsi="Times New Roman"/>
        </w:rPr>
        <w:t>Kaip ir vartojant kitokius kraujagysles plečiančius vaistinius preparatus, labai atsargiai reikia gydyti pacientus, kuriems pasireiškia aortos ar mitralinio vožtuvo stenozė arba obstrukcinė hipertrofinė kardiomiopatija.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Pirminis hiperaldosteronizmas</w:t>
      </w:r>
    </w:p>
    <w:p w:rsidR="00444C66" w:rsidRDefault="00444C66">
      <w:pPr>
        <w:widowControl w:val="0"/>
        <w:spacing w:after="0" w:line="240" w:lineRule="auto"/>
        <w:rPr>
          <w:rFonts w:ascii="Times New Roman" w:hAnsi="Times New Roman"/>
        </w:rPr>
      </w:pPr>
      <w:r>
        <w:rPr>
          <w:rFonts w:ascii="Times New Roman" w:hAnsi="Times New Roman"/>
        </w:rPr>
        <w:t>Pacientai, kuriems pasireiškia pirminis hiperaldosteronizmas, paprastai nereaguoja į antihipertenzinius vaistinius preparatus, kurie slopina renino, angiotenzino ir aldosterono sistemą. Todėl tokiems pacientams olmesartano medoksomilio vartoti nerekomenduojama.</w:t>
      </w:r>
    </w:p>
    <w:p w:rsidR="00444C66" w:rsidRDefault="00444C66">
      <w:pPr>
        <w:widowControl w:val="0"/>
        <w:spacing w:after="0" w:line="240" w:lineRule="auto"/>
        <w:rPr>
          <w:rFonts w:ascii="Times New Roman" w:hAnsi="Times New Roman"/>
        </w:rPr>
      </w:pPr>
    </w:p>
    <w:p w:rsidR="00444C66" w:rsidRDefault="00444C66">
      <w:pPr>
        <w:widowControl w:val="0"/>
        <w:tabs>
          <w:tab w:val="left" w:pos="540"/>
          <w:tab w:val="left" w:pos="2127"/>
          <w:tab w:val="left" w:pos="2977"/>
        </w:tabs>
        <w:spacing w:after="0" w:line="240" w:lineRule="auto"/>
        <w:rPr>
          <w:rFonts w:ascii="Times New Roman" w:eastAsia="Times New Roman" w:hAnsi="Times New Roman"/>
          <w:i/>
          <w:u w:val="single"/>
        </w:rPr>
      </w:pPr>
      <w:r>
        <w:rPr>
          <w:rFonts w:ascii="Times New Roman" w:eastAsia="Times New Roman" w:hAnsi="Times New Roman"/>
          <w:i/>
          <w:u w:val="single"/>
        </w:rPr>
        <w:t>Į žarnyno sindromą panaši enteropatija</w:t>
      </w:r>
    </w:p>
    <w:p w:rsidR="00444C66" w:rsidRDefault="00444C66">
      <w:pPr>
        <w:widowControl w:val="0"/>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Labai retais atvejais pacientams, vartojantiems olmesartaną, po kelių mėnesių ar metų nuo gydymo pradžios gali vystytis sunkus lėtinis viduriavimas, lydimas žymaus kūno svorio sumažėjimo. Tokių pacientų žarnų biopsijos rezultatai dažnai parodydavo žarnyno gaurelių atrofiją. Jeigu gydomam olmesartanu pacientui yra minėti požymiai, atmeskite kitas galimas priežastis. Aptarkite tolesnio gydymo olmesartanu klausimą jeigu kitokių priežasčių nebuvo nustatyta.</w:t>
      </w:r>
    </w:p>
    <w:p w:rsidR="00444C66" w:rsidRDefault="00444C66">
      <w:pPr>
        <w:widowControl w:val="0"/>
        <w:spacing w:after="0" w:line="240" w:lineRule="auto"/>
        <w:rPr>
          <w:rFonts w:ascii="Times New Roman" w:eastAsia="Times New Roman" w:hAnsi="Times New Roman"/>
          <w:lang w:eastAsia="sl-SI"/>
        </w:rPr>
      </w:pPr>
    </w:p>
    <w:p w:rsidR="00444C66" w:rsidRDefault="00444C66">
      <w:pPr>
        <w:widowControl w:val="0"/>
        <w:spacing w:after="0" w:line="240" w:lineRule="auto"/>
        <w:rPr>
          <w:rFonts w:ascii="Times New Roman" w:hAnsi="Times New Roman"/>
          <w:i/>
        </w:rPr>
      </w:pPr>
      <w:r>
        <w:rPr>
          <w:rFonts w:ascii="Times New Roman" w:hAnsi="Times New Roman"/>
          <w:i/>
        </w:rPr>
        <w:t>Etniniai skirtumai</w:t>
      </w:r>
    </w:p>
    <w:p w:rsidR="00444C66" w:rsidRDefault="00444C66">
      <w:pPr>
        <w:widowControl w:val="0"/>
        <w:spacing w:after="0" w:line="240" w:lineRule="auto"/>
        <w:rPr>
          <w:rFonts w:ascii="Times New Roman" w:hAnsi="Times New Roman"/>
        </w:rPr>
      </w:pPr>
      <w:r>
        <w:rPr>
          <w:rFonts w:ascii="Times New Roman" w:hAnsi="Times New Roman"/>
        </w:rPr>
        <w:lastRenderedPageBreak/>
        <w:t>Olmesartano medoksomilio, kaip ir kitokių angiotenzino II receptorių blokatorių, kraujospūdį mažinantis poveikis juodaodžiams yra šiek tiek silpnesnis nei kitų rasių pacientams greičiausiai dėl to, kad hipertenzija sergančių juodaodžių serume dažniau būna maža renino koncentracija, palyginti su kitų rasių pacientais.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Nėštumas</w:t>
      </w:r>
    </w:p>
    <w:p w:rsidR="00444C66" w:rsidRDefault="00444C66">
      <w:pPr>
        <w:widowControl w:val="0"/>
        <w:spacing w:after="0" w:line="240" w:lineRule="auto"/>
        <w:rPr>
          <w:rFonts w:ascii="Times New Roman" w:hAnsi="Times New Roman"/>
        </w:rPr>
      </w:pPr>
      <w:r>
        <w:rPr>
          <w:rFonts w:ascii="Times New Roman" w:hAnsi="Times New Roman"/>
        </w:rPr>
        <w:t>Angiotenzino II receptorių blokatorių (AIIRB) negalima pradėti vartoti nėštumo metu. Jeigu nusprendžiama, kad būtina tęsti gydymą AIIRB, pastoti planuojančių pacienčių gydymą reikia keisti ir skirti vartoti kitokius antihipertenzinius vaistinius preparatus, kurių vartojimo saugumas nėštumo metu įrodytas. Diagnozavus nėštumą, gydymą AIIRB reikia nedelsiant nutraukti ir, jeigu tinka, pradėti kitokį gydymą (žr. 4.3 ir 4.6 skyrius).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i/>
        </w:rPr>
      </w:pPr>
      <w:r>
        <w:rPr>
          <w:rFonts w:ascii="Times New Roman" w:hAnsi="Times New Roman"/>
          <w:i/>
        </w:rPr>
        <w:t>Kita</w:t>
      </w:r>
    </w:p>
    <w:p w:rsidR="00444C66" w:rsidRDefault="00444C66">
      <w:pPr>
        <w:widowControl w:val="0"/>
        <w:spacing w:after="0" w:line="240" w:lineRule="auto"/>
        <w:rPr>
          <w:rFonts w:ascii="Times New Roman" w:hAnsi="Times New Roman"/>
        </w:rPr>
      </w:pPr>
      <w:r>
        <w:rPr>
          <w:rFonts w:ascii="Times New Roman" w:hAnsi="Times New Roman"/>
        </w:rPr>
        <w:t>Kaip ir vartojant kitokius antihipertenzinius vaistinius preparatus, labai sumažėjus pacientų, kurie serga išemine širdies liga arba išemine cerebrovaskuline liga, kraujospūdžiui gali ištikti miokardo infarktas arba insultas.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426"/>
          <w:tab w:val="left" w:pos="851"/>
        </w:tabs>
        <w:spacing w:after="0" w:line="240" w:lineRule="auto"/>
        <w:rPr>
          <w:rFonts w:ascii="Times New Roman" w:hAnsi="Times New Roman"/>
        </w:rPr>
      </w:pPr>
      <w:r>
        <w:rPr>
          <w:rFonts w:ascii="Times New Roman" w:hAnsi="Times New Roman"/>
        </w:rPr>
        <w:t>Olimestra sudėtyje yra laktozės. Šio vaistinio preparato negalima vartoti pacientams, kuriems nustatytas retas paveldimas sutrikimas – visiškas laktazės stygius arba gliukozės ir galaktozės malabsorbcija.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4.5</w:t>
      </w:r>
      <w:r>
        <w:rPr>
          <w:rFonts w:ascii="Times New Roman" w:hAnsi="Times New Roman"/>
          <w:b/>
        </w:rPr>
        <w:tab/>
        <w:t>Sąveika su kitais vaistiniais preparatais ir kitokia sąveika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Vaikų populiacija</w:t>
      </w:r>
    </w:p>
    <w:p w:rsidR="00444C66" w:rsidRDefault="00444C66">
      <w:pPr>
        <w:widowControl w:val="0"/>
        <w:spacing w:after="0" w:line="240" w:lineRule="auto"/>
        <w:rPr>
          <w:rFonts w:ascii="Times New Roman" w:hAnsi="Times New Roman"/>
        </w:rPr>
      </w:pPr>
      <w:r>
        <w:rPr>
          <w:rFonts w:ascii="Times New Roman" w:hAnsi="Times New Roman"/>
        </w:rPr>
        <w:t>Sąveikos tyrimai atlikti tik suaugusiesiems.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Nėra žinoma ar sąveika vaikams yra tokia pati kaip suaugusiems.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u w:val="single"/>
        </w:rPr>
      </w:pPr>
      <w:r>
        <w:rPr>
          <w:rFonts w:ascii="Times New Roman" w:hAnsi="Times New Roman"/>
          <w:u w:val="single"/>
        </w:rPr>
        <w:t>Kitų vaistinių preparatų poveikis olmesartano medoksomiliui</w:t>
      </w:r>
    </w:p>
    <w:p w:rsidR="00444C66" w:rsidRDefault="00444C66">
      <w:pPr>
        <w:widowControl w:val="0"/>
        <w:spacing w:after="0" w:line="240" w:lineRule="auto"/>
        <w:rPr>
          <w:rFonts w:ascii="Times New Roman" w:hAnsi="Times New Roman"/>
          <w:u w:val="single"/>
        </w:rPr>
      </w:pPr>
    </w:p>
    <w:p w:rsidR="00444C66" w:rsidRDefault="00444C66">
      <w:pPr>
        <w:widowControl w:val="0"/>
        <w:spacing w:after="0" w:line="240" w:lineRule="auto"/>
        <w:rPr>
          <w:rFonts w:ascii="Times New Roman" w:hAnsi="Times New Roman"/>
        </w:rPr>
      </w:pPr>
      <w:r>
        <w:rPr>
          <w:rFonts w:ascii="Times New Roman" w:hAnsi="Times New Roman"/>
          <w:i/>
        </w:rPr>
        <w:t>Kitokie antihipertenziniai vaistiniai preparatai</w:t>
      </w:r>
    </w:p>
    <w:p w:rsidR="00444C66" w:rsidRDefault="00444C66">
      <w:pPr>
        <w:widowControl w:val="0"/>
        <w:spacing w:after="0" w:line="240" w:lineRule="auto"/>
        <w:rPr>
          <w:rFonts w:ascii="Times New Roman" w:hAnsi="Times New Roman"/>
        </w:rPr>
      </w:pPr>
      <w:r>
        <w:rPr>
          <w:rFonts w:ascii="Times New Roman" w:hAnsi="Times New Roman"/>
        </w:rPr>
        <w:t>Olmesartano medoksomilio kraujospūdį mažinantis poveikis gali sustiprėti vartojant kartu su kitokiais antihipertenziniais vaistiniais preparatais.</w:t>
      </w:r>
    </w:p>
    <w:p w:rsidR="00444C66" w:rsidRDefault="00444C66">
      <w:pPr>
        <w:widowControl w:val="0"/>
        <w:spacing w:after="0" w:line="240" w:lineRule="auto"/>
        <w:rPr>
          <w:rFonts w:ascii="Times New Roman" w:hAnsi="Times New Roman"/>
          <w:u w:val="single"/>
        </w:rPr>
      </w:pPr>
    </w:p>
    <w:p w:rsidR="00444C66" w:rsidRDefault="00444C66">
      <w:pPr>
        <w:widowControl w:val="0"/>
        <w:spacing w:after="0" w:line="240" w:lineRule="auto"/>
        <w:rPr>
          <w:rFonts w:ascii="Times New Roman" w:eastAsia="Times New Roman" w:hAnsi="Times New Roman"/>
        </w:rPr>
      </w:pPr>
      <w:r>
        <w:rPr>
          <w:rFonts w:ascii="Times New Roman" w:eastAsia="Times New Roman" w:hAnsi="Times New Roman"/>
          <w:i/>
          <w:iCs/>
        </w:rPr>
        <w:t>AKF inhibitoriai, angiotenzino II receptorių blokatoriai ar aliskireno deriniai</w:t>
      </w:r>
    </w:p>
    <w:p w:rsidR="00444C66" w:rsidRDefault="00444C66">
      <w:pPr>
        <w:widowControl w:val="0"/>
        <w:tabs>
          <w:tab w:val="left" w:pos="540"/>
          <w:tab w:val="left" w:pos="2127"/>
          <w:tab w:val="left" w:pos="2977"/>
        </w:tabs>
        <w:spacing w:after="0" w:line="240" w:lineRule="auto"/>
        <w:rPr>
          <w:rFonts w:ascii="Times New Roman" w:eastAsia="Times New Roman" w:hAnsi="Times New Roman"/>
        </w:rPr>
      </w:pPr>
      <w:r>
        <w:rPr>
          <w:rFonts w:ascii="Times New Roman" w:eastAsia="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444C66" w:rsidRDefault="00444C66">
      <w:pPr>
        <w:widowControl w:val="0"/>
        <w:spacing w:after="0" w:line="240" w:lineRule="auto"/>
        <w:rPr>
          <w:rFonts w:ascii="Times New Roman" w:eastAsia="Times New Roman" w:hAnsi="Times New Roman"/>
          <w:u w:val="single"/>
          <w:lang w:eastAsia="sl-SI"/>
        </w:rPr>
      </w:pPr>
    </w:p>
    <w:p w:rsidR="00444C66" w:rsidRDefault="00444C66">
      <w:pPr>
        <w:widowControl w:val="0"/>
        <w:spacing w:after="0" w:line="240" w:lineRule="auto"/>
        <w:rPr>
          <w:rFonts w:ascii="Times New Roman" w:hAnsi="Times New Roman"/>
        </w:rPr>
      </w:pPr>
      <w:r>
        <w:rPr>
          <w:rFonts w:ascii="Times New Roman" w:hAnsi="Times New Roman"/>
          <w:i/>
        </w:rPr>
        <w:t>Kalio papildai ir kalį organizme sulaikantys diuretikai</w:t>
      </w:r>
    </w:p>
    <w:p w:rsidR="00444C66" w:rsidRDefault="00444C66">
      <w:pPr>
        <w:widowControl w:val="0"/>
        <w:spacing w:after="0" w:line="240" w:lineRule="auto"/>
        <w:rPr>
          <w:rFonts w:ascii="Times New Roman" w:hAnsi="Times New Roman"/>
        </w:rPr>
      </w:pPr>
      <w:r>
        <w:rPr>
          <w:rFonts w:ascii="Times New Roman" w:hAnsi="Times New Roman"/>
        </w:rPr>
        <w:t>Remiantis kitokių vaistinių preparatų, kurie veikia renino, angiotenzino ir aldosterono sistemą, vartojimo patirtimi, dėl kalį organizme sulaikančių diuretikų, kalio papildų, druskų pakaitalų, kurių sudėtyje yra kalio, arba kitokių vaistinių preparatų, kurie gali didinti kalio koncentraciją serume (pvz., heparino), vartojimo kartu serume gali padaugėti kalio (žr. 4.4 skyrių). Todėl vartoti kartu nerekomenduojama.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i/>
        </w:rPr>
        <w:t>Nesteroidiniai vaistai nuo uždegimo (NVNU)</w:t>
      </w:r>
    </w:p>
    <w:p w:rsidR="00444C66" w:rsidRDefault="00444C66">
      <w:pPr>
        <w:widowControl w:val="0"/>
        <w:spacing w:after="0" w:line="240" w:lineRule="auto"/>
        <w:rPr>
          <w:rFonts w:ascii="Times New Roman" w:hAnsi="Times New Roman"/>
        </w:rPr>
      </w:pPr>
      <w:r>
        <w:rPr>
          <w:rFonts w:ascii="Times New Roman" w:hAnsi="Times New Roman"/>
        </w:rPr>
        <w:t>NVNU (įskaitant didesnes kaip 3 g acetilsalicilo rūgšties dozes per parą, o taip pat COX-2 inhibitorius) ir angiotenzino II receptorių blokatoriai gali veikti sinergistiškai mažindami glomerulų filtraciją. NVNU vartojant kartu su angiotenzino II receptorių blokatoriais kyla ūminio inkstų nepakankamumo rizika. Rekomenduojama pradėjus gydymą stebėti inkstų funkciją ir pacientui reguliariai vartoti skysčių.</w:t>
      </w:r>
    </w:p>
    <w:p w:rsidR="00444C66" w:rsidRDefault="00444C66">
      <w:pPr>
        <w:widowControl w:val="0"/>
        <w:spacing w:after="0" w:line="240" w:lineRule="auto"/>
        <w:rPr>
          <w:rFonts w:ascii="Times New Roman" w:hAnsi="Times New Roman"/>
        </w:rPr>
      </w:pPr>
      <w:r>
        <w:rPr>
          <w:rFonts w:ascii="Times New Roman" w:hAnsi="Times New Roman"/>
        </w:rPr>
        <w:t>Be to, vartojant kartu, gali sumažėti antihipertenzinis angiotenzino II receptorių blokatoriaus poveikis ir dėl to iš dalies sumažėti veiksmingumas.</w:t>
      </w:r>
    </w:p>
    <w:p w:rsidR="00444C66" w:rsidRDefault="00444C66">
      <w:pPr>
        <w:widowControl w:val="0"/>
        <w:spacing w:after="0" w:line="240" w:lineRule="auto"/>
        <w:rPr>
          <w:rFonts w:ascii="Times New Roman" w:eastAsia="Times New Roman" w:hAnsi="Times New Roman"/>
          <w:lang w:eastAsia="sl-SI"/>
        </w:rPr>
      </w:pPr>
    </w:p>
    <w:p w:rsidR="00444C66" w:rsidRDefault="00444C66">
      <w:pPr>
        <w:widowControl w:val="0"/>
        <w:spacing w:after="0" w:line="240" w:lineRule="auto"/>
        <w:jc w:val="both"/>
        <w:rPr>
          <w:rFonts w:ascii="Times New Roman" w:eastAsia="Times New Roman" w:hAnsi="Times New Roman"/>
          <w:i/>
          <w:noProof/>
          <w:color w:val="000000"/>
          <w:lang w:val="en-GB" w:eastAsia="lt-LT"/>
        </w:rPr>
      </w:pPr>
      <w:r>
        <w:rPr>
          <w:rFonts w:ascii="Times New Roman" w:eastAsia="Times New Roman" w:hAnsi="Times New Roman"/>
          <w:i/>
          <w:noProof/>
          <w:color w:val="000000"/>
          <w:lang w:val="en-GB" w:eastAsia="lt-LT"/>
        </w:rPr>
        <w:t>Tulžies rūgštis surišantis vaistinis preparatas kolesevelamas</w:t>
      </w:r>
    </w:p>
    <w:p w:rsidR="00444C66" w:rsidRDefault="00444C66">
      <w:pPr>
        <w:widowControl w:val="0"/>
        <w:tabs>
          <w:tab w:val="left" w:pos="540"/>
          <w:tab w:val="left" w:pos="2127"/>
          <w:tab w:val="left" w:pos="2977"/>
        </w:tabs>
        <w:spacing w:after="0" w:line="240" w:lineRule="auto"/>
        <w:rPr>
          <w:rFonts w:ascii="Times New Roman" w:eastAsia="Times New Roman" w:hAnsi="Times New Roman"/>
          <w:color w:val="000000"/>
        </w:rPr>
      </w:pPr>
      <w:r>
        <w:rPr>
          <w:rFonts w:ascii="Times New Roman" w:eastAsia="Times New Roman" w:hAnsi="Times New Roman"/>
          <w:color w:val="000000"/>
        </w:rPr>
        <w:t>Vartojant olmesartaną kartu su tulžies rūgštis surišančiu vaistiniu preparatu kolesevelamo hidrochloridu, tai mažina olmesartano biologinį prieinamumą ir maksimalią plazmos koncentraciją. Jeigu olmesartanas vartojamas bent 4 val. prieš kolesevelamo hidrochloridą, minėta sąveika yra mažesnė. Todėl olmesartano medoksomilio rekomenduojama vartoti bent 4 val. prieš geriant kolesevelamo hidrochlorido (žr. 5.2 skyrių).</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i/>
        </w:rPr>
        <w:t>Kitos medžiagos</w:t>
      </w:r>
    </w:p>
    <w:p w:rsidR="00444C66" w:rsidRDefault="00444C66">
      <w:pPr>
        <w:widowControl w:val="0"/>
        <w:spacing w:after="0" w:line="240" w:lineRule="auto"/>
        <w:rPr>
          <w:rFonts w:ascii="Times New Roman" w:hAnsi="Times New Roman"/>
        </w:rPr>
      </w:pPr>
      <w:r>
        <w:rPr>
          <w:rFonts w:ascii="Times New Roman" w:hAnsi="Times New Roman"/>
        </w:rPr>
        <w:t>Pavartojus antacidinių preparatų (aliuminio ar magnio hidroksidų), vidutiniškai sumažėjo olmesartano biologinis prieinamumas. Varfarino ar digoksino vartojimas kartu įtakos olmesartano farmakokinetikai neturėjo.</w:t>
      </w:r>
    </w:p>
    <w:p w:rsidR="00444C66" w:rsidRDefault="00444C66">
      <w:pPr>
        <w:widowControl w:val="0"/>
        <w:spacing w:after="0" w:line="240" w:lineRule="auto"/>
        <w:rPr>
          <w:rFonts w:ascii="Times New Roman" w:hAnsi="Times New Roman"/>
        </w:rPr>
      </w:pPr>
    </w:p>
    <w:p w:rsidR="00444C66" w:rsidRDefault="00444C66">
      <w:pPr>
        <w:widowControl w:val="0"/>
        <w:tabs>
          <w:tab w:val="left" w:pos="426"/>
          <w:tab w:val="left" w:pos="851"/>
        </w:tabs>
        <w:spacing w:after="0" w:line="240" w:lineRule="auto"/>
        <w:rPr>
          <w:rFonts w:ascii="Times New Roman" w:hAnsi="Times New Roman"/>
          <w:i/>
        </w:rPr>
      </w:pPr>
      <w:r>
        <w:rPr>
          <w:rFonts w:ascii="Times New Roman" w:hAnsi="Times New Roman"/>
          <w:i/>
        </w:rPr>
        <w:t>Dviguba renino, angiotenzino ir aldosterono sistemos (RAAS) blokada</w:t>
      </w:r>
    </w:p>
    <w:p w:rsidR="00444C66" w:rsidRDefault="00444C66">
      <w:pPr>
        <w:widowControl w:val="0"/>
        <w:spacing w:after="0" w:line="240" w:lineRule="auto"/>
        <w:rPr>
          <w:rFonts w:ascii="Times New Roman" w:hAnsi="Times New Roman"/>
        </w:rPr>
      </w:pPr>
      <w:r>
        <w:rPr>
          <w:rFonts w:ascii="Times New Roman" w:hAnsi="Times New Roman"/>
        </w:rPr>
        <w:t>Klinikinių tyrimų metu gauti duomenys rodo, kad dviguba renino, angiotenzino ir aldosterono sistemos (RAAS) blokada, pasireiškianti kartu vartojant AKF inhibitorių, angiotenzino II receptorių blokatorių ar aliskireno, yra susijusi su tokių nepageidaujamų reiškinių kaip hipotenzija, hiperkalemija ir inkstų funkcijos sutrikimas (įskaitant ūminį inkstų nepakankamumą), dažnio padidėjimu, palyginti su dažniu, būnančiu vartojant vieną RAAS veikiantį vaistinį preparatą (žr. 4.3, 4.4 ir 5.1 skyrius).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u w:val="single"/>
        </w:rPr>
      </w:pPr>
      <w:r>
        <w:rPr>
          <w:rFonts w:ascii="Times New Roman" w:hAnsi="Times New Roman"/>
          <w:u w:val="single"/>
        </w:rPr>
        <w:t>Olmesartano medoksomilio poveikis kitokiems vaistiniams preparatams</w:t>
      </w:r>
    </w:p>
    <w:p w:rsidR="00444C66" w:rsidRDefault="00444C66">
      <w:pPr>
        <w:widowControl w:val="0"/>
        <w:spacing w:after="0" w:line="240" w:lineRule="auto"/>
        <w:rPr>
          <w:rFonts w:ascii="Times New Roman" w:hAnsi="Times New Roman"/>
          <w:b/>
        </w:rPr>
      </w:pPr>
    </w:p>
    <w:p w:rsidR="00444C66" w:rsidRDefault="00444C66">
      <w:pPr>
        <w:widowControl w:val="0"/>
        <w:spacing w:after="0" w:line="240" w:lineRule="auto"/>
        <w:rPr>
          <w:rFonts w:ascii="Times New Roman" w:hAnsi="Times New Roman"/>
        </w:rPr>
      </w:pPr>
      <w:r>
        <w:rPr>
          <w:rFonts w:ascii="Times New Roman" w:hAnsi="Times New Roman"/>
          <w:i/>
        </w:rPr>
        <w:t>Litis</w:t>
      </w:r>
    </w:p>
    <w:p w:rsidR="00444C66" w:rsidRDefault="00444C66">
      <w:pPr>
        <w:widowControl w:val="0"/>
        <w:spacing w:after="0" w:line="240" w:lineRule="auto"/>
        <w:rPr>
          <w:rFonts w:ascii="Times New Roman" w:hAnsi="Times New Roman"/>
        </w:rPr>
      </w:pPr>
      <w:r>
        <w:rPr>
          <w:rFonts w:ascii="Times New Roman" w:hAnsi="Times New Roman"/>
        </w:rPr>
        <w:t>Litį vartojant kartu su angiotenziną konvertuojančio fermento inhibitoriais ir angiotenzino II receptorių blokatoriais, pasireiškė grįžtamas ličio koncentracijos serume padidėjimas. Todėl olmesartano medoksomilį vartoti kartu su ličiu nerekomenduojama (žr. 4.4 skyrių). Jeigu nusprendžiama, kad vaistinius preparatus vartoti kartu būtina, rekomenduojama atidžiai stebėti ličio koncentracijas serume.</w:t>
      </w:r>
    </w:p>
    <w:p w:rsidR="00444C66" w:rsidRDefault="00444C66">
      <w:pPr>
        <w:widowControl w:val="0"/>
        <w:spacing w:after="0" w:line="240" w:lineRule="auto"/>
        <w:rPr>
          <w:rFonts w:ascii="Times New Roman" w:hAnsi="Times New Roman"/>
          <w:i/>
        </w:rPr>
      </w:pPr>
    </w:p>
    <w:p w:rsidR="00444C66" w:rsidRDefault="00444C66">
      <w:pPr>
        <w:widowControl w:val="0"/>
        <w:spacing w:after="0" w:line="240" w:lineRule="auto"/>
        <w:rPr>
          <w:rFonts w:ascii="Times New Roman" w:hAnsi="Times New Roman"/>
        </w:rPr>
      </w:pPr>
      <w:r>
        <w:rPr>
          <w:rFonts w:ascii="Times New Roman" w:hAnsi="Times New Roman"/>
          <w:i/>
        </w:rPr>
        <w:t>Kitos medžiagos</w:t>
      </w:r>
    </w:p>
    <w:p w:rsidR="00444C66" w:rsidRDefault="00444C66">
      <w:pPr>
        <w:widowControl w:val="0"/>
        <w:spacing w:after="0" w:line="240" w:lineRule="auto"/>
        <w:rPr>
          <w:rFonts w:ascii="Times New Roman" w:hAnsi="Times New Roman"/>
        </w:rPr>
      </w:pPr>
      <w:r>
        <w:rPr>
          <w:rFonts w:ascii="Times New Roman" w:hAnsi="Times New Roman"/>
        </w:rPr>
        <w:t>Medžiagos, kurios buvo tirtos specialių klinikinių tyrimų su sveikais savanoriais metu, yra varfarinas, digoksinas, antacidiniai preparatai (magnio ir aliuminio hidroksidas), hidrochlorotiazidas ir pravastatinas. Kliniškai reikšmingos sąveikos nepastebėta, olmesartano medoksomilis reikšmingai neveikė varfarino farmakokinetikos ar farmakodinamikos arba digoksino farmakokinetikos.</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Olmesartanas </w:t>
      </w:r>
      <w:r>
        <w:rPr>
          <w:rFonts w:ascii="Times New Roman" w:hAnsi="Times New Roman"/>
          <w:i/>
        </w:rPr>
        <w:t xml:space="preserve">in vitro </w:t>
      </w:r>
      <w:r>
        <w:rPr>
          <w:rFonts w:ascii="Times New Roman" w:hAnsi="Times New Roman"/>
        </w:rPr>
        <w:t xml:space="preserve">kliniškai reikšmingai neslopino žmogaus citochromo P450 izofermentų 1A1/2, 2A6, 2C8/9, 2C19, 2D6, 2E1 ar 3A4, ir nesužadino arba tik minimaliai sužadino žiurkių citochromo P450 aktyvumą. Todėl sąveikos tyrimų </w:t>
      </w:r>
      <w:r>
        <w:rPr>
          <w:rFonts w:ascii="Times New Roman" w:hAnsi="Times New Roman"/>
          <w:i/>
        </w:rPr>
        <w:t xml:space="preserve">in vivo </w:t>
      </w:r>
      <w:r>
        <w:rPr>
          <w:rFonts w:ascii="Times New Roman" w:hAnsi="Times New Roman"/>
        </w:rPr>
        <w:t>su žinomais citochromo P450 izofermentų inhibitoriais arba juos sužadinančiais vaistiniais preparatais neatlikta ir kliniškai reikšmingos olmesartano sąveikos su vaistiniais preparatais, kurių metabolizmą veikia citochromo P450 izofermentai, nesitikima.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4.6</w:t>
      </w:r>
      <w:r>
        <w:rPr>
          <w:rFonts w:ascii="Times New Roman" w:hAnsi="Times New Roman"/>
          <w:b/>
        </w:rPr>
        <w:tab/>
        <w:t>Vaisingumas, nėštumo ir žindymo laikotarpis</w:t>
      </w:r>
    </w:p>
    <w:p w:rsidR="00444C66" w:rsidRDefault="00444C66">
      <w:pPr>
        <w:widowControl w:val="0"/>
        <w:tabs>
          <w:tab w:val="left" w:pos="567"/>
        </w:tabs>
        <w:spacing w:after="0" w:line="240" w:lineRule="auto"/>
        <w:ind w:left="567" w:hanging="567"/>
        <w:rPr>
          <w:rFonts w:ascii="Times New Roman" w:hAnsi="Times New Roman"/>
          <w:b/>
        </w:rPr>
      </w:pPr>
    </w:p>
    <w:p w:rsidR="00444C66" w:rsidRDefault="00444C66">
      <w:pPr>
        <w:widowControl w:val="0"/>
        <w:spacing w:after="0" w:line="240" w:lineRule="auto"/>
        <w:rPr>
          <w:rFonts w:ascii="Times New Roman" w:hAnsi="Times New Roman"/>
        </w:rPr>
      </w:pPr>
      <w:r>
        <w:rPr>
          <w:rFonts w:ascii="Times New Roman" w:hAnsi="Times New Roman"/>
          <w:u w:val="single"/>
        </w:rPr>
        <w:t>Nėštumas</w:t>
      </w: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rPr>
        <w:t>Pirmą nėštumo trimestrą AIIRB vartoti nerekomenduojama (žr. 4.4 skyrių). Antrą ir trečią nėštumo trimestrais AIIRB vartoti draudžiama (žr. 4.3 ir 4.4 skyrius).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Epidemiologiniai duomenys apie teratogeninio poveikio dėl AKF inhibitorių ekspozicijos pirmais trimis nėštumo mėnesiais riziką nėra galutiniai, tačiau nedidelio rizikos padidėjimo paneigti negalima. Kontroliuojamųjų epidemiologinių angiotenzino II receptorių blokatorių keliamos rizikos tyrimų neatlikta, bet vartojant šios grupės vaistinius preparatus, rizika gali būti panaši. Jeigu nusprendžiama, kad būtina tęsti gydymą AIIRB, pastoti planuojančių pacienčių gydymą reikia keisti ir skirti vartoti kitokius antihipertenzinius vaistinius preparatus, kurių vartojimo saugumas nėštumo metu įrodytas. Diagnozavus nėštumą, gydymą AIIRB reikia nedelsiant nutraukti ir, jeigu tinka, pradėti kitokį gydymą.</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Nustatyta, kad dėl AIIRB ekspozicijos antrą ir trečią nėštumo trimestrais, pasireiškė toksinis poveikis žmogaus vaisiui (susilpnėjo inkstų funkcija, pasireiškė oligohidramnionas, sulėtėjo kaukolės kaulėjimas) ir naujagimiui (inkstų nepakankamumas, hipotenzija, hiperkalemija) (žr. 5.3 skyrių).</w:t>
      </w:r>
    </w:p>
    <w:p w:rsidR="00444C66" w:rsidRDefault="00444C66">
      <w:pPr>
        <w:widowControl w:val="0"/>
        <w:autoSpaceDE w:val="0"/>
        <w:autoSpaceDN w:val="0"/>
        <w:adjustRightInd w:val="0"/>
        <w:spacing w:after="0" w:line="240" w:lineRule="auto"/>
        <w:rPr>
          <w:rFonts w:ascii="Times New Roman" w:hAnsi="Times New Roman"/>
        </w:rPr>
      </w:pPr>
    </w:p>
    <w:p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Jeigu po antro nėštumo trimestro nėščioji vartojo angiotenzino II receptorių blokatorių, rekomenduojama ultragarsu tirti vaisiaus inkstų funkciją ir kaukolę.</w:t>
      </w:r>
    </w:p>
    <w:p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Reikia atidžiai stebėti, ar kūdikiams, kurių motinos vartojo angiotenzino II receptorių blokatorių, nepasireiškia hipotenzija (žr. 4.3 ir 4.4 skyrius.).</w:t>
      </w:r>
    </w:p>
    <w:p w:rsidR="00444C66" w:rsidRDefault="00444C66">
      <w:pPr>
        <w:widowControl w:val="0"/>
        <w:autoSpaceDE w:val="0"/>
        <w:autoSpaceDN w:val="0"/>
        <w:adjustRightInd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u w:val="single"/>
        </w:rPr>
      </w:pPr>
      <w:r>
        <w:rPr>
          <w:rFonts w:ascii="Times New Roman" w:hAnsi="Times New Roman"/>
          <w:u w:val="single"/>
        </w:rPr>
        <w:t>Žindymas</w:t>
      </w:r>
    </w:p>
    <w:p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Olmesartano išsiskiria į žiurkių pieną, tačiau ar olmesartano išsiskiria į moters pieną, nežinoma. Duomenų apie Olimestra vartojimą žindymo laikotarpiu nėra, Olimestra vartoti nerekomenduojama, geriau keisti gydymą ir skirti vartoti vaistinius preparatus, kurių vartojimo nėštumo metu saugumas įrodytas, ypač jeigu žindomas naujagimis ar prieš laiką gimęs kūdikis.</w:t>
      </w:r>
    </w:p>
    <w:p w:rsidR="00444C66" w:rsidRDefault="00444C66">
      <w:pPr>
        <w:widowControl w:val="0"/>
        <w:autoSpaceDE w:val="0"/>
        <w:autoSpaceDN w:val="0"/>
        <w:adjustRightInd w:val="0"/>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4.7</w:t>
      </w:r>
      <w:r>
        <w:rPr>
          <w:rFonts w:ascii="Times New Roman" w:hAnsi="Times New Roman"/>
          <w:b/>
        </w:rPr>
        <w:tab/>
        <w:t>Poveikis gebėjimui vairuoti ir valdyti mechanizmus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Olimestra gebėjimą vairuoti ir valdyti mechanizmus veikia silpnai arba vidutiniškai. Pacientams, kuriems taikomas antihipertenzinis gydymas, kartais gali pasireikšti galvos svaigimas ar nuovargis, kuris gali trikdyti gebėjimą reaguoti.</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ind w:left="567" w:hanging="567"/>
        <w:rPr>
          <w:rFonts w:ascii="Times New Roman" w:hAnsi="Times New Roman"/>
          <w:b/>
        </w:rPr>
      </w:pPr>
      <w:r>
        <w:rPr>
          <w:rFonts w:ascii="Times New Roman" w:hAnsi="Times New Roman"/>
          <w:b/>
        </w:rPr>
        <w:t>4.8</w:t>
      </w:r>
      <w:r>
        <w:rPr>
          <w:rFonts w:ascii="Times New Roman" w:hAnsi="Times New Roman"/>
          <w:b/>
        </w:rPr>
        <w:tab/>
        <w:t>Nepageidaujamas poveikis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eastAsia="Times New Roman" w:hAnsi="Times New Roman"/>
          <w:i/>
          <w:u w:val="single"/>
          <w:lang w:eastAsia="sl-SI"/>
        </w:rPr>
      </w:pPr>
      <w:r>
        <w:rPr>
          <w:rFonts w:ascii="Times New Roman" w:eastAsia="Times New Roman" w:hAnsi="Times New Roman"/>
          <w:i/>
          <w:u w:val="single"/>
          <w:lang w:eastAsia="sl-SI"/>
        </w:rPr>
        <w:t>Saugumo duomenų santrauka</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spacing w:after="0" w:line="240" w:lineRule="auto"/>
        <w:rPr>
          <w:rFonts w:ascii="Times New Roman" w:hAnsi="Times New Roman"/>
        </w:rPr>
      </w:pPr>
      <w:r>
        <w:rPr>
          <w:rFonts w:ascii="Times New Roman" w:hAnsi="Times New Roman"/>
        </w:rPr>
        <w:t>Vartojant olmesartano dažniausiai pasitaikančios nepageidaujamos reakcijos yra galvos skausmas (7,7 %), į gripą panašūs simptomai (4,0 %) ir svaigulys (3,7 %).</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Placebu kontroliuojamųjų monoterapijos tyrimų duomenimis, vienintelė su vaistiniu preparatu neabejotinai susijusi nepageidaujama reakcija buvo svaigulys (dažnis 2,5 %, vartojant olmesartano medoksomilį, ir 0,9 %, vartojant placebą).</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Olmesartano medoksomilio grupėje šiek tiek dažniau nei placebo grupėje pasireiškė hipertrigliceridemija (2 % palyginus su 1,1 %) ir kreatinfosfokinazės aktyvumo padidėjimas (1,3 % palyginus su 0,7 %).</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u w:val="single"/>
        </w:rPr>
      </w:pPr>
      <w:r>
        <w:rPr>
          <w:rFonts w:ascii="Times New Roman" w:hAnsi="Times New Roman"/>
          <w:u w:val="single"/>
        </w:rPr>
        <w:t>Bendra nepageidaujamų reakcijų santrauka</w:t>
      </w:r>
    </w:p>
    <w:p w:rsidR="00444C66" w:rsidRDefault="00444C66">
      <w:pPr>
        <w:widowControl w:val="0"/>
        <w:tabs>
          <w:tab w:val="left" w:pos="540"/>
          <w:tab w:val="left" w:pos="2977"/>
        </w:tabs>
        <w:spacing w:after="0" w:line="240" w:lineRule="auto"/>
        <w:rPr>
          <w:rFonts w:ascii="Times New Roman" w:hAnsi="Times New Roman"/>
          <w:lang w:val="sl-SI"/>
        </w:rPr>
      </w:pPr>
      <w:r>
        <w:rPr>
          <w:rFonts w:ascii="Times New Roman" w:hAnsi="Times New Roman"/>
        </w:rPr>
        <w:t xml:space="preserve">Iš klinikinių tyrimų, poregistracinio saugumo tyrimų ir spontaninių pranešimų būdu gautos </w:t>
      </w:r>
      <w:r>
        <w:rPr>
          <w:rFonts w:ascii="Times New Roman" w:eastAsia="Times New Roman" w:hAnsi="Times New Roman"/>
          <w:lang w:eastAsia="sl-SI"/>
        </w:rPr>
        <w:t>olmesartano medoksomilio</w:t>
      </w:r>
      <w:r>
        <w:rPr>
          <w:rFonts w:ascii="Times New Roman" w:hAnsi="Times New Roman"/>
        </w:rPr>
        <w:t xml:space="preserve"> sukeliamos nepageidaujamos reakcijos apibendrintos žemiau pateiktoje lentelėje.</w:t>
      </w:r>
    </w:p>
    <w:p w:rsidR="00444C66" w:rsidRDefault="00444C66">
      <w:pPr>
        <w:widowControl w:val="0"/>
        <w:tabs>
          <w:tab w:val="left" w:pos="540"/>
          <w:tab w:val="left" w:pos="2977"/>
        </w:tabs>
        <w:spacing w:after="0" w:line="240" w:lineRule="auto"/>
        <w:rPr>
          <w:rFonts w:ascii="Times New Roman" w:hAnsi="Times New Roman"/>
          <w:lang w:eastAsia="lt-LT"/>
        </w:rPr>
      </w:pPr>
    </w:p>
    <w:p w:rsidR="00444C66" w:rsidRDefault="00444C66">
      <w:pPr>
        <w:widowControl w:val="0"/>
        <w:spacing w:after="0" w:line="240" w:lineRule="auto"/>
        <w:rPr>
          <w:rFonts w:ascii="Times New Roman" w:hAnsi="Times New Roman"/>
        </w:rPr>
      </w:pPr>
      <w:r>
        <w:rPr>
          <w:rFonts w:ascii="Times New Roman" w:hAnsi="Times New Roman"/>
          <w:lang w:val="sl-SI"/>
        </w:rPr>
        <w:t>Nepageidaujamos reakcijos išvardytos pagal organų sistemų klases, naudojant tokius sutrikimų dažnio apibūdinimus</w:t>
      </w:r>
      <w:r>
        <w:rPr>
          <w:rFonts w:ascii="Times New Roman" w:hAnsi="Times New Roman"/>
        </w:rPr>
        <w:t>: labai dažnas (≥ 1/10), dažnas (nuo ≥ 1/100 iki &lt; 1/10), nedažnas (nuo ≥ 1/1 000 iki &lt; 1/100), retas (nuo ≥ 1/10 000 iki &lt; 1/1 000), labai retas (&lt; 1/10 000), nežinomas (negali būti apskaičiuotas pagal turimus duomenis).</w:t>
      </w:r>
    </w:p>
    <w:p w:rsidR="00444C66" w:rsidRDefault="00444C66">
      <w:pPr>
        <w:widowControl w:val="0"/>
        <w:spacing w:after="0" w:line="240" w:lineRule="auto"/>
        <w:rPr>
          <w:rFonts w:ascii="Times New Roman" w:eastAsia="Times New Roman" w:hAnsi="Times New Roman"/>
          <w:lang w:eastAsia="sl-SI"/>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2768"/>
        <w:gridCol w:w="3472"/>
        <w:tblGridChange w:id="4">
          <w:tblGrid>
            <w:gridCol w:w="3430"/>
            <w:gridCol w:w="2768"/>
            <w:gridCol w:w="3472"/>
          </w:tblGrid>
        </w:tblGridChange>
      </w:tblGrid>
      <w:tr w:rsidR="00444C66">
        <w:trPr>
          <w:trHeight w:val="407"/>
        </w:trPr>
        <w:tc>
          <w:tcPr>
            <w:tcW w:w="1774" w:type="pct"/>
            <w:tcBorders>
              <w:top w:val="single" w:sz="12" w:space="0" w:color="auto"/>
              <w:bottom w:val="double" w:sz="4" w:space="0" w:color="auto"/>
            </w:tcBorders>
            <w:vAlign w:val="center"/>
          </w:tcPr>
          <w:p w:rsidR="00444C66" w:rsidRDefault="00444C66">
            <w:pPr>
              <w:widowControl w:val="0"/>
              <w:tabs>
                <w:tab w:val="left" w:pos="567"/>
              </w:tabs>
              <w:spacing w:after="0" w:line="240" w:lineRule="auto"/>
              <w:rPr>
                <w:rFonts w:ascii="Times New Roman" w:hAnsi="Times New Roman"/>
                <w:b/>
              </w:rPr>
            </w:pPr>
            <w:r>
              <w:rPr>
                <w:rFonts w:ascii="Times New Roman" w:hAnsi="Times New Roman"/>
                <w:b/>
                <w:i/>
                <w:iCs/>
              </w:rPr>
              <w:t>MedDRA</w:t>
            </w:r>
          </w:p>
          <w:p w:rsidR="00444C66" w:rsidRDefault="00444C66">
            <w:pPr>
              <w:widowControl w:val="0"/>
              <w:tabs>
                <w:tab w:val="left" w:pos="567"/>
              </w:tabs>
              <w:spacing w:after="0" w:line="240" w:lineRule="auto"/>
              <w:rPr>
                <w:rFonts w:ascii="Times New Roman" w:eastAsia="Times New Roman" w:hAnsi="Times New Roman"/>
                <w:b/>
                <w:lang w:eastAsia="sl-SI"/>
              </w:rPr>
            </w:pPr>
            <w:r>
              <w:rPr>
                <w:rFonts w:ascii="Times New Roman" w:hAnsi="Times New Roman"/>
                <w:b/>
              </w:rPr>
              <w:t>organų sistemų klasė</w:t>
            </w:r>
          </w:p>
        </w:tc>
        <w:tc>
          <w:tcPr>
            <w:tcW w:w="1431" w:type="pct"/>
            <w:tcBorders>
              <w:top w:val="single" w:sz="12" w:space="0" w:color="auto"/>
              <w:bottom w:val="double" w:sz="4" w:space="0" w:color="auto"/>
            </w:tcBorders>
            <w:vAlign w:val="center"/>
          </w:tcPr>
          <w:p w:rsidR="00444C66" w:rsidRDefault="00444C66">
            <w:pPr>
              <w:widowControl w:val="0"/>
              <w:tabs>
                <w:tab w:val="left" w:pos="567"/>
              </w:tabs>
              <w:spacing w:after="0" w:line="240" w:lineRule="auto"/>
              <w:jc w:val="center"/>
              <w:rPr>
                <w:rFonts w:ascii="Times New Roman" w:eastAsia="Times New Roman" w:hAnsi="Times New Roman"/>
                <w:b/>
                <w:lang w:eastAsia="sl-SI"/>
              </w:rPr>
            </w:pPr>
            <w:r>
              <w:rPr>
                <w:rFonts w:ascii="Times New Roman" w:hAnsi="Times New Roman"/>
                <w:b/>
              </w:rPr>
              <w:t>Nepageidaujamos reakcijos</w:t>
            </w:r>
          </w:p>
        </w:tc>
        <w:tc>
          <w:tcPr>
            <w:tcW w:w="1795" w:type="pct"/>
            <w:tcBorders>
              <w:top w:val="single" w:sz="12" w:space="0" w:color="auto"/>
              <w:bottom w:val="double" w:sz="4" w:space="0" w:color="auto"/>
            </w:tcBorders>
            <w:vAlign w:val="center"/>
          </w:tcPr>
          <w:p w:rsidR="00444C66" w:rsidRDefault="00444C66">
            <w:pPr>
              <w:widowControl w:val="0"/>
              <w:tabs>
                <w:tab w:val="left" w:pos="567"/>
              </w:tabs>
              <w:spacing w:after="0" w:line="240" w:lineRule="auto"/>
              <w:jc w:val="center"/>
              <w:rPr>
                <w:rFonts w:ascii="Times New Roman" w:eastAsia="Times New Roman" w:hAnsi="Times New Roman"/>
                <w:b/>
                <w:lang w:eastAsia="sl-SI"/>
              </w:rPr>
            </w:pPr>
            <w:r>
              <w:rPr>
                <w:rFonts w:ascii="Times New Roman" w:hAnsi="Times New Roman"/>
                <w:b/>
              </w:rPr>
              <w:t>Dažnis</w:t>
            </w:r>
          </w:p>
        </w:tc>
      </w:tr>
      <w:tr w:rsidR="00444C66">
        <w:trPr>
          <w:trHeight w:val="493"/>
        </w:trPr>
        <w:tc>
          <w:tcPr>
            <w:tcW w:w="1774" w:type="pct"/>
            <w:tcBorders>
              <w:top w:val="doub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Kraujo ir limfinės sistemos sutrikimai</w:t>
            </w:r>
          </w:p>
        </w:tc>
        <w:tc>
          <w:tcPr>
            <w:tcW w:w="1431" w:type="pct"/>
            <w:tcBorders>
              <w:top w:val="doub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Trombocitopenija</w:t>
            </w:r>
          </w:p>
        </w:tc>
        <w:tc>
          <w:tcPr>
            <w:tcW w:w="1795" w:type="pct"/>
            <w:tcBorders>
              <w:top w:val="doub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358"/>
        </w:trPr>
        <w:tc>
          <w:tcPr>
            <w:tcW w:w="1774"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Imuninės sistemos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Anafilaksinė reakcija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64"/>
        </w:trPr>
        <w:tc>
          <w:tcPr>
            <w:tcW w:w="1774" w:type="pct"/>
            <w:vMerge w:val="restart"/>
          </w:tcPr>
          <w:p w:rsidR="00444C66" w:rsidRDefault="00444C66">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Metabolizmo ir mitybos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Hipertrigliceridemija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54"/>
        </w:trPr>
        <w:tc>
          <w:tcPr>
            <w:tcW w:w="1774" w:type="pct"/>
            <w:vMerge/>
          </w:tcPr>
          <w:p w:rsidR="00444C66" w:rsidRDefault="00444C66">
            <w:pPr>
              <w:widowControl w:val="0"/>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Hiperurikemija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9"/>
        </w:trPr>
        <w:tc>
          <w:tcPr>
            <w:tcW w:w="1774" w:type="pct"/>
            <w:vMerge/>
          </w:tcPr>
          <w:p w:rsidR="00444C66" w:rsidRDefault="00444C66">
            <w:pPr>
              <w:widowControl w:val="0"/>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Hiperkalemija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r w:rsidR="00444C66">
        <w:trPr>
          <w:trHeight w:val="254"/>
        </w:trPr>
        <w:tc>
          <w:tcPr>
            <w:tcW w:w="1774" w:type="pct"/>
            <w:vMerge w:val="restar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Nervų sistemos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Svaigulys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Galvos skausmas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54"/>
        </w:trPr>
        <w:tc>
          <w:tcPr>
            <w:tcW w:w="1774" w:type="pc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Ausų ir labirintų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Galvos sukimasis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39"/>
        </w:trPr>
        <w:tc>
          <w:tcPr>
            <w:tcW w:w="1774" w:type="pc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Širdies sutrikimai</w:t>
            </w:r>
          </w:p>
        </w:tc>
        <w:tc>
          <w:tcPr>
            <w:tcW w:w="1431" w:type="pct"/>
            <w:vAlign w:val="center"/>
          </w:tcPr>
          <w:p w:rsidR="00444C66" w:rsidRDefault="00444C66">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Krūtinės angina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54"/>
        </w:trPr>
        <w:tc>
          <w:tcPr>
            <w:tcW w:w="1774" w:type="pc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Kraujagyslių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Hipotenzija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r w:rsidR="00444C66">
        <w:trPr>
          <w:trHeight w:val="279"/>
        </w:trPr>
        <w:tc>
          <w:tcPr>
            <w:tcW w:w="1774" w:type="pct"/>
            <w:vMerge w:val="restar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Kvėpavimo sistemos, krūtinės ląstos ir tarpuplaučio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Bronchitas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Faringitas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Kosulys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Rinitas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F7604">
        <w:trPr>
          <w:trHeight w:val="181"/>
        </w:trPr>
        <w:tc>
          <w:tcPr>
            <w:tcW w:w="1774" w:type="pct"/>
            <w:vMerge w:val="restart"/>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Virškinimo trakto sutrikimai</w:t>
            </w:r>
          </w:p>
        </w:tc>
        <w:tc>
          <w:tcPr>
            <w:tcW w:w="1431"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Gastroenteritas </w:t>
            </w:r>
          </w:p>
        </w:tc>
        <w:tc>
          <w:tcPr>
            <w:tcW w:w="1795"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F7604">
        <w:trPr>
          <w:trHeight w:val="254"/>
        </w:trPr>
        <w:tc>
          <w:tcPr>
            <w:tcW w:w="1774" w:type="pct"/>
            <w:vMerge/>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Viduriavimas</w:t>
            </w:r>
          </w:p>
        </w:tc>
        <w:tc>
          <w:tcPr>
            <w:tcW w:w="1795"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F7604">
        <w:trPr>
          <w:trHeight w:val="239"/>
        </w:trPr>
        <w:tc>
          <w:tcPr>
            <w:tcW w:w="1774" w:type="pct"/>
            <w:vMerge/>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Pilvo skausmas</w:t>
            </w:r>
          </w:p>
        </w:tc>
        <w:tc>
          <w:tcPr>
            <w:tcW w:w="1795"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F7604">
        <w:trPr>
          <w:trHeight w:val="254"/>
        </w:trPr>
        <w:tc>
          <w:tcPr>
            <w:tcW w:w="1774" w:type="pct"/>
            <w:vMerge/>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Pykinimas</w:t>
            </w:r>
          </w:p>
        </w:tc>
        <w:tc>
          <w:tcPr>
            <w:tcW w:w="1795"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F7604">
        <w:trPr>
          <w:trHeight w:val="239"/>
        </w:trPr>
        <w:tc>
          <w:tcPr>
            <w:tcW w:w="1774" w:type="pct"/>
            <w:vMerge/>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Dispepsija</w:t>
            </w:r>
          </w:p>
        </w:tc>
        <w:tc>
          <w:tcPr>
            <w:tcW w:w="1795"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F7604">
        <w:trPr>
          <w:trHeight w:val="254"/>
        </w:trPr>
        <w:tc>
          <w:tcPr>
            <w:tcW w:w="1774" w:type="pct"/>
            <w:vMerge/>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Vėmimas</w:t>
            </w:r>
          </w:p>
        </w:tc>
        <w:tc>
          <w:tcPr>
            <w:tcW w:w="1795" w:type="pct"/>
            <w:vAlign w:val="center"/>
          </w:tcPr>
          <w:p w:rsidR="004F7604" w:rsidRDefault="004F7604">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F7604" w:rsidTr="004F5963">
        <w:trPr>
          <w:trHeight w:val="254"/>
        </w:trPr>
        <w:tc>
          <w:tcPr>
            <w:tcW w:w="1774" w:type="pct"/>
            <w:vMerge/>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p>
        </w:tc>
        <w:tc>
          <w:tcPr>
            <w:tcW w:w="1431" w:type="pct"/>
          </w:tcPr>
          <w:p w:rsidR="004F7604" w:rsidRDefault="004F7604">
            <w:pPr>
              <w:widowControl w:val="0"/>
              <w:tabs>
                <w:tab w:val="left" w:pos="567"/>
              </w:tabs>
              <w:spacing w:after="0" w:line="240" w:lineRule="auto"/>
              <w:rPr>
                <w:rFonts w:ascii="Times New Roman" w:eastAsia="Times New Roman" w:hAnsi="Times New Roman"/>
                <w:lang w:eastAsia="sl-SI"/>
              </w:rPr>
            </w:pPr>
            <w:r w:rsidRPr="004F7604">
              <w:rPr>
                <w:rFonts w:ascii="Times New Roman" w:eastAsia="Times New Roman" w:hAnsi="Times New Roman"/>
                <w:lang w:eastAsia="sl-SI"/>
              </w:rPr>
              <w:t xml:space="preserve">Žarnyno </w:t>
            </w:r>
            <w:proofErr w:type="spellStart"/>
            <w:r w:rsidRPr="004F7604">
              <w:rPr>
                <w:rFonts w:ascii="Times New Roman" w:eastAsia="Times New Roman" w:hAnsi="Times New Roman"/>
                <w:lang w:eastAsia="sl-SI"/>
              </w:rPr>
              <w:t>angioneurozinė</w:t>
            </w:r>
            <w:proofErr w:type="spellEnd"/>
            <w:r w:rsidRPr="004F7604">
              <w:rPr>
                <w:rFonts w:ascii="Times New Roman" w:eastAsia="Times New Roman" w:hAnsi="Times New Roman"/>
                <w:lang w:eastAsia="sl-SI"/>
              </w:rPr>
              <w:t xml:space="preserve"> edema</w:t>
            </w:r>
          </w:p>
        </w:tc>
        <w:tc>
          <w:tcPr>
            <w:tcW w:w="1795" w:type="pct"/>
          </w:tcPr>
          <w:p w:rsidR="004F7604" w:rsidRDefault="004F7604">
            <w:pPr>
              <w:widowControl w:val="0"/>
              <w:tabs>
                <w:tab w:val="left" w:pos="567"/>
              </w:tabs>
              <w:spacing w:after="0" w:line="240" w:lineRule="auto"/>
              <w:rPr>
                <w:rFonts w:ascii="Times New Roman" w:hAnsi="Times New Roman"/>
              </w:rPr>
            </w:pPr>
            <w:r w:rsidRPr="004F7604">
              <w:rPr>
                <w:rFonts w:ascii="Times New Roman" w:hAnsi="Times New Roman"/>
              </w:rPr>
              <w:t>Retas</w:t>
            </w:r>
          </w:p>
        </w:tc>
      </w:tr>
      <w:tr w:rsidR="004F7604" w:rsidTr="004F5963">
        <w:trPr>
          <w:trHeight w:val="254"/>
        </w:trPr>
        <w:tc>
          <w:tcPr>
            <w:tcW w:w="1774" w:type="pct"/>
            <w:vMerge/>
          </w:tcPr>
          <w:p w:rsidR="004F7604" w:rsidRDefault="004F7604">
            <w:pPr>
              <w:widowControl w:val="0"/>
              <w:tabs>
                <w:tab w:val="center" w:pos="4536"/>
                <w:tab w:val="right" w:pos="9072"/>
              </w:tabs>
              <w:spacing w:after="0" w:line="240" w:lineRule="auto"/>
              <w:rPr>
                <w:rFonts w:ascii="Times New Roman" w:eastAsia="Times New Roman" w:hAnsi="Times New Roman"/>
                <w:lang w:eastAsia="sl-SI"/>
              </w:rPr>
            </w:pPr>
          </w:p>
        </w:tc>
        <w:tc>
          <w:tcPr>
            <w:tcW w:w="1431" w:type="pct"/>
          </w:tcPr>
          <w:p w:rsidR="004F7604" w:rsidRDefault="004F7604">
            <w:pPr>
              <w:widowControl w:val="0"/>
              <w:tabs>
                <w:tab w:val="left" w:pos="567"/>
              </w:tabs>
              <w:spacing w:after="0" w:line="240" w:lineRule="auto"/>
              <w:rPr>
                <w:rFonts w:ascii="Times New Roman" w:eastAsia="Times New Roman" w:hAnsi="Times New Roman"/>
                <w:lang w:eastAsia="sl-SI"/>
              </w:rPr>
            </w:pPr>
            <w:r w:rsidRPr="004F7604">
              <w:rPr>
                <w:rFonts w:ascii="Times New Roman" w:eastAsia="Times New Roman" w:hAnsi="Times New Roman"/>
                <w:lang w:eastAsia="sl-SI"/>
              </w:rPr>
              <w:t xml:space="preserve">Į žarnyno sindromą panaši </w:t>
            </w:r>
            <w:proofErr w:type="spellStart"/>
            <w:r w:rsidRPr="004F7604">
              <w:rPr>
                <w:rFonts w:ascii="Times New Roman" w:eastAsia="Times New Roman" w:hAnsi="Times New Roman"/>
                <w:lang w:eastAsia="sl-SI"/>
              </w:rPr>
              <w:t>enteropatija</w:t>
            </w:r>
            <w:proofErr w:type="spellEnd"/>
          </w:p>
        </w:tc>
        <w:tc>
          <w:tcPr>
            <w:tcW w:w="1795" w:type="pct"/>
          </w:tcPr>
          <w:p w:rsidR="004F7604" w:rsidRDefault="004F7604">
            <w:pPr>
              <w:widowControl w:val="0"/>
              <w:tabs>
                <w:tab w:val="left" w:pos="567"/>
              </w:tabs>
              <w:spacing w:after="0" w:line="240" w:lineRule="auto"/>
              <w:rPr>
                <w:rFonts w:ascii="Times New Roman" w:hAnsi="Times New Roman"/>
              </w:rPr>
            </w:pPr>
            <w:r w:rsidRPr="004F7604">
              <w:rPr>
                <w:rFonts w:ascii="Times New Roman" w:hAnsi="Times New Roman"/>
              </w:rPr>
              <w:t>Labai retas</w:t>
            </w:r>
          </w:p>
        </w:tc>
      </w:tr>
      <w:tr w:rsidR="00444C66">
        <w:trPr>
          <w:trHeight w:val="212"/>
        </w:trPr>
        <w:tc>
          <w:tcPr>
            <w:tcW w:w="1774" w:type="pc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Kepenų, tulžies pūslės ir latakų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Autoimuninis hepatitas*</w:t>
            </w:r>
          </w:p>
        </w:tc>
        <w:tc>
          <w:tcPr>
            <w:tcW w:w="1795" w:type="pct"/>
            <w:vAlign w:val="center"/>
          </w:tcPr>
          <w:p w:rsidR="00444C66" w:rsidRDefault="00444C66">
            <w:pPr>
              <w:widowControl w:val="0"/>
              <w:tabs>
                <w:tab w:val="left" w:pos="567"/>
              </w:tabs>
              <w:spacing w:after="0" w:line="240" w:lineRule="auto"/>
              <w:rPr>
                <w:rFonts w:ascii="Times New Roman" w:hAnsi="Times New Roman"/>
              </w:rPr>
            </w:pPr>
            <w:r>
              <w:rPr>
                <w:rFonts w:ascii="Times New Roman" w:hAnsi="Times New Roman"/>
              </w:rPr>
              <w:t>Dažnis nežinomas</w:t>
            </w:r>
          </w:p>
        </w:tc>
      </w:tr>
      <w:tr w:rsidR="00444C66">
        <w:trPr>
          <w:trHeight w:val="212"/>
        </w:trPr>
        <w:tc>
          <w:tcPr>
            <w:tcW w:w="1774" w:type="pct"/>
            <w:vMerge w:val="restar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Odos ir poodinio audinio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Egzantema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Alerginis dermatitas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Dilgėlinė</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Bėrimas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Niežėjimas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315"/>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Angioneurozinė edema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r w:rsidR="00444C66">
        <w:trPr>
          <w:trHeight w:val="264"/>
        </w:trPr>
        <w:tc>
          <w:tcPr>
            <w:tcW w:w="1774" w:type="pct"/>
            <w:vMerge w:val="restar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Skeleto, raumenų ir jungiamojo audinio sutrikimai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Artritas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Nugaros skausmas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Skeleto skausmas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Mialgija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Raumenų spazmai</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r w:rsidR="00444C66">
        <w:trPr>
          <w:trHeight w:val="254"/>
        </w:trPr>
        <w:tc>
          <w:tcPr>
            <w:tcW w:w="1774" w:type="pct"/>
            <w:vMerge w:val="restar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Inkstų ir šlapimo takų sutrikimai</w:t>
            </w:r>
          </w:p>
        </w:tc>
        <w:tc>
          <w:tcPr>
            <w:tcW w:w="1431"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Hematurija </w:t>
            </w:r>
          </w:p>
        </w:tc>
        <w:tc>
          <w:tcPr>
            <w:tcW w:w="1795"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0"/>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Šlapimo takų infekcija</w:t>
            </w:r>
          </w:p>
        </w:tc>
        <w:tc>
          <w:tcPr>
            <w:tcW w:w="1795"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403"/>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Ūminis inkstų funkcijos nepakankamumas</w:t>
            </w:r>
          </w:p>
        </w:tc>
        <w:tc>
          <w:tcPr>
            <w:tcW w:w="1795"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r w:rsidR="00444C66">
        <w:trPr>
          <w:trHeight w:val="312"/>
        </w:trPr>
        <w:tc>
          <w:tcPr>
            <w:tcW w:w="1774" w:type="pct"/>
            <w:vMerge/>
            <w:tcBorders>
              <w:bottom w:val="single" w:sz="4" w:space="0" w:color="auto"/>
            </w:tcBorders>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Inkstų nepakankamumas</w:t>
            </w:r>
          </w:p>
        </w:tc>
        <w:tc>
          <w:tcPr>
            <w:tcW w:w="1795" w:type="pct"/>
            <w:tcBorders>
              <w:bottom w:val="single" w:sz="4"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r w:rsidR="00444C66">
        <w:trPr>
          <w:trHeight w:val="274"/>
        </w:trPr>
        <w:tc>
          <w:tcPr>
            <w:tcW w:w="1774" w:type="pct"/>
            <w:vMerge w:val="restar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Bendrieji sutrikimai ir vartojimo vietos pažeidimai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Skausmas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Krūtinės skausmas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Periferinė edema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Nuovargis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300"/>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Į gripo panašūs simptomai</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Nuovargis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93"/>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Veido edema, astenija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39"/>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Bendras negalavimas</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Nedažnas</w:t>
            </w:r>
          </w:p>
        </w:tc>
      </w:tr>
      <w:tr w:rsidR="00444C66">
        <w:trPr>
          <w:trHeight w:val="254"/>
        </w:trPr>
        <w:tc>
          <w:tcPr>
            <w:tcW w:w="1774" w:type="pct"/>
            <w:vMerge/>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Letargija</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r w:rsidR="00444C66">
        <w:trPr>
          <w:trHeight w:val="447"/>
        </w:trPr>
        <w:tc>
          <w:tcPr>
            <w:tcW w:w="1774" w:type="pct"/>
            <w:vMerge w:val="restart"/>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r>
              <w:rPr>
                <w:rFonts w:ascii="Times New Roman" w:eastAsia="Times New Roman" w:hAnsi="Times New Roman"/>
                <w:lang w:eastAsia="sl-SI"/>
              </w:rPr>
              <w:t>Tyrimai</w:t>
            </w: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val="sl-SI" w:eastAsia="sl-SI"/>
              </w:rPr>
              <w:t>Padidėjęs kepenų fermentų aktyvumas kraujyje</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493"/>
        </w:trPr>
        <w:tc>
          <w:tcPr>
            <w:tcW w:w="1774" w:type="pct"/>
            <w:vMerge/>
            <w:vAlign w:val="center"/>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Padidėjęs urėjos kiekis kraujyje</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763"/>
        </w:trPr>
        <w:tc>
          <w:tcPr>
            <w:tcW w:w="1774" w:type="pct"/>
            <w:vMerge/>
            <w:vAlign w:val="center"/>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vAlign w:val="center"/>
          </w:tcPr>
          <w:p w:rsidR="00444C66" w:rsidRDefault="00444C66">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Padidėjęs kreatinino fosfokinazės aktyvumas kraujyje</w:t>
            </w:r>
          </w:p>
        </w:tc>
        <w:tc>
          <w:tcPr>
            <w:tcW w:w="1795" w:type="pct"/>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Dažnas</w:t>
            </w:r>
          </w:p>
        </w:tc>
      </w:tr>
      <w:tr w:rsidR="00444C66">
        <w:trPr>
          <w:trHeight w:val="493"/>
        </w:trPr>
        <w:tc>
          <w:tcPr>
            <w:tcW w:w="1774" w:type="pct"/>
            <w:vMerge/>
            <w:tcBorders>
              <w:bottom w:val="single" w:sz="12" w:space="0" w:color="auto"/>
            </w:tcBorders>
            <w:vAlign w:val="center"/>
          </w:tcPr>
          <w:p w:rsidR="00444C66" w:rsidRDefault="00444C66">
            <w:pPr>
              <w:widowControl w:val="0"/>
              <w:tabs>
                <w:tab w:val="center" w:pos="4536"/>
                <w:tab w:val="right" w:pos="9072"/>
              </w:tabs>
              <w:spacing w:after="0" w:line="240" w:lineRule="auto"/>
              <w:rPr>
                <w:rFonts w:ascii="Times New Roman" w:eastAsia="Times New Roman" w:hAnsi="Times New Roman"/>
                <w:lang w:eastAsia="sl-SI"/>
              </w:rPr>
            </w:pPr>
          </w:p>
        </w:tc>
        <w:tc>
          <w:tcPr>
            <w:tcW w:w="1431" w:type="pct"/>
            <w:tcBorders>
              <w:bottom w:val="single" w:sz="12"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Padidėjęs kreatinino kiekis kraujyje</w:t>
            </w:r>
          </w:p>
        </w:tc>
        <w:tc>
          <w:tcPr>
            <w:tcW w:w="1795" w:type="pct"/>
            <w:tcBorders>
              <w:bottom w:val="single" w:sz="12" w:space="0" w:color="auto"/>
            </w:tcBorders>
            <w:vAlign w:val="center"/>
          </w:tcPr>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hAnsi="Times New Roman"/>
              </w:rPr>
              <w:t>Retas</w:t>
            </w:r>
          </w:p>
        </w:tc>
      </w:tr>
    </w:tbl>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 vaistinio preparato pateikimo rinkai gauta pranešimų apie autoimuninio hepatito, kurio latentinis laikotarpis trunka nuo kelių mėnesių iki kelių metų, ir kuris praeina nutraukus olmesartano vartojimą, atvejus.</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hAnsi="Times New Roman"/>
          <w:lang w:val="sl-SI"/>
        </w:rPr>
      </w:pPr>
      <w:r>
        <w:rPr>
          <w:rFonts w:ascii="Times New Roman" w:hAnsi="Times New Roman"/>
          <w:lang w:val="sl-SI"/>
        </w:rPr>
        <w:t>Gauta pranešimų apie pavienius rabdomiolizės atvejus, kai kartu laikinai buvo vartojami angiotenzino II receptorių inhibitoriai.</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u w:val="single"/>
        </w:rPr>
        <w:t>Papildoma informacija apie specialių grupių pacientus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Senyviems pacientams hipotenzija pasireiškia šiek tiek dažniau (pasireiškia ne retai, o nedažnai).</w:t>
      </w:r>
    </w:p>
    <w:p w:rsidR="00444C66" w:rsidRDefault="00444C66">
      <w:pPr>
        <w:widowControl w:val="0"/>
        <w:tabs>
          <w:tab w:val="left" w:pos="540"/>
          <w:tab w:val="left" w:pos="2127"/>
          <w:tab w:val="left" w:pos="2977"/>
        </w:tabs>
        <w:spacing w:after="0" w:line="240" w:lineRule="auto"/>
        <w:rPr>
          <w:rFonts w:ascii="Times New Roman" w:hAnsi="Times New Roman"/>
        </w:rPr>
      </w:pPr>
    </w:p>
    <w:p w:rsidR="00444C66" w:rsidRDefault="00444C66">
      <w:pPr>
        <w:widowControl w:val="0"/>
        <w:tabs>
          <w:tab w:val="left" w:pos="540"/>
          <w:tab w:val="left" w:pos="2127"/>
          <w:tab w:val="left" w:pos="2977"/>
        </w:tabs>
        <w:spacing w:after="0" w:line="240" w:lineRule="auto"/>
        <w:rPr>
          <w:rFonts w:ascii="Times New Roman" w:eastAsia="Times New Roman" w:hAnsi="Times New Roman"/>
          <w:lang w:eastAsia="sl-SI"/>
        </w:rPr>
      </w:pPr>
      <w:r>
        <w:rPr>
          <w:rFonts w:ascii="Times New Roman" w:eastAsia="Times New Roman" w:hAnsi="Times New Roman"/>
          <w:lang w:eastAsia="sl-SI"/>
        </w:rPr>
        <w:t>Vaikų populiacija</w:t>
      </w:r>
    </w:p>
    <w:p w:rsidR="00444C66" w:rsidRDefault="00444C66">
      <w:pPr>
        <w:widowControl w:val="0"/>
        <w:tabs>
          <w:tab w:val="left" w:pos="540"/>
          <w:tab w:val="left" w:pos="2127"/>
          <w:tab w:val="left" w:pos="2977"/>
        </w:tabs>
        <w:spacing w:after="0" w:line="240" w:lineRule="auto"/>
        <w:rPr>
          <w:rFonts w:ascii="Times New Roman" w:eastAsia="Times New Roman" w:hAnsi="Times New Roman"/>
          <w:lang w:eastAsia="sl-SI"/>
        </w:rPr>
      </w:pPr>
      <w:r>
        <w:rPr>
          <w:rFonts w:ascii="Times New Roman" w:eastAsia="Times New Roman" w:hAnsi="Times New Roman"/>
          <w:lang w:eastAsia="sl-SI"/>
        </w:rPr>
        <w:t>Olmesartano saugumas buvo stebimas 361 1-17 metų amžiaus vaikams ir paaugliams 2 klinikinius tyrimų metus. Nors nepageidaujamų reiškinių pobūdis ir sunkumas yra panašus į suaugusiųjų, vaikų dažnis yra didesnis:</w:t>
      </w:r>
    </w:p>
    <w:p w:rsidR="00444C66" w:rsidRDefault="00444C66">
      <w:pPr>
        <w:widowControl w:val="0"/>
        <w:numPr>
          <w:ilvl w:val="0"/>
          <w:numId w:val="43"/>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Kraujavimas iš nosies yra bendras nepageidaujamas reiškinys vaikams (t. y ≥ 1/100 iki &lt; 1/10), suaugusiems nebuvo pranešta.</w:t>
      </w:r>
    </w:p>
    <w:p w:rsidR="00444C66" w:rsidRDefault="00444C66">
      <w:pPr>
        <w:widowControl w:val="0"/>
        <w:numPr>
          <w:ilvl w:val="0"/>
          <w:numId w:val="43"/>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Per 3 savaites dvigubai aklo tyrimo, gydymo metu galvos svaigimas ir galvos skausmas 6-17 metų amžiaus vaikams aukštos olmesartano dozės grupėje pasireiškė beveik dvigubai.</w:t>
      </w:r>
    </w:p>
    <w:p w:rsidR="00444C66" w:rsidRDefault="00444C66">
      <w:pPr>
        <w:widowControl w:val="0"/>
        <w:tabs>
          <w:tab w:val="left" w:pos="540"/>
          <w:tab w:val="left" w:pos="2127"/>
          <w:tab w:val="left" w:pos="2977"/>
        </w:tabs>
        <w:spacing w:after="0" w:line="240" w:lineRule="auto"/>
        <w:rPr>
          <w:rFonts w:ascii="Times New Roman" w:eastAsia="Times New Roman" w:hAnsi="Times New Roman"/>
          <w:lang w:eastAsia="sl-SI"/>
        </w:rPr>
      </w:pPr>
    </w:p>
    <w:p w:rsidR="00444C66" w:rsidRDefault="00444C66">
      <w:pPr>
        <w:widowControl w:val="0"/>
        <w:tabs>
          <w:tab w:val="left" w:pos="540"/>
          <w:tab w:val="left" w:pos="2127"/>
          <w:tab w:val="left" w:pos="2977"/>
        </w:tabs>
        <w:spacing w:after="0" w:line="240" w:lineRule="auto"/>
        <w:rPr>
          <w:rFonts w:ascii="Times New Roman" w:eastAsia="Times New Roman" w:hAnsi="Times New Roman"/>
          <w:lang w:eastAsia="sl-SI"/>
        </w:rPr>
      </w:pPr>
      <w:r>
        <w:rPr>
          <w:rFonts w:ascii="Times New Roman" w:eastAsia="Times New Roman" w:hAnsi="Times New Roman"/>
          <w:lang w:eastAsia="sl-SI"/>
        </w:rPr>
        <w:t>Bendras olmesartano saugumo profilis vaikų populiacijai reikšmingai nesiskiria nuo saugumo profilio suaugusiems.</w:t>
      </w:r>
    </w:p>
    <w:p w:rsidR="00444C66" w:rsidRDefault="00444C66">
      <w:pPr>
        <w:widowControl w:val="0"/>
        <w:tabs>
          <w:tab w:val="left" w:pos="540"/>
          <w:tab w:val="left" w:pos="2127"/>
          <w:tab w:val="left" w:pos="2977"/>
        </w:tabs>
        <w:spacing w:after="0" w:line="240" w:lineRule="auto"/>
        <w:rPr>
          <w:rFonts w:ascii="Times New Roman" w:eastAsia="Times New Roman" w:hAnsi="Times New Roman"/>
          <w:lang w:eastAsia="sl-SI"/>
        </w:rPr>
      </w:pPr>
    </w:p>
    <w:p w:rsidR="00444C66" w:rsidRDefault="00444C66">
      <w:pPr>
        <w:widowControl w:val="0"/>
        <w:tabs>
          <w:tab w:val="left" w:pos="567"/>
        </w:tabs>
        <w:autoSpaceDE w:val="0"/>
        <w:autoSpaceDN w:val="0"/>
        <w:adjustRightInd w:val="0"/>
        <w:spacing w:after="0" w:line="240" w:lineRule="auto"/>
        <w:rPr>
          <w:rFonts w:ascii="Times New Roman" w:hAnsi="Times New Roman"/>
          <w:u w:val="single"/>
        </w:rPr>
      </w:pPr>
      <w:r>
        <w:rPr>
          <w:rFonts w:ascii="Times New Roman" w:hAnsi="Times New Roman"/>
          <w:u w:val="single"/>
        </w:rPr>
        <w:t>Pranešimas apie įtariamas nepageidaujamas reakcijas</w:t>
      </w:r>
    </w:p>
    <w:p w:rsidR="00444C66" w:rsidRDefault="00444C66">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8" w:history="1">
        <w:r>
          <w:rPr>
            <w:rStyle w:val="Hipersaitas"/>
            <w:sz w:val="22"/>
            <w:szCs w:val="22"/>
            <w:lang w:val="lt-LT"/>
          </w:rPr>
          <w:t>NepageidaujamaR@vvkt.lt</w:t>
        </w:r>
      </w:hyperlink>
      <w:r>
        <w:rPr>
          <w:rFonts w:ascii="Times New Roman" w:hAnsi="Times New Roman"/>
        </w:rPr>
        <w:t>).</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4.9</w:t>
      </w:r>
      <w:r>
        <w:rPr>
          <w:rFonts w:ascii="Times New Roman" w:hAnsi="Times New Roman"/>
          <w:b/>
        </w:rPr>
        <w:tab/>
        <w:t>Perdozavimas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t>Yra tik riboti duomenys apie šio vaistinio preparato perdozavimą žmogui. Didžiausia tikimybė, kad perdozavimo atveju pasireikš hipotenzija. Perdozavimo atveju pacientą reikia atidžiai stebėti ir taikyti simptominį bei palaikomąjį gydymą.</w:t>
      </w: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t>Duomenų apie olmesartano šalinimą iš organizmo dializės metu nėra.</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spacing w:after="0" w:line="240" w:lineRule="auto"/>
        <w:ind w:left="567" w:hanging="567"/>
        <w:rPr>
          <w:rFonts w:ascii="Times New Roman" w:hAnsi="Times New Roman"/>
          <w:b/>
          <w:caps/>
        </w:rPr>
      </w:pPr>
      <w:r>
        <w:rPr>
          <w:rFonts w:ascii="Times New Roman" w:hAnsi="Times New Roman"/>
          <w:b/>
          <w:caps/>
        </w:rPr>
        <w:t>5.</w:t>
      </w:r>
      <w:r>
        <w:rPr>
          <w:rFonts w:ascii="Times New Roman" w:hAnsi="Times New Roman"/>
          <w:b/>
          <w:caps/>
        </w:rPr>
        <w:tab/>
      </w:r>
      <w:r>
        <w:rPr>
          <w:rFonts w:ascii="Times New Roman" w:hAnsi="Times New Roman"/>
          <w:b/>
        </w:rPr>
        <w:t xml:space="preserve">FARMAKOLOGINĖS </w:t>
      </w:r>
      <w:r>
        <w:rPr>
          <w:rFonts w:ascii="Times New Roman" w:hAnsi="Times New Roman"/>
          <w:b/>
          <w:caps/>
        </w:rPr>
        <w:t>savybės</w:t>
      </w:r>
    </w:p>
    <w:p w:rsidR="00444C66" w:rsidRDefault="00444C66">
      <w:pPr>
        <w:widowControl w:val="0"/>
        <w:spacing w:after="0" w:line="240" w:lineRule="auto"/>
        <w:ind w:left="567" w:hanging="567"/>
        <w:rPr>
          <w:rFonts w:ascii="Times New Roman" w:hAnsi="Times New Roman"/>
        </w:rPr>
      </w:pPr>
    </w:p>
    <w:p w:rsidR="00444C66" w:rsidRDefault="00444C66">
      <w:pPr>
        <w:widowControl w:val="0"/>
        <w:spacing w:after="0" w:line="240" w:lineRule="auto"/>
        <w:ind w:left="567" w:hanging="567"/>
        <w:rPr>
          <w:rFonts w:ascii="Times New Roman" w:hAnsi="Times New Roman"/>
          <w:b/>
        </w:rPr>
      </w:pPr>
      <w:r>
        <w:rPr>
          <w:rFonts w:ascii="Times New Roman" w:hAnsi="Times New Roman"/>
          <w:b/>
        </w:rPr>
        <w:t>5.1</w:t>
      </w:r>
      <w:r>
        <w:rPr>
          <w:rFonts w:ascii="Times New Roman" w:hAnsi="Times New Roman"/>
          <w:b/>
        </w:rPr>
        <w:tab/>
        <w:t>Farmakodinaminės savybės</w:t>
      </w:r>
    </w:p>
    <w:p w:rsidR="00444C66" w:rsidRDefault="00444C66">
      <w:pPr>
        <w:widowControl w:val="0"/>
        <w:spacing w:after="0" w:line="240" w:lineRule="auto"/>
        <w:ind w:left="567" w:hanging="567"/>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Farmakoterapinė grupė – angiotenzino II receptorių blokatoriai, gryni, ATC kodas – C09CA08.</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Veikimo mechanizmas / Farmakodinaminis poveikis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Olmesartano medoksomilis yra stiprus geriamasis selektyvus angiotenzino II receptorių (AT</w:t>
      </w:r>
      <w:r>
        <w:rPr>
          <w:rFonts w:ascii="Times New Roman" w:hAnsi="Times New Roman"/>
          <w:vertAlign w:val="subscript"/>
        </w:rPr>
        <w:t>1</w:t>
      </w:r>
      <w:r>
        <w:rPr>
          <w:rFonts w:ascii="Times New Roman" w:hAnsi="Times New Roman"/>
        </w:rPr>
        <w:t xml:space="preserve"> tipo) blokatorius. Manoma, kad jis blokuoja visą su AT</w:t>
      </w:r>
      <w:r>
        <w:rPr>
          <w:rFonts w:ascii="Times New Roman" w:hAnsi="Times New Roman"/>
          <w:vertAlign w:val="subscript"/>
        </w:rPr>
        <w:t>1</w:t>
      </w:r>
      <w:r>
        <w:rPr>
          <w:rFonts w:ascii="Times New Roman" w:hAnsi="Times New Roman"/>
        </w:rPr>
        <w:t xml:space="preserve"> receptorių sužadinimu susijusį angiotenzino II veikimą, nesvarbu, kokiu būdu ir kur sintezuojamas angiotenzinas II. Dėl selektyvaus antagonizmo angiotenzino II receptoriams (AT</w:t>
      </w:r>
      <w:r>
        <w:rPr>
          <w:rFonts w:ascii="Times New Roman" w:hAnsi="Times New Roman"/>
          <w:vertAlign w:val="subscript"/>
        </w:rPr>
        <w:t>1</w:t>
      </w:r>
      <w:r>
        <w:rPr>
          <w:rFonts w:ascii="Times New Roman" w:hAnsi="Times New Roman"/>
        </w:rPr>
        <w:t>) plazmoje padidėja renino bei angiotenzino I ir II koncentracijos padidėjimą, o aldosterono koncentracijos plazmoje šiek tiek sumažėja.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Angiotenzinas II yra renino, angiotenzino ir aldosterono sistemos hormonas, pirmiausiai darantis poveikį kraujagyslėms, ir yra labai svarbus hipertenzijos patologinės fiziologijos, susijusios su poveikiu I tipo receptoriams (AT</w:t>
      </w:r>
      <w:r>
        <w:rPr>
          <w:rFonts w:ascii="Times New Roman" w:hAnsi="Times New Roman"/>
          <w:vertAlign w:val="subscript"/>
        </w:rPr>
        <w:t>1</w:t>
      </w:r>
      <w:r>
        <w:rPr>
          <w:rFonts w:ascii="Times New Roman" w:hAnsi="Times New Roman"/>
        </w:rPr>
        <w:t>), veiksnys.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Klinikinis veiksmingumas ir saugumas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Hipertenzijos atveju olmesartano medoksomilis sukelia ilgalaikį nuo dozės priklausomą arterinio kraujospūdžio sumažėjimą. Duomenų, kurie rodytų, kad pirmoji dozė sukelia hipotenziją, dėl ilgalaikio gydymo pasireiškia tachifilaksija arba nutraukus gydymą atoveiksmio hipertenzija, nėra.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Vartojant olmesartano medoksomilį vieną kartą per parą, palaikomas veiksmingas tolygus kraujospūdžio sumažėjimas ilgiau kaip 24 valandas. Vartojant olmesartano medoksomilį vieną kartą per parą, sukeliamas panašus kraujospūdžio sumažėjimas, kaip ir suvartojant tokią pat dozę padalytą į dvi lygias dalis per du kartus.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Taikant ilgalaikį gydymą, didžiausias kraujospūdžio sumažėjimas pasiekiamas praėjus 8 savaitėms nuo gydymo pradžios, nors žymus sumažėjimas pasireiškia jau po 2 gydymo savaičių. Vartojant kartu su hidrochlorotiazidu, pasireiškia adityvus kraujospūdį mažinantis poveikis, o gydymas gerai toleruojamas.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Olmesartano įtaka mirtingumui ir sergamumui iki šiol neištirta.</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eastAsia="MS Mincho" w:hAnsi="Times New Roman"/>
        </w:rPr>
      </w:pPr>
      <w:r>
        <w:rPr>
          <w:rFonts w:ascii="Times New Roman" w:hAnsi="Times New Roman"/>
        </w:rPr>
        <w:t xml:space="preserve">Atsitiktinės atrankos olmesartano ir cukrinio diabeto mikroalbuminurijos profilaktikos klinikiniame </w:t>
      </w:r>
      <w:r>
        <w:rPr>
          <w:rFonts w:ascii="Times New Roman" w:eastAsia="Times New Roman" w:hAnsi="Times New Roman"/>
        </w:rPr>
        <w:t xml:space="preserve">tyrime </w:t>
      </w:r>
      <w:r>
        <w:rPr>
          <w:rFonts w:ascii="Times New Roman" w:eastAsia="MS Mincho" w:hAnsi="Times New Roman"/>
        </w:rPr>
        <w:t>(ROADMAP) dalyvavo 4447 2 tipo cukriniu diabetu sergantys pacientai, kuriems nustatytas normalus albumino kiekis šlapime ir mažiausiai vienas papildomas širdies ir kraujagysliųs sistemos pažeidimų rizikos veiksnys, siekta nustatyti, ar gydymas olmesartanu gali pavėlinti mikroalbuminurijos pasireiškimo pradžios laiką. Stebint pacientus vidutiniškai 3,2 metų, jie vartojo olmesartaną arba placebo kartu su kitais vaistais nuo hipertenzijos, išskyrus AKF inhibitorius arba adrenoreceptorių blokatorius,</w:t>
      </w:r>
    </w:p>
    <w:p w:rsidR="00444C66" w:rsidRDefault="00444C66">
      <w:pPr>
        <w:widowControl w:val="0"/>
        <w:tabs>
          <w:tab w:val="left" w:pos="540"/>
          <w:tab w:val="left" w:pos="2127"/>
          <w:tab w:val="left" w:pos="2977"/>
        </w:tabs>
        <w:spacing w:after="0" w:line="240" w:lineRule="auto"/>
        <w:rPr>
          <w:rFonts w:ascii="Times New Roman" w:eastAsia="MS Mincho" w:hAnsi="Times New Roman"/>
        </w:rPr>
      </w:pPr>
    </w:p>
    <w:p w:rsidR="00444C66" w:rsidRDefault="00444C66">
      <w:pPr>
        <w:widowControl w:val="0"/>
        <w:tabs>
          <w:tab w:val="left" w:pos="540"/>
          <w:tab w:val="left" w:pos="2127"/>
          <w:tab w:val="left" w:pos="2977"/>
        </w:tabs>
        <w:spacing w:after="0" w:line="240" w:lineRule="auto"/>
        <w:rPr>
          <w:rFonts w:ascii="Times New Roman" w:eastAsia="MS Mincho" w:hAnsi="Times New Roman"/>
        </w:rPr>
      </w:pPr>
      <w:r>
        <w:rPr>
          <w:rFonts w:ascii="Times New Roman" w:eastAsia="MS Mincho" w:hAnsi="Times New Roman"/>
        </w:rPr>
        <w:t>Klinikinis tyrimas nustatė, kad, vertinant pagal pirminį vertinamosios baigties kriterijų - mikroalbuminurijos pasireiškimo laiką vartojant olmesartaną, rizika sumažėjo. Po koregavimo pagal kraujospūdžio skirtumus, panaudojant specifinius rodmenis dvigubai koduotam tyrimui, vartojant olmesartano rizikos sumažėjimas nebuvo statistiškai reikšmingas. Mikroalbuminurija išryškėjo 8,2 % pacientų olmesartano grupėje (178 iš 2160) ir 9,8 % pacientų placebo grupėje (210 iš 2139).</w:t>
      </w:r>
    </w:p>
    <w:p w:rsidR="00444C66" w:rsidRDefault="00444C66">
      <w:pPr>
        <w:widowControl w:val="0"/>
        <w:tabs>
          <w:tab w:val="left" w:pos="540"/>
          <w:tab w:val="left" w:pos="2127"/>
          <w:tab w:val="left" w:pos="2977"/>
        </w:tabs>
        <w:spacing w:after="0" w:line="240" w:lineRule="auto"/>
        <w:rPr>
          <w:rFonts w:ascii="Times New Roman" w:eastAsia="MS Mincho" w:hAnsi="Times New Roman"/>
        </w:rPr>
      </w:pPr>
    </w:p>
    <w:p w:rsidR="00444C66" w:rsidRDefault="00444C66">
      <w:pPr>
        <w:widowControl w:val="0"/>
        <w:tabs>
          <w:tab w:val="left" w:pos="540"/>
          <w:tab w:val="left" w:pos="2127"/>
          <w:tab w:val="left" w:pos="2977"/>
        </w:tabs>
        <w:spacing w:after="0" w:line="240" w:lineRule="auto"/>
        <w:rPr>
          <w:rFonts w:ascii="Times New Roman" w:eastAsia="MS Mincho" w:hAnsi="Times New Roman"/>
        </w:rPr>
      </w:pPr>
      <w:r>
        <w:rPr>
          <w:rFonts w:ascii="Times New Roman" w:eastAsia="MS Mincho" w:hAnsi="Times New Roman"/>
        </w:rPr>
        <w:t>Širdies ir kraujagyslių sistemos sutrikimai pasireiškė vartojusiems olmesartaną 96 pacientams (4,3 %) palyginti su 94 pacientais (4,2 %), vartojusiais placebą. Mirtingumas dėl širdies ir kraujagyslių sistemos sutrikimų buvo didesnis olmesartano grupėje, palyginti su placebo grupe (15 pacientų (0,7 %) ir 3 pacientai (0,1 %)), nors mirties nesukėlusio insulto (14 pacientų (0,6 %) ir 8 pacientai (0,4 %)), mirties nesukėlusio miokardo infarkto (17 pacientų (0,8 %) ir 26 pacientai (1,2 %)) bei mirties ne dėl širdies ir kraujagyslių sutrikimų (11 pacientų (0,5 %) ir 12 pacientų (0,5 %)) dažnis buvo panašus. Bendras mirtingumas olmesartano grupėje buvo didesnis (26 pacientai (1,2 %) palyginti su 15 pacientų (0,7 %)); tai labiausiai susiję su didesniu mirtinų širdies ir kraujagyslių sutrikimų skaičiumi.</w:t>
      </w:r>
    </w:p>
    <w:p w:rsidR="00444C66" w:rsidRDefault="00444C66">
      <w:pPr>
        <w:widowControl w:val="0"/>
        <w:spacing w:after="0" w:line="240" w:lineRule="auto"/>
        <w:rPr>
          <w:rFonts w:ascii="Times New Roman" w:eastAsia="MS Mincho" w:hAnsi="Times New Roman"/>
          <w:lang w:eastAsia="ja-JP"/>
        </w:rPr>
      </w:pPr>
    </w:p>
    <w:p w:rsidR="00444C66" w:rsidRDefault="00444C66">
      <w:pPr>
        <w:widowControl w:val="0"/>
        <w:spacing w:after="0" w:line="240" w:lineRule="auto"/>
        <w:rPr>
          <w:rFonts w:ascii="Times New Roman" w:eastAsia="MS Mincho" w:hAnsi="Times New Roman"/>
          <w:lang w:eastAsia="ja-JP"/>
        </w:rPr>
      </w:pPr>
      <w:r>
        <w:rPr>
          <w:rFonts w:ascii="Times New Roman" w:eastAsia="MS Mincho" w:hAnsi="Times New Roman"/>
          <w:lang w:eastAsia="ja-JP"/>
        </w:rPr>
        <w:t>Galutinės stadijos inkstų ligos dažnį sergant cukriniu diabetu mažinantis olmesartano klinikinio tyrimo (ORIENT) metu 577 atsitiktinai atrinktiems japonams ir kinams, sergantiems 2 tipo cukriniu diabetu ir akivaizdžia nefropatija, tirtas olmesartano poveikis inkstų pažeidimo ir širdies-kraujagyslių sistemos sutrikimų baigčiai. Vidutiniškai 3,1 metus trukusio stebėjimo metu pacientai buvo gydomi olmesartanu arba vartojo placebą kartu su kitais antihipertenzinisis vaistais, įskaitant AKF inhibitorius.</w:t>
      </w:r>
    </w:p>
    <w:p w:rsidR="00444C66" w:rsidRDefault="00444C66">
      <w:pPr>
        <w:widowControl w:val="0"/>
        <w:tabs>
          <w:tab w:val="left" w:pos="540"/>
          <w:tab w:val="left" w:pos="2127"/>
          <w:tab w:val="left" w:pos="2977"/>
        </w:tabs>
        <w:spacing w:after="0" w:line="240" w:lineRule="auto"/>
        <w:rPr>
          <w:rFonts w:ascii="Times New Roman" w:eastAsia="MS Mincho" w:hAnsi="Times New Roman"/>
        </w:rPr>
      </w:pPr>
    </w:p>
    <w:p w:rsidR="00444C66" w:rsidRDefault="00444C66">
      <w:pPr>
        <w:widowControl w:val="0"/>
        <w:tabs>
          <w:tab w:val="left" w:pos="540"/>
          <w:tab w:val="left" w:pos="2127"/>
          <w:tab w:val="left" w:pos="2977"/>
        </w:tabs>
        <w:spacing w:after="0" w:line="240" w:lineRule="auto"/>
        <w:rPr>
          <w:rFonts w:ascii="Times New Roman" w:eastAsia="MS Mincho" w:hAnsi="Times New Roman"/>
        </w:rPr>
      </w:pPr>
      <w:r>
        <w:rPr>
          <w:rFonts w:ascii="Times New Roman" w:eastAsia="MS Mincho" w:hAnsi="Times New Roman"/>
        </w:rPr>
        <w:t xml:space="preserve">Pagrindinis sudėtinis vertinamosios baigties kriterijus (laikas iki pirmojo poveikio kreatinino koncentraciją serume padvigubinus, paskutinės stadijos inkstų liga, visos sukeltos mirtys) įvyko 116 pacientų olmesartano grupėje (41,1 %) ir 129 pacientams placebo grupėje (45,4 %) (HR 0,97 (95 % PI 0,75 iki 1,24); p = 0,791). Sudėtinė antrinė širdies ir kraujagyslių baigtis įvyko 40 </w:t>
      </w:r>
      <w:r>
        <w:rPr>
          <w:rFonts w:ascii="Times New Roman" w:eastAsia="MS Mincho" w:hAnsi="Times New Roman"/>
        </w:rPr>
        <w:lastRenderedPageBreak/>
        <w:t>olmesartano gydytų pacientų (14,2 %) ir 53 pacientų, gydytų placebu (18,7 %). Ši sudėtinė baigtis apimė širdies ir kraujagyslių kardiovaskulinę mirtį 10 (3,5 %) pacientų, vartojusių olmesartano ir 3 pacientams (1,1 %), vartojusiems placebą, bendrą mirtingumą - 19 (6,7 %), palyginti su 20 (7,0 %), nemirtiną smegenų insultą - 8 (2,8 %), palyginti su 11 (3,9 %) ir nemirtiną miokardo infarktą - 3 (1,1 %), palyginti su 7 (2,5 %), atitinkamai.</w:t>
      </w:r>
    </w:p>
    <w:p w:rsidR="00444C66" w:rsidRDefault="00444C66">
      <w:pPr>
        <w:widowControl w:val="0"/>
        <w:spacing w:after="0" w:line="240" w:lineRule="auto"/>
        <w:rPr>
          <w:rFonts w:ascii="Times New Roman" w:eastAsia="MS Mincho" w:hAnsi="Times New Roman"/>
          <w:lang w:eastAsia="ja-JP"/>
        </w:rPr>
      </w:pPr>
    </w:p>
    <w:p w:rsidR="00444C66" w:rsidRDefault="00444C66">
      <w:pPr>
        <w:widowControl w:val="0"/>
        <w:tabs>
          <w:tab w:val="left" w:pos="567"/>
        </w:tabs>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Kita informacija</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Dviejų didelių, atsitiktinių imčių, kontroliuotų tyrimų (ONTARGET (</w:t>
      </w:r>
      <w:r>
        <w:rPr>
          <w:rFonts w:ascii="Times New Roman" w:hAnsi="Times New Roman"/>
          <w:i/>
        </w:rPr>
        <w:t>ONgoing Telmisartan Alone and in Combination with Ramipril Global Endpoint Trial</w:t>
      </w:r>
      <w:r>
        <w:rPr>
          <w:rFonts w:ascii="Times New Roman" w:hAnsi="Times New Roman"/>
        </w:rPr>
        <w:t>), VA NEPHRON-D (</w:t>
      </w:r>
      <w:r>
        <w:rPr>
          <w:rFonts w:ascii="Times New Roman" w:hAnsi="Times New Roman"/>
          <w:i/>
        </w:rPr>
        <w:t>The Veterans AAffairs Nepropathy in Diabetes</w:t>
      </w:r>
      <w:r>
        <w:rPr>
          <w:rFonts w:ascii="Times New Roman" w:hAnsi="Times New Roman"/>
        </w:rPr>
        <w:t>) metu tirtas kombinuotasis gydymas AKF inhibitoriumi ir angiotenzino II receptorių blokatoriumi.</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ONTARGET tyrime dalyvavo pacientai, sirgę kardiovaskuline ar smegenų kraujagyslių liga arba 2 tipo cukriniu diabetu su įrodyta organų taikinių pažaida. VA NEPHRON-D tyrime dalyvavę pacientai sirgo 2 tipo cukriniu diabetu ir diabetine nefropatija.</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Šių tyrimų metu reikšmingo palankaus poveikio inkstų ir (arba) kardiovaskulinėms baigtims bei mirtingumui negauta, tačiau nustatytas hiperkalemijos, ūminės inkstų pažaidos ir (arba) hipotenzijos rizikos padidėjimas, palyginti su monoterapija. Atsižvelgiant į panašias farmakodinamines savybes, tokie rezultatai yra aktualūs ir kitiems AKF inhibitoriams ir angiotenzino II receptorių blokatoriams.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Dėl šios priežasties pacientams, kuriems yra diabetinė nefropatija, AKF inhibitorių ir angiotenzino II receptorių blokatorių kartu vartoti nerekomenduojama.</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ALTITUDE (</w:t>
      </w:r>
      <w:r>
        <w:rPr>
          <w:rFonts w:ascii="Times New Roman" w:hAnsi="Times New Roman"/>
          <w:i/>
        </w:rPr>
        <w:t>AliskirenTrial in Type 2 Diabetes Using Cardiovascular and Renal Disease Endpoints</w:t>
      </w:r>
      <w:r>
        <w:rPr>
          <w:rFonts w:ascii="Times New Roman" w:hAnsi="Times New Roman"/>
        </w:rPr>
        <w:t>) tyrimo metu buvo analizuojamas palankus standartinio gydymo AKF inhibitoriumi ar angiotenzino II receptorių blokatoriumi papildymo aliskirenu poveikis pacientams, kurie serga 2tipo cukriniu diabetu ir lėtine inkstų liga ar kardiovaskuline liga ar abiem. Tyrimas buvo anksti nutrauktas, kadangi nustatyta padidėjusi nepageidaujamų baigčių rizika. Ir kardiovaskulinė mirtis, ir insultas, vertinant pacientų skaičių, dažniau pasireiškė aliskireno vartojusiųjų grupėje, palyginti su vartojusiais placebo, be to, apie nepageidaujamus reiškinius bei sunkius nepageidaujamus reiškinius, į kuriuos ypač buvo kreipiamas dėmesys (hiperkalemija, hipotenzija ir inkstų funkcijos sutrikimas), dažniau pranešta aliskireno vartojusiųjų grupėje, palyginti su vartojusiais placebo.</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eastAsia="Verdana" w:hAnsi="Times New Roman"/>
          <w:snapToGrid w:val="0"/>
          <w:lang w:eastAsia="en-GB"/>
        </w:rPr>
      </w:pPr>
      <w:r>
        <w:rPr>
          <w:rFonts w:ascii="Times New Roman" w:eastAsia="Verdana" w:hAnsi="Times New Roman"/>
          <w:snapToGrid w:val="0"/>
          <w:lang w:eastAsia="en-GB"/>
        </w:rPr>
        <w:t>Vaikų populiacija</w:t>
      </w:r>
    </w:p>
    <w:p w:rsidR="00444C66" w:rsidRDefault="00444C66">
      <w:pPr>
        <w:widowControl w:val="0"/>
        <w:tabs>
          <w:tab w:val="left" w:pos="567"/>
        </w:tabs>
        <w:spacing w:after="0" w:line="240" w:lineRule="auto"/>
        <w:rPr>
          <w:rFonts w:ascii="Times New Roman" w:eastAsia="Verdana" w:hAnsi="Times New Roman"/>
          <w:snapToGrid w:val="0"/>
          <w:lang w:eastAsia="en-GB"/>
        </w:rPr>
      </w:pPr>
      <w:r>
        <w:rPr>
          <w:rFonts w:ascii="Times New Roman" w:eastAsia="Verdana" w:hAnsi="Times New Roman"/>
          <w:snapToGrid w:val="0"/>
          <w:lang w:eastAsia="en-GB"/>
        </w:rPr>
        <w:t>Antihipertenzinis olmesartano medoksomilio poveikis vaikų populiacijai buvo įvertintas atsitiktinių imčių, dvigubai aklo, placebu kontroliuojamo tyrimo metu 302 hipertenzija sergantiems nuo 6 iki 17 metų amžiaus pacientams. Tyrimas gyventojų sudarė "viskas juoda kohortos 112 pacientų ir mišrios rasės kohortos 190 pacientų, įskaitant 38 juodi. Iš hipertenzija etiologijos daugiausia buvo hipertenzija (87</w:t>
      </w:r>
      <w:r>
        <w:rPr>
          <w:rFonts w:ascii="Times New Roman" w:eastAsia="MS Mincho" w:hAnsi="Times New Roman"/>
        </w:rPr>
        <w:t> </w:t>
      </w:r>
      <w:r>
        <w:rPr>
          <w:rFonts w:ascii="Times New Roman" w:eastAsia="Verdana" w:hAnsi="Times New Roman"/>
          <w:snapToGrid w:val="0"/>
          <w:lang w:eastAsia="en-GB"/>
        </w:rPr>
        <w:t>% iš juodos spalvos kohortos ir 67</w:t>
      </w:r>
      <w:r>
        <w:rPr>
          <w:rFonts w:ascii="Times New Roman" w:eastAsia="MS Mincho" w:hAnsi="Times New Roman"/>
        </w:rPr>
        <w:t> </w:t>
      </w:r>
      <w:r>
        <w:rPr>
          <w:rFonts w:ascii="Times New Roman" w:eastAsia="Verdana" w:hAnsi="Times New Roman"/>
          <w:snapToGrid w:val="0"/>
          <w:lang w:eastAsia="en-GB"/>
        </w:rPr>
        <w:t>% mišraus grupė). Pacientai, kuriems pasverti nuo 20 iki &lt;</w:t>
      </w:r>
      <w:r>
        <w:rPr>
          <w:rFonts w:ascii="Times New Roman" w:eastAsia="MS Mincho" w:hAnsi="Times New Roman"/>
        </w:rPr>
        <w:t> </w:t>
      </w:r>
      <w:r>
        <w:rPr>
          <w:rFonts w:ascii="Times New Roman" w:eastAsia="Verdana" w:hAnsi="Times New Roman"/>
          <w:snapToGrid w:val="0"/>
          <w:lang w:eastAsia="en-GB"/>
        </w:rPr>
        <w:t>35</w:t>
      </w:r>
      <w:r>
        <w:rPr>
          <w:rFonts w:ascii="Times New Roman" w:eastAsia="MS Mincho" w:hAnsi="Times New Roman"/>
        </w:rPr>
        <w:t> </w:t>
      </w:r>
      <w:r>
        <w:rPr>
          <w:rFonts w:ascii="Times New Roman" w:eastAsia="Verdana" w:hAnsi="Times New Roman"/>
          <w:snapToGrid w:val="0"/>
          <w:lang w:eastAsia="en-GB"/>
        </w:rPr>
        <w:t>kg, buvo randomizuoti į 2,5</w:t>
      </w:r>
      <w:r>
        <w:rPr>
          <w:rFonts w:ascii="Times New Roman" w:eastAsia="MS Mincho" w:hAnsi="Times New Roman"/>
        </w:rPr>
        <w:t> </w:t>
      </w:r>
      <w:r>
        <w:rPr>
          <w:rFonts w:ascii="Times New Roman" w:eastAsia="Verdana" w:hAnsi="Times New Roman"/>
          <w:snapToGrid w:val="0"/>
          <w:lang w:eastAsia="en-GB"/>
        </w:rPr>
        <w:t>mg (mažos dozės) arba 20</w:t>
      </w:r>
      <w:r>
        <w:rPr>
          <w:rFonts w:ascii="Times New Roman" w:eastAsia="MS Mincho" w:hAnsi="Times New Roman"/>
        </w:rPr>
        <w:t> </w:t>
      </w:r>
      <w:r>
        <w:rPr>
          <w:rFonts w:ascii="Times New Roman" w:eastAsia="Verdana" w:hAnsi="Times New Roman"/>
          <w:snapToGrid w:val="0"/>
          <w:lang w:eastAsia="en-GB"/>
        </w:rPr>
        <w:t>mg (didžiausios dozės) olmesartano medoksomilis vieną kartą per parą, o pacientai, kuriems pasverti ≥</w:t>
      </w:r>
      <w:r>
        <w:rPr>
          <w:rFonts w:ascii="Times New Roman" w:eastAsia="MS Mincho" w:hAnsi="Times New Roman"/>
        </w:rPr>
        <w:t> </w:t>
      </w:r>
      <w:r>
        <w:rPr>
          <w:rFonts w:ascii="Times New Roman" w:eastAsia="Verdana" w:hAnsi="Times New Roman"/>
          <w:snapToGrid w:val="0"/>
          <w:lang w:eastAsia="en-GB"/>
        </w:rPr>
        <w:t>35</w:t>
      </w:r>
      <w:r>
        <w:rPr>
          <w:rFonts w:ascii="Times New Roman" w:eastAsia="MS Mincho" w:hAnsi="Times New Roman"/>
        </w:rPr>
        <w:t> </w:t>
      </w:r>
      <w:r>
        <w:rPr>
          <w:rFonts w:ascii="Times New Roman" w:eastAsia="Verdana" w:hAnsi="Times New Roman"/>
          <w:snapToGrid w:val="0"/>
          <w:lang w:eastAsia="en-GB"/>
        </w:rPr>
        <w:t>kg, buvo randomizuoti iki 5</w:t>
      </w:r>
      <w:r>
        <w:rPr>
          <w:rFonts w:ascii="Times New Roman" w:eastAsia="MS Mincho" w:hAnsi="Times New Roman"/>
        </w:rPr>
        <w:t> </w:t>
      </w:r>
      <w:r>
        <w:rPr>
          <w:rFonts w:ascii="Times New Roman" w:eastAsia="Verdana" w:hAnsi="Times New Roman"/>
          <w:snapToGrid w:val="0"/>
          <w:lang w:eastAsia="en-GB"/>
        </w:rPr>
        <w:t>mg (mažos dozės) arba 40</w:t>
      </w:r>
      <w:r>
        <w:rPr>
          <w:rFonts w:ascii="Times New Roman" w:eastAsia="MS Mincho" w:hAnsi="Times New Roman"/>
        </w:rPr>
        <w:t> </w:t>
      </w:r>
      <w:r>
        <w:rPr>
          <w:rFonts w:ascii="Times New Roman" w:eastAsia="Verdana" w:hAnsi="Times New Roman"/>
          <w:snapToGrid w:val="0"/>
          <w:lang w:eastAsia="en-GB"/>
        </w:rPr>
        <w:t>mg (didelės vieną kartą per parą dozė) olmesartano medoksomilio. Olmesartano medoksomilio žymiai sumažino tiek sistolinį ir diastolinį kraujospūdį svorio pakoreguotas priklausomai nuo dozės. Olmesartano medoksomilis ne tiek mažos ir didelės dozės žymiai sumažino sistolinį kraujo spaudimą 6,6 ir 11,9</w:t>
      </w:r>
      <w:r>
        <w:rPr>
          <w:rFonts w:ascii="Times New Roman" w:eastAsia="MS Mincho" w:hAnsi="Times New Roman"/>
        </w:rPr>
        <w:t> </w:t>
      </w:r>
      <w:r>
        <w:rPr>
          <w:rFonts w:ascii="Times New Roman" w:eastAsia="Verdana" w:hAnsi="Times New Roman"/>
          <w:snapToGrid w:val="0"/>
          <w:lang w:eastAsia="en-GB"/>
        </w:rPr>
        <w:t>mmHg nuo bazinės linijos, atitinkamai. Šis poveikis taip pat buvo pastebėta per 2 savaites randomizuotų pasitraukimas etape, pagal kurią tiek vidutinio sistolinio ir diastolinio kraujo spaudimo statistiškai reikšmingai rikošetas placebo grupėje parodė, palyginti su olmesartano medoksomilio grupei. Gydymas buvo veiksmingas tiek vaikams, sergantiems pirmine ir antrine hipertenzija. Kaip pastebėjo tarp suaugusiųjų, kraujospūdžio sumažėjimas buvo mažesnis juodaodžiams būna.</w:t>
      </w:r>
    </w:p>
    <w:p w:rsidR="00444C66" w:rsidRDefault="00444C66">
      <w:pPr>
        <w:widowControl w:val="0"/>
        <w:tabs>
          <w:tab w:val="left" w:pos="567"/>
        </w:tabs>
        <w:spacing w:after="0" w:line="240" w:lineRule="auto"/>
        <w:rPr>
          <w:rFonts w:ascii="Times New Roman" w:eastAsia="Verdana" w:hAnsi="Times New Roman"/>
          <w:snapToGrid w:val="0"/>
          <w:lang w:eastAsia="en-GB"/>
        </w:rPr>
      </w:pPr>
    </w:p>
    <w:p w:rsidR="00444C66" w:rsidRDefault="00444C66">
      <w:pPr>
        <w:widowControl w:val="0"/>
        <w:tabs>
          <w:tab w:val="left" w:pos="567"/>
        </w:tabs>
        <w:spacing w:after="0" w:line="240" w:lineRule="auto"/>
        <w:rPr>
          <w:rFonts w:ascii="Times New Roman" w:eastAsia="Verdana" w:hAnsi="Times New Roman"/>
          <w:snapToGrid w:val="0"/>
          <w:lang w:eastAsia="en-GB"/>
        </w:rPr>
      </w:pPr>
      <w:r>
        <w:rPr>
          <w:rFonts w:ascii="Times New Roman" w:eastAsia="Verdana" w:hAnsi="Times New Roman"/>
          <w:snapToGrid w:val="0"/>
          <w:lang w:eastAsia="en-GB"/>
        </w:rPr>
        <w:t>To paties tyrimo, brandinamas 59 pacientai nuo 1 iki 5 metų, kuris pasverti ≥</w:t>
      </w:r>
      <w:r>
        <w:rPr>
          <w:rFonts w:ascii="Times New Roman" w:eastAsia="MS Mincho" w:hAnsi="Times New Roman"/>
        </w:rPr>
        <w:t> </w:t>
      </w:r>
      <w:r>
        <w:rPr>
          <w:rFonts w:ascii="Times New Roman" w:eastAsia="Verdana" w:hAnsi="Times New Roman"/>
          <w:snapToGrid w:val="0"/>
          <w:lang w:eastAsia="en-GB"/>
        </w:rPr>
        <w:t>5</w:t>
      </w:r>
      <w:r>
        <w:rPr>
          <w:rFonts w:ascii="Times New Roman" w:eastAsia="MS Mincho" w:hAnsi="Times New Roman"/>
        </w:rPr>
        <w:t> </w:t>
      </w:r>
      <w:r>
        <w:rPr>
          <w:rFonts w:ascii="Times New Roman" w:eastAsia="Verdana" w:hAnsi="Times New Roman"/>
          <w:snapToGrid w:val="0"/>
          <w:lang w:eastAsia="en-GB"/>
        </w:rPr>
        <w:t>kg, gavo 0,3</w:t>
      </w:r>
      <w:r>
        <w:rPr>
          <w:rFonts w:ascii="Times New Roman" w:eastAsia="MS Mincho" w:hAnsi="Times New Roman"/>
        </w:rPr>
        <w:t> </w:t>
      </w:r>
      <w:r>
        <w:rPr>
          <w:rFonts w:ascii="Times New Roman" w:eastAsia="Verdana" w:hAnsi="Times New Roman"/>
          <w:snapToGrid w:val="0"/>
          <w:lang w:eastAsia="en-GB"/>
        </w:rPr>
        <w:t>mg/kg olmesartano medoksomilis vieną kartą per parą tris savaites dalyvavo atvirame etape ir tada atsitiktiniu būdu buvo suskirstyti gauti olmesartano medoksomilį arba placebą dvigubai aklu etapas. Ties antrą savaitę atsisakyti pabaigoje, vidutinis sistolinis / diastolinis kraujospūdis ne lovio buvo 3/3</w:t>
      </w:r>
      <w:r>
        <w:rPr>
          <w:rFonts w:ascii="Times New Roman" w:eastAsia="MS Mincho" w:hAnsi="Times New Roman"/>
        </w:rPr>
        <w:t> </w:t>
      </w:r>
      <w:r>
        <w:rPr>
          <w:rFonts w:ascii="Times New Roman" w:eastAsia="Verdana" w:hAnsi="Times New Roman"/>
          <w:snapToGrid w:val="0"/>
          <w:lang w:eastAsia="en-GB"/>
        </w:rPr>
        <w:t>mmHg mažesnis grupė atsitiktiniu būdu olmesartano medoksomilis; šis skirtumas kraujospūdžio nebuvo statistiškai reikšmingas (95</w:t>
      </w:r>
      <w:r>
        <w:rPr>
          <w:rFonts w:ascii="Times New Roman" w:eastAsia="MS Mincho" w:hAnsi="Times New Roman"/>
        </w:rPr>
        <w:t> </w:t>
      </w:r>
      <w:r>
        <w:rPr>
          <w:rFonts w:ascii="Times New Roman" w:eastAsia="Verdana" w:hAnsi="Times New Roman"/>
          <w:snapToGrid w:val="0"/>
          <w:lang w:eastAsia="en-GB"/>
        </w:rPr>
        <w:t>% BP -2 7 / -1 iki 7).</w:t>
      </w:r>
    </w:p>
    <w:p w:rsidR="00444C66" w:rsidRDefault="00444C66">
      <w:pPr>
        <w:widowControl w:val="0"/>
        <w:tabs>
          <w:tab w:val="left" w:pos="567"/>
        </w:tabs>
        <w:spacing w:after="0" w:line="240" w:lineRule="auto"/>
        <w:ind w:left="567" w:hanging="567"/>
        <w:rPr>
          <w:rFonts w:ascii="Times New Roman" w:eastAsia="Times New Roman" w:hAnsi="Times New Roman"/>
          <w:b/>
          <w:lang w:eastAsia="sl-SI"/>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5.2</w:t>
      </w:r>
      <w:r>
        <w:rPr>
          <w:rFonts w:ascii="Times New Roman" w:hAnsi="Times New Roman"/>
          <w:b/>
        </w:rPr>
        <w:tab/>
        <w:t>Farmakokinetinės savybės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Absorbcija ir pasiskirstymas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Olmesartano medoksomilis yra veikliosios medžiagos pirmtakas. Absorbcijos iš virškinimo trakto metu, veikiant žarnų gleivinės ir vartų venos kraujo esterazėms, jis greitai konvertuojamas į farmakologiškai aktyvų metabolitą olmesartaną.</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Nepakitusio olmesartano medoksomilio ar nepakitusios šoninės grandinės medoksomilio plazmoje ar organizmo išskyrose nerandama. Geriamųjų tablečių pavidalu vartojamo olmesartano vidutinis biologinis prieinamumas yra 25,6</w:t>
      </w:r>
      <w:r>
        <w:rPr>
          <w:rFonts w:ascii="Times New Roman" w:eastAsia="MS Mincho" w:hAnsi="Times New Roman"/>
        </w:rPr>
        <w:t> </w:t>
      </w:r>
      <w:r>
        <w:rPr>
          <w:rFonts w:ascii="Times New Roman" w:hAnsi="Times New Roman"/>
        </w:rPr>
        <w:t>%.</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Vidutinė didžiausia olmesartano koncentracija plazmoje (C</w:t>
      </w:r>
      <w:r>
        <w:rPr>
          <w:rFonts w:ascii="Times New Roman" w:hAnsi="Times New Roman"/>
          <w:vertAlign w:val="subscript"/>
        </w:rPr>
        <w:t>max</w:t>
      </w:r>
      <w:r>
        <w:rPr>
          <w:rFonts w:ascii="Times New Roman" w:hAnsi="Times New Roman"/>
        </w:rPr>
        <w:t>), pasiekiama maždaug per 2</w:t>
      </w:r>
      <w:r>
        <w:rPr>
          <w:rFonts w:ascii="Times New Roman" w:eastAsia="MS Mincho" w:hAnsi="Times New Roman"/>
        </w:rPr>
        <w:t> </w:t>
      </w:r>
      <w:r>
        <w:rPr>
          <w:rFonts w:ascii="Times New Roman" w:hAnsi="Times New Roman"/>
        </w:rPr>
        <w:t>val. po olmesartano medoksomilio išgėrimo. Didinant vieną kartą per parą vartojamas dozes iki maždaug iki 80 mg, olmesartano koncentracija plazmoje didėja maždaug linijiniu būdu.</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Maisto įtaka olmesartano biologiniam prieinamumui yra minimali, todėl olmesartano medoksomilį galima vartoti valgant arba be maisto.</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Kliniškai reikšmingų olmesartano farmakokinetikos skirtumų tarp lyčių nepastebėta.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Olmesartanas stipriai susijungia su plazmos baltymais (99,7</w:t>
      </w:r>
      <w:r>
        <w:rPr>
          <w:rFonts w:ascii="Times New Roman" w:eastAsia="MS Mincho" w:hAnsi="Times New Roman"/>
        </w:rPr>
        <w:t> </w:t>
      </w:r>
      <w:r>
        <w:rPr>
          <w:rFonts w:ascii="Times New Roman" w:hAnsi="Times New Roman"/>
        </w:rPr>
        <w:t>%), bet kliniškai reikšmingos olmesartano sąveikos dėl išstūmimo iš jungties su kartu vartojamais kitais vaistiniais preparatais, kurių didelė dalis prisijungia prie baltymų, tikimybė yra maža (tai patvirtina duomenys, kad nepasireiškė kliniškai reikšminga olmesartano medoksomilio sąveika su varfarinu). Olmesartano susijungimas su kraujo ląstelėmis yra nereikšmingas. Sušvirkštus vaistinio preparato dozę į veną, vidutinis pasiskirstymo tūris yra mažas (16</w:t>
      </w:r>
      <w:r>
        <w:rPr>
          <w:rFonts w:ascii="Times New Roman" w:hAnsi="Times New Roman"/>
        </w:rPr>
        <w:noBreakHyphen/>
        <w:t>29 l).</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Biotransformacija ir eliminacija</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Bendras klirensas iš plazmos paprastai buvo 1,3 l/val. (CV, 19</w:t>
      </w:r>
      <w:r>
        <w:rPr>
          <w:rFonts w:ascii="Times New Roman" w:eastAsia="MS Mincho" w:hAnsi="Times New Roman"/>
        </w:rPr>
        <w:t> </w:t>
      </w:r>
      <w:r>
        <w:rPr>
          <w:rFonts w:ascii="Times New Roman" w:hAnsi="Times New Roman"/>
        </w:rPr>
        <w:t>%) ir buvo palyginti lėtas, palyginti su kraujotaka kepenyse (maždaug 90 l/val.). Išgėrus vienkartinę žymėtojo 14C olmesartano medoksomilio dozę, 10</w:t>
      </w:r>
      <w:r>
        <w:rPr>
          <w:rFonts w:ascii="Times New Roman" w:hAnsi="Times New Roman"/>
        </w:rPr>
        <w:noBreakHyphen/>
        <w:t>16</w:t>
      </w:r>
      <w:r>
        <w:rPr>
          <w:rFonts w:ascii="Times New Roman" w:eastAsia="MS Mincho" w:hAnsi="Times New Roman"/>
        </w:rPr>
        <w:t> </w:t>
      </w:r>
      <w:r>
        <w:rPr>
          <w:rFonts w:ascii="Times New Roman" w:hAnsi="Times New Roman"/>
        </w:rPr>
        <w:t>% bendrojo radioaktyvumo pasišalino su šlapimu (didžiausia dalis per 24 valandas po dozės pavartojimo), o kita dalis radioaktyvumo su išmatomis. Atsižvelgiant į sisteminį 25,6</w:t>
      </w:r>
      <w:r>
        <w:rPr>
          <w:rFonts w:ascii="Times New Roman" w:eastAsia="MS Mincho" w:hAnsi="Times New Roman"/>
        </w:rPr>
        <w:t> </w:t>
      </w:r>
      <w:r>
        <w:rPr>
          <w:rFonts w:ascii="Times New Roman" w:hAnsi="Times New Roman"/>
        </w:rPr>
        <w:t>% prieinamumą, galima apskaičiuoti, kad absorbuotas olmesartanas šalinamas ir per inkstus (maždaug 40</w:t>
      </w:r>
      <w:r>
        <w:rPr>
          <w:rFonts w:ascii="Times New Roman" w:eastAsia="MS Mincho" w:hAnsi="Times New Roman"/>
        </w:rPr>
        <w:t> </w:t>
      </w:r>
      <w:r>
        <w:rPr>
          <w:rFonts w:ascii="Times New Roman" w:hAnsi="Times New Roman"/>
        </w:rPr>
        <w:t>%), ir su tulžimi per kepenis (maždaug 60</w:t>
      </w:r>
      <w:r>
        <w:rPr>
          <w:rFonts w:ascii="Times New Roman" w:eastAsia="MS Mincho" w:hAnsi="Times New Roman"/>
        </w:rPr>
        <w:t> </w:t>
      </w:r>
      <w:r>
        <w:rPr>
          <w:rFonts w:ascii="Times New Roman" w:hAnsi="Times New Roman"/>
        </w:rPr>
        <w:t>%). Visa pašalinta radioaktyvioji medžiaga buvo olmesartanas. Kitų svarbių metabolitų nenustatyta. Olmesartano enterohepatinė cirkuliacija yra minimali. Didelė dalis olmesartano šalinama iš organizmo su tulžimi, todėl šio vaistinio preparato negalima vartoti pacientams, kuriems nustatyta tulžies latakų obstrukcija (žr. 4.3</w:t>
      </w:r>
      <w:r>
        <w:rPr>
          <w:rFonts w:ascii="Times New Roman" w:eastAsia="MS Mincho" w:hAnsi="Times New Roman"/>
        </w:rPr>
        <w:t> </w:t>
      </w:r>
      <w:r>
        <w:rPr>
          <w:rFonts w:ascii="Times New Roman" w:hAnsi="Times New Roman"/>
        </w:rPr>
        <w:t>skyrių).</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Vartojant kartotines vaistinio preparato dozes per burną, galutinis pusinės olmesartano eliminacijos periodas trunka 10</w:t>
      </w:r>
      <w:r>
        <w:rPr>
          <w:rFonts w:ascii="Times New Roman" w:hAnsi="Times New Roman"/>
        </w:rPr>
        <w:noBreakHyphen/>
        <w:t>15 val. Pusiausvyros apykaita buvo pasiekta po kelių pirmųjų dozių ir, 14</w:t>
      </w:r>
      <w:r>
        <w:rPr>
          <w:rFonts w:ascii="Times New Roman" w:eastAsia="MS Mincho" w:hAnsi="Times New Roman"/>
        </w:rPr>
        <w:t> </w:t>
      </w:r>
      <w:r>
        <w:rPr>
          <w:rFonts w:ascii="Times New Roman" w:hAnsi="Times New Roman"/>
        </w:rPr>
        <w:t>parų vartojant kartotines dozes, vaistinio preparato organizme nesikaupė. Klirensas per inkstus buvo maždaug 0,5</w:t>
      </w:r>
      <w:r>
        <w:rPr>
          <w:rFonts w:ascii="Times New Roman" w:hAnsi="Times New Roman"/>
        </w:rPr>
        <w:noBreakHyphen/>
        <w:t>0,7 l/val. ir nepriklausė nuo dozės.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Farmakokinetika specialių grupių pacientų organizme</w:t>
      </w:r>
    </w:p>
    <w:p w:rsidR="00444C66" w:rsidRDefault="00444C66">
      <w:pPr>
        <w:widowControl w:val="0"/>
        <w:spacing w:after="0" w:line="240" w:lineRule="auto"/>
        <w:rPr>
          <w:rFonts w:ascii="Times New Roman" w:hAnsi="Times New Roman"/>
        </w:rPr>
      </w:pPr>
      <w:r>
        <w:rPr>
          <w:rFonts w:ascii="Times New Roman" w:hAnsi="Times New Roman"/>
          <w:i/>
        </w:rPr>
        <w:t>Senyviems pacientams (65</w:t>
      </w:r>
      <w:r>
        <w:rPr>
          <w:rFonts w:ascii="Times New Roman" w:eastAsia="MS Mincho" w:hAnsi="Times New Roman"/>
        </w:rPr>
        <w:t> </w:t>
      </w:r>
      <w:r>
        <w:rPr>
          <w:rFonts w:ascii="Times New Roman" w:hAnsi="Times New Roman"/>
          <w:i/>
        </w:rPr>
        <w:t>metų ir vyresniems)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Hipertenzija sergančių senyvų pacientų (65</w:t>
      </w:r>
      <w:r>
        <w:rPr>
          <w:rFonts w:ascii="Times New Roman" w:hAnsi="Times New Roman"/>
        </w:rPr>
        <w:noBreakHyphen/>
        <w:t>75 metų) organizme pusiausvyros apykaitos sąlygomis AUC padidėjo maždaug 35</w:t>
      </w:r>
      <w:r>
        <w:rPr>
          <w:rFonts w:ascii="Times New Roman" w:eastAsia="MS Mincho" w:hAnsi="Times New Roman"/>
        </w:rPr>
        <w:t> </w:t>
      </w:r>
      <w:r>
        <w:rPr>
          <w:rFonts w:ascii="Times New Roman" w:hAnsi="Times New Roman"/>
        </w:rPr>
        <w:t>%, dar vyresnių (75 metų ir vyresnių) maždaug 44</w:t>
      </w:r>
      <w:r>
        <w:rPr>
          <w:rFonts w:ascii="Times New Roman" w:eastAsia="MS Mincho" w:hAnsi="Times New Roman"/>
        </w:rPr>
        <w:t> </w:t>
      </w:r>
      <w:r>
        <w:rPr>
          <w:rFonts w:ascii="Times New Roman" w:hAnsi="Times New Roman"/>
        </w:rPr>
        <w:t>%, palyginti su jaunesnio amžiaus grupės pacientais. Tai bent iš dalies gali būti susiję su vidutinio sunkumo inkstų funkcijos sutrikimu šioje pacientų grupėje.</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i/>
        </w:rPr>
      </w:pPr>
      <w:r>
        <w:rPr>
          <w:rFonts w:ascii="Times New Roman" w:hAnsi="Times New Roman"/>
          <w:i/>
        </w:rPr>
        <w:t>Sutrikusi inkstų funkcija</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Pacientų, kurie serga lengvu, vidutinio sunkumo ar sunkiu inkstų funkcijos sutrikimu, organizme pusiausvyros apykaitos sąlygomis AUC padidėjo atitinkamai 62</w:t>
      </w:r>
      <w:r>
        <w:rPr>
          <w:rFonts w:ascii="Times New Roman" w:eastAsia="MS Mincho" w:hAnsi="Times New Roman"/>
        </w:rPr>
        <w:t> </w:t>
      </w:r>
      <w:r>
        <w:rPr>
          <w:rFonts w:ascii="Times New Roman" w:hAnsi="Times New Roman"/>
        </w:rPr>
        <w:t>%, 82</w:t>
      </w:r>
      <w:r>
        <w:rPr>
          <w:rFonts w:ascii="Times New Roman" w:eastAsia="MS Mincho" w:hAnsi="Times New Roman"/>
        </w:rPr>
        <w:t> </w:t>
      </w:r>
      <w:r>
        <w:rPr>
          <w:rFonts w:ascii="Times New Roman" w:hAnsi="Times New Roman"/>
        </w:rPr>
        <w:t>% ir 179</w:t>
      </w:r>
      <w:r>
        <w:rPr>
          <w:rFonts w:ascii="Times New Roman" w:eastAsia="MS Mincho" w:hAnsi="Times New Roman"/>
        </w:rPr>
        <w:t> </w:t>
      </w:r>
      <w:r>
        <w:rPr>
          <w:rFonts w:ascii="Times New Roman" w:hAnsi="Times New Roman"/>
        </w:rPr>
        <w:t>%, palyginti su sveikų kontrolinės grupės asmenų (žr. 4.2 ir 4.4</w:t>
      </w:r>
      <w:r>
        <w:rPr>
          <w:rFonts w:ascii="Times New Roman" w:eastAsia="MS Mincho" w:hAnsi="Times New Roman"/>
        </w:rPr>
        <w:t> </w:t>
      </w:r>
      <w:r>
        <w:rPr>
          <w:rFonts w:ascii="Times New Roman" w:hAnsi="Times New Roman"/>
        </w:rPr>
        <w:t>skyrius).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i/>
        </w:rPr>
      </w:pPr>
      <w:r>
        <w:rPr>
          <w:rFonts w:ascii="Times New Roman" w:hAnsi="Times New Roman"/>
          <w:i/>
        </w:rPr>
        <w:t>Sutrikusi kepenų funkcija</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Pavartojus olmesartano per burną vieną kartą, olmesartano AUC rodmenys lengvo ar vidutinio kepenų </w:t>
      </w:r>
      <w:r>
        <w:rPr>
          <w:rFonts w:ascii="Times New Roman" w:hAnsi="Times New Roman"/>
        </w:rPr>
        <w:lastRenderedPageBreak/>
        <w:t>funkcijos sutrikimo atveju buvo atitinkamai 6</w:t>
      </w:r>
      <w:r>
        <w:rPr>
          <w:rFonts w:ascii="Times New Roman" w:eastAsia="MS Mincho" w:hAnsi="Times New Roman"/>
        </w:rPr>
        <w:t> </w:t>
      </w:r>
      <w:r>
        <w:rPr>
          <w:rFonts w:ascii="Times New Roman" w:hAnsi="Times New Roman"/>
        </w:rPr>
        <w:t>% ir 65</w:t>
      </w:r>
      <w:r>
        <w:rPr>
          <w:rFonts w:ascii="Times New Roman" w:eastAsia="MS Mincho" w:hAnsi="Times New Roman"/>
        </w:rPr>
        <w:t> </w:t>
      </w:r>
      <w:r>
        <w:rPr>
          <w:rFonts w:ascii="Times New Roman" w:hAnsi="Times New Roman"/>
        </w:rPr>
        <w:t>% didesni, su sveikų kontrolinės grupės asmenų. Neprisijungusio olmesartano frakcija praėjus 2 valandoms po vaistinio preparato pavartojimo sveikų asmenų, pacientų, sergančių lengvu kepenų funkcijos sutrikimu, ar pacientų, sergančių vidutinio sunkumo kepenų funkcijos sutrikimu, organizme buvo atitinkamai 0,26</w:t>
      </w:r>
      <w:r>
        <w:rPr>
          <w:rFonts w:ascii="Times New Roman" w:eastAsia="MS Mincho" w:hAnsi="Times New Roman"/>
        </w:rPr>
        <w:t> </w:t>
      </w:r>
      <w:r>
        <w:rPr>
          <w:rFonts w:ascii="Times New Roman" w:hAnsi="Times New Roman"/>
        </w:rPr>
        <w:t>%, 0,34</w:t>
      </w:r>
      <w:r>
        <w:rPr>
          <w:rFonts w:ascii="Times New Roman" w:eastAsia="MS Mincho" w:hAnsi="Times New Roman"/>
        </w:rPr>
        <w:t> </w:t>
      </w:r>
      <w:r>
        <w:rPr>
          <w:rFonts w:ascii="Times New Roman" w:hAnsi="Times New Roman"/>
        </w:rPr>
        <w:t>% ir 0,41</w:t>
      </w:r>
      <w:r>
        <w:rPr>
          <w:rFonts w:ascii="Times New Roman" w:eastAsia="MS Mincho" w:hAnsi="Times New Roman"/>
        </w:rPr>
        <w:t> </w:t>
      </w:r>
      <w:r>
        <w:rPr>
          <w:rFonts w:ascii="Times New Roman" w:hAnsi="Times New Roman"/>
        </w:rPr>
        <w:t>%. Vartojant kartotines dozes pacientams, kurie serga vidutinio sunkumo kepenų funkcijos sutrikimu, vidutinė olmesartano AUC buvo maždaug 65</w:t>
      </w:r>
      <w:r>
        <w:rPr>
          <w:rFonts w:ascii="Times New Roman" w:eastAsia="MS Mincho" w:hAnsi="Times New Roman"/>
        </w:rPr>
        <w:t> </w:t>
      </w:r>
      <w:r>
        <w:rPr>
          <w:rFonts w:ascii="Times New Roman" w:hAnsi="Times New Roman"/>
        </w:rPr>
        <w:t>% didesnė, palyginti su sveikų asmenų. Vidutinė olmesartano C</w:t>
      </w:r>
      <w:r>
        <w:rPr>
          <w:rFonts w:ascii="Times New Roman" w:hAnsi="Times New Roman"/>
          <w:vertAlign w:val="subscript"/>
        </w:rPr>
        <w:t>max</w:t>
      </w:r>
      <w:r>
        <w:rPr>
          <w:rFonts w:ascii="Times New Roman" w:hAnsi="Times New Roman"/>
        </w:rPr>
        <w:t xml:space="preserve"> pacientų, kurių kepenų funkcija sutrikusi, organizme buvo panaši į sveikų asmenų. Olmesartano medoksomilio tyrimų su pacientais, kurie serga sunkiu kepenų funkcijos sutrikimu, neatlikta (žr. 4.2 ir 4.4</w:t>
      </w:r>
      <w:r>
        <w:rPr>
          <w:rFonts w:ascii="Times New Roman" w:eastAsia="MS Mincho" w:hAnsi="Times New Roman"/>
        </w:rPr>
        <w:t> </w:t>
      </w:r>
      <w:r>
        <w:rPr>
          <w:rFonts w:ascii="Times New Roman" w:hAnsi="Times New Roman"/>
        </w:rPr>
        <w:t>skyrius).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Vaikų populiacija</w:t>
      </w: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Olmesartano farmakokinetika tirta hipertenzija sergantiems vaikams nuo 1 iki 16 metų. Vaikų Olmesartano klirensas buvo panašus į suaugusių pacientų, pakoreguotą pagal kūno svorio.</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Nėra farmakokinetinės informacijos apie vaikus, kurių inkstų funkcija sutrikusi.</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Vaistų sąveika</w:t>
      </w: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Tulžies rūgštis surišantis vaistinis preparatas kolesevelamas</w:t>
      </w:r>
    </w:p>
    <w:p w:rsidR="00444C66" w:rsidRDefault="00444C66">
      <w:pPr>
        <w:widowControl w:val="0"/>
        <w:tabs>
          <w:tab w:val="left" w:pos="540"/>
          <w:tab w:val="left" w:pos="2127"/>
          <w:tab w:val="left" w:pos="2977"/>
        </w:tabs>
        <w:spacing w:after="0" w:line="240" w:lineRule="auto"/>
        <w:rPr>
          <w:rFonts w:ascii="Times New Roman" w:eastAsia="Times New Roman" w:hAnsi="Times New Roman"/>
          <w:color w:val="000000"/>
        </w:rPr>
      </w:pPr>
      <w:r>
        <w:rPr>
          <w:rFonts w:ascii="Times New Roman" w:eastAsia="Times New Roman" w:hAnsi="Times New Roman"/>
          <w:iCs/>
          <w:color w:val="000000"/>
          <w:spacing w:val="-3"/>
          <w:shd w:val="clear" w:color="auto" w:fill="FFFFFF"/>
        </w:rPr>
        <w:t>Kai sveiki žmonės vartojo 40</w:t>
      </w:r>
      <w:r>
        <w:rPr>
          <w:rFonts w:ascii="Times New Roman" w:eastAsia="MS Mincho" w:hAnsi="Times New Roman"/>
        </w:rPr>
        <w:t> </w:t>
      </w:r>
      <w:r>
        <w:rPr>
          <w:rFonts w:ascii="Times New Roman" w:eastAsia="Times New Roman" w:hAnsi="Times New Roman"/>
          <w:iCs/>
          <w:color w:val="000000"/>
          <w:spacing w:val="-3"/>
          <w:shd w:val="clear" w:color="auto" w:fill="FFFFFF"/>
        </w:rPr>
        <w:t>mg olmesartano medoksomilio kartu su 3750</w:t>
      </w:r>
      <w:r>
        <w:rPr>
          <w:rFonts w:ascii="Times New Roman" w:eastAsia="MS Mincho" w:hAnsi="Times New Roman"/>
        </w:rPr>
        <w:t> </w:t>
      </w:r>
      <w:r>
        <w:rPr>
          <w:rFonts w:ascii="Times New Roman" w:eastAsia="Times New Roman" w:hAnsi="Times New Roman"/>
          <w:iCs/>
          <w:color w:val="000000"/>
          <w:spacing w:val="-3"/>
          <w:shd w:val="clear" w:color="auto" w:fill="FFFFFF"/>
        </w:rPr>
        <w:t>mg kolesevelamo hidrochloridu, tai 28</w:t>
      </w:r>
      <w:r>
        <w:rPr>
          <w:rFonts w:ascii="Times New Roman" w:eastAsia="MS Mincho" w:hAnsi="Times New Roman"/>
        </w:rPr>
        <w:t> </w:t>
      </w:r>
      <w:r>
        <w:rPr>
          <w:rFonts w:ascii="Times New Roman" w:eastAsia="Times New Roman" w:hAnsi="Times New Roman"/>
          <w:iCs/>
          <w:color w:val="000000"/>
          <w:spacing w:val="-3"/>
          <w:shd w:val="clear" w:color="auto" w:fill="FFFFFF"/>
        </w:rPr>
        <w:t>% sumažino maksimalią olmesartano plazmos koncentraciją ir 39</w:t>
      </w:r>
      <w:r>
        <w:rPr>
          <w:rFonts w:ascii="Times New Roman" w:eastAsia="MS Mincho" w:hAnsi="Times New Roman"/>
        </w:rPr>
        <w:t> </w:t>
      </w:r>
      <w:r>
        <w:rPr>
          <w:rFonts w:ascii="Times New Roman" w:eastAsia="Times New Roman" w:hAnsi="Times New Roman"/>
          <w:iCs/>
          <w:color w:val="000000"/>
          <w:spacing w:val="-3"/>
          <w:shd w:val="clear" w:color="auto" w:fill="FFFFFF"/>
        </w:rPr>
        <w:t>% jo biologinį prieinamumą. Kai olmesartano buvo vartojama bent 4</w:t>
      </w:r>
      <w:r>
        <w:rPr>
          <w:rFonts w:ascii="Times New Roman" w:eastAsia="MS Mincho" w:hAnsi="Times New Roman"/>
        </w:rPr>
        <w:t> </w:t>
      </w:r>
      <w:r>
        <w:rPr>
          <w:rFonts w:ascii="Times New Roman" w:eastAsia="Times New Roman" w:hAnsi="Times New Roman"/>
          <w:iCs/>
          <w:color w:val="000000"/>
          <w:spacing w:val="-3"/>
          <w:shd w:val="clear" w:color="auto" w:fill="FFFFFF"/>
        </w:rPr>
        <w:t>val. prieš kolesevelamo hidrochloridą, minėta sąveika buvo mažesnė (maksimali plazmos koncentracija sumažėjo tik 4</w:t>
      </w:r>
      <w:r>
        <w:rPr>
          <w:rFonts w:ascii="Times New Roman" w:eastAsia="MS Mincho" w:hAnsi="Times New Roman"/>
        </w:rPr>
        <w:t> </w:t>
      </w:r>
      <w:r>
        <w:rPr>
          <w:rFonts w:ascii="Times New Roman" w:eastAsia="Times New Roman" w:hAnsi="Times New Roman"/>
          <w:iCs/>
          <w:color w:val="000000"/>
          <w:spacing w:val="-3"/>
          <w:shd w:val="clear" w:color="auto" w:fill="FFFFFF"/>
        </w:rPr>
        <w:t>%, o biologinis prieinamumas 15</w:t>
      </w:r>
      <w:r>
        <w:rPr>
          <w:rFonts w:ascii="Times New Roman" w:eastAsia="MS Mincho" w:hAnsi="Times New Roman"/>
        </w:rPr>
        <w:t> </w:t>
      </w:r>
      <w:r>
        <w:rPr>
          <w:rFonts w:ascii="Times New Roman" w:eastAsia="Times New Roman" w:hAnsi="Times New Roman"/>
          <w:iCs/>
          <w:color w:val="000000"/>
          <w:spacing w:val="-3"/>
          <w:shd w:val="clear" w:color="auto" w:fill="FFFFFF"/>
        </w:rPr>
        <w:t>%).</w:t>
      </w:r>
      <w:r>
        <w:rPr>
          <w:rFonts w:ascii="Times New Roman" w:eastAsia="Times New Roman" w:hAnsi="Times New Roman"/>
          <w:color w:val="000000"/>
        </w:rPr>
        <w:t xml:space="preserve"> </w:t>
      </w:r>
      <w:r>
        <w:rPr>
          <w:rFonts w:ascii="Times New Roman" w:eastAsia="Times New Roman" w:hAnsi="Times New Roman"/>
          <w:lang w:eastAsia="sl-SI"/>
        </w:rPr>
        <w:t>Olmesartano pusinės eliminacijos laikas buvo sumažintas 50 - 52</w:t>
      </w:r>
      <w:r>
        <w:rPr>
          <w:rFonts w:ascii="Times New Roman" w:eastAsia="MS Mincho" w:hAnsi="Times New Roman"/>
        </w:rPr>
        <w:t> </w:t>
      </w:r>
      <w:r>
        <w:rPr>
          <w:rFonts w:ascii="Times New Roman" w:eastAsia="Times New Roman" w:hAnsi="Times New Roman"/>
          <w:lang w:eastAsia="sl-SI"/>
        </w:rPr>
        <w:t>%, nepriklausomai nuo to ar buvo vartojama kartu ar 4</w:t>
      </w:r>
      <w:r>
        <w:rPr>
          <w:rFonts w:ascii="Times New Roman" w:eastAsia="MS Mincho" w:hAnsi="Times New Roman"/>
        </w:rPr>
        <w:t> </w:t>
      </w:r>
      <w:r>
        <w:rPr>
          <w:rFonts w:ascii="Times New Roman" w:eastAsia="Times New Roman" w:hAnsi="Times New Roman"/>
          <w:lang w:eastAsia="sl-SI"/>
        </w:rPr>
        <w:t xml:space="preserve">valandas prieš </w:t>
      </w:r>
      <w:r>
        <w:rPr>
          <w:rFonts w:ascii="Times New Roman" w:eastAsia="Times New Roman" w:hAnsi="Times New Roman"/>
          <w:iCs/>
          <w:color w:val="000000"/>
          <w:spacing w:val="-3"/>
          <w:shd w:val="clear" w:color="auto" w:fill="FFFFFF"/>
        </w:rPr>
        <w:t>kolesevelamo hidrochloridą</w:t>
      </w:r>
      <w:r>
        <w:rPr>
          <w:rFonts w:ascii="Times New Roman" w:eastAsia="Times New Roman" w:hAnsi="Times New Roman"/>
          <w:lang w:eastAsia="sl-SI"/>
        </w:rPr>
        <w:t xml:space="preserve"> </w:t>
      </w:r>
      <w:r>
        <w:rPr>
          <w:rFonts w:ascii="Times New Roman" w:eastAsia="Times New Roman" w:hAnsi="Times New Roman"/>
          <w:iCs/>
          <w:color w:val="000000"/>
          <w:spacing w:val="-3"/>
          <w:shd w:val="clear" w:color="auto" w:fill="FFFFFF"/>
        </w:rPr>
        <w:t>(žr. 4.5</w:t>
      </w:r>
      <w:r>
        <w:rPr>
          <w:rFonts w:ascii="Times New Roman" w:eastAsia="MS Mincho" w:hAnsi="Times New Roman"/>
        </w:rPr>
        <w:t> </w:t>
      </w:r>
      <w:r>
        <w:rPr>
          <w:rFonts w:ascii="Times New Roman" w:eastAsia="Times New Roman" w:hAnsi="Times New Roman"/>
          <w:iCs/>
          <w:color w:val="000000"/>
          <w:spacing w:val="-3"/>
          <w:shd w:val="clear" w:color="auto" w:fill="FFFFFF"/>
        </w:rPr>
        <w:t>skyrių).</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5.3</w:t>
      </w:r>
      <w:r>
        <w:rPr>
          <w:rFonts w:ascii="Times New Roman" w:hAnsi="Times New Roman"/>
          <w:b/>
        </w:rPr>
        <w:tab/>
        <w:t>Ikiklinikinių saugumo tyrimų duomenys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Toksinio kartotinių dozių tyrimų su žiurkėmis ir šunimis duomenimis, olmesartano medoksomilio poveikis buvo panašus kitų AT</w:t>
      </w:r>
      <w:r>
        <w:rPr>
          <w:rFonts w:ascii="Times New Roman" w:hAnsi="Times New Roman"/>
          <w:vertAlign w:val="subscript"/>
        </w:rPr>
        <w:t>1</w:t>
      </w:r>
      <w:r>
        <w:rPr>
          <w:rFonts w:ascii="Times New Roman" w:hAnsi="Times New Roman"/>
        </w:rPr>
        <w:t xml:space="preserve"> receptorių antagonistų ir AKF inhibitorių: padidėjo šlapalo ir kreatinino koncentracijos kraujyje (dėl inkstų funkcijos pokyčių blokavus AT</w:t>
      </w:r>
      <w:r>
        <w:rPr>
          <w:rFonts w:ascii="Times New Roman" w:hAnsi="Times New Roman"/>
          <w:vertAlign w:val="subscript"/>
        </w:rPr>
        <w:t>1</w:t>
      </w:r>
      <w:r>
        <w:rPr>
          <w:rFonts w:ascii="Times New Roman" w:hAnsi="Times New Roman"/>
        </w:rPr>
        <w:t xml:space="preserve"> receptorius), sumažėjo širdies svoris, sumažėjo raudonųjų kraujo ląstelių rodmenys (eritrocitų kiekis, hemoglobino koncentracija, hematokritas), histologiniai inkstų pažaidos požymiai (regeneracinė inkstų epitelio pažaida, bazinės membranos suplonėjimas, inkstų kanalėlių išsiplėtimas). Toks nepageidaujamas poveikis, kuris pasireiškė dėl olmesartano medoksomilio farmakologinio poveikio, buvo nustatytas ir ikiklinikinių kitų AT</w:t>
      </w:r>
      <w:r>
        <w:rPr>
          <w:rFonts w:ascii="Times New Roman" w:hAnsi="Times New Roman"/>
          <w:vertAlign w:val="subscript"/>
        </w:rPr>
        <w:t>1</w:t>
      </w:r>
      <w:r>
        <w:rPr>
          <w:rFonts w:ascii="Times New Roman" w:hAnsi="Times New Roman"/>
        </w:rPr>
        <w:t xml:space="preserve"> receptorių blokatorių ir AKF inhibitorių tyrimų metu ir jį galima sumažinti, per burną kartu vartojant natrio chlorido.</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Abiejų rūšių gyvūnų plazmoje padidėjo renino aktyvumas ir pasireiškė inkstų jukstaglomerulinių ląstelių hipertrofija ar hiperplazija. Manoma, kad šie pokyčiai, kurie yra būdingi ir kitiems AKF inhibitoriams bei AT</w:t>
      </w:r>
      <w:r>
        <w:rPr>
          <w:rFonts w:ascii="Times New Roman" w:hAnsi="Times New Roman"/>
          <w:vertAlign w:val="subscript"/>
        </w:rPr>
        <w:t>1</w:t>
      </w:r>
      <w:r>
        <w:rPr>
          <w:rFonts w:ascii="Times New Roman" w:hAnsi="Times New Roman"/>
        </w:rPr>
        <w:t xml:space="preserve"> receptorių blokatoriams, neturi klinikinės reikšmės.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Olmesartano medoksomilis, kaip ir kiti AT</w:t>
      </w:r>
      <w:r>
        <w:rPr>
          <w:rFonts w:ascii="Times New Roman" w:hAnsi="Times New Roman"/>
          <w:vertAlign w:val="subscript"/>
        </w:rPr>
        <w:t>1</w:t>
      </w:r>
      <w:r>
        <w:rPr>
          <w:rFonts w:ascii="Times New Roman" w:hAnsi="Times New Roman"/>
        </w:rPr>
        <w:t xml:space="preserve"> receptorių blokatoriai, nedažnino chromosomų pažaidos ląstelių kultūrose </w:t>
      </w:r>
      <w:r>
        <w:rPr>
          <w:rFonts w:ascii="Times New Roman" w:hAnsi="Times New Roman"/>
          <w:i/>
        </w:rPr>
        <w:t>in vitro</w:t>
      </w:r>
      <w:r>
        <w:rPr>
          <w:rFonts w:ascii="Times New Roman" w:hAnsi="Times New Roman"/>
        </w:rPr>
        <w:t xml:space="preserve">. Įvairių tyrimų </w:t>
      </w:r>
      <w:r>
        <w:rPr>
          <w:rFonts w:ascii="Times New Roman" w:hAnsi="Times New Roman"/>
          <w:i/>
        </w:rPr>
        <w:t>in vivo</w:t>
      </w:r>
      <w:r>
        <w:rPr>
          <w:rFonts w:ascii="Times New Roman" w:hAnsi="Times New Roman"/>
        </w:rPr>
        <w:t xml:space="preserve"> metu girdant labai dideles iki 2000 mg/kg kūno svorio olmesartano medoksomilio dozes, reikšmingo poveikio nepastebėta. Visapusiškų genotoksinio poveikio tyrimų duomenys rodo, kad vartojant gydomąsias vaistinio preparato dozes, olmesartano genotoksinio poveikio tikimybė yra maža.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Olmesartano medoksomilis nesukėlė kancerogeninio poveikio nei 2 metus trukusių tyrimų su žiurkėmis, nei 6 mėnesius trukusių tyrimų su transgeninėmis pelėmis metu.</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Reprodukcijos tyrimų su žiurkėmis duomenimis, olmesartano medoksomilis neveikia reprodukcijos ir nesukelia teratogeninio poveikio. Dėl olmesartano medoksomilio, panašiai kaip ir dėl kitokių angiotenzino II receptorių blokatorių, ekspozicijos sumažėjo palikuonių išgyvenamumas, o dėl ekspozicijos patelėms veisimosi pabaigoje ar žindymo laikotarpiu buvo nustatytas jų inkstų geldelių išsiplėtimas. Olmesartano medoksomilis, panašiai kaip ir kiti antihipertenziniai vaistiniai preparatai, buvo labiau toksiškas vaikingoms triušių patelėms nei vaikingoms žiurkių patelėms, vis dėlto toksinio </w:t>
      </w:r>
      <w:r>
        <w:rPr>
          <w:rFonts w:ascii="Times New Roman" w:hAnsi="Times New Roman"/>
        </w:rPr>
        <w:lastRenderedPageBreak/>
        <w:t>poveikio vaisiui nenustatyta.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b/>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6.</w:t>
      </w:r>
      <w:r>
        <w:rPr>
          <w:rFonts w:ascii="Times New Roman" w:hAnsi="Times New Roman"/>
          <w:b/>
        </w:rPr>
        <w:tab/>
        <w:t>FARMACINĖ INFORMACIJA</w:t>
      </w:r>
    </w:p>
    <w:p w:rsidR="00444C66" w:rsidRDefault="00444C66">
      <w:pPr>
        <w:widowControl w:val="0"/>
        <w:tabs>
          <w:tab w:val="left" w:pos="567"/>
        </w:tabs>
        <w:spacing w:after="0" w:line="240" w:lineRule="auto"/>
        <w:rPr>
          <w:rFonts w:ascii="Times New Roman" w:hAnsi="Times New Roman"/>
          <w:b/>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6.1</w:t>
      </w:r>
      <w:r>
        <w:rPr>
          <w:rFonts w:ascii="Times New Roman" w:hAnsi="Times New Roman"/>
          <w:b/>
        </w:rPr>
        <w:tab/>
        <w:t>Pagalbinių medžiagų sąrašas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i/>
          <w:u w:val="single"/>
        </w:rPr>
      </w:pPr>
      <w:r>
        <w:rPr>
          <w:rFonts w:ascii="Times New Roman" w:hAnsi="Times New Roman"/>
          <w:i/>
          <w:u w:val="single"/>
        </w:rPr>
        <w:t>Tabletės branduolys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Mikrokristalinė celiuliozė</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Laktozė monohidratas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Mažai pakeista hidroksipropilceliuliozė</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Magnio stearatas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i/>
          <w:u w:val="single"/>
        </w:rPr>
      </w:pPr>
      <w:r>
        <w:rPr>
          <w:rFonts w:ascii="Times New Roman" w:hAnsi="Times New Roman"/>
          <w:i/>
          <w:u w:val="single"/>
        </w:rPr>
        <w:t>Tabletės plėvelė</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Titano dioksidas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Talkas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Makrogolis 3000</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Dalinai hidrolizuotas polivinilo alkoholis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6.2</w:t>
      </w:r>
      <w:r>
        <w:rPr>
          <w:rFonts w:ascii="Times New Roman" w:hAnsi="Times New Roman"/>
          <w:b/>
        </w:rPr>
        <w:tab/>
        <w:t>Nesuderinamumas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Duomenys nebūtini.</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6.3</w:t>
      </w:r>
      <w:r>
        <w:rPr>
          <w:rFonts w:ascii="Times New Roman" w:hAnsi="Times New Roman"/>
          <w:b/>
        </w:rPr>
        <w:tab/>
        <w:t>Tinkamumo laikas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3 metai.</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6.4</w:t>
      </w:r>
      <w:r>
        <w:rPr>
          <w:rFonts w:ascii="Times New Roman" w:hAnsi="Times New Roman"/>
          <w:b/>
        </w:rPr>
        <w:tab/>
        <w:t>Specialios laikymo sąlygos</w:t>
      </w:r>
    </w:p>
    <w:p w:rsidR="00444C66" w:rsidRDefault="00444C66">
      <w:pPr>
        <w:widowControl w:val="0"/>
        <w:tabs>
          <w:tab w:val="left" w:pos="567"/>
        </w:tabs>
        <w:spacing w:after="0" w:line="240" w:lineRule="auto"/>
        <w:rPr>
          <w:rFonts w:ascii="Times New Roman" w:hAnsi="Times New Roman"/>
          <w:i/>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Šiam vaistiniam preparatui specialių laikymo sąlygų nereikia.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6.5</w:t>
      </w:r>
      <w:r>
        <w:rPr>
          <w:rFonts w:ascii="Times New Roman" w:hAnsi="Times New Roman"/>
          <w:b/>
        </w:rPr>
        <w:tab/>
        <w:t>Talpyklės pobūdis ir jos turinys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OPA/Al/PVC folijos-aliuminio folijos lizdinės plokštelės. Dėžutėje yra 10, 14, 28, 30, 56, 60, 84, 90, 98 arba 100 plėvele dengtų tablečių.</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DTPE tablečių talpyklė su plastikiniu PP užsukamu </w:t>
      </w:r>
      <w:r>
        <w:rPr>
          <w:rFonts w:ascii="Times New Roman" w:eastAsia="Times New Roman" w:hAnsi="Times New Roman"/>
          <w:lang w:eastAsia="sl-SI"/>
        </w:rPr>
        <w:t>dangteliu</w:t>
      </w:r>
      <w:r>
        <w:rPr>
          <w:rFonts w:ascii="Times New Roman" w:hAnsi="Times New Roman"/>
        </w:rPr>
        <w:t xml:space="preserve"> ir sausikliu. Dėžutėje yra 100 plėvele dengtų tablečių.</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Gali būti tiekiamos ne visų dydžių pakuotės.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rPr>
      </w:pPr>
      <w:r>
        <w:rPr>
          <w:rFonts w:ascii="Times New Roman" w:hAnsi="Times New Roman"/>
          <w:b/>
        </w:rPr>
        <w:t>6.6</w:t>
      </w:r>
      <w:r>
        <w:rPr>
          <w:rFonts w:ascii="Times New Roman" w:hAnsi="Times New Roman"/>
          <w:b/>
        </w:rPr>
        <w:tab/>
        <w:t>Specialūs reikalavimai atliekoms tvarkyti ir vaistiniam preparatui ruošti</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Nesuvartotą vaistinį preparatą ar atliekas reikia tvarkyti laikantis vietinių reikalavimų.</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b/>
          <w:lang w:eastAsia="sl-SI"/>
        </w:rPr>
        <w:t>7.</w:t>
      </w:r>
      <w:r>
        <w:rPr>
          <w:rFonts w:ascii="Times New Roman" w:eastAsia="Times New Roman" w:hAnsi="Times New Roman"/>
          <w:b/>
          <w:lang w:eastAsia="sl-SI"/>
        </w:rPr>
        <w:tab/>
      </w:r>
      <w:r>
        <w:rPr>
          <w:rFonts w:ascii="Times New Roman" w:eastAsia="Times New Roman" w:hAnsi="Times New Roman"/>
          <w:b/>
          <w:caps/>
          <w:lang w:eastAsia="sl-SI"/>
        </w:rPr>
        <w:t>REGISTRUOTOJAS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KRKA, d.d., Novo mesto</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Šmarješka cesta 6</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8501 Novo mesto</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Slovėnija</w:t>
      </w:r>
    </w:p>
    <w:p w:rsidR="00444C66" w:rsidRDefault="00444C66">
      <w:pPr>
        <w:widowControl w:val="0"/>
        <w:autoSpaceDE w:val="0"/>
        <w:autoSpaceDN w:val="0"/>
        <w:adjustRightInd w:val="0"/>
        <w:spacing w:after="0" w:line="240" w:lineRule="auto"/>
        <w:jc w:val="both"/>
        <w:rPr>
          <w:rFonts w:ascii="Times New Roman" w:hAnsi="Times New Roman"/>
          <w:highlight w:val="yellow"/>
        </w:rPr>
      </w:pP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caps/>
        </w:rPr>
      </w:pPr>
      <w:r>
        <w:rPr>
          <w:rFonts w:ascii="Times New Roman" w:hAnsi="Times New Roman"/>
          <w:b/>
        </w:rPr>
        <w:t>8.</w:t>
      </w:r>
      <w:r>
        <w:rPr>
          <w:rFonts w:ascii="Times New Roman" w:hAnsi="Times New Roman"/>
          <w:b/>
        </w:rPr>
        <w:tab/>
      </w:r>
      <w:r>
        <w:rPr>
          <w:rFonts w:ascii="Times New Roman" w:eastAsia="Times New Roman" w:hAnsi="Times New Roman"/>
          <w:b/>
          <w:caps/>
          <w:lang w:eastAsia="sl-SI"/>
        </w:rPr>
        <w:t>REGISTRACIJOS</w:t>
      </w:r>
      <w:r>
        <w:rPr>
          <w:rFonts w:ascii="Times New Roman" w:hAnsi="Times New Roman"/>
          <w:b/>
          <w:caps/>
        </w:rPr>
        <w:t xml:space="preserve"> PAŽYMĖJIMO numeris (-IAI)</w:t>
      </w:r>
    </w:p>
    <w:p w:rsidR="00444C66" w:rsidRDefault="00444C66">
      <w:pPr>
        <w:widowControl w:val="0"/>
        <w:tabs>
          <w:tab w:val="left" w:pos="567"/>
        </w:tabs>
        <w:spacing w:after="0" w:line="240" w:lineRule="auto"/>
        <w:rPr>
          <w:rFonts w:ascii="Times New Roman" w:hAnsi="Times New Roman"/>
          <w:i/>
        </w:rPr>
      </w:pPr>
    </w:p>
    <w:tbl>
      <w:tblPr>
        <w:tblW w:w="0" w:type="auto"/>
        <w:tblLook w:val="04A0" w:firstRow="1" w:lastRow="0" w:firstColumn="1" w:lastColumn="0" w:noHBand="0" w:noVBand="1"/>
      </w:tblPr>
      <w:tblGrid>
        <w:gridCol w:w="3023"/>
        <w:gridCol w:w="3024"/>
        <w:gridCol w:w="3024"/>
      </w:tblGrid>
      <w:tr w:rsidR="00444C66">
        <w:tc>
          <w:tcPr>
            <w:tcW w:w="3095" w:type="dxa"/>
            <w:shd w:val="clear" w:color="auto" w:fill="auto"/>
          </w:tcPr>
          <w:p w:rsidR="00444C66" w:rsidRDefault="00444C66">
            <w:pPr>
              <w:widowControl w:val="0"/>
              <w:spacing w:after="0" w:line="240" w:lineRule="auto"/>
              <w:rPr>
                <w:rFonts w:ascii="Times New Roman" w:hAnsi="Times New Roman"/>
              </w:rPr>
            </w:pPr>
            <w:r>
              <w:rPr>
                <w:rFonts w:ascii="Times New Roman" w:hAnsi="Times New Roman"/>
              </w:rPr>
              <w:t>Olimestra 10 mg</w:t>
            </w:r>
          </w:p>
          <w:p w:rsidR="00444C66" w:rsidRDefault="00444C66">
            <w:pPr>
              <w:widowControl w:val="0"/>
              <w:spacing w:after="0" w:line="240" w:lineRule="auto"/>
              <w:rPr>
                <w:rFonts w:ascii="Times New Roman" w:hAnsi="Times New Roman"/>
                <w:u w:val="single"/>
              </w:rPr>
            </w:pPr>
            <w:r>
              <w:rPr>
                <w:rFonts w:ascii="Times New Roman" w:hAnsi="Times New Roman"/>
                <w:u w:val="single"/>
              </w:rPr>
              <w:lastRenderedPageBreak/>
              <w:t>Lizdinė plokštelė:</w:t>
            </w:r>
          </w:p>
          <w:p w:rsidR="00444C66" w:rsidRDefault="00444C66">
            <w:pPr>
              <w:widowControl w:val="0"/>
              <w:spacing w:after="0" w:line="240" w:lineRule="auto"/>
              <w:rPr>
                <w:rFonts w:ascii="Times New Roman" w:hAnsi="Times New Roman"/>
              </w:rPr>
            </w:pPr>
            <w:r>
              <w:rPr>
                <w:rFonts w:ascii="Times New Roman" w:hAnsi="Times New Roman"/>
              </w:rPr>
              <w:t>N10 - LT/1/10/2114/001</w:t>
            </w:r>
          </w:p>
          <w:p w:rsidR="00444C66" w:rsidRDefault="00444C66">
            <w:pPr>
              <w:widowControl w:val="0"/>
              <w:spacing w:after="0" w:line="240" w:lineRule="auto"/>
              <w:rPr>
                <w:rFonts w:ascii="Times New Roman" w:hAnsi="Times New Roman"/>
              </w:rPr>
            </w:pPr>
            <w:r>
              <w:rPr>
                <w:rFonts w:ascii="Times New Roman" w:hAnsi="Times New Roman"/>
              </w:rPr>
              <w:t>N14 - LT/1/10/2114/002</w:t>
            </w:r>
          </w:p>
          <w:p w:rsidR="00444C66" w:rsidRDefault="00444C66">
            <w:pPr>
              <w:widowControl w:val="0"/>
              <w:spacing w:after="0" w:line="240" w:lineRule="auto"/>
              <w:rPr>
                <w:rFonts w:ascii="Times New Roman" w:hAnsi="Times New Roman"/>
              </w:rPr>
            </w:pPr>
            <w:r>
              <w:rPr>
                <w:rFonts w:ascii="Times New Roman" w:hAnsi="Times New Roman"/>
              </w:rPr>
              <w:t>N28 - LT/1/10/2114/003</w:t>
            </w:r>
          </w:p>
          <w:p w:rsidR="00444C66" w:rsidRDefault="00444C66">
            <w:pPr>
              <w:widowControl w:val="0"/>
              <w:spacing w:after="0" w:line="240" w:lineRule="auto"/>
              <w:rPr>
                <w:rFonts w:ascii="Times New Roman" w:hAnsi="Times New Roman"/>
              </w:rPr>
            </w:pPr>
            <w:r>
              <w:rPr>
                <w:rFonts w:ascii="Times New Roman" w:hAnsi="Times New Roman"/>
              </w:rPr>
              <w:t>N30 - LT/1/10/2114/004</w:t>
            </w:r>
          </w:p>
          <w:p w:rsidR="00444C66" w:rsidRDefault="00444C66">
            <w:pPr>
              <w:widowControl w:val="0"/>
              <w:spacing w:after="0" w:line="240" w:lineRule="auto"/>
              <w:rPr>
                <w:rFonts w:ascii="Times New Roman" w:hAnsi="Times New Roman"/>
              </w:rPr>
            </w:pPr>
            <w:r>
              <w:rPr>
                <w:rFonts w:ascii="Times New Roman" w:hAnsi="Times New Roman"/>
              </w:rPr>
              <w:t>N56 - LT/1/10/2114/005</w:t>
            </w:r>
          </w:p>
          <w:p w:rsidR="00444C66" w:rsidRDefault="00444C66">
            <w:pPr>
              <w:widowControl w:val="0"/>
              <w:spacing w:after="0" w:line="240" w:lineRule="auto"/>
              <w:rPr>
                <w:rFonts w:ascii="Times New Roman" w:hAnsi="Times New Roman"/>
              </w:rPr>
            </w:pPr>
            <w:r>
              <w:rPr>
                <w:rFonts w:ascii="Times New Roman" w:hAnsi="Times New Roman"/>
              </w:rPr>
              <w:t>N60 - LT/1/10/2114/006</w:t>
            </w:r>
          </w:p>
          <w:p w:rsidR="00444C66" w:rsidRDefault="00444C66">
            <w:pPr>
              <w:widowControl w:val="0"/>
              <w:spacing w:after="0" w:line="240" w:lineRule="auto"/>
              <w:rPr>
                <w:rFonts w:ascii="Times New Roman" w:hAnsi="Times New Roman"/>
              </w:rPr>
            </w:pPr>
            <w:r>
              <w:rPr>
                <w:rFonts w:ascii="Times New Roman" w:hAnsi="Times New Roman"/>
              </w:rPr>
              <w:t>N84 - LT/1/10/2114/007</w:t>
            </w:r>
          </w:p>
          <w:p w:rsidR="00444C66" w:rsidRDefault="00444C66">
            <w:pPr>
              <w:widowControl w:val="0"/>
              <w:spacing w:after="0" w:line="240" w:lineRule="auto"/>
              <w:rPr>
                <w:rFonts w:ascii="Times New Roman" w:hAnsi="Times New Roman"/>
              </w:rPr>
            </w:pPr>
            <w:r>
              <w:rPr>
                <w:rFonts w:ascii="Times New Roman" w:hAnsi="Times New Roman"/>
              </w:rPr>
              <w:t>N90 - LT/1/10/2114/008</w:t>
            </w:r>
          </w:p>
          <w:p w:rsidR="00444C66" w:rsidRDefault="00444C66">
            <w:pPr>
              <w:widowControl w:val="0"/>
              <w:spacing w:after="0" w:line="240" w:lineRule="auto"/>
              <w:rPr>
                <w:rFonts w:ascii="Times New Roman" w:hAnsi="Times New Roman"/>
              </w:rPr>
            </w:pPr>
            <w:r>
              <w:rPr>
                <w:rFonts w:ascii="Times New Roman" w:hAnsi="Times New Roman"/>
              </w:rPr>
              <w:t>N98 - LT/1/10/2114/009</w:t>
            </w:r>
          </w:p>
          <w:p w:rsidR="00444C66" w:rsidRDefault="00444C66">
            <w:pPr>
              <w:widowControl w:val="0"/>
              <w:spacing w:after="0" w:line="240" w:lineRule="auto"/>
              <w:rPr>
                <w:rFonts w:ascii="Times New Roman" w:hAnsi="Times New Roman"/>
              </w:rPr>
            </w:pPr>
            <w:r>
              <w:rPr>
                <w:rFonts w:ascii="Times New Roman" w:hAnsi="Times New Roman"/>
              </w:rPr>
              <w:t>N100 - LT/1/10/2114/010</w:t>
            </w:r>
          </w:p>
          <w:p w:rsidR="00444C66" w:rsidRDefault="00444C66">
            <w:pPr>
              <w:widowControl w:val="0"/>
              <w:spacing w:after="0" w:line="240" w:lineRule="auto"/>
              <w:rPr>
                <w:rFonts w:ascii="Times New Roman" w:hAnsi="Times New Roman"/>
                <w:u w:val="single"/>
              </w:rPr>
            </w:pPr>
            <w:r>
              <w:rPr>
                <w:rFonts w:ascii="Times New Roman" w:hAnsi="Times New Roman"/>
                <w:u w:val="single"/>
              </w:rPr>
              <w:t>Tablečių talpyklė:</w:t>
            </w:r>
          </w:p>
          <w:p w:rsidR="00444C66" w:rsidRDefault="00444C66">
            <w:pPr>
              <w:widowControl w:val="0"/>
              <w:spacing w:after="0" w:line="240" w:lineRule="auto"/>
              <w:rPr>
                <w:rFonts w:ascii="Times New Roman" w:hAnsi="Times New Roman"/>
                <w:i/>
              </w:rPr>
            </w:pPr>
            <w:r>
              <w:rPr>
                <w:rFonts w:ascii="Times New Roman" w:hAnsi="Times New Roman"/>
              </w:rPr>
              <w:t>N100 - LT/1/10/2114/011</w:t>
            </w:r>
          </w:p>
        </w:tc>
        <w:tc>
          <w:tcPr>
            <w:tcW w:w="3096" w:type="dxa"/>
            <w:shd w:val="clear" w:color="auto" w:fill="auto"/>
          </w:tcPr>
          <w:p w:rsidR="00444C66" w:rsidRDefault="00444C66">
            <w:pPr>
              <w:widowControl w:val="0"/>
              <w:spacing w:after="0" w:line="240" w:lineRule="auto"/>
              <w:rPr>
                <w:rFonts w:ascii="Times New Roman" w:hAnsi="Times New Roman"/>
              </w:rPr>
            </w:pPr>
            <w:r>
              <w:rPr>
                <w:rFonts w:ascii="Times New Roman" w:hAnsi="Times New Roman"/>
              </w:rPr>
              <w:lastRenderedPageBreak/>
              <w:t>Olimestra 20 mg</w:t>
            </w:r>
          </w:p>
          <w:p w:rsidR="00444C66" w:rsidRDefault="00444C66">
            <w:pPr>
              <w:widowControl w:val="0"/>
              <w:spacing w:after="0" w:line="240" w:lineRule="auto"/>
              <w:rPr>
                <w:rFonts w:ascii="Times New Roman" w:hAnsi="Times New Roman"/>
                <w:u w:val="single"/>
              </w:rPr>
            </w:pPr>
            <w:r>
              <w:rPr>
                <w:rFonts w:ascii="Times New Roman" w:hAnsi="Times New Roman"/>
                <w:u w:val="single"/>
              </w:rPr>
              <w:lastRenderedPageBreak/>
              <w:t>Lizdinė plokštelė:</w:t>
            </w:r>
          </w:p>
          <w:p w:rsidR="00444C66" w:rsidRDefault="00444C66">
            <w:pPr>
              <w:widowControl w:val="0"/>
              <w:spacing w:after="0" w:line="240" w:lineRule="auto"/>
              <w:rPr>
                <w:rFonts w:ascii="Times New Roman" w:hAnsi="Times New Roman"/>
              </w:rPr>
            </w:pPr>
            <w:r>
              <w:rPr>
                <w:rFonts w:ascii="Times New Roman" w:hAnsi="Times New Roman"/>
              </w:rPr>
              <w:t>N10 - LT/1/10/2114/012</w:t>
            </w:r>
          </w:p>
          <w:p w:rsidR="00444C66" w:rsidRDefault="00444C66">
            <w:pPr>
              <w:widowControl w:val="0"/>
              <w:spacing w:after="0" w:line="240" w:lineRule="auto"/>
              <w:rPr>
                <w:rFonts w:ascii="Times New Roman" w:hAnsi="Times New Roman"/>
              </w:rPr>
            </w:pPr>
            <w:r>
              <w:rPr>
                <w:rFonts w:ascii="Times New Roman" w:hAnsi="Times New Roman"/>
              </w:rPr>
              <w:t>N14 - LT/1/10/2114/013</w:t>
            </w:r>
          </w:p>
          <w:p w:rsidR="00444C66" w:rsidRDefault="00444C66">
            <w:pPr>
              <w:widowControl w:val="0"/>
              <w:spacing w:after="0" w:line="240" w:lineRule="auto"/>
              <w:rPr>
                <w:rFonts w:ascii="Times New Roman" w:hAnsi="Times New Roman"/>
              </w:rPr>
            </w:pPr>
            <w:r>
              <w:rPr>
                <w:rFonts w:ascii="Times New Roman" w:hAnsi="Times New Roman"/>
              </w:rPr>
              <w:t>N28 - LT/1/10/2114/014</w:t>
            </w:r>
          </w:p>
          <w:p w:rsidR="00444C66" w:rsidRDefault="00444C66">
            <w:pPr>
              <w:widowControl w:val="0"/>
              <w:spacing w:after="0" w:line="240" w:lineRule="auto"/>
              <w:rPr>
                <w:rFonts w:ascii="Times New Roman" w:hAnsi="Times New Roman"/>
              </w:rPr>
            </w:pPr>
            <w:r>
              <w:rPr>
                <w:rFonts w:ascii="Times New Roman" w:hAnsi="Times New Roman"/>
              </w:rPr>
              <w:t>N30 - LT/1/10/2114/015</w:t>
            </w:r>
          </w:p>
          <w:p w:rsidR="00444C66" w:rsidRDefault="00444C66">
            <w:pPr>
              <w:widowControl w:val="0"/>
              <w:spacing w:after="0" w:line="240" w:lineRule="auto"/>
              <w:rPr>
                <w:rFonts w:ascii="Times New Roman" w:hAnsi="Times New Roman"/>
              </w:rPr>
            </w:pPr>
            <w:r>
              <w:rPr>
                <w:rFonts w:ascii="Times New Roman" w:hAnsi="Times New Roman"/>
              </w:rPr>
              <w:t>N56 - LT/1/10/2114/016</w:t>
            </w:r>
          </w:p>
          <w:p w:rsidR="00444C66" w:rsidRDefault="00444C66">
            <w:pPr>
              <w:widowControl w:val="0"/>
              <w:spacing w:after="0" w:line="240" w:lineRule="auto"/>
              <w:rPr>
                <w:rFonts w:ascii="Times New Roman" w:hAnsi="Times New Roman"/>
              </w:rPr>
            </w:pPr>
            <w:r>
              <w:rPr>
                <w:rFonts w:ascii="Times New Roman" w:hAnsi="Times New Roman"/>
              </w:rPr>
              <w:t>N60 - LT/1/10/2114/017</w:t>
            </w:r>
          </w:p>
          <w:p w:rsidR="00444C66" w:rsidRDefault="00444C66">
            <w:pPr>
              <w:widowControl w:val="0"/>
              <w:spacing w:after="0" w:line="240" w:lineRule="auto"/>
              <w:rPr>
                <w:rFonts w:ascii="Times New Roman" w:hAnsi="Times New Roman"/>
              </w:rPr>
            </w:pPr>
            <w:r>
              <w:rPr>
                <w:rFonts w:ascii="Times New Roman" w:hAnsi="Times New Roman"/>
              </w:rPr>
              <w:t>N84 - LT/1/10/2114/018</w:t>
            </w:r>
          </w:p>
          <w:p w:rsidR="00444C66" w:rsidRDefault="00444C66">
            <w:pPr>
              <w:widowControl w:val="0"/>
              <w:spacing w:after="0" w:line="240" w:lineRule="auto"/>
              <w:rPr>
                <w:rFonts w:ascii="Times New Roman" w:hAnsi="Times New Roman"/>
              </w:rPr>
            </w:pPr>
            <w:r>
              <w:rPr>
                <w:rFonts w:ascii="Times New Roman" w:hAnsi="Times New Roman"/>
              </w:rPr>
              <w:t>N90 - LT/1/10/2114/019</w:t>
            </w:r>
          </w:p>
          <w:p w:rsidR="00444C66" w:rsidRDefault="00444C66">
            <w:pPr>
              <w:widowControl w:val="0"/>
              <w:spacing w:after="0" w:line="240" w:lineRule="auto"/>
              <w:rPr>
                <w:rFonts w:ascii="Times New Roman" w:hAnsi="Times New Roman"/>
              </w:rPr>
            </w:pPr>
            <w:r>
              <w:rPr>
                <w:rFonts w:ascii="Times New Roman" w:hAnsi="Times New Roman"/>
              </w:rPr>
              <w:t>N98 - LT/1/10/2114/020</w:t>
            </w:r>
          </w:p>
          <w:p w:rsidR="00444C66" w:rsidRDefault="00444C66">
            <w:pPr>
              <w:widowControl w:val="0"/>
              <w:spacing w:after="0" w:line="240" w:lineRule="auto"/>
              <w:rPr>
                <w:rFonts w:ascii="Times New Roman" w:hAnsi="Times New Roman"/>
              </w:rPr>
            </w:pPr>
            <w:r>
              <w:rPr>
                <w:rFonts w:ascii="Times New Roman" w:hAnsi="Times New Roman"/>
              </w:rPr>
              <w:t>N100 - LT/1/10/2114/021</w:t>
            </w:r>
          </w:p>
          <w:p w:rsidR="00444C66" w:rsidRDefault="00444C66">
            <w:pPr>
              <w:widowControl w:val="0"/>
              <w:spacing w:after="0" w:line="240" w:lineRule="auto"/>
              <w:rPr>
                <w:rFonts w:ascii="Times New Roman" w:hAnsi="Times New Roman"/>
                <w:u w:val="single"/>
              </w:rPr>
            </w:pPr>
            <w:r>
              <w:rPr>
                <w:rFonts w:ascii="Times New Roman" w:hAnsi="Times New Roman"/>
                <w:u w:val="single"/>
              </w:rPr>
              <w:t>Tablečių talpyklė:</w:t>
            </w:r>
          </w:p>
          <w:p w:rsidR="00444C66" w:rsidRDefault="00444C66">
            <w:pPr>
              <w:widowControl w:val="0"/>
              <w:spacing w:after="0" w:line="240" w:lineRule="auto"/>
              <w:rPr>
                <w:rFonts w:ascii="Times New Roman" w:hAnsi="Times New Roman"/>
                <w:i/>
              </w:rPr>
            </w:pPr>
            <w:r>
              <w:rPr>
                <w:rFonts w:ascii="Times New Roman" w:hAnsi="Times New Roman"/>
              </w:rPr>
              <w:t>N100 - LT/1/10/2114/022</w:t>
            </w:r>
          </w:p>
        </w:tc>
        <w:tc>
          <w:tcPr>
            <w:tcW w:w="3096" w:type="dxa"/>
            <w:shd w:val="clear" w:color="auto" w:fill="auto"/>
          </w:tcPr>
          <w:p w:rsidR="00444C66" w:rsidRDefault="00444C66">
            <w:pPr>
              <w:widowControl w:val="0"/>
              <w:spacing w:after="0" w:line="240" w:lineRule="auto"/>
              <w:rPr>
                <w:rFonts w:ascii="Times New Roman" w:hAnsi="Times New Roman"/>
              </w:rPr>
            </w:pPr>
            <w:r>
              <w:rPr>
                <w:rFonts w:ascii="Times New Roman" w:hAnsi="Times New Roman"/>
              </w:rPr>
              <w:lastRenderedPageBreak/>
              <w:t>Olimestra 40 mg</w:t>
            </w:r>
          </w:p>
          <w:p w:rsidR="00444C66" w:rsidRDefault="00444C66">
            <w:pPr>
              <w:widowControl w:val="0"/>
              <w:spacing w:after="0" w:line="240" w:lineRule="auto"/>
              <w:rPr>
                <w:rFonts w:ascii="Times New Roman" w:hAnsi="Times New Roman"/>
                <w:u w:val="single"/>
              </w:rPr>
            </w:pPr>
            <w:r>
              <w:rPr>
                <w:rFonts w:ascii="Times New Roman" w:hAnsi="Times New Roman"/>
                <w:u w:val="single"/>
              </w:rPr>
              <w:lastRenderedPageBreak/>
              <w:t>Lizdinė plokštelė:</w:t>
            </w:r>
          </w:p>
          <w:p w:rsidR="00444C66" w:rsidRDefault="00444C66">
            <w:pPr>
              <w:widowControl w:val="0"/>
              <w:spacing w:after="0" w:line="240" w:lineRule="auto"/>
              <w:rPr>
                <w:rFonts w:ascii="Times New Roman" w:hAnsi="Times New Roman"/>
              </w:rPr>
            </w:pPr>
            <w:r>
              <w:rPr>
                <w:rFonts w:ascii="Times New Roman" w:hAnsi="Times New Roman"/>
              </w:rPr>
              <w:t>N10 - LT/1/10/2114/023</w:t>
            </w:r>
          </w:p>
          <w:p w:rsidR="00444C66" w:rsidRDefault="00444C66">
            <w:pPr>
              <w:widowControl w:val="0"/>
              <w:spacing w:after="0" w:line="240" w:lineRule="auto"/>
              <w:rPr>
                <w:rFonts w:ascii="Times New Roman" w:hAnsi="Times New Roman"/>
              </w:rPr>
            </w:pPr>
            <w:r>
              <w:rPr>
                <w:rFonts w:ascii="Times New Roman" w:hAnsi="Times New Roman"/>
              </w:rPr>
              <w:t>N14 - LT/1/10/2114/024</w:t>
            </w:r>
          </w:p>
          <w:p w:rsidR="00444C66" w:rsidRDefault="00444C66">
            <w:pPr>
              <w:widowControl w:val="0"/>
              <w:spacing w:after="0" w:line="240" w:lineRule="auto"/>
              <w:rPr>
                <w:rFonts w:ascii="Times New Roman" w:hAnsi="Times New Roman"/>
              </w:rPr>
            </w:pPr>
            <w:r>
              <w:rPr>
                <w:rFonts w:ascii="Times New Roman" w:hAnsi="Times New Roman"/>
              </w:rPr>
              <w:t>N28 - LT/1/10/2114/025</w:t>
            </w:r>
          </w:p>
          <w:p w:rsidR="00444C66" w:rsidRDefault="00444C66">
            <w:pPr>
              <w:widowControl w:val="0"/>
              <w:spacing w:after="0" w:line="240" w:lineRule="auto"/>
              <w:rPr>
                <w:rFonts w:ascii="Times New Roman" w:hAnsi="Times New Roman"/>
              </w:rPr>
            </w:pPr>
            <w:r>
              <w:rPr>
                <w:rFonts w:ascii="Times New Roman" w:hAnsi="Times New Roman"/>
              </w:rPr>
              <w:t>N30 - LT/1/10/2114/026</w:t>
            </w:r>
          </w:p>
          <w:p w:rsidR="00444C66" w:rsidRDefault="00444C66">
            <w:pPr>
              <w:widowControl w:val="0"/>
              <w:spacing w:after="0" w:line="240" w:lineRule="auto"/>
              <w:rPr>
                <w:rFonts w:ascii="Times New Roman" w:hAnsi="Times New Roman"/>
              </w:rPr>
            </w:pPr>
            <w:r>
              <w:rPr>
                <w:rFonts w:ascii="Times New Roman" w:hAnsi="Times New Roman"/>
              </w:rPr>
              <w:t>N56 - LT/1/10/2114/027</w:t>
            </w:r>
          </w:p>
          <w:p w:rsidR="00444C66" w:rsidRDefault="00444C66">
            <w:pPr>
              <w:widowControl w:val="0"/>
              <w:spacing w:after="0" w:line="240" w:lineRule="auto"/>
              <w:rPr>
                <w:rFonts w:ascii="Times New Roman" w:hAnsi="Times New Roman"/>
              </w:rPr>
            </w:pPr>
            <w:r>
              <w:rPr>
                <w:rFonts w:ascii="Times New Roman" w:hAnsi="Times New Roman"/>
              </w:rPr>
              <w:t>N60 - LT/1/10/2114/028</w:t>
            </w:r>
          </w:p>
          <w:p w:rsidR="00444C66" w:rsidRDefault="00444C66">
            <w:pPr>
              <w:widowControl w:val="0"/>
              <w:spacing w:after="0" w:line="240" w:lineRule="auto"/>
              <w:rPr>
                <w:rFonts w:ascii="Times New Roman" w:hAnsi="Times New Roman"/>
              </w:rPr>
            </w:pPr>
            <w:r>
              <w:rPr>
                <w:rFonts w:ascii="Times New Roman" w:hAnsi="Times New Roman"/>
              </w:rPr>
              <w:t>N84 - LT/1/10/2114/029</w:t>
            </w:r>
          </w:p>
          <w:p w:rsidR="00444C66" w:rsidRDefault="00444C66">
            <w:pPr>
              <w:widowControl w:val="0"/>
              <w:spacing w:after="0" w:line="240" w:lineRule="auto"/>
              <w:rPr>
                <w:rFonts w:ascii="Times New Roman" w:hAnsi="Times New Roman"/>
              </w:rPr>
            </w:pPr>
            <w:r>
              <w:rPr>
                <w:rFonts w:ascii="Times New Roman" w:hAnsi="Times New Roman"/>
              </w:rPr>
              <w:t>N90 - LT/1/10/2114/030</w:t>
            </w:r>
          </w:p>
          <w:p w:rsidR="00444C66" w:rsidRDefault="00444C66">
            <w:pPr>
              <w:widowControl w:val="0"/>
              <w:spacing w:after="0" w:line="240" w:lineRule="auto"/>
              <w:rPr>
                <w:rFonts w:ascii="Times New Roman" w:hAnsi="Times New Roman"/>
              </w:rPr>
            </w:pPr>
            <w:r>
              <w:rPr>
                <w:rFonts w:ascii="Times New Roman" w:hAnsi="Times New Roman"/>
              </w:rPr>
              <w:t>N98 - LT/1/10/2114/031</w:t>
            </w:r>
          </w:p>
          <w:p w:rsidR="00444C66" w:rsidRDefault="00444C66">
            <w:pPr>
              <w:widowControl w:val="0"/>
              <w:spacing w:after="0" w:line="240" w:lineRule="auto"/>
              <w:rPr>
                <w:rFonts w:ascii="Times New Roman" w:hAnsi="Times New Roman"/>
              </w:rPr>
            </w:pPr>
            <w:r>
              <w:rPr>
                <w:rFonts w:ascii="Times New Roman" w:hAnsi="Times New Roman"/>
              </w:rPr>
              <w:t>N100 - LT/1/10/2114/032</w:t>
            </w:r>
          </w:p>
          <w:p w:rsidR="00444C66" w:rsidRDefault="00444C66">
            <w:pPr>
              <w:widowControl w:val="0"/>
              <w:spacing w:after="0" w:line="240" w:lineRule="auto"/>
              <w:rPr>
                <w:rFonts w:ascii="Times New Roman" w:hAnsi="Times New Roman"/>
                <w:u w:val="single"/>
              </w:rPr>
            </w:pPr>
            <w:r>
              <w:rPr>
                <w:rFonts w:ascii="Times New Roman" w:hAnsi="Times New Roman"/>
                <w:u w:val="single"/>
              </w:rPr>
              <w:t>Tablečių talpyklė:</w:t>
            </w:r>
          </w:p>
          <w:p w:rsidR="00444C66" w:rsidRDefault="00444C66">
            <w:pPr>
              <w:widowControl w:val="0"/>
              <w:spacing w:after="0" w:line="240" w:lineRule="auto"/>
              <w:rPr>
                <w:rFonts w:ascii="Times New Roman" w:hAnsi="Times New Roman"/>
              </w:rPr>
            </w:pPr>
            <w:r>
              <w:rPr>
                <w:rFonts w:ascii="Times New Roman" w:hAnsi="Times New Roman"/>
              </w:rPr>
              <w:t>N100 - LT/1/10/2114/033</w:t>
            </w:r>
          </w:p>
        </w:tc>
      </w:tr>
    </w:tbl>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rPr>
      </w:pPr>
      <w:r>
        <w:rPr>
          <w:rFonts w:ascii="Times New Roman" w:hAnsi="Times New Roman"/>
          <w:b/>
        </w:rPr>
        <w:t>9.</w:t>
      </w:r>
      <w:r>
        <w:rPr>
          <w:rFonts w:ascii="Times New Roman" w:hAnsi="Times New Roman"/>
          <w:b/>
        </w:rPr>
        <w:tab/>
      </w:r>
      <w:r>
        <w:rPr>
          <w:rFonts w:ascii="Times New Roman" w:eastAsia="Times New Roman" w:hAnsi="Times New Roman"/>
          <w:b/>
          <w:caps/>
          <w:lang w:eastAsia="sl-SI"/>
        </w:rPr>
        <w:t>REGISTRAVIMO / PERREGISTRAVIMO</w:t>
      </w:r>
      <w:r>
        <w:rPr>
          <w:rFonts w:ascii="Times New Roman" w:hAnsi="Times New Roman"/>
          <w:b/>
          <w:caps/>
        </w:rPr>
        <w:t xml:space="preserve"> data</w:t>
      </w:r>
    </w:p>
    <w:p w:rsidR="00444C66" w:rsidRDefault="00444C66">
      <w:pPr>
        <w:widowControl w:val="0"/>
        <w:tabs>
          <w:tab w:val="left" w:pos="567"/>
        </w:tabs>
        <w:spacing w:after="0" w:line="240" w:lineRule="auto"/>
        <w:rPr>
          <w:rFonts w:ascii="Times New Roman" w:hAnsi="Times New Roman"/>
          <w:i/>
        </w:rPr>
      </w:pPr>
    </w:p>
    <w:p w:rsidR="00444C66" w:rsidRDefault="00444C66">
      <w:pPr>
        <w:widowControl w:val="0"/>
        <w:spacing w:after="0" w:line="240" w:lineRule="auto"/>
        <w:rPr>
          <w:rFonts w:ascii="Times New Roman" w:hAnsi="Times New Roman"/>
        </w:rPr>
      </w:pPr>
      <w:r>
        <w:rPr>
          <w:rFonts w:ascii="Times New Roman" w:eastAsia="Times New Roman" w:hAnsi="Times New Roman"/>
          <w:snapToGrid w:val="0"/>
          <w:lang w:eastAsia="sl-SI"/>
        </w:rPr>
        <w:t>Registravimo data</w:t>
      </w:r>
      <w:r>
        <w:rPr>
          <w:rFonts w:ascii="Times New Roman" w:hAnsi="Times New Roman"/>
        </w:rPr>
        <w:t xml:space="preserve"> 2010 m. liepos mėn. 29 d.</w:t>
      </w:r>
    </w:p>
    <w:p w:rsidR="00444C66" w:rsidRDefault="00444C66">
      <w:pPr>
        <w:widowControl w:val="0"/>
        <w:spacing w:after="0" w:line="240" w:lineRule="auto"/>
        <w:rPr>
          <w:rFonts w:ascii="Times New Roman" w:hAnsi="Times New Roman"/>
          <w:lang w:val="sl-SI"/>
        </w:rPr>
      </w:pPr>
      <w:r>
        <w:rPr>
          <w:rFonts w:ascii="Times New Roman" w:eastAsia="Times New Roman" w:hAnsi="Times New Roman"/>
          <w:lang w:val="sl-SI" w:eastAsia="sl-SI"/>
        </w:rPr>
        <w:t>Paskutinio perregistravimo data</w:t>
      </w:r>
      <w:r>
        <w:rPr>
          <w:rFonts w:ascii="Times New Roman" w:hAnsi="Times New Roman"/>
          <w:lang w:val="sl-SI"/>
        </w:rPr>
        <w:t xml:space="preserve"> 2015 m. vasario mėn. 25 d.</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rPr>
          <w:rFonts w:ascii="Times New Roman" w:hAnsi="Times New Roman"/>
          <w:b/>
          <w:caps/>
        </w:rPr>
      </w:pPr>
      <w:r>
        <w:rPr>
          <w:rFonts w:ascii="Times New Roman" w:hAnsi="Times New Roman"/>
          <w:b/>
        </w:rPr>
        <w:t>10.</w:t>
      </w:r>
      <w:r>
        <w:rPr>
          <w:rFonts w:ascii="Times New Roman" w:hAnsi="Times New Roman"/>
          <w:b/>
        </w:rPr>
        <w:tab/>
      </w:r>
      <w:r>
        <w:rPr>
          <w:rFonts w:ascii="Times New Roman" w:hAnsi="Times New Roman"/>
          <w:b/>
          <w:caps/>
        </w:rPr>
        <w:t>teksto peržiūros data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2025 m. kovo 20 d.</w:t>
      </w:r>
    </w:p>
    <w:p w:rsidR="00444C66" w:rsidRDefault="00444C66">
      <w:pPr>
        <w:widowControl w:val="0"/>
        <w:spacing w:after="0" w:line="240" w:lineRule="auto"/>
        <w:rPr>
          <w:rFonts w:ascii="Times New Roman" w:hAnsi="Times New Roman"/>
          <w:b/>
        </w:rPr>
      </w:pPr>
    </w:p>
    <w:p w:rsidR="00444C66" w:rsidRDefault="00444C66">
      <w:pPr>
        <w:widowControl w:val="0"/>
        <w:tabs>
          <w:tab w:val="left" w:pos="540"/>
          <w:tab w:val="left" w:pos="2977"/>
        </w:tabs>
        <w:spacing w:after="0" w:line="240" w:lineRule="auto"/>
        <w:rPr>
          <w:rFonts w:ascii="Times New Roman" w:hAnsi="Times New Roman"/>
          <w:color w:val="0000FF"/>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hyperlink r:id="rId9" w:history="1">
        <w:r>
          <w:rPr>
            <w:rFonts w:ascii="Times New Roman" w:hAnsi="Times New Roman"/>
            <w:color w:val="0000FF"/>
            <w:u w:val="single"/>
          </w:rPr>
          <w:t>http://www.vvkt.lt/</w:t>
        </w:r>
      </w:hyperlink>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br w:type="page"/>
      </w: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jc w:val="center"/>
        <w:outlineLvl w:val="0"/>
        <w:rPr>
          <w:rFonts w:ascii="Times New Roman" w:hAnsi="Times New Roman"/>
          <w:b/>
          <w:caps/>
        </w:rPr>
      </w:pPr>
      <w:bookmarkStart w:id="5" w:name="_Toc129243128"/>
      <w:bookmarkStart w:id="6" w:name="_Toc129243253"/>
      <w:r>
        <w:rPr>
          <w:rFonts w:ascii="Times New Roman" w:hAnsi="Times New Roman"/>
          <w:b/>
          <w:caps/>
        </w:rPr>
        <w:t>II PRIEDAS</w:t>
      </w:r>
      <w:bookmarkEnd w:id="5"/>
      <w:bookmarkEnd w:id="6"/>
    </w:p>
    <w:p w:rsidR="00444C66" w:rsidRDefault="00444C66">
      <w:pPr>
        <w:widowControl w:val="0"/>
        <w:tabs>
          <w:tab w:val="left" w:pos="567"/>
        </w:tabs>
        <w:spacing w:after="0" w:line="240" w:lineRule="auto"/>
        <w:ind w:left="567" w:hanging="567"/>
        <w:jc w:val="center"/>
        <w:outlineLvl w:val="0"/>
        <w:rPr>
          <w:rFonts w:ascii="Times New Roman" w:hAnsi="Times New Roman"/>
          <w:b/>
          <w:caps/>
        </w:rPr>
      </w:pPr>
    </w:p>
    <w:p w:rsidR="00444C66" w:rsidRDefault="00444C66">
      <w:pPr>
        <w:widowControl w:val="0"/>
        <w:tabs>
          <w:tab w:val="left" w:pos="567"/>
        </w:tabs>
        <w:spacing w:after="0" w:line="240" w:lineRule="auto"/>
        <w:ind w:left="567" w:hanging="567"/>
        <w:jc w:val="center"/>
        <w:outlineLvl w:val="0"/>
        <w:rPr>
          <w:rFonts w:ascii="Times New Roman" w:hAnsi="Times New Roman"/>
          <w:b/>
          <w:caps/>
        </w:rPr>
      </w:pPr>
      <w:r>
        <w:rPr>
          <w:rFonts w:ascii="Times New Roman" w:eastAsia="Times New Roman" w:hAnsi="Times New Roman"/>
          <w:b/>
          <w:caps/>
          <w:lang w:eastAsia="sl-SI"/>
        </w:rPr>
        <w:t>REGISTRACIJOS</w:t>
      </w:r>
      <w:r>
        <w:rPr>
          <w:rFonts w:ascii="Times New Roman" w:hAnsi="Times New Roman"/>
          <w:b/>
          <w:caps/>
        </w:rPr>
        <w:t xml:space="preserve"> SĄLYGOS</w:t>
      </w: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1701"/>
        </w:tabs>
        <w:spacing w:after="0" w:line="240" w:lineRule="auto"/>
        <w:ind w:left="1701" w:hanging="567"/>
        <w:rPr>
          <w:rFonts w:ascii="Times New Roman" w:hAnsi="Times New Roman"/>
          <w:b/>
          <w:highlight w:val="yellow"/>
        </w:rPr>
      </w:pPr>
      <w:r>
        <w:rPr>
          <w:rFonts w:ascii="Times New Roman" w:hAnsi="Times New Roman"/>
          <w:b/>
        </w:rPr>
        <w:t>A.</w:t>
      </w:r>
      <w:r>
        <w:rPr>
          <w:rFonts w:ascii="Times New Roman" w:hAnsi="Times New Roman"/>
          <w:b/>
        </w:rPr>
        <w:tab/>
        <w:t>GAMINTOJAS (-AI), ATSAKINGAS (-I) UŽ SERIJŲ IŠLEIDIMĄ</w:t>
      </w:r>
    </w:p>
    <w:p w:rsidR="00444C66" w:rsidRDefault="00444C66">
      <w:pPr>
        <w:widowControl w:val="0"/>
        <w:tabs>
          <w:tab w:val="left" w:pos="540"/>
          <w:tab w:val="left" w:pos="2977"/>
        </w:tabs>
        <w:spacing w:after="0" w:line="240" w:lineRule="auto"/>
        <w:rPr>
          <w:rFonts w:ascii="Times New Roman" w:hAnsi="Times New Roman"/>
          <w:highlight w:val="yellow"/>
        </w:rPr>
      </w:pPr>
    </w:p>
    <w:p w:rsidR="00444C66" w:rsidRDefault="00444C66">
      <w:pPr>
        <w:widowControl w:val="0"/>
        <w:tabs>
          <w:tab w:val="left" w:pos="1701"/>
        </w:tabs>
        <w:spacing w:after="0" w:line="240" w:lineRule="auto"/>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rsidR="00444C66" w:rsidRDefault="00444C66">
      <w:pPr>
        <w:widowControl w:val="0"/>
        <w:tabs>
          <w:tab w:val="left" w:pos="540"/>
          <w:tab w:val="left" w:pos="2977"/>
        </w:tabs>
        <w:spacing w:after="0" w:line="240" w:lineRule="auto"/>
        <w:rPr>
          <w:rFonts w:ascii="Times New Roman" w:hAnsi="Times New Roman"/>
          <w:highlight w:val="yellow"/>
        </w:rPr>
      </w:pPr>
    </w:p>
    <w:p w:rsidR="00444C66" w:rsidRDefault="00444C66">
      <w:pPr>
        <w:widowControl w:val="0"/>
        <w:tabs>
          <w:tab w:val="left" w:pos="567"/>
        </w:tabs>
        <w:spacing w:after="0" w:line="240" w:lineRule="auto"/>
        <w:ind w:left="567" w:hanging="567"/>
        <w:outlineLvl w:val="1"/>
        <w:rPr>
          <w:rFonts w:ascii="Times New Roman" w:hAnsi="Times New Roman"/>
          <w:b/>
        </w:rPr>
      </w:pPr>
      <w:r>
        <w:rPr>
          <w:rFonts w:ascii="Times New Roman" w:hAnsi="Times New Roman"/>
          <w:b/>
        </w:rPr>
        <w:br w:type="page"/>
      </w:r>
      <w:r>
        <w:rPr>
          <w:rFonts w:ascii="Times New Roman" w:hAnsi="Times New Roman"/>
          <w:b/>
        </w:rPr>
        <w:lastRenderedPageBreak/>
        <w:t>A.</w:t>
      </w:r>
      <w:r>
        <w:rPr>
          <w:rFonts w:ascii="Times New Roman" w:hAnsi="Times New Roman"/>
          <w:b/>
        </w:rPr>
        <w:tab/>
        <w:t>GAMINTOJAS (-AI), ATSAKINGAS (-I) UŽ SERIJŲ IŠLEIDIMĄ</w:t>
      </w:r>
    </w:p>
    <w:p w:rsidR="00444C66" w:rsidRDefault="00444C66">
      <w:pPr>
        <w:widowControl w:val="0"/>
        <w:tabs>
          <w:tab w:val="left" w:pos="540"/>
          <w:tab w:val="left" w:pos="2977"/>
        </w:tabs>
        <w:spacing w:after="0" w:line="240" w:lineRule="auto"/>
        <w:rPr>
          <w:rFonts w:ascii="Times New Roman" w:hAnsi="Times New Roman"/>
          <w:highlight w:val="yellow"/>
        </w:rPr>
      </w:pPr>
    </w:p>
    <w:p w:rsidR="00444C66" w:rsidRDefault="00444C66">
      <w:pPr>
        <w:widowControl w:val="0"/>
        <w:spacing w:after="0" w:line="240" w:lineRule="auto"/>
        <w:rPr>
          <w:rFonts w:ascii="Times New Roman" w:hAnsi="Times New Roman"/>
          <w:u w:val="single"/>
        </w:rPr>
      </w:pPr>
      <w:r>
        <w:rPr>
          <w:rFonts w:ascii="Times New Roman" w:hAnsi="Times New Roman"/>
          <w:u w:val="single"/>
        </w:rPr>
        <w:t>Gamintojo (-ų), atsakingo (-ų) už serijų išleidimą, pavadinimas (-ai) ir adresas (-ai)</w:t>
      </w: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KRKA, d.d., Novo mesto</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Šmarješka cesta 6</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8501 Novo mesto</w:t>
      </w:r>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t>Slovėnija</w:t>
      </w:r>
    </w:p>
    <w:p w:rsidR="00444C66" w:rsidRDefault="00444C66">
      <w:pPr>
        <w:widowControl w:val="0"/>
        <w:tabs>
          <w:tab w:val="left" w:pos="540"/>
          <w:tab w:val="left" w:pos="2977"/>
        </w:tabs>
        <w:spacing w:after="0" w:line="240" w:lineRule="auto"/>
        <w:rPr>
          <w:rFonts w:ascii="Times New Roman" w:hAnsi="Times New Roman"/>
          <w:highlight w:val="yellow"/>
        </w:rPr>
      </w:pPr>
    </w:p>
    <w:p w:rsidR="00444C66" w:rsidRDefault="00444C66">
      <w:pPr>
        <w:widowControl w:val="0"/>
        <w:tabs>
          <w:tab w:val="left" w:pos="540"/>
          <w:tab w:val="left" w:pos="2977"/>
        </w:tabs>
        <w:spacing w:after="0" w:line="240" w:lineRule="auto"/>
        <w:rPr>
          <w:rFonts w:ascii="Times New Roman" w:hAnsi="Times New Roman"/>
          <w:highlight w:val="yellow"/>
        </w:rPr>
      </w:pPr>
    </w:p>
    <w:p w:rsidR="00444C66" w:rsidRDefault="00444C66">
      <w:pPr>
        <w:widowControl w:val="0"/>
        <w:tabs>
          <w:tab w:val="left" w:pos="567"/>
        </w:tabs>
        <w:spacing w:after="0" w:line="240" w:lineRule="auto"/>
        <w:ind w:left="567" w:hanging="567"/>
        <w:outlineLvl w:val="1"/>
        <w:rPr>
          <w:rFonts w:ascii="Times New Roman" w:hAnsi="Times New Roman"/>
          <w:b/>
          <w:kern w:val="28"/>
        </w:rPr>
      </w:pPr>
      <w:bookmarkStart w:id="7" w:name="_Toc129243129"/>
      <w:bookmarkStart w:id="8" w:name="_Toc129243254"/>
      <w:r>
        <w:rPr>
          <w:rFonts w:ascii="Times New Roman" w:hAnsi="Times New Roman"/>
          <w:b/>
        </w:rPr>
        <w:t>B.</w:t>
      </w:r>
      <w:r>
        <w:rPr>
          <w:rFonts w:ascii="Times New Roman" w:hAnsi="Times New Roman"/>
          <w:b/>
        </w:rPr>
        <w:tab/>
        <w:t>TIEKIMO IR VARTOJIMO SĄLYGOS AR APRIBOJIMAI</w:t>
      </w:r>
      <w:bookmarkEnd w:id="7"/>
      <w:bookmarkEnd w:id="8"/>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t>Receptinis vaistinis preparatas.</w:t>
      </w: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br w:type="page"/>
      </w: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jc w:val="center"/>
        <w:outlineLvl w:val="0"/>
        <w:rPr>
          <w:rFonts w:ascii="Times New Roman" w:hAnsi="Times New Roman"/>
          <w:b/>
          <w:caps/>
        </w:rPr>
      </w:pPr>
      <w:bookmarkStart w:id="9" w:name="_Toc129243134"/>
      <w:bookmarkStart w:id="10" w:name="_Toc129243259"/>
      <w:r>
        <w:rPr>
          <w:rFonts w:ascii="Times New Roman" w:hAnsi="Times New Roman"/>
          <w:b/>
          <w:caps/>
        </w:rPr>
        <w:t>III PRIEDAS</w:t>
      </w:r>
      <w:bookmarkEnd w:id="9"/>
      <w:bookmarkEnd w:id="10"/>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67"/>
        </w:tabs>
        <w:spacing w:after="0" w:line="240" w:lineRule="auto"/>
        <w:ind w:left="567" w:hanging="567"/>
        <w:jc w:val="center"/>
        <w:outlineLvl w:val="0"/>
        <w:rPr>
          <w:rFonts w:ascii="Times New Roman" w:hAnsi="Times New Roman"/>
          <w:b/>
          <w:caps/>
        </w:rPr>
      </w:pPr>
      <w:bookmarkStart w:id="11" w:name="_Toc129243135"/>
      <w:bookmarkStart w:id="12" w:name="_Toc129243260"/>
      <w:r>
        <w:rPr>
          <w:rFonts w:ascii="Times New Roman" w:hAnsi="Times New Roman"/>
          <w:b/>
          <w:caps/>
        </w:rPr>
        <w:t>ŽENKLINIMAS IR PAKUOTĖS LAPELIS</w:t>
      </w:r>
      <w:bookmarkEnd w:id="11"/>
      <w:bookmarkEnd w:id="12"/>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br w:type="page"/>
      </w: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tabs>
          <w:tab w:val="left" w:pos="567"/>
        </w:tabs>
        <w:spacing w:after="0" w:line="240" w:lineRule="auto"/>
        <w:ind w:left="567" w:hanging="567"/>
        <w:jc w:val="center"/>
        <w:outlineLvl w:val="0"/>
        <w:rPr>
          <w:rFonts w:ascii="Times New Roman" w:hAnsi="Times New Roman"/>
          <w:b/>
          <w:caps/>
        </w:rPr>
      </w:pPr>
      <w:bookmarkStart w:id="13" w:name="_Toc129243136"/>
      <w:bookmarkStart w:id="14" w:name="_Toc129243261"/>
      <w:r>
        <w:rPr>
          <w:rFonts w:ascii="Times New Roman" w:hAnsi="Times New Roman"/>
          <w:b/>
          <w:caps/>
        </w:rPr>
        <w:t>A. ŽENKLINIMAS</w:t>
      </w:r>
      <w:bookmarkEnd w:id="13"/>
      <w:bookmarkEnd w:id="14"/>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rPr>
        <w:br w:type="page"/>
      </w:r>
      <w:r>
        <w:rPr>
          <w:rFonts w:ascii="Times New Roman" w:hAnsi="Times New Roman"/>
          <w:b/>
        </w:rPr>
        <w:lastRenderedPageBreak/>
        <w:t>INFORMACIJA ANT IŠORINĖS PAKUOTĖS</w:t>
      </w: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Pr>
          <w:rFonts w:ascii="Times New Roman" w:hAnsi="Times New Roman"/>
          <w:b/>
        </w:rPr>
        <w:t>KARTONO DĖŽUTĖ</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t>VAISTINIO PREPARATO PAVADINIMAS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Olimestra 10 mg plėvele dengtos tabletės</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Olimestra 20 mg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darkGray"/>
        </w:rPr>
        <w:t>Olimestra 40 mg plėvele dengtos tabletės</w:t>
      </w:r>
    </w:p>
    <w:p w:rsidR="00444C66" w:rsidRDefault="00444C66">
      <w:pPr>
        <w:widowControl w:val="0"/>
        <w:spacing w:after="0" w:line="240" w:lineRule="auto"/>
        <w:rPr>
          <w:rFonts w:ascii="Times New Roman" w:hAnsi="Times New Roman"/>
        </w:rPr>
      </w:pPr>
    </w:p>
    <w:p w:rsidR="00444C66" w:rsidRDefault="00444C66">
      <w:pPr>
        <w:widowControl w:val="0"/>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olmesartanas medoksomilis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Kiekvienoje plėvele dengtoje tabletėje yra 10 mg olmesartano medoksomilio.</w:t>
      </w:r>
    </w:p>
    <w:p w:rsidR="00444C66" w:rsidRDefault="00444C66">
      <w:pPr>
        <w:widowControl w:val="0"/>
        <w:tabs>
          <w:tab w:val="left" w:pos="567"/>
        </w:tabs>
        <w:spacing w:after="0" w:line="240" w:lineRule="auto"/>
        <w:rPr>
          <w:rFonts w:ascii="Times New Roman" w:hAnsi="Times New Roman"/>
          <w:highlight w:val="lightGray"/>
        </w:rPr>
      </w:pPr>
      <w:r>
        <w:rPr>
          <w:rFonts w:ascii="Times New Roman" w:hAnsi="Times New Roman"/>
          <w:highlight w:val="lightGray"/>
        </w:rPr>
        <w:t>Kiekvienoje plėvele dengtoje tabletėje yra 20 mg olmesartano medoksomilio.</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darkGray"/>
        </w:rPr>
        <w:t>Kiekvienoje plėvele dengtoje tabletėje yra 40 mg olmesartano medoksomilio.</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3.</w:t>
      </w:r>
      <w:r>
        <w:rPr>
          <w:rFonts w:ascii="Times New Roman" w:hAnsi="Times New Roman"/>
          <w:b/>
        </w:rPr>
        <w:tab/>
        <w:t>PAGALBINIŲ MEDŽIAGŲ SĄRAŠAS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Pagalbinė medžiaga: laktozė monohidratas.</w:t>
      </w:r>
    </w:p>
    <w:p w:rsidR="00444C66" w:rsidRDefault="00444C66">
      <w:pPr>
        <w:widowControl w:val="0"/>
        <w:spacing w:after="0" w:line="240" w:lineRule="auto"/>
        <w:rPr>
          <w:rFonts w:ascii="Times New Roman" w:hAnsi="Times New Roman"/>
        </w:rPr>
      </w:pPr>
      <w:r>
        <w:rPr>
          <w:rFonts w:ascii="Times New Roman" w:hAnsi="Times New Roman"/>
        </w:rPr>
        <w:t>Daugiau informacijos pateikta pakuotės lapelyje.</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4.</w:t>
      </w:r>
      <w:r>
        <w:rPr>
          <w:rFonts w:ascii="Times New Roman" w:hAnsi="Times New Roman"/>
          <w:b/>
        </w:rPr>
        <w:tab/>
        <w:t>FARMACINĖ FORMA IR KIEKIS PAKUOTĖJE</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highlight w:val="lightGray"/>
        </w:rPr>
        <w:t>Plėvele dengta tabletė.</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u w:val="single"/>
        </w:rPr>
      </w:pPr>
      <w:r>
        <w:rPr>
          <w:rFonts w:ascii="Times New Roman" w:hAnsi="Times New Roman"/>
          <w:highlight w:val="lightGray"/>
          <w:u w:val="single"/>
        </w:rPr>
        <w:t>Lizdinė plokštelė</w:t>
      </w:r>
    </w:p>
    <w:p w:rsidR="00444C66" w:rsidRDefault="00444C66">
      <w:pPr>
        <w:widowControl w:val="0"/>
        <w:spacing w:after="0" w:line="240" w:lineRule="auto"/>
        <w:rPr>
          <w:rFonts w:ascii="Times New Roman" w:hAnsi="Times New Roman"/>
        </w:rPr>
      </w:pPr>
      <w:r>
        <w:rPr>
          <w:rFonts w:ascii="Times New Roman" w:hAnsi="Times New Roman"/>
        </w:rPr>
        <w:t>10 plėvele dengtų tablečių</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14 plėvele dengtų tablečių</w:t>
      </w:r>
    </w:p>
    <w:p w:rsidR="00444C66" w:rsidRDefault="00444C66">
      <w:pPr>
        <w:widowControl w:val="0"/>
        <w:spacing w:after="0" w:line="240" w:lineRule="auto"/>
        <w:rPr>
          <w:rFonts w:ascii="Times New Roman" w:hAnsi="Times New Roman"/>
        </w:rPr>
      </w:pPr>
      <w:r>
        <w:rPr>
          <w:rFonts w:ascii="Times New Roman" w:hAnsi="Times New Roman"/>
          <w:highlight w:val="lightGray"/>
        </w:rPr>
        <w:t>28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lightGray"/>
        </w:rPr>
        <w:t>30 plėvele dengtų tablečių</w:t>
      </w:r>
    </w:p>
    <w:p w:rsidR="00444C66" w:rsidRDefault="00444C66">
      <w:pPr>
        <w:widowControl w:val="0"/>
        <w:spacing w:after="0" w:line="240" w:lineRule="auto"/>
        <w:rPr>
          <w:rFonts w:ascii="Times New Roman" w:hAnsi="Times New Roman"/>
        </w:rPr>
      </w:pPr>
      <w:r>
        <w:rPr>
          <w:rFonts w:ascii="Times New Roman" w:hAnsi="Times New Roman"/>
          <w:highlight w:val="lightGray"/>
        </w:rPr>
        <w:t>56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lightGray"/>
        </w:rPr>
        <w:t>60 plėvele dengtų tablečių</w:t>
      </w:r>
    </w:p>
    <w:p w:rsidR="00444C66" w:rsidRDefault="00444C66">
      <w:pPr>
        <w:widowControl w:val="0"/>
        <w:spacing w:after="0" w:line="240" w:lineRule="auto"/>
        <w:rPr>
          <w:rFonts w:ascii="Times New Roman" w:hAnsi="Times New Roman"/>
        </w:rPr>
      </w:pPr>
      <w:r>
        <w:rPr>
          <w:rFonts w:ascii="Times New Roman" w:hAnsi="Times New Roman"/>
          <w:highlight w:val="lightGray"/>
        </w:rPr>
        <w:t>84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lightGray"/>
        </w:rPr>
        <w:t>90 plėvele dengtų tablečių</w:t>
      </w:r>
    </w:p>
    <w:p w:rsidR="00444C66" w:rsidRDefault="00444C66">
      <w:pPr>
        <w:widowControl w:val="0"/>
        <w:spacing w:after="0" w:line="240" w:lineRule="auto"/>
        <w:rPr>
          <w:rFonts w:ascii="Times New Roman" w:hAnsi="Times New Roman"/>
        </w:rPr>
      </w:pPr>
      <w:r>
        <w:rPr>
          <w:rFonts w:ascii="Times New Roman" w:hAnsi="Times New Roman"/>
          <w:highlight w:val="lightGray"/>
        </w:rPr>
        <w:t>98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lightGray"/>
        </w:rPr>
        <w:t>100 plėvele dengtų tablečių</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rPr>
        <w:t>Tablečių talpyklė</w:t>
      </w:r>
    </w:p>
    <w:p w:rsidR="00444C66" w:rsidRDefault="00444C66">
      <w:pPr>
        <w:widowControl w:val="0"/>
        <w:spacing w:after="0" w:line="240" w:lineRule="auto"/>
        <w:rPr>
          <w:rFonts w:ascii="Times New Roman" w:hAnsi="Times New Roman"/>
        </w:rPr>
      </w:pPr>
      <w:r>
        <w:rPr>
          <w:rFonts w:ascii="Times New Roman" w:hAnsi="Times New Roman"/>
          <w:highlight w:val="lightGray"/>
        </w:rPr>
        <w:t>100 plėvele dengtų tablečių</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rPr>
        <w:t>5.</w:t>
      </w:r>
      <w:r>
        <w:rPr>
          <w:rFonts w:ascii="Times New Roman" w:hAnsi="Times New Roman"/>
          <w:b/>
        </w:rPr>
        <w:tab/>
        <w:t>VARTOJIMO METODAS IR BŪDAS (-AI)</w:t>
      </w:r>
    </w:p>
    <w:p w:rsidR="00444C66" w:rsidRDefault="00444C66">
      <w:pPr>
        <w:widowControl w:val="0"/>
        <w:spacing w:after="0" w:line="240" w:lineRule="auto"/>
        <w:rPr>
          <w:rFonts w:ascii="Times New Roman" w:hAnsi="Times New Roman"/>
          <w:i/>
        </w:rPr>
      </w:pPr>
    </w:p>
    <w:p w:rsidR="00444C66" w:rsidRDefault="00444C66">
      <w:pPr>
        <w:widowControl w:val="0"/>
        <w:spacing w:after="0" w:line="240" w:lineRule="auto"/>
        <w:rPr>
          <w:rFonts w:ascii="Times New Roman" w:hAnsi="Times New Roman"/>
        </w:rPr>
      </w:pPr>
      <w:r>
        <w:rPr>
          <w:rFonts w:ascii="Times New Roman" w:hAnsi="Times New Roman"/>
        </w:rPr>
        <w:t>Prieš vartojimą perskaitykite pakuotės lapelį.</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Vartoti per burną.</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t xml:space="preserve">SPECIALUS ĮSPĖJIMAS, KAD VAISTINĮ PREPARATĄ BŪTINA LAIKYTI </w:t>
      </w:r>
      <w:r>
        <w:rPr>
          <w:rFonts w:ascii="Times New Roman" w:hAnsi="Times New Roman"/>
          <w:b/>
        </w:rPr>
        <w:lastRenderedPageBreak/>
        <w:t>VAIKAMS NEPASTEBIMOJE IR NEPASIEKIAMOJE VIETOJE</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Laikyti vaikams nepastebimoje ir nepasiekiamoje vietoje.</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8.</w:t>
      </w:r>
      <w:r>
        <w:rPr>
          <w:rFonts w:ascii="Times New Roman" w:hAnsi="Times New Roman"/>
          <w:b/>
        </w:rPr>
        <w:tab/>
        <w:t>TINKAMUMO LAIKAS</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Tinka iki (mmMMMM)</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lightGray"/>
        </w:rPr>
        <w:t>EXP (mmMMMM)</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9.</w:t>
      </w:r>
      <w:r>
        <w:rPr>
          <w:rFonts w:ascii="Times New Roman" w:hAnsi="Times New Roman"/>
          <w:b/>
        </w:rPr>
        <w:tab/>
      </w:r>
      <w:r>
        <w:rPr>
          <w:rFonts w:ascii="Times New Roman" w:hAnsi="Times New Roman"/>
          <w:b/>
          <w:caps/>
        </w:rPr>
        <w:t>SPECIALIOS laikymo sąlygos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ind w:left="567" w:hanging="567"/>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rPr>
      </w:pPr>
      <w:r>
        <w:rPr>
          <w:rFonts w:ascii="Times New Roman" w:hAnsi="Times New Roman"/>
          <w:b/>
        </w:rPr>
        <w:t>10.</w:t>
      </w:r>
      <w:r>
        <w:rPr>
          <w:rFonts w:ascii="Times New Roman" w:hAnsi="Times New Roman"/>
          <w:b/>
        </w:rPr>
        <w:tab/>
      </w:r>
      <w:r>
        <w:rPr>
          <w:rFonts w:ascii="Times New Roman" w:hAnsi="Times New Roman"/>
          <w:b/>
          <w:caps/>
        </w:rPr>
        <w:t>specialios atsargumo priemonės DĖL NESUVARTOTO VAISTINIO PREPARATO AR JO ATLIEKU TVARKYMO (jei reikia)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Pr>
          <w:rFonts w:ascii="Times New Roman" w:hAnsi="Times New Roman"/>
          <w:b/>
        </w:rPr>
        <w:t>11.</w:t>
      </w:r>
      <w:r>
        <w:rPr>
          <w:rFonts w:ascii="Times New Roman" w:eastAsia="Times New Roman" w:hAnsi="Times New Roman"/>
          <w:b/>
          <w:caps/>
          <w:lang w:eastAsia="sl-SI"/>
        </w:rPr>
        <w:t>REGISTRUOTOJO</w:t>
      </w:r>
      <w:r>
        <w:rPr>
          <w:rFonts w:ascii="Times New Roman" w:hAnsi="Times New Roman"/>
          <w:b/>
          <w:caps/>
        </w:rPr>
        <w:t xml:space="preserve"> pavadinimas ir adresas</w:t>
      </w:r>
    </w:p>
    <w:p w:rsidR="00444C66" w:rsidRDefault="00444C66">
      <w:pPr>
        <w:widowControl w:val="0"/>
        <w:spacing w:after="0" w:line="240" w:lineRule="auto"/>
        <w:rPr>
          <w:rFonts w:ascii="Times New Roman" w:hAnsi="Times New Roman"/>
        </w:rPr>
      </w:pP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KRKA, d.d., Novo mesto, Šmarješka cesta 6, 8501 Novo mesto, Slovėnija</w:t>
      </w:r>
    </w:p>
    <w:p w:rsidR="00444C66" w:rsidRDefault="00444C66">
      <w:pPr>
        <w:widowControl w:val="0"/>
        <w:autoSpaceDE w:val="0"/>
        <w:autoSpaceDN w:val="0"/>
        <w:adjustRightInd w:val="0"/>
        <w:spacing w:after="0" w:line="240" w:lineRule="auto"/>
        <w:jc w:val="both"/>
        <w:rPr>
          <w:rFonts w:ascii="Times New Roman" w:hAnsi="Times New Roman"/>
          <w:highlight w:val="yellow"/>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Pr>
          <w:rFonts w:ascii="Times New Roman" w:hAnsi="Times New Roman"/>
          <w:b/>
        </w:rPr>
        <w:t>12.</w:t>
      </w:r>
      <w:r>
        <w:rPr>
          <w:rFonts w:ascii="Times New Roman" w:eastAsia="Times New Roman" w:hAnsi="Times New Roman"/>
          <w:b/>
          <w:caps/>
          <w:lang w:eastAsia="sl-SI"/>
        </w:rPr>
        <w:t>REGISTRACIJOS</w:t>
      </w:r>
      <w:r>
        <w:rPr>
          <w:rFonts w:ascii="Times New Roman" w:hAnsi="Times New Roman"/>
          <w:b/>
          <w:caps/>
        </w:rPr>
        <w:t xml:space="preserve"> PAŽYMĖJIMO NUMERIS (-IAI)</w:t>
      </w:r>
    </w:p>
    <w:p w:rsidR="00444C66" w:rsidRDefault="00444C66">
      <w:pPr>
        <w:widowControl w:val="0"/>
        <w:spacing w:after="0" w:line="240" w:lineRule="auto"/>
        <w:outlineLvl w:val="0"/>
        <w:rPr>
          <w:rFonts w:ascii="Times New Roman" w:hAnsi="Times New Roman"/>
        </w:rPr>
      </w:pP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Olimestra 10 mg</w:t>
      </w: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rPr>
        <w:t>Lizdinė plokštelė:</w:t>
      </w:r>
    </w:p>
    <w:p w:rsidR="00444C66" w:rsidRDefault="00444C66">
      <w:pPr>
        <w:widowControl w:val="0"/>
        <w:spacing w:after="0" w:line="240" w:lineRule="auto"/>
        <w:rPr>
          <w:rFonts w:ascii="Times New Roman" w:hAnsi="Times New Roman"/>
        </w:rPr>
      </w:pPr>
      <w:r>
        <w:rPr>
          <w:rFonts w:ascii="Times New Roman" w:hAnsi="Times New Roman"/>
          <w:highlight w:val="lightGray"/>
        </w:rPr>
        <w:t>N10 -</w:t>
      </w:r>
      <w:r>
        <w:rPr>
          <w:rFonts w:ascii="Times New Roman" w:hAnsi="Times New Roman"/>
        </w:rPr>
        <w:t xml:space="preserve"> LT/1/10/2114/001</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N14 - LT/1/10/2114/002</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N28 - LT/1/10/2114/003</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N30 - LT/1/10/2114/004</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N56 - LT/1/10/2114/005</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N60 - LT/1/10/2114/006</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N84 - LT/1/10/2114/007</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N90 - LT/1/10/2114/008</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N98 - LT/1/10/2114/009</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N100 - LT/1/10/2114/010</w:t>
      </w: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rPr>
        <w:t>Tablečių talpyklė:</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N100 - LT/1/10/2114/011</w:t>
      </w:r>
    </w:p>
    <w:p w:rsidR="00444C66" w:rsidRDefault="00444C66">
      <w:pPr>
        <w:widowControl w:val="0"/>
        <w:spacing w:after="0" w:line="240" w:lineRule="auto"/>
        <w:rPr>
          <w:rFonts w:ascii="Times New Roman" w:hAnsi="Times New Roman"/>
          <w:highlight w:val="lightGray"/>
        </w:rPr>
      </w:pP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Olimestra 20 mg</w:t>
      </w: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rPr>
        <w:t>Lizdinė plokštelė:</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N10 - LT/1/10/2114/012</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N14 - LT/1/10/2114/013</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N28 - LT/1/10/2114/014</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N30 - LT/1/10/2114/015</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N56 - LT/1/10/2114/016</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N60 - LT/1/10/2114/017</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N84 - LT/1/10/2114/018</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N90 - LT/1/10/2114/019</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N98 - LT/1/10/2114/020</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lastRenderedPageBreak/>
        <w:t>N100 - LT/1/10/2114/021</w:t>
      </w: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rPr>
        <w:t>Tablečių talpyklė:</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N100 - LT/1/10/2114/022</w:t>
      </w:r>
    </w:p>
    <w:p w:rsidR="00444C66" w:rsidRDefault="00444C66">
      <w:pPr>
        <w:widowControl w:val="0"/>
        <w:tabs>
          <w:tab w:val="left" w:pos="567"/>
        </w:tabs>
        <w:spacing w:after="0" w:line="240" w:lineRule="auto"/>
        <w:rPr>
          <w:rFonts w:ascii="Times New Roman" w:hAnsi="Times New Roman"/>
          <w:highlight w:val="lightGray"/>
        </w:rPr>
      </w:pP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Olimestra 40 mg</w:t>
      </w: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rPr>
        <w:t>Lizdinė plokštelė:</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N10 - LT/1/10/2114/023</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N14 - LT/1/10/2114/024</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N28 - LT/1/10/2114/025</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N30 - LT/1/10/2114/026</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N56 - LT/1/10/2114/027</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N60 - LT/1/10/2114/028</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N84 - LT/1/10/2114/029</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N90 - LT/1/10/2114/030</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N98 - LT/1/10/2114/031</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N100 - LT/1/10/2114/032</w:t>
      </w:r>
    </w:p>
    <w:p w:rsidR="00444C66" w:rsidRDefault="00444C66">
      <w:pPr>
        <w:widowControl w:val="0"/>
        <w:spacing w:after="0" w:line="240" w:lineRule="auto"/>
        <w:rPr>
          <w:rFonts w:ascii="Times New Roman" w:hAnsi="Times New Roman"/>
          <w:highlight w:val="lightGray"/>
          <w:u w:val="single"/>
        </w:rPr>
      </w:pPr>
      <w:r>
        <w:rPr>
          <w:rFonts w:ascii="Times New Roman" w:hAnsi="Times New Roman"/>
          <w:highlight w:val="lightGray"/>
          <w:u w:val="single"/>
        </w:rPr>
        <w:t>Tablečių talpyklė:</w:t>
      </w:r>
    </w:p>
    <w:p w:rsidR="00444C66" w:rsidRDefault="00444C66">
      <w:pPr>
        <w:widowControl w:val="0"/>
        <w:spacing w:after="0" w:line="240" w:lineRule="auto"/>
        <w:rPr>
          <w:rFonts w:ascii="Times New Roman" w:hAnsi="Times New Roman"/>
        </w:rPr>
      </w:pPr>
      <w:r>
        <w:rPr>
          <w:rFonts w:ascii="Times New Roman" w:hAnsi="Times New Roman"/>
          <w:highlight w:val="lightGray"/>
        </w:rPr>
        <w:t>N100 - LT/1/10/2114/033</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rPr>
      </w:pPr>
      <w:r>
        <w:rPr>
          <w:rFonts w:ascii="Times New Roman" w:hAnsi="Times New Roman"/>
          <w:b/>
        </w:rPr>
        <w:t>13.</w:t>
      </w:r>
      <w:r>
        <w:rPr>
          <w:rFonts w:ascii="Times New Roman" w:hAnsi="Times New Roman"/>
          <w:b/>
        </w:rPr>
        <w:tab/>
      </w:r>
      <w:r>
        <w:rPr>
          <w:rFonts w:ascii="Times New Roman" w:hAnsi="Times New Roman"/>
          <w:b/>
          <w:caps/>
        </w:rPr>
        <w:t>SERIJOS NUMERIS</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bookmarkStart w:id="15" w:name="OLE_LINK1"/>
      <w:bookmarkStart w:id="16" w:name="OLE_LINK2"/>
      <w:r>
        <w:rPr>
          <w:rFonts w:ascii="Times New Roman" w:hAnsi="Times New Roman"/>
        </w:rPr>
        <w:t>Serija (numeris)</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lightGray"/>
        </w:rPr>
        <w:t>Lot (numeris)</w:t>
      </w:r>
    </w:p>
    <w:bookmarkEnd w:id="15"/>
    <w:bookmarkEnd w:id="16"/>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Pr>
          <w:rFonts w:ascii="Times New Roman" w:hAnsi="Times New Roman"/>
          <w:b/>
        </w:rPr>
        <w:t>14.</w:t>
      </w:r>
      <w:r>
        <w:rPr>
          <w:rFonts w:ascii="Times New Roman" w:hAnsi="Times New Roman"/>
          <w:b/>
        </w:rPr>
        <w:tab/>
        <w:t>PARDAVIMO (IŠDAVIMO)</w:t>
      </w:r>
      <w:r>
        <w:rPr>
          <w:rFonts w:ascii="Times New Roman" w:hAnsi="Times New Roman"/>
          <w:b/>
          <w:caps/>
        </w:rPr>
        <w:t xml:space="preserve"> tvarka</w:t>
      </w:r>
    </w:p>
    <w:p w:rsidR="00444C66" w:rsidRDefault="00444C66">
      <w:pPr>
        <w:widowControl w:val="0"/>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t>Receptinis vaistas.</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Pr>
          <w:rFonts w:ascii="Times New Roman" w:hAnsi="Times New Roman"/>
          <w:b/>
        </w:rPr>
        <w:t>15.</w:t>
      </w:r>
      <w:r>
        <w:rPr>
          <w:rFonts w:ascii="Times New Roman" w:hAnsi="Times New Roman"/>
          <w:b/>
        </w:rPr>
        <w:tab/>
      </w:r>
      <w:r>
        <w:rPr>
          <w:rFonts w:ascii="Times New Roman" w:hAnsi="Times New Roman"/>
          <w:b/>
          <w:caps/>
        </w:rPr>
        <w:t>vartojimo instrukcijA</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r>
        <w:rPr>
          <w:rFonts w:ascii="Times New Roman" w:hAnsi="Times New Roman"/>
          <w:b/>
        </w:rPr>
        <w:t>16.</w:t>
      </w:r>
      <w:r>
        <w:rPr>
          <w:rFonts w:ascii="Times New Roman" w:hAnsi="Times New Roman"/>
          <w:b/>
        </w:rPr>
        <w:tab/>
      </w:r>
      <w:r>
        <w:rPr>
          <w:rFonts w:ascii="Times New Roman" w:hAnsi="Times New Roman"/>
          <w:b/>
          <w:caps/>
        </w:rPr>
        <w:t>INFORMACIJA BRAILIO RAŠTU</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Olimestra 10 mg</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Olimestra 20 mg</w:t>
      </w:r>
    </w:p>
    <w:p w:rsidR="00444C66" w:rsidRDefault="00444C66">
      <w:pPr>
        <w:widowControl w:val="0"/>
        <w:spacing w:after="0" w:line="240" w:lineRule="auto"/>
        <w:rPr>
          <w:rFonts w:ascii="Times New Roman" w:hAnsi="Times New Roman"/>
        </w:rPr>
      </w:pPr>
      <w:r>
        <w:rPr>
          <w:rFonts w:ascii="Times New Roman" w:hAnsi="Times New Roman"/>
          <w:highlight w:val="lightGray"/>
        </w:rPr>
        <w:t>Olimestra 40 mg</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lang w:val="en-GB"/>
        </w:rPr>
      </w:pPr>
      <w:r>
        <w:rPr>
          <w:rFonts w:ascii="Times New Roman" w:eastAsia="Times New Roman" w:hAnsi="Times New Roman"/>
          <w:b/>
          <w:noProof/>
          <w:lang w:val="en-GB"/>
        </w:rPr>
        <w:t>17.</w:t>
      </w:r>
      <w:r>
        <w:rPr>
          <w:rFonts w:ascii="Times New Roman" w:eastAsia="Times New Roman" w:hAnsi="Times New Roman"/>
          <w:b/>
          <w:noProof/>
          <w:lang w:val="en-GB"/>
        </w:rPr>
        <w:tab/>
        <w:t>UNIKALUS IDENTIFIKATORIUS – 2D BRŪKŠNINIS KODAS</w:t>
      </w:r>
    </w:p>
    <w:p w:rsidR="00444C66" w:rsidRDefault="00444C66">
      <w:pPr>
        <w:widowControl w:val="0"/>
        <w:spacing w:after="0" w:line="240" w:lineRule="auto"/>
        <w:ind w:left="539" w:hanging="539"/>
        <w:rPr>
          <w:rFonts w:ascii="Times New Roman" w:hAnsi="Times New Roman"/>
        </w:rPr>
      </w:pPr>
    </w:p>
    <w:p w:rsidR="00444C66" w:rsidRDefault="00444C66">
      <w:pPr>
        <w:widowControl w:val="0"/>
        <w:spacing w:after="0" w:line="240" w:lineRule="auto"/>
        <w:ind w:left="539" w:hanging="539"/>
        <w:rPr>
          <w:rFonts w:ascii="Times New Roman" w:hAnsi="Times New Roman"/>
          <w:highlight w:val="lightGray"/>
        </w:rPr>
      </w:pPr>
      <w:r>
        <w:rPr>
          <w:rFonts w:ascii="Times New Roman" w:hAnsi="Times New Roman"/>
          <w:highlight w:val="lightGray"/>
        </w:rPr>
        <w:t>&lt;2D brūkšninis kodas su nurodytu unikaliu identifikatoriumi.&gt;</w:t>
      </w:r>
    </w:p>
    <w:p w:rsidR="00444C66" w:rsidRDefault="00444C66">
      <w:pPr>
        <w:widowControl w:val="0"/>
        <w:spacing w:after="0" w:line="240" w:lineRule="auto"/>
        <w:ind w:left="539" w:hanging="539"/>
        <w:rPr>
          <w:rFonts w:ascii="Times New Roman" w:hAnsi="Times New Roman"/>
        </w:rPr>
      </w:pPr>
    </w:p>
    <w:p w:rsidR="00444C66" w:rsidRDefault="00444C66">
      <w:pPr>
        <w:widowControl w:val="0"/>
        <w:tabs>
          <w:tab w:val="left" w:pos="567"/>
        </w:tabs>
        <w:spacing w:after="0" w:line="240" w:lineRule="auto"/>
        <w:ind w:left="539" w:hanging="539"/>
        <w:rPr>
          <w:rFonts w:ascii="Times New Roman" w:eastAsia="Times New Roman" w:hAnsi="Times New Roman"/>
          <w:snapToGrid w:val="0"/>
          <w:lang w:eastAsia="zh-CN"/>
        </w:rPr>
      </w:pPr>
    </w:p>
    <w:p w:rsidR="00444C66" w:rsidRPr="004F5963" w:rsidRDefault="00444C66">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lang w:val="pl-PL"/>
        </w:rPr>
      </w:pPr>
      <w:r w:rsidRPr="004F5963">
        <w:rPr>
          <w:rFonts w:ascii="Times New Roman" w:eastAsia="Times New Roman" w:hAnsi="Times New Roman"/>
          <w:b/>
          <w:noProof/>
          <w:lang w:val="pl-PL"/>
        </w:rPr>
        <w:t>18.</w:t>
      </w:r>
      <w:r w:rsidRPr="004F5963">
        <w:rPr>
          <w:rFonts w:ascii="Times New Roman" w:eastAsia="Times New Roman" w:hAnsi="Times New Roman"/>
          <w:b/>
          <w:noProof/>
          <w:lang w:val="pl-PL"/>
        </w:rPr>
        <w:tab/>
        <w:t>UNIKALUS IDENTIFIKATORIUS – ŽMONĖMS SUPRANTAMI DUOMENYS</w:t>
      </w:r>
    </w:p>
    <w:p w:rsidR="00444C66" w:rsidRDefault="00444C66">
      <w:pPr>
        <w:widowControl w:val="0"/>
        <w:spacing w:after="0" w:line="240" w:lineRule="auto"/>
        <w:ind w:left="539" w:hanging="539"/>
        <w:rPr>
          <w:rFonts w:ascii="Times New Roman" w:hAnsi="Times New Roman"/>
        </w:rPr>
      </w:pPr>
    </w:p>
    <w:p w:rsidR="00444C66" w:rsidRDefault="00444C66">
      <w:pPr>
        <w:widowControl w:val="0"/>
        <w:spacing w:after="0" w:line="240" w:lineRule="auto"/>
        <w:ind w:left="539" w:hanging="539"/>
        <w:rPr>
          <w:rFonts w:ascii="Times New Roman" w:hAnsi="Times New Roman"/>
        </w:rPr>
      </w:pPr>
      <w:r>
        <w:rPr>
          <w:rFonts w:ascii="Times New Roman" w:hAnsi="Times New Roman"/>
        </w:rPr>
        <w:t>PC</w:t>
      </w:r>
    </w:p>
    <w:p w:rsidR="00444C66" w:rsidRDefault="00444C66">
      <w:pPr>
        <w:widowControl w:val="0"/>
        <w:spacing w:after="0" w:line="240" w:lineRule="auto"/>
        <w:ind w:left="539" w:hanging="539"/>
        <w:rPr>
          <w:rFonts w:ascii="Times New Roman" w:hAnsi="Times New Roman"/>
        </w:rPr>
      </w:pPr>
      <w:r>
        <w:rPr>
          <w:rFonts w:ascii="Times New Roman" w:hAnsi="Times New Roman"/>
        </w:rPr>
        <w:t>SN</w:t>
      </w:r>
    </w:p>
    <w:p w:rsidR="00444C66" w:rsidRDefault="00444C66">
      <w:pPr>
        <w:widowControl w:val="0"/>
        <w:spacing w:after="0" w:line="240" w:lineRule="auto"/>
        <w:ind w:left="539" w:hanging="539"/>
        <w:rPr>
          <w:rFonts w:ascii="Times New Roman" w:hAnsi="Times New Roman"/>
        </w:rPr>
      </w:pPr>
      <w:r>
        <w:rPr>
          <w:rFonts w:ascii="Times New Roman" w:hAnsi="Times New Roman"/>
          <w:highlight w:val="lightGray"/>
        </w:rPr>
        <w:t>NN</w:t>
      </w:r>
    </w:p>
    <w:p w:rsidR="00444C66" w:rsidRDefault="00444C66">
      <w:pPr>
        <w:widowControl w:val="0"/>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r>
        <w:rPr>
          <w:rFonts w:ascii="Times New Roman" w:hAnsi="Times New Roman"/>
          <w:highlight w:val="darkGray"/>
        </w:rPr>
        <w:br w:type="page"/>
      </w:r>
      <w:r>
        <w:rPr>
          <w:rFonts w:ascii="Times New Roman" w:hAnsi="Times New Roman"/>
          <w:b/>
        </w:rPr>
        <w:lastRenderedPageBreak/>
        <w:t xml:space="preserve">MINIMALI </w:t>
      </w:r>
      <w:r>
        <w:rPr>
          <w:rFonts w:ascii="Times New Roman" w:hAnsi="Times New Roman"/>
          <w:b/>
          <w:caps/>
        </w:rPr>
        <w:t>informacija ant mažų VIDINIŲ pakuočių</w:t>
      </w:r>
    </w:p>
    <w:p w:rsidR="00444C66" w:rsidRDefault="00444C6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rPr>
      </w:pPr>
    </w:p>
    <w:p w:rsidR="00444C66" w:rsidRDefault="00444C66">
      <w:pPr>
        <w:widowControl w:val="0"/>
        <w:pBdr>
          <w:top w:val="single" w:sz="4" w:space="1" w:color="auto"/>
          <w:left w:val="single" w:sz="4" w:space="4" w:color="auto"/>
          <w:bottom w:val="single" w:sz="4" w:space="1" w:color="auto"/>
          <w:right w:val="single" w:sz="4" w:space="4" w:color="auto"/>
        </w:pBdr>
        <w:tabs>
          <w:tab w:val="left" w:pos="708"/>
        </w:tabs>
        <w:spacing w:after="0" w:line="240" w:lineRule="auto"/>
        <w:rPr>
          <w:rFonts w:ascii="Times New Roman" w:hAnsi="Times New Roman"/>
          <w:b/>
          <w:caps/>
        </w:rPr>
      </w:pPr>
      <w:r>
        <w:rPr>
          <w:rFonts w:ascii="Times New Roman" w:hAnsi="Times New Roman"/>
          <w:b/>
          <w:caps/>
        </w:rPr>
        <w:t>Tablečių talpyklės etiketė</w:t>
      </w: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 PREPARATO PAVADINIMAS IR VARTOJIMO BŪDAS (-AI)</w:t>
      </w:r>
    </w:p>
    <w:p w:rsidR="00444C66" w:rsidRDefault="00444C66">
      <w:pPr>
        <w:widowControl w:val="0"/>
        <w:tabs>
          <w:tab w:val="left" w:pos="708"/>
        </w:tabs>
        <w:spacing w:after="0" w:line="240" w:lineRule="auto"/>
        <w:ind w:left="567" w:hanging="567"/>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Olimestra 10 mg plėvele dengtos tabletės</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Olimestra 20 mg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lightGray"/>
        </w:rPr>
        <w:t>Olimestra 40 mg plėvele dengtos tabletės</w:t>
      </w:r>
    </w:p>
    <w:p w:rsidR="00444C66" w:rsidRDefault="00444C66">
      <w:pPr>
        <w:widowControl w:val="0"/>
        <w:spacing w:after="0" w:line="240" w:lineRule="auto"/>
        <w:rPr>
          <w:rFonts w:ascii="Times New Roman" w:hAnsi="Times New Roman"/>
        </w:rPr>
      </w:pPr>
    </w:p>
    <w:p w:rsidR="00444C66" w:rsidRDefault="00444C66">
      <w:pPr>
        <w:widowControl w:val="0"/>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olmesartanas medoksomilis</w:t>
      </w: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tabs>
          <w:tab w:val="left" w:pos="708"/>
        </w:tabs>
        <w:spacing w:after="0" w:line="240" w:lineRule="auto"/>
        <w:rPr>
          <w:rFonts w:ascii="Times New Roman" w:hAnsi="Times New Roman"/>
        </w:rPr>
      </w:pPr>
      <w:r>
        <w:rPr>
          <w:rFonts w:ascii="Times New Roman" w:hAnsi="Times New Roman"/>
        </w:rPr>
        <w:t>Vartoti per burną.</w:t>
      </w: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hAnsi="Times New Roman"/>
          <w:b/>
          <w:caps/>
        </w:rPr>
      </w:pPr>
      <w:r>
        <w:rPr>
          <w:rFonts w:ascii="Times New Roman" w:hAnsi="Times New Roman"/>
          <w:b/>
        </w:rPr>
        <w:t>2.</w:t>
      </w:r>
      <w:r>
        <w:rPr>
          <w:rFonts w:ascii="Times New Roman" w:hAnsi="Times New Roman"/>
          <w:b/>
        </w:rPr>
        <w:tab/>
      </w:r>
      <w:r>
        <w:rPr>
          <w:rFonts w:ascii="Times New Roman" w:hAnsi="Times New Roman"/>
          <w:b/>
          <w:caps/>
        </w:rPr>
        <w:t>VARTOJIMO METODAS</w:t>
      </w: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Prieš vartojimą perskaitykite pakuotės lapelį.</w:t>
      </w:r>
    </w:p>
    <w:p w:rsidR="00444C66" w:rsidRDefault="00444C66">
      <w:pPr>
        <w:widowControl w:val="0"/>
        <w:tabs>
          <w:tab w:val="left" w:pos="708"/>
        </w:tabs>
        <w:spacing w:after="0" w:line="240" w:lineRule="auto"/>
        <w:rPr>
          <w:rFonts w:ascii="Times New Roman" w:hAnsi="Times New Roman"/>
          <w:i/>
        </w:rPr>
      </w:pP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hAnsi="Times New Roman"/>
          <w:b/>
          <w:caps/>
        </w:rPr>
      </w:pPr>
      <w:r>
        <w:rPr>
          <w:rFonts w:ascii="Times New Roman" w:hAnsi="Times New Roman"/>
          <w:b/>
        </w:rPr>
        <w:t>3.</w:t>
      </w:r>
      <w:r>
        <w:rPr>
          <w:rFonts w:ascii="Times New Roman" w:hAnsi="Times New Roman"/>
          <w:b/>
        </w:rPr>
        <w:tab/>
      </w:r>
      <w:r>
        <w:rPr>
          <w:rFonts w:ascii="Times New Roman" w:hAnsi="Times New Roman"/>
          <w:b/>
          <w:caps/>
        </w:rPr>
        <w:t>tinkamumo laikas</w:t>
      </w: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EXP (mmMMMM)</w:t>
      </w: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hAnsi="Times New Roman"/>
          <w:b/>
          <w:caps/>
        </w:rPr>
      </w:pPr>
      <w:r>
        <w:rPr>
          <w:rFonts w:ascii="Times New Roman" w:hAnsi="Times New Roman"/>
          <w:b/>
        </w:rPr>
        <w:t>4.</w:t>
      </w:r>
      <w:r>
        <w:rPr>
          <w:rFonts w:ascii="Times New Roman" w:hAnsi="Times New Roman"/>
          <w:b/>
        </w:rPr>
        <w:tab/>
      </w:r>
      <w:r>
        <w:rPr>
          <w:rFonts w:ascii="Times New Roman" w:hAnsi="Times New Roman"/>
          <w:b/>
          <w:caps/>
        </w:rPr>
        <w:t>serijos numeris</w:t>
      </w:r>
    </w:p>
    <w:p w:rsidR="00444C66" w:rsidRDefault="00444C66">
      <w:pPr>
        <w:widowControl w:val="0"/>
        <w:tabs>
          <w:tab w:val="left" w:pos="708"/>
        </w:tabs>
        <w:spacing w:after="0" w:line="240" w:lineRule="auto"/>
        <w:ind w:right="113"/>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Lot (numeris)</w:t>
      </w:r>
    </w:p>
    <w:p w:rsidR="00444C66" w:rsidRDefault="00444C66">
      <w:pPr>
        <w:widowControl w:val="0"/>
        <w:tabs>
          <w:tab w:val="left" w:pos="708"/>
        </w:tabs>
        <w:spacing w:after="0" w:line="240" w:lineRule="auto"/>
        <w:ind w:right="113"/>
        <w:rPr>
          <w:rFonts w:ascii="Times New Roman" w:hAnsi="Times New Roman"/>
        </w:rPr>
      </w:pPr>
    </w:p>
    <w:p w:rsidR="00444C66" w:rsidRDefault="00444C66">
      <w:pPr>
        <w:widowControl w:val="0"/>
        <w:tabs>
          <w:tab w:val="left" w:pos="708"/>
        </w:tabs>
        <w:spacing w:after="0" w:line="240" w:lineRule="auto"/>
        <w:ind w:right="113"/>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hAnsi="Times New Roman"/>
          <w:b/>
          <w:caps/>
        </w:rPr>
      </w:pPr>
      <w:r>
        <w:rPr>
          <w:rFonts w:ascii="Times New Roman" w:hAnsi="Times New Roman"/>
          <w:b/>
        </w:rPr>
        <w:t>5.</w:t>
      </w:r>
      <w:r>
        <w:rPr>
          <w:rFonts w:ascii="Times New Roman" w:hAnsi="Times New Roman"/>
          <w:b/>
        </w:rPr>
        <w:tab/>
      </w:r>
      <w:r>
        <w:rPr>
          <w:rFonts w:ascii="Times New Roman" w:hAnsi="Times New Roman"/>
          <w:b/>
          <w:caps/>
        </w:rPr>
        <w:t>kiekis (MASĖ, TŪRIS ARBA VIENETAI)</w:t>
      </w:r>
    </w:p>
    <w:p w:rsidR="00444C66" w:rsidRDefault="00444C66">
      <w:pPr>
        <w:widowControl w:val="0"/>
        <w:tabs>
          <w:tab w:val="left" w:pos="708"/>
        </w:tabs>
        <w:spacing w:after="0" w:line="240" w:lineRule="auto"/>
        <w:ind w:right="113"/>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100 plėvele dengtų tablečių</w:t>
      </w:r>
    </w:p>
    <w:p w:rsidR="00444C66" w:rsidRDefault="00444C66">
      <w:pPr>
        <w:widowControl w:val="0"/>
        <w:tabs>
          <w:tab w:val="left" w:pos="708"/>
        </w:tabs>
        <w:spacing w:after="0" w:line="240" w:lineRule="auto"/>
        <w:ind w:right="113"/>
        <w:rPr>
          <w:rFonts w:ascii="Times New Roman" w:hAnsi="Times New Roman"/>
        </w:rPr>
      </w:pPr>
    </w:p>
    <w:p w:rsidR="00444C66" w:rsidRDefault="00444C66">
      <w:pPr>
        <w:widowControl w:val="0"/>
        <w:tabs>
          <w:tab w:val="left" w:pos="708"/>
        </w:tabs>
        <w:spacing w:after="0" w:line="240" w:lineRule="auto"/>
        <w:ind w:right="113"/>
        <w:rPr>
          <w:rFonts w:ascii="Times New Roman" w:hAnsi="Times New Roman"/>
        </w:rPr>
      </w:pPr>
    </w:p>
    <w:p w:rsidR="00444C66" w:rsidRDefault="00444C6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outlineLvl w:val="0"/>
        <w:rPr>
          <w:rFonts w:ascii="Times New Roman" w:hAnsi="Times New Roman"/>
          <w:b/>
          <w:caps/>
        </w:rPr>
      </w:pPr>
      <w:r>
        <w:rPr>
          <w:rFonts w:ascii="Times New Roman" w:hAnsi="Times New Roman"/>
          <w:b/>
        </w:rPr>
        <w:t>6.</w:t>
      </w:r>
      <w:r>
        <w:rPr>
          <w:rFonts w:ascii="Times New Roman" w:hAnsi="Times New Roman"/>
          <w:b/>
        </w:rPr>
        <w:tab/>
      </w:r>
      <w:r>
        <w:rPr>
          <w:rFonts w:ascii="Times New Roman" w:hAnsi="Times New Roman"/>
          <w:b/>
          <w:caps/>
        </w:rPr>
        <w:t>KITA</w:t>
      </w:r>
    </w:p>
    <w:p w:rsidR="00444C66" w:rsidRDefault="00444C66">
      <w:pPr>
        <w:widowControl w:val="0"/>
        <w:tabs>
          <w:tab w:val="left" w:pos="708"/>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287"/>
      </w:tblGrid>
      <w:tr w:rsidR="00444C66">
        <w:trPr>
          <w:trHeight w:val="785"/>
        </w:trPr>
        <w:tc>
          <w:tcPr>
            <w:tcW w:w="9287" w:type="dxa"/>
          </w:tcPr>
          <w:p w:rsidR="00444C66" w:rsidRDefault="00444C66">
            <w:pPr>
              <w:widowControl w:val="0"/>
              <w:pBdr>
                <w:between w:val="single" w:sz="4" w:space="1" w:color="auto"/>
              </w:pBdr>
              <w:tabs>
                <w:tab w:val="left" w:pos="567"/>
              </w:tabs>
              <w:spacing w:after="0" w:line="240" w:lineRule="auto"/>
              <w:rPr>
                <w:rFonts w:ascii="Times New Roman" w:hAnsi="Times New Roman"/>
                <w:b/>
              </w:rPr>
            </w:pPr>
            <w:r>
              <w:rPr>
                <w:rFonts w:ascii="Times New Roman" w:hAnsi="Times New Roman"/>
                <w:b/>
              </w:rPr>
              <w:lastRenderedPageBreak/>
              <w:br w:type="page"/>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rsidR="00444C66" w:rsidRDefault="00444C66">
            <w:pPr>
              <w:widowControl w:val="0"/>
              <w:tabs>
                <w:tab w:val="left" w:pos="567"/>
              </w:tabs>
              <w:spacing w:after="0" w:line="240" w:lineRule="auto"/>
              <w:rPr>
                <w:rFonts w:ascii="Times New Roman" w:hAnsi="Times New Roman"/>
                <w:b/>
              </w:rPr>
            </w:pPr>
          </w:p>
          <w:p w:rsidR="00444C66" w:rsidRDefault="00444C66">
            <w:pPr>
              <w:widowControl w:val="0"/>
              <w:tabs>
                <w:tab w:val="left" w:pos="567"/>
              </w:tabs>
              <w:spacing w:after="0" w:line="240" w:lineRule="auto"/>
              <w:rPr>
                <w:rFonts w:ascii="Times New Roman" w:hAnsi="Times New Roman"/>
                <w:b/>
              </w:rPr>
            </w:pPr>
            <w:r>
              <w:rPr>
                <w:rFonts w:ascii="Times New Roman" w:hAnsi="Times New Roman"/>
                <w:b/>
              </w:rPr>
              <w:t>LIZDINĖ PLOKŠTELĖ</w:t>
            </w:r>
          </w:p>
        </w:tc>
      </w:tr>
    </w:tbl>
    <w:p w:rsidR="00444C66" w:rsidRDefault="00444C66">
      <w:pPr>
        <w:widowControl w:val="0"/>
        <w:spacing w:after="0" w:line="240" w:lineRule="auto"/>
        <w:rPr>
          <w:rFonts w:ascii="Times New Roman" w:hAnsi="Times New Roman"/>
          <w:b/>
        </w:rPr>
      </w:pPr>
    </w:p>
    <w:p w:rsidR="00444C66" w:rsidRDefault="00444C66">
      <w:pPr>
        <w:widowControl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4C66">
        <w:tc>
          <w:tcPr>
            <w:tcW w:w="9287" w:type="dxa"/>
          </w:tcPr>
          <w:p w:rsidR="00444C66" w:rsidRDefault="00444C66">
            <w:pPr>
              <w:widowControl w:val="0"/>
              <w:tabs>
                <w:tab w:val="left" w:pos="142"/>
              </w:tabs>
              <w:spacing w:after="0" w:line="240" w:lineRule="auto"/>
              <w:ind w:left="567" w:hanging="567"/>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 preparato pavadinimas</w:t>
            </w:r>
          </w:p>
        </w:tc>
      </w:tr>
    </w:tbl>
    <w:p w:rsidR="00444C66" w:rsidRDefault="00444C66">
      <w:pPr>
        <w:widowControl w:val="0"/>
        <w:spacing w:after="0" w:line="240" w:lineRule="auto"/>
        <w:ind w:left="567" w:hanging="567"/>
        <w:rPr>
          <w:rFonts w:ascii="Times New Roman" w:hAnsi="Times New Roman"/>
        </w:rPr>
      </w:pPr>
    </w:p>
    <w:p w:rsidR="00444C66" w:rsidRDefault="00444C66">
      <w:pPr>
        <w:widowControl w:val="0"/>
        <w:spacing w:after="0" w:line="240" w:lineRule="auto"/>
        <w:rPr>
          <w:rFonts w:ascii="Times New Roman" w:hAnsi="Times New Roman"/>
        </w:rPr>
      </w:pPr>
      <w:r>
        <w:rPr>
          <w:rFonts w:ascii="Times New Roman" w:hAnsi="Times New Roman"/>
        </w:rPr>
        <w:t>Olimestra 10 mg plėvele dengtos tabletės</w:t>
      </w:r>
    </w:p>
    <w:p w:rsidR="00444C66" w:rsidRDefault="00444C66">
      <w:pPr>
        <w:widowControl w:val="0"/>
        <w:spacing w:after="0" w:line="240" w:lineRule="auto"/>
        <w:rPr>
          <w:rFonts w:ascii="Times New Roman" w:hAnsi="Times New Roman"/>
          <w:highlight w:val="lightGray"/>
        </w:rPr>
      </w:pPr>
      <w:r>
        <w:rPr>
          <w:rFonts w:ascii="Times New Roman" w:hAnsi="Times New Roman"/>
          <w:highlight w:val="lightGray"/>
        </w:rPr>
        <w:t>Olimestra 20 mg plėvele dengtos tabletės</w:t>
      </w:r>
    </w:p>
    <w:p w:rsidR="00444C66" w:rsidRDefault="00444C66">
      <w:pPr>
        <w:widowControl w:val="0"/>
        <w:spacing w:after="0" w:line="240" w:lineRule="auto"/>
        <w:rPr>
          <w:rFonts w:ascii="Times New Roman" w:hAnsi="Times New Roman"/>
        </w:rPr>
      </w:pPr>
      <w:r>
        <w:rPr>
          <w:rFonts w:ascii="Times New Roman" w:hAnsi="Times New Roman"/>
          <w:highlight w:val="lightGray"/>
        </w:rPr>
        <w:t>Olimestra 40 mg plėvele dengtos tabletės</w:t>
      </w:r>
    </w:p>
    <w:p w:rsidR="00444C66" w:rsidRDefault="00444C66">
      <w:pPr>
        <w:widowControl w:val="0"/>
        <w:spacing w:after="0" w:line="240" w:lineRule="auto"/>
        <w:rPr>
          <w:rFonts w:ascii="Times New Roman" w:hAnsi="Times New Roman"/>
        </w:rPr>
      </w:pPr>
    </w:p>
    <w:p w:rsidR="00444C66" w:rsidRDefault="00444C66">
      <w:pPr>
        <w:widowControl w:val="0"/>
        <w:overflowPunct w:val="0"/>
        <w:autoSpaceDE w:val="0"/>
        <w:autoSpaceDN w:val="0"/>
        <w:adjustRightInd w:val="0"/>
        <w:spacing w:after="0" w:line="240" w:lineRule="auto"/>
        <w:jc w:val="both"/>
        <w:textAlignment w:val="baseline"/>
        <w:rPr>
          <w:rFonts w:ascii="Times New Roman" w:hAnsi="Times New Roman"/>
        </w:rPr>
      </w:pPr>
      <w:r>
        <w:rPr>
          <w:rFonts w:ascii="Times New Roman" w:hAnsi="Times New Roman"/>
        </w:rPr>
        <w:t>olmesartanas medoksomilis</w:t>
      </w:r>
    </w:p>
    <w:p w:rsidR="00444C66" w:rsidRDefault="00444C66">
      <w:pPr>
        <w:widowControl w:val="0"/>
        <w:spacing w:after="0" w:line="240" w:lineRule="auto"/>
        <w:rPr>
          <w:rFonts w:ascii="Times New Roman" w:hAnsi="Times New Roman"/>
          <w:b/>
        </w:rPr>
      </w:pPr>
    </w:p>
    <w:p w:rsidR="00444C66" w:rsidRDefault="00444C66">
      <w:pPr>
        <w:widowControl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4C66">
        <w:tc>
          <w:tcPr>
            <w:tcW w:w="9287" w:type="dxa"/>
          </w:tcPr>
          <w:p w:rsidR="00444C66" w:rsidRDefault="00444C66">
            <w:pPr>
              <w:widowControl w:val="0"/>
              <w:tabs>
                <w:tab w:val="left" w:pos="142"/>
              </w:tabs>
              <w:spacing w:after="0" w:line="240" w:lineRule="auto"/>
              <w:ind w:left="567" w:hanging="567"/>
              <w:rPr>
                <w:rFonts w:ascii="Times New Roman" w:hAnsi="Times New Roman"/>
                <w:b/>
              </w:rPr>
            </w:pPr>
            <w:r>
              <w:rPr>
                <w:rFonts w:ascii="Times New Roman" w:hAnsi="Times New Roman"/>
                <w:b/>
              </w:rPr>
              <w:t>2.</w:t>
            </w:r>
            <w:r>
              <w:rPr>
                <w:rFonts w:ascii="Times New Roman" w:hAnsi="Times New Roman"/>
                <w:b/>
              </w:rPr>
              <w:tab/>
            </w:r>
            <w:r>
              <w:rPr>
                <w:rFonts w:ascii="Times New Roman" w:eastAsia="Times New Roman" w:hAnsi="Times New Roman"/>
                <w:b/>
                <w:caps/>
                <w:lang w:eastAsia="sl-SI"/>
              </w:rPr>
              <w:t>Registruotojo</w:t>
            </w:r>
            <w:r>
              <w:rPr>
                <w:rFonts w:ascii="Times New Roman" w:hAnsi="Times New Roman"/>
                <w:b/>
                <w:caps/>
              </w:rPr>
              <w:t xml:space="preserve"> pavadinimas</w:t>
            </w:r>
          </w:p>
        </w:tc>
      </w:tr>
    </w:tbl>
    <w:p w:rsidR="00444C66" w:rsidRDefault="00444C66">
      <w:pPr>
        <w:widowControl w:val="0"/>
        <w:spacing w:after="0" w:line="240" w:lineRule="auto"/>
        <w:rPr>
          <w:rFonts w:ascii="Times New Roman" w:hAnsi="Times New Roman"/>
          <w:b/>
        </w:rPr>
      </w:pPr>
    </w:p>
    <w:p w:rsidR="00444C66" w:rsidRDefault="00444C66">
      <w:pPr>
        <w:widowControl w:val="0"/>
        <w:spacing w:after="0" w:line="240" w:lineRule="auto"/>
        <w:rPr>
          <w:rFonts w:ascii="Times New Roman" w:hAnsi="Times New Roman"/>
        </w:rPr>
      </w:pPr>
      <w:r>
        <w:rPr>
          <w:rFonts w:ascii="Times New Roman" w:hAnsi="Times New Roman"/>
        </w:rPr>
        <w:t>KRKA</w:t>
      </w:r>
    </w:p>
    <w:p w:rsidR="00444C66" w:rsidRDefault="00444C66">
      <w:pPr>
        <w:widowControl w:val="0"/>
        <w:spacing w:after="0" w:line="240" w:lineRule="auto"/>
        <w:rPr>
          <w:rFonts w:ascii="Times New Roman" w:hAnsi="Times New Roman"/>
          <w:b/>
        </w:rPr>
      </w:pPr>
    </w:p>
    <w:p w:rsidR="00444C66" w:rsidRDefault="00444C66">
      <w:pPr>
        <w:widowControl w:val="0"/>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4C66">
        <w:tc>
          <w:tcPr>
            <w:tcW w:w="9287" w:type="dxa"/>
          </w:tcPr>
          <w:p w:rsidR="00444C66" w:rsidRDefault="00444C66">
            <w:pPr>
              <w:widowControl w:val="0"/>
              <w:tabs>
                <w:tab w:val="left" w:pos="142"/>
              </w:tabs>
              <w:spacing w:after="0" w:line="240" w:lineRule="auto"/>
              <w:ind w:left="567" w:hanging="567"/>
              <w:rPr>
                <w:rFonts w:ascii="Times New Roman" w:hAnsi="Times New Roman"/>
                <w:b/>
              </w:rPr>
            </w:pPr>
            <w:r>
              <w:rPr>
                <w:rFonts w:ascii="Times New Roman" w:hAnsi="Times New Roman"/>
                <w:b/>
              </w:rPr>
              <w:t>3.</w:t>
            </w:r>
            <w:r>
              <w:rPr>
                <w:rFonts w:ascii="Times New Roman" w:hAnsi="Times New Roman"/>
                <w:b/>
              </w:rPr>
              <w:tab/>
            </w:r>
            <w:r>
              <w:rPr>
                <w:rFonts w:ascii="Times New Roman" w:hAnsi="Times New Roman"/>
                <w:b/>
                <w:caps/>
              </w:rPr>
              <w:t>tinkamumo laikas</w:t>
            </w:r>
          </w:p>
        </w:tc>
      </w:tr>
    </w:tbl>
    <w:p w:rsidR="00444C66" w:rsidRDefault="00444C66">
      <w:pPr>
        <w:widowControl w:val="0"/>
        <w:spacing w:after="0" w:line="240" w:lineRule="auto"/>
        <w:rPr>
          <w:rFonts w:ascii="Times New Roman" w:hAnsi="Times New Roman"/>
          <w:b/>
        </w:rPr>
      </w:pPr>
    </w:p>
    <w:p w:rsidR="00444C66" w:rsidRDefault="00444C66">
      <w:pPr>
        <w:widowControl w:val="0"/>
        <w:spacing w:after="0" w:line="240" w:lineRule="auto"/>
        <w:rPr>
          <w:rFonts w:ascii="Times New Roman" w:hAnsi="Times New Roman"/>
        </w:rPr>
      </w:pPr>
      <w:r>
        <w:rPr>
          <w:rFonts w:ascii="Times New Roman" w:hAnsi="Times New Roman"/>
        </w:rPr>
        <w:t>EXP (mmMMMM)</w:t>
      </w:r>
    </w:p>
    <w:p w:rsidR="00444C66" w:rsidRDefault="00444C66">
      <w:pPr>
        <w:widowControl w:val="0"/>
        <w:spacing w:after="0" w:line="240" w:lineRule="auto"/>
        <w:rPr>
          <w:rFonts w:ascii="Times New Roman" w:hAnsi="Times New Roman"/>
        </w:rPr>
      </w:pPr>
    </w:p>
    <w:p w:rsidR="00444C66" w:rsidRDefault="00444C66">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4C66">
        <w:tc>
          <w:tcPr>
            <w:tcW w:w="9287" w:type="dxa"/>
          </w:tcPr>
          <w:p w:rsidR="00444C66" w:rsidRDefault="00444C66">
            <w:pPr>
              <w:widowControl w:val="0"/>
              <w:tabs>
                <w:tab w:val="left" w:pos="142"/>
              </w:tabs>
              <w:spacing w:after="0" w:line="240" w:lineRule="auto"/>
              <w:ind w:left="567" w:hanging="567"/>
              <w:rPr>
                <w:rFonts w:ascii="Times New Roman" w:hAnsi="Times New Roman"/>
                <w:b/>
              </w:rPr>
            </w:pPr>
            <w:r>
              <w:rPr>
                <w:rFonts w:ascii="Times New Roman" w:hAnsi="Times New Roman"/>
                <w:b/>
              </w:rPr>
              <w:t>4.</w:t>
            </w:r>
            <w:r>
              <w:rPr>
                <w:rFonts w:ascii="Times New Roman" w:hAnsi="Times New Roman"/>
                <w:b/>
              </w:rPr>
              <w:tab/>
              <w:t>SERIJOS NUMERIS</w:t>
            </w:r>
          </w:p>
        </w:tc>
      </w:tr>
    </w:tbl>
    <w:p w:rsidR="00444C66" w:rsidRDefault="00444C66">
      <w:pPr>
        <w:widowControl w:val="0"/>
        <w:spacing w:after="0" w:line="240" w:lineRule="auto"/>
        <w:ind w:right="113"/>
        <w:rPr>
          <w:rFonts w:ascii="Times New Roman" w:hAnsi="Times New Roman"/>
        </w:rPr>
      </w:pPr>
    </w:p>
    <w:p w:rsidR="00444C66" w:rsidRDefault="00444C66">
      <w:pPr>
        <w:widowControl w:val="0"/>
        <w:spacing w:after="0" w:line="240" w:lineRule="auto"/>
        <w:ind w:right="113"/>
        <w:rPr>
          <w:rFonts w:ascii="Times New Roman" w:hAnsi="Times New Roman"/>
        </w:rPr>
      </w:pPr>
      <w:r>
        <w:rPr>
          <w:rFonts w:ascii="Times New Roman" w:hAnsi="Times New Roman"/>
        </w:rPr>
        <w:t>Lot (numeris)</w:t>
      </w:r>
    </w:p>
    <w:p w:rsidR="00444C66" w:rsidRDefault="00444C66">
      <w:pPr>
        <w:widowControl w:val="0"/>
        <w:spacing w:after="0" w:line="240" w:lineRule="auto"/>
        <w:ind w:right="113"/>
        <w:rPr>
          <w:rFonts w:ascii="Times New Roman" w:hAnsi="Times New Roman"/>
        </w:rPr>
      </w:pPr>
    </w:p>
    <w:p w:rsidR="00444C66" w:rsidRDefault="00444C66">
      <w:pPr>
        <w:widowControl w:val="0"/>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44C66">
        <w:tc>
          <w:tcPr>
            <w:tcW w:w="9287" w:type="dxa"/>
          </w:tcPr>
          <w:p w:rsidR="00444C66" w:rsidRDefault="00444C66">
            <w:pPr>
              <w:widowControl w:val="0"/>
              <w:tabs>
                <w:tab w:val="left" w:pos="142"/>
              </w:tabs>
              <w:spacing w:after="0" w:line="240" w:lineRule="auto"/>
              <w:ind w:left="567" w:hanging="567"/>
              <w:rPr>
                <w:rFonts w:ascii="Times New Roman" w:hAnsi="Times New Roman"/>
                <w:b/>
              </w:rPr>
            </w:pPr>
            <w:r>
              <w:rPr>
                <w:rFonts w:ascii="Times New Roman" w:hAnsi="Times New Roman"/>
                <w:b/>
              </w:rPr>
              <w:t>5.</w:t>
            </w:r>
            <w:r>
              <w:rPr>
                <w:rFonts w:ascii="Times New Roman" w:hAnsi="Times New Roman"/>
                <w:b/>
              </w:rPr>
              <w:tab/>
              <w:t>KITA</w:t>
            </w:r>
          </w:p>
        </w:tc>
      </w:tr>
    </w:tbl>
    <w:p w:rsidR="00444C66" w:rsidRDefault="00444C66">
      <w:pPr>
        <w:widowControl w:val="0"/>
        <w:spacing w:after="0" w:line="240" w:lineRule="auto"/>
        <w:ind w:right="113"/>
        <w:rPr>
          <w:rFonts w:ascii="Times New Roman" w:hAnsi="Times New Roman"/>
        </w:rPr>
      </w:pPr>
    </w:p>
    <w:p w:rsidR="00444C66" w:rsidRDefault="00444C66">
      <w:pPr>
        <w:widowControl w:val="0"/>
        <w:spacing w:after="0" w:line="240" w:lineRule="auto"/>
        <w:ind w:right="113"/>
        <w:rPr>
          <w:rFonts w:ascii="Times New Roman" w:hAnsi="Times New Roman"/>
        </w:rPr>
      </w:pPr>
      <w:r>
        <w:rPr>
          <w:rFonts w:ascii="Times New Roman" w:hAnsi="Times New Roman"/>
          <w:i/>
        </w:rPr>
        <w:br w:type="page"/>
      </w: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spacing w:after="0" w:line="240" w:lineRule="auto"/>
        <w:jc w:val="center"/>
        <w:rPr>
          <w:rFonts w:ascii="Times New Roman" w:hAnsi="Times New Roman"/>
        </w:rPr>
      </w:pPr>
    </w:p>
    <w:p w:rsidR="00444C66" w:rsidRDefault="00444C66">
      <w:pPr>
        <w:widowControl w:val="0"/>
        <w:tabs>
          <w:tab w:val="left" w:pos="567"/>
        </w:tabs>
        <w:spacing w:after="0" w:line="240" w:lineRule="auto"/>
        <w:ind w:left="567" w:hanging="567"/>
        <w:jc w:val="center"/>
        <w:outlineLvl w:val="0"/>
        <w:rPr>
          <w:rFonts w:ascii="Times New Roman" w:hAnsi="Times New Roman"/>
          <w:b/>
          <w:caps/>
        </w:rPr>
      </w:pPr>
      <w:bookmarkStart w:id="17" w:name="_Toc129243137"/>
      <w:bookmarkStart w:id="18" w:name="_Toc129243262"/>
      <w:r>
        <w:rPr>
          <w:rFonts w:ascii="Times New Roman" w:hAnsi="Times New Roman"/>
          <w:b/>
          <w:caps/>
        </w:rPr>
        <w:t>B. PAKUOTĖS LAPELIS</w:t>
      </w:r>
      <w:bookmarkEnd w:id="17"/>
      <w:bookmarkEnd w:id="18"/>
    </w:p>
    <w:p w:rsidR="00444C66" w:rsidRDefault="00444C66">
      <w:pPr>
        <w:widowControl w:val="0"/>
        <w:tabs>
          <w:tab w:val="left" w:pos="567"/>
        </w:tabs>
        <w:spacing w:after="0" w:line="240" w:lineRule="auto"/>
        <w:jc w:val="center"/>
        <w:outlineLvl w:val="0"/>
        <w:rPr>
          <w:rFonts w:ascii="Times New Roman" w:hAnsi="Times New Roman"/>
          <w:b/>
        </w:rPr>
      </w:pPr>
      <w:r>
        <w:rPr>
          <w:rFonts w:ascii="Times New Roman" w:hAnsi="Times New Roman"/>
          <w:b/>
        </w:rPr>
        <w:br w:type="page"/>
      </w:r>
      <w:r>
        <w:rPr>
          <w:rFonts w:ascii="Times New Roman" w:hAnsi="Times New Roman"/>
          <w:b/>
        </w:rPr>
        <w:lastRenderedPageBreak/>
        <w:t xml:space="preserve">Pakuotės lapelis: informacija </w:t>
      </w:r>
      <w:r>
        <w:rPr>
          <w:rFonts w:ascii="Times New Roman" w:eastAsia="Times New Roman" w:hAnsi="Times New Roman"/>
          <w:b/>
          <w:lang w:eastAsia="sl-SI"/>
        </w:rPr>
        <w:t>pacientui</w:t>
      </w:r>
    </w:p>
    <w:p w:rsidR="00444C66" w:rsidRDefault="00444C66">
      <w:pPr>
        <w:widowControl w:val="0"/>
        <w:tabs>
          <w:tab w:val="left" w:pos="567"/>
        </w:tabs>
        <w:spacing w:after="0" w:line="240" w:lineRule="auto"/>
        <w:jc w:val="center"/>
        <w:outlineLvl w:val="0"/>
        <w:rPr>
          <w:rFonts w:ascii="Times New Roman" w:hAnsi="Times New Roman"/>
          <w:b/>
        </w:rPr>
      </w:pPr>
    </w:p>
    <w:p w:rsidR="00444C66" w:rsidRDefault="00444C66">
      <w:pPr>
        <w:widowControl w:val="0"/>
        <w:tabs>
          <w:tab w:val="left" w:pos="567"/>
        </w:tabs>
        <w:spacing w:after="0" w:line="240" w:lineRule="auto"/>
        <w:jc w:val="center"/>
        <w:rPr>
          <w:rFonts w:ascii="Times New Roman" w:hAnsi="Times New Roman"/>
          <w:b/>
        </w:rPr>
      </w:pPr>
      <w:r>
        <w:rPr>
          <w:rFonts w:ascii="Times New Roman" w:hAnsi="Times New Roman"/>
          <w:b/>
        </w:rPr>
        <w:t>Olimestra 10 mg plėvele dengtos tabletės</w:t>
      </w:r>
    </w:p>
    <w:p w:rsidR="00444C66" w:rsidRDefault="00444C66">
      <w:pPr>
        <w:widowControl w:val="0"/>
        <w:tabs>
          <w:tab w:val="left" w:pos="567"/>
        </w:tabs>
        <w:spacing w:after="0" w:line="240" w:lineRule="auto"/>
        <w:jc w:val="center"/>
        <w:rPr>
          <w:rFonts w:ascii="Times New Roman" w:hAnsi="Times New Roman"/>
          <w:b/>
          <w:highlight w:val="lightGray"/>
        </w:rPr>
      </w:pPr>
      <w:r>
        <w:rPr>
          <w:rFonts w:ascii="Times New Roman" w:hAnsi="Times New Roman"/>
          <w:b/>
          <w:highlight w:val="lightGray"/>
        </w:rPr>
        <w:t>Olimestra 20 mg plėvele dengtos tabletės</w:t>
      </w:r>
    </w:p>
    <w:p w:rsidR="00444C66" w:rsidRDefault="00444C66">
      <w:pPr>
        <w:widowControl w:val="0"/>
        <w:tabs>
          <w:tab w:val="left" w:pos="567"/>
        </w:tabs>
        <w:spacing w:after="0" w:line="240" w:lineRule="auto"/>
        <w:jc w:val="center"/>
        <w:rPr>
          <w:rFonts w:ascii="Times New Roman" w:hAnsi="Times New Roman"/>
          <w:b/>
        </w:rPr>
      </w:pPr>
      <w:r>
        <w:rPr>
          <w:rFonts w:ascii="Times New Roman" w:hAnsi="Times New Roman"/>
          <w:b/>
          <w:highlight w:val="lightGray"/>
        </w:rPr>
        <w:t>Olimestra 40 mg plėvele dengtos tabletės</w:t>
      </w:r>
    </w:p>
    <w:p w:rsidR="00444C66" w:rsidRDefault="00444C66">
      <w:pPr>
        <w:widowControl w:val="0"/>
        <w:numPr>
          <w:ilvl w:val="12"/>
          <w:numId w:val="0"/>
        </w:numPr>
        <w:tabs>
          <w:tab w:val="left" w:pos="567"/>
        </w:tabs>
        <w:spacing w:after="0" w:line="240" w:lineRule="auto"/>
        <w:jc w:val="center"/>
        <w:rPr>
          <w:rFonts w:ascii="Times New Roman" w:hAnsi="Times New Roman"/>
        </w:rPr>
      </w:pPr>
      <w:r>
        <w:rPr>
          <w:rFonts w:ascii="Times New Roman" w:hAnsi="Times New Roman"/>
        </w:rPr>
        <w:t>olmesartanas medoksomilis</w:t>
      </w:r>
    </w:p>
    <w:p w:rsidR="00444C66" w:rsidRDefault="00444C66">
      <w:pPr>
        <w:widowControl w:val="0"/>
        <w:tabs>
          <w:tab w:val="left" w:pos="567"/>
        </w:tabs>
        <w:spacing w:after="0" w:line="240" w:lineRule="auto"/>
        <w:jc w:val="center"/>
        <w:rPr>
          <w:rFonts w:ascii="Times New Roman" w:hAnsi="Times New Roman"/>
        </w:rPr>
      </w:pPr>
    </w:p>
    <w:p w:rsidR="00444C66" w:rsidRDefault="00444C66">
      <w:pPr>
        <w:widowControl w:val="0"/>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444C66" w:rsidRDefault="00444C66">
      <w:pPr>
        <w:widowControl w:val="0"/>
        <w:numPr>
          <w:ilvl w:val="0"/>
          <w:numId w:val="40"/>
        </w:numPr>
        <w:spacing w:after="0" w:line="240" w:lineRule="auto"/>
        <w:ind w:left="567" w:hanging="567"/>
        <w:rPr>
          <w:rFonts w:ascii="Times New Roman" w:hAnsi="Times New Roman"/>
        </w:rPr>
      </w:pPr>
      <w:r>
        <w:rPr>
          <w:rFonts w:ascii="Times New Roman" w:hAnsi="Times New Roman"/>
        </w:rPr>
        <w:t>Neišmeskite šio lapelio, nes vėl gali prireikti jį perskaityti.</w:t>
      </w:r>
    </w:p>
    <w:p w:rsidR="00444C66" w:rsidRDefault="00444C66">
      <w:pPr>
        <w:widowControl w:val="0"/>
        <w:numPr>
          <w:ilvl w:val="0"/>
          <w:numId w:val="40"/>
        </w:numPr>
        <w:spacing w:after="0" w:line="240" w:lineRule="auto"/>
        <w:ind w:left="567" w:hanging="567"/>
        <w:rPr>
          <w:rFonts w:ascii="Times New Roman" w:hAnsi="Times New Roman"/>
        </w:rPr>
      </w:pPr>
      <w:r>
        <w:rPr>
          <w:rFonts w:ascii="Times New Roman" w:hAnsi="Times New Roman"/>
        </w:rPr>
        <w:t>Jeigu kiltų daugiau klausimų, kreipkitės į gydytoją arba vaistininką.</w:t>
      </w:r>
    </w:p>
    <w:p w:rsidR="00444C66" w:rsidRDefault="00444C66">
      <w:pPr>
        <w:widowControl w:val="0"/>
        <w:numPr>
          <w:ilvl w:val="0"/>
          <w:numId w:val="40"/>
        </w:numPr>
        <w:spacing w:after="0" w:line="240" w:lineRule="auto"/>
        <w:ind w:left="567" w:hanging="567"/>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rsidR="00444C66" w:rsidRDefault="00444C66">
      <w:pPr>
        <w:widowControl w:val="0"/>
        <w:numPr>
          <w:ilvl w:val="0"/>
          <w:numId w:val="40"/>
        </w:numPr>
        <w:spacing w:after="0" w:line="240" w:lineRule="auto"/>
        <w:ind w:left="567" w:right="-2"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444C66" w:rsidRDefault="00444C66">
      <w:pPr>
        <w:widowControl w:val="0"/>
        <w:tabs>
          <w:tab w:val="left" w:pos="567"/>
        </w:tabs>
        <w:spacing w:after="0" w:line="240" w:lineRule="auto"/>
        <w:ind w:right="-2"/>
        <w:rPr>
          <w:rFonts w:ascii="Times New Roman" w:hAnsi="Times New Roman"/>
        </w:rPr>
      </w:pPr>
    </w:p>
    <w:p w:rsidR="00444C66" w:rsidRDefault="00444C66">
      <w:pPr>
        <w:widowControl w:val="0"/>
        <w:spacing w:after="0" w:line="240" w:lineRule="auto"/>
        <w:rPr>
          <w:rFonts w:ascii="Times New Roman" w:hAnsi="Times New Roman"/>
          <w:b/>
        </w:rPr>
      </w:pPr>
      <w:r>
        <w:rPr>
          <w:rFonts w:ascii="Times New Roman" w:hAnsi="Times New Roman"/>
          <w:b/>
        </w:rPr>
        <w:t>Apie ką rašoma šiame lapelyje?</w:t>
      </w:r>
    </w:p>
    <w:p w:rsidR="00444C66" w:rsidRDefault="00444C66">
      <w:pPr>
        <w:widowControl w:val="0"/>
        <w:spacing w:after="0" w:line="240" w:lineRule="auto"/>
        <w:ind w:left="567" w:hanging="567"/>
        <w:rPr>
          <w:rFonts w:ascii="Times New Roman" w:hAnsi="Times New Roman"/>
          <w:b/>
        </w:rPr>
      </w:pPr>
    </w:p>
    <w:p w:rsidR="00444C66" w:rsidRDefault="00444C66">
      <w:pPr>
        <w:widowControl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Olimestra ir kam jis vartojamas</w:t>
      </w:r>
    </w:p>
    <w:p w:rsidR="00444C66" w:rsidRDefault="00444C66">
      <w:pPr>
        <w:widowControl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Kas žinotina prieš vartojant Olimestra</w:t>
      </w:r>
    </w:p>
    <w:p w:rsidR="00444C66" w:rsidRDefault="00444C66">
      <w:pPr>
        <w:widowControl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Kaip vartoti Olimestra</w:t>
      </w:r>
    </w:p>
    <w:p w:rsidR="00444C66" w:rsidRDefault="00444C66">
      <w:pPr>
        <w:widowControl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rsidR="00444C66" w:rsidRDefault="00444C66">
      <w:pPr>
        <w:widowControl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Kaip laikyti Olimestra</w:t>
      </w:r>
    </w:p>
    <w:p w:rsidR="00444C66" w:rsidRDefault="00444C66">
      <w:pPr>
        <w:widowControl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rsidR="00444C66" w:rsidRDefault="00444C66">
      <w:pPr>
        <w:widowControl w:val="0"/>
        <w:numPr>
          <w:ilvl w:val="12"/>
          <w:numId w:val="0"/>
        </w:numPr>
        <w:spacing w:after="0" w:line="240" w:lineRule="auto"/>
        <w:rPr>
          <w:rFonts w:ascii="Times New Roman" w:hAnsi="Times New Roman"/>
        </w:rPr>
      </w:pPr>
    </w:p>
    <w:p w:rsidR="00444C66" w:rsidRDefault="00444C66">
      <w:pPr>
        <w:widowControl w:val="0"/>
        <w:numPr>
          <w:ilvl w:val="12"/>
          <w:numId w:val="0"/>
        </w:numPr>
        <w:tabs>
          <w:tab w:val="left" w:pos="567"/>
        </w:tabs>
        <w:spacing w:after="0" w:line="240" w:lineRule="auto"/>
        <w:rPr>
          <w:rFonts w:ascii="Times New Roman" w:hAnsi="Times New Roman"/>
        </w:rPr>
      </w:pPr>
    </w:p>
    <w:p w:rsidR="00444C66" w:rsidRDefault="00444C66">
      <w:pPr>
        <w:widowControl w:val="0"/>
        <w:spacing w:after="0" w:line="240" w:lineRule="auto"/>
        <w:ind w:left="567" w:right="-2" w:hanging="567"/>
        <w:rPr>
          <w:rFonts w:ascii="Times New Roman" w:hAnsi="Times New Roman"/>
          <w:b/>
        </w:rPr>
      </w:pPr>
      <w:r>
        <w:rPr>
          <w:rFonts w:ascii="Times New Roman" w:hAnsi="Times New Roman"/>
          <w:b/>
        </w:rPr>
        <w:t>1.</w:t>
      </w:r>
      <w:r>
        <w:rPr>
          <w:rFonts w:ascii="Times New Roman" w:hAnsi="Times New Roman"/>
          <w:b/>
        </w:rPr>
        <w:tab/>
        <w:t>Kas yra Olimestra ir kam jis vartojamas</w:t>
      </w:r>
    </w:p>
    <w:p w:rsidR="00444C66" w:rsidRDefault="00444C66">
      <w:pPr>
        <w:widowControl w:val="0"/>
        <w:tabs>
          <w:tab w:val="left" w:pos="567"/>
        </w:tabs>
        <w:autoSpaceDE w:val="0"/>
        <w:autoSpaceDN w:val="0"/>
        <w:adjustRightInd w:val="0"/>
        <w:spacing w:after="0" w:line="240" w:lineRule="auto"/>
        <w:rPr>
          <w:rFonts w:ascii="Times New Roman" w:hAnsi="Times New Roman"/>
        </w:rPr>
      </w:pPr>
    </w:p>
    <w:p w:rsidR="00444C66" w:rsidRDefault="00444C66">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Olimestra priklauso vaistų, vadinamų angiotenzino II receptorių blokatoriais, grupei. Šie vaistai mažina kraujospūdį atpalaiduodami kraujagysles.</w:t>
      </w:r>
    </w:p>
    <w:p w:rsidR="00444C66" w:rsidRDefault="00444C66">
      <w:pPr>
        <w:widowControl w:val="0"/>
        <w:tabs>
          <w:tab w:val="left" w:pos="567"/>
        </w:tabs>
        <w:autoSpaceDE w:val="0"/>
        <w:autoSpaceDN w:val="0"/>
        <w:adjustRightInd w:val="0"/>
        <w:spacing w:after="0" w:line="240" w:lineRule="auto"/>
        <w:rPr>
          <w:rFonts w:ascii="Times New Roman" w:hAnsi="Times New Roman"/>
        </w:rPr>
      </w:pPr>
    </w:p>
    <w:p w:rsidR="00444C66" w:rsidRDefault="00444C66">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Olimestra gydomas padidėjęs kraujospūdis (dar vadinamas hipertenzija) suaugusiems, vaikams nuo 6 metų ir jaunesniems kaip 18 metų paaugliams. Padidėjęs kraujospūdis gali pažeisti įvairių organų (pvz., širdies, inkstų, smegenų ar akių) kraujagysles. Kai kuriais atvejais dėl to gali pasireikšti širdies priepuolis, širdies arba inkstų nepakankamumas, insultas ar apakimas. Dažniausiai padidėjusio kraujospūdžio požymių nebūna. Norint išvengti galimos pažaidos, svarbu matuoti kraujospūdį.</w:t>
      </w:r>
    </w:p>
    <w:p w:rsidR="00444C66" w:rsidRDefault="00444C66">
      <w:pPr>
        <w:widowControl w:val="0"/>
        <w:tabs>
          <w:tab w:val="left" w:pos="567"/>
        </w:tabs>
        <w:autoSpaceDE w:val="0"/>
        <w:autoSpaceDN w:val="0"/>
        <w:adjustRightInd w:val="0"/>
        <w:spacing w:after="0" w:line="240" w:lineRule="auto"/>
        <w:rPr>
          <w:rFonts w:ascii="Times New Roman" w:hAnsi="Times New Roman"/>
        </w:rPr>
      </w:pPr>
    </w:p>
    <w:p w:rsidR="00444C66" w:rsidRDefault="00444C66">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Padidėjusį kraujospūdį galima reguliuoti vaistais, pavyzdžiui, Olimestra tabletėmis. Greičiausiai Jūsų gydytojas jau rekomendavo pakeisti kai kuriuos gyvenimo būdo įpročius, kad būtų lengviau mažinti kraujospūdį (pvz., sumažinti kūno svorį, nustoti rūkyti, vengti vartoti alkoholį, sumažinti druskos suvartojimą su maistu). Be to, gydytojas galbūt paskatino užsiimti reguliaria fizine veikla, pavyzdžiui, pasivaikščioti, plaukioti. Svarbu laikytis šių gydytojo nurodymų.</w:t>
      </w:r>
    </w:p>
    <w:p w:rsidR="00444C66" w:rsidRDefault="00444C66">
      <w:pPr>
        <w:widowControl w:val="0"/>
        <w:tabs>
          <w:tab w:val="left" w:pos="567"/>
        </w:tabs>
        <w:autoSpaceDE w:val="0"/>
        <w:autoSpaceDN w:val="0"/>
        <w:adjustRightInd w:val="0"/>
        <w:spacing w:after="0" w:line="240" w:lineRule="auto"/>
        <w:rPr>
          <w:rFonts w:ascii="Times New Roman" w:hAnsi="Times New Roman"/>
        </w:rPr>
      </w:pPr>
    </w:p>
    <w:p w:rsidR="00444C66" w:rsidRDefault="00444C66">
      <w:pPr>
        <w:widowControl w:val="0"/>
        <w:tabs>
          <w:tab w:val="left" w:pos="567"/>
        </w:tabs>
        <w:autoSpaceDE w:val="0"/>
        <w:autoSpaceDN w:val="0"/>
        <w:adjustRightInd w:val="0"/>
        <w:spacing w:after="0" w:line="240" w:lineRule="auto"/>
        <w:rPr>
          <w:rFonts w:ascii="Times New Roman" w:hAnsi="Times New Roman"/>
        </w:rPr>
      </w:pPr>
    </w:p>
    <w:p w:rsidR="00444C66" w:rsidRDefault="00444C66">
      <w:pPr>
        <w:widowControl w:val="0"/>
        <w:spacing w:after="0" w:line="240" w:lineRule="auto"/>
        <w:ind w:left="567" w:right="-2" w:hanging="567"/>
        <w:rPr>
          <w:rFonts w:ascii="Times New Roman" w:hAnsi="Times New Roman"/>
          <w:b/>
        </w:rPr>
      </w:pPr>
      <w:r>
        <w:rPr>
          <w:rFonts w:ascii="Times New Roman" w:hAnsi="Times New Roman"/>
          <w:b/>
        </w:rPr>
        <w:t>2.</w:t>
      </w:r>
      <w:r>
        <w:rPr>
          <w:rFonts w:ascii="Times New Roman" w:hAnsi="Times New Roman"/>
          <w:b/>
        </w:rPr>
        <w:tab/>
        <w:t>Kas žinotina prieš vartojant Olimestra</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outlineLvl w:val="0"/>
        <w:rPr>
          <w:rFonts w:ascii="Times New Roman" w:hAnsi="Times New Roman"/>
          <w:b/>
        </w:rPr>
      </w:pPr>
      <w:r>
        <w:rPr>
          <w:rFonts w:ascii="Times New Roman" w:hAnsi="Times New Roman"/>
          <w:b/>
        </w:rPr>
        <w:t>Olimestra vartoti draudžiama:</w:t>
      </w:r>
    </w:p>
    <w:p w:rsidR="00444C66" w:rsidRDefault="00444C66">
      <w:pPr>
        <w:widowControl w:val="0"/>
        <w:numPr>
          <w:ilvl w:val="0"/>
          <w:numId w:val="32"/>
        </w:numPr>
        <w:tabs>
          <w:tab w:val="left" w:pos="567"/>
        </w:tabs>
        <w:spacing w:after="0" w:line="240" w:lineRule="auto"/>
        <w:rPr>
          <w:rFonts w:ascii="Times New Roman" w:hAnsi="Times New Roman"/>
        </w:rPr>
      </w:pPr>
      <w:r>
        <w:rPr>
          <w:rFonts w:ascii="Times New Roman" w:hAnsi="Times New Roman"/>
        </w:rPr>
        <w:t>jeigu yra alergija olmesartano medoksomiliui arba bet kuriai pagalbinei šio vaisto medžiagai (jos išvardytos 6 skyriuje);</w:t>
      </w:r>
    </w:p>
    <w:p w:rsidR="00444C66" w:rsidRDefault="00444C66">
      <w:pPr>
        <w:widowControl w:val="0"/>
        <w:numPr>
          <w:ilvl w:val="0"/>
          <w:numId w:val="32"/>
        </w:numPr>
        <w:autoSpaceDE w:val="0"/>
        <w:autoSpaceDN w:val="0"/>
        <w:adjustRightInd w:val="0"/>
        <w:spacing w:after="0" w:line="240" w:lineRule="auto"/>
        <w:rPr>
          <w:rFonts w:ascii="Times New Roman" w:hAnsi="Times New Roman"/>
        </w:rPr>
      </w:pPr>
      <w:r>
        <w:rPr>
          <w:rFonts w:ascii="Times New Roman" w:hAnsi="Times New Roman"/>
        </w:rPr>
        <w:t>jeigu yra daugiau kaip 3 nėštumo mėnesiai (Olimestra geriau nevartoti ir nėštumo pradžioje, apie tai žr. skyrelyje apie nėštumą);</w:t>
      </w:r>
    </w:p>
    <w:p w:rsidR="00444C66" w:rsidRDefault="00444C66">
      <w:pPr>
        <w:widowControl w:val="0"/>
        <w:numPr>
          <w:ilvl w:val="0"/>
          <w:numId w:val="32"/>
        </w:numPr>
        <w:spacing w:after="0" w:line="240" w:lineRule="auto"/>
        <w:rPr>
          <w:rFonts w:ascii="Times New Roman" w:hAnsi="Times New Roman"/>
        </w:rPr>
      </w:pPr>
      <w:r>
        <w:rPr>
          <w:rFonts w:ascii="Times New Roman" w:hAnsi="Times New Roman"/>
        </w:rPr>
        <w:t xml:space="preserve">jeigu pasireiškia gelta (odos </w:t>
      </w:r>
      <w:r>
        <w:rPr>
          <w:rFonts w:ascii="Times New Roman" w:eastAsia="Times New Roman" w:hAnsi="Times New Roman"/>
          <w:lang w:eastAsia="sl-SI"/>
        </w:rPr>
        <w:t xml:space="preserve">ir akių </w:t>
      </w:r>
      <w:r>
        <w:rPr>
          <w:rFonts w:ascii="Times New Roman" w:hAnsi="Times New Roman"/>
        </w:rPr>
        <w:t>pageltimas</w:t>
      </w:r>
      <w:r>
        <w:rPr>
          <w:rFonts w:ascii="Times New Roman" w:eastAsia="Times New Roman" w:hAnsi="Times New Roman"/>
          <w:lang w:eastAsia="sl-SI"/>
        </w:rPr>
        <w:t>)</w:t>
      </w:r>
      <w:r>
        <w:rPr>
          <w:rFonts w:ascii="Times New Roman" w:hAnsi="Times New Roman"/>
        </w:rPr>
        <w:t xml:space="preserve"> </w:t>
      </w:r>
      <w:r>
        <w:rPr>
          <w:rFonts w:ascii="Times New Roman" w:eastAsia="Times New Roman" w:hAnsi="Times New Roman"/>
          <w:lang w:eastAsia="sl-SI"/>
        </w:rPr>
        <w:t xml:space="preserve">ar </w:t>
      </w:r>
      <w:r>
        <w:rPr>
          <w:rFonts w:ascii="Times New Roman" w:hAnsi="Times New Roman"/>
        </w:rPr>
        <w:t>jeigu jums yra tulžies latakų užsikimšimas</w:t>
      </w:r>
      <w:r>
        <w:rPr>
          <w:rFonts w:ascii="Times New Roman" w:eastAsia="Times New Roman" w:hAnsi="Times New Roman"/>
          <w:lang w:eastAsia="sl-SI"/>
        </w:rPr>
        <w:t>, (pvz tulžies akmenys</w:t>
      </w:r>
      <w:r>
        <w:rPr>
          <w:rFonts w:ascii="Times New Roman" w:hAnsi="Times New Roman"/>
        </w:rPr>
        <w:t>);</w:t>
      </w:r>
    </w:p>
    <w:p w:rsidR="00444C66" w:rsidRDefault="00444C66">
      <w:pPr>
        <w:widowControl w:val="0"/>
        <w:numPr>
          <w:ilvl w:val="0"/>
          <w:numId w:val="32"/>
        </w:numPr>
        <w:tabs>
          <w:tab w:val="left" w:pos="567"/>
        </w:tabs>
        <w:spacing w:after="0" w:line="240" w:lineRule="auto"/>
        <w:rPr>
          <w:rFonts w:ascii="Times New Roman" w:hAnsi="Times New Roman"/>
        </w:rPr>
      </w:pPr>
      <w:r>
        <w:rPr>
          <w:rFonts w:ascii="Times New Roman" w:hAnsi="Times New Roman"/>
        </w:rPr>
        <w:t>jeigu sergate cukriniu diabetu arba yra inkstų funkcijos sutrikimas ir kraujospūdžiui mažinti vartojate vaisto, kurio sudėtyje yra aliskireno.</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tabs>
          <w:tab w:val="left" w:pos="567"/>
        </w:tabs>
        <w:spacing w:after="0" w:line="240" w:lineRule="auto"/>
        <w:jc w:val="both"/>
        <w:outlineLvl w:val="3"/>
        <w:rPr>
          <w:rFonts w:ascii="Times New Roman" w:hAnsi="Times New Roman"/>
          <w:b/>
        </w:rPr>
      </w:pPr>
      <w:r>
        <w:rPr>
          <w:rFonts w:ascii="Times New Roman" w:hAnsi="Times New Roman"/>
          <w:b/>
        </w:rPr>
        <w:lastRenderedPageBreak/>
        <w:t>Įspėjimai ir atsargumo priemonės</w:t>
      </w:r>
    </w:p>
    <w:p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rPr>
        <w:t>Pasitarkite su gydytoju arba vaistininku, prieš pradėdami vartoti Olimestra.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b/>
          <w:lang w:eastAsia="sl-SI"/>
        </w:rPr>
        <w:t>Pasitarkite su gydytoju</w:t>
      </w:r>
      <w:r>
        <w:rPr>
          <w:rFonts w:ascii="Times New Roman" w:eastAsia="Times New Roman" w:hAnsi="Times New Roman"/>
          <w:lang w:eastAsia="sl-SI"/>
        </w:rPr>
        <w:t xml:space="preserve"> jeigu vartojate kurį nors iš šių vaistų padidėjusiam kraujospūdžiui gydyti:</w:t>
      </w:r>
    </w:p>
    <w:p w:rsidR="00444C66" w:rsidRDefault="00444C66">
      <w:pPr>
        <w:widowControl w:val="0"/>
        <w:numPr>
          <w:ilvl w:val="0"/>
          <w:numId w:val="44"/>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AKF inhibitorių (pavyzdžiui, enalaprilį, lizinoprilį, ramiprilį), ypač jei turite su diabetu susijusių inkstų sutrikimų;</w:t>
      </w:r>
    </w:p>
    <w:p w:rsidR="00444C66" w:rsidRDefault="00444C66">
      <w:pPr>
        <w:widowControl w:val="0"/>
        <w:numPr>
          <w:ilvl w:val="0"/>
          <w:numId w:val="44"/>
        </w:num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aliskireną.</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autoSpaceDE w:val="0"/>
        <w:autoSpaceDN w:val="0"/>
        <w:adjustRightInd w:val="0"/>
        <w:spacing w:after="0" w:line="240" w:lineRule="auto"/>
        <w:rPr>
          <w:rFonts w:ascii="Times New Roman" w:eastAsia="Times New Roman" w:hAnsi="Times New Roman"/>
          <w:iCs/>
          <w:color w:val="000000"/>
        </w:rPr>
      </w:pPr>
      <w:r>
        <w:rPr>
          <w:rFonts w:ascii="Times New Roman" w:eastAsia="Times New Roman" w:hAnsi="Times New Roman"/>
          <w:iCs/>
          <w:color w:val="000000"/>
        </w:rPr>
        <w:t xml:space="preserve">Jūsų gydytojas gali reguliariai ištirti Jūsų inkstų funkciją, kraujospūdį ir elektrolitų (pvz., </w:t>
      </w:r>
      <w:r>
        <w:rPr>
          <w:rFonts w:ascii="Times New Roman" w:hAnsi="Times New Roman"/>
          <w:color w:val="000000"/>
        </w:rPr>
        <w:t>kalio) kiekį kraujyje.</w:t>
      </w:r>
    </w:p>
    <w:p w:rsidR="00444C66" w:rsidRDefault="00444C66">
      <w:pPr>
        <w:widowControl w:val="0"/>
        <w:tabs>
          <w:tab w:val="left" w:pos="0"/>
        </w:tabs>
        <w:spacing w:after="0" w:line="240" w:lineRule="auto"/>
        <w:rPr>
          <w:rFonts w:ascii="Times New Roman" w:hAnsi="Times New Roman"/>
        </w:rPr>
      </w:pPr>
    </w:p>
    <w:p w:rsidR="00444C66" w:rsidRDefault="00444C66">
      <w:pPr>
        <w:widowControl w:val="0"/>
        <w:spacing w:after="0" w:line="240" w:lineRule="auto"/>
        <w:rPr>
          <w:rFonts w:ascii="Times New Roman" w:hAnsi="Times New Roman"/>
          <w:color w:val="000000"/>
        </w:rPr>
      </w:pPr>
      <w:r>
        <w:rPr>
          <w:rFonts w:ascii="Times New Roman" w:hAnsi="Times New Roman"/>
        </w:rPr>
        <w:t>Taip pat informacijos pateikta poskyryje „Olimestra vartoti draudžiama“.</w:t>
      </w:r>
    </w:p>
    <w:p w:rsidR="00444C66" w:rsidRDefault="00444C66">
      <w:pPr>
        <w:widowControl w:val="0"/>
        <w:tabs>
          <w:tab w:val="left" w:pos="567"/>
        </w:tabs>
        <w:spacing w:after="0" w:line="240" w:lineRule="auto"/>
        <w:rPr>
          <w:rFonts w:ascii="Times New Roman" w:eastAsia="Times New Roman" w:hAnsi="Times New Roman"/>
          <w:lang w:eastAsia="sl-SI"/>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Prieš vartojant tabletes, pasakykite gydytojui, jeigu yra išvardytų sveikatos sutrikimų:</w:t>
      </w:r>
    </w:p>
    <w:p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inkstų funkcijos sutrikimų;</w:t>
      </w:r>
    </w:p>
    <w:p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kepenų liga;</w:t>
      </w:r>
    </w:p>
    <w:p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širdies nepakankamumas, širdies vožtuvų ar širdies raumens sutrikimų;</w:t>
      </w:r>
    </w:p>
    <w:p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sunkus vėmimas, viduriavimas, gydymas didelėmis šlapimo išsiskyrimą skatinančių vaistų (diuretikų) dozėmis arba jeigu ribojate druskos suvartojimą su maistu;</w:t>
      </w:r>
    </w:p>
    <w:p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kalio koncentracijos kraujyje padidėjimas;</w:t>
      </w:r>
    </w:p>
    <w:p w:rsidR="00444C66" w:rsidRDefault="00444C66">
      <w:pPr>
        <w:widowControl w:val="0"/>
        <w:numPr>
          <w:ilvl w:val="0"/>
          <w:numId w:val="33"/>
        </w:numPr>
        <w:tabs>
          <w:tab w:val="left" w:pos="567"/>
        </w:tabs>
        <w:spacing w:after="0" w:line="240" w:lineRule="auto"/>
        <w:rPr>
          <w:rFonts w:ascii="Times New Roman" w:hAnsi="Times New Roman"/>
        </w:rPr>
      </w:pPr>
      <w:r>
        <w:rPr>
          <w:rFonts w:ascii="Times New Roman" w:hAnsi="Times New Roman"/>
        </w:rPr>
        <w:t>antinksčių sutrikimai.</w:t>
      </w:r>
    </w:p>
    <w:p w:rsidR="00444C66" w:rsidRDefault="00444C66">
      <w:pPr>
        <w:widowControl w:val="0"/>
        <w:spacing w:after="0" w:line="240" w:lineRule="auto"/>
        <w:rPr>
          <w:rFonts w:ascii="Times New Roman" w:eastAsia="Times New Roman" w:hAnsi="Times New Roman"/>
          <w:lang w:eastAsia="sl-SI"/>
        </w:rPr>
      </w:pPr>
    </w:p>
    <w:p w:rsidR="00444C66" w:rsidRDefault="00444C66">
      <w:pPr>
        <w:widowControl w:val="0"/>
        <w:tabs>
          <w:tab w:val="left" w:pos="540"/>
          <w:tab w:val="left" w:pos="2127"/>
          <w:tab w:val="left" w:pos="2977"/>
        </w:tabs>
        <w:spacing w:after="0" w:line="240" w:lineRule="auto"/>
        <w:rPr>
          <w:rFonts w:ascii="Times New Roman" w:eastAsia="Times New Roman" w:hAnsi="Times New Roman"/>
          <w:color w:val="222222"/>
        </w:rPr>
      </w:pPr>
      <w:r>
        <w:rPr>
          <w:rFonts w:ascii="Times New Roman" w:eastAsia="Times New Roman" w:hAnsi="Times New Roman"/>
          <w:color w:val="222222"/>
        </w:rPr>
        <w:t>Kreipkitės į gydytoją</w:t>
      </w:r>
      <w:r>
        <w:rPr>
          <w:rFonts w:ascii="Times New Roman" w:eastAsia="Times New Roman" w:hAnsi="Times New Roman"/>
        </w:rPr>
        <w:t xml:space="preserve">, jei atsiranda </w:t>
      </w:r>
      <w:r>
        <w:rPr>
          <w:rFonts w:ascii="Times New Roman" w:eastAsia="Times New Roman" w:hAnsi="Times New Roman"/>
          <w:color w:val="222222"/>
        </w:rPr>
        <w:t>viduriavimas</w:t>
      </w:r>
      <w:r>
        <w:rPr>
          <w:rFonts w:ascii="Times New Roman" w:eastAsia="Times New Roman" w:hAnsi="Times New Roman"/>
        </w:rPr>
        <w:t xml:space="preserve">, kuris yra </w:t>
      </w:r>
      <w:r>
        <w:rPr>
          <w:rFonts w:ascii="Times New Roman" w:eastAsia="Times New Roman" w:hAnsi="Times New Roman"/>
          <w:color w:val="222222"/>
        </w:rPr>
        <w:t>sunkus, nuolatinis</w:t>
      </w:r>
      <w:r>
        <w:rPr>
          <w:rFonts w:ascii="Times New Roman" w:eastAsia="Times New Roman" w:hAnsi="Times New Roman"/>
        </w:rPr>
        <w:t xml:space="preserve"> </w:t>
      </w:r>
      <w:r>
        <w:rPr>
          <w:rFonts w:ascii="Times New Roman" w:eastAsia="Times New Roman" w:hAnsi="Times New Roman"/>
          <w:color w:val="222222"/>
        </w:rPr>
        <w:t>ir sukelia staigų svorio kritimą.</w:t>
      </w:r>
      <w:r>
        <w:rPr>
          <w:rFonts w:ascii="Times New Roman" w:eastAsia="Times New Roman" w:hAnsi="Times New Roman"/>
        </w:rPr>
        <w:t xml:space="preserve"> </w:t>
      </w:r>
      <w:r>
        <w:rPr>
          <w:rFonts w:ascii="Times New Roman" w:eastAsia="Times New Roman" w:hAnsi="Times New Roman"/>
          <w:color w:val="222222"/>
        </w:rPr>
        <w:t>Jūsų gydytojas gali</w:t>
      </w:r>
      <w:r>
        <w:rPr>
          <w:rFonts w:ascii="Times New Roman" w:eastAsia="Times New Roman" w:hAnsi="Times New Roman"/>
        </w:rPr>
        <w:t xml:space="preserve"> </w:t>
      </w:r>
      <w:r>
        <w:rPr>
          <w:rFonts w:ascii="Times New Roman" w:eastAsia="Times New Roman" w:hAnsi="Times New Roman"/>
          <w:color w:val="222222"/>
        </w:rPr>
        <w:t>įvertinti jūsų</w:t>
      </w:r>
      <w:r>
        <w:rPr>
          <w:rFonts w:ascii="Times New Roman" w:eastAsia="Times New Roman" w:hAnsi="Times New Roman"/>
        </w:rPr>
        <w:t xml:space="preserve"> </w:t>
      </w:r>
      <w:r>
        <w:rPr>
          <w:rFonts w:ascii="Times New Roman" w:eastAsia="Times New Roman" w:hAnsi="Times New Roman"/>
          <w:color w:val="222222"/>
        </w:rPr>
        <w:t>simptomus</w:t>
      </w:r>
      <w:r>
        <w:rPr>
          <w:rFonts w:ascii="Times New Roman" w:eastAsia="Times New Roman" w:hAnsi="Times New Roman"/>
        </w:rPr>
        <w:t xml:space="preserve"> </w:t>
      </w:r>
      <w:r>
        <w:rPr>
          <w:rFonts w:ascii="Times New Roman" w:eastAsia="Times New Roman" w:hAnsi="Times New Roman"/>
          <w:color w:val="222222"/>
        </w:rPr>
        <w:t>ir</w:t>
      </w:r>
      <w:r>
        <w:rPr>
          <w:rFonts w:ascii="Times New Roman" w:eastAsia="Times New Roman" w:hAnsi="Times New Roman"/>
        </w:rPr>
        <w:t xml:space="preserve"> </w:t>
      </w:r>
      <w:r>
        <w:rPr>
          <w:rFonts w:ascii="Times New Roman" w:eastAsia="Times New Roman" w:hAnsi="Times New Roman"/>
          <w:color w:val="222222"/>
        </w:rPr>
        <w:t>nuspręsti, kaip</w:t>
      </w:r>
      <w:r>
        <w:rPr>
          <w:rFonts w:ascii="Times New Roman" w:eastAsia="Times New Roman" w:hAnsi="Times New Roman"/>
        </w:rPr>
        <w:t xml:space="preserve"> </w:t>
      </w:r>
      <w:r>
        <w:rPr>
          <w:rFonts w:ascii="Times New Roman" w:eastAsia="Times New Roman" w:hAnsi="Times New Roman"/>
          <w:color w:val="222222"/>
        </w:rPr>
        <w:t>tęsti kraujospūdį</w:t>
      </w:r>
      <w:r>
        <w:rPr>
          <w:rFonts w:ascii="Times New Roman" w:eastAsia="Times New Roman" w:hAnsi="Times New Roman"/>
        </w:rPr>
        <w:t xml:space="preserve"> mažinančio </w:t>
      </w:r>
      <w:r>
        <w:rPr>
          <w:rFonts w:ascii="Times New Roman" w:eastAsia="Times New Roman" w:hAnsi="Times New Roman"/>
          <w:color w:val="222222"/>
        </w:rPr>
        <w:t>vaisto vartojimą.</w:t>
      </w:r>
    </w:p>
    <w:p w:rsidR="00444C66" w:rsidRDefault="00444C66">
      <w:pPr>
        <w:widowControl w:val="0"/>
        <w:spacing w:after="0" w:line="240" w:lineRule="auto"/>
        <w:rPr>
          <w:rFonts w:ascii="Times New Roman" w:hAnsi="Times New Roman"/>
        </w:rPr>
      </w:pPr>
    </w:p>
    <w:p w:rsidR="00444C66" w:rsidRPr="004F5963" w:rsidRDefault="00444C66">
      <w:pPr>
        <w:widowControl w:val="0"/>
        <w:spacing w:after="0" w:line="240" w:lineRule="auto"/>
        <w:rPr>
          <w:rFonts w:ascii="Times New Roman" w:hAnsi="Times New Roman"/>
        </w:rPr>
      </w:pPr>
      <w:r w:rsidRPr="004F5963">
        <w:rPr>
          <w:rFonts w:ascii="Times New Roman" w:hAnsi="Times New Roman"/>
        </w:rPr>
        <w:t xml:space="preserve">Pasitarkite su gydytoju, jei pavartojus </w:t>
      </w:r>
      <w:r>
        <w:rPr>
          <w:rFonts w:ascii="Times New Roman" w:hAnsi="Times New Roman"/>
        </w:rPr>
        <w:t>Olimestra</w:t>
      </w:r>
      <w:r w:rsidRPr="004F5963">
        <w:rPr>
          <w:rFonts w:ascii="Times New Roman" w:hAnsi="Times New Roman"/>
        </w:rPr>
        <w:t xml:space="preserve"> jaučiate pilvo skausmą, pykinimą, vėmimą arba viduriavimą. Dėl tolesnio gydymo nuspręs Jūsų gydytojas. Nenustokite vartoti</w:t>
      </w:r>
      <w:r>
        <w:rPr>
          <w:rFonts w:ascii="Times New Roman" w:hAnsi="Times New Roman"/>
        </w:rPr>
        <w:t xml:space="preserve"> Olimestra</w:t>
      </w:r>
      <w:r w:rsidRPr="004F5963">
        <w:rPr>
          <w:rFonts w:ascii="Times New Roman" w:hAnsi="Times New Roman"/>
        </w:rPr>
        <w:t xml:space="preserve"> pats.</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Kaip ir vartojant kitokius vaistus, kurie mažina kraujospūdį, pacientus, kurių širdies ar smegenų kraujotaka yra sutrikusi, dėl pernelyg sumažėjusio kraujospūdžio gali ištikti širdies priepuolis ar insultas. Todėl gydytojas atidžiai stebės kraujospūdį.</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Jeigu galvojate, kad galite būti nėščia (</w:t>
      </w:r>
      <w:r>
        <w:rPr>
          <w:rFonts w:ascii="Times New Roman" w:hAnsi="Times New Roman"/>
          <w:u w:val="single"/>
        </w:rPr>
        <w:t>arba galite pastoti</w:t>
      </w:r>
      <w:r>
        <w:rPr>
          <w:rFonts w:ascii="Times New Roman" w:hAnsi="Times New Roman"/>
        </w:rPr>
        <w:t>), pasakykite gydytojui. Olimestra nerekomenduojama nėštumo pradžioje ir negalima vartoti, jeigu yra daugiau kaip 3 nėštumo mėnesiai, nes šiuo laikotarpiu vartojamas vaistas gali sukelti sunkią vaisiaus pažaidą (žr. skyrelyje apie nėštumą).</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b/>
        </w:rPr>
      </w:pPr>
      <w:bookmarkStart w:id="19" w:name="section"/>
      <w:bookmarkEnd w:id="19"/>
      <w:r>
        <w:rPr>
          <w:rFonts w:ascii="Times New Roman" w:hAnsi="Times New Roman"/>
          <w:b/>
        </w:rPr>
        <w:t>Vaikams ir paaugliams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Olimestra buvo tirtas vaikams ir paaugliams. Dėl daugiau informacijos, kreipkitės į savo gydytoją.</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Olimestra vaikams nuo 1 iki 6 metų ir jaunesniems kaip 1 metų vaikams vartoti nerekomenduojama, kadangi nėra vartojimo patirties.</w:t>
      </w:r>
    </w:p>
    <w:p w:rsidR="00444C66" w:rsidRDefault="00444C66">
      <w:pPr>
        <w:widowControl w:val="0"/>
        <w:numPr>
          <w:ilvl w:val="12"/>
          <w:numId w:val="0"/>
        </w:numPr>
        <w:tabs>
          <w:tab w:val="left" w:pos="567"/>
        </w:tabs>
        <w:spacing w:after="0" w:line="240" w:lineRule="auto"/>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Kiti vaistai ir</w:t>
      </w:r>
      <w:r>
        <w:rPr>
          <w:rFonts w:ascii="Times New Roman" w:hAnsi="Times New Roman"/>
        </w:rPr>
        <w:t xml:space="preserve"> </w:t>
      </w:r>
      <w:r>
        <w:rPr>
          <w:rFonts w:ascii="Times New Roman" w:hAnsi="Times New Roman"/>
          <w:b/>
        </w:rPr>
        <w:t>Olimestra</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 Pasakykite gydytojui arba vaistininkui, jeigu vartojate:</w:t>
      </w:r>
    </w:p>
    <w:p w:rsidR="00444C66" w:rsidRDefault="00444C66">
      <w:pPr>
        <w:pStyle w:val="BT-EMEASMCA"/>
        <w:widowControl w:val="0"/>
        <w:numPr>
          <w:ilvl w:val="0"/>
          <w:numId w:val="34"/>
        </w:numPr>
        <w:rPr>
          <w:szCs w:val="22"/>
        </w:rPr>
      </w:pPr>
      <w:r>
        <w:rPr>
          <w:szCs w:val="22"/>
        </w:rPr>
        <w:t>kitų kraujospūdį mažinančių vaistų, nes tuomet gali sustiprėti Olimestra poveikis ir gali padidėti šalutinio poveikio dažnis. Jūsų gydytojui gali tekti pakeisti Jūsų dozę ir (arba) imtis kitų atsargumo priemonių: jeigu vartojate AKF inhibitorių arba aliskireną (taip pat žiūrėkite informaciją, pateiktą poskyriuose „Olimestra vartoti draudžiama“ ir „Įspėjimai ir atsargumo priemonės“);</w:t>
      </w:r>
    </w:p>
    <w:p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t>kalio papildų, druskos pakaitalų, kurių sudėtyje yra kalio, šlapimo išsiskyrimą skatinančių vaistų (diuretikų) ar hepariną (mažina kraujo krešėjimą). Šiuos vaistus vartojant kartu su Olimestra, gali padidėti kalio koncentracija kraujyje;</w:t>
      </w:r>
    </w:p>
    <w:p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t xml:space="preserve">kartu su Olimestra vartojant litį (vaistas, kuriuo gydoma nuotaikų kaita ir tam tikros rūšies </w:t>
      </w:r>
      <w:r>
        <w:rPr>
          <w:rFonts w:ascii="Times New Roman" w:hAnsi="Times New Roman"/>
        </w:rPr>
        <w:lastRenderedPageBreak/>
        <w:t>depresija), gali padidėti ličio toksinis poveikis. Jeigu vartojate litį, gydytojas matuos ličio koncentraciją kraujyje;</w:t>
      </w:r>
    </w:p>
    <w:p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t>kartu su Olimestra vartojant nesteroidinius vaistus nuo uždegimo (NVNU) (vaistai, kuriais malšinamas skausmas, patinimas ar kiti uždegimo simptomai, įskaitant artritą), gali padidėti inkstų funkcijos nepakankamumo rizika ir NVNU gali silpninti Olimestra poveikį;</w:t>
      </w:r>
    </w:p>
    <w:p w:rsidR="00444C66" w:rsidRDefault="00444C66">
      <w:pPr>
        <w:pStyle w:val="BT-EMEASMCA"/>
        <w:widowControl w:val="0"/>
        <w:numPr>
          <w:ilvl w:val="0"/>
          <w:numId w:val="34"/>
        </w:numPr>
        <w:rPr>
          <w:szCs w:val="22"/>
        </w:rPr>
      </w:pPr>
      <w:r>
        <w:rPr>
          <w:szCs w:val="22"/>
        </w:rPr>
        <w:t>kolesevelamo hidrochlorido (vaisto, kuris mažina cholesterolio koncentraciją Jūsų kraujyje), nes Olimestra poveikis gali būti silpnesnis. Jūsų gydytojas Jums patars vartoti Olimestra bent 4 val. prieš geriant kolesevelamo hidrochlorido;</w:t>
      </w:r>
    </w:p>
    <w:p w:rsidR="00444C66" w:rsidRDefault="00444C66">
      <w:pPr>
        <w:widowControl w:val="0"/>
        <w:numPr>
          <w:ilvl w:val="0"/>
          <w:numId w:val="34"/>
        </w:numPr>
        <w:tabs>
          <w:tab w:val="left" w:pos="567"/>
        </w:tabs>
        <w:spacing w:after="0" w:line="240" w:lineRule="auto"/>
        <w:rPr>
          <w:rFonts w:ascii="Times New Roman" w:hAnsi="Times New Roman"/>
        </w:rPr>
      </w:pPr>
      <w:r>
        <w:rPr>
          <w:rFonts w:ascii="Times New Roman" w:hAnsi="Times New Roman"/>
        </w:rPr>
        <w:t>kai kurių antacidinių vaistų (vaistai nuo padidėjusio skrandžio rūgštingumo), nes gali šiek tiek susilpnėti Olimestra poveikis.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b/>
        </w:rPr>
      </w:pPr>
      <w:r>
        <w:rPr>
          <w:rFonts w:ascii="Times New Roman" w:hAnsi="Times New Roman"/>
          <w:b/>
        </w:rPr>
        <w:t>Senyvi pacientai</w:t>
      </w:r>
    </w:p>
    <w:p w:rsidR="00444C66" w:rsidRDefault="00444C66">
      <w:pPr>
        <w:widowControl w:val="0"/>
        <w:tabs>
          <w:tab w:val="left" w:pos="540"/>
          <w:tab w:val="left" w:pos="2127"/>
          <w:tab w:val="left" w:pos="2977"/>
        </w:tabs>
        <w:spacing w:after="0" w:line="240" w:lineRule="auto"/>
        <w:rPr>
          <w:rFonts w:ascii="Times New Roman" w:hAnsi="Times New Roman"/>
        </w:rPr>
      </w:pPr>
      <w:r>
        <w:rPr>
          <w:rFonts w:ascii="Times New Roman" w:hAnsi="Times New Roman"/>
        </w:rPr>
        <w:t>Jei Jūs esate vyresnis kaip 65 metų ir Jūsų gydytojas nusprendė padidinti olmesartano medoksomilio paros dozę iki 40 mg, gydytojas būtinai turi reguliariai tikrinti Jūsų kraujospūdį, kad patikrintų, jog jis netapo per mažas.</w:t>
      </w:r>
    </w:p>
    <w:p w:rsidR="00444C66" w:rsidRDefault="00444C66">
      <w:pPr>
        <w:widowControl w:val="0"/>
        <w:tabs>
          <w:tab w:val="left" w:pos="540"/>
          <w:tab w:val="left" w:pos="2127"/>
          <w:tab w:val="left" w:pos="297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b/>
        </w:rPr>
      </w:pPr>
      <w:r>
        <w:rPr>
          <w:rFonts w:ascii="Times New Roman" w:hAnsi="Times New Roman"/>
          <w:b/>
        </w:rPr>
        <w:t>Juodaodžiai pacientai</w:t>
      </w:r>
    </w:p>
    <w:p w:rsidR="00444C66" w:rsidRDefault="00444C66">
      <w:pPr>
        <w:widowControl w:val="0"/>
        <w:tabs>
          <w:tab w:val="left" w:pos="540"/>
          <w:tab w:val="left" w:pos="2127"/>
          <w:tab w:val="left" w:pos="2977"/>
        </w:tabs>
        <w:spacing w:after="0" w:line="240" w:lineRule="auto"/>
        <w:rPr>
          <w:rFonts w:ascii="Times New Roman" w:hAnsi="Times New Roman"/>
        </w:rPr>
      </w:pPr>
      <w:r>
        <w:rPr>
          <w:rFonts w:ascii="Times New Roman" w:hAnsi="Times New Roman"/>
        </w:rPr>
        <w:t>Kaip ir vartojant kitus panašius vaistus, Olimestra kraujospūdį mažinantis poveikis juodaodžiams yra šiek tiek silpnesnis.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Olimestra vartojimas su maistu ir gėrimais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Olimestra galima vartoti valgant arba be maisto. Nurykite tabletes užgerdami nedideliu kiekiu vandens. Jeigu įmanoma, išgerkite paros dozę kasdien tuo pačiu laiku, pavyzdžiui, per pusryčius.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spacing w:after="0" w:line="240" w:lineRule="auto"/>
        <w:ind w:left="567" w:hanging="567"/>
        <w:rPr>
          <w:rFonts w:ascii="Times New Roman" w:hAnsi="Times New Roman"/>
          <w:b/>
        </w:rPr>
      </w:pPr>
      <w:r>
        <w:rPr>
          <w:rFonts w:ascii="Times New Roman" w:hAnsi="Times New Roman"/>
          <w:b/>
        </w:rPr>
        <w:t>Nėštumas ir žindymo laikotarpis</w:t>
      </w:r>
    </w:p>
    <w:p w:rsidR="00444C66" w:rsidRDefault="00444C66">
      <w:pPr>
        <w:widowControl w:val="0"/>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rsidR="00444C66" w:rsidRDefault="00444C66">
      <w:pPr>
        <w:widowControl w:val="0"/>
        <w:spacing w:after="0" w:line="240" w:lineRule="auto"/>
        <w:ind w:left="567" w:hanging="567"/>
        <w:rPr>
          <w:rFonts w:ascii="Times New Roman" w:hAnsi="Times New Roman"/>
        </w:rPr>
      </w:pPr>
    </w:p>
    <w:p w:rsidR="00444C66" w:rsidRDefault="00444C66">
      <w:pPr>
        <w:widowControl w:val="0"/>
        <w:numPr>
          <w:ilvl w:val="12"/>
          <w:numId w:val="0"/>
        </w:numPr>
        <w:tabs>
          <w:tab w:val="left" w:pos="567"/>
        </w:tabs>
        <w:spacing w:after="0" w:line="240" w:lineRule="auto"/>
        <w:rPr>
          <w:rFonts w:ascii="Times New Roman" w:hAnsi="Times New Roman"/>
        </w:rPr>
      </w:pPr>
      <w:r>
        <w:rPr>
          <w:rFonts w:ascii="Times New Roman" w:hAnsi="Times New Roman"/>
          <w:i/>
        </w:rPr>
        <w:t>Nėštumas</w:t>
      </w:r>
    </w:p>
    <w:p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Jeigu galvojate, kad galite būti nėščia (</w:t>
      </w:r>
      <w:r>
        <w:rPr>
          <w:rFonts w:ascii="Times New Roman" w:hAnsi="Times New Roman"/>
          <w:u w:val="single"/>
        </w:rPr>
        <w:t>arba galite pastoti</w:t>
      </w:r>
      <w:r>
        <w:rPr>
          <w:rFonts w:ascii="Times New Roman" w:hAnsi="Times New Roman"/>
        </w:rPr>
        <w:t>), pasakykite gydytojui. Gydytojas dažniausiai rekomenduos nutraukti Olimestra vartojimą prieš pastojant arba iš karto diagnozavus nėštumą ir rekomenduos vietoj Olimestra vartoti kitokių vaistų. Olimestra nerekomenduojam vartoti nėštumo pradžioje ir negalima vartoti, jeigu yra daugiau kaip 3 nėštumo mėnesiai, nes vaistas gali sukelti sunkią vaisiaus pažaidą.</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i/>
        </w:rPr>
      </w:pPr>
      <w:r>
        <w:rPr>
          <w:rFonts w:ascii="Times New Roman" w:hAnsi="Times New Roman"/>
          <w:i/>
        </w:rPr>
        <w:t>Žindymas</w:t>
      </w:r>
    </w:p>
    <w:p w:rsidR="00444C66" w:rsidRDefault="00444C66">
      <w:pPr>
        <w:widowControl w:val="0"/>
        <w:autoSpaceDE w:val="0"/>
        <w:autoSpaceDN w:val="0"/>
        <w:adjustRightInd w:val="0"/>
        <w:spacing w:after="0" w:line="240" w:lineRule="auto"/>
        <w:rPr>
          <w:rFonts w:ascii="Times New Roman" w:hAnsi="Times New Roman"/>
        </w:rPr>
      </w:pPr>
      <w:r>
        <w:rPr>
          <w:rFonts w:ascii="Times New Roman" w:hAnsi="Times New Roman"/>
        </w:rPr>
        <w:t>Jeigu žindote arba ketinate pradėti žindyti kūdikį, pasakykite gydytojui. Žindyvėms Olimestra vartoti nerekomenduojama. Jeigu norite žindyti, gydytojas gali skirti kitokį gydymą, ypač jeigu žindomas naujagimis arba prieš laiką gimęs kūdikis.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Vairavimas ir mechanizmų valdymas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Vartojant vaistus nuo padidėjusio kraujospūdžio, kartais gali pasireikšti svaigulys ar nuovargis. Jeigu pastebėjote tokį poveikį, vairuoti ar mechanizmų valdyti negalima tol, kol toks poveikis neišnyks. Kreipkitės patarimo į gydytoją.</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Olimestra sudėtyje yra laktozės</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Jeigu gydytojas Jums yra sakęs, kad netoleruojate kokių nors angliavandenių, kreipkitės į jį prieš pradėdami vartoti šį vaistą.</w:t>
      </w:r>
    </w:p>
    <w:p w:rsidR="00444C66" w:rsidRDefault="00444C66">
      <w:pPr>
        <w:widowControl w:val="0"/>
        <w:numPr>
          <w:ilvl w:val="12"/>
          <w:numId w:val="0"/>
        </w:numPr>
        <w:tabs>
          <w:tab w:val="left" w:pos="567"/>
        </w:tabs>
        <w:spacing w:after="0" w:line="240" w:lineRule="auto"/>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spacing w:after="0" w:line="240" w:lineRule="auto"/>
        <w:ind w:left="567" w:hanging="567"/>
        <w:rPr>
          <w:rFonts w:ascii="Times New Roman" w:hAnsi="Times New Roman"/>
          <w:b/>
        </w:rPr>
      </w:pPr>
      <w:r>
        <w:rPr>
          <w:rFonts w:ascii="Times New Roman" w:hAnsi="Times New Roman"/>
          <w:b/>
        </w:rPr>
        <w:t>3.</w:t>
      </w:r>
      <w:r>
        <w:rPr>
          <w:rFonts w:ascii="Times New Roman" w:hAnsi="Times New Roman"/>
          <w:b/>
        </w:rPr>
        <w:tab/>
        <w:t>Kaip vartoti Olimestra</w:t>
      </w:r>
    </w:p>
    <w:p w:rsidR="00444C66" w:rsidRDefault="00444C66">
      <w:pPr>
        <w:widowControl w:val="0"/>
        <w:tabs>
          <w:tab w:val="left" w:pos="567"/>
        </w:tabs>
        <w:spacing w:after="0" w:line="240" w:lineRule="auto"/>
        <w:rPr>
          <w:rFonts w:ascii="Times New Roman" w:hAnsi="Times New Roman"/>
          <w:b/>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Visada vartokite šį vaistą tiksliai kaip nurodė gydytojas arba vaistininkas. Jeigu abejojate, kreipkitės į gydytoją arba vaistininką.</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Suaugusieji</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lastRenderedPageBreak/>
        <w:t>Rekomenduojama dozė</w:t>
      </w:r>
      <w:r>
        <w:rPr>
          <w:rFonts w:ascii="Times New Roman" w:eastAsia="Times New Roman" w:hAnsi="Times New Roman"/>
          <w:lang w:eastAsia="sl-SI"/>
        </w:rPr>
        <w:t xml:space="preserve"> vartojimo pradžioje</w:t>
      </w:r>
      <w:r>
        <w:rPr>
          <w:rFonts w:ascii="Times New Roman" w:hAnsi="Times New Roman"/>
        </w:rPr>
        <w:t xml:space="preserve"> yra viena 10 mg tabletė vieną kartą per parą. Vis dėlto jeigu kraujospūdis nesureguliuojamas, gydytojas dozę gali keisti padidindamas iki 20 mg ar 40 mg vieną kartą per parą arba skirti vartoti kitokį vaistą.</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b/>
        </w:rPr>
      </w:pPr>
      <w:r>
        <w:rPr>
          <w:rFonts w:ascii="Times New Roman" w:hAnsi="Times New Roman"/>
          <w:b/>
        </w:rPr>
        <w:t>Vaikai nuo 6 metų ir jaunesni kaip 18 metų paaugliai</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Rekomenduojama pradinė dozė yra 10 mg vieną kartą per parą. Jei paciento kraujospūdis reguliuojamas nepakankamai, gydytojas gali nuspręsti keisti dozę iki 20 ar 40 mg vieną kartą per dieną. Vaikams, sveriantiems mažiau kaip 35 kg, dozė bus ne didesnė nei 20 mg vieną kartą per parą.</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Pacientams, sergantiems lengva ar vidutinio sunkumo kepenų liga, negalima vartoti didesnės kaip 20 mg dozės vieną kartą per parą.</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Tabletes galima gerti valgant arba be maisto. Nurykite visą tabletę užgerdami pakankamu kiekiu (pavyzdžiui, viena stikline) vandens. Jeigu įmanoma, vartokite paros dozę kasdien tuo pačiu laiku, pavyzdžiui, per pusryčius.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Ką daryti pavartojus per didelę Olimestra dozę</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Jeigu išgėrėte per daug tablečių arba vaikas atsitiktinai išgėrė vaisto, kreipkitės į gydytoją arba artimiausios ligoninės priėmimo skyrių.</w:t>
      </w:r>
    </w:p>
    <w:p w:rsidR="00444C66" w:rsidRDefault="00444C66">
      <w:pPr>
        <w:widowControl w:val="0"/>
        <w:numPr>
          <w:ilvl w:val="12"/>
          <w:numId w:val="0"/>
        </w:numPr>
        <w:tabs>
          <w:tab w:val="left" w:pos="567"/>
        </w:tabs>
        <w:spacing w:after="0" w:line="240" w:lineRule="auto"/>
        <w:rPr>
          <w:rFonts w:ascii="Times New Roman" w:hAnsi="Times New Roman"/>
        </w:rPr>
      </w:pPr>
    </w:p>
    <w:p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Pamiršus pavartoti Olimestra</w:t>
      </w: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Jeigu pamiršote išgerti vaisto dozę, išgerkite įprastą dozę kitą dieną įprastu laiku. Negalima vartoti dvigubos dozės norint kompensuoti praleistą dozę.</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outlineLvl w:val="0"/>
        <w:rPr>
          <w:rFonts w:ascii="Times New Roman" w:hAnsi="Times New Roman"/>
          <w:b/>
        </w:rPr>
      </w:pPr>
      <w:r>
        <w:rPr>
          <w:rFonts w:ascii="Times New Roman" w:hAnsi="Times New Roman"/>
          <w:b/>
        </w:rPr>
        <w:t>Nustojus vartoti Olimestra</w:t>
      </w: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Svarbu vartoti Olimestra tol, kol gydytojas nurodys baigti gydymą.</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Jeigu kiltų daugiau klausimų dėl šio vaisto vartojimo, kreipkitės į gydytoją arba vaistininką.</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left="567" w:right="-2" w:hanging="567"/>
        <w:rPr>
          <w:rFonts w:ascii="Times New Roman" w:hAnsi="Times New Roman"/>
        </w:rPr>
      </w:pPr>
      <w:r>
        <w:rPr>
          <w:rFonts w:ascii="Times New Roman" w:hAnsi="Times New Roman"/>
          <w:b/>
        </w:rPr>
        <w:t>4.</w:t>
      </w:r>
      <w:r>
        <w:rPr>
          <w:rFonts w:ascii="Times New Roman" w:hAnsi="Times New Roman"/>
          <w:b/>
        </w:rPr>
        <w:tab/>
        <w:t>Galimas šalutinis poveikis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Šis vaistas, kaip ir visi kiti, gali sukelti šalutinį poveikį, nors jis pasireiškia ne visiems žmonėms.</w:t>
      </w:r>
      <w:r>
        <w:rPr>
          <w:rFonts w:ascii="Times New Roman" w:hAnsi="Times New Roman"/>
          <w:lang w:val="sl-SI"/>
        </w:rPr>
        <w:t xml:space="preserve"> Jei jis pasireiškia, dažniausiai būna silpnas ir dėl to vaisto vartojimo nutraukti neprireikia.</w:t>
      </w:r>
    </w:p>
    <w:p w:rsidR="00444C66" w:rsidRDefault="00444C66">
      <w:pPr>
        <w:widowControl w:val="0"/>
        <w:tabs>
          <w:tab w:val="left" w:pos="540"/>
          <w:tab w:val="left" w:pos="2977"/>
        </w:tabs>
        <w:spacing w:after="0" w:line="240" w:lineRule="auto"/>
        <w:rPr>
          <w:rFonts w:ascii="Times New Roman" w:hAnsi="Times New Roman"/>
          <w:lang w:val="sl-SI"/>
        </w:rPr>
      </w:pPr>
    </w:p>
    <w:p w:rsidR="00444C66" w:rsidRDefault="00444C66">
      <w:pPr>
        <w:widowControl w:val="0"/>
        <w:tabs>
          <w:tab w:val="left" w:pos="540"/>
          <w:tab w:val="left" w:pos="2977"/>
        </w:tabs>
        <w:spacing w:after="0" w:line="240" w:lineRule="auto"/>
        <w:rPr>
          <w:rFonts w:ascii="Times New Roman" w:hAnsi="Times New Roman"/>
          <w:lang w:val="sl-SI"/>
        </w:rPr>
      </w:pPr>
      <w:r>
        <w:rPr>
          <w:rFonts w:ascii="Times New Roman" w:hAnsi="Times New Roman"/>
        </w:rPr>
        <w:t>Nors pasitaiko tik nedaugeliui ligonių, toliau paminėti šalutinio poveikio reiškiniai gali būti sunkūs.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Retais atvejais </w:t>
      </w:r>
      <w:r>
        <w:rPr>
          <w:rFonts w:ascii="Times New Roman" w:hAnsi="Times New Roman"/>
          <w:lang w:val="sl-SI"/>
        </w:rPr>
        <w:t>(gali pasireikšti rečiau kaip 1 iš 1 000 asmenų)</w:t>
      </w:r>
      <w:r>
        <w:rPr>
          <w:rFonts w:ascii="Times New Roman" w:hAnsi="Times New Roman"/>
          <w:i/>
          <w:lang w:val="sl-SI"/>
        </w:rPr>
        <w:t xml:space="preserve"> </w:t>
      </w:r>
      <w:r>
        <w:rPr>
          <w:rFonts w:ascii="Times New Roman" w:hAnsi="Times New Roman"/>
        </w:rPr>
        <w:t>pasireiškė išvardytos alerginės reakcijos</w:t>
      </w:r>
      <w:r>
        <w:rPr>
          <w:rFonts w:ascii="Times New Roman" w:hAnsi="Times New Roman"/>
          <w:lang w:val="sl-SI"/>
        </w:rPr>
        <w:t>, kurios gali pasireikšti visame kūne</w:t>
      </w:r>
      <w:r>
        <w:rPr>
          <w:rFonts w:ascii="Times New Roman" w:hAnsi="Times New Roman"/>
        </w:rPr>
        <w:t>:</w:t>
      </w: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Gydymo Olimestra metu gali pasireikšti veido, burnos ir (arba) gerklų (balso aparato) patinimas, pasireiškiantis kartu su niežuliu ir išbėrimu. Jeigu pasireiškia tokia reakcija, nutraukite Olimestra vartojimą ir nedelsdami kreipkitės į gydytoją.</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Retais atvejais (bet šiek tiek dažniau senyviems pacientams) Olimestra gali sukelti pernelyg didelį kraujospūdžio sumažėjimą </w:t>
      </w:r>
      <w:r>
        <w:rPr>
          <w:rFonts w:ascii="Times New Roman" w:hAnsi="Times New Roman"/>
          <w:lang w:val="sl-SI"/>
        </w:rPr>
        <w:t>arba alerginę reakciją</w:t>
      </w:r>
      <w:r>
        <w:rPr>
          <w:rFonts w:ascii="Times New Roman" w:hAnsi="Times New Roman"/>
        </w:rPr>
        <w:t xml:space="preserve"> jautriems asmenims. Dėl to gali pasireikšti sunkus apsvaigimas ar apalpimas. Jeigu pasireiškia toks poveikis, nutraukite Olimestra vartojimą, nedelsdami kreipkitės į gydytoją ir atsigulkite ant plokščio paviršiaus.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Dažnis nežinomas (negali būti apskaičiuotas pagal turimus duomenis): Jeigu pagelstų Jūsų akių baltymai, patamsėtų šlapimas, imtų niežėti oda, net jei gydymą Olimestra pradėjote seniau, nedelsdami kreipkitės į savo gydytoją, kuris įvertins Jūsų simptomus ir nuspręs, kaip tęsti Jūsų gydymą vaistais nuo kraujospūdžio.</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Toliau išvardytas šalutinis poveikis, kuris gali pasireikšti vartojant Olimestra:</w:t>
      </w:r>
    </w:p>
    <w:p w:rsidR="00444C66" w:rsidRDefault="00444C66">
      <w:pPr>
        <w:widowControl w:val="0"/>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Dažni šalutinio poveikio reiškiniai (gali pasireikšti rečiau kaip 1 iš 10 asmenų)</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lastRenderedPageBreak/>
        <w:t>Svaigulys, galvos skausmas, pykinimas, nevirškinimas, viduriavimas, pilvo skausmas, gastroenteritas, nuovargis, gerklės skausmas, skystos išskyros iš nosies arba nosies užsikimšimas, bronchitas, į gripo panašūs simptomai, kosulys, skausmas, krūtinės, nugaros, kaulų ar sąnarių skausmas, šlapimo takų infekcija, kulkšnių</w:t>
      </w:r>
      <w:smartTag w:uri="schemas-tilde-lv/tildestengine" w:element="metric2">
        <w:smartTagPr>
          <w:attr w:name="metric_text" w:val="pėdų"/>
          <w:attr w:name="metric_value" w:val="."/>
        </w:smartTagPr>
        <w:r>
          <w:rPr>
            <w:rFonts w:ascii="Times New Roman" w:hAnsi="Times New Roman"/>
          </w:rPr>
          <w:t>, pėdų</w:t>
        </w:r>
      </w:smartTag>
      <w:r>
        <w:rPr>
          <w:rFonts w:ascii="Times New Roman" w:hAnsi="Times New Roman"/>
        </w:rPr>
        <w:t>, kojų, delnų ar rankų patinimas, kraujas šlapime.</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Pasireiškė kai kurie kraujo tyrimų rodmenų pokyčiai, būtent:</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riebiųjų medžiagų koncentracijos padidėjimas (hipertrigliceridemija), šlapimo rūgšties koncentracijos padidėjimas (hiperurikemija), </w:t>
      </w:r>
      <w:r>
        <w:rPr>
          <w:rFonts w:ascii="Times New Roman" w:hAnsi="Times New Roman"/>
          <w:lang w:val="sl-SI"/>
        </w:rPr>
        <w:t xml:space="preserve">padidėjęs urėjos kiekis kraujyje, </w:t>
      </w:r>
      <w:r>
        <w:rPr>
          <w:rFonts w:ascii="Times New Roman" w:hAnsi="Times New Roman"/>
        </w:rPr>
        <w:t>kepenų ir raumenų funkcijos tyrimų rodmenų padidėjimas.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Nedažni šalutinio poveikio reiškiniai (gali pasireikšti rečiau kaip 1 iš 100 asmenų)</w:t>
      </w:r>
    </w:p>
    <w:p w:rsidR="00444C66" w:rsidRDefault="00444C66">
      <w:pPr>
        <w:widowControl w:val="0"/>
        <w:tabs>
          <w:tab w:val="left" w:pos="567"/>
        </w:tabs>
        <w:spacing w:after="0" w:line="240" w:lineRule="auto"/>
        <w:rPr>
          <w:rFonts w:ascii="Times New Roman" w:hAnsi="Times New Roman"/>
          <w:lang w:val="sl-SI"/>
        </w:rPr>
      </w:pPr>
      <w:r>
        <w:rPr>
          <w:rFonts w:ascii="Times New Roman" w:hAnsi="Times New Roman"/>
        </w:rPr>
        <w:t>Greitos alerginės reakcijos, kurios gali paveikti visą organizmą ir gali sukelti kvėpavimo problemų, taip pat staigus kraujospūdžio sumažėjimas, kuris gali sukelti net apalpimą (anafilaksinės reakcijos), galvos svaigimas, vėmimas, silpnumas, bloga savijauta, raumenų skausmas, odos išbėrimas, alerginis odos bėrimas, niežulys, egzantema (odos bėrimas), odos mazgeliai, angina (krūtinės skausmas ar nemalonūs pojūčiai krūtinėje).</w:t>
      </w:r>
    </w:p>
    <w:p w:rsidR="00444C66" w:rsidRDefault="00444C66">
      <w:pPr>
        <w:widowControl w:val="0"/>
        <w:tabs>
          <w:tab w:val="left" w:pos="567"/>
        </w:tabs>
        <w:spacing w:after="0" w:line="240" w:lineRule="auto"/>
        <w:rPr>
          <w:rFonts w:ascii="Times New Roman" w:hAnsi="Times New Roman"/>
          <w:lang w:val="sl-SI"/>
        </w:rPr>
      </w:pPr>
    </w:p>
    <w:p w:rsidR="00444C66" w:rsidRDefault="00444C66">
      <w:pPr>
        <w:widowControl w:val="0"/>
        <w:tabs>
          <w:tab w:val="left" w:pos="567"/>
        </w:tabs>
        <w:spacing w:after="0" w:line="240" w:lineRule="auto"/>
        <w:rPr>
          <w:rFonts w:ascii="Times New Roman" w:hAnsi="Times New Roman"/>
          <w:lang w:val="sl-SI"/>
        </w:rPr>
      </w:pPr>
      <w:r>
        <w:rPr>
          <w:rFonts w:ascii="Times New Roman" w:hAnsi="Times New Roman"/>
          <w:lang w:val="sl-SI"/>
        </w:rPr>
        <w:t>Kraujo tyrimuose buvo pastebėtas sumažėjęs kraujo plokštelių (trombocitų), kiekis (taip vadinamoji trombocitopenija).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u w:val="single"/>
        </w:rPr>
      </w:pPr>
      <w:r>
        <w:rPr>
          <w:rFonts w:ascii="Times New Roman" w:hAnsi="Times New Roman"/>
          <w:u w:val="single"/>
        </w:rPr>
        <w:t>Reti šalutinio poveikio reiškiniai (gali pasireikšti rečiau kaip 1 iš 1 000 asmenų):</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Energijos stoka, raumenų skausmas, inkstų funkcijos sutrikimas, inkstų funkcijos nepakankamumas, </w:t>
      </w:r>
      <w:r w:rsidRPr="004F5963">
        <w:rPr>
          <w:rFonts w:ascii="Times New Roman" w:hAnsi="Times New Roman"/>
        </w:rPr>
        <w:t>žarnyno angioneurozinė edema: tinimas žarnyne, pasireiškiantis tokiais simptomais kaip pilvo skausmas, pykinimas, vėmimas ir viduriavimas.</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Atsirado ir kai kurių kraujo tyrimų rodmenų pokyčių. Tokie pokyčiai yra</w:t>
      </w:r>
      <w:r>
        <w:rPr>
          <w:rFonts w:ascii="Times New Roman" w:hAnsi="Times New Roman"/>
          <w:lang w:val="sl-SI"/>
        </w:rPr>
        <w:t xml:space="preserve"> kalio kiekio padidėjimas kraujyje (hiperkaliemija) ir</w:t>
      </w:r>
      <w:r>
        <w:rPr>
          <w:rFonts w:ascii="Times New Roman" w:hAnsi="Times New Roman"/>
        </w:rPr>
        <w:t xml:space="preserve"> su inkstų funkcija susijusių medžiagų koncentracijų padidėjimas.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eastAsia="Times New Roman" w:hAnsi="Times New Roman"/>
          <w:b/>
          <w:lang w:eastAsia="sl-SI"/>
        </w:rPr>
      </w:pPr>
      <w:r>
        <w:rPr>
          <w:rFonts w:ascii="Times New Roman" w:eastAsia="Times New Roman" w:hAnsi="Times New Roman"/>
          <w:b/>
          <w:lang w:eastAsia="sl-SI"/>
        </w:rPr>
        <w:t>Kitas šalutinis poveikis, kuris gali pasireikšti vaikams ir paaugliams</w:t>
      </w:r>
    </w:p>
    <w:p w:rsidR="00444C66" w:rsidRDefault="00444C66">
      <w:pPr>
        <w:widowControl w:val="0"/>
        <w:numPr>
          <w:ilvl w:val="12"/>
          <w:numId w:val="0"/>
        </w:numPr>
        <w:tabs>
          <w:tab w:val="left" w:pos="567"/>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Šalutinis poveikis vaikams yra panašus pasireiškiantį suaugusiems. Tačiau galvos svaigimas ir galvos skausmas yra dažniau pasireiškiantis vaikams, o nosies kraujavimas yra dažnas šalutinis poveikis pastebėtas tik vaikams.</w:t>
      </w:r>
    </w:p>
    <w:p w:rsidR="00444C66" w:rsidRDefault="00444C66">
      <w:pPr>
        <w:widowControl w:val="0"/>
        <w:numPr>
          <w:ilvl w:val="12"/>
          <w:numId w:val="0"/>
        </w:numPr>
        <w:tabs>
          <w:tab w:val="left" w:pos="567"/>
        </w:tabs>
        <w:spacing w:after="0" w:line="240" w:lineRule="auto"/>
        <w:ind w:right="-2"/>
        <w:rPr>
          <w:rFonts w:ascii="Times New Roman" w:eastAsia="Times New Roman" w:hAnsi="Times New Roman"/>
          <w:b/>
          <w:lang w:eastAsia="sl-SI"/>
        </w:rPr>
      </w:pPr>
    </w:p>
    <w:p w:rsidR="00444C66" w:rsidRDefault="00444C66">
      <w:pPr>
        <w:widowControl w:val="0"/>
        <w:tabs>
          <w:tab w:val="left" w:pos="567"/>
        </w:tabs>
        <w:spacing w:after="0" w:line="240" w:lineRule="auto"/>
        <w:rPr>
          <w:rFonts w:ascii="Times New Roman" w:hAnsi="Times New Roman"/>
          <w:b/>
        </w:rPr>
      </w:pPr>
      <w:r>
        <w:rPr>
          <w:rFonts w:ascii="Times New Roman" w:hAnsi="Times New Roman"/>
          <w:b/>
        </w:rPr>
        <w:t>Pranešimas apie šalutinį poveikį</w:t>
      </w:r>
    </w:p>
    <w:p w:rsidR="00444C66" w:rsidRDefault="00444C66">
      <w:pPr>
        <w:widowControl w:val="0"/>
        <w:tabs>
          <w:tab w:val="left" w:pos="567"/>
        </w:tabs>
        <w:spacing w:after="0" w:line="240" w:lineRule="auto"/>
        <w:ind w:right="-449"/>
        <w:rPr>
          <w:rFonts w:ascii="Times New Roman" w:hAnsi="Times New Roman"/>
        </w:rPr>
      </w:pPr>
      <w:r>
        <w:rPr>
          <w:rFonts w:ascii="Times New Roman" w:hAnsi="Times New Roman"/>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spacing w:after="0" w:line="240" w:lineRule="auto"/>
        <w:ind w:left="567" w:right="-2" w:hanging="567"/>
        <w:rPr>
          <w:rFonts w:ascii="Times New Roman" w:hAnsi="Times New Roman"/>
        </w:rPr>
      </w:pPr>
      <w:r>
        <w:rPr>
          <w:rFonts w:ascii="Times New Roman" w:hAnsi="Times New Roman"/>
          <w:b/>
        </w:rPr>
        <w:t>5.</w:t>
      </w:r>
      <w:r>
        <w:rPr>
          <w:rFonts w:ascii="Times New Roman" w:hAnsi="Times New Roman"/>
          <w:b/>
        </w:rPr>
        <w:tab/>
        <w:t>Kaip laikyti Olimestra</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Šį vaistą laikykite vaikams nepastebimoje ir nepasiekiamoje vietoje.</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 xml:space="preserve">Ant dėžutės, tablečių talpyklės ir lizdinės plokštelės po </w:t>
      </w:r>
      <w:r>
        <w:rPr>
          <w:rFonts w:ascii="Times New Roman" w:hAnsi="Times New Roman"/>
          <w:highlight w:val="lightGray"/>
        </w:rPr>
        <w:t>„Tinka iki“</w:t>
      </w:r>
      <w:r>
        <w:rPr>
          <w:rFonts w:ascii="Times New Roman" w:hAnsi="Times New Roman"/>
        </w:rPr>
        <w:t>/ „EXP“ nurodytam tinkamumo laikui pasibaigus, šio vaisto vartoti draudžiama. Vaistas tinkamas vartoti iki paskutinės nurodyto mėnesio dienos.</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 xml:space="preserve">Šiam </w:t>
      </w:r>
      <w:r>
        <w:rPr>
          <w:rFonts w:ascii="Times New Roman" w:eastAsia="Times New Roman" w:hAnsi="Times New Roman"/>
          <w:lang w:eastAsia="sl-SI"/>
        </w:rPr>
        <w:t>vaistui</w:t>
      </w:r>
      <w:r>
        <w:rPr>
          <w:rFonts w:ascii="Times New Roman" w:hAnsi="Times New Roman"/>
        </w:rPr>
        <w:t xml:space="preserve"> specialių laikymo sąlygų nereikia.</w:t>
      </w:r>
    </w:p>
    <w:p w:rsidR="00444C66" w:rsidRDefault="00444C66">
      <w:pPr>
        <w:widowControl w:val="0"/>
        <w:tabs>
          <w:tab w:val="left" w:pos="567"/>
        </w:tabs>
        <w:spacing w:after="0" w:line="240" w:lineRule="auto"/>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spacing w:after="0" w:line="240" w:lineRule="auto"/>
        <w:ind w:left="567" w:hanging="567"/>
        <w:rPr>
          <w:rFonts w:ascii="Times New Roman" w:hAnsi="Times New Roman"/>
          <w:b/>
        </w:rPr>
      </w:pPr>
      <w:r>
        <w:rPr>
          <w:rFonts w:ascii="Times New Roman" w:hAnsi="Times New Roman"/>
          <w:b/>
        </w:rPr>
        <w:t>6.</w:t>
      </w:r>
      <w:r>
        <w:rPr>
          <w:rFonts w:ascii="Times New Roman" w:hAnsi="Times New Roman"/>
          <w:b/>
        </w:rPr>
        <w:tab/>
        <w:t>Pakuotės turinys ir kita informacija</w:t>
      </w:r>
    </w:p>
    <w:p w:rsidR="00444C66" w:rsidRDefault="00444C66">
      <w:pPr>
        <w:widowControl w:val="0"/>
        <w:numPr>
          <w:ilvl w:val="12"/>
          <w:numId w:val="0"/>
        </w:numPr>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Olimestra sudėtis</w:t>
      </w:r>
    </w:p>
    <w:p w:rsidR="00444C66" w:rsidRDefault="00444C66">
      <w:pPr>
        <w:widowControl w:val="0"/>
        <w:numPr>
          <w:ilvl w:val="0"/>
          <w:numId w:val="45"/>
        </w:numPr>
        <w:spacing w:after="0" w:line="240" w:lineRule="auto"/>
        <w:ind w:left="567" w:hanging="567"/>
        <w:rPr>
          <w:rFonts w:ascii="Times New Roman" w:hAnsi="Times New Roman"/>
        </w:rPr>
      </w:pPr>
      <w:r>
        <w:rPr>
          <w:rFonts w:ascii="Times New Roman" w:hAnsi="Times New Roman"/>
        </w:rPr>
        <w:t>Veiklioji medžiaga yra olmesartanas medoksomilis.</w:t>
      </w:r>
    </w:p>
    <w:p w:rsidR="00444C66" w:rsidRDefault="00444C66">
      <w:pPr>
        <w:widowControl w:val="0"/>
        <w:spacing w:after="0" w:line="240" w:lineRule="auto"/>
        <w:ind w:left="567"/>
        <w:rPr>
          <w:rFonts w:ascii="Times New Roman" w:hAnsi="Times New Roman"/>
        </w:rPr>
      </w:pPr>
      <w:r>
        <w:rPr>
          <w:rFonts w:ascii="Times New Roman" w:hAnsi="Times New Roman"/>
        </w:rPr>
        <w:t>Kiekvienoje Olimestra 10 mg plėvele dengtoje tabletėje yra 10 mg olmesartano medoksomilio.</w:t>
      </w:r>
    </w:p>
    <w:p w:rsidR="00444C66" w:rsidRDefault="00444C66">
      <w:pPr>
        <w:widowControl w:val="0"/>
        <w:spacing w:after="0" w:line="240" w:lineRule="auto"/>
        <w:ind w:left="567"/>
        <w:rPr>
          <w:rFonts w:ascii="Times New Roman" w:hAnsi="Times New Roman"/>
        </w:rPr>
      </w:pPr>
      <w:r>
        <w:rPr>
          <w:rFonts w:ascii="Times New Roman" w:hAnsi="Times New Roman"/>
          <w:highlight w:val="lightGray"/>
        </w:rPr>
        <w:t>Kiekvienoje Olimestra 20 mg plėvele dengtoje tabletėje yra 20 mg olmesartano medoksomilio.</w:t>
      </w:r>
    </w:p>
    <w:p w:rsidR="00444C66" w:rsidRDefault="00444C66">
      <w:pPr>
        <w:widowControl w:val="0"/>
        <w:spacing w:after="0" w:line="240" w:lineRule="auto"/>
        <w:ind w:left="567"/>
        <w:rPr>
          <w:rFonts w:ascii="Times New Roman" w:hAnsi="Times New Roman"/>
        </w:rPr>
      </w:pPr>
      <w:r>
        <w:rPr>
          <w:rFonts w:ascii="Times New Roman" w:hAnsi="Times New Roman"/>
          <w:highlight w:val="darkGray"/>
        </w:rPr>
        <w:t>Kiekvienoje Olimestra 40 mg plėvele dengtoje tabletėje yra 40 mg olmesartano medoksomilio.</w:t>
      </w:r>
    </w:p>
    <w:p w:rsidR="00444C66" w:rsidRDefault="00444C66">
      <w:pPr>
        <w:widowControl w:val="0"/>
        <w:numPr>
          <w:ilvl w:val="0"/>
          <w:numId w:val="45"/>
        </w:numPr>
        <w:spacing w:after="0" w:line="240" w:lineRule="auto"/>
        <w:ind w:left="567" w:right="-2" w:hanging="567"/>
        <w:rPr>
          <w:rFonts w:ascii="Times New Roman" w:hAnsi="Times New Roman"/>
        </w:rPr>
      </w:pPr>
      <w:r>
        <w:rPr>
          <w:rFonts w:ascii="Times New Roman" w:hAnsi="Times New Roman"/>
        </w:rPr>
        <w:t>Pagalbinės medžiagos. Tabletės branduolys: mikrokristalinė celiuliozė, laktozė monohidratas, mažai pakeista hidroksipropilceliuliozė ir magnio stearatas. Tabletės plėvelė: titano dioksidas, talkas, makrogolis 3000 ir dalinai hidrolizuotas polivinilo alkoholis</w:t>
      </w:r>
      <w:r>
        <w:rPr>
          <w:rFonts w:ascii="Times New Roman" w:eastAsia="Times New Roman" w:hAnsi="Times New Roman"/>
          <w:lang w:eastAsia="sl-SI"/>
        </w:rPr>
        <w:t xml:space="preserve"> (žr. 2 skyrių). Žr. 2 skyrių „Olimestra sudėtyje yra laktozės“.</w:t>
      </w:r>
    </w:p>
    <w:p w:rsidR="00444C66" w:rsidRDefault="00444C66">
      <w:pPr>
        <w:widowControl w:val="0"/>
        <w:tabs>
          <w:tab w:val="left" w:pos="567"/>
        </w:tabs>
        <w:spacing w:after="0" w:line="240" w:lineRule="auto"/>
        <w:ind w:right="-2"/>
        <w:rPr>
          <w:rFonts w:ascii="Times New Roman" w:hAnsi="Times New Roman"/>
        </w:rPr>
      </w:pPr>
    </w:p>
    <w:p w:rsidR="00444C66" w:rsidRDefault="00444C66">
      <w:pPr>
        <w:widowControl w:val="0"/>
        <w:numPr>
          <w:ilvl w:val="12"/>
          <w:numId w:val="0"/>
        </w:numPr>
        <w:tabs>
          <w:tab w:val="left" w:pos="567"/>
        </w:tabs>
        <w:spacing w:after="0" w:line="240" w:lineRule="auto"/>
        <w:ind w:right="-2"/>
        <w:rPr>
          <w:rFonts w:ascii="Times New Roman" w:hAnsi="Times New Roman"/>
          <w:b/>
        </w:rPr>
      </w:pPr>
      <w:r>
        <w:rPr>
          <w:rFonts w:ascii="Times New Roman" w:hAnsi="Times New Roman"/>
          <w:b/>
        </w:rPr>
        <w:t>Olimestra išvaizda ir kiekis pakuotėje</w:t>
      </w:r>
    </w:p>
    <w:p w:rsidR="00444C66" w:rsidRDefault="00444C66">
      <w:pPr>
        <w:widowControl w:val="0"/>
        <w:tabs>
          <w:tab w:val="left" w:pos="567"/>
        </w:tabs>
        <w:spacing w:after="0" w:line="240" w:lineRule="auto"/>
        <w:rPr>
          <w:rFonts w:ascii="Times New Roman" w:hAnsi="Times New Roman"/>
        </w:rPr>
      </w:pPr>
      <w:r>
        <w:rPr>
          <w:rFonts w:ascii="Times New Roman" w:hAnsi="Times New Roman"/>
        </w:rPr>
        <w:t>10 mg plėvele dengtos tabletės yra baltos spalvos, apvalios, šiek tiek abipus išgaubtos. Vienoje tabletės pusėje yra įspaustas užrašas „S1“, tabletės skersmuo 6,5 mm.</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lightGray"/>
        </w:rPr>
        <w:t>20 mg plėvele dengtos tabletės yra baltos spalvos, apvalios, šiek tiek abipus išgaubtos.</w:t>
      </w:r>
      <w:r>
        <w:rPr>
          <w:rFonts w:ascii="Times New Roman" w:hAnsi="Times New Roman"/>
          <w:highlight w:val="lightGray"/>
          <w:shd w:val="clear" w:color="auto" w:fill="E6E6E6"/>
        </w:rPr>
        <w:t xml:space="preserve"> Vienoje tabletės pusėje yra įspaustas užrašas „S2“, tabletės skersmuo 8 mm.</w:t>
      </w:r>
    </w:p>
    <w:p w:rsidR="00444C66" w:rsidRDefault="00444C66">
      <w:pPr>
        <w:widowControl w:val="0"/>
        <w:tabs>
          <w:tab w:val="left" w:pos="567"/>
        </w:tabs>
        <w:spacing w:after="0" w:line="240" w:lineRule="auto"/>
        <w:rPr>
          <w:rFonts w:ascii="Times New Roman" w:hAnsi="Times New Roman"/>
        </w:rPr>
      </w:pPr>
      <w:r>
        <w:rPr>
          <w:rFonts w:ascii="Times New Roman" w:hAnsi="Times New Roman"/>
          <w:highlight w:val="darkGray"/>
        </w:rPr>
        <w:t>40 mg plėvele dengtos tabletės yra baltos spalvos, ovalo formos, abipus išgaubtos.</w:t>
      </w:r>
      <w:r>
        <w:rPr>
          <w:rFonts w:ascii="Times New Roman" w:hAnsi="Times New Roman"/>
          <w:highlight w:val="darkGray"/>
          <w:shd w:val="clear" w:color="auto" w:fill="C0C0C0"/>
        </w:rPr>
        <w:t xml:space="preserve"> Vienoje tabletės pusėje yra įspaustas užrašas „S3“, tabletės dydis 13x8 mm.</w:t>
      </w:r>
    </w:p>
    <w:p w:rsidR="00444C66" w:rsidRDefault="00444C66">
      <w:pPr>
        <w:widowControl w:val="0"/>
        <w:numPr>
          <w:ilvl w:val="12"/>
          <w:numId w:val="0"/>
        </w:numPr>
        <w:tabs>
          <w:tab w:val="left" w:pos="567"/>
        </w:tabs>
        <w:spacing w:after="0" w:line="240" w:lineRule="auto"/>
        <w:ind w:right="-2"/>
        <w:rPr>
          <w:rFonts w:ascii="Times New Roman" w:hAnsi="Times New Roman"/>
          <w:b/>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Tiekiamos Olimestra 10 mg, 20 mg ir 40 mg plėvele dengtų tablečių dėžutės, kuriose yra 10, 14, 28, 30, 56, 60, 84, 90, 98 arba 100 plėvele dengtų tablečių lizdinėse plokštelėse ir 100 plėvele dengtų tablečių talpyklės.</w:t>
      </w:r>
    </w:p>
    <w:p w:rsidR="00444C66" w:rsidRDefault="00444C66">
      <w:pPr>
        <w:widowControl w:val="0"/>
        <w:numPr>
          <w:ilvl w:val="12"/>
          <w:numId w:val="0"/>
        </w:numPr>
        <w:tabs>
          <w:tab w:val="left" w:pos="567"/>
        </w:tabs>
        <w:spacing w:after="0" w:line="240" w:lineRule="auto"/>
        <w:ind w:right="-2"/>
        <w:rPr>
          <w:rFonts w:ascii="Times New Roman" w:hAnsi="Times New Roman"/>
          <w:b/>
        </w:rPr>
      </w:pPr>
    </w:p>
    <w:p w:rsidR="00444C66" w:rsidRDefault="00444C66">
      <w:pPr>
        <w:widowControl w:val="0"/>
        <w:tabs>
          <w:tab w:val="left" w:pos="567"/>
        </w:tabs>
        <w:spacing w:after="0" w:line="240" w:lineRule="auto"/>
        <w:rPr>
          <w:rFonts w:ascii="Times New Roman" w:hAnsi="Times New Roman"/>
        </w:rPr>
      </w:pPr>
      <w:r>
        <w:rPr>
          <w:rFonts w:ascii="Times New Roman" w:hAnsi="Times New Roman"/>
        </w:rPr>
        <w:t>Gali būti tiekiamos ne visų dydžių pakuotės.</w:t>
      </w:r>
    </w:p>
    <w:p w:rsidR="00444C66" w:rsidRDefault="00444C66">
      <w:pPr>
        <w:widowControl w:val="0"/>
        <w:numPr>
          <w:ilvl w:val="12"/>
          <w:numId w:val="0"/>
        </w:numPr>
        <w:tabs>
          <w:tab w:val="left" w:pos="567"/>
        </w:tabs>
        <w:spacing w:after="0" w:line="240" w:lineRule="auto"/>
        <w:ind w:right="-2"/>
        <w:rPr>
          <w:rFonts w:ascii="Times New Roman" w:hAnsi="Times New Roman"/>
          <w:b/>
        </w:rPr>
      </w:pPr>
    </w:p>
    <w:p w:rsidR="00444C66" w:rsidRDefault="00444C66">
      <w:pPr>
        <w:widowControl w:val="0"/>
        <w:numPr>
          <w:ilvl w:val="12"/>
          <w:numId w:val="0"/>
        </w:numPr>
        <w:spacing w:after="0" w:line="240" w:lineRule="auto"/>
        <w:ind w:right="-2"/>
        <w:rPr>
          <w:rFonts w:ascii="Times New Roman" w:hAnsi="Times New Roman"/>
          <w:b/>
        </w:rPr>
      </w:pPr>
      <w:r>
        <w:rPr>
          <w:rFonts w:ascii="Times New Roman" w:eastAsia="Times New Roman" w:hAnsi="Times New Roman"/>
          <w:b/>
          <w:bCs/>
          <w:lang w:eastAsia="sl-SI"/>
        </w:rPr>
        <w:t>Registruotojas</w:t>
      </w:r>
      <w:r>
        <w:rPr>
          <w:rFonts w:ascii="Times New Roman" w:hAnsi="Times New Roman"/>
          <w:b/>
        </w:rPr>
        <w:t xml:space="preserve"> ir gamintojas</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KRKA, d.d., Novo mesto</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Šmarješka cesta 6</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8501 Novo mesto</w:t>
      </w:r>
    </w:p>
    <w:p w:rsidR="00444C66" w:rsidRDefault="00444C66">
      <w:pPr>
        <w:widowControl w:val="0"/>
        <w:autoSpaceDE w:val="0"/>
        <w:autoSpaceDN w:val="0"/>
        <w:adjustRightInd w:val="0"/>
        <w:spacing w:after="0" w:line="240" w:lineRule="auto"/>
        <w:jc w:val="both"/>
        <w:rPr>
          <w:rFonts w:ascii="Times New Roman" w:hAnsi="Times New Roman"/>
        </w:rPr>
      </w:pPr>
      <w:r>
        <w:rPr>
          <w:rFonts w:ascii="Times New Roman" w:hAnsi="Times New Roman"/>
        </w:rPr>
        <w:t>Slovėnija</w:t>
      </w:r>
    </w:p>
    <w:p w:rsidR="00444C66" w:rsidRDefault="00444C66">
      <w:pPr>
        <w:widowControl w:val="0"/>
        <w:tabs>
          <w:tab w:val="left" w:pos="540"/>
          <w:tab w:val="left" w:pos="2977"/>
        </w:tabs>
        <w:spacing w:after="0" w:line="240" w:lineRule="auto"/>
        <w:rPr>
          <w:rFonts w:ascii="Times New Roman" w:hAnsi="Times New Roman"/>
        </w:rPr>
      </w:pPr>
    </w:p>
    <w:p w:rsidR="00444C66" w:rsidRDefault="00444C66">
      <w:pPr>
        <w:widowControl w:val="0"/>
        <w:tabs>
          <w:tab w:val="left" w:pos="540"/>
          <w:tab w:val="left" w:pos="2977"/>
        </w:tabs>
        <w:spacing w:after="0" w:line="240" w:lineRule="auto"/>
        <w:rPr>
          <w:rFonts w:ascii="Times New Roman" w:hAnsi="Times New Roman"/>
        </w:rPr>
      </w:pPr>
      <w:r>
        <w:rPr>
          <w:rFonts w:ascii="Times New Roman" w:hAnsi="Times New Roman"/>
        </w:rPr>
        <w:t xml:space="preserve">Jeigu apie šį vaistą norite sužinoti daugiau, kreipkitės į vietinį </w:t>
      </w:r>
      <w:r>
        <w:rPr>
          <w:rFonts w:ascii="Times New Roman" w:eastAsia="Times New Roman" w:hAnsi="Times New Roman"/>
          <w:lang w:eastAsia="lt-LT"/>
        </w:rPr>
        <w:t>registruotojo</w:t>
      </w:r>
      <w:r>
        <w:rPr>
          <w:rFonts w:ascii="Times New Roman" w:hAnsi="Times New Roman"/>
        </w:rPr>
        <w:t xml:space="preserve"> atstovą.</w:t>
      </w:r>
    </w:p>
    <w:p w:rsidR="00444C66" w:rsidRDefault="00444C66">
      <w:pPr>
        <w:widowControl w:val="0"/>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444C66">
        <w:tc>
          <w:tcPr>
            <w:tcW w:w="4678" w:type="dxa"/>
          </w:tcPr>
          <w:p w:rsidR="00444C66" w:rsidRDefault="00444C66">
            <w:pPr>
              <w:widowControl w:val="0"/>
              <w:spacing w:after="0" w:line="240" w:lineRule="auto"/>
              <w:rPr>
                <w:rFonts w:ascii="Times New Roman" w:hAnsi="Times New Roman"/>
              </w:rPr>
            </w:pPr>
            <w:r>
              <w:rPr>
                <w:rFonts w:ascii="Times New Roman" w:hAnsi="Times New Roman"/>
              </w:rPr>
              <w:t>UAB KRKA Lietuva</w:t>
            </w:r>
          </w:p>
          <w:p w:rsidR="00444C66" w:rsidRDefault="00444C66">
            <w:pPr>
              <w:widowControl w:val="0"/>
              <w:spacing w:after="0" w:line="240" w:lineRule="auto"/>
              <w:rPr>
                <w:rFonts w:ascii="Times New Roman" w:hAnsi="Times New Roman"/>
              </w:rPr>
            </w:pPr>
            <w:r>
              <w:rPr>
                <w:rFonts w:ascii="Times New Roman" w:hAnsi="Times New Roman"/>
              </w:rPr>
              <w:t>Senasis Ukmergės kelias 4,</w:t>
            </w:r>
          </w:p>
          <w:p w:rsidR="00444C66" w:rsidRDefault="00444C66">
            <w:pPr>
              <w:widowControl w:val="0"/>
              <w:spacing w:after="0" w:line="240" w:lineRule="auto"/>
              <w:rPr>
                <w:rFonts w:ascii="Times New Roman" w:hAnsi="Times New Roman"/>
              </w:rPr>
            </w:pPr>
            <w:r>
              <w:rPr>
                <w:rFonts w:ascii="Times New Roman" w:hAnsi="Times New Roman"/>
              </w:rPr>
              <w:t>Užubalių km.,Vilniaus r.</w:t>
            </w:r>
          </w:p>
          <w:p w:rsidR="00444C66" w:rsidRDefault="00444C66">
            <w:pPr>
              <w:widowControl w:val="0"/>
              <w:spacing w:after="0" w:line="240" w:lineRule="auto"/>
              <w:rPr>
                <w:rFonts w:ascii="Times New Roman" w:hAnsi="Times New Roman"/>
              </w:rPr>
            </w:pPr>
            <w:r>
              <w:rPr>
                <w:rFonts w:ascii="Times New Roman" w:hAnsi="Times New Roman"/>
              </w:rPr>
              <w:t>LT - 14013</w:t>
            </w:r>
          </w:p>
          <w:p w:rsidR="00444C66" w:rsidRDefault="00444C66">
            <w:pPr>
              <w:widowControl w:val="0"/>
              <w:spacing w:after="0" w:line="240" w:lineRule="auto"/>
              <w:rPr>
                <w:rFonts w:ascii="Times New Roman" w:hAnsi="Times New Roman"/>
              </w:rPr>
            </w:pPr>
            <w:r>
              <w:rPr>
                <w:rFonts w:ascii="Times New Roman" w:hAnsi="Times New Roman"/>
              </w:rPr>
              <w:t>Tel. + 370 5 236 27 40</w:t>
            </w:r>
          </w:p>
        </w:tc>
      </w:tr>
    </w:tbl>
    <w:p w:rsidR="00444C66" w:rsidRDefault="00444C66">
      <w:pPr>
        <w:widowControl w:val="0"/>
        <w:numPr>
          <w:ilvl w:val="12"/>
          <w:numId w:val="0"/>
        </w:numPr>
        <w:tabs>
          <w:tab w:val="left" w:pos="567"/>
        </w:tabs>
        <w:spacing w:after="0" w:line="240" w:lineRule="auto"/>
        <w:ind w:right="-2"/>
        <w:rPr>
          <w:rFonts w:ascii="Times New Roman" w:hAnsi="Times New Roman"/>
          <w:b/>
          <w:highlight w:val="yellow"/>
        </w:rPr>
      </w:pPr>
    </w:p>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eastAsia="Times New Roman" w:hAnsi="Times New Roman"/>
          <w:b/>
          <w:snapToGrid w:val="0"/>
        </w:rPr>
        <w:t>Šis vaistinis preparatas</w:t>
      </w:r>
      <w:r>
        <w:rPr>
          <w:rFonts w:ascii="Times New Roman" w:hAnsi="Times New Roman"/>
          <w:b/>
        </w:rPr>
        <w:t xml:space="preserve"> Europos ekonominės erdvės valstybėse narėse </w:t>
      </w:r>
      <w:r>
        <w:rPr>
          <w:rFonts w:ascii="Times New Roman" w:eastAsia="Times New Roman" w:hAnsi="Times New Roman"/>
          <w:b/>
          <w:snapToGrid w:val="0"/>
        </w:rPr>
        <w:t>registruotas</w:t>
      </w:r>
      <w:r>
        <w:rPr>
          <w:rFonts w:ascii="Times New Roman" w:hAnsi="Times New Roman"/>
          <w:b/>
        </w:rPr>
        <w:t xml:space="preserve"> tokiais pavadinimais</w:t>
      </w:r>
      <w:r>
        <w:rPr>
          <w:rFonts w:ascii="Times New Roman" w:hAnsi="Times New Roman"/>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598"/>
      </w:tblGrid>
      <w:tr w:rsidR="00444C66">
        <w:tc>
          <w:tcPr>
            <w:tcW w:w="3402" w:type="dxa"/>
          </w:tcPr>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Valstybės narės pavadinimas</w:t>
            </w:r>
          </w:p>
        </w:tc>
        <w:tc>
          <w:tcPr>
            <w:tcW w:w="5598" w:type="dxa"/>
          </w:tcPr>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Vaisto pavadinimas</w:t>
            </w:r>
          </w:p>
        </w:tc>
      </w:tr>
      <w:tr w:rsidR="00444C66">
        <w:tc>
          <w:tcPr>
            <w:tcW w:w="3402" w:type="dxa"/>
          </w:tcPr>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Bulgarija, Estija, Lietuva, Lenkija, Rumunija, Slovakija, Slovėnija</w:t>
            </w:r>
          </w:p>
        </w:tc>
        <w:tc>
          <w:tcPr>
            <w:tcW w:w="5598" w:type="dxa"/>
          </w:tcPr>
          <w:p w:rsidR="00444C66" w:rsidRDefault="00444C66">
            <w:pPr>
              <w:widowControl w:val="0"/>
              <w:spacing w:after="0" w:line="240" w:lineRule="auto"/>
              <w:rPr>
                <w:rFonts w:ascii="Times New Roman" w:hAnsi="Times New Roman"/>
              </w:rPr>
            </w:pPr>
            <w:r>
              <w:rPr>
                <w:rFonts w:ascii="Times New Roman" w:hAnsi="Times New Roman"/>
              </w:rPr>
              <w:t>Olimestra</w:t>
            </w:r>
          </w:p>
        </w:tc>
      </w:tr>
      <w:tr w:rsidR="00444C66">
        <w:tc>
          <w:tcPr>
            <w:tcW w:w="3402" w:type="dxa"/>
          </w:tcPr>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Danija</w:t>
            </w:r>
          </w:p>
        </w:tc>
        <w:tc>
          <w:tcPr>
            <w:tcW w:w="5598" w:type="dxa"/>
          </w:tcPr>
          <w:p w:rsidR="00444C66" w:rsidRDefault="00444C66">
            <w:pPr>
              <w:widowControl w:val="0"/>
              <w:spacing w:after="0" w:line="240" w:lineRule="auto"/>
              <w:rPr>
                <w:rFonts w:ascii="Times New Roman" w:hAnsi="Times New Roman"/>
              </w:rPr>
            </w:pPr>
            <w:r>
              <w:rPr>
                <w:rFonts w:ascii="Times New Roman" w:hAnsi="Times New Roman"/>
              </w:rPr>
              <w:t>Olimesta</w:t>
            </w:r>
          </w:p>
        </w:tc>
      </w:tr>
      <w:tr w:rsidR="00444C66">
        <w:tc>
          <w:tcPr>
            <w:tcW w:w="3402" w:type="dxa"/>
          </w:tcPr>
          <w:p w:rsidR="00444C66" w:rsidRDefault="00444C66">
            <w:pPr>
              <w:widowControl w:val="0"/>
              <w:numPr>
                <w:ilvl w:val="12"/>
                <w:numId w:val="0"/>
              </w:numPr>
              <w:tabs>
                <w:tab w:val="left" w:pos="567"/>
              </w:tabs>
              <w:spacing w:after="0" w:line="240" w:lineRule="auto"/>
              <w:ind w:right="-2"/>
              <w:rPr>
                <w:rFonts w:ascii="Times New Roman" w:hAnsi="Times New Roman"/>
              </w:rPr>
            </w:pPr>
            <w:r>
              <w:rPr>
                <w:rFonts w:ascii="Times New Roman" w:hAnsi="Times New Roman"/>
              </w:rPr>
              <w:t>Latvija</w:t>
            </w:r>
          </w:p>
        </w:tc>
        <w:tc>
          <w:tcPr>
            <w:tcW w:w="5598" w:type="dxa"/>
          </w:tcPr>
          <w:p w:rsidR="00444C66" w:rsidRDefault="00444C66">
            <w:pPr>
              <w:widowControl w:val="0"/>
              <w:spacing w:after="0" w:line="240" w:lineRule="auto"/>
              <w:rPr>
                <w:rFonts w:ascii="Times New Roman" w:hAnsi="Times New Roman"/>
              </w:rPr>
            </w:pPr>
            <w:r>
              <w:rPr>
                <w:rFonts w:ascii="Times New Roman" w:hAnsi="Times New Roman"/>
              </w:rPr>
              <w:t>Olmesartan Krka</w:t>
            </w:r>
          </w:p>
        </w:tc>
      </w:tr>
    </w:tbl>
    <w:p w:rsidR="00444C66" w:rsidRDefault="00444C66">
      <w:pPr>
        <w:widowControl w:val="0"/>
        <w:numPr>
          <w:ilvl w:val="12"/>
          <w:numId w:val="0"/>
        </w:numPr>
        <w:tabs>
          <w:tab w:val="left" w:pos="567"/>
        </w:tabs>
        <w:spacing w:after="0" w:line="240" w:lineRule="auto"/>
        <w:ind w:right="-2"/>
        <w:outlineLvl w:val="0"/>
        <w:rPr>
          <w:rFonts w:ascii="Times New Roman" w:hAnsi="Times New Roman"/>
          <w:b/>
        </w:rPr>
      </w:pPr>
    </w:p>
    <w:p w:rsidR="00444C66" w:rsidRDefault="00444C66">
      <w:pPr>
        <w:widowControl w:val="0"/>
        <w:numPr>
          <w:ilvl w:val="12"/>
          <w:numId w:val="0"/>
        </w:numPr>
        <w:spacing w:after="0" w:line="240" w:lineRule="auto"/>
        <w:ind w:right="-2"/>
        <w:outlineLvl w:val="0"/>
        <w:rPr>
          <w:rFonts w:ascii="Times New Roman" w:hAnsi="Times New Roman"/>
          <w:b/>
        </w:rPr>
      </w:pPr>
    </w:p>
    <w:p w:rsidR="00444C66" w:rsidRDefault="00444C66">
      <w:pPr>
        <w:widowControl w:val="0"/>
        <w:numPr>
          <w:ilvl w:val="12"/>
          <w:numId w:val="0"/>
        </w:numPr>
        <w:spacing w:after="0" w:line="240" w:lineRule="auto"/>
        <w:ind w:right="-2"/>
        <w:outlineLvl w:val="0"/>
        <w:rPr>
          <w:rFonts w:ascii="Times New Roman" w:hAnsi="Times New Roman"/>
        </w:rPr>
      </w:pPr>
      <w:r>
        <w:rPr>
          <w:rFonts w:ascii="Times New Roman" w:hAnsi="Times New Roman"/>
          <w:b/>
        </w:rPr>
        <w:t>Šis pakuotės lapelis paskutinį kartą peržiūrėtas 2025-03-20.</w:t>
      </w:r>
    </w:p>
    <w:p w:rsidR="00444C66" w:rsidRDefault="00444C66">
      <w:pPr>
        <w:widowControl w:val="0"/>
        <w:numPr>
          <w:ilvl w:val="12"/>
          <w:numId w:val="0"/>
        </w:numPr>
        <w:spacing w:after="0" w:line="240" w:lineRule="auto"/>
        <w:ind w:right="-2"/>
        <w:rPr>
          <w:rFonts w:ascii="Times New Roman" w:hAnsi="Times New Roman"/>
        </w:rPr>
      </w:pPr>
    </w:p>
    <w:p w:rsidR="00444C66" w:rsidRPr="004F5963" w:rsidRDefault="00444C66" w:rsidP="004F5963">
      <w:pPr>
        <w:widowControl w:val="0"/>
        <w:numPr>
          <w:ilvl w:val="12"/>
          <w:numId w:val="0"/>
        </w:numPr>
        <w:tabs>
          <w:tab w:val="left" w:pos="567"/>
        </w:tabs>
        <w:spacing w:after="0" w:line="240" w:lineRule="auto"/>
        <w:ind w:right="-2"/>
        <w:outlineLvl w:val="0"/>
        <w:rPr>
          <w:rFonts w:ascii="Times New Roman" w:hAnsi="Times New Roman"/>
        </w:rPr>
      </w:pPr>
      <w:r>
        <w:rPr>
          <w:rFonts w:ascii="Times New Roman" w:hAnsi="Times New Roman"/>
        </w:rPr>
        <w:t xml:space="preserve">Išsami informacija apie šį vaistą pateikiama Valstybinės vaistų kontrolės tarnybos prie Lietuvos Respublikos sveikatos apsaugos ministerijos tinklalapyje </w:t>
      </w:r>
      <w:hyperlink r:id="rId10" w:history="1">
        <w:r>
          <w:rPr>
            <w:rFonts w:ascii="Times New Roman" w:hAnsi="Times New Roman"/>
            <w:color w:val="0000FF"/>
            <w:u w:val="single"/>
          </w:rPr>
          <w:t>http://www.vvkt.lt/</w:t>
        </w:r>
      </w:hyperlink>
      <w:r w:rsidR="004F5963">
        <w:rPr>
          <w:rFonts w:ascii="Times New Roman" w:hAnsi="Times New Roman"/>
          <w:color w:val="0000FF"/>
          <w:u w:val="single"/>
        </w:rPr>
        <w:t>.</w:t>
      </w:r>
      <w:r w:rsidR="006B2F79">
        <w:rPr>
          <w:rFonts w:ascii="Times New Roman" w:hAnsi="Times New Roman"/>
          <w:color w:val="0000FF"/>
          <w:u w:val="single"/>
        </w:rPr>
        <w:t xml:space="preserve">    </w:t>
      </w:r>
      <w:bookmarkStart w:id="20" w:name="_GoBack"/>
      <w:bookmarkEnd w:id="20"/>
    </w:p>
    <w:sectPr w:rsidR="00444C66" w:rsidRPr="004F5963">
      <w:headerReference w:type="default" r:id="rId11"/>
      <w:footerReference w:type="even" r:id="rId12"/>
      <w:footerReference w:type="defaul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E4D" w:rsidRDefault="00B64E4D">
      <w:r>
        <w:separator/>
      </w:r>
    </w:p>
  </w:endnote>
  <w:endnote w:type="continuationSeparator" w:id="0">
    <w:p w:rsidR="00B64E4D" w:rsidRDefault="00B6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66" w:rsidRDefault="00444C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4C66" w:rsidRDefault="00444C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66" w:rsidRDefault="00444C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E4D" w:rsidRDefault="00B64E4D">
      <w:r>
        <w:separator/>
      </w:r>
    </w:p>
  </w:footnote>
  <w:footnote w:type="continuationSeparator" w:id="0">
    <w:p w:rsidR="00B64E4D" w:rsidRDefault="00B6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66" w:rsidRDefault="00444C66">
    <w:pPr>
      <w:spacing w:line="20" w:lineRule="exact"/>
    </w:pPr>
  </w:p>
  <w:p w:rsidR="00444C66" w:rsidRDefault="00444C66">
    <w:pPr>
      <w:pStyle w:val="Antrats"/>
    </w:pPr>
    <w:bookmarkStart w:id="21" w:name="TableTag1"/>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1AB3984"/>
    <w:multiLevelType w:val="hybridMultilevel"/>
    <w:tmpl w:val="7F6483EC"/>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0" w15:restartNumberingAfterBreak="0">
    <w:nsid w:val="04A154B8"/>
    <w:multiLevelType w:val="hybridMultilevel"/>
    <w:tmpl w:val="983A94E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B0856DF"/>
    <w:multiLevelType w:val="hybridMultilevel"/>
    <w:tmpl w:val="CE18E51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C2C3529"/>
    <w:multiLevelType w:val="hybridMultilevel"/>
    <w:tmpl w:val="3B905D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B770F8"/>
    <w:multiLevelType w:val="hybridMultilevel"/>
    <w:tmpl w:val="3CC237C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D068CE"/>
    <w:multiLevelType w:val="hybridMultilevel"/>
    <w:tmpl w:val="0E2E770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A67D81"/>
    <w:multiLevelType w:val="hybridMultilevel"/>
    <w:tmpl w:val="012ADF40"/>
    <w:lvl w:ilvl="0" w:tplc="E0BC2F0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C73FDD"/>
    <w:multiLevelType w:val="hybridMultilevel"/>
    <w:tmpl w:val="C4D6FECC"/>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667BB2"/>
    <w:multiLevelType w:val="hybridMultilevel"/>
    <w:tmpl w:val="7786E730"/>
    <w:lvl w:ilvl="0" w:tplc="39AAB0D8">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F7B77"/>
    <w:multiLevelType w:val="hybridMultilevel"/>
    <w:tmpl w:val="73B0C9C6"/>
    <w:lvl w:ilvl="0" w:tplc="C6786660">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F874BB7"/>
    <w:multiLevelType w:val="hybridMultilevel"/>
    <w:tmpl w:val="9B605336"/>
    <w:lvl w:ilvl="0" w:tplc="903A72F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88D0C52"/>
    <w:multiLevelType w:val="hybridMultilevel"/>
    <w:tmpl w:val="CAE679EC"/>
    <w:lvl w:ilvl="0" w:tplc="AD32D8EE">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0"/>
  </w:num>
  <w:num w:numId="2">
    <w:abstractNumId w:val="22"/>
  </w:num>
  <w:num w:numId="3">
    <w:abstractNumId w:val="21"/>
  </w:num>
  <w:num w:numId="4">
    <w:abstractNumId w:val="6"/>
    <w:lvlOverride w:ilvl="0">
      <w:lvl w:ilvl="0">
        <w:start w:val="1"/>
        <w:numFmt w:val="bullet"/>
        <w:lvlText w:val="-"/>
        <w:legacy w:legacy="1" w:legacySpace="0" w:legacyIndent="360"/>
        <w:lvlJc w:val="left"/>
        <w:pPr>
          <w:ind w:left="360" w:hanging="360"/>
        </w:pPr>
      </w:lvl>
    </w:lvlOverride>
  </w:num>
  <w:num w:numId="5">
    <w:abstractNumId w:val="38"/>
  </w:num>
  <w:num w:numId="6">
    <w:abstractNumId w:val="40"/>
  </w:num>
  <w:num w:numId="7">
    <w:abstractNumId w:val="26"/>
  </w:num>
  <w:num w:numId="8">
    <w:abstractNumId w:val="33"/>
  </w:num>
  <w:num w:numId="9">
    <w:abstractNumId w:val="25"/>
  </w:num>
  <w:num w:numId="10">
    <w:abstractNumId w:val="27"/>
  </w:num>
  <w:num w:numId="11">
    <w:abstractNumId w:val="39"/>
  </w:num>
  <w:num w:numId="12">
    <w:abstractNumId w:val="28"/>
  </w:num>
  <w:num w:numId="13">
    <w:abstractNumId w:val="12"/>
  </w:num>
  <w:num w:numId="14">
    <w:abstractNumId w:val="19"/>
  </w:num>
  <w:num w:numId="15">
    <w:abstractNumId w:val="34"/>
  </w:num>
  <w:num w:numId="16">
    <w:abstractNumId w:val="3"/>
  </w:num>
  <w:num w:numId="17">
    <w:abstractNumId w:val="24"/>
  </w:num>
  <w:num w:numId="18">
    <w:abstractNumId w:val="11"/>
  </w:num>
  <w:num w:numId="19">
    <w:abstractNumId w:val="0"/>
  </w:num>
  <w:num w:numId="20">
    <w:abstractNumId w:val="2"/>
  </w:num>
  <w:num w:numId="21">
    <w:abstractNumId w:val="1"/>
  </w:num>
  <w:num w:numId="22">
    <w:abstractNumId w:val="35"/>
  </w:num>
  <w:num w:numId="23">
    <w:abstractNumId w:val="5"/>
  </w:num>
  <w:num w:numId="24">
    <w:abstractNumId w:val="13"/>
  </w:num>
  <w:num w:numId="25">
    <w:abstractNumId w:val="44"/>
  </w:num>
  <w:num w:numId="26">
    <w:abstractNumId w:val="4"/>
  </w:num>
  <w:num w:numId="27">
    <w:abstractNumId w:val="8"/>
  </w:num>
  <w:num w:numId="28">
    <w:abstractNumId w:val="20"/>
  </w:num>
  <w:num w:numId="29">
    <w:abstractNumId w:val="42"/>
  </w:num>
  <w:num w:numId="30">
    <w:abstractNumId w:val="17"/>
  </w:num>
  <w:num w:numId="31">
    <w:abstractNumId w:val="32"/>
  </w:num>
  <w:num w:numId="32">
    <w:abstractNumId w:val="37"/>
  </w:num>
  <w:num w:numId="33">
    <w:abstractNumId w:val="31"/>
  </w:num>
  <w:num w:numId="34">
    <w:abstractNumId w:val="36"/>
  </w:num>
  <w:num w:numId="35">
    <w:abstractNumId w:val="9"/>
  </w:num>
  <w:num w:numId="36">
    <w:abstractNumId w:val="18"/>
  </w:num>
  <w:num w:numId="37">
    <w:abstractNumId w:val="7"/>
  </w:num>
  <w:num w:numId="38">
    <w:abstractNumId w:val="16"/>
  </w:num>
  <w:num w:numId="39">
    <w:abstractNumId w:val="41"/>
  </w:num>
  <w:num w:numId="40">
    <w:abstractNumId w:val="10"/>
  </w:num>
  <w:num w:numId="41">
    <w:abstractNumId w:val="29"/>
  </w:num>
  <w:num w:numId="42">
    <w:abstractNumId w:val="43"/>
  </w:num>
  <w:num w:numId="43">
    <w:abstractNumId w:val="15"/>
  </w:num>
  <w:num w:numId="44">
    <w:abstractNumId w:val="23"/>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17"/>
    <w:rsid w:val="00246EE2"/>
    <w:rsid w:val="00444C66"/>
    <w:rsid w:val="004F5963"/>
    <w:rsid w:val="004F7604"/>
    <w:rsid w:val="005E6917"/>
    <w:rsid w:val="006A66CA"/>
    <w:rsid w:val="006B2F79"/>
    <w:rsid w:val="00723364"/>
    <w:rsid w:val="00B16BC4"/>
    <w:rsid w:val="00B575A2"/>
    <w:rsid w:val="00B64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3074"/>
    <o:shapelayout v:ext="edit">
      <o:idmap v:ext="edit" data="2"/>
    </o:shapelayout>
  </w:shapeDefaults>
  <w:decimalSymbol w:val=","/>
  <w:listSeparator w:val=";"/>
  <w14:docId w14:val="05A00822"/>
  <w15:chartTrackingRefBased/>
  <w15:docId w15:val="{F192E97B-8322-4977-BD36-EE6D2B8E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ascii="Calibri" w:eastAsia="Calibri" w:hAnsi="Calibri"/>
      <w:sz w:val="22"/>
      <w:szCs w:val="22"/>
      <w:lang w:eastAsia="en-US"/>
    </w:rPr>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unhideWhenUsed/>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sz w:val="24"/>
      <w:szCs w:val="20"/>
      <w:lang w:val="sl-SI" w:eastAsia="sl-SI"/>
    </w:rPr>
  </w:style>
  <w:style w:type="paragraph" w:styleId="Porat">
    <w:name w:val="footer"/>
    <w:basedOn w:val="prastasis"/>
    <w:link w:val="PoratDiagrama"/>
    <w:uiPriority w:val="99"/>
    <w:pPr>
      <w:tabs>
        <w:tab w:val="center" w:pos="4320"/>
        <w:tab w:val="right" w:pos="8640"/>
      </w:tabs>
      <w:spacing w:after="0" w:line="240" w:lineRule="auto"/>
    </w:pPr>
    <w:rPr>
      <w:rFonts w:ascii="Times New Roman" w:eastAsia="Times New Roman" w:hAnsi="Times New Roman"/>
      <w:sz w:val="24"/>
      <w:szCs w:val="20"/>
      <w:lang w:val="sl-SI" w:eastAsia="sl-SI"/>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right="-2"/>
    </w:pPr>
    <w:rPr>
      <w:rFonts w:ascii="Times New Roman" w:eastAsia="Times New Roman" w:hAnsi="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szCs w:val="20"/>
      <w:lang w:val="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Antrat6Diagrama">
    <w:name w:val="Antraštė 6 Diagrama"/>
    <w:link w:val="Antrat6"/>
    <w:rPr>
      <w:b/>
      <w:sz w:val="24"/>
      <w:lang w:val="en-US" w:eastAsia="sl-SI"/>
    </w:rPr>
  </w:style>
  <w:style w:type="numbering" w:customStyle="1" w:styleId="Sraonra1">
    <w:name w:val="Sąrašo nėra1"/>
    <w:next w:val="Sraonra"/>
    <w:uiPriority w:val="99"/>
    <w:semiHidden/>
  </w:style>
  <w:style w:type="character" w:customStyle="1" w:styleId="AntratsDiagrama">
    <w:name w:val="Antraštės Diagrama"/>
    <w:link w:val="Antrats"/>
    <w:rPr>
      <w:sz w:val="24"/>
      <w:lang w:val="sl-SI" w:eastAsia="sl-SI"/>
    </w:rPr>
  </w:style>
  <w:style w:type="character" w:customStyle="1" w:styleId="PoratDiagrama">
    <w:name w:val="Poraštė Diagrama"/>
    <w:link w:val="Porat"/>
    <w:uiPriority w:val="99"/>
    <w:rPr>
      <w:sz w:val="24"/>
      <w:lang w:val="sl-SI" w:eastAsia="sl-SI"/>
    </w:rPr>
  </w:style>
  <w:style w:type="character" w:customStyle="1" w:styleId="PaprastasistekstasDiagrama">
    <w:name w:val="Paprastasis tekstas Diagrama"/>
    <w:link w:val="Paprastasistekstas"/>
    <w:rPr>
      <w:rFonts w:ascii="Courier New" w:hAnsi="Courier New"/>
      <w:lang w:eastAsia="sl-SI"/>
    </w:rPr>
  </w:style>
  <w:style w:type="character" w:customStyle="1" w:styleId="PagrindinistekstasDiagrama">
    <w:name w:val="Pagrindinis tekstas Diagrama"/>
    <w:link w:val="Pagrindinistekstas"/>
    <w:rPr>
      <w:sz w:val="22"/>
      <w:lang w:val="sl-SI" w:eastAsia="sl-SI"/>
    </w:rPr>
  </w:style>
  <w:style w:type="character" w:customStyle="1" w:styleId="Pagrindinistekstas2Diagrama">
    <w:name w:val="Pagrindinis tekstas 2 Diagrama"/>
    <w:link w:val="Pagrindinistekstas2"/>
    <w:rPr>
      <w:sz w:val="24"/>
      <w:lang w:val="sl-SI" w:eastAsia="sl-SI"/>
    </w:rPr>
  </w:style>
  <w:style w:type="numbering" w:customStyle="1" w:styleId="Brezseznama1">
    <w:name w:val="Brez seznama1"/>
    <w:next w:val="Sraonra"/>
    <w:semiHidden/>
  </w:style>
  <w:style w:type="paragraph" w:styleId="Dokumentoinaostekstas">
    <w:name w:val="endnote text"/>
    <w:basedOn w:val="prastasis"/>
    <w:link w:val="DokumentoinaostekstasDiagrama"/>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rPr>
      <w:sz w:val="22"/>
      <w:lang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Pr>
      <w:b/>
      <w:sz w:val="22"/>
      <w:lang w:eastAsia="en-US"/>
    </w:rPr>
  </w:style>
  <w:style w:type="character" w:customStyle="1" w:styleId="bold1">
    <w:name w:val="bold1"/>
    <w:rPr>
      <w:b/>
      <w:bCs/>
    </w:rPr>
  </w:style>
  <w:style w:type="paragraph" w:customStyle="1" w:styleId="paragraph">
    <w:name w:val="paragraph"/>
    <w:basedOn w:val="prastasis"/>
    <w:pPr>
      <w:spacing w:after="0" w:line="240" w:lineRule="auto"/>
    </w:pPr>
    <w:rPr>
      <w:rFonts w:ascii="Times New Roman" w:eastAsia="Times New Roman" w:hAnsi="Times New Roman"/>
      <w:sz w:val="24"/>
      <w:szCs w:val="24"/>
      <w:lang w:eastAsia="sl-SI"/>
    </w:rPr>
  </w:style>
  <w:style w:type="paragraph" w:styleId="prastasiniatinklio">
    <w:name w:val="Normal (Web)"/>
    <w:basedOn w:val="prastasis"/>
    <w:pPr>
      <w:spacing w:before="100" w:beforeAutospacing="1" w:after="100" w:afterAutospacing="1" w:line="240" w:lineRule="auto"/>
    </w:pPr>
    <w:rPr>
      <w:rFonts w:ascii="Times New Roman" w:eastAsia="Times New Roman" w:hAnsi="Times New Roman"/>
      <w:sz w:val="24"/>
      <w:szCs w:val="24"/>
      <w:lang w:eastAsia="sl-SI"/>
    </w:rPr>
  </w:style>
  <w:style w:type="table" w:styleId="LentelKlasikin1">
    <w:name w:val="Table Classic 1"/>
    <w:basedOn w:val="prastojilente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ZnakZnakZnakZnakZnakCharCharZnakZnak1CharChar">
    <w:name w:val="Znak Znak Znak Znak Znak Char Char Znak Znak1 Char Char"/>
    <w:basedOn w:val="prastasis"/>
    <w:pPr>
      <w:spacing w:after="160" w:line="240" w:lineRule="exact"/>
    </w:pPr>
    <w:rPr>
      <w:rFonts w:ascii="Verdana" w:hAnsi="Verdana"/>
      <w:sz w:val="20"/>
      <w:lang w:val="en-US"/>
    </w:rPr>
  </w:style>
  <w:style w:type="paragraph" w:customStyle="1" w:styleId="BTEMEASMCA">
    <w:name w:val="BT EMEA_SMCA"/>
    <w:basedOn w:val="prastasis"/>
    <w:link w:val="BTEMEASMCAChar"/>
    <w:autoRedefine/>
    <w:pPr>
      <w:tabs>
        <w:tab w:val="left" w:pos="540"/>
        <w:tab w:val="left" w:pos="2977"/>
      </w:tabs>
      <w:spacing w:after="0" w:line="240" w:lineRule="auto"/>
    </w:pPr>
    <w:rPr>
      <w:rFonts w:ascii="Times New Roman" w:eastAsia="Times New Roman" w:hAnsi="Times New Roman"/>
      <w:szCs w:val="20"/>
      <w:lang w:eastAsia="lt-LT"/>
    </w:rPr>
  </w:style>
  <w:style w:type="character" w:styleId="Grietas">
    <w:name w:val="Strong"/>
    <w:qFormat/>
    <w:rPr>
      <w:b/>
      <w:bCs/>
    </w:rPr>
  </w:style>
  <w:style w:type="paragraph" w:styleId="Debesliotekstas">
    <w:name w:val="Balloon Text"/>
    <w:basedOn w:val="prastasis"/>
    <w:link w:val="DebesliotekstasDiagrama"/>
    <w:pPr>
      <w:spacing w:after="0" w:line="240" w:lineRule="auto"/>
    </w:pPr>
    <w:rPr>
      <w:rFonts w:ascii="Tahoma" w:eastAsia="Times New Roman" w:hAnsi="Tahoma" w:cs="Tahoma"/>
      <w:sz w:val="16"/>
      <w:szCs w:val="16"/>
      <w:lang w:eastAsia="sl-SI"/>
    </w:rPr>
  </w:style>
  <w:style w:type="character" w:customStyle="1" w:styleId="DebesliotekstasDiagrama">
    <w:name w:val="Debesėlio tekstas Diagrama"/>
    <w:link w:val="Debesliotekstas"/>
    <w:rPr>
      <w:rFonts w:ascii="Tahoma" w:hAnsi="Tahoma" w:cs="Tahoma"/>
      <w:sz w:val="16"/>
      <w:szCs w:val="16"/>
      <w:lang w:val="lt-LT"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pPr>
      <w:tabs>
        <w:tab w:val="clear" w:pos="540"/>
        <w:tab w:val="clear" w:pos="2977"/>
      </w:tabs>
    </w:pPr>
    <w:rPr>
      <w:i/>
      <w:color w:val="008000"/>
    </w:rPr>
  </w:style>
  <w:style w:type="character" w:customStyle="1" w:styleId="BTEMEASMCAChar">
    <w:name w:val="BT EMEA_SMCA Char"/>
    <w:link w:val="BTEMEASMCA"/>
    <w:rPr>
      <w:sz w:val="22"/>
      <w:lang w:val="lt-LT" w:eastAsia="lt-LT"/>
    </w:rPr>
  </w:style>
  <w:style w:type="character" w:customStyle="1" w:styleId="BTgEMEASMCAChar">
    <w:name w:val="BT(g) EMEA_SMCA Char"/>
    <w:link w:val="BTgEMEASMCA"/>
    <w:rPr>
      <w:i/>
      <w:color w:val="008000"/>
      <w:sz w:val="22"/>
      <w:lang w:val="lt-LT" w:eastAsia="lt-LT"/>
    </w:rPr>
  </w:style>
  <w:style w:type="paragraph" w:customStyle="1" w:styleId="BTuEMEASMCA">
    <w:name w:val="BT(u) EMEA_SMCA"/>
    <w:basedOn w:val="BTEMEASMCA"/>
    <w:autoRedefine/>
    <w:pPr>
      <w:tabs>
        <w:tab w:val="clear" w:pos="540"/>
        <w:tab w:val="clear" w:pos="2977"/>
      </w:tabs>
    </w:pPr>
    <w:rPr>
      <w:noProof/>
      <w:szCs w:val="22"/>
      <w:u w:val="single"/>
      <w:lang w:eastAsia="en-US"/>
    </w:rPr>
  </w:style>
  <w:style w:type="character" w:styleId="Komentaronuoroda">
    <w:name w:val="annotation reference"/>
    <w:rPr>
      <w:sz w:val="16"/>
      <w:szCs w:val="16"/>
    </w:rPr>
  </w:style>
  <w:style w:type="paragraph" w:styleId="Komentarotekstas">
    <w:name w:val="annotation text"/>
    <w:basedOn w:val="prastasis"/>
    <w:link w:val="KomentarotekstasDiagrama"/>
    <w:pPr>
      <w:spacing w:after="0" w:line="240" w:lineRule="auto"/>
    </w:pPr>
    <w:rPr>
      <w:rFonts w:ascii="Times New Roman" w:eastAsia="Times New Roman" w:hAnsi="Times New Roman"/>
      <w:sz w:val="20"/>
      <w:szCs w:val="20"/>
      <w:lang w:eastAsia="sl-SI"/>
    </w:rPr>
  </w:style>
  <w:style w:type="character" w:customStyle="1" w:styleId="KomentarotekstasDiagrama">
    <w:name w:val="Komentaro tekstas Diagrama"/>
    <w:link w:val="Komentarotekstas"/>
    <w:rPr>
      <w:lang w:val="lt-LT"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sl-SI"/>
    </w:rPr>
  </w:style>
  <w:style w:type="numbering" w:customStyle="1" w:styleId="Sraonra11">
    <w:name w:val="Sąrašo nėra11"/>
    <w:next w:val="Sraonra"/>
    <w:semiHidden/>
  </w:style>
  <w:style w:type="paragraph" w:styleId="Pataisymai">
    <w:name w:val="Revision"/>
    <w:hidden/>
    <w:uiPriority w:val="99"/>
    <w:semiHidden/>
    <w:rPr>
      <w:sz w:val="24"/>
      <w:lang w:val="sl-SI" w:eastAsia="sl-SI"/>
    </w:rPr>
  </w:style>
  <w:style w:type="paragraph" w:customStyle="1" w:styleId="BT-EMEASMCA">
    <w:name w:val="BT- EMEA_SMCA"/>
    <w:basedOn w:val="BTEMEASMCA"/>
    <w:autoRedefine/>
    <w:pPr>
      <w:tabs>
        <w:tab w:val="clear" w:pos="540"/>
        <w:tab w:val="clear" w:pos="2977"/>
        <w:tab w:val="left" w:pos="0"/>
      </w:tabs>
    </w:pPr>
    <w:rPr>
      <w:lang w:eastAsia="en-US"/>
    </w:r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2324-0512-42B1-80F7-88900DC4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42935</Words>
  <Characters>24474</Characters>
  <Application>Microsoft Office Word</Application>
  <DocSecurity>0</DocSecurity>
  <Lines>203</Lines>
  <Paragraphs>134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67275</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2025-06-27T06:52:00Z</dcterms:created>
  <dcterms:modified xsi:type="dcterms:W3CDTF">2025-06-27T06:53:00Z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PI_Text089999_1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