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31E" w:rsidRDefault="00A7031E" w:rsidP="00A7031E">
      <w:pPr>
        <w:pStyle w:val="BTEMEASMCA"/>
        <w:jc w:val="center"/>
      </w:pPr>
      <w:r>
        <w:rPr>
          <w:b/>
        </w:rPr>
        <w:t>Pakuotės lapelis: informacija vartotojui</w:t>
      </w:r>
    </w:p>
    <w:p w:rsidR="00A7031E" w:rsidRDefault="00A7031E" w:rsidP="00A7031E">
      <w:pPr>
        <w:pStyle w:val="BTEMEASMCA"/>
      </w:pPr>
    </w:p>
    <w:p w:rsidR="00A7031E" w:rsidRDefault="00A7031E" w:rsidP="00A7031E">
      <w:pPr>
        <w:tabs>
          <w:tab w:val="left" w:pos="708"/>
        </w:tabs>
        <w:jc w:val="center"/>
        <w:rPr>
          <w:b/>
          <w:sz w:val="22"/>
          <w:szCs w:val="22"/>
        </w:rPr>
      </w:pPr>
      <w:proofErr w:type="spellStart"/>
      <w:r>
        <w:rPr>
          <w:b/>
          <w:sz w:val="22"/>
          <w:szCs w:val="22"/>
        </w:rPr>
        <w:t>Ketoprofen</w:t>
      </w:r>
      <w:proofErr w:type="spellEnd"/>
      <w:r>
        <w:rPr>
          <w:b/>
          <w:sz w:val="22"/>
          <w:szCs w:val="22"/>
        </w:rPr>
        <w:t xml:space="preserve"> </w:t>
      </w:r>
      <w:proofErr w:type="spellStart"/>
      <w:r>
        <w:rPr>
          <w:b/>
          <w:sz w:val="22"/>
          <w:szCs w:val="22"/>
        </w:rPr>
        <w:t>Sopharma</w:t>
      </w:r>
      <w:proofErr w:type="spellEnd"/>
      <w:r>
        <w:rPr>
          <w:sz w:val="22"/>
          <w:szCs w:val="22"/>
        </w:rPr>
        <w:t xml:space="preserve"> </w:t>
      </w:r>
      <w:r>
        <w:rPr>
          <w:b/>
          <w:sz w:val="22"/>
          <w:szCs w:val="22"/>
        </w:rPr>
        <w:t>25 mg/g gelis</w:t>
      </w:r>
    </w:p>
    <w:p w:rsidR="00A7031E" w:rsidRDefault="00A7031E" w:rsidP="00A7031E">
      <w:pPr>
        <w:tabs>
          <w:tab w:val="left" w:pos="708"/>
        </w:tabs>
        <w:jc w:val="center"/>
        <w:rPr>
          <w:sz w:val="22"/>
          <w:szCs w:val="22"/>
        </w:rPr>
      </w:pPr>
      <w:proofErr w:type="spellStart"/>
      <w:r>
        <w:rPr>
          <w:sz w:val="22"/>
          <w:szCs w:val="22"/>
        </w:rPr>
        <w:t>Ketoprofenas</w:t>
      </w:r>
      <w:proofErr w:type="spellEnd"/>
    </w:p>
    <w:p w:rsidR="00A7031E" w:rsidRDefault="00A7031E" w:rsidP="00A7031E">
      <w:pPr>
        <w:pStyle w:val="BTEMEASMCA"/>
      </w:pPr>
    </w:p>
    <w:p w:rsidR="00A7031E" w:rsidRDefault="00A7031E" w:rsidP="00A7031E">
      <w:pPr>
        <w:pStyle w:val="BTbEMEASMCA"/>
      </w:pPr>
      <w:r>
        <w:rPr>
          <w:noProof/>
        </w:rPr>
        <w:t>Atidžiai perskaitykite visą šį lapelį, prieš pradėdami vartoti vaistą, nes jame pateikiama Jums svarbi informacija.</w:t>
      </w:r>
    </w:p>
    <w:p w:rsidR="00A7031E" w:rsidRDefault="00A7031E" w:rsidP="00A7031E">
      <w:pPr>
        <w:pStyle w:val="BT-EMEASMCA"/>
        <w:tabs>
          <w:tab w:val="clear" w:pos="360"/>
          <w:tab w:val="num" w:pos="720"/>
        </w:tabs>
        <w:ind w:left="720" w:hanging="363"/>
      </w:pPr>
      <w:r>
        <w:t>Neišmeskite šio lapelio, nes vėl gali prireikti jį perskaityti.</w:t>
      </w:r>
    </w:p>
    <w:p w:rsidR="00A7031E" w:rsidRDefault="00A7031E" w:rsidP="00A7031E">
      <w:pPr>
        <w:pStyle w:val="BT-EMEASMCA"/>
        <w:tabs>
          <w:tab w:val="clear" w:pos="360"/>
          <w:tab w:val="num" w:pos="720"/>
        </w:tabs>
        <w:ind w:left="720" w:hanging="363"/>
      </w:pPr>
      <w:r>
        <w:t>Jeigu kiltų daugiau klausimų, kreipkitės į gydytoją arba vaistininką.</w:t>
      </w:r>
    </w:p>
    <w:p w:rsidR="00A7031E" w:rsidRDefault="00A7031E" w:rsidP="00A7031E">
      <w:pPr>
        <w:pStyle w:val="BT-EMEASMCA"/>
        <w:tabs>
          <w:tab w:val="clear" w:pos="360"/>
          <w:tab w:val="num" w:pos="720"/>
        </w:tabs>
        <w:ind w:left="720" w:hanging="363"/>
      </w:pPr>
      <w:r>
        <w:rPr>
          <w:noProof/>
        </w:rPr>
        <w:t>Šis vaistas skirtas tik Jums, todėl kitiems žmonėms jo duoti negalima.</w:t>
      </w:r>
      <w:r>
        <w:t xml:space="preserve"> </w:t>
      </w:r>
      <w:r>
        <w:rPr>
          <w:noProof/>
        </w:rPr>
        <w:t>Vaistas gali jiems pakenkti (net tiems, kurių ligos požymiai yra tokie patys kaip Jūsų).</w:t>
      </w:r>
    </w:p>
    <w:p w:rsidR="00A7031E" w:rsidRDefault="00A7031E" w:rsidP="00A7031E">
      <w:pPr>
        <w:pStyle w:val="BT-EMEASMCA"/>
        <w:tabs>
          <w:tab w:val="clear" w:pos="360"/>
          <w:tab w:val="num" w:pos="720"/>
        </w:tabs>
        <w:ind w:left="720" w:hanging="363"/>
      </w:pPr>
      <w:r>
        <w:rPr>
          <w:noProof/>
        </w:rPr>
        <w:t>Jeigu pasireiškė šalutinis poveikis (net jeigu jis šiame lapelyje nenurodytas), kreipkitės į gydytoją arba vaistininką. Žr. 4 skyrių</w:t>
      </w:r>
      <w:r>
        <w:t>.</w:t>
      </w:r>
    </w:p>
    <w:p w:rsidR="00A7031E" w:rsidRDefault="00A7031E" w:rsidP="00A7031E">
      <w:pPr>
        <w:pStyle w:val="BTEMEASMCA"/>
      </w:pPr>
    </w:p>
    <w:p w:rsidR="00A7031E" w:rsidRDefault="00A7031E" w:rsidP="00A7031E">
      <w:pPr>
        <w:pStyle w:val="BTEMEASMCA"/>
        <w:ind w:left="567" w:hanging="567"/>
        <w:rPr>
          <w:b/>
        </w:rPr>
      </w:pPr>
      <w:r>
        <w:rPr>
          <w:b/>
        </w:rPr>
        <w:t>Apie ką rašoma šiame lapelyje?</w:t>
      </w:r>
    </w:p>
    <w:p w:rsidR="00A7031E" w:rsidRDefault="00A7031E" w:rsidP="00A7031E">
      <w:pPr>
        <w:pStyle w:val="BTEMEASMCA"/>
        <w:ind w:left="567" w:hanging="567"/>
      </w:pPr>
    </w:p>
    <w:p w:rsidR="00A7031E" w:rsidRDefault="00A7031E" w:rsidP="00A7031E">
      <w:pPr>
        <w:pStyle w:val="BTEMEASMCA"/>
        <w:ind w:left="567" w:hanging="567"/>
      </w:pPr>
      <w:r>
        <w:t>1.</w:t>
      </w:r>
      <w:r>
        <w:tab/>
        <w:t xml:space="preserve">Kas yra </w:t>
      </w:r>
      <w:proofErr w:type="spellStart"/>
      <w:r>
        <w:t>Ketoprofen</w:t>
      </w:r>
      <w:proofErr w:type="spellEnd"/>
      <w:r>
        <w:t xml:space="preserve"> </w:t>
      </w:r>
      <w:proofErr w:type="spellStart"/>
      <w:r>
        <w:t>Sopharma</w:t>
      </w:r>
      <w:proofErr w:type="spellEnd"/>
      <w:r>
        <w:t xml:space="preserve"> ir kam jis vartojamas</w:t>
      </w:r>
    </w:p>
    <w:p w:rsidR="00A7031E" w:rsidRDefault="00A7031E" w:rsidP="00A7031E">
      <w:pPr>
        <w:pStyle w:val="BTEMEASMCA"/>
        <w:ind w:left="567" w:hanging="567"/>
      </w:pPr>
      <w:r>
        <w:t>2.</w:t>
      </w:r>
      <w:r>
        <w:tab/>
        <w:t xml:space="preserve">Kas žinotina prieš vartojant </w:t>
      </w:r>
      <w:proofErr w:type="spellStart"/>
      <w:r>
        <w:t>Ketoprofen</w:t>
      </w:r>
      <w:proofErr w:type="spellEnd"/>
      <w:r>
        <w:t xml:space="preserve"> </w:t>
      </w:r>
      <w:proofErr w:type="spellStart"/>
      <w:r>
        <w:t>Sopharma</w:t>
      </w:r>
      <w:proofErr w:type="spellEnd"/>
    </w:p>
    <w:p w:rsidR="00A7031E" w:rsidRDefault="00A7031E" w:rsidP="00A7031E">
      <w:pPr>
        <w:pStyle w:val="BTEMEASMCA"/>
        <w:ind w:left="567" w:hanging="567"/>
      </w:pPr>
      <w:r>
        <w:t>3.</w:t>
      </w:r>
      <w:r>
        <w:tab/>
        <w:t xml:space="preserve">Kaip vartoti </w:t>
      </w:r>
      <w:proofErr w:type="spellStart"/>
      <w:r>
        <w:t>Ketoprofen</w:t>
      </w:r>
      <w:proofErr w:type="spellEnd"/>
      <w:r>
        <w:t xml:space="preserve"> </w:t>
      </w:r>
      <w:proofErr w:type="spellStart"/>
      <w:r>
        <w:t>Sopharma</w:t>
      </w:r>
      <w:proofErr w:type="spellEnd"/>
    </w:p>
    <w:p w:rsidR="00A7031E" w:rsidRDefault="00A7031E" w:rsidP="00A7031E">
      <w:pPr>
        <w:pStyle w:val="BTEMEASMCA"/>
        <w:ind w:left="567" w:hanging="567"/>
      </w:pPr>
      <w:r>
        <w:t>4.</w:t>
      </w:r>
      <w:r>
        <w:tab/>
        <w:t>Galimas šalutinis poveikis</w:t>
      </w:r>
    </w:p>
    <w:p w:rsidR="00A7031E" w:rsidRDefault="00A7031E" w:rsidP="00A7031E">
      <w:pPr>
        <w:pStyle w:val="BTEMEASMCA"/>
        <w:ind w:left="567" w:hanging="567"/>
      </w:pPr>
      <w:r>
        <w:t>5.</w:t>
      </w:r>
      <w:r>
        <w:tab/>
        <w:t xml:space="preserve">Kaip laikyti </w:t>
      </w:r>
      <w:proofErr w:type="spellStart"/>
      <w:r>
        <w:t>Ketoprofen</w:t>
      </w:r>
      <w:proofErr w:type="spellEnd"/>
      <w:r>
        <w:t xml:space="preserve"> </w:t>
      </w:r>
      <w:proofErr w:type="spellStart"/>
      <w:r>
        <w:t>Sopharma</w:t>
      </w:r>
      <w:proofErr w:type="spellEnd"/>
    </w:p>
    <w:p w:rsidR="00A7031E" w:rsidRDefault="00A7031E" w:rsidP="00A7031E">
      <w:pPr>
        <w:pStyle w:val="BTEMEASMCA"/>
        <w:ind w:left="567" w:hanging="567"/>
      </w:pPr>
      <w:r>
        <w:t>6.</w:t>
      </w:r>
      <w:r>
        <w:tab/>
        <w:t>Pakuotės turinys ir kita informacija</w:t>
      </w:r>
    </w:p>
    <w:p w:rsidR="00A7031E" w:rsidRDefault="00A7031E" w:rsidP="00A7031E">
      <w:pPr>
        <w:pStyle w:val="BTEMEASMCA"/>
      </w:pPr>
    </w:p>
    <w:p w:rsidR="00A7031E" w:rsidRDefault="00A7031E" w:rsidP="00A7031E">
      <w:pPr>
        <w:pStyle w:val="BTEMEASMCA"/>
      </w:pPr>
    </w:p>
    <w:p w:rsidR="00A7031E" w:rsidRDefault="00A7031E" w:rsidP="00A7031E">
      <w:pPr>
        <w:pStyle w:val="PI-1EMEASMCA"/>
      </w:pPr>
      <w:bookmarkStart w:id="0" w:name="_Toc129243264"/>
      <w:bookmarkStart w:id="1" w:name="_Toc129243139"/>
      <w:r>
        <w:t>1.</w:t>
      </w:r>
      <w:r>
        <w:tab/>
        <w:t xml:space="preserve">Kas yra </w:t>
      </w:r>
      <w:proofErr w:type="spellStart"/>
      <w:r>
        <w:t>Ketoprofen</w:t>
      </w:r>
      <w:proofErr w:type="spellEnd"/>
      <w:r>
        <w:t xml:space="preserve"> </w:t>
      </w:r>
      <w:proofErr w:type="spellStart"/>
      <w:r>
        <w:t>Sopharma</w:t>
      </w:r>
      <w:proofErr w:type="spellEnd"/>
      <w:r>
        <w:t xml:space="preserve"> </w:t>
      </w:r>
      <w:bookmarkEnd w:id="0"/>
      <w:bookmarkEnd w:id="1"/>
      <w:r>
        <w:t>ir kam jis vartojamas</w:t>
      </w:r>
    </w:p>
    <w:p w:rsidR="00A7031E" w:rsidRDefault="00A7031E" w:rsidP="00A7031E">
      <w:pPr>
        <w:pStyle w:val="BTEMEASMCA"/>
      </w:pPr>
    </w:p>
    <w:p w:rsidR="00A7031E" w:rsidRDefault="00A7031E" w:rsidP="00A7031E">
      <w:pPr>
        <w:rPr>
          <w:sz w:val="22"/>
          <w:szCs w:val="22"/>
        </w:rPr>
      </w:pPr>
      <w:proofErr w:type="spellStart"/>
      <w:r>
        <w:t>Ketoprofen</w:t>
      </w:r>
      <w:proofErr w:type="spellEnd"/>
      <w:r>
        <w:t xml:space="preserve"> </w:t>
      </w:r>
      <w:proofErr w:type="spellStart"/>
      <w:r>
        <w:t>Sopharma</w:t>
      </w:r>
      <w:proofErr w:type="spellEnd"/>
      <w:r>
        <w:rPr>
          <w:sz w:val="22"/>
          <w:szCs w:val="22"/>
        </w:rPr>
        <w:t xml:space="preserve"> yra nesteroidinis vaistas nuo uždegimo, pasižymintis skausmą malšinančiu ir uždegimą mažinančiu poveikiu.</w:t>
      </w:r>
    </w:p>
    <w:p w:rsidR="00A7031E" w:rsidRDefault="00A7031E" w:rsidP="00A7031E">
      <w:pPr>
        <w:jc w:val="both"/>
        <w:rPr>
          <w:sz w:val="22"/>
          <w:szCs w:val="22"/>
        </w:rPr>
      </w:pPr>
    </w:p>
    <w:p w:rsidR="00A7031E" w:rsidRDefault="00A7031E" w:rsidP="00A7031E">
      <w:pPr>
        <w:pStyle w:val="BTEMEASMCA"/>
      </w:pPr>
      <w:proofErr w:type="spellStart"/>
      <w:r>
        <w:t>Ketoprofen</w:t>
      </w:r>
      <w:proofErr w:type="spellEnd"/>
      <w:r>
        <w:t xml:space="preserve"> </w:t>
      </w:r>
      <w:proofErr w:type="spellStart"/>
      <w:r>
        <w:t>Sopharma</w:t>
      </w:r>
      <w:proofErr w:type="spellEnd"/>
      <w:r>
        <w:t xml:space="preserve"> vartojamas vietiniam, trumpalaikiam silpno ir vidutinio stiprumo potrauminiam raumenų ir sąnarių skausmui malšinti.</w:t>
      </w:r>
    </w:p>
    <w:p w:rsidR="00A7031E" w:rsidRDefault="00A7031E" w:rsidP="00A7031E">
      <w:pPr>
        <w:pStyle w:val="BTEMEASMCA"/>
      </w:pPr>
    </w:p>
    <w:p w:rsidR="00A7031E" w:rsidRDefault="00A7031E" w:rsidP="00A7031E">
      <w:pPr>
        <w:pStyle w:val="BTEMEASMCA"/>
      </w:pPr>
    </w:p>
    <w:p w:rsidR="00A7031E" w:rsidRDefault="00A7031E" w:rsidP="00A7031E">
      <w:pPr>
        <w:pStyle w:val="PI-1EMEASMCA"/>
      </w:pPr>
      <w:bookmarkStart w:id="2" w:name="_Toc129243265"/>
      <w:bookmarkStart w:id="3" w:name="_Toc129243140"/>
      <w:r>
        <w:t>2.</w:t>
      </w:r>
      <w:r>
        <w:tab/>
        <w:t xml:space="preserve">Kas žinotina prieš vartojant </w:t>
      </w:r>
      <w:bookmarkEnd w:id="2"/>
      <w:bookmarkEnd w:id="3"/>
      <w:proofErr w:type="spellStart"/>
      <w:r>
        <w:t>Ketoprofen</w:t>
      </w:r>
      <w:proofErr w:type="spellEnd"/>
      <w:r>
        <w:t xml:space="preserve"> </w:t>
      </w:r>
      <w:proofErr w:type="spellStart"/>
      <w:r>
        <w:t>Sopharma</w:t>
      </w:r>
      <w:proofErr w:type="spellEnd"/>
    </w:p>
    <w:p w:rsidR="00A7031E" w:rsidRDefault="00A7031E" w:rsidP="00A7031E">
      <w:pPr>
        <w:pStyle w:val="BTEMEASMCA"/>
      </w:pPr>
    </w:p>
    <w:p w:rsidR="00A7031E" w:rsidRDefault="00A7031E" w:rsidP="00A7031E">
      <w:pPr>
        <w:rPr>
          <w:b/>
          <w:bCs/>
          <w:sz w:val="22"/>
          <w:szCs w:val="22"/>
        </w:rPr>
      </w:pPr>
      <w:proofErr w:type="spellStart"/>
      <w:r>
        <w:rPr>
          <w:b/>
          <w:sz w:val="22"/>
          <w:szCs w:val="22"/>
        </w:rPr>
        <w:t>Ketoprofen</w:t>
      </w:r>
      <w:proofErr w:type="spellEnd"/>
      <w:r>
        <w:rPr>
          <w:b/>
          <w:sz w:val="22"/>
          <w:szCs w:val="22"/>
        </w:rPr>
        <w:t xml:space="preserve"> </w:t>
      </w:r>
      <w:proofErr w:type="spellStart"/>
      <w:r>
        <w:rPr>
          <w:b/>
          <w:sz w:val="22"/>
          <w:szCs w:val="22"/>
        </w:rPr>
        <w:t>Sopharma</w:t>
      </w:r>
      <w:proofErr w:type="spellEnd"/>
      <w:r>
        <w:rPr>
          <w:sz w:val="22"/>
          <w:szCs w:val="22"/>
        </w:rPr>
        <w:t xml:space="preserve"> </w:t>
      </w:r>
      <w:r>
        <w:rPr>
          <w:b/>
          <w:bCs/>
          <w:sz w:val="22"/>
          <w:szCs w:val="22"/>
        </w:rPr>
        <w:t>vartoti negalima:</w:t>
      </w:r>
    </w:p>
    <w:p w:rsidR="00A7031E" w:rsidRDefault="00A7031E" w:rsidP="00A7031E">
      <w:pPr>
        <w:numPr>
          <w:ilvl w:val="0"/>
          <w:numId w:val="2"/>
        </w:numPr>
        <w:rPr>
          <w:sz w:val="22"/>
          <w:szCs w:val="22"/>
        </w:rPr>
      </w:pPr>
      <w:r>
        <w:rPr>
          <w:sz w:val="22"/>
          <w:szCs w:val="22"/>
        </w:rPr>
        <w:t xml:space="preserve">jeigu yra alergija </w:t>
      </w:r>
      <w:proofErr w:type="spellStart"/>
      <w:r>
        <w:rPr>
          <w:sz w:val="22"/>
          <w:szCs w:val="22"/>
        </w:rPr>
        <w:t>ketoprofenui</w:t>
      </w:r>
      <w:proofErr w:type="spellEnd"/>
      <w:r>
        <w:rPr>
          <w:sz w:val="22"/>
          <w:szCs w:val="22"/>
        </w:rPr>
        <w:t xml:space="preserve"> arba bet kuriai pagalbinei šio vaisto medžiagai (jos išvardytos 6 skyriuje); </w:t>
      </w:r>
    </w:p>
    <w:p w:rsidR="00A7031E" w:rsidRDefault="00A7031E" w:rsidP="00A7031E">
      <w:pPr>
        <w:numPr>
          <w:ilvl w:val="0"/>
          <w:numId w:val="2"/>
        </w:numPr>
        <w:rPr>
          <w:sz w:val="22"/>
          <w:szCs w:val="22"/>
        </w:rPr>
      </w:pPr>
      <w:r>
        <w:rPr>
          <w:sz w:val="22"/>
          <w:szCs w:val="22"/>
        </w:rPr>
        <w:t xml:space="preserve">jeigu yra padidėjęs jautrumas </w:t>
      </w:r>
      <w:proofErr w:type="spellStart"/>
      <w:r>
        <w:rPr>
          <w:sz w:val="22"/>
          <w:szCs w:val="22"/>
        </w:rPr>
        <w:t>acetilsalicilo</w:t>
      </w:r>
      <w:proofErr w:type="spellEnd"/>
      <w:r>
        <w:rPr>
          <w:sz w:val="22"/>
          <w:szCs w:val="22"/>
        </w:rPr>
        <w:t xml:space="preserve"> rūgščiai, jos dariniams, </w:t>
      </w:r>
      <w:proofErr w:type="spellStart"/>
      <w:r>
        <w:rPr>
          <w:sz w:val="22"/>
          <w:szCs w:val="22"/>
        </w:rPr>
        <w:t>fenofibratui</w:t>
      </w:r>
      <w:proofErr w:type="spellEnd"/>
      <w:r>
        <w:rPr>
          <w:sz w:val="22"/>
          <w:szCs w:val="22"/>
        </w:rPr>
        <w:t xml:space="preserve"> ir kitiems nesteroidiniams vaistams nuo uždegimo;</w:t>
      </w:r>
    </w:p>
    <w:p w:rsidR="00A7031E" w:rsidRDefault="00A7031E" w:rsidP="00A7031E">
      <w:pPr>
        <w:numPr>
          <w:ilvl w:val="0"/>
          <w:numId w:val="2"/>
        </w:numPr>
        <w:rPr>
          <w:sz w:val="22"/>
          <w:szCs w:val="22"/>
        </w:rPr>
      </w:pPr>
      <w:r>
        <w:rPr>
          <w:sz w:val="22"/>
          <w:szCs w:val="22"/>
        </w:rPr>
        <w:t xml:space="preserve">jeigu ankščiau vartojant </w:t>
      </w:r>
      <w:proofErr w:type="spellStart"/>
      <w:r>
        <w:rPr>
          <w:sz w:val="22"/>
          <w:szCs w:val="22"/>
        </w:rPr>
        <w:t>ketoprofeno</w:t>
      </w:r>
      <w:proofErr w:type="spellEnd"/>
      <w:r>
        <w:rPr>
          <w:sz w:val="22"/>
          <w:szCs w:val="22"/>
        </w:rPr>
        <w:t xml:space="preserve">, </w:t>
      </w:r>
      <w:proofErr w:type="spellStart"/>
      <w:r>
        <w:rPr>
          <w:sz w:val="22"/>
          <w:szCs w:val="22"/>
        </w:rPr>
        <w:t>tiaprofeno</w:t>
      </w:r>
      <w:proofErr w:type="spellEnd"/>
      <w:r>
        <w:rPr>
          <w:sz w:val="22"/>
          <w:szCs w:val="22"/>
        </w:rPr>
        <w:t xml:space="preserve"> rūgšties, </w:t>
      </w:r>
      <w:proofErr w:type="spellStart"/>
      <w:r>
        <w:rPr>
          <w:sz w:val="22"/>
          <w:szCs w:val="22"/>
        </w:rPr>
        <w:t>fenofibrato</w:t>
      </w:r>
      <w:proofErr w:type="spellEnd"/>
      <w:r>
        <w:rPr>
          <w:sz w:val="22"/>
          <w:szCs w:val="22"/>
        </w:rPr>
        <w:t xml:space="preserve"> ar kremo nuo saulės su apsauga nuo ultravioletinių spindulių buvo pasireiškusios odos alerginės reakcijos, </w:t>
      </w:r>
    </w:p>
    <w:p w:rsidR="00A7031E" w:rsidRDefault="00A7031E" w:rsidP="00A7031E">
      <w:pPr>
        <w:numPr>
          <w:ilvl w:val="0"/>
          <w:numId w:val="2"/>
        </w:numPr>
        <w:rPr>
          <w:sz w:val="22"/>
          <w:szCs w:val="22"/>
        </w:rPr>
      </w:pPr>
      <w:r>
        <w:rPr>
          <w:sz w:val="22"/>
          <w:szCs w:val="22"/>
        </w:rPr>
        <w:t>jeigu ankščiau buvo pasireiškusios padidėjusio jautrumo šviesai reakcijos;</w:t>
      </w:r>
    </w:p>
    <w:p w:rsidR="00A7031E" w:rsidRDefault="00A7031E" w:rsidP="00A7031E">
      <w:pPr>
        <w:numPr>
          <w:ilvl w:val="0"/>
          <w:numId w:val="2"/>
        </w:numPr>
        <w:rPr>
          <w:sz w:val="22"/>
          <w:szCs w:val="22"/>
        </w:rPr>
      </w:pPr>
      <w:r>
        <w:rPr>
          <w:sz w:val="22"/>
          <w:szCs w:val="22"/>
        </w:rPr>
        <w:t xml:space="preserve">jeigu yra padidėjusio jautrumo reakcijos, pavyzdžiui sergate astma, alerginiu rinitu ar dilgėline; </w:t>
      </w:r>
    </w:p>
    <w:p w:rsidR="00A7031E" w:rsidRDefault="00A7031E" w:rsidP="00A7031E">
      <w:pPr>
        <w:numPr>
          <w:ilvl w:val="0"/>
          <w:numId w:val="2"/>
        </w:numPr>
        <w:rPr>
          <w:sz w:val="22"/>
          <w:szCs w:val="22"/>
        </w:rPr>
      </w:pPr>
      <w:r>
        <w:rPr>
          <w:sz w:val="22"/>
          <w:szCs w:val="22"/>
        </w:rPr>
        <w:t>jeigu yra žaizda odoje, išbėrimas, egzema, odos pažeidimas, odos infekcija;</w:t>
      </w:r>
    </w:p>
    <w:p w:rsidR="00A7031E" w:rsidRDefault="00A7031E" w:rsidP="00A7031E">
      <w:pPr>
        <w:numPr>
          <w:ilvl w:val="0"/>
          <w:numId w:val="2"/>
        </w:numPr>
        <w:rPr>
          <w:sz w:val="22"/>
          <w:szCs w:val="22"/>
        </w:rPr>
      </w:pPr>
      <w:r>
        <w:rPr>
          <w:sz w:val="22"/>
          <w:szCs w:val="22"/>
        </w:rPr>
        <w:t>jaunesniems kaip 15 metų vaikams ir paaugliams;</w:t>
      </w:r>
    </w:p>
    <w:p w:rsidR="00A7031E" w:rsidRDefault="00A7031E" w:rsidP="00A7031E">
      <w:pPr>
        <w:numPr>
          <w:ilvl w:val="0"/>
          <w:numId w:val="2"/>
        </w:numPr>
        <w:rPr>
          <w:sz w:val="22"/>
          <w:szCs w:val="22"/>
        </w:rPr>
      </w:pPr>
      <w:r>
        <w:rPr>
          <w:sz w:val="22"/>
          <w:szCs w:val="22"/>
        </w:rPr>
        <w:t>paskutiniųjų trijų nėštumo mėnesių laikotarpiu;</w:t>
      </w:r>
    </w:p>
    <w:p w:rsidR="00A7031E" w:rsidRDefault="00A7031E" w:rsidP="00A7031E">
      <w:pPr>
        <w:numPr>
          <w:ilvl w:val="0"/>
          <w:numId w:val="2"/>
        </w:numPr>
        <w:rPr>
          <w:sz w:val="22"/>
          <w:szCs w:val="22"/>
        </w:rPr>
      </w:pPr>
      <w:r>
        <w:rPr>
          <w:sz w:val="22"/>
          <w:szCs w:val="22"/>
        </w:rPr>
        <w:t>žindymo laikotarpiu.</w:t>
      </w:r>
    </w:p>
    <w:p w:rsidR="00A7031E" w:rsidRDefault="00A7031E" w:rsidP="00A7031E">
      <w:pPr>
        <w:rPr>
          <w:sz w:val="22"/>
          <w:szCs w:val="22"/>
        </w:rPr>
      </w:pPr>
    </w:p>
    <w:p w:rsidR="00A7031E" w:rsidRDefault="00A7031E" w:rsidP="00A7031E">
      <w:pPr>
        <w:rPr>
          <w:b/>
          <w:sz w:val="22"/>
          <w:szCs w:val="22"/>
        </w:rPr>
      </w:pPr>
      <w:proofErr w:type="spellStart"/>
      <w:r>
        <w:rPr>
          <w:b/>
          <w:sz w:val="22"/>
          <w:szCs w:val="22"/>
        </w:rPr>
        <w:t>Ketoprofen</w:t>
      </w:r>
      <w:proofErr w:type="spellEnd"/>
      <w:r>
        <w:rPr>
          <w:b/>
          <w:sz w:val="22"/>
          <w:szCs w:val="22"/>
        </w:rPr>
        <w:t xml:space="preserve"> </w:t>
      </w:r>
      <w:proofErr w:type="spellStart"/>
      <w:r>
        <w:rPr>
          <w:b/>
          <w:sz w:val="22"/>
          <w:szCs w:val="22"/>
        </w:rPr>
        <w:t>Sopharma</w:t>
      </w:r>
      <w:proofErr w:type="spellEnd"/>
      <w:r>
        <w:rPr>
          <w:sz w:val="22"/>
          <w:szCs w:val="22"/>
        </w:rPr>
        <w:t xml:space="preserve"> </w:t>
      </w:r>
      <w:r>
        <w:rPr>
          <w:b/>
          <w:sz w:val="22"/>
          <w:szCs w:val="22"/>
        </w:rPr>
        <w:t>negalima tepti:</w:t>
      </w:r>
    </w:p>
    <w:p w:rsidR="00A7031E" w:rsidRDefault="00A7031E" w:rsidP="00A7031E">
      <w:pPr>
        <w:pStyle w:val="BT-EMEASMCA"/>
        <w:tabs>
          <w:tab w:val="clear" w:pos="360"/>
          <w:tab w:val="num" w:pos="720"/>
        </w:tabs>
        <w:ind w:left="720" w:hanging="363"/>
      </w:pPr>
      <w:r>
        <w:t>ant gleivinių arba į akis (akių gleivinę), šalia akių;</w:t>
      </w:r>
    </w:p>
    <w:p w:rsidR="00A7031E" w:rsidRDefault="00A7031E" w:rsidP="00A7031E">
      <w:pPr>
        <w:pStyle w:val="BT-EMEASMCA"/>
        <w:tabs>
          <w:tab w:val="clear" w:pos="360"/>
          <w:tab w:val="num" w:pos="720"/>
        </w:tabs>
        <w:ind w:left="720" w:hanging="363"/>
      </w:pPr>
      <w:r>
        <w:t>ant didelio odos ploto;</w:t>
      </w:r>
    </w:p>
    <w:p w:rsidR="00A7031E" w:rsidRDefault="00A7031E" w:rsidP="00A7031E">
      <w:pPr>
        <w:pStyle w:val="BT-EMEASMCA"/>
        <w:tabs>
          <w:tab w:val="clear" w:pos="360"/>
          <w:tab w:val="num" w:pos="720"/>
        </w:tabs>
        <w:ind w:left="720" w:hanging="363"/>
      </w:pPr>
      <w:r>
        <w:t>ant ilgą laiką drabužiais uždengtų vietų;</w:t>
      </w:r>
    </w:p>
    <w:p w:rsidR="00A7031E" w:rsidRDefault="00A7031E" w:rsidP="00A7031E">
      <w:pPr>
        <w:pStyle w:val="BT-EMEASMCA"/>
        <w:tabs>
          <w:tab w:val="clear" w:pos="360"/>
          <w:tab w:val="num" w:pos="720"/>
        </w:tabs>
        <w:ind w:left="720" w:hanging="363"/>
      </w:pPr>
      <w:r>
        <w:t>po uždaru tvarsčiu;</w:t>
      </w:r>
    </w:p>
    <w:p w:rsidR="00A7031E" w:rsidRDefault="00A7031E" w:rsidP="00A7031E">
      <w:pPr>
        <w:pStyle w:val="BT-EMEASMCA"/>
        <w:tabs>
          <w:tab w:val="clear" w:pos="360"/>
          <w:tab w:val="num" w:pos="720"/>
        </w:tabs>
        <w:ind w:left="720" w:hanging="363"/>
      </w:pPr>
      <w:r>
        <w:lastRenderedPageBreak/>
        <w:t>didesnio nei nurodyta kiekio arba dažniau nei nurodyta;</w:t>
      </w:r>
    </w:p>
    <w:p w:rsidR="00A7031E" w:rsidRDefault="00A7031E" w:rsidP="00A7031E">
      <w:pPr>
        <w:pStyle w:val="BT-EMEASMCA"/>
        <w:tabs>
          <w:tab w:val="clear" w:pos="360"/>
          <w:tab w:val="num" w:pos="720"/>
        </w:tabs>
        <w:ind w:left="720" w:hanging="363"/>
      </w:pPr>
      <w:r>
        <w:t xml:space="preserve">arti liepsnos, nes vaiste yra alkoholio. </w:t>
      </w:r>
    </w:p>
    <w:p w:rsidR="00A7031E" w:rsidRDefault="00A7031E" w:rsidP="00A7031E">
      <w:pPr>
        <w:pStyle w:val="BTEMEASMCA"/>
      </w:pPr>
    </w:p>
    <w:p w:rsidR="00A7031E" w:rsidRDefault="00A7031E" w:rsidP="00A7031E">
      <w:pPr>
        <w:pStyle w:val="Antrat4"/>
        <w:rPr>
          <w:b/>
          <w:szCs w:val="22"/>
          <w:u w:val="none"/>
        </w:rPr>
      </w:pPr>
      <w:r>
        <w:rPr>
          <w:b/>
          <w:szCs w:val="22"/>
          <w:u w:val="none"/>
        </w:rPr>
        <w:t xml:space="preserve">Įspėjimai ir atsargumo priemonės </w:t>
      </w:r>
    </w:p>
    <w:p w:rsidR="00A7031E" w:rsidRDefault="00A7031E" w:rsidP="00A7031E">
      <w:pPr>
        <w:rPr>
          <w:sz w:val="22"/>
          <w:szCs w:val="22"/>
        </w:rPr>
      </w:pPr>
      <w:r>
        <w:rPr>
          <w:sz w:val="22"/>
          <w:szCs w:val="22"/>
        </w:rPr>
        <w:t xml:space="preserve">Gydymas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turi būti nedelsiant nutrauktas, jeigu vaisto tepimo vietoje atsiranda odos pažeidimų.</w:t>
      </w:r>
    </w:p>
    <w:p w:rsidR="00A7031E" w:rsidRDefault="00A7031E" w:rsidP="00A7031E">
      <w:pPr>
        <w:rPr>
          <w:sz w:val="22"/>
          <w:szCs w:val="22"/>
        </w:rPr>
      </w:pPr>
      <w:r>
        <w:rPr>
          <w:sz w:val="22"/>
          <w:szCs w:val="22"/>
        </w:rPr>
        <w:t>Vaisto reikia vartoti atsargiai, jeigu yra sutrikusi širdies, inkstų ar kepenų veikla. Jei vartojamas labai didelis gelio kiekis, gali pasireikšti sisteminių nepageidaujamų reiškinių, įskaitant padidėjusio jautrumo reakcijas, astmą ir inkstų funkcijos nepakankamumą.</w:t>
      </w:r>
    </w:p>
    <w:p w:rsidR="00A7031E" w:rsidRDefault="00A7031E" w:rsidP="00A7031E">
      <w:pPr>
        <w:rPr>
          <w:sz w:val="22"/>
          <w:szCs w:val="22"/>
        </w:rPr>
      </w:pPr>
    </w:p>
    <w:p w:rsidR="00A7031E" w:rsidRDefault="00A7031E" w:rsidP="00A7031E">
      <w:pPr>
        <w:autoSpaceDE w:val="0"/>
        <w:autoSpaceDN w:val="0"/>
        <w:adjustRightInd w:val="0"/>
        <w:rPr>
          <w:sz w:val="22"/>
          <w:szCs w:val="22"/>
        </w:rPr>
      </w:pPr>
      <w:r>
        <w:rPr>
          <w:sz w:val="22"/>
          <w:szCs w:val="22"/>
        </w:rPr>
        <w:t>Gydymo metu ir dvi savaites po jo reikia vengti tiesioginių saulės spindulių bei negalima naudotis UV spindulius skleidžiančiais soliariumais.</w:t>
      </w:r>
    </w:p>
    <w:p w:rsidR="00A7031E" w:rsidRDefault="00A7031E" w:rsidP="00A7031E">
      <w:pPr>
        <w:rPr>
          <w:sz w:val="22"/>
          <w:szCs w:val="22"/>
        </w:rPr>
      </w:pPr>
    </w:p>
    <w:p w:rsidR="00A7031E" w:rsidRDefault="00A7031E" w:rsidP="00A7031E">
      <w:pPr>
        <w:rPr>
          <w:sz w:val="22"/>
          <w:szCs w:val="22"/>
        </w:rPr>
      </w:pPr>
      <w:r>
        <w:rPr>
          <w:sz w:val="22"/>
          <w:szCs w:val="22"/>
        </w:rPr>
        <w:t>Vartojant vaisto dideliais kiekiais galima padidėjusio jautrumo reakcijų išsivystymo rizika.</w:t>
      </w:r>
    </w:p>
    <w:p w:rsidR="00A7031E" w:rsidRDefault="00A7031E" w:rsidP="00A7031E">
      <w:pPr>
        <w:rPr>
          <w:sz w:val="22"/>
          <w:szCs w:val="22"/>
        </w:rPr>
      </w:pPr>
    </w:p>
    <w:p w:rsidR="00A7031E" w:rsidRDefault="00A7031E" w:rsidP="00A7031E">
      <w:pPr>
        <w:pStyle w:val="Antrat4"/>
        <w:rPr>
          <w:b/>
          <w:szCs w:val="22"/>
          <w:u w:val="none"/>
        </w:rPr>
      </w:pPr>
      <w:r>
        <w:rPr>
          <w:b/>
          <w:szCs w:val="22"/>
          <w:u w:val="none"/>
        </w:rPr>
        <w:t>Vaikams ir paaugliams</w:t>
      </w:r>
    </w:p>
    <w:p w:rsidR="00A7031E" w:rsidRDefault="00A7031E" w:rsidP="00A7031E">
      <w:pPr>
        <w:pStyle w:val="Antrat4"/>
        <w:rPr>
          <w:szCs w:val="22"/>
          <w:u w:val="none"/>
        </w:rPr>
      </w:pPr>
      <w:r>
        <w:rPr>
          <w:szCs w:val="22"/>
          <w:u w:val="none"/>
        </w:rPr>
        <w:t xml:space="preserve">Jaunesniems negu 15 metų vaikams ir paaugliams </w:t>
      </w:r>
      <w:proofErr w:type="spellStart"/>
      <w:r>
        <w:rPr>
          <w:szCs w:val="22"/>
          <w:u w:val="none"/>
        </w:rPr>
        <w:t>Ketoprofen</w:t>
      </w:r>
      <w:proofErr w:type="spellEnd"/>
      <w:r>
        <w:rPr>
          <w:szCs w:val="22"/>
          <w:u w:val="none"/>
        </w:rPr>
        <w:t xml:space="preserve"> </w:t>
      </w:r>
      <w:proofErr w:type="spellStart"/>
      <w:r>
        <w:rPr>
          <w:szCs w:val="22"/>
          <w:u w:val="none"/>
        </w:rPr>
        <w:t>Sopharma</w:t>
      </w:r>
      <w:proofErr w:type="spellEnd"/>
      <w:r>
        <w:rPr>
          <w:szCs w:val="22"/>
          <w:u w:val="none"/>
        </w:rPr>
        <w:t xml:space="preserve"> vartoti negalima.</w:t>
      </w:r>
    </w:p>
    <w:p w:rsidR="00A7031E" w:rsidRDefault="00A7031E" w:rsidP="00A7031E"/>
    <w:p w:rsidR="00A7031E" w:rsidRDefault="00A7031E" w:rsidP="00A7031E">
      <w:pPr>
        <w:pStyle w:val="PI-3EMEASMCA"/>
      </w:pPr>
      <w:r>
        <w:t xml:space="preserve">Kiti vaistai ir </w:t>
      </w:r>
      <w:proofErr w:type="spellStart"/>
      <w:r>
        <w:t>Ketoprofen</w:t>
      </w:r>
      <w:proofErr w:type="spellEnd"/>
      <w:r>
        <w:t xml:space="preserve"> </w:t>
      </w:r>
      <w:proofErr w:type="spellStart"/>
      <w:r>
        <w:t>Sopharma</w:t>
      </w:r>
      <w:proofErr w:type="spellEnd"/>
    </w:p>
    <w:p w:rsidR="00A7031E" w:rsidRDefault="00A7031E" w:rsidP="00A7031E">
      <w:pPr>
        <w:rPr>
          <w:sz w:val="22"/>
          <w:szCs w:val="22"/>
        </w:rPr>
      </w:pPr>
      <w:r>
        <w:rPr>
          <w:sz w:val="22"/>
          <w:szCs w:val="22"/>
        </w:rPr>
        <w:t xml:space="preserve">Net jei ir labai didelis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kiekis yra įtrinamas į odą, į sisteminę kraujotaką vaisto patenka labai nedaug (absorbuojama tik apie 5 proc. suvartotos vaisto dozės). Ant odos vartojamas </w:t>
      </w:r>
      <w:proofErr w:type="spellStart"/>
      <w:r>
        <w:rPr>
          <w:sz w:val="22"/>
          <w:szCs w:val="22"/>
        </w:rPr>
        <w:t>ketoprofenas</w:t>
      </w:r>
      <w:proofErr w:type="spellEnd"/>
      <w:r>
        <w:rPr>
          <w:sz w:val="22"/>
          <w:szCs w:val="22"/>
        </w:rPr>
        <w:t xml:space="preserve"> dėl mažos koncentracijos kraujo plazmoje sąveikos rizikos su kitais vaistais paprastai neturi.</w:t>
      </w:r>
    </w:p>
    <w:p w:rsidR="00A7031E" w:rsidRDefault="00A7031E" w:rsidP="00A7031E">
      <w:pPr>
        <w:rPr>
          <w:sz w:val="22"/>
          <w:szCs w:val="22"/>
        </w:rPr>
      </w:pPr>
    </w:p>
    <w:p w:rsidR="00A7031E" w:rsidRDefault="00A7031E" w:rsidP="00A7031E">
      <w:pPr>
        <w:rPr>
          <w:sz w:val="22"/>
          <w:szCs w:val="22"/>
        </w:rPr>
      </w:pPr>
      <w:r>
        <w:rPr>
          <w:sz w:val="22"/>
          <w:szCs w:val="22"/>
        </w:rPr>
        <w:t xml:space="preserve">Tačiau </w:t>
      </w:r>
      <w:proofErr w:type="spellStart"/>
      <w:r>
        <w:rPr>
          <w:sz w:val="22"/>
          <w:szCs w:val="22"/>
        </w:rPr>
        <w:t>ketoprofenas</w:t>
      </w:r>
      <w:proofErr w:type="spellEnd"/>
      <w:r>
        <w:rPr>
          <w:sz w:val="22"/>
          <w:szCs w:val="22"/>
        </w:rPr>
        <w:t xml:space="preserve">, nors ir labai minimaliai, gali slopinti </w:t>
      </w:r>
      <w:proofErr w:type="spellStart"/>
      <w:r>
        <w:rPr>
          <w:sz w:val="22"/>
          <w:szCs w:val="22"/>
        </w:rPr>
        <w:t>metotreksato</w:t>
      </w:r>
      <w:proofErr w:type="spellEnd"/>
      <w:r>
        <w:rPr>
          <w:sz w:val="22"/>
          <w:szCs w:val="22"/>
        </w:rPr>
        <w:t xml:space="preserve"> ir ličio druskų išsiskyrimą bei silpninti kai kurių diuretikų, pvz., </w:t>
      </w:r>
      <w:proofErr w:type="spellStart"/>
      <w:r>
        <w:rPr>
          <w:sz w:val="22"/>
          <w:szCs w:val="22"/>
        </w:rPr>
        <w:t>tiazido</w:t>
      </w:r>
      <w:proofErr w:type="spellEnd"/>
      <w:r>
        <w:rPr>
          <w:sz w:val="22"/>
          <w:szCs w:val="22"/>
        </w:rPr>
        <w:t xml:space="preserve"> ir </w:t>
      </w:r>
      <w:proofErr w:type="spellStart"/>
      <w:r>
        <w:rPr>
          <w:sz w:val="22"/>
          <w:szCs w:val="22"/>
        </w:rPr>
        <w:t>furozemido</w:t>
      </w:r>
      <w:proofErr w:type="spellEnd"/>
      <w:r>
        <w:rPr>
          <w:sz w:val="22"/>
          <w:szCs w:val="22"/>
        </w:rPr>
        <w:t>, poveikį.</w:t>
      </w:r>
    </w:p>
    <w:p w:rsidR="00A7031E" w:rsidRDefault="00A7031E" w:rsidP="00A7031E">
      <w:pPr>
        <w:rPr>
          <w:sz w:val="22"/>
          <w:szCs w:val="22"/>
        </w:rPr>
      </w:pPr>
    </w:p>
    <w:p w:rsidR="00A7031E" w:rsidRDefault="00A7031E" w:rsidP="00A7031E">
      <w:pPr>
        <w:rPr>
          <w:sz w:val="22"/>
          <w:szCs w:val="22"/>
        </w:rPr>
      </w:pPr>
      <w:proofErr w:type="spellStart"/>
      <w:r>
        <w:rPr>
          <w:sz w:val="22"/>
          <w:szCs w:val="22"/>
        </w:rPr>
        <w:t>Ketoprofeno</w:t>
      </w:r>
      <w:proofErr w:type="spellEnd"/>
      <w:r>
        <w:rPr>
          <w:sz w:val="22"/>
          <w:szCs w:val="22"/>
        </w:rPr>
        <w:t xml:space="preserve"> vartojant kartu su </w:t>
      </w:r>
      <w:proofErr w:type="spellStart"/>
      <w:r>
        <w:rPr>
          <w:sz w:val="22"/>
          <w:szCs w:val="22"/>
        </w:rPr>
        <w:t>acetilsalicilo</w:t>
      </w:r>
      <w:proofErr w:type="spellEnd"/>
      <w:r>
        <w:rPr>
          <w:sz w:val="22"/>
          <w:szCs w:val="22"/>
        </w:rPr>
        <w:t xml:space="preserve"> rūgštimi arba kitais nesteroidiniais vaistais nuo uždegimo, gali stiprėti pastarųjų vaistų, taip pat ir jų šalutinis poveikis.</w:t>
      </w:r>
    </w:p>
    <w:p w:rsidR="00A7031E" w:rsidRDefault="00A7031E" w:rsidP="00A7031E">
      <w:pPr>
        <w:rPr>
          <w:sz w:val="22"/>
          <w:szCs w:val="22"/>
        </w:rPr>
      </w:pPr>
    </w:p>
    <w:p w:rsidR="00A7031E" w:rsidRDefault="00A7031E" w:rsidP="00A7031E">
      <w:pPr>
        <w:rPr>
          <w:sz w:val="22"/>
          <w:szCs w:val="22"/>
        </w:rPr>
      </w:pPr>
      <w:r>
        <w:rPr>
          <w:sz w:val="22"/>
          <w:szCs w:val="22"/>
        </w:rPr>
        <w:t>Galima sąveika su vaistais, slopinančiais kraujo krešėjimą.</w:t>
      </w:r>
    </w:p>
    <w:p w:rsidR="00A7031E" w:rsidRDefault="00A7031E" w:rsidP="00A7031E">
      <w:pPr>
        <w:rPr>
          <w:sz w:val="22"/>
          <w:szCs w:val="22"/>
        </w:rPr>
      </w:pPr>
    </w:p>
    <w:p w:rsidR="00A7031E" w:rsidRDefault="00A7031E" w:rsidP="00A7031E">
      <w:pPr>
        <w:rPr>
          <w:sz w:val="22"/>
          <w:szCs w:val="22"/>
        </w:rPr>
      </w:pPr>
      <w:r>
        <w:rPr>
          <w:sz w:val="22"/>
          <w:szCs w:val="22"/>
        </w:rPr>
        <w:t>Jeigu vartojate arba neseniai vartojote kitų vaistų arba dėl to nesate tikri, apie tai pasakykite gydytojui arba vaistininkui.</w:t>
      </w:r>
    </w:p>
    <w:p w:rsidR="00A7031E" w:rsidRDefault="00A7031E" w:rsidP="00A7031E">
      <w:pPr>
        <w:rPr>
          <w:sz w:val="22"/>
          <w:szCs w:val="22"/>
        </w:rPr>
      </w:pPr>
    </w:p>
    <w:p w:rsidR="00A7031E" w:rsidRDefault="00A7031E" w:rsidP="00A7031E">
      <w:pPr>
        <w:pStyle w:val="PI-3EMEASMCA"/>
      </w:pPr>
      <w:proofErr w:type="spellStart"/>
      <w:r>
        <w:t>Ketoprofen</w:t>
      </w:r>
      <w:proofErr w:type="spellEnd"/>
      <w:r>
        <w:t xml:space="preserve"> </w:t>
      </w:r>
      <w:proofErr w:type="spellStart"/>
      <w:r>
        <w:t>Sopharma</w:t>
      </w:r>
      <w:proofErr w:type="spellEnd"/>
      <w:r>
        <w:t xml:space="preserve"> vartojimas su maistu ir gėrimais</w:t>
      </w:r>
    </w:p>
    <w:p w:rsidR="00A7031E" w:rsidRDefault="00A7031E" w:rsidP="00A7031E">
      <w:pPr>
        <w:pStyle w:val="BTEMEASMCA"/>
      </w:pPr>
      <w:r>
        <w:t>Duomenys neaktualūs.</w:t>
      </w:r>
    </w:p>
    <w:p w:rsidR="00A7031E" w:rsidRDefault="00A7031E" w:rsidP="00A7031E">
      <w:pPr>
        <w:pStyle w:val="BTEMEASMCA"/>
      </w:pPr>
    </w:p>
    <w:p w:rsidR="00A7031E" w:rsidRDefault="00A7031E" w:rsidP="00A7031E">
      <w:pPr>
        <w:pStyle w:val="PI-3EMEASMCA"/>
      </w:pPr>
      <w:r>
        <w:t>Nėštumas, žindymo laikotarpis ir vaisingumas</w:t>
      </w:r>
    </w:p>
    <w:p w:rsidR="00A7031E" w:rsidRDefault="00A7031E" w:rsidP="00A7031E">
      <w:pPr>
        <w:pStyle w:val="PI-3EMEASMCA"/>
        <w:rPr>
          <w:b w:val="0"/>
        </w:rPr>
      </w:pPr>
      <w:r>
        <w:rPr>
          <w:b w:val="0"/>
          <w:noProof/>
        </w:rPr>
        <w:t>Jeigu esate nėščia, žindote kūdikį, manote, kad galbūt esate nėščia, arba planuojate pastoti, tai prieš vartodama šį vaistą, pasitarkite su gydytoju arba vaistininku.</w:t>
      </w:r>
    </w:p>
    <w:p w:rsidR="00A7031E" w:rsidRDefault="00A7031E" w:rsidP="00A7031E">
      <w:pPr>
        <w:pStyle w:val="PI-3EMEASMCA"/>
        <w:rPr>
          <w:b w:val="0"/>
        </w:rPr>
      </w:pPr>
    </w:p>
    <w:p w:rsidR="00A7031E" w:rsidRDefault="00A7031E" w:rsidP="00A7031E">
      <w:pPr>
        <w:rPr>
          <w:i/>
          <w:sz w:val="22"/>
          <w:szCs w:val="22"/>
        </w:rPr>
      </w:pPr>
      <w:r>
        <w:rPr>
          <w:i/>
          <w:sz w:val="22"/>
          <w:szCs w:val="22"/>
        </w:rPr>
        <w:t>Nėštumas</w:t>
      </w:r>
    </w:p>
    <w:p w:rsidR="00A7031E" w:rsidRDefault="00A7031E" w:rsidP="00A7031E">
      <w:pPr>
        <w:pStyle w:val="BTEMEASMCA"/>
      </w:pPr>
      <w:r>
        <w:t xml:space="preserve">Pirmaisiais šešiais nėštumo mėnesiais </w:t>
      </w:r>
      <w:proofErr w:type="spellStart"/>
      <w:r>
        <w:t>Ketoprofen</w:t>
      </w:r>
      <w:proofErr w:type="spellEnd"/>
      <w:r>
        <w:t xml:space="preserve"> </w:t>
      </w:r>
      <w:proofErr w:type="spellStart"/>
      <w:r>
        <w:t>Sopharma</w:t>
      </w:r>
      <w:proofErr w:type="spellEnd"/>
      <w:r>
        <w:rPr>
          <w:noProof/>
        </w:rPr>
        <w:t xml:space="preserve"> galima vartoti tik atidžiai įvertinus galimos naudos ir rizikos santykį. </w:t>
      </w:r>
      <w:proofErr w:type="spellStart"/>
      <w:r>
        <w:t>Ketoprofen</w:t>
      </w:r>
      <w:proofErr w:type="spellEnd"/>
      <w:r>
        <w:t xml:space="preserve"> </w:t>
      </w:r>
      <w:proofErr w:type="spellStart"/>
      <w:r>
        <w:t>Sopharma</w:t>
      </w:r>
      <w:proofErr w:type="spellEnd"/>
      <w:r>
        <w:t xml:space="preserve"> negalima vartoti paskutiniaisiais trimis nėštumo mėnesiais.</w:t>
      </w:r>
    </w:p>
    <w:p w:rsidR="00A7031E" w:rsidRDefault="00A7031E" w:rsidP="00A7031E">
      <w:pPr>
        <w:rPr>
          <w:sz w:val="22"/>
          <w:szCs w:val="22"/>
        </w:rPr>
      </w:pPr>
    </w:p>
    <w:p w:rsidR="00A7031E" w:rsidRDefault="00A7031E" w:rsidP="00A7031E">
      <w:pPr>
        <w:rPr>
          <w:i/>
          <w:sz w:val="22"/>
          <w:szCs w:val="22"/>
        </w:rPr>
      </w:pPr>
      <w:r>
        <w:rPr>
          <w:i/>
          <w:sz w:val="22"/>
          <w:szCs w:val="22"/>
        </w:rPr>
        <w:t>Žindymas</w:t>
      </w:r>
    </w:p>
    <w:p w:rsidR="00A7031E" w:rsidRDefault="00A7031E" w:rsidP="00A7031E">
      <w:pPr>
        <w:rPr>
          <w:sz w:val="22"/>
          <w:szCs w:val="22"/>
        </w:rPr>
      </w:pPr>
      <w:proofErr w:type="spellStart"/>
      <w:r>
        <w:rPr>
          <w:sz w:val="22"/>
          <w:szCs w:val="22"/>
        </w:rPr>
        <w:t>Ketoprofeno</w:t>
      </w:r>
      <w:proofErr w:type="spellEnd"/>
      <w:r>
        <w:rPr>
          <w:sz w:val="22"/>
          <w:szCs w:val="22"/>
        </w:rPr>
        <w:t xml:space="preserve"> patenka į motinos pieną, todėl žindymo laikotarpiu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vartoti negalima.</w:t>
      </w:r>
    </w:p>
    <w:p w:rsidR="00A7031E" w:rsidRDefault="00A7031E" w:rsidP="00A7031E">
      <w:pPr>
        <w:rPr>
          <w:sz w:val="22"/>
          <w:szCs w:val="22"/>
        </w:rPr>
      </w:pPr>
    </w:p>
    <w:p w:rsidR="00A7031E" w:rsidRDefault="00A7031E" w:rsidP="00A7031E">
      <w:pPr>
        <w:pStyle w:val="PI-3EMEASMCA"/>
      </w:pPr>
      <w:r>
        <w:t>Vairavimas ir mechanizmų valdymas</w:t>
      </w:r>
    </w:p>
    <w:p w:rsidR="00A7031E" w:rsidRDefault="00A7031E" w:rsidP="00A7031E">
      <w:pPr>
        <w:pStyle w:val="BTEMEASMCA"/>
      </w:pPr>
      <w:r>
        <w:t xml:space="preserve">Ant odos vartojamas </w:t>
      </w:r>
      <w:proofErr w:type="spellStart"/>
      <w:r>
        <w:t>ketoprofenas</w:t>
      </w:r>
      <w:proofErr w:type="spellEnd"/>
      <w:r>
        <w:t xml:space="preserve"> gebėjimo vairuoti ir valdyti mechanizmus neveikia.</w:t>
      </w:r>
    </w:p>
    <w:p w:rsidR="00A7031E" w:rsidRDefault="00A7031E" w:rsidP="00A7031E">
      <w:pPr>
        <w:pStyle w:val="BTEMEASMCA"/>
      </w:pPr>
    </w:p>
    <w:p w:rsidR="00A7031E" w:rsidRDefault="00A7031E" w:rsidP="00A7031E">
      <w:pPr>
        <w:pStyle w:val="PI-3EMEASMCA"/>
      </w:pPr>
      <w:proofErr w:type="spellStart"/>
      <w:r>
        <w:t>Ketoprofen</w:t>
      </w:r>
      <w:proofErr w:type="spellEnd"/>
      <w:r>
        <w:t xml:space="preserve"> </w:t>
      </w:r>
      <w:proofErr w:type="spellStart"/>
      <w:r>
        <w:t>Sopharma</w:t>
      </w:r>
      <w:proofErr w:type="spellEnd"/>
      <w:r>
        <w:t xml:space="preserve"> sudėtyje yra </w:t>
      </w:r>
      <w:proofErr w:type="spellStart"/>
      <w:r>
        <w:t>bezalkonio</w:t>
      </w:r>
      <w:proofErr w:type="spellEnd"/>
      <w:r>
        <w:t xml:space="preserve"> chlorido</w:t>
      </w:r>
    </w:p>
    <w:p w:rsidR="00A7031E" w:rsidRDefault="00A7031E" w:rsidP="00A7031E">
      <w:pPr>
        <w:rPr>
          <w:sz w:val="22"/>
          <w:szCs w:val="22"/>
        </w:rPr>
      </w:pPr>
      <w:r>
        <w:rPr>
          <w:sz w:val="22"/>
          <w:szCs w:val="22"/>
        </w:rPr>
        <w:t xml:space="preserve">Kiekvienoje 4 g dozėje (maždaug 5 cm gelio juostelėje) yra 0,16 mg </w:t>
      </w:r>
      <w:proofErr w:type="spellStart"/>
      <w:r>
        <w:rPr>
          <w:sz w:val="22"/>
          <w:szCs w:val="22"/>
        </w:rPr>
        <w:t>benzalkonio</w:t>
      </w:r>
      <w:proofErr w:type="spellEnd"/>
      <w:r>
        <w:rPr>
          <w:sz w:val="22"/>
          <w:szCs w:val="22"/>
        </w:rPr>
        <w:t xml:space="preserve"> chlorido, kuris atitinka 0,04 mg / 1 g gelio.</w:t>
      </w:r>
    </w:p>
    <w:p w:rsidR="00A7031E" w:rsidRDefault="00A7031E" w:rsidP="00A7031E">
      <w:pPr>
        <w:rPr>
          <w:sz w:val="22"/>
          <w:szCs w:val="22"/>
        </w:rPr>
      </w:pPr>
      <w:proofErr w:type="spellStart"/>
      <w:r>
        <w:rPr>
          <w:sz w:val="22"/>
          <w:szCs w:val="22"/>
        </w:rPr>
        <w:t>Benzalkonio</w:t>
      </w:r>
      <w:proofErr w:type="spellEnd"/>
      <w:r>
        <w:rPr>
          <w:sz w:val="22"/>
          <w:szCs w:val="22"/>
        </w:rPr>
        <w:t xml:space="preserve"> chloridas gali sudirginti odą.</w:t>
      </w:r>
    </w:p>
    <w:p w:rsidR="00A7031E" w:rsidRDefault="00A7031E" w:rsidP="00A7031E">
      <w:pPr>
        <w:pStyle w:val="BTEMEASMCA"/>
      </w:pPr>
    </w:p>
    <w:p w:rsidR="00A7031E" w:rsidRDefault="00A7031E" w:rsidP="00A7031E">
      <w:pPr>
        <w:pStyle w:val="BTEMEASMCA"/>
      </w:pPr>
    </w:p>
    <w:p w:rsidR="00A7031E" w:rsidRDefault="00A7031E" w:rsidP="00A7031E">
      <w:pPr>
        <w:pStyle w:val="PI-1EMEASMCA"/>
      </w:pPr>
      <w:bookmarkStart w:id="4" w:name="_Toc129243266"/>
      <w:bookmarkStart w:id="5" w:name="_Toc129243141"/>
      <w:r>
        <w:t>3.</w:t>
      </w:r>
      <w:r>
        <w:tab/>
        <w:t xml:space="preserve">Kaip vartoti </w:t>
      </w:r>
      <w:bookmarkEnd w:id="4"/>
      <w:bookmarkEnd w:id="5"/>
      <w:proofErr w:type="spellStart"/>
      <w:r>
        <w:t>Ketoprofen</w:t>
      </w:r>
      <w:proofErr w:type="spellEnd"/>
      <w:r>
        <w:t xml:space="preserve"> </w:t>
      </w:r>
      <w:proofErr w:type="spellStart"/>
      <w:r>
        <w:t>Sopharma</w:t>
      </w:r>
      <w:proofErr w:type="spellEnd"/>
    </w:p>
    <w:p w:rsidR="00A7031E" w:rsidRDefault="00A7031E" w:rsidP="00A7031E">
      <w:pPr>
        <w:pStyle w:val="BTEMEASMCA"/>
      </w:pPr>
    </w:p>
    <w:p w:rsidR="00A7031E" w:rsidRDefault="00A7031E" w:rsidP="00A7031E">
      <w:pPr>
        <w:pStyle w:val="BTEMEASMCA"/>
      </w:pPr>
      <w:r>
        <w:rPr>
          <w:noProof/>
        </w:rPr>
        <w:t>Visada vartokite šį vaistą tiksliai kaip nurodė gydytojas</w:t>
      </w:r>
      <w:r>
        <w:t>. Jeigu abejojate, kreipkitės į gydytoją arba vaistininką.</w:t>
      </w:r>
    </w:p>
    <w:p w:rsidR="00A7031E" w:rsidRDefault="00A7031E" w:rsidP="00A7031E">
      <w:pPr>
        <w:pStyle w:val="BTEMEASMCA"/>
      </w:pPr>
    </w:p>
    <w:p w:rsidR="00A7031E" w:rsidRDefault="00A7031E" w:rsidP="00A7031E">
      <w:pPr>
        <w:rPr>
          <w:b/>
          <w:sz w:val="22"/>
          <w:szCs w:val="22"/>
        </w:rPr>
      </w:pPr>
      <w:r>
        <w:rPr>
          <w:b/>
          <w:sz w:val="22"/>
          <w:szCs w:val="22"/>
        </w:rPr>
        <w:t>Vartojimas suaugusiems ir vyresniems kaip 15 metų paaugliams</w:t>
      </w:r>
    </w:p>
    <w:p w:rsidR="00A7031E" w:rsidRDefault="00A7031E" w:rsidP="00A7031E">
      <w:pPr>
        <w:rPr>
          <w:sz w:val="22"/>
          <w:szCs w:val="22"/>
        </w:rPr>
      </w:pPr>
      <w:r>
        <w:rPr>
          <w:sz w:val="22"/>
          <w:szCs w:val="22"/>
        </w:rPr>
        <w:t>Vaistas turi būti tepamas ant odos 2 kartus per parą ne ilgiau kaip 7 dienas. Reikia užtepti nedidelį gelio kiekį, 3 cm – 5 cm gelio juostelę (apie 2 g – 4 g gelio), ir per keletą minučių kruopščiai įtrinti į odą skaudamos vietos srityje. Po įtrynimo rankas būtina nusiplauti vandeniu.</w:t>
      </w:r>
    </w:p>
    <w:p w:rsidR="00A7031E" w:rsidRDefault="00A7031E" w:rsidP="00A7031E">
      <w:pPr>
        <w:jc w:val="both"/>
        <w:rPr>
          <w:sz w:val="22"/>
          <w:szCs w:val="22"/>
        </w:rPr>
      </w:pPr>
    </w:p>
    <w:p w:rsidR="00A7031E" w:rsidRDefault="00A7031E" w:rsidP="00A7031E">
      <w:pPr>
        <w:jc w:val="both"/>
        <w:rPr>
          <w:sz w:val="22"/>
          <w:szCs w:val="22"/>
        </w:rPr>
      </w:pPr>
      <w:r>
        <w:rPr>
          <w:sz w:val="22"/>
          <w:szCs w:val="22"/>
        </w:rPr>
        <w:t xml:space="preserve">Jeigu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yra vartojamas (įtrinamas į odą) ilgą laiką, reikia naudoti medicinines pirštines.</w:t>
      </w:r>
    </w:p>
    <w:p w:rsidR="00A7031E" w:rsidRDefault="00A7031E" w:rsidP="00A7031E">
      <w:pPr>
        <w:jc w:val="both"/>
        <w:rPr>
          <w:sz w:val="22"/>
          <w:szCs w:val="22"/>
        </w:rPr>
      </w:pPr>
    </w:p>
    <w:p w:rsidR="00A7031E" w:rsidRDefault="00A7031E" w:rsidP="00A7031E">
      <w:pPr>
        <w:jc w:val="both"/>
        <w:rPr>
          <w:sz w:val="22"/>
          <w:szCs w:val="22"/>
        </w:rPr>
      </w:pPr>
      <w:r>
        <w:rPr>
          <w:sz w:val="22"/>
          <w:szCs w:val="22"/>
        </w:rPr>
        <w:t xml:space="preserve">Jeigu manote, kad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veikia per stipriai arba per silpnai, kreipkitės į gydytoją.</w:t>
      </w:r>
    </w:p>
    <w:p w:rsidR="00A7031E" w:rsidRDefault="00A7031E" w:rsidP="00A7031E">
      <w:pPr>
        <w:jc w:val="both"/>
        <w:rPr>
          <w:sz w:val="22"/>
          <w:szCs w:val="22"/>
        </w:rPr>
      </w:pPr>
    </w:p>
    <w:p w:rsidR="00A7031E" w:rsidRDefault="00A7031E" w:rsidP="00A7031E">
      <w:pPr>
        <w:jc w:val="both"/>
        <w:rPr>
          <w:sz w:val="22"/>
          <w:szCs w:val="22"/>
        </w:rPr>
      </w:pPr>
      <w:r>
        <w:rPr>
          <w:sz w:val="22"/>
          <w:szCs w:val="22"/>
        </w:rPr>
        <w:t>Jeigu simptomai pasunkėjo arba per 7 dienas nepalengvėjo ar atsirado naujų simptomų, būtina kreiptis į gydytoją.</w:t>
      </w:r>
    </w:p>
    <w:p w:rsidR="00A7031E" w:rsidRDefault="00A7031E" w:rsidP="00A7031E">
      <w:pPr>
        <w:pStyle w:val="BTEMEASMCA"/>
      </w:pPr>
    </w:p>
    <w:p w:rsidR="00A7031E" w:rsidRDefault="00A7031E" w:rsidP="00A7031E">
      <w:pPr>
        <w:pStyle w:val="PI-3EMEASMCA"/>
      </w:pPr>
      <w:r>
        <w:t xml:space="preserve">Ką daryti pavartojus per didelę </w:t>
      </w:r>
      <w:proofErr w:type="spellStart"/>
      <w:r>
        <w:t>Ketoprofen</w:t>
      </w:r>
      <w:proofErr w:type="spellEnd"/>
      <w:r>
        <w:t xml:space="preserve"> </w:t>
      </w:r>
      <w:proofErr w:type="spellStart"/>
      <w:r>
        <w:t>Sopharma</w:t>
      </w:r>
      <w:proofErr w:type="spellEnd"/>
      <w:r>
        <w:t xml:space="preserve"> dozę?</w:t>
      </w:r>
    </w:p>
    <w:p w:rsidR="00A7031E" w:rsidRDefault="00A7031E" w:rsidP="00A7031E">
      <w:pPr>
        <w:rPr>
          <w:sz w:val="22"/>
          <w:szCs w:val="22"/>
        </w:rPr>
      </w:pPr>
      <w:r>
        <w:rPr>
          <w:sz w:val="22"/>
          <w:szCs w:val="22"/>
        </w:rPr>
        <w:t xml:space="preserve">Ant odos vartojamo </w:t>
      </w:r>
      <w:proofErr w:type="spellStart"/>
      <w:r>
        <w:rPr>
          <w:sz w:val="22"/>
          <w:szCs w:val="22"/>
        </w:rPr>
        <w:t>ketoprofeno</w:t>
      </w:r>
      <w:proofErr w:type="spellEnd"/>
      <w:r>
        <w:rPr>
          <w:sz w:val="22"/>
          <w:szCs w:val="22"/>
        </w:rPr>
        <w:t xml:space="preserve"> perdozuoti paprastai neįmanoma. Jeigu gelio pavartojama per daug, jį reikėtų nuplauti vandeniu.</w:t>
      </w:r>
    </w:p>
    <w:p w:rsidR="00A7031E" w:rsidRDefault="00A7031E" w:rsidP="00A7031E">
      <w:pPr>
        <w:rPr>
          <w:sz w:val="22"/>
          <w:szCs w:val="22"/>
        </w:rPr>
      </w:pPr>
    </w:p>
    <w:p w:rsidR="00A7031E" w:rsidRDefault="00A7031E" w:rsidP="00A7031E">
      <w:pPr>
        <w:rPr>
          <w:sz w:val="22"/>
          <w:szCs w:val="22"/>
        </w:rPr>
      </w:pPr>
      <w:r>
        <w:rPr>
          <w:sz w:val="22"/>
          <w:szCs w:val="22"/>
        </w:rPr>
        <w:t xml:space="preserve">Reikia atsižvelgti į galimą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šalutinį poveikį. Atsitiktinai nurytas vaistas gali sukelti mieguistumą, svaigulį, pykinimą, vėmimą, viršutinės pilvo dalies skausmą.</w:t>
      </w:r>
    </w:p>
    <w:p w:rsidR="00A7031E" w:rsidRDefault="00A7031E" w:rsidP="00A7031E">
      <w:pPr>
        <w:rPr>
          <w:sz w:val="22"/>
          <w:szCs w:val="22"/>
        </w:rPr>
      </w:pPr>
    </w:p>
    <w:p w:rsidR="00A7031E" w:rsidRDefault="00A7031E" w:rsidP="00A7031E">
      <w:pPr>
        <w:rPr>
          <w:sz w:val="22"/>
          <w:szCs w:val="22"/>
        </w:rPr>
      </w:pPr>
      <w:r>
        <w:rPr>
          <w:sz w:val="22"/>
          <w:szCs w:val="22"/>
        </w:rPr>
        <w:t xml:space="preserve">Didelė </w:t>
      </w:r>
      <w:proofErr w:type="spellStart"/>
      <w:r>
        <w:rPr>
          <w:sz w:val="22"/>
          <w:szCs w:val="22"/>
        </w:rPr>
        <w:t>ketoprofeno</w:t>
      </w:r>
      <w:proofErr w:type="spellEnd"/>
      <w:r>
        <w:rPr>
          <w:sz w:val="22"/>
          <w:szCs w:val="22"/>
        </w:rPr>
        <w:t xml:space="preserve"> dozė gali sukelti psichinės veiklos sulėtėjimą, komą, traukulius, kraujavimą iš virškinimo trakto, ūminį inkstų nepakankamumą ir didinti arba mažinti kraujo spaudimą..</w:t>
      </w:r>
    </w:p>
    <w:p w:rsidR="00A7031E" w:rsidRDefault="00A7031E" w:rsidP="00A7031E">
      <w:pPr>
        <w:rPr>
          <w:sz w:val="22"/>
          <w:szCs w:val="22"/>
        </w:rPr>
      </w:pPr>
      <w:r>
        <w:rPr>
          <w:sz w:val="22"/>
          <w:szCs w:val="22"/>
        </w:rPr>
        <w:t xml:space="preserve">Atsitiktinai nurijus </w:t>
      </w:r>
      <w:proofErr w:type="spellStart"/>
      <w:r>
        <w:rPr>
          <w:sz w:val="22"/>
          <w:szCs w:val="22"/>
        </w:rPr>
        <w:t>ketoprofeno</w:t>
      </w:r>
      <w:proofErr w:type="spellEnd"/>
      <w:r>
        <w:rPr>
          <w:sz w:val="22"/>
          <w:szCs w:val="22"/>
        </w:rPr>
        <w:t>, būtina nedelsiant kreiptis į gydytoją arba vaistininką.</w:t>
      </w:r>
    </w:p>
    <w:p w:rsidR="00A7031E" w:rsidRDefault="00A7031E" w:rsidP="00A7031E">
      <w:pPr>
        <w:rPr>
          <w:sz w:val="22"/>
          <w:szCs w:val="22"/>
        </w:rPr>
      </w:pPr>
    </w:p>
    <w:p w:rsidR="00A7031E" w:rsidRDefault="00A7031E" w:rsidP="00A7031E">
      <w:pPr>
        <w:rPr>
          <w:sz w:val="22"/>
          <w:szCs w:val="22"/>
        </w:rPr>
      </w:pPr>
      <w:r>
        <w:rPr>
          <w:sz w:val="22"/>
          <w:szCs w:val="22"/>
        </w:rPr>
        <w:t xml:space="preserve">Jeigu Jūs arba kitas asmuo pavartojo didesnę nei rekomenduojama </w:t>
      </w:r>
      <w:proofErr w:type="spellStart"/>
      <w:r>
        <w:rPr>
          <w:sz w:val="22"/>
          <w:szCs w:val="22"/>
        </w:rPr>
        <w:t>Ketoprofen</w:t>
      </w:r>
      <w:proofErr w:type="spellEnd"/>
      <w:r>
        <w:rPr>
          <w:sz w:val="22"/>
          <w:szCs w:val="22"/>
        </w:rPr>
        <w:t xml:space="preserve"> </w:t>
      </w:r>
      <w:proofErr w:type="spellStart"/>
      <w:r>
        <w:rPr>
          <w:sz w:val="22"/>
          <w:szCs w:val="22"/>
        </w:rPr>
        <w:t>Sopharma</w:t>
      </w:r>
      <w:proofErr w:type="spellEnd"/>
      <w:r>
        <w:rPr>
          <w:sz w:val="22"/>
          <w:szCs w:val="22"/>
        </w:rPr>
        <w:t xml:space="preserve"> dozę ir atsirado šalutinis poveikis, nedelsdami kreipkitės į gydytoją arba vaistininką.</w:t>
      </w:r>
    </w:p>
    <w:p w:rsidR="00A7031E" w:rsidRDefault="00A7031E" w:rsidP="00A7031E">
      <w:pPr>
        <w:pStyle w:val="BTEMEASMCA"/>
      </w:pPr>
    </w:p>
    <w:p w:rsidR="00A7031E" w:rsidRDefault="00A7031E" w:rsidP="00A7031E">
      <w:pPr>
        <w:pStyle w:val="PI-3EMEASMCA"/>
      </w:pPr>
      <w:r>
        <w:t xml:space="preserve">Pamiršus pavartoti </w:t>
      </w:r>
      <w:proofErr w:type="spellStart"/>
      <w:r>
        <w:t>Ketoprofen</w:t>
      </w:r>
      <w:proofErr w:type="spellEnd"/>
      <w:r>
        <w:t xml:space="preserve"> </w:t>
      </w:r>
      <w:proofErr w:type="spellStart"/>
      <w:r>
        <w:t>Sopharma</w:t>
      </w:r>
      <w:proofErr w:type="spellEnd"/>
    </w:p>
    <w:p w:rsidR="00A7031E" w:rsidRDefault="00A7031E" w:rsidP="00A7031E">
      <w:pPr>
        <w:rPr>
          <w:sz w:val="22"/>
          <w:szCs w:val="22"/>
        </w:rPr>
      </w:pPr>
      <w:r>
        <w:rPr>
          <w:sz w:val="22"/>
          <w:szCs w:val="22"/>
        </w:rPr>
        <w:t xml:space="preserve">Tiesiog tęskite vaisto vartojimą taip, kaip yra rekomenduojama. </w:t>
      </w:r>
      <w:r>
        <w:rPr>
          <w:noProof/>
          <w:sz w:val="22"/>
          <w:szCs w:val="22"/>
        </w:rPr>
        <w:t>Negalima vartoti dvigubos dozės norint kompensuoti praleistą dozę</w:t>
      </w:r>
      <w:r>
        <w:rPr>
          <w:sz w:val="22"/>
          <w:szCs w:val="22"/>
        </w:rPr>
        <w:t xml:space="preserve">. </w:t>
      </w:r>
    </w:p>
    <w:p w:rsidR="00A7031E" w:rsidRDefault="00A7031E" w:rsidP="00A7031E">
      <w:pPr>
        <w:pStyle w:val="PI-3EMEASMCA"/>
      </w:pPr>
    </w:p>
    <w:p w:rsidR="00A7031E" w:rsidRDefault="00A7031E" w:rsidP="00A7031E">
      <w:pPr>
        <w:pStyle w:val="BTEMEASMCA"/>
      </w:pPr>
      <w:r>
        <w:t>Jeigu kiltų daugiau klausimų dėl šio vaisto vartojimo, kreipkitės į gydytoją arba vaistininką.</w:t>
      </w:r>
    </w:p>
    <w:p w:rsidR="00A7031E" w:rsidRDefault="00A7031E" w:rsidP="00A7031E">
      <w:pPr>
        <w:pStyle w:val="BTEMEASMCA"/>
      </w:pPr>
    </w:p>
    <w:p w:rsidR="00A7031E" w:rsidRDefault="00A7031E" w:rsidP="00A7031E">
      <w:pPr>
        <w:pStyle w:val="BTEMEASMCA"/>
      </w:pPr>
    </w:p>
    <w:p w:rsidR="00A7031E" w:rsidRDefault="00A7031E" w:rsidP="00A7031E">
      <w:pPr>
        <w:pStyle w:val="PI-1EMEASMCA"/>
      </w:pPr>
      <w:bookmarkStart w:id="6" w:name="_Toc129243267"/>
      <w:bookmarkStart w:id="7" w:name="_Toc129243142"/>
      <w:r>
        <w:t>4.</w:t>
      </w:r>
      <w:r>
        <w:tab/>
        <w:t>Galimas šalutinis poveikis</w:t>
      </w:r>
      <w:bookmarkEnd w:id="6"/>
      <w:bookmarkEnd w:id="7"/>
    </w:p>
    <w:p w:rsidR="00A7031E" w:rsidRDefault="00A7031E" w:rsidP="00A7031E">
      <w:pPr>
        <w:pStyle w:val="BTEMEASMCA"/>
      </w:pPr>
    </w:p>
    <w:p w:rsidR="00A7031E" w:rsidRDefault="00A7031E" w:rsidP="00A7031E">
      <w:pPr>
        <w:pStyle w:val="BTEMEASMCA"/>
        <w:rPr>
          <w:noProof/>
        </w:rPr>
      </w:pPr>
      <w:r>
        <w:rPr>
          <w:noProof/>
        </w:rPr>
        <w:t>Šis vaistas, kaip ir visi kiti, gali sukelti šalutinį poveikį, nors jis pasireiškia ne visiems žmonėms.</w:t>
      </w:r>
    </w:p>
    <w:p w:rsidR="00A7031E" w:rsidRDefault="00A7031E" w:rsidP="00A7031E">
      <w:pPr>
        <w:pStyle w:val="BTEMEASMCA"/>
        <w:rPr>
          <w:noProof/>
        </w:rPr>
      </w:pPr>
    </w:p>
    <w:p w:rsidR="00A7031E" w:rsidRDefault="00A7031E" w:rsidP="00A7031E">
      <w:pPr>
        <w:rPr>
          <w:sz w:val="22"/>
          <w:szCs w:val="22"/>
          <w:u w:val="single"/>
        </w:rPr>
      </w:pPr>
      <w:r>
        <w:rPr>
          <w:sz w:val="22"/>
          <w:szCs w:val="22"/>
          <w:u w:val="single"/>
        </w:rPr>
        <w:t>Odos ir poodinio audinio sutrikimai</w:t>
      </w:r>
    </w:p>
    <w:p w:rsidR="00A7031E" w:rsidRDefault="00A7031E" w:rsidP="00A7031E">
      <w:pPr>
        <w:rPr>
          <w:sz w:val="22"/>
          <w:szCs w:val="22"/>
        </w:rPr>
      </w:pPr>
      <w:r>
        <w:rPr>
          <w:i/>
          <w:sz w:val="22"/>
          <w:szCs w:val="22"/>
        </w:rPr>
        <w:t>Nedažnas (gali pasireikšti rečiau kaip 1 iš 100 žmonių):</w:t>
      </w:r>
      <w:r>
        <w:rPr>
          <w:sz w:val="22"/>
          <w:szCs w:val="22"/>
        </w:rPr>
        <w:t xml:space="preserve"> vietinės odos reakcijos, tokios kaip </w:t>
      </w:r>
      <w:proofErr w:type="spellStart"/>
      <w:r>
        <w:rPr>
          <w:sz w:val="22"/>
          <w:szCs w:val="22"/>
        </w:rPr>
        <w:t>eritema</w:t>
      </w:r>
      <w:proofErr w:type="spellEnd"/>
      <w:r>
        <w:rPr>
          <w:sz w:val="22"/>
          <w:szCs w:val="22"/>
        </w:rPr>
        <w:t xml:space="preserve"> (paraudimas), </w:t>
      </w:r>
      <w:r>
        <w:rPr>
          <w:noProof/>
          <w:sz w:val="22"/>
          <w:szCs w:val="22"/>
        </w:rPr>
        <w:t>niežulys ir deginimo pojūtis.</w:t>
      </w:r>
    </w:p>
    <w:p w:rsidR="00A7031E" w:rsidRDefault="00A7031E" w:rsidP="00A7031E">
      <w:pPr>
        <w:autoSpaceDE w:val="0"/>
        <w:autoSpaceDN w:val="0"/>
        <w:adjustRightInd w:val="0"/>
        <w:rPr>
          <w:sz w:val="22"/>
          <w:szCs w:val="22"/>
        </w:rPr>
      </w:pPr>
      <w:r>
        <w:rPr>
          <w:i/>
          <w:sz w:val="22"/>
          <w:szCs w:val="22"/>
        </w:rPr>
        <w:t>Retas (gali pasireikšti rečiau kaip 1 iš 1000 žmonių):</w:t>
      </w:r>
      <w:r>
        <w:rPr>
          <w:sz w:val="22"/>
          <w:szCs w:val="22"/>
        </w:rPr>
        <w:t xml:space="preserve"> </w:t>
      </w:r>
      <w:proofErr w:type="spellStart"/>
      <w:r>
        <w:rPr>
          <w:color w:val="000000"/>
          <w:sz w:val="22"/>
          <w:szCs w:val="22"/>
        </w:rPr>
        <w:t>fotosensibilizacija</w:t>
      </w:r>
      <w:proofErr w:type="spellEnd"/>
      <w:r>
        <w:rPr>
          <w:color w:val="000000"/>
          <w:sz w:val="22"/>
          <w:szCs w:val="22"/>
        </w:rPr>
        <w:t xml:space="preserve"> (jautrumas šviesai)</w:t>
      </w:r>
      <w:r>
        <w:rPr>
          <w:sz w:val="22"/>
          <w:szCs w:val="22"/>
        </w:rPr>
        <w:t xml:space="preserve">, padidėjusio jautrumo reakcijos, </w:t>
      </w:r>
      <w:proofErr w:type="spellStart"/>
      <w:r>
        <w:rPr>
          <w:sz w:val="22"/>
          <w:szCs w:val="22"/>
        </w:rPr>
        <w:t>pūslinė</w:t>
      </w:r>
      <w:proofErr w:type="spellEnd"/>
      <w:r>
        <w:rPr>
          <w:sz w:val="22"/>
          <w:szCs w:val="22"/>
        </w:rPr>
        <w:t xml:space="preserve"> ar pūslelinė egzema, kuri gali tapti išplitusi.</w:t>
      </w:r>
    </w:p>
    <w:p w:rsidR="00A7031E" w:rsidRDefault="00A7031E" w:rsidP="00A7031E">
      <w:pPr>
        <w:rPr>
          <w:sz w:val="22"/>
          <w:szCs w:val="22"/>
        </w:rPr>
      </w:pPr>
      <w:r>
        <w:rPr>
          <w:i/>
          <w:sz w:val="22"/>
          <w:szCs w:val="22"/>
        </w:rPr>
        <w:t>Labai retas (gali pasireikšti rečiau kaip 1 iš 10000 žmonių):</w:t>
      </w:r>
      <w:r>
        <w:rPr>
          <w:sz w:val="22"/>
          <w:szCs w:val="22"/>
        </w:rPr>
        <w:t xml:space="preserve"> pacientams, vartojusiems nesteroidinių vaistų nuo uždegimo (NVNU), pasitaikė sunkių, netgi mirtinų, odos reakcijų – </w:t>
      </w:r>
      <w:proofErr w:type="spellStart"/>
      <w:r>
        <w:rPr>
          <w:sz w:val="22"/>
          <w:szCs w:val="22"/>
        </w:rPr>
        <w:t>eksfoliacinis</w:t>
      </w:r>
      <w:proofErr w:type="spellEnd"/>
      <w:r>
        <w:rPr>
          <w:sz w:val="22"/>
          <w:szCs w:val="22"/>
        </w:rPr>
        <w:t xml:space="preserve"> dermatitas, </w:t>
      </w:r>
      <w:proofErr w:type="spellStart"/>
      <w:r>
        <w:rPr>
          <w:sz w:val="22"/>
          <w:szCs w:val="22"/>
        </w:rPr>
        <w:t>Stivenso</w:t>
      </w:r>
      <w:proofErr w:type="spellEnd"/>
      <w:r>
        <w:rPr>
          <w:sz w:val="22"/>
          <w:szCs w:val="22"/>
        </w:rPr>
        <w:t xml:space="preserve"> – Džonsono (</w:t>
      </w:r>
      <w:proofErr w:type="spellStart"/>
      <w:r>
        <w:rPr>
          <w:i/>
          <w:sz w:val="22"/>
          <w:szCs w:val="22"/>
        </w:rPr>
        <w:t>Stevens-Johnson</w:t>
      </w:r>
      <w:proofErr w:type="spellEnd"/>
      <w:r>
        <w:rPr>
          <w:sz w:val="22"/>
          <w:szCs w:val="22"/>
        </w:rPr>
        <w:t xml:space="preserve">) sindromas ir toksinė epidermio </w:t>
      </w:r>
      <w:proofErr w:type="spellStart"/>
      <w:r>
        <w:rPr>
          <w:sz w:val="22"/>
          <w:szCs w:val="22"/>
        </w:rPr>
        <w:t>nekrolizė</w:t>
      </w:r>
      <w:proofErr w:type="spellEnd"/>
      <w:r>
        <w:rPr>
          <w:sz w:val="22"/>
          <w:szCs w:val="22"/>
        </w:rPr>
        <w:t>.</w:t>
      </w:r>
    </w:p>
    <w:p w:rsidR="00A7031E" w:rsidRDefault="00A7031E" w:rsidP="00A7031E">
      <w:pPr>
        <w:rPr>
          <w:sz w:val="22"/>
          <w:szCs w:val="22"/>
        </w:rPr>
      </w:pPr>
    </w:p>
    <w:p w:rsidR="00A7031E" w:rsidRDefault="00A7031E" w:rsidP="00A7031E">
      <w:pPr>
        <w:rPr>
          <w:sz w:val="22"/>
          <w:szCs w:val="22"/>
          <w:u w:val="single"/>
        </w:rPr>
      </w:pPr>
      <w:r>
        <w:rPr>
          <w:sz w:val="22"/>
          <w:szCs w:val="22"/>
          <w:u w:val="single"/>
        </w:rPr>
        <w:t>Kvėpavimo sistemos, krūtinės ląstos ir tarpuplaučio sutrikimai</w:t>
      </w:r>
    </w:p>
    <w:p w:rsidR="00A7031E" w:rsidRDefault="00A7031E" w:rsidP="00A7031E">
      <w:pPr>
        <w:rPr>
          <w:sz w:val="22"/>
          <w:szCs w:val="22"/>
        </w:rPr>
      </w:pPr>
      <w:r>
        <w:rPr>
          <w:i/>
          <w:sz w:val="22"/>
          <w:szCs w:val="22"/>
        </w:rPr>
        <w:t>Labai retas (gali pasireikšti rečiau kaip 1 iš 10000 žmonių):</w:t>
      </w:r>
      <w:r>
        <w:rPr>
          <w:sz w:val="22"/>
          <w:szCs w:val="22"/>
        </w:rPr>
        <w:t xml:space="preserve"> astmos priepuolis (pacientams, kurių jautrumas </w:t>
      </w:r>
      <w:proofErr w:type="spellStart"/>
      <w:r>
        <w:rPr>
          <w:sz w:val="22"/>
          <w:szCs w:val="22"/>
        </w:rPr>
        <w:t>acetilsalicilo</w:t>
      </w:r>
      <w:proofErr w:type="spellEnd"/>
      <w:r>
        <w:rPr>
          <w:sz w:val="22"/>
          <w:szCs w:val="22"/>
        </w:rPr>
        <w:t xml:space="preserve"> rūgščiai arba jos dariniams yra padidėjęs).</w:t>
      </w:r>
    </w:p>
    <w:p w:rsidR="00A7031E" w:rsidRDefault="00A7031E" w:rsidP="00A7031E">
      <w:pPr>
        <w:rPr>
          <w:i/>
          <w:sz w:val="22"/>
          <w:szCs w:val="22"/>
          <w:u w:val="single"/>
        </w:rPr>
      </w:pPr>
    </w:p>
    <w:p w:rsidR="00A7031E" w:rsidRDefault="00A7031E" w:rsidP="00A7031E">
      <w:pPr>
        <w:rPr>
          <w:sz w:val="22"/>
          <w:szCs w:val="22"/>
          <w:u w:val="single"/>
        </w:rPr>
      </w:pPr>
      <w:r>
        <w:rPr>
          <w:sz w:val="22"/>
          <w:szCs w:val="22"/>
          <w:u w:val="single"/>
        </w:rPr>
        <w:t>Inkstų ir šlapimo takų sutrikimai</w:t>
      </w:r>
    </w:p>
    <w:p w:rsidR="00A7031E" w:rsidRDefault="00A7031E" w:rsidP="00A7031E">
      <w:pPr>
        <w:rPr>
          <w:sz w:val="22"/>
          <w:szCs w:val="22"/>
        </w:rPr>
      </w:pPr>
      <w:r>
        <w:rPr>
          <w:i/>
          <w:sz w:val="22"/>
          <w:szCs w:val="22"/>
        </w:rPr>
        <w:t>Labai retas (gali pasireikšti rečiau kaip 1 iš 10000 žmonių):</w:t>
      </w:r>
      <w:r>
        <w:rPr>
          <w:sz w:val="22"/>
          <w:szCs w:val="22"/>
        </w:rPr>
        <w:t xml:space="preserve"> atsinaujinęs jau anksčiau buvęs inkstų nepakankamumas.</w:t>
      </w:r>
    </w:p>
    <w:p w:rsidR="00A7031E" w:rsidRDefault="00A7031E" w:rsidP="00A7031E">
      <w:pPr>
        <w:rPr>
          <w:color w:val="0000FF"/>
          <w:sz w:val="22"/>
          <w:szCs w:val="22"/>
        </w:rPr>
      </w:pPr>
    </w:p>
    <w:p w:rsidR="00A7031E" w:rsidRDefault="00A7031E" w:rsidP="00A7031E">
      <w:pPr>
        <w:rPr>
          <w:sz w:val="22"/>
          <w:szCs w:val="22"/>
          <w:u w:val="single"/>
        </w:rPr>
      </w:pPr>
      <w:r>
        <w:rPr>
          <w:bCs/>
          <w:sz w:val="22"/>
          <w:szCs w:val="22"/>
          <w:u w:val="single"/>
        </w:rPr>
        <w:t xml:space="preserve">Virškinimo trakto sutrikimai </w:t>
      </w:r>
    </w:p>
    <w:p w:rsidR="00A7031E" w:rsidRDefault="00A7031E" w:rsidP="00A7031E">
      <w:pPr>
        <w:rPr>
          <w:sz w:val="22"/>
          <w:szCs w:val="22"/>
        </w:rPr>
      </w:pPr>
      <w:r>
        <w:rPr>
          <w:i/>
          <w:sz w:val="22"/>
          <w:szCs w:val="22"/>
        </w:rPr>
        <w:t>Labai retas (gali pasireikšti rečiau kaip 1 iš 10000 žmonių):</w:t>
      </w:r>
      <w:r>
        <w:rPr>
          <w:sz w:val="22"/>
          <w:szCs w:val="22"/>
        </w:rPr>
        <w:t xml:space="preserve"> dispepsija, pykinimas, vėmimas, viduriavimas arba vidurių užkietėjimas (vartojant ilgai). Kraujavimas iš virškinimo trakto, kuris gali būti </w:t>
      </w:r>
      <w:proofErr w:type="spellStart"/>
      <w:r>
        <w:rPr>
          <w:sz w:val="22"/>
          <w:szCs w:val="22"/>
        </w:rPr>
        <w:t>pepsinės</w:t>
      </w:r>
      <w:proofErr w:type="spellEnd"/>
      <w:r>
        <w:rPr>
          <w:sz w:val="22"/>
          <w:szCs w:val="22"/>
        </w:rPr>
        <w:t xml:space="preserve"> opos požymis.</w:t>
      </w:r>
    </w:p>
    <w:p w:rsidR="00A7031E" w:rsidRDefault="00A7031E" w:rsidP="00A7031E">
      <w:pPr>
        <w:rPr>
          <w:sz w:val="22"/>
          <w:szCs w:val="22"/>
        </w:rPr>
      </w:pPr>
    </w:p>
    <w:p w:rsidR="00A7031E" w:rsidRDefault="00A7031E" w:rsidP="00A7031E">
      <w:pPr>
        <w:rPr>
          <w:sz w:val="22"/>
          <w:szCs w:val="22"/>
        </w:rPr>
      </w:pPr>
      <w:proofErr w:type="spellStart"/>
      <w:r>
        <w:rPr>
          <w:sz w:val="22"/>
          <w:szCs w:val="22"/>
        </w:rPr>
        <w:t>Ketoprofeno</w:t>
      </w:r>
      <w:proofErr w:type="spellEnd"/>
      <w:r>
        <w:rPr>
          <w:sz w:val="22"/>
          <w:szCs w:val="22"/>
        </w:rPr>
        <w:t xml:space="preserve"> sukeltas nepageidaujamas poveikis dažniausiai išnyksta sumažinus arba nutraukus vaisto vartojimą.</w:t>
      </w:r>
    </w:p>
    <w:p w:rsidR="00A7031E" w:rsidRDefault="00A7031E" w:rsidP="00A7031E">
      <w:pPr>
        <w:rPr>
          <w:sz w:val="22"/>
          <w:szCs w:val="22"/>
        </w:rPr>
      </w:pPr>
    </w:p>
    <w:p w:rsidR="00A7031E" w:rsidRDefault="00A7031E" w:rsidP="00A7031E">
      <w:pPr>
        <w:rPr>
          <w:b/>
          <w:sz w:val="22"/>
          <w:szCs w:val="22"/>
        </w:rPr>
      </w:pPr>
      <w:r>
        <w:rPr>
          <w:b/>
          <w:noProof/>
          <w:sz w:val="22"/>
          <w:szCs w:val="22"/>
        </w:rPr>
        <w:t>Pranešimas apie šalutinį poveikį</w:t>
      </w:r>
    </w:p>
    <w:p w:rsidR="00A7031E" w:rsidRDefault="00A7031E" w:rsidP="00A7031E">
      <w:pPr>
        <w:ind w:right="-449"/>
        <w:rPr>
          <w:noProof/>
          <w:sz w:val="22"/>
          <w:szCs w:val="22"/>
        </w:rPr>
      </w:pPr>
      <w:r>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sz w:val="22"/>
          <w:szCs w:val="22"/>
          <w:lang w:eastAsia="zh-CN"/>
        </w:rPr>
        <w:t>elefonu 8 800 73568</w:t>
      </w:r>
      <w:r>
        <w:rPr>
          <w:sz w:val="22"/>
          <w:szCs w:val="22"/>
        </w:rPr>
        <w:t xml:space="preserve"> arba užpildyti interneto svetainėje </w:t>
      </w:r>
      <w:hyperlink r:id="rId5" w:history="1">
        <w:r>
          <w:rPr>
            <w:rStyle w:val="Hipersaitas"/>
            <w:rFonts w:eastAsia="SimSun"/>
            <w:sz w:val="22"/>
            <w:szCs w:val="22"/>
          </w:rPr>
          <w:t>www.vvkt.lt</w:t>
        </w:r>
      </w:hyperlink>
      <w:r>
        <w:rPr>
          <w:sz w:val="22"/>
          <w:szCs w:val="22"/>
        </w:rPr>
        <w:t xml:space="preserve"> esančią formą ir pateikti ją Valstybinei vaistų kontrolės tarnybai prie Lietuvos Respublikos sveikatos apsaugos ministerijos vienu iš šių būdų: raštu (adresu Žirmūnų g. 139A, LT-09120 Vilnius), </w:t>
      </w:r>
      <w:r>
        <w:rPr>
          <w:sz w:val="22"/>
          <w:szCs w:val="22"/>
          <w:lang w:eastAsia="zh-CN"/>
        </w:rPr>
        <w:t xml:space="preserve">nemokamu </w:t>
      </w:r>
      <w:r>
        <w:rPr>
          <w:sz w:val="22"/>
          <w:szCs w:val="22"/>
        </w:rPr>
        <w:t>fakso numeriu 8 800 20131</w:t>
      </w:r>
      <w:r>
        <w:rPr>
          <w:sz w:val="22"/>
          <w:szCs w:val="22"/>
          <w:lang w:eastAsia="zh-CN"/>
        </w:rPr>
        <w:t xml:space="preserve">, </w:t>
      </w:r>
      <w:r>
        <w:rPr>
          <w:sz w:val="22"/>
          <w:szCs w:val="22"/>
        </w:rPr>
        <w:t xml:space="preserve">el. paštu </w:t>
      </w:r>
      <w:hyperlink r:id="rId6" w:history="1">
        <w:r>
          <w:rPr>
            <w:rStyle w:val="Hipersaitas"/>
            <w:rFonts w:eastAsia="SimSun"/>
            <w:sz w:val="22"/>
            <w:szCs w:val="22"/>
          </w:rPr>
          <w:t>NepageidaujamaR@vvkt.lt</w:t>
        </w:r>
      </w:hyperlink>
      <w:r>
        <w:rPr>
          <w:sz w:val="22"/>
          <w:szCs w:val="22"/>
        </w:rPr>
        <w:t xml:space="preserve">, taip pat per Valstybinės vaistų kontrolės tarnybos prie Lietuvos Respublikos sveikatos apsaugos ministerijos interneto svetainę (adresu </w:t>
      </w:r>
      <w:hyperlink r:id="rId7" w:history="1">
        <w:r>
          <w:rPr>
            <w:rStyle w:val="Hipersaitas"/>
            <w:rFonts w:eastAsia="SimSun"/>
            <w:sz w:val="22"/>
            <w:szCs w:val="22"/>
          </w:rPr>
          <w:t>http://www.vvkt.lt</w:t>
        </w:r>
      </w:hyperlink>
      <w:r>
        <w:rPr>
          <w:sz w:val="22"/>
          <w:szCs w:val="22"/>
        </w:rPr>
        <w:t>). Pranešdami apie šalutinį poveikį galite mums padėti gauti daugiau informacijos apie šio vaisto saugumą.</w:t>
      </w:r>
    </w:p>
    <w:p w:rsidR="00A7031E" w:rsidRDefault="00A7031E" w:rsidP="00A7031E">
      <w:pPr>
        <w:pStyle w:val="BTEMEASMCA"/>
      </w:pPr>
    </w:p>
    <w:p w:rsidR="00A7031E" w:rsidRDefault="00A7031E" w:rsidP="00A7031E">
      <w:pPr>
        <w:pStyle w:val="BTEMEASMCA"/>
      </w:pPr>
    </w:p>
    <w:p w:rsidR="00A7031E" w:rsidRDefault="00A7031E" w:rsidP="00A7031E">
      <w:pPr>
        <w:pStyle w:val="PI-1EMEASMCA"/>
      </w:pPr>
      <w:bookmarkStart w:id="8" w:name="_Toc129243268"/>
      <w:bookmarkStart w:id="9" w:name="_Toc129243143"/>
      <w:r>
        <w:t>5.</w:t>
      </w:r>
      <w:r>
        <w:tab/>
        <w:t xml:space="preserve">Kaip laikyti </w:t>
      </w:r>
      <w:bookmarkEnd w:id="8"/>
      <w:bookmarkEnd w:id="9"/>
      <w:proofErr w:type="spellStart"/>
      <w:r>
        <w:t>Ketoprofen</w:t>
      </w:r>
      <w:proofErr w:type="spellEnd"/>
      <w:r>
        <w:t xml:space="preserve"> </w:t>
      </w:r>
      <w:proofErr w:type="spellStart"/>
      <w:r>
        <w:t>Sopharma</w:t>
      </w:r>
      <w:proofErr w:type="spellEnd"/>
    </w:p>
    <w:p w:rsidR="00A7031E" w:rsidRDefault="00A7031E" w:rsidP="00A7031E">
      <w:pPr>
        <w:pStyle w:val="BTEMEASMCA"/>
      </w:pPr>
    </w:p>
    <w:p w:rsidR="00A7031E" w:rsidRDefault="00A7031E" w:rsidP="00A7031E">
      <w:pPr>
        <w:pStyle w:val="BTEMEASMCA"/>
      </w:pPr>
      <w:r>
        <w:t xml:space="preserve">Šį vaistą laikykite vaikams nepastebimoje ir nepasiekiamoje vietoje.    </w:t>
      </w:r>
    </w:p>
    <w:p w:rsidR="00A7031E" w:rsidRDefault="00A7031E" w:rsidP="00A7031E">
      <w:pPr>
        <w:pStyle w:val="BTEMEASMCA"/>
      </w:pPr>
    </w:p>
    <w:p w:rsidR="00A7031E" w:rsidRDefault="00A7031E" w:rsidP="00A7031E">
      <w:pPr>
        <w:rPr>
          <w:sz w:val="22"/>
          <w:szCs w:val="22"/>
        </w:rPr>
      </w:pPr>
      <w:r>
        <w:rPr>
          <w:sz w:val="22"/>
          <w:szCs w:val="22"/>
        </w:rPr>
        <w:t>Šiam vaistui specialių laikymo sąlygų nereikia.</w:t>
      </w:r>
    </w:p>
    <w:p w:rsidR="00A7031E" w:rsidRDefault="00A7031E" w:rsidP="00A7031E">
      <w:pPr>
        <w:rPr>
          <w:sz w:val="22"/>
          <w:szCs w:val="22"/>
        </w:rPr>
      </w:pPr>
      <w:r>
        <w:rPr>
          <w:sz w:val="22"/>
          <w:szCs w:val="22"/>
        </w:rPr>
        <w:t>Atidarius tūbelę, gelio tinkamumo laikas yra 6 mėnesiai.</w:t>
      </w:r>
    </w:p>
    <w:p w:rsidR="00A7031E" w:rsidRDefault="00A7031E" w:rsidP="00A7031E">
      <w:pPr>
        <w:rPr>
          <w:sz w:val="22"/>
          <w:szCs w:val="22"/>
        </w:rPr>
      </w:pPr>
    </w:p>
    <w:p w:rsidR="00A7031E" w:rsidRDefault="00A7031E" w:rsidP="00A7031E">
      <w:pPr>
        <w:pStyle w:val="Pagrindinistekstas"/>
        <w:rPr>
          <w:sz w:val="22"/>
          <w:szCs w:val="22"/>
        </w:rPr>
      </w:pPr>
      <w:r>
        <w:rPr>
          <w:sz w:val="22"/>
          <w:szCs w:val="22"/>
        </w:rPr>
        <w:t>Ant kartono dėžutės po „EXP“ ir tūbelės nurodytam tinkamumo laikui pasibaigus, šio vaisto vartoti negalima. Vaistas tinkamas vartoti iki paskutinės nurodyto mėnesio dienos.</w:t>
      </w:r>
    </w:p>
    <w:p w:rsidR="00A7031E" w:rsidRDefault="00A7031E" w:rsidP="00A7031E">
      <w:pPr>
        <w:pStyle w:val="BTEMEASMCA"/>
      </w:pPr>
      <w:r>
        <w:t>Vaistų negalima išmesti į kanalizaciją arba su buitinėmis atliekomis. Kaip išmesti nereikalingus vaistus, klauskite vaistininko. Šios priemonės padės apsaugoti aplinką.</w:t>
      </w:r>
    </w:p>
    <w:p w:rsidR="00A7031E" w:rsidRDefault="00A7031E" w:rsidP="00A7031E">
      <w:pPr>
        <w:pStyle w:val="BTEMEASMCA"/>
      </w:pPr>
    </w:p>
    <w:p w:rsidR="00A7031E" w:rsidRDefault="00A7031E" w:rsidP="00A7031E">
      <w:pPr>
        <w:pStyle w:val="BTEMEASMCA"/>
      </w:pPr>
    </w:p>
    <w:p w:rsidR="00A7031E" w:rsidRDefault="00A7031E" w:rsidP="00A7031E">
      <w:pPr>
        <w:pStyle w:val="PI-1EMEASMCA"/>
      </w:pPr>
      <w:bookmarkStart w:id="10" w:name="_Toc129243269"/>
      <w:bookmarkStart w:id="11" w:name="_Toc129243144"/>
      <w:r>
        <w:t>6.</w:t>
      </w:r>
      <w:r>
        <w:tab/>
        <w:t>Pakuotės turinys ir kita informacija</w:t>
      </w:r>
      <w:bookmarkEnd w:id="10"/>
      <w:bookmarkEnd w:id="11"/>
    </w:p>
    <w:p w:rsidR="00A7031E" w:rsidRDefault="00A7031E" w:rsidP="00A7031E">
      <w:pPr>
        <w:pStyle w:val="BTEMEASMCA"/>
      </w:pPr>
    </w:p>
    <w:p w:rsidR="00A7031E" w:rsidRDefault="00A7031E" w:rsidP="00A7031E">
      <w:pPr>
        <w:pStyle w:val="PI-3EMEASMCA"/>
      </w:pPr>
      <w:proofErr w:type="spellStart"/>
      <w:r>
        <w:t>Ketoprofen</w:t>
      </w:r>
      <w:proofErr w:type="spellEnd"/>
      <w:r>
        <w:t xml:space="preserve"> </w:t>
      </w:r>
      <w:proofErr w:type="spellStart"/>
      <w:r>
        <w:t>Sopharma</w:t>
      </w:r>
      <w:proofErr w:type="spellEnd"/>
      <w:r>
        <w:t xml:space="preserve"> sudėtis</w:t>
      </w:r>
    </w:p>
    <w:p w:rsidR="00A7031E" w:rsidRDefault="00A7031E" w:rsidP="00A7031E">
      <w:pPr>
        <w:pStyle w:val="BTEMEASMCA"/>
      </w:pPr>
    </w:p>
    <w:p w:rsidR="00A7031E" w:rsidRDefault="00A7031E" w:rsidP="00A7031E">
      <w:pPr>
        <w:pStyle w:val="BT-EMEASMCA"/>
        <w:tabs>
          <w:tab w:val="clear" w:pos="360"/>
          <w:tab w:val="num" w:pos="720"/>
        </w:tabs>
        <w:ind w:left="720" w:hanging="363"/>
      </w:pPr>
      <w:r>
        <w:t xml:space="preserve">Veiklioji medžiaga yra </w:t>
      </w:r>
      <w:proofErr w:type="spellStart"/>
      <w:r>
        <w:t>ketoprofenas</w:t>
      </w:r>
      <w:proofErr w:type="spellEnd"/>
      <w:r>
        <w:t xml:space="preserve">. 1 g gelio yra 25 mg </w:t>
      </w:r>
      <w:proofErr w:type="spellStart"/>
      <w:r>
        <w:t>ketoprofeno</w:t>
      </w:r>
      <w:proofErr w:type="spellEnd"/>
      <w:r>
        <w:t xml:space="preserve">. </w:t>
      </w:r>
    </w:p>
    <w:p w:rsidR="00A7031E" w:rsidRDefault="00A7031E" w:rsidP="00A7031E">
      <w:pPr>
        <w:pStyle w:val="BT-EMEASMCA"/>
        <w:tabs>
          <w:tab w:val="clear" w:pos="360"/>
          <w:tab w:val="num" w:pos="720"/>
        </w:tabs>
        <w:ind w:left="720" w:hanging="363"/>
      </w:pPr>
      <w:r>
        <w:t xml:space="preserve">Pagalbinės medžiagos yra </w:t>
      </w:r>
      <w:r>
        <w:rPr>
          <w:noProof/>
        </w:rPr>
        <w:t>karbomeras, propilenglikolis (E1520), dietanolaminas, benzalkonio chloridas, apelsinų žiedų aliejus, levandų eterinis aliejus, dinatrio edetatas, makrogolis 400, etanolis, išgrynintas vanduo.</w:t>
      </w:r>
    </w:p>
    <w:p w:rsidR="00A7031E" w:rsidRDefault="00A7031E" w:rsidP="00A7031E">
      <w:pPr>
        <w:pStyle w:val="BTEMEASMCA"/>
      </w:pPr>
    </w:p>
    <w:p w:rsidR="00A7031E" w:rsidRDefault="00A7031E" w:rsidP="00A7031E">
      <w:pPr>
        <w:pStyle w:val="PI-3EMEASMCA"/>
      </w:pPr>
      <w:proofErr w:type="spellStart"/>
      <w:r>
        <w:t>Ketoprofen</w:t>
      </w:r>
      <w:proofErr w:type="spellEnd"/>
      <w:r>
        <w:t xml:space="preserve"> </w:t>
      </w:r>
      <w:proofErr w:type="spellStart"/>
      <w:r>
        <w:t>Sopharma</w:t>
      </w:r>
      <w:proofErr w:type="spellEnd"/>
      <w:r>
        <w:t xml:space="preserve"> išvaizda ir kiekis pakuotėje</w:t>
      </w:r>
    </w:p>
    <w:p w:rsidR="00A7031E" w:rsidRDefault="00A7031E" w:rsidP="00A7031E">
      <w:pPr>
        <w:pStyle w:val="BTEMEASMCA"/>
      </w:pPr>
    </w:p>
    <w:p w:rsidR="00A7031E" w:rsidRDefault="00A7031E" w:rsidP="00A7031E">
      <w:pPr>
        <w:pStyle w:val="BTEMEASMCA"/>
      </w:pPr>
      <w:proofErr w:type="spellStart"/>
      <w:r>
        <w:t>Ketoprofen</w:t>
      </w:r>
      <w:proofErr w:type="spellEnd"/>
      <w:r>
        <w:t xml:space="preserve"> </w:t>
      </w:r>
      <w:proofErr w:type="spellStart"/>
      <w:r>
        <w:t>Sopharma</w:t>
      </w:r>
      <w:proofErr w:type="spellEnd"/>
      <w:r>
        <w:t xml:space="preserve"> yra bespalvis, skaidrus gelis, turintis etanolio ir eterinių aliejų kvapą.</w:t>
      </w:r>
    </w:p>
    <w:p w:rsidR="00A7031E" w:rsidRDefault="00A7031E" w:rsidP="00A7031E">
      <w:pPr>
        <w:rPr>
          <w:sz w:val="22"/>
          <w:szCs w:val="22"/>
        </w:rPr>
      </w:pPr>
    </w:p>
    <w:p w:rsidR="00A7031E" w:rsidRDefault="00A7031E" w:rsidP="00A7031E">
      <w:pPr>
        <w:rPr>
          <w:sz w:val="22"/>
          <w:szCs w:val="22"/>
        </w:rPr>
      </w:pPr>
      <w:r>
        <w:rPr>
          <w:sz w:val="22"/>
          <w:szCs w:val="22"/>
        </w:rPr>
        <w:t>Gelis tiekiamas aliuminio tūbelėje su užsukamu polipropileno dangteliu. Tūbelėje yra 40 g gelio. Kartono dėžutėje yra viena tūbelė ir pakuotės lapelis.</w:t>
      </w:r>
    </w:p>
    <w:p w:rsidR="00A7031E" w:rsidRDefault="00A7031E" w:rsidP="00A7031E">
      <w:pPr>
        <w:pStyle w:val="BTEMEASMCA"/>
      </w:pPr>
    </w:p>
    <w:p w:rsidR="00A7031E" w:rsidRDefault="00A7031E" w:rsidP="00A7031E">
      <w:pPr>
        <w:pStyle w:val="PI-3EMEASMCA"/>
      </w:pPr>
      <w:r>
        <w:t>Registruotojas ir gamintojas</w:t>
      </w:r>
    </w:p>
    <w:p w:rsidR="00A7031E" w:rsidRDefault="00A7031E" w:rsidP="00A7031E">
      <w:pPr>
        <w:rPr>
          <w:sz w:val="22"/>
          <w:szCs w:val="22"/>
        </w:rPr>
      </w:pPr>
      <w:r>
        <w:rPr>
          <w:sz w:val="22"/>
          <w:szCs w:val="22"/>
        </w:rPr>
        <w:t xml:space="preserve">SOPHARMA AD </w:t>
      </w:r>
    </w:p>
    <w:p w:rsidR="00A7031E" w:rsidRDefault="00A7031E" w:rsidP="00A7031E">
      <w:pPr>
        <w:rPr>
          <w:sz w:val="22"/>
          <w:szCs w:val="22"/>
        </w:rPr>
      </w:pPr>
      <w:r>
        <w:rPr>
          <w:sz w:val="22"/>
          <w:szCs w:val="22"/>
        </w:rPr>
        <w:lastRenderedPageBreak/>
        <w:t xml:space="preserve">16 </w:t>
      </w:r>
      <w:proofErr w:type="spellStart"/>
      <w:r>
        <w:rPr>
          <w:sz w:val="22"/>
          <w:szCs w:val="22"/>
        </w:rPr>
        <w:t>Iliensko</w:t>
      </w:r>
      <w:proofErr w:type="spellEnd"/>
      <w:r>
        <w:rPr>
          <w:sz w:val="22"/>
          <w:szCs w:val="22"/>
        </w:rPr>
        <w:t xml:space="preserve"> </w:t>
      </w:r>
      <w:proofErr w:type="spellStart"/>
      <w:r>
        <w:rPr>
          <w:sz w:val="22"/>
          <w:szCs w:val="22"/>
        </w:rPr>
        <w:t>Shosse</w:t>
      </w:r>
      <w:proofErr w:type="spellEnd"/>
      <w:r>
        <w:rPr>
          <w:sz w:val="22"/>
          <w:szCs w:val="22"/>
        </w:rPr>
        <w:t xml:space="preserve"> Str. </w:t>
      </w:r>
    </w:p>
    <w:p w:rsidR="00A7031E" w:rsidRDefault="00A7031E" w:rsidP="00A7031E">
      <w:pPr>
        <w:rPr>
          <w:sz w:val="22"/>
          <w:szCs w:val="22"/>
        </w:rPr>
      </w:pPr>
      <w:proofErr w:type="spellStart"/>
      <w:r>
        <w:rPr>
          <w:sz w:val="22"/>
          <w:szCs w:val="22"/>
        </w:rPr>
        <w:t>Sofia</w:t>
      </w:r>
      <w:proofErr w:type="spellEnd"/>
      <w:r>
        <w:rPr>
          <w:sz w:val="22"/>
          <w:szCs w:val="22"/>
        </w:rPr>
        <w:t xml:space="preserve"> 1220 </w:t>
      </w:r>
    </w:p>
    <w:p w:rsidR="00A7031E" w:rsidRDefault="00A7031E" w:rsidP="00A7031E">
      <w:pPr>
        <w:rPr>
          <w:sz w:val="22"/>
          <w:szCs w:val="22"/>
        </w:rPr>
      </w:pPr>
      <w:r>
        <w:rPr>
          <w:sz w:val="22"/>
          <w:szCs w:val="22"/>
        </w:rPr>
        <w:t>Bulgarija</w:t>
      </w:r>
    </w:p>
    <w:p w:rsidR="00A7031E" w:rsidRDefault="00A7031E" w:rsidP="00A7031E">
      <w:pPr>
        <w:pStyle w:val="BTEMEASMCA"/>
      </w:pPr>
    </w:p>
    <w:p w:rsidR="00A7031E" w:rsidRDefault="00A7031E" w:rsidP="00A7031E">
      <w:pPr>
        <w:pStyle w:val="BTEMEASMCA"/>
      </w:pPr>
    </w:p>
    <w:p w:rsidR="00A7031E" w:rsidRDefault="00A7031E" w:rsidP="00A7031E">
      <w:pPr>
        <w:pStyle w:val="BTbEMEASMCA"/>
      </w:pPr>
      <w:r>
        <w:rPr>
          <w:bCs/>
        </w:rPr>
        <w:t>Šis pakuotės lapelis</w:t>
      </w:r>
      <w:r>
        <w:t xml:space="preserve"> paskutinį kartą peržiūrėtas 2019-03-20.</w:t>
      </w:r>
    </w:p>
    <w:p w:rsidR="00A7031E" w:rsidRDefault="00A7031E" w:rsidP="00A7031E">
      <w:pPr>
        <w:rPr>
          <w:sz w:val="22"/>
          <w:szCs w:val="22"/>
        </w:rPr>
      </w:pPr>
    </w:p>
    <w:p w:rsidR="00A7031E" w:rsidRDefault="00A7031E" w:rsidP="00A7031E">
      <w:pPr>
        <w:rPr>
          <w:sz w:val="22"/>
          <w:szCs w:val="22"/>
        </w:rPr>
      </w:pPr>
    </w:p>
    <w:p w:rsidR="00A7031E" w:rsidRDefault="00A7031E" w:rsidP="00A7031E">
      <w:pPr>
        <w:numPr>
          <w:ilvl w:val="12"/>
          <w:numId w:val="0"/>
        </w:numPr>
        <w:ind w:right="-2"/>
        <w:rPr>
          <w:sz w:val="22"/>
          <w:szCs w:val="22"/>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hyperlink r:id="rId8" w:history="1">
        <w:r>
          <w:rPr>
            <w:rStyle w:val="Hipersaitas"/>
            <w:rFonts w:eastAsia="SimSun"/>
            <w:sz w:val="22"/>
            <w:szCs w:val="22"/>
          </w:rPr>
          <w:t>http://www.vvkt.lt/</w:t>
        </w:r>
      </w:hyperlink>
      <w:r>
        <w:rPr>
          <w:sz w:val="22"/>
          <w:szCs w:val="22"/>
        </w:rPr>
        <w:t>.</w:t>
      </w:r>
    </w:p>
    <w:p w:rsidR="00A7031E" w:rsidRDefault="00A7031E" w:rsidP="00A7031E">
      <w:pPr>
        <w:rPr>
          <w:sz w:val="22"/>
          <w:szCs w:val="22"/>
          <w:highlight w:val="yellow"/>
        </w:rPr>
      </w:pPr>
    </w:p>
    <w:p w:rsidR="00A7031E" w:rsidRDefault="00A7031E" w:rsidP="00A7031E">
      <w:pPr>
        <w:rPr>
          <w:sz w:val="22"/>
          <w:szCs w:val="22"/>
        </w:rPr>
      </w:pPr>
    </w:p>
    <w:p w:rsidR="00AA1D8D" w:rsidRDefault="00AA1D8D">
      <w:bookmarkStart w:id="12" w:name="_GoBack"/>
      <w:bookmarkEnd w:id="12"/>
    </w:p>
    <w:sectPr w:rsidR="00AA1D8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1BED"/>
    <w:multiLevelType w:val="hybridMultilevel"/>
    <w:tmpl w:val="2D0C7994"/>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F02CEA"/>
    <w:multiLevelType w:val="hybridMultilevel"/>
    <w:tmpl w:val="401E4C30"/>
    <w:lvl w:ilvl="0" w:tplc="3266CBC0">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31E"/>
    <w:rsid w:val="007D2E28"/>
    <w:rsid w:val="00A7031E"/>
    <w:rsid w:val="00AA1D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099FF-4B43-4317-BE49-676CD14E3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7031E"/>
    <w:pPr>
      <w:spacing w:after="0" w:line="240" w:lineRule="auto"/>
    </w:pPr>
    <w:rPr>
      <w:rFonts w:ascii="Times New Roman" w:eastAsia="Times New Roman" w:hAnsi="Times New Roman" w:cs="Times New Roman"/>
      <w:sz w:val="24"/>
      <w:szCs w:val="24"/>
    </w:rPr>
  </w:style>
  <w:style w:type="paragraph" w:styleId="Antrat2">
    <w:name w:val="heading 2"/>
    <w:basedOn w:val="prastasis"/>
    <w:next w:val="prastasis"/>
    <w:link w:val="Antrat2Diagrama"/>
    <w:uiPriority w:val="9"/>
    <w:semiHidden/>
    <w:unhideWhenUsed/>
    <w:qFormat/>
    <w:rsid w:val="00A70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4">
    <w:name w:val="heading 4"/>
    <w:basedOn w:val="prastasis"/>
    <w:next w:val="prastasis"/>
    <w:link w:val="Antrat4Diagrama"/>
    <w:semiHidden/>
    <w:unhideWhenUsed/>
    <w:qFormat/>
    <w:rsid w:val="00A7031E"/>
    <w:pPr>
      <w:keepNext/>
      <w:outlineLvl w:val="3"/>
    </w:pPr>
    <w:rPr>
      <w:sz w:val="22"/>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semiHidden/>
    <w:rsid w:val="00A7031E"/>
    <w:rPr>
      <w:rFonts w:ascii="Times New Roman" w:eastAsia="Times New Roman" w:hAnsi="Times New Roman" w:cs="Times New Roman"/>
      <w:szCs w:val="24"/>
      <w:u w:val="single"/>
    </w:rPr>
  </w:style>
  <w:style w:type="character" w:styleId="Hipersaitas">
    <w:name w:val="Hyperlink"/>
    <w:basedOn w:val="Numatytasispastraiposriftas"/>
    <w:uiPriority w:val="99"/>
    <w:semiHidden/>
    <w:unhideWhenUsed/>
    <w:rsid w:val="00A7031E"/>
    <w:rPr>
      <w:color w:val="0000FF"/>
      <w:u w:val="single"/>
    </w:rPr>
  </w:style>
  <w:style w:type="paragraph" w:styleId="Pagrindinistekstas">
    <w:name w:val="Body Text"/>
    <w:basedOn w:val="prastasis"/>
    <w:link w:val="PagrindinistekstasDiagrama"/>
    <w:semiHidden/>
    <w:unhideWhenUsed/>
    <w:rsid w:val="00A7031E"/>
    <w:pPr>
      <w:spacing w:after="120"/>
    </w:pPr>
  </w:style>
  <w:style w:type="character" w:customStyle="1" w:styleId="PagrindinistekstasDiagrama">
    <w:name w:val="Pagrindinis tekstas Diagrama"/>
    <w:basedOn w:val="Numatytasispastraiposriftas"/>
    <w:link w:val="Pagrindinistekstas"/>
    <w:semiHidden/>
    <w:rsid w:val="00A7031E"/>
    <w:rPr>
      <w:rFonts w:ascii="Times New Roman" w:eastAsia="Times New Roman" w:hAnsi="Times New Roman" w:cs="Times New Roman"/>
      <w:sz w:val="24"/>
      <w:szCs w:val="24"/>
    </w:rPr>
  </w:style>
  <w:style w:type="paragraph" w:customStyle="1" w:styleId="PI-1EMEASMCA">
    <w:name w:val="PI-1 EMEA_SMCA"/>
    <w:basedOn w:val="Antrat2"/>
    <w:autoRedefine/>
    <w:rsid w:val="00A7031E"/>
    <w:pPr>
      <w:keepLines w:val="0"/>
      <w:tabs>
        <w:tab w:val="left" w:pos="567"/>
      </w:tabs>
      <w:spacing w:before="0"/>
      <w:ind w:left="567" w:hanging="567"/>
    </w:pPr>
    <w:rPr>
      <w:rFonts w:ascii="Times New Roman" w:eastAsia="Times New Roman" w:hAnsi="Times New Roman" w:cs="Times New Roman"/>
      <w:b/>
      <w:color w:val="auto"/>
      <w:sz w:val="22"/>
      <w:szCs w:val="22"/>
    </w:rPr>
  </w:style>
  <w:style w:type="character" w:customStyle="1" w:styleId="BTEMEASMCAChar">
    <w:name w:val="BT EMEA_SMCA Char"/>
    <w:basedOn w:val="Numatytasispastraiposriftas"/>
    <w:link w:val="BTEMEASMCA"/>
    <w:locked/>
    <w:rsid w:val="00A7031E"/>
    <w:rPr>
      <w:rFonts w:ascii="Times New Roman" w:eastAsia="Times New Roman" w:hAnsi="Times New Roman" w:cs="Times New Roman"/>
    </w:rPr>
  </w:style>
  <w:style w:type="paragraph" w:customStyle="1" w:styleId="BTEMEASMCA">
    <w:name w:val="BT EMEA_SMCA"/>
    <w:basedOn w:val="prastasis"/>
    <w:link w:val="BTEMEASMCAChar"/>
    <w:autoRedefine/>
    <w:rsid w:val="00A7031E"/>
    <w:rPr>
      <w:sz w:val="22"/>
      <w:szCs w:val="22"/>
    </w:rPr>
  </w:style>
  <w:style w:type="paragraph" w:customStyle="1" w:styleId="BT-EMEASMCA">
    <w:name w:val="BT- EMEA_SMCA"/>
    <w:basedOn w:val="BTEMEASMCA"/>
    <w:autoRedefine/>
    <w:rsid w:val="00A7031E"/>
    <w:pPr>
      <w:numPr>
        <w:numId w:val="1"/>
      </w:numPr>
      <w:tabs>
        <w:tab w:val="clear" w:pos="720"/>
        <w:tab w:val="num" w:pos="360"/>
      </w:tabs>
      <w:ind w:left="0" w:firstLine="0"/>
    </w:pPr>
  </w:style>
  <w:style w:type="paragraph" w:customStyle="1" w:styleId="PI-3EMEASMCA">
    <w:name w:val="PI-3 EMEA_SMCA"/>
    <w:basedOn w:val="prastasis"/>
    <w:autoRedefine/>
    <w:rsid w:val="00A7031E"/>
    <w:pPr>
      <w:spacing w:line="220" w:lineRule="exact"/>
    </w:pPr>
    <w:rPr>
      <w:b/>
      <w:bCs/>
      <w:sz w:val="22"/>
      <w:szCs w:val="22"/>
    </w:rPr>
  </w:style>
  <w:style w:type="paragraph" w:customStyle="1" w:styleId="BTbEMEASMCA">
    <w:name w:val="BT(b) EMEA_SMCA"/>
    <w:basedOn w:val="BTEMEASMCA"/>
    <w:autoRedefine/>
    <w:rsid w:val="00A7031E"/>
    <w:rPr>
      <w:b/>
    </w:rPr>
  </w:style>
  <w:style w:type="character" w:customStyle="1" w:styleId="Antrat2Diagrama">
    <w:name w:val="Antraštė 2 Diagrama"/>
    <w:basedOn w:val="Numatytasispastraiposriftas"/>
    <w:link w:val="Antrat2"/>
    <w:uiPriority w:val="9"/>
    <w:semiHidden/>
    <w:rsid w:val="00A703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4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7045</Words>
  <Characters>4017</Characters>
  <Application>Microsoft Office Word</Application>
  <DocSecurity>0</DocSecurity>
  <Lines>33</Lines>
  <Paragraphs>22</Paragraphs>
  <ScaleCrop>false</ScaleCrop>
  <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Žentelienė</dc:creator>
  <cp:keywords/>
  <dc:description/>
  <cp:lastModifiedBy>Sigita Žentelienė</cp:lastModifiedBy>
  <cp:revision>1</cp:revision>
  <dcterms:created xsi:type="dcterms:W3CDTF">2019-03-20T12:02:00Z</dcterms:created>
  <dcterms:modified xsi:type="dcterms:W3CDTF">2019-03-20T12:02:00Z</dcterms:modified>
</cp:coreProperties>
</file>