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6D8E1" w14:textId="77777777" w:rsidR="009501EF" w:rsidRPr="00434403" w:rsidRDefault="009501EF" w:rsidP="009501EF">
      <w:pPr>
        <w:spacing w:after="0" w:line="240" w:lineRule="auto"/>
        <w:rPr>
          <w:rFonts w:ascii="Times New Roman" w:eastAsia="Times New Roman" w:hAnsi="Times New Roman" w:cs="Times New Roman"/>
        </w:rPr>
      </w:pPr>
    </w:p>
    <w:p w14:paraId="79CAEB3A" w14:textId="77777777" w:rsidR="009501EF" w:rsidRPr="00434403" w:rsidRDefault="009501EF" w:rsidP="009501EF">
      <w:pPr>
        <w:spacing w:after="0" w:line="240" w:lineRule="auto"/>
        <w:rPr>
          <w:rFonts w:ascii="Times New Roman" w:eastAsia="Times New Roman" w:hAnsi="Times New Roman" w:cs="Times New Roman"/>
        </w:rPr>
      </w:pPr>
    </w:p>
    <w:p w14:paraId="78AF18D0" w14:textId="77777777" w:rsidR="009501EF" w:rsidRPr="00434403" w:rsidRDefault="009501EF" w:rsidP="009501EF">
      <w:pPr>
        <w:spacing w:after="0" w:line="240" w:lineRule="auto"/>
        <w:rPr>
          <w:rFonts w:ascii="Times New Roman" w:eastAsia="Times New Roman" w:hAnsi="Times New Roman" w:cs="Times New Roman"/>
        </w:rPr>
      </w:pPr>
    </w:p>
    <w:p w14:paraId="7057D06E" w14:textId="77777777" w:rsidR="009501EF" w:rsidRPr="00434403" w:rsidRDefault="009501EF" w:rsidP="009501EF">
      <w:pPr>
        <w:spacing w:after="0" w:line="240" w:lineRule="auto"/>
        <w:rPr>
          <w:rFonts w:ascii="Times New Roman" w:eastAsia="Times New Roman" w:hAnsi="Times New Roman" w:cs="Times New Roman"/>
        </w:rPr>
      </w:pPr>
    </w:p>
    <w:p w14:paraId="73E40950" w14:textId="77777777" w:rsidR="009501EF" w:rsidRPr="00434403" w:rsidRDefault="009501EF" w:rsidP="009501EF">
      <w:pPr>
        <w:spacing w:after="0" w:line="240" w:lineRule="auto"/>
        <w:rPr>
          <w:rFonts w:ascii="Times New Roman" w:eastAsia="Times New Roman" w:hAnsi="Times New Roman" w:cs="Times New Roman"/>
        </w:rPr>
      </w:pPr>
    </w:p>
    <w:p w14:paraId="0E463DEC" w14:textId="77777777" w:rsidR="009501EF" w:rsidRPr="00434403" w:rsidRDefault="009501EF" w:rsidP="009501EF">
      <w:pPr>
        <w:spacing w:after="0" w:line="240" w:lineRule="auto"/>
        <w:rPr>
          <w:rFonts w:ascii="Times New Roman" w:eastAsia="Times New Roman" w:hAnsi="Times New Roman" w:cs="Times New Roman"/>
        </w:rPr>
      </w:pPr>
    </w:p>
    <w:p w14:paraId="37C243F4" w14:textId="77777777" w:rsidR="009501EF" w:rsidRPr="00434403" w:rsidRDefault="009501EF" w:rsidP="009501EF">
      <w:pPr>
        <w:spacing w:after="0" w:line="240" w:lineRule="auto"/>
        <w:rPr>
          <w:rFonts w:ascii="Times New Roman" w:eastAsia="Times New Roman" w:hAnsi="Times New Roman" w:cs="Times New Roman"/>
        </w:rPr>
      </w:pPr>
    </w:p>
    <w:p w14:paraId="32B5AA7A" w14:textId="77777777" w:rsidR="009501EF" w:rsidRPr="00434403" w:rsidRDefault="009501EF" w:rsidP="009501EF">
      <w:pPr>
        <w:spacing w:after="0" w:line="240" w:lineRule="auto"/>
        <w:rPr>
          <w:rFonts w:ascii="Times New Roman" w:eastAsia="Times New Roman" w:hAnsi="Times New Roman" w:cs="Times New Roman"/>
        </w:rPr>
      </w:pPr>
    </w:p>
    <w:p w14:paraId="7E59E50E" w14:textId="77777777" w:rsidR="009501EF" w:rsidRPr="00434403" w:rsidRDefault="009501EF" w:rsidP="009501EF">
      <w:pPr>
        <w:spacing w:after="0" w:line="240" w:lineRule="auto"/>
        <w:rPr>
          <w:rFonts w:ascii="Times New Roman" w:eastAsia="Times New Roman" w:hAnsi="Times New Roman" w:cs="Times New Roman"/>
        </w:rPr>
      </w:pPr>
    </w:p>
    <w:p w14:paraId="59B54903" w14:textId="77777777" w:rsidR="009501EF" w:rsidRPr="00434403" w:rsidRDefault="009501EF" w:rsidP="009501EF">
      <w:pPr>
        <w:spacing w:after="0" w:line="240" w:lineRule="auto"/>
        <w:rPr>
          <w:rFonts w:ascii="Times New Roman" w:eastAsia="Times New Roman" w:hAnsi="Times New Roman" w:cs="Times New Roman"/>
        </w:rPr>
      </w:pPr>
    </w:p>
    <w:p w14:paraId="1ABEECE8" w14:textId="77777777" w:rsidR="009501EF" w:rsidRPr="00434403" w:rsidRDefault="009501EF" w:rsidP="009501EF">
      <w:pPr>
        <w:spacing w:after="0" w:line="240" w:lineRule="auto"/>
        <w:rPr>
          <w:rFonts w:ascii="Times New Roman" w:eastAsia="Times New Roman" w:hAnsi="Times New Roman" w:cs="Times New Roman"/>
        </w:rPr>
      </w:pPr>
    </w:p>
    <w:p w14:paraId="29933A94" w14:textId="77777777" w:rsidR="009501EF" w:rsidRPr="00434403" w:rsidRDefault="009501EF" w:rsidP="009501EF">
      <w:pPr>
        <w:spacing w:after="0" w:line="240" w:lineRule="auto"/>
        <w:rPr>
          <w:rFonts w:ascii="Times New Roman" w:eastAsia="Times New Roman" w:hAnsi="Times New Roman" w:cs="Times New Roman"/>
        </w:rPr>
      </w:pPr>
    </w:p>
    <w:p w14:paraId="103AFF62" w14:textId="77777777" w:rsidR="009501EF" w:rsidRPr="00434403" w:rsidRDefault="009501EF" w:rsidP="009501EF">
      <w:pPr>
        <w:spacing w:after="0" w:line="240" w:lineRule="auto"/>
        <w:rPr>
          <w:rFonts w:ascii="Times New Roman" w:eastAsia="Times New Roman" w:hAnsi="Times New Roman" w:cs="Times New Roman"/>
        </w:rPr>
      </w:pPr>
    </w:p>
    <w:p w14:paraId="42640E3F" w14:textId="77777777" w:rsidR="009501EF" w:rsidRPr="00434403" w:rsidRDefault="009501EF" w:rsidP="009501EF">
      <w:pPr>
        <w:spacing w:after="0" w:line="240" w:lineRule="auto"/>
        <w:rPr>
          <w:rFonts w:ascii="Times New Roman" w:eastAsia="Times New Roman" w:hAnsi="Times New Roman" w:cs="Times New Roman"/>
        </w:rPr>
      </w:pPr>
    </w:p>
    <w:p w14:paraId="138350D8" w14:textId="77777777" w:rsidR="009501EF" w:rsidRPr="00434403" w:rsidRDefault="009501EF" w:rsidP="009501EF">
      <w:pPr>
        <w:spacing w:after="0" w:line="240" w:lineRule="auto"/>
        <w:rPr>
          <w:rFonts w:ascii="Times New Roman" w:eastAsia="Times New Roman" w:hAnsi="Times New Roman" w:cs="Times New Roman"/>
        </w:rPr>
      </w:pPr>
    </w:p>
    <w:p w14:paraId="2FC12CA9" w14:textId="77777777" w:rsidR="009501EF" w:rsidRPr="00434403" w:rsidRDefault="009501EF" w:rsidP="009501EF">
      <w:pPr>
        <w:spacing w:after="0" w:line="240" w:lineRule="auto"/>
        <w:rPr>
          <w:rFonts w:ascii="Times New Roman" w:eastAsia="Times New Roman" w:hAnsi="Times New Roman" w:cs="Times New Roman"/>
        </w:rPr>
      </w:pPr>
    </w:p>
    <w:p w14:paraId="20DB2018" w14:textId="77777777" w:rsidR="009501EF" w:rsidRPr="00434403" w:rsidRDefault="009501EF" w:rsidP="009501EF">
      <w:pPr>
        <w:spacing w:after="0" w:line="240" w:lineRule="auto"/>
        <w:rPr>
          <w:rFonts w:ascii="Times New Roman" w:eastAsia="Times New Roman" w:hAnsi="Times New Roman" w:cs="Times New Roman"/>
        </w:rPr>
      </w:pPr>
    </w:p>
    <w:p w14:paraId="116B0440" w14:textId="77777777" w:rsidR="009501EF" w:rsidRPr="00434403" w:rsidRDefault="009501EF" w:rsidP="009501EF">
      <w:pPr>
        <w:spacing w:after="0" w:line="240" w:lineRule="auto"/>
        <w:rPr>
          <w:rFonts w:ascii="Times New Roman" w:eastAsia="Times New Roman" w:hAnsi="Times New Roman" w:cs="Times New Roman"/>
        </w:rPr>
      </w:pPr>
    </w:p>
    <w:p w14:paraId="518EC252" w14:textId="77777777" w:rsidR="009501EF" w:rsidRPr="00434403" w:rsidRDefault="009501EF" w:rsidP="009501EF">
      <w:pPr>
        <w:spacing w:after="0" w:line="240" w:lineRule="auto"/>
        <w:rPr>
          <w:rFonts w:ascii="Times New Roman" w:eastAsia="Times New Roman" w:hAnsi="Times New Roman" w:cs="Times New Roman"/>
        </w:rPr>
      </w:pPr>
    </w:p>
    <w:p w14:paraId="6CC1B108" w14:textId="77777777" w:rsidR="009501EF" w:rsidRPr="00434403" w:rsidRDefault="009501EF" w:rsidP="009501EF">
      <w:pPr>
        <w:spacing w:after="0" w:line="240" w:lineRule="auto"/>
        <w:rPr>
          <w:rFonts w:ascii="Times New Roman" w:eastAsia="Times New Roman" w:hAnsi="Times New Roman" w:cs="Times New Roman"/>
        </w:rPr>
      </w:pPr>
    </w:p>
    <w:p w14:paraId="5DB179AA" w14:textId="77777777" w:rsidR="009501EF" w:rsidRPr="00434403" w:rsidRDefault="009501EF" w:rsidP="009501EF">
      <w:pPr>
        <w:spacing w:after="0" w:line="240" w:lineRule="auto"/>
        <w:rPr>
          <w:rFonts w:ascii="Times New Roman" w:eastAsia="Times New Roman" w:hAnsi="Times New Roman" w:cs="Times New Roman"/>
        </w:rPr>
      </w:pPr>
    </w:p>
    <w:p w14:paraId="7C954F0A" w14:textId="77777777" w:rsidR="009501EF" w:rsidRPr="00434403" w:rsidRDefault="009501EF" w:rsidP="009501EF">
      <w:pPr>
        <w:spacing w:after="0" w:line="240" w:lineRule="auto"/>
        <w:rPr>
          <w:rFonts w:ascii="Times New Roman" w:eastAsia="Times New Roman" w:hAnsi="Times New Roman" w:cs="Times New Roman"/>
        </w:rPr>
      </w:pPr>
    </w:p>
    <w:p w14:paraId="07061C23" w14:textId="77777777" w:rsidR="009501EF" w:rsidRPr="00434403" w:rsidRDefault="009501EF" w:rsidP="009501EF">
      <w:pPr>
        <w:spacing w:after="0" w:line="240" w:lineRule="auto"/>
        <w:rPr>
          <w:rFonts w:ascii="Times New Roman" w:eastAsia="Times New Roman" w:hAnsi="Times New Roman" w:cs="Times New Roman"/>
        </w:rPr>
      </w:pPr>
    </w:p>
    <w:p w14:paraId="1072149A"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8A351A">
        <w:rPr>
          <w:rFonts w:ascii="Times New Roman" w:eastAsia="Times New Roman" w:hAnsi="Times New Roman" w:cs="Times New Roman"/>
          <w:b/>
          <w:caps/>
        </w:rPr>
        <w:t>I PRIEDAS</w:t>
      </w:r>
      <w:bookmarkEnd w:id="0"/>
      <w:bookmarkEnd w:id="1"/>
    </w:p>
    <w:p w14:paraId="038D2008" w14:textId="77777777" w:rsidR="009501EF" w:rsidRPr="008A351A" w:rsidRDefault="009501EF" w:rsidP="009501EF">
      <w:pPr>
        <w:spacing w:after="0" w:line="240" w:lineRule="auto"/>
        <w:rPr>
          <w:rFonts w:ascii="Times New Roman" w:eastAsia="Times New Roman" w:hAnsi="Times New Roman" w:cs="Times New Roman"/>
        </w:rPr>
      </w:pPr>
    </w:p>
    <w:p w14:paraId="58127C57"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8A351A">
        <w:rPr>
          <w:rFonts w:ascii="Times New Roman" w:eastAsia="Times New Roman" w:hAnsi="Times New Roman" w:cs="Times New Roman"/>
          <w:b/>
          <w:caps/>
        </w:rPr>
        <w:t>PREPARATO CHARAKTERISTIKŲ SANTRAUKA</w:t>
      </w:r>
      <w:bookmarkEnd w:id="2"/>
      <w:bookmarkEnd w:id="3"/>
    </w:p>
    <w:p w14:paraId="5839009A"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rPr>
        <w:br w:type="page"/>
      </w:r>
      <w:r w:rsidRPr="008A351A">
        <w:rPr>
          <w:rFonts w:ascii="Times New Roman" w:eastAsia="Times New Roman" w:hAnsi="Times New Roman" w:cs="Times New Roman"/>
          <w:b/>
          <w:bCs/>
          <w:iCs/>
        </w:rPr>
        <w:lastRenderedPageBreak/>
        <w:t>1.</w:t>
      </w:r>
      <w:r w:rsidRPr="008A351A">
        <w:rPr>
          <w:rFonts w:ascii="Times New Roman" w:eastAsia="Times New Roman" w:hAnsi="Times New Roman" w:cs="Times New Roman"/>
          <w:b/>
          <w:bCs/>
          <w:iCs/>
        </w:rPr>
        <w:tab/>
        <w:t>VAISTINIO PREPARATO PAVADINIMAS</w:t>
      </w:r>
    </w:p>
    <w:p w14:paraId="1DD8FC79"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b/>
          <w:bCs/>
        </w:rPr>
      </w:pPr>
    </w:p>
    <w:p w14:paraId="285A705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25 mg plėvele dengtos tabletės</w:t>
      </w:r>
    </w:p>
    <w:p w14:paraId="3094B74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100 mg plėvele dengtos tabletės</w:t>
      </w:r>
    </w:p>
    <w:p w14:paraId="5447504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Quetiapine Accord 150 mg plėvele dengtos tabletės </w:t>
      </w:r>
    </w:p>
    <w:p w14:paraId="4EDF331E"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200 mg plėvele dengtos tabletės</w:t>
      </w:r>
    </w:p>
    <w:p w14:paraId="63B8EDBF"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300 mg plėvele dengtos tabletės</w:t>
      </w:r>
    </w:p>
    <w:p w14:paraId="4885AF26"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p>
    <w:p w14:paraId="4B9D1AD2"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p>
    <w:p w14:paraId="651AD835"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2.</w:t>
      </w:r>
      <w:r w:rsidRPr="008A351A">
        <w:rPr>
          <w:rFonts w:ascii="Times New Roman" w:eastAsia="Times New Roman" w:hAnsi="Times New Roman" w:cs="Times New Roman"/>
          <w:b/>
          <w:bCs/>
          <w:iCs/>
        </w:rPr>
        <w:tab/>
        <w:t xml:space="preserve">KOKYBINĖ IR KIEKYBINĖ SUDĖTIS </w:t>
      </w:r>
    </w:p>
    <w:p w14:paraId="51E5550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5FAC27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25 mg kvetiapino (kvetiapino hemifumarato pavidalu).</w:t>
      </w:r>
    </w:p>
    <w:p w14:paraId="6003CE9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100 mg kvetiapino (kvetiapino hemifumarato pavidalu).</w:t>
      </w:r>
    </w:p>
    <w:p w14:paraId="0D192B8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150 mg kvetiapino (kvetiapino hemifumarato pavidalu).</w:t>
      </w:r>
    </w:p>
    <w:p w14:paraId="19A7CE7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200 mg kvetiapino (kvetiapino hemifumarato pavidalu).</w:t>
      </w:r>
    </w:p>
    <w:p w14:paraId="55A928DD"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300 mg kvetiapino (kvetiapino hemifumarato pavidalu).</w:t>
      </w:r>
    </w:p>
    <w:p w14:paraId="55917A81"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b/>
          <w:bCs/>
        </w:rPr>
      </w:pPr>
    </w:p>
    <w:p w14:paraId="491586FF"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Pagalbinė medžiaga:</w:t>
      </w:r>
    </w:p>
    <w:p w14:paraId="59E8C033"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25 mg plėvele dengtoje tabletėje yra 13,330 mg laktozės monohidrato.</w:t>
      </w:r>
    </w:p>
    <w:p w14:paraId="51223D04"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100 mg plėvele dengtoje tabletėje yra 53,200 mg laktozės monohidrato.</w:t>
      </w:r>
    </w:p>
    <w:p w14:paraId="298BB026"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150 mg plėvele dengtoje tabletėje yra 79,800 mg laktozės monohidrato.</w:t>
      </w:r>
    </w:p>
    <w:p w14:paraId="6EF178A5"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200 mg plėvele dengtoje tabletėje yra 106,400 mg laktozės monohidrato.</w:t>
      </w:r>
    </w:p>
    <w:p w14:paraId="40AE3FC9"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300 mg plėvele dengtoje tabletėje yra 159,600 mg laktozės monohidrato.</w:t>
      </w:r>
    </w:p>
    <w:p w14:paraId="77D1E6F2"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b/>
          <w:bCs/>
        </w:rPr>
      </w:pPr>
    </w:p>
    <w:p w14:paraId="4A95C57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Visos pagalbinės medžiagos išvardytos 6.1 skyriuje.</w:t>
      </w:r>
    </w:p>
    <w:p w14:paraId="6EC4D09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F8284A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D27A7DA"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3.</w:t>
      </w:r>
      <w:r w:rsidRPr="008A351A">
        <w:rPr>
          <w:rFonts w:ascii="Times New Roman" w:eastAsia="Times New Roman" w:hAnsi="Times New Roman" w:cs="Times New Roman"/>
          <w:b/>
          <w:bCs/>
          <w:iCs/>
        </w:rPr>
        <w:tab/>
        <w:t>FARMACINĖ FORMA</w:t>
      </w:r>
    </w:p>
    <w:p w14:paraId="155F1DF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D0DDA1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Plėvele dengta tabletė</w:t>
      </w:r>
    </w:p>
    <w:p w14:paraId="1775394B"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0723B2EA" w14:textId="77777777" w:rsidR="009501EF" w:rsidRPr="008A351A" w:rsidRDefault="009501EF" w:rsidP="009501EF">
      <w:pPr>
        <w:widowControl w:val="0"/>
        <w:tabs>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25 mg tabletės yra rožinės spalvos, apvalios, abipus išgaubtos, lygaus paviršiaus, dengtos plėvele.</w:t>
      </w:r>
    </w:p>
    <w:p w14:paraId="7F93651D" w14:textId="77777777" w:rsidR="009501EF" w:rsidRPr="008A351A" w:rsidRDefault="009501EF" w:rsidP="009501EF">
      <w:pPr>
        <w:widowControl w:val="0"/>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100 mg tabletės yra geltonos spalvos, apvalios, abipus išgaubtos, lygaus paviršiaus, dengtos plėvele.</w:t>
      </w:r>
    </w:p>
    <w:p w14:paraId="549B0CE2" w14:textId="77777777" w:rsidR="009501EF" w:rsidRPr="008A351A" w:rsidRDefault="009501EF" w:rsidP="009501EF">
      <w:pPr>
        <w:widowControl w:val="0"/>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150 mg tabletės yra šviesiai geltonos spalvos, apvalios, abipus išgaubtos, lygaus paviršiaus, dengtos plėvele.</w:t>
      </w:r>
    </w:p>
    <w:p w14:paraId="5B4A23F9" w14:textId="77777777" w:rsidR="009501EF" w:rsidRPr="008A351A" w:rsidRDefault="009501EF" w:rsidP="009501EF">
      <w:pPr>
        <w:widowControl w:val="0"/>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200 mg tabletės yra baltos arba beveik baltos spalvos, apvalios, abipus išgaubtos, lygaus paviršiaus, dengtos plėvele.</w:t>
      </w:r>
    </w:p>
    <w:p w14:paraId="4652FA8C" w14:textId="77777777" w:rsidR="009501EF" w:rsidRPr="008A351A" w:rsidRDefault="009501EF" w:rsidP="009501EF">
      <w:pPr>
        <w:tabs>
          <w:tab w:val="left" w:pos="-1440"/>
          <w:tab w:val="left" w:pos="-720"/>
          <w:tab w:val="left" w:pos="567"/>
        </w:tabs>
        <w:suppressAutoHyphen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300 mg tabletės yra baltos arba beveik baltos spalvos, kapsulės pavidalo, abipus išgaubtos, dengtos plėvele, vienoje jų pusėje įspaustas užrašas „300”, kita – lygi.</w:t>
      </w:r>
    </w:p>
    <w:p w14:paraId="7862A6B2" w14:textId="77777777" w:rsidR="009501EF" w:rsidRPr="008A351A" w:rsidRDefault="009501EF" w:rsidP="009501EF">
      <w:pPr>
        <w:tabs>
          <w:tab w:val="left" w:pos="-1440"/>
          <w:tab w:val="left" w:pos="-720"/>
          <w:tab w:val="left" w:pos="567"/>
        </w:tabs>
        <w:suppressAutoHyphens/>
        <w:spacing w:after="0" w:line="240" w:lineRule="auto"/>
        <w:rPr>
          <w:rFonts w:ascii="Times New Roman" w:eastAsia="Times New Roman" w:hAnsi="Times New Roman" w:cs="Times New Roman"/>
        </w:rPr>
      </w:pPr>
    </w:p>
    <w:p w14:paraId="7BA1F2B2" w14:textId="77777777" w:rsidR="009501EF" w:rsidRPr="008A351A" w:rsidRDefault="009501EF" w:rsidP="009501EF">
      <w:pPr>
        <w:tabs>
          <w:tab w:val="left" w:pos="-1440"/>
          <w:tab w:val="left" w:pos="-720"/>
          <w:tab w:val="left" w:pos="567"/>
        </w:tabs>
        <w:suppressAutoHyphens/>
        <w:spacing w:after="0" w:line="240" w:lineRule="auto"/>
        <w:rPr>
          <w:rFonts w:ascii="Times New Roman" w:eastAsia="Times New Roman" w:hAnsi="Times New Roman" w:cs="Times New Roman"/>
        </w:rPr>
      </w:pPr>
    </w:p>
    <w:p w14:paraId="0EE89692"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4.</w:t>
      </w:r>
      <w:r w:rsidRPr="008A351A">
        <w:rPr>
          <w:rFonts w:ascii="Times New Roman" w:eastAsia="Times New Roman" w:hAnsi="Times New Roman" w:cs="Times New Roman"/>
          <w:b/>
          <w:bCs/>
          <w:iCs/>
        </w:rPr>
        <w:tab/>
        <w:t>KLINIKINĖ INFORMACIJA</w:t>
      </w:r>
    </w:p>
    <w:p w14:paraId="0BE514E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E601F7C"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4.1</w:t>
      </w:r>
      <w:r w:rsidRPr="008A351A">
        <w:rPr>
          <w:rFonts w:ascii="Times New Roman" w:eastAsia="Times New Roman" w:hAnsi="Times New Roman" w:cs="Times New Roman"/>
          <w:b/>
          <w:bCs/>
        </w:rPr>
        <w:tab/>
        <w:t>Terapinės indikacijos</w:t>
      </w:r>
    </w:p>
    <w:p w14:paraId="78A4C703" w14:textId="77777777" w:rsidR="009501EF" w:rsidRPr="008A351A" w:rsidRDefault="009501EF" w:rsidP="009501EF">
      <w:pPr>
        <w:spacing w:after="0" w:line="240" w:lineRule="auto"/>
        <w:rPr>
          <w:rFonts w:ascii="Times New Roman" w:eastAsia="Times New Roman" w:hAnsi="Times New Roman" w:cs="Times New Roman"/>
        </w:rPr>
      </w:pPr>
    </w:p>
    <w:p w14:paraId="6473BEB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vartojamas:</w:t>
      </w:r>
    </w:p>
    <w:p w14:paraId="47695437" w14:textId="77777777" w:rsidR="009501EF" w:rsidRPr="008A351A" w:rsidRDefault="009501EF" w:rsidP="009501EF">
      <w:pPr>
        <w:numPr>
          <w:ilvl w:val="0"/>
          <w:numId w:val="20"/>
        </w:numPr>
        <w:tabs>
          <w:tab w:val="left" w:pos="284"/>
        </w:tabs>
        <w:spacing w:after="0" w:line="240" w:lineRule="auto"/>
        <w:ind w:hanging="720"/>
        <w:rPr>
          <w:rFonts w:ascii="Times New Roman" w:eastAsia="Times New Roman" w:hAnsi="Times New Roman" w:cs="Times New Roman"/>
        </w:rPr>
      </w:pPr>
      <w:r w:rsidRPr="008A351A">
        <w:rPr>
          <w:rFonts w:ascii="Times New Roman" w:eastAsia="Times New Roman" w:hAnsi="Times New Roman" w:cs="Times New Roman"/>
        </w:rPr>
        <w:t>gydyti šizofreniją;</w:t>
      </w:r>
    </w:p>
    <w:p w14:paraId="2ED0AFFA" w14:textId="77777777" w:rsidR="009501EF" w:rsidRPr="008A351A" w:rsidRDefault="009501EF" w:rsidP="009501EF">
      <w:pPr>
        <w:numPr>
          <w:ilvl w:val="0"/>
          <w:numId w:val="20"/>
        </w:numPr>
        <w:tabs>
          <w:tab w:val="left" w:pos="284"/>
        </w:tabs>
        <w:spacing w:after="0" w:line="240" w:lineRule="auto"/>
        <w:ind w:hanging="720"/>
        <w:rPr>
          <w:rFonts w:ascii="Times New Roman" w:eastAsia="Times New Roman" w:hAnsi="Times New Roman" w:cs="Times New Roman"/>
        </w:rPr>
      </w:pPr>
      <w:r w:rsidRPr="008A351A">
        <w:rPr>
          <w:rFonts w:ascii="Times New Roman" w:eastAsia="Times New Roman" w:hAnsi="Times New Roman" w:cs="Times New Roman"/>
        </w:rPr>
        <w:t>gydyti bipolinį sutrikimą:</w:t>
      </w:r>
    </w:p>
    <w:p w14:paraId="16FBD62D" w14:textId="77777777" w:rsidR="009501EF" w:rsidRPr="008A351A" w:rsidRDefault="009501EF" w:rsidP="009501EF">
      <w:pPr>
        <w:tabs>
          <w:tab w:val="left" w:pos="600"/>
        </w:tabs>
        <w:spacing w:after="0" w:line="240" w:lineRule="auto"/>
        <w:ind w:left="600" w:hanging="240"/>
        <w:rPr>
          <w:rFonts w:ascii="Times New Roman" w:eastAsia="Times New Roman" w:hAnsi="Times New Roman" w:cs="Times New Roman"/>
        </w:rPr>
      </w:pPr>
      <w:r w:rsidRPr="008A351A">
        <w:rPr>
          <w:rFonts w:ascii="Times New Roman" w:eastAsia="Times New Roman" w:hAnsi="Times New Roman" w:cs="Times New Roman"/>
        </w:rPr>
        <w:t>-</w:t>
      </w:r>
      <w:r w:rsidRPr="008A351A">
        <w:rPr>
          <w:rFonts w:ascii="Times New Roman" w:eastAsia="Times New Roman" w:hAnsi="Times New Roman" w:cs="Times New Roman"/>
        </w:rPr>
        <w:tab/>
        <w:t>gydyti vidutinio sunkumo arba sunkius manijos epizodus, sergant bipoliniu sutrikimu;</w:t>
      </w:r>
    </w:p>
    <w:p w14:paraId="56543358" w14:textId="77777777" w:rsidR="009501EF" w:rsidRPr="008A351A" w:rsidRDefault="009501EF" w:rsidP="009501EF">
      <w:pPr>
        <w:numPr>
          <w:ilvl w:val="0"/>
          <w:numId w:val="21"/>
        </w:numPr>
        <w:tabs>
          <w:tab w:val="left" w:pos="600"/>
        </w:tabs>
        <w:spacing w:after="0" w:line="240" w:lineRule="auto"/>
        <w:ind w:left="600" w:hanging="240"/>
        <w:rPr>
          <w:rFonts w:ascii="Times New Roman" w:eastAsia="Times New Roman" w:hAnsi="Times New Roman" w:cs="Times New Roman"/>
        </w:rPr>
      </w:pPr>
      <w:r w:rsidRPr="008A351A">
        <w:rPr>
          <w:rFonts w:ascii="Times New Roman" w:eastAsia="Times New Roman" w:hAnsi="Times New Roman" w:cs="Times New Roman"/>
        </w:rPr>
        <w:t xml:space="preserve">gydyti didžiosios depresijos epizodus, sergant bipoliniu sutrikimu; </w:t>
      </w:r>
    </w:p>
    <w:p w14:paraId="77429D3E" w14:textId="77777777" w:rsidR="009501EF" w:rsidRPr="008A351A" w:rsidRDefault="009B5713" w:rsidP="009501EF">
      <w:pPr>
        <w:numPr>
          <w:ilvl w:val="0"/>
          <w:numId w:val="21"/>
        </w:numPr>
        <w:tabs>
          <w:tab w:val="left" w:pos="600"/>
        </w:tabs>
        <w:spacing w:after="0" w:line="240" w:lineRule="auto"/>
        <w:ind w:left="600" w:hanging="240"/>
        <w:rPr>
          <w:rFonts w:ascii="Times New Roman" w:eastAsia="Times New Roman" w:hAnsi="Times New Roman" w:cs="Times New Roman"/>
        </w:rPr>
      </w:pPr>
      <w:r w:rsidRPr="008A351A">
        <w:rPr>
          <w:rFonts w:ascii="Times New Roman" w:eastAsia="Times New Roman" w:hAnsi="Times New Roman" w:cs="Times New Roman"/>
        </w:rPr>
        <w:t xml:space="preserve">manijos arba depresijos epizodų pasikartojimo </w:t>
      </w:r>
      <w:r w:rsidR="009501EF" w:rsidRPr="008A351A">
        <w:rPr>
          <w:rFonts w:ascii="Times New Roman" w:eastAsia="Times New Roman" w:hAnsi="Times New Roman" w:cs="Times New Roman"/>
        </w:rPr>
        <w:t xml:space="preserve">prevencijai </w:t>
      </w:r>
      <w:r w:rsidR="008E2FBF" w:rsidRPr="008A351A">
        <w:rPr>
          <w:rFonts w:ascii="Times New Roman" w:eastAsia="Times New Roman" w:hAnsi="Times New Roman" w:cs="Times New Roman"/>
        </w:rPr>
        <w:t xml:space="preserve">bipoliniu </w:t>
      </w:r>
      <w:r w:rsidRPr="008A351A">
        <w:rPr>
          <w:rFonts w:ascii="Times New Roman" w:eastAsia="Times New Roman" w:hAnsi="Times New Roman" w:cs="Times New Roman"/>
        </w:rPr>
        <w:t xml:space="preserve">sutrikimu sergantiems </w:t>
      </w:r>
      <w:r w:rsidR="009501EF" w:rsidRPr="008A351A">
        <w:rPr>
          <w:rFonts w:ascii="Times New Roman" w:eastAsia="Times New Roman" w:hAnsi="Times New Roman" w:cs="Times New Roman"/>
        </w:rPr>
        <w:t>pacientams, kuriems gydymas kvetiapinu buvo veiksmingas.</w:t>
      </w:r>
    </w:p>
    <w:p w14:paraId="51975167" w14:textId="77777777" w:rsidR="009501EF" w:rsidRPr="008A351A" w:rsidRDefault="009501EF" w:rsidP="009501EF">
      <w:pPr>
        <w:tabs>
          <w:tab w:val="left" w:pos="567"/>
        </w:tabs>
        <w:spacing w:after="0" w:line="240" w:lineRule="auto"/>
        <w:ind w:left="567" w:hanging="567"/>
        <w:jc w:val="both"/>
        <w:rPr>
          <w:rFonts w:ascii="Times New Roman" w:eastAsia="Times New Roman" w:hAnsi="Times New Roman" w:cs="Times New Roman"/>
          <w:lang w:eastAsia="es-ES"/>
        </w:rPr>
      </w:pPr>
    </w:p>
    <w:p w14:paraId="351ABC41"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4.2</w:t>
      </w:r>
      <w:r w:rsidRPr="008A351A">
        <w:rPr>
          <w:rFonts w:ascii="Times New Roman" w:eastAsia="Times New Roman" w:hAnsi="Times New Roman" w:cs="Times New Roman"/>
          <w:b/>
          <w:bCs/>
        </w:rPr>
        <w:tab/>
        <w:t xml:space="preserve">Dozavimas ir vartojimo metodas </w:t>
      </w:r>
    </w:p>
    <w:p w14:paraId="5DB4C94D"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7B9B77F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Skirtingoms indikacijoms esama skirtingų dozavimo normų. Todėl reikia pasirūpinti, kad pacientai gautų aiškią informaciją apie dozę, kuri yra tinkama jų būklei.</w:t>
      </w:r>
    </w:p>
    <w:p w14:paraId="16556B1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Kvetiapiną galima vartoti su maistu arba be jo.</w:t>
      </w:r>
    </w:p>
    <w:p w14:paraId="65FAF61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7C0109F" w14:textId="77777777" w:rsidR="009501EF" w:rsidRPr="008A351A" w:rsidRDefault="009501EF" w:rsidP="009501EF">
      <w:pPr>
        <w:tabs>
          <w:tab w:val="left" w:pos="567"/>
        </w:tabs>
        <w:spacing w:after="0" w:line="240" w:lineRule="auto"/>
        <w:ind w:left="240" w:hanging="240"/>
        <w:rPr>
          <w:rFonts w:ascii="Times New Roman" w:eastAsia="Times New Roman" w:hAnsi="Times New Roman" w:cs="Times New Roman"/>
          <w:b/>
          <w:i/>
        </w:rPr>
      </w:pPr>
      <w:r w:rsidRPr="008A351A">
        <w:rPr>
          <w:rFonts w:ascii="Times New Roman" w:eastAsia="Times New Roman" w:hAnsi="Times New Roman" w:cs="Times New Roman"/>
          <w:b/>
          <w:i/>
        </w:rPr>
        <w:t>Suaugusieji</w:t>
      </w:r>
    </w:p>
    <w:p w14:paraId="4E4A810C" w14:textId="77777777" w:rsidR="009501EF" w:rsidRPr="008A351A" w:rsidRDefault="009501EF" w:rsidP="009501EF">
      <w:pPr>
        <w:tabs>
          <w:tab w:val="left" w:pos="567"/>
        </w:tabs>
        <w:spacing w:after="0" w:line="240" w:lineRule="auto"/>
        <w:ind w:left="240" w:hanging="240"/>
        <w:rPr>
          <w:rFonts w:ascii="Times New Roman" w:eastAsia="Times New Roman" w:hAnsi="Times New Roman" w:cs="Times New Roman"/>
          <w:i/>
        </w:rPr>
      </w:pPr>
    </w:p>
    <w:p w14:paraId="1B4588A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Šizofrenijos gydymas</w:t>
      </w:r>
      <w:r w:rsidRPr="008A351A">
        <w:rPr>
          <w:rFonts w:ascii="Times New Roman" w:eastAsia="Times New Roman" w:hAnsi="Times New Roman" w:cs="Times New Roman"/>
        </w:rPr>
        <w:t xml:space="preserve"> </w:t>
      </w:r>
    </w:p>
    <w:p w14:paraId="5598E3C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Gydant šizofreniją Quetiapine Accord turi būti vartojamas du kartus per parą. Bendra paros dozė pirmąsias 4 paras: 1</w:t>
      </w:r>
      <w:r w:rsidRPr="008A351A">
        <w:rPr>
          <w:rFonts w:ascii="Times New Roman" w:eastAsia="Times New Roman" w:hAnsi="Times New Roman" w:cs="Times New Roman"/>
        </w:rPr>
        <w:noBreakHyphen/>
        <w:t>oji para – 50 mg; 2</w:t>
      </w:r>
      <w:r w:rsidRPr="008A351A">
        <w:rPr>
          <w:rFonts w:ascii="Times New Roman" w:eastAsia="Times New Roman" w:hAnsi="Times New Roman" w:cs="Times New Roman"/>
        </w:rPr>
        <w:noBreakHyphen/>
        <w:t>oji para – 100 mg; 3</w:t>
      </w:r>
      <w:r w:rsidRPr="008A351A">
        <w:rPr>
          <w:rFonts w:ascii="Times New Roman" w:eastAsia="Times New Roman" w:hAnsi="Times New Roman" w:cs="Times New Roman"/>
        </w:rPr>
        <w:noBreakHyphen/>
        <w:t>ioji para – 200 mg; 4</w:t>
      </w:r>
      <w:r w:rsidRPr="008A351A">
        <w:rPr>
          <w:rFonts w:ascii="Times New Roman" w:eastAsia="Times New Roman" w:hAnsi="Times New Roman" w:cs="Times New Roman"/>
        </w:rPr>
        <w:noBreakHyphen/>
        <w:t xml:space="preserve">oji para – 300 mg. </w:t>
      </w:r>
    </w:p>
    <w:p w14:paraId="656668E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Vėliau, po 4</w:t>
      </w:r>
      <w:r w:rsidRPr="008A351A">
        <w:rPr>
          <w:rFonts w:ascii="Times New Roman" w:eastAsia="Times New Roman" w:hAnsi="Times New Roman" w:cs="Times New Roman"/>
        </w:rPr>
        <w:noBreakHyphen/>
        <w:t>osios paros, dozę reikia laipsniškai didinti iki įprastos veiksmingos – 300</w:t>
      </w:r>
      <w:r w:rsidR="00FF661E" w:rsidRPr="008A351A">
        <w:rPr>
          <w:rFonts w:ascii="Times New Roman" w:eastAsia="Times New Roman" w:hAnsi="Times New Roman" w:cs="Times New Roman"/>
        </w:rPr>
        <w:t>–</w:t>
      </w:r>
      <w:r w:rsidRPr="008A351A">
        <w:rPr>
          <w:rFonts w:ascii="Times New Roman" w:eastAsia="Times New Roman" w:hAnsi="Times New Roman" w:cs="Times New Roman"/>
        </w:rPr>
        <w:t>450 mg per parą. Atsižvelgiant į individualų klinikinį atsaką bei toleravimą, paros dozę galima koreguoti. Ji gali būti nuo 150 mg iki 750 mg.</w:t>
      </w:r>
    </w:p>
    <w:p w14:paraId="24D48266"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079B5A4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Vidutinio sunkumo arba sunkių manijos epizodų, susijusių su bipoliniu sutrikimu, gydymas</w:t>
      </w:r>
    </w:p>
    <w:p w14:paraId="6DE2F36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Gydant manijos epizodus, susijusius su bipoliniu sutrikimu, Quetiapine Accord turi būti vartojamas du kartus per parą. Bendra paros dozė pirmąsias keturias paras: 1</w:t>
      </w:r>
      <w:r w:rsidRPr="008A351A">
        <w:rPr>
          <w:rFonts w:ascii="Times New Roman" w:eastAsia="Times New Roman" w:hAnsi="Times New Roman" w:cs="Times New Roman"/>
        </w:rPr>
        <w:noBreakHyphen/>
        <w:t>oji para – 100 mg; 2</w:t>
      </w:r>
      <w:r w:rsidRPr="008A351A">
        <w:rPr>
          <w:rFonts w:ascii="Times New Roman" w:eastAsia="Times New Roman" w:hAnsi="Times New Roman" w:cs="Times New Roman"/>
        </w:rPr>
        <w:noBreakHyphen/>
        <w:t>oji para – 200 mg; 3</w:t>
      </w:r>
      <w:r w:rsidRPr="008A351A">
        <w:rPr>
          <w:rFonts w:ascii="Times New Roman" w:eastAsia="Times New Roman" w:hAnsi="Times New Roman" w:cs="Times New Roman"/>
        </w:rPr>
        <w:noBreakHyphen/>
        <w:t>ioji para – 300 mg; 4</w:t>
      </w:r>
      <w:r w:rsidRPr="008A351A">
        <w:rPr>
          <w:rFonts w:ascii="Times New Roman" w:eastAsia="Times New Roman" w:hAnsi="Times New Roman" w:cs="Times New Roman"/>
        </w:rPr>
        <w:noBreakHyphen/>
        <w:t xml:space="preserve">oji para – 400 mg. Vėliau paros dozę, ją didinant ne daugiau kaip po 200 mg </w:t>
      </w:r>
      <w:r w:rsidR="00FF661E" w:rsidRPr="008A351A">
        <w:rPr>
          <w:rFonts w:ascii="Times New Roman" w:eastAsia="Times New Roman" w:hAnsi="Times New Roman" w:cs="Times New Roman"/>
        </w:rPr>
        <w:t xml:space="preserve">per </w:t>
      </w:r>
      <w:r w:rsidRPr="008A351A">
        <w:rPr>
          <w:rFonts w:ascii="Times New Roman" w:eastAsia="Times New Roman" w:hAnsi="Times New Roman" w:cs="Times New Roman"/>
        </w:rPr>
        <w:t>parą, iki šeštosios paros galima padidinti iki 800 mg</w:t>
      </w:r>
      <w:r w:rsidR="00133E5B" w:rsidRPr="008A351A">
        <w:rPr>
          <w:rFonts w:ascii="Times New Roman" w:eastAsia="Times New Roman" w:hAnsi="Times New Roman" w:cs="Times New Roman"/>
        </w:rPr>
        <w:t xml:space="preserve"> per parą</w:t>
      </w:r>
      <w:r w:rsidRPr="008A351A">
        <w:rPr>
          <w:rFonts w:ascii="Times New Roman" w:eastAsia="Times New Roman" w:hAnsi="Times New Roman" w:cs="Times New Roman"/>
        </w:rPr>
        <w:t>.</w:t>
      </w:r>
    </w:p>
    <w:p w14:paraId="36A0138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618FD2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Atsižvelgiant į individualų klinikinį atsaką bei toleravimą, paros dozę galima koreguoti. Ji gali būti nuo 200 mg iki 800 mg </w:t>
      </w:r>
      <w:r w:rsidR="00133E5B" w:rsidRPr="008A351A">
        <w:rPr>
          <w:rFonts w:ascii="Times New Roman" w:eastAsia="Times New Roman" w:hAnsi="Times New Roman" w:cs="Times New Roman"/>
        </w:rPr>
        <w:t xml:space="preserve">per </w:t>
      </w:r>
      <w:r w:rsidRPr="008A351A">
        <w:rPr>
          <w:rFonts w:ascii="Times New Roman" w:eastAsia="Times New Roman" w:hAnsi="Times New Roman" w:cs="Times New Roman"/>
        </w:rPr>
        <w:t xml:space="preserve">parą. Įprasta veiksminga dozė yra nuo 400 mg iki 800 mg </w:t>
      </w:r>
      <w:r w:rsidR="00133E5B" w:rsidRPr="008A351A">
        <w:rPr>
          <w:rFonts w:ascii="Times New Roman" w:eastAsia="Times New Roman" w:hAnsi="Times New Roman" w:cs="Times New Roman"/>
        </w:rPr>
        <w:t xml:space="preserve">per </w:t>
      </w:r>
      <w:r w:rsidRPr="008A351A">
        <w:rPr>
          <w:rFonts w:ascii="Times New Roman" w:eastAsia="Times New Roman" w:hAnsi="Times New Roman" w:cs="Times New Roman"/>
        </w:rPr>
        <w:t>parą.</w:t>
      </w:r>
    </w:p>
    <w:p w14:paraId="77B3967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FA0CF11" w14:textId="77777777" w:rsidR="009501EF" w:rsidRPr="008A351A" w:rsidRDefault="00FF661E"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Didžiosios </w:t>
      </w:r>
      <w:r w:rsidR="009501EF" w:rsidRPr="008A351A">
        <w:rPr>
          <w:rFonts w:ascii="Times New Roman" w:eastAsia="Times New Roman" w:hAnsi="Times New Roman" w:cs="Times New Roman"/>
          <w:b/>
          <w:bCs/>
        </w:rPr>
        <w:t>depresijos epizodų, susijusių su bipoliniu sutrikimu, gydymas</w:t>
      </w:r>
    </w:p>
    <w:p w14:paraId="173485B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reikia vartoti vieną kartą per parą prieš miegą. Bendra paros dozė pirmąsias keturias paras: 1</w:t>
      </w:r>
      <w:r w:rsidRPr="008A351A">
        <w:rPr>
          <w:rFonts w:ascii="Times New Roman" w:eastAsia="Times New Roman" w:hAnsi="Times New Roman" w:cs="Times New Roman"/>
        </w:rPr>
        <w:noBreakHyphen/>
        <w:t>oji para – 50 mg; 2</w:t>
      </w:r>
      <w:r w:rsidRPr="008A351A">
        <w:rPr>
          <w:rFonts w:ascii="Times New Roman" w:eastAsia="Times New Roman" w:hAnsi="Times New Roman" w:cs="Times New Roman"/>
        </w:rPr>
        <w:noBreakHyphen/>
        <w:t>oji para – 100 mg; 3</w:t>
      </w:r>
      <w:r w:rsidRPr="008A351A">
        <w:rPr>
          <w:rFonts w:ascii="Times New Roman" w:eastAsia="Times New Roman" w:hAnsi="Times New Roman" w:cs="Times New Roman"/>
        </w:rPr>
        <w:noBreakHyphen/>
        <w:t>ioji para – 200 mg; 4</w:t>
      </w:r>
      <w:r w:rsidRPr="008A351A">
        <w:rPr>
          <w:rFonts w:ascii="Times New Roman" w:eastAsia="Times New Roman" w:hAnsi="Times New Roman" w:cs="Times New Roman"/>
        </w:rPr>
        <w:noBreakHyphen/>
        <w:t>oji para – 300 mg. Rekomenduojama paros dozė yra 300 mg kvetiapino.</w:t>
      </w:r>
    </w:p>
    <w:p w14:paraId="54F9617D"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rPr>
        <w:t>Klinikinių tyrimų metu vartojančiųjų 600 mg grupėje, lyginant su vartojančiųjų 300 mg grupe (žr. 5.1 skyrių), papildomo teigiamo poveikio nepastebėta. Pavieniams pacientams 600 mg dozės teigiamas poveikis gali būti didesnis. Gydymą didesnėmis kaip 300 mg dozėmis turi paskirti gydytojai, turintys bipolinių sutrikimų gydymo patirties. Klinikinių tyrimų metu nustatyta, kad, pasireiškus toleravimo sutrikimams, pavieniams pacientams kvetiapino dozę galima sumažinti iki minimalios – 200 mg.</w:t>
      </w:r>
    </w:p>
    <w:p w14:paraId="7E1DED3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D22845D"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Bipolinio sutrikimo pasikartojimo profilaktika</w:t>
      </w:r>
    </w:p>
    <w:p w14:paraId="103CC9EA" w14:textId="77777777" w:rsidR="009501EF" w:rsidRPr="008A351A" w:rsidRDefault="009501EF" w:rsidP="009501EF">
      <w:pPr>
        <w:tabs>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Bipolinio sutrikimo manijos, </w:t>
      </w:r>
      <w:r w:rsidR="00FF661E" w:rsidRPr="008A351A">
        <w:rPr>
          <w:rFonts w:ascii="Times New Roman" w:eastAsia="Times New Roman" w:hAnsi="Times New Roman" w:cs="Times New Roman"/>
          <w:bCs/>
        </w:rPr>
        <w:t xml:space="preserve">mišraus ar </w:t>
      </w:r>
      <w:r w:rsidRPr="008A351A">
        <w:rPr>
          <w:rFonts w:ascii="Times New Roman" w:eastAsia="Times New Roman" w:hAnsi="Times New Roman" w:cs="Times New Roman"/>
          <w:bCs/>
        </w:rPr>
        <w:t xml:space="preserve">depresijos epizodo pasikartojimo profilaktika kvetiapinu galima tuo atveju, jei pacientas reagavo į kvetiapiną ūminio bipolinio sutrikimo gydymo metu. Toliau turi būti vartojama tokia pat dozė. Atsižvelgiant į ligonio klinikinę reakciją į gydymą bei vaistinio preparato toleravimą, </w:t>
      </w:r>
      <w:r w:rsidR="00493557" w:rsidRPr="008A351A">
        <w:rPr>
          <w:rFonts w:ascii="Times New Roman" w:eastAsia="Times New Roman" w:hAnsi="Times New Roman" w:cs="Times New Roman"/>
          <w:bCs/>
        </w:rPr>
        <w:t xml:space="preserve">paros </w:t>
      </w:r>
      <w:r w:rsidRPr="008A351A">
        <w:rPr>
          <w:rFonts w:ascii="Times New Roman" w:eastAsia="Times New Roman" w:hAnsi="Times New Roman" w:cs="Times New Roman"/>
          <w:bCs/>
        </w:rPr>
        <w:t>dozę galima koreguoti 300–800 mg ribose (paros dozė turi būti suvartojama per du kartus). Palaikomojo gydymo metu svarbu vartoti mažiausią veiksmingą dozę.</w:t>
      </w:r>
    </w:p>
    <w:p w14:paraId="071ADF97"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2D006592"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Senyvi pacientai</w:t>
      </w:r>
    </w:p>
    <w:p w14:paraId="034550F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Senyvus žmones kvetiapino tabletėmis, kaip ir kitokiais antipsichoziniais vaistiniais preparatais, reikia gydyti atsargiai, ypač pradinio dozės nustatymo laikotarpiu. Priklausomai nuo klinikinio atsako ir vaistinio preparato toleravimo senyviems žmonėms dozės nustatymo laikotarpis gali būti ilgesnis, o terapinė paros dozė mažesnė, negu jaunesniems suaugusiems žmonėms. Senyvų žmonių kraujo plazmoje kvetiapino klirenso vidurkis buvo 30</w:t>
      </w:r>
      <w:r w:rsidRPr="008A351A">
        <w:rPr>
          <w:rFonts w:ascii="Times New Roman" w:eastAsia="Times New Roman" w:hAnsi="Times New Roman" w:cs="Times New Roman"/>
        </w:rPr>
        <w:noBreakHyphen/>
        <w:t>50% mažesnis, negu jaunesnių pacientų.</w:t>
      </w:r>
    </w:p>
    <w:p w14:paraId="154076D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51BDEC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Veiksmingumas ir saugumas vyresniems nei 65 metų amžiaus pacientams, sergantiems depresijos epizodais, susijusiais su bipoliniu sutrikimu, </w:t>
      </w:r>
      <w:r w:rsidR="00493557" w:rsidRPr="008A351A">
        <w:rPr>
          <w:rFonts w:ascii="Times New Roman" w:eastAsia="Times New Roman" w:hAnsi="Times New Roman" w:cs="Times New Roman"/>
        </w:rPr>
        <w:t xml:space="preserve">tiriamas </w:t>
      </w:r>
      <w:r w:rsidRPr="008A351A">
        <w:rPr>
          <w:rFonts w:ascii="Times New Roman" w:eastAsia="Times New Roman" w:hAnsi="Times New Roman" w:cs="Times New Roman"/>
        </w:rPr>
        <w:t>nebuvo.</w:t>
      </w:r>
    </w:p>
    <w:p w14:paraId="793EBD3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6ED5B37"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Vaikų populiacija</w:t>
      </w:r>
    </w:p>
    <w:p w14:paraId="0AD1396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Kvetiapino tablečių nerekomenduojama vartoti vaikams ir paaugliams, jaunesniems nei 18 metų amžiaus, nes trūksta duomenų apie jų vartojimo pagrįstumą šioje amžiaus grupėje. Turimi duomenys iš placebu kontroliuojamų klinikinių tyrimų pateikti 4.4, 4.8, 5.1 ir 5.2 skyriuose.</w:t>
      </w:r>
    </w:p>
    <w:p w14:paraId="1793F7F7" w14:textId="77777777" w:rsidR="009501EF" w:rsidRPr="008A351A" w:rsidRDefault="009501EF" w:rsidP="009501EF">
      <w:pPr>
        <w:tabs>
          <w:tab w:val="left" w:pos="567"/>
        </w:tabs>
        <w:spacing w:after="0" w:line="240" w:lineRule="auto"/>
        <w:rPr>
          <w:rFonts w:ascii="Times New Roman" w:eastAsia="Times New Roman" w:hAnsi="Times New Roman" w:cs="Times New Roman"/>
          <w:b/>
          <w:bCs/>
          <w:i/>
          <w:iCs/>
        </w:rPr>
      </w:pPr>
    </w:p>
    <w:p w14:paraId="229C8684"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i/>
          <w:iCs/>
        </w:rPr>
        <w:t>Inkstų funkcijos sutrikimas</w:t>
      </w:r>
    </w:p>
    <w:p w14:paraId="69E129E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Pacientams, kurių inkstų funkcija sutrikusi, dozės keisti nereikia.</w:t>
      </w:r>
    </w:p>
    <w:p w14:paraId="7E1071DA" w14:textId="77777777" w:rsidR="009501EF" w:rsidRPr="008A351A" w:rsidRDefault="009501EF" w:rsidP="009501EF">
      <w:pPr>
        <w:tabs>
          <w:tab w:val="left" w:pos="567"/>
        </w:tabs>
        <w:spacing w:after="0" w:line="240" w:lineRule="auto"/>
        <w:rPr>
          <w:rFonts w:ascii="Times New Roman" w:eastAsia="Times New Roman" w:hAnsi="Times New Roman" w:cs="Times New Roman"/>
          <w:i/>
          <w:iCs/>
        </w:rPr>
      </w:pPr>
    </w:p>
    <w:p w14:paraId="57ECC595"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i/>
          <w:iCs/>
        </w:rPr>
        <w:t>Kepenų funkcijos sutrikimas</w:t>
      </w:r>
    </w:p>
    <w:p w14:paraId="3164DC0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Kvetiapinas ekstensyviai metabolizuojamas kepenyse, todėl pacientus, kurių kepenų funkcija sutrikusi, Quetiapine Accord reikia gydyti atsargiai, ypač pradiniu dozės nustatymo laikotarpiu. Pacientus, kurių kepenų funkcija sutrikusi, reikia pradėti gydyti 25 mg paros doze. Priklausomai nuo kiekvieno paciento klinikinio atsako ir toleravimo, pradinę paros dozę reikėtų kasdien didinti 25</w:t>
      </w:r>
      <w:r w:rsidRPr="008A351A">
        <w:rPr>
          <w:rFonts w:ascii="Times New Roman" w:eastAsia="Times New Roman" w:hAnsi="Times New Roman" w:cs="Times New Roman"/>
        </w:rPr>
        <w:noBreakHyphen/>
        <w:t>50 mg iki bus pasiekta veiksminga dozė.</w:t>
      </w:r>
    </w:p>
    <w:p w14:paraId="055A4F9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4AC132B"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0868451F"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4.3</w:t>
      </w:r>
      <w:r w:rsidRPr="008A351A">
        <w:rPr>
          <w:rFonts w:ascii="Times New Roman" w:eastAsia="Times New Roman" w:hAnsi="Times New Roman" w:cs="Times New Roman"/>
          <w:b/>
          <w:bCs/>
        </w:rPr>
        <w:tab/>
        <w:t xml:space="preserve">Kontraindikacijos </w:t>
      </w:r>
    </w:p>
    <w:p w14:paraId="23306A57"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136C484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Padidėjęs jautrumas veikliajai arba bet kuriai pagalbinei šio vaistinio preparato medžiagai.</w:t>
      </w:r>
    </w:p>
    <w:p w14:paraId="3C1E6A6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5E475E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Negalima vartoti kartu su citochromo P 450 3A4 inhibitoriais, pvz., ŽIV proteazės inhibitoriais, azolo grupės vaistiniais preparatais nuo grybelių, eritromicinu, klaritromicinu ar nefazodonu (</w:t>
      </w:r>
      <w:r w:rsidR="00493557" w:rsidRPr="008A351A">
        <w:rPr>
          <w:rFonts w:ascii="Times New Roman" w:eastAsia="Times New Roman" w:hAnsi="Times New Roman" w:cs="Times New Roman"/>
        </w:rPr>
        <w:t>žr.</w:t>
      </w:r>
      <w:r w:rsidRPr="008A351A">
        <w:rPr>
          <w:rFonts w:ascii="Times New Roman" w:eastAsia="Times New Roman" w:hAnsi="Times New Roman" w:cs="Times New Roman"/>
        </w:rPr>
        <w:t xml:space="preserve"> 4.5 skyrių). </w:t>
      </w:r>
    </w:p>
    <w:p w14:paraId="588C67F3"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1D7CBC4E"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4.4</w:t>
      </w:r>
      <w:r w:rsidRPr="008A351A">
        <w:rPr>
          <w:rFonts w:ascii="Times New Roman" w:eastAsia="Times New Roman" w:hAnsi="Times New Roman" w:cs="Times New Roman"/>
          <w:b/>
          <w:bCs/>
        </w:rPr>
        <w:tab/>
        <w:t>Specialūs įspėjimai ir specialios atsargumo priemonės</w:t>
      </w:r>
    </w:p>
    <w:p w14:paraId="5550CCCF" w14:textId="77777777" w:rsidR="009501EF" w:rsidRPr="008A351A" w:rsidRDefault="009501EF" w:rsidP="009501EF">
      <w:pPr>
        <w:spacing w:after="0" w:line="240" w:lineRule="auto"/>
        <w:rPr>
          <w:rFonts w:ascii="Times New Roman" w:eastAsia="Times New Roman" w:hAnsi="Times New Roman" w:cs="Times New Roman"/>
        </w:rPr>
      </w:pPr>
    </w:p>
    <w:p w14:paraId="17CDFE30"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Kadangi kvetiapinas vartojamas, esant kelioms indikacijoms, reikia apsvarstyti saugos profilį priklausomai nuo kiekvieno atskiro paciento diagnozės ir skiriamos dozės.</w:t>
      </w:r>
    </w:p>
    <w:p w14:paraId="549D3ADF" w14:textId="77777777" w:rsidR="009501EF" w:rsidRPr="008A351A" w:rsidRDefault="009501EF" w:rsidP="009501EF">
      <w:pPr>
        <w:spacing w:after="0" w:line="240" w:lineRule="auto"/>
        <w:rPr>
          <w:rFonts w:ascii="Times New Roman" w:eastAsia="Times New Roman" w:hAnsi="Times New Roman" w:cs="Times New Roman"/>
        </w:rPr>
      </w:pPr>
    </w:p>
    <w:p w14:paraId="2EE86922" w14:textId="77777777" w:rsidR="009501EF" w:rsidRPr="008A351A" w:rsidRDefault="009501EF" w:rsidP="009501EF">
      <w:pPr>
        <w:spacing w:after="0" w:line="240" w:lineRule="auto"/>
        <w:jc w:val="both"/>
        <w:rPr>
          <w:rFonts w:ascii="Times New Roman" w:eastAsia="Times New Roman" w:hAnsi="Times New Roman" w:cs="Times New Roman"/>
        </w:rPr>
      </w:pPr>
      <w:r w:rsidRPr="008A351A">
        <w:rPr>
          <w:rFonts w:ascii="Times New Roman" w:eastAsia="Times New Roman" w:hAnsi="Times New Roman" w:cs="Times New Roman"/>
          <w:b/>
          <w:bCs/>
          <w:i/>
          <w:iCs/>
        </w:rPr>
        <w:t>Vaikų populiacija</w:t>
      </w:r>
    </w:p>
    <w:p w14:paraId="25161B50" w14:textId="77777777" w:rsidR="009501EF" w:rsidRPr="008A351A" w:rsidRDefault="009501EF" w:rsidP="009501EF">
      <w:pPr>
        <w:spacing w:after="0" w:line="240" w:lineRule="auto"/>
        <w:jc w:val="both"/>
        <w:rPr>
          <w:rFonts w:ascii="Times New Roman" w:eastAsia="Times New Roman" w:hAnsi="Times New Roman" w:cs="Times New Roman"/>
        </w:rPr>
      </w:pPr>
    </w:p>
    <w:p w14:paraId="5C229D5C" w14:textId="77777777" w:rsidR="009501EF" w:rsidRPr="008A351A" w:rsidRDefault="009501EF" w:rsidP="009501EF">
      <w:pPr>
        <w:spacing w:after="0" w:line="240" w:lineRule="auto"/>
        <w:rPr>
          <w:rFonts w:ascii="Times New Roman" w:eastAsia="Times New Roman" w:hAnsi="Times New Roman" w:cs="Times New Roman"/>
          <w:color w:val="000000"/>
        </w:rPr>
      </w:pPr>
      <w:r w:rsidRPr="008A351A">
        <w:rPr>
          <w:rFonts w:ascii="Times New Roman" w:eastAsia="Times New Roman" w:hAnsi="Times New Roman" w:cs="Times New Roman"/>
          <w:color w:val="000000"/>
        </w:rPr>
        <w:t>Kvetiapino nerekomenduojama vartoti vaikams ir jaunesniems nei 18 metų paaugliams, nes duomenų, paremiančių tokių pacientų gydymą, nėra. Klinikinių tyrimų metu su kvetiapinu nustatyta, kad greta žinomų suaugusiems žmonėms nustatytų saugumo savybių (žr. 4.8 skyrių) vaikams ir paaugliams, palyginti su suaugusiais žmonėmis, tam tikri nepageidaujami reiškiniai (apetito padidėjimas, prolaktino koncentracijos serume padidėjimas, vėmimas, rinitas ir alpulys) arba galimas kitoks poveikis vaikams ir paaugliams (ekstrapiramidiniai simptomai ir dirglumas) atsiranda dažniau. Be to, vienas nustatytas nepageidaujamas reiškinys (kraujospūdžio padidėjimas), kurio tyrimų su suaugusiais žmonėmis metu nebuvo. Vaikams ir paaugliams buvo skydliaukės funkcijos tyrimų rodmenų pokyčių.</w:t>
      </w:r>
    </w:p>
    <w:p w14:paraId="36FBAF55" w14:textId="77777777" w:rsidR="009501EF" w:rsidRPr="008A351A" w:rsidRDefault="009501EF" w:rsidP="009501EF">
      <w:pPr>
        <w:spacing w:after="0" w:line="240" w:lineRule="auto"/>
        <w:rPr>
          <w:rFonts w:ascii="Times New Roman" w:eastAsia="Times New Roman" w:hAnsi="Times New Roman" w:cs="Times New Roman"/>
          <w:color w:val="000000"/>
        </w:rPr>
      </w:pPr>
    </w:p>
    <w:p w14:paraId="708232B5" w14:textId="77777777" w:rsidR="009501EF" w:rsidRPr="008A351A" w:rsidRDefault="009501EF" w:rsidP="009501EF">
      <w:pPr>
        <w:spacing w:after="0" w:line="240" w:lineRule="auto"/>
        <w:rPr>
          <w:rFonts w:ascii="Times New Roman" w:eastAsia="Times New Roman" w:hAnsi="Times New Roman" w:cs="Times New Roman"/>
          <w:color w:val="000000"/>
        </w:rPr>
      </w:pPr>
      <w:r w:rsidRPr="008A351A">
        <w:rPr>
          <w:rFonts w:ascii="Times New Roman" w:eastAsia="Times New Roman" w:hAnsi="Times New Roman" w:cs="Times New Roman"/>
          <w:color w:val="000000"/>
        </w:rPr>
        <w:t>Be to, kvetiapino ilgalaikis saugumas, susijęs su poveikiu augimui ir brendimui, tirtas vertinant ne ilgesnį kaip 26 savaičių laikotarpį. Ilgalaikis poveikis kognityvinei ir elgesio raidai nežinomas.</w:t>
      </w:r>
    </w:p>
    <w:p w14:paraId="4DE039FF" w14:textId="77777777" w:rsidR="009501EF" w:rsidRPr="008A351A" w:rsidRDefault="009501EF" w:rsidP="009501EF">
      <w:pPr>
        <w:spacing w:after="0" w:line="240" w:lineRule="auto"/>
        <w:rPr>
          <w:rFonts w:ascii="Times New Roman" w:eastAsia="Times New Roman" w:hAnsi="Times New Roman" w:cs="Times New Roman"/>
          <w:color w:val="000000"/>
        </w:rPr>
      </w:pPr>
    </w:p>
    <w:p w14:paraId="2E1DC960" w14:textId="77777777" w:rsidR="009501EF" w:rsidRPr="008A351A" w:rsidRDefault="009501EF" w:rsidP="009501EF">
      <w:pPr>
        <w:spacing w:after="0" w:line="240" w:lineRule="auto"/>
        <w:rPr>
          <w:rFonts w:ascii="Times New Roman" w:eastAsia="Times New Roman" w:hAnsi="Times New Roman" w:cs="Times New Roman"/>
          <w:color w:val="000000"/>
        </w:rPr>
      </w:pPr>
      <w:r w:rsidRPr="008A351A">
        <w:rPr>
          <w:rFonts w:ascii="Times New Roman" w:eastAsia="Times New Roman" w:hAnsi="Times New Roman" w:cs="Times New Roman"/>
          <w:color w:val="000000"/>
        </w:rPr>
        <w:t xml:space="preserve">Placebo kontroliuotų tyrimų, kuriuose dalyvavo pacientai vaikai ir paaugliai, metu kvetiapino vartojimas buvo susijęs su dažnesniu ekstrapiramidinių simptomų (EPS) atsiradimu ligoniams, gydytiems nuo šizofrenijos, bipolinės manijos ir bipolinės depresijos, palyginti su placebo vartojusiais pacientais (žr. 4.8 skyrių). </w:t>
      </w:r>
    </w:p>
    <w:p w14:paraId="47C3244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4532DFB"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i/>
          <w:iCs/>
        </w:rPr>
        <w:t xml:space="preserve">Savižudybė ir (arba) mintys apie savižudybę arba klinikinės būklės pasunkėjimas </w:t>
      </w:r>
    </w:p>
    <w:p w14:paraId="2617B18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6025C7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Su bipoliniu sutrikimu susijusi depresija siejama su padidėjusiu minčių apie savižudybe, savęs žalojimo ir savižudybės (su savižudybe siejamų reiškinių) pavoju</w:t>
      </w:r>
      <w:r w:rsidR="00434403" w:rsidRPr="008A351A">
        <w:rPr>
          <w:rFonts w:ascii="Times New Roman" w:eastAsia="Times New Roman" w:hAnsi="Times New Roman" w:cs="Times New Roman"/>
        </w:rPr>
        <w:t>mi</w:t>
      </w:r>
      <w:r w:rsidRPr="008A351A">
        <w:rPr>
          <w:rFonts w:ascii="Times New Roman" w:eastAsia="Times New Roman" w:hAnsi="Times New Roman" w:cs="Times New Roman"/>
        </w:rPr>
        <w:t xml:space="preserve">. Šis pavojus išlieka tol, kol bus pasiekta reikšminga remisija. Kadangi pirmosiomis gydymo savaitėmis arba ilgiau pagerėjimas gali nepasireikšti, pacientus reikia atidžiai stebėti tol, kol toks pagerėjimas pasireikš. Remiantis bendrąja klinikine patirtimi, ankstyvuoju sveikimo laikotarpiu savižudybės rizika gali padidėti. </w:t>
      </w:r>
    </w:p>
    <w:p w14:paraId="53A2F61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DC7795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Be to, gydytojai privalo atsižvelgti į padidėjusią su savižudybe siejamų reiškinių riziką po staigaus gydymo kvetiapinu nutraukimo dėl žinomų rizikos faktorių, susijusių su gydoma liga. Kiti psichiatriniai susirgimai, dėl kurių yra skiriamas kvetiapinas, taip pat yra susiję su padidėjusia su savižudybe siejamų reiškinių rizika. Be to, šios būklės gali būti susijusios su sunkiais depresiniais epizodais. Todėl reikia laikytis tų pačių atsargumo priemonių, kai gydomi pacientai su sunkiais depresijos epizodais ir su kitais psichiatriniais susirgimais.</w:t>
      </w:r>
    </w:p>
    <w:p w14:paraId="5886E62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A38676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Pacientai, kuriems praeityje yra buvę su savižudybe siejamų reiškinių, arba tie, kuriems yra didelis suicidinio ketinimo laipsnis prieš prasidedant gydymui turi didesnę minčių apie savižudybę arba savižudybės bandymų riziką ir todėl gydymo metu turi būti atidžiai stebimi. Placebu kontroliuojamų klinikinių tyrimų, kuriuose buvo tiriami antidepresantai, gydant psichiatrinėmis ligomis sergančius </w:t>
      </w:r>
      <w:r w:rsidRPr="008A351A">
        <w:rPr>
          <w:rFonts w:ascii="Times New Roman" w:eastAsia="Times New Roman" w:hAnsi="Times New Roman" w:cs="Times New Roman"/>
        </w:rPr>
        <w:lastRenderedPageBreak/>
        <w:t>pacientus, meta analizė parodė padidėjusią savižudybinio elgesio riziką, vartojant antidepresantus, palyginti su pacientais, kurie vartojo placebą, grupėje, kurioje pacientai jaunesni, nei 25 metų.</w:t>
      </w:r>
    </w:p>
    <w:p w14:paraId="70E45A5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36BDAF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Pacientai, ir ypatingai esantys didelės rizikos grupėje, turi būti įdėmiai stebimi, kai vyksta medikamentinis gydymas, ypatingai gydymo pradžioje, ir kai keičiama dozė. Pacientai (ir pacientų globėjai) turi būti įspėti apie tai, kad reikia stebėti klinikinės situacijos blogėjimą, suicidinį elgesį ir mintis apie savižudybę, o taip pat apie neįprastus elgesio pasikeitimus, ir nedelsiant kreiptis medicinos pagalbos, jei pasirodo tokie simptomai.</w:t>
      </w:r>
    </w:p>
    <w:p w14:paraId="5BBAD65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Trumpalaikių placebu kontroliuojamų klinikinių tyrimų metu jaunesniems kaip 25 metų suaugusiems pacientams, sergantiems didžiosios depresijos epizodais, susijusiais su bipoliniu sutrikimu, ir gydytiems kvetiapinu, nustatyta didesnė su savižudybe siejamų reiškinių rizika, negu vartojusiems placebą (atitinkamai, 3,0% ir 0%).</w:t>
      </w:r>
      <w:r w:rsidR="00B53CD9" w:rsidRPr="008A351A">
        <w:rPr>
          <w:rFonts w:ascii="Times New Roman" w:eastAsia="Times New Roman" w:hAnsi="Times New Roman" w:cs="Times New Roman"/>
        </w:rPr>
        <w:t xml:space="preserve"> </w:t>
      </w:r>
      <w:r w:rsidR="00B53CD9" w:rsidRPr="008A351A">
        <w:rPr>
          <w:rFonts w:ascii="Times New Roman" w:hAnsi="Times New Roman"/>
        </w:rPr>
        <w:t>Retrospektyvaus populiacija pagrįsto tyrimo</w:t>
      </w:r>
      <w:r w:rsidR="00BD6CB0" w:rsidRPr="008A351A">
        <w:rPr>
          <w:rFonts w:ascii="Times New Roman" w:hAnsi="Times New Roman"/>
        </w:rPr>
        <w:t xml:space="preserve"> metu </w:t>
      </w:r>
      <w:r w:rsidR="00DD0397" w:rsidRPr="008A351A">
        <w:rPr>
          <w:rFonts w:ascii="Times New Roman" w:hAnsi="Times New Roman"/>
        </w:rPr>
        <w:t xml:space="preserve">25–64 metų amžiaus </w:t>
      </w:r>
      <w:r w:rsidR="00BD6CB0" w:rsidRPr="008A351A">
        <w:rPr>
          <w:rFonts w:ascii="Times New Roman" w:hAnsi="Times New Roman"/>
        </w:rPr>
        <w:t xml:space="preserve">pacientams, sergantiems didžiosios depresijos sutrikimu ir gydytiems kvetiapinu, </w:t>
      </w:r>
      <w:r w:rsidR="00DD0397" w:rsidRPr="008A351A">
        <w:rPr>
          <w:rFonts w:ascii="Times New Roman" w:hAnsi="Times New Roman"/>
        </w:rPr>
        <w:t>nustatyta</w:t>
      </w:r>
      <w:r w:rsidR="00BD6CB0" w:rsidRPr="008A351A">
        <w:rPr>
          <w:rFonts w:ascii="Times New Roman" w:hAnsi="Times New Roman"/>
        </w:rPr>
        <w:t xml:space="preserve"> </w:t>
      </w:r>
      <w:r w:rsidR="00DD0397" w:rsidRPr="008A351A">
        <w:rPr>
          <w:rFonts w:ascii="Times New Roman" w:hAnsi="Times New Roman"/>
        </w:rPr>
        <w:t>didesnė su savęs žalojimu ir savižudybe siejamų reiškinių rizika, negu pacientams</w:t>
      </w:r>
      <w:r w:rsidR="00BD6CB0" w:rsidRPr="008A351A">
        <w:rPr>
          <w:rFonts w:ascii="Times New Roman" w:hAnsi="Times New Roman"/>
        </w:rPr>
        <w:t xml:space="preserve">, kuriems nebuvo nustatytas polinkis </w:t>
      </w:r>
      <w:r w:rsidR="00DD0397" w:rsidRPr="008A351A">
        <w:rPr>
          <w:rFonts w:ascii="Times New Roman" w:hAnsi="Times New Roman"/>
        </w:rPr>
        <w:t>save žaloti</w:t>
      </w:r>
      <w:r w:rsidR="00BD6CB0" w:rsidRPr="008A351A">
        <w:rPr>
          <w:rFonts w:ascii="Times New Roman" w:hAnsi="Times New Roman"/>
        </w:rPr>
        <w:t xml:space="preserve"> vartojant kvetiapiną be kitų antidepresantų</w:t>
      </w:r>
      <w:r w:rsidR="00B53CD9" w:rsidRPr="008A351A">
        <w:rPr>
          <w:rFonts w:ascii="Times New Roman" w:hAnsi="Times New Roman"/>
          <w:color w:val="000000"/>
        </w:rPr>
        <w:t>.</w:t>
      </w:r>
      <w:r w:rsidRPr="008A351A">
        <w:rPr>
          <w:rFonts w:ascii="Times New Roman" w:eastAsia="Times New Roman" w:hAnsi="Times New Roman" w:cs="Times New Roman"/>
        </w:rPr>
        <w:t xml:space="preserve"> </w:t>
      </w:r>
    </w:p>
    <w:p w14:paraId="29BEC24B"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1630918A" w14:textId="77777777" w:rsidR="009501EF" w:rsidRPr="008A351A" w:rsidRDefault="009501EF" w:rsidP="009501EF">
      <w:pPr>
        <w:tabs>
          <w:tab w:val="left" w:pos="567"/>
        </w:tabs>
        <w:spacing w:after="0" w:line="240" w:lineRule="auto"/>
        <w:rPr>
          <w:rFonts w:ascii="Times New Roman" w:hAnsi="Times New Roman" w:cs="Times New Roman"/>
          <w:b/>
          <w:i/>
        </w:rPr>
      </w:pPr>
      <w:r w:rsidRPr="008A351A">
        <w:rPr>
          <w:rFonts w:ascii="Times New Roman" w:eastAsia="Times New Roman" w:hAnsi="Times New Roman" w:cs="Times New Roman"/>
          <w:b/>
          <w:i/>
          <w:iCs/>
        </w:rPr>
        <w:t xml:space="preserve">Metabolizmo rizikos </w:t>
      </w:r>
      <w:r w:rsidR="00493557" w:rsidRPr="008A351A">
        <w:rPr>
          <w:rFonts w:ascii="Times New Roman" w:eastAsia="Times New Roman" w:hAnsi="Times New Roman" w:cs="Times New Roman"/>
          <w:b/>
          <w:i/>
          <w:iCs/>
        </w:rPr>
        <w:t>veiksniai</w:t>
      </w:r>
    </w:p>
    <w:p w14:paraId="604C09E3" w14:textId="77777777" w:rsidR="009501EF" w:rsidRPr="008A351A" w:rsidRDefault="009501EF" w:rsidP="009501EF">
      <w:pPr>
        <w:tabs>
          <w:tab w:val="left" w:pos="567"/>
        </w:tabs>
        <w:spacing w:after="0" w:line="240" w:lineRule="auto"/>
        <w:rPr>
          <w:rFonts w:ascii="Times New Roman" w:hAnsi="Times New Roman" w:cs="Times New Roman"/>
          <w:b/>
          <w:i/>
        </w:rPr>
      </w:pPr>
    </w:p>
    <w:p w14:paraId="6024307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Dėl klinikinių tyrimų metu pastebėto metabolizmo parametrų, įskaitant svorio, gliukozės kiekio kraujyje (žr. hiperglikemija) ir lipidų pokyčio pavojaus, paciento metabolizmo parametrai turi būti įvertinti pradedant gydymą ir jų pokyčius gydymo metu reikia reguliariai kontroliuoti. Šių parametrų gydymas turi būti gydomas atsižvelgiant į esamus klinikinius simptomus (žr. ir 4.8 skyrių).</w:t>
      </w:r>
    </w:p>
    <w:p w14:paraId="6765223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DDFA7E0"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Ekstrapiramidiniai simptomai</w:t>
      </w:r>
    </w:p>
    <w:p w14:paraId="7837FFCF"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p>
    <w:p w14:paraId="175D945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Placebu kontroliuojamu tyrimų su suaugusiais pacientais, sergančiais didžiosios depresijos epizodais, susijusiais su bipoliniu sutrikimu, metu kvetiapino grupėje ekstrapiramidinių simptomų (EPS) dažnis buvo didesnis nei placebo grupėje (žr. 4.8 ir </w:t>
      </w:r>
      <w:r w:rsidRPr="008A351A">
        <w:rPr>
          <w:rFonts w:ascii="Times New Roman" w:eastAsia="Times New Roman" w:hAnsi="Times New Roman" w:cs="Times New Roman"/>
          <w:lang w:eastAsia="en-GB"/>
        </w:rPr>
        <w:t xml:space="preserve">5.1 </w:t>
      </w:r>
      <w:r w:rsidRPr="008A351A">
        <w:rPr>
          <w:rFonts w:ascii="Times New Roman" w:eastAsia="Times New Roman" w:hAnsi="Times New Roman" w:cs="Times New Roman"/>
        </w:rPr>
        <w:t>skyrius).</w:t>
      </w:r>
    </w:p>
    <w:p w14:paraId="7C0FEBD2" w14:textId="77777777" w:rsidR="009501EF" w:rsidRPr="008A351A" w:rsidRDefault="009501EF" w:rsidP="009501EF">
      <w:pPr>
        <w:tabs>
          <w:tab w:val="left" w:pos="567"/>
        </w:tabs>
        <w:spacing w:after="0" w:line="240" w:lineRule="auto"/>
        <w:rPr>
          <w:rFonts w:ascii="Times New Roman" w:hAnsi="Times New Roman" w:cs="Times New Roman"/>
        </w:rPr>
      </w:pPr>
    </w:p>
    <w:p w14:paraId="09D6D5E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w:t>
      </w:r>
      <w:r w:rsidR="00434403" w:rsidRPr="008A351A">
        <w:rPr>
          <w:rFonts w:ascii="Times New Roman" w:eastAsia="Times New Roman" w:hAnsi="Times New Roman" w:cs="Times New Roman"/>
        </w:rPr>
        <w:t>a</w:t>
      </w:r>
      <w:r w:rsidRPr="008A351A">
        <w:rPr>
          <w:rFonts w:ascii="Times New Roman" w:eastAsia="Times New Roman" w:hAnsi="Times New Roman" w:cs="Times New Roman"/>
        </w:rPr>
        <w:t>pi</w:t>
      </w:r>
      <w:r w:rsidR="00434403" w:rsidRPr="008A351A">
        <w:rPr>
          <w:rFonts w:ascii="Times New Roman" w:eastAsia="Times New Roman" w:hAnsi="Times New Roman" w:cs="Times New Roman"/>
        </w:rPr>
        <w:t>n</w:t>
      </w:r>
      <w:r w:rsidRPr="008A351A">
        <w:rPr>
          <w:rFonts w:ascii="Times New Roman" w:eastAsia="Times New Roman" w:hAnsi="Times New Roman" w:cs="Times New Roman"/>
        </w:rPr>
        <w:t>o vartojimas buvo susijęs su akatizijos pasireiškimu, kuriai būdingas subjektyviai nemalonus arba erzinantis nerimas arba poreikis judėti, su kuriuo dažnai pasireiškia nesugebėjimas ramiai sėdėti arba stovėti. Tai dažniausiai pasireiškia per kelias pirmąsias gydymo savaites. Pacientams, kuriems pasireiškia šie simptomai, dozės padidinimas gali turėti labai neigiamą poveikį.</w:t>
      </w:r>
    </w:p>
    <w:p w14:paraId="11D9715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DDCD4D7"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 xml:space="preserve">Vėlyvoji </w:t>
      </w:r>
      <w:r w:rsidR="00493557" w:rsidRPr="008A351A">
        <w:rPr>
          <w:rFonts w:ascii="Times New Roman" w:eastAsia="Times New Roman" w:hAnsi="Times New Roman" w:cs="Times New Roman"/>
          <w:b/>
          <w:i/>
          <w:iCs/>
        </w:rPr>
        <w:t>diskinezija</w:t>
      </w:r>
    </w:p>
    <w:p w14:paraId="7BDE2095" w14:textId="77777777" w:rsidR="009501EF" w:rsidRPr="008A351A" w:rsidRDefault="009501EF" w:rsidP="009501EF">
      <w:pPr>
        <w:tabs>
          <w:tab w:val="left" w:pos="567"/>
        </w:tabs>
        <w:spacing w:after="0" w:line="240" w:lineRule="auto"/>
        <w:rPr>
          <w:rFonts w:ascii="Times New Roman" w:hAnsi="Times New Roman" w:cs="Times New Roman"/>
          <w:b/>
          <w:i/>
        </w:rPr>
      </w:pPr>
    </w:p>
    <w:p w14:paraId="1394E43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 pasireiškia vėlyvosios diskinezijos požymių ar simptomų, būtina apsvarstyti, ar nereikėtų sumažinti dozės arba nutraukti Quetiapine Accord vartojimo. Vėlyvosios diskinezijos simptomai gali pasunkėti ar net atsirasti ir nutraukus jo vartojimą (žr. 4.8 skyrių).</w:t>
      </w:r>
    </w:p>
    <w:p w14:paraId="52042E5B"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05733620"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iCs/>
        </w:rPr>
        <w:t>Somnolencija ir galvos svaigimas</w:t>
      </w:r>
    </w:p>
    <w:p w14:paraId="2FF00DAB"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27491AC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Kvetiapino vartojimas yra susijęs su somnolencijos ir panašių simptomų, pavyzdžiui, sedacijos, pasireiškimu (žr. 4.8 skyrių). Klinikinių tyrimų su bipoline depresija sergančiais pacientais metu šis poveikis įprastai pasireikšdavo per pirmąsias 3 gydymo paras ir dažniausiai buvo nesunkus arba vidutinio sunkumo. Mažiausiai dvi savaites nuo somnolencijos pradžios arba tol, kol pasireikš simptomų pagerėjimas ir bus galima svarstyti apie gydymo nutraukimą, gali tekti sergančius pacientus, kuriems pasireiškė sunki somnolencija, lankyti dažniau.</w:t>
      </w:r>
    </w:p>
    <w:p w14:paraId="3A9462D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99F9356"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Ortostatinė hipotenzija</w:t>
      </w:r>
    </w:p>
    <w:p w14:paraId="29E438E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368275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Kvetiapino vartojimas yra susijęs su ortostatine hipotenzija ir su ja susijusiu galvos svaigimu (žr. 4.8 </w:t>
      </w:r>
      <w:r w:rsidR="00A24FA5" w:rsidRPr="008A351A">
        <w:rPr>
          <w:rFonts w:ascii="Times New Roman" w:eastAsia="Times New Roman" w:hAnsi="Times New Roman" w:cs="Times New Roman"/>
        </w:rPr>
        <w:t>skyrių</w:t>
      </w:r>
      <w:r w:rsidRPr="008A351A">
        <w:rPr>
          <w:rFonts w:ascii="Times New Roman" w:eastAsia="Times New Roman" w:hAnsi="Times New Roman" w:cs="Times New Roman"/>
        </w:rPr>
        <w:t>), kuris, kaip ir somnolencija, paprastai atsiranda pradiniame dozės nustatymo laikotarpyje. Tai gali padidinti atsitiktinio sužalojimo (kritimo) pasireiškimo dažnumą, ypatingai tarp pagyvenusių pacientų. Todėl pacientams patariama būti atsargiems, kol jie nesusipažįsta su potencialiu vaistų poveikiu.</w:t>
      </w:r>
    </w:p>
    <w:p w14:paraId="3DBA5FF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200706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 xml:space="preserve">Pacientus, kurie serga širdies ir kraujagyslių sistemos, smegenų kraujagyslių liga arba kuriems yra kitokių sutrikimų, skatinančių hipotenzijos pasireiškimą, Quetiapine Accord reikia vartoti atsargiai. </w:t>
      </w:r>
    </w:p>
    <w:p w14:paraId="55E4176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A63707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pasireiškia ortostatinė hipotenzija, ypač pacientams, kurie serga foninėmis širdies ir kraujagyslių ligomis, reikia mažinti dozę arba ją didinti laipsniškiau.</w:t>
      </w:r>
    </w:p>
    <w:p w14:paraId="43DD493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B4F66C1"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Miego apnėjos sindromas</w:t>
      </w:r>
    </w:p>
    <w:p w14:paraId="5025B96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247771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Buvo pranešta apie miego apnėjos sindromo pasireiškimą kvetiapino vartojusiems pacientams. Pacientams, kurie tuo pat metu vartoja centrinę nervų sistemą veikiančius antidepresantus ir kurie buvo sirgę miego apnėja arba kuriems kyla pavojus ja susirgti, pvz., turintiems antsvorio arba nutukusiems, taip pat vyrams, kvetiapino turi būti skiriama atsargiai.</w:t>
      </w:r>
    </w:p>
    <w:p w14:paraId="1AB0AE29" w14:textId="77777777" w:rsidR="009501EF" w:rsidRPr="008A351A" w:rsidRDefault="009501EF" w:rsidP="009501EF">
      <w:pPr>
        <w:tabs>
          <w:tab w:val="left" w:pos="567"/>
        </w:tabs>
        <w:spacing w:after="0" w:line="240" w:lineRule="auto"/>
        <w:rPr>
          <w:rFonts w:ascii="Times New Roman" w:eastAsia="Times New Roman" w:hAnsi="Times New Roman" w:cs="Times New Roman"/>
          <w:i/>
          <w:iCs/>
        </w:rPr>
      </w:pPr>
    </w:p>
    <w:p w14:paraId="07161797"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Traukuliai</w:t>
      </w:r>
    </w:p>
    <w:p w14:paraId="7593B44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E77D90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Kontroliuojamų klinikinių tyrimų metu pacientams, vartojantiems kvetiapino ar placebo, traukulių dažnis nesiskyrė. Nėra duomenų apie pasireiškiančius traukulius tarp pacientų, kuriems praeityje yra buvę traukulių. Pacientus, kuriems yra buvę traukulių priepuolių, kvetiapinu, kaip ir kitokiais antipsichoziniais preparatais, rekomenduojama gydyti atsargiai (žr. 4.8 skyrių).</w:t>
      </w:r>
    </w:p>
    <w:p w14:paraId="16CD4466" w14:textId="77777777" w:rsidR="009501EF" w:rsidRPr="008A351A" w:rsidRDefault="009501EF" w:rsidP="009501EF">
      <w:pPr>
        <w:tabs>
          <w:tab w:val="left" w:pos="567"/>
        </w:tabs>
        <w:spacing w:after="0" w:line="240" w:lineRule="auto"/>
        <w:rPr>
          <w:rFonts w:ascii="Times New Roman" w:eastAsia="Times New Roman" w:hAnsi="Times New Roman" w:cs="Times New Roman"/>
          <w:b/>
          <w:bCs/>
          <w:i/>
          <w:iCs/>
        </w:rPr>
      </w:pPr>
    </w:p>
    <w:p w14:paraId="1050C67B" w14:textId="77777777" w:rsidR="00E24EF2" w:rsidRPr="00E24EF2" w:rsidRDefault="00E24EF2" w:rsidP="00E24EF2">
      <w:pPr>
        <w:tabs>
          <w:tab w:val="left" w:pos="567"/>
        </w:tabs>
        <w:spacing w:after="0" w:line="240" w:lineRule="auto"/>
        <w:rPr>
          <w:rFonts w:ascii="Times New Roman" w:eastAsia="Times New Roman" w:hAnsi="Times New Roman" w:cs="Times New Roman"/>
          <w:b/>
          <w:i/>
          <w:iCs/>
        </w:rPr>
      </w:pPr>
      <w:r w:rsidRPr="00E24EF2">
        <w:rPr>
          <w:rFonts w:ascii="Times New Roman" w:eastAsia="Times New Roman" w:hAnsi="Times New Roman" w:cs="Times New Roman"/>
          <w:b/>
          <w:i/>
          <w:iCs/>
        </w:rPr>
        <w:t>Serotonino sindromas</w:t>
      </w:r>
    </w:p>
    <w:p w14:paraId="65D67B3B" w14:textId="77777777" w:rsidR="00E24EF2" w:rsidRDefault="00E24EF2" w:rsidP="00E24EF2">
      <w:pPr>
        <w:tabs>
          <w:tab w:val="left" w:pos="567"/>
        </w:tabs>
        <w:spacing w:after="0" w:line="240" w:lineRule="auto"/>
        <w:rPr>
          <w:rFonts w:ascii="Times New Roman" w:eastAsia="Times New Roman" w:hAnsi="Times New Roman" w:cs="Times New Roman"/>
          <w:b/>
          <w:i/>
          <w:iCs/>
        </w:rPr>
      </w:pPr>
    </w:p>
    <w:p w14:paraId="05DB1C00" w14:textId="21A3BF8C" w:rsidR="00E24EF2" w:rsidRPr="004D1B44" w:rsidRDefault="00E24EF2" w:rsidP="00E24EF2">
      <w:pPr>
        <w:tabs>
          <w:tab w:val="left" w:pos="567"/>
        </w:tabs>
        <w:spacing w:after="0" w:line="240" w:lineRule="auto"/>
        <w:rPr>
          <w:rFonts w:ascii="Times New Roman" w:eastAsia="Times New Roman" w:hAnsi="Times New Roman" w:cs="Times New Roman"/>
          <w:bCs/>
        </w:rPr>
      </w:pPr>
      <w:r w:rsidRPr="00E24EF2">
        <w:rPr>
          <w:rFonts w:ascii="Times New Roman" w:eastAsia="Times New Roman" w:hAnsi="Times New Roman" w:cs="Times New Roman"/>
          <w:bCs/>
        </w:rPr>
        <w:t xml:space="preserve">Quetiapine Accord </w:t>
      </w:r>
      <w:r w:rsidRPr="004D1B44">
        <w:rPr>
          <w:rFonts w:ascii="Times New Roman" w:eastAsia="Times New Roman" w:hAnsi="Times New Roman" w:cs="Times New Roman"/>
          <w:bCs/>
        </w:rPr>
        <w:t>vartojant kartu su serotoninerginėmis medžiagomis, pvz., MAO inhibitoriais, selektyviaisiais serotonino reabsorbcijos inhibitoriais (SSRI), serotonino ir noradrenalino reabsorbcijos inhibitoriais (SNRI) arba tricikliais antidepresantais gali išsivystyti serotonino sindromas – sutrikimas, galintis kelti pavojų gyvybei (žr. 4.5 skyrių).</w:t>
      </w:r>
    </w:p>
    <w:p w14:paraId="5D1D86A7" w14:textId="77777777" w:rsidR="00E24EF2" w:rsidRDefault="00E24EF2" w:rsidP="00E24EF2">
      <w:pPr>
        <w:tabs>
          <w:tab w:val="left" w:pos="567"/>
        </w:tabs>
        <w:spacing w:after="0" w:line="240" w:lineRule="auto"/>
        <w:rPr>
          <w:rFonts w:ascii="Times New Roman" w:eastAsia="Times New Roman" w:hAnsi="Times New Roman" w:cs="Times New Roman"/>
          <w:bCs/>
        </w:rPr>
      </w:pPr>
    </w:p>
    <w:p w14:paraId="41CDF222" w14:textId="0267A47A" w:rsidR="00E24EF2" w:rsidRPr="004D1B44" w:rsidRDefault="00E24EF2" w:rsidP="00E24EF2">
      <w:pPr>
        <w:tabs>
          <w:tab w:val="left" w:pos="567"/>
        </w:tabs>
        <w:spacing w:after="0" w:line="240" w:lineRule="auto"/>
        <w:rPr>
          <w:rFonts w:ascii="Times New Roman" w:eastAsia="Times New Roman" w:hAnsi="Times New Roman" w:cs="Times New Roman"/>
          <w:bCs/>
        </w:rPr>
      </w:pPr>
      <w:r w:rsidRPr="004D1B44">
        <w:rPr>
          <w:rFonts w:ascii="Times New Roman" w:eastAsia="Times New Roman" w:hAnsi="Times New Roman" w:cs="Times New Roman"/>
          <w:bCs/>
        </w:rPr>
        <w:t>Jeigu kliniškai būtina kartu vartoti kitas serotoninergines medžiagas, patartina pacientą atidžiai stebėti, ypač pradedant gydymą ir didinant dozę. Serotonino sindromo simptomai be kita ko gali būti psichinės būklės pokyčiai, autonominių funkcijų nestabilumas, neuromuskulinės patologijos ir (arba) virškinimo trakto simptomai.</w:t>
      </w:r>
    </w:p>
    <w:p w14:paraId="37DE8B2B" w14:textId="77777777" w:rsidR="004D1B44" w:rsidRDefault="004D1B44" w:rsidP="00E24EF2">
      <w:pPr>
        <w:tabs>
          <w:tab w:val="left" w:pos="567"/>
        </w:tabs>
        <w:spacing w:after="0" w:line="240" w:lineRule="auto"/>
        <w:rPr>
          <w:rFonts w:ascii="Times New Roman" w:eastAsia="Times New Roman" w:hAnsi="Times New Roman" w:cs="Times New Roman"/>
          <w:bCs/>
        </w:rPr>
      </w:pPr>
    </w:p>
    <w:p w14:paraId="3D081925" w14:textId="2AA2853F" w:rsidR="00E24EF2" w:rsidRPr="004D1B44" w:rsidRDefault="00E24EF2" w:rsidP="00E24EF2">
      <w:pPr>
        <w:tabs>
          <w:tab w:val="left" w:pos="567"/>
        </w:tabs>
        <w:spacing w:after="0" w:line="240" w:lineRule="auto"/>
        <w:rPr>
          <w:rFonts w:ascii="Times New Roman" w:eastAsia="Times New Roman" w:hAnsi="Times New Roman" w:cs="Times New Roman"/>
          <w:bCs/>
        </w:rPr>
      </w:pPr>
      <w:r w:rsidRPr="004D1B44">
        <w:rPr>
          <w:rFonts w:ascii="Times New Roman" w:eastAsia="Times New Roman" w:hAnsi="Times New Roman" w:cs="Times New Roman"/>
          <w:bCs/>
        </w:rPr>
        <w:t>Įtarus serotonino sindromą, atsižvelgiant į simptomų sunkumą reikia apsvarstyti dozės sumažinimo arba gydymo nutraukimo galimybę.</w:t>
      </w:r>
    </w:p>
    <w:p w14:paraId="0257E9D4" w14:textId="77777777" w:rsidR="00E24EF2" w:rsidRDefault="00E24EF2" w:rsidP="00E24EF2">
      <w:pPr>
        <w:tabs>
          <w:tab w:val="left" w:pos="567"/>
        </w:tabs>
        <w:spacing w:after="0" w:line="240" w:lineRule="auto"/>
        <w:rPr>
          <w:rFonts w:ascii="Times New Roman" w:eastAsia="Times New Roman" w:hAnsi="Times New Roman" w:cs="Times New Roman"/>
          <w:b/>
          <w:i/>
          <w:iCs/>
        </w:rPr>
      </w:pPr>
    </w:p>
    <w:p w14:paraId="5BC5BDA4" w14:textId="123E7D41" w:rsidR="009501EF" w:rsidRPr="008A351A" w:rsidRDefault="009501EF" w:rsidP="00E24EF2">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iCs/>
        </w:rPr>
        <w:t>Piktybinis neuroleptinis sindromas</w:t>
      </w:r>
    </w:p>
    <w:p w14:paraId="4C092C72"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16FAF28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Piktybinis neuroleptinis sindromas buvo susijęs su gydymu antipsichoziniais vaistiniais preparatais, įskaitant kvetiapiną (žr. 4.8 skyrių).). Klinikiniai jo simptomai yra hipertermija, psichikos pokytis, raumenų rigidiškumas, autonominės nervų sistemos nestabilumas ir </w:t>
      </w:r>
      <w:r w:rsidR="00493557" w:rsidRPr="008A351A">
        <w:rPr>
          <w:rFonts w:ascii="Times New Roman" w:eastAsia="Times New Roman" w:hAnsi="Times New Roman" w:cs="Times New Roman"/>
        </w:rPr>
        <w:t>kreatin</w:t>
      </w:r>
      <w:r w:rsidRPr="008A351A">
        <w:rPr>
          <w:rFonts w:ascii="Times New Roman" w:eastAsia="Times New Roman" w:hAnsi="Times New Roman" w:cs="Times New Roman"/>
        </w:rPr>
        <w:t xml:space="preserve">fosfokinazės aktyvumo padidėjimas. Jeigu šis sindromas pasireiškia, kvetiapino vartojimą reikia nutraukti ir skirti tinkamą šio sindromo gydymą. </w:t>
      </w:r>
    </w:p>
    <w:p w14:paraId="3436C1BE" w14:textId="77777777" w:rsidR="009501EF" w:rsidRPr="008A351A" w:rsidRDefault="009501EF" w:rsidP="009501EF">
      <w:pPr>
        <w:tabs>
          <w:tab w:val="left" w:pos="567"/>
        </w:tabs>
        <w:spacing w:after="0" w:line="240" w:lineRule="auto"/>
        <w:rPr>
          <w:rFonts w:ascii="Times New Roman" w:eastAsia="Times New Roman" w:hAnsi="Times New Roman" w:cs="Times New Roman"/>
          <w:b/>
          <w:bCs/>
          <w:i/>
          <w:iCs/>
        </w:rPr>
      </w:pPr>
    </w:p>
    <w:p w14:paraId="33B35F4E"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iCs/>
        </w:rPr>
        <w:t>Sunki neutropenija ir agranuliocitozė</w:t>
      </w:r>
    </w:p>
    <w:p w14:paraId="035BFF8B"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7B67208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Klinikinių Quetiapine Accord</w:t>
      </w:r>
      <w:r w:rsidRPr="008A351A" w:rsidDel="00DC7B48">
        <w:rPr>
          <w:rFonts w:ascii="Times New Roman" w:eastAsia="Times New Roman" w:hAnsi="Times New Roman" w:cs="Times New Roman"/>
        </w:rPr>
        <w:t xml:space="preserve"> </w:t>
      </w:r>
      <w:r w:rsidR="00493557" w:rsidRPr="008A351A">
        <w:rPr>
          <w:rFonts w:ascii="Times New Roman" w:eastAsia="Times New Roman" w:hAnsi="Times New Roman" w:cs="Times New Roman"/>
        </w:rPr>
        <w:t xml:space="preserve">tyrimų </w:t>
      </w:r>
      <w:r w:rsidRPr="008A351A">
        <w:rPr>
          <w:rFonts w:ascii="Times New Roman" w:eastAsia="Times New Roman" w:hAnsi="Times New Roman" w:cs="Times New Roman"/>
        </w:rPr>
        <w:t>metu pasireiškė sunki neutropenija (neutrofilų &lt; 0,5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 xml:space="preserve">/l). Daugumas sunkios neutropenijos atvejų atsirado per pirmuosius du gydymo </w:t>
      </w:r>
      <w:r w:rsidR="00493557" w:rsidRPr="008A351A">
        <w:rPr>
          <w:rFonts w:ascii="Times New Roman" w:eastAsia="Times New Roman" w:hAnsi="Times New Roman" w:cs="Times New Roman"/>
        </w:rPr>
        <w:t xml:space="preserve">kvetiapinu </w:t>
      </w:r>
      <w:r w:rsidRPr="008A351A">
        <w:rPr>
          <w:rFonts w:ascii="Times New Roman" w:eastAsia="Times New Roman" w:hAnsi="Times New Roman" w:cs="Times New Roman"/>
        </w:rPr>
        <w:t>mėnesius. Neabejotino ryšio su dozės dydžiu nebuvo. Po Quetiapine Accord</w:t>
      </w:r>
      <w:r w:rsidRPr="008A351A" w:rsidDel="00DC7B48">
        <w:rPr>
          <w:rFonts w:ascii="Times New Roman" w:eastAsia="Times New Roman" w:hAnsi="Times New Roman" w:cs="Times New Roman"/>
        </w:rPr>
        <w:t xml:space="preserve"> </w:t>
      </w:r>
      <w:r w:rsidRPr="008A351A">
        <w:rPr>
          <w:rFonts w:ascii="Times New Roman" w:eastAsia="Times New Roman" w:hAnsi="Times New Roman" w:cs="Times New Roman"/>
        </w:rPr>
        <w:t>pateikimo į rinką kai kurie atvejai buvo mirtini. Galimi neutropenijos rizikos veiksniai yra mažas leukocitų kiekis prieš pradedant gydyti ir buvusi vaistinio preparato sukelta neutropenija. Tačiau kai kuriais atvejais jie pasireiškė pacientams be esamų rizikos faktorių. Jeigu neutrofilų kiekis yra &lt; 1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/l, gydymą Quetiapine Accord reikia nutraukti, stebėti, ar neatsiranda infekcijos požymių ir simptomų, bei sekti neutrofilų kiekį tol, kol jis tampa didesnis kaip 1,5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 xml:space="preserve">/l (žr. 5.1 skyrių). </w:t>
      </w:r>
    </w:p>
    <w:p w14:paraId="3E58D61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11AA0A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Neutropenija turi būti įvertinta pacientams, kuriems yra infekcija arba karščiavimas, ypač nesant akivaizdaus (-ių) prisidedančio (-ių) faktoriaus (-ių), ir ji turi būti gydoma atsižvelgiant į esamus klinikinius simptomus.</w:t>
      </w:r>
    </w:p>
    <w:p w14:paraId="2591EE2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A6A0CB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Pacientams turi būti patarta nedelsiant pranešti apie agranuliocitozę ar infekciją atitinkančių požymių / simptomų atsiradimą (pvz., karščiavimo silpnumas, letargija arba gerklės skausmas) bet kuriuo metu gydant Quetiapine Accord. Tokiems pacientams turi būti nedelsiant atliktas leukocitų ir absoliutaus neutrofilų kiekio (ANC) tyrimas, ypač nesant klinikinių simptomų.</w:t>
      </w:r>
    </w:p>
    <w:p w14:paraId="0177557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A16E03E" w14:textId="77777777" w:rsidR="009501EF" w:rsidRPr="008A351A" w:rsidRDefault="009501EF" w:rsidP="009501EF">
      <w:pPr>
        <w:tabs>
          <w:tab w:val="left" w:pos="567"/>
        </w:tabs>
        <w:spacing w:after="0" w:line="240" w:lineRule="auto"/>
        <w:rPr>
          <w:rFonts w:ascii="Times New Roman" w:eastAsia="Times New Roman" w:hAnsi="Times New Roman" w:cs="Times New Roman"/>
          <w:b/>
          <w:u w:val="single"/>
        </w:rPr>
      </w:pPr>
      <w:r w:rsidRPr="008A351A">
        <w:rPr>
          <w:rFonts w:ascii="Times New Roman" w:eastAsia="Times New Roman" w:hAnsi="Times New Roman" w:cs="Times New Roman"/>
          <w:b/>
          <w:u w:val="single"/>
        </w:rPr>
        <w:t>Anticholinerginis (muskarininis) poveikis:</w:t>
      </w:r>
    </w:p>
    <w:p w14:paraId="3AA589D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BA5977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Norkvetiapinas, aktyvus kvetiapino metabolitas, pasižymi vidutiniu arba dideliu giminingumu įvairiems muskarininio receptoriaus potipiams. Tai yra viena iš nepageidaujamų reakcijų, atspindinčių anticholinerginį poveikį, atsiradimo priežasčių kai kvetiapinas vartojamas rekomenduojamomis dozėmis, kartu su kitais vaistiniais preparatais, turinčiais anticholinerginį poveikį, ir esant perdozavimui. Pacientai, vartojantys anticholinerginio (muskarininio) poveikio vaistinius preparatus kvetiapiną turi vartoti atsargiai. Kvetiapiną turi vartoti atsargiai pacientai, kuriems šiuo metu yra arba buvo diagnozuotas šlapimo susilaikymas, kliniškai reikšminga prostatos hipertrofija, žarnų užsikimšimas arba susijusios sveikatos būklės, padidėjęs intraokulinis spaudimas arba siauro lauko glaukoma. (Žr. 4.5, 4.8, 5.1 ir 4.9 skyrius).</w:t>
      </w:r>
    </w:p>
    <w:p w14:paraId="1AB1212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850A191"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iCs/>
        </w:rPr>
        <w:t>Sąveika</w:t>
      </w:r>
    </w:p>
    <w:p w14:paraId="68530274"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5392009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Žr. 4.5 skyrių</w:t>
      </w:r>
    </w:p>
    <w:p w14:paraId="232E9D7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E5CBA6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Kvetiapiną vartojant kartu su stipraus poveikio kepenų fermentų induktoriais, pvz., karbamazepinu arba fenitoinu, gerokai sumažėja kvetiapino koncentracija kraujo plazmoje ir dėl to galima įtaka jo poveikiui. Kepenų fermentų induktorių vartojančius pacientus kvetiapinu galima pradėti gydyti tik gydytojui nustačius, kad gydymo kvetiapinu nauda bus didesnė už kepenų fermentų induktorių vartojimo nutraukimo riziką. Bet kokius gydymo kepenų induktoriais pokyčius svarbu daryti palaipsniui, prireikus induktorius galima keisti neinduktoriais (pvz., natrio valproatu). </w:t>
      </w:r>
    </w:p>
    <w:p w14:paraId="56689E4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68D940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Svoris</w:t>
      </w:r>
    </w:p>
    <w:p w14:paraId="00741F1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Tarp pacientų, vartojusių kvetiapiną, pastebėtas svorio augimas, ir tai turi būti stebima ir imamasi priemonių pagal klinikines aplinkybes, pagal naudojamas antipsichotines rekomendacijas (žr. 4.8 ir 5.1 </w:t>
      </w:r>
      <w:r w:rsidR="00A24FA5" w:rsidRPr="008A351A">
        <w:rPr>
          <w:rFonts w:ascii="Times New Roman" w:eastAsia="Times New Roman" w:hAnsi="Times New Roman" w:cs="Times New Roman"/>
        </w:rPr>
        <w:t>skyrių</w:t>
      </w:r>
      <w:r w:rsidRPr="008A351A">
        <w:rPr>
          <w:rFonts w:ascii="Times New Roman" w:eastAsia="Times New Roman" w:hAnsi="Times New Roman" w:cs="Times New Roman"/>
        </w:rPr>
        <w:t>).</w:t>
      </w:r>
    </w:p>
    <w:p w14:paraId="01D993B2" w14:textId="77777777" w:rsidR="009501EF" w:rsidRPr="008A351A" w:rsidRDefault="009501EF" w:rsidP="009501EF">
      <w:pPr>
        <w:tabs>
          <w:tab w:val="left" w:pos="567"/>
        </w:tabs>
        <w:spacing w:after="0" w:line="240" w:lineRule="auto"/>
        <w:rPr>
          <w:rFonts w:ascii="Times New Roman" w:eastAsia="Times New Roman" w:hAnsi="Times New Roman" w:cs="Times New Roman"/>
          <w:i/>
          <w:iCs/>
        </w:rPr>
      </w:pPr>
    </w:p>
    <w:p w14:paraId="1303BB15"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 xml:space="preserve">Hiperglikemija </w:t>
      </w:r>
    </w:p>
    <w:p w14:paraId="112CC213"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p>
    <w:p w14:paraId="7D1E08E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Retais atvejais gauta pranešimų apie gydymo kvetiapinu metu pasireiškusią hiperglikemiją arba atsiradusį ir (arba) pasunkėjusį cukrinį diabetą, kartais susijusius su ketoacidoze arba koma, taip pat buvo ir mirtinų atvejų (žr. 4.8 </w:t>
      </w:r>
      <w:r w:rsidR="00A24FA5" w:rsidRPr="008A351A">
        <w:rPr>
          <w:rFonts w:ascii="Times New Roman" w:eastAsia="Times New Roman" w:hAnsi="Times New Roman" w:cs="Times New Roman"/>
        </w:rPr>
        <w:t>skyrių</w:t>
      </w:r>
      <w:r w:rsidRPr="008A351A">
        <w:rPr>
          <w:rFonts w:ascii="Times New Roman" w:eastAsia="Times New Roman" w:hAnsi="Times New Roman" w:cs="Times New Roman"/>
        </w:rPr>
        <w:t>). Kai kuriais atvejais buvo pranešta apie ankstesnį kūno svorio padidėjimą, kuris gali būti prisidedantis faktorius. Patariama vykdyti klinikinį stebėjimą pacientams pagal galiojančias antipsichotines rekomendacijas. Pacientai, kurie yra gydomi bet kuriuo antipsichotiniu medikamentu, tarp jų ir kvetiapinu, turi būti stebimi, atkreipiant dėmesį į hiperglikemijos požymius (polidipsija, poliurija, polifagija ir silpnumas), ir pacientams, kurie serga cukriniu diabetu arba kuriems yra jo pasireiškimo rizikos veiksnių, patariamas tinkamas klinikinis stebėjimas, sekant, ar nėra blogėjančios gliukozės kontrolės požymių. Svorį reikia nuolatos stebėti.</w:t>
      </w:r>
    </w:p>
    <w:p w14:paraId="0447D495" w14:textId="77777777" w:rsidR="009501EF" w:rsidRPr="008A351A" w:rsidRDefault="009501EF" w:rsidP="009501EF">
      <w:pPr>
        <w:tabs>
          <w:tab w:val="left" w:pos="567"/>
        </w:tabs>
        <w:spacing w:after="0" w:line="240" w:lineRule="auto"/>
        <w:rPr>
          <w:rFonts w:ascii="Times New Roman" w:eastAsia="Times New Roman" w:hAnsi="Times New Roman" w:cs="Times New Roman"/>
          <w:b/>
          <w:bCs/>
          <w:i/>
          <w:iCs/>
        </w:rPr>
      </w:pPr>
    </w:p>
    <w:p w14:paraId="52B30768"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iCs/>
        </w:rPr>
        <w:t>Lipidai</w:t>
      </w:r>
    </w:p>
    <w:p w14:paraId="39301239"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0437EEB3" w14:textId="77777777" w:rsidR="009501EF" w:rsidRPr="008A351A" w:rsidRDefault="009501EF" w:rsidP="009501EF">
      <w:pPr>
        <w:tabs>
          <w:tab w:val="left" w:pos="567"/>
        </w:tabs>
        <w:spacing w:after="0" w:line="240" w:lineRule="auto"/>
        <w:jc w:val="both"/>
        <w:rPr>
          <w:rFonts w:ascii="Times New Roman" w:eastAsia="Times New Roman" w:hAnsi="Times New Roman" w:cs="Times New Roman"/>
          <w:lang w:eastAsia="es-ES"/>
        </w:rPr>
      </w:pPr>
      <w:r w:rsidRPr="008A351A">
        <w:rPr>
          <w:rFonts w:ascii="Times New Roman" w:eastAsia="Times New Roman" w:hAnsi="Times New Roman" w:cs="Times New Roman"/>
          <w:lang w:eastAsia="es-ES"/>
        </w:rPr>
        <w:t>Klinikinių tyrimų su kvetiapinu metu stebėtas trigliceridų, mažo tankio lipoproteinų (MTL) ir bendro cholesterolio kiekio padidėjimas bei didelio tankio lipoproteinų (DTL) cholesterolio kiekio sumažėjimas (žr. 4.8 </w:t>
      </w:r>
      <w:r w:rsidR="00A24FA5" w:rsidRPr="008A351A">
        <w:rPr>
          <w:rFonts w:ascii="Times New Roman" w:eastAsia="Times New Roman" w:hAnsi="Times New Roman" w:cs="Times New Roman"/>
          <w:lang w:eastAsia="es-ES"/>
        </w:rPr>
        <w:t>skyrių</w:t>
      </w:r>
      <w:r w:rsidRPr="008A351A">
        <w:rPr>
          <w:rFonts w:ascii="Times New Roman" w:eastAsia="Times New Roman" w:hAnsi="Times New Roman" w:cs="Times New Roman"/>
          <w:lang w:eastAsia="es-ES"/>
        </w:rPr>
        <w:t>). Lipidų kiekio pasikeitimą reikia tinkamai gydyti.</w:t>
      </w:r>
    </w:p>
    <w:p w14:paraId="70CD0245" w14:textId="77777777" w:rsidR="009501EF" w:rsidRPr="008A351A" w:rsidRDefault="009501EF" w:rsidP="009501EF">
      <w:pPr>
        <w:tabs>
          <w:tab w:val="left" w:pos="567"/>
        </w:tabs>
        <w:spacing w:after="0" w:line="240" w:lineRule="auto"/>
        <w:rPr>
          <w:rFonts w:ascii="Times New Roman" w:eastAsia="Times New Roman" w:hAnsi="Times New Roman" w:cs="Times New Roman"/>
          <w:b/>
          <w:bCs/>
          <w:i/>
          <w:iCs/>
        </w:rPr>
      </w:pPr>
    </w:p>
    <w:p w14:paraId="03DD0895"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QT intervalo pailgėjimas</w:t>
      </w:r>
    </w:p>
    <w:p w14:paraId="519EE4D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7BCF19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Klinikinių tyrimų metu bei vaistinio preparato vartojant taip, kaip nurodyta Preparato charakteristikų santraukoje, gydymas kvetiapinu nebuvo susijęs su nuolatiniu absoliutaus QT intervalo pailgėjimu. Po vaisto pateikimo į rinką, gauta pranešimų apie, dėl kvetiapino vartojimo pasireiškusį QT intervalo </w:t>
      </w:r>
      <w:r w:rsidRPr="008A351A">
        <w:rPr>
          <w:rFonts w:ascii="Times New Roman" w:eastAsia="Times New Roman" w:hAnsi="Times New Roman" w:cs="Times New Roman"/>
        </w:rPr>
        <w:lastRenderedPageBreak/>
        <w:t>pailgėjimą, vartojant terapines dozes (žr. 4.8 </w:t>
      </w:r>
      <w:r w:rsidR="00A24FA5" w:rsidRPr="008A351A">
        <w:rPr>
          <w:rFonts w:ascii="Times New Roman" w:eastAsia="Times New Roman" w:hAnsi="Times New Roman" w:cs="Times New Roman"/>
        </w:rPr>
        <w:t>skyrių</w:t>
      </w:r>
      <w:r w:rsidRPr="008A351A">
        <w:rPr>
          <w:rFonts w:ascii="Times New Roman" w:eastAsia="Times New Roman" w:hAnsi="Times New Roman" w:cs="Times New Roman"/>
        </w:rPr>
        <w:t>) ir perdozavimo atveju (žr. 4.9 </w:t>
      </w:r>
      <w:r w:rsidR="00A24FA5" w:rsidRPr="008A351A">
        <w:rPr>
          <w:rFonts w:ascii="Times New Roman" w:eastAsia="Times New Roman" w:hAnsi="Times New Roman" w:cs="Times New Roman"/>
        </w:rPr>
        <w:t>skyrių</w:t>
      </w:r>
      <w:r w:rsidRPr="008A351A">
        <w:rPr>
          <w:rFonts w:ascii="Times New Roman" w:eastAsia="Times New Roman" w:hAnsi="Times New Roman" w:cs="Times New Roman"/>
        </w:rPr>
        <w:t>). Kaip ir vartojant kitokių antipsichozinių preparatų, pacientams, kurie serga širdies ir kraujagyslių liga arba giminaičiams nustatyta QT intervalo pailgėjimo atvejų, kvetiapino reikia vartoti atsargiai. Kvetiapiną vartoti kartu su medikamentais, ilginančiais QTc intervalą, arba su neuroleptikais reikia atsargiai, ypač senyviems žmonėms, pacientams, kuriems yra įgimtas ilgojo QT intervalo sindromas, stazinis širdies nepakankamumas, širdies hipertrofija, hipokalemija arba hipomagnezemija (žr. 4.5 </w:t>
      </w:r>
      <w:r w:rsidR="00A24FA5" w:rsidRPr="008A351A">
        <w:rPr>
          <w:rFonts w:ascii="Times New Roman" w:eastAsia="Times New Roman" w:hAnsi="Times New Roman" w:cs="Times New Roman"/>
        </w:rPr>
        <w:t>skyrių</w:t>
      </w:r>
      <w:r w:rsidRPr="008A351A">
        <w:rPr>
          <w:rFonts w:ascii="Times New Roman" w:eastAsia="Times New Roman" w:hAnsi="Times New Roman" w:cs="Times New Roman"/>
        </w:rPr>
        <w:t xml:space="preserve">). </w:t>
      </w:r>
    </w:p>
    <w:p w14:paraId="068D8C52" w14:textId="77777777" w:rsidR="009501EF" w:rsidRPr="008A351A" w:rsidRDefault="009501EF" w:rsidP="009501EF">
      <w:pPr>
        <w:tabs>
          <w:tab w:val="left" w:pos="567"/>
        </w:tabs>
        <w:spacing w:after="0" w:line="240" w:lineRule="auto"/>
        <w:rPr>
          <w:rFonts w:ascii="Times New Roman" w:hAnsi="Times New Roman" w:cs="Times New Roman"/>
        </w:rPr>
      </w:pPr>
    </w:p>
    <w:p w14:paraId="7F4CE46D"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rPr>
        <w:t>Kardiomiopatija ir miokarditas</w:t>
      </w:r>
    </w:p>
    <w:p w14:paraId="43E4241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1301783" w14:textId="0BC6C31F" w:rsidR="00B9789F" w:rsidRPr="00B9789F" w:rsidRDefault="00B9789F" w:rsidP="00CC4178">
      <w:pPr>
        <w:spacing w:after="0" w:line="240" w:lineRule="auto"/>
        <w:rPr>
          <w:rFonts w:ascii="Times New Roman" w:eastAsia="Times New Roman" w:hAnsi="Times New Roman" w:cs="Times New Roman"/>
        </w:rPr>
      </w:pPr>
      <w:r w:rsidRPr="00B9789F">
        <w:rPr>
          <w:rFonts w:ascii="Times New Roman" w:eastAsia="Times New Roman" w:hAnsi="Times New Roman" w:cs="Times New Roman"/>
        </w:rPr>
        <w:t>Klinikinių tyrimų metu ir kvetiapiną pateikus į rinką gauta pranešimų apie kardiomiopatiją ir miokarditą (žr. 4.8 skyrių). Įtarus kardiomiopatiją arba miokarditą, reikia įvertinti poreikį nutraukti kvetiapino vartojimą.</w:t>
      </w:r>
    </w:p>
    <w:p w14:paraId="0AE42804" w14:textId="2AA7E215" w:rsidR="009501EF" w:rsidRDefault="009501EF" w:rsidP="009501EF">
      <w:pPr>
        <w:tabs>
          <w:tab w:val="left" w:pos="567"/>
        </w:tabs>
        <w:spacing w:after="0" w:line="240" w:lineRule="auto"/>
        <w:rPr>
          <w:rFonts w:ascii="Times New Roman" w:eastAsia="Times New Roman" w:hAnsi="Times New Roman" w:cs="Times New Roman"/>
          <w:b/>
          <w:bCs/>
          <w:i/>
          <w:iCs/>
        </w:rPr>
      </w:pPr>
    </w:p>
    <w:p w14:paraId="59AFED97" w14:textId="77777777" w:rsidR="00811B8D" w:rsidRDefault="00811B8D" w:rsidP="00811B8D">
      <w:pPr>
        <w:keepNext/>
        <w:tabs>
          <w:tab w:val="left" w:pos="567"/>
        </w:tabs>
        <w:spacing w:after="0" w:line="240" w:lineRule="auto"/>
        <w:rPr>
          <w:rFonts w:ascii="Times New Roman" w:eastAsia="Times New Roman" w:hAnsi="Times New Roman" w:cs="Times New Roman"/>
          <w:b/>
          <w:i/>
        </w:rPr>
      </w:pPr>
      <w:r>
        <w:rPr>
          <w:rFonts w:ascii="Times New Roman" w:eastAsia="Times New Roman" w:hAnsi="Times New Roman" w:cs="Times New Roman"/>
          <w:b/>
          <w:i/>
        </w:rPr>
        <w:t>Sunkios odos nepageidaujamos reakcijos</w:t>
      </w:r>
    </w:p>
    <w:p w14:paraId="4D3A92B8" w14:textId="77777777" w:rsidR="00811B8D" w:rsidRPr="00677EC4" w:rsidRDefault="00811B8D" w:rsidP="00811B8D">
      <w:pPr>
        <w:keepNext/>
        <w:tabs>
          <w:tab w:val="left" w:pos="567"/>
        </w:tabs>
        <w:spacing w:after="0" w:line="240" w:lineRule="auto"/>
        <w:rPr>
          <w:rFonts w:ascii="Times New Roman" w:eastAsia="Times New Roman" w:hAnsi="Times New Roman" w:cs="Times New Roman"/>
          <w:b/>
          <w:i/>
        </w:rPr>
      </w:pPr>
    </w:p>
    <w:p w14:paraId="5B1B8704" w14:textId="490804CF" w:rsidR="00811B8D" w:rsidRPr="00677EC4" w:rsidRDefault="00811B8D" w:rsidP="00811B8D">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kvetiapiną labai retais atvejais užfiksuota sunkių odos nepageidaujamų reakcijų (angl. </w:t>
      </w:r>
      <w:r w:rsidRPr="00677EC4">
        <w:rPr>
          <w:rFonts w:ascii="Times New Roman" w:eastAsia="Times New Roman" w:hAnsi="Times New Roman" w:cs="Times New Roman"/>
          <w:i/>
        </w:rPr>
        <w:t>Severe cutaneous adverse reactions, SCARs</w:t>
      </w:r>
      <w:r w:rsidRPr="00677EC4">
        <w:rPr>
          <w:rFonts w:ascii="Times New Roman" w:eastAsia="Times New Roman" w:hAnsi="Times New Roman" w:cs="Times New Roman"/>
        </w:rPr>
        <w:t xml:space="preserve">), </w:t>
      </w:r>
      <w:r>
        <w:rPr>
          <w:rFonts w:ascii="Times New Roman" w:eastAsia="Times New Roman" w:hAnsi="Times New Roman" w:cs="Times New Roman"/>
        </w:rPr>
        <w:t>įskaitant Stivenso</w:t>
      </w:r>
      <w:r w:rsidRPr="00677EC4">
        <w:rPr>
          <w:rFonts w:ascii="Times New Roman" w:eastAsia="Times New Roman" w:hAnsi="Times New Roman" w:cs="Times New Roman"/>
        </w:rPr>
        <w:t>-</w:t>
      </w:r>
      <w:r>
        <w:rPr>
          <w:rFonts w:ascii="Times New Roman" w:eastAsia="Times New Roman" w:hAnsi="Times New Roman" w:cs="Times New Roman"/>
        </w:rPr>
        <w:t>Džonsono sindromą</w:t>
      </w:r>
      <w:r w:rsidRPr="00677EC4">
        <w:rPr>
          <w:rFonts w:ascii="Times New Roman" w:eastAsia="Times New Roman" w:hAnsi="Times New Roman" w:cs="Times New Roman"/>
        </w:rPr>
        <w:t xml:space="preserve"> (SJS), </w:t>
      </w:r>
      <w:r>
        <w:rPr>
          <w:rFonts w:ascii="Times New Roman" w:eastAsia="Times New Roman" w:hAnsi="Times New Roman" w:cs="Times New Roman"/>
        </w:rPr>
        <w:t xml:space="preserve">toksinę epidermio nekrolizę </w:t>
      </w:r>
      <w:r w:rsidRPr="00677EC4">
        <w:rPr>
          <w:rFonts w:ascii="Times New Roman" w:eastAsia="Times New Roman" w:hAnsi="Times New Roman" w:cs="Times New Roman"/>
        </w:rPr>
        <w:t>(TEN)</w:t>
      </w:r>
      <w:r w:rsidR="00AA346A">
        <w:rPr>
          <w:rFonts w:ascii="Times New Roman" w:eastAsia="Times New Roman" w:hAnsi="Times New Roman" w:cs="Times New Roman"/>
        </w:rPr>
        <w:t xml:space="preserve">, </w:t>
      </w:r>
      <w:bookmarkStart w:id="4" w:name="_Hlk161350670"/>
      <w:r w:rsidR="00AA346A" w:rsidRPr="00AA346A">
        <w:rPr>
          <w:rFonts w:ascii="Times New Roman" w:eastAsia="Times New Roman" w:hAnsi="Times New Roman" w:cs="Times New Roman"/>
        </w:rPr>
        <w:t xml:space="preserve">ūminę generalizuotą egzanteminę pustuliozę (angl. </w:t>
      </w:r>
      <w:r w:rsidR="00AA346A">
        <w:rPr>
          <w:rFonts w:ascii="Times New Roman" w:eastAsia="Times New Roman" w:hAnsi="Times New Roman" w:cs="Times New Roman"/>
          <w:i/>
          <w:iCs/>
        </w:rPr>
        <w:t>A</w:t>
      </w:r>
      <w:r w:rsidR="00AA346A" w:rsidRPr="00013F36">
        <w:rPr>
          <w:rFonts w:ascii="Times New Roman" w:eastAsia="Times New Roman" w:hAnsi="Times New Roman" w:cs="Times New Roman"/>
          <w:i/>
          <w:iCs/>
        </w:rPr>
        <w:t xml:space="preserve">cute </w:t>
      </w:r>
      <w:r w:rsidR="00AA346A">
        <w:rPr>
          <w:rFonts w:ascii="Times New Roman" w:eastAsia="Times New Roman" w:hAnsi="Times New Roman" w:cs="Times New Roman"/>
          <w:i/>
          <w:iCs/>
        </w:rPr>
        <w:t>G</w:t>
      </w:r>
      <w:r w:rsidR="00AA346A" w:rsidRPr="00013F36">
        <w:rPr>
          <w:rFonts w:ascii="Times New Roman" w:eastAsia="Times New Roman" w:hAnsi="Times New Roman" w:cs="Times New Roman"/>
          <w:i/>
          <w:iCs/>
        </w:rPr>
        <w:t xml:space="preserve">eneralized </w:t>
      </w:r>
      <w:r w:rsidR="00AA346A">
        <w:rPr>
          <w:rFonts w:ascii="Times New Roman" w:eastAsia="Times New Roman" w:hAnsi="Times New Roman" w:cs="Times New Roman"/>
          <w:i/>
          <w:iCs/>
        </w:rPr>
        <w:t>E</w:t>
      </w:r>
      <w:r w:rsidR="00AA346A" w:rsidRPr="00013F36">
        <w:rPr>
          <w:rFonts w:ascii="Times New Roman" w:eastAsia="Times New Roman" w:hAnsi="Times New Roman" w:cs="Times New Roman"/>
          <w:i/>
          <w:iCs/>
        </w:rPr>
        <w:t xml:space="preserve">xanthemous </w:t>
      </w:r>
      <w:r w:rsidR="00AA346A">
        <w:rPr>
          <w:rFonts w:ascii="Times New Roman" w:eastAsia="Times New Roman" w:hAnsi="Times New Roman" w:cs="Times New Roman"/>
          <w:i/>
          <w:iCs/>
        </w:rPr>
        <w:t>P</w:t>
      </w:r>
      <w:r w:rsidR="00AA346A" w:rsidRPr="00013F36">
        <w:rPr>
          <w:rFonts w:ascii="Times New Roman" w:eastAsia="Times New Roman" w:hAnsi="Times New Roman" w:cs="Times New Roman"/>
          <w:i/>
          <w:iCs/>
        </w:rPr>
        <w:t>ustulosis,</w:t>
      </w:r>
      <w:r w:rsidR="00AA346A">
        <w:rPr>
          <w:rFonts w:ascii="Times New Roman" w:eastAsia="Times New Roman" w:hAnsi="Times New Roman" w:cs="Times New Roman"/>
        </w:rPr>
        <w:t xml:space="preserve"> </w:t>
      </w:r>
      <w:r w:rsidR="00AA346A" w:rsidRPr="00AA346A">
        <w:rPr>
          <w:rFonts w:ascii="Times New Roman" w:eastAsia="Times New Roman" w:hAnsi="Times New Roman" w:cs="Times New Roman"/>
        </w:rPr>
        <w:t>AGEP),</w:t>
      </w:r>
      <w:r w:rsidRPr="00677EC4">
        <w:rPr>
          <w:rFonts w:ascii="Times New Roman" w:eastAsia="Times New Roman" w:hAnsi="Times New Roman" w:cs="Times New Roman"/>
        </w:rPr>
        <w:t xml:space="preserve"> </w:t>
      </w:r>
      <w:r w:rsidR="00AA346A">
        <w:rPr>
          <w:rFonts w:ascii="Times New Roman" w:eastAsia="Times New Roman" w:hAnsi="Times New Roman" w:cs="Times New Roman"/>
        </w:rPr>
        <w:t>daugiaformę eritemą (</w:t>
      </w:r>
      <w:r w:rsidR="00013F36">
        <w:rPr>
          <w:rFonts w:ascii="Times New Roman" w:eastAsia="Times New Roman" w:hAnsi="Times New Roman" w:cs="Times New Roman"/>
        </w:rPr>
        <w:t>DE</w:t>
      </w:r>
      <w:r w:rsidR="00AA346A" w:rsidRPr="00AA346A">
        <w:rPr>
          <w:rFonts w:ascii="Times New Roman" w:eastAsia="Times New Roman" w:hAnsi="Times New Roman" w:cs="Times New Roman"/>
        </w:rPr>
        <w:t xml:space="preserve">) </w:t>
      </w:r>
      <w:bookmarkEnd w:id="4"/>
      <w:r>
        <w:rPr>
          <w:rFonts w:ascii="Times New Roman" w:eastAsia="Times New Roman" w:hAnsi="Times New Roman" w:cs="Times New Roman"/>
        </w:rPr>
        <w:t xml:space="preserve">ir reakciją į vaistą su eozinofilija ir sisteminiais sindromais (angl. </w:t>
      </w:r>
      <w:r w:rsidRPr="00677EC4">
        <w:rPr>
          <w:rFonts w:ascii="Times New Roman" w:eastAsia="Times New Roman" w:hAnsi="Times New Roman" w:cs="Times New Roman"/>
          <w:i/>
        </w:rPr>
        <w:t>drug reaction with eosinophilia and systemic symptoms</w:t>
      </w:r>
      <w:r>
        <w:rPr>
          <w:rFonts w:ascii="Times New Roman" w:eastAsia="Times New Roman" w:hAnsi="Times New Roman" w:cs="Times New Roman"/>
          <w:i/>
        </w:rPr>
        <w:t>,</w:t>
      </w:r>
      <w:r w:rsidRPr="00677EC4">
        <w:rPr>
          <w:rFonts w:ascii="Times New Roman" w:eastAsia="Times New Roman" w:hAnsi="Times New Roman" w:cs="Times New Roman"/>
          <w:i/>
        </w:rPr>
        <w:t xml:space="preserve"> DRESS</w:t>
      </w:r>
      <w:r w:rsidRPr="00677EC4">
        <w:rPr>
          <w:rFonts w:ascii="Times New Roman" w:eastAsia="Times New Roman" w:hAnsi="Times New Roman" w:cs="Times New Roman"/>
        </w:rPr>
        <w:t>)</w:t>
      </w:r>
      <w:r>
        <w:rPr>
          <w:rFonts w:ascii="Times New Roman" w:eastAsia="Times New Roman" w:hAnsi="Times New Roman" w:cs="Times New Roman"/>
        </w:rPr>
        <w:t>,</w:t>
      </w:r>
      <w:r w:rsidRPr="00677EC4">
        <w:rPr>
          <w:rFonts w:ascii="Times New Roman" w:eastAsia="Times New Roman" w:hAnsi="Times New Roman" w:cs="Times New Roman"/>
        </w:rPr>
        <w:t xml:space="preserve"> </w:t>
      </w:r>
      <w:r>
        <w:rPr>
          <w:rFonts w:ascii="Times New Roman" w:eastAsia="Times New Roman" w:hAnsi="Times New Roman" w:cs="Times New Roman"/>
        </w:rPr>
        <w:t>kurios gali kelti pavojų gyvybei arba būti mirtinos</w:t>
      </w:r>
      <w:r w:rsidRPr="00677EC4">
        <w:rPr>
          <w:rFonts w:ascii="Times New Roman" w:eastAsia="Times New Roman" w:hAnsi="Times New Roman" w:cs="Times New Roman"/>
        </w:rPr>
        <w:t xml:space="preserve">. SCARs </w:t>
      </w:r>
      <w:r>
        <w:rPr>
          <w:rFonts w:ascii="Times New Roman" w:eastAsia="Times New Roman" w:hAnsi="Times New Roman" w:cs="Times New Roman"/>
        </w:rPr>
        <w:t xml:space="preserve">dažniausiai pasireiškia </w:t>
      </w:r>
      <w:bookmarkStart w:id="5" w:name="_Hlk161350712"/>
      <w:r w:rsidR="00AA346A" w:rsidRPr="00AA346A">
        <w:rPr>
          <w:rFonts w:ascii="Times New Roman" w:eastAsia="Times New Roman" w:hAnsi="Times New Roman" w:cs="Times New Roman"/>
        </w:rPr>
        <w:t xml:space="preserve">vienu ar keliais iš </w:t>
      </w:r>
      <w:bookmarkEnd w:id="5"/>
      <w:r>
        <w:rPr>
          <w:rFonts w:ascii="Times New Roman" w:eastAsia="Times New Roman" w:hAnsi="Times New Roman" w:cs="Times New Roman"/>
        </w:rPr>
        <w:t>šių simptomų</w:t>
      </w:r>
      <w:r w:rsidRPr="00677EC4">
        <w:rPr>
          <w:rFonts w:ascii="Times New Roman" w:eastAsia="Times New Roman" w:hAnsi="Times New Roman" w:cs="Times New Roman"/>
        </w:rPr>
        <w:t xml:space="preserve">: </w:t>
      </w:r>
      <w:r>
        <w:rPr>
          <w:rFonts w:ascii="Times New Roman" w:eastAsia="Times New Roman" w:hAnsi="Times New Roman" w:cs="Times New Roman"/>
        </w:rPr>
        <w:t xml:space="preserve">plačiai išplitęs </w:t>
      </w:r>
      <w:r w:rsidR="00AA346A">
        <w:rPr>
          <w:rFonts w:ascii="Times New Roman" w:eastAsia="Times New Roman" w:hAnsi="Times New Roman" w:cs="Times New Roman"/>
        </w:rPr>
        <w:t>iš</w:t>
      </w:r>
      <w:r>
        <w:rPr>
          <w:rFonts w:ascii="Times New Roman" w:eastAsia="Times New Roman" w:hAnsi="Times New Roman" w:cs="Times New Roman"/>
        </w:rPr>
        <w:t>bėrimas</w:t>
      </w:r>
      <w:bookmarkStart w:id="6" w:name="_Hlk161350743"/>
      <w:r w:rsidR="00AA346A">
        <w:rPr>
          <w:rFonts w:ascii="Times New Roman" w:eastAsia="Times New Roman" w:hAnsi="Times New Roman" w:cs="Times New Roman"/>
        </w:rPr>
        <w:t>,</w:t>
      </w:r>
      <w:r w:rsidR="00AA346A" w:rsidRPr="00AA346A">
        <w:t xml:space="preserve"> </w:t>
      </w:r>
      <w:r w:rsidR="00AA346A" w:rsidRPr="00AA346A">
        <w:rPr>
          <w:rFonts w:ascii="Times New Roman" w:eastAsia="Times New Roman" w:hAnsi="Times New Roman" w:cs="Times New Roman"/>
        </w:rPr>
        <w:t>kuris gali būti niežtintis arba su pustulėmis</w:t>
      </w:r>
      <w:r w:rsidR="00AA346A">
        <w:rPr>
          <w:rFonts w:ascii="Times New Roman" w:eastAsia="Times New Roman" w:hAnsi="Times New Roman" w:cs="Times New Roman"/>
        </w:rPr>
        <w:t>,</w:t>
      </w:r>
      <w:r>
        <w:rPr>
          <w:rFonts w:ascii="Times New Roman" w:eastAsia="Times New Roman" w:hAnsi="Times New Roman" w:cs="Times New Roman"/>
        </w:rPr>
        <w:t xml:space="preserve"> </w:t>
      </w:r>
      <w:bookmarkEnd w:id="6"/>
      <w:r>
        <w:rPr>
          <w:rFonts w:ascii="Times New Roman" w:eastAsia="Times New Roman" w:hAnsi="Times New Roman" w:cs="Times New Roman"/>
        </w:rPr>
        <w:t>eksfoliacinis dermatitas</w:t>
      </w:r>
      <w:r w:rsidRPr="00677EC4">
        <w:rPr>
          <w:rFonts w:ascii="Times New Roman" w:eastAsia="Times New Roman" w:hAnsi="Times New Roman" w:cs="Times New Roman"/>
        </w:rPr>
        <w:t xml:space="preserve">, </w:t>
      </w:r>
      <w:r>
        <w:rPr>
          <w:rFonts w:ascii="Times New Roman" w:eastAsia="Times New Roman" w:hAnsi="Times New Roman" w:cs="Times New Roman"/>
        </w:rPr>
        <w:t>karščiavimas</w:t>
      </w:r>
      <w:r w:rsidRPr="00677EC4">
        <w:rPr>
          <w:rFonts w:ascii="Times New Roman" w:eastAsia="Times New Roman" w:hAnsi="Times New Roman" w:cs="Times New Roman"/>
        </w:rPr>
        <w:t xml:space="preserve">, </w:t>
      </w:r>
      <w:r>
        <w:rPr>
          <w:rFonts w:ascii="Times New Roman" w:eastAsia="Times New Roman" w:hAnsi="Times New Roman" w:cs="Times New Roman"/>
        </w:rPr>
        <w:t>limfadenopatija ir galima eozinofilija</w:t>
      </w:r>
      <w:r w:rsidR="00AA346A">
        <w:rPr>
          <w:rFonts w:ascii="Times New Roman" w:eastAsia="Times New Roman" w:hAnsi="Times New Roman" w:cs="Times New Roman"/>
        </w:rPr>
        <w:t xml:space="preserve"> </w:t>
      </w:r>
      <w:bookmarkStart w:id="7" w:name="_Hlk161350771"/>
      <w:bookmarkStart w:id="8" w:name="_Hlk161350783"/>
      <w:r w:rsidR="00AA346A">
        <w:rPr>
          <w:rFonts w:ascii="Times New Roman" w:eastAsia="Times New Roman" w:hAnsi="Times New Roman" w:cs="Times New Roman"/>
        </w:rPr>
        <w:t>arba neutrofilija</w:t>
      </w:r>
      <w:bookmarkEnd w:id="7"/>
      <w:r w:rsidRPr="00677EC4">
        <w:rPr>
          <w:rFonts w:ascii="Times New Roman" w:eastAsia="Times New Roman" w:hAnsi="Times New Roman" w:cs="Times New Roman"/>
        </w:rPr>
        <w:t>.</w:t>
      </w:r>
      <w:r w:rsidR="00AA346A">
        <w:rPr>
          <w:rFonts w:ascii="Times New Roman" w:eastAsia="Times New Roman" w:hAnsi="Times New Roman" w:cs="Times New Roman"/>
        </w:rPr>
        <w:t xml:space="preserve"> </w:t>
      </w:r>
      <w:r w:rsidR="00AA346A" w:rsidRPr="00AA346A">
        <w:rPr>
          <w:rFonts w:ascii="Times New Roman" w:eastAsia="Times New Roman" w:hAnsi="Times New Roman" w:cs="Times New Roman"/>
        </w:rPr>
        <w:t xml:space="preserve">Dauguma šių reakcijų pasireiškė per 4 savaites nuo gydymo kvetiapinu pradžios, kai kurios </w:t>
      </w:r>
      <w:r w:rsidR="00AA346A" w:rsidRPr="00013F36">
        <w:rPr>
          <w:rFonts w:ascii="Times New Roman" w:eastAsia="Times New Roman" w:hAnsi="Times New Roman" w:cs="Times New Roman"/>
          <w:i/>
          <w:iCs/>
        </w:rPr>
        <w:t>DRESS</w:t>
      </w:r>
      <w:r w:rsidR="00AA346A" w:rsidRPr="00AA346A">
        <w:rPr>
          <w:rFonts w:ascii="Times New Roman" w:eastAsia="Times New Roman" w:hAnsi="Times New Roman" w:cs="Times New Roman"/>
        </w:rPr>
        <w:t xml:space="preserve"> reakcijos pasireiškė per 6 savaites nuo gydymo kvetiapinu pradžios.</w:t>
      </w:r>
      <w:r w:rsidRPr="00677EC4">
        <w:rPr>
          <w:rFonts w:ascii="Times New Roman" w:eastAsia="Times New Roman" w:hAnsi="Times New Roman" w:cs="Times New Roman"/>
        </w:rPr>
        <w:t xml:space="preserve"> </w:t>
      </w:r>
      <w:bookmarkEnd w:id="8"/>
      <w:r>
        <w:rPr>
          <w:rFonts w:ascii="Times New Roman" w:eastAsia="Times New Roman" w:hAnsi="Times New Roman" w:cs="Times New Roman"/>
        </w:rPr>
        <w:t>Jei pasireiškia tokio pobūdžio ūmių odos reakcijos požymių ar simptomų, nedelsiant nutraukite kvetiapino vartojimą ir apsvarstykite kitokio gydymo galimybes</w:t>
      </w:r>
      <w:r w:rsidRPr="00677EC4">
        <w:rPr>
          <w:rFonts w:ascii="Times New Roman" w:eastAsia="Times New Roman" w:hAnsi="Times New Roman" w:cs="Times New Roman"/>
        </w:rPr>
        <w:t>.</w:t>
      </w:r>
    </w:p>
    <w:p w14:paraId="0599005F" w14:textId="77777777" w:rsidR="00811B8D" w:rsidRPr="008A351A" w:rsidRDefault="00811B8D" w:rsidP="009501EF">
      <w:pPr>
        <w:tabs>
          <w:tab w:val="left" w:pos="567"/>
        </w:tabs>
        <w:spacing w:after="0" w:line="240" w:lineRule="auto"/>
        <w:rPr>
          <w:rFonts w:ascii="Times New Roman" w:eastAsia="Times New Roman" w:hAnsi="Times New Roman" w:cs="Times New Roman"/>
          <w:b/>
          <w:bCs/>
          <w:i/>
          <w:iCs/>
        </w:rPr>
      </w:pPr>
    </w:p>
    <w:p w14:paraId="6DDFCF15"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i/>
          <w:iCs/>
        </w:rPr>
        <w:t>Nutraukimas</w:t>
      </w:r>
    </w:p>
    <w:p w14:paraId="3E184A3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4E42E4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Kvetiapino vartojimą nutraukus staiga buvo ūminių nutraukimo simptomų: nemigos, pykinimo, galvos skausmo, viduriavimo, vėmimo, svaigulio ir dirglumo atvejų. Gydymą patariama nutraukti palaipsniui bent per vienos arba dviejų savaičių laikotarpį (žr. 4.8 skyrių). </w:t>
      </w:r>
    </w:p>
    <w:p w14:paraId="00CFE470" w14:textId="77777777" w:rsidR="009501EF" w:rsidRPr="008A351A" w:rsidRDefault="009501EF" w:rsidP="009501EF">
      <w:pPr>
        <w:tabs>
          <w:tab w:val="left" w:pos="567"/>
        </w:tabs>
        <w:spacing w:after="0" w:line="240" w:lineRule="auto"/>
        <w:ind w:left="720"/>
        <w:rPr>
          <w:rFonts w:ascii="Times New Roman" w:eastAsia="Times New Roman" w:hAnsi="Times New Roman" w:cs="Times New Roman"/>
          <w:b/>
          <w:bCs/>
          <w:i/>
          <w:iCs/>
        </w:rPr>
      </w:pPr>
    </w:p>
    <w:p w14:paraId="427B4839"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Senyvi žmonės, sergantys su demencija susijusia psichoze</w:t>
      </w:r>
    </w:p>
    <w:p w14:paraId="0E8E7AA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B03B2E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Quetiapine Accord yra nepatvirtintas su demencija susijusiai psichozei gydyti. </w:t>
      </w:r>
    </w:p>
    <w:p w14:paraId="27F3332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Atsitiktinių imčių placebu kontroliuojamo tyrimo metu kai kuriais atipiniais antipsichoziniais preparatais gydomiems demencija sergantiems pacientams 3 kartus padidėjo cerebrovaskulinio nepageidaujamo poveikio dažnis. Koks šio rizikos padidėjimo mechanizmas, nežinoma. Rizikos padidėjimo negalima atmesti nei gydymo kitokiais antipsichoziniais preparatais metu, nei kitokios populiacijos pacientams. Pacientus, kuriems padidėjusi insulto rizika, Quetiapine Accord reikia gydyti atsargiai. </w:t>
      </w:r>
    </w:p>
    <w:p w14:paraId="37FDC32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D343ED5" w14:textId="77777777" w:rsidR="00B53CD9" w:rsidRPr="008A351A" w:rsidRDefault="009501EF" w:rsidP="00B16D6F">
      <w:pPr>
        <w:rPr>
          <w:rFonts w:ascii="Times New Roman" w:hAnsi="Times New Roman"/>
          <w:color w:val="000000"/>
        </w:rPr>
      </w:pPr>
      <w:r w:rsidRPr="008A351A">
        <w:rPr>
          <w:rFonts w:ascii="Times New Roman" w:eastAsia="Times New Roman" w:hAnsi="Times New Roman" w:cs="Times New Roman"/>
        </w:rPr>
        <w:t>Gydymo atipiniais antipsichoziniais preparatais metaanalizės duomenimis senyviems pacientams, sergantiems su demencija susijusia psichoze, mirties rizika yra didesnė, negu vartojantiems placebo. Dviejų 10 savaičių placebu kontroliuojamų tyrimų, kuriuose dalyvavo tokios pačios populiacijos pacientai (n = 710; vidutinis amžius 83 metai, amžiaus ribos: 56</w:t>
      </w:r>
      <w:r w:rsidRPr="008A351A">
        <w:rPr>
          <w:rFonts w:ascii="Times New Roman" w:eastAsia="Times New Roman" w:hAnsi="Times New Roman" w:cs="Times New Roman"/>
        </w:rPr>
        <w:noBreakHyphen/>
        <w:t xml:space="preserve">99 m.), metu kvetiapinu gydomų pacientų mirtingumo dažnis buvo 5,5%, placebo vartojančių tiriamųjų 3,2%. Šių tyrimų metu pacientai mirė dėl įvairių priežasčių, kurios buvo tikėtinos šiai populiacijai. </w:t>
      </w:r>
    </w:p>
    <w:p w14:paraId="785B236E" w14:textId="77777777" w:rsidR="00B53CD9" w:rsidRPr="008A351A" w:rsidRDefault="00DD0397" w:rsidP="00B53CD9">
      <w:pPr>
        <w:rPr>
          <w:rFonts w:ascii="Times New Roman" w:hAnsi="Times New Roman"/>
          <w:b/>
          <w:u w:val="single"/>
        </w:rPr>
      </w:pPr>
      <w:r w:rsidRPr="008A351A">
        <w:rPr>
          <w:rFonts w:ascii="Times New Roman" w:hAnsi="Times New Roman"/>
          <w:b/>
          <w:u w:val="single"/>
        </w:rPr>
        <w:t>Senyvi pacientai, sergantys Parkinsono liga (PL) / parkinsonizmu</w:t>
      </w:r>
    </w:p>
    <w:p w14:paraId="5B6B19B0" w14:textId="77777777" w:rsidR="00775067" w:rsidRPr="008A351A" w:rsidRDefault="00775067" w:rsidP="00B53CD9">
      <w:pPr>
        <w:tabs>
          <w:tab w:val="left" w:pos="567"/>
        </w:tabs>
        <w:spacing w:after="0" w:line="240" w:lineRule="auto"/>
        <w:rPr>
          <w:rFonts w:ascii="Times New Roman" w:hAnsi="Times New Roman"/>
        </w:rPr>
      </w:pPr>
      <w:r w:rsidRPr="008A351A">
        <w:rPr>
          <w:rFonts w:ascii="Times New Roman" w:hAnsi="Times New Roman"/>
        </w:rPr>
        <w:t>Retrospektyvaus populiacija pagrįsto ty</w:t>
      </w:r>
      <w:r w:rsidR="0039366E" w:rsidRPr="008A351A">
        <w:rPr>
          <w:rFonts w:ascii="Times New Roman" w:hAnsi="Times New Roman"/>
        </w:rPr>
        <w:t>r</w:t>
      </w:r>
      <w:r w:rsidRPr="008A351A">
        <w:rPr>
          <w:rFonts w:ascii="Times New Roman" w:hAnsi="Times New Roman"/>
        </w:rPr>
        <w:t xml:space="preserve">imo metu </w:t>
      </w:r>
      <w:r w:rsidR="0039366E" w:rsidRPr="008A351A">
        <w:rPr>
          <w:rFonts w:ascii="Times New Roman" w:hAnsi="Times New Roman"/>
        </w:rPr>
        <w:t>vyresniems kaip 6</w:t>
      </w:r>
      <w:r w:rsidR="00F06681" w:rsidRPr="008A351A">
        <w:rPr>
          <w:rFonts w:ascii="Times New Roman" w:hAnsi="Times New Roman"/>
        </w:rPr>
        <w:t>5</w:t>
      </w:r>
      <w:r w:rsidR="0039366E" w:rsidRPr="008A351A">
        <w:rPr>
          <w:rFonts w:ascii="Times New Roman" w:hAnsi="Times New Roman"/>
        </w:rPr>
        <w:t xml:space="preserve"> metų pacientams, sergantiems DDS ir gydytiems kvetiapinu, nustatyta didesnė mirti</w:t>
      </w:r>
      <w:r w:rsidR="00705CE8" w:rsidRPr="008A351A">
        <w:rPr>
          <w:rFonts w:ascii="Times New Roman" w:hAnsi="Times New Roman"/>
        </w:rPr>
        <w:t>ngumo</w:t>
      </w:r>
      <w:r w:rsidR="0039366E" w:rsidRPr="008A351A">
        <w:rPr>
          <w:rFonts w:ascii="Times New Roman" w:hAnsi="Times New Roman"/>
        </w:rPr>
        <w:t xml:space="preserve"> rizika. Tokio ryšio nebuvo iš an</w:t>
      </w:r>
      <w:r w:rsidR="00705CE8" w:rsidRPr="008A351A">
        <w:rPr>
          <w:rFonts w:ascii="Times New Roman" w:hAnsi="Times New Roman"/>
        </w:rPr>
        <w:t>a</w:t>
      </w:r>
      <w:r w:rsidR="0039366E" w:rsidRPr="008A351A">
        <w:rPr>
          <w:rFonts w:ascii="Times New Roman" w:hAnsi="Times New Roman"/>
        </w:rPr>
        <w:t xml:space="preserve">lizės pašalinus PL sergančius pacientus. </w:t>
      </w:r>
      <w:r w:rsidR="00705CE8" w:rsidRPr="008A351A">
        <w:rPr>
          <w:rFonts w:ascii="Times New Roman" w:hAnsi="Times New Roman"/>
        </w:rPr>
        <w:t>Reikia būti atsargiems, skiriant kvetiapino senyviems PL sergantiems pacientams.</w:t>
      </w:r>
    </w:p>
    <w:p w14:paraId="36C54FFA" w14:textId="77777777" w:rsidR="009501EF" w:rsidRPr="008A351A" w:rsidRDefault="009501EF" w:rsidP="009501EF">
      <w:pPr>
        <w:tabs>
          <w:tab w:val="left" w:pos="567"/>
        </w:tabs>
        <w:spacing w:after="0" w:line="240" w:lineRule="auto"/>
        <w:rPr>
          <w:rFonts w:ascii="Times New Roman" w:hAnsi="Times New Roman" w:cs="Times New Roman"/>
          <w:b/>
          <w:i/>
        </w:rPr>
      </w:pPr>
    </w:p>
    <w:p w14:paraId="4A99F7E5"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Disfagija</w:t>
      </w:r>
    </w:p>
    <w:p w14:paraId="0FC7F060" w14:textId="77777777" w:rsidR="009501EF" w:rsidRPr="008A351A" w:rsidRDefault="009501EF" w:rsidP="009501EF">
      <w:pPr>
        <w:tabs>
          <w:tab w:val="left" w:pos="567"/>
        </w:tabs>
        <w:spacing w:after="0" w:line="240" w:lineRule="auto"/>
        <w:rPr>
          <w:rFonts w:ascii="Times New Roman" w:eastAsia="Times New Roman" w:hAnsi="Times New Roman" w:cs="Times New Roman"/>
          <w:b/>
          <w:iCs/>
        </w:rPr>
      </w:pPr>
    </w:p>
    <w:p w14:paraId="045D40B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Gauta pranešimų apie vartojantiesiems kvetiapiną</w:t>
      </w:r>
      <w:r w:rsidRPr="008A351A" w:rsidDel="0048430C">
        <w:rPr>
          <w:rFonts w:ascii="Times New Roman" w:eastAsia="Times New Roman" w:hAnsi="Times New Roman" w:cs="Times New Roman"/>
        </w:rPr>
        <w:t xml:space="preserve"> </w:t>
      </w:r>
      <w:r w:rsidRPr="008A351A">
        <w:rPr>
          <w:rFonts w:ascii="Times New Roman" w:eastAsia="Times New Roman" w:hAnsi="Times New Roman" w:cs="Times New Roman"/>
        </w:rPr>
        <w:t xml:space="preserve">pasireiškusius disfagijos atvejus (žr. 4.8 skyrių). Pacientus, kuriems padidėjusi aspiracinės pneumonijos rizika, kvetiapinu reikia gydyti atsargiai. </w:t>
      </w:r>
    </w:p>
    <w:p w14:paraId="0889261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08635BE"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rPr>
        <w:t>Vidurių užkietėjimas ir žarnų užsikimšimas</w:t>
      </w:r>
    </w:p>
    <w:p w14:paraId="07C86C27"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p>
    <w:p w14:paraId="2EE9DB8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Vidurių užkietėjimas yra žarnų užsikimšimo rizikos faktorius. Vartojant kvetiapiną buvo pranešta apie vidurių užkietėjimą ir žarnų užsikimšimą (žr. 4.8 skyrių). Tai apima pranešimus apie mirtinus atvejus pacientams, kuriems kyla padidintas žarnų užsikimšimo pavojus, įskaitant vartojančius kelis vienu metu skiriamus vaistinius preparatus, mažinančius žarnų judrumą ir (arba) galinčius neturėti vidurių užkietėjimo simptomų. Pacientai su žarnų užsikimšimu arba nepraeinamumu turėtų būti gydomi atidžiai stebint ir teikiant skubią pagalbą.  </w:t>
      </w:r>
    </w:p>
    <w:p w14:paraId="5C969457" w14:textId="77777777" w:rsidR="009501EF" w:rsidRPr="008A351A" w:rsidRDefault="009501EF" w:rsidP="009501EF">
      <w:pPr>
        <w:tabs>
          <w:tab w:val="left" w:pos="567"/>
        </w:tabs>
        <w:spacing w:after="0" w:line="240" w:lineRule="auto"/>
        <w:rPr>
          <w:rFonts w:ascii="Times New Roman" w:hAnsi="Times New Roman" w:cs="Times New Roman"/>
          <w:b/>
          <w:i/>
        </w:rPr>
      </w:pPr>
    </w:p>
    <w:p w14:paraId="17C5BB74" w14:textId="77777777" w:rsidR="009501EF" w:rsidRPr="008A351A" w:rsidRDefault="009501EF" w:rsidP="009501EF">
      <w:pPr>
        <w:tabs>
          <w:tab w:val="left" w:pos="567"/>
        </w:tabs>
        <w:spacing w:after="0" w:line="240" w:lineRule="auto"/>
        <w:rPr>
          <w:rFonts w:ascii="Times New Roman" w:eastAsia="Times New Roman" w:hAnsi="Times New Roman" w:cs="Times New Roman"/>
          <w:b/>
          <w:i/>
        </w:rPr>
      </w:pPr>
      <w:r w:rsidRPr="008A351A">
        <w:rPr>
          <w:rFonts w:ascii="Times New Roman" w:eastAsia="Times New Roman" w:hAnsi="Times New Roman" w:cs="Times New Roman"/>
          <w:b/>
          <w:i/>
        </w:rPr>
        <w:t>Veninė tromboembolija (VTE)</w:t>
      </w:r>
    </w:p>
    <w:p w14:paraId="17B50F8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Vaistinių preparatų nuo psichozės vartojusiems pacientams buvo veninės tromboembolijos (VTE) atvejų. Kadangi antipsichotikais gydomi pacientai dažnai turi įgytų VTE rizikos veiksnių, būtina nustatyti visus galimus rizikos veiksnius prieš pradedant gydymą kvetiapinu ir jo metu bei imtis profilaktikos priemonių.</w:t>
      </w:r>
    </w:p>
    <w:p w14:paraId="1822A03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36836F8" w14:textId="77777777" w:rsidR="009501EF" w:rsidRPr="008A351A" w:rsidRDefault="009501EF" w:rsidP="009501EF">
      <w:pPr>
        <w:tabs>
          <w:tab w:val="left" w:pos="567"/>
        </w:tabs>
        <w:spacing w:after="0" w:line="240" w:lineRule="auto"/>
        <w:rPr>
          <w:rFonts w:ascii="Times New Roman" w:eastAsia="Times New Roman" w:hAnsi="Times New Roman" w:cs="Times New Roman"/>
          <w:i/>
        </w:rPr>
      </w:pPr>
    </w:p>
    <w:p w14:paraId="5011804A" w14:textId="77777777" w:rsidR="009501EF" w:rsidRPr="008A351A" w:rsidRDefault="009501EF" w:rsidP="009501EF">
      <w:pPr>
        <w:tabs>
          <w:tab w:val="left" w:pos="567"/>
        </w:tabs>
        <w:spacing w:after="0" w:line="240" w:lineRule="auto"/>
        <w:rPr>
          <w:rFonts w:ascii="Times New Roman" w:eastAsia="Times New Roman" w:hAnsi="Times New Roman" w:cs="Times New Roman"/>
          <w:b/>
          <w:i/>
          <w:u w:val="single"/>
        </w:rPr>
      </w:pPr>
      <w:r w:rsidRPr="008A351A">
        <w:rPr>
          <w:rFonts w:ascii="Times New Roman" w:eastAsia="Times New Roman" w:hAnsi="Times New Roman" w:cs="Times New Roman"/>
          <w:b/>
          <w:i/>
          <w:u w:val="single"/>
        </w:rPr>
        <w:t>Pankreatitas</w:t>
      </w:r>
    </w:p>
    <w:p w14:paraId="4A737990" w14:textId="77777777" w:rsidR="009501EF" w:rsidRPr="008A351A" w:rsidRDefault="009501EF" w:rsidP="009501EF">
      <w:pPr>
        <w:tabs>
          <w:tab w:val="left" w:pos="567"/>
        </w:tabs>
        <w:spacing w:after="0" w:line="240" w:lineRule="auto"/>
        <w:rPr>
          <w:rFonts w:ascii="Times New Roman" w:eastAsia="Times New Roman" w:hAnsi="Times New Roman" w:cs="Times New Roman"/>
          <w:i/>
        </w:rPr>
      </w:pPr>
    </w:p>
    <w:p w14:paraId="4B0B6B9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Klinikinių tyrimų ir įvedus vaistinį preparatą į rinką metu gauta pranešimų apie pankreatitą. Pranešimuose apie patirtį po įvedimo į rinką, daugeliui pacientų pasireiškė faktoriai (rizikos faktoriai apsunkino ne visus atvejus), kurie yra žinomai susiję su pankreatitu, pavyzdžiui, padidėjęs trigliceridų kiekis (žr. 4.4 skyrių), tulžies akmenys ir alkoholio vartojimas.</w:t>
      </w:r>
    </w:p>
    <w:p w14:paraId="102C723B" w14:textId="77777777" w:rsidR="009501EF" w:rsidRPr="008A351A" w:rsidRDefault="009501EF" w:rsidP="009501EF">
      <w:pPr>
        <w:tabs>
          <w:tab w:val="left" w:pos="567"/>
        </w:tabs>
        <w:spacing w:after="0" w:line="240" w:lineRule="auto"/>
        <w:rPr>
          <w:rFonts w:ascii="Times New Roman" w:eastAsia="Times New Roman" w:hAnsi="Times New Roman" w:cs="Times New Roman"/>
          <w:i/>
        </w:rPr>
      </w:pPr>
    </w:p>
    <w:p w14:paraId="1426EF25" w14:textId="77777777" w:rsidR="009501EF" w:rsidRPr="008A351A" w:rsidRDefault="009501EF" w:rsidP="009501EF">
      <w:pPr>
        <w:tabs>
          <w:tab w:val="left" w:pos="567"/>
        </w:tabs>
        <w:spacing w:after="0" w:line="240" w:lineRule="auto"/>
        <w:rPr>
          <w:rFonts w:ascii="Times New Roman" w:eastAsia="Times New Roman" w:hAnsi="Times New Roman" w:cs="Times New Roman"/>
          <w:b/>
          <w:i/>
          <w:iCs/>
        </w:rPr>
      </w:pPr>
      <w:r w:rsidRPr="008A351A">
        <w:rPr>
          <w:rFonts w:ascii="Times New Roman" w:eastAsia="Times New Roman" w:hAnsi="Times New Roman" w:cs="Times New Roman"/>
          <w:b/>
          <w:i/>
          <w:iCs/>
        </w:rPr>
        <w:t>Papildoma informacija</w:t>
      </w:r>
    </w:p>
    <w:p w14:paraId="34B10A4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6E4033D"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rPr>
        <w:t xml:space="preserve">Apie ūminio vidutinio sunkumo arba sunkaus manijos epizodo gydymą kvetiapinu kartu su valproato seminatrio druska arba ličiu duomenų yra mažai, tačiau gydymas šiuo deriniu buvo toleruojamas gerai (žr. 4.8 ir 5.1 skyrius). Duomenys rodo, kad trečiąją gydymo savaitę poveikis būna adityvus. </w:t>
      </w:r>
    </w:p>
    <w:p w14:paraId="745CEC89"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2BEB3882" w14:textId="77777777" w:rsidR="009501EF" w:rsidRPr="008A351A" w:rsidRDefault="009501EF" w:rsidP="009501EF">
      <w:pPr>
        <w:tabs>
          <w:tab w:val="left" w:pos="567"/>
        </w:tabs>
        <w:spacing w:after="0" w:line="240" w:lineRule="auto"/>
        <w:rPr>
          <w:rFonts w:ascii="Times New Roman" w:eastAsia="Times New Roman" w:hAnsi="Times New Roman" w:cs="Times New Roman"/>
          <w:b/>
          <w:bCs/>
          <w:i/>
          <w:u w:val="single"/>
        </w:rPr>
      </w:pPr>
      <w:r w:rsidRPr="008A351A">
        <w:rPr>
          <w:rFonts w:ascii="Times New Roman" w:eastAsia="Times New Roman" w:hAnsi="Times New Roman" w:cs="Times New Roman"/>
          <w:b/>
          <w:bCs/>
          <w:i/>
          <w:u w:val="single"/>
        </w:rPr>
        <w:t>Laktozė</w:t>
      </w:r>
    </w:p>
    <w:p w14:paraId="79E3AD10" w14:textId="5132C6CF" w:rsidR="009501EF" w:rsidRDefault="009501EF" w:rsidP="009501EF">
      <w:pPr>
        <w:tabs>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Kvetiapino tabletėse yra laktozės. Pacientams, turintiems retų paveldimų galaktozės netoleravimo sutrikimų, </w:t>
      </w:r>
      <w:r w:rsidR="00B53CD9" w:rsidRPr="008A351A">
        <w:rPr>
          <w:rFonts w:ascii="Times New Roman" w:eastAsia="Times New Roman" w:hAnsi="Times New Roman" w:cs="Times New Roman"/>
          <w:bCs/>
        </w:rPr>
        <w:t>vi</w:t>
      </w:r>
      <w:r w:rsidR="00492B65" w:rsidRPr="008A351A">
        <w:rPr>
          <w:rFonts w:ascii="Times New Roman" w:eastAsia="Times New Roman" w:hAnsi="Times New Roman" w:cs="Times New Roman"/>
          <w:bCs/>
        </w:rPr>
        <w:t>sišką</w:t>
      </w:r>
      <w:r w:rsidR="00B53CD9" w:rsidRPr="008A351A">
        <w:rPr>
          <w:rFonts w:ascii="Times New Roman" w:eastAsia="Times New Roman" w:hAnsi="Times New Roman" w:cs="Times New Roman"/>
          <w:bCs/>
        </w:rPr>
        <w:t> </w:t>
      </w:r>
      <w:r w:rsidRPr="008A351A">
        <w:rPr>
          <w:rFonts w:ascii="Times New Roman" w:eastAsia="Times New Roman" w:hAnsi="Times New Roman" w:cs="Times New Roman"/>
        </w:rPr>
        <w:t>laktazės</w:t>
      </w:r>
      <w:r w:rsidR="00B53CD9" w:rsidRPr="008A351A">
        <w:rPr>
          <w:rFonts w:ascii="Times New Roman" w:eastAsia="Times New Roman" w:hAnsi="Times New Roman" w:cs="Times New Roman"/>
        </w:rPr>
        <w:t xml:space="preserve"> </w:t>
      </w:r>
      <w:r w:rsidRPr="008A351A">
        <w:rPr>
          <w:rFonts w:ascii="Times New Roman" w:eastAsia="Times New Roman" w:hAnsi="Times New Roman" w:cs="Times New Roman"/>
          <w:bCs/>
        </w:rPr>
        <w:t>nepakankamumą ar gliukozės ir galaktozės malabsorbciją, negalima vartoti šio vaisto.</w:t>
      </w:r>
    </w:p>
    <w:p w14:paraId="2401C8B2" w14:textId="737D11CE" w:rsidR="00811B8D" w:rsidRDefault="00811B8D" w:rsidP="009501EF">
      <w:pPr>
        <w:tabs>
          <w:tab w:val="left" w:pos="567"/>
        </w:tabs>
        <w:spacing w:after="0" w:line="240" w:lineRule="auto"/>
        <w:rPr>
          <w:rFonts w:ascii="Times New Roman" w:eastAsia="Times New Roman" w:hAnsi="Times New Roman" w:cs="Times New Roman"/>
          <w:bCs/>
        </w:rPr>
      </w:pPr>
    </w:p>
    <w:p w14:paraId="2A59E11D" w14:textId="7B11429C" w:rsidR="00811B8D" w:rsidRPr="00677EC4" w:rsidRDefault="00325865" w:rsidP="00811B8D">
      <w:pPr>
        <w:tabs>
          <w:tab w:val="left" w:pos="567"/>
        </w:tabs>
        <w:spacing w:after="0" w:line="240" w:lineRule="auto"/>
        <w:rPr>
          <w:rFonts w:ascii="Times New Roman" w:eastAsia="Times New Roman" w:hAnsi="Times New Roman" w:cs="Times New Roman"/>
          <w:b/>
          <w:bCs/>
          <w:i/>
          <w:u w:val="single"/>
        </w:rPr>
      </w:pPr>
      <w:r>
        <w:rPr>
          <w:rFonts w:ascii="Times New Roman" w:eastAsia="Times New Roman" w:hAnsi="Times New Roman" w:cs="Times New Roman"/>
          <w:b/>
          <w:bCs/>
          <w:i/>
          <w:u w:val="single"/>
        </w:rPr>
        <w:t>N</w:t>
      </w:r>
      <w:r w:rsidR="00811B8D">
        <w:rPr>
          <w:rFonts w:ascii="Times New Roman" w:eastAsia="Times New Roman" w:hAnsi="Times New Roman" w:cs="Times New Roman"/>
          <w:b/>
          <w:bCs/>
          <w:i/>
          <w:u w:val="single"/>
        </w:rPr>
        <w:t>atri</w:t>
      </w:r>
      <w:r>
        <w:rPr>
          <w:rFonts w:ascii="Times New Roman" w:eastAsia="Times New Roman" w:hAnsi="Times New Roman" w:cs="Times New Roman"/>
          <w:b/>
          <w:bCs/>
          <w:i/>
          <w:u w:val="single"/>
        </w:rPr>
        <w:t>s</w:t>
      </w:r>
    </w:p>
    <w:p w14:paraId="2020EE12" w14:textId="006FBF0F" w:rsidR="00811B8D" w:rsidRPr="008A351A" w:rsidRDefault="00811B8D" w:rsidP="009501EF">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Vienoje šio vaistinio preparato tabletėje yra mažiau kaip </w:t>
      </w:r>
      <w:r w:rsidRPr="00677EC4">
        <w:rPr>
          <w:rFonts w:ascii="Times New Roman" w:eastAsia="Times New Roman" w:hAnsi="Times New Roman" w:cs="Times New Roman"/>
          <w:bCs/>
        </w:rPr>
        <w:t>1</w:t>
      </w:r>
      <w:r>
        <w:rPr>
          <w:rFonts w:ascii="Times New Roman" w:eastAsia="Times New Roman" w:hAnsi="Times New Roman" w:cs="Times New Roman"/>
          <w:bCs/>
        </w:rPr>
        <w:t> </w:t>
      </w:r>
      <w:r w:rsidRPr="00677EC4">
        <w:rPr>
          <w:rFonts w:ascii="Times New Roman" w:eastAsia="Times New Roman" w:hAnsi="Times New Roman" w:cs="Times New Roman"/>
          <w:bCs/>
        </w:rPr>
        <w:t xml:space="preserve">mmol </w:t>
      </w:r>
      <w:r>
        <w:rPr>
          <w:rFonts w:ascii="Times New Roman" w:eastAsia="Times New Roman" w:hAnsi="Times New Roman" w:cs="Times New Roman"/>
          <w:bCs/>
        </w:rPr>
        <w:t>natrio</w:t>
      </w:r>
      <w:r w:rsidRPr="00677EC4">
        <w:rPr>
          <w:rFonts w:ascii="Times New Roman" w:eastAsia="Times New Roman" w:hAnsi="Times New Roman" w:cs="Times New Roman"/>
          <w:bCs/>
        </w:rPr>
        <w:t xml:space="preserve"> (23</w:t>
      </w:r>
      <w:r>
        <w:rPr>
          <w:rFonts w:ascii="Times New Roman" w:eastAsia="Times New Roman" w:hAnsi="Times New Roman" w:cs="Times New Roman"/>
          <w:bCs/>
        </w:rPr>
        <w:t> </w:t>
      </w:r>
      <w:r w:rsidRPr="00677EC4">
        <w:rPr>
          <w:rFonts w:ascii="Times New Roman" w:eastAsia="Times New Roman" w:hAnsi="Times New Roman" w:cs="Times New Roman"/>
          <w:bCs/>
        </w:rPr>
        <w:t xml:space="preserve">mg), </w:t>
      </w:r>
      <w:r>
        <w:rPr>
          <w:rFonts w:ascii="Times New Roman" w:eastAsia="Times New Roman" w:hAnsi="Times New Roman" w:cs="Times New Roman"/>
          <w:bCs/>
        </w:rPr>
        <w:t xml:space="preserve">t. y. </w:t>
      </w:r>
      <w:r w:rsidRPr="003359E5">
        <w:rPr>
          <w:rFonts w:ascii="Times New Roman" w:eastAsia="Times New Roman" w:hAnsi="Times New Roman" w:cs="Times New Roman"/>
          <w:bCs/>
        </w:rPr>
        <w:t>jis beveik</w:t>
      </w:r>
      <w:r>
        <w:rPr>
          <w:rFonts w:ascii="Times New Roman" w:eastAsia="Times New Roman" w:hAnsi="Times New Roman" w:cs="Times New Roman"/>
          <w:bCs/>
        </w:rPr>
        <w:t xml:space="preserve"> </w:t>
      </w:r>
      <w:r w:rsidRPr="003359E5">
        <w:rPr>
          <w:rFonts w:ascii="Times New Roman" w:eastAsia="Times New Roman" w:hAnsi="Times New Roman" w:cs="Times New Roman"/>
          <w:bCs/>
        </w:rPr>
        <w:t>neturi reikšmės.</w:t>
      </w:r>
    </w:p>
    <w:p w14:paraId="2E7336D9" w14:textId="77777777" w:rsidR="009501EF" w:rsidRPr="008A351A" w:rsidRDefault="009501EF" w:rsidP="009501EF">
      <w:pPr>
        <w:tabs>
          <w:tab w:val="left" w:pos="567"/>
        </w:tabs>
        <w:spacing w:after="0" w:line="240" w:lineRule="auto"/>
        <w:rPr>
          <w:rFonts w:ascii="Times New Roman" w:eastAsia="Times New Roman" w:hAnsi="Times New Roman" w:cs="Times New Roman"/>
          <w:bCs/>
        </w:rPr>
      </w:pPr>
    </w:p>
    <w:p w14:paraId="150BFC60" w14:textId="77777777" w:rsidR="009501EF" w:rsidRPr="008A351A" w:rsidRDefault="009501EF" w:rsidP="009501EF">
      <w:pPr>
        <w:tabs>
          <w:tab w:val="left" w:pos="567"/>
        </w:tabs>
        <w:spacing w:after="0" w:line="240" w:lineRule="auto"/>
        <w:rPr>
          <w:rFonts w:ascii="Times New Roman" w:eastAsia="Times New Roman" w:hAnsi="Times New Roman" w:cs="Times New Roman"/>
          <w:b/>
          <w:bCs/>
          <w:i/>
        </w:rPr>
      </w:pPr>
      <w:r w:rsidRPr="008A351A">
        <w:rPr>
          <w:rFonts w:ascii="Times New Roman" w:eastAsia="Times New Roman" w:hAnsi="Times New Roman" w:cs="Times New Roman"/>
          <w:b/>
          <w:bCs/>
          <w:i/>
        </w:rPr>
        <w:t>Netinkamas vartojimas ir piktnaudžiavimas</w:t>
      </w:r>
    </w:p>
    <w:p w14:paraId="07DDA4AD" w14:textId="77777777" w:rsidR="009501EF" w:rsidRPr="008A351A" w:rsidRDefault="009501EF" w:rsidP="009501EF">
      <w:pPr>
        <w:tabs>
          <w:tab w:val="left" w:pos="567"/>
        </w:tabs>
        <w:spacing w:after="0" w:line="240" w:lineRule="auto"/>
        <w:rPr>
          <w:rFonts w:ascii="Times New Roman" w:eastAsia="Times New Roman" w:hAnsi="Times New Roman" w:cs="Times New Roman"/>
          <w:bCs/>
        </w:rPr>
      </w:pPr>
    </w:p>
    <w:p w14:paraId="5D03445B" w14:textId="77777777" w:rsidR="009501EF" w:rsidRPr="008A351A" w:rsidRDefault="009501EF" w:rsidP="009501EF">
      <w:pPr>
        <w:tabs>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Buvo pranešta apie netinkamo vartojimo ir piktnaudžiavimo atvejus. Pacientams, kurie yra piktnaudžiavę alkoholiu arba narkotinėmis medžiagomis, kvetiapiną reikia skirti atsargiai.</w:t>
      </w:r>
    </w:p>
    <w:p w14:paraId="61624A26" w14:textId="77777777" w:rsidR="009501EF" w:rsidRPr="008A351A" w:rsidRDefault="009501EF" w:rsidP="009501EF">
      <w:pPr>
        <w:tabs>
          <w:tab w:val="left" w:pos="567"/>
        </w:tabs>
        <w:spacing w:after="0" w:line="240" w:lineRule="auto"/>
        <w:rPr>
          <w:rFonts w:ascii="Times New Roman" w:eastAsia="Times New Roman" w:hAnsi="Times New Roman" w:cs="Times New Roman"/>
          <w:bCs/>
        </w:rPr>
      </w:pPr>
    </w:p>
    <w:p w14:paraId="12C36DA6" w14:textId="77777777" w:rsidR="009501EF" w:rsidRPr="008A351A" w:rsidRDefault="009501EF" w:rsidP="009501EF">
      <w:pPr>
        <w:tabs>
          <w:tab w:val="left" w:pos="567"/>
        </w:tabs>
        <w:spacing w:after="0" w:line="240" w:lineRule="auto"/>
        <w:rPr>
          <w:rFonts w:ascii="Times New Roman" w:eastAsia="Times New Roman" w:hAnsi="Times New Roman" w:cs="Times New Roman"/>
          <w:bCs/>
        </w:rPr>
      </w:pPr>
    </w:p>
    <w:p w14:paraId="6E52249C"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4.5</w:t>
      </w:r>
      <w:r w:rsidRPr="008A351A">
        <w:rPr>
          <w:rFonts w:ascii="Times New Roman" w:eastAsia="Times New Roman" w:hAnsi="Times New Roman" w:cs="Times New Roman"/>
          <w:b/>
          <w:bCs/>
        </w:rPr>
        <w:tab/>
        <w:t>Sąveika su kitais vaistiniais preparatais ir kitokia sąveika</w:t>
      </w:r>
    </w:p>
    <w:p w14:paraId="6053746C"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7CA647E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Kadangi kvetiapinas daugiausiai veikia centrinę nervų sistemą, kvetiapiną reikia atsargiai vartoti su kitais centrinio poveikio vaistiniais preparatais ir alkoholiu.</w:t>
      </w:r>
    </w:p>
    <w:p w14:paraId="1221154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1D9BAC8" w14:textId="77777777" w:rsidR="00E52BEE" w:rsidRDefault="00E52BEE" w:rsidP="009501EF">
      <w:pPr>
        <w:tabs>
          <w:tab w:val="left" w:pos="567"/>
        </w:tabs>
        <w:spacing w:after="0" w:line="240" w:lineRule="auto"/>
        <w:rPr>
          <w:rFonts w:ascii="Times New Roman" w:eastAsia="Times New Roman" w:hAnsi="Times New Roman" w:cs="Times New Roman"/>
        </w:rPr>
      </w:pPr>
      <w:r w:rsidRPr="00E52BEE">
        <w:rPr>
          <w:rFonts w:ascii="Times New Roman" w:eastAsia="Times New Roman" w:hAnsi="Times New Roman" w:cs="Times New Roman"/>
        </w:rPr>
        <w:t xml:space="preserve">Kvetiapiną reikia atsargiai vartoti kartu su serotoninerginiais vaistiniais preparatais, pavyzdžiui, MAO inhibitoriais, selektyviaisiais serotonino reabsorbcijos inhibitoriais (SSRI), serotonino ir noradrenalino </w:t>
      </w:r>
      <w:r w:rsidRPr="00E52BEE">
        <w:rPr>
          <w:rFonts w:ascii="Times New Roman" w:eastAsia="Times New Roman" w:hAnsi="Times New Roman" w:cs="Times New Roman"/>
        </w:rPr>
        <w:lastRenderedPageBreak/>
        <w:t xml:space="preserve">reabsorbcijos inhibitoriais (SNRI) arba tricikliais antidepresantais, nes padidėja serotonino sindromo (sutrikimo, galinčio kelti pavojų gyvybei) išsivystymo rizika (žr. 4.4 skyrių). </w:t>
      </w:r>
    </w:p>
    <w:p w14:paraId="293B87ED" w14:textId="77777777" w:rsidR="00E52BEE" w:rsidRDefault="00E52BEE" w:rsidP="009501EF">
      <w:pPr>
        <w:tabs>
          <w:tab w:val="left" w:pos="567"/>
        </w:tabs>
        <w:spacing w:after="0" w:line="240" w:lineRule="auto"/>
        <w:rPr>
          <w:rFonts w:ascii="Times New Roman" w:eastAsia="Times New Roman" w:hAnsi="Times New Roman" w:cs="Times New Roman"/>
        </w:rPr>
      </w:pPr>
    </w:p>
    <w:p w14:paraId="1A3A0CA7" w14:textId="7B3E89DB"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Pacientus, vartojančius kitus anticholinerginio (muskarininio) poveikio vaistinius preparatus, reikia gydyti atsargiai (žr. 4.4 skyrių).</w:t>
      </w:r>
    </w:p>
    <w:p w14:paraId="40041D9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8EEEE4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Citochromas P450 (CYP) 3A4 yra fermentas, </w:t>
      </w:r>
      <w:r w:rsidR="00493557" w:rsidRPr="008A351A">
        <w:rPr>
          <w:rFonts w:ascii="Times New Roman" w:eastAsia="Times New Roman" w:hAnsi="Times New Roman" w:cs="Times New Roman"/>
        </w:rPr>
        <w:t xml:space="preserve">kuris labiausiai veikia </w:t>
      </w:r>
      <w:r w:rsidRPr="008A351A">
        <w:rPr>
          <w:rFonts w:ascii="Times New Roman" w:eastAsia="Times New Roman" w:hAnsi="Times New Roman" w:cs="Times New Roman"/>
        </w:rPr>
        <w:t>citochromo P450 sistemos vykdom</w:t>
      </w:r>
      <w:r w:rsidR="00493557" w:rsidRPr="008A351A">
        <w:rPr>
          <w:rFonts w:ascii="Times New Roman" w:eastAsia="Times New Roman" w:hAnsi="Times New Roman" w:cs="Times New Roman"/>
        </w:rPr>
        <w:t>ą</w:t>
      </w:r>
      <w:r w:rsidRPr="008A351A">
        <w:rPr>
          <w:rFonts w:ascii="Times New Roman" w:eastAsia="Times New Roman" w:hAnsi="Times New Roman" w:cs="Times New Roman"/>
        </w:rPr>
        <w:t xml:space="preserve"> kvetiapino metabolizm</w:t>
      </w:r>
      <w:r w:rsidR="00493557" w:rsidRPr="008A351A">
        <w:rPr>
          <w:rFonts w:ascii="Times New Roman" w:eastAsia="Times New Roman" w:hAnsi="Times New Roman" w:cs="Times New Roman"/>
        </w:rPr>
        <w:t>ą</w:t>
      </w:r>
      <w:r w:rsidRPr="008A351A">
        <w:rPr>
          <w:rFonts w:ascii="Times New Roman" w:eastAsia="Times New Roman" w:hAnsi="Times New Roman" w:cs="Times New Roman"/>
        </w:rPr>
        <w:t>. Sąveikos tyrimų metu sveikų asmenų, kartu su kvetiapinu (25 mg) gėrusių ketokonazolo (CYP 3A4 inhibitoriaus), organizme kvetiapino AUC padidėjo 5</w:t>
      </w:r>
      <w:r w:rsidRPr="008A351A">
        <w:rPr>
          <w:rFonts w:ascii="Times New Roman" w:eastAsia="Times New Roman" w:hAnsi="Times New Roman" w:cs="Times New Roman"/>
        </w:rPr>
        <w:noBreakHyphen/>
        <w:t>8 kartus. Remiantis tuo, kvetiapino vartojimas kartu su CYP 3A4 inhibitoriais yra kontraindikuotinas. Be to, kvetiapino vartojimo laikotarpiu nerekomenduojama vartoti greipfrutų sulčių.</w:t>
      </w:r>
    </w:p>
    <w:p w14:paraId="0139341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A90966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Kartotinių dozių klinikinio tyrimo metu įvertinta kvetiapino, vartojamo prieš gydymą karbamazepinu (kepenų fermentų induktoriumi) ir jo metu, farmakokinetika. Nustatyta, kad kartu vartojamas karbamazepinas reikšmingai padidina kvetiapino klirensą. Dėl klirenso padidėjimo sisteminė kvetiapino ekspozicija (atsižvelgiant į AUC) buvo vidutiniškai 13% mažesnė, negu gydymo vien kvetiapinu metu, nors kai kuriems pacientams pasireiškė stipresnis poveikis. Dėl šios sąveikos kvetiapino koncentracija kraujo plazmoje gali būti mažesnė ir tai gali daryti įtaką kvetiapino </w:t>
      </w:r>
      <w:r w:rsidR="00425D19" w:rsidRPr="008A351A">
        <w:rPr>
          <w:rFonts w:ascii="Times New Roman" w:eastAsia="Times New Roman" w:hAnsi="Times New Roman" w:cs="Times New Roman"/>
        </w:rPr>
        <w:t xml:space="preserve">gydomajam </w:t>
      </w:r>
      <w:r w:rsidRPr="008A351A">
        <w:rPr>
          <w:rFonts w:ascii="Times New Roman" w:eastAsia="Times New Roman" w:hAnsi="Times New Roman" w:cs="Times New Roman"/>
        </w:rPr>
        <w:t>poveikiui. Kvetiapiną vartojant kartu su fenitoinu (mikrosomų fermentų induktoriumi), labai (maždaug 450%) padidėja kvetiapino klirensas. Kepenų fermentų induktorių vartojančius pacientus, kvetiapino galima pradėti gydyti tik gydytojui nustačius, kad gydymo kvetiapinu nauda bus didesnė už kepenų fermentų induktorių vartojimo nutraukimo riziką. Bet kokius gydymo kepenų induktoriais pokyčius svarbu daryti palaipsniui, prireikus induktorius galima keisti neinduktoriais (pvz., natrio valproatu) (žr. 4.4 </w:t>
      </w:r>
      <w:r w:rsidR="00896C8D" w:rsidRPr="008A351A">
        <w:rPr>
          <w:rFonts w:ascii="Times New Roman" w:eastAsia="Times New Roman" w:hAnsi="Times New Roman" w:cs="Times New Roman"/>
        </w:rPr>
        <w:t>skyrių</w:t>
      </w:r>
      <w:r w:rsidRPr="008A351A">
        <w:rPr>
          <w:rFonts w:ascii="Times New Roman" w:eastAsia="Times New Roman" w:hAnsi="Times New Roman" w:cs="Times New Roman"/>
        </w:rPr>
        <w:t>).</w:t>
      </w:r>
    </w:p>
    <w:p w14:paraId="67E68F6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3198C8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Vartojant kartu su antidepresantais imipraminu (CYP2D6 inhibitoriumi) arba fluoksetinu (CYP3A4 ir CYP2D6 inhibitoriumi), kvetiapino farmakokinetika reikšmingai nekito. </w:t>
      </w:r>
    </w:p>
    <w:p w14:paraId="562FCD5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2E536F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Vartojant kartu su antipsichoziniu preparatu risperidonu arba haloperidoliu, kvetiapino farmakokinetika reikšmingai nekito. Kartu su kvetiapinu</w:t>
      </w:r>
      <w:r w:rsidRPr="008A351A" w:rsidDel="0048430C">
        <w:rPr>
          <w:rFonts w:ascii="Times New Roman" w:eastAsia="Times New Roman" w:hAnsi="Times New Roman" w:cs="Times New Roman"/>
        </w:rPr>
        <w:t xml:space="preserve"> </w:t>
      </w:r>
      <w:r w:rsidRPr="008A351A">
        <w:rPr>
          <w:rFonts w:ascii="Times New Roman" w:eastAsia="Times New Roman" w:hAnsi="Times New Roman" w:cs="Times New Roman"/>
        </w:rPr>
        <w:t xml:space="preserve">vartojant tioridaziną, </w:t>
      </w:r>
      <w:r w:rsidR="00425D19" w:rsidRPr="008A351A">
        <w:rPr>
          <w:rFonts w:ascii="Times New Roman" w:eastAsia="Times New Roman" w:hAnsi="Times New Roman" w:cs="Times New Roman"/>
        </w:rPr>
        <w:t xml:space="preserve">kvetiapino </w:t>
      </w:r>
      <w:r w:rsidRPr="008A351A">
        <w:rPr>
          <w:rFonts w:ascii="Times New Roman" w:eastAsia="Times New Roman" w:hAnsi="Times New Roman" w:cs="Times New Roman"/>
        </w:rPr>
        <w:t>klirensas padidėjo maždaug 70</w:t>
      </w:r>
      <w:r w:rsidR="00425D19" w:rsidRPr="008A351A">
        <w:rPr>
          <w:rFonts w:ascii="Times New Roman" w:eastAsia="Times New Roman" w:hAnsi="Times New Roman" w:cs="Times New Roman"/>
        </w:rPr>
        <w:t xml:space="preserve"> </w:t>
      </w:r>
      <w:r w:rsidRPr="008A351A">
        <w:rPr>
          <w:rFonts w:ascii="Times New Roman" w:eastAsia="Times New Roman" w:hAnsi="Times New Roman" w:cs="Times New Roman"/>
        </w:rPr>
        <w:t>%.</w:t>
      </w:r>
    </w:p>
    <w:p w14:paraId="2E7B13C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2B17B0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Cimetidinas kartu vartojamo kvetiapino farmakokinetikos nekeitė. </w:t>
      </w:r>
    </w:p>
    <w:p w14:paraId="2DCA8B7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E54799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Kvetiapinas</w:t>
      </w:r>
      <w:r w:rsidRPr="008A351A" w:rsidDel="0048430C">
        <w:rPr>
          <w:rFonts w:ascii="Times New Roman" w:eastAsia="Times New Roman" w:hAnsi="Times New Roman" w:cs="Times New Roman"/>
        </w:rPr>
        <w:t xml:space="preserve"> </w:t>
      </w:r>
      <w:r w:rsidRPr="008A351A">
        <w:rPr>
          <w:rFonts w:ascii="Times New Roman" w:eastAsia="Times New Roman" w:hAnsi="Times New Roman" w:cs="Times New Roman"/>
        </w:rPr>
        <w:t>kartu vartojamo ličio preparato farmakokinetikos nekeitė.</w:t>
      </w:r>
    </w:p>
    <w:p w14:paraId="19C891C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E8C906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6 savaičių trukmės atsitiktinės imties suaugusių ūmia manija sergančių pacientų tyrimo metu lyginant ličio ir kvetiapino vartojimą su placebo ir kvetiapino vartojimu ličio vartojusioje grupėje buvo stebėtas dažnesnis ekstrapiramidinių susijusių įvykių (ypač drebulio), mieguistumo ir svorio didėjimo atvejų skaičius, lyginant su placebą vartojusia grupe (žr. 5.1 skyrių).</w:t>
      </w:r>
    </w:p>
    <w:p w14:paraId="318C797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51D817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Kartu vartojant natrio valproatą su kvetiapinu, kliniškai reikšmingai nekito nė vieno iš šių vaistinių preparatų farmakokinetika. Retrospektyvaus tyrimo su vaikais ir paaugliais, kurie buvo gydomi valproatu, kvetiapinu, arba abiem preparatais, duomenimis buvo nustatyta, kad leukopenija ir neutropenija atsirado dažniau kombinuoto gydymo, o ne monoterapijos grupė</w:t>
      </w:r>
      <w:r w:rsidR="00425D19" w:rsidRPr="008A351A">
        <w:rPr>
          <w:rFonts w:ascii="Times New Roman" w:eastAsia="Times New Roman" w:hAnsi="Times New Roman" w:cs="Times New Roman"/>
        </w:rPr>
        <w:t>s</w:t>
      </w:r>
      <w:r w:rsidRPr="008A351A">
        <w:rPr>
          <w:rFonts w:ascii="Times New Roman" w:eastAsia="Times New Roman" w:hAnsi="Times New Roman" w:cs="Times New Roman"/>
        </w:rPr>
        <w:t xml:space="preserve">e.  </w:t>
      </w:r>
    </w:p>
    <w:p w14:paraId="07FD3A0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8A8F3F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Formalių sąveikos su įprastiniais kardiovaskulinę sistemą veikiančiais medicininiais preparatais tyrimų neatlikta. </w:t>
      </w:r>
    </w:p>
    <w:p w14:paraId="24A5270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ED5E8A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Kvetiapiną vartoti kartu su vaistiniais preparatais, sutrikdančiais elektrolitų pusiausvyrą arba ilginančiais QT intervalą, reikia atsargiai.</w:t>
      </w:r>
    </w:p>
    <w:p w14:paraId="1F4BAE6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56E8DF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Buvo pranešimų apie neteisingus teigiamus rezultatus metadono ir triciklinių antidepresantų fermentiniuose imuniniuose tyrimuose tarp tų pacientų, kurie gėrė kvetiapiną. Rekomenduojama patvirtinti abejotinus tyrimų rezultatus tinkama chromatografine technika.</w:t>
      </w:r>
    </w:p>
    <w:p w14:paraId="6D483F4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7B14445"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lastRenderedPageBreak/>
        <w:t>4.6</w:t>
      </w:r>
      <w:r w:rsidRPr="008A351A">
        <w:rPr>
          <w:rFonts w:ascii="Times New Roman" w:eastAsia="Times New Roman" w:hAnsi="Times New Roman" w:cs="Times New Roman"/>
          <w:b/>
          <w:bCs/>
        </w:rPr>
        <w:tab/>
        <w:t xml:space="preserve">Vaisingumas, nėštumo ir žindymo laikotarpis </w:t>
      </w:r>
    </w:p>
    <w:p w14:paraId="3694AFB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12585C7"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Nėštumas</w:t>
      </w:r>
    </w:p>
    <w:p w14:paraId="1789E0A9" w14:textId="77777777" w:rsidR="009501EF" w:rsidRPr="008A351A" w:rsidRDefault="009501EF" w:rsidP="009501EF">
      <w:pPr>
        <w:tabs>
          <w:tab w:val="left" w:pos="567"/>
        </w:tabs>
        <w:spacing w:after="0" w:line="240" w:lineRule="auto"/>
        <w:rPr>
          <w:rFonts w:ascii="Times New Roman" w:eastAsia="Times New Roman" w:hAnsi="Times New Roman" w:cs="Times New Roman"/>
          <w:i/>
        </w:rPr>
      </w:pPr>
      <w:r w:rsidRPr="008A351A">
        <w:rPr>
          <w:rFonts w:ascii="Times New Roman" w:eastAsia="Times New Roman" w:hAnsi="Times New Roman" w:cs="Times New Roman"/>
          <w:i/>
        </w:rPr>
        <w:t>Pirmas ketvirtis</w:t>
      </w:r>
    </w:p>
    <w:p w14:paraId="1F7C842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Remiantis nedideliu kiekiu publikuotų duomenų apie paveiktus nėštumo atvejus (t. y., iš 300–1000 gimdymu pasibaigusių nėštumų), įskaitant individualias ataskaitas ir kelis stebėjimo tyrimus, padidinto gydymo sukeltų malformacijų pavojaus nesitikima. Tačiau remiantis visais turimais duomenimis galutinio sprendimo priimti negalima. Atlikus tyrimus su gyvūnais buvo nustatytas toksiškas poveikis reproduktyvumui (žr. 5.3 skyrių), todėl kvetiapinas nėštumo metu turėtų būti vartojamas tik tuo atveju, jeigu nauda pateisina potencialų pavojų.</w:t>
      </w:r>
    </w:p>
    <w:p w14:paraId="06E7439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119EC5C" w14:textId="77777777" w:rsidR="009501EF" w:rsidRPr="008A351A" w:rsidRDefault="009501EF" w:rsidP="009501EF">
      <w:pPr>
        <w:tabs>
          <w:tab w:val="left" w:pos="567"/>
        </w:tabs>
        <w:spacing w:after="0" w:line="240" w:lineRule="auto"/>
        <w:rPr>
          <w:rFonts w:ascii="Times New Roman" w:eastAsia="Times New Roman" w:hAnsi="Times New Roman" w:cs="Times New Roman"/>
          <w:i/>
        </w:rPr>
      </w:pPr>
      <w:r w:rsidRPr="008A351A">
        <w:rPr>
          <w:rFonts w:ascii="Times New Roman" w:eastAsia="Times New Roman" w:hAnsi="Times New Roman" w:cs="Times New Roman"/>
          <w:i/>
        </w:rPr>
        <w:t>Trečias ketvirtis</w:t>
      </w:r>
    </w:p>
    <w:p w14:paraId="0A8D737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Naujagimiai, kuriems daro poveikį antipsichotiniai preparatai (tarp jų </w:t>
      </w:r>
      <w:r w:rsidR="00425D19" w:rsidRPr="008A351A">
        <w:rPr>
          <w:rFonts w:ascii="Times New Roman" w:eastAsia="Times New Roman" w:hAnsi="Times New Roman" w:cs="Times New Roman"/>
        </w:rPr>
        <w:t>–</w:t>
      </w:r>
      <w:r w:rsidRPr="008A351A">
        <w:rPr>
          <w:rFonts w:ascii="Times New Roman" w:eastAsia="Times New Roman" w:hAnsi="Times New Roman" w:cs="Times New Roman"/>
        </w:rPr>
        <w:t xml:space="preserve"> kvetiapinas) trečiojo nėštumo trimestro metu turi padidėjusią nepageidautinų reakcijų riziką, tarp jų ekstrapiramidiniai ir nutraukimo simptomai, kurie gali būti skirtingo sunkumo ir trukmės. Buvo pranešama apie ažitaciją, hipertoniją, hipotoniją, drebulį, liguistą mieguistumą, kvėpavimo sutrikimus ir maitinimosi sutrikimus. Todėl naujagimiai turi būti atidžiai stebimi.</w:t>
      </w:r>
    </w:p>
    <w:p w14:paraId="6F930C4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74A98D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Žindymas</w:t>
      </w:r>
    </w:p>
    <w:p w14:paraId="03D57D8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Remiantis labai ribotu kiekiu duomenų, gautų iš publikuotų ataskaitų dėl kvetiapino išsiskyrimo į motinos pieną, terapinių kvetiapino dozių išsiskyrimas pasirodė nevienodos. Trūkstant patikimų duomenų, sprendimas nutraukti žindymą arba gydymą kvetiapinu turi būti priimtas įvertinus žindymo naudą vaikui ir gydymo naudą moteriai.</w:t>
      </w:r>
    </w:p>
    <w:p w14:paraId="303DFB7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4E4C00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Vaisingumas</w:t>
      </w:r>
    </w:p>
    <w:p w14:paraId="66A77E1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Kvetiapino poveikis žmonių vaisingumui vertinamas nebuvo. Su padidėjusiu prolaktino kiekiu susijęs poveikis buvo stebėtas žiurkėms, bet jis nėra tiesiogiai taikomas žmonėms (žr. 5.3 skyri</w:t>
      </w:r>
      <w:r w:rsidR="00425D19" w:rsidRPr="008A351A">
        <w:rPr>
          <w:rFonts w:ascii="Times New Roman" w:eastAsia="Times New Roman" w:hAnsi="Times New Roman" w:cs="Times New Roman"/>
        </w:rPr>
        <w:t>ų</w:t>
      </w:r>
      <w:r w:rsidRPr="008A351A">
        <w:rPr>
          <w:rFonts w:ascii="Times New Roman" w:eastAsia="Times New Roman" w:hAnsi="Times New Roman" w:cs="Times New Roman"/>
        </w:rPr>
        <w:t>).</w:t>
      </w:r>
    </w:p>
    <w:p w14:paraId="429C54DA" w14:textId="77777777" w:rsidR="009501EF" w:rsidRPr="008A351A" w:rsidDel="00B21821" w:rsidRDefault="009501EF" w:rsidP="009501EF">
      <w:pPr>
        <w:tabs>
          <w:tab w:val="left" w:pos="567"/>
        </w:tabs>
        <w:spacing w:after="0" w:line="240" w:lineRule="auto"/>
        <w:rPr>
          <w:rFonts w:ascii="Times New Roman" w:eastAsia="Times New Roman" w:hAnsi="Times New Roman" w:cs="Times New Roman"/>
        </w:rPr>
      </w:pPr>
    </w:p>
    <w:p w14:paraId="027000A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DD57E6E"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4.7</w:t>
      </w:r>
      <w:r w:rsidRPr="008A351A">
        <w:rPr>
          <w:rFonts w:ascii="Times New Roman" w:eastAsia="Times New Roman" w:hAnsi="Times New Roman" w:cs="Times New Roman"/>
          <w:b/>
          <w:bCs/>
        </w:rPr>
        <w:tab/>
        <w:t xml:space="preserve">Poveikis gebėjimui vairuoti ir valdyti mechanizmus </w:t>
      </w:r>
    </w:p>
    <w:p w14:paraId="225FF63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674711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Dėl pagrindinio kvetiapino poveikio centrinei nervų sistemai preparatas gali trikdyti veiklą, kuriai reikalingas budrumas. Pacientus reikia perspėti nevairuoti ir nevaldyti mechanizmų, kol nepaaiškės individualus jautrumas.</w:t>
      </w:r>
    </w:p>
    <w:p w14:paraId="4C228D0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488A53F"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4.8</w:t>
      </w:r>
      <w:r w:rsidRPr="008A351A">
        <w:rPr>
          <w:rFonts w:ascii="Times New Roman" w:eastAsia="Times New Roman" w:hAnsi="Times New Roman" w:cs="Times New Roman"/>
          <w:b/>
          <w:bCs/>
        </w:rPr>
        <w:tab/>
        <w:t xml:space="preserve">Nepageidaujamas poveikis </w:t>
      </w:r>
    </w:p>
    <w:p w14:paraId="69385713"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3171510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w:t>
      </w:r>
      <w:r w:rsidRPr="008A351A" w:rsidDel="0048430C">
        <w:rPr>
          <w:rFonts w:ascii="Times New Roman" w:eastAsia="Times New Roman" w:hAnsi="Times New Roman" w:cs="Times New Roman"/>
        </w:rPr>
        <w:t xml:space="preserve"> </w:t>
      </w:r>
      <w:r w:rsidRPr="008A351A">
        <w:rPr>
          <w:rFonts w:ascii="Times New Roman" w:eastAsia="Times New Roman" w:hAnsi="Times New Roman" w:cs="Times New Roman"/>
        </w:rPr>
        <w:t xml:space="preserve">sukeliamos nepageidaujamos reakcijos, apie kurias pranešama dažniausiai (≥10 %), yra somnolencija, svaigulys, </w:t>
      </w:r>
      <w:r w:rsidR="00425D19" w:rsidRPr="008A351A">
        <w:rPr>
          <w:rFonts w:ascii="Times New Roman" w:eastAsia="Times New Roman" w:hAnsi="Times New Roman" w:cs="Times New Roman"/>
        </w:rPr>
        <w:t xml:space="preserve">galvos skausmas, </w:t>
      </w:r>
      <w:r w:rsidRPr="008A351A">
        <w:rPr>
          <w:rFonts w:ascii="Times New Roman" w:eastAsia="Times New Roman" w:hAnsi="Times New Roman" w:cs="Times New Roman"/>
        </w:rPr>
        <w:t>burnos džiūvimas, nutraukimo (abstinencijos) simptomai, triglicerido kiekio kraujyje padidėjimas, bendro cholesterolio (daugiausiai LDL cholesterolio) kiekio padidėjimas, HDL cholesterolio kiekio sumažėjimas, svorio augimas, sumažėjęs hemoglobino kiekis ir ekstrapiramidiniai simptomai.</w:t>
      </w:r>
    </w:p>
    <w:p w14:paraId="633EBE0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90C103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Nepageidaujamos reakcijos, pasireiškusios vartojant Quetiapine Accord, toliau pateikiamoje lentelėje (1 lentelė) išvardytos pagal dažnumą, laikantis Medicinos mokslų tarptautinių organizacijų tarybos rekomendacijų (angl. </w:t>
      </w:r>
      <w:r w:rsidRPr="008A351A">
        <w:rPr>
          <w:rFonts w:ascii="Times New Roman" w:eastAsia="Times New Roman" w:hAnsi="Times New Roman" w:cs="Times New Roman"/>
          <w:i/>
        </w:rPr>
        <w:t>Council for International Organizations of Medical Sciences</w:t>
      </w:r>
      <w:r w:rsidRPr="008A351A">
        <w:rPr>
          <w:rFonts w:ascii="Times New Roman" w:eastAsia="Times New Roman" w:hAnsi="Times New Roman" w:cs="Times New Roman"/>
        </w:rPr>
        <w:t xml:space="preserve"> </w:t>
      </w:r>
      <w:r w:rsidR="00434403" w:rsidRPr="008A351A">
        <w:rPr>
          <w:rFonts w:ascii="Times New Roman" w:eastAsia="Times New Roman" w:hAnsi="Times New Roman" w:cs="Times New Roman"/>
        </w:rPr>
        <w:t>–</w:t>
      </w:r>
      <w:r w:rsidRPr="008A351A">
        <w:rPr>
          <w:rFonts w:ascii="Times New Roman" w:eastAsia="Times New Roman" w:hAnsi="Times New Roman" w:cs="Times New Roman"/>
        </w:rPr>
        <w:t xml:space="preserve"> CIOMS III darbo grupė, 1995).</w:t>
      </w:r>
    </w:p>
    <w:p w14:paraId="5ED7F93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E813D0E"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 Lentelė. Su Quetiapine Accord vartojimu susijusios nepageidaujamos reakcijos</w:t>
      </w:r>
    </w:p>
    <w:p w14:paraId="5F0FF5C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255069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Nepageidaujamų reiškinių dažniai pateikiami vadovaujantis šiais apibūdinimais:</w:t>
      </w:r>
    </w:p>
    <w:p w14:paraId="12EAE89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Labai dažni (≥ 1 / 10), dažni (nuo ≥ 1 / 100 iki &lt;1 / 10), nedažni (nuo ≥ 1 / 1000 iki &lt;1 / 100), reti (nuo ≥ 1 / 10000 iki &lt;1 / 1000)</w:t>
      </w:r>
      <w:r w:rsidR="00425D19" w:rsidRPr="008A351A">
        <w:rPr>
          <w:rFonts w:ascii="Times New Roman" w:eastAsia="Times New Roman" w:hAnsi="Times New Roman" w:cs="Times New Roman"/>
        </w:rPr>
        <w:t>,</w:t>
      </w:r>
      <w:r w:rsidRPr="008A351A">
        <w:rPr>
          <w:rFonts w:ascii="Times New Roman" w:eastAsia="Times New Roman" w:hAnsi="Times New Roman" w:cs="Times New Roman"/>
        </w:rPr>
        <w:t xml:space="preserve"> labai reti (nuo &lt;1 / 10000)</w:t>
      </w:r>
      <w:r w:rsidR="00425D19" w:rsidRPr="008A351A">
        <w:rPr>
          <w:rFonts w:ascii="Times New Roman" w:eastAsia="Times New Roman" w:hAnsi="Times New Roman" w:cs="Times New Roman"/>
        </w:rPr>
        <w:t xml:space="preserve"> ir</w:t>
      </w:r>
      <w:r w:rsidRPr="008A351A">
        <w:rPr>
          <w:rFonts w:ascii="Times New Roman" w:eastAsia="Times New Roman" w:hAnsi="Times New Roman" w:cs="Times New Roman"/>
        </w:rPr>
        <w:t xml:space="preserve"> dažnis nežinomas (negali būti įvertintas pagal turimus duomenis).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371"/>
        <w:gridCol w:w="1793"/>
        <w:gridCol w:w="1542"/>
        <w:gridCol w:w="1510"/>
        <w:gridCol w:w="1354"/>
        <w:gridCol w:w="1000"/>
      </w:tblGrid>
      <w:tr w:rsidR="00492B65" w:rsidRPr="008A351A" w14:paraId="3ED5E76E" w14:textId="77777777" w:rsidTr="0085707B">
        <w:trPr>
          <w:cantSplit/>
          <w:tblHeader/>
        </w:trPr>
        <w:tc>
          <w:tcPr>
            <w:tcW w:w="1236" w:type="dxa"/>
          </w:tcPr>
          <w:p w14:paraId="58EA7806" w14:textId="77777777" w:rsidR="00425D19" w:rsidRPr="008A351A" w:rsidRDefault="00425D19" w:rsidP="00B16D6F">
            <w:pPr>
              <w:keepNext/>
              <w:spacing w:before="60" w:after="60"/>
              <w:rPr>
                <w:rFonts w:ascii="Times New Roman" w:hAnsi="Times New Roman"/>
                <w:b/>
                <w:sz w:val="18"/>
              </w:rPr>
            </w:pPr>
            <w:r w:rsidRPr="008A351A">
              <w:rPr>
                <w:rFonts w:ascii="Times New Roman" w:hAnsi="Times New Roman" w:cs="Times New Roman"/>
                <w:b/>
                <w:sz w:val="18"/>
                <w:szCs w:val="18"/>
              </w:rPr>
              <w:lastRenderedPageBreak/>
              <w:t>SOK</w:t>
            </w:r>
          </w:p>
        </w:tc>
        <w:tc>
          <w:tcPr>
            <w:tcW w:w="1286" w:type="dxa"/>
          </w:tcPr>
          <w:p w14:paraId="360B565F" w14:textId="77777777" w:rsidR="00425D19" w:rsidRPr="008A351A" w:rsidRDefault="00425D19" w:rsidP="00B16D6F">
            <w:pPr>
              <w:keepNext/>
              <w:spacing w:before="60" w:after="60"/>
              <w:rPr>
                <w:rFonts w:ascii="Times New Roman" w:hAnsi="Times New Roman"/>
                <w:b/>
                <w:sz w:val="18"/>
              </w:rPr>
            </w:pPr>
            <w:r w:rsidRPr="008A351A">
              <w:rPr>
                <w:rFonts w:ascii="Times New Roman" w:hAnsi="Times New Roman"/>
                <w:b/>
                <w:sz w:val="18"/>
              </w:rPr>
              <w:t>Labai dažnas</w:t>
            </w:r>
          </w:p>
        </w:tc>
        <w:tc>
          <w:tcPr>
            <w:tcW w:w="1682" w:type="dxa"/>
          </w:tcPr>
          <w:p w14:paraId="6BFD4C55" w14:textId="77777777" w:rsidR="00425D19" w:rsidRPr="008A351A" w:rsidRDefault="00425D19" w:rsidP="00B16D6F">
            <w:pPr>
              <w:keepNext/>
              <w:spacing w:before="60" w:after="60"/>
              <w:rPr>
                <w:rFonts w:ascii="Times New Roman" w:hAnsi="Times New Roman"/>
                <w:b/>
                <w:sz w:val="18"/>
              </w:rPr>
            </w:pPr>
            <w:r w:rsidRPr="008A351A">
              <w:rPr>
                <w:rFonts w:ascii="Times New Roman" w:hAnsi="Times New Roman"/>
                <w:b/>
                <w:sz w:val="18"/>
              </w:rPr>
              <w:t>Dažnas</w:t>
            </w:r>
          </w:p>
        </w:tc>
        <w:tc>
          <w:tcPr>
            <w:tcW w:w="1447" w:type="dxa"/>
          </w:tcPr>
          <w:p w14:paraId="6F664034" w14:textId="77777777" w:rsidR="00425D19" w:rsidRPr="008A351A" w:rsidRDefault="00425D19" w:rsidP="00B16D6F">
            <w:pPr>
              <w:keepNext/>
              <w:spacing w:before="60" w:after="60"/>
              <w:rPr>
                <w:rFonts w:ascii="Times New Roman" w:hAnsi="Times New Roman"/>
                <w:b/>
                <w:sz w:val="18"/>
              </w:rPr>
            </w:pPr>
            <w:r w:rsidRPr="008A351A">
              <w:rPr>
                <w:rFonts w:ascii="Times New Roman" w:hAnsi="Times New Roman"/>
                <w:b/>
                <w:sz w:val="18"/>
              </w:rPr>
              <w:t>Nedažnas</w:t>
            </w:r>
          </w:p>
        </w:tc>
        <w:tc>
          <w:tcPr>
            <w:tcW w:w="1417" w:type="dxa"/>
          </w:tcPr>
          <w:p w14:paraId="40B9F750" w14:textId="77777777" w:rsidR="00425D19" w:rsidRPr="008A351A" w:rsidRDefault="00425D19" w:rsidP="00B16D6F">
            <w:pPr>
              <w:keepNext/>
              <w:spacing w:before="60" w:after="60"/>
              <w:rPr>
                <w:rFonts w:ascii="Times New Roman" w:hAnsi="Times New Roman"/>
                <w:b/>
                <w:sz w:val="18"/>
              </w:rPr>
            </w:pPr>
            <w:r w:rsidRPr="008A351A">
              <w:rPr>
                <w:rFonts w:ascii="Times New Roman" w:hAnsi="Times New Roman"/>
                <w:b/>
                <w:sz w:val="18"/>
              </w:rPr>
              <w:t>Retas</w:t>
            </w:r>
          </w:p>
        </w:tc>
        <w:tc>
          <w:tcPr>
            <w:tcW w:w="1270" w:type="dxa"/>
          </w:tcPr>
          <w:p w14:paraId="39518B9C" w14:textId="77777777" w:rsidR="00425D19" w:rsidRPr="008A351A" w:rsidRDefault="00425D19" w:rsidP="00B16D6F">
            <w:pPr>
              <w:keepNext/>
              <w:spacing w:before="60" w:after="60"/>
              <w:rPr>
                <w:rFonts w:ascii="Times New Roman" w:hAnsi="Times New Roman"/>
                <w:b/>
                <w:sz w:val="18"/>
              </w:rPr>
            </w:pPr>
            <w:r w:rsidRPr="008A351A">
              <w:rPr>
                <w:rFonts w:ascii="Times New Roman" w:hAnsi="Times New Roman"/>
                <w:b/>
                <w:sz w:val="18"/>
              </w:rPr>
              <w:t>Labai retas</w:t>
            </w:r>
          </w:p>
        </w:tc>
        <w:tc>
          <w:tcPr>
            <w:tcW w:w="938" w:type="dxa"/>
          </w:tcPr>
          <w:p w14:paraId="0865A775" w14:textId="77777777" w:rsidR="00425D19" w:rsidRPr="008A351A" w:rsidRDefault="00425D19" w:rsidP="00B16D6F">
            <w:pPr>
              <w:keepNext/>
              <w:spacing w:before="60" w:after="60"/>
              <w:rPr>
                <w:rFonts w:ascii="Times New Roman" w:hAnsi="Times New Roman"/>
                <w:b/>
                <w:sz w:val="18"/>
              </w:rPr>
            </w:pPr>
            <w:r w:rsidRPr="008A351A">
              <w:rPr>
                <w:rFonts w:ascii="Times New Roman" w:hAnsi="Times New Roman"/>
                <w:b/>
                <w:sz w:val="18"/>
              </w:rPr>
              <w:t>Dažnis nežinomas</w:t>
            </w:r>
          </w:p>
        </w:tc>
      </w:tr>
      <w:tr w:rsidR="00492B65" w:rsidRPr="008A351A" w14:paraId="31E53312" w14:textId="77777777" w:rsidTr="0085707B">
        <w:trPr>
          <w:cantSplit/>
        </w:trPr>
        <w:tc>
          <w:tcPr>
            <w:tcW w:w="1236" w:type="dxa"/>
          </w:tcPr>
          <w:p w14:paraId="2F1C3C15"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i/>
                <w:sz w:val="18"/>
              </w:rPr>
              <w:t>Kraujo ir limfinės sistemos sutrikimai</w:t>
            </w:r>
            <w:r w:rsidRPr="008A351A">
              <w:rPr>
                <w:rFonts w:ascii="Times New Roman" w:hAnsi="Times New Roman" w:cs="Times New Roman"/>
                <w:i/>
                <w:iCs/>
                <w:sz w:val="18"/>
                <w:szCs w:val="18"/>
              </w:rPr>
              <w:t xml:space="preserve"> </w:t>
            </w:r>
          </w:p>
        </w:tc>
        <w:tc>
          <w:tcPr>
            <w:tcW w:w="1286" w:type="dxa"/>
          </w:tcPr>
          <w:p w14:paraId="6939B24A"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Hemoglobino sumažėjimas</w:t>
            </w:r>
            <w:r w:rsidRPr="008A351A">
              <w:rPr>
                <w:rFonts w:ascii="Times New Roman" w:hAnsi="Times New Roman" w:cs="Times New Roman"/>
                <w:sz w:val="18"/>
                <w:szCs w:val="18"/>
                <w:vertAlign w:val="superscript"/>
              </w:rPr>
              <w:t>22</w:t>
            </w:r>
          </w:p>
        </w:tc>
        <w:tc>
          <w:tcPr>
            <w:tcW w:w="1682" w:type="dxa"/>
          </w:tcPr>
          <w:p w14:paraId="6579B7B8"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Leukopenija</w:t>
            </w:r>
            <w:r w:rsidRPr="008A351A">
              <w:rPr>
                <w:rFonts w:ascii="Times New Roman" w:hAnsi="Times New Roman"/>
                <w:sz w:val="18"/>
                <w:vertAlign w:val="superscript"/>
              </w:rPr>
              <w:t xml:space="preserve">1, </w:t>
            </w:r>
            <w:r w:rsidRPr="008A351A">
              <w:rPr>
                <w:rFonts w:ascii="Times New Roman" w:hAnsi="Times New Roman" w:cs="Times New Roman"/>
                <w:sz w:val="18"/>
                <w:szCs w:val="18"/>
                <w:vertAlign w:val="superscript"/>
              </w:rPr>
              <w:t>28</w:t>
            </w:r>
            <w:r w:rsidRPr="008A351A">
              <w:rPr>
                <w:rFonts w:ascii="Times New Roman" w:hAnsi="Times New Roman"/>
                <w:sz w:val="18"/>
              </w:rPr>
              <w:t xml:space="preserve">, neutrofilų kiekio sumažėjimas, eozinofilų kiekio </w:t>
            </w:r>
            <w:r w:rsidRPr="008A351A">
              <w:rPr>
                <w:rFonts w:ascii="Times New Roman" w:hAnsi="Times New Roman" w:cs="Times New Roman"/>
                <w:sz w:val="18"/>
                <w:szCs w:val="18"/>
              </w:rPr>
              <w:t>padidėjimas</w:t>
            </w:r>
            <w:r w:rsidRPr="008A351A">
              <w:rPr>
                <w:rFonts w:ascii="Times New Roman" w:hAnsi="Times New Roman" w:cs="Times New Roman"/>
                <w:sz w:val="18"/>
                <w:szCs w:val="18"/>
                <w:vertAlign w:val="superscript"/>
              </w:rPr>
              <w:t>27</w:t>
            </w:r>
          </w:p>
        </w:tc>
        <w:tc>
          <w:tcPr>
            <w:tcW w:w="1447" w:type="dxa"/>
          </w:tcPr>
          <w:p w14:paraId="0989EAD5"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Neutropeni</w:t>
            </w:r>
            <w:r w:rsidR="007C78E2" w:rsidRPr="008A351A">
              <w:rPr>
                <w:rFonts w:ascii="Times New Roman" w:hAnsi="Times New Roman"/>
                <w:sz w:val="18"/>
              </w:rPr>
              <w:t>j</w:t>
            </w:r>
            <w:r w:rsidRPr="008A351A">
              <w:rPr>
                <w:rFonts w:ascii="Times New Roman" w:hAnsi="Times New Roman"/>
                <w:sz w:val="18"/>
              </w:rPr>
              <w:t>a</w:t>
            </w:r>
            <w:r w:rsidRPr="008A351A">
              <w:rPr>
                <w:rFonts w:ascii="Times New Roman" w:hAnsi="Times New Roman"/>
                <w:sz w:val="18"/>
                <w:vertAlign w:val="superscript"/>
              </w:rPr>
              <w:t>1</w:t>
            </w:r>
            <w:r w:rsidRPr="008A351A">
              <w:rPr>
                <w:rFonts w:ascii="Times New Roman" w:hAnsi="Times New Roman"/>
                <w:sz w:val="18"/>
              </w:rPr>
              <w:t xml:space="preserve">, </w:t>
            </w:r>
            <w:r w:rsidR="007C78E2" w:rsidRPr="008A351A">
              <w:rPr>
                <w:rFonts w:ascii="Times New Roman" w:hAnsi="Times New Roman" w:cs="Times New Roman"/>
                <w:sz w:val="18"/>
                <w:szCs w:val="18"/>
              </w:rPr>
              <w:t>t</w:t>
            </w:r>
            <w:r w:rsidRPr="008A351A">
              <w:rPr>
                <w:rFonts w:ascii="Times New Roman" w:hAnsi="Times New Roman" w:cs="Times New Roman"/>
                <w:sz w:val="18"/>
                <w:szCs w:val="18"/>
              </w:rPr>
              <w:t>romboc</w:t>
            </w:r>
            <w:r w:rsidR="007C78E2" w:rsidRPr="008A351A">
              <w:rPr>
                <w:rFonts w:ascii="Times New Roman" w:hAnsi="Times New Roman" w:cs="Times New Roman"/>
                <w:sz w:val="18"/>
                <w:szCs w:val="18"/>
              </w:rPr>
              <w:t>i</w:t>
            </w:r>
            <w:r w:rsidRPr="008A351A">
              <w:rPr>
                <w:rFonts w:ascii="Times New Roman" w:hAnsi="Times New Roman" w:cs="Times New Roman"/>
                <w:sz w:val="18"/>
                <w:szCs w:val="18"/>
              </w:rPr>
              <w:t>topeni</w:t>
            </w:r>
            <w:r w:rsidR="007C78E2" w:rsidRPr="008A351A">
              <w:rPr>
                <w:rFonts w:ascii="Times New Roman" w:hAnsi="Times New Roman" w:cs="Times New Roman"/>
                <w:sz w:val="18"/>
                <w:szCs w:val="18"/>
              </w:rPr>
              <w:t>j</w:t>
            </w:r>
            <w:r w:rsidRPr="008A351A">
              <w:rPr>
                <w:rFonts w:ascii="Times New Roman" w:hAnsi="Times New Roman" w:cs="Times New Roman"/>
                <w:sz w:val="18"/>
                <w:szCs w:val="18"/>
              </w:rPr>
              <w:t>a</w:t>
            </w:r>
            <w:r w:rsidRPr="008A351A">
              <w:rPr>
                <w:rFonts w:ascii="Times New Roman" w:hAnsi="Times New Roman"/>
                <w:sz w:val="18"/>
              </w:rPr>
              <w:t xml:space="preserve">, </w:t>
            </w:r>
            <w:r w:rsidR="007C78E2" w:rsidRPr="008A351A">
              <w:rPr>
                <w:rFonts w:ascii="Times New Roman" w:hAnsi="Times New Roman"/>
                <w:sz w:val="18"/>
              </w:rPr>
              <w:t>an</w:t>
            </w:r>
            <w:r w:rsidRPr="008A351A">
              <w:rPr>
                <w:rFonts w:ascii="Times New Roman" w:hAnsi="Times New Roman"/>
                <w:sz w:val="18"/>
              </w:rPr>
              <w:t>emi</w:t>
            </w:r>
            <w:r w:rsidR="007C78E2" w:rsidRPr="008A351A">
              <w:rPr>
                <w:rFonts w:ascii="Times New Roman" w:hAnsi="Times New Roman"/>
                <w:sz w:val="18"/>
              </w:rPr>
              <w:t>j</w:t>
            </w:r>
            <w:r w:rsidRPr="008A351A">
              <w:rPr>
                <w:rFonts w:ascii="Times New Roman" w:hAnsi="Times New Roman"/>
                <w:sz w:val="18"/>
              </w:rPr>
              <w:t xml:space="preserve">a, </w:t>
            </w:r>
            <w:r w:rsidR="007C78E2" w:rsidRPr="008A351A">
              <w:rPr>
                <w:rFonts w:ascii="Times New Roman" w:hAnsi="Times New Roman"/>
                <w:sz w:val="18"/>
              </w:rPr>
              <w:t xml:space="preserve">trombocitų kiekio </w:t>
            </w:r>
            <w:r w:rsidR="007C78E2" w:rsidRPr="008A351A">
              <w:rPr>
                <w:rFonts w:ascii="Times New Roman" w:hAnsi="Times New Roman" w:cs="Times New Roman"/>
                <w:sz w:val="18"/>
                <w:szCs w:val="18"/>
              </w:rPr>
              <w:t>sumažėjimas</w:t>
            </w:r>
            <w:r w:rsidRPr="008A351A">
              <w:rPr>
                <w:rFonts w:ascii="Times New Roman" w:hAnsi="Times New Roman" w:cs="Times New Roman"/>
                <w:sz w:val="18"/>
                <w:szCs w:val="18"/>
                <w:vertAlign w:val="superscript"/>
              </w:rPr>
              <w:t>13</w:t>
            </w:r>
          </w:p>
        </w:tc>
        <w:tc>
          <w:tcPr>
            <w:tcW w:w="1417" w:type="dxa"/>
          </w:tcPr>
          <w:p w14:paraId="0B02B0D1"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Agranuloc</w:t>
            </w:r>
            <w:r w:rsidR="007C78E2" w:rsidRPr="008A351A">
              <w:rPr>
                <w:rFonts w:ascii="Times New Roman" w:hAnsi="Times New Roman" w:cs="Times New Roman"/>
                <w:sz w:val="18"/>
                <w:szCs w:val="18"/>
              </w:rPr>
              <w:t>i</w:t>
            </w:r>
            <w:r w:rsidRPr="008A351A">
              <w:rPr>
                <w:rFonts w:ascii="Times New Roman" w:hAnsi="Times New Roman" w:cs="Times New Roman"/>
                <w:sz w:val="18"/>
                <w:szCs w:val="18"/>
              </w:rPr>
              <w:t>to</w:t>
            </w:r>
            <w:r w:rsidR="007C78E2" w:rsidRPr="008A351A">
              <w:rPr>
                <w:rFonts w:ascii="Times New Roman" w:hAnsi="Times New Roman" w:cs="Times New Roman"/>
                <w:sz w:val="18"/>
                <w:szCs w:val="18"/>
              </w:rPr>
              <w:t>zė</w:t>
            </w:r>
            <w:r w:rsidRPr="008A351A">
              <w:rPr>
                <w:rFonts w:ascii="Times New Roman" w:hAnsi="Times New Roman" w:cs="Times New Roman"/>
                <w:sz w:val="18"/>
                <w:szCs w:val="18"/>
                <w:vertAlign w:val="superscript"/>
              </w:rPr>
              <w:t>26</w:t>
            </w:r>
          </w:p>
        </w:tc>
        <w:tc>
          <w:tcPr>
            <w:tcW w:w="1270" w:type="dxa"/>
          </w:tcPr>
          <w:p w14:paraId="014607B0" w14:textId="77777777" w:rsidR="00425D19" w:rsidRPr="008A351A" w:rsidRDefault="00425D19" w:rsidP="00B16D6F">
            <w:pPr>
              <w:spacing w:before="60" w:after="60"/>
              <w:rPr>
                <w:rFonts w:ascii="Times New Roman" w:hAnsi="Times New Roman"/>
                <w:i/>
                <w:sz w:val="18"/>
              </w:rPr>
            </w:pPr>
          </w:p>
        </w:tc>
        <w:tc>
          <w:tcPr>
            <w:tcW w:w="938" w:type="dxa"/>
          </w:tcPr>
          <w:p w14:paraId="76A1A288" w14:textId="77777777" w:rsidR="00425D19" w:rsidRPr="008A351A" w:rsidRDefault="00425D19" w:rsidP="00B16D6F">
            <w:pPr>
              <w:spacing w:before="60" w:after="60"/>
              <w:rPr>
                <w:rFonts w:ascii="Times New Roman" w:hAnsi="Times New Roman"/>
                <w:i/>
                <w:sz w:val="18"/>
              </w:rPr>
            </w:pPr>
          </w:p>
        </w:tc>
      </w:tr>
      <w:tr w:rsidR="00492B65" w:rsidRPr="008A351A" w14:paraId="6FDC3FA9" w14:textId="77777777" w:rsidTr="0085707B">
        <w:trPr>
          <w:cantSplit/>
        </w:trPr>
        <w:tc>
          <w:tcPr>
            <w:tcW w:w="1236" w:type="dxa"/>
          </w:tcPr>
          <w:p w14:paraId="40E4FBB3"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i/>
                <w:sz w:val="18"/>
              </w:rPr>
              <w:t>Imun</w:t>
            </w:r>
            <w:r w:rsidR="007C78E2" w:rsidRPr="008A351A">
              <w:rPr>
                <w:rFonts w:ascii="Times New Roman" w:hAnsi="Times New Roman"/>
                <w:i/>
                <w:sz w:val="18"/>
              </w:rPr>
              <w:t>inės sistemos sutrikimai</w:t>
            </w:r>
          </w:p>
        </w:tc>
        <w:tc>
          <w:tcPr>
            <w:tcW w:w="1286" w:type="dxa"/>
          </w:tcPr>
          <w:p w14:paraId="2B98EAC7" w14:textId="77777777" w:rsidR="00425D19" w:rsidRPr="008A351A" w:rsidRDefault="00425D19" w:rsidP="00B16D6F">
            <w:pPr>
              <w:spacing w:before="60" w:after="60"/>
              <w:rPr>
                <w:rFonts w:ascii="Times New Roman" w:hAnsi="Times New Roman"/>
                <w:i/>
                <w:sz w:val="18"/>
              </w:rPr>
            </w:pPr>
          </w:p>
        </w:tc>
        <w:tc>
          <w:tcPr>
            <w:tcW w:w="1682" w:type="dxa"/>
          </w:tcPr>
          <w:p w14:paraId="2473AB96" w14:textId="77777777" w:rsidR="00425D19" w:rsidRPr="008A351A" w:rsidRDefault="00425D19" w:rsidP="00B16D6F">
            <w:pPr>
              <w:spacing w:before="60" w:after="60"/>
              <w:rPr>
                <w:rFonts w:ascii="Times New Roman" w:hAnsi="Times New Roman"/>
                <w:i/>
                <w:sz w:val="18"/>
              </w:rPr>
            </w:pPr>
          </w:p>
        </w:tc>
        <w:tc>
          <w:tcPr>
            <w:tcW w:w="1447" w:type="dxa"/>
          </w:tcPr>
          <w:p w14:paraId="048A646D" w14:textId="77777777" w:rsidR="00425D19" w:rsidRPr="008A351A" w:rsidRDefault="007C78E2" w:rsidP="00B16D6F">
            <w:pPr>
              <w:spacing w:before="60" w:after="60"/>
              <w:rPr>
                <w:rFonts w:ascii="Times New Roman" w:hAnsi="Times New Roman"/>
                <w:i/>
                <w:sz w:val="18"/>
              </w:rPr>
            </w:pPr>
            <w:r w:rsidRPr="008A351A">
              <w:rPr>
                <w:rFonts w:ascii="Times New Roman" w:hAnsi="Times New Roman"/>
                <w:sz w:val="18"/>
              </w:rPr>
              <w:t>Padidėjęs jautrumas</w:t>
            </w:r>
            <w:r w:rsidRPr="008A351A">
              <w:rPr>
                <w:rFonts w:ascii="Times New Roman" w:hAnsi="Times New Roman" w:cs="Times New Roman"/>
                <w:sz w:val="18"/>
                <w:szCs w:val="18"/>
              </w:rPr>
              <w:t xml:space="preserve"> (įskaitant alergines odos reakcijas</w:t>
            </w:r>
            <w:r w:rsidR="00425D19" w:rsidRPr="008A351A">
              <w:rPr>
                <w:rFonts w:ascii="Times New Roman" w:hAnsi="Times New Roman" w:cs="Times New Roman"/>
                <w:sz w:val="18"/>
                <w:szCs w:val="18"/>
              </w:rPr>
              <w:t>)</w:t>
            </w:r>
          </w:p>
        </w:tc>
        <w:tc>
          <w:tcPr>
            <w:tcW w:w="1417" w:type="dxa"/>
          </w:tcPr>
          <w:p w14:paraId="4C3B4F49" w14:textId="77777777" w:rsidR="00425D19" w:rsidRPr="008A351A" w:rsidRDefault="00425D19" w:rsidP="00B16D6F">
            <w:pPr>
              <w:spacing w:before="60" w:after="60"/>
              <w:rPr>
                <w:rFonts w:ascii="Times New Roman" w:hAnsi="Times New Roman"/>
                <w:i/>
                <w:sz w:val="18"/>
              </w:rPr>
            </w:pPr>
          </w:p>
        </w:tc>
        <w:tc>
          <w:tcPr>
            <w:tcW w:w="1270" w:type="dxa"/>
          </w:tcPr>
          <w:p w14:paraId="1A5D8B5F"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Ana</w:t>
            </w:r>
            <w:r w:rsidR="007C78E2" w:rsidRPr="008A351A">
              <w:rPr>
                <w:rFonts w:ascii="Times New Roman" w:hAnsi="Times New Roman" w:cs="Times New Roman"/>
                <w:sz w:val="18"/>
                <w:szCs w:val="18"/>
              </w:rPr>
              <w:t>fi</w:t>
            </w:r>
            <w:r w:rsidRPr="008A351A">
              <w:rPr>
                <w:rFonts w:ascii="Times New Roman" w:hAnsi="Times New Roman" w:cs="Times New Roman"/>
                <w:sz w:val="18"/>
                <w:szCs w:val="18"/>
              </w:rPr>
              <w:t>la</w:t>
            </w:r>
            <w:r w:rsidR="007C78E2" w:rsidRPr="008A351A">
              <w:rPr>
                <w:rFonts w:ascii="Times New Roman" w:hAnsi="Times New Roman" w:cs="Times New Roman"/>
                <w:sz w:val="18"/>
                <w:szCs w:val="18"/>
              </w:rPr>
              <w:t xml:space="preserve">ksinės </w:t>
            </w:r>
            <w:r w:rsidRPr="008A351A">
              <w:rPr>
                <w:rFonts w:ascii="Times New Roman" w:hAnsi="Times New Roman" w:cs="Times New Roman"/>
                <w:sz w:val="18"/>
                <w:szCs w:val="18"/>
              </w:rPr>
              <w:t>rea</w:t>
            </w:r>
            <w:r w:rsidR="007C78E2" w:rsidRPr="008A351A">
              <w:rPr>
                <w:rFonts w:ascii="Times New Roman" w:hAnsi="Times New Roman" w:cs="Times New Roman"/>
                <w:sz w:val="18"/>
                <w:szCs w:val="18"/>
              </w:rPr>
              <w:t>kcijos</w:t>
            </w:r>
            <w:r w:rsidRPr="008A351A">
              <w:rPr>
                <w:rFonts w:ascii="Times New Roman" w:hAnsi="Times New Roman" w:cs="Times New Roman"/>
                <w:sz w:val="18"/>
                <w:szCs w:val="18"/>
                <w:vertAlign w:val="superscript"/>
              </w:rPr>
              <w:t>5</w:t>
            </w:r>
          </w:p>
        </w:tc>
        <w:tc>
          <w:tcPr>
            <w:tcW w:w="938" w:type="dxa"/>
          </w:tcPr>
          <w:p w14:paraId="11B88BEA" w14:textId="77777777" w:rsidR="00425D19" w:rsidRPr="008A351A" w:rsidRDefault="00425D19" w:rsidP="00B16D6F">
            <w:pPr>
              <w:spacing w:before="60" w:after="60"/>
              <w:rPr>
                <w:rFonts w:ascii="Times New Roman" w:hAnsi="Times New Roman"/>
                <w:i/>
                <w:sz w:val="18"/>
              </w:rPr>
            </w:pPr>
          </w:p>
        </w:tc>
      </w:tr>
      <w:tr w:rsidR="00492B65" w:rsidRPr="008A351A" w14:paraId="71DD7AAB" w14:textId="77777777" w:rsidTr="0085707B">
        <w:trPr>
          <w:cantSplit/>
        </w:trPr>
        <w:tc>
          <w:tcPr>
            <w:tcW w:w="1236" w:type="dxa"/>
          </w:tcPr>
          <w:p w14:paraId="6F832450"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i/>
                <w:iCs/>
                <w:sz w:val="18"/>
                <w:szCs w:val="18"/>
              </w:rPr>
              <w:t>Endo</w:t>
            </w:r>
            <w:r w:rsidR="007C78E2" w:rsidRPr="008A351A">
              <w:rPr>
                <w:rFonts w:ascii="Times New Roman" w:hAnsi="Times New Roman" w:cs="Times New Roman"/>
                <w:i/>
                <w:iCs/>
                <w:sz w:val="18"/>
                <w:szCs w:val="18"/>
              </w:rPr>
              <w:t>krininiai</w:t>
            </w:r>
            <w:r w:rsidR="007C78E2" w:rsidRPr="008A351A">
              <w:rPr>
                <w:rFonts w:ascii="Times New Roman" w:hAnsi="Times New Roman"/>
                <w:i/>
                <w:sz w:val="18"/>
              </w:rPr>
              <w:t xml:space="preserve"> sutrikimai</w:t>
            </w:r>
          </w:p>
        </w:tc>
        <w:tc>
          <w:tcPr>
            <w:tcW w:w="1286" w:type="dxa"/>
          </w:tcPr>
          <w:p w14:paraId="1514FCE3" w14:textId="77777777" w:rsidR="00425D19" w:rsidRPr="008A351A" w:rsidRDefault="00425D19" w:rsidP="00B16D6F">
            <w:pPr>
              <w:spacing w:before="60" w:after="60"/>
              <w:rPr>
                <w:rFonts w:ascii="Times New Roman" w:hAnsi="Times New Roman"/>
                <w:i/>
                <w:sz w:val="18"/>
              </w:rPr>
            </w:pPr>
          </w:p>
        </w:tc>
        <w:tc>
          <w:tcPr>
            <w:tcW w:w="1682" w:type="dxa"/>
          </w:tcPr>
          <w:p w14:paraId="613652A0"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H</w:t>
            </w:r>
            <w:r w:rsidR="007C78E2" w:rsidRPr="008A351A">
              <w:rPr>
                <w:rFonts w:ascii="Times New Roman" w:hAnsi="Times New Roman" w:cs="Times New Roman"/>
                <w:sz w:val="18"/>
                <w:szCs w:val="18"/>
              </w:rPr>
              <w:t>i</w:t>
            </w:r>
            <w:r w:rsidRPr="008A351A">
              <w:rPr>
                <w:rFonts w:ascii="Times New Roman" w:hAnsi="Times New Roman" w:cs="Times New Roman"/>
                <w:sz w:val="18"/>
                <w:szCs w:val="18"/>
              </w:rPr>
              <w:t>perprola</w:t>
            </w:r>
            <w:r w:rsidR="007C78E2" w:rsidRPr="008A351A">
              <w:rPr>
                <w:rFonts w:ascii="Times New Roman" w:hAnsi="Times New Roman" w:cs="Times New Roman"/>
                <w:sz w:val="18"/>
                <w:szCs w:val="18"/>
              </w:rPr>
              <w:t>k</w:t>
            </w:r>
            <w:r w:rsidRPr="008A351A">
              <w:rPr>
                <w:rFonts w:ascii="Times New Roman" w:hAnsi="Times New Roman" w:cs="Times New Roman"/>
                <w:sz w:val="18"/>
                <w:szCs w:val="18"/>
              </w:rPr>
              <w:t>tinemi</w:t>
            </w:r>
            <w:r w:rsidR="007C78E2" w:rsidRPr="008A351A">
              <w:rPr>
                <w:rFonts w:ascii="Times New Roman" w:hAnsi="Times New Roman" w:cs="Times New Roman"/>
                <w:sz w:val="18"/>
                <w:szCs w:val="18"/>
              </w:rPr>
              <w:t>j</w:t>
            </w:r>
            <w:r w:rsidRPr="008A351A">
              <w:rPr>
                <w:rFonts w:ascii="Times New Roman" w:hAnsi="Times New Roman" w:cs="Times New Roman"/>
                <w:sz w:val="18"/>
                <w:szCs w:val="18"/>
              </w:rPr>
              <w:t>a</w:t>
            </w:r>
            <w:r w:rsidRPr="008A351A">
              <w:rPr>
                <w:rFonts w:ascii="Times New Roman" w:hAnsi="Times New Roman" w:cs="Times New Roman"/>
                <w:sz w:val="18"/>
                <w:szCs w:val="18"/>
                <w:vertAlign w:val="superscript"/>
              </w:rPr>
              <w:t>15</w:t>
            </w:r>
            <w:r w:rsidRPr="008A351A">
              <w:rPr>
                <w:rFonts w:ascii="Times New Roman" w:hAnsi="Times New Roman"/>
                <w:sz w:val="18"/>
              </w:rPr>
              <w:t xml:space="preserve">, </w:t>
            </w:r>
            <w:r w:rsidR="007C78E2" w:rsidRPr="008A351A">
              <w:rPr>
                <w:rFonts w:ascii="Times New Roman" w:hAnsi="Times New Roman"/>
                <w:sz w:val="18"/>
              </w:rPr>
              <w:t>bendro</w:t>
            </w:r>
            <w:r w:rsidRPr="008A351A">
              <w:rPr>
                <w:rFonts w:ascii="Times New Roman" w:hAnsi="Times New Roman"/>
                <w:sz w:val="18"/>
              </w:rPr>
              <w:t xml:space="preserve"> </w:t>
            </w:r>
            <w:r w:rsidRPr="008A351A">
              <w:rPr>
                <w:rFonts w:ascii="Times New Roman" w:hAnsi="Times New Roman" w:cs="Times New Roman"/>
                <w:sz w:val="18"/>
                <w:szCs w:val="18"/>
              </w:rPr>
              <w:t>T</w:t>
            </w:r>
            <w:r w:rsidRPr="008A351A">
              <w:rPr>
                <w:rFonts w:ascii="Times New Roman" w:hAnsi="Times New Roman" w:cs="Times New Roman"/>
                <w:sz w:val="18"/>
                <w:szCs w:val="18"/>
                <w:vertAlign w:val="subscript"/>
              </w:rPr>
              <w:t xml:space="preserve">4 </w:t>
            </w:r>
            <w:r w:rsidRPr="008A351A">
              <w:rPr>
                <w:rFonts w:ascii="Times New Roman" w:hAnsi="Times New Roman" w:cs="Times New Roman"/>
                <w:sz w:val="18"/>
                <w:szCs w:val="18"/>
                <w:vertAlign w:val="superscript"/>
              </w:rPr>
              <w:t>24</w:t>
            </w:r>
            <w:r w:rsidR="007C78E2" w:rsidRPr="008A351A">
              <w:rPr>
                <w:rFonts w:ascii="Times New Roman" w:hAnsi="Times New Roman"/>
                <w:sz w:val="18"/>
              </w:rPr>
              <w:t xml:space="preserve"> sumažėjimas, laisvo</w:t>
            </w:r>
            <w:r w:rsidRPr="008A351A">
              <w:rPr>
                <w:rFonts w:ascii="Times New Roman" w:hAnsi="Times New Roman"/>
                <w:sz w:val="18"/>
              </w:rPr>
              <w:t xml:space="preserve"> </w:t>
            </w:r>
            <w:r w:rsidRPr="008A351A">
              <w:rPr>
                <w:rFonts w:ascii="Times New Roman" w:hAnsi="Times New Roman" w:cs="Times New Roman"/>
                <w:sz w:val="18"/>
                <w:szCs w:val="18"/>
              </w:rPr>
              <w:t>T</w:t>
            </w:r>
            <w:r w:rsidRPr="008A351A">
              <w:rPr>
                <w:rFonts w:ascii="Times New Roman" w:hAnsi="Times New Roman" w:cs="Times New Roman"/>
                <w:sz w:val="18"/>
                <w:szCs w:val="18"/>
                <w:vertAlign w:val="subscript"/>
              </w:rPr>
              <w:t xml:space="preserve">4 </w:t>
            </w:r>
            <w:r w:rsidRPr="008A351A">
              <w:rPr>
                <w:rFonts w:ascii="Times New Roman" w:hAnsi="Times New Roman" w:cs="Times New Roman"/>
                <w:sz w:val="18"/>
                <w:szCs w:val="18"/>
                <w:vertAlign w:val="superscript"/>
              </w:rPr>
              <w:t>24</w:t>
            </w:r>
            <w:r w:rsidR="007C78E2" w:rsidRPr="008A351A">
              <w:rPr>
                <w:rFonts w:ascii="Times New Roman" w:hAnsi="Times New Roman"/>
                <w:sz w:val="18"/>
              </w:rPr>
              <w:t xml:space="preserve"> sumažėjimas,</w:t>
            </w:r>
            <w:r w:rsidRPr="008A351A">
              <w:rPr>
                <w:rFonts w:ascii="Times New Roman" w:hAnsi="Times New Roman"/>
                <w:sz w:val="18"/>
              </w:rPr>
              <w:t xml:space="preserve"> </w:t>
            </w:r>
            <w:r w:rsidR="007C78E2" w:rsidRPr="008A351A">
              <w:rPr>
                <w:rFonts w:ascii="Times New Roman" w:hAnsi="Times New Roman"/>
                <w:sz w:val="18"/>
              </w:rPr>
              <w:t xml:space="preserve">bendro </w:t>
            </w:r>
            <w:r w:rsidRPr="008A351A">
              <w:rPr>
                <w:rFonts w:ascii="Times New Roman" w:hAnsi="Times New Roman" w:cs="Times New Roman"/>
                <w:sz w:val="18"/>
                <w:szCs w:val="18"/>
              </w:rPr>
              <w:t>T</w:t>
            </w:r>
            <w:r w:rsidRPr="008A351A">
              <w:rPr>
                <w:rFonts w:ascii="Times New Roman" w:hAnsi="Times New Roman" w:cs="Times New Roman"/>
                <w:sz w:val="18"/>
                <w:szCs w:val="18"/>
                <w:vertAlign w:val="subscript"/>
              </w:rPr>
              <w:t xml:space="preserve">3 </w:t>
            </w:r>
            <w:r w:rsidRPr="008A351A">
              <w:rPr>
                <w:rFonts w:ascii="Times New Roman" w:hAnsi="Times New Roman" w:cs="Times New Roman"/>
                <w:sz w:val="18"/>
                <w:szCs w:val="18"/>
                <w:vertAlign w:val="superscript"/>
              </w:rPr>
              <w:t>24</w:t>
            </w:r>
            <w:r w:rsidRPr="008A351A">
              <w:rPr>
                <w:rFonts w:ascii="Times New Roman" w:hAnsi="Times New Roman"/>
                <w:sz w:val="18"/>
              </w:rPr>
              <w:t xml:space="preserve"> </w:t>
            </w:r>
            <w:r w:rsidR="007C78E2" w:rsidRPr="008A351A">
              <w:rPr>
                <w:rFonts w:ascii="Times New Roman" w:hAnsi="Times New Roman"/>
                <w:sz w:val="18"/>
              </w:rPr>
              <w:t xml:space="preserve">sumažėjimas, </w:t>
            </w:r>
            <w:r w:rsidRPr="008A351A">
              <w:rPr>
                <w:rFonts w:ascii="Times New Roman" w:hAnsi="Times New Roman" w:cs="Times New Roman"/>
                <w:sz w:val="18"/>
                <w:szCs w:val="18"/>
              </w:rPr>
              <w:t>TSH</w:t>
            </w:r>
            <w:r w:rsidRPr="008A351A">
              <w:rPr>
                <w:rFonts w:ascii="Times New Roman" w:hAnsi="Times New Roman" w:cs="Times New Roman"/>
                <w:sz w:val="18"/>
                <w:szCs w:val="18"/>
                <w:vertAlign w:val="superscript"/>
              </w:rPr>
              <w:t>24</w:t>
            </w:r>
            <w:r w:rsidR="007C78E2" w:rsidRPr="008A351A">
              <w:rPr>
                <w:rFonts w:ascii="Times New Roman" w:hAnsi="Times New Roman" w:cs="Times New Roman"/>
                <w:sz w:val="18"/>
                <w:szCs w:val="18"/>
                <w:vertAlign w:val="superscript"/>
              </w:rPr>
              <w:t xml:space="preserve"> </w:t>
            </w:r>
            <w:r w:rsidR="007C78E2" w:rsidRPr="008A351A">
              <w:rPr>
                <w:rFonts w:ascii="Times New Roman" w:hAnsi="Times New Roman" w:cs="Times New Roman"/>
                <w:sz w:val="18"/>
                <w:szCs w:val="18"/>
              </w:rPr>
              <w:t>padidėjimas</w:t>
            </w:r>
          </w:p>
        </w:tc>
        <w:tc>
          <w:tcPr>
            <w:tcW w:w="1447" w:type="dxa"/>
          </w:tcPr>
          <w:p w14:paraId="7C0CACDF" w14:textId="77777777" w:rsidR="00425D19" w:rsidRPr="008A351A" w:rsidRDefault="007C78E2" w:rsidP="00B16D6F">
            <w:pPr>
              <w:spacing w:before="60" w:after="60"/>
              <w:rPr>
                <w:rFonts w:ascii="Times New Roman" w:hAnsi="Times New Roman"/>
                <w:i/>
                <w:sz w:val="18"/>
              </w:rPr>
            </w:pPr>
            <w:r w:rsidRPr="008A351A">
              <w:rPr>
                <w:rFonts w:ascii="Times New Roman" w:hAnsi="Times New Roman"/>
                <w:sz w:val="18"/>
              </w:rPr>
              <w:t>Laisvo</w:t>
            </w:r>
            <w:r w:rsidR="00425D19" w:rsidRPr="008A351A">
              <w:rPr>
                <w:rFonts w:ascii="Times New Roman" w:hAnsi="Times New Roman"/>
                <w:sz w:val="18"/>
              </w:rPr>
              <w:t xml:space="preserve"> </w:t>
            </w:r>
            <w:r w:rsidR="00425D19" w:rsidRPr="008A351A">
              <w:rPr>
                <w:rFonts w:ascii="Times New Roman" w:hAnsi="Times New Roman" w:cs="Times New Roman"/>
                <w:sz w:val="18"/>
                <w:szCs w:val="18"/>
              </w:rPr>
              <w:t>T</w:t>
            </w:r>
            <w:r w:rsidR="00425D19" w:rsidRPr="008A351A">
              <w:rPr>
                <w:rFonts w:ascii="Times New Roman" w:hAnsi="Times New Roman" w:cs="Times New Roman"/>
                <w:sz w:val="18"/>
                <w:szCs w:val="18"/>
                <w:vertAlign w:val="subscript"/>
              </w:rPr>
              <w:t>3</w:t>
            </w:r>
            <w:r w:rsidR="00425D19" w:rsidRPr="008A351A">
              <w:rPr>
                <w:rFonts w:ascii="Times New Roman" w:hAnsi="Times New Roman" w:cs="Times New Roman"/>
                <w:sz w:val="18"/>
                <w:szCs w:val="18"/>
                <w:vertAlign w:val="superscript"/>
              </w:rPr>
              <w:t xml:space="preserve"> 24</w:t>
            </w:r>
            <w:r w:rsidRPr="008A351A">
              <w:rPr>
                <w:rFonts w:ascii="Times New Roman" w:hAnsi="Times New Roman"/>
                <w:sz w:val="18"/>
              </w:rPr>
              <w:t xml:space="preserve"> sumažėjimas,</w:t>
            </w:r>
            <w:r w:rsidRPr="008A351A">
              <w:rPr>
                <w:rFonts w:ascii="Times New Roman" w:hAnsi="Times New Roman"/>
                <w:sz w:val="18"/>
                <w:vertAlign w:val="superscript"/>
              </w:rPr>
              <w:t xml:space="preserve"> </w:t>
            </w:r>
            <w:r w:rsidRPr="008A351A">
              <w:rPr>
                <w:rFonts w:ascii="Times New Roman" w:hAnsi="Times New Roman" w:cs="Times New Roman"/>
                <w:sz w:val="18"/>
                <w:szCs w:val="18"/>
              </w:rPr>
              <w:t>hi</w:t>
            </w:r>
            <w:r w:rsidR="00425D19" w:rsidRPr="008A351A">
              <w:rPr>
                <w:rFonts w:ascii="Times New Roman" w:hAnsi="Times New Roman" w:cs="Times New Roman"/>
                <w:sz w:val="18"/>
                <w:szCs w:val="18"/>
              </w:rPr>
              <w:t>pot</w:t>
            </w:r>
            <w:r w:rsidRPr="008A351A">
              <w:rPr>
                <w:rFonts w:ascii="Times New Roman" w:hAnsi="Times New Roman" w:cs="Times New Roman"/>
                <w:sz w:val="18"/>
                <w:szCs w:val="18"/>
              </w:rPr>
              <w:t>i</w:t>
            </w:r>
            <w:r w:rsidR="00425D19" w:rsidRPr="008A351A">
              <w:rPr>
                <w:rFonts w:ascii="Times New Roman" w:hAnsi="Times New Roman" w:cs="Times New Roman"/>
                <w:sz w:val="18"/>
                <w:szCs w:val="18"/>
              </w:rPr>
              <w:t>ro</w:t>
            </w:r>
            <w:r w:rsidRPr="008A351A">
              <w:rPr>
                <w:rFonts w:ascii="Times New Roman" w:hAnsi="Times New Roman" w:cs="Times New Roman"/>
                <w:sz w:val="18"/>
                <w:szCs w:val="18"/>
              </w:rPr>
              <w:t>zė</w:t>
            </w:r>
            <w:r w:rsidR="00425D19" w:rsidRPr="008A351A">
              <w:rPr>
                <w:rFonts w:ascii="Times New Roman" w:hAnsi="Times New Roman" w:cs="Times New Roman"/>
                <w:sz w:val="18"/>
                <w:szCs w:val="18"/>
                <w:vertAlign w:val="superscript"/>
              </w:rPr>
              <w:t>21</w:t>
            </w:r>
          </w:p>
        </w:tc>
        <w:tc>
          <w:tcPr>
            <w:tcW w:w="1417" w:type="dxa"/>
          </w:tcPr>
          <w:p w14:paraId="0D50E4AB" w14:textId="77777777" w:rsidR="00425D19" w:rsidRPr="008A351A" w:rsidRDefault="00425D19" w:rsidP="00B16D6F">
            <w:pPr>
              <w:spacing w:before="60" w:after="60"/>
              <w:rPr>
                <w:rFonts w:ascii="Times New Roman" w:hAnsi="Times New Roman"/>
                <w:i/>
                <w:sz w:val="18"/>
              </w:rPr>
            </w:pPr>
          </w:p>
        </w:tc>
        <w:tc>
          <w:tcPr>
            <w:tcW w:w="1270" w:type="dxa"/>
          </w:tcPr>
          <w:p w14:paraId="73613F1F" w14:textId="77777777" w:rsidR="00425D19" w:rsidRPr="008A351A" w:rsidRDefault="007C78E2" w:rsidP="00B16D6F">
            <w:pPr>
              <w:spacing w:before="60" w:after="60"/>
              <w:rPr>
                <w:rFonts w:ascii="Times New Roman" w:hAnsi="Times New Roman"/>
                <w:i/>
                <w:sz w:val="18"/>
              </w:rPr>
            </w:pPr>
            <w:r w:rsidRPr="008A351A">
              <w:rPr>
                <w:rFonts w:ascii="Times New Roman" w:hAnsi="Times New Roman"/>
                <w:sz w:val="18"/>
              </w:rPr>
              <w:t>Netinkama antidiuretinė hormonų sekrecija</w:t>
            </w:r>
            <w:r w:rsidRPr="008A351A">
              <w:rPr>
                <w:rFonts w:ascii="Times New Roman" w:hAnsi="Times New Roman" w:cs="Times New Roman"/>
                <w:sz w:val="18"/>
                <w:szCs w:val="18"/>
              </w:rPr>
              <w:t xml:space="preserve"> </w:t>
            </w:r>
          </w:p>
        </w:tc>
        <w:tc>
          <w:tcPr>
            <w:tcW w:w="938" w:type="dxa"/>
          </w:tcPr>
          <w:p w14:paraId="74BF81A5" w14:textId="77777777" w:rsidR="00425D19" w:rsidRPr="008A351A" w:rsidRDefault="00425D19" w:rsidP="00B16D6F">
            <w:pPr>
              <w:spacing w:before="60" w:after="60"/>
              <w:rPr>
                <w:rFonts w:ascii="Times New Roman" w:hAnsi="Times New Roman"/>
                <w:i/>
                <w:sz w:val="18"/>
              </w:rPr>
            </w:pPr>
          </w:p>
        </w:tc>
      </w:tr>
      <w:tr w:rsidR="00492B65" w:rsidRPr="008A351A" w14:paraId="0083CFBD" w14:textId="77777777" w:rsidTr="0085707B">
        <w:trPr>
          <w:cantSplit/>
        </w:trPr>
        <w:tc>
          <w:tcPr>
            <w:tcW w:w="1236" w:type="dxa"/>
          </w:tcPr>
          <w:p w14:paraId="58B7E955" w14:textId="77777777" w:rsidR="00425D19" w:rsidRPr="008A351A" w:rsidRDefault="007C78E2" w:rsidP="00B16D6F">
            <w:pPr>
              <w:spacing w:before="60" w:after="60"/>
              <w:rPr>
                <w:rFonts w:ascii="Times New Roman" w:hAnsi="Times New Roman"/>
                <w:i/>
                <w:sz w:val="18"/>
              </w:rPr>
            </w:pPr>
            <w:r w:rsidRPr="008A351A">
              <w:rPr>
                <w:rFonts w:ascii="Times New Roman" w:hAnsi="Times New Roman" w:cs="Times New Roman"/>
                <w:i/>
                <w:iCs/>
                <w:sz w:val="18"/>
                <w:szCs w:val="18"/>
              </w:rPr>
              <w:t>Metaboliz</w:t>
            </w:r>
            <w:r w:rsidR="00425D19" w:rsidRPr="008A351A">
              <w:rPr>
                <w:rFonts w:ascii="Times New Roman" w:hAnsi="Times New Roman" w:cs="Times New Roman"/>
                <w:i/>
                <w:iCs/>
                <w:sz w:val="18"/>
                <w:szCs w:val="18"/>
              </w:rPr>
              <w:t>m</w:t>
            </w:r>
            <w:r w:rsidRPr="008A351A">
              <w:rPr>
                <w:rFonts w:ascii="Times New Roman" w:hAnsi="Times New Roman" w:cs="Times New Roman"/>
                <w:i/>
                <w:iCs/>
                <w:sz w:val="18"/>
                <w:szCs w:val="18"/>
              </w:rPr>
              <w:t>o</w:t>
            </w:r>
            <w:r w:rsidRPr="008A351A">
              <w:rPr>
                <w:rFonts w:ascii="Times New Roman" w:hAnsi="Times New Roman"/>
                <w:i/>
                <w:sz w:val="18"/>
              </w:rPr>
              <w:t xml:space="preserve"> ir mitybos sutrikimai</w:t>
            </w:r>
          </w:p>
        </w:tc>
        <w:tc>
          <w:tcPr>
            <w:tcW w:w="1286" w:type="dxa"/>
          </w:tcPr>
          <w:p w14:paraId="227F3B6C" w14:textId="77777777" w:rsidR="00425D19" w:rsidRPr="008A351A" w:rsidRDefault="007C78E2" w:rsidP="00133E5B">
            <w:pPr>
              <w:spacing w:before="60" w:after="60"/>
              <w:rPr>
                <w:rFonts w:ascii="Times New Roman" w:hAnsi="Times New Roman" w:cs="Times New Roman"/>
                <w:sz w:val="18"/>
                <w:szCs w:val="18"/>
                <w:vertAlign w:val="superscript"/>
              </w:rPr>
            </w:pPr>
            <w:r w:rsidRPr="008A351A">
              <w:rPr>
                <w:rFonts w:ascii="Times New Roman" w:hAnsi="Times New Roman"/>
                <w:sz w:val="18"/>
              </w:rPr>
              <w:t xml:space="preserve">Trigliceridų kiekio kraujo serume </w:t>
            </w:r>
            <w:r w:rsidRPr="008A351A">
              <w:rPr>
                <w:rFonts w:ascii="Times New Roman" w:hAnsi="Times New Roman" w:cs="Times New Roman"/>
                <w:sz w:val="18"/>
                <w:szCs w:val="18"/>
              </w:rPr>
              <w:t>padidėjimas</w:t>
            </w:r>
            <w:r w:rsidRPr="008A351A">
              <w:rPr>
                <w:rFonts w:ascii="Times New Roman" w:hAnsi="Times New Roman" w:cs="Times New Roman"/>
                <w:sz w:val="18"/>
                <w:szCs w:val="18"/>
                <w:vertAlign w:val="superscript"/>
              </w:rPr>
              <w:t>10,30</w:t>
            </w:r>
            <w:r w:rsidRPr="008A351A">
              <w:rPr>
                <w:rFonts w:ascii="Times New Roman" w:hAnsi="Times New Roman"/>
                <w:sz w:val="18"/>
              </w:rPr>
              <w:t xml:space="preserve">, bendro cholesterolio (daugiausia MTL cholesterolio) </w:t>
            </w:r>
            <w:r w:rsidRPr="008A351A">
              <w:rPr>
                <w:rFonts w:ascii="Times New Roman" w:hAnsi="Times New Roman" w:cs="Times New Roman"/>
                <w:sz w:val="18"/>
                <w:szCs w:val="18"/>
              </w:rPr>
              <w:t>padaugėjimas</w:t>
            </w:r>
            <w:r w:rsidR="00425D19" w:rsidRPr="008A351A">
              <w:rPr>
                <w:rFonts w:ascii="Times New Roman" w:hAnsi="Times New Roman" w:cs="Times New Roman"/>
                <w:sz w:val="18"/>
                <w:szCs w:val="18"/>
              </w:rPr>
              <w:t>)</w:t>
            </w:r>
            <w:r w:rsidRPr="008A351A">
              <w:rPr>
                <w:rFonts w:ascii="Times New Roman" w:hAnsi="Times New Roman" w:cs="Times New Roman"/>
                <w:sz w:val="18"/>
                <w:szCs w:val="18"/>
                <w:vertAlign w:val="superscript"/>
              </w:rPr>
              <w:t>11,30</w:t>
            </w:r>
            <w:r w:rsidRPr="008A351A">
              <w:rPr>
                <w:rFonts w:ascii="Times New Roman" w:hAnsi="Times New Roman"/>
                <w:sz w:val="18"/>
              </w:rPr>
              <w:t xml:space="preserve">, DTL cholesterolio </w:t>
            </w:r>
            <w:r w:rsidRPr="008A351A">
              <w:rPr>
                <w:rFonts w:ascii="Times New Roman" w:hAnsi="Times New Roman" w:cs="Times New Roman"/>
                <w:sz w:val="18"/>
                <w:szCs w:val="18"/>
              </w:rPr>
              <w:t>sumažėjimas</w:t>
            </w:r>
            <w:r w:rsidR="00425D19" w:rsidRPr="008A351A">
              <w:rPr>
                <w:rFonts w:ascii="Times New Roman" w:hAnsi="Times New Roman" w:cs="Times New Roman"/>
                <w:sz w:val="18"/>
                <w:szCs w:val="18"/>
                <w:vertAlign w:val="superscript"/>
              </w:rPr>
              <w:t>17,30</w:t>
            </w:r>
            <w:r w:rsidR="00425D19" w:rsidRPr="008A351A">
              <w:rPr>
                <w:rFonts w:ascii="Times New Roman" w:hAnsi="Times New Roman"/>
                <w:sz w:val="18"/>
              </w:rPr>
              <w:t xml:space="preserve">, </w:t>
            </w:r>
            <w:r w:rsidRPr="008A351A">
              <w:rPr>
                <w:rFonts w:ascii="Times New Roman" w:hAnsi="Times New Roman"/>
                <w:sz w:val="18"/>
              </w:rPr>
              <w:t xml:space="preserve">kūno svorio </w:t>
            </w:r>
            <w:r w:rsidRPr="008A351A">
              <w:rPr>
                <w:rFonts w:ascii="Times New Roman" w:hAnsi="Times New Roman" w:cs="Times New Roman"/>
                <w:sz w:val="18"/>
                <w:szCs w:val="18"/>
              </w:rPr>
              <w:t>padidėjimas</w:t>
            </w:r>
            <w:r w:rsidR="00425D19" w:rsidRPr="008A351A">
              <w:rPr>
                <w:rFonts w:ascii="Times New Roman" w:hAnsi="Times New Roman" w:cs="Times New Roman"/>
                <w:sz w:val="18"/>
                <w:szCs w:val="18"/>
                <w:vertAlign w:val="superscript"/>
              </w:rPr>
              <w:t>8,30</w:t>
            </w:r>
          </w:p>
          <w:p w14:paraId="06175409" w14:textId="77777777" w:rsidR="00425D19" w:rsidRPr="008A351A" w:rsidRDefault="00425D19" w:rsidP="00133E5B">
            <w:pPr>
              <w:spacing w:before="60" w:after="60"/>
              <w:rPr>
                <w:rFonts w:ascii="Times New Roman" w:hAnsi="Times New Roman" w:cs="Times New Roman"/>
                <w:sz w:val="18"/>
                <w:szCs w:val="18"/>
                <w:vertAlign w:val="superscript"/>
              </w:rPr>
            </w:pPr>
          </w:p>
          <w:p w14:paraId="47FFA0C8" w14:textId="77777777" w:rsidR="00425D19" w:rsidRPr="008A351A" w:rsidRDefault="00425D19" w:rsidP="00B16D6F">
            <w:pPr>
              <w:spacing w:before="60" w:after="60"/>
              <w:rPr>
                <w:rFonts w:ascii="Times New Roman" w:hAnsi="Times New Roman"/>
                <w:i/>
                <w:sz w:val="18"/>
              </w:rPr>
            </w:pPr>
          </w:p>
        </w:tc>
        <w:tc>
          <w:tcPr>
            <w:tcW w:w="1682" w:type="dxa"/>
          </w:tcPr>
          <w:p w14:paraId="34C7E562" w14:textId="77777777" w:rsidR="00425D19" w:rsidRPr="008A351A" w:rsidRDefault="007C78E2" w:rsidP="00B16D6F">
            <w:pPr>
              <w:spacing w:before="60" w:after="60"/>
              <w:rPr>
                <w:rFonts w:ascii="Times New Roman" w:hAnsi="Times New Roman"/>
                <w:i/>
                <w:sz w:val="18"/>
              </w:rPr>
            </w:pPr>
            <w:r w:rsidRPr="008A351A">
              <w:rPr>
                <w:rFonts w:ascii="Times New Roman" w:hAnsi="Times New Roman"/>
                <w:sz w:val="18"/>
              </w:rPr>
              <w:t xml:space="preserve">Apetito padidėjimas, gliukozės kiekio kraujyje padidėjimas iki </w:t>
            </w:r>
            <w:r w:rsidRPr="008A351A">
              <w:rPr>
                <w:rFonts w:ascii="Times New Roman" w:hAnsi="Times New Roman" w:cs="Times New Roman"/>
                <w:sz w:val="18"/>
                <w:szCs w:val="18"/>
              </w:rPr>
              <w:t>hiperglikemijos</w:t>
            </w:r>
            <w:r w:rsidR="00425D19" w:rsidRPr="008A351A">
              <w:rPr>
                <w:rFonts w:ascii="Times New Roman" w:hAnsi="Times New Roman" w:cs="Times New Roman"/>
                <w:sz w:val="18"/>
                <w:szCs w:val="18"/>
                <w:vertAlign w:val="superscript"/>
              </w:rPr>
              <w:t>6, 30</w:t>
            </w:r>
          </w:p>
        </w:tc>
        <w:tc>
          <w:tcPr>
            <w:tcW w:w="1447" w:type="dxa"/>
          </w:tcPr>
          <w:p w14:paraId="73B7BA70" w14:textId="77777777" w:rsidR="00425D19" w:rsidRPr="008A351A" w:rsidRDefault="00425D19" w:rsidP="00B16D6F">
            <w:pPr>
              <w:spacing w:before="60" w:after="60"/>
              <w:rPr>
                <w:rFonts w:ascii="Times New Roman" w:hAnsi="Times New Roman"/>
                <w:sz w:val="18"/>
                <w:vertAlign w:val="superscript"/>
              </w:rPr>
            </w:pPr>
            <w:r w:rsidRPr="008A351A">
              <w:rPr>
                <w:rFonts w:ascii="Times New Roman" w:hAnsi="Times New Roman" w:cs="Times New Roman"/>
                <w:sz w:val="18"/>
                <w:szCs w:val="18"/>
              </w:rPr>
              <w:t>H</w:t>
            </w:r>
            <w:r w:rsidR="007C78E2" w:rsidRPr="008A351A">
              <w:rPr>
                <w:rFonts w:ascii="Times New Roman" w:hAnsi="Times New Roman" w:cs="Times New Roman"/>
                <w:sz w:val="18"/>
                <w:szCs w:val="18"/>
              </w:rPr>
              <w:t>iponatr</w:t>
            </w:r>
            <w:r w:rsidRPr="008A351A">
              <w:rPr>
                <w:rFonts w:ascii="Times New Roman" w:hAnsi="Times New Roman" w:cs="Times New Roman"/>
                <w:sz w:val="18"/>
                <w:szCs w:val="18"/>
              </w:rPr>
              <w:t>emi</w:t>
            </w:r>
            <w:r w:rsidR="007C78E2" w:rsidRPr="008A351A">
              <w:rPr>
                <w:rFonts w:ascii="Times New Roman" w:hAnsi="Times New Roman" w:cs="Times New Roman"/>
                <w:sz w:val="18"/>
                <w:szCs w:val="18"/>
              </w:rPr>
              <w:t>j</w:t>
            </w:r>
            <w:r w:rsidRPr="008A351A">
              <w:rPr>
                <w:rFonts w:ascii="Times New Roman" w:hAnsi="Times New Roman" w:cs="Times New Roman"/>
                <w:sz w:val="18"/>
                <w:szCs w:val="18"/>
              </w:rPr>
              <w:t>a</w:t>
            </w:r>
            <w:r w:rsidRPr="008A351A">
              <w:rPr>
                <w:rFonts w:ascii="Times New Roman" w:hAnsi="Times New Roman" w:cs="Times New Roman"/>
                <w:sz w:val="18"/>
                <w:szCs w:val="18"/>
                <w:vertAlign w:val="superscript"/>
              </w:rPr>
              <w:t>19</w:t>
            </w:r>
            <w:r w:rsidRPr="008A351A">
              <w:rPr>
                <w:rFonts w:ascii="Times New Roman" w:hAnsi="Times New Roman" w:cs="Times New Roman"/>
                <w:sz w:val="18"/>
                <w:szCs w:val="18"/>
              </w:rPr>
              <w:t>,</w:t>
            </w:r>
            <w:r w:rsidRPr="008A351A">
              <w:rPr>
                <w:rFonts w:ascii="Times New Roman" w:hAnsi="Times New Roman" w:cs="Times New Roman"/>
                <w:sz w:val="18"/>
                <w:szCs w:val="18"/>
                <w:vertAlign w:val="superscript"/>
              </w:rPr>
              <w:t xml:space="preserve"> </w:t>
            </w:r>
            <w:r w:rsidR="007C78E2" w:rsidRPr="008A351A">
              <w:rPr>
                <w:rFonts w:ascii="Times New Roman" w:hAnsi="Times New Roman" w:cs="Times New Roman"/>
                <w:sz w:val="18"/>
                <w:szCs w:val="18"/>
              </w:rPr>
              <w:t>cukrinis diabetas</w:t>
            </w:r>
            <w:r w:rsidRPr="008A351A">
              <w:rPr>
                <w:rFonts w:ascii="Times New Roman" w:hAnsi="Times New Roman" w:cs="Times New Roman"/>
                <w:sz w:val="18"/>
                <w:szCs w:val="18"/>
              </w:rPr>
              <w:t xml:space="preserve"> </w:t>
            </w:r>
            <w:r w:rsidRPr="008A351A">
              <w:rPr>
                <w:rFonts w:ascii="Times New Roman" w:hAnsi="Times New Roman" w:cs="Times New Roman"/>
                <w:sz w:val="18"/>
                <w:szCs w:val="18"/>
                <w:vertAlign w:val="superscript"/>
              </w:rPr>
              <w:t>1,5</w:t>
            </w:r>
            <w:r w:rsidR="007C78E2" w:rsidRPr="008A351A">
              <w:rPr>
                <w:rFonts w:ascii="Times New Roman" w:hAnsi="Times New Roman" w:cs="Times New Roman"/>
                <w:iCs/>
                <w:sz w:val="18"/>
                <w:szCs w:val="18"/>
              </w:rPr>
              <w:t>, esamo</w:t>
            </w:r>
            <w:r w:rsidR="007C78E2" w:rsidRPr="008A351A">
              <w:rPr>
                <w:rFonts w:ascii="Times New Roman" w:hAnsi="Times New Roman"/>
                <w:sz w:val="18"/>
              </w:rPr>
              <w:t xml:space="preserve"> diabeto paūmėjimas</w:t>
            </w:r>
          </w:p>
        </w:tc>
        <w:tc>
          <w:tcPr>
            <w:tcW w:w="1417" w:type="dxa"/>
          </w:tcPr>
          <w:p w14:paraId="6A7852B8"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Metaboli</w:t>
            </w:r>
            <w:r w:rsidR="007C78E2" w:rsidRPr="008A351A">
              <w:rPr>
                <w:rFonts w:ascii="Times New Roman" w:hAnsi="Times New Roman" w:cs="Times New Roman"/>
                <w:sz w:val="18"/>
                <w:szCs w:val="18"/>
              </w:rPr>
              <w:t>nis sindromas</w:t>
            </w:r>
            <w:r w:rsidRPr="008A351A">
              <w:rPr>
                <w:rFonts w:ascii="Times New Roman" w:hAnsi="Times New Roman" w:cs="Times New Roman"/>
                <w:sz w:val="18"/>
                <w:szCs w:val="18"/>
                <w:vertAlign w:val="superscript"/>
              </w:rPr>
              <w:t>29</w:t>
            </w:r>
          </w:p>
        </w:tc>
        <w:tc>
          <w:tcPr>
            <w:tcW w:w="1270" w:type="dxa"/>
          </w:tcPr>
          <w:p w14:paraId="250A5CC0" w14:textId="77777777" w:rsidR="00425D19" w:rsidRPr="008A351A" w:rsidRDefault="00425D19" w:rsidP="00B16D6F">
            <w:pPr>
              <w:spacing w:before="60" w:after="60"/>
              <w:rPr>
                <w:rFonts w:ascii="Times New Roman" w:hAnsi="Times New Roman"/>
                <w:sz w:val="18"/>
              </w:rPr>
            </w:pPr>
          </w:p>
        </w:tc>
        <w:tc>
          <w:tcPr>
            <w:tcW w:w="938" w:type="dxa"/>
          </w:tcPr>
          <w:p w14:paraId="1994E78D" w14:textId="77777777" w:rsidR="00425D19" w:rsidRPr="008A351A" w:rsidRDefault="00425D19" w:rsidP="00B16D6F">
            <w:pPr>
              <w:spacing w:before="60" w:after="60"/>
              <w:rPr>
                <w:rFonts w:ascii="Times New Roman" w:hAnsi="Times New Roman"/>
                <w:i/>
                <w:sz w:val="18"/>
              </w:rPr>
            </w:pPr>
          </w:p>
        </w:tc>
      </w:tr>
      <w:tr w:rsidR="00492B65" w:rsidRPr="008A351A" w14:paraId="663F11D3" w14:textId="77777777" w:rsidTr="0085707B">
        <w:trPr>
          <w:cantSplit/>
          <w:trHeight w:val="1838"/>
        </w:trPr>
        <w:tc>
          <w:tcPr>
            <w:tcW w:w="1236" w:type="dxa"/>
          </w:tcPr>
          <w:p w14:paraId="5BC52C06"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i/>
                <w:sz w:val="18"/>
              </w:rPr>
              <w:t>Ps</w:t>
            </w:r>
            <w:r w:rsidR="007C78E2" w:rsidRPr="008A351A">
              <w:rPr>
                <w:rFonts w:ascii="Times New Roman" w:hAnsi="Times New Roman"/>
                <w:i/>
                <w:sz w:val="18"/>
              </w:rPr>
              <w:t>ichikos sutrikimai</w:t>
            </w:r>
          </w:p>
        </w:tc>
        <w:tc>
          <w:tcPr>
            <w:tcW w:w="1286" w:type="dxa"/>
          </w:tcPr>
          <w:p w14:paraId="3636BC05" w14:textId="77777777" w:rsidR="00425D19" w:rsidRPr="008A351A" w:rsidRDefault="00425D19" w:rsidP="00B16D6F">
            <w:pPr>
              <w:spacing w:before="60" w:after="60"/>
              <w:rPr>
                <w:rFonts w:ascii="Times New Roman" w:hAnsi="Times New Roman"/>
                <w:i/>
                <w:sz w:val="18"/>
              </w:rPr>
            </w:pPr>
          </w:p>
        </w:tc>
        <w:tc>
          <w:tcPr>
            <w:tcW w:w="1682" w:type="dxa"/>
          </w:tcPr>
          <w:p w14:paraId="6CD7E8F3"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sz w:val="18"/>
              </w:rPr>
              <w:t xml:space="preserve">Neįprasti sapnai arba košmarai, suicidiniai ketinimai ir suicidinis </w:t>
            </w:r>
            <w:r w:rsidRPr="008A351A">
              <w:rPr>
                <w:rFonts w:ascii="Times New Roman" w:hAnsi="Times New Roman" w:cs="Times New Roman"/>
                <w:sz w:val="18"/>
                <w:szCs w:val="18"/>
              </w:rPr>
              <w:t>elgesys</w:t>
            </w:r>
            <w:r w:rsidR="00425D19" w:rsidRPr="008A351A">
              <w:rPr>
                <w:rFonts w:ascii="Times New Roman" w:hAnsi="Times New Roman" w:cs="Times New Roman"/>
                <w:sz w:val="18"/>
                <w:szCs w:val="18"/>
                <w:vertAlign w:val="superscript"/>
              </w:rPr>
              <w:t>20</w:t>
            </w:r>
          </w:p>
        </w:tc>
        <w:tc>
          <w:tcPr>
            <w:tcW w:w="1447" w:type="dxa"/>
          </w:tcPr>
          <w:p w14:paraId="3210AA04" w14:textId="77777777" w:rsidR="00425D19" w:rsidRPr="008A351A" w:rsidRDefault="00425D19" w:rsidP="00B16D6F">
            <w:pPr>
              <w:spacing w:before="60" w:after="60"/>
              <w:rPr>
                <w:rFonts w:ascii="Times New Roman" w:hAnsi="Times New Roman"/>
                <w:i/>
                <w:sz w:val="18"/>
              </w:rPr>
            </w:pPr>
          </w:p>
        </w:tc>
        <w:tc>
          <w:tcPr>
            <w:tcW w:w="1417" w:type="dxa"/>
          </w:tcPr>
          <w:p w14:paraId="4457191F"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sz w:val="18"/>
              </w:rPr>
              <w:t>Somnabulizmas ir kitos susijusios reakcijos, tokios, kaip kalbėjimas per miegus ir su miegu susijęs maitinimosi sutrikimas</w:t>
            </w:r>
          </w:p>
        </w:tc>
        <w:tc>
          <w:tcPr>
            <w:tcW w:w="1270" w:type="dxa"/>
          </w:tcPr>
          <w:p w14:paraId="5C6B808B" w14:textId="77777777" w:rsidR="00425D19" w:rsidRPr="008A351A" w:rsidRDefault="00425D19" w:rsidP="00B16D6F">
            <w:pPr>
              <w:spacing w:before="60" w:after="60"/>
              <w:rPr>
                <w:rFonts w:ascii="Times New Roman" w:hAnsi="Times New Roman"/>
                <w:i/>
                <w:sz w:val="18"/>
              </w:rPr>
            </w:pPr>
          </w:p>
        </w:tc>
        <w:tc>
          <w:tcPr>
            <w:tcW w:w="938" w:type="dxa"/>
          </w:tcPr>
          <w:p w14:paraId="232F3CE0" w14:textId="77777777" w:rsidR="00425D19" w:rsidRPr="008A351A" w:rsidRDefault="00425D19" w:rsidP="00B16D6F">
            <w:pPr>
              <w:spacing w:before="60" w:after="60"/>
              <w:rPr>
                <w:rFonts w:ascii="Times New Roman" w:hAnsi="Times New Roman"/>
                <w:i/>
                <w:sz w:val="18"/>
              </w:rPr>
            </w:pPr>
          </w:p>
        </w:tc>
      </w:tr>
      <w:tr w:rsidR="00492B65" w:rsidRPr="008A351A" w14:paraId="706DF8E5" w14:textId="77777777" w:rsidTr="0085707B">
        <w:trPr>
          <w:cantSplit/>
        </w:trPr>
        <w:tc>
          <w:tcPr>
            <w:tcW w:w="1236" w:type="dxa"/>
          </w:tcPr>
          <w:p w14:paraId="1C9BAB30"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i/>
                <w:sz w:val="18"/>
              </w:rPr>
              <w:t>Nerv</w:t>
            </w:r>
            <w:r w:rsidR="00182A01" w:rsidRPr="008A351A">
              <w:rPr>
                <w:rFonts w:ascii="Times New Roman" w:hAnsi="Times New Roman"/>
                <w:i/>
                <w:sz w:val="18"/>
              </w:rPr>
              <w:t>ų sistemos sutrikimai</w:t>
            </w:r>
          </w:p>
        </w:tc>
        <w:tc>
          <w:tcPr>
            <w:tcW w:w="1286" w:type="dxa"/>
          </w:tcPr>
          <w:p w14:paraId="1B031A9E"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sz w:val="18"/>
              </w:rPr>
              <w:t>Svaigulys</w:t>
            </w:r>
            <w:r w:rsidR="00425D19" w:rsidRPr="008A351A">
              <w:rPr>
                <w:rFonts w:ascii="Times New Roman" w:hAnsi="Times New Roman"/>
                <w:sz w:val="18"/>
                <w:vertAlign w:val="superscript"/>
              </w:rPr>
              <w:t>4,</w:t>
            </w:r>
            <w:r w:rsidR="00425D19" w:rsidRPr="008A351A">
              <w:rPr>
                <w:rFonts w:ascii="Times New Roman" w:hAnsi="Times New Roman" w:cs="Times New Roman"/>
                <w:sz w:val="18"/>
                <w:szCs w:val="18"/>
                <w:vertAlign w:val="superscript"/>
              </w:rPr>
              <w:t xml:space="preserve"> 16</w:t>
            </w:r>
            <w:r w:rsidR="00425D19" w:rsidRPr="008A351A">
              <w:rPr>
                <w:rFonts w:ascii="Times New Roman" w:hAnsi="Times New Roman" w:cs="Times New Roman"/>
                <w:sz w:val="18"/>
                <w:szCs w:val="18"/>
              </w:rPr>
              <w:t>,</w:t>
            </w:r>
            <w:r w:rsidR="00425D19" w:rsidRPr="008A351A">
              <w:rPr>
                <w:rFonts w:ascii="Times New Roman" w:hAnsi="Times New Roman"/>
                <w:sz w:val="18"/>
              </w:rPr>
              <w:t xml:space="preserve"> somnolenc</w:t>
            </w:r>
            <w:r w:rsidRPr="008A351A">
              <w:rPr>
                <w:rFonts w:ascii="Times New Roman" w:hAnsi="Times New Roman"/>
                <w:sz w:val="18"/>
              </w:rPr>
              <w:t>ija</w:t>
            </w:r>
            <w:r w:rsidR="00425D19" w:rsidRPr="008A351A">
              <w:rPr>
                <w:rFonts w:ascii="Times New Roman" w:hAnsi="Times New Roman"/>
                <w:sz w:val="18"/>
                <w:vertAlign w:val="superscript"/>
              </w:rPr>
              <w:t>2,</w:t>
            </w:r>
            <w:r w:rsidR="00425D19" w:rsidRPr="008A351A">
              <w:rPr>
                <w:rFonts w:ascii="Times New Roman" w:hAnsi="Times New Roman" w:cs="Times New Roman"/>
                <w:sz w:val="18"/>
                <w:szCs w:val="18"/>
                <w:vertAlign w:val="superscript"/>
              </w:rPr>
              <w:t>16</w:t>
            </w:r>
            <w:r w:rsidR="00425D19" w:rsidRPr="008A351A">
              <w:rPr>
                <w:rFonts w:ascii="Times New Roman" w:hAnsi="Times New Roman"/>
                <w:sz w:val="18"/>
              </w:rPr>
              <w:t xml:space="preserve">, </w:t>
            </w:r>
            <w:r w:rsidRPr="008A351A">
              <w:rPr>
                <w:rFonts w:ascii="Times New Roman" w:hAnsi="Times New Roman"/>
                <w:sz w:val="18"/>
              </w:rPr>
              <w:t>galvos skausmas, ekstrapiramidiniai simptomai</w:t>
            </w:r>
            <w:r w:rsidR="00425D19" w:rsidRPr="008A351A">
              <w:rPr>
                <w:rFonts w:ascii="Times New Roman" w:hAnsi="Times New Roman"/>
                <w:sz w:val="18"/>
                <w:vertAlign w:val="superscript"/>
              </w:rPr>
              <w:t>1,</w:t>
            </w:r>
            <w:r w:rsidR="00425D19" w:rsidRPr="008A351A">
              <w:rPr>
                <w:rFonts w:ascii="Times New Roman" w:hAnsi="Times New Roman" w:cs="Times New Roman"/>
                <w:sz w:val="18"/>
                <w:szCs w:val="18"/>
                <w:vertAlign w:val="superscript"/>
              </w:rPr>
              <w:t xml:space="preserve"> 21</w:t>
            </w:r>
          </w:p>
        </w:tc>
        <w:tc>
          <w:tcPr>
            <w:tcW w:w="1682" w:type="dxa"/>
          </w:tcPr>
          <w:p w14:paraId="6120F27E"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D</w:t>
            </w:r>
            <w:r w:rsidR="00182A01" w:rsidRPr="008A351A">
              <w:rPr>
                <w:rFonts w:ascii="Times New Roman" w:hAnsi="Times New Roman"/>
                <w:sz w:val="18"/>
              </w:rPr>
              <w:t>iz</w:t>
            </w:r>
            <w:r w:rsidRPr="008A351A">
              <w:rPr>
                <w:rFonts w:ascii="Times New Roman" w:hAnsi="Times New Roman"/>
                <w:sz w:val="18"/>
              </w:rPr>
              <w:t>artri</w:t>
            </w:r>
            <w:r w:rsidR="00182A01" w:rsidRPr="008A351A">
              <w:rPr>
                <w:rFonts w:ascii="Times New Roman" w:hAnsi="Times New Roman"/>
                <w:sz w:val="18"/>
              </w:rPr>
              <w:t>j</w:t>
            </w:r>
            <w:r w:rsidRPr="008A351A">
              <w:rPr>
                <w:rFonts w:ascii="Times New Roman" w:hAnsi="Times New Roman"/>
                <w:sz w:val="18"/>
              </w:rPr>
              <w:t>a</w:t>
            </w:r>
          </w:p>
        </w:tc>
        <w:tc>
          <w:tcPr>
            <w:tcW w:w="1447" w:type="dxa"/>
          </w:tcPr>
          <w:p w14:paraId="4803B679" w14:textId="4B310022" w:rsidR="00425D19" w:rsidRPr="008A351A" w:rsidRDefault="00182A01" w:rsidP="00B16D6F">
            <w:pPr>
              <w:spacing w:before="60" w:after="60"/>
              <w:rPr>
                <w:rFonts w:ascii="Times New Roman" w:hAnsi="Times New Roman"/>
                <w:i/>
                <w:sz w:val="18"/>
              </w:rPr>
            </w:pPr>
            <w:r w:rsidRPr="008A351A">
              <w:rPr>
                <w:rFonts w:ascii="Times New Roman" w:hAnsi="Times New Roman"/>
                <w:sz w:val="18"/>
              </w:rPr>
              <w:t>Traukuliai</w:t>
            </w:r>
            <w:r w:rsidR="00425D19" w:rsidRPr="008A351A">
              <w:rPr>
                <w:rFonts w:ascii="Times New Roman" w:hAnsi="Times New Roman"/>
                <w:sz w:val="18"/>
                <w:vertAlign w:val="superscript"/>
              </w:rPr>
              <w:t>1</w:t>
            </w:r>
            <w:r w:rsidR="00425D19" w:rsidRPr="008A351A">
              <w:rPr>
                <w:rFonts w:ascii="Times New Roman" w:hAnsi="Times New Roman"/>
                <w:sz w:val="18"/>
              </w:rPr>
              <w:t xml:space="preserve">, </w:t>
            </w:r>
            <w:r w:rsidR="00425D19" w:rsidRPr="008A351A">
              <w:rPr>
                <w:rFonts w:ascii="Times New Roman" w:hAnsi="Times New Roman" w:cs="Times New Roman"/>
                <w:sz w:val="18"/>
                <w:szCs w:val="18"/>
              </w:rPr>
              <w:br/>
            </w:r>
            <w:r w:rsidRPr="008A351A">
              <w:rPr>
                <w:rFonts w:ascii="Times New Roman" w:hAnsi="Times New Roman"/>
                <w:sz w:val="18"/>
              </w:rPr>
              <w:t>neramių kojų sindromas, vėlyvoji diskinezija</w:t>
            </w:r>
            <w:r w:rsidR="00425D19" w:rsidRPr="008A351A">
              <w:rPr>
                <w:rFonts w:ascii="Times New Roman" w:hAnsi="Times New Roman"/>
                <w:sz w:val="18"/>
                <w:vertAlign w:val="superscript"/>
              </w:rPr>
              <w:t>1,</w:t>
            </w:r>
            <w:r w:rsidR="00425D19" w:rsidRPr="008A351A">
              <w:rPr>
                <w:rFonts w:ascii="Times New Roman" w:hAnsi="Times New Roman" w:cs="Times New Roman"/>
                <w:sz w:val="18"/>
                <w:szCs w:val="18"/>
                <w:vertAlign w:val="superscript"/>
              </w:rPr>
              <w:t xml:space="preserve"> 5</w:t>
            </w:r>
            <w:r w:rsidRPr="008A351A">
              <w:rPr>
                <w:rFonts w:ascii="Times New Roman" w:hAnsi="Times New Roman"/>
                <w:sz w:val="18"/>
              </w:rPr>
              <w:t>, sinkopė</w:t>
            </w:r>
            <w:r w:rsidR="00425D19" w:rsidRPr="008A351A">
              <w:rPr>
                <w:rFonts w:ascii="Times New Roman" w:hAnsi="Times New Roman"/>
                <w:sz w:val="18"/>
                <w:vertAlign w:val="superscript"/>
              </w:rPr>
              <w:t>4,</w:t>
            </w:r>
            <w:r w:rsidR="00425D19" w:rsidRPr="008A351A">
              <w:rPr>
                <w:rFonts w:ascii="Times New Roman" w:hAnsi="Times New Roman" w:cs="Times New Roman"/>
                <w:sz w:val="18"/>
                <w:szCs w:val="18"/>
                <w:vertAlign w:val="superscript"/>
              </w:rPr>
              <w:t>16</w:t>
            </w:r>
            <w:r w:rsidR="008F6DA1">
              <w:rPr>
                <w:rFonts w:ascii="Times New Roman" w:hAnsi="Times New Roman" w:cs="Times New Roman"/>
                <w:sz w:val="18"/>
                <w:szCs w:val="18"/>
              </w:rPr>
              <w:t>, sumišimo būsena</w:t>
            </w:r>
          </w:p>
        </w:tc>
        <w:tc>
          <w:tcPr>
            <w:tcW w:w="1417" w:type="dxa"/>
          </w:tcPr>
          <w:p w14:paraId="517C0C9C" w14:textId="77777777" w:rsidR="00425D19" w:rsidRPr="008A351A" w:rsidRDefault="00425D19" w:rsidP="00B16D6F">
            <w:pPr>
              <w:spacing w:before="60" w:after="60"/>
              <w:rPr>
                <w:rFonts w:ascii="Times New Roman" w:hAnsi="Times New Roman"/>
                <w:i/>
                <w:sz w:val="18"/>
              </w:rPr>
            </w:pPr>
          </w:p>
        </w:tc>
        <w:tc>
          <w:tcPr>
            <w:tcW w:w="1270" w:type="dxa"/>
          </w:tcPr>
          <w:p w14:paraId="1EFC8F8B" w14:textId="77777777" w:rsidR="00425D19" w:rsidRPr="008A351A" w:rsidRDefault="00425D19" w:rsidP="00B16D6F">
            <w:pPr>
              <w:spacing w:before="60" w:after="60"/>
              <w:rPr>
                <w:rFonts w:ascii="Times New Roman" w:hAnsi="Times New Roman"/>
                <w:i/>
                <w:sz w:val="18"/>
              </w:rPr>
            </w:pPr>
          </w:p>
        </w:tc>
        <w:tc>
          <w:tcPr>
            <w:tcW w:w="938" w:type="dxa"/>
          </w:tcPr>
          <w:p w14:paraId="5A1B9D4A" w14:textId="77777777" w:rsidR="00425D19" w:rsidRPr="008A351A" w:rsidRDefault="00425D19" w:rsidP="00B16D6F">
            <w:pPr>
              <w:spacing w:before="60" w:after="60"/>
              <w:rPr>
                <w:rFonts w:ascii="Times New Roman" w:hAnsi="Times New Roman"/>
                <w:i/>
                <w:sz w:val="18"/>
              </w:rPr>
            </w:pPr>
          </w:p>
        </w:tc>
      </w:tr>
      <w:tr w:rsidR="00492B65" w:rsidRPr="008A351A" w14:paraId="229278E4" w14:textId="77777777" w:rsidTr="0085707B">
        <w:trPr>
          <w:cantSplit/>
        </w:trPr>
        <w:tc>
          <w:tcPr>
            <w:tcW w:w="1236" w:type="dxa"/>
          </w:tcPr>
          <w:p w14:paraId="45F2614D"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i/>
                <w:sz w:val="18"/>
              </w:rPr>
              <w:t>Širdies sutrikimai</w:t>
            </w:r>
          </w:p>
        </w:tc>
        <w:tc>
          <w:tcPr>
            <w:tcW w:w="1286" w:type="dxa"/>
          </w:tcPr>
          <w:p w14:paraId="7E8BA767" w14:textId="77777777" w:rsidR="00425D19" w:rsidRPr="008A351A" w:rsidRDefault="00425D19" w:rsidP="00B16D6F">
            <w:pPr>
              <w:spacing w:before="60" w:after="60"/>
              <w:rPr>
                <w:rFonts w:ascii="Times New Roman" w:hAnsi="Times New Roman"/>
                <w:i/>
                <w:sz w:val="18"/>
              </w:rPr>
            </w:pPr>
          </w:p>
        </w:tc>
        <w:tc>
          <w:tcPr>
            <w:tcW w:w="1682" w:type="dxa"/>
          </w:tcPr>
          <w:p w14:paraId="4EA211DA"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Tach</w:t>
            </w:r>
            <w:r w:rsidR="00182A01" w:rsidRPr="008A351A">
              <w:rPr>
                <w:rFonts w:ascii="Times New Roman" w:hAnsi="Times New Roman"/>
                <w:sz w:val="18"/>
              </w:rPr>
              <w:t>ik</w:t>
            </w:r>
            <w:r w:rsidRPr="008A351A">
              <w:rPr>
                <w:rFonts w:ascii="Times New Roman" w:hAnsi="Times New Roman"/>
                <w:sz w:val="18"/>
              </w:rPr>
              <w:t>ardi</w:t>
            </w:r>
            <w:r w:rsidR="00182A01" w:rsidRPr="008A351A">
              <w:rPr>
                <w:rFonts w:ascii="Times New Roman" w:hAnsi="Times New Roman"/>
                <w:sz w:val="18"/>
              </w:rPr>
              <w:t>j</w:t>
            </w:r>
            <w:r w:rsidRPr="008A351A">
              <w:rPr>
                <w:rFonts w:ascii="Times New Roman" w:hAnsi="Times New Roman"/>
                <w:sz w:val="18"/>
              </w:rPr>
              <w:t>a</w:t>
            </w:r>
            <w:r w:rsidRPr="008A351A">
              <w:rPr>
                <w:rFonts w:ascii="Times New Roman" w:hAnsi="Times New Roman"/>
                <w:sz w:val="18"/>
                <w:vertAlign w:val="superscript"/>
              </w:rPr>
              <w:t>4</w:t>
            </w:r>
            <w:r w:rsidRPr="008A351A">
              <w:rPr>
                <w:rFonts w:ascii="Times New Roman" w:hAnsi="Times New Roman" w:cs="Times New Roman"/>
                <w:sz w:val="18"/>
                <w:szCs w:val="18"/>
              </w:rPr>
              <w:t>, Palpita</w:t>
            </w:r>
            <w:r w:rsidR="00182A01" w:rsidRPr="008A351A">
              <w:rPr>
                <w:rFonts w:ascii="Times New Roman" w:hAnsi="Times New Roman" w:cs="Times New Roman"/>
                <w:sz w:val="18"/>
                <w:szCs w:val="18"/>
              </w:rPr>
              <w:t>cijos</w:t>
            </w:r>
            <w:r w:rsidRPr="008A351A">
              <w:rPr>
                <w:rFonts w:ascii="Times New Roman" w:hAnsi="Times New Roman" w:cs="Times New Roman"/>
                <w:sz w:val="18"/>
                <w:szCs w:val="18"/>
                <w:vertAlign w:val="superscript"/>
              </w:rPr>
              <w:t>23</w:t>
            </w:r>
          </w:p>
        </w:tc>
        <w:tc>
          <w:tcPr>
            <w:tcW w:w="1447" w:type="dxa"/>
          </w:tcPr>
          <w:p w14:paraId="3A93C6B7"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 xml:space="preserve">QT </w:t>
            </w:r>
            <w:r w:rsidR="00182A01" w:rsidRPr="008A351A">
              <w:rPr>
                <w:rFonts w:ascii="Times New Roman" w:hAnsi="Times New Roman"/>
                <w:sz w:val="18"/>
              </w:rPr>
              <w:t xml:space="preserve">intervalo </w:t>
            </w:r>
            <w:r w:rsidR="00182A01" w:rsidRPr="008A351A">
              <w:rPr>
                <w:rFonts w:ascii="Times New Roman" w:hAnsi="Times New Roman" w:cs="Times New Roman"/>
                <w:sz w:val="18"/>
                <w:szCs w:val="18"/>
              </w:rPr>
              <w:t>pailgėjimas</w:t>
            </w:r>
            <w:r w:rsidRPr="008A351A">
              <w:rPr>
                <w:rFonts w:ascii="Times New Roman" w:hAnsi="Times New Roman" w:cs="Times New Roman"/>
                <w:sz w:val="18"/>
                <w:szCs w:val="18"/>
                <w:vertAlign w:val="superscript"/>
              </w:rPr>
              <w:t>1,12, 18</w:t>
            </w:r>
            <w:r w:rsidR="00182A01" w:rsidRPr="008A351A">
              <w:rPr>
                <w:rFonts w:ascii="Times New Roman" w:hAnsi="Times New Roman" w:cs="Times New Roman"/>
                <w:sz w:val="18"/>
                <w:szCs w:val="18"/>
              </w:rPr>
              <w:t>, bradikardija</w:t>
            </w:r>
            <w:r w:rsidRPr="008A351A">
              <w:rPr>
                <w:rFonts w:ascii="Times New Roman" w:hAnsi="Times New Roman" w:cs="Times New Roman"/>
                <w:sz w:val="18"/>
                <w:szCs w:val="18"/>
                <w:vertAlign w:val="superscript"/>
              </w:rPr>
              <w:t>32</w:t>
            </w:r>
          </w:p>
        </w:tc>
        <w:tc>
          <w:tcPr>
            <w:tcW w:w="1417" w:type="dxa"/>
          </w:tcPr>
          <w:p w14:paraId="523B313F" w14:textId="77777777" w:rsidR="00425D19" w:rsidRPr="008A351A" w:rsidRDefault="00425D19" w:rsidP="00B16D6F">
            <w:pPr>
              <w:spacing w:before="60" w:after="60"/>
              <w:rPr>
                <w:rFonts w:ascii="Times New Roman" w:hAnsi="Times New Roman"/>
                <w:i/>
                <w:sz w:val="18"/>
              </w:rPr>
            </w:pPr>
          </w:p>
        </w:tc>
        <w:tc>
          <w:tcPr>
            <w:tcW w:w="1270" w:type="dxa"/>
          </w:tcPr>
          <w:p w14:paraId="43DD24C3" w14:textId="77777777" w:rsidR="00425D19" w:rsidRPr="008A351A" w:rsidRDefault="00425D19" w:rsidP="00B16D6F">
            <w:pPr>
              <w:spacing w:before="60" w:after="60"/>
              <w:rPr>
                <w:rFonts w:ascii="Times New Roman" w:hAnsi="Times New Roman"/>
                <w:i/>
                <w:sz w:val="18"/>
              </w:rPr>
            </w:pPr>
          </w:p>
        </w:tc>
        <w:tc>
          <w:tcPr>
            <w:tcW w:w="938" w:type="dxa"/>
          </w:tcPr>
          <w:p w14:paraId="15D835BE" w14:textId="15815962" w:rsidR="00425D19" w:rsidRPr="008A351A" w:rsidRDefault="00B9789F" w:rsidP="00B16D6F">
            <w:pPr>
              <w:spacing w:before="60" w:after="60"/>
              <w:rPr>
                <w:rFonts w:ascii="Times New Roman" w:hAnsi="Times New Roman"/>
                <w:i/>
                <w:sz w:val="18"/>
              </w:rPr>
            </w:pPr>
            <w:r w:rsidRPr="00CC4178">
              <w:rPr>
                <w:rFonts w:ascii="Times New Roman" w:hAnsi="Times New Roman"/>
                <w:color w:val="000000"/>
                <w:sz w:val="18"/>
                <w:szCs w:val="18"/>
              </w:rPr>
              <w:t>Kardiomiopatija, miokarditas</w:t>
            </w:r>
          </w:p>
        </w:tc>
      </w:tr>
      <w:tr w:rsidR="00492B65" w:rsidRPr="008A351A" w14:paraId="412E1332" w14:textId="77777777" w:rsidTr="0085707B">
        <w:tc>
          <w:tcPr>
            <w:tcW w:w="1236" w:type="dxa"/>
          </w:tcPr>
          <w:p w14:paraId="68348583"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i/>
                <w:sz w:val="18"/>
              </w:rPr>
              <w:t>Akių sutrikimai</w:t>
            </w:r>
          </w:p>
        </w:tc>
        <w:tc>
          <w:tcPr>
            <w:tcW w:w="1286" w:type="dxa"/>
          </w:tcPr>
          <w:p w14:paraId="41F2E5C1" w14:textId="77777777" w:rsidR="00425D19" w:rsidRPr="008A351A" w:rsidRDefault="00425D19" w:rsidP="00B16D6F">
            <w:pPr>
              <w:spacing w:before="60" w:after="60"/>
              <w:rPr>
                <w:rFonts w:ascii="Times New Roman" w:hAnsi="Times New Roman"/>
                <w:i/>
                <w:sz w:val="18"/>
              </w:rPr>
            </w:pPr>
          </w:p>
        </w:tc>
        <w:tc>
          <w:tcPr>
            <w:tcW w:w="1682" w:type="dxa"/>
          </w:tcPr>
          <w:p w14:paraId="1E64FDEC" w14:textId="77777777" w:rsidR="00425D19" w:rsidRPr="008A351A" w:rsidRDefault="00182A01" w:rsidP="00B16D6F">
            <w:pPr>
              <w:spacing w:before="60" w:after="60"/>
              <w:rPr>
                <w:rFonts w:ascii="Times New Roman" w:hAnsi="Times New Roman"/>
                <w:sz w:val="18"/>
              </w:rPr>
            </w:pPr>
            <w:r w:rsidRPr="008A351A">
              <w:rPr>
                <w:rFonts w:ascii="Times New Roman" w:hAnsi="Times New Roman"/>
                <w:sz w:val="18"/>
              </w:rPr>
              <w:t>Neryškus matymas</w:t>
            </w:r>
          </w:p>
        </w:tc>
        <w:tc>
          <w:tcPr>
            <w:tcW w:w="1447" w:type="dxa"/>
          </w:tcPr>
          <w:p w14:paraId="236E144A" w14:textId="77777777" w:rsidR="00425D19" w:rsidRPr="008A351A" w:rsidRDefault="00425D19" w:rsidP="00B16D6F">
            <w:pPr>
              <w:spacing w:before="60" w:after="60"/>
              <w:rPr>
                <w:rFonts w:ascii="Times New Roman" w:hAnsi="Times New Roman"/>
                <w:sz w:val="18"/>
              </w:rPr>
            </w:pPr>
          </w:p>
        </w:tc>
        <w:tc>
          <w:tcPr>
            <w:tcW w:w="1417" w:type="dxa"/>
          </w:tcPr>
          <w:p w14:paraId="510D0E48" w14:textId="77777777" w:rsidR="00425D19" w:rsidRPr="008A351A" w:rsidRDefault="00425D19" w:rsidP="00B16D6F">
            <w:pPr>
              <w:spacing w:before="60" w:after="60"/>
              <w:rPr>
                <w:rFonts w:ascii="Times New Roman" w:hAnsi="Times New Roman"/>
                <w:sz w:val="18"/>
              </w:rPr>
            </w:pPr>
          </w:p>
        </w:tc>
        <w:tc>
          <w:tcPr>
            <w:tcW w:w="1270" w:type="dxa"/>
          </w:tcPr>
          <w:p w14:paraId="7CE9D138" w14:textId="77777777" w:rsidR="00425D19" w:rsidRPr="008A351A" w:rsidRDefault="00425D19" w:rsidP="00B16D6F">
            <w:pPr>
              <w:spacing w:before="60" w:after="60"/>
              <w:rPr>
                <w:rFonts w:ascii="Times New Roman" w:hAnsi="Times New Roman"/>
                <w:sz w:val="18"/>
              </w:rPr>
            </w:pPr>
          </w:p>
        </w:tc>
        <w:tc>
          <w:tcPr>
            <w:tcW w:w="938" w:type="dxa"/>
          </w:tcPr>
          <w:p w14:paraId="310C5538" w14:textId="77777777" w:rsidR="00425D19" w:rsidRPr="008A351A" w:rsidRDefault="00425D19" w:rsidP="00B16D6F">
            <w:pPr>
              <w:spacing w:before="60" w:after="60"/>
              <w:rPr>
                <w:rFonts w:ascii="Times New Roman" w:hAnsi="Times New Roman"/>
                <w:sz w:val="18"/>
              </w:rPr>
            </w:pPr>
          </w:p>
        </w:tc>
      </w:tr>
      <w:tr w:rsidR="00492B65" w:rsidRPr="008A351A" w14:paraId="27F57947" w14:textId="77777777" w:rsidTr="0085707B">
        <w:trPr>
          <w:cantSplit/>
        </w:trPr>
        <w:tc>
          <w:tcPr>
            <w:tcW w:w="1236" w:type="dxa"/>
          </w:tcPr>
          <w:p w14:paraId="1FA33471"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cs="Times New Roman"/>
                <w:i/>
                <w:iCs/>
                <w:sz w:val="18"/>
                <w:szCs w:val="18"/>
              </w:rPr>
              <w:lastRenderedPageBreak/>
              <w:t>Kraujagyslių</w:t>
            </w:r>
            <w:r w:rsidRPr="008A351A">
              <w:rPr>
                <w:rFonts w:ascii="Times New Roman" w:hAnsi="Times New Roman"/>
                <w:i/>
                <w:sz w:val="18"/>
              </w:rPr>
              <w:t xml:space="preserve"> sutrikimai</w:t>
            </w:r>
          </w:p>
        </w:tc>
        <w:tc>
          <w:tcPr>
            <w:tcW w:w="1286" w:type="dxa"/>
          </w:tcPr>
          <w:p w14:paraId="531F8D45" w14:textId="77777777" w:rsidR="00425D19" w:rsidRPr="008A351A" w:rsidRDefault="00425D19" w:rsidP="00B16D6F">
            <w:pPr>
              <w:spacing w:before="60" w:after="60"/>
              <w:rPr>
                <w:rFonts w:ascii="Times New Roman" w:hAnsi="Times New Roman"/>
                <w:i/>
                <w:sz w:val="18"/>
              </w:rPr>
            </w:pPr>
          </w:p>
        </w:tc>
        <w:tc>
          <w:tcPr>
            <w:tcW w:w="1682" w:type="dxa"/>
          </w:tcPr>
          <w:p w14:paraId="7C7B6F12"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Ortostati</w:t>
            </w:r>
            <w:r w:rsidR="00182A01" w:rsidRPr="008A351A">
              <w:rPr>
                <w:rFonts w:ascii="Times New Roman" w:hAnsi="Times New Roman"/>
                <w:sz w:val="18"/>
              </w:rPr>
              <w:t>nė hipotenzija</w:t>
            </w:r>
            <w:r w:rsidRPr="008A351A">
              <w:rPr>
                <w:rFonts w:ascii="Times New Roman" w:hAnsi="Times New Roman"/>
                <w:sz w:val="18"/>
                <w:vertAlign w:val="superscript"/>
              </w:rPr>
              <w:t>4,</w:t>
            </w:r>
            <w:r w:rsidRPr="008A351A">
              <w:rPr>
                <w:rFonts w:ascii="Times New Roman" w:hAnsi="Times New Roman" w:cs="Times New Roman"/>
                <w:sz w:val="18"/>
                <w:szCs w:val="18"/>
                <w:vertAlign w:val="superscript"/>
              </w:rPr>
              <w:t>16</w:t>
            </w:r>
          </w:p>
        </w:tc>
        <w:tc>
          <w:tcPr>
            <w:tcW w:w="1447" w:type="dxa"/>
          </w:tcPr>
          <w:p w14:paraId="26611208" w14:textId="77777777" w:rsidR="00425D19" w:rsidRPr="008A351A" w:rsidRDefault="00425D19" w:rsidP="00B16D6F">
            <w:pPr>
              <w:spacing w:before="60" w:after="60"/>
              <w:rPr>
                <w:rFonts w:ascii="Times New Roman" w:hAnsi="Times New Roman"/>
                <w:i/>
                <w:sz w:val="18"/>
              </w:rPr>
            </w:pPr>
          </w:p>
        </w:tc>
        <w:tc>
          <w:tcPr>
            <w:tcW w:w="1417" w:type="dxa"/>
          </w:tcPr>
          <w:p w14:paraId="74FD868F"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Ven</w:t>
            </w:r>
            <w:r w:rsidR="00182A01" w:rsidRPr="008A351A">
              <w:rPr>
                <w:rFonts w:ascii="Times New Roman" w:hAnsi="Times New Roman"/>
                <w:sz w:val="18"/>
              </w:rPr>
              <w:t>inis tromboembolizmas</w:t>
            </w:r>
            <w:r w:rsidRPr="008A351A">
              <w:rPr>
                <w:rFonts w:ascii="Times New Roman" w:hAnsi="Times New Roman"/>
                <w:sz w:val="18"/>
                <w:vertAlign w:val="superscript"/>
              </w:rPr>
              <w:t>1</w:t>
            </w:r>
          </w:p>
        </w:tc>
        <w:tc>
          <w:tcPr>
            <w:tcW w:w="1270" w:type="dxa"/>
          </w:tcPr>
          <w:p w14:paraId="3D200AFE" w14:textId="77777777" w:rsidR="00425D19" w:rsidRPr="008A351A" w:rsidRDefault="00425D19" w:rsidP="00B16D6F">
            <w:pPr>
              <w:spacing w:before="60" w:after="60"/>
              <w:rPr>
                <w:rFonts w:ascii="Times New Roman" w:hAnsi="Times New Roman"/>
                <w:i/>
                <w:sz w:val="18"/>
              </w:rPr>
            </w:pPr>
          </w:p>
        </w:tc>
        <w:tc>
          <w:tcPr>
            <w:tcW w:w="938" w:type="dxa"/>
          </w:tcPr>
          <w:p w14:paraId="1152939C" w14:textId="77777777" w:rsidR="00425D19" w:rsidRPr="008A351A" w:rsidRDefault="00702AFB" w:rsidP="00B16D6F">
            <w:pPr>
              <w:spacing w:before="60" w:after="60"/>
              <w:rPr>
                <w:rFonts w:ascii="Times New Roman" w:hAnsi="Times New Roman"/>
                <w:i/>
                <w:sz w:val="18"/>
              </w:rPr>
            </w:pPr>
            <w:r w:rsidRPr="008A351A">
              <w:rPr>
                <w:rFonts w:ascii="Times New Roman" w:hAnsi="Times New Roman"/>
                <w:sz w:val="18"/>
              </w:rPr>
              <w:t>Insultas</w:t>
            </w:r>
            <w:r w:rsidR="00B53CD9" w:rsidRPr="008A351A">
              <w:rPr>
                <w:rFonts w:ascii="Times New Roman" w:hAnsi="Times New Roman"/>
                <w:sz w:val="18"/>
                <w:vertAlign w:val="superscript"/>
              </w:rPr>
              <w:t>33</w:t>
            </w:r>
          </w:p>
        </w:tc>
      </w:tr>
      <w:tr w:rsidR="00492B65" w:rsidRPr="008A351A" w14:paraId="3878D661" w14:textId="77777777" w:rsidTr="0085707B">
        <w:trPr>
          <w:cantSplit/>
        </w:trPr>
        <w:tc>
          <w:tcPr>
            <w:tcW w:w="1236" w:type="dxa"/>
          </w:tcPr>
          <w:p w14:paraId="0F3A55B7"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i/>
                <w:sz w:val="18"/>
              </w:rPr>
              <w:t xml:space="preserve">Kvėpavimo sistemos, krūtinės ląstos ir </w:t>
            </w:r>
            <w:r w:rsidRPr="008A351A">
              <w:rPr>
                <w:rFonts w:ascii="Times New Roman" w:hAnsi="Times New Roman" w:cs="Times New Roman"/>
                <w:i/>
                <w:iCs/>
                <w:sz w:val="18"/>
                <w:szCs w:val="18"/>
              </w:rPr>
              <w:t>tarpuplaučio</w:t>
            </w:r>
            <w:r w:rsidRPr="008A351A">
              <w:rPr>
                <w:rFonts w:ascii="Times New Roman" w:hAnsi="Times New Roman"/>
                <w:i/>
                <w:sz w:val="18"/>
              </w:rPr>
              <w:t xml:space="preserve"> sutrikimai</w:t>
            </w:r>
          </w:p>
        </w:tc>
        <w:tc>
          <w:tcPr>
            <w:tcW w:w="1286" w:type="dxa"/>
          </w:tcPr>
          <w:p w14:paraId="4BF6F471" w14:textId="77777777" w:rsidR="00425D19" w:rsidRPr="008A351A" w:rsidRDefault="00425D19" w:rsidP="00B16D6F">
            <w:pPr>
              <w:spacing w:before="60" w:after="60"/>
              <w:rPr>
                <w:rFonts w:ascii="Times New Roman" w:hAnsi="Times New Roman"/>
                <w:i/>
                <w:sz w:val="18"/>
              </w:rPr>
            </w:pPr>
          </w:p>
        </w:tc>
        <w:tc>
          <w:tcPr>
            <w:tcW w:w="1682" w:type="dxa"/>
          </w:tcPr>
          <w:p w14:paraId="5C0C7E46"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D</w:t>
            </w:r>
            <w:r w:rsidR="00182A01" w:rsidRPr="008A351A">
              <w:rPr>
                <w:rFonts w:ascii="Times New Roman" w:hAnsi="Times New Roman" w:cs="Times New Roman"/>
                <w:sz w:val="18"/>
                <w:szCs w:val="18"/>
              </w:rPr>
              <w:t>i</w:t>
            </w:r>
            <w:r w:rsidRPr="008A351A">
              <w:rPr>
                <w:rFonts w:ascii="Times New Roman" w:hAnsi="Times New Roman" w:cs="Times New Roman"/>
                <w:sz w:val="18"/>
                <w:szCs w:val="18"/>
              </w:rPr>
              <w:t>spn</w:t>
            </w:r>
            <w:r w:rsidR="00182A01" w:rsidRPr="008A351A">
              <w:rPr>
                <w:rFonts w:ascii="Times New Roman" w:hAnsi="Times New Roman" w:cs="Times New Roman"/>
                <w:sz w:val="18"/>
                <w:szCs w:val="18"/>
              </w:rPr>
              <w:t>ėja</w:t>
            </w:r>
            <w:r w:rsidRPr="008A351A">
              <w:rPr>
                <w:rFonts w:ascii="Times New Roman" w:hAnsi="Times New Roman" w:cs="Times New Roman"/>
                <w:sz w:val="18"/>
                <w:szCs w:val="18"/>
                <w:vertAlign w:val="superscript"/>
              </w:rPr>
              <w:t>23</w:t>
            </w:r>
          </w:p>
        </w:tc>
        <w:tc>
          <w:tcPr>
            <w:tcW w:w="1447" w:type="dxa"/>
          </w:tcPr>
          <w:p w14:paraId="66551A7F"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R</w:t>
            </w:r>
            <w:r w:rsidR="00182A01" w:rsidRPr="008A351A">
              <w:rPr>
                <w:rFonts w:ascii="Times New Roman" w:hAnsi="Times New Roman"/>
                <w:sz w:val="18"/>
              </w:rPr>
              <w:t>inita</w:t>
            </w:r>
            <w:r w:rsidRPr="008A351A">
              <w:rPr>
                <w:rFonts w:ascii="Times New Roman" w:hAnsi="Times New Roman"/>
                <w:sz w:val="18"/>
              </w:rPr>
              <w:t>s</w:t>
            </w:r>
            <w:r w:rsidRPr="008A351A">
              <w:rPr>
                <w:rFonts w:ascii="Times New Roman" w:hAnsi="Times New Roman" w:cs="Times New Roman"/>
                <w:sz w:val="18"/>
                <w:szCs w:val="18"/>
              </w:rPr>
              <w:t xml:space="preserve"> </w:t>
            </w:r>
            <w:r w:rsidRPr="008A351A">
              <w:rPr>
                <w:rFonts w:ascii="Times New Roman" w:hAnsi="Times New Roman" w:cs="Times New Roman"/>
                <w:sz w:val="18"/>
                <w:szCs w:val="18"/>
                <w:vertAlign w:val="superscript"/>
              </w:rPr>
              <w:t xml:space="preserve"> </w:t>
            </w:r>
          </w:p>
        </w:tc>
        <w:tc>
          <w:tcPr>
            <w:tcW w:w="1417" w:type="dxa"/>
          </w:tcPr>
          <w:p w14:paraId="69E65685" w14:textId="77777777" w:rsidR="00425D19" w:rsidRPr="008A351A" w:rsidRDefault="00425D19" w:rsidP="00B16D6F">
            <w:pPr>
              <w:spacing w:before="60" w:after="60"/>
              <w:rPr>
                <w:rFonts w:ascii="Times New Roman" w:hAnsi="Times New Roman"/>
                <w:i/>
                <w:sz w:val="18"/>
              </w:rPr>
            </w:pPr>
          </w:p>
        </w:tc>
        <w:tc>
          <w:tcPr>
            <w:tcW w:w="1270" w:type="dxa"/>
          </w:tcPr>
          <w:p w14:paraId="44922B18" w14:textId="77777777" w:rsidR="00425D19" w:rsidRPr="008A351A" w:rsidRDefault="00425D19" w:rsidP="00B16D6F">
            <w:pPr>
              <w:spacing w:before="60" w:after="60"/>
              <w:rPr>
                <w:rFonts w:ascii="Times New Roman" w:hAnsi="Times New Roman"/>
                <w:i/>
                <w:sz w:val="18"/>
              </w:rPr>
            </w:pPr>
          </w:p>
        </w:tc>
        <w:tc>
          <w:tcPr>
            <w:tcW w:w="938" w:type="dxa"/>
          </w:tcPr>
          <w:p w14:paraId="368C1E72" w14:textId="77777777" w:rsidR="00425D19" w:rsidRPr="008A351A" w:rsidRDefault="00425D19" w:rsidP="00B16D6F">
            <w:pPr>
              <w:spacing w:before="60" w:after="60"/>
              <w:rPr>
                <w:rFonts w:ascii="Times New Roman" w:hAnsi="Times New Roman"/>
                <w:i/>
                <w:sz w:val="18"/>
              </w:rPr>
            </w:pPr>
          </w:p>
        </w:tc>
      </w:tr>
      <w:tr w:rsidR="00492B65" w:rsidRPr="008A351A" w14:paraId="56023145" w14:textId="77777777" w:rsidTr="0085707B">
        <w:trPr>
          <w:cantSplit/>
        </w:trPr>
        <w:tc>
          <w:tcPr>
            <w:tcW w:w="1236" w:type="dxa"/>
          </w:tcPr>
          <w:p w14:paraId="0EC50E59"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i/>
                <w:sz w:val="18"/>
              </w:rPr>
              <w:t>Virškinimo trakto sutrikimai</w:t>
            </w:r>
          </w:p>
        </w:tc>
        <w:tc>
          <w:tcPr>
            <w:tcW w:w="1286" w:type="dxa"/>
          </w:tcPr>
          <w:p w14:paraId="38C42E45"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sz w:val="18"/>
              </w:rPr>
              <w:t>Burnos sausmė</w:t>
            </w:r>
          </w:p>
        </w:tc>
        <w:tc>
          <w:tcPr>
            <w:tcW w:w="1682" w:type="dxa"/>
          </w:tcPr>
          <w:p w14:paraId="592FE0E9"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sz w:val="18"/>
              </w:rPr>
              <w:t>Vidurių užkietėjimas</w:t>
            </w:r>
            <w:r w:rsidR="00425D19" w:rsidRPr="008A351A">
              <w:rPr>
                <w:rFonts w:ascii="Times New Roman" w:hAnsi="Times New Roman"/>
                <w:sz w:val="18"/>
              </w:rPr>
              <w:t>, d</w:t>
            </w:r>
            <w:r w:rsidRPr="008A351A">
              <w:rPr>
                <w:rFonts w:ascii="Times New Roman" w:hAnsi="Times New Roman"/>
                <w:sz w:val="18"/>
              </w:rPr>
              <w:t>i</w:t>
            </w:r>
            <w:r w:rsidR="00425D19" w:rsidRPr="008A351A">
              <w:rPr>
                <w:rFonts w:ascii="Times New Roman" w:hAnsi="Times New Roman"/>
                <w:sz w:val="18"/>
              </w:rPr>
              <w:t>spepsi</w:t>
            </w:r>
            <w:r w:rsidRPr="008A351A">
              <w:rPr>
                <w:rFonts w:ascii="Times New Roman" w:hAnsi="Times New Roman"/>
                <w:sz w:val="18"/>
              </w:rPr>
              <w:t>j</w:t>
            </w:r>
            <w:r w:rsidR="00425D19" w:rsidRPr="008A351A">
              <w:rPr>
                <w:rFonts w:ascii="Times New Roman" w:hAnsi="Times New Roman"/>
                <w:sz w:val="18"/>
              </w:rPr>
              <w:t xml:space="preserve">a, </w:t>
            </w:r>
            <w:r w:rsidR="00425D19" w:rsidRPr="008A351A">
              <w:rPr>
                <w:rFonts w:ascii="Times New Roman" w:hAnsi="Times New Roman" w:cs="Times New Roman"/>
                <w:sz w:val="18"/>
                <w:szCs w:val="18"/>
              </w:rPr>
              <w:t>v</w:t>
            </w:r>
            <w:r w:rsidRPr="008A351A">
              <w:rPr>
                <w:rFonts w:ascii="Times New Roman" w:hAnsi="Times New Roman" w:cs="Times New Roman"/>
                <w:sz w:val="18"/>
                <w:szCs w:val="18"/>
              </w:rPr>
              <w:t>ėmimas</w:t>
            </w:r>
            <w:r w:rsidR="00425D19" w:rsidRPr="008A351A">
              <w:rPr>
                <w:rFonts w:ascii="Times New Roman" w:hAnsi="Times New Roman" w:cs="Times New Roman"/>
                <w:sz w:val="18"/>
                <w:szCs w:val="18"/>
                <w:vertAlign w:val="superscript"/>
              </w:rPr>
              <w:t>25</w:t>
            </w:r>
          </w:p>
        </w:tc>
        <w:tc>
          <w:tcPr>
            <w:tcW w:w="1447" w:type="dxa"/>
          </w:tcPr>
          <w:p w14:paraId="1CD42E4D"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D</w:t>
            </w:r>
            <w:r w:rsidR="00182A01" w:rsidRPr="008A351A">
              <w:rPr>
                <w:rFonts w:ascii="Times New Roman" w:hAnsi="Times New Roman" w:cs="Times New Roman"/>
                <w:sz w:val="18"/>
                <w:szCs w:val="18"/>
              </w:rPr>
              <w:t>i</w:t>
            </w:r>
            <w:r w:rsidRPr="008A351A">
              <w:rPr>
                <w:rFonts w:ascii="Times New Roman" w:hAnsi="Times New Roman" w:cs="Times New Roman"/>
                <w:sz w:val="18"/>
                <w:szCs w:val="18"/>
              </w:rPr>
              <w:t>s</w:t>
            </w:r>
            <w:r w:rsidR="00182A01" w:rsidRPr="008A351A">
              <w:rPr>
                <w:rFonts w:ascii="Times New Roman" w:hAnsi="Times New Roman" w:cs="Times New Roman"/>
                <w:sz w:val="18"/>
                <w:szCs w:val="18"/>
              </w:rPr>
              <w:t>f</w:t>
            </w:r>
            <w:r w:rsidRPr="008A351A">
              <w:rPr>
                <w:rFonts w:ascii="Times New Roman" w:hAnsi="Times New Roman" w:cs="Times New Roman"/>
                <w:sz w:val="18"/>
                <w:szCs w:val="18"/>
              </w:rPr>
              <w:t>agi</w:t>
            </w:r>
            <w:r w:rsidR="00182A01" w:rsidRPr="008A351A">
              <w:rPr>
                <w:rFonts w:ascii="Times New Roman" w:hAnsi="Times New Roman" w:cs="Times New Roman"/>
                <w:sz w:val="18"/>
                <w:szCs w:val="18"/>
              </w:rPr>
              <w:t>j</w:t>
            </w:r>
            <w:r w:rsidRPr="008A351A">
              <w:rPr>
                <w:rFonts w:ascii="Times New Roman" w:hAnsi="Times New Roman" w:cs="Times New Roman"/>
                <w:sz w:val="18"/>
                <w:szCs w:val="18"/>
              </w:rPr>
              <w:t>a</w:t>
            </w:r>
            <w:r w:rsidRPr="008A351A">
              <w:rPr>
                <w:rFonts w:ascii="Times New Roman" w:hAnsi="Times New Roman" w:cs="Times New Roman"/>
                <w:sz w:val="18"/>
                <w:szCs w:val="18"/>
                <w:vertAlign w:val="superscript"/>
              </w:rPr>
              <w:t>7</w:t>
            </w:r>
          </w:p>
        </w:tc>
        <w:tc>
          <w:tcPr>
            <w:tcW w:w="1417" w:type="dxa"/>
          </w:tcPr>
          <w:p w14:paraId="130109C8"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Pan</w:t>
            </w:r>
            <w:r w:rsidR="00182A01" w:rsidRPr="008A351A">
              <w:rPr>
                <w:rFonts w:ascii="Times New Roman" w:hAnsi="Times New Roman"/>
                <w:sz w:val="18"/>
              </w:rPr>
              <w:t>kreatita</w:t>
            </w:r>
            <w:r w:rsidRPr="008A351A">
              <w:rPr>
                <w:rFonts w:ascii="Times New Roman" w:hAnsi="Times New Roman"/>
                <w:sz w:val="18"/>
              </w:rPr>
              <w:t>s</w:t>
            </w:r>
            <w:r w:rsidRPr="008A351A">
              <w:rPr>
                <w:rFonts w:ascii="Times New Roman" w:hAnsi="Times New Roman"/>
                <w:sz w:val="18"/>
                <w:vertAlign w:val="superscript"/>
              </w:rPr>
              <w:t>1</w:t>
            </w:r>
            <w:r w:rsidRPr="008A351A">
              <w:rPr>
                <w:rFonts w:ascii="Times New Roman" w:hAnsi="Times New Roman"/>
                <w:sz w:val="18"/>
              </w:rPr>
              <w:t xml:space="preserve">, </w:t>
            </w:r>
            <w:r w:rsidR="00182A01" w:rsidRPr="008A351A">
              <w:rPr>
                <w:rFonts w:ascii="Times New Roman" w:hAnsi="Times New Roman"/>
                <w:sz w:val="18"/>
              </w:rPr>
              <w:t xml:space="preserve">žarnų užsikimšimas </w:t>
            </w:r>
            <w:r w:rsidRPr="008A351A">
              <w:rPr>
                <w:rFonts w:ascii="Times New Roman" w:hAnsi="Times New Roman"/>
                <w:sz w:val="18"/>
              </w:rPr>
              <w:t xml:space="preserve">/ </w:t>
            </w:r>
            <w:r w:rsidR="00182A01" w:rsidRPr="008A351A">
              <w:rPr>
                <w:rFonts w:ascii="Times New Roman" w:hAnsi="Times New Roman"/>
                <w:sz w:val="18"/>
              </w:rPr>
              <w:t>nepraeinamumas</w:t>
            </w:r>
          </w:p>
        </w:tc>
        <w:tc>
          <w:tcPr>
            <w:tcW w:w="1270" w:type="dxa"/>
          </w:tcPr>
          <w:p w14:paraId="29E0EDE9" w14:textId="77777777" w:rsidR="00425D19" w:rsidRPr="008A351A" w:rsidRDefault="00425D19" w:rsidP="00B16D6F">
            <w:pPr>
              <w:spacing w:before="60" w:after="60"/>
              <w:rPr>
                <w:rFonts w:ascii="Times New Roman" w:hAnsi="Times New Roman"/>
                <w:i/>
                <w:sz w:val="18"/>
              </w:rPr>
            </w:pPr>
          </w:p>
        </w:tc>
        <w:tc>
          <w:tcPr>
            <w:tcW w:w="938" w:type="dxa"/>
          </w:tcPr>
          <w:p w14:paraId="3513DC96" w14:textId="77777777" w:rsidR="00425D19" w:rsidRPr="008A351A" w:rsidRDefault="00425D19" w:rsidP="00B16D6F">
            <w:pPr>
              <w:spacing w:before="60" w:after="60"/>
              <w:rPr>
                <w:rFonts w:ascii="Times New Roman" w:hAnsi="Times New Roman"/>
                <w:i/>
                <w:sz w:val="18"/>
              </w:rPr>
            </w:pPr>
          </w:p>
        </w:tc>
      </w:tr>
      <w:tr w:rsidR="00492B65" w:rsidRPr="008A351A" w14:paraId="73598497" w14:textId="77777777" w:rsidTr="0085707B">
        <w:trPr>
          <w:cantSplit/>
        </w:trPr>
        <w:tc>
          <w:tcPr>
            <w:tcW w:w="1236" w:type="dxa"/>
          </w:tcPr>
          <w:p w14:paraId="2D29088C"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i/>
                <w:sz w:val="18"/>
              </w:rPr>
              <w:t>Kepenų, tulžies pūslės ir latakų sutrikimai</w:t>
            </w:r>
          </w:p>
        </w:tc>
        <w:tc>
          <w:tcPr>
            <w:tcW w:w="1286" w:type="dxa"/>
          </w:tcPr>
          <w:p w14:paraId="1A39AC97" w14:textId="77777777" w:rsidR="00425D19" w:rsidRPr="008A351A" w:rsidRDefault="00425D19" w:rsidP="00B16D6F">
            <w:pPr>
              <w:spacing w:before="60" w:after="60"/>
              <w:rPr>
                <w:rFonts w:ascii="Times New Roman" w:hAnsi="Times New Roman"/>
                <w:i/>
                <w:sz w:val="18"/>
              </w:rPr>
            </w:pPr>
          </w:p>
        </w:tc>
        <w:tc>
          <w:tcPr>
            <w:tcW w:w="1682" w:type="dxa"/>
          </w:tcPr>
          <w:p w14:paraId="319EEC81" w14:textId="77777777" w:rsidR="00425D19" w:rsidRPr="008A351A" w:rsidRDefault="00182A01" w:rsidP="00B16D6F">
            <w:pPr>
              <w:spacing w:before="60" w:after="60"/>
              <w:rPr>
                <w:rFonts w:ascii="Times New Roman" w:hAnsi="Times New Roman"/>
                <w:i/>
                <w:sz w:val="18"/>
              </w:rPr>
            </w:pPr>
            <w:r w:rsidRPr="008A351A">
              <w:rPr>
                <w:rFonts w:ascii="Times New Roman" w:hAnsi="Times New Roman"/>
                <w:sz w:val="18"/>
              </w:rPr>
              <w:t>Alanino aminotransferazės (ALT) aktyvumo serume padidėjimas</w:t>
            </w:r>
            <w:r w:rsidR="00425D19" w:rsidRPr="008A351A">
              <w:rPr>
                <w:rFonts w:ascii="Times New Roman" w:hAnsi="Times New Roman"/>
                <w:sz w:val="18"/>
                <w:vertAlign w:val="superscript"/>
              </w:rPr>
              <w:t>3</w:t>
            </w:r>
            <w:r w:rsidRPr="008A351A">
              <w:rPr>
                <w:rFonts w:ascii="Times New Roman" w:hAnsi="Times New Roman" w:cs="Times New Roman"/>
                <w:sz w:val="18"/>
                <w:szCs w:val="18"/>
              </w:rPr>
              <w:t>,</w:t>
            </w:r>
            <w:r w:rsidRPr="008A351A">
              <w:rPr>
                <w:rFonts w:ascii="Times New Roman" w:hAnsi="Times New Roman"/>
                <w:sz w:val="18"/>
              </w:rPr>
              <w:t xml:space="preserve"> g</w:t>
            </w:r>
            <w:r w:rsidR="00425D19" w:rsidRPr="008A351A">
              <w:rPr>
                <w:rFonts w:ascii="Times New Roman" w:hAnsi="Times New Roman"/>
                <w:sz w:val="18"/>
              </w:rPr>
              <w:t xml:space="preserve">ama-GT </w:t>
            </w:r>
            <w:r w:rsidR="00F64986" w:rsidRPr="008A351A">
              <w:rPr>
                <w:rFonts w:ascii="Times New Roman" w:hAnsi="Times New Roman"/>
                <w:sz w:val="18"/>
              </w:rPr>
              <w:t>koncentracijos padidėjimas</w:t>
            </w:r>
            <w:r w:rsidR="00425D19" w:rsidRPr="008A351A">
              <w:rPr>
                <w:rFonts w:ascii="Times New Roman" w:hAnsi="Times New Roman"/>
                <w:sz w:val="18"/>
                <w:vertAlign w:val="superscript"/>
              </w:rPr>
              <w:t>3</w:t>
            </w:r>
          </w:p>
        </w:tc>
        <w:tc>
          <w:tcPr>
            <w:tcW w:w="1447" w:type="dxa"/>
          </w:tcPr>
          <w:p w14:paraId="38E3EDED" w14:textId="77777777" w:rsidR="00425D19" w:rsidRPr="008A351A" w:rsidRDefault="00F64986" w:rsidP="00B16D6F">
            <w:pPr>
              <w:spacing w:before="60" w:after="60"/>
              <w:rPr>
                <w:rFonts w:ascii="Times New Roman" w:hAnsi="Times New Roman"/>
                <w:i/>
                <w:sz w:val="18"/>
              </w:rPr>
            </w:pPr>
            <w:r w:rsidRPr="008A351A">
              <w:rPr>
                <w:rFonts w:ascii="Times New Roman" w:hAnsi="Times New Roman"/>
                <w:sz w:val="18"/>
              </w:rPr>
              <w:t>Aspartato aminotransferazės (AST) aktyvumo serume padidėjimas</w:t>
            </w:r>
            <w:r w:rsidR="00425D19" w:rsidRPr="008A351A">
              <w:rPr>
                <w:rFonts w:ascii="Times New Roman" w:hAnsi="Times New Roman"/>
                <w:sz w:val="18"/>
                <w:vertAlign w:val="superscript"/>
              </w:rPr>
              <w:t>3</w:t>
            </w:r>
          </w:p>
        </w:tc>
        <w:tc>
          <w:tcPr>
            <w:tcW w:w="1417" w:type="dxa"/>
          </w:tcPr>
          <w:p w14:paraId="1B2B6781" w14:textId="77777777" w:rsidR="00425D19" w:rsidRPr="008A351A" w:rsidRDefault="00F64986" w:rsidP="00B16D6F">
            <w:pPr>
              <w:spacing w:before="60" w:after="60"/>
              <w:rPr>
                <w:rFonts w:ascii="Times New Roman" w:hAnsi="Times New Roman"/>
                <w:i/>
                <w:sz w:val="18"/>
              </w:rPr>
            </w:pPr>
            <w:r w:rsidRPr="008A351A">
              <w:rPr>
                <w:rFonts w:ascii="Times New Roman" w:hAnsi="Times New Roman" w:cs="Times New Roman"/>
                <w:sz w:val="18"/>
                <w:szCs w:val="18"/>
              </w:rPr>
              <w:t>Gelta</w:t>
            </w:r>
            <w:r w:rsidR="00425D19" w:rsidRPr="008A351A">
              <w:rPr>
                <w:rFonts w:ascii="Times New Roman" w:hAnsi="Times New Roman" w:cs="Times New Roman"/>
                <w:sz w:val="18"/>
                <w:szCs w:val="18"/>
                <w:vertAlign w:val="superscript"/>
              </w:rPr>
              <w:t>5</w:t>
            </w:r>
            <w:r w:rsidRPr="008A351A">
              <w:rPr>
                <w:rFonts w:ascii="Times New Roman" w:hAnsi="Times New Roman" w:cs="Times New Roman"/>
                <w:sz w:val="18"/>
                <w:szCs w:val="18"/>
              </w:rPr>
              <w:t>, hepatita</w:t>
            </w:r>
            <w:r w:rsidR="00425D19" w:rsidRPr="008A351A">
              <w:rPr>
                <w:rFonts w:ascii="Times New Roman" w:hAnsi="Times New Roman" w:cs="Times New Roman"/>
                <w:sz w:val="18"/>
                <w:szCs w:val="18"/>
              </w:rPr>
              <w:t>s</w:t>
            </w:r>
          </w:p>
        </w:tc>
        <w:tc>
          <w:tcPr>
            <w:tcW w:w="1270" w:type="dxa"/>
          </w:tcPr>
          <w:p w14:paraId="6B2E8180" w14:textId="77777777" w:rsidR="00425D19" w:rsidRPr="008A351A" w:rsidRDefault="00425D19" w:rsidP="00B16D6F">
            <w:pPr>
              <w:spacing w:before="60" w:after="60"/>
              <w:rPr>
                <w:rFonts w:ascii="Times New Roman" w:hAnsi="Times New Roman"/>
                <w:i/>
                <w:sz w:val="18"/>
              </w:rPr>
            </w:pPr>
          </w:p>
        </w:tc>
        <w:tc>
          <w:tcPr>
            <w:tcW w:w="938" w:type="dxa"/>
          </w:tcPr>
          <w:p w14:paraId="722AE9D5" w14:textId="77777777" w:rsidR="00425D19" w:rsidRPr="008A351A" w:rsidRDefault="00425D19" w:rsidP="00B16D6F">
            <w:pPr>
              <w:spacing w:before="60" w:after="60"/>
              <w:rPr>
                <w:rFonts w:ascii="Times New Roman" w:hAnsi="Times New Roman"/>
                <w:i/>
                <w:sz w:val="18"/>
              </w:rPr>
            </w:pPr>
          </w:p>
        </w:tc>
      </w:tr>
      <w:tr w:rsidR="00492B65" w:rsidRPr="008A351A" w14:paraId="663E37B4" w14:textId="77777777" w:rsidTr="0085707B">
        <w:trPr>
          <w:cantSplit/>
        </w:trPr>
        <w:tc>
          <w:tcPr>
            <w:tcW w:w="1236" w:type="dxa"/>
          </w:tcPr>
          <w:p w14:paraId="4C408A91" w14:textId="77777777" w:rsidR="00425D19" w:rsidRPr="008A351A" w:rsidRDefault="00F64986" w:rsidP="00B16D6F">
            <w:pPr>
              <w:spacing w:before="60" w:after="60"/>
              <w:rPr>
                <w:rFonts w:ascii="Times New Roman" w:hAnsi="Times New Roman"/>
                <w:i/>
                <w:sz w:val="18"/>
              </w:rPr>
            </w:pPr>
            <w:r w:rsidRPr="008A351A">
              <w:rPr>
                <w:rFonts w:ascii="Times New Roman" w:hAnsi="Times New Roman"/>
                <w:i/>
                <w:sz w:val="18"/>
              </w:rPr>
              <w:t>Odos ir poodinio audinio sutrikimai</w:t>
            </w:r>
          </w:p>
        </w:tc>
        <w:tc>
          <w:tcPr>
            <w:tcW w:w="1286" w:type="dxa"/>
          </w:tcPr>
          <w:p w14:paraId="6310C44D" w14:textId="77777777" w:rsidR="00425D19" w:rsidRPr="008A351A" w:rsidRDefault="00425D19" w:rsidP="00B16D6F">
            <w:pPr>
              <w:spacing w:before="60" w:after="60"/>
              <w:rPr>
                <w:rFonts w:ascii="Times New Roman" w:hAnsi="Times New Roman"/>
                <w:i/>
                <w:sz w:val="18"/>
              </w:rPr>
            </w:pPr>
          </w:p>
        </w:tc>
        <w:tc>
          <w:tcPr>
            <w:tcW w:w="1682" w:type="dxa"/>
          </w:tcPr>
          <w:p w14:paraId="15479FD5" w14:textId="77777777" w:rsidR="00425D19" w:rsidRPr="008A351A" w:rsidRDefault="00425D19" w:rsidP="00B16D6F">
            <w:pPr>
              <w:spacing w:before="60" w:after="60"/>
              <w:rPr>
                <w:rFonts w:ascii="Times New Roman" w:hAnsi="Times New Roman"/>
                <w:i/>
                <w:sz w:val="18"/>
              </w:rPr>
            </w:pPr>
          </w:p>
        </w:tc>
        <w:tc>
          <w:tcPr>
            <w:tcW w:w="1447" w:type="dxa"/>
          </w:tcPr>
          <w:p w14:paraId="77CB6A65" w14:textId="77777777" w:rsidR="00425D19" w:rsidRPr="008A351A" w:rsidRDefault="00425D19" w:rsidP="00B16D6F">
            <w:pPr>
              <w:spacing w:before="60" w:after="60"/>
              <w:rPr>
                <w:rFonts w:ascii="Times New Roman" w:hAnsi="Times New Roman"/>
                <w:i/>
                <w:sz w:val="18"/>
              </w:rPr>
            </w:pPr>
          </w:p>
        </w:tc>
        <w:tc>
          <w:tcPr>
            <w:tcW w:w="1417" w:type="dxa"/>
          </w:tcPr>
          <w:p w14:paraId="51BD917D" w14:textId="77777777" w:rsidR="00425D19" w:rsidRPr="008A351A" w:rsidRDefault="00425D19" w:rsidP="00B16D6F">
            <w:pPr>
              <w:spacing w:before="60" w:after="60"/>
              <w:rPr>
                <w:rFonts w:ascii="Times New Roman" w:hAnsi="Times New Roman"/>
                <w:i/>
                <w:sz w:val="18"/>
              </w:rPr>
            </w:pPr>
          </w:p>
        </w:tc>
        <w:tc>
          <w:tcPr>
            <w:tcW w:w="1270" w:type="dxa"/>
          </w:tcPr>
          <w:p w14:paraId="7083385B" w14:textId="77777777" w:rsidR="00425D19" w:rsidRPr="008A351A" w:rsidRDefault="00425D19" w:rsidP="00B16D6F">
            <w:pPr>
              <w:spacing w:before="60" w:after="60"/>
              <w:rPr>
                <w:rFonts w:ascii="Times New Roman" w:hAnsi="Times New Roman"/>
                <w:i/>
                <w:sz w:val="18"/>
              </w:rPr>
            </w:pPr>
            <w:r w:rsidRPr="008A351A">
              <w:rPr>
                <w:rFonts w:ascii="Times New Roman" w:hAnsi="Times New Roman"/>
                <w:sz w:val="18"/>
              </w:rPr>
              <w:t>Angio</w:t>
            </w:r>
            <w:r w:rsidR="00F64986" w:rsidRPr="008A351A">
              <w:rPr>
                <w:rFonts w:ascii="Times New Roman" w:hAnsi="Times New Roman"/>
                <w:sz w:val="18"/>
              </w:rPr>
              <w:t xml:space="preserve">neurozinė </w:t>
            </w:r>
            <w:r w:rsidRPr="008A351A">
              <w:rPr>
                <w:rFonts w:ascii="Times New Roman" w:hAnsi="Times New Roman" w:cs="Times New Roman"/>
                <w:sz w:val="18"/>
                <w:szCs w:val="18"/>
              </w:rPr>
              <w:t>edema</w:t>
            </w:r>
            <w:r w:rsidRPr="008A351A">
              <w:rPr>
                <w:rFonts w:ascii="Times New Roman" w:hAnsi="Times New Roman" w:cs="Times New Roman"/>
                <w:sz w:val="18"/>
                <w:szCs w:val="18"/>
                <w:vertAlign w:val="superscript"/>
              </w:rPr>
              <w:t>5</w:t>
            </w:r>
            <w:r w:rsidRPr="008A351A">
              <w:rPr>
                <w:rFonts w:ascii="Times New Roman" w:hAnsi="Times New Roman" w:cs="Times New Roman"/>
                <w:sz w:val="18"/>
                <w:szCs w:val="18"/>
              </w:rPr>
              <w:t xml:space="preserve">, </w:t>
            </w:r>
            <w:r w:rsidR="00434403" w:rsidRPr="008A351A">
              <w:rPr>
                <w:rFonts w:ascii="Times New Roman" w:hAnsi="Times New Roman"/>
                <w:sz w:val="18"/>
              </w:rPr>
              <w:t>Stivenso</w:t>
            </w:r>
            <w:r w:rsidRPr="008A351A">
              <w:rPr>
                <w:rFonts w:ascii="Times New Roman" w:hAnsi="Times New Roman"/>
                <w:sz w:val="18"/>
              </w:rPr>
              <w:t>-</w:t>
            </w:r>
            <w:r w:rsidR="00434403" w:rsidRPr="008A351A">
              <w:rPr>
                <w:rFonts w:ascii="Times New Roman" w:hAnsi="Times New Roman"/>
                <w:sz w:val="18"/>
              </w:rPr>
              <w:t>Džonson</w:t>
            </w:r>
            <w:r w:rsidR="00F64986" w:rsidRPr="008A351A">
              <w:rPr>
                <w:rFonts w:ascii="Times New Roman" w:hAnsi="Times New Roman"/>
                <w:sz w:val="18"/>
              </w:rPr>
              <w:t>o</w:t>
            </w:r>
            <w:r w:rsidRPr="008A351A">
              <w:rPr>
                <w:rFonts w:ascii="Times New Roman" w:hAnsi="Times New Roman"/>
                <w:sz w:val="18"/>
              </w:rPr>
              <w:t xml:space="preserve"> </w:t>
            </w:r>
            <w:r w:rsidRPr="008A351A">
              <w:rPr>
                <w:rFonts w:ascii="Times New Roman" w:hAnsi="Times New Roman" w:cs="Times New Roman"/>
                <w:sz w:val="18"/>
                <w:szCs w:val="18"/>
              </w:rPr>
              <w:t>s</w:t>
            </w:r>
            <w:r w:rsidR="00F64986" w:rsidRPr="008A351A">
              <w:rPr>
                <w:rFonts w:ascii="Times New Roman" w:hAnsi="Times New Roman" w:cs="Times New Roman"/>
                <w:sz w:val="18"/>
                <w:szCs w:val="18"/>
              </w:rPr>
              <w:t>i</w:t>
            </w:r>
            <w:r w:rsidRPr="008A351A">
              <w:rPr>
                <w:rFonts w:ascii="Times New Roman" w:hAnsi="Times New Roman" w:cs="Times New Roman"/>
                <w:sz w:val="18"/>
                <w:szCs w:val="18"/>
              </w:rPr>
              <w:t>ndrom</w:t>
            </w:r>
            <w:r w:rsidR="00F64986" w:rsidRPr="008A351A">
              <w:rPr>
                <w:rFonts w:ascii="Times New Roman" w:hAnsi="Times New Roman" w:cs="Times New Roman"/>
                <w:sz w:val="18"/>
                <w:szCs w:val="18"/>
              </w:rPr>
              <w:t>as</w:t>
            </w:r>
            <w:r w:rsidRPr="008A351A">
              <w:rPr>
                <w:rFonts w:ascii="Times New Roman" w:hAnsi="Times New Roman" w:cs="Times New Roman"/>
                <w:sz w:val="18"/>
                <w:szCs w:val="18"/>
                <w:vertAlign w:val="superscript"/>
              </w:rPr>
              <w:t>5</w:t>
            </w:r>
          </w:p>
        </w:tc>
        <w:tc>
          <w:tcPr>
            <w:tcW w:w="938" w:type="dxa"/>
          </w:tcPr>
          <w:p w14:paraId="7515F3FD" w14:textId="7703968A" w:rsidR="00425D19" w:rsidRPr="008A351A" w:rsidRDefault="00425D19" w:rsidP="00B16D6F">
            <w:pPr>
              <w:spacing w:before="60" w:after="60"/>
              <w:rPr>
                <w:rFonts w:ascii="Times New Roman" w:hAnsi="Times New Roman"/>
                <w:i/>
                <w:sz w:val="18"/>
              </w:rPr>
            </w:pPr>
            <w:r w:rsidRPr="008A351A">
              <w:rPr>
                <w:rFonts w:ascii="Times New Roman" w:hAnsi="Times New Roman" w:cs="Times New Roman"/>
                <w:sz w:val="18"/>
                <w:szCs w:val="18"/>
              </w:rPr>
              <w:t>To</w:t>
            </w:r>
            <w:r w:rsidR="00F64986" w:rsidRPr="008A351A">
              <w:rPr>
                <w:rFonts w:ascii="Times New Roman" w:hAnsi="Times New Roman" w:cs="Times New Roman"/>
                <w:sz w:val="18"/>
                <w:szCs w:val="18"/>
              </w:rPr>
              <w:t>ksinė</w:t>
            </w:r>
            <w:r w:rsidRPr="008A351A">
              <w:rPr>
                <w:rFonts w:ascii="Times New Roman" w:hAnsi="Times New Roman" w:cs="Times New Roman"/>
                <w:sz w:val="18"/>
                <w:szCs w:val="18"/>
              </w:rPr>
              <w:t xml:space="preserve"> </w:t>
            </w:r>
            <w:r w:rsidR="00F64986" w:rsidRPr="008A351A">
              <w:rPr>
                <w:rFonts w:ascii="Times New Roman" w:hAnsi="Times New Roman" w:cs="Times New Roman"/>
                <w:sz w:val="18"/>
                <w:szCs w:val="18"/>
              </w:rPr>
              <w:t>e</w:t>
            </w:r>
            <w:r w:rsidRPr="008A351A">
              <w:rPr>
                <w:rFonts w:ascii="Times New Roman" w:hAnsi="Times New Roman" w:cs="Times New Roman"/>
                <w:sz w:val="18"/>
                <w:szCs w:val="18"/>
              </w:rPr>
              <w:t>piderm</w:t>
            </w:r>
            <w:r w:rsidR="00F64986" w:rsidRPr="008A351A">
              <w:rPr>
                <w:rFonts w:ascii="Times New Roman" w:hAnsi="Times New Roman" w:cs="Times New Roman"/>
                <w:sz w:val="18"/>
                <w:szCs w:val="18"/>
              </w:rPr>
              <w:t>i</w:t>
            </w:r>
            <w:r w:rsidR="001319ED">
              <w:rPr>
                <w:rFonts w:ascii="Times New Roman" w:hAnsi="Times New Roman" w:cs="Times New Roman"/>
                <w:sz w:val="18"/>
                <w:szCs w:val="18"/>
              </w:rPr>
              <w:t>o</w:t>
            </w:r>
            <w:r w:rsidR="00F64986" w:rsidRPr="008A351A">
              <w:rPr>
                <w:rFonts w:ascii="Times New Roman" w:hAnsi="Times New Roman" w:cs="Times New Roman"/>
                <w:sz w:val="18"/>
                <w:szCs w:val="18"/>
              </w:rPr>
              <w:t xml:space="preserve"> nekrolizė, </w:t>
            </w:r>
            <w:r w:rsidR="00325865">
              <w:rPr>
                <w:rFonts w:ascii="Times New Roman" w:hAnsi="Times New Roman" w:cs="Times New Roman"/>
                <w:sz w:val="18"/>
                <w:szCs w:val="18"/>
              </w:rPr>
              <w:t xml:space="preserve">duagiaformė </w:t>
            </w:r>
            <w:r w:rsidR="00F64986" w:rsidRPr="008A351A">
              <w:rPr>
                <w:rFonts w:ascii="Times New Roman" w:hAnsi="Times New Roman" w:cs="Times New Roman"/>
                <w:sz w:val="18"/>
                <w:szCs w:val="18"/>
              </w:rPr>
              <w:t>eritema</w:t>
            </w:r>
            <w:r w:rsidR="00896C8D" w:rsidRPr="008A351A">
              <w:rPr>
                <w:rFonts w:ascii="Times New Roman" w:hAnsi="Times New Roman" w:cs="Times New Roman"/>
                <w:sz w:val="18"/>
                <w:szCs w:val="18"/>
              </w:rPr>
              <w:t xml:space="preserve">, </w:t>
            </w:r>
            <w:r w:rsidR="00325865" w:rsidRPr="00325865">
              <w:rPr>
                <w:rFonts w:ascii="Times New Roman" w:hAnsi="Times New Roman" w:cs="Times New Roman"/>
                <w:sz w:val="18"/>
                <w:szCs w:val="18"/>
              </w:rPr>
              <w:t>ūmin</w:t>
            </w:r>
            <w:r w:rsidR="00325865">
              <w:rPr>
                <w:rFonts w:ascii="Times New Roman" w:hAnsi="Times New Roman" w:cs="Times New Roman"/>
                <w:sz w:val="18"/>
                <w:szCs w:val="18"/>
              </w:rPr>
              <w:t>ė</w:t>
            </w:r>
            <w:r w:rsidR="00325865" w:rsidRPr="00325865">
              <w:rPr>
                <w:rFonts w:ascii="Times New Roman" w:hAnsi="Times New Roman" w:cs="Times New Roman"/>
                <w:sz w:val="18"/>
                <w:szCs w:val="18"/>
              </w:rPr>
              <w:t xml:space="preserve"> generalizuot</w:t>
            </w:r>
            <w:r w:rsidR="00325865">
              <w:rPr>
                <w:rFonts w:ascii="Times New Roman" w:hAnsi="Times New Roman" w:cs="Times New Roman"/>
                <w:sz w:val="18"/>
                <w:szCs w:val="18"/>
              </w:rPr>
              <w:t xml:space="preserve">a </w:t>
            </w:r>
            <w:r w:rsidR="00325865" w:rsidRPr="00325865">
              <w:rPr>
                <w:rFonts w:ascii="Times New Roman" w:hAnsi="Times New Roman" w:cs="Times New Roman"/>
                <w:sz w:val="18"/>
                <w:szCs w:val="18"/>
              </w:rPr>
              <w:t>egzantemin</w:t>
            </w:r>
            <w:r w:rsidR="00325865">
              <w:rPr>
                <w:rFonts w:ascii="Times New Roman" w:hAnsi="Times New Roman" w:cs="Times New Roman"/>
                <w:sz w:val="18"/>
                <w:szCs w:val="18"/>
              </w:rPr>
              <w:t xml:space="preserve">ė </w:t>
            </w:r>
            <w:r w:rsidR="00325865" w:rsidRPr="00325865">
              <w:rPr>
                <w:rFonts w:ascii="Times New Roman" w:hAnsi="Times New Roman" w:cs="Times New Roman"/>
                <w:sz w:val="18"/>
                <w:szCs w:val="18"/>
              </w:rPr>
              <w:t>pustulioz</w:t>
            </w:r>
            <w:r w:rsidR="00325865">
              <w:rPr>
                <w:rFonts w:ascii="Times New Roman" w:hAnsi="Times New Roman" w:cs="Times New Roman"/>
                <w:sz w:val="18"/>
                <w:szCs w:val="18"/>
              </w:rPr>
              <w:t>ė</w:t>
            </w:r>
            <w:r w:rsidR="00325865" w:rsidRPr="00325865">
              <w:rPr>
                <w:rFonts w:ascii="Times New Roman" w:hAnsi="Times New Roman" w:cs="Times New Roman"/>
                <w:sz w:val="18"/>
                <w:szCs w:val="18"/>
              </w:rPr>
              <w:t xml:space="preserve"> (AGEP),</w:t>
            </w:r>
            <w:r w:rsidR="00013F36">
              <w:rPr>
                <w:rFonts w:ascii="Times New Roman" w:hAnsi="Times New Roman" w:cs="Times New Roman"/>
                <w:sz w:val="18"/>
                <w:szCs w:val="18"/>
              </w:rPr>
              <w:t xml:space="preserve"> </w:t>
            </w:r>
            <w:r w:rsidR="00896C8D" w:rsidRPr="008A351A">
              <w:rPr>
                <w:rFonts w:ascii="Times New Roman" w:hAnsi="Times New Roman"/>
                <w:sz w:val="18"/>
              </w:rPr>
              <w:t>vaisto sukeltas išbė</w:t>
            </w:r>
            <w:r w:rsidR="00CF2700" w:rsidRPr="008A351A">
              <w:rPr>
                <w:rFonts w:ascii="Times New Roman" w:hAnsi="Times New Roman"/>
                <w:sz w:val="18"/>
              </w:rPr>
              <w:t>r</w:t>
            </w:r>
            <w:r w:rsidR="00896C8D" w:rsidRPr="008A351A">
              <w:rPr>
                <w:rFonts w:ascii="Times New Roman" w:hAnsi="Times New Roman"/>
                <w:sz w:val="18"/>
              </w:rPr>
              <w:t>imas su eozinofilija ir sisteminiais simptomais (</w:t>
            </w:r>
            <w:r w:rsidR="00896C8D" w:rsidRPr="008A351A">
              <w:rPr>
                <w:rFonts w:ascii="Times New Roman" w:hAnsi="Times New Roman"/>
                <w:i/>
                <w:sz w:val="18"/>
              </w:rPr>
              <w:t>DRESS</w:t>
            </w:r>
            <w:r w:rsidR="00896C8D" w:rsidRPr="008A351A">
              <w:rPr>
                <w:rFonts w:ascii="Times New Roman" w:hAnsi="Times New Roman"/>
                <w:sz w:val="18"/>
              </w:rPr>
              <w:t>)</w:t>
            </w:r>
            <w:r w:rsidR="00B9789F">
              <w:rPr>
                <w:rFonts w:ascii="Times New Roman" w:hAnsi="Times New Roman"/>
                <w:sz w:val="18"/>
              </w:rPr>
              <w:t xml:space="preserve">, </w:t>
            </w:r>
            <w:r w:rsidR="00B9789F" w:rsidRPr="00B9789F">
              <w:rPr>
                <w:rFonts w:ascii="Times New Roman" w:hAnsi="Times New Roman"/>
                <w:sz w:val="18"/>
              </w:rPr>
              <w:t>odos vaskulitas</w:t>
            </w:r>
          </w:p>
        </w:tc>
      </w:tr>
      <w:tr w:rsidR="00492B65" w:rsidRPr="008A351A" w14:paraId="067850B0" w14:textId="77777777" w:rsidTr="0085707B">
        <w:trPr>
          <w:cantSplit/>
        </w:trPr>
        <w:tc>
          <w:tcPr>
            <w:tcW w:w="1236" w:type="dxa"/>
          </w:tcPr>
          <w:p w14:paraId="7BEBEBE6" w14:textId="77777777" w:rsidR="00425D19" w:rsidRPr="008A351A" w:rsidRDefault="00F64986" w:rsidP="00B16D6F">
            <w:pPr>
              <w:spacing w:before="60" w:after="60"/>
              <w:rPr>
                <w:rFonts w:ascii="Times New Roman" w:hAnsi="Times New Roman"/>
                <w:sz w:val="18"/>
              </w:rPr>
            </w:pPr>
            <w:r w:rsidRPr="008A351A">
              <w:rPr>
                <w:rFonts w:ascii="Times New Roman" w:hAnsi="Times New Roman"/>
                <w:i/>
                <w:sz w:val="18"/>
              </w:rPr>
              <w:t xml:space="preserve">Raumenų ir jungiamojo </w:t>
            </w:r>
            <w:r w:rsidRPr="008A351A">
              <w:rPr>
                <w:rFonts w:ascii="Times New Roman" w:hAnsi="Times New Roman" w:cs="Times New Roman"/>
                <w:i/>
                <w:iCs/>
                <w:sz w:val="18"/>
                <w:szCs w:val="18"/>
              </w:rPr>
              <w:t>audinio</w:t>
            </w:r>
            <w:r w:rsidRPr="008A351A">
              <w:rPr>
                <w:rFonts w:ascii="Times New Roman" w:hAnsi="Times New Roman"/>
                <w:i/>
                <w:sz w:val="18"/>
              </w:rPr>
              <w:t xml:space="preserve"> sutrikimai</w:t>
            </w:r>
          </w:p>
        </w:tc>
        <w:tc>
          <w:tcPr>
            <w:tcW w:w="1286" w:type="dxa"/>
          </w:tcPr>
          <w:p w14:paraId="24C5CBE5" w14:textId="77777777" w:rsidR="00425D19" w:rsidRPr="008A351A" w:rsidRDefault="00425D19" w:rsidP="00B16D6F">
            <w:pPr>
              <w:spacing w:before="60" w:after="60"/>
              <w:rPr>
                <w:rFonts w:ascii="Times New Roman" w:hAnsi="Times New Roman"/>
                <w:sz w:val="18"/>
              </w:rPr>
            </w:pPr>
          </w:p>
        </w:tc>
        <w:tc>
          <w:tcPr>
            <w:tcW w:w="1682" w:type="dxa"/>
          </w:tcPr>
          <w:p w14:paraId="532BD50D" w14:textId="77777777" w:rsidR="00425D19" w:rsidRPr="008A351A" w:rsidRDefault="00425D19" w:rsidP="00B16D6F">
            <w:pPr>
              <w:spacing w:before="60" w:after="60"/>
              <w:rPr>
                <w:rFonts w:ascii="Times New Roman" w:hAnsi="Times New Roman"/>
                <w:sz w:val="18"/>
              </w:rPr>
            </w:pPr>
          </w:p>
        </w:tc>
        <w:tc>
          <w:tcPr>
            <w:tcW w:w="1447" w:type="dxa"/>
          </w:tcPr>
          <w:p w14:paraId="53992ACA" w14:textId="77777777" w:rsidR="00425D19" w:rsidRPr="008A351A" w:rsidRDefault="00425D19" w:rsidP="00B16D6F">
            <w:pPr>
              <w:spacing w:before="60" w:after="60"/>
              <w:rPr>
                <w:rFonts w:ascii="Times New Roman" w:hAnsi="Times New Roman"/>
                <w:sz w:val="18"/>
              </w:rPr>
            </w:pPr>
          </w:p>
        </w:tc>
        <w:tc>
          <w:tcPr>
            <w:tcW w:w="1417" w:type="dxa"/>
          </w:tcPr>
          <w:p w14:paraId="360B63C5" w14:textId="77777777" w:rsidR="00425D19" w:rsidRPr="008A351A" w:rsidRDefault="00425D19" w:rsidP="00B16D6F">
            <w:pPr>
              <w:spacing w:before="60" w:after="60"/>
              <w:rPr>
                <w:rFonts w:ascii="Times New Roman" w:hAnsi="Times New Roman"/>
                <w:sz w:val="18"/>
              </w:rPr>
            </w:pPr>
          </w:p>
        </w:tc>
        <w:tc>
          <w:tcPr>
            <w:tcW w:w="1270" w:type="dxa"/>
          </w:tcPr>
          <w:p w14:paraId="6DFF54FB" w14:textId="77777777" w:rsidR="00425D19" w:rsidRPr="008A351A" w:rsidRDefault="00F64986" w:rsidP="00B16D6F">
            <w:pPr>
              <w:spacing w:before="60" w:after="60"/>
              <w:rPr>
                <w:rFonts w:ascii="Times New Roman" w:hAnsi="Times New Roman"/>
                <w:sz w:val="18"/>
              </w:rPr>
            </w:pPr>
            <w:r w:rsidRPr="008A351A">
              <w:rPr>
                <w:rFonts w:ascii="Times New Roman" w:hAnsi="Times New Roman"/>
                <w:sz w:val="18"/>
              </w:rPr>
              <w:t>R</w:t>
            </w:r>
            <w:r w:rsidR="00425D19" w:rsidRPr="008A351A">
              <w:rPr>
                <w:rFonts w:ascii="Times New Roman" w:hAnsi="Times New Roman"/>
                <w:sz w:val="18"/>
              </w:rPr>
              <w:t>abdom</w:t>
            </w:r>
            <w:r w:rsidRPr="008A351A">
              <w:rPr>
                <w:rFonts w:ascii="Times New Roman" w:hAnsi="Times New Roman"/>
                <w:sz w:val="18"/>
              </w:rPr>
              <w:t>i</w:t>
            </w:r>
            <w:r w:rsidR="00425D19" w:rsidRPr="008A351A">
              <w:rPr>
                <w:rFonts w:ascii="Times New Roman" w:hAnsi="Times New Roman"/>
                <w:sz w:val="18"/>
              </w:rPr>
              <w:t>ol</w:t>
            </w:r>
            <w:r w:rsidRPr="008A351A">
              <w:rPr>
                <w:rFonts w:ascii="Times New Roman" w:hAnsi="Times New Roman"/>
                <w:sz w:val="18"/>
              </w:rPr>
              <w:t>izė</w:t>
            </w:r>
          </w:p>
        </w:tc>
        <w:tc>
          <w:tcPr>
            <w:tcW w:w="938" w:type="dxa"/>
          </w:tcPr>
          <w:p w14:paraId="776C07E8" w14:textId="77777777" w:rsidR="00425D19" w:rsidRPr="008A351A" w:rsidRDefault="00425D19" w:rsidP="00B16D6F">
            <w:pPr>
              <w:spacing w:before="60" w:after="60"/>
              <w:rPr>
                <w:rFonts w:ascii="Times New Roman" w:hAnsi="Times New Roman"/>
                <w:sz w:val="18"/>
              </w:rPr>
            </w:pPr>
          </w:p>
        </w:tc>
      </w:tr>
      <w:tr w:rsidR="00492B65" w:rsidRPr="008A351A" w14:paraId="79BF6B18" w14:textId="77777777" w:rsidTr="0085707B">
        <w:tc>
          <w:tcPr>
            <w:tcW w:w="1236" w:type="dxa"/>
          </w:tcPr>
          <w:p w14:paraId="50BC17B9" w14:textId="77777777" w:rsidR="00425D19" w:rsidRPr="008A351A" w:rsidRDefault="00F64986" w:rsidP="00B16D6F">
            <w:pPr>
              <w:spacing w:before="60" w:after="60"/>
              <w:rPr>
                <w:rFonts w:ascii="Times New Roman" w:hAnsi="Times New Roman"/>
                <w:sz w:val="18"/>
              </w:rPr>
            </w:pPr>
            <w:r w:rsidRPr="008A351A">
              <w:rPr>
                <w:rFonts w:ascii="Times New Roman" w:hAnsi="Times New Roman"/>
                <w:i/>
                <w:sz w:val="18"/>
              </w:rPr>
              <w:t>Inkstų ir šlapimo takų sutrikimai</w:t>
            </w:r>
          </w:p>
        </w:tc>
        <w:tc>
          <w:tcPr>
            <w:tcW w:w="1286" w:type="dxa"/>
          </w:tcPr>
          <w:p w14:paraId="5AE6FF5A" w14:textId="77777777" w:rsidR="00425D19" w:rsidRPr="008A351A" w:rsidRDefault="00425D19" w:rsidP="00B16D6F">
            <w:pPr>
              <w:spacing w:before="60" w:after="60"/>
              <w:rPr>
                <w:rFonts w:ascii="Times New Roman" w:hAnsi="Times New Roman"/>
                <w:sz w:val="18"/>
              </w:rPr>
            </w:pPr>
          </w:p>
        </w:tc>
        <w:tc>
          <w:tcPr>
            <w:tcW w:w="1682" w:type="dxa"/>
          </w:tcPr>
          <w:p w14:paraId="6ADF1628" w14:textId="77777777" w:rsidR="00425D19" w:rsidRPr="008A351A" w:rsidRDefault="00425D19" w:rsidP="00B16D6F">
            <w:pPr>
              <w:spacing w:before="60" w:after="60"/>
              <w:rPr>
                <w:rFonts w:ascii="Times New Roman" w:hAnsi="Times New Roman"/>
                <w:sz w:val="18"/>
              </w:rPr>
            </w:pPr>
          </w:p>
        </w:tc>
        <w:tc>
          <w:tcPr>
            <w:tcW w:w="1447" w:type="dxa"/>
          </w:tcPr>
          <w:p w14:paraId="0B61DD0B" w14:textId="77777777" w:rsidR="00425D19" w:rsidRPr="008A351A" w:rsidRDefault="00F64986" w:rsidP="00B16D6F">
            <w:pPr>
              <w:spacing w:before="60" w:after="60"/>
              <w:rPr>
                <w:rFonts w:ascii="Times New Roman" w:hAnsi="Times New Roman"/>
                <w:sz w:val="18"/>
              </w:rPr>
            </w:pPr>
            <w:r w:rsidRPr="008A351A">
              <w:rPr>
                <w:rFonts w:ascii="Times New Roman" w:hAnsi="Times New Roman"/>
                <w:sz w:val="18"/>
              </w:rPr>
              <w:t>Šlapimo susilaikymas</w:t>
            </w:r>
          </w:p>
        </w:tc>
        <w:tc>
          <w:tcPr>
            <w:tcW w:w="1417" w:type="dxa"/>
          </w:tcPr>
          <w:p w14:paraId="4469A0AC" w14:textId="77777777" w:rsidR="00425D19" w:rsidRPr="008A351A" w:rsidRDefault="00425D19" w:rsidP="00B16D6F">
            <w:pPr>
              <w:spacing w:before="60" w:after="60"/>
              <w:rPr>
                <w:rFonts w:ascii="Times New Roman" w:hAnsi="Times New Roman"/>
                <w:sz w:val="18"/>
              </w:rPr>
            </w:pPr>
          </w:p>
        </w:tc>
        <w:tc>
          <w:tcPr>
            <w:tcW w:w="1270" w:type="dxa"/>
          </w:tcPr>
          <w:p w14:paraId="2345D0BC" w14:textId="77777777" w:rsidR="00425D19" w:rsidRPr="008A351A" w:rsidRDefault="00425D19" w:rsidP="00B16D6F">
            <w:pPr>
              <w:spacing w:before="60" w:after="60"/>
              <w:rPr>
                <w:rFonts w:ascii="Times New Roman" w:hAnsi="Times New Roman"/>
                <w:sz w:val="18"/>
              </w:rPr>
            </w:pPr>
          </w:p>
        </w:tc>
        <w:tc>
          <w:tcPr>
            <w:tcW w:w="938" w:type="dxa"/>
          </w:tcPr>
          <w:p w14:paraId="48658580" w14:textId="77777777" w:rsidR="00425D19" w:rsidRPr="008A351A" w:rsidRDefault="00425D19" w:rsidP="00B16D6F">
            <w:pPr>
              <w:spacing w:before="60" w:after="60"/>
              <w:rPr>
                <w:rFonts w:ascii="Times New Roman" w:hAnsi="Times New Roman"/>
                <w:sz w:val="18"/>
              </w:rPr>
            </w:pPr>
          </w:p>
        </w:tc>
      </w:tr>
      <w:tr w:rsidR="00492B65" w:rsidRPr="008A351A" w14:paraId="17642A96" w14:textId="77777777" w:rsidTr="0085707B">
        <w:trPr>
          <w:cantSplit/>
        </w:trPr>
        <w:tc>
          <w:tcPr>
            <w:tcW w:w="1236" w:type="dxa"/>
          </w:tcPr>
          <w:p w14:paraId="3F7C71A1" w14:textId="77777777" w:rsidR="00425D19" w:rsidRPr="008A351A" w:rsidRDefault="00F64986" w:rsidP="00B16D6F">
            <w:pPr>
              <w:spacing w:before="60" w:after="60"/>
              <w:rPr>
                <w:rFonts w:ascii="Times New Roman" w:hAnsi="Times New Roman"/>
                <w:i/>
                <w:sz w:val="18"/>
              </w:rPr>
            </w:pPr>
            <w:r w:rsidRPr="008A351A">
              <w:rPr>
                <w:rFonts w:ascii="Times New Roman" w:hAnsi="Times New Roman"/>
                <w:i/>
                <w:sz w:val="18"/>
              </w:rPr>
              <w:lastRenderedPageBreak/>
              <w:t>Būklės </w:t>
            </w:r>
            <w:r w:rsidRPr="008A351A">
              <w:rPr>
                <w:rFonts w:ascii="Times New Roman" w:hAnsi="Times New Roman" w:cs="Times New Roman"/>
                <w:i/>
                <w:iCs/>
                <w:sz w:val="18"/>
                <w:szCs w:val="18"/>
              </w:rPr>
              <w:t>nėštmo</w:t>
            </w:r>
            <w:r w:rsidRPr="008A351A">
              <w:rPr>
                <w:rFonts w:ascii="Times New Roman" w:hAnsi="Times New Roman"/>
                <w:i/>
                <w:sz w:val="18"/>
              </w:rPr>
              <w:t>, pogimdyminiu ir perinataliniu laikotarpiu</w:t>
            </w:r>
          </w:p>
        </w:tc>
        <w:tc>
          <w:tcPr>
            <w:tcW w:w="1286" w:type="dxa"/>
          </w:tcPr>
          <w:p w14:paraId="241FF559" w14:textId="77777777" w:rsidR="00425D19" w:rsidRPr="008A351A" w:rsidRDefault="00425D19" w:rsidP="00B16D6F">
            <w:pPr>
              <w:spacing w:before="60" w:after="60"/>
              <w:rPr>
                <w:rFonts w:ascii="Times New Roman" w:hAnsi="Times New Roman"/>
                <w:i/>
                <w:sz w:val="18"/>
              </w:rPr>
            </w:pPr>
          </w:p>
        </w:tc>
        <w:tc>
          <w:tcPr>
            <w:tcW w:w="1682" w:type="dxa"/>
          </w:tcPr>
          <w:p w14:paraId="79141239" w14:textId="77777777" w:rsidR="00425D19" w:rsidRPr="008A351A" w:rsidRDefault="00425D19" w:rsidP="00B16D6F">
            <w:pPr>
              <w:spacing w:before="60" w:after="60"/>
              <w:rPr>
                <w:rFonts w:ascii="Times New Roman" w:hAnsi="Times New Roman"/>
                <w:i/>
                <w:sz w:val="18"/>
              </w:rPr>
            </w:pPr>
          </w:p>
        </w:tc>
        <w:tc>
          <w:tcPr>
            <w:tcW w:w="1447" w:type="dxa"/>
          </w:tcPr>
          <w:p w14:paraId="120C0C12" w14:textId="77777777" w:rsidR="00425D19" w:rsidRPr="008A351A" w:rsidRDefault="00425D19" w:rsidP="00B16D6F">
            <w:pPr>
              <w:spacing w:before="60" w:after="60"/>
              <w:rPr>
                <w:rFonts w:ascii="Times New Roman" w:hAnsi="Times New Roman"/>
                <w:i/>
                <w:sz w:val="18"/>
              </w:rPr>
            </w:pPr>
          </w:p>
        </w:tc>
        <w:tc>
          <w:tcPr>
            <w:tcW w:w="1417" w:type="dxa"/>
          </w:tcPr>
          <w:p w14:paraId="7337CFA6" w14:textId="77777777" w:rsidR="00425D19" w:rsidRPr="008A351A" w:rsidRDefault="00425D19" w:rsidP="00B16D6F">
            <w:pPr>
              <w:spacing w:before="60" w:after="60"/>
              <w:rPr>
                <w:rFonts w:ascii="Times New Roman" w:hAnsi="Times New Roman"/>
                <w:i/>
                <w:sz w:val="18"/>
              </w:rPr>
            </w:pPr>
          </w:p>
        </w:tc>
        <w:tc>
          <w:tcPr>
            <w:tcW w:w="1270" w:type="dxa"/>
          </w:tcPr>
          <w:p w14:paraId="3F260D97" w14:textId="77777777" w:rsidR="00425D19" w:rsidRPr="008A351A" w:rsidRDefault="00425D19" w:rsidP="00B16D6F">
            <w:pPr>
              <w:spacing w:before="60" w:after="60"/>
              <w:rPr>
                <w:rFonts w:ascii="Times New Roman" w:hAnsi="Times New Roman"/>
                <w:i/>
                <w:sz w:val="18"/>
              </w:rPr>
            </w:pPr>
          </w:p>
        </w:tc>
        <w:tc>
          <w:tcPr>
            <w:tcW w:w="938" w:type="dxa"/>
          </w:tcPr>
          <w:p w14:paraId="31E41E1E" w14:textId="77777777" w:rsidR="00425D19" w:rsidRPr="008A351A" w:rsidRDefault="00C33C6C" w:rsidP="00B16D6F">
            <w:pPr>
              <w:spacing w:before="60" w:after="60"/>
              <w:rPr>
                <w:rFonts w:ascii="Times New Roman" w:hAnsi="Times New Roman"/>
                <w:sz w:val="18"/>
              </w:rPr>
            </w:pPr>
            <w:r w:rsidRPr="008A351A">
              <w:rPr>
                <w:rFonts w:ascii="Times New Roman" w:hAnsi="Times New Roman"/>
                <w:sz w:val="18"/>
              </w:rPr>
              <w:t xml:space="preserve">Naujagimio </w:t>
            </w:r>
            <w:r w:rsidRPr="008A351A">
              <w:rPr>
                <w:rFonts w:ascii="Times New Roman" w:hAnsi="Times New Roman" w:cs="Times New Roman"/>
                <w:sz w:val="18"/>
                <w:szCs w:val="18"/>
              </w:rPr>
              <w:t>vaist</w:t>
            </w:r>
            <w:r w:rsidR="00F64986" w:rsidRPr="008A351A">
              <w:rPr>
                <w:rFonts w:ascii="Times New Roman" w:hAnsi="Times New Roman" w:cs="Times New Roman"/>
                <w:sz w:val="18"/>
                <w:szCs w:val="18"/>
              </w:rPr>
              <w:t>ų vartojimo</w:t>
            </w:r>
            <w:r w:rsidR="00F64986" w:rsidRPr="008A351A">
              <w:rPr>
                <w:rFonts w:ascii="Times New Roman" w:hAnsi="Times New Roman"/>
                <w:sz w:val="18"/>
              </w:rPr>
              <w:t xml:space="preserve"> nutraukimo </w:t>
            </w:r>
            <w:r w:rsidR="00F64986" w:rsidRPr="008A351A">
              <w:rPr>
                <w:rFonts w:ascii="Times New Roman" w:hAnsi="Times New Roman" w:cs="Times New Roman"/>
                <w:sz w:val="18"/>
                <w:szCs w:val="18"/>
              </w:rPr>
              <w:t>sindromas</w:t>
            </w:r>
            <w:r w:rsidR="00425D19" w:rsidRPr="008A351A">
              <w:rPr>
                <w:rFonts w:ascii="Times New Roman" w:hAnsi="Times New Roman" w:cs="Times New Roman"/>
                <w:sz w:val="18"/>
                <w:szCs w:val="18"/>
                <w:vertAlign w:val="superscript"/>
              </w:rPr>
              <w:t>31</w:t>
            </w:r>
          </w:p>
        </w:tc>
      </w:tr>
      <w:tr w:rsidR="00492B65" w:rsidRPr="008A351A" w14:paraId="521D39AC" w14:textId="77777777" w:rsidTr="0085707B">
        <w:trPr>
          <w:cantSplit/>
        </w:trPr>
        <w:tc>
          <w:tcPr>
            <w:tcW w:w="1236" w:type="dxa"/>
          </w:tcPr>
          <w:p w14:paraId="78C26D1E"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i/>
                <w:sz w:val="18"/>
              </w:rPr>
              <w:t>Lytinės sistemos ir krūties sutrikimai</w:t>
            </w:r>
          </w:p>
        </w:tc>
        <w:tc>
          <w:tcPr>
            <w:tcW w:w="1286" w:type="dxa"/>
          </w:tcPr>
          <w:p w14:paraId="55E113AE" w14:textId="77777777" w:rsidR="00425D19" w:rsidRPr="008A351A" w:rsidRDefault="00425D19" w:rsidP="00B16D6F">
            <w:pPr>
              <w:spacing w:before="60" w:after="60"/>
              <w:rPr>
                <w:rFonts w:ascii="Times New Roman" w:hAnsi="Times New Roman"/>
                <w:i/>
                <w:sz w:val="18"/>
              </w:rPr>
            </w:pPr>
          </w:p>
        </w:tc>
        <w:tc>
          <w:tcPr>
            <w:tcW w:w="1682" w:type="dxa"/>
          </w:tcPr>
          <w:p w14:paraId="36BCD6C0" w14:textId="77777777" w:rsidR="00425D19" w:rsidRPr="008A351A" w:rsidRDefault="00425D19" w:rsidP="00B16D6F">
            <w:pPr>
              <w:spacing w:before="60" w:after="60"/>
              <w:rPr>
                <w:rFonts w:ascii="Times New Roman" w:hAnsi="Times New Roman"/>
                <w:i/>
                <w:sz w:val="18"/>
              </w:rPr>
            </w:pPr>
          </w:p>
        </w:tc>
        <w:tc>
          <w:tcPr>
            <w:tcW w:w="1447" w:type="dxa"/>
          </w:tcPr>
          <w:p w14:paraId="058743BE"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sz w:val="18"/>
              </w:rPr>
              <w:t>Lytinės funkcijos sutrikimas</w:t>
            </w:r>
          </w:p>
        </w:tc>
        <w:tc>
          <w:tcPr>
            <w:tcW w:w="1417" w:type="dxa"/>
          </w:tcPr>
          <w:p w14:paraId="313E8825"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sz w:val="18"/>
              </w:rPr>
              <w:t>Priapizmas, galaktorėja, krūtų ištinimas, menstruacijų sutrikimai</w:t>
            </w:r>
          </w:p>
        </w:tc>
        <w:tc>
          <w:tcPr>
            <w:tcW w:w="1270" w:type="dxa"/>
          </w:tcPr>
          <w:p w14:paraId="46F9CF27" w14:textId="77777777" w:rsidR="00425D19" w:rsidRPr="008A351A" w:rsidRDefault="00425D19" w:rsidP="00B16D6F">
            <w:pPr>
              <w:spacing w:before="60" w:after="60"/>
              <w:rPr>
                <w:rFonts w:ascii="Times New Roman" w:hAnsi="Times New Roman"/>
                <w:i/>
                <w:sz w:val="18"/>
              </w:rPr>
            </w:pPr>
          </w:p>
        </w:tc>
        <w:tc>
          <w:tcPr>
            <w:tcW w:w="938" w:type="dxa"/>
          </w:tcPr>
          <w:p w14:paraId="788CF198" w14:textId="77777777" w:rsidR="00425D19" w:rsidRPr="008A351A" w:rsidRDefault="00425D19" w:rsidP="00B16D6F">
            <w:pPr>
              <w:spacing w:before="60" w:after="60"/>
              <w:rPr>
                <w:rFonts w:ascii="Times New Roman" w:hAnsi="Times New Roman"/>
                <w:i/>
                <w:sz w:val="18"/>
              </w:rPr>
            </w:pPr>
          </w:p>
        </w:tc>
      </w:tr>
      <w:tr w:rsidR="00492B65" w:rsidRPr="008A351A" w14:paraId="5BD6E05E" w14:textId="77777777" w:rsidTr="0085707B">
        <w:trPr>
          <w:cantSplit/>
        </w:trPr>
        <w:tc>
          <w:tcPr>
            <w:tcW w:w="1236" w:type="dxa"/>
          </w:tcPr>
          <w:p w14:paraId="463A533A"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i/>
                <w:sz w:val="18"/>
              </w:rPr>
              <w:t>Bendrieji sutrikimai ir vartojimo vietos pažeidimai</w:t>
            </w:r>
          </w:p>
        </w:tc>
        <w:tc>
          <w:tcPr>
            <w:tcW w:w="1286" w:type="dxa"/>
          </w:tcPr>
          <w:p w14:paraId="4697A672" w14:textId="77777777" w:rsidR="00425D19" w:rsidRPr="008A351A" w:rsidRDefault="00C33C6C" w:rsidP="00B16D6F">
            <w:pPr>
              <w:spacing w:before="60" w:after="60"/>
              <w:rPr>
                <w:rFonts w:ascii="Times New Roman" w:hAnsi="Times New Roman"/>
                <w:sz w:val="18"/>
              </w:rPr>
            </w:pPr>
            <w:r w:rsidRPr="008A351A">
              <w:rPr>
                <w:rFonts w:ascii="Times New Roman" w:hAnsi="Times New Roman"/>
                <w:sz w:val="18"/>
              </w:rPr>
              <w:t>Nutraukimo</w:t>
            </w:r>
            <w:r w:rsidR="00425D19" w:rsidRPr="008A351A">
              <w:rPr>
                <w:rFonts w:ascii="Times New Roman" w:hAnsi="Times New Roman" w:cs="Times New Roman"/>
                <w:sz w:val="18"/>
                <w:szCs w:val="18"/>
              </w:rPr>
              <w:t> (</w:t>
            </w:r>
            <w:r w:rsidRPr="008A351A">
              <w:rPr>
                <w:rFonts w:ascii="Times New Roman" w:hAnsi="Times New Roman" w:cs="Times New Roman"/>
                <w:sz w:val="18"/>
                <w:szCs w:val="18"/>
              </w:rPr>
              <w:t>nebevartojimo</w:t>
            </w:r>
            <w:r w:rsidR="00425D19" w:rsidRPr="008A351A">
              <w:rPr>
                <w:rFonts w:ascii="Times New Roman" w:hAnsi="Times New Roman" w:cs="Times New Roman"/>
                <w:sz w:val="18"/>
                <w:szCs w:val="18"/>
              </w:rPr>
              <w:t>)</w:t>
            </w:r>
            <w:r w:rsidR="00425D19" w:rsidRPr="008A351A">
              <w:rPr>
                <w:rFonts w:ascii="Times New Roman" w:hAnsi="Times New Roman"/>
                <w:sz w:val="18"/>
              </w:rPr>
              <w:t xml:space="preserve"> s</w:t>
            </w:r>
            <w:r w:rsidRPr="008A351A">
              <w:rPr>
                <w:rFonts w:ascii="Times New Roman" w:hAnsi="Times New Roman"/>
                <w:sz w:val="18"/>
              </w:rPr>
              <w:t>i</w:t>
            </w:r>
            <w:r w:rsidR="00425D19" w:rsidRPr="008A351A">
              <w:rPr>
                <w:rFonts w:ascii="Times New Roman" w:hAnsi="Times New Roman"/>
                <w:sz w:val="18"/>
              </w:rPr>
              <w:t>mptom</w:t>
            </w:r>
            <w:r w:rsidRPr="008A351A">
              <w:rPr>
                <w:rFonts w:ascii="Times New Roman" w:hAnsi="Times New Roman"/>
                <w:sz w:val="18"/>
              </w:rPr>
              <w:t>ai</w:t>
            </w:r>
            <w:r w:rsidR="00425D19" w:rsidRPr="008A351A">
              <w:rPr>
                <w:rFonts w:ascii="Times New Roman" w:hAnsi="Times New Roman"/>
                <w:sz w:val="18"/>
                <w:vertAlign w:val="superscript"/>
              </w:rPr>
              <w:t>1,</w:t>
            </w:r>
            <w:r w:rsidR="00425D19" w:rsidRPr="008A351A">
              <w:rPr>
                <w:rFonts w:ascii="Times New Roman" w:hAnsi="Times New Roman" w:cs="Times New Roman"/>
                <w:sz w:val="18"/>
                <w:szCs w:val="18"/>
                <w:vertAlign w:val="superscript"/>
              </w:rPr>
              <w:t>9</w:t>
            </w:r>
          </w:p>
        </w:tc>
        <w:tc>
          <w:tcPr>
            <w:tcW w:w="1682" w:type="dxa"/>
          </w:tcPr>
          <w:p w14:paraId="42D93D1A"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sz w:val="18"/>
              </w:rPr>
              <w:t>Lengva astenija, periferinė edema, dirglumas, pireksija</w:t>
            </w:r>
          </w:p>
        </w:tc>
        <w:tc>
          <w:tcPr>
            <w:tcW w:w="1447" w:type="dxa"/>
          </w:tcPr>
          <w:p w14:paraId="2309F88C" w14:textId="77777777" w:rsidR="00425D19" w:rsidRPr="008A351A" w:rsidRDefault="00425D19" w:rsidP="00B16D6F">
            <w:pPr>
              <w:spacing w:before="60" w:after="60"/>
              <w:rPr>
                <w:rFonts w:ascii="Times New Roman" w:hAnsi="Times New Roman"/>
                <w:i/>
                <w:sz w:val="18"/>
              </w:rPr>
            </w:pPr>
          </w:p>
        </w:tc>
        <w:tc>
          <w:tcPr>
            <w:tcW w:w="1417" w:type="dxa"/>
          </w:tcPr>
          <w:p w14:paraId="5090CE21"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sz w:val="18"/>
              </w:rPr>
              <w:t xml:space="preserve">Piktybinis </w:t>
            </w:r>
            <w:r w:rsidRPr="008A351A">
              <w:rPr>
                <w:rFonts w:ascii="Times New Roman" w:hAnsi="Times New Roman" w:cs="Times New Roman"/>
                <w:sz w:val="18"/>
                <w:szCs w:val="18"/>
              </w:rPr>
              <w:t>neuroleptinis</w:t>
            </w:r>
            <w:r w:rsidRPr="008A351A">
              <w:rPr>
                <w:rFonts w:ascii="Times New Roman" w:hAnsi="Times New Roman"/>
                <w:sz w:val="18"/>
              </w:rPr>
              <w:t xml:space="preserve"> sindromas</w:t>
            </w:r>
            <w:r w:rsidR="00425D19" w:rsidRPr="008A351A">
              <w:rPr>
                <w:rFonts w:ascii="Times New Roman" w:hAnsi="Times New Roman"/>
                <w:sz w:val="18"/>
                <w:vertAlign w:val="superscript"/>
              </w:rPr>
              <w:t>1</w:t>
            </w:r>
            <w:r w:rsidR="00425D19" w:rsidRPr="008A351A">
              <w:rPr>
                <w:rFonts w:ascii="Times New Roman" w:hAnsi="Times New Roman"/>
                <w:sz w:val="18"/>
              </w:rPr>
              <w:t>, h</w:t>
            </w:r>
            <w:r w:rsidRPr="008A351A">
              <w:rPr>
                <w:rFonts w:ascii="Times New Roman" w:hAnsi="Times New Roman"/>
                <w:sz w:val="18"/>
              </w:rPr>
              <w:t>i</w:t>
            </w:r>
            <w:r w:rsidR="00425D19" w:rsidRPr="008A351A">
              <w:rPr>
                <w:rFonts w:ascii="Times New Roman" w:hAnsi="Times New Roman"/>
                <w:sz w:val="18"/>
              </w:rPr>
              <w:t>potermi</w:t>
            </w:r>
            <w:r w:rsidRPr="008A351A">
              <w:rPr>
                <w:rFonts w:ascii="Times New Roman" w:hAnsi="Times New Roman"/>
                <w:sz w:val="18"/>
              </w:rPr>
              <w:t>j</w:t>
            </w:r>
            <w:r w:rsidR="00425D19" w:rsidRPr="008A351A">
              <w:rPr>
                <w:rFonts w:ascii="Times New Roman" w:hAnsi="Times New Roman"/>
                <w:sz w:val="18"/>
              </w:rPr>
              <w:t>a</w:t>
            </w:r>
          </w:p>
        </w:tc>
        <w:tc>
          <w:tcPr>
            <w:tcW w:w="1270" w:type="dxa"/>
          </w:tcPr>
          <w:p w14:paraId="5E409576" w14:textId="77777777" w:rsidR="00425D19" w:rsidRPr="008A351A" w:rsidRDefault="00425D19" w:rsidP="00B16D6F">
            <w:pPr>
              <w:spacing w:before="60" w:after="60"/>
              <w:rPr>
                <w:rFonts w:ascii="Times New Roman" w:hAnsi="Times New Roman"/>
                <w:i/>
                <w:sz w:val="18"/>
              </w:rPr>
            </w:pPr>
          </w:p>
        </w:tc>
        <w:tc>
          <w:tcPr>
            <w:tcW w:w="938" w:type="dxa"/>
          </w:tcPr>
          <w:p w14:paraId="6EB2C906" w14:textId="77777777" w:rsidR="00425D19" w:rsidRPr="008A351A" w:rsidRDefault="00425D19" w:rsidP="00B16D6F">
            <w:pPr>
              <w:spacing w:before="60" w:after="60"/>
              <w:rPr>
                <w:rFonts w:ascii="Times New Roman" w:hAnsi="Times New Roman"/>
                <w:sz w:val="18"/>
              </w:rPr>
            </w:pPr>
          </w:p>
        </w:tc>
      </w:tr>
      <w:tr w:rsidR="00492B65" w:rsidRPr="008A351A" w14:paraId="3C8988DA" w14:textId="77777777" w:rsidTr="0085707B">
        <w:trPr>
          <w:cantSplit/>
        </w:trPr>
        <w:tc>
          <w:tcPr>
            <w:tcW w:w="1236" w:type="dxa"/>
          </w:tcPr>
          <w:p w14:paraId="5D6A5348"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i/>
                <w:sz w:val="18"/>
              </w:rPr>
              <w:t>Tyrimai</w:t>
            </w:r>
          </w:p>
        </w:tc>
        <w:tc>
          <w:tcPr>
            <w:tcW w:w="1286" w:type="dxa"/>
          </w:tcPr>
          <w:p w14:paraId="5309E8E4" w14:textId="77777777" w:rsidR="00425D19" w:rsidRPr="008A351A" w:rsidRDefault="00425D19" w:rsidP="00B16D6F">
            <w:pPr>
              <w:spacing w:before="60" w:after="60"/>
              <w:rPr>
                <w:rFonts w:ascii="Times New Roman" w:hAnsi="Times New Roman"/>
                <w:i/>
                <w:sz w:val="18"/>
              </w:rPr>
            </w:pPr>
          </w:p>
        </w:tc>
        <w:tc>
          <w:tcPr>
            <w:tcW w:w="1682" w:type="dxa"/>
          </w:tcPr>
          <w:p w14:paraId="3E3856B5" w14:textId="77777777" w:rsidR="00425D19" w:rsidRPr="008A351A" w:rsidRDefault="00425D19" w:rsidP="00B16D6F">
            <w:pPr>
              <w:spacing w:before="60" w:after="60"/>
              <w:rPr>
                <w:rFonts w:ascii="Times New Roman" w:hAnsi="Times New Roman"/>
                <w:i/>
                <w:sz w:val="18"/>
              </w:rPr>
            </w:pPr>
          </w:p>
        </w:tc>
        <w:tc>
          <w:tcPr>
            <w:tcW w:w="1447" w:type="dxa"/>
          </w:tcPr>
          <w:p w14:paraId="12633C77" w14:textId="77777777" w:rsidR="00425D19" w:rsidRPr="008A351A" w:rsidRDefault="00425D19" w:rsidP="00B16D6F">
            <w:pPr>
              <w:spacing w:before="60" w:after="60"/>
              <w:rPr>
                <w:rFonts w:ascii="Times New Roman" w:hAnsi="Times New Roman"/>
                <w:i/>
                <w:sz w:val="18"/>
              </w:rPr>
            </w:pPr>
          </w:p>
        </w:tc>
        <w:tc>
          <w:tcPr>
            <w:tcW w:w="1417" w:type="dxa"/>
          </w:tcPr>
          <w:p w14:paraId="04136B7D" w14:textId="77777777" w:rsidR="00425D19" w:rsidRPr="008A351A" w:rsidRDefault="00C33C6C" w:rsidP="00B16D6F">
            <w:pPr>
              <w:spacing w:before="60" w:after="60"/>
              <w:rPr>
                <w:rFonts w:ascii="Times New Roman" w:hAnsi="Times New Roman"/>
                <w:i/>
                <w:sz w:val="18"/>
              </w:rPr>
            </w:pPr>
            <w:r w:rsidRPr="008A351A">
              <w:rPr>
                <w:rFonts w:ascii="Times New Roman" w:hAnsi="Times New Roman"/>
                <w:sz w:val="18"/>
              </w:rPr>
              <w:t xml:space="preserve">Kreatinino fosfokinazės kiekio kraujyje </w:t>
            </w:r>
            <w:r w:rsidRPr="008A351A">
              <w:rPr>
                <w:rFonts w:ascii="Times New Roman" w:hAnsi="Times New Roman" w:cs="Times New Roman"/>
                <w:sz w:val="18"/>
                <w:szCs w:val="18"/>
              </w:rPr>
              <w:t>padidėjimas</w:t>
            </w:r>
            <w:r w:rsidR="00425D19" w:rsidRPr="008A351A">
              <w:rPr>
                <w:rFonts w:ascii="Times New Roman" w:hAnsi="Times New Roman" w:cs="Times New Roman"/>
                <w:sz w:val="18"/>
                <w:szCs w:val="18"/>
                <w:vertAlign w:val="superscript"/>
              </w:rPr>
              <w:t>14</w:t>
            </w:r>
          </w:p>
        </w:tc>
        <w:tc>
          <w:tcPr>
            <w:tcW w:w="1270" w:type="dxa"/>
          </w:tcPr>
          <w:p w14:paraId="780F4E1C" w14:textId="77777777" w:rsidR="00425D19" w:rsidRPr="008A351A" w:rsidRDefault="00425D19" w:rsidP="00B16D6F">
            <w:pPr>
              <w:spacing w:before="60" w:after="60"/>
              <w:rPr>
                <w:rFonts w:ascii="Times New Roman" w:hAnsi="Times New Roman"/>
                <w:i/>
                <w:sz w:val="18"/>
              </w:rPr>
            </w:pPr>
          </w:p>
        </w:tc>
        <w:tc>
          <w:tcPr>
            <w:tcW w:w="938" w:type="dxa"/>
          </w:tcPr>
          <w:p w14:paraId="7E346EBF" w14:textId="77777777" w:rsidR="00425D19" w:rsidRPr="008A351A" w:rsidRDefault="00425D19" w:rsidP="00B16D6F">
            <w:pPr>
              <w:spacing w:before="60" w:after="60"/>
              <w:rPr>
                <w:rFonts w:ascii="Times New Roman" w:hAnsi="Times New Roman"/>
                <w:i/>
                <w:sz w:val="18"/>
              </w:rPr>
            </w:pPr>
          </w:p>
        </w:tc>
      </w:tr>
    </w:tbl>
    <w:p w14:paraId="0353E997" w14:textId="77777777" w:rsidR="00425D19" w:rsidRPr="008A351A" w:rsidRDefault="00425D19" w:rsidP="00425D19">
      <w:pPr>
        <w:tabs>
          <w:tab w:val="left" w:pos="567"/>
        </w:tabs>
        <w:spacing w:after="0" w:line="240" w:lineRule="auto"/>
        <w:rPr>
          <w:rFonts w:ascii="Times New Roman" w:eastAsia="Times New Roman" w:hAnsi="Times New Roman" w:cs="Times New Roman"/>
        </w:rPr>
      </w:pPr>
    </w:p>
    <w:p w14:paraId="453509E4" w14:textId="77777777" w:rsidR="009501EF" w:rsidRPr="008A351A" w:rsidRDefault="00425D19" w:rsidP="00425D19">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 </w:t>
      </w:r>
      <w:r w:rsidR="009501EF" w:rsidRPr="008A351A">
        <w:rPr>
          <w:rFonts w:ascii="Times New Roman" w:eastAsia="Times New Roman" w:hAnsi="Times New Roman" w:cs="Times New Roman"/>
        </w:rPr>
        <w:t>(1) Žr. 4.4 skyrių.</w:t>
      </w:r>
    </w:p>
    <w:p w14:paraId="1EC946F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AB4927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(2) Galima somnolencija. Paprastai ji atsiranda per pirmąsias dvi gydymo savaites ir tęsiant Quetiapine Accord vartojimą praeina. </w:t>
      </w:r>
    </w:p>
    <w:p w14:paraId="6C63375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54FF91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(3) Kai kuriems kvetiapino pavartojusiems pacientams nustatytas besimptomis transaminazių (ALT, AST) koncentracijos serume ar gama-GT koncentracijos padidėjimas (pasikeitimas nuo normalaus iki ≥ 3x VNR bet kuriuo metu). </w:t>
      </w:r>
      <w:r w:rsidR="00D57DFE" w:rsidRPr="008A351A">
        <w:rPr>
          <w:rFonts w:ascii="Times New Roman" w:eastAsia="Times New Roman" w:hAnsi="Times New Roman" w:cs="Times New Roman"/>
        </w:rPr>
        <w:t>Šie padidėjimai tęsiant gydymą Quetiapine Accord praeina.</w:t>
      </w:r>
    </w:p>
    <w:p w14:paraId="5813255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18C79D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(4) Kvetiapinas, kaip ir kiti alfa1-adrenoreceptorius blokuojantys vaistiniai preparatai nuo psichozės, gali sukelti ortostatinę hipotenziją, pasireiškiančią svaiguliu, tachikardija ir kai kuriems pacientams sinkope, ypač pradiniu dozės parinkimo laikotarpiu (žr. 4.4 skyrių). </w:t>
      </w:r>
    </w:p>
    <w:p w14:paraId="352ACA8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5A96BE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(5) Šių nepageidaujamų reakcijų dažnumas apskaičiuotas remiantis tik duomenimis, gautais po vaistinio preparato pateikimo į rinką.</w:t>
      </w:r>
    </w:p>
    <w:p w14:paraId="0F9D26E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AE954C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(6) Bent vieną kartą nustatyta, kad gliukozės kiekis kraujyje nevalgius yra ≥ 126 mg/dL (≥ 7,0 mmol/l) arba gliukozės kiekis kraujyje po valgio – ≥ 11,1 mmol/l. </w:t>
      </w:r>
    </w:p>
    <w:p w14:paraId="0466951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E714BD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(7) Didesnis disfagijų dažnis lyginant su placebu nustatytas tik klinikinių tyrimų su sergančiaisiais bipoline depresija metu.</w:t>
      </w:r>
    </w:p>
    <w:p w14:paraId="0B769C4C" w14:textId="77777777" w:rsidR="009501EF" w:rsidRPr="008A351A" w:rsidRDefault="009501EF" w:rsidP="009501EF">
      <w:pPr>
        <w:tabs>
          <w:tab w:val="left" w:pos="567"/>
        </w:tabs>
        <w:spacing w:after="0" w:line="260" w:lineRule="exact"/>
        <w:rPr>
          <w:rFonts w:ascii="Times New Roman" w:eastAsia="Times New Roman" w:hAnsi="Times New Roman" w:cs="Times New Roman"/>
        </w:rPr>
      </w:pPr>
    </w:p>
    <w:p w14:paraId="6056BD64" w14:textId="77777777" w:rsidR="009501EF" w:rsidRPr="008A351A" w:rsidRDefault="009501EF" w:rsidP="009501EF">
      <w:pPr>
        <w:tabs>
          <w:tab w:val="left" w:pos="567"/>
        </w:tabs>
        <w:spacing w:after="0" w:line="260" w:lineRule="exact"/>
        <w:rPr>
          <w:rFonts w:ascii="Times New Roman" w:eastAsia="Times New Roman" w:hAnsi="Times New Roman" w:cs="Times New Roman"/>
        </w:rPr>
      </w:pPr>
      <w:r w:rsidRPr="008A351A">
        <w:rPr>
          <w:rFonts w:ascii="Times New Roman" w:eastAsia="Times New Roman" w:hAnsi="Times New Roman" w:cs="Times New Roman"/>
        </w:rPr>
        <w:t xml:space="preserve">(8) Įtraukti &gt; 7% kūno svorio padidėjimo nuo pradinio atvejai. Dažniausiai pasireiškia pirmosiomis gydymo savaitėmis suaugusiųjų tarpe. </w:t>
      </w:r>
    </w:p>
    <w:p w14:paraId="7AAC7E7D"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467D8775"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(9) Toliau išvardyti nutraukimo simptomai nustatyti placebu kontroliuojamų klinikinių tyrimų metu gydant vienu preparatu: nemiga, pykinimas, galvos skausmas, viduriavimas, vėmimas, svaigulys ir dirglumas. Praėjus vienai savaitei po vartojimo nutraukimo šių reakcijų dažnis reikšmingai sumažėja.</w:t>
      </w:r>
    </w:p>
    <w:p w14:paraId="58C26BB1"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35AA5D7D"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(10) Bent vieną kartą nustatyta ≥ 200 mg/dl (</w:t>
      </w:r>
      <w:r w:rsidRPr="008A351A">
        <w:rPr>
          <w:rFonts w:ascii="Times New Roman" w:eastAsia="Times New Roman" w:hAnsi="Times New Roman" w:cs="Times New Roman"/>
        </w:rPr>
        <w:sym w:font="Symbol" w:char="F0B3"/>
      </w:r>
      <w:r w:rsidRPr="008A351A">
        <w:rPr>
          <w:rFonts w:ascii="Times New Roman" w:eastAsia="Times New Roman" w:hAnsi="Times New Roman" w:cs="Times New Roman"/>
        </w:rPr>
        <w:t> 2,258 mmol/l) trigliceridų koncentracija (vyresniems nei 18 metų pacientams) arba ≥ 150 mg/dl (</w:t>
      </w:r>
      <w:r w:rsidRPr="008A351A">
        <w:rPr>
          <w:rFonts w:ascii="Times New Roman" w:eastAsia="Times New Roman" w:hAnsi="Times New Roman" w:cs="Times New Roman"/>
        </w:rPr>
        <w:sym w:font="Symbol" w:char="F0B3"/>
      </w:r>
      <w:r w:rsidRPr="008A351A">
        <w:rPr>
          <w:rFonts w:ascii="Times New Roman" w:eastAsia="Times New Roman" w:hAnsi="Times New Roman" w:cs="Times New Roman"/>
        </w:rPr>
        <w:t> 1,694 mmol/l) trigliceridų koncentracija (jaunesniems nei 18 metų pacientams).</w:t>
      </w:r>
    </w:p>
    <w:p w14:paraId="63D1455F"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6E5F39DB"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(11) Bent vieną kartą nustatyta ≥ 240 mg/dl (</w:t>
      </w:r>
      <w:r w:rsidRPr="008A351A">
        <w:rPr>
          <w:rFonts w:ascii="Times New Roman" w:eastAsia="Times New Roman" w:hAnsi="Times New Roman" w:cs="Times New Roman"/>
        </w:rPr>
        <w:sym w:font="Symbol" w:char="F0B3"/>
      </w:r>
      <w:r w:rsidRPr="008A351A">
        <w:rPr>
          <w:rFonts w:ascii="Times New Roman" w:eastAsia="Times New Roman" w:hAnsi="Times New Roman" w:cs="Times New Roman"/>
        </w:rPr>
        <w:t> 6,2064 mmol/l) cholesterolio koncentracija (vyresniems nei 18 metų pacientams) arba ≥ 200 mg/dl (</w:t>
      </w:r>
      <w:r w:rsidRPr="008A351A">
        <w:rPr>
          <w:rFonts w:ascii="Times New Roman" w:eastAsia="Times New Roman" w:hAnsi="Times New Roman" w:cs="Times New Roman"/>
        </w:rPr>
        <w:sym w:font="Symbol" w:char="F0B3"/>
      </w:r>
      <w:r w:rsidRPr="008A351A">
        <w:rPr>
          <w:rFonts w:ascii="Times New Roman" w:eastAsia="Times New Roman" w:hAnsi="Times New Roman" w:cs="Times New Roman"/>
        </w:rPr>
        <w:t> 5,172 mmol/l) cholesterolio koncentracija (jaunesniems nei 18 metų pacientams). Labai dažnai pastebimas ≥ 30 mg/dl (≥ 0,769 mmol/l) MTL cholesterolio padidėjimas. Tarp pacientų, kuriems nustatytas šis padidėjimas, vidutinis pokytis yra 41,7 mg/dl (≥ 1,07 mmol/l).</w:t>
      </w:r>
    </w:p>
    <w:p w14:paraId="563B796C"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42AE0F9B"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(12) Žr. tekstą toliau.</w:t>
      </w:r>
    </w:p>
    <w:p w14:paraId="2A999250"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608EDB35"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(13) Bent vieną kartą nustatyta ≤ 100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 xml:space="preserve">/l trombocitų koncentracija. </w:t>
      </w:r>
    </w:p>
    <w:p w14:paraId="637C596B"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347F3D8E"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(14) Remiantis pranešimais apie nepageidaujamas reakcijas į vaistą, gautais klinikinių tyrimų metu, kreatininfosfokinazės koncentracijos padidėjimas kraujyje yra nesusijęs su piktybiniu neuroleptiniu sindromu.</w:t>
      </w:r>
    </w:p>
    <w:p w14:paraId="106948B4"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3216EC3F"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(15) Bet kuriuo metu prolaktino koncentracija (tarp vyresnių nei 18 metų amžiaus pacientų) vyrams yra &gt;20 </w:t>
      </w:r>
      <w:r w:rsidRPr="008A351A">
        <w:rPr>
          <w:rFonts w:ascii="Times New Roman" w:eastAsia="Times New Roman" w:hAnsi="Times New Roman" w:cs="Times New Roman"/>
        </w:rPr>
        <w:sym w:font="Symbol" w:char="F06D"/>
      </w:r>
      <w:r w:rsidRPr="008A351A">
        <w:rPr>
          <w:rFonts w:ascii="Times New Roman" w:eastAsia="Times New Roman" w:hAnsi="Times New Roman" w:cs="Times New Roman"/>
        </w:rPr>
        <w:t>g/l (&gt; 869,56 pmol/l), o moterims &gt; 30 </w:t>
      </w:r>
      <w:r w:rsidRPr="008A351A">
        <w:rPr>
          <w:rFonts w:ascii="Times New Roman" w:eastAsia="Times New Roman" w:hAnsi="Times New Roman" w:cs="Times New Roman"/>
        </w:rPr>
        <w:sym w:font="Symbol" w:char="F06D"/>
      </w:r>
      <w:r w:rsidRPr="008A351A">
        <w:rPr>
          <w:rFonts w:ascii="Times New Roman" w:eastAsia="Times New Roman" w:hAnsi="Times New Roman" w:cs="Times New Roman"/>
        </w:rPr>
        <w:t>g/l (&gt; 1304,34 pmol/l).</w:t>
      </w:r>
    </w:p>
    <w:p w14:paraId="3471F1F9"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125CA312"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(16) Dėl šio poveikio pacientas gali nukristi</w:t>
      </w:r>
    </w:p>
    <w:p w14:paraId="06E89334" w14:textId="77777777" w:rsidR="009501EF" w:rsidRPr="008A351A" w:rsidRDefault="009501EF" w:rsidP="009501EF">
      <w:pPr>
        <w:tabs>
          <w:tab w:val="left" w:pos="567"/>
          <w:tab w:val="num" w:pos="927"/>
        </w:tabs>
        <w:spacing w:after="0" w:line="240" w:lineRule="auto"/>
        <w:rPr>
          <w:rFonts w:ascii="Times New Roman" w:eastAsia="Times New Roman" w:hAnsi="Times New Roman" w:cs="Times New Roman"/>
        </w:rPr>
      </w:pPr>
    </w:p>
    <w:p w14:paraId="2363E51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(17) Bet kuriuo metu DTL cholesterolio koncentracija vyrams yra ≤ 40 mg/dl (1,025 mmol/l), o moterims ≤ 50 mg/dl (1,282 mmol/l).</w:t>
      </w:r>
    </w:p>
    <w:p w14:paraId="4A57995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DA2621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w:t>
      </w:r>
      <w:r w:rsidR="00D57DFE" w:rsidRPr="008A351A">
        <w:rPr>
          <w:rFonts w:ascii="Times New Roman" w:eastAsia="Times New Roman" w:hAnsi="Times New Roman" w:cs="Times New Roman"/>
        </w:rPr>
        <w:t>8</w:t>
      </w:r>
      <w:r w:rsidRPr="008A351A">
        <w:rPr>
          <w:rFonts w:ascii="Times New Roman" w:eastAsia="Times New Roman" w:hAnsi="Times New Roman" w:cs="Times New Roman"/>
        </w:rPr>
        <w:t>) Atvejai, kai pacientams QTc poslinkis buvo nuo &lt; 450 msek. iki ≥ 450 msek., o padidėjimas 30 msek. Placebu kontroliuojamu kvetiapino tyrimų metu pacientų vartojančių kvetiapiną ir placebą grupėse vidutinis pokytis ir pacientų, kuriems nustatytas kliniškai reikšmingas poslinkis, skaičius yra panašus.</w:t>
      </w:r>
    </w:p>
    <w:p w14:paraId="799AE59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66804F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00D57DFE" w:rsidRPr="008A351A">
        <w:rPr>
          <w:rFonts w:ascii="Times New Roman" w:eastAsia="Times New Roman" w:hAnsi="Times New Roman" w:cs="Times New Roman"/>
        </w:rPr>
        <w:t>19</w:t>
      </w:r>
      <w:r w:rsidRPr="008A351A">
        <w:rPr>
          <w:rFonts w:ascii="Times New Roman" w:eastAsia="Times New Roman" w:hAnsi="Times New Roman" w:cs="Times New Roman"/>
        </w:rPr>
        <w:t>) Pasikeitimas nuo &gt; 132 mmol/L į ≤ 132 mmol/L bent vieną kartą.</w:t>
      </w:r>
    </w:p>
    <w:p w14:paraId="1F93497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00D57DFE" w:rsidRPr="008A351A">
        <w:rPr>
          <w:rFonts w:ascii="Times New Roman" w:eastAsia="Times New Roman" w:hAnsi="Times New Roman" w:cs="Times New Roman"/>
        </w:rPr>
        <w:t>0</w:t>
      </w:r>
      <w:r w:rsidRPr="008A351A">
        <w:rPr>
          <w:rFonts w:ascii="Times New Roman" w:eastAsia="Times New Roman" w:hAnsi="Times New Roman" w:cs="Times New Roman"/>
        </w:rPr>
        <w:t>) Gydant kvetiapinu, buvo pranešta apie suicidinius ketinimus ir suicidinį elgesį arba greitai po to, kai buvo nutrauktas gydymas (žr. 4.4 ir 5.1 skyrius)</w:t>
      </w:r>
    </w:p>
    <w:p w14:paraId="7076ADA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00D57DFE" w:rsidRPr="008A351A">
        <w:rPr>
          <w:rFonts w:ascii="Times New Roman" w:eastAsia="Times New Roman" w:hAnsi="Times New Roman" w:cs="Times New Roman"/>
        </w:rPr>
        <w:t>1</w:t>
      </w:r>
      <w:r w:rsidRPr="008A351A">
        <w:rPr>
          <w:rFonts w:ascii="Times New Roman" w:eastAsia="Times New Roman" w:hAnsi="Times New Roman" w:cs="Times New Roman"/>
        </w:rPr>
        <w:t>) Žr. 5.1 skyrių.</w:t>
      </w:r>
    </w:p>
    <w:p w14:paraId="13F1B65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00D57DFE" w:rsidRPr="008A351A">
        <w:rPr>
          <w:rFonts w:ascii="Times New Roman" w:eastAsia="Times New Roman" w:hAnsi="Times New Roman" w:cs="Times New Roman"/>
        </w:rPr>
        <w:t>2</w:t>
      </w:r>
      <w:r w:rsidRPr="008A351A">
        <w:rPr>
          <w:rFonts w:ascii="Times New Roman" w:eastAsia="Times New Roman" w:hAnsi="Times New Roman" w:cs="Times New Roman"/>
        </w:rPr>
        <w:t>) Hemoglobino sumažėjimas iki ≤13 g/dL (8.07 mmol/L) vyrams, ≤12 g/dL (7.45 mmol/L) moterims bent jau vieną kartą įvyko kvetiapino pacientams 11% visų bandymų, įskaitant ir atviros etiketės pratęsimus. Tiems pacientams vidutinis maksimalus hemoglobino kiekio sumažėjimas bet kuriuo metu sudarė – 1.50 g/dL.</w:t>
      </w:r>
    </w:p>
    <w:p w14:paraId="3AEC0DA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00D57DFE" w:rsidRPr="008A351A">
        <w:rPr>
          <w:rFonts w:ascii="Times New Roman" w:eastAsia="Times New Roman" w:hAnsi="Times New Roman" w:cs="Times New Roman"/>
        </w:rPr>
        <w:t>3</w:t>
      </w:r>
      <w:r w:rsidRPr="008A351A">
        <w:rPr>
          <w:rFonts w:ascii="Times New Roman" w:eastAsia="Times New Roman" w:hAnsi="Times New Roman" w:cs="Times New Roman"/>
        </w:rPr>
        <w:t>) Šie pranešimai dažnai kildavo ten, kur buvo tachikardija, galvos svaigimas, ortostatinė hipotenzija ir/arba foninė širdies arba kvėpavimo takų liga.</w:t>
      </w:r>
    </w:p>
    <w:p w14:paraId="0CD3A8E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00D57DFE" w:rsidRPr="008A351A">
        <w:rPr>
          <w:rFonts w:ascii="Times New Roman" w:eastAsia="Times New Roman" w:hAnsi="Times New Roman" w:cs="Times New Roman"/>
        </w:rPr>
        <w:t>4</w:t>
      </w:r>
      <w:r w:rsidRPr="008A351A">
        <w:rPr>
          <w:rFonts w:ascii="Times New Roman" w:eastAsia="Times New Roman" w:hAnsi="Times New Roman" w:cs="Times New Roman"/>
        </w:rPr>
        <w:t>) Tai remiasi pasikeitimu nuo normalaus bazinio rodiklio prie potencialiai klinikine prasme svarbios vertės bet kuriuo metu, po normalaus bazinio rodiklio, bet kuriame tyrime. Bendrojo T4, laisvojo T4, bendrojo T3 ir laisvojo T4 rodiklio pakitimai yra apibrėžiami kaip X 0,8 X LLN (pmol/L) ir TSH pakitimas yra bet kuriuo metu &gt; 5 mIU/L.</w:t>
      </w:r>
    </w:p>
    <w:p w14:paraId="2F03E12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00D57DFE" w:rsidRPr="008A351A">
        <w:rPr>
          <w:rFonts w:ascii="Times New Roman" w:eastAsia="Times New Roman" w:hAnsi="Times New Roman" w:cs="Times New Roman"/>
        </w:rPr>
        <w:t>5</w:t>
      </w:r>
      <w:r w:rsidRPr="008A351A">
        <w:rPr>
          <w:rFonts w:ascii="Times New Roman" w:eastAsia="Times New Roman" w:hAnsi="Times New Roman" w:cs="Times New Roman"/>
        </w:rPr>
        <w:t>) Kai remiamasi padažnėjusiais vėmimo atvejais pagyvenusių pacientų tarpe (≥ 65 metai).</w:t>
      </w:r>
    </w:p>
    <w:p w14:paraId="42E1DF0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00D57DFE" w:rsidRPr="008A351A">
        <w:rPr>
          <w:rFonts w:ascii="Times New Roman" w:eastAsia="Times New Roman" w:hAnsi="Times New Roman" w:cs="Times New Roman"/>
        </w:rPr>
        <w:t>6</w:t>
      </w:r>
      <w:r w:rsidRPr="008A351A">
        <w:rPr>
          <w:rFonts w:ascii="Times New Roman" w:eastAsia="Times New Roman" w:hAnsi="Times New Roman" w:cs="Times New Roman"/>
        </w:rPr>
        <w:t xml:space="preserve">) </w:t>
      </w:r>
      <w:r w:rsidR="00D57DFE" w:rsidRPr="008A351A">
        <w:rPr>
          <w:rFonts w:ascii="Times New Roman" w:eastAsia="Times New Roman" w:hAnsi="Times New Roman" w:cs="Times New Roman"/>
        </w:rPr>
        <w:t>Remiantis n</w:t>
      </w:r>
      <w:r w:rsidRPr="008A351A">
        <w:rPr>
          <w:rFonts w:ascii="Times New Roman" w:eastAsia="Times New Roman" w:hAnsi="Times New Roman" w:cs="Times New Roman"/>
        </w:rPr>
        <w:t>eutrofilų kiekio pasikeitim</w:t>
      </w:r>
      <w:r w:rsidR="00D57DFE" w:rsidRPr="008A351A">
        <w:rPr>
          <w:rFonts w:ascii="Times New Roman" w:eastAsia="Times New Roman" w:hAnsi="Times New Roman" w:cs="Times New Roman"/>
        </w:rPr>
        <w:t>u</w:t>
      </w:r>
      <w:r w:rsidRPr="008A351A">
        <w:rPr>
          <w:rFonts w:ascii="Times New Roman" w:eastAsia="Times New Roman" w:hAnsi="Times New Roman" w:cs="Times New Roman"/>
        </w:rPr>
        <w:t xml:space="preserve"> nuo ≥ 1,5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 xml:space="preserve"> ląstelių į litrą bazinio rodiklio iki &lt; 0,5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 xml:space="preserve"> ląstelių į litrą bet kuriuo gydymo metu</w:t>
      </w:r>
      <w:r w:rsidR="00D57DFE" w:rsidRPr="008A351A">
        <w:rPr>
          <w:rFonts w:ascii="Times New Roman" w:eastAsia="Times New Roman" w:hAnsi="Times New Roman" w:cs="Times New Roman"/>
        </w:rPr>
        <w:t xml:space="preserve"> ir remiantis sunkia neutropenija </w:t>
      </w:r>
      <w:r w:rsidR="00D57DFE" w:rsidRPr="008A351A">
        <w:rPr>
          <w:rFonts w:ascii="Times New Roman" w:hAnsi="Times New Roman" w:cs="Times New Roman"/>
        </w:rPr>
        <w:t>(&lt;0,5 x 10</w:t>
      </w:r>
      <w:r w:rsidR="00D57DFE" w:rsidRPr="008A351A">
        <w:rPr>
          <w:rFonts w:ascii="Times New Roman" w:hAnsi="Times New Roman" w:cs="Times New Roman"/>
          <w:vertAlign w:val="superscript"/>
        </w:rPr>
        <w:t>9</w:t>
      </w:r>
      <w:r w:rsidR="00D57DFE" w:rsidRPr="008A351A">
        <w:rPr>
          <w:rFonts w:ascii="Times New Roman" w:hAnsi="Times New Roman" w:cs="Times New Roman"/>
        </w:rPr>
        <w:t xml:space="preserve">/L) ir infekcija </w:t>
      </w:r>
      <w:r w:rsidR="00D57DFE" w:rsidRPr="008A351A">
        <w:rPr>
          <w:rFonts w:ascii="Times New Roman" w:eastAsia="Times New Roman" w:hAnsi="Times New Roman" w:cs="Times New Roman"/>
        </w:rPr>
        <w:t>sergančiais pacientais visų klinikinių tyrimų metu (žr. 4.4 skyrių)</w:t>
      </w:r>
      <w:r w:rsidRPr="008A351A">
        <w:rPr>
          <w:rFonts w:ascii="Times New Roman" w:eastAsia="Times New Roman" w:hAnsi="Times New Roman" w:cs="Times New Roman"/>
        </w:rPr>
        <w:t xml:space="preserve">. </w:t>
      </w:r>
    </w:p>
    <w:p w14:paraId="6E35D00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00D57DFE" w:rsidRPr="008A351A">
        <w:rPr>
          <w:rFonts w:ascii="Times New Roman" w:eastAsia="Times New Roman" w:hAnsi="Times New Roman" w:cs="Times New Roman"/>
        </w:rPr>
        <w:t>27</w:t>
      </w:r>
      <w:r w:rsidRPr="008A351A">
        <w:rPr>
          <w:rFonts w:ascii="Times New Roman" w:eastAsia="Times New Roman" w:hAnsi="Times New Roman" w:cs="Times New Roman"/>
        </w:rPr>
        <w:t>) Kai remiamasi pasikeitimu nuo normalaus bazinio rodiklio prie potencialiai klinikine prasme svarbios vertės bet kuriuo metu, po normalaus bazinio rodiklio, bet kuriame tyrime. Eozinofilų koncentracijos pasikeitimas vertinamas kaip ≥ 1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 xml:space="preserve"> ląstelių į litrą bet kuriuo metu.</w:t>
      </w:r>
    </w:p>
    <w:p w14:paraId="217B91F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00D57DFE" w:rsidRPr="008A351A">
        <w:rPr>
          <w:rFonts w:ascii="Times New Roman" w:eastAsia="Times New Roman" w:hAnsi="Times New Roman" w:cs="Times New Roman"/>
        </w:rPr>
        <w:t>28</w:t>
      </w:r>
      <w:r w:rsidRPr="008A351A">
        <w:rPr>
          <w:rFonts w:ascii="Times New Roman" w:eastAsia="Times New Roman" w:hAnsi="Times New Roman" w:cs="Times New Roman"/>
        </w:rPr>
        <w:t>) Kai remiamasi pasikeitimu nuo normalaus bazinio rodiklio prie potencialiai klinikine prasme svarbios vertės bet kuriuo metu, po normalaus bazinio rodiklio, bet kuriame tyrime. Baltųjų kraujo kūnelių koncentracijos pasikeitimas vertinamas kaip ≤ 3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 xml:space="preserve"> ląstelių į litrą bet kuriuo metu.</w:t>
      </w:r>
    </w:p>
    <w:p w14:paraId="1C9C55C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00D57DFE" w:rsidRPr="008A351A">
        <w:rPr>
          <w:rFonts w:ascii="Times New Roman" w:eastAsia="Times New Roman" w:hAnsi="Times New Roman" w:cs="Times New Roman"/>
        </w:rPr>
        <w:t>29</w:t>
      </w:r>
      <w:r w:rsidRPr="008A351A">
        <w:rPr>
          <w:rFonts w:ascii="Times New Roman" w:eastAsia="Times New Roman" w:hAnsi="Times New Roman" w:cs="Times New Roman"/>
        </w:rPr>
        <w:t>) Remiantis pranešimais apie nepageidautinus reiškinius apie metabolinį sindromą iš visų kvetiapino klinikinių tyrimų.</w:t>
      </w:r>
    </w:p>
    <w:p w14:paraId="349375F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00D57DFE" w:rsidRPr="008A351A">
        <w:rPr>
          <w:rFonts w:ascii="Times New Roman" w:eastAsia="Times New Roman" w:hAnsi="Times New Roman" w:cs="Times New Roman"/>
        </w:rPr>
        <w:t>30</w:t>
      </w:r>
      <w:r w:rsidRPr="008A351A">
        <w:rPr>
          <w:rFonts w:ascii="Times New Roman" w:eastAsia="Times New Roman" w:hAnsi="Times New Roman" w:cs="Times New Roman"/>
        </w:rPr>
        <w:t>) Kai kurių pacientų tarpe klinikinių tyrimų metu buvo nustatytas daugiau nei vieno metabolinio faktoriaus (svorio, kraujo, gliukozės ir lipidų) pablogėjimas (žr. 4.4 skyrių).</w:t>
      </w:r>
    </w:p>
    <w:p w14:paraId="1821EAF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00D57DFE" w:rsidRPr="008A351A">
        <w:rPr>
          <w:rFonts w:ascii="Times New Roman" w:eastAsia="Times New Roman" w:hAnsi="Times New Roman" w:cs="Times New Roman"/>
        </w:rPr>
        <w:t>31</w:t>
      </w:r>
      <w:r w:rsidRPr="008A351A">
        <w:rPr>
          <w:rFonts w:ascii="Times New Roman" w:eastAsia="Times New Roman" w:hAnsi="Times New Roman" w:cs="Times New Roman"/>
        </w:rPr>
        <w:t xml:space="preserve">) Žr. 4.6 skyrių. </w:t>
      </w:r>
    </w:p>
    <w:p w14:paraId="6840A65A" w14:textId="77777777" w:rsidR="00896C8D"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w:t>
      </w:r>
      <w:r w:rsidR="00D57DFE" w:rsidRPr="008A351A">
        <w:rPr>
          <w:rFonts w:ascii="Times New Roman" w:eastAsia="Times New Roman" w:hAnsi="Times New Roman" w:cs="Times New Roman"/>
        </w:rPr>
        <w:t>32</w:t>
      </w:r>
      <w:r w:rsidRPr="008A351A">
        <w:rPr>
          <w:rFonts w:ascii="Times New Roman" w:eastAsia="Times New Roman" w:hAnsi="Times New Roman" w:cs="Times New Roman"/>
        </w:rPr>
        <w:t xml:space="preserve">) Gali atsirasti gydymo pradžioje ar beveik gydymo pradžioje ir gali būti susiję su hipotenzija ir (arba) alpimu. Dažnis paremtas visų kvetiapino klinikinių tyrimų pranešimais apie nepageidautinus bradikardijos </w:t>
      </w:r>
      <w:r w:rsidR="00D57DFE" w:rsidRPr="008A351A">
        <w:rPr>
          <w:rFonts w:ascii="Times New Roman" w:eastAsia="Times New Roman" w:hAnsi="Times New Roman" w:cs="Times New Roman"/>
        </w:rPr>
        <w:t xml:space="preserve">atvejus </w:t>
      </w:r>
      <w:r w:rsidRPr="008A351A">
        <w:rPr>
          <w:rFonts w:ascii="Times New Roman" w:eastAsia="Times New Roman" w:hAnsi="Times New Roman" w:cs="Times New Roman"/>
        </w:rPr>
        <w:t>ir kitus susijusius reiškinius.</w:t>
      </w:r>
    </w:p>
    <w:p w14:paraId="133ABE9D" w14:textId="77777777" w:rsidR="009501EF" w:rsidRPr="008A351A" w:rsidRDefault="00B53CD9" w:rsidP="009501EF">
      <w:pPr>
        <w:tabs>
          <w:tab w:val="left" w:pos="567"/>
        </w:tabs>
        <w:spacing w:after="0" w:line="240" w:lineRule="auto"/>
        <w:rPr>
          <w:rFonts w:ascii="Times New Roman" w:eastAsia="Times New Roman" w:hAnsi="Times New Roman" w:cs="Times New Roman"/>
        </w:rPr>
      </w:pPr>
      <w:r w:rsidRPr="008A351A">
        <w:rPr>
          <w:rFonts w:ascii="Times New Roman" w:hAnsi="Times New Roman"/>
        </w:rPr>
        <w:t>Pagrįsta vienu retrospektyviniu nerandomizuotu epidemiologiniu tyrimu.</w:t>
      </w:r>
    </w:p>
    <w:p w14:paraId="4FAF406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Vartojant neuroleptikus, pasireiškė QT intervalo pailgėjimo, skilvelinės aritmijos, staigios nepaaiškinamos mirties, širdies sustojimo ir polimorfinės skilvelių tachnikardijos atvejų (</w:t>
      </w:r>
      <w:r w:rsidRPr="008A351A">
        <w:rPr>
          <w:rFonts w:ascii="Times New Roman" w:eastAsia="Times New Roman" w:hAnsi="Times New Roman" w:cs="Times New Roman"/>
          <w:i/>
          <w:iCs/>
        </w:rPr>
        <w:t>torsades</w:t>
      </w:r>
      <w:r w:rsidRPr="008A351A">
        <w:rPr>
          <w:rFonts w:ascii="Times New Roman" w:eastAsia="Times New Roman" w:hAnsi="Times New Roman" w:cs="Times New Roman"/>
        </w:rPr>
        <w:t xml:space="preserve"> </w:t>
      </w:r>
      <w:r w:rsidRPr="008A351A">
        <w:rPr>
          <w:rFonts w:ascii="Times New Roman" w:eastAsia="Times New Roman" w:hAnsi="Times New Roman" w:cs="Times New Roman"/>
          <w:i/>
        </w:rPr>
        <w:t>de pointes</w:t>
      </w:r>
      <w:r w:rsidRPr="008A351A">
        <w:rPr>
          <w:rFonts w:ascii="Times New Roman" w:eastAsia="Times New Roman" w:hAnsi="Times New Roman" w:cs="Times New Roman"/>
        </w:rPr>
        <w:t>), kurie, manoma, yra šiai vaistų klasei būdingas poveikis.</w:t>
      </w:r>
    </w:p>
    <w:p w14:paraId="1147D365" w14:textId="77777777" w:rsidR="00B53CD9" w:rsidRPr="008A351A" w:rsidRDefault="00B53CD9" w:rsidP="009501EF">
      <w:pPr>
        <w:tabs>
          <w:tab w:val="left" w:pos="567"/>
        </w:tabs>
        <w:spacing w:after="0" w:line="240" w:lineRule="auto"/>
        <w:rPr>
          <w:rFonts w:ascii="Times New Roman" w:eastAsia="Times New Roman" w:hAnsi="Times New Roman" w:cs="Times New Roman"/>
        </w:rPr>
      </w:pPr>
    </w:p>
    <w:p w14:paraId="0B8580D8" w14:textId="77777777" w:rsidR="00B53CD9" w:rsidRPr="008A351A" w:rsidRDefault="00B53CD9" w:rsidP="004A2FE7">
      <w:pPr>
        <w:tabs>
          <w:tab w:val="left" w:pos="567"/>
        </w:tabs>
        <w:spacing w:after="0" w:line="240" w:lineRule="auto"/>
        <w:rPr>
          <w:rFonts w:ascii="Times New Roman" w:hAnsi="Times New Roman" w:cs="Times New Roman"/>
        </w:rPr>
      </w:pPr>
      <w:r w:rsidRPr="008A351A">
        <w:rPr>
          <w:rFonts w:ascii="Times New Roman" w:hAnsi="Times New Roman"/>
        </w:rPr>
        <w:t xml:space="preserve">Vartojant kvetiapiną, užfiksuota stipriai išreikštų odos nepageidaujamų reakcijų (angl. </w:t>
      </w:r>
      <w:r w:rsidRPr="008A351A">
        <w:rPr>
          <w:rFonts w:ascii="Times New Roman" w:hAnsi="Times New Roman"/>
          <w:i/>
        </w:rPr>
        <w:t>severe cutaneous adverse reactions, SCARs</w:t>
      </w:r>
      <w:r w:rsidRPr="008A351A">
        <w:rPr>
          <w:rFonts w:ascii="Times New Roman" w:hAnsi="Times New Roman"/>
        </w:rPr>
        <w:t xml:space="preserve">), įskaitant </w:t>
      </w:r>
      <w:r w:rsidR="00434403" w:rsidRPr="008A351A">
        <w:rPr>
          <w:rFonts w:ascii="Times New Roman" w:hAnsi="Times New Roman"/>
          <w:iCs/>
        </w:rPr>
        <w:t>Stivenso</w:t>
      </w:r>
      <w:r w:rsidRPr="008A351A">
        <w:rPr>
          <w:rFonts w:ascii="Times New Roman" w:hAnsi="Times New Roman"/>
          <w:iCs/>
        </w:rPr>
        <w:t>-</w:t>
      </w:r>
      <w:r w:rsidR="00434403" w:rsidRPr="008A351A">
        <w:rPr>
          <w:rFonts w:ascii="Times New Roman" w:hAnsi="Times New Roman"/>
          <w:iCs/>
        </w:rPr>
        <w:t>Džonsono</w:t>
      </w:r>
      <w:r w:rsidR="00434403" w:rsidRPr="008A351A">
        <w:rPr>
          <w:rFonts w:ascii="Times New Roman" w:hAnsi="Times New Roman"/>
        </w:rPr>
        <w:t xml:space="preserve"> </w:t>
      </w:r>
      <w:r w:rsidRPr="008A351A">
        <w:rPr>
          <w:rFonts w:ascii="Times New Roman" w:hAnsi="Times New Roman"/>
        </w:rPr>
        <w:t>sindromą (</w:t>
      </w:r>
      <w:r w:rsidRPr="008A351A">
        <w:rPr>
          <w:rFonts w:ascii="Times New Roman" w:hAnsi="Times New Roman"/>
          <w:i/>
        </w:rPr>
        <w:t>SJS</w:t>
      </w:r>
      <w:r w:rsidRPr="008A351A">
        <w:rPr>
          <w:rFonts w:ascii="Times New Roman" w:hAnsi="Times New Roman"/>
        </w:rPr>
        <w:t>), toksinę epidermio nekrolizę (</w:t>
      </w:r>
      <w:r w:rsidRPr="008A351A">
        <w:rPr>
          <w:rFonts w:ascii="Times New Roman" w:hAnsi="Times New Roman"/>
          <w:i/>
        </w:rPr>
        <w:t>TEN</w:t>
      </w:r>
      <w:r w:rsidRPr="008A351A">
        <w:rPr>
          <w:rFonts w:ascii="Times New Roman" w:hAnsi="Times New Roman"/>
        </w:rPr>
        <w:t xml:space="preserve">) ir reakciją į vaistą su eozinofilija ir sisteminiais simptomais (angl. </w:t>
      </w:r>
      <w:r w:rsidRPr="008A351A">
        <w:rPr>
          <w:rFonts w:ascii="Times New Roman" w:hAnsi="Times New Roman"/>
          <w:i/>
        </w:rPr>
        <w:t>Drug Rash with Eosinophilia and Systemic Symptoms, DRESS</w:t>
      </w:r>
      <w:r w:rsidRPr="008A351A">
        <w:rPr>
          <w:rFonts w:ascii="Times New Roman" w:hAnsi="Times New Roman"/>
        </w:rPr>
        <w:t>).</w:t>
      </w:r>
    </w:p>
    <w:p w14:paraId="1BAC85F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49BD747" w14:textId="77777777" w:rsidR="009501EF" w:rsidRPr="008A351A" w:rsidRDefault="009501EF" w:rsidP="009501EF">
      <w:pPr>
        <w:tabs>
          <w:tab w:val="left" w:pos="567"/>
        </w:tabs>
        <w:spacing w:after="0" w:line="260" w:lineRule="exact"/>
        <w:rPr>
          <w:rFonts w:ascii="Times New Roman" w:eastAsia="Times New Roman" w:hAnsi="Times New Roman" w:cs="Times New Roman"/>
          <w:b/>
          <w:bCs/>
        </w:rPr>
      </w:pPr>
      <w:r w:rsidRPr="008A351A">
        <w:rPr>
          <w:rFonts w:ascii="Times New Roman" w:eastAsia="Times New Roman" w:hAnsi="Times New Roman" w:cs="Times New Roman"/>
          <w:b/>
          <w:bCs/>
        </w:rPr>
        <w:t xml:space="preserve">Vaikų populiacija </w:t>
      </w:r>
    </w:p>
    <w:p w14:paraId="299E9F61" w14:textId="77777777" w:rsidR="009501EF" w:rsidRPr="008A351A" w:rsidRDefault="009501EF" w:rsidP="009501EF">
      <w:pPr>
        <w:spacing w:after="0" w:line="240" w:lineRule="auto"/>
        <w:jc w:val="both"/>
        <w:rPr>
          <w:rFonts w:ascii="Times New Roman" w:eastAsia="Times New Roman" w:hAnsi="Times New Roman" w:cs="Times New Roman"/>
          <w:color w:val="000000"/>
        </w:rPr>
      </w:pPr>
    </w:p>
    <w:p w14:paraId="455504E2"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Reikia turėti omenyje, kad vaikams ir paaugliams gali pasireikšti tok</w:t>
      </w:r>
      <w:r w:rsidR="00EE1743" w:rsidRPr="008A351A">
        <w:rPr>
          <w:rFonts w:ascii="Times New Roman" w:eastAsia="Times New Roman" w:hAnsi="Times New Roman" w:cs="Times New Roman"/>
        </w:rPr>
        <w:t>i</w:t>
      </w:r>
      <w:r w:rsidRPr="008A351A">
        <w:rPr>
          <w:rFonts w:ascii="Times New Roman" w:eastAsia="Times New Roman" w:hAnsi="Times New Roman" w:cs="Times New Roman"/>
        </w:rPr>
        <w:t>os pačios nepageidaujamos reakcijos į vaistinį preparatą, kaip ir anksčiau paminėtos suaugusiems žmonėms atsirandančios reakcijos. Toliau pateikiamoje lentelėje apibendrinamos nepageidaujamos reakcijos į vaistinį preparatą, vaikams ir paaugliams (10–17 metų) atsirandančios dažniau, nei suaugusiems žmonėms, bei reakcijos, kurių suaugusiems žmonėms nepastebėta.</w:t>
      </w:r>
    </w:p>
    <w:p w14:paraId="69A9383A" w14:textId="77777777" w:rsidR="009501EF" w:rsidRPr="008A351A" w:rsidRDefault="009501EF" w:rsidP="009501EF">
      <w:pPr>
        <w:spacing w:after="0" w:line="240" w:lineRule="auto"/>
        <w:rPr>
          <w:rFonts w:ascii="Times New Roman" w:eastAsia="Times New Roman" w:hAnsi="Times New Roman" w:cs="Times New Roman"/>
          <w:color w:val="000000"/>
        </w:rPr>
      </w:pPr>
    </w:p>
    <w:p w14:paraId="1BDEF904" w14:textId="77777777" w:rsidR="009501EF" w:rsidRPr="008A351A" w:rsidRDefault="009501EF" w:rsidP="009501EF">
      <w:pPr>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color w:val="000000"/>
        </w:rPr>
        <w:t xml:space="preserve">2 lentelė. </w:t>
      </w:r>
      <w:r w:rsidRPr="008A351A">
        <w:rPr>
          <w:rFonts w:ascii="Times New Roman" w:eastAsia="Times New Roman" w:hAnsi="Times New Roman" w:cs="Times New Roman"/>
          <w:b/>
        </w:rPr>
        <w:t>Su Quetiapine Accord vartojimu susijusios nepageidaujamos reakcijos, kurios vaikams ir paaugliams pasireiškia dažniau nei suaugusiems arba kurios suaugusiųjų populiacijoje nenustatytos</w:t>
      </w:r>
    </w:p>
    <w:p w14:paraId="5403D02A" w14:textId="77777777" w:rsidR="009501EF" w:rsidRPr="008A351A" w:rsidRDefault="009501EF" w:rsidP="009501EF">
      <w:pPr>
        <w:spacing w:after="0" w:line="240" w:lineRule="auto"/>
        <w:rPr>
          <w:rFonts w:ascii="Times New Roman" w:eastAsia="Times New Roman" w:hAnsi="Times New Roman" w:cs="Times New Roman"/>
          <w:b/>
          <w:color w:val="000000"/>
        </w:rPr>
      </w:pPr>
    </w:p>
    <w:p w14:paraId="3155C090" w14:textId="77777777" w:rsidR="00B53CD9" w:rsidRPr="008A351A" w:rsidRDefault="00B53CD9" w:rsidP="009501EF">
      <w:pPr>
        <w:spacing w:after="0" w:line="240" w:lineRule="auto"/>
        <w:rPr>
          <w:rFonts w:ascii="Times New Roman" w:eastAsia="Times New Roman" w:hAnsi="Times New Roman" w:cs="Times New Roman"/>
          <w:b/>
          <w:color w:val="000000"/>
        </w:rPr>
      </w:pPr>
      <w:r w:rsidRPr="008A351A">
        <w:rPr>
          <w:rFonts w:ascii="Times New Roman" w:eastAsia="Times New Roman" w:hAnsi="Times New Roman" w:cs="Times New Roman"/>
        </w:rPr>
        <w:t>Nepageidaujami reiškiniai pagal dažnumą suskirstyti taip: labai dažni (&gt; 1/10), dažni (nuo &gt; 1/100 iki &lt; 1/10), nedažni (nuo &gt; 1/1000 iki &lt; 1/100), reti (nuo &gt; 1/10000 iki&lt; 1/1000), labai reti (&lt; 1/10000)</w:t>
      </w:r>
    </w:p>
    <w:tbl>
      <w:tblPr>
        <w:tblW w:w="5147" w:type="pct"/>
        <w:tblCellSpacing w:w="0" w:type="dxa"/>
        <w:tblInd w:w="-50" w:type="dxa"/>
        <w:tblCellMar>
          <w:top w:w="60" w:type="dxa"/>
          <w:left w:w="60" w:type="dxa"/>
          <w:bottom w:w="60" w:type="dxa"/>
          <w:right w:w="60" w:type="dxa"/>
        </w:tblCellMar>
        <w:tblLook w:val="0000" w:firstRow="0" w:lastRow="0" w:firstColumn="0" w:lastColumn="0" w:noHBand="0" w:noVBand="0"/>
      </w:tblPr>
      <w:tblGrid>
        <w:gridCol w:w="111"/>
        <w:gridCol w:w="3002"/>
        <w:gridCol w:w="3121"/>
        <w:gridCol w:w="2945"/>
        <w:gridCol w:w="158"/>
      </w:tblGrid>
      <w:tr w:rsidR="009501EF" w:rsidRPr="008A351A" w14:paraId="5B8F7BC6" w14:textId="77777777" w:rsidTr="004A2FE7">
        <w:trPr>
          <w:gridBefore w:val="1"/>
          <w:gridAfter w:val="1"/>
          <w:wBefore w:w="111" w:type="dxa"/>
          <w:wAfter w:w="158" w:type="dxa"/>
          <w:tblCellSpacing w:w="0" w:type="dxa"/>
        </w:trPr>
        <w:tc>
          <w:tcPr>
            <w:tcW w:w="9068" w:type="dxa"/>
            <w:gridSpan w:val="3"/>
          </w:tcPr>
          <w:p w14:paraId="41C91DF8" w14:textId="77777777" w:rsidR="009501EF" w:rsidRPr="008A351A" w:rsidRDefault="009501EF" w:rsidP="008E2FBF">
            <w:pPr>
              <w:spacing w:after="0" w:line="240" w:lineRule="auto"/>
              <w:jc w:val="both"/>
              <w:rPr>
                <w:rFonts w:ascii="Times New Roman" w:eastAsia="Times New Roman" w:hAnsi="Times New Roman" w:cs="Times New Roman"/>
                <w:color w:val="000000"/>
              </w:rPr>
            </w:pPr>
          </w:p>
        </w:tc>
      </w:tr>
      <w:tr w:rsidR="00B16D6F" w:rsidRPr="008A351A" w14:paraId="31B9DF52"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blHeader/>
        </w:trPr>
        <w:tc>
          <w:tcPr>
            <w:tcW w:w="3113" w:type="dxa"/>
            <w:gridSpan w:val="2"/>
            <w:tcBorders>
              <w:bottom w:val="single" w:sz="4" w:space="0" w:color="auto"/>
            </w:tcBorders>
          </w:tcPr>
          <w:p w14:paraId="2A8C3C1D" w14:textId="77777777" w:rsidR="00D57DFE" w:rsidRPr="008A351A" w:rsidRDefault="00D57DFE" w:rsidP="00D57DFE">
            <w:pPr>
              <w:keepNext/>
              <w:spacing w:before="60" w:after="60"/>
              <w:rPr>
                <w:rFonts w:ascii="Times New Roman" w:hAnsi="Times New Roman" w:cs="Times New Roman"/>
                <w:b/>
                <w:sz w:val="20"/>
              </w:rPr>
            </w:pPr>
            <w:r w:rsidRPr="008A351A">
              <w:rPr>
                <w:rFonts w:ascii="Times New Roman" w:hAnsi="Times New Roman" w:cs="Times New Roman"/>
                <w:b/>
                <w:sz w:val="20"/>
              </w:rPr>
              <w:t>SOK</w:t>
            </w:r>
          </w:p>
        </w:tc>
        <w:tc>
          <w:tcPr>
            <w:tcW w:w="3121" w:type="dxa"/>
            <w:tcBorders>
              <w:bottom w:val="single" w:sz="4" w:space="0" w:color="auto"/>
            </w:tcBorders>
          </w:tcPr>
          <w:p w14:paraId="60EAEE90" w14:textId="77777777" w:rsidR="00D57DFE" w:rsidRPr="008A351A" w:rsidRDefault="00D57DFE" w:rsidP="00B16D6F">
            <w:pPr>
              <w:keepNext/>
              <w:spacing w:before="60" w:after="60"/>
              <w:rPr>
                <w:rFonts w:ascii="Times New Roman" w:hAnsi="Times New Roman"/>
                <w:b/>
                <w:sz w:val="20"/>
              </w:rPr>
            </w:pPr>
            <w:r w:rsidRPr="008A351A">
              <w:rPr>
                <w:rFonts w:ascii="Times New Roman" w:hAnsi="Times New Roman"/>
                <w:b/>
                <w:sz w:val="20"/>
              </w:rPr>
              <w:t>Labai dažni</w:t>
            </w:r>
          </w:p>
        </w:tc>
        <w:tc>
          <w:tcPr>
            <w:tcW w:w="3103" w:type="dxa"/>
            <w:gridSpan w:val="2"/>
          </w:tcPr>
          <w:p w14:paraId="2FCEF5D6" w14:textId="77777777" w:rsidR="00D57DFE" w:rsidRPr="008A351A" w:rsidRDefault="00D57DFE" w:rsidP="00D57DFE">
            <w:pPr>
              <w:keepNext/>
              <w:spacing w:before="60" w:after="60"/>
              <w:rPr>
                <w:rFonts w:ascii="Times New Roman" w:hAnsi="Times New Roman" w:cs="Times New Roman"/>
                <w:b/>
                <w:sz w:val="20"/>
              </w:rPr>
            </w:pPr>
            <w:r w:rsidRPr="008A351A">
              <w:rPr>
                <w:rFonts w:ascii="Times New Roman" w:hAnsi="Times New Roman" w:cs="Times New Roman"/>
                <w:b/>
                <w:sz w:val="20"/>
              </w:rPr>
              <w:t>Dažni</w:t>
            </w:r>
          </w:p>
        </w:tc>
      </w:tr>
      <w:tr w:rsidR="00B16D6F" w:rsidRPr="008A351A" w14:paraId="47397F08"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113" w:type="dxa"/>
            <w:gridSpan w:val="2"/>
          </w:tcPr>
          <w:p w14:paraId="42B918B1" w14:textId="77777777" w:rsidR="00D57DFE" w:rsidRPr="008A351A" w:rsidRDefault="00D57DFE" w:rsidP="00B16D6F">
            <w:pPr>
              <w:pStyle w:val="Antrat6"/>
              <w:spacing w:before="60" w:after="60" w:line="240" w:lineRule="auto"/>
              <w:rPr>
                <w:rFonts w:ascii="Times New Roman" w:hAnsi="Times New Roman"/>
                <w:sz w:val="20"/>
              </w:rPr>
            </w:pPr>
            <w:r w:rsidRPr="008A351A">
              <w:rPr>
                <w:rFonts w:ascii="Times New Roman" w:hAnsi="Times New Roman"/>
                <w:color w:val="auto"/>
              </w:rPr>
              <w:t>Endokrininiai sutrikimai</w:t>
            </w:r>
          </w:p>
        </w:tc>
        <w:tc>
          <w:tcPr>
            <w:tcW w:w="3121" w:type="dxa"/>
          </w:tcPr>
          <w:p w14:paraId="51F51837" w14:textId="77777777" w:rsidR="00D57DFE" w:rsidRPr="008A351A" w:rsidRDefault="00D57DFE" w:rsidP="00B16D6F">
            <w:pPr>
              <w:spacing w:before="60" w:after="60"/>
              <w:rPr>
                <w:rFonts w:ascii="Times New Roman" w:hAnsi="Times New Roman"/>
                <w:i/>
                <w:sz w:val="20"/>
              </w:rPr>
            </w:pPr>
            <w:r w:rsidRPr="008A351A">
              <w:rPr>
                <w:rFonts w:ascii="Times New Roman" w:hAnsi="Times New Roman"/>
              </w:rPr>
              <w:t>Prolaktino koncentracijos padidėjimas</w:t>
            </w:r>
            <w:r w:rsidRPr="008A351A">
              <w:rPr>
                <w:rFonts w:ascii="Times New Roman" w:hAnsi="Times New Roman"/>
                <w:vertAlign w:val="superscript"/>
              </w:rPr>
              <w:t>1</w:t>
            </w:r>
          </w:p>
        </w:tc>
        <w:tc>
          <w:tcPr>
            <w:tcW w:w="3103" w:type="dxa"/>
            <w:gridSpan w:val="2"/>
          </w:tcPr>
          <w:p w14:paraId="42AECE9F" w14:textId="77777777" w:rsidR="00D57DFE" w:rsidRPr="008A351A" w:rsidRDefault="00D57DFE" w:rsidP="00133E5B">
            <w:pPr>
              <w:spacing w:before="60" w:after="60"/>
              <w:rPr>
                <w:rFonts w:ascii="Times New Roman" w:hAnsi="Times New Roman" w:cs="Times New Roman"/>
                <w:i/>
                <w:iCs/>
                <w:sz w:val="20"/>
              </w:rPr>
            </w:pPr>
          </w:p>
        </w:tc>
      </w:tr>
      <w:tr w:rsidR="00B16D6F" w:rsidRPr="008A351A" w14:paraId="062863EB"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113" w:type="dxa"/>
            <w:gridSpan w:val="2"/>
          </w:tcPr>
          <w:p w14:paraId="03CB2483" w14:textId="77777777" w:rsidR="00D57DFE" w:rsidRPr="008A351A" w:rsidRDefault="00D57DFE" w:rsidP="00B16D6F">
            <w:pPr>
              <w:spacing w:before="60" w:after="60"/>
              <w:rPr>
                <w:rFonts w:ascii="Times New Roman" w:hAnsi="Times New Roman"/>
                <w:i/>
                <w:sz w:val="20"/>
              </w:rPr>
            </w:pPr>
            <w:r w:rsidRPr="008A351A">
              <w:rPr>
                <w:rFonts w:ascii="Times New Roman" w:hAnsi="Times New Roman"/>
                <w:i/>
              </w:rPr>
              <w:t>Metabolizmo ir mitybos sutrikimai</w:t>
            </w:r>
          </w:p>
        </w:tc>
        <w:tc>
          <w:tcPr>
            <w:tcW w:w="3121" w:type="dxa"/>
          </w:tcPr>
          <w:p w14:paraId="23445776" w14:textId="77777777" w:rsidR="00D57DFE" w:rsidRPr="008A351A" w:rsidRDefault="00D57DFE" w:rsidP="00D57DFE">
            <w:pPr>
              <w:spacing w:before="60" w:after="60"/>
              <w:rPr>
                <w:rFonts w:ascii="Times New Roman" w:hAnsi="Times New Roman"/>
              </w:rPr>
            </w:pPr>
            <w:r w:rsidRPr="008A351A">
              <w:rPr>
                <w:rFonts w:ascii="Times New Roman" w:hAnsi="Times New Roman"/>
              </w:rPr>
              <w:t>Padidėjęs apetitas</w:t>
            </w:r>
          </w:p>
        </w:tc>
        <w:tc>
          <w:tcPr>
            <w:tcW w:w="3103" w:type="dxa"/>
            <w:gridSpan w:val="2"/>
          </w:tcPr>
          <w:p w14:paraId="0FDC013E" w14:textId="77777777" w:rsidR="00D57DFE" w:rsidRPr="008A351A" w:rsidRDefault="00D57DFE" w:rsidP="00133E5B">
            <w:pPr>
              <w:spacing w:before="60" w:after="60"/>
              <w:rPr>
                <w:rFonts w:ascii="Times New Roman" w:hAnsi="Times New Roman" w:cs="Times New Roman"/>
                <w:i/>
                <w:iCs/>
                <w:sz w:val="20"/>
              </w:rPr>
            </w:pPr>
          </w:p>
        </w:tc>
      </w:tr>
      <w:tr w:rsidR="00B16D6F" w:rsidRPr="008A351A" w14:paraId="58A7B69B"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113" w:type="dxa"/>
            <w:gridSpan w:val="2"/>
            <w:tcBorders>
              <w:bottom w:val="single" w:sz="4" w:space="0" w:color="auto"/>
            </w:tcBorders>
          </w:tcPr>
          <w:p w14:paraId="568DF148" w14:textId="77777777" w:rsidR="00D57DFE" w:rsidRPr="008A351A" w:rsidRDefault="00D57DFE" w:rsidP="00B16D6F">
            <w:pPr>
              <w:spacing w:before="60" w:after="60"/>
              <w:rPr>
                <w:rFonts w:ascii="Times New Roman" w:hAnsi="Times New Roman"/>
                <w:i/>
                <w:sz w:val="20"/>
              </w:rPr>
            </w:pPr>
            <w:r w:rsidRPr="008A351A">
              <w:rPr>
                <w:rFonts w:ascii="Times New Roman" w:eastAsia="Times New Roman" w:hAnsi="Times New Roman" w:cs="Times New Roman"/>
                <w:i/>
                <w:iCs/>
                <w:color w:val="000000"/>
              </w:rPr>
              <w:t>Nervų sistemos sutrikimai</w:t>
            </w:r>
          </w:p>
        </w:tc>
        <w:tc>
          <w:tcPr>
            <w:tcW w:w="3121" w:type="dxa"/>
            <w:tcBorders>
              <w:bottom w:val="single" w:sz="4" w:space="0" w:color="auto"/>
            </w:tcBorders>
          </w:tcPr>
          <w:p w14:paraId="1E6E38DD" w14:textId="77777777" w:rsidR="00D57DFE" w:rsidRPr="008A351A" w:rsidRDefault="005A2517" w:rsidP="005A2517">
            <w:pPr>
              <w:spacing w:before="60" w:after="60"/>
              <w:rPr>
                <w:rFonts w:ascii="Times New Roman" w:hAnsi="Times New Roman" w:cs="Times New Roman"/>
                <w:i/>
                <w:iCs/>
                <w:sz w:val="20"/>
              </w:rPr>
            </w:pPr>
            <w:r w:rsidRPr="008A351A">
              <w:rPr>
                <w:rFonts w:ascii="Times New Roman" w:hAnsi="Times New Roman"/>
              </w:rPr>
              <w:t xml:space="preserve">Ekstrapiramidiniai </w:t>
            </w:r>
            <w:r w:rsidR="00D57DFE" w:rsidRPr="008A351A">
              <w:rPr>
                <w:rFonts w:ascii="Times New Roman" w:hAnsi="Times New Roman"/>
              </w:rPr>
              <w:t>s</w:t>
            </w:r>
            <w:r w:rsidRPr="008A351A">
              <w:rPr>
                <w:rFonts w:ascii="Times New Roman" w:hAnsi="Times New Roman"/>
              </w:rPr>
              <w:t>i</w:t>
            </w:r>
            <w:r w:rsidR="00D57DFE" w:rsidRPr="008A351A">
              <w:rPr>
                <w:rFonts w:ascii="Times New Roman" w:hAnsi="Times New Roman"/>
              </w:rPr>
              <w:t>mptom</w:t>
            </w:r>
            <w:r w:rsidRPr="008A351A">
              <w:rPr>
                <w:rFonts w:ascii="Times New Roman" w:hAnsi="Times New Roman"/>
              </w:rPr>
              <w:t>ai</w:t>
            </w:r>
            <w:r w:rsidR="00D57DFE" w:rsidRPr="008A351A">
              <w:rPr>
                <w:rFonts w:ascii="Times New Roman" w:hAnsi="Times New Roman"/>
                <w:vertAlign w:val="superscript"/>
              </w:rPr>
              <w:t>3, 4</w:t>
            </w:r>
          </w:p>
        </w:tc>
        <w:tc>
          <w:tcPr>
            <w:tcW w:w="3103" w:type="dxa"/>
            <w:gridSpan w:val="2"/>
          </w:tcPr>
          <w:p w14:paraId="05884ABC" w14:textId="77777777" w:rsidR="00D57DFE" w:rsidRPr="008A351A" w:rsidRDefault="00D57DFE" w:rsidP="005A2517">
            <w:pPr>
              <w:spacing w:before="60" w:after="60"/>
              <w:rPr>
                <w:rFonts w:ascii="Times New Roman" w:hAnsi="Times New Roman" w:cs="Times New Roman"/>
                <w:i/>
                <w:iCs/>
                <w:sz w:val="20"/>
              </w:rPr>
            </w:pPr>
            <w:r w:rsidRPr="008A351A">
              <w:rPr>
                <w:rFonts w:ascii="Times New Roman" w:hAnsi="Times New Roman"/>
              </w:rPr>
              <w:t>S</w:t>
            </w:r>
            <w:r w:rsidR="005A2517" w:rsidRPr="008A351A">
              <w:rPr>
                <w:rFonts w:ascii="Times New Roman" w:hAnsi="Times New Roman"/>
              </w:rPr>
              <w:t>i</w:t>
            </w:r>
            <w:r w:rsidRPr="008A351A">
              <w:rPr>
                <w:rFonts w:ascii="Times New Roman" w:hAnsi="Times New Roman"/>
              </w:rPr>
              <w:t>n</w:t>
            </w:r>
            <w:r w:rsidR="005A2517" w:rsidRPr="008A351A">
              <w:rPr>
                <w:rFonts w:ascii="Times New Roman" w:hAnsi="Times New Roman"/>
              </w:rPr>
              <w:t>kopė</w:t>
            </w:r>
          </w:p>
        </w:tc>
      </w:tr>
      <w:tr w:rsidR="00B16D6F" w:rsidRPr="008A351A" w14:paraId="5062D15D"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113" w:type="dxa"/>
            <w:gridSpan w:val="2"/>
          </w:tcPr>
          <w:p w14:paraId="35154DDF" w14:textId="77777777" w:rsidR="00D57DFE" w:rsidRPr="008A351A" w:rsidRDefault="005A2517" w:rsidP="00B16D6F">
            <w:pPr>
              <w:spacing w:before="60" w:after="60"/>
              <w:rPr>
                <w:rFonts w:ascii="Times New Roman" w:hAnsi="Times New Roman"/>
                <w:i/>
                <w:sz w:val="20"/>
              </w:rPr>
            </w:pPr>
            <w:r w:rsidRPr="008A351A">
              <w:rPr>
                <w:rFonts w:ascii="Times New Roman" w:hAnsi="Times New Roman" w:cs="Times New Roman"/>
                <w:i/>
                <w:iCs/>
              </w:rPr>
              <w:t>Kraujagyslių sutrikimai</w:t>
            </w:r>
          </w:p>
        </w:tc>
        <w:tc>
          <w:tcPr>
            <w:tcW w:w="3121" w:type="dxa"/>
          </w:tcPr>
          <w:p w14:paraId="0D593DA1" w14:textId="77777777" w:rsidR="00D57DFE" w:rsidRPr="008A351A" w:rsidRDefault="005A2517" w:rsidP="005A2517">
            <w:pPr>
              <w:spacing w:before="60" w:after="60"/>
              <w:rPr>
                <w:rFonts w:ascii="Times New Roman" w:hAnsi="Times New Roman" w:cs="Times New Roman"/>
                <w:i/>
                <w:iCs/>
                <w:sz w:val="20"/>
              </w:rPr>
            </w:pPr>
            <w:r w:rsidRPr="008A351A">
              <w:rPr>
                <w:rFonts w:ascii="Times New Roman" w:hAnsi="Times New Roman"/>
              </w:rPr>
              <w:t>Padidėjęs kraujospūdis</w:t>
            </w:r>
            <w:r w:rsidR="00D57DFE" w:rsidRPr="008A351A">
              <w:rPr>
                <w:rFonts w:ascii="Times New Roman" w:hAnsi="Times New Roman"/>
                <w:vertAlign w:val="superscript"/>
              </w:rPr>
              <w:t>2</w:t>
            </w:r>
          </w:p>
        </w:tc>
        <w:tc>
          <w:tcPr>
            <w:tcW w:w="3103" w:type="dxa"/>
            <w:gridSpan w:val="2"/>
          </w:tcPr>
          <w:p w14:paraId="339E0642" w14:textId="77777777" w:rsidR="00D57DFE" w:rsidRPr="008A351A" w:rsidRDefault="00D57DFE" w:rsidP="00133E5B">
            <w:pPr>
              <w:spacing w:before="60" w:after="60"/>
              <w:rPr>
                <w:rFonts w:ascii="Times New Roman" w:hAnsi="Times New Roman" w:cs="Times New Roman"/>
                <w:sz w:val="20"/>
              </w:rPr>
            </w:pPr>
          </w:p>
        </w:tc>
      </w:tr>
      <w:tr w:rsidR="00B16D6F" w:rsidRPr="008A351A" w14:paraId="64CEF225"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113" w:type="dxa"/>
            <w:gridSpan w:val="2"/>
          </w:tcPr>
          <w:p w14:paraId="7A06D03F" w14:textId="77777777" w:rsidR="00D57DFE" w:rsidRPr="008A351A" w:rsidRDefault="005A2517" w:rsidP="00B16D6F">
            <w:pPr>
              <w:pStyle w:val="Antrat6"/>
              <w:spacing w:before="60" w:after="60" w:line="240" w:lineRule="auto"/>
              <w:rPr>
                <w:rFonts w:ascii="Times New Roman" w:hAnsi="Times New Roman"/>
                <w:i w:val="0"/>
                <w:color w:val="auto"/>
              </w:rPr>
            </w:pPr>
            <w:r w:rsidRPr="008A351A">
              <w:rPr>
                <w:rFonts w:ascii="Times New Roman" w:hAnsi="Times New Roman"/>
                <w:color w:val="auto"/>
              </w:rPr>
              <w:t>Kvėpavimo sistemos, krūtinės ląstos ir tarpuplaučio sutrikimai</w:t>
            </w:r>
          </w:p>
        </w:tc>
        <w:tc>
          <w:tcPr>
            <w:tcW w:w="3121" w:type="dxa"/>
          </w:tcPr>
          <w:p w14:paraId="726FFD91" w14:textId="77777777" w:rsidR="00D57DFE" w:rsidRPr="008A351A" w:rsidRDefault="00D57DFE" w:rsidP="00133E5B">
            <w:pPr>
              <w:spacing w:before="60" w:after="60"/>
              <w:rPr>
                <w:rFonts w:ascii="Times New Roman" w:hAnsi="Times New Roman" w:cs="Times New Roman"/>
                <w:i/>
                <w:iCs/>
                <w:sz w:val="20"/>
              </w:rPr>
            </w:pPr>
          </w:p>
        </w:tc>
        <w:tc>
          <w:tcPr>
            <w:tcW w:w="3103" w:type="dxa"/>
            <w:gridSpan w:val="2"/>
          </w:tcPr>
          <w:p w14:paraId="4D5F871B" w14:textId="77777777" w:rsidR="00D57DFE" w:rsidRPr="008A351A" w:rsidRDefault="00D57DFE" w:rsidP="005A2517">
            <w:pPr>
              <w:spacing w:before="60" w:after="60"/>
              <w:rPr>
                <w:rFonts w:ascii="Times New Roman" w:hAnsi="Times New Roman" w:cs="Times New Roman"/>
                <w:sz w:val="20"/>
              </w:rPr>
            </w:pPr>
            <w:r w:rsidRPr="008A351A">
              <w:rPr>
                <w:rFonts w:ascii="Times New Roman" w:hAnsi="Times New Roman"/>
              </w:rPr>
              <w:t>R</w:t>
            </w:r>
            <w:r w:rsidR="005A2517" w:rsidRPr="008A351A">
              <w:rPr>
                <w:rFonts w:ascii="Times New Roman" w:hAnsi="Times New Roman"/>
              </w:rPr>
              <w:t>inita</w:t>
            </w:r>
            <w:r w:rsidRPr="008A351A">
              <w:rPr>
                <w:rFonts w:ascii="Times New Roman" w:hAnsi="Times New Roman"/>
              </w:rPr>
              <w:t>s</w:t>
            </w:r>
          </w:p>
        </w:tc>
      </w:tr>
      <w:tr w:rsidR="00B16D6F" w:rsidRPr="008A351A" w14:paraId="2C6D4379"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113" w:type="dxa"/>
            <w:gridSpan w:val="2"/>
          </w:tcPr>
          <w:p w14:paraId="722C5F63" w14:textId="77777777" w:rsidR="00D57DFE" w:rsidRPr="008A351A" w:rsidRDefault="005A2517" w:rsidP="00B16D6F">
            <w:pPr>
              <w:pStyle w:val="Antrat6"/>
              <w:spacing w:before="60" w:after="60" w:line="240" w:lineRule="auto"/>
              <w:rPr>
                <w:rFonts w:ascii="Times New Roman" w:hAnsi="Times New Roman"/>
                <w:color w:val="auto"/>
                <w:sz w:val="20"/>
              </w:rPr>
            </w:pPr>
            <w:r w:rsidRPr="008A351A">
              <w:rPr>
                <w:rFonts w:ascii="Times New Roman" w:hAnsi="Times New Roman"/>
                <w:color w:val="auto"/>
              </w:rPr>
              <w:t>Virškinimo trakto sutrikimai</w:t>
            </w:r>
          </w:p>
        </w:tc>
        <w:tc>
          <w:tcPr>
            <w:tcW w:w="3121" w:type="dxa"/>
          </w:tcPr>
          <w:p w14:paraId="2B545306" w14:textId="77777777" w:rsidR="00D57DFE" w:rsidRPr="008A351A" w:rsidRDefault="00D57DFE" w:rsidP="005A2517">
            <w:pPr>
              <w:spacing w:before="60" w:after="60"/>
              <w:rPr>
                <w:rFonts w:ascii="Times New Roman" w:hAnsi="Times New Roman" w:cs="Times New Roman"/>
                <w:i/>
                <w:iCs/>
                <w:sz w:val="20"/>
              </w:rPr>
            </w:pPr>
            <w:r w:rsidRPr="008A351A">
              <w:rPr>
                <w:rFonts w:ascii="Times New Roman" w:hAnsi="Times New Roman"/>
              </w:rPr>
              <w:t>V</w:t>
            </w:r>
            <w:r w:rsidR="005A2517" w:rsidRPr="008A351A">
              <w:rPr>
                <w:rFonts w:ascii="Times New Roman" w:hAnsi="Times New Roman"/>
              </w:rPr>
              <w:t>ėmimas</w:t>
            </w:r>
          </w:p>
        </w:tc>
        <w:tc>
          <w:tcPr>
            <w:tcW w:w="3103" w:type="dxa"/>
            <w:gridSpan w:val="2"/>
          </w:tcPr>
          <w:p w14:paraId="5D01E2F9" w14:textId="77777777" w:rsidR="00D57DFE" w:rsidRPr="008A351A" w:rsidRDefault="00D57DFE" w:rsidP="00133E5B">
            <w:pPr>
              <w:spacing w:before="60" w:after="60"/>
              <w:rPr>
                <w:rFonts w:ascii="Times New Roman" w:hAnsi="Times New Roman" w:cs="Times New Roman"/>
                <w:sz w:val="20"/>
              </w:rPr>
            </w:pPr>
          </w:p>
        </w:tc>
      </w:tr>
      <w:tr w:rsidR="00B16D6F" w:rsidRPr="008A351A" w14:paraId="62A0236D" w14:textId="77777777" w:rsidTr="004A2FE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113" w:type="dxa"/>
            <w:gridSpan w:val="2"/>
            <w:tcBorders>
              <w:bottom w:val="single" w:sz="4" w:space="0" w:color="auto"/>
            </w:tcBorders>
          </w:tcPr>
          <w:p w14:paraId="76C24AB3" w14:textId="77777777" w:rsidR="00D57DFE" w:rsidRPr="008A351A" w:rsidRDefault="005A2517" w:rsidP="00B16D6F">
            <w:pPr>
              <w:spacing w:before="60" w:after="60"/>
              <w:rPr>
                <w:rFonts w:ascii="Times New Roman" w:hAnsi="Times New Roman"/>
                <w:i/>
                <w:sz w:val="20"/>
              </w:rPr>
            </w:pPr>
            <w:r w:rsidRPr="008A351A">
              <w:rPr>
                <w:rFonts w:ascii="Times New Roman" w:eastAsia="Times New Roman" w:hAnsi="Times New Roman" w:cs="Times New Roman"/>
                <w:i/>
              </w:rPr>
              <w:t>Bendrieji sutrikimai ir vartojimo vietos pažeidimai</w:t>
            </w:r>
          </w:p>
        </w:tc>
        <w:tc>
          <w:tcPr>
            <w:tcW w:w="3121" w:type="dxa"/>
            <w:tcBorders>
              <w:bottom w:val="single" w:sz="4" w:space="0" w:color="auto"/>
            </w:tcBorders>
          </w:tcPr>
          <w:p w14:paraId="16B8BBC0" w14:textId="77777777" w:rsidR="00D57DFE" w:rsidRPr="008A351A" w:rsidRDefault="00D57DFE" w:rsidP="00133E5B">
            <w:pPr>
              <w:spacing w:before="60" w:after="60"/>
              <w:rPr>
                <w:rFonts w:ascii="Times New Roman" w:hAnsi="Times New Roman" w:cs="Times New Roman"/>
                <w:i/>
                <w:iCs/>
                <w:sz w:val="20"/>
              </w:rPr>
            </w:pPr>
          </w:p>
        </w:tc>
        <w:tc>
          <w:tcPr>
            <w:tcW w:w="3103" w:type="dxa"/>
            <w:gridSpan w:val="2"/>
          </w:tcPr>
          <w:p w14:paraId="48077F01" w14:textId="77777777" w:rsidR="00D57DFE" w:rsidRPr="008A351A" w:rsidRDefault="00D57DFE" w:rsidP="005A2517">
            <w:pPr>
              <w:spacing w:before="60" w:after="60"/>
              <w:rPr>
                <w:rFonts w:ascii="Times New Roman" w:hAnsi="Times New Roman" w:cs="Times New Roman"/>
                <w:sz w:val="20"/>
              </w:rPr>
            </w:pPr>
            <w:r w:rsidRPr="008A351A">
              <w:rPr>
                <w:rFonts w:ascii="Times New Roman" w:hAnsi="Times New Roman"/>
              </w:rPr>
              <w:t>Ir</w:t>
            </w:r>
            <w:r w:rsidR="005A2517" w:rsidRPr="008A351A">
              <w:rPr>
                <w:rFonts w:ascii="Times New Roman" w:hAnsi="Times New Roman"/>
              </w:rPr>
              <w:t>zlumas</w:t>
            </w:r>
            <w:r w:rsidRPr="008A351A">
              <w:rPr>
                <w:rFonts w:ascii="Times New Roman" w:hAnsi="Times New Roman"/>
                <w:vertAlign w:val="superscript"/>
              </w:rPr>
              <w:t>3</w:t>
            </w:r>
          </w:p>
        </w:tc>
      </w:tr>
    </w:tbl>
    <w:p w14:paraId="347BF32D" w14:textId="77777777" w:rsidR="009501EF" w:rsidRPr="008A351A" w:rsidRDefault="009501EF" w:rsidP="009501EF">
      <w:pPr>
        <w:spacing w:after="0" w:line="240" w:lineRule="auto"/>
        <w:ind w:left="285" w:hanging="285"/>
        <w:rPr>
          <w:rFonts w:ascii="Times New Roman" w:eastAsia="Times New Roman" w:hAnsi="Times New Roman" w:cs="Times New Roman"/>
          <w:color w:val="000000"/>
        </w:rPr>
      </w:pPr>
    </w:p>
    <w:p w14:paraId="122CD261" w14:textId="77777777" w:rsidR="009501EF" w:rsidRPr="008A351A" w:rsidRDefault="009501EF" w:rsidP="009501EF">
      <w:pPr>
        <w:spacing w:after="0" w:line="240" w:lineRule="auto"/>
        <w:ind w:left="285" w:hanging="285"/>
        <w:rPr>
          <w:rFonts w:ascii="Times New Roman" w:eastAsia="Times New Roman" w:hAnsi="Times New Roman" w:cs="Times New Roman"/>
          <w:color w:val="000000"/>
        </w:rPr>
      </w:pPr>
      <w:r w:rsidRPr="008A351A">
        <w:rPr>
          <w:rFonts w:ascii="Times New Roman" w:eastAsia="Times New Roman" w:hAnsi="Times New Roman" w:cs="Times New Roman"/>
          <w:color w:val="000000"/>
        </w:rPr>
        <w:t xml:space="preserve">(1) </w:t>
      </w:r>
      <w:r w:rsidRPr="008A351A">
        <w:rPr>
          <w:rFonts w:ascii="Times New Roman" w:eastAsia="Times New Roman" w:hAnsi="Times New Roman" w:cs="Times New Roman"/>
        </w:rPr>
        <w:t>Prolaktino koncentracija (tarp jaunesnių kaip 18 metų amžiaus pacientų) vyrams &gt;20 </w:t>
      </w:r>
      <w:r w:rsidRPr="008A351A">
        <w:rPr>
          <w:rFonts w:ascii="Times New Roman" w:eastAsia="Times New Roman" w:hAnsi="Times New Roman" w:cs="Times New Roman"/>
        </w:rPr>
        <w:sym w:font="Symbol" w:char="F06D"/>
      </w:r>
      <w:r w:rsidRPr="008A351A">
        <w:rPr>
          <w:rFonts w:ascii="Times New Roman" w:eastAsia="Times New Roman" w:hAnsi="Times New Roman" w:cs="Times New Roman"/>
        </w:rPr>
        <w:t>g/l (&gt;869,56 pmol/l), moterims &gt;26 </w:t>
      </w:r>
      <w:r w:rsidRPr="008A351A">
        <w:rPr>
          <w:rFonts w:ascii="Times New Roman" w:eastAsia="Times New Roman" w:hAnsi="Times New Roman" w:cs="Times New Roman"/>
        </w:rPr>
        <w:sym w:font="Symbol" w:char="F06D"/>
      </w:r>
      <w:r w:rsidRPr="008A351A">
        <w:rPr>
          <w:rFonts w:ascii="Times New Roman" w:eastAsia="Times New Roman" w:hAnsi="Times New Roman" w:cs="Times New Roman"/>
        </w:rPr>
        <w:t>g/l (&gt;1130,428 pmol/l) bet kuriuo metu. Mažiau kaip 1% ligonių prolaktino koncentracija padidėjo iki &gt;100 </w:t>
      </w:r>
      <w:r w:rsidRPr="008A351A">
        <w:rPr>
          <w:rFonts w:ascii="Times New Roman" w:eastAsia="Times New Roman" w:hAnsi="Times New Roman" w:cs="Times New Roman"/>
        </w:rPr>
        <w:sym w:font="Symbol" w:char="F06D"/>
      </w:r>
      <w:r w:rsidRPr="008A351A">
        <w:rPr>
          <w:rFonts w:ascii="Times New Roman" w:eastAsia="Times New Roman" w:hAnsi="Times New Roman" w:cs="Times New Roman"/>
        </w:rPr>
        <w:t>g/l</w:t>
      </w:r>
      <w:r w:rsidRPr="008A351A">
        <w:rPr>
          <w:rFonts w:ascii="Times New Roman" w:eastAsia="Times New Roman" w:hAnsi="Times New Roman" w:cs="Times New Roman"/>
          <w:color w:val="000000"/>
        </w:rPr>
        <w:t xml:space="preserve">. </w:t>
      </w:r>
    </w:p>
    <w:p w14:paraId="5C8F7C39" w14:textId="77777777" w:rsidR="009501EF" w:rsidRPr="008A351A" w:rsidRDefault="009501EF" w:rsidP="009501EF">
      <w:pPr>
        <w:spacing w:after="0" w:line="240" w:lineRule="auto"/>
        <w:ind w:left="285" w:hanging="285"/>
        <w:rPr>
          <w:rFonts w:ascii="Times New Roman" w:eastAsia="Times New Roman" w:hAnsi="Times New Roman" w:cs="Times New Roman"/>
          <w:color w:val="000000"/>
        </w:rPr>
      </w:pPr>
      <w:r w:rsidRPr="008A351A">
        <w:rPr>
          <w:rFonts w:ascii="Times New Roman" w:eastAsia="Times New Roman" w:hAnsi="Times New Roman" w:cs="Times New Roman"/>
          <w:color w:val="000000"/>
        </w:rPr>
        <w:t xml:space="preserve">(2) </w:t>
      </w:r>
      <w:r w:rsidRPr="008A351A">
        <w:rPr>
          <w:rFonts w:ascii="Times New Roman" w:eastAsia="Times New Roman" w:hAnsi="Times New Roman" w:cs="Times New Roman"/>
        </w:rPr>
        <w:t>Padidėjimas virš kliniškai reikšmingo slenksčio (adaptuota pagal Nacionalinio sveikatos instituto kriterijus) arba sistolinio kraujospūdžio padidėjimas &gt;20 mmHg arba diastolinio kraujospūdžio padidėjimas &gt;10 mmHg bet kuriuo metu, nustatytas dviejų priminio gydymo (3</w:t>
      </w:r>
      <w:r w:rsidRPr="008A351A">
        <w:rPr>
          <w:rFonts w:ascii="Times New Roman" w:eastAsia="Times New Roman" w:hAnsi="Times New Roman" w:cs="Times New Roman"/>
        </w:rPr>
        <w:noBreakHyphen/>
        <w:t>6 savaitės) placebu kontroliuotų tyrimų, kuriuose dalyvavo vaikai ir paaugliai, metu</w:t>
      </w:r>
      <w:r w:rsidRPr="008A351A">
        <w:rPr>
          <w:rFonts w:ascii="Times New Roman" w:eastAsia="Times New Roman" w:hAnsi="Times New Roman" w:cs="Times New Roman"/>
          <w:color w:val="000000"/>
        </w:rPr>
        <w:t xml:space="preserve">. </w:t>
      </w:r>
    </w:p>
    <w:p w14:paraId="079D7E43" w14:textId="77777777" w:rsidR="009501EF" w:rsidRPr="008A351A" w:rsidRDefault="009501EF" w:rsidP="009501EF">
      <w:pPr>
        <w:spacing w:after="0" w:line="240" w:lineRule="auto"/>
        <w:ind w:left="285" w:hanging="285"/>
        <w:rPr>
          <w:rFonts w:ascii="Times New Roman" w:eastAsia="Times New Roman" w:hAnsi="Times New Roman" w:cs="Times New Roman"/>
          <w:color w:val="000000"/>
        </w:rPr>
      </w:pPr>
      <w:r w:rsidRPr="008A351A">
        <w:rPr>
          <w:rFonts w:ascii="Times New Roman" w:eastAsia="Times New Roman" w:hAnsi="Times New Roman" w:cs="Times New Roman"/>
          <w:color w:val="000000"/>
        </w:rPr>
        <w:t xml:space="preserve">(3) </w:t>
      </w:r>
      <w:r w:rsidRPr="008A351A">
        <w:rPr>
          <w:rFonts w:ascii="Times New Roman" w:eastAsia="Times New Roman" w:hAnsi="Times New Roman" w:cs="Times New Roman"/>
        </w:rPr>
        <w:t>Pastaba: dažnis yra panašus į pastebėtą suaugusiems žmonėms, tačiau vaikams ir paaugliams gali būti susijęs su skirtingu klinikiniu poveikiu nei suaugusiems žmonėms</w:t>
      </w:r>
      <w:r w:rsidRPr="008A351A">
        <w:rPr>
          <w:rFonts w:ascii="Times New Roman" w:eastAsia="Times New Roman" w:hAnsi="Times New Roman" w:cs="Times New Roman"/>
          <w:color w:val="000000"/>
        </w:rPr>
        <w:t xml:space="preserve">. </w:t>
      </w:r>
    </w:p>
    <w:p w14:paraId="400184DD" w14:textId="77777777" w:rsidR="009501EF" w:rsidRPr="008A351A" w:rsidRDefault="009501EF" w:rsidP="009501EF">
      <w:pPr>
        <w:spacing w:after="0" w:line="240" w:lineRule="auto"/>
        <w:rPr>
          <w:rFonts w:ascii="Times New Roman" w:eastAsia="Times New Roman" w:hAnsi="Times New Roman" w:cs="Times New Roman"/>
          <w:color w:val="000000"/>
        </w:rPr>
      </w:pPr>
      <w:r w:rsidRPr="008A351A">
        <w:rPr>
          <w:rFonts w:ascii="Times New Roman" w:eastAsia="Times New Roman" w:hAnsi="Times New Roman" w:cs="Times New Roman"/>
          <w:color w:val="000000"/>
        </w:rPr>
        <w:t xml:space="preserve">(4) </w:t>
      </w:r>
      <w:r w:rsidRPr="008A351A">
        <w:rPr>
          <w:rFonts w:ascii="Times New Roman" w:eastAsia="Times New Roman" w:hAnsi="Times New Roman" w:cs="Times New Roman"/>
        </w:rPr>
        <w:t>Žr. 5.1 skyrių.</w:t>
      </w:r>
    </w:p>
    <w:p w14:paraId="1552F8CA" w14:textId="77777777" w:rsidR="009501EF" w:rsidRPr="008A351A" w:rsidRDefault="009501EF" w:rsidP="009501EF">
      <w:pPr>
        <w:spacing w:after="0" w:line="240" w:lineRule="auto"/>
        <w:ind w:left="285" w:hanging="285"/>
        <w:rPr>
          <w:rFonts w:ascii="Times New Roman" w:eastAsia="Times New Roman" w:hAnsi="Times New Roman" w:cs="Times New Roman"/>
          <w:color w:val="000000"/>
        </w:rPr>
      </w:pPr>
    </w:p>
    <w:p w14:paraId="2B1F2371" w14:textId="77777777" w:rsidR="009501EF" w:rsidRPr="008A351A" w:rsidRDefault="009501EF" w:rsidP="009501EF">
      <w:pPr>
        <w:spacing w:after="0" w:line="240" w:lineRule="auto"/>
        <w:ind w:left="285" w:hanging="285"/>
        <w:rPr>
          <w:rFonts w:ascii="Times New Roman" w:eastAsia="Times New Roman" w:hAnsi="Times New Roman" w:cs="Times New Roman"/>
          <w:color w:val="000000"/>
        </w:rPr>
      </w:pPr>
    </w:p>
    <w:p w14:paraId="649F7985" w14:textId="77777777" w:rsidR="009501EF" w:rsidRPr="008A351A" w:rsidRDefault="009501EF" w:rsidP="009501EF">
      <w:pPr>
        <w:spacing w:after="0" w:line="240" w:lineRule="auto"/>
        <w:rPr>
          <w:rFonts w:ascii="Times New Roman" w:eastAsia="Times New Roman" w:hAnsi="Times New Roman" w:cs="Times New Roman"/>
          <w:bCs/>
          <w:u w:val="single"/>
        </w:rPr>
      </w:pPr>
      <w:r w:rsidRPr="008A351A">
        <w:rPr>
          <w:rFonts w:ascii="Times New Roman" w:eastAsia="Times New Roman" w:hAnsi="Times New Roman" w:cs="Times New Roman"/>
          <w:bCs/>
          <w:u w:val="single"/>
        </w:rPr>
        <w:t>Pranešimas apie įtariamą nepageidaujamą poveikį</w:t>
      </w:r>
    </w:p>
    <w:p w14:paraId="5505CA7E" w14:textId="40F2DFC6"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w:t>
      </w:r>
      <w:r w:rsidR="00FF431F" w:rsidRPr="00FF431F">
        <w:rPr>
          <w:rFonts w:ascii="Times New Roman" w:eastAsia="Times New Roman" w:hAnsi="Times New Roman" w:cs="Times New Roman"/>
        </w:rPr>
        <w:t xml:space="preserve">ar farmacijos </w:t>
      </w:r>
      <w:r w:rsidRPr="008A351A">
        <w:rPr>
          <w:rFonts w:ascii="Times New Roman" w:eastAsia="Times New Roman" w:hAnsi="Times New Roman" w:cs="Times New Roman"/>
        </w:rPr>
        <w:t xml:space="preserve">specialistai turi pranešti apie bet kokias įtariamas nepageidaujamas reakcijas, </w:t>
      </w:r>
      <w:r w:rsidR="002B78A0" w:rsidRPr="002B78A0">
        <w:rPr>
          <w:rFonts w:ascii="Times New Roman" w:eastAsia="Times New Roman" w:hAnsi="Times New Roman" w:cs="Times New Roman"/>
        </w:rPr>
        <w:t xml:space="preserve">užpildę ir pateikę pranešimo formą Valstybinės vaistų kontrolės tarnybos prie Lietuvos Respublikos sveikatos apsaugos ministerijos tinklalapyje </w:t>
      </w:r>
      <w:hyperlink r:id="rId12" w:history="1">
        <w:r w:rsidR="002B78A0" w:rsidRPr="002B4CAC">
          <w:rPr>
            <w:rStyle w:val="Hipersaitas"/>
          </w:rPr>
          <w:t>https://vvkt.lrv.lt/lt/</w:t>
        </w:r>
      </w:hyperlink>
      <w:r w:rsidR="002B78A0">
        <w:rPr>
          <w:rFonts w:ascii="Times New Roman" w:eastAsia="Times New Roman" w:hAnsi="Times New Roman" w:cs="Times New Roman"/>
        </w:rPr>
        <w:t xml:space="preserve"> </w:t>
      </w:r>
      <w:r w:rsidR="002B78A0" w:rsidRPr="002B78A0">
        <w:rPr>
          <w:rFonts w:ascii="Times New Roman" w:eastAsia="Times New Roman" w:hAnsi="Times New Roman" w:cs="Times New Roman"/>
        </w:rPr>
        <w:t>nurodytais būdais</w:t>
      </w:r>
      <w:r w:rsidRPr="008A351A">
        <w:rPr>
          <w:rFonts w:ascii="Times New Roman" w:eastAsia="Times New Roman" w:hAnsi="Times New Roman" w:cs="Times New Roman"/>
        </w:rPr>
        <w:t>.</w:t>
      </w:r>
    </w:p>
    <w:p w14:paraId="5A36222F"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p>
    <w:p w14:paraId="69CA39D1"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4.9</w:t>
      </w:r>
      <w:r w:rsidRPr="008A351A">
        <w:rPr>
          <w:rFonts w:ascii="Times New Roman" w:eastAsia="Times New Roman" w:hAnsi="Times New Roman" w:cs="Times New Roman"/>
          <w:b/>
          <w:bCs/>
        </w:rPr>
        <w:tab/>
        <w:t>Perdozavimas</w:t>
      </w:r>
    </w:p>
    <w:p w14:paraId="0E18F17A"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6DF49408"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Simptomai</w:t>
      </w:r>
    </w:p>
    <w:p w14:paraId="5ADFF862"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5D489CA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Dauguma pastebėtų simptomų ir požymių (t. y. apsnūdimas ir sedacija, tachikardija, hipotenzija ir anticholinerginis poveikis) pasireiškė dėl stipresnio žinomo aktyvaus farmakologinio preparato poveikio. </w:t>
      </w:r>
    </w:p>
    <w:p w14:paraId="45AE460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Perdozavimas gali sukelti QT intervalo pailgėjimą, traukulius, </w:t>
      </w:r>
      <w:r w:rsidRPr="008A351A">
        <w:rPr>
          <w:rFonts w:ascii="Times New Roman" w:eastAsia="Times New Roman" w:hAnsi="Times New Roman" w:cs="Times New Roman"/>
          <w:i/>
          <w:iCs/>
        </w:rPr>
        <w:t>staatus epilepticus</w:t>
      </w:r>
      <w:r w:rsidRPr="008A351A">
        <w:rPr>
          <w:rFonts w:ascii="Times New Roman" w:eastAsia="Times New Roman" w:hAnsi="Times New Roman" w:cs="Times New Roman"/>
        </w:rPr>
        <w:t xml:space="preserve">, rabdomiolizę, respiratorinę depresiją, šlapimo retenciją, konfūziją, kliedesius ir (arba) ažitaciją, komą ir mirtį. </w:t>
      </w:r>
    </w:p>
    <w:p w14:paraId="49C0429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FC79DD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Pacientams, sergantiems sunkia širdies ir kraujagyslių liga, gali būti didesnis dėl perdozavimo pasireiškiančio poveikio pavojus (žr. 4.4 skyrių „Ortostatinė hipotenzija“). </w:t>
      </w:r>
    </w:p>
    <w:p w14:paraId="57FEBB5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265ACAE" w14:textId="77777777" w:rsidR="009501EF" w:rsidRPr="008A351A" w:rsidRDefault="009501EF" w:rsidP="009501EF">
      <w:pPr>
        <w:tabs>
          <w:tab w:val="left" w:pos="567"/>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Perdozavimo gydymas</w:t>
      </w:r>
    </w:p>
    <w:p w14:paraId="719E724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692797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Specifinio priešnuodžio prieš kvetiapiną nėra. Jei pasireiškia sunkaus apsinuodijimo požymių, būtina apsvarstyti, gal pacientas išgėrė įvairių vaistinių preparatų. Rekomenduojama taikyti intensyviosios terapijos procedūras: užtikrinti bei palaikyti kvėpavimo takų praeinamumą, pakankamą oksigenaciją ir ventiliaciją, stebėti bei palaikyti širdies ir kraujagyslių sistemos veiklą. Nors absorbcijos slopinimas esant perdozavimui netirtas, gali būti naudinga plauti skrandį sunkaus apsinuodijimo atvejais, ir jei įmanoma, reikia atlikti ne vėliau nei vieną valandą po priėmimo. Reikia apsvarstyti aktyvintosios anglies skyrimą.</w:t>
      </w:r>
    </w:p>
    <w:p w14:paraId="1C4B81B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7BBD9A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Remiantis vieša literatūra, pacientai, kuriems pasireiškė kliedesiai ir ažitacija su aiškiu anticholinerginiu sindromu, gali būti gydomi 1–2 mg fizostigmino dozėmis (užtikrinus nuolatinį EKG stebėjimą). Dėl galimo neigiamo fizostigmino poveikio </w:t>
      </w:r>
      <w:r w:rsidR="005A2517" w:rsidRPr="008A351A">
        <w:rPr>
          <w:rFonts w:ascii="Times New Roman" w:eastAsia="Times New Roman" w:hAnsi="Times New Roman" w:cs="Times New Roman"/>
        </w:rPr>
        <w:t xml:space="preserve">širdies </w:t>
      </w:r>
      <w:r w:rsidRPr="008A351A">
        <w:rPr>
          <w:rFonts w:ascii="Times New Roman" w:eastAsia="Times New Roman" w:hAnsi="Times New Roman" w:cs="Times New Roman"/>
        </w:rPr>
        <w:t>veiklai nerekomenduojama jo taikyti kaip standartinio gydymo. Fizostagminas gali būti vartojamas, jeigu nėra EKG nukrypimų. Nenaudokite fizostigmino esant aritmijos sutrikimams, bet kokio lygio širdies blokadai ar skilvelių išplatėjimui.</w:t>
      </w:r>
    </w:p>
    <w:p w14:paraId="1C9A319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26D37B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Tais atvejais, kai yra kvetiapino perdozavimas, refrakterinė hipotenzija turi būti gydoma atitinkamomis priemonėmis, pavyzdžiui, intraveniniais skysčiais ir (arba) simptomimetiniais preparatais (reikia vengti epinefrino ir dopamino, kadangi beta stimuliavimas gali pabloginti hipotenzijos situaciją, alfa blokados, sukeltos kvetiapino, fone).</w:t>
      </w:r>
    </w:p>
    <w:p w14:paraId="130004E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2C826E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Kol pacientas pasveiks, jį turi atidžiai stebėti ir prižiūrėti medicinos specialistas.</w:t>
      </w:r>
    </w:p>
    <w:p w14:paraId="5389F6E3"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6ED1436C"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6D1478B9"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5.</w:t>
      </w:r>
      <w:r w:rsidRPr="008A351A">
        <w:rPr>
          <w:rFonts w:ascii="Times New Roman" w:eastAsia="Times New Roman" w:hAnsi="Times New Roman" w:cs="Times New Roman"/>
          <w:b/>
          <w:bCs/>
          <w:iCs/>
        </w:rPr>
        <w:tab/>
        <w:t>FARMAKOLOGINĖS SAVYBĖS</w:t>
      </w:r>
    </w:p>
    <w:p w14:paraId="45684007"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4B6D18E5"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5.1</w:t>
      </w:r>
      <w:r w:rsidRPr="008A351A">
        <w:rPr>
          <w:rFonts w:ascii="Times New Roman" w:eastAsia="Times New Roman" w:hAnsi="Times New Roman" w:cs="Times New Roman"/>
          <w:b/>
          <w:bCs/>
        </w:rPr>
        <w:tab/>
        <w:t>Farmakodinaminės savybės</w:t>
      </w:r>
    </w:p>
    <w:p w14:paraId="3360E68E"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2779958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Farmakoterapinė grupė: antipsichoziniai preparatai;</w:t>
      </w:r>
      <w:r w:rsidR="00B53CD9" w:rsidRPr="008A351A">
        <w:rPr>
          <w:rFonts w:ascii="Times New Roman" w:eastAsia="Times New Roman" w:hAnsi="Times New Roman" w:cs="Times New Roman"/>
        </w:rPr>
        <w:t xml:space="preserve"> </w:t>
      </w:r>
      <w:r w:rsidR="00B53CD9" w:rsidRPr="008A351A">
        <w:rPr>
          <w:rFonts w:ascii="Times New Roman" w:hAnsi="Times New Roman"/>
        </w:rPr>
        <w:t>diazepinai, oksazepinai ir tiazepinai</w:t>
      </w:r>
    </w:p>
    <w:p w14:paraId="7E69270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ATC kodas: N05A H04.</w:t>
      </w:r>
    </w:p>
    <w:p w14:paraId="230AA44A"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6A4D6AA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Veikimo mechanizmas</w:t>
      </w:r>
    </w:p>
    <w:p w14:paraId="37012BE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Kvetiapinas yra atipinis antipsichozinis vaistinis preparatas. Kvetiapinas ir aktyvus žmogaus kraujo plazmos metabolitas, norkvetiapinas sąveikauja su daugelio neurotransmiterių receptoriais. Kvetiapinas ir norkvetiapinas pasižymi giminingumu serotonino (5HT</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bei dopamino D</w:t>
      </w:r>
      <w:r w:rsidRPr="008A351A">
        <w:rPr>
          <w:rFonts w:ascii="Times New Roman" w:eastAsia="Times New Roman" w:hAnsi="Times New Roman" w:cs="Times New Roman"/>
          <w:vertAlign w:val="subscript"/>
        </w:rPr>
        <w:t>1</w:t>
      </w:r>
      <w:r w:rsidRPr="008A351A">
        <w:rPr>
          <w:rFonts w:ascii="Times New Roman" w:eastAsia="Times New Roman" w:hAnsi="Times New Roman" w:cs="Times New Roman"/>
        </w:rPr>
        <w:t xml:space="preserve"> ir D</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xml:space="preserve"> </w:t>
      </w:r>
      <w:r w:rsidRPr="008A351A">
        <w:rPr>
          <w:rFonts w:ascii="Times New Roman" w:eastAsia="Times New Roman" w:hAnsi="Times New Roman" w:cs="Times New Roman"/>
        </w:rPr>
        <w:lastRenderedPageBreak/>
        <w:t>receptoriams smegenyse. Antagonistinis poveikis 5HT</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xml:space="preserve"> receptoriams yra selektyvesnis nei D</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manoma, kad tai lemia antipsichozinį poveikį ir, lyginant su tipiniais antipsichoziniais vaistiniais preparatais, nedidelį kvetiapino nepageidaujamo ekstrapiramidinio poveikio (NEP) pavojų. Kvetiapinas ir norkvetiapinas nepasižymi dideliu giminingumu benzodiazepino receptoriams, tačiau pasižymi dideliu giminingumu histaminerginiams ir α</w:t>
      </w:r>
      <w:r w:rsidRPr="008A351A">
        <w:rPr>
          <w:rFonts w:ascii="Times New Roman" w:eastAsia="Times New Roman" w:hAnsi="Times New Roman" w:cs="Times New Roman"/>
          <w:vertAlign w:val="subscript"/>
        </w:rPr>
        <w:t>1</w:t>
      </w:r>
      <w:r w:rsidRPr="008A351A">
        <w:rPr>
          <w:rFonts w:ascii="Times New Roman" w:eastAsia="Times New Roman" w:hAnsi="Times New Roman" w:cs="Times New Roman"/>
        </w:rPr>
        <w:noBreakHyphen/>
        <w:t>adrenerginiams receptoriams</w:t>
      </w:r>
      <w:r w:rsidR="005A2517" w:rsidRPr="008A351A">
        <w:rPr>
          <w:rFonts w:ascii="Times New Roman" w:eastAsia="Times New Roman" w:hAnsi="Times New Roman" w:cs="Times New Roman"/>
        </w:rPr>
        <w:t xml:space="preserve"> ir</w:t>
      </w:r>
      <w:r w:rsidRPr="008A351A">
        <w:rPr>
          <w:rFonts w:ascii="Times New Roman" w:eastAsia="Times New Roman" w:hAnsi="Times New Roman" w:cs="Times New Roman"/>
        </w:rPr>
        <w:t xml:space="preserve"> viduriniu– α</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noBreakHyphen/>
        <w:t>adrenerginiams. Kvetiapinas taip pat pasižymi mažu giminingumu arba jo neturi muskarininiams receptoriams, o norkvetiapinas – vidutiniu ir dideliu giminingumu įvairiems muskarininiams receptoriams, tai gali paaiškinti anticholinerginį (muskarininį) poveikį. Norkvetiapono NET ir dalinio agonistinio poveikio slopinimas 5HT1A vietose gali veikti gydomąjį antidepresinį kvetiapino veiksmingumą.</w:t>
      </w:r>
    </w:p>
    <w:p w14:paraId="42FD652D"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p>
    <w:p w14:paraId="0E1F54A7"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Farmakodinaminis poveikis</w:t>
      </w:r>
    </w:p>
    <w:p w14:paraId="62FF545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Kvetiapinas buvo veiksmingas antipsichozinio poveikio tyrimų, pvz., sąlyginio vengimo, metu. Jis taip pat blokuoja dopamino agonistų poveikį, kuris įvertinamas elgesio pokyčiais arba elektrofiziologiškai. Kvetiapinas padidina dopamino metabolitų koncentraciją bei D</w:t>
      </w:r>
      <w:r w:rsidR="005A2517"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xml:space="preserve"> receptorių blokados neurocheminį indeksą. </w:t>
      </w:r>
    </w:p>
    <w:p w14:paraId="7852BCD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923189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Ikiklinikinių tyrimų, kuriais nustatinėta geba sukelti NEP, metu kvetiapinas veikė atipiškai ir skyrėsi nuo įprastinių antipsichozinių preparatų. Nuolat vartojamas kvetiapinas nesukėlė pernelyg didelio D</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xml:space="preserve"> receptorių jautrumo. Veiksmingos D</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xml:space="preserve"> receptorius blokuojančios dozės sukėlė tik silpną katalepsiją. Nuolat vartojamas kvetiapinas selektyviai veikė limbinę sistemą, sukeldamas depoliarizacijos blokadą dopamino turinčiuose neuronuose, esančiuose ne juodosios medžiagos ir dryžuotojo kūno A9, bet A10 mezolimbinėje srityje. Haloperidoliu įjautrintoms arba jo nevartojusioms </w:t>
      </w:r>
      <w:r w:rsidRPr="008A351A">
        <w:rPr>
          <w:rFonts w:ascii="Times New Roman" w:eastAsia="Times New Roman" w:hAnsi="Times New Roman" w:cs="Times New Roman"/>
          <w:i/>
          <w:iCs/>
        </w:rPr>
        <w:t>Cebus</w:t>
      </w:r>
      <w:r w:rsidRPr="008A351A">
        <w:rPr>
          <w:rFonts w:ascii="Times New Roman" w:eastAsia="Times New Roman" w:hAnsi="Times New Roman" w:cs="Times New Roman"/>
        </w:rPr>
        <w:t xml:space="preserve"> beždžionėms kvetiapinas tiek pavartotas vieną kartą, tiek vartojamas nuolat, sukėlė silpną distoniją (žr. 4.8 skyrių).</w:t>
      </w:r>
    </w:p>
    <w:p w14:paraId="7272166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DD2D300"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i/>
        </w:rPr>
      </w:pPr>
      <w:r w:rsidRPr="008A351A">
        <w:rPr>
          <w:rFonts w:ascii="Times New Roman" w:eastAsia="Times New Roman" w:hAnsi="Times New Roman" w:cs="Times New Roman"/>
          <w:b/>
          <w:bCs/>
          <w:i/>
        </w:rPr>
        <w:t>Klinikinis veiksmingumas</w:t>
      </w:r>
    </w:p>
    <w:p w14:paraId="3BF56F75" w14:textId="77777777" w:rsidR="009501EF" w:rsidRPr="008A351A" w:rsidRDefault="009501EF" w:rsidP="009501EF">
      <w:pPr>
        <w:spacing w:after="0" w:line="240" w:lineRule="auto"/>
        <w:rPr>
          <w:rFonts w:ascii="Times New Roman" w:eastAsia="Times New Roman" w:hAnsi="Times New Roman" w:cs="Times New Roman"/>
        </w:rPr>
      </w:pPr>
    </w:p>
    <w:p w14:paraId="51C1A7C8"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Šizofrenija</w:t>
      </w:r>
    </w:p>
    <w:p w14:paraId="0D4E7A0D" w14:textId="77777777" w:rsidR="009501EF" w:rsidRPr="008A351A" w:rsidRDefault="009501EF" w:rsidP="009501EF">
      <w:pPr>
        <w:tabs>
          <w:tab w:val="left" w:pos="567"/>
        </w:tabs>
        <w:spacing w:after="0" w:line="240" w:lineRule="auto"/>
        <w:rPr>
          <w:rFonts w:ascii="Times New Roman" w:eastAsia="Times New Roman" w:hAnsi="Times New Roman" w:cs="Times New Roman"/>
          <w:color w:val="2D3632"/>
        </w:rPr>
      </w:pPr>
      <w:r w:rsidRPr="008A351A">
        <w:rPr>
          <w:rFonts w:ascii="Times New Roman" w:eastAsia="Times New Roman" w:hAnsi="Times New Roman" w:cs="Times New Roman"/>
        </w:rPr>
        <w:t xml:space="preserve">Trijuose klinikiniuose placebu kontroliuojamuose tyrimuose, kuriuose dalyvavo šizofrenija sergantys ligoniai, naudojant skirtingas kvetiapino dozes, nebuvo nustatytas skirtumas kvetiapinu ir placebu </w:t>
      </w:r>
      <w:r w:rsidR="005A2517" w:rsidRPr="008A351A">
        <w:rPr>
          <w:rFonts w:ascii="Times New Roman" w:eastAsia="Times New Roman" w:hAnsi="Times New Roman" w:cs="Times New Roman"/>
        </w:rPr>
        <w:t xml:space="preserve">gydytose grupėse </w:t>
      </w:r>
      <w:r w:rsidRPr="008A351A">
        <w:rPr>
          <w:rFonts w:ascii="Times New Roman" w:eastAsia="Times New Roman" w:hAnsi="Times New Roman" w:cs="Times New Roman"/>
        </w:rPr>
        <w:t>ekstrapiramidinių sutrikimų pasireiškimo ar būtinojo gydymo anticholinerginiais vaistiniais preparatais atvejais. Atlikus placebu kontroliuojamą tyrimą, skirtą įvertinti gydymą fiksuota 75–750 mg/paros kvetiapimo doze, metu nebuvo gauta įrodymų, kad padidėja ekstrapiramidinių sutrikimų pasireiškimo ar būtinojo gydymo anticholinerginiais vaistiniais preparatais dažnis.</w:t>
      </w:r>
      <w:r w:rsidRPr="008A351A">
        <w:rPr>
          <w:rFonts w:ascii="Times New Roman" w:hAnsi="Times New Roman" w:cs="Times New Roman"/>
          <w:color w:val="2D3632"/>
        </w:rPr>
        <w:t xml:space="preserve"> </w:t>
      </w:r>
      <w:r w:rsidRPr="008A351A">
        <w:rPr>
          <w:rFonts w:ascii="Times New Roman" w:eastAsia="Times New Roman" w:hAnsi="Times New Roman" w:cs="Times New Roman"/>
          <w:color w:val="2D3632"/>
        </w:rPr>
        <w:t>Kvetiapino tablečių vartojimo veiksmingumas šizofrenijos pasikartojimo profilaktikai aklais klinikiniais tyrimais netirtas. Atvirais sergančiųjų šizofrenija klinikiniais tyrimais nustatyta, kad kvetiapino veiksmingumas išliko, kai jo vartojimas buvo tęsiamas tiems pacientams, kuriems poveikis pasireiškė nuo pradžių; tai rodo, kad ilgalaikis gydymas yra veiksmingas.</w:t>
      </w:r>
    </w:p>
    <w:p w14:paraId="16AD08C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735D19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Bipolinis sutrikimas</w:t>
      </w:r>
    </w:p>
    <w:p w14:paraId="36B77DC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Keturiuose placebu kontroliuojamuose </w:t>
      </w:r>
      <w:r w:rsidR="005A2517" w:rsidRPr="008A351A">
        <w:rPr>
          <w:rFonts w:ascii="Times New Roman" w:eastAsia="Times New Roman" w:hAnsi="Times New Roman" w:cs="Times New Roman"/>
        </w:rPr>
        <w:t xml:space="preserve">klinikiniuose </w:t>
      </w:r>
      <w:r w:rsidRPr="008A351A">
        <w:rPr>
          <w:rFonts w:ascii="Times New Roman" w:eastAsia="Times New Roman" w:hAnsi="Times New Roman" w:cs="Times New Roman"/>
        </w:rPr>
        <w:t>tyrimuose vertintas iki 800 mg paros dozėmis vartojamo kvetiapino veiksmingumas gydant vidutinio sunkumo bei sunkius manijos epizodus. Dviejų tyrimų metu gydyta tik kvetiapinu, kitų dviejų – kartu su ličiu arba divalproeksu. Tyrimų metu nei ekstrapiramidinių sutrikimų pasireiškimo, nei būtinojo gydymo anticholinerginiais vaistiniais preparatais dažnumo skirtumų kvetiapino bei placebo vartojusių pacientų grupėse nenustatyta.</w:t>
      </w:r>
    </w:p>
    <w:p w14:paraId="3860296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C2161E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Buvo nustatyta, kad gydant vidutinio sunkumo ir sunkius manijos epizodus kvetiapino, vartojant vien šį vaistinį preparatą, veiksmingumas mažinant manijos simptomus 3-ą ir 12-ą savaites didesnis nei placebo. Nėra ilgalaikių tyrimų duomenų, patvirtinančių kvetiapino veiksmingumą užtikrinant paskesnių manijos ar depresijos epizodų prevenciją. Duomenų apie kvetiapino vartojimą derinyje su divalproeksu arba ličiu gydant ūmius vidutinio sunkumo arba sunkius manijos epizodus 3-ią </w:t>
      </w:r>
      <w:r w:rsidR="005A2517" w:rsidRPr="008A351A">
        <w:rPr>
          <w:rFonts w:ascii="Times New Roman" w:eastAsia="Times New Roman" w:hAnsi="Times New Roman" w:cs="Times New Roman"/>
        </w:rPr>
        <w:t>ir</w:t>
      </w:r>
      <w:r w:rsidRPr="008A351A">
        <w:rPr>
          <w:rFonts w:ascii="Times New Roman" w:eastAsia="Times New Roman" w:hAnsi="Times New Roman" w:cs="Times New Roman"/>
        </w:rPr>
        <w:t xml:space="preserve"> 6-ą savaitę kiekis yra ribotas; tačiau gydymas šių vaistų deriniais buvo gerai toleruojamas. Pagal gautus duomenis nustatytas papildomas poveikis 3-iąją savaitę. Antrojo tyrimo metu papildomas poveikis 6-ą savaitę nustatytas nebuvo.</w:t>
      </w:r>
    </w:p>
    <w:p w14:paraId="07B4F28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Paskutinę tyrimo savaitę vidutinė paros dozė į gydymą reagavusiems pacientams buvo 600 mg</w:t>
      </w:r>
      <w:r w:rsidR="005A2517" w:rsidRPr="008A351A">
        <w:rPr>
          <w:rFonts w:ascii="Times New Roman" w:eastAsia="Times New Roman" w:hAnsi="Times New Roman" w:cs="Times New Roman"/>
        </w:rPr>
        <w:t xml:space="preserve"> per parą</w:t>
      </w:r>
      <w:r w:rsidRPr="008A351A">
        <w:rPr>
          <w:rFonts w:ascii="Times New Roman" w:eastAsia="Times New Roman" w:hAnsi="Times New Roman" w:cs="Times New Roman"/>
        </w:rPr>
        <w:t xml:space="preserve"> ir maždaug 85% jų dozė svyravo nuo 400 mg iki 800 mg </w:t>
      </w:r>
      <w:r w:rsidR="005A2517" w:rsidRPr="008A351A">
        <w:rPr>
          <w:rFonts w:ascii="Times New Roman" w:eastAsia="Times New Roman" w:hAnsi="Times New Roman" w:cs="Times New Roman"/>
        </w:rPr>
        <w:t xml:space="preserve">per </w:t>
      </w:r>
      <w:r w:rsidRPr="008A351A">
        <w:rPr>
          <w:rFonts w:ascii="Times New Roman" w:eastAsia="Times New Roman" w:hAnsi="Times New Roman" w:cs="Times New Roman"/>
        </w:rPr>
        <w:t>parą.</w:t>
      </w:r>
    </w:p>
    <w:p w14:paraId="43C9975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7C08E9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Keturiuose 8 savaičių trukmės klinikiniuose tyrimuose su ligoniais, sergančiais vidutinio sunkumo arba sunkiais depresijos epizodais, susijusiais su I arba II tipo bipoliniais sutrikimais, 300 mg ir 600 mg kvetiapino tabletės buvo reikšmingai veiksmingesnės, nei placebu gydytiems pacientams susijusių rezultatų priemonių atžvilgiu: vidutinis pagerėjimas MADRS skalėje ir nustatytas bent 50% bendro vertinimo pagerėjimas nuo pradinio MADRS skalėje 8-ąją savaitę. Nebuvo poveikio apimties skirtumo tarp pacientų, kurie vartojo 300 mg kvetiapino tabletes ir tų, kurie vartojo 600 mg dozę.</w:t>
      </w:r>
    </w:p>
    <w:p w14:paraId="212B45D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42252A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Tęstinėje dviejų iš šių tyrimų fazėje buvo nustatyta, kad ilgalaikis gydymas, taikomas pacientams, kurie reagavo į kvetiapino 300 arba 600 mg tablečių vartojimą, lyginant su gydymu placebu buvo veiksmingas slopinant depresijos, bet ne manijos simptomus.</w:t>
      </w:r>
    </w:p>
    <w:p w14:paraId="03C9571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E1FBED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Dviejų pasikartojimų prevencijos tyrimų su kvetiapinu ir nuotaiką stabilizuojančių preparatu deriniu metu buvo tiriami pacientai, kuriems yra manijos, depresijos arba mišrių epizodų. Nustatyta, kad derinys su kvetiapinu buvo veiksmingesnis nei gydymas vienais nuotaiką stabilizuojančių preparatais ir pailgino laiką iki bet kokio epizodo (manijos, mišraus arba depresijos). Tyrimų metu buvo vartojama nuo 400 mg iki 800 mg paros dozė du kartus per parą kartu su ličiu arba valproatu.</w:t>
      </w:r>
    </w:p>
    <w:p w14:paraId="02E906A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0B06E7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6 savaičių trukmės atsitiktinės imties suaugusių ūmia manija sergančių pacientų tyrimo metu lyginant ličio ir kvetiapino vartojimą su placebo ir kvetiapino vartojimu YMRS vidutinio pagerėjimo skirtumas tarp ličio vartojusios grupės ir placebo vartojusios grupės buvo 2,8 punkto, o respondentų procento skirtumas (nustatytas kaip 50 % pagerėjimas nuo pradinio YMRS) buvo 11 % (79 % ličio vartojusiųjų grupėje ir 68 % placebo vartojusiųjų grupėje).</w:t>
      </w:r>
    </w:p>
    <w:p w14:paraId="4B8A772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A097B7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Vieno ilgalaikio (gydymas truko iki 2 metų) tyrimo metu nustatyta, kad, vertinant sutrikimo pasikartojimo profilaktiką I tipo bipoliniu sutrikimu sirgusiems ligoniams, kuriems buvo manijos, depresijos ar mišrus nuotaikos sutrikimas, kvetiapinas labiau nei placebas didino laiką iki bet kokio nuotaikos sutrikimo (manijos, mišraus ar depresijos) pasikartojimo. Pacientų, kuriems buvo nuotaikos sutrikimų, kvetiapino grupėje buvo 91 (22,5%), placebo grupėje – 208 (51,5%), ličio grupėje – 95 (26,1%). Palyginus į kvetiapiną reagavusius ligonius, kurie tęsė gydymą kvetiapinu, ir pacientus, kurie vietoj kvetiapino pradėjo vartoti ličio, nustatyta, kad pastaruoju atveju laikas iki nuotaikos sutrikimo pasikartojimo nepailgėja.</w:t>
      </w:r>
    </w:p>
    <w:p w14:paraId="78D35B5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F63751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Klinikiniais tyrimais nustatyta, kad kvetiapinas yra veiksmingas gydant šizofreniją ir maniją, kai yra vartojamas du kartus per parą, nors kvetiapino farmakokinetinis pusinio skilimo laikas yra maždaug 7 valandos. Šie duomenys taip pat patvirtinti pozitronų emisijos tomografijos (PET) tyrimo duomenimis, parodančiais, kad 5HT</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xml:space="preserve"> ir D</w:t>
      </w:r>
      <w:r w:rsidRPr="008A351A">
        <w:rPr>
          <w:rFonts w:ascii="Times New Roman" w:eastAsia="Times New Roman" w:hAnsi="Times New Roman" w:cs="Times New Roman"/>
          <w:vertAlign w:val="subscript"/>
        </w:rPr>
        <w:t>2</w:t>
      </w:r>
      <w:r w:rsidRPr="008A351A">
        <w:rPr>
          <w:rFonts w:ascii="Times New Roman" w:eastAsia="Times New Roman" w:hAnsi="Times New Roman" w:cs="Times New Roman"/>
        </w:rPr>
        <w:t xml:space="preserve"> receptoriai būna veikiami iki 12 valandų po kvetiapino vartojimo. Didesnių kaip 800 mg/parą dozių saugumas ir veiksmingumas vertintas nebuvo. </w:t>
      </w:r>
    </w:p>
    <w:p w14:paraId="058FC99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835CF0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Klinikinis saugumas</w:t>
      </w:r>
    </w:p>
    <w:p w14:paraId="4354B86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43243E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Atliekant trumpalaikius placebu kontroliuojamus šizofrenijos ir bipolinės manijos klinikinius tyrimus nustatyta, kad bendras ekstrapiramidinių simptomų pasireiškimo dažnis buvo panašus į nustatytą placebo grupėje (šizofrenija sergantiems: 7,8% vartojančiųjų kvetiapiną ir 8,0% vartojančiųjų placebą; bipoline manija sergantiems: 11,2% vartojančiųjų kvetiapiną ir 11,4% – placebą). Atliekant trumpalaikius placebu kontroliuojamus didžiosios depresijos ir bipolinės manijos klinikinius tyrimus nustatyta, kad didesnis ekstrapiramidinių simptomų dažnis  pasireiškia kvetiapinu gydytiems pacientams, palyginus su placebu gydytais pacientais. Atliekant trumpalaikius placebu kontroliuojamus bipolinės depresijos klinikinius tyrimus nustatyta, kad kvetiapino grupėje ekstrapiramidinių simptomų pasireiškia 8,9% pacientų, lyginant su 3,8% placebo grupėje. Atliekant trumpalaikius placebu kontroliuojamus monoterapijos didžiosios depresijos klinikinius tyrimus nustatyta, kad bendras ekstrapiramidinių simptomų pasireiškimo dažnis prailginto atsipalaidavimo kvetiapino grupėje buvo 5,4% , o placebo - 3,2% . Atliekant trumpalaikius placebu kontroliuojamus monoterapijos didžiosios depresijos klinikinius tyrimus su vyresniais pacientais, nustatyta, kad bendras ekstrapiramidinių simptomų pasireiškimo dažnis prailginto atsipalaidavimo kvetiapino grupėje buvo  9,0% , o placebo - 2,3%. Kiekvieno nepageidaujamo poveikio (pvz., akatizijos, ekstrapiramidinio sutrikimo, tremoro, diskinezijos, distonijos, nerimastingumo, nevalingų raumenų </w:t>
      </w:r>
      <w:r w:rsidRPr="008A351A">
        <w:rPr>
          <w:rFonts w:ascii="Times New Roman" w:eastAsia="Times New Roman" w:hAnsi="Times New Roman" w:cs="Times New Roman"/>
        </w:rPr>
        <w:lastRenderedPageBreak/>
        <w:t xml:space="preserve">judesių, psichomotorinio hiperaktyvumo ir raumenų sąstingio) atvejų dažnis kiekvienoje tiriamųjų grupėje neviršijo 4%, </w:t>
      </w:r>
      <w:r w:rsidRPr="008A351A">
        <w:rPr>
          <w:rFonts w:ascii="Times New Roman" w:eastAsia="Times New Roman" w:hAnsi="Times New Roman" w:cs="Times New Roman"/>
          <w:color w:val="343434"/>
        </w:rPr>
        <w:t>sirgusių bipoline manija arba didžiąja depresija.</w:t>
      </w:r>
    </w:p>
    <w:p w14:paraId="376470AE" w14:textId="77777777" w:rsidR="009501EF" w:rsidRPr="008A351A" w:rsidRDefault="009501EF" w:rsidP="009501EF">
      <w:pPr>
        <w:spacing w:before="100" w:beforeAutospacing="1" w:after="100" w:afterAutospacing="1" w:line="240" w:lineRule="auto"/>
        <w:rPr>
          <w:rFonts w:ascii="Times New Roman" w:hAnsi="Times New Roman"/>
        </w:rPr>
      </w:pPr>
      <w:r w:rsidRPr="008A351A">
        <w:rPr>
          <w:rFonts w:ascii="Times New Roman" w:eastAsia="Cambria" w:hAnsi="Times New Roman" w:cs="Times New Roman"/>
          <w:lang w:eastAsia="nl-NL"/>
        </w:rPr>
        <w:t>Trumpalaikių (3-8 savaičių) fiksuotos dozės (50-800 mg per parą) placebu kontroliuojamų tyrimų metu 50 mg kvetiapino per parą vartoję pacientai priaugo vidutiniškai 0,8 kg, vartoję 600 mg – 1,4 kg, vartoję 800 mg – mažiau, o vartoję placebą – 0,2 kg svorio. 7% ar daugiau kūno svorio priaugo 5,3% 50 mg kvetiapino per parą, 15,5% 400 mg kvetiapino per parą (600 mg ar 800 mg kvetiapino per parą vartojusių pacientų procentas buvo mažesnis) ir 3,7% placebą vartojusių pacientų.</w:t>
      </w:r>
    </w:p>
    <w:p w14:paraId="234382AD" w14:textId="77777777" w:rsidR="009501EF" w:rsidRPr="008A351A" w:rsidRDefault="009501EF" w:rsidP="009501EF">
      <w:pPr>
        <w:spacing w:before="100" w:beforeAutospacing="1" w:after="100" w:afterAutospacing="1" w:line="240" w:lineRule="auto"/>
        <w:rPr>
          <w:rFonts w:ascii="Times New Roman" w:hAnsi="Times New Roman" w:cs="Times New Roman"/>
        </w:rPr>
      </w:pPr>
      <w:r w:rsidRPr="008A351A">
        <w:rPr>
          <w:rFonts w:ascii="Times New Roman" w:eastAsia="Cambria" w:hAnsi="Times New Roman" w:cs="Times New Roman"/>
          <w:lang w:eastAsia="nl-NL"/>
        </w:rPr>
        <w:t xml:space="preserve">6 savaičių trukmės atsitiktinės imties suaugusių ūmia manija sergančių pacientų tyrimo metu lyginant ličio ir kvetiapino vartojimą su placebo ir kvetiapino vartojimu buvo nustatyta, kad kvetiapino tablečių ir ličio derinys sukelia daugiau šalutinių reiškinių </w:t>
      </w:r>
      <w:r w:rsidRPr="008A351A">
        <w:rPr>
          <w:rFonts w:ascii="Times New Roman" w:hAnsi="Times New Roman" w:cs="Times New Roman"/>
        </w:rPr>
        <w:t>(63 % lyginant su 48 % kvetiapino ir placebo deriniu). Tiriant saugumo rezultatus buvo nustatyta, kad pasitaikė daugiau ekstrapiramidinių simptomų imptomramidiniu 16,8 % pacientų, priklausančių vartojusių ličio grupei, ir 6,6 % – placebo grupei</w:t>
      </w:r>
      <w:r w:rsidR="009E231D" w:rsidRPr="008A351A">
        <w:rPr>
          <w:rFonts w:ascii="Times New Roman" w:hAnsi="Times New Roman" w:cs="Times New Roman"/>
        </w:rPr>
        <w:t>, iš kurių didžiąją dalį sudarė tremoras, apie kurį pranešta 15,6 % pacientų, papildomai vartojusių ličio, atvejais,</w:t>
      </w:r>
      <w:r w:rsidRPr="008A351A">
        <w:rPr>
          <w:rFonts w:ascii="Times New Roman" w:hAnsi="Times New Roman" w:cs="Times New Roman"/>
        </w:rPr>
        <w:t xml:space="preserve"> ir 4,9 % placebo grupei. Mieguistumas labiau pasireiškė kvetiapino ir ličio vartojusioje grupėje (12,7 %) lyginant su kvetiapino tabletes ir placebą vartojusia grupe (5,5 %). Be to, gydymo pabaigoje didesnei procentinei pacientų grupės daliai, gydytai ličiu (8,0 %) užfiksuotas svorio padidėjimas (</w:t>
      </w:r>
      <w:r w:rsidRPr="008A351A">
        <w:rPr>
          <w:rFonts w:ascii="Times New Roman" w:hAnsi="Times New Roman"/>
        </w:rPr>
        <w:t>≥</w:t>
      </w:r>
      <w:r w:rsidRPr="008A351A">
        <w:rPr>
          <w:rFonts w:ascii="Times New Roman" w:hAnsi="Times New Roman" w:cs="Times New Roman"/>
        </w:rPr>
        <w:t>7 %), lyginant su placebą vartojusiųjų pacientų grupe (4,7 %).</w:t>
      </w:r>
    </w:p>
    <w:p w14:paraId="6FF8FAEA" w14:textId="77777777" w:rsidR="009501EF" w:rsidRPr="008A351A" w:rsidRDefault="009501EF" w:rsidP="009501EF">
      <w:pPr>
        <w:spacing w:before="100" w:beforeAutospacing="1" w:after="100" w:afterAutospacing="1" w:line="240" w:lineRule="auto"/>
        <w:rPr>
          <w:rFonts w:ascii="Times New Roman" w:hAnsi="Times New Roman"/>
        </w:rPr>
      </w:pPr>
      <w:r w:rsidRPr="008A351A">
        <w:rPr>
          <w:rFonts w:ascii="Times New Roman" w:hAnsi="Times New Roman"/>
        </w:rPr>
        <w:t>Atliekant ilgesnės trukmės atkryčio profilaktikos tyrimus po 4-36 savaičių atviro periodo, kurio metu pacientai vartojo kvetiapiną, buvo randomizuoto gydymo nutraukimo laikotarpis, kurio metu pacientai buvo randomizuojami vartoti kvetiapiną arba placebą. Vartoti kvetiapiną randomizuotų pacientų vidutinis svorio prieaugis per atvirą periodą buvo 2,56 kg, iki randomizuoto periodo 48-os savaitės pabaigos jie priaugo vidutiniškai 3,22 kg (palyginus su svoriu atviro periodo pabaigoje). Vartoti placebą randomizuotų pacientų vidutinis svorio prieaugis per atvirą periodą buvo 2,39 kg, iki randomizuoto periodo 48-os savaitės pabaigos jie priaugo vidutiniškai 0,89 kg (palyginus su svoriu atviro periodo pabaigoje).</w:t>
      </w:r>
    </w:p>
    <w:p w14:paraId="3DBEDB91" w14:textId="77777777" w:rsidR="009501EF" w:rsidRPr="008A351A" w:rsidRDefault="009501EF" w:rsidP="009501EF">
      <w:pPr>
        <w:spacing w:before="100" w:beforeAutospacing="1" w:after="100" w:afterAutospacing="1" w:line="240" w:lineRule="auto"/>
        <w:rPr>
          <w:rFonts w:ascii="Times New Roman" w:hAnsi="Times New Roman"/>
        </w:rPr>
      </w:pPr>
      <w:r w:rsidRPr="008A351A">
        <w:rPr>
          <w:rFonts w:ascii="Times New Roman" w:hAnsi="Times New Roman"/>
        </w:rPr>
        <w:t>Atlikti placebu kontroliuojami tyrimai, kuriuose dalyvavo senyvi su demencija susijusia psichoze sergantys pacientai. Nepageidaujamų smegenų kraujagyslių reiškinių dažnis per 100 paciento metų vartojant kvetiapiną nebuvo didesnis negu vartojant placebą.</w:t>
      </w:r>
    </w:p>
    <w:p w14:paraId="5DFA2D8E" w14:textId="77777777" w:rsidR="009501EF" w:rsidRPr="008A351A" w:rsidRDefault="009501EF" w:rsidP="009501EF">
      <w:pPr>
        <w:tabs>
          <w:tab w:val="left" w:pos="0"/>
          <w:tab w:val="left" w:pos="567"/>
          <w:tab w:val="left" w:pos="8496"/>
        </w:tabs>
        <w:suppressAutoHyphen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Placebu kontroliuojamų tyrimų su vienu preparatu pacientams, kurių pradinis neutrofilų kiekis ≥ 1,5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/l, bent vieno atvejo, kai neutrofilų kiekis buvo &lt; 1,5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/l, pasireiškimo dažnis gydomųjų kvetiapinu grupėje buvo 1,9%, lyginant su 1,5% pacientų, vartojančių placebą grupėje. Pasikeitimų pasireiškimas ≥ 0,5 - &lt; 1,0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/l buvo toks pats (0,2%) pacientams, gydytiems kvetiapinu ir tiems, kurie buvo gydyti placebu. Visų klinikinių tyrimų (placebu kontroliuojamų, atviro tipo, aktyvaus palyginimo) pacientams, kurių pradinis neutrofilų kiekis ≥ 1,5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/l, bent vieno atvejo, kai neutrofilų kiekis &lt; 1,5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/l, pasireiškimo dažnis buvo 2,9%, ir kai neutrofilų kiekis &lt; 0,5 x 10</w:t>
      </w:r>
      <w:r w:rsidRPr="008A351A">
        <w:rPr>
          <w:rFonts w:ascii="Times New Roman" w:eastAsia="Times New Roman" w:hAnsi="Times New Roman" w:cs="Times New Roman"/>
          <w:vertAlign w:val="superscript"/>
        </w:rPr>
        <w:t>9</w:t>
      </w:r>
      <w:r w:rsidRPr="008A351A">
        <w:rPr>
          <w:rFonts w:ascii="Times New Roman" w:eastAsia="Times New Roman" w:hAnsi="Times New Roman" w:cs="Times New Roman"/>
        </w:rPr>
        <w:t>/l, buvo 0,21% pacientams, kurie buvo gydyti kvetiapinu.</w:t>
      </w:r>
    </w:p>
    <w:p w14:paraId="61B27F4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7CA50D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Gydymas kvetiapinu buvo susijęs su nuo dozės priklausomu skydliaukės hormonų koncentracijos sumažėjimu. TSH pasikeitimo dažnis sudarė 3,2 % kvetiapinui, palyginti su 2,7 % placebui. Trumpalaikiuose placebu kontroliuojamuose monoterapijos gydymuose, abipusių ir potencialiai klinikinių požiūrių svarbių T3 arba T4 ir </w:t>
      </w:r>
      <w:r w:rsidR="009E231D" w:rsidRPr="008A351A">
        <w:rPr>
          <w:rFonts w:ascii="Times New Roman" w:eastAsia="Times New Roman" w:hAnsi="Times New Roman" w:cs="Times New Roman"/>
        </w:rPr>
        <w:t xml:space="preserve">TSH </w:t>
      </w:r>
      <w:r w:rsidRPr="008A351A">
        <w:rPr>
          <w:rFonts w:ascii="Times New Roman" w:eastAsia="Times New Roman" w:hAnsi="Times New Roman" w:cs="Times New Roman"/>
        </w:rPr>
        <w:t xml:space="preserve">pakitimų dažnis buvo retas ir stebėti skydliaukės hormono lygio pasikeitimai nebuvo susieti su kliniškai simptomatiniu hipotiroidizmu. </w:t>
      </w:r>
    </w:p>
    <w:p w14:paraId="478D085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88624E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Labiausiai bendrojo ir laisvojo T</w:t>
      </w:r>
      <w:r w:rsidRPr="008A351A">
        <w:rPr>
          <w:rFonts w:ascii="Times New Roman" w:eastAsia="Times New Roman" w:hAnsi="Times New Roman" w:cs="Times New Roman"/>
          <w:vertAlign w:val="subscript"/>
        </w:rPr>
        <w:t>4</w:t>
      </w:r>
      <w:r w:rsidRPr="008A351A">
        <w:rPr>
          <w:rFonts w:ascii="Times New Roman" w:eastAsia="Times New Roman" w:hAnsi="Times New Roman" w:cs="Times New Roman"/>
        </w:rPr>
        <w:t xml:space="preserve"> koncentracijos sumažėjo per pirmąsias šešias kvetiapino</w:t>
      </w:r>
      <w:r w:rsidRPr="008A351A" w:rsidDel="00EF1E5A">
        <w:rPr>
          <w:rFonts w:ascii="Times New Roman" w:eastAsia="Times New Roman" w:hAnsi="Times New Roman" w:cs="Times New Roman"/>
        </w:rPr>
        <w:t xml:space="preserve"> </w:t>
      </w:r>
      <w:r w:rsidRPr="008A351A">
        <w:rPr>
          <w:rFonts w:ascii="Times New Roman" w:eastAsia="Times New Roman" w:hAnsi="Times New Roman" w:cs="Times New Roman"/>
        </w:rPr>
        <w:t>vartojimo savaites, o tolesnio ilgalaikio gydymo laikotarpiu jo daugiau nebemažėjo. Maždaug 2/3 visų atvejų kvetiapino</w:t>
      </w:r>
      <w:r w:rsidRPr="008A351A" w:rsidDel="00EF1E5A">
        <w:rPr>
          <w:rFonts w:ascii="Times New Roman" w:eastAsia="Times New Roman" w:hAnsi="Times New Roman" w:cs="Times New Roman"/>
        </w:rPr>
        <w:t xml:space="preserve"> </w:t>
      </w:r>
      <w:r w:rsidRPr="008A351A">
        <w:rPr>
          <w:rFonts w:ascii="Times New Roman" w:eastAsia="Times New Roman" w:hAnsi="Times New Roman" w:cs="Times New Roman"/>
        </w:rPr>
        <w:t>vartojimą nutraukus, bendrojo ir laisvojo T</w:t>
      </w:r>
      <w:r w:rsidRPr="008A351A">
        <w:rPr>
          <w:rFonts w:ascii="Times New Roman" w:eastAsia="Times New Roman" w:hAnsi="Times New Roman" w:cs="Times New Roman"/>
          <w:vertAlign w:val="subscript"/>
        </w:rPr>
        <w:t>4</w:t>
      </w:r>
      <w:r w:rsidRPr="008A351A">
        <w:rPr>
          <w:rFonts w:ascii="Times New Roman" w:eastAsia="Times New Roman" w:hAnsi="Times New Roman" w:cs="Times New Roman"/>
        </w:rPr>
        <w:t xml:space="preserve"> koncentracija normalizavosi, nepriklausomai nuo gydymo trukmės.</w:t>
      </w:r>
    </w:p>
    <w:p w14:paraId="1D42CBA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68C54D6"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Katarakta/lęšiuko drumstis</w:t>
      </w:r>
    </w:p>
    <w:p w14:paraId="709F56E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BD6C35A"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Klinikiniame tyrime, kuriame vertinamas kvetiapimo kataraktogeninis potencialas (200-800 mg. per dieną) palyginti su risperidonu (nuo 2 iki 8 mg.) tarp pacientų, sergančių šizofrenija arba šizoafektiniu </w:t>
      </w:r>
      <w:r w:rsidRPr="008A351A">
        <w:rPr>
          <w:rFonts w:ascii="Times New Roman" w:eastAsia="Times New Roman" w:hAnsi="Times New Roman" w:cs="Times New Roman"/>
        </w:rPr>
        <w:lastRenderedPageBreak/>
        <w:t>sutrikimu, pacientų su padidėjusiu lęšiuko drumsties laipsniu procentas nebuvo didesnis kvetiapinu gydytų pacientų tarpe (4%), palyginti su risperidonu (10%) – tiems pacientams, kuriems poveikis sudarė bent jau 21 mėn.</w:t>
      </w:r>
    </w:p>
    <w:p w14:paraId="691113E8"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4F359EAC" w14:textId="77777777" w:rsidR="009501EF" w:rsidRPr="008A351A" w:rsidRDefault="009501EF" w:rsidP="009501EF">
      <w:pPr>
        <w:tabs>
          <w:tab w:val="left" w:pos="567"/>
        </w:tabs>
        <w:spacing w:after="0" w:line="260" w:lineRule="exact"/>
        <w:rPr>
          <w:rFonts w:ascii="Times New Roman" w:eastAsia="Times New Roman" w:hAnsi="Times New Roman" w:cs="Times New Roman"/>
          <w:b/>
          <w:bCs/>
        </w:rPr>
      </w:pPr>
      <w:r w:rsidRPr="008A351A">
        <w:rPr>
          <w:rFonts w:ascii="Times New Roman" w:eastAsia="Times New Roman" w:hAnsi="Times New Roman" w:cs="Times New Roman"/>
          <w:b/>
          <w:iCs/>
        </w:rPr>
        <w:t>Vaikų populiacija</w:t>
      </w:r>
    </w:p>
    <w:p w14:paraId="5714FBD5" w14:textId="77777777" w:rsidR="009501EF" w:rsidRPr="008A351A" w:rsidRDefault="009501EF" w:rsidP="009501EF">
      <w:pPr>
        <w:tabs>
          <w:tab w:val="left" w:pos="567"/>
        </w:tabs>
        <w:spacing w:after="0" w:line="260" w:lineRule="exact"/>
        <w:rPr>
          <w:rFonts w:ascii="Times New Roman" w:eastAsia="Times New Roman" w:hAnsi="Times New Roman" w:cs="Times New Roman"/>
          <w:b/>
          <w:bCs/>
        </w:rPr>
      </w:pPr>
    </w:p>
    <w:p w14:paraId="5B0E01EE" w14:textId="77777777" w:rsidR="009501EF" w:rsidRPr="008A351A" w:rsidRDefault="009501EF" w:rsidP="009501EF">
      <w:pPr>
        <w:tabs>
          <w:tab w:val="left" w:pos="567"/>
        </w:tabs>
        <w:spacing w:after="0" w:line="260" w:lineRule="exact"/>
        <w:rPr>
          <w:rFonts w:ascii="Times New Roman" w:eastAsia="Times New Roman" w:hAnsi="Times New Roman" w:cs="Times New Roman"/>
          <w:b/>
          <w:bCs/>
        </w:rPr>
      </w:pPr>
      <w:r w:rsidRPr="008A351A">
        <w:rPr>
          <w:rFonts w:ascii="Times New Roman" w:eastAsia="Times New Roman" w:hAnsi="Times New Roman" w:cs="Times New Roman"/>
          <w:b/>
          <w:bCs/>
        </w:rPr>
        <w:t>Klinikinis veiksmingumas</w:t>
      </w:r>
    </w:p>
    <w:p w14:paraId="436CE259"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Kvetiapino veiksmingumas ir saugumas tirtas 3 savaičių placebu kontroliuoto manijos gydymo tyrimo metu (n= 284, į tyrimą buvo įtraukti 10</w:t>
      </w:r>
      <w:r w:rsidRPr="008A351A">
        <w:rPr>
          <w:rFonts w:ascii="Times New Roman" w:eastAsia="Times New Roman" w:hAnsi="Times New Roman" w:cs="Times New Roman"/>
          <w:bCs/>
        </w:rPr>
        <w:noBreakHyphen/>
      </w:r>
      <w:r w:rsidRPr="008A351A">
        <w:rPr>
          <w:rFonts w:ascii="Times New Roman" w:eastAsia="Times New Roman" w:hAnsi="Times New Roman" w:cs="Times New Roman"/>
        </w:rPr>
        <w:t>17 metų pacientai iš JAV). Maždaug 45% ligonių dar buvo dėmesio stokos su hiperaktyvumu sindromas. Be to, atliktas 6 savaites trukęs placebu kontroliuotas šizofrenijos gydymo tyrimas (n = 222, į tyrimą buvo įtraukti 13</w:t>
      </w:r>
      <w:r w:rsidRPr="008A351A">
        <w:rPr>
          <w:rFonts w:ascii="Times New Roman" w:eastAsia="Times New Roman" w:hAnsi="Times New Roman" w:cs="Times New Roman"/>
        </w:rPr>
        <w:noBreakHyphen/>
        <w:t>17 metų pacientai). Į abu tyrimus nebuvo įtraukti ligoniai, anksčiau nepakankamai reagavę į kvetiapiną. Gydymas kvetiapinu pradėtas 50 mg paros doze, 2 dieną paros dozė didinta iki 100 mg, vėliau dozė laipsniškai buvo didinama iki tikslinės paros dozės (400</w:t>
      </w:r>
      <w:r w:rsidRPr="008A351A">
        <w:rPr>
          <w:rFonts w:ascii="Times New Roman" w:eastAsia="Times New Roman" w:hAnsi="Times New Roman" w:cs="Times New Roman"/>
        </w:rPr>
        <w:noBreakHyphen/>
        <w:t>600 mg manijai gydyti ir 400</w:t>
      </w:r>
      <w:r w:rsidRPr="008A351A">
        <w:rPr>
          <w:rFonts w:ascii="Times New Roman" w:eastAsia="Times New Roman" w:hAnsi="Times New Roman" w:cs="Times New Roman"/>
        </w:rPr>
        <w:noBreakHyphen/>
        <w:t>800 mg šizofrenijai gydyti),paros dozė buvo didinama 100 mg ir suvartojama per du ar tris kartus.</w:t>
      </w:r>
    </w:p>
    <w:p w14:paraId="433456D6" w14:textId="77777777" w:rsidR="009501EF" w:rsidRPr="008A351A" w:rsidRDefault="009501EF" w:rsidP="009501EF">
      <w:pPr>
        <w:spacing w:after="0" w:line="240" w:lineRule="auto"/>
        <w:jc w:val="both"/>
        <w:rPr>
          <w:rFonts w:ascii="Times New Roman" w:eastAsia="Times New Roman" w:hAnsi="Times New Roman" w:cs="Times New Roman"/>
          <w:b/>
          <w:bCs/>
          <w:color w:val="000000"/>
        </w:rPr>
      </w:pPr>
    </w:p>
    <w:p w14:paraId="49F415CD"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Manijos tyrimo metu vidutinio mažiausių kvadratų (angl. </w:t>
      </w:r>
      <w:r w:rsidRPr="008A351A">
        <w:rPr>
          <w:rFonts w:ascii="Times New Roman" w:eastAsia="Times New Roman" w:hAnsi="Times New Roman" w:cs="Times New Roman"/>
          <w:i/>
        </w:rPr>
        <w:t>Least squares</w:t>
      </w:r>
      <w:r w:rsidRPr="008A351A">
        <w:rPr>
          <w:rFonts w:ascii="Times New Roman" w:eastAsia="Times New Roman" w:hAnsi="Times New Roman" w:cs="Times New Roman"/>
        </w:rPr>
        <w:t xml:space="preserve"> – LS) metodu apskaičiuotas pokytis nuo pradinio rodmens pagal jaunų žmonių manijos įvertinimo skalės (angl. </w:t>
      </w:r>
      <w:r w:rsidRPr="008A351A">
        <w:rPr>
          <w:rFonts w:ascii="Times New Roman" w:eastAsia="Times New Roman" w:hAnsi="Times New Roman" w:cs="Times New Roman"/>
          <w:i/>
        </w:rPr>
        <w:t>Young Mania Rating Scale</w:t>
      </w:r>
      <w:r w:rsidRPr="008A351A">
        <w:rPr>
          <w:rFonts w:ascii="Times New Roman" w:eastAsia="Times New Roman" w:hAnsi="Times New Roman" w:cs="Times New Roman"/>
        </w:rPr>
        <w:t xml:space="preserve"> – YMRS) bendrąjį įvertinimą (aktyvios grupės duomenys minus placebo duomenys) buvo –5,21 400 mg ir –6,56 600 mg kvetiapino paros dozę vartojusiems pacientams. Reakcijos dažnis (YMRS pagerėjimas ≥50%) buvo 64% 400 mg kvetiapino paros dozę vartojusių pacientų, 58% 600 mg kvetiapino paros dozę vartojusių pacientų ir 37% placebo vartojusių pacientų.  </w:t>
      </w:r>
    </w:p>
    <w:p w14:paraId="33F52CF2" w14:textId="77777777" w:rsidR="009501EF" w:rsidRPr="008A351A" w:rsidRDefault="009501EF" w:rsidP="009501EF">
      <w:pPr>
        <w:spacing w:after="0" w:line="240" w:lineRule="auto"/>
        <w:jc w:val="both"/>
        <w:rPr>
          <w:rFonts w:ascii="Times New Roman" w:eastAsia="Times New Roman" w:hAnsi="Times New Roman" w:cs="Times New Roman"/>
          <w:color w:val="000000"/>
        </w:rPr>
      </w:pPr>
    </w:p>
    <w:p w14:paraId="5FCA00BA"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Šizofrenijos tyrimo metu vidutinio LS pokytis nuo pradinio rodmens pagal teigiamo ir neigiamo sindromo skalės (angl. </w:t>
      </w:r>
      <w:r w:rsidRPr="008A351A">
        <w:rPr>
          <w:rFonts w:ascii="Times New Roman" w:eastAsia="Times New Roman" w:hAnsi="Times New Roman" w:cs="Times New Roman"/>
          <w:i/>
        </w:rPr>
        <w:t>Positive and Negative Syndrome Scale</w:t>
      </w:r>
      <w:r w:rsidRPr="008A351A">
        <w:rPr>
          <w:rFonts w:ascii="Times New Roman" w:eastAsia="Times New Roman" w:hAnsi="Times New Roman" w:cs="Times New Roman"/>
        </w:rPr>
        <w:t xml:space="preserve"> - PANSS) bendrąjį įvertinimą (aktyvios grupės duomenys minus placebo duomenys) buvo –8,16 400 mg ir –9,29 800 mg kvetiapino paros dozę vartojusiems pacientams. Nei mažesnė (400 mg), nei didesnė (800 mg) kvetiapino dozė nesukėlė geresnio poveikio nei placebas, vertinant procentinę reakciją pasiekusių ligonių dalį (reakcija laikytas ≥30% PANSS skalės bendrojo įvertinimo sumažėjimas nuo pradinio rodmens). Ir manijos, ir šizofrenijos atveju į didesnę dozę reagavo mažesnis skaičius pacientų.</w:t>
      </w:r>
    </w:p>
    <w:p w14:paraId="638ABDFA" w14:textId="77777777" w:rsidR="009501EF" w:rsidRPr="008A351A" w:rsidRDefault="009501EF" w:rsidP="009501EF">
      <w:pPr>
        <w:spacing w:after="0" w:line="240" w:lineRule="auto"/>
        <w:rPr>
          <w:rFonts w:ascii="Times New Roman" w:eastAsia="Times New Roman" w:hAnsi="Times New Roman" w:cs="Times New Roman"/>
        </w:rPr>
      </w:pPr>
    </w:p>
    <w:p w14:paraId="5CA71AED" w14:textId="77777777" w:rsidR="009E231D" w:rsidRPr="008A351A" w:rsidRDefault="009E231D"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Trečiojo trumpalaikio placebu kontroliuojamo monoterapijos tyrimo metu, gydant kvetiapino ilgalaikio poveikio tabletėmis vaikus ir paauglius (10–17 metų), sergančius bipoline depresija, veiksmingumas nebuvo nustatytas.</w:t>
      </w:r>
    </w:p>
    <w:p w14:paraId="11C0E0A6" w14:textId="77777777" w:rsidR="009E231D" w:rsidRPr="008A351A" w:rsidRDefault="009E231D" w:rsidP="009501EF">
      <w:pPr>
        <w:spacing w:after="0" w:line="240" w:lineRule="auto"/>
        <w:rPr>
          <w:rFonts w:ascii="Times New Roman" w:eastAsia="Times New Roman" w:hAnsi="Times New Roman" w:cs="Times New Roman"/>
        </w:rPr>
      </w:pPr>
    </w:p>
    <w:p w14:paraId="2F76FF05"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Duomenų apie palaikomąjį ar pasikartojimo išvengti padedantį poveikį tokio amžiaus pacientams nėra.</w:t>
      </w:r>
    </w:p>
    <w:p w14:paraId="03223DEF" w14:textId="77777777" w:rsidR="009501EF" w:rsidRPr="008A351A" w:rsidRDefault="009501EF" w:rsidP="009501EF">
      <w:pPr>
        <w:spacing w:after="0" w:line="240" w:lineRule="auto"/>
        <w:rPr>
          <w:rFonts w:ascii="Times New Roman" w:eastAsia="Times New Roman" w:hAnsi="Times New Roman" w:cs="Times New Roman"/>
        </w:rPr>
      </w:pPr>
    </w:p>
    <w:p w14:paraId="53AEA881" w14:textId="77777777" w:rsidR="009501EF" w:rsidRPr="008A351A" w:rsidRDefault="009501EF" w:rsidP="009501EF">
      <w:pPr>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Klinikinis saugumas</w:t>
      </w:r>
    </w:p>
    <w:p w14:paraId="6E833CEC"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Aukščiau aprašytų trumpų kvetiapino tyrimų, kuriuose dalyvavo vaikai, metu bendrasis ekstrapiramidinių simptomų atsiradimo dažnis buvo 12,9 % veikliojoje šakoje lyginant su 5,3 %, gautų šizofrenijos tyrimo metu, 3,6 % lyginant su 1,1 % bipolinės manijos tyrime ir 1,1 % lyginant su 0 % bipolinės depresijos tyrime. Svorio padidėjimas ≥7% nuo pradinio svorio veikliojoje šakoje su placebu buvo 17 % lyginant su 2,5 % šizofrenijos ir bipolinės manijos tyrimuose, ir 13,7 % lyginant su 6,8 % bipolinės depresijos tyrime. Su savižudybe susijusių reiškinių dažnis veikliojoje šakoje su placebu buvo 1,4% lyginant su 1,3 % šizofrenijos tyrime, 1,0 % lyginant su 0 % bipolinės manijos tyrime ir 1,1 % lyginant su 0 % bipolinės depresijos tyrime. Bipolinės depresijos tyrimo tęstinės po gydymo vykdytos stebėjimo fazės metu įvyko dviejų pacientų du papildomi su savižudybe susiję reiškiniai; vienas iš šių pacientų reiškinio metu vartojo kvetiapiną.</w:t>
      </w:r>
    </w:p>
    <w:p w14:paraId="3BC51555" w14:textId="77777777" w:rsidR="009501EF" w:rsidRPr="008A351A" w:rsidRDefault="009501EF" w:rsidP="009501EF">
      <w:pPr>
        <w:spacing w:after="0" w:line="240" w:lineRule="auto"/>
        <w:rPr>
          <w:rFonts w:ascii="Times New Roman" w:eastAsia="Times New Roman" w:hAnsi="Times New Roman" w:cs="Times New Roman"/>
        </w:rPr>
      </w:pPr>
    </w:p>
    <w:p w14:paraId="12D0316D" w14:textId="77777777" w:rsidR="009501EF" w:rsidRPr="008A351A" w:rsidRDefault="009501EF" w:rsidP="009501EF">
      <w:pPr>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Ilgalaikis saugumas</w:t>
      </w:r>
    </w:p>
    <w:p w14:paraId="5804EA61"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26 savaičių trukmės atviro ūminės fazės tyrimų pratęsimo (n= 380) metu (vartota 400</w:t>
      </w:r>
      <w:r w:rsidRPr="008A351A">
        <w:rPr>
          <w:rFonts w:ascii="Times New Roman" w:eastAsia="Times New Roman" w:hAnsi="Times New Roman" w:cs="Times New Roman"/>
        </w:rPr>
        <w:noBreakHyphen/>
        <w:t xml:space="preserve">800 mg kvetiapino tablečių paros dozė) gauta papildomų saugumo duomenų. Vaikams ir paaugliams padidėjo kraujospūdis, be to, tokiems pacientams dažniau nei suaugusiems žmonėms padidėjo apetitas, atsirado ekstrapiramidinių simptomų bei padidėjo prolaktino koncentracija serume (žr. 4.4 ir 4.8 skyrius). Gautus rodmenis koregavus pagal normalaus kūno svorio didėjimo per ilgą laikotarpį duomenis, kliniškai reikšmingu pokyčiu laikytas mažiausiai 0,5 standartinio nuokrypio kūno masės indekso </w:t>
      </w:r>
      <w:r w:rsidRPr="008A351A">
        <w:rPr>
          <w:rFonts w:ascii="Times New Roman" w:eastAsia="Times New Roman" w:hAnsi="Times New Roman" w:cs="Times New Roman"/>
        </w:rPr>
        <w:lastRenderedPageBreak/>
        <w:t>(KMI) padidėjimas nuo pradinio rodmens; šį kriterijų atitiko 18,3 % ligonių, kvetiapinu gydytų mažiausiai 26 savaites.</w:t>
      </w:r>
    </w:p>
    <w:p w14:paraId="4FA06587" w14:textId="77777777" w:rsidR="009501EF" w:rsidRPr="008A351A" w:rsidRDefault="009501EF" w:rsidP="009501EF">
      <w:pPr>
        <w:spacing w:after="0" w:line="240" w:lineRule="auto"/>
        <w:rPr>
          <w:rFonts w:ascii="Times New Roman" w:eastAsia="Times New Roman" w:hAnsi="Times New Roman" w:cs="Times New Roman"/>
        </w:rPr>
      </w:pPr>
    </w:p>
    <w:p w14:paraId="5763C129"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28F628EC"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5.2</w:t>
      </w:r>
      <w:r w:rsidRPr="008A351A">
        <w:rPr>
          <w:rFonts w:ascii="Times New Roman" w:eastAsia="Times New Roman" w:hAnsi="Times New Roman" w:cs="Times New Roman"/>
          <w:b/>
          <w:bCs/>
        </w:rPr>
        <w:tab/>
        <w:t>Farmakokinetinės savybės</w:t>
      </w:r>
    </w:p>
    <w:p w14:paraId="068CB636"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ind w:left="714" w:hanging="714"/>
        <w:rPr>
          <w:rFonts w:ascii="Times New Roman" w:eastAsia="Times New Roman" w:hAnsi="Times New Roman" w:cs="Times New Roman"/>
        </w:rPr>
      </w:pPr>
    </w:p>
    <w:p w14:paraId="5F36EC3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Absorbcija</w:t>
      </w:r>
    </w:p>
    <w:p w14:paraId="5911C9F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Išgertas kvetiapinas gerai absorbuojamas ir ekstensyviai metabolizuojamas. Maistas ženklios įtakos biologiniam kvetiapino prieinamumui nedaro. Pasiekus pusiausvyrinę apykaitą, molinė aktyvaus metabolito norkvetiapino koncentracija yra 35% kvetiapino koncentracijos. Pusinės kvetiapino ir norkvetiapino eliminacijos laikas yra, atitinkamai, 7 val. ir 12 val.</w:t>
      </w:r>
    </w:p>
    <w:p w14:paraId="1A7DA82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1A7B19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Vartojant įteisintas dozes, kvetiapino ir norkvetiapino farmakokinetika yra linijinė.</w:t>
      </w:r>
    </w:p>
    <w:p w14:paraId="795498C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D765A4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Pasiskirstymas</w:t>
      </w:r>
    </w:p>
    <w:p w14:paraId="0072D21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Prie kraujo plazmos baltymų prisijungia maždaug 83 </w:t>
      </w:r>
      <w:r w:rsidRPr="008A351A">
        <w:rPr>
          <w:rFonts w:ascii="Times New Roman" w:hAnsi="Times New Roman"/>
        </w:rPr>
        <w:t>% kvetiapino</w:t>
      </w:r>
      <w:r w:rsidRPr="008A351A">
        <w:rPr>
          <w:rFonts w:ascii="Times New Roman" w:eastAsia="Times New Roman" w:hAnsi="Times New Roman" w:cs="Times New Roman"/>
        </w:rPr>
        <w:t>.</w:t>
      </w:r>
    </w:p>
    <w:p w14:paraId="4FF2132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4D5500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66BFCD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Biotransformacija</w:t>
      </w:r>
    </w:p>
    <w:p w14:paraId="07CF142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Kvetiapinas ekstensyviai metabolizuojamas kepenyse. Išgėrus radioaktyviaisiais izotopais žymėto kvetiapino, su nepakitusiu vaistiniu preparatu susijusio radioaktyvumo su šlapimu ir išmatomis išsiskyrė mažiau negu 5% dozės. Maždaug 73% radioaktyvumo išsiskyrė su šlapimu, 21% - su išmatomis. </w:t>
      </w:r>
    </w:p>
    <w:p w14:paraId="2E44EC6B" w14:textId="77777777" w:rsidR="009501EF" w:rsidRPr="008A351A" w:rsidRDefault="009501EF" w:rsidP="009501EF">
      <w:pPr>
        <w:tabs>
          <w:tab w:val="left" w:pos="567"/>
        </w:tabs>
        <w:spacing w:after="0" w:line="240" w:lineRule="auto"/>
        <w:rPr>
          <w:rFonts w:ascii="Times New Roman" w:eastAsia="Times New Roman" w:hAnsi="Times New Roman" w:cs="Times New Roman"/>
          <w:i/>
          <w:iCs/>
        </w:rPr>
      </w:pPr>
    </w:p>
    <w:p w14:paraId="252E8CF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Tyrimais </w:t>
      </w:r>
      <w:r w:rsidRPr="008A351A">
        <w:rPr>
          <w:rFonts w:ascii="Times New Roman" w:eastAsia="Times New Roman" w:hAnsi="Times New Roman" w:cs="Times New Roman"/>
          <w:i/>
          <w:iCs/>
        </w:rPr>
        <w:t xml:space="preserve">in vitro </w:t>
      </w:r>
      <w:r w:rsidRPr="008A351A">
        <w:rPr>
          <w:rFonts w:ascii="Times New Roman" w:eastAsia="Times New Roman" w:hAnsi="Times New Roman" w:cs="Times New Roman"/>
        </w:rPr>
        <w:t xml:space="preserve">nustatyta, kad svarbiausias fermentas, dalyvaujantis citochromo P 450 vykdomame kvetiapino metabolizme, yra CYP 3A4. Veikiant CYP 3A4 fermentui, visų pirma atsiranda ir eliminuojamas norkvetiapinas. </w:t>
      </w:r>
    </w:p>
    <w:p w14:paraId="05E23C7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3357FA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Maždaug 73% radioaktyvumo išsiskyrė su šlapimu, 21% - su išmatomis.</w:t>
      </w:r>
    </w:p>
    <w:p w14:paraId="4670451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C17B8D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Nustatyta, kad kvetiapinas ir keli jo metabolitai (įskaitant norkvetiapiną)</w:t>
      </w:r>
      <w:r w:rsidRPr="008A351A">
        <w:rPr>
          <w:rFonts w:ascii="Times New Roman" w:eastAsia="Times New Roman" w:hAnsi="Times New Roman" w:cs="Times New Roman"/>
          <w:i/>
          <w:iCs/>
        </w:rPr>
        <w:t xml:space="preserve"> in vitro</w:t>
      </w:r>
      <w:r w:rsidRPr="008A351A">
        <w:rPr>
          <w:rFonts w:ascii="Times New Roman" w:eastAsia="Times New Roman" w:hAnsi="Times New Roman" w:cs="Times New Roman"/>
        </w:rPr>
        <w:t xml:space="preserve"> silpnai slopina žmogaus citochromo P450 1A2, 2C9, 2C19, 2D6 ir 3A4 aktyvumą. </w:t>
      </w:r>
      <w:r w:rsidRPr="008A351A">
        <w:rPr>
          <w:rFonts w:ascii="Times New Roman" w:eastAsia="Times New Roman" w:hAnsi="Times New Roman" w:cs="Times New Roman"/>
          <w:i/>
          <w:iCs/>
        </w:rPr>
        <w:t>In vitro</w:t>
      </w:r>
      <w:r w:rsidRPr="008A351A">
        <w:rPr>
          <w:rFonts w:ascii="Times New Roman" w:eastAsia="Times New Roman" w:hAnsi="Times New Roman" w:cs="Times New Roman"/>
        </w:rPr>
        <w:t xml:space="preserve"> CYP slopinimas pasireiškia tik tokiu atveju, kai koncentracija yra maždaug 5</w:t>
      </w:r>
      <w:r w:rsidRPr="008A351A">
        <w:rPr>
          <w:rFonts w:ascii="Times New Roman" w:eastAsia="Times New Roman" w:hAnsi="Times New Roman" w:cs="Times New Roman"/>
        </w:rPr>
        <w:noBreakHyphen/>
        <w:t>50 kartų didesnė už atsirandančią žmogaus, vartojančio 300</w:t>
      </w:r>
      <w:r w:rsidRPr="008A351A">
        <w:rPr>
          <w:rFonts w:ascii="Times New Roman" w:eastAsia="Times New Roman" w:hAnsi="Times New Roman" w:cs="Times New Roman"/>
        </w:rPr>
        <w:noBreakHyphen/>
        <w:t xml:space="preserve">800 mg paros dozę, organizme. Remiantis šiais </w:t>
      </w:r>
      <w:r w:rsidRPr="008A351A">
        <w:rPr>
          <w:rFonts w:ascii="Times New Roman" w:eastAsia="Times New Roman" w:hAnsi="Times New Roman" w:cs="Times New Roman"/>
          <w:i/>
          <w:iCs/>
        </w:rPr>
        <w:t>in vitro</w:t>
      </w:r>
      <w:r w:rsidRPr="008A351A">
        <w:rPr>
          <w:rFonts w:ascii="Times New Roman" w:eastAsia="Times New Roman" w:hAnsi="Times New Roman" w:cs="Times New Roman"/>
        </w:rPr>
        <w:t xml:space="preserve"> tyrimais, nėra tikėtina, kad kartu su kvetiapinu vartojant kitų vaistų pasireikštų kliniškai reikšmingas citochromo P450 vykdomo kitų vaistinių preparatų metabolizmo slopinimas. Remiantys tyrimų su gyvūnais duomenimis, atrodo, kad kvetiapinas gali indukuoti citochromo P 450 fermentus. Tačiau specifinių sąveikos psichoze sergančių pacientų organizme tyrimų metu citochromo P 450 aktyvumo padidėjimo po kvetiapino pavartojimo nepastebėta.</w:t>
      </w:r>
    </w:p>
    <w:p w14:paraId="151A9AA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8AC836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Eliminacija</w:t>
      </w:r>
    </w:p>
    <w:p w14:paraId="4D3A458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Pusinės kvetiapino ir norkvetiapino eliminacijos laikas yra, atitinkamai, maždaug 7 val. ir 12 val. Bendra laisvo kvetiapino ir aktyvaus jo metabolito norkvetiapino frakcija, išskiriama su šlapimu, yra mažesnė kaip 5 % molinės dozės.</w:t>
      </w:r>
    </w:p>
    <w:p w14:paraId="4F8B66C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1F396DF" w14:textId="77777777" w:rsidR="009501EF" w:rsidRPr="008A351A" w:rsidRDefault="009501EF" w:rsidP="009501EF">
      <w:pPr>
        <w:tabs>
          <w:tab w:val="left" w:pos="567"/>
        </w:tabs>
        <w:spacing w:after="0" w:line="240" w:lineRule="auto"/>
        <w:rPr>
          <w:rFonts w:ascii="Times New Roman" w:eastAsia="Times New Roman" w:hAnsi="Times New Roman" w:cs="Times New Roman"/>
          <w:i/>
        </w:rPr>
      </w:pPr>
      <w:r w:rsidRPr="008A351A">
        <w:rPr>
          <w:rFonts w:ascii="Times New Roman" w:eastAsia="Times New Roman" w:hAnsi="Times New Roman" w:cs="Times New Roman"/>
          <w:i/>
        </w:rPr>
        <w:t>Ypatingos populiacijos</w:t>
      </w:r>
    </w:p>
    <w:p w14:paraId="68EFBF0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0805D7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Lytis</w:t>
      </w:r>
    </w:p>
    <w:p w14:paraId="678E639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Vyrų ir moterų kvetiapino kinetika nesiskiria.</w:t>
      </w:r>
    </w:p>
    <w:p w14:paraId="5C905F8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9AD30D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Senyvi pacientai</w:t>
      </w:r>
    </w:p>
    <w:p w14:paraId="74381C9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Senyvų žmonių organizme vidutinis kvetiapino klirensas yra 30–50 % mažesnis nei 18–65 metų amžiaus suaugusių žmonių.</w:t>
      </w:r>
    </w:p>
    <w:p w14:paraId="27ADE7A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59CFC5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Inkstų funkcijos sutrikimas</w:t>
      </w:r>
    </w:p>
    <w:p w14:paraId="028A379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Pacientų, kuriems yra sunkus inkstų funkcijos sutrikimas (kre</w:t>
      </w:r>
      <w:r w:rsidR="00EE1743" w:rsidRPr="008A351A">
        <w:rPr>
          <w:rFonts w:ascii="Times New Roman" w:eastAsia="Times New Roman" w:hAnsi="Times New Roman" w:cs="Times New Roman"/>
        </w:rPr>
        <w:t>a</w:t>
      </w:r>
      <w:r w:rsidRPr="008A351A">
        <w:rPr>
          <w:rFonts w:ascii="Times New Roman" w:eastAsia="Times New Roman" w:hAnsi="Times New Roman" w:cs="Times New Roman"/>
        </w:rPr>
        <w:t xml:space="preserve">tinino klirensas mažesnis nei </w:t>
      </w:r>
      <w:r w:rsidR="00EE1743" w:rsidRPr="008A351A">
        <w:rPr>
          <w:rFonts w:ascii="Times New Roman" w:eastAsia="Times New Roman" w:hAnsi="Times New Roman" w:cs="Times New Roman"/>
        </w:rPr>
        <w:t>30 </w:t>
      </w:r>
      <w:r w:rsidRPr="008A351A">
        <w:rPr>
          <w:rFonts w:ascii="Times New Roman" w:eastAsia="Times New Roman" w:hAnsi="Times New Roman" w:cs="Times New Roman"/>
        </w:rPr>
        <w:t>ml/min/1,73 m</w:t>
      </w:r>
      <w:r w:rsidRPr="008A351A">
        <w:rPr>
          <w:rFonts w:ascii="Times New Roman" w:eastAsia="Times New Roman" w:hAnsi="Times New Roman" w:cs="Times New Roman"/>
          <w:vertAlign w:val="superscript"/>
        </w:rPr>
        <w:t>2</w:t>
      </w:r>
      <w:r w:rsidRPr="008A351A">
        <w:rPr>
          <w:rFonts w:ascii="Times New Roman" w:eastAsia="Times New Roman" w:hAnsi="Times New Roman" w:cs="Times New Roman"/>
        </w:rPr>
        <w:t xml:space="preserve">), organizme vidutinis kvetiapino klirensas kraujo plazmoje buvo maždaug </w:t>
      </w:r>
      <w:r w:rsidR="00EE1743" w:rsidRPr="008A351A">
        <w:rPr>
          <w:rFonts w:ascii="Times New Roman" w:eastAsia="Times New Roman" w:hAnsi="Times New Roman" w:cs="Times New Roman"/>
        </w:rPr>
        <w:t>25 </w:t>
      </w:r>
      <w:r w:rsidRPr="008A351A">
        <w:rPr>
          <w:rFonts w:ascii="Times New Roman" w:eastAsia="Times New Roman" w:hAnsi="Times New Roman" w:cs="Times New Roman"/>
        </w:rPr>
        <w:t>% mažesnis, tačiau individualios klirenso reikšmės buvo sveikų žmonių klirenso reikšmių ribose.</w:t>
      </w:r>
    </w:p>
    <w:p w14:paraId="0B8300A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BBD095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Kepenų funkcijos sutrikimas</w:t>
      </w:r>
    </w:p>
    <w:p w14:paraId="5E1C5D6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Pacientų, kurių kepenų funkcija sutrikusi (stabili alkoholinė cirozė), kraujo plazmoje vidutinis kvetiapino klirensas buvo maždaug 25 % mažesnis. Kadangi kvetiapinas ekstensyviai metabolizuojamas kepenyse, todėl pacientų, kurių kepenų funkcija sutrikusi, kraujo plazmoje tikėtinas didesnis jo kiekis, todėl jiems gali prireikti keisti dozę (žr. 4.2 skyrių).</w:t>
      </w:r>
    </w:p>
    <w:p w14:paraId="013857A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98707E4" w14:textId="77777777" w:rsidR="009501EF" w:rsidRPr="008A351A" w:rsidRDefault="009501EF" w:rsidP="009501EF">
      <w:pPr>
        <w:tabs>
          <w:tab w:val="left" w:pos="567"/>
        </w:tabs>
        <w:spacing w:after="0" w:line="260" w:lineRule="exact"/>
        <w:rPr>
          <w:rFonts w:ascii="Times New Roman" w:eastAsia="Times New Roman" w:hAnsi="Times New Roman" w:cs="Times New Roman"/>
          <w:b/>
          <w:bCs/>
        </w:rPr>
      </w:pPr>
      <w:r w:rsidRPr="008A351A">
        <w:rPr>
          <w:rFonts w:ascii="Times New Roman" w:eastAsia="Times New Roman" w:hAnsi="Times New Roman" w:cs="Times New Roman"/>
          <w:b/>
          <w:bCs/>
        </w:rPr>
        <w:t>Vaikų populiacija</w:t>
      </w:r>
    </w:p>
    <w:p w14:paraId="7C46A372"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Farmakokinetinių duomenų gauta ištyrus devynis 10–12 metų vaikus ir 12 paauglių, gydytų stabilia du kartus per parą vartojama 400 mg kvetiapino doze. Nusistovėjus pusiausvyrinei apykaitai, pagal dozę perskaičiuota pirminės medžiagos kvetiapino koncentracija 10–17 metų amžiaus vaikų ir paauglių plazmoje buvo panaši į būnančią suaugusių žmonių plazmoje, tačiau vaikams C</w:t>
      </w:r>
      <w:r w:rsidRPr="008A351A">
        <w:rPr>
          <w:rFonts w:ascii="Times New Roman" w:eastAsia="Times New Roman" w:hAnsi="Times New Roman" w:cs="Times New Roman"/>
          <w:vertAlign w:val="subscript"/>
        </w:rPr>
        <w:t>max</w:t>
      </w:r>
      <w:r w:rsidRPr="008A351A">
        <w:rPr>
          <w:rFonts w:ascii="Times New Roman" w:eastAsia="Times New Roman" w:hAnsi="Times New Roman" w:cs="Times New Roman"/>
        </w:rPr>
        <w:t xml:space="preserve"> buvo suaugusiems žmonėms nustatytų ribų viršutinėje dalyje. Veikliojo metabolito AUC ir C</w:t>
      </w:r>
      <w:r w:rsidRPr="008A351A">
        <w:rPr>
          <w:rFonts w:ascii="Times New Roman" w:eastAsia="Times New Roman" w:hAnsi="Times New Roman" w:cs="Times New Roman"/>
          <w:vertAlign w:val="subscript"/>
        </w:rPr>
        <w:t>max</w:t>
      </w:r>
      <w:r w:rsidRPr="008A351A">
        <w:rPr>
          <w:rFonts w:ascii="Times New Roman" w:eastAsia="Times New Roman" w:hAnsi="Times New Roman" w:cs="Times New Roman"/>
        </w:rPr>
        <w:t xml:space="preserve"> buvo didesni: atitinkamai maždaug 62</w:t>
      </w:r>
      <w:r w:rsidR="00EE1743" w:rsidRPr="008A351A">
        <w:rPr>
          <w:rFonts w:ascii="Times New Roman" w:eastAsia="Times New Roman" w:hAnsi="Times New Roman" w:cs="Times New Roman"/>
        </w:rPr>
        <w:t> </w:t>
      </w:r>
      <w:r w:rsidRPr="008A351A">
        <w:rPr>
          <w:rFonts w:ascii="Times New Roman" w:eastAsia="Times New Roman" w:hAnsi="Times New Roman" w:cs="Times New Roman"/>
        </w:rPr>
        <w:t>% ir 49</w:t>
      </w:r>
      <w:r w:rsidR="00EE1743" w:rsidRPr="008A351A">
        <w:rPr>
          <w:rFonts w:ascii="Times New Roman" w:eastAsia="Times New Roman" w:hAnsi="Times New Roman" w:cs="Times New Roman"/>
        </w:rPr>
        <w:t> </w:t>
      </w:r>
      <w:r w:rsidRPr="008A351A">
        <w:rPr>
          <w:rFonts w:ascii="Times New Roman" w:eastAsia="Times New Roman" w:hAnsi="Times New Roman" w:cs="Times New Roman"/>
        </w:rPr>
        <w:t>% 10–12 metų vaikams bei 28% ir 14% 13–17 metų paaugliams, palyginti su atitinkamais suaugusių žmonių rodmenimis.</w:t>
      </w:r>
    </w:p>
    <w:p w14:paraId="3CF94E1E"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4336988F"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5.3</w:t>
      </w:r>
      <w:r w:rsidRPr="008A351A">
        <w:rPr>
          <w:rFonts w:ascii="Times New Roman" w:eastAsia="Times New Roman" w:hAnsi="Times New Roman" w:cs="Times New Roman"/>
          <w:b/>
          <w:bCs/>
        </w:rPr>
        <w:tab/>
        <w:t>Ikiklinikinių saugumo tyrimų duomenys</w:t>
      </w:r>
    </w:p>
    <w:p w14:paraId="2087809D"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095DD8A3" w14:textId="77777777" w:rsidR="009501EF" w:rsidRPr="008A351A" w:rsidRDefault="009501EF" w:rsidP="009501EF">
      <w:pPr>
        <w:tabs>
          <w:tab w:val="left" w:pos="567"/>
        </w:tabs>
        <w:spacing w:after="0" w:line="240" w:lineRule="auto"/>
        <w:ind w:left="15" w:hanging="15"/>
        <w:rPr>
          <w:rFonts w:ascii="Times New Roman" w:eastAsia="Times New Roman" w:hAnsi="Times New Roman" w:cs="Times New Roman"/>
        </w:rPr>
      </w:pPr>
      <w:r w:rsidRPr="008A351A">
        <w:rPr>
          <w:rFonts w:ascii="Times New Roman" w:eastAsia="Times New Roman" w:hAnsi="Times New Roman" w:cs="Times New Roman"/>
        </w:rPr>
        <w:t xml:space="preserve">Tyrimų </w:t>
      </w:r>
      <w:r w:rsidRPr="008A351A">
        <w:rPr>
          <w:rFonts w:ascii="Times New Roman" w:eastAsia="Times New Roman" w:hAnsi="Times New Roman" w:cs="Times New Roman"/>
          <w:i/>
          <w:iCs/>
        </w:rPr>
        <w:t>in vitro</w:t>
      </w:r>
      <w:r w:rsidRPr="008A351A">
        <w:rPr>
          <w:rFonts w:ascii="Times New Roman" w:eastAsia="Times New Roman" w:hAnsi="Times New Roman" w:cs="Times New Roman"/>
        </w:rPr>
        <w:t xml:space="preserve"> bei </w:t>
      </w:r>
      <w:r w:rsidRPr="008A351A">
        <w:rPr>
          <w:rFonts w:ascii="Times New Roman" w:eastAsia="Times New Roman" w:hAnsi="Times New Roman" w:cs="Times New Roman"/>
          <w:i/>
          <w:iCs/>
        </w:rPr>
        <w:t>in vivo</w:t>
      </w:r>
      <w:r w:rsidRPr="008A351A">
        <w:rPr>
          <w:rFonts w:ascii="Times New Roman" w:eastAsia="Times New Roman" w:hAnsi="Times New Roman" w:cs="Times New Roman"/>
        </w:rPr>
        <w:t xml:space="preserve"> metu genotoksinio poveikio kvetiapinas nedarė. Toliau yra nurodyti tyrimų metu gyvūnams nuo kliniškai reikšmingos ekspozicijos atsiradę pokyčiai, kurie ilgalaikiais klinikiniais tyrimais kol kas nepatvirtinti.</w:t>
      </w:r>
    </w:p>
    <w:p w14:paraId="704C914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Žiurkėms atsirado pigmento nuosėdų skydliaukėje, </w:t>
      </w:r>
      <w:r w:rsidRPr="008A351A">
        <w:rPr>
          <w:rFonts w:ascii="Times New Roman" w:eastAsia="Times New Roman" w:hAnsi="Times New Roman" w:cs="Times New Roman"/>
          <w:i/>
          <w:iCs/>
        </w:rPr>
        <w:t>Cynomolgus</w:t>
      </w:r>
      <w:r w:rsidRPr="008A351A">
        <w:rPr>
          <w:rFonts w:ascii="Times New Roman" w:eastAsia="Times New Roman" w:hAnsi="Times New Roman" w:cs="Times New Roman"/>
        </w:rPr>
        <w:t xml:space="preserve"> beždžionėms - skydliaukės folikulų ląstelių hipertrofija, T</w:t>
      </w:r>
      <w:r w:rsidRPr="008A351A">
        <w:rPr>
          <w:rFonts w:ascii="Times New Roman" w:eastAsia="Times New Roman" w:hAnsi="Times New Roman" w:cs="Times New Roman"/>
          <w:vertAlign w:val="subscript"/>
        </w:rPr>
        <w:t>3</w:t>
      </w:r>
      <w:r w:rsidRPr="008A351A">
        <w:rPr>
          <w:rFonts w:ascii="Times New Roman" w:eastAsia="Times New Roman" w:hAnsi="Times New Roman" w:cs="Times New Roman"/>
        </w:rPr>
        <w:t xml:space="preserve"> kiekio kraujo plazmoje sumažėjimas, hemoglobino koncentracijos sumažėjimas, raudonųjų ir baltųjų kraujo ląstelių kiekio sumažėjimas, šunims - lęšiukų drumstis ir katarakta. </w:t>
      </w:r>
    </w:p>
    <w:p w14:paraId="446DFCC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(Katarakta/lęšiuko drumstis – žr. 5.1 skyrių).</w:t>
      </w:r>
    </w:p>
    <w:p w14:paraId="4A8729B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E595AD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Atlikus embrionų toksiškumo tyrimą su triušiais nustatytas didesnis vaisiaus riešo / čiurnos sulinkimo atvejų skaičius. Šis poveikis įvyko esant akivaizdžiam poveikiui motinai, pvz., sumažėjus kūno svorio augimui. Šis poveikis buvo matomas motiną veikiant kiekiais, atitinkančiais žmonių vartojamą didžiausią ar kiek ją viršijančią terapinę dozę. Šių rezultatų tinkamumas žmonėms nežinomas.</w:t>
      </w:r>
    </w:p>
    <w:p w14:paraId="04FF4E9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175BD5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Atlikus vaisingumo tyrimą su žiurkėmis, buvo nustatytas nežymus patino vaisingumo ir pseudonėštumo sumažėjimas, užsitęsęs porujos laikotarpis, pailgėjęs prekoitalinis intervalas ir sumažėjęs apvaisinimų skaičius. Šis poveikis yra susijęs su padidėjusiu prolaktino kiekiu ir nėra tiesiogiai taikomas žmonėms dėl rūšių hormoninės reprodukcijos kontrolės skirtumų.</w:t>
      </w:r>
    </w:p>
    <w:p w14:paraId="2CED499C"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262DB672"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42BD05E9"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6.</w:t>
      </w:r>
      <w:r w:rsidRPr="008A351A">
        <w:rPr>
          <w:rFonts w:ascii="Times New Roman" w:eastAsia="Times New Roman" w:hAnsi="Times New Roman" w:cs="Times New Roman"/>
          <w:b/>
          <w:bCs/>
          <w:iCs/>
        </w:rPr>
        <w:tab/>
        <w:t>FARMACINĖ INFORMACIJA</w:t>
      </w:r>
    </w:p>
    <w:p w14:paraId="689894F5" w14:textId="77777777" w:rsidR="009501EF" w:rsidRPr="008A351A" w:rsidRDefault="009501EF" w:rsidP="009501EF">
      <w:pPr>
        <w:tabs>
          <w:tab w:val="left" w:pos="-1068"/>
          <w:tab w:val="left" w:pos="-714"/>
          <w:tab w:val="left" w:pos="1"/>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409768A0"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6.1</w:t>
      </w:r>
      <w:r w:rsidRPr="008A351A">
        <w:rPr>
          <w:rFonts w:ascii="Times New Roman" w:eastAsia="Times New Roman" w:hAnsi="Times New Roman" w:cs="Times New Roman"/>
          <w:b/>
          <w:bCs/>
        </w:rPr>
        <w:tab/>
        <w:t>Pagalbinių medžiagų sąrašas</w:t>
      </w:r>
    </w:p>
    <w:p w14:paraId="0B959201"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040ED59B"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Laktozė monohidratas</w:t>
      </w:r>
    </w:p>
    <w:p w14:paraId="48255959"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Karboksimetilkrakmolo A natrio druska</w:t>
      </w:r>
    </w:p>
    <w:p w14:paraId="5BE19474"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Kalcio-vandenilio fosfatas dihidratas</w:t>
      </w:r>
    </w:p>
    <w:p w14:paraId="78092045"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Povidonas K 30</w:t>
      </w:r>
    </w:p>
    <w:p w14:paraId="1127FA1F"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Mikrokristalinė celiuliozė (PH 102)</w:t>
      </w:r>
    </w:p>
    <w:p w14:paraId="45B31EE6"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Magnio stearatas</w:t>
      </w:r>
    </w:p>
    <w:p w14:paraId="03B53AC5"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5A9C498B"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Tabletės plėvelė:</w:t>
      </w:r>
    </w:p>
    <w:p w14:paraId="38BE3941"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25 mg</w:t>
      </w:r>
      <w:r w:rsidRPr="008A351A">
        <w:rPr>
          <w:rFonts w:ascii="Times New Roman" w:eastAsia="Times New Roman" w:hAnsi="Times New Roman" w:cs="Times New Roman"/>
        </w:rPr>
        <w:t>: Hipromeliozė 6cP</w:t>
      </w:r>
    </w:p>
    <w:p w14:paraId="74A751B2"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51F606C2"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666E2C4C"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14:paraId="2BA64810"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Raudonasis geležies oksidas</w:t>
      </w:r>
    </w:p>
    <w:p w14:paraId="2527493C"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6F3137D8"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100 mg:</w:t>
      </w:r>
      <w:r w:rsidRPr="008A351A">
        <w:rPr>
          <w:rFonts w:ascii="Times New Roman" w:eastAsia="Times New Roman" w:hAnsi="Times New Roman" w:cs="Times New Roman"/>
        </w:rPr>
        <w:t xml:space="preserve"> Hipromeliozė 6cP</w:t>
      </w:r>
    </w:p>
    <w:p w14:paraId="4E384A63"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608A879D"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3D816F19"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14:paraId="298FDC7D"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0F0A690D"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150 mg:</w:t>
      </w:r>
      <w:r w:rsidRPr="008A351A">
        <w:rPr>
          <w:rFonts w:ascii="Times New Roman" w:eastAsia="Times New Roman" w:hAnsi="Times New Roman" w:cs="Times New Roman"/>
        </w:rPr>
        <w:t xml:space="preserve"> </w:t>
      </w:r>
    </w:p>
    <w:p w14:paraId="1D6CCFB2"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6cP</w:t>
      </w:r>
    </w:p>
    <w:p w14:paraId="7268AD70"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34D2905C"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0CF8D7D7"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14:paraId="417D1258"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76359F7E"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200 mg:</w:t>
      </w:r>
    </w:p>
    <w:p w14:paraId="0234A9B3"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E-5</w:t>
      </w:r>
    </w:p>
    <w:p w14:paraId="395EF47F"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0AD67606"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607A6C0A"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538FADBF"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300 mg:</w:t>
      </w:r>
    </w:p>
    <w:p w14:paraId="4A096ABA"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E-5</w:t>
      </w:r>
    </w:p>
    <w:p w14:paraId="66504273"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301230A9"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44E1990A"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1DB8DFB7"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6.2</w:t>
      </w:r>
      <w:r w:rsidRPr="008A351A">
        <w:rPr>
          <w:rFonts w:ascii="Times New Roman" w:eastAsia="Times New Roman" w:hAnsi="Times New Roman" w:cs="Times New Roman"/>
          <w:b/>
          <w:bCs/>
        </w:rPr>
        <w:tab/>
        <w:t>Nesuderinamumas</w:t>
      </w:r>
    </w:p>
    <w:p w14:paraId="586B231B"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212EA26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Duomenys nebūtini.</w:t>
      </w:r>
    </w:p>
    <w:p w14:paraId="1519B405" w14:textId="77777777" w:rsidR="009501EF" w:rsidRPr="008A351A" w:rsidRDefault="009501EF" w:rsidP="009501EF">
      <w:pPr>
        <w:tabs>
          <w:tab w:val="left" w:pos="-1068"/>
          <w:tab w:val="left" w:pos="-714"/>
          <w:tab w:val="left" w:pos="1"/>
          <w:tab w:val="left" w:pos="567"/>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161BF2CB"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6.3</w:t>
      </w:r>
      <w:r w:rsidRPr="008A351A">
        <w:rPr>
          <w:rFonts w:ascii="Times New Roman" w:eastAsia="Times New Roman" w:hAnsi="Times New Roman" w:cs="Times New Roman"/>
          <w:b/>
          <w:bCs/>
        </w:rPr>
        <w:tab/>
        <w:t>Tinkamumo laikas</w:t>
      </w:r>
    </w:p>
    <w:p w14:paraId="493E1A75" w14:textId="77777777" w:rsidR="009501EF" w:rsidRPr="008A351A" w:rsidRDefault="009501EF" w:rsidP="009501EF">
      <w:pPr>
        <w:tabs>
          <w:tab w:val="left" w:pos="-1068"/>
          <w:tab w:val="left" w:pos="-714"/>
          <w:tab w:val="left" w:pos="1"/>
          <w:tab w:val="left" w:pos="567"/>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6E89C3A2" w14:textId="77777777" w:rsidR="009501EF" w:rsidRPr="008A351A" w:rsidRDefault="009501EF" w:rsidP="009501EF">
      <w:pPr>
        <w:tabs>
          <w:tab w:val="left" w:pos="-1068"/>
          <w:tab w:val="left" w:pos="-714"/>
          <w:tab w:val="left" w:pos="1"/>
          <w:tab w:val="left" w:pos="567"/>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rPr>
        <w:tab/>
        <w:t>30 mėnesių</w:t>
      </w:r>
    </w:p>
    <w:p w14:paraId="3623027B" w14:textId="77777777" w:rsidR="009501EF" w:rsidRPr="008A351A" w:rsidRDefault="009501EF" w:rsidP="009501EF">
      <w:pPr>
        <w:tabs>
          <w:tab w:val="left" w:pos="-1068"/>
          <w:tab w:val="left" w:pos="-714"/>
          <w:tab w:val="left" w:pos="1"/>
          <w:tab w:val="left" w:pos="567"/>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rPr>
      </w:pPr>
    </w:p>
    <w:p w14:paraId="7823006C"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6.4</w:t>
      </w:r>
      <w:r w:rsidRPr="008A351A">
        <w:rPr>
          <w:rFonts w:ascii="Times New Roman" w:eastAsia="Times New Roman" w:hAnsi="Times New Roman" w:cs="Times New Roman"/>
          <w:b/>
          <w:bCs/>
        </w:rPr>
        <w:tab/>
        <w:t>Specialios laikymo sąlygos</w:t>
      </w:r>
    </w:p>
    <w:p w14:paraId="71D423F8" w14:textId="77777777" w:rsidR="009501EF" w:rsidRPr="008A351A" w:rsidRDefault="009501EF" w:rsidP="009501EF">
      <w:pPr>
        <w:tabs>
          <w:tab w:val="left" w:pos="-1068"/>
          <w:tab w:val="left" w:pos="-714"/>
          <w:tab w:val="left" w:pos="1"/>
          <w:tab w:val="left" w:pos="567"/>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bookmarkStart w:id="9" w:name="Texte153"/>
    </w:p>
    <w:bookmarkEnd w:id="9"/>
    <w:p w14:paraId="7274E14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Šiam vaistiniam preparatui specialių laikymo sąlygų nereikia.</w:t>
      </w:r>
    </w:p>
    <w:p w14:paraId="08F3F25C"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11A56D7F"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6.5</w:t>
      </w:r>
      <w:r w:rsidRPr="008A351A">
        <w:rPr>
          <w:rFonts w:ascii="Times New Roman" w:eastAsia="Times New Roman" w:hAnsi="Times New Roman" w:cs="Times New Roman"/>
          <w:b/>
          <w:bCs/>
        </w:rPr>
        <w:tab/>
        <w:t>Pakuotė ir jos turinys</w:t>
      </w:r>
    </w:p>
    <w:p w14:paraId="12664BD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9788BD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Tabletės tiekiamos PVC/Aliuminio folijos lizdinėse plokštelėse kartono dėžutėje po 6, 7, 10, 14, 20, 28, 30, 50, 56, 60, 84, 90, 98 ir 100 tablečių.</w:t>
      </w:r>
    </w:p>
    <w:p w14:paraId="20997FF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3BCDE2F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Gali būti tiekiamos ne visų dydžių pakuotės.</w:t>
      </w:r>
    </w:p>
    <w:p w14:paraId="64881FB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535024C" w14:textId="77777777" w:rsidR="009501EF" w:rsidRPr="008A351A" w:rsidRDefault="009501EF" w:rsidP="009501EF">
      <w:pPr>
        <w:keepNext/>
        <w:tabs>
          <w:tab w:val="left" w:pos="567"/>
        </w:tabs>
        <w:spacing w:after="0" w:line="240" w:lineRule="auto"/>
        <w:outlineLvl w:val="2"/>
        <w:rPr>
          <w:rFonts w:ascii="Times New Roman" w:eastAsia="Times New Roman" w:hAnsi="Times New Roman" w:cs="Times New Roman"/>
          <w:b/>
          <w:bCs/>
        </w:rPr>
      </w:pPr>
      <w:r w:rsidRPr="008A351A">
        <w:rPr>
          <w:rFonts w:ascii="Times New Roman" w:eastAsia="Times New Roman" w:hAnsi="Times New Roman" w:cs="Times New Roman"/>
          <w:b/>
          <w:bCs/>
        </w:rPr>
        <w:t>6.6</w:t>
      </w:r>
      <w:r w:rsidRPr="008A351A">
        <w:rPr>
          <w:rFonts w:ascii="Times New Roman" w:eastAsia="Times New Roman" w:hAnsi="Times New Roman" w:cs="Times New Roman"/>
          <w:b/>
          <w:bCs/>
        </w:rPr>
        <w:tab/>
        <w:t>Specialūs reikalavimai atliekoms laikyti ir tvarkyti</w:t>
      </w:r>
    </w:p>
    <w:p w14:paraId="6DA60981"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p>
    <w:p w14:paraId="15C7894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Specialių reikalavimų nėra.</w:t>
      </w:r>
    </w:p>
    <w:p w14:paraId="22EA6CE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1660499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6F3C268"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7.</w:t>
      </w:r>
      <w:r w:rsidRPr="008A351A">
        <w:rPr>
          <w:rFonts w:ascii="Times New Roman" w:eastAsia="Times New Roman" w:hAnsi="Times New Roman" w:cs="Times New Roman"/>
          <w:b/>
          <w:bCs/>
          <w:iCs/>
        </w:rPr>
        <w:tab/>
        <w:t>REGISTRUOTOJAS</w:t>
      </w:r>
    </w:p>
    <w:p w14:paraId="5075CB20" w14:textId="77777777" w:rsidR="009501EF" w:rsidRPr="008A351A" w:rsidRDefault="009501EF" w:rsidP="009501EF">
      <w:pPr>
        <w:tabs>
          <w:tab w:val="left" w:pos="-1068"/>
          <w:tab w:val="left" w:pos="-714"/>
          <w:tab w:val="left" w:pos="1"/>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51FE5F12"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Accord Healthcare B.V. </w:t>
      </w:r>
    </w:p>
    <w:p w14:paraId="26920437"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Winthontlaan 200 </w:t>
      </w:r>
    </w:p>
    <w:p w14:paraId="4AB8812E"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3526 KV Utrecht </w:t>
      </w:r>
    </w:p>
    <w:p w14:paraId="23409B54" w14:textId="77777777" w:rsidR="009501EF" w:rsidRPr="008A351A" w:rsidRDefault="00F04877" w:rsidP="00B16D6F">
      <w:pPr>
        <w:tabs>
          <w:tab w:val="left" w:pos="-1068"/>
          <w:tab w:val="left" w:pos="-714"/>
          <w:tab w:val="left" w:pos="1"/>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lang w:eastAsia="lt-LT"/>
        </w:rPr>
      </w:pPr>
      <w:r w:rsidRPr="008A351A">
        <w:rPr>
          <w:rFonts w:ascii="Times New Roman" w:hAnsi="Times New Roman" w:cs="Times New Roman"/>
        </w:rPr>
        <w:t>Nyderlandai</w:t>
      </w:r>
    </w:p>
    <w:p w14:paraId="0093A249" w14:textId="77777777" w:rsidR="009501EF" w:rsidRPr="008A351A" w:rsidRDefault="009501EF" w:rsidP="009501EF">
      <w:pPr>
        <w:tabs>
          <w:tab w:val="left" w:pos="-1068"/>
          <w:tab w:val="left" w:pos="-714"/>
          <w:tab w:val="left" w:pos="1"/>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3AC589E9" w14:textId="77777777" w:rsidR="009501EF" w:rsidRPr="008A351A" w:rsidRDefault="009501EF" w:rsidP="009501EF">
      <w:pPr>
        <w:tabs>
          <w:tab w:val="left" w:pos="-1068"/>
          <w:tab w:val="left" w:pos="-714"/>
          <w:tab w:val="left" w:pos="1"/>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47487CBF"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8.</w:t>
      </w:r>
      <w:r w:rsidRPr="008A351A">
        <w:rPr>
          <w:rFonts w:ascii="Times New Roman" w:eastAsia="Times New Roman" w:hAnsi="Times New Roman" w:cs="Times New Roman"/>
          <w:b/>
          <w:bCs/>
          <w:iCs/>
        </w:rPr>
        <w:tab/>
        <w:t xml:space="preserve">REGISTRACIJOS PAŽYMĖJIMO </w:t>
      </w:r>
      <w:r w:rsidR="003675E5">
        <w:rPr>
          <w:rFonts w:ascii="Times New Roman" w:eastAsia="Times New Roman" w:hAnsi="Times New Roman" w:cs="Times New Roman"/>
          <w:b/>
          <w:bCs/>
          <w:iCs/>
        </w:rPr>
        <w:t>numeris</w:t>
      </w:r>
      <w:r w:rsidR="007B482D" w:rsidRPr="008A351A">
        <w:rPr>
          <w:rFonts w:ascii="Times New Roman" w:eastAsia="Times New Roman" w:hAnsi="Times New Roman" w:cs="Times New Roman"/>
          <w:b/>
          <w:bCs/>
          <w:iCs/>
        </w:rPr>
        <w:t xml:space="preserve"> </w:t>
      </w:r>
      <w:r w:rsidRPr="008A351A">
        <w:rPr>
          <w:rFonts w:ascii="Times New Roman" w:eastAsia="Times New Roman" w:hAnsi="Times New Roman" w:cs="Times New Roman"/>
          <w:b/>
          <w:bCs/>
          <w:iCs/>
        </w:rPr>
        <w:t>(-IAI)</w:t>
      </w:r>
    </w:p>
    <w:p w14:paraId="42E68D2B" w14:textId="77777777" w:rsidR="009501EF" w:rsidRPr="008A351A" w:rsidRDefault="009501EF" w:rsidP="009501EF">
      <w:pPr>
        <w:tabs>
          <w:tab w:val="left" w:pos="-1068"/>
          <w:tab w:val="left" w:pos="-714"/>
          <w:tab w:val="left" w:pos="426"/>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rPr>
      </w:pPr>
    </w:p>
    <w:tbl>
      <w:tblPr>
        <w:tblStyle w:val="Lentelstinklelis"/>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118"/>
        <w:gridCol w:w="2977"/>
      </w:tblGrid>
      <w:tr w:rsidR="00FC1E6C" w14:paraId="10413D6F" w14:textId="77777777" w:rsidTr="00FC1E6C">
        <w:tc>
          <w:tcPr>
            <w:tcW w:w="3119" w:type="dxa"/>
          </w:tcPr>
          <w:p w14:paraId="21C28609" w14:textId="77777777" w:rsidR="00FC1E6C" w:rsidRPr="00FC1E6C" w:rsidRDefault="00FC1E6C" w:rsidP="009501EF">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lastRenderedPageBreak/>
              <w:t>25 mg</w:t>
            </w:r>
          </w:p>
          <w:p w14:paraId="3E9CD1D3"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LT/1/11/2387/001 – N6</w:t>
            </w:r>
          </w:p>
          <w:p w14:paraId="212A5B3A"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LT/1/11/2387/002 – N7</w:t>
            </w:r>
          </w:p>
          <w:p w14:paraId="70FA962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LT/1/11/2387/003 – N10</w:t>
            </w:r>
          </w:p>
          <w:p w14:paraId="585F97C8"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LT/1/11/2387/004 – N14</w:t>
            </w:r>
          </w:p>
          <w:p w14:paraId="664EBB48"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LT/1/11/2387/005 – N20</w:t>
            </w:r>
          </w:p>
          <w:p w14:paraId="75739B02"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LT/1/11/2387/006 – N28</w:t>
            </w:r>
          </w:p>
          <w:p w14:paraId="6F0EA478"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LT/1/11/2387/007 – N30</w:t>
            </w:r>
          </w:p>
          <w:p w14:paraId="1FC87C78"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LT/1/11/2387/008 – N50</w:t>
            </w:r>
          </w:p>
          <w:p w14:paraId="695BB838"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LT/1/11/2387/009 – N56</w:t>
            </w:r>
          </w:p>
          <w:p w14:paraId="7EB7381F"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LT/1/11/2387/010 – N60</w:t>
            </w:r>
          </w:p>
          <w:p w14:paraId="55F1002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LT/1/11/2387/011 – N84</w:t>
            </w:r>
          </w:p>
          <w:p w14:paraId="19A00B53"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LT/1/11/2387/012 – N90</w:t>
            </w:r>
          </w:p>
          <w:p w14:paraId="2BDF2E3E"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LT/1/11/2387/013 – N98</w:t>
            </w:r>
          </w:p>
          <w:p w14:paraId="2BFDD81E" w14:textId="77777777" w:rsidR="00FC1E6C" w:rsidRPr="00FC1E6C" w:rsidRDefault="00FC1E6C" w:rsidP="00FC1E6C">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t>LT/1/11/2387/014 – N100</w:t>
            </w:r>
          </w:p>
        </w:tc>
        <w:tc>
          <w:tcPr>
            <w:tcW w:w="3118" w:type="dxa"/>
          </w:tcPr>
          <w:p w14:paraId="4458B756" w14:textId="77777777" w:rsidR="00FC1E6C" w:rsidRPr="00FC1E6C" w:rsidRDefault="00FC1E6C" w:rsidP="009501EF">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t>100 mg</w:t>
            </w:r>
          </w:p>
          <w:p w14:paraId="1A7E402D"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LT/1/11/2387/015 – N6</w:t>
            </w:r>
          </w:p>
          <w:p w14:paraId="7870C155"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LT/1/11/2387/016 – N7</w:t>
            </w:r>
          </w:p>
          <w:p w14:paraId="18B5C28E"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LT/1/11/2387/017 – N10</w:t>
            </w:r>
          </w:p>
          <w:p w14:paraId="0FF591FD"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LT/1/11/2387/018 – N14</w:t>
            </w:r>
          </w:p>
          <w:p w14:paraId="5AEE4690"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LT/1/11/2387/019 – N20</w:t>
            </w:r>
          </w:p>
          <w:p w14:paraId="0215F03D"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LT/1/11/2387/020 – N28</w:t>
            </w:r>
          </w:p>
          <w:p w14:paraId="1EADF32F"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LT/1/11/2387/021 – N30</w:t>
            </w:r>
          </w:p>
          <w:p w14:paraId="12570D33"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LT/1/11/2387/022 – N50</w:t>
            </w:r>
          </w:p>
          <w:p w14:paraId="30A20DB5"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LT/1/11/2387/023 – N56</w:t>
            </w:r>
          </w:p>
          <w:p w14:paraId="53F4AAB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LT/1/11/2387/024 – N60</w:t>
            </w:r>
          </w:p>
          <w:p w14:paraId="6C467078"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LT/1/11/2387/025 – N84</w:t>
            </w:r>
          </w:p>
          <w:p w14:paraId="65558FB2"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LT/1/11/2387/026 – N90</w:t>
            </w:r>
          </w:p>
          <w:p w14:paraId="1E769348"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LT/1/11/2387/027 – N98</w:t>
            </w:r>
          </w:p>
          <w:p w14:paraId="45FCEF0C" w14:textId="77777777" w:rsidR="00FC1E6C" w:rsidRPr="00FC1E6C" w:rsidRDefault="00FC1E6C" w:rsidP="00FC1E6C">
            <w:pPr>
              <w:tabs>
                <w:tab w:val="left" w:pos="567"/>
              </w:tabs>
              <w:spacing w:after="120" w:line="240" w:lineRule="auto"/>
              <w:rPr>
                <w:rFonts w:ascii="Times New Roman" w:eastAsia="Times New Roman" w:hAnsi="Times New Roman" w:cs="Times New Roman"/>
              </w:rPr>
            </w:pPr>
            <w:r w:rsidRPr="00FC1E6C">
              <w:rPr>
                <w:rFonts w:ascii="Times New Roman" w:eastAsia="Times New Roman" w:hAnsi="Times New Roman" w:cs="Times New Roman"/>
              </w:rPr>
              <w:t>LT/1/11/2387/028 – N100</w:t>
            </w:r>
          </w:p>
        </w:tc>
        <w:tc>
          <w:tcPr>
            <w:tcW w:w="2977" w:type="dxa"/>
          </w:tcPr>
          <w:p w14:paraId="136B7A8D" w14:textId="77777777" w:rsidR="00FC1E6C" w:rsidRPr="00FC1E6C" w:rsidRDefault="00FC1E6C" w:rsidP="00FC1E6C">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t>150 mg</w:t>
            </w:r>
          </w:p>
          <w:p w14:paraId="1D4928E0"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LT/1/11/2387/029 – N6</w:t>
            </w:r>
          </w:p>
          <w:p w14:paraId="1AB1CEF4"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LT/1/11/2387/030 – N7</w:t>
            </w:r>
          </w:p>
          <w:p w14:paraId="325D153F"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LT/1/11/2387/031 – N10</w:t>
            </w:r>
          </w:p>
          <w:p w14:paraId="3804EAFA"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LT/1/11/2387/032 – N14</w:t>
            </w:r>
          </w:p>
          <w:p w14:paraId="2FB7518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LT/1/11/2387/033 – N20</w:t>
            </w:r>
          </w:p>
          <w:p w14:paraId="26BFD102"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LT/1/11/2387/034 – N28</w:t>
            </w:r>
          </w:p>
          <w:p w14:paraId="27C20435"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LT/1/11/2387/035 – N30</w:t>
            </w:r>
          </w:p>
          <w:p w14:paraId="59282DDC"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LT/1/11/2387/036 – N50</w:t>
            </w:r>
          </w:p>
          <w:p w14:paraId="75742B22"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LT/1/11/2387/037 – N56</w:t>
            </w:r>
          </w:p>
          <w:p w14:paraId="04A7ABDE"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LT/1/11/2387/038 – N60</w:t>
            </w:r>
          </w:p>
          <w:p w14:paraId="2F792882"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LT/1/11/2387/039 – N84</w:t>
            </w:r>
          </w:p>
          <w:p w14:paraId="5613DA4B"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LT/1/11/2387/040 – N90</w:t>
            </w:r>
          </w:p>
          <w:p w14:paraId="52AA4BA2"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LT/1/11/2387/041 – N98</w:t>
            </w:r>
          </w:p>
          <w:p w14:paraId="6A245E44" w14:textId="77777777" w:rsidR="00FC1E6C" w:rsidRPr="00FC1E6C" w:rsidRDefault="00FC1E6C" w:rsidP="00FC1E6C">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t>LT/1/11/2387/042 – N100</w:t>
            </w:r>
          </w:p>
        </w:tc>
      </w:tr>
      <w:tr w:rsidR="00FC1E6C" w14:paraId="5FD0E667" w14:textId="77777777" w:rsidTr="00FC1E6C">
        <w:trPr>
          <w:gridAfter w:val="1"/>
          <w:wAfter w:w="2977" w:type="dxa"/>
        </w:trPr>
        <w:tc>
          <w:tcPr>
            <w:tcW w:w="3119" w:type="dxa"/>
          </w:tcPr>
          <w:p w14:paraId="31DE7FED" w14:textId="77777777" w:rsidR="00FC1E6C" w:rsidRPr="00FC1E6C" w:rsidRDefault="00FC1E6C" w:rsidP="00FC1E6C">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t>200 mg</w:t>
            </w:r>
          </w:p>
          <w:p w14:paraId="3FDE6E34"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LT/1/11/2387/043 – N6</w:t>
            </w:r>
          </w:p>
          <w:p w14:paraId="5336A931"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LT/1/11/2387/044 – N7</w:t>
            </w:r>
          </w:p>
          <w:p w14:paraId="730590A5"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LT/1/11/2387/045 – N10</w:t>
            </w:r>
          </w:p>
          <w:p w14:paraId="378AED9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LT/1/11/2387/046 – N14</w:t>
            </w:r>
          </w:p>
          <w:p w14:paraId="67C9D08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LT/1/11/2387/047 – N20</w:t>
            </w:r>
          </w:p>
          <w:p w14:paraId="4451FC53"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LT/1/11/2387/048 – N28</w:t>
            </w:r>
          </w:p>
          <w:p w14:paraId="1849CCDA"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LT/1/11/2387/049 – N30</w:t>
            </w:r>
          </w:p>
          <w:p w14:paraId="624492B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LT/1/11/2387/050 – N50</w:t>
            </w:r>
          </w:p>
          <w:p w14:paraId="7BBDA0A4"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LT/1/11/2387/051 – N56</w:t>
            </w:r>
          </w:p>
          <w:p w14:paraId="34C8A0D3"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LT/1/11/2387/052 – N60</w:t>
            </w:r>
          </w:p>
          <w:p w14:paraId="0FCE9233"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LT/1/11/2387/053 – N84</w:t>
            </w:r>
          </w:p>
          <w:p w14:paraId="02CB7650"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LT/1/11/2387/054 – N90</w:t>
            </w:r>
          </w:p>
          <w:p w14:paraId="52868EFD"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LT/1/11/2387/055 – N98</w:t>
            </w:r>
          </w:p>
          <w:p w14:paraId="0F285509" w14:textId="77777777" w:rsidR="00FC1E6C" w:rsidRPr="00FC1E6C" w:rsidRDefault="00FC1E6C" w:rsidP="00FC1E6C">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t>LT/1/11/2387/056 – N100</w:t>
            </w:r>
          </w:p>
        </w:tc>
        <w:tc>
          <w:tcPr>
            <w:tcW w:w="3118" w:type="dxa"/>
          </w:tcPr>
          <w:p w14:paraId="1952EB93" w14:textId="77777777" w:rsidR="00FC1E6C" w:rsidRDefault="00FC1E6C" w:rsidP="00FC1E6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300 mg</w:t>
            </w:r>
          </w:p>
          <w:p w14:paraId="1D242DD0"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LT/1/11/2387/057 – N6</w:t>
            </w:r>
          </w:p>
          <w:p w14:paraId="0FFE3C03"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LT/1/11/2387/058 – N7</w:t>
            </w:r>
          </w:p>
          <w:p w14:paraId="27510274"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LT/1/11/2387/059 – N10</w:t>
            </w:r>
          </w:p>
          <w:p w14:paraId="69D7DAEE"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LT/1/11/2387/060 – N14</w:t>
            </w:r>
          </w:p>
          <w:p w14:paraId="18F6BE8B"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LT/1/11/2387/061 – N20</w:t>
            </w:r>
          </w:p>
          <w:p w14:paraId="4CF8AB6B"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LT/1/11/2387/062 – N28</w:t>
            </w:r>
          </w:p>
          <w:p w14:paraId="7AD5084D"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LT/1/11/2387/063 – N30</w:t>
            </w:r>
          </w:p>
          <w:p w14:paraId="59AC6968"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LT/1/11/2387/064 – N50</w:t>
            </w:r>
          </w:p>
          <w:p w14:paraId="4654A94D"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LT/1/11/2387/065 – N56</w:t>
            </w:r>
          </w:p>
          <w:p w14:paraId="38EFC5BE"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LT/1/11/2387/066 – N60</w:t>
            </w:r>
          </w:p>
          <w:p w14:paraId="6181CA89" w14:textId="77777777" w:rsidR="00FC1E6C" w:rsidRPr="00EA5D4E" w:rsidRDefault="00FC1E6C" w:rsidP="00FC1E6C">
            <w:pPr>
              <w:tabs>
                <w:tab w:val="left" w:pos="567"/>
              </w:tabs>
              <w:spacing w:after="0" w:line="240" w:lineRule="auto"/>
              <w:rPr>
                <w:rFonts w:ascii="Times New Roman" w:eastAsia="Times New Roman" w:hAnsi="Times New Roman" w:cs="Times New Roman"/>
                <w:lang w:val="pt-PT"/>
              </w:rPr>
            </w:pPr>
            <w:r w:rsidRPr="00EA5D4E">
              <w:rPr>
                <w:rFonts w:ascii="Times New Roman" w:eastAsia="Times New Roman" w:hAnsi="Times New Roman" w:cs="Times New Roman"/>
                <w:lang w:val="pt-PT"/>
              </w:rPr>
              <w:t>LT/1/11/2387/067 – N84</w:t>
            </w:r>
          </w:p>
          <w:p w14:paraId="4B43D2AB"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LT/1/11/2387/068 – N90</w:t>
            </w:r>
          </w:p>
          <w:p w14:paraId="03F5CF5A" w14:textId="77777777" w:rsidR="00FC1E6C" w:rsidRPr="00FC1E6C" w:rsidRDefault="00FC1E6C" w:rsidP="00FC1E6C">
            <w:pPr>
              <w:tabs>
                <w:tab w:val="left" w:pos="567"/>
              </w:tabs>
              <w:spacing w:after="0" w:line="240" w:lineRule="auto"/>
              <w:rPr>
                <w:rFonts w:ascii="Times New Roman" w:eastAsia="Times New Roman" w:hAnsi="Times New Roman" w:cs="Times New Roman"/>
                <w:lang w:val="en-US"/>
              </w:rPr>
            </w:pPr>
            <w:r w:rsidRPr="00FC1E6C">
              <w:rPr>
                <w:rFonts w:ascii="Times New Roman" w:eastAsia="Times New Roman" w:hAnsi="Times New Roman" w:cs="Times New Roman"/>
                <w:lang w:val="en-US"/>
              </w:rPr>
              <w:t>LT/1/11/2387/069 – N98</w:t>
            </w:r>
          </w:p>
          <w:p w14:paraId="08207263" w14:textId="77777777" w:rsidR="00FC1E6C" w:rsidRPr="00FC1E6C" w:rsidRDefault="00FC1E6C" w:rsidP="00FC1E6C">
            <w:pPr>
              <w:tabs>
                <w:tab w:val="left" w:pos="567"/>
              </w:tabs>
              <w:spacing w:after="0" w:line="240" w:lineRule="auto"/>
              <w:rPr>
                <w:rFonts w:ascii="Times New Roman" w:eastAsia="Times New Roman" w:hAnsi="Times New Roman" w:cs="Times New Roman"/>
              </w:rPr>
            </w:pPr>
            <w:r w:rsidRPr="00FC1E6C">
              <w:rPr>
                <w:rFonts w:ascii="Times New Roman" w:eastAsia="Times New Roman" w:hAnsi="Times New Roman" w:cs="Times New Roman"/>
              </w:rPr>
              <w:t>LT/1/11/2387/070 – N100</w:t>
            </w:r>
          </w:p>
        </w:tc>
      </w:tr>
    </w:tbl>
    <w:p w14:paraId="6C23DE39" w14:textId="77777777" w:rsidR="00FC1E6C" w:rsidRDefault="00FC1E6C" w:rsidP="009501EF">
      <w:pPr>
        <w:tabs>
          <w:tab w:val="left" w:pos="567"/>
        </w:tabs>
        <w:spacing w:after="0" w:line="240" w:lineRule="auto"/>
        <w:rPr>
          <w:rFonts w:ascii="Times New Roman" w:eastAsia="Times New Roman" w:hAnsi="Times New Roman" w:cs="Times New Roman"/>
        </w:rPr>
      </w:pPr>
    </w:p>
    <w:p w14:paraId="3711249F" w14:textId="77777777" w:rsidR="009501EF" w:rsidRPr="008A351A" w:rsidRDefault="009501EF" w:rsidP="009501EF">
      <w:pPr>
        <w:tabs>
          <w:tab w:val="left" w:pos="-1068"/>
          <w:tab w:val="left" w:pos="-714"/>
          <w:tab w:val="left" w:pos="426"/>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b/>
          <w:bCs/>
        </w:rPr>
      </w:pPr>
    </w:p>
    <w:p w14:paraId="27B6C19A"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9.</w:t>
      </w:r>
      <w:r w:rsidRPr="008A351A">
        <w:rPr>
          <w:rFonts w:ascii="Times New Roman" w:eastAsia="Times New Roman" w:hAnsi="Times New Roman" w:cs="Times New Roman"/>
          <w:b/>
          <w:bCs/>
          <w:iCs/>
        </w:rPr>
        <w:tab/>
        <w:t>REGISTRAVIMO / PERREGISTRAVIMO DATA</w:t>
      </w:r>
    </w:p>
    <w:p w14:paraId="292E029E" w14:textId="77777777" w:rsidR="009501EF" w:rsidRPr="008A351A" w:rsidRDefault="009501EF" w:rsidP="009501EF">
      <w:pPr>
        <w:spacing w:after="0" w:line="240" w:lineRule="auto"/>
        <w:rPr>
          <w:rFonts w:ascii="Times New Roman" w:eastAsia="Times New Roman" w:hAnsi="Times New Roman" w:cs="Times New Roman"/>
        </w:rPr>
      </w:pPr>
    </w:p>
    <w:p w14:paraId="652740C9" w14:textId="77777777" w:rsidR="009501EF" w:rsidRDefault="001869E6" w:rsidP="009501E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Registravimo data </w:t>
      </w:r>
      <w:r w:rsidR="009501EF" w:rsidRPr="008A351A">
        <w:rPr>
          <w:rFonts w:ascii="Times New Roman" w:eastAsia="Times New Roman" w:hAnsi="Times New Roman" w:cs="Times New Roman"/>
        </w:rPr>
        <w:t>2011</w:t>
      </w:r>
      <w:r w:rsidR="00492B65" w:rsidRPr="008A351A">
        <w:rPr>
          <w:rFonts w:ascii="Times New Roman" w:eastAsia="Times New Roman" w:hAnsi="Times New Roman" w:cs="Times New Roman"/>
        </w:rPr>
        <w:t xml:space="preserve"> m. kovo </w:t>
      </w:r>
      <w:r w:rsidR="009501EF" w:rsidRPr="008A351A">
        <w:rPr>
          <w:rFonts w:ascii="Times New Roman" w:eastAsia="Times New Roman" w:hAnsi="Times New Roman" w:cs="Times New Roman"/>
        </w:rPr>
        <w:t>16</w:t>
      </w:r>
      <w:r w:rsidR="00492B65" w:rsidRPr="008A351A">
        <w:rPr>
          <w:rFonts w:ascii="Times New Roman" w:eastAsia="Times New Roman" w:hAnsi="Times New Roman" w:cs="Times New Roman"/>
        </w:rPr>
        <w:t xml:space="preserve"> d.</w:t>
      </w:r>
    </w:p>
    <w:p w14:paraId="2DED539C" w14:textId="40AA9027" w:rsidR="001869E6" w:rsidRPr="008A351A" w:rsidRDefault="001869E6" w:rsidP="009501E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Paskutinio perregistravimo data </w:t>
      </w:r>
      <w:r w:rsidR="00FC1E6C">
        <w:rPr>
          <w:rFonts w:ascii="Times New Roman" w:eastAsia="Times New Roman" w:hAnsi="Times New Roman" w:cs="Times New Roman"/>
        </w:rPr>
        <w:t>2021 m. gegužės 17 d.</w:t>
      </w:r>
    </w:p>
    <w:p w14:paraId="04AD536E" w14:textId="77777777" w:rsidR="009501EF" w:rsidRPr="008A351A" w:rsidRDefault="009501EF" w:rsidP="009501EF">
      <w:pPr>
        <w:spacing w:after="0" w:line="240" w:lineRule="auto"/>
        <w:rPr>
          <w:rFonts w:ascii="Times New Roman" w:eastAsia="Times New Roman" w:hAnsi="Times New Roman" w:cs="Times New Roman"/>
        </w:rPr>
      </w:pPr>
    </w:p>
    <w:p w14:paraId="08664894" w14:textId="77777777" w:rsidR="009501EF" w:rsidRPr="008A351A" w:rsidRDefault="009501EF" w:rsidP="009501EF">
      <w:pPr>
        <w:spacing w:after="0" w:line="240" w:lineRule="auto"/>
        <w:rPr>
          <w:rFonts w:ascii="Times New Roman" w:eastAsia="Times New Roman" w:hAnsi="Times New Roman" w:cs="Times New Roman"/>
        </w:rPr>
      </w:pPr>
    </w:p>
    <w:p w14:paraId="56FB1049" w14:textId="77777777"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10.</w:t>
      </w:r>
      <w:r w:rsidRPr="008A351A">
        <w:rPr>
          <w:rFonts w:ascii="Times New Roman" w:eastAsia="Times New Roman" w:hAnsi="Times New Roman" w:cs="Times New Roman"/>
          <w:b/>
          <w:bCs/>
          <w:iCs/>
        </w:rPr>
        <w:tab/>
        <w:t>TEKSTO PERŽIŪROS DATA</w:t>
      </w:r>
    </w:p>
    <w:p w14:paraId="78AC9509" w14:textId="77777777" w:rsidR="009501EF" w:rsidRPr="008A351A" w:rsidRDefault="009501EF" w:rsidP="009501EF">
      <w:pPr>
        <w:spacing w:after="0" w:line="240" w:lineRule="auto"/>
        <w:rPr>
          <w:rFonts w:ascii="Times New Roman" w:eastAsia="Times New Roman" w:hAnsi="Times New Roman" w:cs="Times New Roman"/>
        </w:rPr>
      </w:pPr>
    </w:p>
    <w:p w14:paraId="29D0C0DF" w14:textId="75EE5369" w:rsidR="0085707B" w:rsidRPr="00806CBF" w:rsidRDefault="00846FDD" w:rsidP="009501EF">
      <w:pPr>
        <w:tabs>
          <w:tab w:val="left" w:pos="567"/>
        </w:tabs>
        <w:spacing w:after="0" w:line="240" w:lineRule="auto"/>
        <w:rPr>
          <w:rFonts w:ascii="Times New Roman" w:eastAsia="Times New Roman" w:hAnsi="Times New Roman" w:cs="Times New Roman"/>
        </w:rPr>
      </w:pPr>
      <w:r>
        <w:rPr>
          <w:rFonts w:ascii="Times New Roman" w:eastAsia="SimSun" w:hAnsi="Times New Roman"/>
        </w:rPr>
        <w:t>202</w:t>
      </w:r>
      <w:r w:rsidR="008D2606">
        <w:rPr>
          <w:rFonts w:ascii="Times New Roman" w:eastAsia="SimSun" w:hAnsi="Times New Roman"/>
        </w:rPr>
        <w:t>4</w:t>
      </w:r>
      <w:r>
        <w:rPr>
          <w:rFonts w:ascii="Times New Roman" w:eastAsia="SimSun" w:hAnsi="Times New Roman"/>
        </w:rPr>
        <w:t xml:space="preserve"> m. </w:t>
      </w:r>
      <w:r w:rsidR="002B78A0">
        <w:rPr>
          <w:rFonts w:ascii="Times New Roman" w:eastAsia="SimSun" w:hAnsi="Times New Roman"/>
        </w:rPr>
        <w:t xml:space="preserve">liepos </w:t>
      </w:r>
      <w:r w:rsidR="008D2606">
        <w:rPr>
          <w:rFonts w:ascii="Times New Roman" w:eastAsia="SimSun" w:hAnsi="Times New Roman"/>
        </w:rPr>
        <w:t>2</w:t>
      </w:r>
      <w:r w:rsidR="002B78A0">
        <w:rPr>
          <w:rFonts w:ascii="Times New Roman" w:eastAsia="SimSun" w:hAnsi="Times New Roman"/>
        </w:rPr>
        <w:t>3</w:t>
      </w:r>
      <w:r>
        <w:rPr>
          <w:rFonts w:ascii="Times New Roman" w:eastAsia="SimSun" w:hAnsi="Times New Roman"/>
        </w:rPr>
        <w:t> d.</w:t>
      </w:r>
    </w:p>
    <w:p w14:paraId="37D4086E" w14:textId="77777777" w:rsidR="00B340AF" w:rsidRDefault="00B340AF" w:rsidP="009501EF">
      <w:pPr>
        <w:tabs>
          <w:tab w:val="left" w:pos="5954"/>
          <w:tab w:val="left" w:pos="6237"/>
          <w:tab w:val="left" w:pos="6663"/>
          <w:tab w:val="left" w:pos="6946"/>
        </w:tabs>
        <w:spacing w:after="0" w:line="240" w:lineRule="auto"/>
        <w:rPr>
          <w:rFonts w:ascii="Times New Roman" w:eastAsia="SimSun" w:hAnsi="Times New Roman" w:cs="Times New Roman"/>
        </w:rPr>
      </w:pPr>
    </w:p>
    <w:p w14:paraId="48840680" w14:textId="5302D99B" w:rsidR="009501EF" w:rsidRPr="008A351A" w:rsidRDefault="009501EF" w:rsidP="009501EF">
      <w:pPr>
        <w:tabs>
          <w:tab w:val="left" w:pos="5954"/>
          <w:tab w:val="left" w:pos="6237"/>
          <w:tab w:val="left" w:pos="6663"/>
          <w:tab w:val="left" w:pos="6946"/>
        </w:tabs>
        <w:spacing w:after="0" w:line="240" w:lineRule="auto"/>
        <w:rPr>
          <w:rFonts w:ascii="Times New Roman" w:eastAsia="SimSun" w:hAnsi="Times New Roman" w:cs="Times New Roman"/>
        </w:rPr>
      </w:pPr>
      <w:r w:rsidRPr="00806CBF">
        <w:rPr>
          <w:rFonts w:ascii="Times New Roman" w:eastAsia="SimSun" w:hAnsi="Times New Roman" w:cs="Times New Roman"/>
        </w:rPr>
        <w:t>Išsami</w:t>
      </w:r>
      <w:r w:rsidRPr="008A351A">
        <w:rPr>
          <w:rFonts w:ascii="Times New Roman" w:eastAsia="SimSun" w:hAnsi="Times New Roman" w:cs="Times New Roman"/>
        </w:rPr>
        <w:t xml:space="preserve"> informacija apie šį vaistinį preparatą pateikiama Valstybinės vaistų kontrolės tarnybos prie Lietuvos Respublikos  sveikatos apsaugos ministerijos tinklalapyje</w:t>
      </w:r>
      <w:r w:rsidRPr="008A351A">
        <w:rPr>
          <w:rFonts w:ascii="Times New Roman" w:eastAsia="SimSun" w:hAnsi="Times New Roman" w:cs="Times New Roman"/>
          <w:i/>
        </w:rPr>
        <w:t xml:space="preserve"> </w:t>
      </w:r>
      <w:r w:rsidR="002B78A0" w:rsidRPr="002B78A0">
        <w:rPr>
          <w:rFonts w:ascii="Times New Roman" w:eastAsia="Times New Roman" w:hAnsi="Times New Roman" w:cs="Times New Roman"/>
          <w:color w:val="0000EE"/>
          <w:u w:val="single"/>
          <w:lang w:eastAsia="lt-LT"/>
        </w:rPr>
        <w:t>https://vvkt.lrv.lt/lt/.</w:t>
      </w:r>
    </w:p>
    <w:p w14:paraId="0BFA2E07" w14:textId="77777777" w:rsidR="009501EF" w:rsidRPr="008A351A" w:rsidRDefault="009501EF" w:rsidP="009501EF">
      <w:pPr>
        <w:keepNext/>
        <w:tabs>
          <w:tab w:val="left" w:pos="567"/>
        </w:tabs>
        <w:spacing w:after="0" w:line="240" w:lineRule="auto"/>
        <w:ind w:left="567" w:hanging="567"/>
        <w:outlineLvl w:val="1"/>
        <w:rPr>
          <w:rFonts w:ascii="Times New Roman" w:eastAsia="Times New Roman" w:hAnsi="Times New Roman" w:cs="Times New Roman"/>
          <w:b/>
        </w:rPr>
      </w:pPr>
      <w:r w:rsidRPr="008A351A">
        <w:rPr>
          <w:rFonts w:ascii="Times New Roman" w:eastAsia="Times New Roman" w:hAnsi="Times New Roman" w:cs="Times New Roman"/>
          <w:b/>
        </w:rPr>
        <w:br w:type="page"/>
      </w:r>
    </w:p>
    <w:p w14:paraId="17C467A3" w14:textId="77777777" w:rsidR="009501EF" w:rsidRPr="008A351A" w:rsidRDefault="009501EF" w:rsidP="009501EF">
      <w:pPr>
        <w:keepNext/>
        <w:tabs>
          <w:tab w:val="left" w:pos="567"/>
        </w:tabs>
        <w:spacing w:after="0" w:line="240" w:lineRule="auto"/>
        <w:ind w:left="567" w:hanging="567"/>
        <w:outlineLvl w:val="1"/>
        <w:rPr>
          <w:rFonts w:ascii="Times New Roman" w:eastAsia="Times New Roman" w:hAnsi="Times New Roman" w:cs="Times New Roman"/>
          <w:b/>
        </w:rPr>
      </w:pPr>
    </w:p>
    <w:p w14:paraId="64C88851" w14:textId="77777777" w:rsidR="009501EF" w:rsidRPr="008A351A" w:rsidRDefault="009501EF" w:rsidP="009501EF">
      <w:pPr>
        <w:keepNext/>
        <w:tabs>
          <w:tab w:val="left" w:pos="567"/>
        </w:tabs>
        <w:spacing w:after="0" w:line="240" w:lineRule="auto"/>
        <w:ind w:left="567" w:hanging="567"/>
        <w:outlineLvl w:val="1"/>
        <w:rPr>
          <w:rFonts w:ascii="Times New Roman" w:eastAsia="Times New Roman" w:hAnsi="Times New Roman" w:cs="Times New Roman"/>
          <w:b/>
        </w:rPr>
      </w:pPr>
    </w:p>
    <w:p w14:paraId="7C227CCA" w14:textId="77777777" w:rsidR="009501EF" w:rsidRPr="008A351A" w:rsidRDefault="009501EF" w:rsidP="009501EF">
      <w:pPr>
        <w:spacing w:after="0" w:line="240" w:lineRule="auto"/>
        <w:rPr>
          <w:rFonts w:ascii="Times New Roman" w:eastAsia="Times New Roman" w:hAnsi="Times New Roman" w:cs="Times New Roman"/>
        </w:rPr>
      </w:pPr>
    </w:p>
    <w:p w14:paraId="521A4AC4" w14:textId="77777777" w:rsidR="009501EF" w:rsidRPr="008A351A" w:rsidRDefault="009501EF" w:rsidP="009501EF">
      <w:pPr>
        <w:spacing w:after="0" w:line="240" w:lineRule="auto"/>
        <w:rPr>
          <w:rFonts w:ascii="Times New Roman" w:eastAsia="Times New Roman" w:hAnsi="Times New Roman" w:cs="Times New Roman"/>
        </w:rPr>
      </w:pPr>
    </w:p>
    <w:p w14:paraId="55B324EF" w14:textId="77777777" w:rsidR="009501EF" w:rsidRPr="008A351A" w:rsidRDefault="009501EF" w:rsidP="009501EF">
      <w:pPr>
        <w:spacing w:after="0" w:line="240" w:lineRule="auto"/>
        <w:rPr>
          <w:rFonts w:ascii="Times New Roman" w:eastAsia="Times New Roman" w:hAnsi="Times New Roman" w:cs="Times New Roman"/>
        </w:rPr>
      </w:pPr>
    </w:p>
    <w:p w14:paraId="549CB599" w14:textId="77777777" w:rsidR="009501EF" w:rsidRPr="008A351A" w:rsidRDefault="009501EF" w:rsidP="009501EF">
      <w:pPr>
        <w:spacing w:after="0" w:line="240" w:lineRule="auto"/>
        <w:rPr>
          <w:rFonts w:ascii="Times New Roman" w:eastAsia="Times New Roman" w:hAnsi="Times New Roman" w:cs="Times New Roman"/>
        </w:rPr>
      </w:pPr>
    </w:p>
    <w:p w14:paraId="1AEF8115" w14:textId="77777777" w:rsidR="009501EF" w:rsidRPr="008A351A" w:rsidRDefault="009501EF" w:rsidP="009501EF">
      <w:pPr>
        <w:spacing w:after="0" w:line="240" w:lineRule="auto"/>
        <w:rPr>
          <w:rFonts w:ascii="Times New Roman" w:eastAsia="Times New Roman" w:hAnsi="Times New Roman" w:cs="Times New Roman"/>
        </w:rPr>
      </w:pPr>
    </w:p>
    <w:p w14:paraId="7137B594" w14:textId="77777777" w:rsidR="009501EF" w:rsidRPr="008A351A" w:rsidRDefault="009501EF" w:rsidP="009501EF">
      <w:pPr>
        <w:spacing w:after="0" w:line="240" w:lineRule="auto"/>
        <w:rPr>
          <w:rFonts w:ascii="Times New Roman" w:eastAsia="Times New Roman" w:hAnsi="Times New Roman" w:cs="Times New Roman"/>
        </w:rPr>
      </w:pPr>
    </w:p>
    <w:p w14:paraId="013DDC64" w14:textId="77777777" w:rsidR="009501EF" w:rsidRPr="008A351A" w:rsidRDefault="009501EF" w:rsidP="009501EF">
      <w:pPr>
        <w:spacing w:after="0" w:line="240" w:lineRule="auto"/>
        <w:rPr>
          <w:rFonts w:ascii="Times New Roman" w:eastAsia="Times New Roman" w:hAnsi="Times New Roman" w:cs="Times New Roman"/>
        </w:rPr>
      </w:pPr>
    </w:p>
    <w:p w14:paraId="3D3C91EA" w14:textId="77777777" w:rsidR="009501EF" w:rsidRPr="008A351A" w:rsidRDefault="009501EF" w:rsidP="009501EF">
      <w:pPr>
        <w:spacing w:after="0" w:line="240" w:lineRule="auto"/>
        <w:rPr>
          <w:rFonts w:ascii="Times New Roman" w:eastAsia="Times New Roman" w:hAnsi="Times New Roman" w:cs="Times New Roman"/>
        </w:rPr>
      </w:pPr>
    </w:p>
    <w:p w14:paraId="57B69094" w14:textId="77777777" w:rsidR="009501EF" w:rsidRPr="008A351A" w:rsidRDefault="009501EF" w:rsidP="009501EF">
      <w:pPr>
        <w:spacing w:after="0" w:line="240" w:lineRule="auto"/>
        <w:rPr>
          <w:rFonts w:ascii="Times New Roman" w:eastAsia="Times New Roman" w:hAnsi="Times New Roman" w:cs="Times New Roman"/>
        </w:rPr>
      </w:pPr>
    </w:p>
    <w:p w14:paraId="11D56984" w14:textId="77777777" w:rsidR="009501EF" w:rsidRPr="008A351A" w:rsidRDefault="009501EF" w:rsidP="009501EF">
      <w:pPr>
        <w:spacing w:after="0" w:line="240" w:lineRule="auto"/>
        <w:rPr>
          <w:rFonts w:ascii="Times New Roman" w:eastAsia="Times New Roman" w:hAnsi="Times New Roman" w:cs="Times New Roman"/>
        </w:rPr>
      </w:pPr>
    </w:p>
    <w:p w14:paraId="433DA812" w14:textId="77777777" w:rsidR="009501EF" w:rsidRPr="008A351A" w:rsidRDefault="009501EF" w:rsidP="009501EF">
      <w:pPr>
        <w:spacing w:after="0" w:line="240" w:lineRule="auto"/>
        <w:rPr>
          <w:rFonts w:ascii="Times New Roman" w:eastAsia="Times New Roman" w:hAnsi="Times New Roman" w:cs="Times New Roman"/>
        </w:rPr>
      </w:pPr>
    </w:p>
    <w:p w14:paraId="2F65A071" w14:textId="77777777" w:rsidR="009501EF" w:rsidRPr="008A351A" w:rsidRDefault="009501EF" w:rsidP="009501EF">
      <w:pPr>
        <w:spacing w:after="0" w:line="240" w:lineRule="auto"/>
        <w:rPr>
          <w:rFonts w:ascii="Times New Roman" w:eastAsia="Times New Roman" w:hAnsi="Times New Roman" w:cs="Times New Roman"/>
        </w:rPr>
      </w:pPr>
    </w:p>
    <w:p w14:paraId="68C8EA16" w14:textId="77777777" w:rsidR="009501EF" w:rsidRPr="008A351A" w:rsidRDefault="009501EF" w:rsidP="009501EF">
      <w:pPr>
        <w:spacing w:after="0" w:line="240" w:lineRule="auto"/>
        <w:rPr>
          <w:rFonts w:ascii="Times New Roman" w:eastAsia="Times New Roman" w:hAnsi="Times New Roman" w:cs="Times New Roman"/>
        </w:rPr>
      </w:pPr>
    </w:p>
    <w:p w14:paraId="7EC9426D" w14:textId="77777777" w:rsidR="009501EF" w:rsidRPr="008A351A" w:rsidRDefault="009501EF" w:rsidP="009501EF">
      <w:pPr>
        <w:spacing w:after="0" w:line="240" w:lineRule="auto"/>
        <w:rPr>
          <w:rFonts w:ascii="Times New Roman" w:eastAsia="Times New Roman" w:hAnsi="Times New Roman" w:cs="Times New Roman"/>
        </w:rPr>
      </w:pPr>
    </w:p>
    <w:p w14:paraId="0A065A25" w14:textId="77777777" w:rsidR="009501EF" w:rsidRPr="008A351A" w:rsidRDefault="009501EF" w:rsidP="009501EF">
      <w:pPr>
        <w:spacing w:after="0" w:line="240" w:lineRule="auto"/>
        <w:rPr>
          <w:rFonts w:ascii="Times New Roman" w:eastAsia="Times New Roman" w:hAnsi="Times New Roman" w:cs="Times New Roman"/>
        </w:rPr>
      </w:pPr>
    </w:p>
    <w:p w14:paraId="30BCEB60" w14:textId="77777777" w:rsidR="009501EF" w:rsidRPr="008A351A" w:rsidRDefault="009501EF" w:rsidP="009501EF">
      <w:pPr>
        <w:spacing w:after="0" w:line="240" w:lineRule="auto"/>
        <w:rPr>
          <w:rFonts w:ascii="Times New Roman" w:eastAsia="Times New Roman" w:hAnsi="Times New Roman" w:cs="Times New Roman"/>
        </w:rPr>
      </w:pPr>
    </w:p>
    <w:p w14:paraId="5A9E829D" w14:textId="77777777" w:rsidR="009501EF" w:rsidRPr="008A351A" w:rsidRDefault="009501EF" w:rsidP="009501EF">
      <w:pPr>
        <w:spacing w:after="0" w:line="240" w:lineRule="auto"/>
        <w:rPr>
          <w:rFonts w:ascii="Times New Roman" w:eastAsia="Times New Roman" w:hAnsi="Times New Roman" w:cs="Times New Roman"/>
        </w:rPr>
      </w:pPr>
    </w:p>
    <w:p w14:paraId="0E05987B" w14:textId="77777777" w:rsidR="009501EF" w:rsidRPr="008A351A" w:rsidRDefault="009501EF" w:rsidP="009501EF">
      <w:pPr>
        <w:spacing w:after="0" w:line="240" w:lineRule="auto"/>
        <w:rPr>
          <w:rFonts w:ascii="Times New Roman" w:eastAsia="Times New Roman" w:hAnsi="Times New Roman" w:cs="Times New Roman"/>
        </w:rPr>
      </w:pPr>
    </w:p>
    <w:p w14:paraId="07B75930" w14:textId="77777777" w:rsidR="009501EF" w:rsidRPr="008A351A" w:rsidRDefault="009501EF" w:rsidP="009501EF">
      <w:pPr>
        <w:spacing w:after="0" w:line="240" w:lineRule="auto"/>
        <w:rPr>
          <w:rFonts w:ascii="Times New Roman" w:eastAsia="Times New Roman" w:hAnsi="Times New Roman" w:cs="Times New Roman"/>
        </w:rPr>
      </w:pPr>
    </w:p>
    <w:p w14:paraId="1FE54A40" w14:textId="77777777" w:rsidR="009501EF" w:rsidRPr="008A351A" w:rsidRDefault="009501EF" w:rsidP="009501EF">
      <w:pPr>
        <w:spacing w:after="0" w:line="240" w:lineRule="auto"/>
        <w:rPr>
          <w:rFonts w:ascii="Times New Roman" w:eastAsia="Times New Roman" w:hAnsi="Times New Roman" w:cs="Times New Roman"/>
        </w:rPr>
      </w:pPr>
    </w:p>
    <w:p w14:paraId="3A5E3B7D" w14:textId="77777777" w:rsidR="009501EF" w:rsidRPr="008A351A" w:rsidRDefault="009501EF" w:rsidP="009501EF">
      <w:pPr>
        <w:spacing w:after="0" w:line="240" w:lineRule="auto"/>
        <w:rPr>
          <w:rFonts w:ascii="Times New Roman" w:eastAsia="Times New Roman" w:hAnsi="Times New Roman" w:cs="Times New Roman"/>
        </w:rPr>
      </w:pPr>
    </w:p>
    <w:p w14:paraId="4C1CF3C4"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28"/>
      <w:bookmarkStart w:id="11" w:name="_Toc129243253"/>
      <w:r w:rsidRPr="008A351A">
        <w:rPr>
          <w:rFonts w:ascii="Times New Roman" w:eastAsia="Times New Roman" w:hAnsi="Times New Roman" w:cs="Times New Roman"/>
          <w:b/>
          <w:caps/>
        </w:rPr>
        <w:t>II PRIEDAS</w:t>
      </w:r>
      <w:bookmarkEnd w:id="10"/>
      <w:bookmarkEnd w:id="11"/>
    </w:p>
    <w:p w14:paraId="0DC07960"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2BFD232E"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r w:rsidRPr="008A351A">
        <w:rPr>
          <w:rFonts w:ascii="Times New Roman" w:eastAsia="Times New Roman" w:hAnsi="Times New Roman" w:cs="Times New Roman"/>
          <w:b/>
          <w:caps/>
        </w:rPr>
        <w:t>REGISTRACIJOS SĄLYGOS</w:t>
      </w:r>
    </w:p>
    <w:p w14:paraId="293B643E" w14:textId="77777777" w:rsidR="009501EF" w:rsidRPr="008A351A" w:rsidRDefault="009501EF" w:rsidP="009501EF">
      <w:pPr>
        <w:spacing w:after="0" w:line="240" w:lineRule="auto"/>
        <w:rPr>
          <w:rFonts w:ascii="Times New Roman" w:eastAsia="Times New Roman" w:hAnsi="Times New Roman" w:cs="Times New Roman"/>
        </w:rPr>
      </w:pPr>
    </w:p>
    <w:p w14:paraId="668171C4" w14:textId="77777777" w:rsidR="009501EF" w:rsidRPr="008A351A" w:rsidRDefault="009501EF" w:rsidP="009501EF">
      <w:pPr>
        <w:tabs>
          <w:tab w:val="left" w:pos="1701"/>
        </w:tabs>
        <w:spacing w:after="0" w:line="240" w:lineRule="auto"/>
        <w:ind w:left="1701" w:hanging="567"/>
        <w:rPr>
          <w:rFonts w:ascii="Times New Roman" w:eastAsia="Times New Roman" w:hAnsi="Times New Roman" w:cs="Times New Roman"/>
          <w:b/>
        </w:rPr>
      </w:pPr>
      <w:r w:rsidRPr="008A351A">
        <w:rPr>
          <w:rFonts w:ascii="Times New Roman" w:eastAsia="Times New Roman" w:hAnsi="Times New Roman" w:cs="Times New Roman"/>
          <w:b/>
        </w:rPr>
        <w:t>A.</w:t>
      </w:r>
      <w:r w:rsidRPr="008A351A">
        <w:rPr>
          <w:rFonts w:ascii="Times New Roman" w:eastAsia="Times New Roman" w:hAnsi="Times New Roman" w:cs="Times New Roman"/>
          <w:b/>
        </w:rPr>
        <w:tab/>
        <w:t>GAMINTOJAS (-AI), ATSAKINGAS (-I) UŽ SERIJŲ IŠLEIDIMĄ</w:t>
      </w:r>
    </w:p>
    <w:p w14:paraId="0EF664D7" w14:textId="77777777" w:rsidR="009501EF" w:rsidRPr="008A351A" w:rsidRDefault="009501EF" w:rsidP="009501EF">
      <w:pPr>
        <w:spacing w:after="0" w:line="240" w:lineRule="auto"/>
        <w:rPr>
          <w:rFonts w:ascii="Times New Roman" w:eastAsia="Times New Roman" w:hAnsi="Times New Roman" w:cs="Times New Roman"/>
        </w:rPr>
      </w:pPr>
    </w:p>
    <w:p w14:paraId="1D875084" w14:textId="77777777" w:rsidR="009501EF" w:rsidRPr="008A351A" w:rsidRDefault="009501EF" w:rsidP="009501EF">
      <w:pPr>
        <w:tabs>
          <w:tab w:val="left" w:pos="1701"/>
        </w:tabs>
        <w:spacing w:after="0" w:line="240" w:lineRule="auto"/>
        <w:ind w:left="1701" w:hanging="567"/>
        <w:rPr>
          <w:rFonts w:ascii="Times New Roman" w:eastAsia="Times New Roman" w:hAnsi="Times New Roman" w:cs="Times New Roman"/>
          <w:b/>
        </w:rPr>
      </w:pPr>
      <w:r w:rsidRPr="008A351A">
        <w:rPr>
          <w:rFonts w:ascii="Times New Roman" w:eastAsia="Times New Roman" w:hAnsi="Times New Roman" w:cs="Times New Roman"/>
          <w:b/>
        </w:rPr>
        <w:t>B.</w:t>
      </w:r>
      <w:r w:rsidRPr="008A351A">
        <w:rPr>
          <w:rFonts w:ascii="Times New Roman" w:eastAsia="Times New Roman" w:hAnsi="Times New Roman" w:cs="Times New Roman"/>
          <w:b/>
        </w:rPr>
        <w:tab/>
      </w:r>
      <w:r w:rsidR="009721CF" w:rsidRPr="008A351A">
        <w:rPr>
          <w:rFonts w:ascii="Times New Roman" w:eastAsia="Times New Roman" w:hAnsi="Times New Roman" w:cs="Times New Roman"/>
          <w:b/>
        </w:rPr>
        <w:t xml:space="preserve">TIEKIMO IR VARTOJIMO </w:t>
      </w:r>
      <w:r w:rsidRPr="008A351A">
        <w:rPr>
          <w:rFonts w:ascii="Times New Roman" w:eastAsia="Times New Roman" w:hAnsi="Times New Roman" w:cs="Times New Roman"/>
          <w:b/>
        </w:rPr>
        <w:t>SĄLYGOS</w:t>
      </w:r>
      <w:r w:rsidR="009721CF" w:rsidRPr="008A351A">
        <w:rPr>
          <w:rFonts w:ascii="Times New Roman" w:eastAsia="Times New Roman" w:hAnsi="Times New Roman" w:cs="Times New Roman"/>
          <w:b/>
        </w:rPr>
        <w:t xml:space="preserve"> AR APRIBOJIMAI</w:t>
      </w:r>
    </w:p>
    <w:p w14:paraId="6B28AB92" w14:textId="77777777" w:rsidR="009501EF" w:rsidRPr="008A351A" w:rsidRDefault="009501EF" w:rsidP="009501EF">
      <w:pPr>
        <w:spacing w:after="0" w:line="240" w:lineRule="auto"/>
        <w:rPr>
          <w:rFonts w:ascii="Times New Roman" w:eastAsia="Times New Roman" w:hAnsi="Times New Roman" w:cs="Times New Roman"/>
        </w:rPr>
      </w:pPr>
    </w:p>
    <w:p w14:paraId="124AF528" w14:textId="77777777" w:rsidR="009501EF" w:rsidRPr="008A351A" w:rsidRDefault="009501EF" w:rsidP="009501EF">
      <w:pPr>
        <w:keepNext/>
        <w:tabs>
          <w:tab w:val="left" w:pos="567"/>
        </w:tabs>
        <w:spacing w:after="0" w:line="240" w:lineRule="auto"/>
        <w:ind w:left="567" w:hanging="567"/>
        <w:outlineLvl w:val="1"/>
        <w:rPr>
          <w:rFonts w:ascii="Times New Roman" w:eastAsia="Times New Roman" w:hAnsi="Times New Roman" w:cs="Times New Roman"/>
          <w:b/>
        </w:rPr>
      </w:pPr>
      <w:r w:rsidRPr="008A351A">
        <w:rPr>
          <w:rFonts w:ascii="Times New Roman" w:eastAsia="Times New Roman" w:hAnsi="Times New Roman" w:cs="Times New Roman"/>
          <w:b/>
        </w:rPr>
        <w:br w:type="page"/>
      </w:r>
      <w:r w:rsidRPr="008A351A">
        <w:rPr>
          <w:rFonts w:ascii="Times New Roman" w:eastAsia="Times New Roman" w:hAnsi="Times New Roman" w:cs="Times New Roman"/>
          <w:b/>
        </w:rPr>
        <w:lastRenderedPageBreak/>
        <w:t>A.</w:t>
      </w:r>
      <w:r w:rsidRPr="008A351A">
        <w:rPr>
          <w:rFonts w:ascii="Times New Roman" w:eastAsia="Times New Roman" w:hAnsi="Times New Roman" w:cs="Times New Roman"/>
          <w:b/>
        </w:rPr>
        <w:tab/>
        <w:t>GAMINTOJAS (-AI), ATSAKINGAS (-I) UŽ SERIJŲ IŠLEIDIMĄ</w:t>
      </w:r>
    </w:p>
    <w:p w14:paraId="60ABAF69" w14:textId="77777777" w:rsidR="009501EF" w:rsidRPr="008A351A" w:rsidRDefault="009501EF" w:rsidP="009501EF">
      <w:pPr>
        <w:spacing w:after="0" w:line="240" w:lineRule="auto"/>
        <w:rPr>
          <w:rFonts w:ascii="Times New Roman" w:eastAsia="Times New Roman" w:hAnsi="Times New Roman" w:cs="Times New Roman"/>
        </w:rPr>
      </w:pPr>
    </w:p>
    <w:p w14:paraId="35752B9B" w14:textId="77777777" w:rsidR="009501EF" w:rsidRPr="008A351A" w:rsidRDefault="009501EF" w:rsidP="009501EF">
      <w:pPr>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Gamintojų, atsakingų už serijų išleidimą, pavadinimai ir adresai</w:t>
      </w:r>
    </w:p>
    <w:p w14:paraId="6B16B8B1" w14:textId="77777777" w:rsidR="009501EF" w:rsidRPr="008A351A" w:rsidRDefault="009501EF" w:rsidP="009501EF">
      <w:pPr>
        <w:spacing w:after="0" w:line="240" w:lineRule="auto"/>
        <w:rPr>
          <w:rFonts w:ascii="Times New Roman" w:eastAsia="Times New Roman" w:hAnsi="Times New Roman" w:cs="Times New Roman"/>
        </w:rPr>
      </w:pPr>
    </w:p>
    <w:p w14:paraId="68CB9B1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Laboratori FUNDACIO DAU, </w:t>
      </w:r>
    </w:p>
    <w:p w14:paraId="6609FF3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C/ De la letra C, 12-14, </w:t>
      </w:r>
    </w:p>
    <w:p w14:paraId="28911230"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Poligono Industrial de la Zona Franca, </w:t>
      </w:r>
    </w:p>
    <w:p w14:paraId="6073852A"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08040 Barcelona, </w:t>
      </w:r>
    </w:p>
    <w:p w14:paraId="4AC89245" w14:textId="77777777" w:rsidR="009501EF" w:rsidRPr="008A351A" w:rsidRDefault="009501EF" w:rsidP="009501EF">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Ispanija</w:t>
      </w:r>
    </w:p>
    <w:p w14:paraId="0BA03E22" w14:textId="77777777" w:rsidR="009501EF" w:rsidRPr="008A351A" w:rsidRDefault="009501EF" w:rsidP="00E35E14">
      <w:pPr>
        <w:spacing w:after="0" w:line="240" w:lineRule="auto"/>
        <w:rPr>
          <w:rFonts w:ascii="Times New Roman" w:hAnsi="Times New Roman"/>
        </w:rPr>
      </w:pPr>
    </w:p>
    <w:p w14:paraId="1D7C4265" w14:textId="77777777" w:rsidR="009079BD" w:rsidRPr="008A351A" w:rsidRDefault="009079BD" w:rsidP="00E35E14">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arba</w:t>
      </w:r>
    </w:p>
    <w:p w14:paraId="430BDE54" w14:textId="77777777" w:rsidR="009079BD" w:rsidRPr="008A351A" w:rsidRDefault="009079BD" w:rsidP="00E35E14">
      <w:pPr>
        <w:spacing w:after="0" w:line="240" w:lineRule="auto"/>
        <w:rPr>
          <w:rFonts w:ascii="Times New Roman" w:hAnsi="Times New Roman"/>
        </w:rPr>
      </w:pPr>
    </w:p>
    <w:p w14:paraId="395D1ADA" w14:textId="77777777" w:rsidR="009079BD" w:rsidRPr="008A351A" w:rsidRDefault="009079BD" w:rsidP="009079BD">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Accord Healthcare Polska Sp.z o.o.,</w:t>
      </w:r>
    </w:p>
    <w:p w14:paraId="43DBEAF9" w14:textId="77777777" w:rsidR="009079BD" w:rsidRPr="008A351A" w:rsidRDefault="009079BD" w:rsidP="009079BD">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ul. Lutomierska 50,</w:t>
      </w:r>
      <w:r w:rsidR="007E3E60" w:rsidRPr="008A351A">
        <w:rPr>
          <w:rFonts w:ascii="Times New Roman" w:eastAsia="Times New Roman" w:hAnsi="Times New Roman" w:cs="Times New Roman"/>
          <w:bCs/>
        </w:rPr>
        <w:t xml:space="preserve"> </w:t>
      </w:r>
      <w:r w:rsidRPr="008A351A">
        <w:rPr>
          <w:rFonts w:ascii="Times New Roman" w:eastAsia="Times New Roman" w:hAnsi="Times New Roman" w:cs="Times New Roman"/>
        </w:rPr>
        <w:t xml:space="preserve">95-200 Pabianice, </w:t>
      </w:r>
    </w:p>
    <w:p w14:paraId="66D21AC3" w14:textId="77777777" w:rsidR="007E3E60" w:rsidRPr="008A351A" w:rsidRDefault="007E3E60" w:rsidP="007E3E60">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Lenkija</w:t>
      </w:r>
    </w:p>
    <w:p w14:paraId="25598F8C" w14:textId="77777777" w:rsidR="009079BD" w:rsidRPr="008A351A" w:rsidRDefault="009079BD" w:rsidP="009079BD">
      <w:pPr>
        <w:spacing w:after="0" w:line="240" w:lineRule="auto"/>
        <w:rPr>
          <w:rFonts w:ascii="Times New Roman" w:eastAsia="Times New Roman" w:hAnsi="Times New Roman" w:cs="Times New Roman"/>
        </w:rPr>
      </w:pPr>
    </w:p>
    <w:p w14:paraId="505C6244" w14:textId="77777777" w:rsidR="00123F1C" w:rsidRPr="008A351A" w:rsidRDefault="00123F1C" w:rsidP="009079BD">
      <w:pPr>
        <w:spacing w:after="0" w:line="240" w:lineRule="auto"/>
        <w:rPr>
          <w:rFonts w:ascii="Times New Roman" w:hAnsi="Times New Roman"/>
        </w:rPr>
      </w:pPr>
      <w:r>
        <w:rPr>
          <w:rFonts w:ascii="Times New Roman" w:eastAsia="Times New Roman" w:hAnsi="Times New Roman" w:cs="Times New Roman"/>
        </w:rPr>
        <w:t>arba</w:t>
      </w:r>
    </w:p>
    <w:p w14:paraId="0332B45B" w14:textId="77777777" w:rsidR="009079BD" w:rsidRPr="008A351A" w:rsidRDefault="009079BD" w:rsidP="009501EF">
      <w:pPr>
        <w:spacing w:after="0" w:line="240" w:lineRule="auto"/>
        <w:rPr>
          <w:rFonts w:ascii="Times New Roman" w:hAnsi="Times New Roman"/>
        </w:rPr>
      </w:pPr>
    </w:p>
    <w:p w14:paraId="4B3DBEE1" w14:textId="77777777" w:rsidR="00123F1C" w:rsidRPr="008A351A" w:rsidRDefault="00123F1C" w:rsidP="00123F1C">
      <w:pPr>
        <w:spacing w:after="0" w:line="240" w:lineRule="auto"/>
        <w:rPr>
          <w:rFonts w:ascii="Times New Roman" w:hAnsi="Times New Roman" w:cs="Times New Roman"/>
        </w:rPr>
      </w:pPr>
      <w:r w:rsidRPr="008A351A">
        <w:rPr>
          <w:rFonts w:ascii="Times New Roman" w:hAnsi="Times New Roman" w:cs="Times New Roman"/>
        </w:rPr>
        <w:t xml:space="preserve">Accord Healthcare B.V. </w:t>
      </w:r>
    </w:p>
    <w:p w14:paraId="1AD0A3F2" w14:textId="77777777" w:rsidR="00123F1C" w:rsidRPr="008A351A" w:rsidRDefault="00123F1C" w:rsidP="00123F1C">
      <w:pPr>
        <w:spacing w:after="0" w:line="240" w:lineRule="auto"/>
        <w:rPr>
          <w:rFonts w:ascii="Times New Roman" w:hAnsi="Times New Roman" w:cs="Times New Roman"/>
        </w:rPr>
      </w:pPr>
      <w:r w:rsidRPr="008A351A">
        <w:rPr>
          <w:rFonts w:ascii="Times New Roman" w:hAnsi="Times New Roman" w:cs="Times New Roman"/>
        </w:rPr>
        <w:t xml:space="preserve">Winthontlaan 200 </w:t>
      </w:r>
    </w:p>
    <w:p w14:paraId="512E3C1A" w14:textId="77777777" w:rsidR="00123F1C" w:rsidRPr="008A351A" w:rsidRDefault="00123F1C" w:rsidP="00123F1C">
      <w:pPr>
        <w:spacing w:after="0" w:line="240" w:lineRule="auto"/>
        <w:rPr>
          <w:rFonts w:ascii="Times New Roman" w:hAnsi="Times New Roman" w:cs="Times New Roman"/>
        </w:rPr>
      </w:pPr>
      <w:r w:rsidRPr="008A351A">
        <w:rPr>
          <w:rFonts w:ascii="Times New Roman" w:hAnsi="Times New Roman" w:cs="Times New Roman"/>
        </w:rPr>
        <w:t xml:space="preserve">3526 KV Utrecht </w:t>
      </w:r>
    </w:p>
    <w:p w14:paraId="75C48C55" w14:textId="77777777" w:rsidR="00123F1C" w:rsidRDefault="00123F1C" w:rsidP="00123F1C">
      <w:pPr>
        <w:spacing w:after="0" w:line="240" w:lineRule="auto"/>
        <w:rPr>
          <w:rFonts w:ascii="Times New Roman" w:hAnsi="Times New Roman" w:cs="Times New Roman"/>
        </w:rPr>
      </w:pPr>
      <w:r w:rsidRPr="008A351A">
        <w:rPr>
          <w:rFonts w:ascii="Times New Roman" w:hAnsi="Times New Roman" w:cs="Times New Roman"/>
        </w:rPr>
        <w:t>Nyderlandai</w:t>
      </w:r>
    </w:p>
    <w:p w14:paraId="247D480D" w14:textId="77777777" w:rsidR="00163168" w:rsidRDefault="00163168" w:rsidP="00123F1C">
      <w:pPr>
        <w:spacing w:after="0" w:line="240" w:lineRule="auto"/>
        <w:rPr>
          <w:rFonts w:ascii="Times New Roman" w:hAnsi="Times New Roman" w:cs="Times New Roman"/>
        </w:rPr>
      </w:pPr>
    </w:p>
    <w:p w14:paraId="139EA8FF" w14:textId="19E210F2" w:rsidR="00163168" w:rsidRDefault="00163168" w:rsidP="00123F1C">
      <w:pPr>
        <w:spacing w:after="0" w:line="240" w:lineRule="auto"/>
        <w:rPr>
          <w:rFonts w:ascii="Times New Roman" w:hAnsi="Times New Roman" w:cs="Times New Roman"/>
        </w:rPr>
      </w:pPr>
      <w:r>
        <w:rPr>
          <w:rFonts w:ascii="Times New Roman" w:hAnsi="Times New Roman" w:cs="Times New Roman"/>
        </w:rPr>
        <w:t>arba</w:t>
      </w:r>
    </w:p>
    <w:p w14:paraId="6D391031" w14:textId="77777777" w:rsidR="00163168" w:rsidRDefault="00163168" w:rsidP="00123F1C">
      <w:pPr>
        <w:spacing w:after="0" w:line="240" w:lineRule="auto"/>
        <w:rPr>
          <w:rFonts w:ascii="Times New Roman" w:hAnsi="Times New Roman" w:cs="Times New Roman"/>
        </w:rPr>
      </w:pPr>
    </w:p>
    <w:p w14:paraId="56AA6CA0" w14:textId="77777777" w:rsidR="00163168" w:rsidRPr="004914D7" w:rsidRDefault="00163168" w:rsidP="00163168">
      <w:pPr>
        <w:autoSpaceDE w:val="0"/>
        <w:autoSpaceDN w:val="0"/>
        <w:adjustRightInd w:val="0"/>
        <w:spacing w:after="0" w:line="240" w:lineRule="auto"/>
        <w:rPr>
          <w:rFonts w:ascii="Times New Roman" w:hAnsi="Times New Roman" w:cs="Times New Roman"/>
          <w:lang w:val="en-US"/>
        </w:rPr>
      </w:pPr>
      <w:r w:rsidRPr="004914D7">
        <w:rPr>
          <w:rFonts w:ascii="Times New Roman" w:hAnsi="Times New Roman" w:cs="Times New Roman"/>
          <w:lang w:val="en-US"/>
        </w:rPr>
        <w:t xml:space="preserve">Accord Healthcare Single Member S.A. </w:t>
      </w:r>
    </w:p>
    <w:p w14:paraId="631619B4" w14:textId="77777777" w:rsidR="00163168" w:rsidRPr="004914D7" w:rsidRDefault="00163168" w:rsidP="00163168">
      <w:pPr>
        <w:autoSpaceDE w:val="0"/>
        <w:autoSpaceDN w:val="0"/>
        <w:adjustRightInd w:val="0"/>
        <w:spacing w:after="0" w:line="240" w:lineRule="auto"/>
        <w:rPr>
          <w:rFonts w:ascii="Times New Roman" w:hAnsi="Times New Roman" w:cs="Times New Roman"/>
          <w:lang w:val="en-US"/>
        </w:rPr>
      </w:pPr>
      <w:r w:rsidRPr="004914D7">
        <w:rPr>
          <w:rFonts w:ascii="Times New Roman" w:hAnsi="Times New Roman" w:cs="Times New Roman"/>
          <w:lang w:val="en-US"/>
        </w:rPr>
        <w:t xml:space="preserve">64th Km National Road Athens, </w:t>
      </w:r>
    </w:p>
    <w:p w14:paraId="03C08516" w14:textId="77777777" w:rsidR="00163168" w:rsidRPr="004914D7" w:rsidRDefault="00163168" w:rsidP="00163168">
      <w:pPr>
        <w:spacing w:after="0" w:line="240" w:lineRule="auto"/>
        <w:rPr>
          <w:rFonts w:ascii="Times New Roman" w:hAnsi="Times New Roman" w:cs="Times New Roman"/>
          <w:lang w:val="en-US"/>
        </w:rPr>
      </w:pPr>
      <w:r w:rsidRPr="004914D7">
        <w:rPr>
          <w:rFonts w:ascii="Times New Roman" w:hAnsi="Times New Roman" w:cs="Times New Roman"/>
          <w:lang w:val="en-US"/>
        </w:rPr>
        <w:t xml:space="preserve">Lamia, Schimatari, 32009, </w:t>
      </w:r>
    </w:p>
    <w:p w14:paraId="31D90B02" w14:textId="25412E08" w:rsidR="00163168" w:rsidRDefault="00163168" w:rsidP="00163168">
      <w:pPr>
        <w:spacing w:after="0" w:line="240" w:lineRule="auto"/>
        <w:rPr>
          <w:rFonts w:ascii="Times New Roman" w:eastAsia="Times New Roman" w:hAnsi="Times New Roman" w:cs="Times New Roman"/>
        </w:rPr>
      </w:pPr>
      <w:r w:rsidRPr="004914D7">
        <w:rPr>
          <w:rFonts w:ascii="Times New Roman" w:hAnsi="Times New Roman" w:cs="Times New Roman"/>
          <w:lang w:val="en-US"/>
        </w:rPr>
        <w:t>Gr</w:t>
      </w:r>
      <w:r w:rsidR="005D2A55" w:rsidRPr="004914D7">
        <w:rPr>
          <w:rFonts w:ascii="Times New Roman" w:hAnsi="Times New Roman" w:cs="Times New Roman"/>
          <w:lang w:val="en-US"/>
        </w:rPr>
        <w:t>aikija</w:t>
      </w:r>
      <w:r w:rsidRPr="00163168">
        <w:rPr>
          <w:rFonts w:ascii="Times New Roman" w:hAnsi="Times New Roman" w:cs="Times New Roman"/>
          <w:color w:val="0000FF"/>
          <w:sz w:val="23"/>
          <w:szCs w:val="23"/>
          <w:lang w:val="en-US"/>
        </w:rPr>
        <w:t xml:space="preserve"> </w:t>
      </w:r>
    </w:p>
    <w:p w14:paraId="10487F62" w14:textId="77777777" w:rsidR="00123F1C" w:rsidRDefault="00123F1C" w:rsidP="00123F1C">
      <w:pPr>
        <w:spacing w:after="0" w:line="240" w:lineRule="auto"/>
        <w:rPr>
          <w:rFonts w:ascii="Times New Roman" w:eastAsia="Times New Roman" w:hAnsi="Times New Roman" w:cs="Times New Roman"/>
        </w:rPr>
      </w:pPr>
    </w:p>
    <w:p w14:paraId="484B98A9" w14:textId="77777777" w:rsidR="009501EF" w:rsidRPr="008A351A" w:rsidRDefault="009501EF" w:rsidP="00123F1C">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Su pakuote pateikiamame lapelyje nurodomas gamintojo, atsakingo už konkrečios serijos išleidimą, pavadinimas ir adresas.</w:t>
      </w:r>
    </w:p>
    <w:p w14:paraId="172C5EDE" w14:textId="77777777" w:rsidR="009501EF" w:rsidRPr="008A351A" w:rsidRDefault="009501EF" w:rsidP="009501EF">
      <w:pPr>
        <w:spacing w:after="0" w:line="240" w:lineRule="auto"/>
        <w:rPr>
          <w:rFonts w:ascii="Times New Roman" w:eastAsia="Times New Roman" w:hAnsi="Times New Roman" w:cs="Times New Roman"/>
        </w:rPr>
      </w:pPr>
    </w:p>
    <w:p w14:paraId="1C402B77" w14:textId="77777777" w:rsidR="009501EF" w:rsidRPr="008A351A" w:rsidRDefault="009501EF" w:rsidP="009501EF">
      <w:pPr>
        <w:spacing w:after="0" w:line="240" w:lineRule="auto"/>
        <w:rPr>
          <w:rFonts w:ascii="Times New Roman" w:eastAsia="Times New Roman" w:hAnsi="Times New Roman" w:cs="Times New Roman"/>
        </w:rPr>
      </w:pPr>
    </w:p>
    <w:p w14:paraId="64D02C46" w14:textId="77777777" w:rsidR="009501EF" w:rsidRPr="008A351A" w:rsidRDefault="009501EF" w:rsidP="009501EF">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29"/>
      <w:bookmarkStart w:id="13" w:name="_Toc129243254"/>
      <w:r w:rsidRPr="008A351A">
        <w:rPr>
          <w:rFonts w:ascii="Times New Roman" w:eastAsia="Times New Roman" w:hAnsi="Times New Roman" w:cs="Times New Roman"/>
          <w:b/>
        </w:rPr>
        <w:t>B.</w:t>
      </w:r>
      <w:r w:rsidRPr="008A351A">
        <w:rPr>
          <w:rFonts w:ascii="Times New Roman" w:eastAsia="Times New Roman" w:hAnsi="Times New Roman" w:cs="Times New Roman"/>
          <w:b/>
        </w:rPr>
        <w:tab/>
      </w:r>
      <w:r w:rsidR="009721CF" w:rsidRPr="008A351A">
        <w:rPr>
          <w:rFonts w:ascii="Times New Roman" w:eastAsia="Times New Roman" w:hAnsi="Times New Roman" w:cs="Times New Roman"/>
          <w:b/>
        </w:rPr>
        <w:t xml:space="preserve">TIEKIMO IR VARTOJIMO </w:t>
      </w:r>
      <w:r w:rsidRPr="008A351A">
        <w:rPr>
          <w:rFonts w:ascii="Times New Roman" w:eastAsia="Times New Roman" w:hAnsi="Times New Roman" w:cs="Times New Roman"/>
          <w:b/>
        </w:rPr>
        <w:t>SĄLYGOS</w:t>
      </w:r>
      <w:bookmarkEnd w:id="12"/>
      <w:bookmarkEnd w:id="13"/>
      <w:r w:rsidR="009721CF" w:rsidRPr="008A351A">
        <w:rPr>
          <w:rFonts w:ascii="Times New Roman" w:eastAsia="Times New Roman" w:hAnsi="Times New Roman" w:cs="Times New Roman"/>
          <w:b/>
        </w:rPr>
        <w:t xml:space="preserve"> AR APRIBOJIMAI</w:t>
      </w:r>
    </w:p>
    <w:p w14:paraId="213F748A" w14:textId="77777777" w:rsidR="009501EF" w:rsidRPr="008A351A" w:rsidRDefault="009501EF" w:rsidP="009501EF">
      <w:pPr>
        <w:spacing w:after="0" w:line="240" w:lineRule="auto"/>
        <w:rPr>
          <w:rFonts w:ascii="Times New Roman" w:eastAsia="Times New Roman" w:hAnsi="Times New Roman" w:cs="Times New Roman"/>
        </w:rPr>
      </w:pPr>
    </w:p>
    <w:p w14:paraId="1A669652"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Receptinis vaistinis preparatas</w:t>
      </w:r>
      <w:r w:rsidR="009721CF" w:rsidRPr="008A351A">
        <w:rPr>
          <w:rFonts w:ascii="Times New Roman" w:eastAsia="Times New Roman" w:hAnsi="Times New Roman" w:cs="Times New Roman"/>
        </w:rPr>
        <w:t>.</w:t>
      </w:r>
    </w:p>
    <w:p w14:paraId="6CA18680" w14:textId="77777777" w:rsidR="009501EF" w:rsidRPr="008A351A" w:rsidRDefault="009501EF" w:rsidP="009501EF">
      <w:pPr>
        <w:spacing w:after="0" w:line="240" w:lineRule="auto"/>
        <w:rPr>
          <w:rFonts w:ascii="Times New Roman" w:eastAsia="Times New Roman" w:hAnsi="Times New Roman" w:cs="Times New Roman"/>
        </w:rPr>
      </w:pPr>
    </w:p>
    <w:p w14:paraId="0BB1DDFB"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br w:type="page"/>
      </w:r>
    </w:p>
    <w:p w14:paraId="419D94DD" w14:textId="77777777" w:rsidR="009501EF" w:rsidRPr="008A351A" w:rsidRDefault="009501EF" w:rsidP="009501EF">
      <w:pPr>
        <w:spacing w:after="0" w:line="240" w:lineRule="auto"/>
        <w:rPr>
          <w:rFonts w:ascii="Times New Roman" w:eastAsia="Times New Roman" w:hAnsi="Times New Roman" w:cs="Times New Roman"/>
        </w:rPr>
      </w:pPr>
    </w:p>
    <w:p w14:paraId="5564C258" w14:textId="77777777" w:rsidR="009501EF" w:rsidRPr="008A351A" w:rsidRDefault="009501EF" w:rsidP="009501EF">
      <w:pPr>
        <w:spacing w:after="0" w:line="240" w:lineRule="auto"/>
        <w:rPr>
          <w:rFonts w:ascii="Times New Roman" w:eastAsia="Times New Roman" w:hAnsi="Times New Roman" w:cs="Times New Roman"/>
        </w:rPr>
      </w:pPr>
    </w:p>
    <w:p w14:paraId="15807E91" w14:textId="77777777" w:rsidR="009501EF" w:rsidRPr="008A351A" w:rsidRDefault="009501EF" w:rsidP="009501EF">
      <w:pPr>
        <w:spacing w:after="0" w:line="240" w:lineRule="auto"/>
        <w:rPr>
          <w:rFonts w:ascii="Times New Roman" w:eastAsia="Times New Roman" w:hAnsi="Times New Roman" w:cs="Times New Roman"/>
        </w:rPr>
      </w:pPr>
    </w:p>
    <w:p w14:paraId="7D8436EC" w14:textId="77777777" w:rsidR="009501EF" w:rsidRPr="008A351A" w:rsidRDefault="009501EF" w:rsidP="009501EF">
      <w:pPr>
        <w:spacing w:after="0" w:line="240" w:lineRule="auto"/>
        <w:rPr>
          <w:rFonts w:ascii="Times New Roman" w:eastAsia="Times New Roman" w:hAnsi="Times New Roman" w:cs="Times New Roman"/>
        </w:rPr>
      </w:pPr>
    </w:p>
    <w:p w14:paraId="543BE90E" w14:textId="77777777" w:rsidR="009501EF" w:rsidRPr="008A351A" w:rsidRDefault="009501EF" w:rsidP="009501EF">
      <w:pPr>
        <w:spacing w:after="0" w:line="240" w:lineRule="auto"/>
        <w:rPr>
          <w:rFonts w:ascii="Times New Roman" w:eastAsia="Times New Roman" w:hAnsi="Times New Roman" w:cs="Times New Roman"/>
        </w:rPr>
      </w:pPr>
    </w:p>
    <w:p w14:paraId="19689887" w14:textId="77777777" w:rsidR="009501EF" w:rsidRPr="008A351A" w:rsidRDefault="009501EF" w:rsidP="009501EF">
      <w:pPr>
        <w:spacing w:after="0" w:line="240" w:lineRule="auto"/>
        <w:rPr>
          <w:rFonts w:ascii="Times New Roman" w:eastAsia="Times New Roman" w:hAnsi="Times New Roman" w:cs="Times New Roman"/>
        </w:rPr>
      </w:pPr>
    </w:p>
    <w:p w14:paraId="5CB02FBC" w14:textId="77777777" w:rsidR="009501EF" w:rsidRPr="008A351A" w:rsidRDefault="009501EF" w:rsidP="009501EF">
      <w:pPr>
        <w:spacing w:after="0" w:line="240" w:lineRule="auto"/>
        <w:rPr>
          <w:rFonts w:ascii="Times New Roman" w:eastAsia="Times New Roman" w:hAnsi="Times New Roman" w:cs="Times New Roman"/>
        </w:rPr>
      </w:pPr>
    </w:p>
    <w:p w14:paraId="6E241E14" w14:textId="77777777" w:rsidR="009501EF" w:rsidRPr="008A351A" w:rsidRDefault="009501EF" w:rsidP="009501EF">
      <w:pPr>
        <w:spacing w:after="0" w:line="240" w:lineRule="auto"/>
        <w:rPr>
          <w:rFonts w:ascii="Times New Roman" w:eastAsia="Times New Roman" w:hAnsi="Times New Roman" w:cs="Times New Roman"/>
        </w:rPr>
      </w:pPr>
    </w:p>
    <w:p w14:paraId="7AA2DCD9" w14:textId="77777777" w:rsidR="009501EF" w:rsidRPr="008A351A" w:rsidRDefault="009501EF" w:rsidP="009501EF">
      <w:pPr>
        <w:spacing w:after="0" w:line="240" w:lineRule="auto"/>
        <w:rPr>
          <w:rFonts w:ascii="Times New Roman" w:eastAsia="Times New Roman" w:hAnsi="Times New Roman" w:cs="Times New Roman"/>
        </w:rPr>
      </w:pPr>
    </w:p>
    <w:p w14:paraId="54FF6D23" w14:textId="77777777" w:rsidR="009501EF" w:rsidRPr="008A351A" w:rsidRDefault="009501EF" w:rsidP="009501EF">
      <w:pPr>
        <w:spacing w:after="0" w:line="240" w:lineRule="auto"/>
        <w:rPr>
          <w:rFonts w:ascii="Times New Roman" w:eastAsia="Times New Roman" w:hAnsi="Times New Roman" w:cs="Times New Roman"/>
        </w:rPr>
      </w:pPr>
    </w:p>
    <w:p w14:paraId="660ABEBD" w14:textId="77777777" w:rsidR="009501EF" w:rsidRPr="008A351A" w:rsidRDefault="009501EF" w:rsidP="009501EF">
      <w:pPr>
        <w:spacing w:after="0" w:line="240" w:lineRule="auto"/>
        <w:rPr>
          <w:rFonts w:ascii="Times New Roman" w:eastAsia="Times New Roman" w:hAnsi="Times New Roman" w:cs="Times New Roman"/>
        </w:rPr>
      </w:pPr>
    </w:p>
    <w:p w14:paraId="45444F7F" w14:textId="77777777" w:rsidR="009501EF" w:rsidRPr="008A351A" w:rsidRDefault="009501EF" w:rsidP="009501EF">
      <w:pPr>
        <w:spacing w:after="0" w:line="240" w:lineRule="auto"/>
        <w:rPr>
          <w:rFonts w:ascii="Times New Roman" w:eastAsia="Times New Roman" w:hAnsi="Times New Roman" w:cs="Times New Roman"/>
        </w:rPr>
      </w:pPr>
    </w:p>
    <w:p w14:paraId="68AA981F" w14:textId="77777777" w:rsidR="009501EF" w:rsidRPr="008A351A" w:rsidRDefault="009501EF" w:rsidP="009501EF">
      <w:pPr>
        <w:spacing w:after="0" w:line="240" w:lineRule="auto"/>
        <w:rPr>
          <w:rFonts w:ascii="Times New Roman" w:eastAsia="Times New Roman" w:hAnsi="Times New Roman" w:cs="Times New Roman"/>
        </w:rPr>
      </w:pPr>
    </w:p>
    <w:p w14:paraId="739AC70F" w14:textId="77777777" w:rsidR="009501EF" w:rsidRPr="008A351A" w:rsidRDefault="009501EF" w:rsidP="009501EF">
      <w:pPr>
        <w:spacing w:after="0" w:line="240" w:lineRule="auto"/>
        <w:rPr>
          <w:rFonts w:ascii="Times New Roman" w:eastAsia="Times New Roman" w:hAnsi="Times New Roman" w:cs="Times New Roman"/>
        </w:rPr>
      </w:pPr>
    </w:p>
    <w:p w14:paraId="13D37693" w14:textId="77777777" w:rsidR="009501EF" w:rsidRPr="008A351A" w:rsidRDefault="009501EF" w:rsidP="009501EF">
      <w:pPr>
        <w:spacing w:after="0" w:line="240" w:lineRule="auto"/>
        <w:rPr>
          <w:rFonts w:ascii="Times New Roman" w:eastAsia="Times New Roman" w:hAnsi="Times New Roman" w:cs="Times New Roman"/>
        </w:rPr>
      </w:pPr>
    </w:p>
    <w:p w14:paraId="32789D13" w14:textId="77777777" w:rsidR="009501EF" w:rsidRPr="008A351A" w:rsidRDefault="009501EF" w:rsidP="009501EF">
      <w:pPr>
        <w:spacing w:after="0" w:line="240" w:lineRule="auto"/>
        <w:rPr>
          <w:rFonts w:ascii="Times New Roman" w:eastAsia="Times New Roman" w:hAnsi="Times New Roman" w:cs="Times New Roman"/>
        </w:rPr>
      </w:pPr>
    </w:p>
    <w:p w14:paraId="582EBA2B" w14:textId="77777777" w:rsidR="009501EF" w:rsidRPr="008A351A" w:rsidRDefault="009501EF" w:rsidP="009501EF">
      <w:pPr>
        <w:spacing w:after="0" w:line="240" w:lineRule="auto"/>
        <w:rPr>
          <w:rFonts w:ascii="Times New Roman" w:eastAsia="Times New Roman" w:hAnsi="Times New Roman" w:cs="Times New Roman"/>
        </w:rPr>
      </w:pPr>
    </w:p>
    <w:p w14:paraId="13A8DC6A" w14:textId="77777777" w:rsidR="009501EF" w:rsidRPr="008A351A" w:rsidRDefault="009501EF" w:rsidP="009501EF">
      <w:pPr>
        <w:spacing w:after="0" w:line="240" w:lineRule="auto"/>
        <w:rPr>
          <w:rFonts w:ascii="Times New Roman" w:eastAsia="Times New Roman" w:hAnsi="Times New Roman" w:cs="Times New Roman"/>
        </w:rPr>
      </w:pPr>
    </w:p>
    <w:p w14:paraId="501C8B59" w14:textId="77777777" w:rsidR="009501EF" w:rsidRPr="008A351A" w:rsidRDefault="009501EF" w:rsidP="009501EF">
      <w:pPr>
        <w:spacing w:after="0" w:line="240" w:lineRule="auto"/>
        <w:rPr>
          <w:rFonts w:ascii="Times New Roman" w:eastAsia="Times New Roman" w:hAnsi="Times New Roman" w:cs="Times New Roman"/>
        </w:rPr>
      </w:pPr>
    </w:p>
    <w:p w14:paraId="721AC20D" w14:textId="77777777" w:rsidR="009501EF" w:rsidRPr="008A351A" w:rsidRDefault="009501EF" w:rsidP="009501EF">
      <w:pPr>
        <w:spacing w:after="0" w:line="240" w:lineRule="auto"/>
        <w:rPr>
          <w:rFonts w:ascii="Times New Roman" w:eastAsia="Times New Roman" w:hAnsi="Times New Roman" w:cs="Times New Roman"/>
        </w:rPr>
      </w:pPr>
    </w:p>
    <w:p w14:paraId="07935C12" w14:textId="77777777" w:rsidR="009501EF" w:rsidRPr="008A351A" w:rsidRDefault="009501EF" w:rsidP="009501EF">
      <w:pPr>
        <w:spacing w:after="0" w:line="240" w:lineRule="auto"/>
        <w:rPr>
          <w:rFonts w:ascii="Times New Roman" w:eastAsia="Times New Roman" w:hAnsi="Times New Roman" w:cs="Times New Roman"/>
        </w:rPr>
      </w:pPr>
    </w:p>
    <w:p w14:paraId="3B3FCF05" w14:textId="77777777" w:rsidR="009501EF" w:rsidRPr="008A351A" w:rsidRDefault="009501EF" w:rsidP="009501EF">
      <w:pPr>
        <w:spacing w:after="0" w:line="240" w:lineRule="auto"/>
        <w:rPr>
          <w:rFonts w:ascii="Times New Roman" w:eastAsia="Times New Roman" w:hAnsi="Times New Roman" w:cs="Times New Roman"/>
        </w:rPr>
      </w:pPr>
    </w:p>
    <w:p w14:paraId="19F5BA4D"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4"/>
      <w:bookmarkStart w:id="15" w:name="_Toc129243259"/>
      <w:r w:rsidRPr="008A351A">
        <w:rPr>
          <w:rFonts w:ascii="Times New Roman" w:eastAsia="Times New Roman" w:hAnsi="Times New Roman" w:cs="Times New Roman"/>
          <w:b/>
          <w:caps/>
        </w:rPr>
        <w:t>III PRIEDAS</w:t>
      </w:r>
      <w:bookmarkEnd w:id="14"/>
      <w:bookmarkEnd w:id="15"/>
    </w:p>
    <w:p w14:paraId="02F8DA64" w14:textId="77777777" w:rsidR="009501EF" w:rsidRPr="008A351A" w:rsidRDefault="009501EF" w:rsidP="009501EF">
      <w:pPr>
        <w:spacing w:after="0" w:line="240" w:lineRule="auto"/>
        <w:rPr>
          <w:rFonts w:ascii="Times New Roman" w:eastAsia="Times New Roman" w:hAnsi="Times New Roman" w:cs="Times New Roman"/>
        </w:rPr>
      </w:pPr>
    </w:p>
    <w:p w14:paraId="1FDEED92"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bookmarkStart w:id="16" w:name="_Toc129243135"/>
      <w:bookmarkStart w:id="17" w:name="_Toc129243260"/>
      <w:r w:rsidRPr="008A351A">
        <w:rPr>
          <w:rFonts w:ascii="Times New Roman" w:eastAsia="Times New Roman" w:hAnsi="Times New Roman" w:cs="Times New Roman"/>
          <w:b/>
          <w:caps/>
        </w:rPr>
        <w:t>ŽENKLINIMAS IR PAKUOTĖS LAPELIS</w:t>
      </w:r>
      <w:bookmarkEnd w:id="16"/>
      <w:bookmarkEnd w:id="17"/>
    </w:p>
    <w:p w14:paraId="464CB935"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br w:type="page"/>
      </w:r>
    </w:p>
    <w:p w14:paraId="0869F575" w14:textId="77777777" w:rsidR="009501EF" w:rsidRPr="008A351A" w:rsidRDefault="009501EF" w:rsidP="009501EF">
      <w:pPr>
        <w:spacing w:after="0" w:line="240" w:lineRule="auto"/>
        <w:rPr>
          <w:rFonts w:ascii="Times New Roman" w:eastAsia="Times New Roman" w:hAnsi="Times New Roman" w:cs="Times New Roman"/>
        </w:rPr>
      </w:pPr>
    </w:p>
    <w:p w14:paraId="63FA3CC1" w14:textId="77777777" w:rsidR="009501EF" w:rsidRPr="008A351A" w:rsidRDefault="009501EF" w:rsidP="009501EF">
      <w:pPr>
        <w:spacing w:after="0" w:line="240" w:lineRule="auto"/>
        <w:rPr>
          <w:rFonts w:ascii="Times New Roman" w:eastAsia="Times New Roman" w:hAnsi="Times New Roman" w:cs="Times New Roman"/>
        </w:rPr>
      </w:pPr>
    </w:p>
    <w:p w14:paraId="11F99B3F" w14:textId="77777777" w:rsidR="009501EF" w:rsidRPr="008A351A" w:rsidRDefault="009501EF" w:rsidP="009501EF">
      <w:pPr>
        <w:spacing w:after="0" w:line="240" w:lineRule="auto"/>
        <w:rPr>
          <w:rFonts w:ascii="Times New Roman" w:eastAsia="Times New Roman" w:hAnsi="Times New Roman" w:cs="Times New Roman"/>
        </w:rPr>
      </w:pPr>
    </w:p>
    <w:p w14:paraId="2FC57F47" w14:textId="77777777" w:rsidR="009501EF" w:rsidRPr="008A351A" w:rsidRDefault="009501EF" w:rsidP="009501EF">
      <w:pPr>
        <w:spacing w:after="0" w:line="240" w:lineRule="auto"/>
        <w:rPr>
          <w:rFonts w:ascii="Times New Roman" w:eastAsia="Times New Roman" w:hAnsi="Times New Roman" w:cs="Times New Roman"/>
        </w:rPr>
      </w:pPr>
    </w:p>
    <w:p w14:paraId="46B093E5" w14:textId="77777777" w:rsidR="009501EF" w:rsidRPr="008A351A" w:rsidRDefault="009501EF" w:rsidP="009501EF">
      <w:pPr>
        <w:spacing w:after="0" w:line="240" w:lineRule="auto"/>
        <w:rPr>
          <w:rFonts w:ascii="Times New Roman" w:eastAsia="Times New Roman" w:hAnsi="Times New Roman" w:cs="Times New Roman"/>
        </w:rPr>
      </w:pPr>
    </w:p>
    <w:p w14:paraId="7F268E81" w14:textId="77777777" w:rsidR="009501EF" w:rsidRPr="008A351A" w:rsidRDefault="009501EF" w:rsidP="009501EF">
      <w:pPr>
        <w:spacing w:after="0" w:line="240" w:lineRule="auto"/>
        <w:rPr>
          <w:rFonts w:ascii="Times New Roman" w:eastAsia="Times New Roman" w:hAnsi="Times New Roman" w:cs="Times New Roman"/>
        </w:rPr>
      </w:pPr>
    </w:p>
    <w:p w14:paraId="0535F4A9" w14:textId="77777777" w:rsidR="009501EF" w:rsidRPr="008A351A" w:rsidRDefault="009501EF" w:rsidP="009501EF">
      <w:pPr>
        <w:spacing w:after="0" w:line="240" w:lineRule="auto"/>
        <w:rPr>
          <w:rFonts w:ascii="Times New Roman" w:eastAsia="Times New Roman" w:hAnsi="Times New Roman" w:cs="Times New Roman"/>
        </w:rPr>
      </w:pPr>
    </w:p>
    <w:p w14:paraId="01F7AC5F" w14:textId="77777777" w:rsidR="009501EF" w:rsidRPr="008A351A" w:rsidRDefault="009501EF" w:rsidP="009501EF">
      <w:pPr>
        <w:spacing w:after="0" w:line="240" w:lineRule="auto"/>
        <w:rPr>
          <w:rFonts w:ascii="Times New Roman" w:eastAsia="Times New Roman" w:hAnsi="Times New Roman" w:cs="Times New Roman"/>
        </w:rPr>
      </w:pPr>
    </w:p>
    <w:p w14:paraId="159C7C1A" w14:textId="77777777" w:rsidR="009501EF" w:rsidRPr="008A351A" w:rsidRDefault="009501EF" w:rsidP="009501EF">
      <w:pPr>
        <w:spacing w:after="0" w:line="240" w:lineRule="auto"/>
        <w:rPr>
          <w:rFonts w:ascii="Times New Roman" w:eastAsia="Times New Roman" w:hAnsi="Times New Roman" w:cs="Times New Roman"/>
        </w:rPr>
      </w:pPr>
    </w:p>
    <w:p w14:paraId="2F519EC8" w14:textId="77777777" w:rsidR="009501EF" w:rsidRPr="008A351A" w:rsidRDefault="009501EF" w:rsidP="009501EF">
      <w:pPr>
        <w:spacing w:after="0" w:line="240" w:lineRule="auto"/>
        <w:rPr>
          <w:rFonts w:ascii="Times New Roman" w:eastAsia="Times New Roman" w:hAnsi="Times New Roman" w:cs="Times New Roman"/>
        </w:rPr>
      </w:pPr>
    </w:p>
    <w:p w14:paraId="69452503" w14:textId="77777777" w:rsidR="009501EF" w:rsidRPr="008A351A" w:rsidRDefault="009501EF" w:rsidP="009501EF">
      <w:pPr>
        <w:spacing w:after="0" w:line="240" w:lineRule="auto"/>
        <w:rPr>
          <w:rFonts w:ascii="Times New Roman" w:eastAsia="Times New Roman" w:hAnsi="Times New Roman" w:cs="Times New Roman"/>
        </w:rPr>
      </w:pPr>
    </w:p>
    <w:p w14:paraId="1CA9D370" w14:textId="77777777" w:rsidR="009501EF" w:rsidRPr="008A351A" w:rsidRDefault="009501EF" w:rsidP="009501EF">
      <w:pPr>
        <w:spacing w:after="0" w:line="240" w:lineRule="auto"/>
        <w:rPr>
          <w:rFonts w:ascii="Times New Roman" w:eastAsia="Times New Roman" w:hAnsi="Times New Roman" w:cs="Times New Roman"/>
        </w:rPr>
      </w:pPr>
    </w:p>
    <w:p w14:paraId="3A212004" w14:textId="77777777" w:rsidR="009501EF" w:rsidRPr="008A351A" w:rsidRDefault="009501EF" w:rsidP="009501EF">
      <w:pPr>
        <w:spacing w:after="0" w:line="240" w:lineRule="auto"/>
        <w:rPr>
          <w:rFonts w:ascii="Times New Roman" w:eastAsia="Times New Roman" w:hAnsi="Times New Roman" w:cs="Times New Roman"/>
        </w:rPr>
      </w:pPr>
    </w:p>
    <w:p w14:paraId="23D6195D" w14:textId="77777777" w:rsidR="009501EF" w:rsidRPr="008A351A" w:rsidRDefault="009501EF" w:rsidP="009501EF">
      <w:pPr>
        <w:spacing w:after="0" w:line="240" w:lineRule="auto"/>
        <w:rPr>
          <w:rFonts w:ascii="Times New Roman" w:eastAsia="Times New Roman" w:hAnsi="Times New Roman" w:cs="Times New Roman"/>
        </w:rPr>
      </w:pPr>
    </w:p>
    <w:p w14:paraId="6797CB71" w14:textId="77777777" w:rsidR="009501EF" w:rsidRPr="008A351A" w:rsidRDefault="009501EF" w:rsidP="009501EF">
      <w:pPr>
        <w:spacing w:after="0" w:line="240" w:lineRule="auto"/>
        <w:rPr>
          <w:rFonts w:ascii="Times New Roman" w:eastAsia="Times New Roman" w:hAnsi="Times New Roman" w:cs="Times New Roman"/>
        </w:rPr>
      </w:pPr>
    </w:p>
    <w:p w14:paraId="456492E7" w14:textId="77777777" w:rsidR="009501EF" w:rsidRPr="008A351A" w:rsidRDefault="009501EF" w:rsidP="009501EF">
      <w:pPr>
        <w:spacing w:after="0" w:line="240" w:lineRule="auto"/>
        <w:rPr>
          <w:rFonts w:ascii="Times New Roman" w:eastAsia="Times New Roman" w:hAnsi="Times New Roman" w:cs="Times New Roman"/>
        </w:rPr>
      </w:pPr>
    </w:p>
    <w:p w14:paraId="3E64947D" w14:textId="77777777" w:rsidR="009501EF" w:rsidRPr="008A351A" w:rsidRDefault="009501EF" w:rsidP="009501EF">
      <w:pPr>
        <w:spacing w:after="0" w:line="240" w:lineRule="auto"/>
        <w:rPr>
          <w:rFonts w:ascii="Times New Roman" w:eastAsia="Times New Roman" w:hAnsi="Times New Roman" w:cs="Times New Roman"/>
        </w:rPr>
      </w:pPr>
    </w:p>
    <w:p w14:paraId="33A160D1" w14:textId="77777777" w:rsidR="009501EF" w:rsidRPr="008A351A" w:rsidRDefault="009501EF" w:rsidP="009501EF">
      <w:pPr>
        <w:spacing w:after="0" w:line="240" w:lineRule="auto"/>
        <w:rPr>
          <w:rFonts w:ascii="Times New Roman" w:eastAsia="Times New Roman" w:hAnsi="Times New Roman" w:cs="Times New Roman"/>
        </w:rPr>
      </w:pPr>
    </w:p>
    <w:p w14:paraId="510C10DC" w14:textId="77777777" w:rsidR="009501EF" w:rsidRPr="008A351A" w:rsidRDefault="009501EF" w:rsidP="009501EF">
      <w:pPr>
        <w:spacing w:after="0" w:line="240" w:lineRule="auto"/>
        <w:rPr>
          <w:rFonts w:ascii="Times New Roman" w:eastAsia="Times New Roman" w:hAnsi="Times New Roman" w:cs="Times New Roman"/>
        </w:rPr>
      </w:pPr>
    </w:p>
    <w:p w14:paraId="56EFA714" w14:textId="77777777" w:rsidR="009501EF" w:rsidRPr="008A351A" w:rsidRDefault="009501EF" w:rsidP="009501EF">
      <w:pPr>
        <w:spacing w:after="0" w:line="240" w:lineRule="auto"/>
        <w:rPr>
          <w:rFonts w:ascii="Times New Roman" w:eastAsia="Times New Roman" w:hAnsi="Times New Roman" w:cs="Times New Roman"/>
        </w:rPr>
      </w:pPr>
    </w:p>
    <w:p w14:paraId="42E99E54" w14:textId="77777777" w:rsidR="009501EF" w:rsidRPr="008A351A" w:rsidRDefault="009501EF" w:rsidP="009501EF">
      <w:pPr>
        <w:spacing w:after="0" w:line="240" w:lineRule="auto"/>
        <w:rPr>
          <w:rFonts w:ascii="Times New Roman" w:eastAsia="Times New Roman" w:hAnsi="Times New Roman" w:cs="Times New Roman"/>
        </w:rPr>
      </w:pPr>
    </w:p>
    <w:p w14:paraId="176BE438" w14:textId="77777777" w:rsidR="009501EF" w:rsidRPr="008A351A" w:rsidRDefault="009501EF" w:rsidP="009501EF">
      <w:pPr>
        <w:spacing w:after="0" w:line="240" w:lineRule="auto"/>
        <w:rPr>
          <w:rFonts w:ascii="Times New Roman" w:eastAsia="Times New Roman" w:hAnsi="Times New Roman" w:cs="Times New Roman"/>
        </w:rPr>
      </w:pPr>
    </w:p>
    <w:p w14:paraId="211EFACF"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bookmarkStart w:id="18" w:name="_Toc129243136"/>
      <w:bookmarkStart w:id="19" w:name="_Toc129243261"/>
      <w:r w:rsidRPr="008A351A">
        <w:rPr>
          <w:rFonts w:ascii="Times New Roman" w:eastAsia="Times New Roman" w:hAnsi="Times New Roman" w:cs="Times New Roman"/>
          <w:b/>
          <w:caps/>
        </w:rPr>
        <w:t>A. ŽENKLINIMAS</w:t>
      </w:r>
      <w:bookmarkEnd w:id="18"/>
      <w:bookmarkEnd w:id="19"/>
    </w:p>
    <w:p w14:paraId="3C888F19"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br w:type="page"/>
      </w:r>
    </w:p>
    <w:p w14:paraId="5DE678E3"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lastRenderedPageBreak/>
        <w:t>INFORMACIJA ANT IŠORINĖS PAKUOTĖS</w:t>
      </w:r>
    </w:p>
    <w:p w14:paraId="6DB88F41"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C5C94F1"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rPr>
        <w:t>KARTONO DĖŽUTĖ</w:t>
      </w:r>
    </w:p>
    <w:p w14:paraId="66CAC3C8" w14:textId="77777777" w:rsidR="009501EF" w:rsidRPr="008A351A" w:rsidRDefault="009501EF" w:rsidP="009501EF">
      <w:pPr>
        <w:spacing w:after="0" w:line="240" w:lineRule="auto"/>
        <w:rPr>
          <w:rFonts w:ascii="Times New Roman" w:eastAsia="Times New Roman" w:hAnsi="Times New Roman" w:cs="Times New Roman"/>
        </w:rPr>
      </w:pPr>
    </w:p>
    <w:p w14:paraId="0BC5AE85" w14:textId="77777777" w:rsidR="009501EF" w:rsidRPr="008A351A" w:rsidRDefault="009501EF" w:rsidP="009501EF">
      <w:pPr>
        <w:spacing w:after="0" w:line="240" w:lineRule="auto"/>
        <w:rPr>
          <w:rFonts w:ascii="Times New Roman" w:eastAsia="Times New Roman" w:hAnsi="Times New Roman" w:cs="Times New Roman"/>
        </w:rPr>
      </w:pPr>
    </w:p>
    <w:p w14:paraId="39C4D625"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w:t>
      </w:r>
      <w:r w:rsidRPr="008A351A">
        <w:rPr>
          <w:rFonts w:ascii="Times New Roman" w:eastAsia="Times New Roman" w:hAnsi="Times New Roman" w:cs="Times New Roman"/>
          <w:b/>
        </w:rPr>
        <w:tab/>
        <w:t>VAISTINIO PREPARATO PAVADINIMAS</w:t>
      </w:r>
    </w:p>
    <w:p w14:paraId="4F581B43" w14:textId="77777777" w:rsidR="009501EF" w:rsidRPr="008A351A" w:rsidRDefault="009501EF" w:rsidP="009501EF">
      <w:pPr>
        <w:spacing w:after="0" w:line="240" w:lineRule="auto"/>
        <w:rPr>
          <w:rFonts w:ascii="Times New Roman" w:eastAsia="Times New Roman" w:hAnsi="Times New Roman" w:cs="Times New Roman"/>
        </w:rPr>
      </w:pPr>
    </w:p>
    <w:p w14:paraId="021AC0AC"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25 mg plėvele dengtos tabletės</w:t>
      </w:r>
    </w:p>
    <w:p w14:paraId="575E261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100 mg plėvele dengtos tabletės</w:t>
      </w:r>
    </w:p>
    <w:p w14:paraId="51E8A65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Quetiapine Accord 150 mg plėvele dengtos tabletės </w:t>
      </w:r>
    </w:p>
    <w:p w14:paraId="654126FF"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200 mg plėvele dengtos tabletės</w:t>
      </w:r>
    </w:p>
    <w:p w14:paraId="0F81FFF9"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300 mg plėvele dengtos tabletės</w:t>
      </w:r>
    </w:p>
    <w:p w14:paraId="0945A630"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Kvetiapinas</w:t>
      </w:r>
    </w:p>
    <w:p w14:paraId="500531CA" w14:textId="77777777" w:rsidR="009501EF" w:rsidRPr="008A351A" w:rsidRDefault="009501EF" w:rsidP="009501EF">
      <w:pPr>
        <w:spacing w:after="0" w:line="240" w:lineRule="auto"/>
        <w:rPr>
          <w:rFonts w:ascii="Times New Roman" w:eastAsia="Times New Roman" w:hAnsi="Times New Roman" w:cs="Times New Roman"/>
        </w:rPr>
      </w:pPr>
    </w:p>
    <w:p w14:paraId="7253EE9E" w14:textId="77777777" w:rsidR="009501EF" w:rsidRPr="008A351A" w:rsidRDefault="009501EF" w:rsidP="009501EF">
      <w:pPr>
        <w:spacing w:after="0" w:line="240" w:lineRule="auto"/>
        <w:rPr>
          <w:rFonts w:ascii="Times New Roman" w:eastAsia="Times New Roman" w:hAnsi="Times New Roman" w:cs="Times New Roman"/>
        </w:rPr>
      </w:pPr>
    </w:p>
    <w:p w14:paraId="18F6143E"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2.</w:t>
      </w:r>
      <w:r w:rsidRPr="008A351A">
        <w:rPr>
          <w:rFonts w:ascii="Times New Roman" w:eastAsia="Times New Roman" w:hAnsi="Times New Roman" w:cs="Times New Roman"/>
          <w:b/>
        </w:rPr>
        <w:tab/>
        <w:t>VEIKLIOJI MEDŽIAGA IR JOS KIEKIS</w:t>
      </w:r>
    </w:p>
    <w:p w14:paraId="33735748" w14:textId="77777777" w:rsidR="009501EF" w:rsidRPr="008A351A" w:rsidRDefault="009501EF" w:rsidP="009501EF">
      <w:pPr>
        <w:spacing w:after="0" w:line="240" w:lineRule="auto"/>
        <w:rPr>
          <w:rFonts w:ascii="Times New Roman" w:eastAsia="Times New Roman" w:hAnsi="Times New Roman" w:cs="Times New Roman"/>
        </w:rPr>
      </w:pPr>
    </w:p>
    <w:p w14:paraId="6AE826F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25 mg kvetiapino (kvetiapino hemifumarato pavidalu).</w:t>
      </w:r>
    </w:p>
    <w:p w14:paraId="672AD7D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100 mg kvetiapino (kvetiapino hemifumarato pavidalu).</w:t>
      </w:r>
    </w:p>
    <w:p w14:paraId="71A67F4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150 mg kvetiapino (kvetiapino hemifumarato pavidalu).</w:t>
      </w:r>
    </w:p>
    <w:p w14:paraId="1B6CFD5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200 mg kvetiapino (kvetiapino hemifumarato pavidalu).</w:t>
      </w:r>
    </w:p>
    <w:p w14:paraId="3F40B253" w14:textId="77777777" w:rsidR="009501EF" w:rsidRPr="008A351A" w:rsidRDefault="009501EF" w:rsidP="009501EF">
      <w:pPr>
        <w:tabs>
          <w:tab w:val="left" w:pos="567"/>
          <w:tab w:val="left" w:pos="2850"/>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Kiekvienoje plėvele dengtoje tabletėje yra 300 mg kvetiapino (kvetiapino hemifumarato pavidalu).</w:t>
      </w:r>
    </w:p>
    <w:p w14:paraId="3005F651" w14:textId="77777777" w:rsidR="009501EF" w:rsidRPr="008A351A" w:rsidRDefault="009501EF" w:rsidP="009501EF">
      <w:pPr>
        <w:spacing w:after="0" w:line="240" w:lineRule="auto"/>
        <w:rPr>
          <w:rFonts w:ascii="Times New Roman" w:eastAsia="Times New Roman" w:hAnsi="Times New Roman" w:cs="Times New Roman"/>
        </w:rPr>
      </w:pPr>
    </w:p>
    <w:p w14:paraId="6FC744EF" w14:textId="77777777" w:rsidR="009501EF" w:rsidRPr="008A351A" w:rsidRDefault="009501EF" w:rsidP="009501EF">
      <w:pPr>
        <w:spacing w:after="0" w:line="240" w:lineRule="auto"/>
        <w:rPr>
          <w:rFonts w:ascii="Times New Roman" w:eastAsia="Times New Roman" w:hAnsi="Times New Roman" w:cs="Times New Roman"/>
        </w:rPr>
      </w:pPr>
    </w:p>
    <w:p w14:paraId="4AAC77EA"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3.</w:t>
      </w:r>
      <w:r w:rsidRPr="008A351A">
        <w:rPr>
          <w:rFonts w:ascii="Times New Roman" w:eastAsia="Times New Roman" w:hAnsi="Times New Roman" w:cs="Times New Roman"/>
          <w:b/>
        </w:rPr>
        <w:tab/>
        <w:t>PAGALBINIŲ MEDŽIAGŲ SĄRAŠAS</w:t>
      </w:r>
    </w:p>
    <w:p w14:paraId="558125D9" w14:textId="77777777" w:rsidR="009501EF" w:rsidRPr="008A351A" w:rsidRDefault="009501EF" w:rsidP="009501EF">
      <w:pPr>
        <w:spacing w:after="0" w:line="240" w:lineRule="auto"/>
        <w:rPr>
          <w:rFonts w:ascii="Times New Roman" w:eastAsia="Times New Roman" w:hAnsi="Times New Roman" w:cs="Times New Roman"/>
        </w:rPr>
      </w:pPr>
    </w:p>
    <w:p w14:paraId="5695C781"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Pagalbinės medžiagos: sudėtyje taip pat yra laktozės monohidrato.</w:t>
      </w:r>
    </w:p>
    <w:p w14:paraId="4B137941" w14:textId="77777777" w:rsidR="009501EF" w:rsidRPr="008A351A" w:rsidRDefault="009501EF" w:rsidP="009501EF">
      <w:pPr>
        <w:spacing w:after="0" w:line="240" w:lineRule="auto"/>
        <w:rPr>
          <w:rFonts w:ascii="Times New Roman" w:eastAsia="Times New Roman" w:hAnsi="Times New Roman" w:cs="Times New Roman"/>
        </w:rPr>
      </w:pPr>
    </w:p>
    <w:p w14:paraId="451F80D7"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Daugiau informacijos pateikta pakuotės lapelyje.</w:t>
      </w:r>
    </w:p>
    <w:p w14:paraId="649E83DB" w14:textId="77777777" w:rsidR="009501EF" w:rsidRPr="008A351A" w:rsidRDefault="009501EF" w:rsidP="009501EF">
      <w:pPr>
        <w:spacing w:after="0" w:line="240" w:lineRule="auto"/>
        <w:rPr>
          <w:rFonts w:ascii="Times New Roman" w:eastAsia="Times New Roman" w:hAnsi="Times New Roman" w:cs="Times New Roman"/>
        </w:rPr>
      </w:pPr>
    </w:p>
    <w:p w14:paraId="30355AE7" w14:textId="77777777" w:rsidR="009501EF" w:rsidRPr="008A351A" w:rsidRDefault="009501EF" w:rsidP="009501EF">
      <w:pPr>
        <w:spacing w:after="0" w:line="240" w:lineRule="auto"/>
        <w:rPr>
          <w:rFonts w:ascii="Times New Roman" w:eastAsia="Times New Roman" w:hAnsi="Times New Roman" w:cs="Times New Roman"/>
        </w:rPr>
      </w:pPr>
    </w:p>
    <w:p w14:paraId="09ED0A71"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4.</w:t>
      </w:r>
      <w:r w:rsidRPr="008A351A">
        <w:rPr>
          <w:rFonts w:ascii="Times New Roman" w:eastAsia="Times New Roman" w:hAnsi="Times New Roman" w:cs="Times New Roman"/>
          <w:b/>
        </w:rPr>
        <w:tab/>
        <w:t>FARMACINĖ FORMA IR KIEKIS PAKUOTĖJE</w:t>
      </w:r>
    </w:p>
    <w:p w14:paraId="65B63F34" w14:textId="77777777" w:rsidR="009501EF" w:rsidRPr="008A351A" w:rsidRDefault="009501EF" w:rsidP="009501EF">
      <w:pPr>
        <w:spacing w:after="0" w:line="240" w:lineRule="auto"/>
        <w:rPr>
          <w:rFonts w:ascii="Times New Roman" w:eastAsia="Times New Roman" w:hAnsi="Times New Roman" w:cs="Times New Roman"/>
        </w:rPr>
      </w:pPr>
    </w:p>
    <w:p w14:paraId="1BA3A9E6"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Plėvele dengta tabletė</w:t>
      </w:r>
    </w:p>
    <w:p w14:paraId="70B9A7A1" w14:textId="77777777" w:rsidR="009501EF" w:rsidRPr="008A351A" w:rsidRDefault="009501EF" w:rsidP="009501EF">
      <w:pPr>
        <w:spacing w:after="0" w:line="240" w:lineRule="auto"/>
        <w:rPr>
          <w:rFonts w:ascii="Times New Roman" w:eastAsia="Times New Roman" w:hAnsi="Times New Roman" w:cs="Times New Roman"/>
        </w:rPr>
      </w:pPr>
    </w:p>
    <w:p w14:paraId="1D60CBD8"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6 tabletės</w:t>
      </w:r>
    </w:p>
    <w:p w14:paraId="2578D6CA"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7 tabletės</w:t>
      </w:r>
    </w:p>
    <w:p w14:paraId="27D4DB80"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10 tablečių</w:t>
      </w:r>
    </w:p>
    <w:p w14:paraId="2BF5885B"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14 tablečių</w:t>
      </w:r>
    </w:p>
    <w:p w14:paraId="057CD025"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20 tablečių</w:t>
      </w:r>
    </w:p>
    <w:p w14:paraId="2049E10D"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28 tabletės</w:t>
      </w:r>
    </w:p>
    <w:p w14:paraId="4D4B7FBF"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30 tablečių</w:t>
      </w:r>
    </w:p>
    <w:p w14:paraId="64709BED"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50 tablečių</w:t>
      </w:r>
    </w:p>
    <w:p w14:paraId="4F1AAF42"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56 tabletės</w:t>
      </w:r>
    </w:p>
    <w:p w14:paraId="4DC260DA"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60 tablečių</w:t>
      </w:r>
    </w:p>
    <w:p w14:paraId="350A57EC"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84 tabletės</w:t>
      </w:r>
    </w:p>
    <w:p w14:paraId="68DBD292"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90 tablečių</w:t>
      </w:r>
    </w:p>
    <w:p w14:paraId="542A2313"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98 tabletės</w:t>
      </w:r>
    </w:p>
    <w:p w14:paraId="6F90694A"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100 tablečių</w:t>
      </w:r>
    </w:p>
    <w:p w14:paraId="12243079" w14:textId="77777777" w:rsidR="009501EF" w:rsidRPr="008A351A" w:rsidRDefault="009501EF" w:rsidP="009501EF">
      <w:pPr>
        <w:spacing w:after="0" w:line="240" w:lineRule="auto"/>
        <w:rPr>
          <w:rFonts w:ascii="Times New Roman" w:eastAsia="Times New Roman" w:hAnsi="Times New Roman" w:cs="Times New Roman"/>
        </w:rPr>
      </w:pPr>
    </w:p>
    <w:p w14:paraId="11645DB6" w14:textId="77777777" w:rsidR="009501EF" w:rsidRPr="008A351A" w:rsidRDefault="009501EF" w:rsidP="009501EF">
      <w:pPr>
        <w:spacing w:after="0" w:line="240" w:lineRule="auto"/>
        <w:rPr>
          <w:rFonts w:ascii="Times New Roman" w:eastAsia="Times New Roman" w:hAnsi="Times New Roman" w:cs="Times New Roman"/>
        </w:rPr>
      </w:pPr>
    </w:p>
    <w:p w14:paraId="526BDB18"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5.</w:t>
      </w:r>
      <w:r w:rsidRPr="008A351A">
        <w:rPr>
          <w:rFonts w:ascii="Times New Roman" w:eastAsia="Times New Roman" w:hAnsi="Times New Roman" w:cs="Times New Roman"/>
          <w:b/>
        </w:rPr>
        <w:tab/>
        <w:t>VARTOJIMO METODAS IR BŪDAS (-AI)</w:t>
      </w:r>
    </w:p>
    <w:p w14:paraId="0EC1089B" w14:textId="77777777" w:rsidR="009501EF" w:rsidRPr="008A351A" w:rsidRDefault="009501EF" w:rsidP="009501EF">
      <w:pPr>
        <w:spacing w:after="0" w:line="240" w:lineRule="auto"/>
        <w:rPr>
          <w:rFonts w:ascii="Times New Roman" w:eastAsia="Times New Roman" w:hAnsi="Times New Roman" w:cs="Times New Roman"/>
        </w:rPr>
      </w:pPr>
    </w:p>
    <w:p w14:paraId="1E73D078"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Vartoti per burną.</w:t>
      </w:r>
    </w:p>
    <w:p w14:paraId="5C113ADF" w14:textId="77777777" w:rsidR="009501EF" w:rsidRPr="008A351A" w:rsidRDefault="009501EF" w:rsidP="009501EF">
      <w:pPr>
        <w:spacing w:after="0" w:line="240" w:lineRule="auto"/>
        <w:rPr>
          <w:rFonts w:ascii="Times New Roman" w:eastAsia="Times New Roman" w:hAnsi="Times New Roman" w:cs="Times New Roman"/>
        </w:rPr>
      </w:pPr>
    </w:p>
    <w:p w14:paraId="1C0C6E75"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Prieš vartojimą perskaitykite pakuotės lapelį.</w:t>
      </w:r>
    </w:p>
    <w:p w14:paraId="23F63222" w14:textId="77777777" w:rsidR="009501EF" w:rsidRPr="008A351A" w:rsidRDefault="009501EF" w:rsidP="009501EF">
      <w:pPr>
        <w:spacing w:after="0" w:line="240" w:lineRule="auto"/>
        <w:rPr>
          <w:rFonts w:ascii="Times New Roman" w:eastAsia="Times New Roman" w:hAnsi="Times New Roman" w:cs="Times New Roman"/>
        </w:rPr>
      </w:pPr>
    </w:p>
    <w:p w14:paraId="36EDFB99" w14:textId="77777777" w:rsidR="009501EF" w:rsidRPr="008A351A" w:rsidRDefault="009501EF" w:rsidP="009501EF">
      <w:pPr>
        <w:spacing w:after="0" w:line="240" w:lineRule="auto"/>
        <w:rPr>
          <w:rFonts w:ascii="Times New Roman" w:eastAsia="Times New Roman" w:hAnsi="Times New Roman" w:cs="Times New Roman"/>
        </w:rPr>
      </w:pPr>
    </w:p>
    <w:p w14:paraId="62D9EDBA"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6.</w:t>
      </w:r>
      <w:r w:rsidRPr="008A351A">
        <w:rPr>
          <w:rFonts w:ascii="Times New Roman" w:eastAsia="Times New Roman" w:hAnsi="Times New Roman" w:cs="Times New Roman"/>
          <w:b/>
        </w:rPr>
        <w:tab/>
        <w:t xml:space="preserve">SPECIALUS ĮSPĖJIMAS, KAD VAISTINĮ PREPARATĄ BŪTINA LAIKYTI VAIKAMS </w:t>
      </w:r>
      <w:r w:rsidR="00492B65" w:rsidRPr="008A351A">
        <w:rPr>
          <w:rFonts w:ascii="Times New Roman" w:eastAsia="Times New Roman" w:hAnsi="Times New Roman" w:cs="Times New Roman"/>
          <w:b/>
        </w:rPr>
        <w:t xml:space="preserve">NEPASTEBIMOJE </w:t>
      </w:r>
      <w:r w:rsidRPr="008A351A">
        <w:rPr>
          <w:rFonts w:ascii="Times New Roman" w:eastAsia="Times New Roman" w:hAnsi="Times New Roman" w:cs="Times New Roman"/>
          <w:b/>
        </w:rPr>
        <w:t xml:space="preserve">IR </w:t>
      </w:r>
      <w:r w:rsidR="00492B65" w:rsidRPr="008A351A">
        <w:rPr>
          <w:rFonts w:ascii="Times New Roman" w:eastAsia="Times New Roman" w:hAnsi="Times New Roman" w:cs="Times New Roman"/>
          <w:b/>
        </w:rPr>
        <w:t xml:space="preserve">NEPASIEKIAMOJE </w:t>
      </w:r>
      <w:r w:rsidRPr="008A351A">
        <w:rPr>
          <w:rFonts w:ascii="Times New Roman" w:eastAsia="Times New Roman" w:hAnsi="Times New Roman" w:cs="Times New Roman"/>
          <w:b/>
        </w:rPr>
        <w:t>VIETOJE</w:t>
      </w:r>
    </w:p>
    <w:p w14:paraId="5D81EDE8" w14:textId="77777777" w:rsidR="009501EF" w:rsidRPr="008A351A" w:rsidRDefault="009501EF" w:rsidP="009501EF">
      <w:pPr>
        <w:spacing w:after="0" w:line="240" w:lineRule="auto"/>
        <w:rPr>
          <w:rFonts w:ascii="Times New Roman" w:eastAsia="Times New Roman" w:hAnsi="Times New Roman" w:cs="Times New Roman"/>
        </w:rPr>
      </w:pPr>
    </w:p>
    <w:p w14:paraId="5C90C85A"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Laikyti vaikams </w:t>
      </w:r>
      <w:r w:rsidR="00492B65" w:rsidRPr="008A351A">
        <w:rPr>
          <w:rFonts w:ascii="Times New Roman" w:eastAsia="Times New Roman" w:hAnsi="Times New Roman" w:cs="Times New Roman"/>
        </w:rPr>
        <w:t xml:space="preserve">nepastebimoje </w:t>
      </w:r>
      <w:r w:rsidRPr="008A351A">
        <w:rPr>
          <w:rFonts w:ascii="Times New Roman" w:eastAsia="Times New Roman" w:hAnsi="Times New Roman" w:cs="Times New Roman"/>
        </w:rPr>
        <w:t xml:space="preserve">ir </w:t>
      </w:r>
      <w:r w:rsidR="00492B65" w:rsidRPr="008A351A">
        <w:rPr>
          <w:rFonts w:ascii="Times New Roman" w:eastAsia="Times New Roman" w:hAnsi="Times New Roman" w:cs="Times New Roman"/>
        </w:rPr>
        <w:t xml:space="preserve">nepasiekiamoje </w:t>
      </w:r>
      <w:r w:rsidRPr="008A351A">
        <w:rPr>
          <w:rFonts w:ascii="Times New Roman" w:eastAsia="Times New Roman" w:hAnsi="Times New Roman" w:cs="Times New Roman"/>
        </w:rPr>
        <w:t>vietoje.</w:t>
      </w:r>
    </w:p>
    <w:p w14:paraId="39631430" w14:textId="77777777" w:rsidR="009501EF" w:rsidRPr="008A351A" w:rsidRDefault="009501EF" w:rsidP="009501EF">
      <w:pPr>
        <w:spacing w:after="0" w:line="240" w:lineRule="auto"/>
        <w:rPr>
          <w:rFonts w:ascii="Times New Roman" w:eastAsia="Times New Roman" w:hAnsi="Times New Roman" w:cs="Times New Roman"/>
        </w:rPr>
      </w:pPr>
    </w:p>
    <w:p w14:paraId="290A5A11" w14:textId="77777777" w:rsidR="009501EF" w:rsidRPr="008A351A" w:rsidRDefault="009501EF" w:rsidP="009501EF">
      <w:pPr>
        <w:spacing w:after="0" w:line="240" w:lineRule="auto"/>
        <w:rPr>
          <w:rFonts w:ascii="Times New Roman" w:eastAsia="Times New Roman" w:hAnsi="Times New Roman" w:cs="Times New Roman"/>
        </w:rPr>
      </w:pPr>
    </w:p>
    <w:p w14:paraId="0D2E15D8"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7.</w:t>
      </w:r>
      <w:r w:rsidRPr="008A351A">
        <w:rPr>
          <w:rFonts w:ascii="Times New Roman" w:eastAsia="Times New Roman" w:hAnsi="Times New Roman" w:cs="Times New Roman"/>
          <w:b/>
        </w:rPr>
        <w:tab/>
        <w:t>KITAS (-I) SPECIALUS (-ŪS) ĮSPĖJIMAS (-AI) (JEI REIKIA)</w:t>
      </w:r>
    </w:p>
    <w:p w14:paraId="3C08C6E0" w14:textId="77777777" w:rsidR="009501EF" w:rsidRPr="008A351A" w:rsidRDefault="009501EF" w:rsidP="009501EF">
      <w:pPr>
        <w:spacing w:after="0" w:line="240" w:lineRule="auto"/>
        <w:rPr>
          <w:rFonts w:ascii="Times New Roman" w:eastAsia="Times New Roman" w:hAnsi="Times New Roman" w:cs="Times New Roman"/>
        </w:rPr>
      </w:pPr>
    </w:p>
    <w:p w14:paraId="37C25D30" w14:textId="77777777" w:rsidR="009501EF" w:rsidRPr="008A351A" w:rsidRDefault="009501EF" w:rsidP="009501EF">
      <w:pPr>
        <w:spacing w:after="0" w:line="240" w:lineRule="auto"/>
        <w:rPr>
          <w:rFonts w:ascii="Times New Roman" w:eastAsia="Times New Roman" w:hAnsi="Times New Roman" w:cs="Times New Roman"/>
        </w:rPr>
      </w:pPr>
    </w:p>
    <w:p w14:paraId="367DBDCD"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8.</w:t>
      </w:r>
      <w:r w:rsidRPr="008A351A">
        <w:rPr>
          <w:rFonts w:ascii="Times New Roman" w:eastAsia="Times New Roman" w:hAnsi="Times New Roman" w:cs="Times New Roman"/>
          <w:b/>
        </w:rPr>
        <w:tab/>
        <w:t>TINKAMUMO LAIKAS</w:t>
      </w:r>
    </w:p>
    <w:p w14:paraId="10E72044" w14:textId="77777777" w:rsidR="009501EF" w:rsidRPr="008A351A" w:rsidRDefault="009501EF" w:rsidP="009501EF">
      <w:pPr>
        <w:spacing w:after="0" w:line="240" w:lineRule="auto"/>
        <w:rPr>
          <w:rFonts w:ascii="Times New Roman" w:eastAsia="Times New Roman" w:hAnsi="Times New Roman" w:cs="Times New Roman"/>
        </w:rPr>
      </w:pPr>
    </w:p>
    <w:p w14:paraId="0DCD8C6D"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Tinka iki{mm/MMMM}</w:t>
      </w:r>
    </w:p>
    <w:p w14:paraId="2190DC29" w14:textId="77777777" w:rsidR="009501EF" w:rsidRPr="008A351A" w:rsidRDefault="009501EF" w:rsidP="009501EF">
      <w:pPr>
        <w:spacing w:after="0" w:line="240" w:lineRule="auto"/>
        <w:rPr>
          <w:rFonts w:ascii="Times New Roman" w:eastAsia="Times New Roman" w:hAnsi="Times New Roman" w:cs="Times New Roman"/>
        </w:rPr>
      </w:pPr>
    </w:p>
    <w:p w14:paraId="4D5ACAF7" w14:textId="77777777" w:rsidR="009501EF" w:rsidRPr="008A351A" w:rsidRDefault="009501EF" w:rsidP="009501EF">
      <w:pPr>
        <w:spacing w:after="0" w:line="240" w:lineRule="auto"/>
        <w:rPr>
          <w:rFonts w:ascii="Times New Roman" w:eastAsia="Times New Roman" w:hAnsi="Times New Roman" w:cs="Times New Roman"/>
        </w:rPr>
      </w:pPr>
    </w:p>
    <w:p w14:paraId="2F2936CE"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9.</w:t>
      </w:r>
      <w:r w:rsidRPr="008A351A">
        <w:rPr>
          <w:rFonts w:ascii="Times New Roman" w:eastAsia="Times New Roman" w:hAnsi="Times New Roman" w:cs="Times New Roman"/>
          <w:b/>
        </w:rPr>
        <w:tab/>
        <w:t>SPECIALIOS LAIKYMO SĄLYGOS</w:t>
      </w:r>
    </w:p>
    <w:p w14:paraId="5B2844D7" w14:textId="77777777" w:rsidR="009501EF" w:rsidRPr="008A351A" w:rsidRDefault="009501EF" w:rsidP="009501EF">
      <w:pPr>
        <w:spacing w:after="0" w:line="240" w:lineRule="auto"/>
        <w:rPr>
          <w:rFonts w:ascii="Times New Roman" w:eastAsia="Times New Roman" w:hAnsi="Times New Roman" w:cs="Times New Roman"/>
        </w:rPr>
      </w:pPr>
    </w:p>
    <w:p w14:paraId="32E5DB4D"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Šiam vaistiniam preparatui specialių laikymo sąlygų nereikia.</w:t>
      </w:r>
    </w:p>
    <w:p w14:paraId="371AE1BB" w14:textId="77777777" w:rsidR="009501EF" w:rsidRPr="008A351A" w:rsidRDefault="009501EF" w:rsidP="009501EF">
      <w:pPr>
        <w:spacing w:after="0" w:line="240" w:lineRule="auto"/>
        <w:rPr>
          <w:rFonts w:ascii="Times New Roman" w:eastAsia="Times New Roman" w:hAnsi="Times New Roman" w:cs="Times New Roman"/>
        </w:rPr>
      </w:pPr>
    </w:p>
    <w:p w14:paraId="1D5284B9" w14:textId="77777777" w:rsidR="009501EF" w:rsidRPr="008A351A" w:rsidRDefault="009501EF" w:rsidP="009501EF">
      <w:pPr>
        <w:spacing w:after="0" w:line="240" w:lineRule="auto"/>
        <w:rPr>
          <w:rFonts w:ascii="Times New Roman" w:eastAsia="Times New Roman" w:hAnsi="Times New Roman" w:cs="Times New Roman"/>
        </w:rPr>
      </w:pPr>
    </w:p>
    <w:p w14:paraId="01BA731F"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10.</w:t>
      </w:r>
      <w:r w:rsidRPr="008A351A">
        <w:rPr>
          <w:rFonts w:ascii="Times New Roman" w:eastAsia="Times New Roman" w:hAnsi="Times New Roman" w:cs="Times New Roman"/>
          <w:b/>
        </w:rPr>
        <w:tab/>
        <w:t xml:space="preserve">SPECIALIOS ATSARGUMO PRIEMONĖS DĖL NESUVARTOTO </w:t>
      </w:r>
      <w:r w:rsidRPr="008A351A">
        <w:rPr>
          <w:rFonts w:ascii="Times New Roman" w:eastAsia="Times New Roman" w:hAnsi="Times New Roman" w:cs="Times New Roman"/>
          <w:b/>
          <w:bCs/>
        </w:rPr>
        <w:t xml:space="preserve">VAISTINIO PREPARATO AR JO ATLIEKŲ </w:t>
      </w:r>
      <w:r w:rsidRPr="008A351A">
        <w:rPr>
          <w:rFonts w:ascii="Times New Roman" w:eastAsia="Times New Roman" w:hAnsi="Times New Roman" w:cs="Times New Roman"/>
          <w:b/>
        </w:rPr>
        <w:t>TVARKYMO (JEI REIKIA)</w:t>
      </w:r>
    </w:p>
    <w:p w14:paraId="68DF0B6E" w14:textId="77777777" w:rsidR="009501EF" w:rsidRPr="008A351A" w:rsidRDefault="009501EF" w:rsidP="009501EF">
      <w:pPr>
        <w:spacing w:after="0" w:line="240" w:lineRule="auto"/>
        <w:rPr>
          <w:rFonts w:ascii="Times New Roman" w:eastAsia="Times New Roman" w:hAnsi="Times New Roman" w:cs="Times New Roman"/>
        </w:rPr>
      </w:pPr>
    </w:p>
    <w:p w14:paraId="4FC66A62"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Nesuvartotą preparatą ar atliekas reikia tvarkyti laikantis vietinių reikalavimų.</w:t>
      </w:r>
    </w:p>
    <w:p w14:paraId="09EBFFE8" w14:textId="77777777" w:rsidR="009501EF" w:rsidRPr="008A351A" w:rsidRDefault="009501EF" w:rsidP="009501EF">
      <w:pPr>
        <w:spacing w:after="0" w:line="240" w:lineRule="auto"/>
        <w:rPr>
          <w:rFonts w:ascii="Times New Roman" w:eastAsia="Times New Roman" w:hAnsi="Times New Roman" w:cs="Times New Roman"/>
        </w:rPr>
      </w:pPr>
    </w:p>
    <w:p w14:paraId="3DC513A4" w14:textId="77777777" w:rsidR="009501EF" w:rsidRPr="008A351A" w:rsidRDefault="009501EF" w:rsidP="009501EF">
      <w:pPr>
        <w:spacing w:after="0" w:line="240" w:lineRule="auto"/>
        <w:rPr>
          <w:rFonts w:ascii="Times New Roman" w:eastAsia="Times New Roman" w:hAnsi="Times New Roman" w:cs="Times New Roman"/>
        </w:rPr>
      </w:pPr>
    </w:p>
    <w:p w14:paraId="4C8F426F"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11.</w:t>
      </w:r>
      <w:r w:rsidRPr="008A351A">
        <w:rPr>
          <w:rFonts w:ascii="Times New Roman" w:eastAsia="Times New Roman" w:hAnsi="Times New Roman" w:cs="Times New Roman"/>
          <w:b/>
        </w:rPr>
        <w:tab/>
        <w:t>REGISTRUOTOJO PAVADINIMAS IR ADRESAS</w:t>
      </w:r>
    </w:p>
    <w:p w14:paraId="2EF47D95" w14:textId="77777777" w:rsidR="009501EF" w:rsidRPr="008A351A" w:rsidRDefault="009501EF" w:rsidP="009501EF">
      <w:pPr>
        <w:spacing w:after="0" w:line="240" w:lineRule="auto"/>
        <w:rPr>
          <w:rFonts w:ascii="Times New Roman" w:eastAsia="Times New Roman" w:hAnsi="Times New Roman" w:cs="Times New Roman"/>
        </w:rPr>
      </w:pPr>
    </w:p>
    <w:p w14:paraId="74828E20"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Accord Healthcare B.V. </w:t>
      </w:r>
    </w:p>
    <w:p w14:paraId="4F934907"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Winthontlaan 200 </w:t>
      </w:r>
    </w:p>
    <w:p w14:paraId="60655E7E"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3526 KV Utrecht </w:t>
      </w:r>
    </w:p>
    <w:p w14:paraId="2BE6F685"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Nyderlandai</w:t>
      </w:r>
    </w:p>
    <w:p w14:paraId="568C11A0" w14:textId="77777777" w:rsidR="009501EF" w:rsidRPr="008A351A" w:rsidRDefault="009501EF" w:rsidP="009501EF">
      <w:pPr>
        <w:spacing w:after="0" w:line="240" w:lineRule="auto"/>
        <w:rPr>
          <w:rFonts w:ascii="Times New Roman" w:eastAsia="Times New Roman" w:hAnsi="Times New Roman" w:cs="Times New Roman"/>
        </w:rPr>
      </w:pPr>
    </w:p>
    <w:p w14:paraId="568D01A3" w14:textId="77777777" w:rsidR="009501EF" w:rsidRPr="008A351A" w:rsidRDefault="009501EF" w:rsidP="009501EF">
      <w:pPr>
        <w:spacing w:after="0" w:line="240" w:lineRule="auto"/>
        <w:rPr>
          <w:rFonts w:ascii="Times New Roman" w:eastAsia="Times New Roman" w:hAnsi="Times New Roman" w:cs="Times New Roman"/>
        </w:rPr>
      </w:pPr>
    </w:p>
    <w:p w14:paraId="7A84B43C"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12.</w:t>
      </w:r>
      <w:r w:rsidRPr="008A351A">
        <w:rPr>
          <w:rFonts w:ascii="Times New Roman" w:eastAsia="Times New Roman" w:hAnsi="Times New Roman" w:cs="Times New Roman"/>
          <w:b/>
        </w:rPr>
        <w:tab/>
        <w:t>REGISTRACIJOS PAŽYMĖJIMO NUMERIS (-IAI)</w:t>
      </w:r>
    </w:p>
    <w:p w14:paraId="500362D3" w14:textId="77777777" w:rsidR="009501EF" w:rsidRPr="008A351A" w:rsidRDefault="009501EF" w:rsidP="009501EF">
      <w:pPr>
        <w:spacing w:after="0" w:line="240" w:lineRule="auto"/>
        <w:rPr>
          <w:rFonts w:ascii="Times New Roman" w:eastAsia="Times New Roman" w:hAnsi="Times New Roman" w:cs="Times New Roman"/>
        </w:rPr>
      </w:pPr>
    </w:p>
    <w:p w14:paraId="2CF30A67" w14:textId="77777777" w:rsidR="002D09A5" w:rsidRPr="002D09A5" w:rsidRDefault="002D09A5" w:rsidP="002D09A5">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2D09A5">
        <w:rPr>
          <w:rFonts w:ascii="Times New Roman" w:eastAsia="Times New Roman" w:hAnsi="Times New Roman" w:cs="Times New Roman"/>
          <w:shd w:val="clear" w:color="auto" w:fill="D9D9D9" w:themeFill="background1" w:themeFillShade="D9"/>
        </w:rPr>
        <w:t>25 mg</w:t>
      </w:r>
    </w:p>
    <w:p w14:paraId="02E2CB6B"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LT/1/11/2387/001 – N6</w:t>
      </w:r>
    </w:p>
    <w:p w14:paraId="51A26B9C"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LT/1/11/2387/002 – N7</w:t>
      </w:r>
    </w:p>
    <w:p w14:paraId="5F07322A"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LT/1/11/2387/003 – N10</w:t>
      </w:r>
    </w:p>
    <w:p w14:paraId="321C54B8"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LT/1/11/2387/004 – N14</w:t>
      </w:r>
    </w:p>
    <w:p w14:paraId="03EADA0F"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LT/1/11/2387/005 – N20</w:t>
      </w:r>
    </w:p>
    <w:p w14:paraId="63BC224D"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LT/1/11/2387/006 – N28</w:t>
      </w:r>
    </w:p>
    <w:p w14:paraId="437CCE4C"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LT/1/11/2387/007 – N30</w:t>
      </w:r>
    </w:p>
    <w:p w14:paraId="260309C9"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LT/1/11/2387/008 – N50</w:t>
      </w:r>
    </w:p>
    <w:p w14:paraId="5D9B2521"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LT/1/11/2387/009 – N56</w:t>
      </w:r>
    </w:p>
    <w:p w14:paraId="23EC5D46"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LT/1/11/2387/010 – N60</w:t>
      </w:r>
    </w:p>
    <w:p w14:paraId="3DC30AB1"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LT/1/11/2387/011 – N84</w:t>
      </w:r>
    </w:p>
    <w:p w14:paraId="7E7DEDFB"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LT/1/11/2387/012 – N90</w:t>
      </w:r>
    </w:p>
    <w:p w14:paraId="401FB38A"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LT/1/11/2387/013 – N98</w:t>
      </w:r>
    </w:p>
    <w:p w14:paraId="1B378AA1" w14:textId="77777777" w:rsid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LT/1/11/2387/014 – N100</w:t>
      </w:r>
      <w:r w:rsidRPr="002D09A5">
        <w:rPr>
          <w:rFonts w:ascii="Times New Roman" w:eastAsia="Times New Roman" w:hAnsi="Times New Roman" w:cs="Times New Roman"/>
        </w:rPr>
        <w:tab/>
      </w:r>
    </w:p>
    <w:p w14:paraId="3CCDFFA1" w14:textId="77777777" w:rsidR="002D09A5" w:rsidRDefault="002D09A5" w:rsidP="002D09A5">
      <w:pPr>
        <w:tabs>
          <w:tab w:val="left" w:pos="567"/>
        </w:tabs>
        <w:spacing w:after="0" w:line="240" w:lineRule="auto"/>
        <w:rPr>
          <w:rFonts w:ascii="Times New Roman" w:eastAsia="Times New Roman" w:hAnsi="Times New Roman" w:cs="Times New Roman"/>
          <w:shd w:val="clear" w:color="auto" w:fill="D9D9D9" w:themeFill="background1" w:themeFillShade="D9"/>
        </w:rPr>
      </w:pPr>
    </w:p>
    <w:p w14:paraId="45D4A5B8" w14:textId="77777777" w:rsidR="002D09A5" w:rsidRPr="002D09A5" w:rsidRDefault="002D09A5" w:rsidP="002D09A5">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2D09A5">
        <w:rPr>
          <w:rFonts w:ascii="Times New Roman" w:eastAsia="Times New Roman" w:hAnsi="Times New Roman" w:cs="Times New Roman"/>
          <w:shd w:val="clear" w:color="auto" w:fill="D9D9D9" w:themeFill="background1" w:themeFillShade="D9"/>
        </w:rPr>
        <w:t>100 mg</w:t>
      </w:r>
    </w:p>
    <w:p w14:paraId="09E662B5"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LT/1/11/2387/015 – N6</w:t>
      </w:r>
    </w:p>
    <w:p w14:paraId="66656B94"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lastRenderedPageBreak/>
        <w:t>LT/1/11/2387/016 – N7</w:t>
      </w:r>
    </w:p>
    <w:p w14:paraId="5BDD04F3"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LT/1/11/2387/017 – N10</w:t>
      </w:r>
    </w:p>
    <w:p w14:paraId="4913C59A"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LT/1/11/2387/018 – N14</w:t>
      </w:r>
    </w:p>
    <w:p w14:paraId="1690914B"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LT/1/11/2387/019 – N20</w:t>
      </w:r>
    </w:p>
    <w:p w14:paraId="4322B6BF"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LT/1/11/2387/020 – N28</w:t>
      </w:r>
    </w:p>
    <w:p w14:paraId="25C9A8B0"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LT/1/11/2387/021 – N30</w:t>
      </w:r>
    </w:p>
    <w:p w14:paraId="44591F9C"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LT/1/11/2387/022 – N50</w:t>
      </w:r>
    </w:p>
    <w:p w14:paraId="2A1E7BF0"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LT/1/11/2387/023 – N56</w:t>
      </w:r>
    </w:p>
    <w:p w14:paraId="6E857EFA"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LT/1/11/2387/024 – N60</w:t>
      </w:r>
    </w:p>
    <w:p w14:paraId="12652007"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LT/1/11/2387/025 – N84</w:t>
      </w:r>
    </w:p>
    <w:p w14:paraId="4C8A72E6"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LT/1/11/2387/026 – N90</w:t>
      </w:r>
    </w:p>
    <w:p w14:paraId="7666D0E5"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LT/1/11/2387/027 – N98</w:t>
      </w:r>
    </w:p>
    <w:p w14:paraId="6168DE3F" w14:textId="77777777" w:rsid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LT/1/11/2387/028 – N100</w:t>
      </w:r>
      <w:r w:rsidRPr="002D09A5">
        <w:rPr>
          <w:rFonts w:ascii="Times New Roman" w:eastAsia="Times New Roman" w:hAnsi="Times New Roman" w:cs="Times New Roman"/>
        </w:rPr>
        <w:tab/>
      </w:r>
    </w:p>
    <w:p w14:paraId="0F22F6E0" w14:textId="77777777" w:rsidR="002D09A5" w:rsidRDefault="002D09A5" w:rsidP="002D09A5">
      <w:pPr>
        <w:tabs>
          <w:tab w:val="left" w:pos="567"/>
        </w:tabs>
        <w:spacing w:after="0" w:line="240" w:lineRule="auto"/>
        <w:rPr>
          <w:rFonts w:ascii="Times New Roman" w:eastAsia="Times New Roman" w:hAnsi="Times New Roman" w:cs="Times New Roman"/>
        </w:rPr>
      </w:pPr>
    </w:p>
    <w:p w14:paraId="4B6596A3" w14:textId="77777777" w:rsidR="002D09A5" w:rsidRPr="002D09A5" w:rsidRDefault="002D09A5" w:rsidP="002D09A5">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2D09A5">
        <w:rPr>
          <w:rFonts w:ascii="Times New Roman" w:eastAsia="Times New Roman" w:hAnsi="Times New Roman" w:cs="Times New Roman"/>
          <w:shd w:val="clear" w:color="auto" w:fill="D9D9D9" w:themeFill="background1" w:themeFillShade="D9"/>
        </w:rPr>
        <w:t>150 mg</w:t>
      </w:r>
    </w:p>
    <w:p w14:paraId="1350CBF3"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LT/1/11/2387/029 – N6</w:t>
      </w:r>
    </w:p>
    <w:p w14:paraId="1DACEFDD"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LT/1/11/2387/030 – N7</w:t>
      </w:r>
    </w:p>
    <w:p w14:paraId="0E7AA8CF"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LT/1/11/2387/031 – N10</w:t>
      </w:r>
    </w:p>
    <w:p w14:paraId="12AAD788"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LT/1/11/2387/032 – N14</w:t>
      </w:r>
    </w:p>
    <w:p w14:paraId="3F1B3713"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LT/1/11/2387/033 – N20</w:t>
      </w:r>
    </w:p>
    <w:p w14:paraId="121CB65C"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LT/1/11/2387/034 – N28</w:t>
      </w:r>
    </w:p>
    <w:p w14:paraId="728CB4D2"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LT/1/11/2387/035 – N30</w:t>
      </w:r>
    </w:p>
    <w:p w14:paraId="1B01CE7B"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LT/1/11/2387/036 – N50</w:t>
      </w:r>
    </w:p>
    <w:p w14:paraId="2F5B17A1"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LT/1/11/2387/037 – N56</w:t>
      </w:r>
    </w:p>
    <w:p w14:paraId="54A65840"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LT/1/11/2387/038 – N60</w:t>
      </w:r>
    </w:p>
    <w:p w14:paraId="0C946426"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LT/1/11/2387/039 – N84</w:t>
      </w:r>
    </w:p>
    <w:p w14:paraId="33D2B190"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LT/1/11/2387/040 – N90</w:t>
      </w:r>
    </w:p>
    <w:p w14:paraId="34F2BE26"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LT/1/11/2387/041 – N98</w:t>
      </w:r>
    </w:p>
    <w:p w14:paraId="5F7593AA"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LT/1/11/2387/042 – N100</w:t>
      </w:r>
    </w:p>
    <w:p w14:paraId="3CAED51F" w14:textId="77777777" w:rsidR="002D09A5" w:rsidRDefault="002D09A5" w:rsidP="002D09A5">
      <w:pPr>
        <w:tabs>
          <w:tab w:val="left" w:pos="567"/>
        </w:tabs>
        <w:spacing w:after="0" w:line="240" w:lineRule="auto"/>
        <w:rPr>
          <w:rFonts w:ascii="Times New Roman" w:eastAsia="Times New Roman" w:hAnsi="Times New Roman" w:cs="Times New Roman"/>
        </w:rPr>
      </w:pPr>
    </w:p>
    <w:p w14:paraId="1A32E37A" w14:textId="77777777" w:rsidR="002D09A5" w:rsidRPr="002D09A5" w:rsidRDefault="002D09A5" w:rsidP="002D09A5">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2D09A5">
        <w:rPr>
          <w:rFonts w:ascii="Times New Roman" w:eastAsia="Times New Roman" w:hAnsi="Times New Roman" w:cs="Times New Roman"/>
          <w:shd w:val="clear" w:color="auto" w:fill="D9D9D9" w:themeFill="background1" w:themeFillShade="D9"/>
        </w:rPr>
        <w:t>200 mg</w:t>
      </w:r>
    </w:p>
    <w:p w14:paraId="2D4D714D"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LT/1/11/2387/043 – N6</w:t>
      </w:r>
    </w:p>
    <w:p w14:paraId="0F00505F"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LT/1/11/2387/044 – N7</w:t>
      </w:r>
    </w:p>
    <w:p w14:paraId="1A18053C"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LT/1/11/2387/045 – N10</w:t>
      </w:r>
    </w:p>
    <w:p w14:paraId="268D9588"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LT/1/11/2387/046 – N14</w:t>
      </w:r>
    </w:p>
    <w:p w14:paraId="20AE47DE"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LT/1/11/2387/047 – N20</w:t>
      </w:r>
    </w:p>
    <w:p w14:paraId="5907D1BC"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LT/1/11/2387/048 – N28</w:t>
      </w:r>
    </w:p>
    <w:p w14:paraId="1C05FB15"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LT/1/11/2387/049 – N30</w:t>
      </w:r>
    </w:p>
    <w:p w14:paraId="2C7E09AE"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LT/1/11/2387/050 – N50</w:t>
      </w:r>
    </w:p>
    <w:p w14:paraId="7A4622C3"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LT/1/11/2387/051 – N56</w:t>
      </w:r>
    </w:p>
    <w:p w14:paraId="6FB088C6"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LT/1/11/2387/052 – N60</w:t>
      </w:r>
    </w:p>
    <w:p w14:paraId="627C1089"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LT/1/11/2387/053 – N84</w:t>
      </w:r>
    </w:p>
    <w:p w14:paraId="4C93344E"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LT/1/11/2387/054 – N90</w:t>
      </w:r>
    </w:p>
    <w:p w14:paraId="464A7AB0"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LT/1/11/2387/055 – N98</w:t>
      </w:r>
    </w:p>
    <w:p w14:paraId="3251906C" w14:textId="77777777" w:rsid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LT/1/11/2387/056 – N100</w:t>
      </w:r>
      <w:r w:rsidRPr="002D09A5">
        <w:rPr>
          <w:rFonts w:ascii="Times New Roman" w:eastAsia="Times New Roman" w:hAnsi="Times New Roman" w:cs="Times New Roman"/>
        </w:rPr>
        <w:tab/>
      </w:r>
    </w:p>
    <w:p w14:paraId="7E1E5AF1" w14:textId="77777777" w:rsidR="002D09A5" w:rsidRDefault="002D09A5" w:rsidP="002D09A5">
      <w:pPr>
        <w:tabs>
          <w:tab w:val="left" w:pos="567"/>
        </w:tabs>
        <w:spacing w:after="0" w:line="240" w:lineRule="auto"/>
        <w:rPr>
          <w:rFonts w:ascii="Times New Roman" w:eastAsia="Times New Roman" w:hAnsi="Times New Roman" w:cs="Times New Roman"/>
        </w:rPr>
      </w:pPr>
    </w:p>
    <w:p w14:paraId="6D93DC57"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shd w:val="clear" w:color="auto" w:fill="D9D9D9" w:themeFill="background1" w:themeFillShade="D9"/>
        </w:rPr>
        <w:t>300 mg</w:t>
      </w:r>
    </w:p>
    <w:p w14:paraId="5C78DB22"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LT/1/11/2387/057 – N6</w:t>
      </w:r>
    </w:p>
    <w:p w14:paraId="237B85FD"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LT/1/11/2387/058 – N7</w:t>
      </w:r>
    </w:p>
    <w:p w14:paraId="54CFFE32"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LT/1/11/2387/059 – N10</w:t>
      </w:r>
    </w:p>
    <w:p w14:paraId="4A57A259"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LT/1/11/2387/060 – N14</w:t>
      </w:r>
    </w:p>
    <w:p w14:paraId="1EFC1689"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LT/1/11/2387/061 – N20</w:t>
      </w:r>
    </w:p>
    <w:p w14:paraId="47F95651"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LT/1/11/2387/062 – N28</w:t>
      </w:r>
    </w:p>
    <w:p w14:paraId="43714561"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LT/1/11/2387/063 – N30</w:t>
      </w:r>
    </w:p>
    <w:p w14:paraId="6B7F7FEA"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LT/1/11/2387/064 – N50</w:t>
      </w:r>
    </w:p>
    <w:p w14:paraId="155B2082"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LT/1/11/2387/065 – N56</w:t>
      </w:r>
    </w:p>
    <w:p w14:paraId="63FACF4D"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LT/1/11/2387/066 – N60</w:t>
      </w:r>
    </w:p>
    <w:p w14:paraId="27EFA008"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lastRenderedPageBreak/>
        <w:t>LT/1/11/2387/067 – N84</w:t>
      </w:r>
    </w:p>
    <w:p w14:paraId="2EDB0B54"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LT/1/11/2387/068 – N90</w:t>
      </w:r>
    </w:p>
    <w:p w14:paraId="244E66BD" w14:textId="77777777" w:rsidR="002D09A5" w:rsidRPr="002D09A5"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LT/1/11/2387/069 – N98</w:t>
      </w:r>
    </w:p>
    <w:p w14:paraId="6EC8369A" w14:textId="77777777" w:rsidR="009501EF" w:rsidRPr="008A351A" w:rsidRDefault="002D09A5" w:rsidP="002D09A5">
      <w:pPr>
        <w:tabs>
          <w:tab w:val="left" w:pos="567"/>
        </w:tabs>
        <w:spacing w:after="0" w:line="240" w:lineRule="auto"/>
        <w:rPr>
          <w:rFonts w:ascii="Times New Roman" w:eastAsia="Times New Roman" w:hAnsi="Times New Roman" w:cs="Times New Roman"/>
        </w:rPr>
      </w:pPr>
      <w:r w:rsidRPr="002D09A5">
        <w:rPr>
          <w:rFonts w:ascii="Times New Roman" w:eastAsia="Times New Roman" w:hAnsi="Times New Roman" w:cs="Times New Roman"/>
        </w:rPr>
        <w:t>LT/1/11/2387/070 – N100</w:t>
      </w:r>
    </w:p>
    <w:p w14:paraId="11E398E6" w14:textId="77777777" w:rsidR="009501EF" w:rsidRPr="008A351A" w:rsidRDefault="009501EF" w:rsidP="009501EF">
      <w:pPr>
        <w:spacing w:after="0" w:line="240" w:lineRule="auto"/>
        <w:rPr>
          <w:rFonts w:ascii="Times New Roman" w:eastAsia="Times New Roman" w:hAnsi="Times New Roman" w:cs="Times New Roman"/>
        </w:rPr>
      </w:pPr>
    </w:p>
    <w:p w14:paraId="636D7935" w14:textId="77777777" w:rsidR="009501EF" w:rsidRPr="008A351A" w:rsidRDefault="009501EF" w:rsidP="009501EF">
      <w:pPr>
        <w:spacing w:after="0" w:line="240" w:lineRule="auto"/>
        <w:rPr>
          <w:rFonts w:ascii="Times New Roman" w:eastAsia="Times New Roman" w:hAnsi="Times New Roman" w:cs="Times New Roman"/>
        </w:rPr>
      </w:pPr>
    </w:p>
    <w:p w14:paraId="79CFD54B"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13.</w:t>
      </w:r>
      <w:r w:rsidRPr="008A351A">
        <w:rPr>
          <w:rFonts w:ascii="Times New Roman" w:eastAsia="Times New Roman" w:hAnsi="Times New Roman" w:cs="Times New Roman"/>
          <w:b/>
        </w:rPr>
        <w:tab/>
        <w:t>SERIJOS NUMERIS</w:t>
      </w:r>
    </w:p>
    <w:p w14:paraId="3536A5CB" w14:textId="77777777" w:rsidR="009501EF" w:rsidRPr="008A351A" w:rsidRDefault="009501EF" w:rsidP="009501EF">
      <w:pPr>
        <w:spacing w:after="0" w:line="240" w:lineRule="auto"/>
        <w:rPr>
          <w:rFonts w:ascii="Times New Roman" w:eastAsia="Times New Roman" w:hAnsi="Times New Roman" w:cs="Times New Roman"/>
        </w:rPr>
      </w:pPr>
    </w:p>
    <w:p w14:paraId="0C8326DB"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Serija</w:t>
      </w:r>
    </w:p>
    <w:p w14:paraId="1E764553" w14:textId="77777777" w:rsidR="009501EF" w:rsidRPr="008A351A" w:rsidRDefault="009501EF" w:rsidP="009501EF">
      <w:pPr>
        <w:spacing w:after="0" w:line="240" w:lineRule="auto"/>
        <w:rPr>
          <w:rFonts w:ascii="Times New Roman" w:eastAsia="Times New Roman" w:hAnsi="Times New Roman" w:cs="Times New Roman"/>
        </w:rPr>
      </w:pPr>
    </w:p>
    <w:p w14:paraId="3A4E499C" w14:textId="77777777" w:rsidR="009501EF" w:rsidRPr="008A351A" w:rsidRDefault="009501EF" w:rsidP="009501EF">
      <w:pPr>
        <w:spacing w:after="0" w:line="240" w:lineRule="auto"/>
        <w:rPr>
          <w:rFonts w:ascii="Times New Roman" w:eastAsia="Times New Roman" w:hAnsi="Times New Roman" w:cs="Times New Roman"/>
        </w:rPr>
      </w:pPr>
    </w:p>
    <w:p w14:paraId="686AB1F2"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14.</w:t>
      </w:r>
      <w:r w:rsidRPr="008A351A">
        <w:rPr>
          <w:rFonts w:ascii="Times New Roman" w:eastAsia="Times New Roman" w:hAnsi="Times New Roman" w:cs="Times New Roman"/>
          <w:b/>
        </w:rPr>
        <w:tab/>
        <w:t>PARDAVIMO (IŠDAVIMO) TVARKA</w:t>
      </w:r>
    </w:p>
    <w:p w14:paraId="60398DAB" w14:textId="77777777" w:rsidR="009501EF" w:rsidRPr="008A351A" w:rsidRDefault="009501EF" w:rsidP="009501EF">
      <w:pPr>
        <w:spacing w:after="0" w:line="240" w:lineRule="auto"/>
        <w:rPr>
          <w:rFonts w:ascii="Times New Roman" w:eastAsia="Times New Roman" w:hAnsi="Times New Roman" w:cs="Times New Roman"/>
        </w:rPr>
      </w:pPr>
    </w:p>
    <w:p w14:paraId="1AFCC386"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Receptinis vaist</w:t>
      </w:r>
      <w:r w:rsidR="00492B65" w:rsidRPr="008A351A">
        <w:rPr>
          <w:rFonts w:ascii="Times New Roman" w:eastAsia="Times New Roman" w:hAnsi="Times New Roman" w:cs="Times New Roman"/>
        </w:rPr>
        <w:t>as</w:t>
      </w:r>
    </w:p>
    <w:p w14:paraId="6DE59C75" w14:textId="77777777" w:rsidR="009501EF" w:rsidRPr="008A351A" w:rsidRDefault="009501EF" w:rsidP="009501EF">
      <w:pPr>
        <w:spacing w:after="0" w:line="240" w:lineRule="auto"/>
        <w:rPr>
          <w:rFonts w:ascii="Times New Roman" w:eastAsia="Times New Roman" w:hAnsi="Times New Roman" w:cs="Times New Roman"/>
        </w:rPr>
      </w:pPr>
    </w:p>
    <w:p w14:paraId="1CB017DC" w14:textId="77777777" w:rsidR="009501EF" w:rsidRPr="008A351A" w:rsidRDefault="009501EF" w:rsidP="009501EF">
      <w:pPr>
        <w:spacing w:after="0" w:line="240" w:lineRule="auto"/>
        <w:rPr>
          <w:rFonts w:ascii="Times New Roman" w:eastAsia="Times New Roman" w:hAnsi="Times New Roman" w:cs="Times New Roman"/>
        </w:rPr>
      </w:pPr>
    </w:p>
    <w:p w14:paraId="2A90275E"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15.</w:t>
      </w:r>
      <w:r w:rsidRPr="008A351A">
        <w:rPr>
          <w:rFonts w:ascii="Times New Roman" w:eastAsia="Times New Roman" w:hAnsi="Times New Roman" w:cs="Times New Roman"/>
          <w:b/>
        </w:rPr>
        <w:tab/>
        <w:t>VARTOJIMO INSTRUKCIJA</w:t>
      </w:r>
    </w:p>
    <w:p w14:paraId="77430FD2" w14:textId="77777777" w:rsidR="009501EF" w:rsidRPr="008A351A" w:rsidRDefault="009501EF" w:rsidP="009501EF">
      <w:pPr>
        <w:spacing w:after="0" w:line="240" w:lineRule="auto"/>
        <w:rPr>
          <w:rFonts w:ascii="Times New Roman" w:eastAsia="Times New Roman" w:hAnsi="Times New Roman" w:cs="Times New Roman"/>
        </w:rPr>
      </w:pPr>
    </w:p>
    <w:p w14:paraId="62C2E0DA" w14:textId="77777777" w:rsidR="009501EF" w:rsidRPr="008A351A" w:rsidRDefault="009501EF" w:rsidP="009501EF">
      <w:pPr>
        <w:spacing w:after="0" w:line="240" w:lineRule="auto"/>
        <w:rPr>
          <w:rFonts w:ascii="Times New Roman" w:eastAsia="Times New Roman" w:hAnsi="Times New Roman" w:cs="Times New Roman"/>
        </w:rPr>
      </w:pPr>
    </w:p>
    <w:p w14:paraId="6938E4E2"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16.</w:t>
      </w:r>
      <w:r w:rsidRPr="008A351A">
        <w:rPr>
          <w:rFonts w:ascii="Times New Roman" w:eastAsia="Times New Roman" w:hAnsi="Times New Roman" w:cs="Times New Roman"/>
          <w:b/>
        </w:rPr>
        <w:tab/>
        <w:t>INFORMACIJA BRAILIO RAŠTU</w:t>
      </w:r>
    </w:p>
    <w:p w14:paraId="46B19C33" w14:textId="77777777" w:rsidR="009501EF" w:rsidRPr="008A351A" w:rsidRDefault="009501EF" w:rsidP="009501EF">
      <w:pPr>
        <w:spacing w:after="0" w:line="240" w:lineRule="auto"/>
        <w:rPr>
          <w:rFonts w:ascii="Times New Roman" w:eastAsia="Times New Roman" w:hAnsi="Times New Roman" w:cs="Times New Roman"/>
        </w:rPr>
      </w:pPr>
    </w:p>
    <w:p w14:paraId="26C2322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25 mg</w:t>
      </w:r>
    </w:p>
    <w:p w14:paraId="030B1C6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100 mg</w:t>
      </w:r>
    </w:p>
    <w:p w14:paraId="5C4C3B4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Quetiapine Accord 150 mg </w:t>
      </w:r>
    </w:p>
    <w:p w14:paraId="738C1486"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200 mg</w:t>
      </w:r>
    </w:p>
    <w:p w14:paraId="5FFC4CD1"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300 mg</w:t>
      </w:r>
    </w:p>
    <w:p w14:paraId="6D1BDCBE" w14:textId="77777777" w:rsidR="005B376C" w:rsidRPr="008A351A" w:rsidRDefault="005B376C" w:rsidP="009501EF">
      <w:pPr>
        <w:spacing w:after="0" w:line="240" w:lineRule="auto"/>
        <w:rPr>
          <w:rFonts w:ascii="Times New Roman" w:eastAsia="Times New Roman" w:hAnsi="Times New Roman" w:cs="Times New Roman"/>
        </w:rPr>
      </w:pPr>
    </w:p>
    <w:p w14:paraId="60F057A9" w14:textId="77777777" w:rsidR="009721CF" w:rsidRPr="008A351A" w:rsidRDefault="009721CF" w:rsidP="009501EF">
      <w:pPr>
        <w:spacing w:after="0" w:line="240" w:lineRule="auto"/>
        <w:rPr>
          <w:rFonts w:ascii="Times New Roman" w:eastAsia="Times New Roman" w:hAnsi="Times New Roman" w:cs="Times New Roman"/>
        </w:rPr>
      </w:pPr>
    </w:p>
    <w:p w14:paraId="7F5FEB4C" w14:textId="77777777" w:rsidR="005B376C" w:rsidRPr="008A351A" w:rsidRDefault="005B376C" w:rsidP="00492B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17. UNIKALUS IDENTIFIKATORIUS – 2D BRŪKŠNINIS KODAS</w:t>
      </w:r>
    </w:p>
    <w:p w14:paraId="1DD2BAF2" w14:textId="77777777" w:rsidR="005B376C" w:rsidRPr="008A351A" w:rsidRDefault="005B376C" w:rsidP="009721CF">
      <w:pPr>
        <w:spacing w:after="0" w:line="240" w:lineRule="auto"/>
        <w:rPr>
          <w:rFonts w:ascii="Times New Roman" w:hAnsi="Times New Roman" w:cs="Times New Roman"/>
        </w:rPr>
      </w:pPr>
    </w:p>
    <w:p w14:paraId="385AA4F7" w14:textId="77777777" w:rsidR="005B376C" w:rsidRPr="008A351A" w:rsidRDefault="005B376C" w:rsidP="009721CF">
      <w:pPr>
        <w:spacing w:after="0" w:line="240" w:lineRule="auto"/>
        <w:rPr>
          <w:rFonts w:ascii="Times New Roman" w:hAnsi="Times New Roman" w:cs="Times New Roman"/>
          <w:shd w:val="clear" w:color="auto" w:fill="CCCCCC"/>
        </w:rPr>
      </w:pPr>
      <w:r w:rsidRPr="008A351A">
        <w:rPr>
          <w:rFonts w:ascii="Times New Roman" w:hAnsi="Times New Roman" w:cs="Times New Roman"/>
        </w:rPr>
        <w:t>2D brūkšninis kodas su nurodytu unikaliu identifikatoriumi.</w:t>
      </w:r>
    </w:p>
    <w:p w14:paraId="08776369" w14:textId="77777777" w:rsidR="005B376C" w:rsidRPr="008A351A" w:rsidRDefault="005B376C" w:rsidP="009721CF">
      <w:pPr>
        <w:spacing w:after="0" w:line="240" w:lineRule="auto"/>
        <w:rPr>
          <w:rFonts w:ascii="Times New Roman" w:hAnsi="Times New Roman" w:cs="Times New Roman"/>
          <w:vanish/>
        </w:rPr>
      </w:pPr>
    </w:p>
    <w:p w14:paraId="672D7827" w14:textId="77777777" w:rsidR="005B376C" w:rsidRPr="008A351A" w:rsidRDefault="005B376C" w:rsidP="009721CF">
      <w:pPr>
        <w:spacing w:after="0" w:line="240" w:lineRule="auto"/>
        <w:rPr>
          <w:rFonts w:ascii="Times New Roman" w:hAnsi="Times New Roman" w:cs="Times New Roman"/>
        </w:rPr>
      </w:pPr>
    </w:p>
    <w:p w14:paraId="5667552C" w14:textId="77777777" w:rsidR="005B376C" w:rsidRPr="008A351A" w:rsidRDefault="005B376C" w:rsidP="009721C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18. UNIKALUS IDENTIFIKATORIUS – ŽMONĖMS SUPRANTAMI DUOMENYS</w:t>
      </w:r>
    </w:p>
    <w:p w14:paraId="553B4D21" w14:textId="77777777" w:rsidR="005B376C" w:rsidRPr="008A351A" w:rsidRDefault="005B376C" w:rsidP="009721CF">
      <w:pPr>
        <w:spacing w:after="0" w:line="240" w:lineRule="auto"/>
        <w:rPr>
          <w:rFonts w:ascii="Times New Roman" w:hAnsi="Times New Roman" w:cs="Times New Roman"/>
        </w:rPr>
      </w:pPr>
    </w:p>
    <w:p w14:paraId="5F0AC427" w14:textId="77777777" w:rsidR="005B376C" w:rsidRPr="008A351A" w:rsidRDefault="005B376C" w:rsidP="009721CF">
      <w:pPr>
        <w:spacing w:after="0"/>
        <w:rPr>
          <w:rFonts w:ascii="Times New Roman" w:hAnsi="Times New Roman" w:cs="Times New Roman"/>
          <w:color w:val="008000"/>
        </w:rPr>
      </w:pPr>
      <w:r w:rsidRPr="008A351A">
        <w:rPr>
          <w:rFonts w:ascii="Times New Roman" w:hAnsi="Times New Roman" w:cs="Times New Roman"/>
        </w:rPr>
        <w:t>PC: {numeris}</w:t>
      </w:r>
    </w:p>
    <w:p w14:paraId="3B13EBDA" w14:textId="77777777" w:rsidR="005B376C" w:rsidRPr="008A351A" w:rsidRDefault="005B376C" w:rsidP="009721CF">
      <w:pPr>
        <w:spacing w:after="0"/>
        <w:rPr>
          <w:rFonts w:ascii="Times New Roman" w:hAnsi="Times New Roman" w:cs="Times New Roman"/>
        </w:rPr>
      </w:pPr>
      <w:r w:rsidRPr="008A351A">
        <w:rPr>
          <w:rFonts w:ascii="Times New Roman" w:hAnsi="Times New Roman" w:cs="Times New Roman"/>
        </w:rPr>
        <w:t>SN: {numeris}</w:t>
      </w:r>
    </w:p>
    <w:p w14:paraId="064BE251" w14:textId="77777777" w:rsidR="005B376C" w:rsidRPr="008A351A" w:rsidRDefault="005B376C" w:rsidP="009721CF">
      <w:pPr>
        <w:spacing w:after="0"/>
        <w:rPr>
          <w:rFonts w:ascii="Times New Roman" w:hAnsi="Times New Roman" w:cs="Times New Roman"/>
        </w:rPr>
      </w:pPr>
      <w:r w:rsidRPr="008A351A">
        <w:rPr>
          <w:rFonts w:ascii="Times New Roman" w:hAnsi="Times New Roman" w:cs="Times New Roman"/>
        </w:rPr>
        <w:t>NN: {numeris}</w:t>
      </w:r>
    </w:p>
    <w:p w14:paraId="2835E1EB" w14:textId="77777777" w:rsidR="005B376C" w:rsidRPr="008A351A" w:rsidRDefault="005B376C" w:rsidP="009721CF">
      <w:pPr>
        <w:spacing w:after="0" w:line="240" w:lineRule="auto"/>
        <w:rPr>
          <w:rFonts w:ascii="Times New Roman" w:hAnsi="Times New Roman" w:cs="Times New Roman"/>
          <w:vanish/>
        </w:rPr>
      </w:pPr>
    </w:p>
    <w:p w14:paraId="3628B975" w14:textId="77777777" w:rsidR="005B376C" w:rsidRPr="008A351A" w:rsidRDefault="005B376C" w:rsidP="009721CF">
      <w:pPr>
        <w:spacing w:after="0" w:line="240" w:lineRule="auto"/>
        <w:rPr>
          <w:rFonts w:ascii="Times New Roman" w:hAnsi="Times New Roman" w:cs="Times New Roman"/>
          <w:vanish/>
        </w:rPr>
      </w:pPr>
    </w:p>
    <w:p w14:paraId="535F831D"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br w:type="page"/>
      </w:r>
    </w:p>
    <w:p w14:paraId="1235BF90"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lastRenderedPageBreak/>
        <w:t xml:space="preserve">MINIMALI </w:t>
      </w:r>
      <w:r w:rsidRPr="008A351A">
        <w:rPr>
          <w:rFonts w:ascii="Times New Roman" w:eastAsia="Times New Roman" w:hAnsi="Times New Roman" w:cs="Times New Roman"/>
          <w:b/>
          <w:caps/>
        </w:rPr>
        <w:t xml:space="preserve">informacija ant </w:t>
      </w:r>
      <w:r w:rsidRPr="008A351A">
        <w:rPr>
          <w:rFonts w:ascii="Times New Roman" w:eastAsia="Times New Roman" w:hAnsi="Times New Roman" w:cs="Times New Roman"/>
          <w:b/>
        </w:rPr>
        <w:t>LIZDINIŲ PLOKŠTELIŲ ARBA DVISLUOKSNIŲ JUOSTELIŲ</w:t>
      </w:r>
    </w:p>
    <w:p w14:paraId="3302AA7D"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8535993"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LIZDINĖ PLOKŠTELĖ</w:t>
      </w:r>
    </w:p>
    <w:p w14:paraId="00A01FEB" w14:textId="77777777" w:rsidR="009501EF" w:rsidRPr="008A351A" w:rsidRDefault="009501EF" w:rsidP="009501EF">
      <w:pPr>
        <w:spacing w:after="0" w:line="240" w:lineRule="auto"/>
        <w:rPr>
          <w:rFonts w:ascii="Times New Roman" w:eastAsia="Times New Roman" w:hAnsi="Times New Roman" w:cs="Times New Roman"/>
        </w:rPr>
      </w:pPr>
    </w:p>
    <w:p w14:paraId="19F520BD" w14:textId="77777777" w:rsidR="009501EF" w:rsidRPr="008A351A" w:rsidRDefault="009501EF" w:rsidP="009501EF">
      <w:pPr>
        <w:spacing w:after="0" w:line="240" w:lineRule="auto"/>
        <w:rPr>
          <w:rFonts w:ascii="Times New Roman" w:eastAsia="Times New Roman" w:hAnsi="Times New Roman" w:cs="Times New Roman"/>
        </w:rPr>
      </w:pPr>
    </w:p>
    <w:p w14:paraId="6BF5A622"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1.</w:t>
      </w:r>
      <w:r w:rsidRPr="008A351A">
        <w:rPr>
          <w:rFonts w:ascii="Times New Roman" w:eastAsia="Times New Roman" w:hAnsi="Times New Roman" w:cs="Times New Roman"/>
          <w:b/>
        </w:rPr>
        <w:tab/>
        <w:t>VAISTINIO PREPARATO PAVADINIMAS</w:t>
      </w:r>
    </w:p>
    <w:p w14:paraId="49F369E3" w14:textId="77777777" w:rsidR="009501EF" w:rsidRPr="008A351A" w:rsidRDefault="009501EF" w:rsidP="009501EF">
      <w:pPr>
        <w:spacing w:after="0" w:line="240" w:lineRule="auto"/>
        <w:rPr>
          <w:rFonts w:ascii="Times New Roman" w:eastAsia="Times New Roman" w:hAnsi="Times New Roman" w:cs="Times New Roman"/>
        </w:rPr>
      </w:pPr>
    </w:p>
    <w:p w14:paraId="1A32118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25 mg plėvele dengtos tabletės</w:t>
      </w:r>
    </w:p>
    <w:p w14:paraId="0DD7C07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100 mg plėvele dengtos tabletės</w:t>
      </w:r>
    </w:p>
    <w:p w14:paraId="28FE525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Quetiapine Accord 150 mg plėvele dengtos tabletės </w:t>
      </w:r>
    </w:p>
    <w:p w14:paraId="3FA9C2A6"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200 mg plėvele dengtos tabletės</w:t>
      </w:r>
    </w:p>
    <w:p w14:paraId="6E9D3B7C" w14:textId="77777777" w:rsidR="009501EF" w:rsidRPr="008A351A" w:rsidRDefault="009501EF" w:rsidP="009501EF">
      <w:pPr>
        <w:tabs>
          <w:tab w:val="num" w:pos="426"/>
          <w:tab w:val="left" w:pos="567"/>
        </w:tabs>
        <w:spacing w:after="0" w:line="240" w:lineRule="auto"/>
        <w:ind w:left="426" w:hanging="426"/>
        <w:rPr>
          <w:rFonts w:ascii="Times New Roman" w:eastAsia="Times New Roman" w:hAnsi="Times New Roman" w:cs="Times New Roman"/>
        </w:rPr>
      </w:pPr>
      <w:r w:rsidRPr="008A351A">
        <w:rPr>
          <w:rFonts w:ascii="Times New Roman" w:eastAsia="Times New Roman" w:hAnsi="Times New Roman" w:cs="Times New Roman"/>
        </w:rPr>
        <w:t>Quetiapine Accord 300 mg plėvele dengtos tabletės</w:t>
      </w:r>
    </w:p>
    <w:p w14:paraId="20FFF471"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Kvetiapinas</w:t>
      </w:r>
    </w:p>
    <w:p w14:paraId="16515836" w14:textId="77777777" w:rsidR="009501EF" w:rsidRPr="008A351A" w:rsidRDefault="009501EF" w:rsidP="009501EF">
      <w:pPr>
        <w:spacing w:after="0" w:line="240" w:lineRule="auto"/>
        <w:rPr>
          <w:rFonts w:ascii="Times New Roman" w:eastAsia="Times New Roman" w:hAnsi="Times New Roman" w:cs="Times New Roman"/>
        </w:rPr>
      </w:pPr>
    </w:p>
    <w:p w14:paraId="49B1DC32" w14:textId="77777777" w:rsidR="009501EF" w:rsidRPr="008A351A" w:rsidRDefault="009501EF" w:rsidP="009501EF">
      <w:pPr>
        <w:spacing w:after="0" w:line="240" w:lineRule="auto"/>
        <w:rPr>
          <w:rFonts w:ascii="Times New Roman" w:eastAsia="Times New Roman" w:hAnsi="Times New Roman" w:cs="Times New Roman"/>
        </w:rPr>
      </w:pPr>
    </w:p>
    <w:p w14:paraId="47593611"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2.</w:t>
      </w:r>
      <w:r w:rsidRPr="008A351A">
        <w:rPr>
          <w:rFonts w:ascii="Times New Roman" w:eastAsia="Times New Roman" w:hAnsi="Times New Roman" w:cs="Times New Roman"/>
          <w:b/>
        </w:rPr>
        <w:tab/>
        <w:t>REGISTRUOTOJO PAVADINIMAS</w:t>
      </w:r>
    </w:p>
    <w:p w14:paraId="447C0417" w14:textId="77777777" w:rsidR="009501EF" w:rsidRPr="008A351A" w:rsidRDefault="009501EF" w:rsidP="009501EF">
      <w:pPr>
        <w:spacing w:after="0" w:line="240" w:lineRule="auto"/>
        <w:rPr>
          <w:rFonts w:ascii="Times New Roman" w:eastAsia="Times New Roman" w:hAnsi="Times New Roman" w:cs="Times New Roman"/>
        </w:rPr>
      </w:pPr>
    </w:p>
    <w:p w14:paraId="64B5BEFE" w14:textId="77777777" w:rsidR="009501EF" w:rsidRPr="008A351A" w:rsidRDefault="009501EF" w:rsidP="009501EF">
      <w:pPr>
        <w:tabs>
          <w:tab w:val="left" w:pos="-1068"/>
          <w:tab w:val="left" w:pos="-714"/>
          <w:tab w:val="left" w:pos="1"/>
          <w:tab w:val="left" w:pos="567"/>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rPr>
          <w:rFonts w:ascii="Times New Roman" w:eastAsia="Times New Roman" w:hAnsi="Times New Roman" w:cs="Times New Roman"/>
          <w:lang w:eastAsia="lt-LT"/>
        </w:rPr>
      </w:pPr>
      <w:r w:rsidRPr="008A351A">
        <w:rPr>
          <w:rFonts w:ascii="Times New Roman" w:eastAsia="Times New Roman" w:hAnsi="Times New Roman" w:cs="Times New Roman"/>
          <w:lang w:eastAsia="lt-LT"/>
        </w:rPr>
        <w:t xml:space="preserve">Accord </w:t>
      </w:r>
    </w:p>
    <w:p w14:paraId="2B6D11E8" w14:textId="77777777" w:rsidR="009501EF" w:rsidRPr="008A351A" w:rsidRDefault="009501EF" w:rsidP="009501EF">
      <w:pPr>
        <w:spacing w:after="0" w:line="240" w:lineRule="auto"/>
        <w:rPr>
          <w:rFonts w:ascii="Times New Roman" w:eastAsia="Times New Roman" w:hAnsi="Times New Roman" w:cs="Times New Roman"/>
        </w:rPr>
      </w:pPr>
    </w:p>
    <w:p w14:paraId="1254BFE2" w14:textId="77777777" w:rsidR="009501EF" w:rsidRPr="008A351A" w:rsidRDefault="009501EF" w:rsidP="009501EF">
      <w:pPr>
        <w:spacing w:after="0" w:line="240" w:lineRule="auto"/>
        <w:rPr>
          <w:rFonts w:ascii="Times New Roman" w:eastAsia="Times New Roman" w:hAnsi="Times New Roman" w:cs="Times New Roman"/>
        </w:rPr>
      </w:pPr>
    </w:p>
    <w:p w14:paraId="58520955"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3.</w:t>
      </w:r>
      <w:r w:rsidRPr="008A351A">
        <w:rPr>
          <w:rFonts w:ascii="Times New Roman" w:eastAsia="Times New Roman" w:hAnsi="Times New Roman" w:cs="Times New Roman"/>
          <w:b/>
        </w:rPr>
        <w:tab/>
        <w:t>TINKAMUMO LAIKAS</w:t>
      </w:r>
    </w:p>
    <w:p w14:paraId="5E3CDF9D" w14:textId="77777777" w:rsidR="009501EF" w:rsidRPr="008A351A" w:rsidRDefault="009501EF" w:rsidP="009501EF">
      <w:pPr>
        <w:spacing w:after="0" w:line="240" w:lineRule="auto"/>
        <w:rPr>
          <w:rFonts w:ascii="Times New Roman" w:eastAsia="Times New Roman" w:hAnsi="Times New Roman" w:cs="Times New Roman"/>
        </w:rPr>
      </w:pPr>
    </w:p>
    <w:p w14:paraId="605B6CCA"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EXP{mm/MMMM}</w:t>
      </w:r>
    </w:p>
    <w:p w14:paraId="2E696AA9" w14:textId="77777777" w:rsidR="009501EF" w:rsidRPr="008A351A" w:rsidRDefault="009501EF" w:rsidP="009501EF">
      <w:pPr>
        <w:spacing w:after="0" w:line="240" w:lineRule="auto"/>
        <w:rPr>
          <w:rFonts w:ascii="Times New Roman" w:eastAsia="Times New Roman" w:hAnsi="Times New Roman" w:cs="Times New Roman"/>
        </w:rPr>
      </w:pPr>
    </w:p>
    <w:p w14:paraId="1D2D90BD" w14:textId="77777777" w:rsidR="009501EF" w:rsidRPr="008A351A" w:rsidRDefault="009501EF" w:rsidP="009501EF">
      <w:pPr>
        <w:spacing w:after="0" w:line="240" w:lineRule="auto"/>
        <w:rPr>
          <w:rFonts w:ascii="Times New Roman" w:eastAsia="Times New Roman" w:hAnsi="Times New Roman" w:cs="Times New Roman"/>
        </w:rPr>
      </w:pPr>
    </w:p>
    <w:p w14:paraId="7816771A"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4.</w:t>
      </w:r>
      <w:r w:rsidRPr="008A351A">
        <w:rPr>
          <w:rFonts w:ascii="Times New Roman" w:eastAsia="Times New Roman" w:hAnsi="Times New Roman" w:cs="Times New Roman"/>
          <w:b/>
        </w:rPr>
        <w:tab/>
        <w:t>SERIJOS NUMERIS</w:t>
      </w:r>
    </w:p>
    <w:p w14:paraId="10E4157D" w14:textId="77777777" w:rsidR="009501EF" w:rsidRPr="008A351A" w:rsidRDefault="009501EF" w:rsidP="009501EF">
      <w:pPr>
        <w:spacing w:after="0" w:line="240" w:lineRule="auto"/>
        <w:rPr>
          <w:rFonts w:ascii="Times New Roman" w:eastAsia="Times New Roman" w:hAnsi="Times New Roman" w:cs="Times New Roman"/>
        </w:rPr>
      </w:pPr>
    </w:p>
    <w:p w14:paraId="19190566" w14:textId="77777777" w:rsidR="009501EF" w:rsidRPr="008A351A" w:rsidRDefault="009501EF" w:rsidP="009501EF">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Lot</w:t>
      </w:r>
    </w:p>
    <w:p w14:paraId="6FF0DB3D" w14:textId="77777777" w:rsidR="009501EF" w:rsidRPr="008A351A" w:rsidRDefault="009501EF" w:rsidP="009501EF">
      <w:pPr>
        <w:spacing w:after="0" w:line="240" w:lineRule="auto"/>
        <w:rPr>
          <w:rFonts w:ascii="Times New Roman" w:eastAsia="Times New Roman" w:hAnsi="Times New Roman" w:cs="Times New Roman"/>
        </w:rPr>
      </w:pPr>
    </w:p>
    <w:p w14:paraId="0617B46A" w14:textId="77777777" w:rsidR="009501EF" w:rsidRPr="008A351A" w:rsidRDefault="009501EF" w:rsidP="009501EF">
      <w:pPr>
        <w:spacing w:after="0" w:line="240" w:lineRule="auto"/>
        <w:rPr>
          <w:rFonts w:ascii="Times New Roman" w:eastAsia="Times New Roman" w:hAnsi="Times New Roman" w:cs="Times New Roman"/>
        </w:rPr>
      </w:pPr>
    </w:p>
    <w:p w14:paraId="567106B8" w14:textId="77777777" w:rsidR="009501EF" w:rsidRPr="008A351A" w:rsidRDefault="009501EF" w:rsidP="009501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5.</w:t>
      </w:r>
      <w:r w:rsidRPr="008A351A">
        <w:rPr>
          <w:rFonts w:ascii="Times New Roman" w:eastAsia="Times New Roman" w:hAnsi="Times New Roman" w:cs="Times New Roman"/>
          <w:b/>
        </w:rPr>
        <w:tab/>
        <w:t>KITA</w:t>
      </w:r>
    </w:p>
    <w:p w14:paraId="491BB43C" w14:textId="77777777" w:rsidR="009501EF" w:rsidRPr="008A351A" w:rsidRDefault="009501EF" w:rsidP="009501EF">
      <w:pPr>
        <w:spacing w:after="0" w:line="240" w:lineRule="auto"/>
        <w:rPr>
          <w:rFonts w:ascii="Times New Roman" w:eastAsia="Times New Roman" w:hAnsi="Times New Roman" w:cs="Times New Roman"/>
        </w:rPr>
      </w:pPr>
    </w:p>
    <w:p w14:paraId="46DE3125" w14:textId="77777777" w:rsidR="009501EF" w:rsidRPr="008A351A" w:rsidRDefault="009501EF" w:rsidP="009501EF">
      <w:pPr>
        <w:spacing w:after="0" w:line="240" w:lineRule="auto"/>
        <w:rPr>
          <w:rFonts w:ascii="Times New Roman" w:eastAsia="Times New Roman" w:hAnsi="Times New Roman" w:cs="Times New Roman"/>
        </w:rPr>
      </w:pPr>
    </w:p>
    <w:p w14:paraId="55103FFE" w14:textId="77777777" w:rsidR="009501EF" w:rsidRPr="008A351A" w:rsidRDefault="009501EF" w:rsidP="009501EF">
      <w:pPr>
        <w:spacing w:after="0" w:line="240" w:lineRule="auto"/>
        <w:rPr>
          <w:rFonts w:ascii="Times New Roman" w:eastAsia="Times New Roman" w:hAnsi="Times New Roman" w:cs="Times New Roman"/>
        </w:rPr>
      </w:pPr>
    </w:p>
    <w:p w14:paraId="6B73CE29" w14:textId="77777777" w:rsidR="009501EF" w:rsidRPr="008A351A" w:rsidRDefault="009501EF" w:rsidP="009501EF">
      <w:pPr>
        <w:spacing w:after="0" w:line="240" w:lineRule="auto"/>
        <w:rPr>
          <w:rFonts w:ascii="Times New Roman" w:eastAsia="Times New Roman" w:hAnsi="Times New Roman" w:cs="Times New Roman"/>
        </w:rPr>
      </w:pPr>
    </w:p>
    <w:p w14:paraId="54B8E165" w14:textId="77777777" w:rsidR="009501EF" w:rsidRPr="008A351A" w:rsidRDefault="009501EF" w:rsidP="009501EF">
      <w:pPr>
        <w:spacing w:after="0" w:line="240" w:lineRule="auto"/>
        <w:rPr>
          <w:rFonts w:ascii="Times New Roman" w:eastAsia="Times New Roman" w:hAnsi="Times New Roman" w:cs="Times New Roman"/>
        </w:rPr>
      </w:pPr>
    </w:p>
    <w:p w14:paraId="53ABCC1D" w14:textId="77777777" w:rsidR="009501EF" w:rsidRPr="008A351A" w:rsidRDefault="009501EF" w:rsidP="009501EF">
      <w:pPr>
        <w:spacing w:after="0" w:line="240" w:lineRule="auto"/>
        <w:rPr>
          <w:rFonts w:ascii="Times New Roman" w:eastAsia="Times New Roman" w:hAnsi="Times New Roman" w:cs="Times New Roman"/>
        </w:rPr>
      </w:pPr>
    </w:p>
    <w:p w14:paraId="00C24802" w14:textId="77777777" w:rsidR="009501EF" w:rsidRPr="008A351A" w:rsidRDefault="009501EF" w:rsidP="009501EF">
      <w:pPr>
        <w:spacing w:after="0" w:line="240" w:lineRule="auto"/>
        <w:rPr>
          <w:rFonts w:ascii="Times New Roman" w:eastAsia="Times New Roman" w:hAnsi="Times New Roman" w:cs="Times New Roman"/>
        </w:rPr>
      </w:pPr>
    </w:p>
    <w:p w14:paraId="3851358A" w14:textId="77777777" w:rsidR="009501EF" w:rsidRPr="008A351A" w:rsidRDefault="009501EF" w:rsidP="009501EF">
      <w:pPr>
        <w:spacing w:after="0" w:line="240" w:lineRule="auto"/>
        <w:rPr>
          <w:rFonts w:ascii="Times New Roman" w:eastAsia="Times New Roman" w:hAnsi="Times New Roman" w:cs="Times New Roman"/>
        </w:rPr>
      </w:pPr>
    </w:p>
    <w:p w14:paraId="1E7FCD8C" w14:textId="77777777" w:rsidR="009501EF" w:rsidRPr="008A351A" w:rsidRDefault="009501EF" w:rsidP="009501EF">
      <w:pPr>
        <w:spacing w:after="0" w:line="240" w:lineRule="auto"/>
        <w:rPr>
          <w:rFonts w:ascii="Times New Roman" w:eastAsia="Times New Roman" w:hAnsi="Times New Roman" w:cs="Times New Roman"/>
        </w:rPr>
      </w:pPr>
    </w:p>
    <w:p w14:paraId="27FD2DB5" w14:textId="77777777" w:rsidR="009501EF" w:rsidRPr="008A351A" w:rsidRDefault="009501EF" w:rsidP="009501EF">
      <w:pPr>
        <w:spacing w:after="0" w:line="240" w:lineRule="auto"/>
        <w:rPr>
          <w:rFonts w:ascii="Times New Roman" w:eastAsia="Times New Roman" w:hAnsi="Times New Roman" w:cs="Times New Roman"/>
        </w:rPr>
      </w:pPr>
    </w:p>
    <w:p w14:paraId="36CF34EC" w14:textId="77777777" w:rsidR="009501EF" w:rsidRPr="008A351A" w:rsidRDefault="009501EF" w:rsidP="009501EF">
      <w:pPr>
        <w:spacing w:after="0" w:line="240" w:lineRule="auto"/>
        <w:rPr>
          <w:rFonts w:ascii="Times New Roman" w:eastAsia="Times New Roman" w:hAnsi="Times New Roman" w:cs="Times New Roman"/>
        </w:rPr>
      </w:pPr>
    </w:p>
    <w:p w14:paraId="462E161B" w14:textId="77777777" w:rsidR="009501EF" w:rsidRPr="008A351A" w:rsidRDefault="009501EF" w:rsidP="009501EF">
      <w:pPr>
        <w:spacing w:after="0" w:line="240" w:lineRule="auto"/>
        <w:rPr>
          <w:rFonts w:ascii="Times New Roman" w:eastAsia="Times New Roman" w:hAnsi="Times New Roman" w:cs="Times New Roman"/>
        </w:rPr>
      </w:pPr>
    </w:p>
    <w:p w14:paraId="7112D183" w14:textId="77777777" w:rsidR="009501EF" w:rsidRPr="008A351A" w:rsidRDefault="009501EF" w:rsidP="009501EF">
      <w:pPr>
        <w:spacing w:after="0" w:line="240" w:lineRule="auto"/>
        <w:rPr>
          <w:rFonts w:ascii="Times New Roman" w:eastAsia="Times New Roman" w:hAnsi="Times New Roman" w:cs="Times New Roman"/>
        </w:rPr>
      </w:pPr>
    </w:p>
    <w:p w14:paraId="79FC8845" w14:textId="77777777" w:rsidR="009501EF" w:rsidRPr="008A351A" w:rsidRDefault="009501EF" w:rsidP="009501EF">
      <w:pPr>
        <w:spacing w:after="0" w:line="240" w:lineRule="auto"/>
        <w:rPr>
          <w:rFonts w:ascii="Times New Roman" w:eastAsia="Times New Roman" w:hAnsi="Times New Roman" w:cs="Times New Roman"/>
        </w:rPr>
      </w:pPr>
    </w:p>
    <w:p w14:paraId="6804BEAB" w14:textId="77777777" w:rsidR="009501EF" w:rsidRPr="008A351A" w:rsidRDefault="009501EF" w:rsidP="009501EF">
      <w:pPr>
        <w:spacing w:after="0" w:line="240" w:lineRule="auto"/>
        <w:rPr>
          <w:rFonts w:ascii="Times New Roman" w:eastAsia="Times New Roman" w:hAnsi="Times New Roman" w:cs="Times New Roman"/>
        </w:rPr>
      </w:pPr>
    </w:p>
    <w:p w14:paraId="19138CDA" w14:textId="77777777" w:rsidR="009501EF" w:rsidRPr="008A351A" w:rsidRDefault="009501EF" w:rsidP="009501EF">
      <w:pPr>
        <w:spacing w:after="0" w:line="240" w:lineRule="auto"/>
        <w:rPr>
          <w:rFonts w:ascii="Times New Roman" w:eastAsia="Times New Roman" w:hAnsi="Times New Roman" w:cs="Times New Roman"/>
        </w:rPr>
      </w:pPr>
    </w:p>
    <w:p w14:paraId="1E0F3BCC" w14:textId="77777777" w:rsidR="009501EF" w:rsidRPr="008A351A" w:rsidRDefault="009501EF" w:rsidP="009501EF">
      <w:pPr>
        <w:spacing w:after="0" w:line="240" w:lineRule="auto"/>
        <w:rPr>
          <w:rFonts w:ascii="Times New Roman" w:eastAsia="Times New Roman" w:hAnsi="Times New Roman" w:cs="Times New Roman"/>
        </w:rPr>
      </w:pPr>
    </w:p>
    <w:p w14:paraId="4975C837" w14:textId="77777777" w:rsidR="009501EF" w:rsidRPr="008A351A" w:rsidRDefault="009501EF" w:rsidP="009501EF">
      <w:pPr>
        <w:spacing w:after="0" w:line="240" w:lineRule="auto"/>
        <w:rPr>
          <w:rFonts w:ascii="Times New Roman" w:eastAsia="Times New Roman" w:hAnsi="Times New Roman" w:cs="Times New Roman"/>
        </w:rPr>
      </w:pPr>
    </w:p>
    <w:p w14:paraId="468ECE48" w14:textId="77777777" w:rsidR="009501EF" w:rsidRPr="008A351A" w:rsidRDefault="009501EF" w:rsidP="009501EF">
      <w:pPr>
        <w:spacing w:after="0" w:line="240" w:lineRule="auto"/>
        <w:rPr>
          <w:rFonts w:ascii="Times New Roman" w:eastAsia="Times New Roman" w:hAnsi="Times New Roman" w:cs="Times New Roman"/>
        </w:rPr>
      </w:pPr>
    </w:p>
    <w:p w14:paraId="6F8C7400" w14:textId="77777777" w:rsidR="009501EF" w:rsidRPr="008A351A" w:rsidRDefault="009501EF" w:rsidP="009501EF">
      <w:pPr>
        <w:spacing w:after="0" w:line="240" w:lineRule="auto"/>
        <w:rPr>
          <w:rFonts w:ascii="Times New Roman" w:eastAsia="Times New Roman" w:hAnsi="Times New Roman" w:cs="Times New Roman"/>
        </w:rPr>
      </w:pPr>
    </w:p>
    <w:p w14:paraId="7A4B07A7" w14:textId="77777777" w:rsidR="009501EF" w:rsidRPr="008A351A" w:rsidRDefault="009501EF" w:rsidP="009501EF">
      <w:pPr>
        <w:spacing w:after="0" w:line="240" w:lineRule="auto"/>
        <w:rPr>
          <w:rFonts w:ascii="Times New Roman" w:eastAsia="Times New Roman" w:hAnsi="Times New Roman" w:cs="Times New Roman"/>
        </w:rPr>
      </w:pPr>
    </w:p>
    <w:p w14:paraId="2B7181FD" w14:textId="77777777" w:rsidR="009501EF" w:rsidRPr="008A351A" w:rsidRDefault="009501EF" w:rsidP="009501EF">
      <w:pPr>
        <w:spacing w:after="0" w:line="240" w:lineRule="auto"/>
        <w:rPr>
          <w:rFonts w:ascii="Times New Roman" w:eastAsia="Times New Roman" w:hAnsi="Times New Roman" w:cs="Times New Roman"/>
        </w:rPr>
      </w:pPr>
    </w:p>
    <w:p w14:paraId="3C94852D" w14:textId="77777777" w:rsidR="009501EF" w:rsidRPr="008A351A" w:rsidRDefault="009501EF" w:rsidP="009501EF">
      <w:pPr>
        <w:spacing w:after="0" w:line="240" w:lineRule="auto"/>
        <w:rPr>
          <w:rFonts w:ascii="Times New Roman" w:eastAsia="Times New Roman" w:hAnsi="Times New Roman" w:cs="Times New Roman"/>
        </w:rPr>
      </w:pPr>
    </w:p>
    <w:p w14:paraId="28C5E704" w14:textId="77777777" w:rsidR="009501EF" w:rsidRPr="008A351A" w:rsidRDefault="009501EF" w:rsidP="009501EF">
      <w:pPr>
        <w:spacing w:after="0" w:line="240" w:lineRule="auto"/>
        <w:rPr>
          <w:rFonts w:ascii="Times New Roman" w:eastAsia="Times New Roman" w:hAnsi="Times New Roman" w:cs="Times New Roman"/>
        </w:rPr>
      </w:pPr>
    </w:p>
    <w:p w14:paraId="4B3C4BDC" w14:textId="77777777" w:rsidR="009501EF" w:rsidRPr="008A351A" w:rsidRDefault="009501EF" w:rsidP="009501EF">
      <w:pPr>
        <w:spacing w:after="0" w:line="240" w:lineRule="auto"/>
        <w:rPr>
          <w:rFonts w:ascii="Times New Roman" w:eastAsia="Times New Roman" w:hAnsi="Times New Roman" w:cs="Times New Roman"/>
        </w:rPr>
      </w:pPr>
    </w:p>
    <w:p w14:paraId="633714BB" w14:textId="77777777" w:rsidR="009501EF" w:rsidRPr="008A351A" w:rsidRDefault="009501EF" w:rsidP="009501EF">
      <w:pPr>
        <w:spacing w:after="0" w:line="240" w:lineRule="auto"/>
        <w:rPr>
          <w:rFonts w:ascii="Times New Roman" w:eastAsia="Times New Roman" w:hAnsi="Times New Roman" w:cs="Times New Roman"/>
        </w:rPr>
      </w:pPr>
    </w:p>
    <w:p w14:paraId="532333A8"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bookmarkStart w:id="20" w:name="_Toc129243137"/>
      <w:bookmarkStart w:id="21" w:name="_Toc129243262"/>
    </w:p>
    <w:p w14:paraId="08819930"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6EDE8227"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69340974"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0C5B8794"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2E6CE37A"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225F8754"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45D76A59"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7417A116"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498BB124"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0F179E81"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182867F9"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61297C45"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0F91417B"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5289BA10"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08B3E25D"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77FFC87F"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2ABBB19D"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7D99A913"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0AF84454"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p>
    <w:p w14:paraId="7161F8E5" w14:textId="77777777" w:rsidR="009501EF" w:rsidRPr="008A351A" w:rsidRDefault="009501EF" w:rsidP="009501EF">
      <w:pPr>
        <w:tabs>
          <w:tab w:val="left" w:pos="567"/>
        </w:tabs>
        <w:spacing w:after="0" w:line="240" w:lineRule="auto"/>
        <w:ind w:left="567" w:hanging="567"/>
        <w:jc w:val="center"/>
        <w:outlineLvl w:val="0"/>
        <w:rPr>
          <w:rFonts w:ascii="Times New Roman" w:eastAsia="Times New Roman" w:hAnsi="Times New Roman" w:cs="Times New Roman"/>
          <w:b/>
          <w:caps/>
        </w:rPr>
      </w:pPr>
      <w:r w:rsidRPr="008A351A">
        <w:rPr>
          <w:rFonts w:ascii="Times New Roman" w:eastAsia="Times New Roman" w:hAnsi="Times New Roman" w:cs="Times New Roman"/>
          <w:b/>
          <w:caps/>
        </w:rPr>
        <w:t>B. PAKUOTĖS LAPELIS</w:t>
      </w:r>
      <w:bookmarkEnd w:id="20"/>
      <w:bookmarkEnd w:id="21"/>
    </w:p>
    <w:p w14:paraId="569653BD" w14:textId="42995002" w:rsidR="009501EF" w:rsidRPr="008A351A" w:rsidRDefault="009501EF" w:rsidP="009501EF">
      <w:pPr>
        <w:tabs>
          <w:tab w:val="left" w:pos="567"/>
        </w:tabs>
        <w:spacing w:after="0" w:line="240" w:lineRule="auto"/>
        <w:jc w:val="center"/>
        <w:rPr>
          <w:rFonts w:ascii="Times New Roman" w:eastAsia="Times New Roman" w:hAnsi="Times New Roman" w:cs="Times New Roman"/>
        </w:rPr>
      </w:pPr>
      <w:r w:rsidRPr="008A351A">
        <w:rPr>
          <w:rFonts w:ascii="Times New Roman" w:eastAsia="Times New Roman" w:hAnsi="Times New Roman" w:cs="Times New Roman"/>
        </w:rPr>
        <w:br w:type="page"/>
      </w:r>
      <w:r w:rsidR="008E33FC" w:rsidRPr="008E33FC">
        <w:rPr>
          <w:rFonts w:ascii="Times New Roman" w:eastAsia="Times New Roman" w:hAnsi="Times New Roman" w:cs="Times New Roman"/>
          <w:b/>
          <w:bCs/>
        </w:rPr>
        <w:lastRenderedPageBreak/>
        <w:t>Pakuotės lapelis: informacija vartotojui</w:t>
      </w:r>
    </w:p>
    <w:p w14:paraId="60175EE3" w14:textId="77777777" w:rsidR="009501EF" w:rsidRPr="008A351A" w:rsidRDefault="009501EF" w:rsidP="009501EF">
      <w:pPr>
        <w:tabs>
          <w:tab w:val="left" w:pos="567"/>
        </w:tabs>
        <w:spacing w:after="0" w:line="240" w:lineRule="auto"/>
        <w:jc w:val="center"/>
        <w:rPr>
          <w:rFonts w:ascii="Times New Roman" w:eastAsia="Times New Roman" w:hAnsi="Times New Roman" w:cs="Times New Roman"/>
          <w:b/>
          <w:bCs/>
        </w:rPr>
      </w:pPr>
    </w:p>
    <w:p w14:paraId="7BA01383" w14:textId="77777777" w:rsidR="009501EF" w:rsidRPr="008A351A" w:rsidRDefault="009501EF" w:rsidP="009501EF">
      <w:pPr>
        <w:tabs>
          <w:tab w:val="left" w:pos="567"/>
        </w:tabs>
        <w:spacing w:after="0" w:line="240" w:lineRule="auto"/>
        <w:jc w:val="center"/>
        <w:rPr>
          <w:rFonts w:ascii="Times New Roman" w:eastAsia="Times New Roman" w:hAnsi="Times New Roman" w:cs="Times New Roman"/>
          <w:b/>
          <w:bCs/>
        </w:rPr>
      </w:pPr>
      <w:r w:rsidRPr="008A351A">
        <w:rPr>
          <w:rFonts w:ascii="Times New Roman" w:eastAsia="Times New Roman" w:hAnsi="Times New Roman" w:cs="Times New Roman"/>
          <w:b/>
          <w:bCs/>
        </w:rPr>
        <w:t>Quetiapine Accord 25 mg plėvele dengtos tabletės</w:t>
      </w:r>
    </w:p>
    <w:p w14:paraId="47197BC1" w14:textId="77777777" w:rsidR="009501EF" w:rsidRPr="008A351A" w:rsidRDefault="009501EF" w:rsidP="009501EF">
      <w:pPr>
        <w:tabs>
          <w:tab w:val="left" w:pos="567"/>
        </w:tabs>
        <w:spacing w:after="0" w:line="240" w:lineRule="auto"/>
        <w:jc w:val="center"/>
        <w:rPr>
          <w:rFonts w:ascii="Times New Roman" w:eastAsia="Times New Roman" w:hAnsi="Times New Roman" w:cs="Times New Roman"/>
          <w:b/>
          <w:bCs/>
        </w:rPr>
      </w:pPr>
      <w:r w:rsidRPr="008A351A">
        <w:rPr>
          <w:rFonts w:ascii="Times New Roman" w:eastAsia="Times New Roman" w:hAnsi="Times New Roman" w:cs="Times New Roman"/>
          <w:b/>
          <w:bCs/>
        </w:rPr>
        <w:t>Quetiapine Accord 100 mg plėvele dengtos tabletės</w:t>
      </w:r>
    </w:p>
    <w:p w14:paraId="37AD7BFF" w14:textId="77777777" w:rsidR="009501EF" w:rsidRPr="008A351A" w:rsidRDefault="009501EF" w:rsidP="009501EF">
      <w:pPr>
        <w:tabs>
          <w:tab w:val="left" w:pos="567"/>
        </w:tabs>
        <w:spacing w:after="0" w:line="240" w:lineRule="auto"/>
        <w:jc w:val="center"/>
        <w:rPr>
          <w:rFonts w:ascii="Times New Roman" w:eastAsia="Times New Roman" w:hAnsi="Times New Roman" w:cs="Times New Roman"/>
          <w:b/>
          <w:bCs/>
        </w:rPr>
      </w:pPr>
      <w:r w:rsidRPr="008A351A">
        <w:rPr>
          <w:rFonts w:ascii="Times New Roman" w:eastAsia="Times New Roman" w:hAnsi="Times New Roman" w:cs="Times New Roman"/>
          <w:b/>
          <w:bCs/>
        </w:rPr>
        <w:t xml:space="preserve">Quetiapine Accord 150 mg plėvele dengtos tabletės </w:t>
      </w:r>
    </w:p>
    <w:p w14:paraId="157ABA29" w14:textId="77777777" w:rsidR="009501EF" w:rsidRPr="008A351A" w:rsidRDefault="009501EF" w:rsidP="009501EF">
      <w:pPr>
        <w:tabs>
          <w:tab w:val="left" w:pos="567"/>
        </w:tabs>
        <w:spacing w:after="0" w:line="240" w:lineRule="auto"/>
        <w:jc w:val="center"/>
        <w:rPr>
          <w:rFonts w:ascii="Times New Roman" w:eastAsia="Times New Roman" w:hAnsi="Times New Roman" w:cs="Times New Roman"/>
          <w:b/>
          <w:bCs/>
        </w:rPr>
      </w:pPr>
      <w:r w:rsidRPr="008A351A">
        <w:rPr>
          <w:rFonts w:ascii="Times New Roman" w:eastAsia="Times New Roman" w:hAnsi="Times New Roman" w:cs="Times New Roman"/>
          <w:b/>
          <w:bCs/>
        </w:rPr>
        <w:t>Quetiapine Accord 200 mg plėvele dengtos tabletės</w:t>
      </w:r>
    </w:p>
    <w:p w14:paraId="2044662D" w14:textId="77777777" w:rsidR="009501EF" w:rsidRPr="008A351A" w:rsidRDefault="009501EF" w:rsidP="009501EF">
      <w:pPr>
        <w:tabs>
          <w:tab w:val="left" w:pos="567"/>
        </w:tabs>
        <w:spacing w:after="0" w:line="240" w:lineRule="auto"/>
        <w:jc w:val="center"/>
        <w:rPr>
          <w:rFonts w:ascii="Times New Roman" w:eastAsia="Times New Roman" w:hAnsi="Times New Roman" w:cs="Times New Roman"/>
          <w:b/>
          <w:bCs/>
        </w:rPr>
      </w:pPr>
      <w:r w:rsidRPr="008A351A">
        <w:rPr>
          <w:rFonts w:ascii="Times New Roman" w:eastAsia="Times New Roman" w:hAnsi="Times New Roman" w:cs="Times New Roman"/>
          <w:b/>
          <w:bCs/>
        </w:rPr>
        <w:t>Quetiapine Accord 300 mg plėvele dengtos tabletės</w:t>
      </w:r>
    </w:p>
    <w:p w14:paraId="7B10976C" w14:textId="04571557" w:rsidR="009501EF" w:rsidRPr="008A351A" w:rsidRDefault="00E234FD" w:rsidP="009501EF">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k</w:t>
      </w:r>
      <w:r w:rsidR="009501EF" w:rsidRPr="008A351A">
        <w:rPr>
          <w:rFonts w:ascii="Times New Roman" w:eastAsia="Times New Roman" w:hAnsi="Times New Roman" w:cs="Times New Roman"/>
          <w:bCs/>
        </w:rPr>
        <w:t xml:space="preserve">vetiapinas </w:t>
      </w:r>
    </w:p>
    <w:p w14:paraId="468E0A96" w14:textId="77777777" w:rsidR="009501EF" w:rsidRPr="008A351A" w:rsidRDefault="009501EF" w:rsidP="009501EF">
      <w:pPr>
        <w:tabs>
          <w:tab w:val="left" w:pos="567"/>
        </w:tabs>
        <w:spacing w:after="0" w:line="240" w:lineRule="auto"/>
        <w:jc w:val="center"/>
        <w:rPr>
          <w:rFonts w:ascii="Times New Roman" w:eastAsia="Times New Roman" w:hAnsi="Times New Roman" w:cs="Times New Roman"/>
        </w:rPr>
      </w:pPr>
    </w:p>
    <w:p w14:paraId="5238FC2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Atidžiai perskaitykite visą šį lapelį, prieš pradėdami vartoti vaistą, nes jame pateikiama Jums svarbi informacija.</w:t>
      </w:r>
    </w:p>
    <w:p w14:paraId="6F2F2276"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Neišmeskite šio lapelio, nes vėl gali prireikti jį perskaityti. </w:t>
      </w:r>
    </w:p>
    <w:p w14:paraId="7E49FA15"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kiltų daugiau klausimų, kreipkitės į gydytoją arba vaistininką.</w:t>
      </w:r>
    </w:p>
    <w:p w14:paraId="770BE326"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Šis vaistas skirtas tik Jums, todėl kitiems žmonėms jo duoti negalima. Vaistas gali jiems pakenkti (net tiems, kurių ligos </w:t>
      </w:r>
      <w:r w:rsidR="005B376C" w:rsidRPr="008A351A">
        <w:rPr>
          <w:rFonts w:ascii="Times New Roman" w:eastAsia="Times New Roman" w:hAnsi="Times New Roman" w:cs="Times New Roman"/>
        </w:rPr>
        <w:t xml:space="preserve">požymiai </w:t>
      </w:r>
      <w:r w:rsidRPr="008A351A">
        <w:rPr>
          <w:rFonts w:ascii="Times New Roman" w:eastAsia="Times New Roman" w:hAnsi="Times New Roman" w:cs="Times New Roman"/>
        </w:rPr>
        <w:t>yra tokie patys kaip Jūsų).</w:t>
      </w:r>
    </w:p>
    <w:p w14:paraId="1E161BD2"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pasireiškė šalutinis poveikis (net jeigu jis šiame lapelyje nenurodytas), kreipkitės į gydytoją arba vaistininką. Žr. 4 skyrių.</w:t>
      </w:r>
    </w:p>
    <w:p w14:paraId="51361A3C"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23994C8F" w14:textId="6E2FE43A" w:rsidR="009501EF" w:rsidRDefault="009501EF" w:rsidP="009501EF">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Apie ką rašoma šiame lapelyje?</w:t>
      </w:r>
    </w:p>
    <w:p w14:paraId="3E5373F7" w14:textId="77777777" w:rsidR="008E33FC" w:rsidRPr="008A351A" w:rsidRDefault="008E33FC" w:rsidP="009501EF">
      <w:pPr>
        <w:tabs>
          <w:tab w:val="left" w:pos="360"/>
          <w:tab w:val="left" w:pos="567"/>
        </w:tabs>
        <w:spacing w:after="0" w:line="240" w:lineRule="auto"/>
        <w:rPr>
          <w:rFonts w:ascii="Times New Roman" w:eastAsia="Times New Roman" w:hAnsi="Times New Roman" w:cs="Times New Roman"/>
        </w:rPr>
      </w:pPr>
    </w:p>
    <w:p w14:paraId="4B1ADED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1.</w:t>
      </w:r>
      <w:r w:rsidRPr="008A351A">
        <w:rPr>
          <w:rFonts w:ascii="Times New Roman" w:eastAsia="Times New Roman" w:hAnsi="Times New Roman" w:cs="Times New Roman"/>
        </w:rPr>
        <w:tab/>
        <w:t>Kas yra Quetiapine Accord ir kam jis vartojamas</w:t>
      </w:r>
    </w:p>
    <w:p w14:paraId="60E3D69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2.</w:t>
      </w:r>
      <w:r w:rsidRPr="008A351A">
        <w:rPr>
          <w:rFonts w:ascii="Times New Roman" w:eastAsia="Times New Roman" w:hAnsi="Times New Roman" w:cs="Times New Roman"/>
        </w:rPr>
        <w:tab/>
        <w:t>Kas žinotina prieš vartojant Quetiapine Accord</w:t>
      </w:r>
    </w:p>
    <w:p w14:paraId="1FAC3BB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3.</w:t>
      </w:r>
      <w:r w:rsidRPr="008A351A">
        <w:rPr>
          <w:rFonts w:ascii="Times New Roman" w:eastAsia="Times New Roman" w:hAnsi="Times New Roman" w:cs="Times New Roman"/>
        </w:rPr>
        <w:tab/>
        <w:t>Kaip vartoti Quetiapine Accord</w:t>
      </w:r>
    </w:p>
    <w:p w14:paraId="2D7AD12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4.</w:t>
      </w:r>
      <w:r w:rsidRPr="008A351A">
        <w:rPr>
          <w:rFonts w:ascii="Times New Roman" w:eastAsia="Times New Roman" w:hAnsi="Times New Roman" w:cs="Times New Roman"/>
        </w:rPr>
        <w:tab/>
        <w:t>Galimas šalutinis poveikis</w:t>
      </w:r>
    </w:p>
    <w:p w14:paraId="5BB7064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5.</w:t>
      </w:r>
      <w:r w:rsidRPr="008A351A">
        <w:rPr>
          <w:rFonts w:ascii="Times New Roman" w:eastAsia="Times New Roman" w:hAnsi="Times New Roman" w:cs="Times New Roman"/>
        </w:rPr>
        <w:tab/>
        <w:t>Kaip laikyti Quetiapine Accord</w:t>
      </w:r>
    </w:p>
    <w:p w14:paraId="1777EF3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6.</w:t>
      </w:r>
      <w:r w:rsidRPr="008A351A">
        <w:rPr>
          <w:rFonts w:ascii="Times New Roman" w:eastAsia="Times New Roman" w:hAnsi="Times New Roman" w:cs="Times New Roman"/>
        </w:rPr>
        <w:tab/>
        <w:t>Pakuotės turinys ir kita informacija</w:t>
      </w:r>
    </w:p>
    <w:p w14:paraId="6F1FDCC7"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34659E0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396D37F5" w14:textId="231AB748"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1.</w:t>
      </w:r>
      <w:r w:rsidRPr="008A351A">
        <w:rPr>
          <w:rFonts w:ascii="Times New Roman" w:eastAsia="Times New Roman" w:hAnsi="Times New Roman" w:cs="Times New Roman"/>
          <w:b/>
          <w:bCs/>
        </w:rPr>
        <w:tab/>
      </w:r>
      <w:r w:rsidR="00811B8D" w:rsidRPr="00BA464A">
        <w:rPr>
          <w:rFonts w:ascii="Times New Roman" w:eastAsia="Times New Roman" w:hAnsi="Times New Roman" w:cs="Times New Roman"/>
          <w:b/>
          <w:bCs/>
        </w:rPr>
        <w:t xml:space="preserve">Kas yra </w:t>
      </w:r>
      <w:r w:rsidR="00811B8D">
        <w:rPr>
          <w:rFonts w:ascii="Times New Roman" w:eastAsia="Times New Roman" w:hAnsi="Times New Roman" w:cs="Times New Roman"/>
          <w:b/>
          <w:bCs/>
        </w:rPr>
        <w:t>Q</w:t>
      </w:r>
      <w:r w:rsidR="00811B8D" w:rsidRPr="00BA464A">
        <w:rPr>
          <w:rFonts w:ascii="Times New Roman" w:eastAsia="Times New Roman" w:hAnsi="Times New Roman" w:cs="Times New Roman"/>
          <w:b/>
          <w:bCs/>
        </w:rPr>
        <w:t xml:space="preserve">uetiapine </w:t>
      </w:r>
      <w:r w:rsidR="00811B8D">
        <w:rPr>
          <w:rFonts w:ascii="Times New Roman" w:eastAsia="Times New Roman" w:hAnsi="Times New Roman" w:cs="Times New Roman"/>
          <w:b/>
          <w:bCs/>
        </w:rPr>
        <w:t>A</w:t>
      </w:r>
      <w:r w:rsidR="00811B8D" w:rsidRPr="00BA464A">
        <w:rPr>
          <w:rFonts w:ascii="Times New Roman" w:eastAsia="Times New Roman" w:hAnsi="Times New Roman" w:cs="Times New Roman"/>
          <w:b/>
          <w:bCs/>
        </w:rPr>
        <w:t>ccord ir kam jis vartojamas</w:t>
      </w:r>
    </w:p>
    <w:p w14:paraId="2E0886A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18235811"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Quetiapine Accord sudėtyje yra kvetiapino. Šis vaistas priklauso vaistinių preparatų nuo psichozės grupei. </w:t>
      </w:r>
      <w:r w:rsidR="005B376C" w:rsidRPr="008A351A">
        <w:rPr>
          <w:rFonts w:ascii="Times New Roman" w:eastAsia="Times New Roman" w:hAnsi="Times New Roman" w:cs="Times New Roman"/>
        </w:rPr>
        <w:t>Quetiapine Accord gali būti vartojamas įvairioms ligoms gydyti</w:t>
      </w:r>
      <w:r w:rsidRPr="008A351A">
        <w:rPr>
          <w:rFonts w:ascii="Times New Roman" w:eastAsia="Times New Roman" w:hAnsi="Times New Roman" w:cs="Times New Roman"/>
        </w:rPr>
        <w:t>, pavyzdžiui:</w:t>
      </w:r>
    </w:p>
    <w:p w14:paraId="1EF64704" w14:textId="77777777" w:rsidR="009501EF" w:rsidRPr="008A351A" w:rsidRDefault="009501EF" w:rsidP="004A2FE7">
      <w:pPr>
        <w:numPr>
          <w:ilvl w:val="0"/>
          <w:numId w:val="10"/>
        </w:numPr>
        <w:tabs>
          <w:tab w:val="left" w:pos="0"/>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Šizofrenija: galite išgirsti ar pajusti tai, ko nėra, tikėti dalykais, kurie nėra tikri, arba jaustis neįprastai įtariu, būti sunerimusiu, susipainiojusiu, kaltu, įsitempusiu ar prislėgtu.</w:t>
      </w:r>
    </w:p>
    <w:p w14:paraId="690F18D3" w14:textId="77777777" w:rsidR="009501EF" w:rsidRPr="008A351A" w:rsidRDefault="009501EF" w:rsidP="004A2FE7">
      <w:pPr>
        <w:numPr>
          <w:ilvl w:val="0"/>
          <w:numId w:val="10"/>
        </w:numPr>
        <w:tabs>
          <w:tab w:val="left" w:pos="0"/>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Manija: galite jaustis labai sujaudintas, pakilios nuotaikos, susijaudinęs, entuziastingas arba pernelyg aktyvus, arba galite priimti neteisingus sprendimus, tapdamas agresyviu arba elgdamasis pavojingai.</w:t>
      </w:r>
    </w:p>
    <w:p w14:paraId="03385596" w14:textId="5ED4B98B" w:rsidR="009501EF" w:rsidRPr="008A351A" w:rsidRDefault="009501EF" w:rsidP="004A2FE7">
      <w:pPr>
        <w:numPr>
          <w:ilvl w:val="0"/>
          <w:numId w:val="10"/>
        </w:numPr>
        <w:tabs>
          <w:tab w:val="left" w:pos="0"/>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Bipolinė depresija: kai nuolat jaučiate liūdesį. Jums gali pasirodyti, kad esate depresijoje, galite jausti kaltę, jėgų tr</w:t>
      </w:r>
      <w:r w:rsidR="00FC08E7">
        <w:rPr>
          <w:rFonts w:ascii="Times New Roman" w:eastAsia="Times New Roman" w:hAnsi="Times New Roman" w:cs="Times New Roman"/>
        </w:rPr>
        <w:t>ū</w:t>
      </w:r>
      <w:r w:rsidRPr="008A351A">
        <w:rPr>
          <w:rFonts w:ascii="Times New Roman" w:eastAsia="Times New Roman" w:hAnsi="Times New Roman" w:cs="Times New Roman"/>
        </w:rPr>
        <w:t xml:space="preserve">kumą, prarasti apetitą arba gali būti sunku užmigti. </w:t>
      </w:r>
    </w:p>
    <w:p w14:paraId="2338036E"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36E865AF"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Net jeigu pasijusite geriau Jūsų gydytojas gali ir toliau skirti Quetiapine Accord.</w:t>
      </w:r>
    </w:p>
    <w:p w14:paraId="0C91C970"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4FE97F84"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4BCDBCC6" w14:textId="4507A5B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2.</w:t>
      </w:r>
      <w:r w:rsidRPr="008A351A">
        <w:rPr>
          <w:rFonts w:ascii="Times New Roman" w:eastAsia="Times New Roman" w:hAnsi="Times New Roman" w:cs="Times New Roman"/>
          <w:b/>
          <w:bCs/>
        </w:rPr>
        <w:tab/>
      </w:r>
      <w:r w:rsidR="00811B8D" w:rsidRPr="00BA464A">
        <w:rPr>
          <w:rFonts w:ascii="Times New Roman" w:eastAsia="Times New Roman" w:hAnsi="Times New Roman" w:cs="Times New Roman"/>
          <w:b/>
          <w:bCs/>
        </w:rPr>
        <w:t xml:space="preserve">Kas žinotina prieš vartojant </w:t>
      </w:r>
      <w:r w:rsidR="00811B8D">
        <w:rPr>
          <w:rFonts w:ascii="Times New Roman" w:eastAsia="Times New Roman" w:hAnsi="Times New Roman" w:cs="Times New Roman"/>
          <w:b/>
          <w:bCs/>
        </w:rPr>
        <w:t>Q</w:t>
      </w:r>
      <w:r w:rsidR="00811B8D" w:rsidRPr="00BA464A">
        <w:rPr>
          <w:rFonts w:ascii="Times New Roman" w:eastAsia="Times New Roman" w:hAnsi="Times New Roman" w:cs="Times New Roman"/>
          <w:b/>
          <w:bCs/>
        </w:rPr>
        <w:t xml:space="preserve">uetiapine </w:t>
      </w:r>
      <w:r w:rsidR="00811B8D">
        <w:rPr>
          <w:rFonts w:ascii="Times New Roman" w:eastAsia="Times New Roman" w:hAnsi="Times New Roman" w:cs="Times New Roman"/>
          <w:b/>
          <w:bCs/>
        </w:rPr>
        <w:t>A</w:t>
      </w:r>
      <w:r w:rsidR="00811B8D" w:rsidRPr="00BA464A">
        <w:rPr>
          <w:rFonts w:ascii="Times New Roman" w:eastAsia="Times New Roman" w:hAnsi="Times New Roman" w:cs="Times New Roman"/>
          <w:b/>
          <w:bCs/>
        </w:rPr>
        <w:t>ccord</w:t>
      </w:r>
    </w:p>
    <w:p w14:paraId="2ECFDF42"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77B4ACF5" w14:textId="1BDA54B8"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Quetiapine Accord vartoti </w:t>
      </w:r>
      <w:r w:rsidR="00E234FD">
        <w:rPr>
          <w:rFonts w:ascii="Times New Roman" w:eastAsia="Times New Roman" w:hAnsi="Times New Roman" w:cs="Times New Roman"/>
          <w:b/>
          <w:bCs/>
        </w:rPr>
        <w:t>draudžia</w:t>
      </w:r>
      <w:r w:rsidR="00E234FD" w:rsidRPr="008A351A">
        <w:rPr>
          <w:rFonts w:ascii="Times New Roman" w:eastAsia="Times New Roman" w:hAnsi="Times New Roman" w:cs="Times New Roman"/>
          <w:b/>
          <w:bCs/>
        </w:rPr>
        <w:t>ma</w:t>
      </w:r>
      <w:r w:rsidRPr="008A351A">
        <w:rPr>
          <w:rFonts w:ascii="Times New Roman" w:eastAsia="Times New Roman" w:hAnsi="Times New Roman" w:cs="Times New Roman"/>
          <w:b/>
          <w:bCs/>
        </w:rPr>
        <w:t>:</w:t>
      </w:r>
    </w:p>
    <w:p w14:paraId="695C25D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yra alergija kvetiapinui arba bet kuriai pagalbinei šio vaisto medžiagai (jos išvardytos 6 skyriuje);</w:t>
      </w:r>
    </w:p>
    <w:p w14:paraId="0F25A10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vartojate bent vieną iš toliau išvardytų vaistų:</w:t>
      </w:r>
    </w:p>
    <w:p w14:paraId="319F21D2" w14:textId="77777777" w:rsidR="009501EF" w:rsidRPr="008A351A" w:rsidRDefault="009501EF" w:rsidP="009501EF">
      <w:pPr>
        <w:numPr>
          <w:ilvl w:val="0"/>
          <w:numId w:val="2"/>
        </w:numPr>
        <w:tabs>
          <w:tab w:val="left" w:pos="360"/>
          <w:tab w:val="left" w:pos="567"/>
        </w:tabs>
        <w:spacing w:after="0" w:line="240" w:lineRule="auto"/>
        <w:jc w:val="both"/>
        <w:rPr>
          <w:rFonts w:ascii="Times New Roman" w:eastAsia="Times New Roman" w:hAnsi="Times New Roman" w:cs="Times New Roman"/>
        </w:rPr>
      </w:pPr>
      <w:r w:rsidRPr="008A351A">
        <w:rPr>
          <w:rFonts w:ascii="Times New Roman" w:eastAsia="Times New Roman" w:hAnsi="Times New Roman" w:cs="Times New Roman"/>
        </w:rPr>
        <w:t>tam tikrus vaistus ŽIV gydyti;</w:t>
      </w:r>
    </w:p>
    <w:p w14:paraId="40E1496F" w14:textId="77777777" w:rsidR="009501EF" w:rsidRPr="008A351A" w:rsidRDefault="009501EF" w:rsidP="009501EF">
      <w:pPr>
        <w:numPr>
          <w:ilvl w:val="0"/>
          <w:numId w:val="2"/>
        </w:numPr>
        <w:tabs>
          <w:tab w:val="left" w:pos="360"/>
          <w:tab w:val="left" w:pos="567"/>
        </w:tabs>
        <w:spacing w:after="0" w:line="240" w:lineRule="auto"/>
        <w:jc w:val="both"/>
        <w:rPr>
          <w:rFonts w:ascii="Times New Roman" w:eastAsia="Times New Roman" w:hAnsi="Times New Roman" w:cs="Times New Roman"/>
        </w:rPr>
      </w:pPr>
      <w:r w:rsidRPr="008A351A">
        <w:rPr>
          <w:rFonts w:ascii="Times New Roman" w:eastAsia="Times New Roman" w:hAnsi="Times New Roman" w:cs="Times New Roman"/>
        </w:rPr>
        <w:t>azolo grupės vaistų (nuo grybelinių infekcinių ligų);</w:t>
      </w:r>
    </w:p>
    <w:p w14:paraId="1DCB007E" w14:textId="77777777" w:rsidR="009501EF" w:rsidRPr="008A351A" w:rsidRDefault="009501EF" w:rsidP="009501EF">
      <w:pPr>
        <w:numPr>
          <w:ilvl w:val="0"/>
          <w:numId w:val="2"/>
        </w:numPr>
        <w:tabs>
          <w:tab w:val="left" w:pos="360"/>
          <w:tab w:val="left" w:pos="567"/>
        </w:tabs>
        <w:spacing w:after="0" w:line="240" w:lineRule="auto"/>
        <w:jc w:val="both"/>
        <w:rPr>
          <w:rFonts w:ascii="Times New Roman" w:eastAsia="Times New Roman" w:hAnsi="Times New Roman" w:cs="Times New Roman"/>
        </w:rPr>
      </w:pPr>
      <w:r w:rsidRPr="008A351A">
        <w:rPr>
          <w:rFonts w:ascii="Times New Roman" w:eastAsia="Times New Roman" w:hAnsi="Times New Roman" w:cs="Times New Roman"/>
        </w:rPr>
        <w:t>eritromiciną arba klaritromiciną (infekcijoms gydyti);</w:t>
      </w:r>
    </w:p>
    <w:p w14:paraId="0FDE9B19" w14:textId="77777777" w:rsidR="009501EF" w:rsidRPr="008A351A" w:rsidRDefault="009501EF" w:rsidP="009501EF">
      <w:pPr>
        <w:numPr>
          <w:ilvl w:val="0"/>
          <w:numId w:val="2"/>
        </w:numPr>
        <w:tabs>
          <w:tab w:val="left" w:pos="360"/>
          <w:tab w:val="left" w:pos="567"/>
        </w:tabs>
        <w:spacing w:after="0" w:line="240" w:lineRule="auto"/>
        <w:jc w:val="both"/>
        <w:rPr>
          <w:rFonts w:ascii="Times New Roman" w:eastAsia="Times New Roman" w:hAnsi="Times New Roman" w:cs="Times New Roman"/>
        </w:rPr>
      </w:pPr>
      <w:r w:rsidRPr="008A351A">
        <w:rPr>
          <w:rFonts w:ascii="Times New Roman" w:eastAsia="Times New Roman" w:hAnsi="Times New Roman" w:cs="Times New Roman"/>
        </w:rPr>
        <w:t>nefazodono (vaisto nuo depresijos).</w:t>
      </w:r>
    </w:p>
    <w:p w14:paraId="69F0BFD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53FC3F98"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abejojate, prieš vartodami Quetiapine Accord, kreipkitės į gydytoją arba vaistininką.</w:t>
      </w:r>
    </w:p>
    <w:p w14:paraId="0F2095AB"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p>
    <w:p w14:paraId="701A86BA" w14:textId="77777777" w:rsidR="009501EF" w:rsidRPr="008A351A" w:rsidRDefault="009501EF" w:rsidP="00E35E14">
      <w:pPr>
        <w:keepNext/>
        <w:tabs>
          <w:tab w:val="left" w:pos="360"/>
          <w:tab w:val="left" w:pos="567"/>
        </w:tabs>
        <w:spacing w:after="0" w:line="240" w:lineRule="auto"/>
        <w:rPr>
          <w:rFonts w:ascii="Times New Roman" w:hAnsi="Times New Roman" w:cs="Times New Roman"/>
          <w:b/>
        </w:rPr>
      </w:pPr>
      <w:r w:rsidRPr="008A351A">
        <w:rPr>
          <w:rFonts w:ascii="Times New Roman" w:eastAsia="Times New Roman" w:hAnsi="Times New Roman" w:cs="Times New Roman"/>
          <w:b/>
          <w:bCs/>
        </w:rPr>
        <w:lastRenderedPageBreak/>
        <w:t>Įspėjimai ir atsargumo priemonės</w:t>
      </w:r>
    </w:p>
    <w:p w14:paraId="44AF83F5" w14:textId="77777777" w:rsidR="009501EF" w:rsidRPr="008A351A" w:rsidRDefault="009501EF" w:rsidP="00E35E14">
      <w:pPr>
        <w:keepNext/>
        <w:tabs>
          <w:tab w:val="left" w:pos="360"/>
          <w:tab w:val="left" w:pos="567"/>
        </w:tabs>
        <w:spacing w:after="0" w:line="240" w:lineRule="auto"/>
        <w:rPr>
          <w:rFonts w:ascii="Times New Roman" w:hAnsi="Times New Roman" w:cs="Times New Roman"/>
        </w:rPr>
      </w:pPr>
    </w:p>
    <w:p w14:paraId="1C66278C" w14:textId="77777777" w:rsidR="009501EF" w:rsidRPr="008A351A" w:rsidRDefault="009501EF" w:rsidP="00E35E14">
      <w:pPr>
        <w:keepNext/>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Pasitarkite su gydytoju arba vaistininku prieš pradėdami vartoti Quetiapine Accord:</w:t>
      </w:r>
    </w:p>
    <w:p w14:paraId="1607DBA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5DF792EE" w14:textId="3567F5A0" w:rsidR="00575D58"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r>
      <w:r w:rsidR="00575D58">
        <w:rPr>
          <w:rFonts w:ascii="Times New Roman" w:eastAsia="Times New Roman" w:hAnsi="Times New Roman" w:cs="Times New Roman"/>
        </w:rPr>
        <w:t>j</w:t>
      </w:r>
      <w:r w:rsidR="00575D58" w:rsidRPr="00575D58">
        <w:rPr>
          <w:rFonts w:ascii="Times New Roman" w:eastAsia="Times New Roman" w:hAnsi="Times New Roman" w:cs="Times New Roman"/>
        </w:rPr>
        <w:t xml:space="preserve">eigu sergate depresija arba turite kitą sutrikimą, gydomą antidepresantais. Šiuos vaistus vartojant kartu su </w:t>
      </w:r>
      <w:r w:rsidR="008612FE" w:rsidRPr="008612FE">
        <w:rPr>
          <w:rFonts w:ascii="Times New Roman" w:eastAsia="Times New Roman" w:hAnsi="Times New Roman" w:cs="Times New Roman"/>
        </w:rPr>
        <w:t xml:space="preserve">Quetiapine Accord </w:t>
      </w:r>
      <w:r w:rsidR="00575D58" w:rsidRPr="00575D58">
        <w:rPr>
          <w:rFonts w:ascii="Times New Roman" w:eastAsia="Times New Roman" w:hAnsi="Times New Roman" w:cs="Times New Roman"/>
        </w:rPr>
        <w:t>gali išsivystyti serotonino sindromas – sutrikimas, galintis kelti pavojų gyvybei (žr. „Kiti vaistai ir</w:t>
      </w:r>
      <w:r w:rsidR="00FA796B">
        <w:rPr>
          <w:rFonts w:ascii="Times New Roman" w:eastAsia="Times New Roman" w:hAnsi="Times New Roman" w:cs="Times New Roman"/>
        </w:rPr>
        <w:t xml:space="preserve"> </w:t>
      </w:r>
      <w:r w:rsidR="00FA796B" w:rsidRPr="008A351A">
        <w:rPr>
          <w:rFonts w:ascii="Times New Roman" w:eastAsia="Times New Roman" w:hAnsi="Times New Roman" w:cs="Times New Roman"/>
          <w:bCs/>
        </w:rPr>
        <w:t>Quetiapine Accord</w:t>
      </w:r>
      <w:r w:rsidR="00575D58" w:rsidRPr="00575D58">
        <w:rPr>
          <w:rFonts w:ascii="Times New Roman" w:eastAsia="Times New Roman" w:hAnsi="Times New Roman" w:cs="Times New Roman"/>
        </w:rPr>
        <w:t>“)</w:t>
      </w:r>
      <w:r w:rsidR="00FA796B">
        <w:rPr>
          <w:rFonts w:ascii="Times New Roman" w:eastAsia="Times New Roman" w:hAnsi="Times New Roman" w:cs="Times New Roman"/>
        </w:rPr>
        <w:t>;</w:t>
      </w:r>
    </w:p>
    <w:p w14:paraId="4682A5E8" w14:textId="04F59F94" w:rsidR="009501EF" w:rsidRPr="008A351A" w:rsidRDefault="009501EF" w:rsidP="00FA796B">
      <w:pPr>
        <w:numPr>
          <w:ilvl w:val="0"/>
          <w:numId w:val="11"/>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jeigu Jūs ar kas nors iš šeimos narių turi ar turėjo kokių nors širdies sutrikimų, pavyzdžiui, širdies ritmo sutrikimų, širdies raumens nusilpimas arba širdies uždegimas arba jeigu geriate kokius nors vaistus, kurie gali paveikti širdies plakimą;</w:t>
      </w:r>
    </w:p>
    <w:p w14:paraId="1D238203" w14:textId="77777777" w:rsidR="009501EF" w:rsidRPr="008A351A" w:rsidRDefault="009501EF" w:rsidP="009501EF">
      <w:pPr>
        <w:numPr>
          <w:ilvl w:val="0"/>
          <w:numId w:val="11"/>
        </w:numPr>
        <w:tabs>
          <w:tab w:val="left" w:pos="567"/>
        </w:tabs>
        <w:spacing w:after="0" w:line="240" w:lineRule="auto"/>
        <w:ind w:hanging="720"/>
        <w:contextualSpacing/>
        <w:rPr>
          <w:rFonts w:ascii="Times New Roman" w:eastAsia="Times New Roman" w:hAnsi="Times New Roman" w:cs="Times New Roman"/>
        </w:rPr>
      </w:pPr>
      <w:r w:rsidRPr="008A351A">
        <w:rPr>
          <w:rFonts w:ascii="Times New Roman" w:eastAsia="Times New Roman" w:hAnsi="Times New Roman" w:cs="Times New Roman"/>
        </w:rPr>
        <w:t>jeigu Jūsų žemas kraujospūdis;</w:t>
      </w:r>
    </w:p>
    <w:p w14:paraId="763F6090" w14:textId="77777777" w:rsidR="009501EF" w:rsidRPr="008A351A" w:rsidRDefault="009501EF" w:rsidP="009501EF">
      <w:pPr>
        <w:numPr>
          <w:ilvl w:val="0"/>
          <w:numId w:val="11"/>
        </w:numPr>
        <w:tabs>
          <w:tab w:val="left" w:pos="567"/>
        </w:tabs>
        <w:spacing w:after="0" w:line="240" w:lineRule="auto"/>
        <w:ind w:hanging="720"/>
        <w:contextualSpacing/>
        <w:rPr>
          <w:rFonts w:ascii="Times New Roman" w:eastAsia="Times New Roman" w:hAnsi="Times New Roman" w:cs="Times New Roman"/>
        </w:rPr>
      </w:pPr>
      <w:r w:rsidRPr="008A351A">
        <w:rPr>
          <w:rFonts w:ascii="Times New Roman" w:eastAsia="Times New Roman" w:hAnsi="Times New Roman" w:cs="Times New Roman"/>
        </w:rPr>
        <w:t>jeigu Jums yra buvęs insultas (ypač jeigu esate vyresnio amžiaus);</w:t>
      </w:r>
    </w:p>
    <w:p w14:paraId="78686C5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turite kepenų veiklos sutrikimų;</w:t>
      </w:r>
    </w:p>
    <w:p w14:paraId="59116BD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Jums kada nors yra buvę traukulių priepuolių;</w:t>
      </w:r>
    </w:p>
    <w:p w14:paraId="0C642640" w14:textId="77777777" w:rsidR="009501EF" w:rsidRPr="008A351A" w:rsidRDefault="009501EF" w:rsidP="009501EF">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Jeigu sergate diabetu arba yra padidėjęs diabeto atsiradimo pavojus. Tokiu atveju, kol vartojate šias tabletes, Jūsų gydytojas gali nuolat tikrini gliukozės kiekį kraujyje; </w:t>
      </w:r>
    </w:p>
    <w:p w14:paraId="791C2FBA"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žinote, kad Jums praeityje buvo nustatytas baltųjų kraujo ląstelių sumažėjimas (kuris galėjo atsirasti dėl kitų vaistų vartojimo arba ne);</w:t>
      </w:r>
    </w:p>
    <w:p w14:paraId="495FE18A"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jeigu esate senyvas asmuo, sergantis demencija (smegenų funkcijos susilpnėjimas). Jeigu taip, </w:t>
      </w:r>
      <w:r w:rsidRPr="008A351A">
        <w:rPr>
          <w:rFonts w:ascii="Times New Roman" w:eastAsia="Times New Roman" w:hAnsi="Times New Roman" w:cs="Times New Roman"/>
          <w:bCs/>
        </w:rPr>
        <w:t>Quetiapine Accord vartoti negalima, nes vartojant vaistinius preparatus, kurių grupei priklauso kvetiapinas, gali padidėti insulto pavojus, o senyviems pacientams, sergantiems demencija, kai kuriais atvejais ir mirties pavojus;</w:t>
      </w:r>
    </w:p>
    <w:p w14:paraId="7E5C456B" w14:textId="77777777" w:rsidR="00702AFB"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hAnsi="Times New Roman"/>
        </w:rPr>
        <w:sym w:font="Symbol" w:char="F0B7"/>
      </w:r>
      <w:r w:rsidRPr="008A351A">
        <w:rPr>
          <w:rFonts w:ascii="Times New Roman" w:hAnsi="Times New Roman"/>
        </w:rPr>
        <w:tab/>
      </w:r>
      <w:r w:rsidR="00702AFB" w:rsidRPr="008A351A">
        <w:rPr>
          <w:rFonts w:ascii="Times New Roman" w:hAnsi="Times New Roman"/>
        </w:rPr>
        <w:t>jeigu esate senyvo amžiaus ir sergate Parkinsono liga / parkinsonizmu;</w:t>
      </w:r>
      <w:r w:rsidR="00702AFB" w:rsidRPr="008A351A">
        <w:rPr>
          <w:rFonts w:ascii="Times New Roman" w:eastAsia="Times New Roman" w:hAnsi="Times New Roman" w:cs="Times New Roman"/>
        </w:rPr>
        <w:t xml:space="preserve"> </w:t>
      </w:r>
    </w:p>
    <w:p w14:paraId="34E0155B" w14:textId="77777777" w:rsidR="009501EF" w:rsidRPr="00EA5D4E" w:rsidRDefault="009501EF" w:rsidP="00EA5D4E">
      <w:pPr>
        <w:pStyle w:val="Sraopastraipa"/>
        <w:numPr>
          <w:ilvl w:val="0"/>
          <w:numId w:val="12"/>
        </w:numPr>
        <w:tabs>
          <w:tab w:val="left" w:pos="567"/>
        </w:tabs>
        <w:ind w:left="567" w:hanging="567"/>
        <w:rPr>
          <w:rFonts w:eastAsiaTheme="minorHAnsi" w:cstheme="minorBidi"/>
          <w:sz w:val="22"/>
          <w:szCs w:val="22"/>
        </w:rPr>
      </w:pPr>
      <w:r w:rsidRPr="00EA5D4E">
        <w:rPr>
          <w:rFonts w:eastAsiaTheme="minorHAnsi" w:cstheme="minorBidi"/>
          <w:sz w:val="22"/>
          <w:szCs w:val="22"/>
        </w:rPr>
        <w:t>jeigu Jums arba šeimos nariams yra buvę kraujo krešulių, kadangi tokie vaistai kaip šis yra susiję su krešulių susidarymu;</w:t>
      </w:r>
    </w:p>
    <w:p w14:paraId="13A004BA" w14:textId="21DEE044"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jums pasireiškia arba pasireiškė sveikatos būklė, kai įprasto naktinio miego metu trumpam nustojate kvėpuoti („miego apnėja“) ir vartojate vaistus, sulėtinančius įprastą smegenų veiklą („antidepresantus“)</w:t>
      </w:r>
      <w:r w:rsidR="00766F98">
        <w:rPr>
          <w:rFonts w:ascii="Times New Roman" w:eastAsia="Times New Roman" w:hAnsi="Times New Roman" w:cs="Times New Roman"/>
        </w:rPr>
        <w:t>;</w:t>
      </w:r>
    </w:p>
    <w:p w14:paraId="7CE1FDAD"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jums pasireiškia arba pasireiškė sveikatos būklė, kai negalite iki galo ištuštinti šlapimo pūslės (šlapimo susilaikymas), padidėjusi prostata, užsikimšusios žarnos arba padidėjęs akispūdis. Šiuos sveikatos sutrikimus kartais sukelia vaistai („anticholinerginiai“), kurie veikia nervų ląstelių funkcionavimą, vartojami tam tikriems sveikatos sutrikimams gydyti;</w:t>
      </w:r>
    </w:p>
    <w:p w14:paraId="04CDD933"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jeigu esate piktnaudžiavę alkoholiu arba narkotinėmis medžiagomis.</w:t>
      </w:r>
    </w:p>
    <w:p w14:paraId="68123D0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1EBC755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Nedelsdami pasakykite gydytojui, jeigu pavartojus </w:t>
      </w:r>
      <w:r w:rsidRPr="008A351A">
        <w:rPr>
          <w:rFonts w:ascii="Times New Roman" w:eastAsia="Times New Roman" w:hAnsi="Times New Roman" w:cs="Times New Roman"/>
          <w:bCs/>
        </w:rPr>
        <w:t>Quetiapine Accord</w:t>
      </w:r>
      <w:r w:rsidRPr="008A351A">
        <w:rPr>
          <w:rFonts w:ascii="Times New Roman" w:eastAsia="Times New Roman" w:hAnsi="Times New Roman" w:cs="Times New Roman"/>
        </w:rPr>
        <w:t xml:space="preserve"> Jums pasireiškia kuris nors iš šių simptomų:</w:t>
      </w:r>
    </w:p>
    <w:p w14:paraId="3EEF2443" w14:textId="77777777" w:rsidR="009501EF" w:rsidRPr="008A351A" w:rsidRDefault="009501EF" w:rsidP="009501E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atsirado šių simptomų derinys: pradėjote karščiuoti, atsirado raumenų stiprus sustingimas, yra prakaitavimas arba sumažėjęs sąmoningumo lygis (negalavimas, kuris vadinamas „piktybiniu neurolepsiniu sindromu“). Gali prireikti skubios medicinos pagalbos;</w:t>
      </w:r>
    </w:p>
    <w:p w14:paraId="774EF002" w14:textId="77777777" w:rsidR="009501EF" w:rsidRPr="008A351A" w:rsidRDefault="009501EF" w:rsidP="009501E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atsirado nevalingų judesių, daugiausia veido arba liežuvio;</w:t>
      </w:r>
    </w:p>
    <w:p w14:paraId="2A5A7C7B" w14:textId="77777777" w:rsidR="009501EF" w:rsidRPr="008A351A" w:rsidRDefault="009501EF" w:rsidP="009501E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jaučiate galvos svaigulį arba didelį mieguistumą. Tai gali padidinti atsitiktinio sužalojimo pavojų (dėl nukritimo) pagyvenusių pacientų tarpe</w:t>
      </w:r>
      <w:r w:rsidR="009721CF" w:rsidRPr="008A351A">
        <w:rPr>
          <w:rFonts w:ascii="Times New Roman" w:eastAsia="Times New Roman" w:hAnsi="Times New Roman" w:cs="Times New Roman"/>
        </w:rPr>
        <w:t>;</w:t>
      </w:r>
    </w:p>
    <w:p w14:paraId="6C6648FB" w14:textId="77777777" w:rsidR="009501EF" w:rsidRPr="008A351A" w:rsidRDefault="009501EF" w:rsidP="009501E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priepuoliai (epilepsija</w:t>
      </w:r>
      <w:r w:rsidR="009721CF" w:rsidRPr="008A351A">
        <w:rPr>
          <w:rFonts w:ascii="Times New Roman" w:eastAsia="Times New Roman" w:hAnsi="Times New Roman" w:cs="Times New Roman"/>
        </w:rPr>
        <w:t>);</w:t>
      </w:r>
    </w:p>
    <w:p w14:paraId="2B0ABE45" w14:textId="21F0CD78" w:rsidR="009501EF" w:rsidRDefault="009501EF" w:rsidP="009501E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ilgalaikė ir skausminga erekcija (priapizmas)</w:t>
      </w:r>
      <w:r w:rsidR="00E234FD">
        <w:rPr>
          <w:rFonts w:ascii="Times New Roman" w:eastAsia="Times New Roman" w:hAnsi="Times New Roman" w:cs="Times New Roman"/>
        </w:rPr>
        <w:t>;</w:t>
      </w:r>
    </w:p>
    <w:p w14:paraId="2F91EA1E" w14:textId="738A63D1" w:rsidR="00E234FD" w:rsidRPr="00FF431F" w:rsidRDefault="00E234FD" w:rsidP="00FF431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FF431F">
        <w:rPr>
          <w:rFonts w:ascii="Times New Roman" w:eastAsia="Times New Roman" w:hAnsi="Times New Roman" w:cs="Times New Roman"/>
        </w:rPr>
        <w:t>d</w:t>
      </w:r>
      <w:r w:rsidRPr="00CC4178">
        <w:rPr>
          <w:rFonts w:ascii="Times New Roman" w:eastAsia="Times New Roman" w:hAnsi="Times New Roman" w:cs="Times New Roman"/>
        </w:rPr>
        <w:t>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563224EC" w14:textId="77777777" w:rsidR="009501EF" w:rsidRPr="008A351A" w:rsidRDefault="009501EF" w:rsidP="009501EF">
      <w:pPr>
        <w:tabs>
          <w:tab w:val="left" w:pos="567"/>
        </w:tabs>
        <w:spacing w:after="0" w:line="260" w:lineRule="exact"/>
        <w:ind w:left="567"/>
        <w:rPr>
          <w:rFonts w:ascii="Times New Roman" w:eastAsia="Times New Roman" w:hAnsi="Times New Roman" w:cs="Times New Roman"/>
        </w:rPr>
      </w:pPr>
    </w:p>
    <w:p w14:paraId="5CBF52F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Tokia būklė gali atsirasti, dėl šios grupės vaistų vartojimo. </w:t>
      </w:r>
    </w:p>
    <w:p w14:paraId="32DFAB4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9BA5D7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Nedelsdami kreipkitės į gydytoją, jeigu pasireiškia:</w:t>
      </w:r>
    </w:p>
    <w:p w14:paraId="0DA0918C" w14:textId="77777777" w:rsidR="009501EF" w:rsidRPr="008A351A" w:rsidRDefault="009501EF" w:rsidP="009501EF">
      <w:pPr>
        <w:tabs>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karščiavimas, į gripo panašūs simptomai, gerklės skausmas ar bet kokia kita infekcija, nes tai gali sukelti labai sumažėjęs leukocitų kiekis, dėl to reikės nutraukti </w:t>
      </w:r>
      <w:r w:rsidRPr="008A351A">
        <w:rPr>
          <w:rFonts w:ascii="Times New Roman" w:eastAsia="Times New Roman" w:hAnsi="Times New Roman" w:cs="Times New Roman"/>
          <w:bCs/>
        </w:rPr>
        <w:t>Quetiapine Accord vartojimą ir (arba) taikyti gydymą;</w:t>
      </w:r>
    </w:p>
    <w:p w14:paraId="63FC703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vidurių užkietėjimas ir nuolatinis pilvo skausmas arba vidurių užkietėjimas, kurio nepavyko išgydyti, nes tai gali sukelti dar stipresnį žarnų užsikimšimą.</w:t>
      </w:r>
    </w:p>
    <w:p w14:paraId="666ABFD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284E28E5" w14:textId="77777777" w:rsidR="009501EF" w:rsidRPr="008A351A" w:rsidRDefault="009501EF" w:rsidP="00E35E14">
      <w:pPr>
        <w:keepNext/>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Mintys apie savižudybę ir depresijos pasunkėjimas </w:t>
      </w:r>
    </w:p>
    <w:p w14:paraId="59839CDA" w14:textId="77777777" w:rsidR="009501EF" w:rsidRPr="008A351A" w:rsidRDefault="009501EF" w:rsidP="00E35E14">
      <w:pPr>
        <w:keepNext/>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Būnant depresijoje, kartais gali atsirasti minčių apie savęs žalojimą arbą savižudybę. Pirmą kartą pradedant gydymą tokių minčių gali padaugėti, nes visiems šiems vaistams reikia laiko, įprastai dviejų savaičių, tačiau kartais ir ilgiau, kol pasireikš jų poveikis. Šios mintys taip pat gali sustiprėti, jeigu staiga nutraukiate vaistinio preparato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14:paraId="292531DC" w14:textId="77777777" w:rsidR="009501EF" w:rsidRPr="008A351A" w:rsidRDefault="009501EF" w:rsidP="009501EF">
      <w:pPr>
        <w:tabs>
          <w:tab w:val="left" w:pos="567"/>
        </w:tabs>
        <w:autoSpaceDE w:val="0"/>
        <w:autoSpaceDN w:val="0"/>
        <w:adjustRightInd w:val="0"/>
        <w:spacing w:after="0" w:line="240" w:lineRule="auto"/>
        <w:rPr>
          <w:rFonts w:ascii="Times New Roman" w:eastAsia="Times New Roman" w:hAnsi="Times New Roman" w:cs="Times New Roman"/>
        </w:rPr>
      </w:pPr>
    </w:p>
    <w:p w14:paraId="12F69686" w14:textId="77777777" w:rsidR="009501EF" w:rsidRPr="008A351A" w:rsidRDefault="009501EF" w:rsidP="009501EF">
      <w:pPr>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Jums bet kuriuo metu atsirado minčių apie savęs žalojimą arba savižudybę, iš karto kreipkitės į gydytoją arba vykite į artimiausi</w:t>
      </w:r>
      <w:r w:rsidR="00A71733">
        <w:rPr>
          <w:rFonts w:ascii="Times New Roman" w:eastAsia="Times New Roman" w:hAnsi="Times New Roman" w:cs="Times New Roman"/>
        </w:rPr>
        <w:t>ą</w:t>
      </w:r>
      <w:r w:rsidRPr="008A351A">
        <w:rPr>
          <w:rFonts w:ascii="Times New Roman" w:eastAsia="Times New Roman" w:hAnsi="Times New Roman" w:cs="Times New Roman"/>
        </w:rPr>
        <w:t xml:space="preserve">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18F93EBE" w14:textId="19892F36" w:rsidR="00702AFB" w:rsidRDefault="00702AFB" w:rsidP="009501EF">
      <w:pPr>
        <w:tabs>
          <w:tab w:val="left" w:pos="567"/>
        </w:tabs>
        <w:autoSpaceDE w:val="0"/>
        <w:autoSpaceDN w:val="0"/>
        <w:adjustRightInd w:val="0"/>
        <w:spacing w:after="0" w:line="240" w:lineRule="auto"/>
        <w:rPr>
          <w:rFonts w:ascii="Times New Roman" w:eastAsia="Times New Roman" w:hAnsi="Times New Roman" w:cs="Times New Roman"/>
        </w:rPr>
      </w:pPr>
    </w:p>
    <w:p w14:paraId="71C95B1B" w14:textId="77777777" w:rsidR="00811B8D" w:rsidRDefault="00811B8D" w:rsidP="00811B8D">
      <w:pPr>
        <w:pStyle w:val="Antrat2"/>
        <w:spacing w:line="274" w:lineRule="exact"/>
        <w:rPr>
          <w:b w:val="0"/>
          <w:bCs w:val="0"/>
        </w:rPr>
      </w:pPr>
      <w:r>
        <w:rPr>
          <w:spacing w:val="-1"/>
        </w:rPr>
        <w:t>Sunkios odos nepageidaujamos reakcijos</w:t>
      </w:r>
      <w:r>
        <w:rPr>
          <w:spacing w:val="-4"/>
        </w:rPr>
        <w:t xml:space="preserve"> </w:t>
      </w:r>
      <w:r>
        <w:rPr>
          <w:spacing w:val="-1"/>
        </w:rPr>
        <w:t>(SCARs)</w:t>
      </w:r>
    </w:p>
    <w:p w14:paraId="54B910AB" w14:textId="77777777" w:rsidR="00811B8D" w:rsidRPr="00677EC4" w:rsidRDefault="00811B8D" w:rsidP="00811B8D">
      <w:pPr>
        <w:pStyle w:val="Pagrindinistekstas"/>
        <w:ind w:right="101"/>
        <w:rPr>
          <w:sz w:val="22"/>
          <w:szCs w:val="22"/>
        </w:rPr>
      </w:pPr>
      <w:r>
        <w:rPr>
          <w:spacing w:val="-1"/>
          <w:sz w:val="22"/>
          <w:szCs w:val="22"/>
        </w:rPr>
        <w:t xml:space="preserve">Vartojant šį vaistą labai retais atvejais užfiksuota sunkių </w:t>
      </w:r>
      <w:r w:rsidRPr="00677EC4">
        <w:rPr>
          <w:spacing w:val="-1"/>
          <w:sz w:val="22"/>
          <w:szCs w:val="22"/>
        </w:rPr>
        <w:t>odos nepageidaujam</w:t>
      </w:r>
      <w:r>
        <w:rPr>
          <w:spacing w:val="-1"/>
          <w:sz w:val="22"/>
          <w:szCs w:val="22"/>
        </w:rPr>
        <w:t>ų</w:t>
      </w:r>
      <w:r w:rsidRPr="00677EC4">
        <w:rPr>
          <w:spacing w:val="-1"/>
          <w:sz w:val="22"/>
          <w:szCs w:val="22"/>
        </w:rPr>
        <w:t xml:space="preserve"> reakcij</w:t>
      </w:r>
      <w:r>
        <w:rPr>
          <w:spacing w:val="-1"/>
          <w:sz w:val="22"/>
          <w:szCs w:val="22"/>
        </w:rPr>
        <w:t>ų</w:t>
      </w:r>
      <w:r w:rsidRPr="00677EC4">
        <w:rPr>
          <w:spacing w:val="-1"/>
          <w:sz w:val="22"/>
          <w:szCs w:val="22"/>
        </w:rPr>
        <w:t xml:space="preserve"> (angl. </w:t>
      </w:r>
      <w:r w:rsidRPr="00677EC4">
        <w:rPr>
          <w:i/>
          <w:spacing w:val="-1"/>
          <w:sz w:val="22"/>
          <w:szCs w:val="22"/>
        </w:rPr>
        <w:t>severe cutaneous adverse reactions, SCARs</w:t>
      </w:r>
      <w:r w:rsidRPr="00677EC4">
        <w:rPr>
          <w:spacing w:val="-1"/>
          <w:sz w:val="22"/>
          <w:szCs w:val="22"/>
        </w:rPr>
        <w:t>)</w:t>
      </w:r>
      <w:r>
        <w:rPr>
          <w:spacing w:val="-1"/>
          <w:sz w:val="22"/>
          <w:szCs w:val="22"/>
        </w:rPr>
        <w:t xml:space="preserve">, </w:t>
      </w:r>
      <w:r w:rsidRPr="00677EC4">
        <w:rPr>
          <w:spacing w:val="-1"/>
          <w:sz w:val="22"/>
          <w:szCs w:val="22"/>
        </w:rPr>
        <w:t xml:space="preserve">kurios gali kelti pavojų gyvybei arba būti mirtinos. </w:t>
      </w:r>
      <w:r>
        <w:rPr>
          <w:spacing w:val="-1"/>
          <w:sz w:val="22"/>
          <w:szCs w:val="22"/>
        </w:rPr>
        <w:t>Jos dažniausiai pasireiškia taip</w:t>
      </w:r>
      <w:r w:rsidRPr="00677EC4">
        <w:rPr>
          <w:spacing w:val="-1"/>
          <w:sz w:val="22"/>
          <w:szCs w:val="22"/>
        </w:rPr>
        <w:t>:</w:t>
      </w:r>
    </w:p>
    <w:p w14:paraId="5AC165AF" w14:textId="77777777" w:rsidR="00811B8D" w:rsidRPr="00677EC4" w:rsidRDefault="00811B8D" w:rsidP="00811B8D">
      <w:pPr>
        <w:pStyle w:val="Pagrindinistekstas"/>
        <w:widowControl w:val="0"/>
        <w:numPr>
          <w:ilvl w:val="1"/>
          <w:numId w:val="31"/>
        </w:numPr>
        <w:tabs>
          <w:tab w:val="left" w:pos="833"/>
        </w:tabs>
        <w:spacing w:after="0" w:line="260" w:lineRule="exact"/>
        <w:ind w:right="818"/>
        <w:rPr>
          <w:sz w:val="22"/>
          <w:szCs w:val="22"/>
        </w:rPr>
      </w:pPr>
      <w:r w:rsidRPr="00677EC4">
        <w:rPr>
          <w:spacing w:val="-1"/>
          <w:sz w:val="22"/>
          <w:szCs w:val="22"/>
        </w:rPr>
        <w:t>St</w:t>
      </w:r>
      <w:r>
        <w:rPr>
          <w:spacing w:val="-1"/>
          <w:sz w:val="22"/>
          <w:szCs w:val="22"/>
        </w:rPr>
        <w:t>ivenso-Džonso sindromas</w:t>
      </w:r>
      <w:r w:rsidRPr="00677EC4">
        <w:rPr>
          <w:spacing w:val="-4"/>
          <w:sz w:val="22"/>
          <w:szCs w:val="22"/>
        </w:rPr>
        <w:t xml:space="preserve"> </w:t>
      </w:r>
      <w:r w:rsidRPr="00677EC4">
        <w:rPr>
          <w:sz w:val="22"/>
          <w:szCs w:val="22"/>
        </w:rPr>
        <w:t>(SJS),</w:t>
      </w:r>
      <w:r w:rsidRPr="00677EC4">
        <w:rPr>
          <w:spacing w:val="-3"/>
          <w:sz w:val="22"/>
          <w:szCs w:val="22"/>
        </w:rPr>
        <w:t xml:space="preserve"> </w:t>
      </w:r>
      <w:r>
        <w:rPr>
          <w:spacing w:val="-3"/>
          <w:sz w:val="22"/>
          <w:szCs w:val="22"/>
        </w:rPr>
        <w:t>plačiai išplitęs bėrimas su pūslėmis ir odos lupimusi</w:t>
      </w:r>
      <w:r w:rsidRPr="00677EC4">
        <w:rPr>
          <w:sz w:val="22"/>
          <w:szCs w:val="22"/>
        </w:rPr>
        <w:t>,</w:t>
      </w:r>
      <w:r>
        <w:rPr>
          <w:sz w:val="22"/>
          <w:szCs w:val="22"/>
        </w:rPr>
        <w:t xml:space="preserve"> ypač aplink burną, nosį, akis ir genitalijas;</w:t>
      </w:r>
    </w:p>
    <w:p w14:paraId="4866C430" w14:textId="77777777" w:rsidR="00811B8D" w:rsidRPr="00677EC4" w:rsidRDefault="00811B8D" w:rsidP="00811B8D">
      <w:pPr>
        <w:pStyle w:val="Pagrindinistekstas"/>
        <w:widowControl w:val="0"/>
        <w:numPr>
          <w:ilvl w:val="1"/>
          <w:numId w:val="31"/>
        </w:numPr>
        <w:tabs>
          <w:tab w:val="left" w:pos="833"/>
        </w:tabs>
        <w:spacing w:before="1" w:after="0" w:line="260" w:lineRule="exact"/>
        <w:ind w:right="280"/>
        <w:rPr>
          <w:sz w:val="22"/>
          <w:szCs w:val="22"/>
        </w:rPr>
      </w:pPr>
      <w:r>
        <w:rPr>
          <w:sz w:val="22"/>
          <w:szCs w:val="22"/>
        </w:rPr>
        <w:t>toksinė epidermio nekrolizė (</w:t>
      </w:r>
      <w:r w:rsidRPr="00677EC4">
        <w:rPr>
          <w:spacing w:val="-1"/>
          <w:sz w:val="22"/>
          <w:szCs w:val="22"/>
        </w:rPr>
        <w:t>TEN),</w:t>
      </w:r>
      <w:r w:rsidRPr="00677EC4">
        <w:rPr>
          <w:spacing w:val="-3"/>
          <w:sz w:val="22"/>
          <w:szCs w:val="22"/>
        </w:rPr>
        <w:t xml:space="preserve"> </w:t>
      </w:r>
      <w:r>
        <w:rPr>
          <w:spacing w:val="-3"/>
          <w:sz w:val="22"/>
          <w:szCs w:val="22"/>
        </w:rPr>
        <w:t>sunkesnė forma, sukelianti didelės apimties odos lupimąsi;</w:t>
      </w:r>
    </w:p>
    <w:p w14:paraId="29814892" w14:textId="7E4E5137" w:rsidR="00811B8D" w:rsidRPr="00013F36" w:rsidRDefault="00811B8D" w:rsidP="00811B8D">
      <w:pPr>
        <w:pStyle w:val="Pagrindinistekstas"/>
        <w:widowControl w:val="0"/>
        <w:numPr>
          <w:ilvl w:val="1"/>
          <w:numId w:val="31"/>
        </w:numPr>
        <w:tabs>
          <w:tab w:val="left" w:pos="833"/>
        </w:tabs>
        <w:spacing w:after="0" w:line="252" w:lineRule="exact"/>
        <w:rPr>
          <w:sz w:val="22"/>
          <w:szCs w:val="22"/>
        </w:rPr>
      </w:pPr>
      <w:r>
        <w:rPr>
          <w:sz w:val="22"/>
          <w:szCs w:val="22"/>
        </w:rPr>
        <w:t xml:space="preserve">vaisto sukelta reakcija su eozinofilija ir sisteminiais simptomais </w:t>
      </w:r>
      <w:r w:rsidRPr="00677EC4">
        <w:rPr>
          <w:spacing w:val="-1"/>
          <w:sz w:val="22"/>
          <w:szCs w:val="22"/>
        </w:rPr>
        <w:t>(DRESS)</w:t>
      </w:r>
      <w:r>
        <w:rPr>
          <w:spacing w:val="-1"/>
          <w:sz w:val="22"/>
          <w:szCs w:val="22"/>
        </w:rPr>
        <w:t>, pasireiškianti į gripą panašiais simptomais su bėrimu, karščiavimu, patinusiomis liaukomis ir kraujo tyrimų rodmenų pokyčiais</w:t>
      </w:r>
      <w:r w:rsidRPr="00677EC4">
        <w:rPr>
          <w:spacing w:val="-4"/>
          <w:sz w:val="22"/>
          <w:szCs w:val="22"/>
        </w:rPr>
        <w:t xml:space="preserve"> </w:t>
      </w:r>
      <w:r w:rsidRPr="00677EC4">
        <w:rPr>
          <w:spacing w:val="-1"/>
          <w:sz w:val="22"/>
          <w:szCs w:val="22"/>
        </w:rPr>
        <w:t>(</w:t>
      </w:r>
      <w:r>
        <w:rPr>
          <w:spacing w:val="-1"/>
          <w:sz w:val="22"/>
          <w:szCs w:val="22"/>
        </w:rPr>
        <w:t xml:space="preserve">įskaitant padidėjusį leukocitų </w:t>
      </w:r>
      <w:r w:rsidRPr="005D40A4">
        <w:rPr>
          <w:spacing w:val="-1"/>
          <w:sz w:val="22"/>
          <w:szCs w:val="22"/>
        </w:rPr>
        <w:t>(eoz</w:t>
      </w:r>
      <w:r w:rsidRPr="00677EC4">
        <w:rPr>
          <w:spacing w:val="-1"/>
          <w:sz w:val="22"/>
          <w:szCs w:val="22"/>
        </w:rPr>
        <w:t>ino</w:t>
      </w:r>
      <w:r>
        <w:rPr>
          <w:spacing w:val="-1"/>
          <w:sz w:val="22"/>
          <w:szCs w:val="22"/>
        </w:rPr>
        <w:t>filija</w:t>
      </w:r>
      <w:r w:rsidRPr="00677EC4">
        <w:rPr>
          <w:spacing w:val="-1"/>
          <w:sz w:val="22"/>
          <w:szCs w:val="22"/>
        </w:rPr>
        <w:t>)</w:t>
      </w:r>
      <w:r w:rsidRPr="00677EC4">
        <w:rPr>
          <w:spacing w:val="-6"/>
          <w:sz w:val="22"/>
          <w:szCs w:val="22"/>
        </w:rPr>
        <w:t xml:space="preserve"> </w:t>
      </w:r>
      <w:r>
        <w:rPr>
          <w:spacing w:val="-6"/>
          <w:sz w:val="22"/>
          <w:szCs w:val="22"/>
        </w:rPr>
        <w:t xml:space="preserve">kiekį ir kepenų fermentų </w:t>
      </w:r>
      <w:r>
        <w:rPr>
          <w:spacing w:val="-1"/>
          <w:sz w:val="22"/>
          <w:szCs w:val="22"/>
        </w:rPr>
        <w:t>aktyvumą</w:t>
      </w:r>
      <w:r w:rsidRPr="00677EC4">
        <w:rPr>
          <w:spacing w:val="-1"/>
          <w:sz w:val="22"/>
          <w:szCs w:val="22"/>
        </w:rPr>
        <w:t>)</w:t>
      </w:r>
      <w:r w:rsidR="00325865">
        <w:rPr>
          <w:spacing w:val="-1"/>
          <w:sz w:val="22"/>
          <w:szCs w:val="22"/>
        </w:rPr>
        <w:t>;</w:t>
      </w:r>
    </w:p>
    <w:p w14:paraId="2222EA98" w14:textId="3DF1547D" w:rsidR="00325865" w:rsidRPr="00013F36" w:rsidRDefault="00325865" w:rsidP="00811B8D">
      <w:pPr>
        <w:pStyle w:val="Pagrindinistekstas"/>
        <w:widowControl w:val="0"/>
        <w:numPr>
          <w:ilvl w:val="1"/>
          <w:numId w:val="31"/>
        </w:numPr>
        <w:tabs>
          <w:tab w:val="left" w:pos="833"/>
        </w:tabs>
        <w:spacing w:after="0" w:line="252" w:lineRule="exact"/>
        <w:rPr>
          <w:sz w:val="22"/>
          <w:szCs w:val="22"/>
        </w:rPr>
      </w:pPr>
      <w:bookmarkStart w:id="22" w:name="_Hlk161351713"/>
      <w:r w:rsidRPr="00013F36">
        <w:rPr>
          <w:sz w:val="22"/>
          <w:szCs w:val="22"/>
        </w:rPr>
        <w:t>ūminė generalizuotą egzanteminė pustuliozė (AGEP), mažos pūslelės, pripildytos pūlių;</w:t>
      </w:r>
    </w:p>
    <w:p w14:paraId="659B1C9C" w14:textId="64A29CAF" w:rsidR="00325865" w:rsidRPr="00013F36" w:rsidRDefault="001319ED" w:rsidP="00811B8D">
      <w:pPr>
        <w:pStyle w:val="Pagrindinistekstas"/>
        <w:widowControl w:val="0"/>
        <w:numPr>
          <w:ilvl w:val="1"/>
          <w:numId w:val="31"/>
        </w:numPr>
        <w:tabs>
          <w:tab w:val="left" w:pos="833"/>
        </w:tabs>
        <w:spacing w:after="0" w:line="252" w:lineRule="exact"/>
        <w:rPr>
          <w:sz w:val="22"/>
          <w:szCs w:val="22"/>
        </w:rPr>
      </w:pPr>
      <w:r w:rsidRPr="00013F36">
        <w:rPr>
          <w:sz w:val="22"/>
          <w:szCs w:val="22"/>
        </w:rPr>
        <w:t xml:space="preserve">daugiaformė </w:t>
      </w:r>
      <w:r w:rsidR="00325865" w:rsidRPr="00013F36">
        <w:rPr>
          <w:sz w:val="22"/>
          <w:szCs w:val="22"/>
        </w:rPr>
        <w:t>eritema (</w:t>
      </w:r>
      <w:r w:rsidR="0066448C">
        <w:rPr>
          <w:sz w:val="22"/>
          <w:szCs w:val="22"/>
        </w:rPr>
        <w:t>DE</w:t>
      </w:r>
      <w:r w:rsidR="00325865" w:rsidRPr="00013F36">
        <w:rPr>
          <w:sz w:val="22"/>
          <w:szCs w:val="22"/>
        </w:rPr>
        <w:t>), odos išbėrimas su niežtinčiomis raudonomis netaisyklingomis dėmėmis.</w:t>
      </w:r>
    </w:p>
    <w:bookmarkEnd w:id="22"/>
    <w:p w14:paraId="3EE4FCF7" w14:textId="77777777" w:rsidR="00811B8D" w:rsidRPr="008A351A" w:rsidRDefault="00811B8D" w:rsidP="009501EF">
      <w:pPr>
        <w:tabs>
          <w:tab w:val="left" w:pos="567"/>
        </w:tabs>
        <w:autoSpaceDE w:val="0"/>
        <w:autoSpaceDN w:val="0"/>
        <w:adjustRightInd w:val="0"/>
        <w:spacing w:after="0" w:line="240" w:lineRule="auto"/>
        <w:rPr>
          <w:rFonts w:ascii="Times New Roman" w:eastAsia="Times New Roman" w:hAnsi="Times New Roman" w:cs="Times New Roman"/>
        </w:rPr>
      </w:pPr>
    </w:p>
    <w:p w14:paraId="74F5371A" w14:textId="213A5B48" w:rsidR="00702AFB" w:rsidRPr="008A351A" w:rsidRDefault="00702AFB" w:rsidP="009328DF">
      <w:pPr>
        <w:spacing w:after="0" w:line="240" w:lineRule="auto"/>
        <w:rPr>
          <w:rFonts w:ascii="Times New Roman" w:hAnsi="Times New Roman" w:cs="Times New Roman"/>
          <w:lang w:eastAsia="en-GB"/>
        </w:rPr>
      </w:pPr>
      <w:r w:rsidRPr="008A351A">
        <w:rPr>
          <w:rFonts w:ascii="Times New Roman" w:hAnsi="Times New Roman"/>
        </w:rPr>
        <w:t>Jei Jums pasireikštų šių simptomų, nutraukite kvetiapino vartojimą ir nedelsdami kreipkitės į savo gydytoją arba medicininės pagalbos</w:t>
      </w:r>
      <w:r w:rsidRPr="008A351A">
        <w:rPr>
          <w:rFonts w:ascii="Times New Roman" w:eastAsia="Times New Roman" w:hAnsi="Times New Roman" w:cs="Times New Roman"/>
        </w:rPr>
        <w:t>.</w:t>
      </w:r>
    </w:p>
    <w:p w14:paraId="7E4FD64E" w14:textId="77777777" w:rsidR="00702AFB" w:rsidRPr="008A351A" w:rsidRDefault="00702AFB" w:rsidP="009501EF">
      <w:pPr>
        <w:tabs>
          <w:tab w:val="left" w:pos="567"/>
        </w:tabs>
        <w:autoSpaceDE w:val="0"/>
        <w:autoSpaceDN w:val="0"/>
        <w:adjustRightInd w:val="0"/>
        <w:spacing w:after="0" w:line="240" w:lineRule="auto"/>
        <w:rPr>
          <w:rFonts w:ascii="Times New Roman" w:eastAsia="Times New Roman" w:hAnsi="Times New Roman" w:cs="Times New Roman"/>
        </w:rPr>
      </w:pPr>
    </w:p>
    <w:p w14:paraId="57DD63E6" w14:textId="77777777" w:rsidR="009501EF" w:rsidRPr="008A351A" w:rsidRDefault="009501EF" w:rsidP="009501EF">
      <w:pPr>
        <w:tabs>
          <w:tab w:val="left" w:pos="567"/>
        </w:tabs>
        <w:autoSpaceDE w:val="0"/>
        <w:autoSpaceDN w:val="0"/>
        <w:adjustRightInd w:val="0"/>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Svorio augimas</w:t>
      </w:r>
    </w:p>
    <w:p w14:paraId="634E483E" w14:textId="77777777" w:rsidR="009501EF" w:rsidRPr="008A351A" w:rsidRDefault="009501EF" w:rsidP="009501EF">
      <w:pPr>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Tarp pacientų, geriančių kvetiapiną, buvo pastebėtas svorio augimas. Jūs ir gydytojas privalote reguliariai tikrinti svorį.</w:t>
      </w:r>
    </w:p>
    <w:p w14:paraId="4D365C9F" w14:textId="77777777" w:rsidR="009501EF" w:rsidRPr="008A351A" w:rsidRDefault="009501EF" w:rsidP="009501EF">
      <w:pPr>
        <w:tabs>
          <w:tab w:val="left" w:pos="567"/>
        </w:tabs>
        <w:autoSpaceDE w:val="0"/>
        <w:autoSpaceDN w:val="0"/>
        <w:adjustRightInd w:val="0"/>
        <w:spacing w:after="0" w:line="240" w:lineRule="auto"/>
        <w:rPr>
          <w:rFonts w:ascii="Times New Roman" w:eastAsia="Times New Roman" w:hAnsi="Times New Roman" w:cs="Times New Roman"/>
        </w:rPr>
      </w:pPr>
    </w:p>
    <w:p w14:paraId="398C2165" w14:textId="77777777" w:rsidR="009501EF" w:rsidRPr="008A351A" w:rsidRDefault="009501EF" w:rsidP="009501EF">
      <w:pPr>
        <w:tabs>
          <w:tab w:val="left" w:pos="567"/>
        </w:tabs>
        <w:autoSpaceDE w:val="0"/>
        <w:autoSpaceDN w:val="0"/>
        <w:adjustRightInd w:val="0"/>
        <w:spacing w:after="0" w:line="240" w:lineRule="auto"/>
        <w:rPr>
          <w:rFonts w:ascii="Times New Roman" w:hAnsi="Times New Roman" w:cs="Times New Roman"/>
          <w:b/>
        </w:rPr>
      </w:pPr>
      <w:r w:rsidRPr="008A351A">
        <w:rPr>
          <w:rFonts w:ascii="Times New Roman" w:hAnsi="Times New Roman" w:cs="Times New Roman"/>
          <w:b/>
        </w:rPr>
        <w:t>Vaikai ir paaugliai</w:t>
      </w:r>
    </w:p>
    <w:p w14:paraId="4FE9ED2B" w14:textId="77777777" w:rsidR="009501EF" w:rsidRPr="008A351A" w:rsidRDefault="009501EF" w:rsidP="009501EF">
      <w:pPr>
        <w:tabs>
          <w:tab w:val="left" w:pos="567"/>
        </w:tabs>
        <w:autoSpaceDE w:val="0"/>
        <w:autoSpaceDN w:val="0"/>
        <w:adjustRightInd w:val="0"/>
        <w:spacing w:after="0" w:line="240" w:lineRule="auto"/>
        <w:rPr>
          <w:rFonts w:ascii="Times New Roman" w:eastAsia="Times New Roman" w:hAnsi="Times New Roman" w:cs="Times New Roman"/>
        </w:rPr>
      </w:pPr>
      <w:r w:rsidRPr="008A351A">
        <w:rPr>
          <w:rFonts w:ascii="Times New Roman" w:eastAsia="Times New Roman" w:hAnsi="Times New Roman" w:cs="Times New Roman"/>
          <w:bCs/>
        </w:rPr>
        <w:t>Quetiapine Accord nėra skirti jaunesniems kaip 18 metų vaikams ir paaugliams</w:t>
      </w:r>
      <w:r w:rsidRPr="008A351A">
        <w:rPr>
          <w:rFonts w:ascii="Times New Roman" w:hAnsi="Times New Roman" w:cs="Times New Roman"/>
        </w:rPr>
        <w:t>.</w:t>
      </w:r>
    </w:p>
    <w:p w14:paraId="5C3C5D6A" w14:textId="77777777" w:rsidR="009501EF" w:rsidRPr="008A351A" w:rsidRDefault="009501EF" w:rsidP="009501EF">
      <w:pPr>
        <w:tabs>
          <w:tab w:val="left" w:pos="360"/>
          <w:tab w:val="left" w:pos="567"/>
        </w:tabs>
        <w:spacing w:after="0" w:line="240" w:lineRule="auto"/>
        <w:rPr>
          <w:rFonts w:ascii="Times New Roman" w:hAnsi="Times New Roman" w:cs="Times New Roman"/>
        </w:rPr>
      </w:pPr>
    </w:p>
    <w:p w14:paraId="12D8A0B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Kiti vaistai ir Quetiapine Accord</w:t>
      </w:r>
    </w:p>
    <w:p w14:paraId="1B99A9C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vartojate</w:t>
      </w:r>
      <w:r w:rsidR="005B376C" w:rsidRPr="008A351A">
        <w:rPr>
          <w:rFonts w:ascii="Times New Roman" w:eastAsia="Times New Roman" w:hAnsi="Times New Roman" w:cs="Times New Roman"/>
        </w:rPr>
        <w:t>,</w:t>
      </w:r>
      <w:r w:rsidRPr="008A351A">
        <w:rPr>
          <w:rFonts w:ascii="Times New Roman" w:eastAsia="Times New Roman" w:hAnsi="Times New Roman" w:cs="Times New Roman"/>
        </w:rPr>
        <w:t xml:space="preserve"> neseniai vartojote kitų vaistų arba dėl to nesate tikri, apie tai pasakykite gydytojui.  </w:t>
      </w:r>
    </w:p>
    <w:p w14:paraId="7113EED8"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u w:val="single"/>
        </w:rPr>
      </w:pPr>
    </w:p>
    <w:p w14:paraId="24BEB85A"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Quetiapine Accord vartoti negalima,</w:t>
      </w:r>
      <w:r w:rsidRPr="008A351A" w:rsidDel="000B6ECE">
        <w:rPr>
          <w:rFonts w:ascii="Times New Roman" w:eastAsia="Times New Roman" w:hAnsi="Times New Roman" w:cs="Times New Roman"/>
        </w:rPr>
        <w:t xml:space="preserve"> </w:t>
      </w:r>
      <w:r w:rsidRPr="008A351A">
        <w:rPr>
          <w:rFonts w:ascii="Times New Roman" w:eastAsia="Times New Roman" w:hAnsi="Times New Roman" w:cs="Times New Roman"/>
        </w:rPr>
        <w:t>jeigu vartojate bent vieną iš šių vaistų:</w:t>
      </w:r>
    </w:p>
    <w:p w14:paraId="43B30D1E"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kai kurių vaistų nuo ŽIV;</w:t>
      </w:r>
    </w:p>
    <w:p w14:paraId="470B091F"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azolo grupės vaistų (nuo grybelinių infekcinių ligų);</w:t>
      </w:r>
    </w:p>
    <w:p w14:paraId="0D69C035"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eritromicino arba klaritromicino (antibiotikų);</w:t>
      </w:r>
    </w:p>
    <w:p w14:paraId="2CFF71D8"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 xml:space="preserve">nefazodono (vaisto nuo depresijos). </w:t>
      </w:r>
    </w:p>
    <w:p w14:paraId="5EBF34F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6860159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vartojate bent vieną iš toliau išvardytų vaistų, pasakykite gydytojui:</w:t>
      </w:r>
    </w:p>
    <w:p w14:paraId="49281EB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vaistų epilepsijai gydyti (pavyzdžiui, fenitoino arba karbamazepino);</w:t>
      </w:r>
    </w:p>
    <w:p w14:paraId="233001F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vaistų aukšto kraujospūdžio ligai gydyti;</w:t>
      </w:r>
    </w:p>
    <w:p w14:paraId="03C746C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barbitūratų (vaistų miego sutikimams gydyti);</w:t>
      </w:r>
    </w:p>
    <w:p w14:paraId="0EF2298A"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tioridazino arba ličio (kit</w:t>
      </w:r>
      <w:r w:rsidR="004C434A" w:rsidRPr="008A351A">
        <w:rPr>
          <w:rFonts w:ascii="Times New Roman" w:eastAsia="Times New Roman" w:hAnsi="Times New Roman" w:cs="Times New Roman"/>
        </w:rPr>
        <w:t>ų</w:t>
      </w:r>
      <w:r w:rsidRPr="008A351A">
        <w:rPr>
          <w:rFonts w:ascii="Times New Roman" w:eastAsia="Times New Roman" w:hAnsi="Times New Roman" w:cs="Times New Roman"/>
        </w:rPr>
        <w:t xml:space="preserve"> vaist</w:t>
      </w:r>
      <w:r w:rsidR="004C434A" w:rsidRPr="008A351A">
        <w:rPr>
          <w:rFonts w:ascii="Times New Roman" w:eastAsia="Times New Roman" w:hAnsi="Times New Roman" w:cs="Times New Roman"/>
        </w:rPr>
        <w:t>ų</w:t>
      </w:r>
      <w:r w:rsidRPr="008A351A">
        <w:rPr>
          <w:rFonts w:ascii="Times New Roman" w:eastAsia="Times New Roman" w:hAnsi="Times New Roman" w:cs="Times New Roman"/>
        </w:rPr>
        <w:t xml:space="preserve"> nuo psichozės);</w:t>
      </w:r>
    </w:p>
    <w:p w14:paraId="7B305B49"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lastRenderedPageBreak/>
        <w:sym w:font="Symbol" w:char="F0B7"/>
      </w:r>
      <w:r w:rsidRPr="008A351A">
        <w:rPr>
          <w:rFonts w:ascii="Times New Roman" w:eastAsia="Times New Roman" w:hAnsi="Times New Roman" w:cs="Times New Roman"/>
        </w:rPr>
        <w:tab/>
        <w:t>vaistai, kurie veikia širdies plakimą, pavyzdžiui vaistai, kurie sukuria elektrolitų disbalansą (mažas kalio arba magnio kiekis) – pavyzdžiui, diuretikų (šlapimą varančių vaistų) arba tam tikrų antibiotikų (vaistų, skirtų gydyti infekcijas);</w:t>
      </w:r>
    </w:p>
    <w:p w14:paraId="092AFCA7"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vaistų, galinčių sukelti vidurių užkietėjimą;</w:t>
      </w:r>
    </w:p>
    <w:p w14:paraId="09B6AB9A" w14:textId="77777777" w:rsidR="0044443B"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vaistų (anticholinerginių), veikiančių nervų ląstelės veikimo būdą, kai reikia gydyti tam tikrus sveikatos sutrikimus</w:t>
      </w:r>
      <w:r w:rsidR="0044443B">
        <w:rPr>
          <w:rFonts w:ascii="Times New Roman" w:eastAsia="Times New Roman" w:hAnsi="Times New Roman" w:cs="Times New Roman"/>
        </w:rPr>
        <w:t>;</w:t>
      </w:r>
    </w:p>
    <w:p w14:paraId="512B5355" w14:textId="4DF67AA4" w:rsidR="009501EF" w:rsidRPr="006D4537" w:rsidRDefault="006D4537" w:rsidP="002B4CAC">
      <w:pPr>
        <w:numPr>
          <w:ilvl w:val="0"/>
          <w:numId w:val="12"/>
        </w:numPr>
        <w:spacing w:after="0" w:line="240" w:lineRule="auto"/>
        <w:ind w:left="567" w:hanging="567"/>
        <w:contextualSpacing/>
        <w:rPr>
          <w:rFonts w:ascii="Times New Roman" w:eastAsia="Times New Roman" w:hAnsi="Times New Roman" w:cs="Times New Roman"/>
        </w:rPr>
      </w:pPr>
      <w:r w:rsidRPr="006D4537">
        <w:rPr>
          <w:rFonts w:ascii="Times New Roman" w:eastAsia="Times New Roman" w:hAnsi="Times New Roman" w:cs="Times New Roman"/>
        </w:rPr>
        <w:t>antidepresant</w:t>
      </w:r>
      <w:r w:rsidR="00E67128">
        <w:rPr>
          <w:rFonts w:ascii="Times New Roman" w:eastAsia="Times New Roman" w:hAnsi="Times New Roman" w:cs="Times New Roman"/>
        </w:rPr>
        <w:t>ų</w:t>
      </w:r>
      <w:r w:rsidRPr="006D4537">
        <w:rPr>
          <w:rFonts w:ascii="Times New Roman" w:eastAsia="Times New Roman" w:hAnsi="Times New Roman" w:cs="Times New Roman"/>
        </w:rPr>
        <w:t>. Šie vaistai gali sąveikauti su</w:t>
      </w:r>
      <w:r w:rsidR="00485152">
        <w:rPr>
          <w:rFonts w:ascii="Times New Roman" w:eastAsia="Times New Roman" w:hAnsi="Times New Roman" w:cs="Times New Roman"/>
        </w:rPr>
        <w:t xml:space="preserve"> </w:t>
      </w:r>
      <w:r w:rsidR="00485152" w:rsidRPr="008A351A">
        <w:rPr>
          <w:rFonts w:ascii="Times New Roman" w:eastAsia="Times New Roman" w:hAnsi="Times New Roman" w:cs="Times New Roman"/>
        </w:rPr>
        <w:t>Quetiapine Accord</w:t>
      </w:r>
      <w:r w:rsidRPr="006D4537">
        <w:rPr>
          <w:rFonts w:ascii="Times New Roman" w:eastAsia="Times New Roman" w:hAnsi="Times New Roman" w:cs="Times New Roman"/>
        </w:rPr>
        <w:t>,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r w:rsidR="009501EF" w:rsidRPr="006D4537">
        <w:rPr>
          <w:rFonts w:ascii="Times New Roman" w:eastAsia="Times New Roman" w:hAnsi="Times New Roman" w:cs="Times New Roman"/>
        </w:rPr>
        <w:t>.</w:t>
      </w:r>
    </w:p>
    <w:p w14:paraId="0628B45B"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629BBDAE"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Prieš nutraukiant bet kurio iš Jūsų vaistų vartojimą, prašome, pirma pasitarti su gydytoju.</w:t>
      </w:r>
    </w:p>
    <w:p w14:paraId="0BC8A60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2B9586DA"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Quetiapine Accord vartojimas su maistu, gėrimais ir alkoholiu</w:t>
      </w:r>
    </w:p>
    <w:p w14:paraId="226310CB" w14:textId="77777777" w:rsidR="009501EF" w:rsidRPr="008A351A" w:rsidRDefault="009501EF" w:rsidP="009501EF">
      <w:pPr>
        <w:numPr>
          <w:ilvl w:val="0"/>
          <w:numId w:val="12"/>
        </w:numPr>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Quetiapine Accord tabletes galima vartoti su maistu ar be jo;</w:t>
      </w:r>
    </w:p>
    <w:p w14:paraId="4D880D0B" w14:textId="77777777" w:rsidR="009501EF" w:rsidRPr="008A351A" w:rsidRDefault="009501EF" w:rsidP="009501EF">
      <w:pPr>
        <w:numPr>
          <w:ilvl w:val="0"/>
          <w:numId w:val="12"/>
        </w:numPr>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saikingai vartokite alkoholį. Kartu vartojant Quetiapine Accord ir alkoholį, galite tapti mieguistas;</w:t>
      </w:r>
    </w:p>
    <w:p w14:paraId="77693BE7" w14:textId="77777777" w:rsidR="009501EF" w:rsidRPr="008A351A" w:rsidRDefault="009501EF" w:rsidP="009501EF">
      <w:pPr>
        <w:tabs>
          <w:tab w:val="left" w:pos="851"/>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negerkite greipfrutų sulčių, kol vartojate Quetiapine Accord. Jos gali pakeisti vaisto poveikį.</w:t>
      </w:r>
    </w:p>
    <w:p w14:paraId="1B2C161D" w14:textId="77777777" w:rsidR="009501EF" w:rsidRPr="008A351A" w:rsidRDefault="009501EF" w:rsidP="009501EF">
      <w:pPr>
        <w:tabs>
          <w:tab w:val="left" w:pos="851"/>
        </w:tabs>
        <w:spacing w:after="0" w:line="240" w:lineRule="auto"/>
        <w:rPr>
          <w:rFonts w:ascii="Times New Roman" w:eastAsia="Times New Roman" w:hAnsi="Times New Roman" w:cs="Times New Roman"/>
        </w:rPr>
      </w:pPr>
    </w:p>
    <w:p w14:paraId="0559207E" w14:textId="77777777" w:rsidR="009501EF" w:rsidRPr="008A351A" w:rsidRDefault="009501EF" w:rsidP="004A2FE7">
      <w:pPr>
        <w:keepNext/>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Nėštumas ir žindymo laikotarpis</w:t>
      </w:r>
    </w:p>
    <w:p w14:paraId="47403FF7" w14:textId="77777777" w:rsidR="009501EF" w:rsidRPr="008A351A" w:rsidRDefault="009501EF" w:rsidP="004A2FE7">
      <w:pPr>
        <w:keepNext/>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esate nėščia</w:t>
      </w:r>
      <w:r w:rsidR="009328DF" w:rsidRPr="008A351A">
        <w:rPr>
          <w:rFonts w:ascii="Times New Roman" w:eastAsia="Times New Roman" w:hAnsi="Times New Roman" w:cs="Times New Roman"/>
        </w:rPr>
        <w:t>,</w:t>
      </w:r>
      <w:r w:rsidRPr="008A351A">
        <w:rPr>
          <w:rFonts w:ascii="Times New Roman" w:eastAsia="Times New Roman" w:hAnsi="Times New Roman" w:cs="Times New Roman"/>
        </w:rPr>
        <w:t xml:space="preserve"> žindote kūdikį, manote, kad galbūt esate nėščia arba planuojate pastoti, tai prieš vartodama šį vaistą pasitarkite su gydytoju. Nėštumo metu nereikėtų vartoti Quetiapine Accord nepasitarus su gydytoju. Quetiapine Accord negalima vartoti žindant kūdikį.</w:t>
      </w:r>
    </w:p>
    <w:p w14:paraId="06E2B76F" w14:textId="77777777" w:rsidR="009501EF" w:rsidRPr="008A351A" w:rsidRDefault="009501EF" w:rsidP="004A2FE7">
      <w:pPr>
        <w:keepNext/>
        <w:tabs>
          <w:tab w:val="left" w:pos="360"/>
          <w:tab w:val="left" w:pos="567"/>
        </w:tabs>
        <w:spacing w:after="0" w:line="240" w:lineRule="auto"/>
        <w:rPr>
          <w:rFonts w:ascii="Times New Roman" w:eastAsia="Times New Roman" w:hAnsi="Times New Roman" w:cs="Times New Roman"/>
        </w:rPr>
      </w:pPr>
    </w:p>
    <w:p w14:paraId="42A3C27D" w14:textId="77777777" w:rsidR="009501EF" w:rsidRPr="008A351A" w:rsidRDefault="009501EF" w:rsidP="004A2FE7">
      <w:pPr>
        <w:keepNext/>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Naujagimiams, kurių motinos paskutinio nėštumo trimestro metu (per paskutinius tris nėštumo mėnesius) vartojo kvetiapiną, gali kilti tokie simptomai, kuriuos gali sukelti vaisto vartojimo nutraukimas: drebėjimas, raumenų sukietėjimas ir</w:t>
      </w:r>
      <w:r w:rsidR="009328DF" w:rsidRPr="008A351A">
        <w:rPr>
          <w:rFonts w:ascii="Times New Roman" w:eastAsia="Times New Roman" w:hAnsi="Times New Roman" w:cs="Times New Roman"/>
        </w:rPr>
        <w:t xml:space="preserve"> (</w:t>
      </w:r>
      <w:r w:rsidRPr="008A351A">
        <w:rPr>
          <w:rFonts w:ascii="Times New Roman" w:eastAsia="Times New Roman" w:hAnsi="Times New Roman" w:cs="Times New Roman"/>
        </w:rPr>
        <w:t>arba</w:t>
      </w:r>
      <w:r w:rsidR="009328DF" w:rsidRPr="008A351A">
        <w:rPr>
          <w:rFonts w:ascii="Times New Roman" w:eastAsia="Times New Roman" w:hAnsi="Times New Roman" w:cs="Times New Roman"/>
        </w:rPr>
        <w:t>)</w:t>
      </w:r>
      <w:r w:rsidRPr="008A351A">
        <w:rPr>
          <w:rFonts w:ascii="Times New Roman" w:eastAsia="Times New Roman" w:hAnsi="Times New Roman" w:cs="Times New Roman"/>
        </w:rPr>
        <w:t xml:space="preserve"> silpnumas, mieguistumas, ažitacija, kvėpavimo problemos ir sunkumai maitinantis. Jei kūdikiui pasirodo kuris nors iš šių simptomų, jums gali reikėti kreiptis į gydytoją. </w:t>
      </w:r>
    </w:p>
    <w:p w14:paraId="1F6912D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1D04D5B7"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Nėštumo metu Quetiapine Accord vartoti negalima, nebent tai būsite aptarę su gydytoju.</w:t>
      </w:r>
    </w:p>
    <w:p w14:paraId="5D87A0E0"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žindote, Quetiapine Accord vartoti negalima.</w:t>
      </w:r>
    </w:p>
    <w:p w14:paraId="3733919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5064E3A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Vairavimas ir mechanizmų valdymas</w:t>
      </w:r>
    </w:p>
    <w:p w14:paraId="497E9EC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Šios tabletės gali sukelti mieguistumą. Kol nežinote, koks bus tablečių poveikis, vairuoti arba naudoti įrankių ir valdyti mechanizmus negalima.</w:t>
      </w:r>
    </w:p>
    <w:p w14:paraId="199D8CEA"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4C3399F7"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hAnsi="Times New Roman" w:cs="Times New Roman"/>
          <w:b/>
        </w:rPr>
        <w:t>Quetiapine Accord sudėtyje yra laktozės</w:t>
      </w:r>
    </w:p>
    <w:p w14:paraId="72A671F8" w14:textId="584FC7EF"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Quetiapine Accord sudėtyje yra tam tikros rūšies cukraus – </w:t>
      </w:r>
      <w:r w:rsidRPr="00EA5D4E">
        <w:rPr>
          <w:rFonts w:ascii="Times New Roman" w:eastAsia="Times New Roman" w:hAnsi="Times New Roman" w:cs="Times New Roman"/>
        </w:rPr>
        <w:t>laktozės</w:t>
      </w:r>
      <w:r w:rsidRPr="008A351A">
        <w:rPr>
          <w:rFonts w:ascii="Times New Roman" w:eastAsia="Times New Roman" w:hAnsi="Times New Roman" w:cs="Times New Roman"/>
        </w:rPr>
        <w:t xml:space="preserve">. Jeigu gydytojas Jums yra sakęs, kad netoleruojate kokių nors angliavandenių, </w:t>
      </w:r>
      <w:r w:rsidR="00325865" w:rsidRPr="00325865">
        <w:rPr>
          <w:rFonts w:ascii="Times New Roman" w:eastAsia="Times New Roman" w:hAnsi="Times New Roman" w:cs="Times New Roman"/>
        </w:rPr>
        <w:t xml:space="preserve">kreipkitės į jį </w:t>
      </w:r>
      <w:r w:rsidRPr="008A351A">
        <w:rPr>
          <w:rFonts w:ascii="Times New Roman" w:eastAsia="Times New Roman" w:hAnsi="Times New Roman" w:cs="Times New Roman"/>
        </w:rPr>
        <w:t>prieš pradėdami vartoti šį vaistą.</w:t>
      </w:r>
    </w:p>
    <w:p w14:paraId="766F1DBE" w14:textId="0102ADC8" w:rsidR="009501EF" w:rsidRDefault="009501EF" w:rsidP="009501EF">
      <w:pPr>
        <w:tabs>
          <w:tab w:val="left" w:pos="360"/>
          <w:tab w:val="left" w:pos="567"/>
        </w:tabs>
        <w:spacing w:after="0" w:line="240" w:lineRule="auto"/>
        <w:rPr>
          <w:rFonts w:ascii="Times New Roman" w:eastAsia="Times New Roman" w:hAnsi="Times New Roman" w:cs="Times New Roman"/>
        </w:rPr>
      </w:pPr>
    </w:p>
    <w:p w14:paraId="259FCA07" w14:textId="2ED8D3C3" w:rsidR="00811B8D" w:rsidRPr="00EA5D4E" w:rsidRDefault="00811B8D" w:rsidP="00811B8D">
      <w:pPr>
        <w:tabs>
          <w:tab w:val="left" w:pos="567"/>
        </w:tabs>
        <w:spacing w:after="0" w:line="240" w:lineRule="auto"/>
        <w:rPr>
          <w:rFonts w:ascii="Times New Roman" w:eastAsia="Times New Roman" w:hAnsi="Times New Roman" w:cs="Times New Roman"/>
          <w:b/>
          <w:bCs/>
          <w:iCs/>
        </w:rPr>
      </w:pPr>
      <w:r w:rsidRPr="00EA5D4E">
        <w:rPr>
          <w:rFonts w:ascii="Times New Roman" w:eastAsia="Times New Roman" w:hAnsi="Times New Roman" w:cs="Times New Roman"/>
          <w:b/>
          <w:bCs/>
          <w:iCs/>
        </w:rPr>
        <w:t>Quetiapine Accord sudėtyje yra natrio</w:t>
      </w:r>
    </w:p>
    <w:p w14:paraId="7E163EB6" w14:textId="77777777" w:rsidR="00811B8D" w:rsidRPr="00EB36E7" w:rsidRDefault="00811B8D" w:rsidP="00811B8D">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Vienoje šio vaisto tabletėje yra mažiau kaip </w:t>
      </w:r>
      <w:r w:rsidRPr="00EB36E7">
        <w:rPr>
          <w:rFonts w:ascii="Times New Roman" w:eastAsia="Times New Roman" w:hAnsi="Times New Roman" w:cs="Times New Roman"/>
          <w:bCs/>
        </w:rPr>
        <w:t>1</w:t>
      </w:r>
      <w:r>
        <w:rPr>
          <w:rFonts w:ascii="Times New Roman" w:eastAsia="Times New Roman" w:hAnsi="Times New Roman" w:cs="Times New Roman"/>
          <w:bCs/>
        </w:rPr>
        <w:t> </w:t>
      </w:r>
      <w:r w:rsidRPr="00EB36E7">
        <w:rPr>
          <w:rFonts w:ascii="Times New Roman" w:eastAsia="Times New Roman" w:hAnsi="Times New Roman" w:cs="Times New Roman"/>
          <w:bCs/>
        </w:rPr>
        <w:t xml:space="preserve">mmol </w:t>
      </w:r>
      <w:r>
        <w:rPr>
          <w:rFonts w:ascii="Times New Roman" w:eastAsia="Times New Roman" w:hAnsi="Times New Roman" w:cs="Times New Roman"/>
          <w:bCs/>
        </w:rPr>
        <w:t>natrio</w:t>
      </w:r>
      <w:r w:rsidRPr="00EB36E7">
        <w:rPr>
          <w:rFonts w:ascii="Times New Roman" w:eastAsia="Times New Roman" w:hAnsi="Times New Roman" w:cs="Times New Roman"/>
          <w:bCs/>
        </w:rPr>
        <w:t xml:space="preserve"> (23</w:t>
      </w:r>
      <w:r>
        <w:rPr>
          <w:rFonts w:ascii="Times New Roman" w:eastAsia="Times New Roman" w:hAnsi="Times New Roman" w:cs="Times New Roman"/>
          <w:bCs/>
        </w:rPr>
        <w:t> </w:t>
      </w:r>
      <w:r w:rsidRPr="00EB36E7">
        <w:rPr>
          <w:rFonts w:ascii="Times New Roman" w:eastAsia="Times New Roman" w:hAnsi="Times New Roman" w:cs="Times New Roman"/>
          <w:bCs/>
        </w:rPr>
        <w:t xml:space="preserve">mg), </w:t>
      </w:r>
      <w:r>
        <w:rPr>
          <w:rFonts w:ascii="Times New Roman" w:eastAsia="Times New Roman" w:hAnsi="Times New Roman" w:cs="Times New Roman"/>
          <w:bCs/>
        </w:rPr>
        <w:t xml:space="preserve">t. y. </w:t>
      </w:r>
      <w:r w:rsidRPr="00BA464A">
        <w:rPr>
          <w:rFonts w:ascii="Times New Roman" w:eastAsia="Times New Roman" w:hAnsi="Times New Roman" w:cs="Times New Roman"/>
          <w:bCs/>
        </w:rPr>
        <w:t>jis beveik</w:t>
      </w:r>
      <w:r>
        <w:rPr>
          <w:rFonts w:ascii="Times New Roman" w:eastAsia="Times New Roman" w:hAnsi="Times New Roman" w:cs="Times New Roman"/>
          <w:bCs/>
        </w:rPr>
        <w:t xml:space="preserve"> </w:t>
      </w:r>
      <w:r w:rsidRPr="00BA464A">
        <w:rPr>
          <w:rFonts w:ascii="Times New Roman" w:eastAsia="Times New Roman" w:hAnsi="Times New Roman" w:cs="Times New Roman"/>
          <w:bCs/>
        </w:rPr>
        <w:t>neturi reikšmės</w:t>
      </w:r>
      <w:r w:rsidRPr="00EB36E7">
        <w:rPr>
          <w:rFonts w:ascii="Times New Roman" w:eastAsia="Times New Roman" w:hAnsi="Times New Roman" w:cs="Times New Roman"/>
          <w:bCs/>
        </w:rPr>
        <w:t>.</w:t>
      </w:r>
    </w:p>
    <w:p w14:paraId="5ED17C70" w14:textId="77777777" w:rsidR="00811B8D" w:rsidRPr="008A351A" w:rsidRDefault="00811B8D" w:rsidP="009501EF">
      <w:pPr>
        <w:tabs>
          <w:tab w:val="left" w:pos="360"/>
          <w:tab w:val="left" w:pos="567"/>
        </w:tabs>
        <w:spacing w:after="0" w:line="240" w:lineRule="auto"/>
        <w:rPr>
          <w:rFonts w:ascii="Times New Roman" w:eastAsia="Times New Roman" w:hAnsi="Times New Roman" w:cs="Times New Roman"/>
        </w:rPr>
      </w:pPr>
    </w:p>
    <w:p w14:paraId="1FD4FC8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Poveikis šlapimo tyrimui dėl narkotinių medžiagų</w:t>
      </w:r>
    </w:p>
    <w:p w14:paraId="48E8C6A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turi būti atliktas Jūsų šlapimo tyrimas dėl narkotinių medžiagų, vartojant Quetiapine Accord tam tikrais metodais atliekamo tyrimo rezultatas gali būti teigiamas ir rasta metadono arba tam tikrų vaistų depresijai gydyti, vadinamų tricikliais antidepresantais (TCA), net jeigu jų galbūt nevartojote. Jei taip nutinka, galima atlikti išsamesnį tyrimą.</w:t>
      </w:r>
    </w:p>
    <w:p w14:paraId="25198E98"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p>
    <w:p w14:paraId="60803136"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p>
    <w:p w14:paraId="30ECD636" w14:textId="02BCF7B0" w:rsidR="009501EF" w:rsidRPr="008A351A" w:rsidRDefault="009501EF" w:rsidP="009501EF">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3.</w:t>
      </w:r>
      <w:r w:rsidRPr="008A351A">
        <w:rPr>
          <w:rFonts w:ascii="Times New Roman" w:eastAsia="Times New Roman" w:hAnsi="Times New Roman" w:cs="Times New Roman"/>
          <w:b/>
          <w:bCs/>
        </w:rPr>
        <w:tab/>
      </w:r>
      <w:r w:rsidR="00811B8D" w:rsidRPr="00811B8D">
        <w:rPr>
          <w:rFonts w:ascii="Times New Roman" w:eastAsia="Times New Roman" w:hAnsi="Times New Roman" w:cs="Times New Roman"/>
          <w:b/>
          <w:bCs/>
        </w:rPr>
        <w:t>Kaip vartoti Quetiapine Accord</w:t>
      </w:r>
    </w:p>
    <w:p w14:paraId="08E2972F"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77CE9713" w14:textId="77777777" w:rsidR="009501EF" w:rsidRPr="008A351A" w:rsidRDefault="004C434A"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w:t>
      </w:r>
      <w:r w:rsidR="009501EF" w:rsidRPr="008A351A">
        <w:rPr>
          <w:rFonts w:ascii="Times New Roman" w:eastAsia="Times New Roman" w:hAnsi="Times New Roman" w:cs="Times New Roman"/>
        </w:rPr>
        <w:t xml:space="preserve">isada vartokite </w:t>
      </w:r>
      <w:r w:rsidRPr="008A351A">
        <w:rPr>
          <w:rFonts w:ascii="Times New Roman" w:eastAsia="Times New Roman" w:hAnsi="Times New Roman" w:cs="Times New Roman"/>
        </w:rPr>
        <w:t xml:space="preserve">šį vaistą </w:t>
      </w:r>
      <w:r w:rsidR="009501EF" w:rsidRPr="008A351A">
        <w:rPr>
          <w:rFonts w:ascii="Times New Roman" w:eastAsia="Times New Roman" w:hAnsi="Times New Roman" w:cs="Times New Roman"/>
        </w:rPr>
        <w:t>tiksliai taip, kaip nurodė gydytojas. Jeigu abejojate, kreipkitės į gydytoją arba vaistininką. Gydytojas nuspręs, kokią pradinę dozę reikia vartoti. Palaikomoji dozė (paros) priklausys nuo jūsų ligos ir poreikių, bet įprastai dozė yra nuo 150 iki 800 mg.</w:t>
      </w:r>
    </w:p>
    <w:p w14:paraId="4B86AC2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08878F45" w14:textId="77777777" w:rsidR="009501EF" w:rsidRPr="008A351A" w:rsidRDefault="009501EF" w:rsidP="009501EF">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Tabletes vartosite arba vieną kartą prieš einant miegoti, arba du kartus per parą, priklausomai nuo Jūsų ligos.</w:t>
      </w:r>
    </w:p>
    <w:p w14:paraId="538FEC88" w14:textId="77777777" w:rsidR="009501EF" w:rsidRPr="008A351A" w:rsidRDefault="009501EF" w:rsidP="009501EF">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Prarykite tabletę visą, užgerdami vandeniu. </w:t>
      </w:r>
    </w:p>
    <w:p w14:paraId="53720C86" w14:textId="77777777" w:rsidR="009501EF" w:rsidRPr="008A351A" w:rsidRDefault="009328DF" w:rsidP="009501EF">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Tabletes </w:t>
      </w:r>
      <w:r w:rsidR="009501EF" w:rsidRPr="008A351A">
        <w:rPr>
          <w:rFonts w:ascii="Times New Roman" w:eastAsia="Times New Roman" w:hAnsi="Times New Roman" w:cs="Times New Roman"/>
        </w:rPr>
        <w:t>galima vartoti su maistu arba be jo.</w:t>
      </w:r>
    </w:p>
    <w:p w14:paraId="595758D4" w14:textId="77777777" w:rsidR="009501EF" w:rsidRPr="008A351A" w:rsidRDefault="009501EF" w:rsidP="009501EF">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Negerkite greipfrutų sulčių, kol vartojate Quetiapine Accord. Jos gali pakeisti vaisto poveikį.</w:t>
      </w:r>
    </w:p>
    <w:p w14:paraId="06F7A94A" w14:textId="77777777" w:rsidR="009501EF" w:rsidRPr="008A351A" w:rsidRDefault="009501EF" w:rsidP="009501EF">
      <w:pPr>
        <w:numPr>
          <w:ilvl w:val="0"/>
          <w:numId w:val="13"/>
        </w:numPr>
        <w:tabs>
          <w:tab w:val="left" w:pos="567"/>
          <w:tab w:val="left" w:pos="851"/>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Net ir pasijutę geriau nenustokite vartoti tablečių, nebent taip bus nurodęs gydytojas.</w:t>
      </w:r>
    </w:p>
    <w:p w14:paraId="6626416A" w14:textId="77777777" w:rsidR="009501EF" w:rsidRPr="008A351A" w:rsidRDefault="009501EF" w:rsidP="009501EF">
      <w:pPr>
        <w:spacing w:after="0" w:line="240" w:lineRule="auto"/>
        <w:rPr>
          <w:rFonts w:ascii="Times New Roman" w:eastAsia="Times New Roman" w:hAnsi="Times New Roman" w:cs="Times New Roman"/>
        </w:rPr>
      </w:pPr>
    </w:p>
    <w:p w14:paraId="64A86EE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Kepenų funkcijos sutrikimas</w:t>
      </w:r>
    </w:p>
    <w:p w14:paraId="2CB457C2"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Jeigu Jums yra kepenų funkcijos sutrikimas, gydytojas gali dozę pakeisti.</w:t>
      </w:r>
    </w:p>
    <w:p w14:paraId="1D978944"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p>
    <w:p w14:paraId="5979BCBC"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Senyvi pacientai</w:t>
      </w:r>
    </w:p>
    <w:p w14:paraId="2E4A59A1"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Jeigu esate senyvo</w:t>
      </w:r>
      <w:r w:rsidRPr="008A351A">
        <w:rPr>
          <w:rFonts w:ascii="Times New Roman" w:hAnsi="Times New Roman" w:cs="Times New Roman"/>
        </w:rPr>
        <w:t xml:space="preserve"> amžiaus</w:t>
      </w:r>
      <w:r w:rsidRPr="008A351A">
        <w:rPr>
          <w:rFonts w:ascii="Times New Roman" w:eastAsia="Times New Roman" w:hAnsi="Times New Roman" w:cs="Times New Roman"/>
          <w:bCs/>
        </w:rPr>
        <w:t>, gydytojas gali dozę pakeisti.</w:t>
      </w:r>
    </w:p>
    <w:p w14:paraId="755D4D7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p>
    <w:p w14:paraId="17713E6C"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Vartojimas vaikams ir paaugliams</w:t>
      </w:r>
    </w:p>
    <w:p w14:paraId="6E7482A2"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Vaikams ir jaunesniems nei 18 metų amžiaus paaugliams Quetiapine Accord vartoti negalima.</w:t>
      </w:r>
    </w:p>
    <w:p w14:paraId="06C4730C"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397E3FF1"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Pavartojus per didelę Quetiapine Accord dozę</w:t>
      </w:r>
    </w:p>
    <w:p w14:paraId="3B67DD50"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pavartojote didesnę dozę nei paskyrė gydytojas, galite jaustis mieguist</w:t>
      </w:r>
      <w:r w:rsidR="004C434A" w:rsidRPr="008A351A">
        <w:rPr>
          <w:rFonts w:ascii="Times New Roman" w:eastAsia="Times New Roman" w:hAnsi="Times New Roman" w:cs="Times New Roman"/>
        </w:rPr>
        <w:t>i</w:t>
      </w:r>
      <w:r w:rsidRPr="008A351A">
        <w:rPr>
          <w:rFonts w:ascii="Times New Roman" w:eastAsia="Times New Roman" w:hAnsi="Times New Roman" w:cs="Times New Roman"/>
        </w:rPr>
        <w:t xml:space="preserve">, gali svaigti galva </w:t>
      </w:r>
      <w:r w:rsidR="004C434A" w:rsidRPr="008A351A">
        <w:rPr>
          <w:rFonts w:ascii="Times New Roman" w:eastAsia="Times New Roman" w:hAnsi="Times New Roman" w:cs="Times New Roman"/>
        </w:rPr>
        <w:t>ir neįprastai plakti širdis</w:t>
      </w:r>
      <w:r w:rsidRPr="008A351A">
        <w:rPr>
          <w:rFonts w:ascii="Times New Roman" w:eastAsia="Times New Roman" w:hAnsi="Times New Roman" w:cs="Times New Roman"/>
        </w:rPr>
        <w:t xml:space="preserve">. Kreipkitės į gydytoją arba artimiausią ligoninę. Su savimi turėkite Quetiapine Accord tabletes. </w:t>
      </w:r>
    </w:p>
    <w:p w14:paraId="1AA21AF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57F0FB20"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 xml:space="preserve">Pamiršus pavartoti Quetiapine Accord </w:t>
      </w:r>
    </w:p>
    <w:p w14:paraId="52DED776"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Pamiršus dozę, kitą dozę išgerkite iš karto, kai prisiminsite. Jeigu jau beveik laikas gerti kitą dozę, sulaukite jo. Negalima vartoti dvigubos dozės norint kompensuoti praleistą </w:t>
      </w:r>
      <w:r w:rsidR="004C434A" w:rsidRPr="008A351A">
        <w:rPr>
          <w:rFonts w:ascii="Times New Roman" w:eastAsia="Times New Roman" w:hAnsi="Times New Roman" w:cs="Times New Roman"/>
        </w:rPr>
        <w:t>tabletę</w:t>
      </w:r>
      <w:r w:rsidRPr="008A351A">
        <w:rPr>
          <w:rFonts w:ascii="Times New Roman" w:eastAsia="Times New Roman" w:hAnsi="Times New Roman" w:cs="Times New Roman"/>
        </w:rPr>
        <w:t>.</w:t>
      </w:r>
    </w:p>
    <w:p w14:paraId="49FCA5BB"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7C6EC4EE" w14:textId="77777777" w:rsidR="009501EF" w:rsidRPr="008A351A" w:rsidRDefault="009501EF" w:rsidP="009501EF">
      <w:pPr>
        <w:tabs>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Nustojus vartoti Quetiapine Accord</w:t>
      </w:r>
    </w:p>
    <w:p w14:paraId="4085E20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staiga nutrauksite Quetiapine Accord vartojimą, Jums bus sunku užmigti (nemiga)</w:t>
      </w:r>
      <w:r w:rsidR="004C434A" w:rsidRPr="008A351A">
        <w:rPr>
          <w:rFonts w:ascii="Times New Roman" w:eastAsia="Times New Roman" w:hAnsi="Times New Roman" w:cs="Times New Roman"/>
        </w:rPr>
        <w:t xml:space="preserve"> arba</w:t>
      </w:r>
      <w:r w:rsidRPr="008A351A">
        <w:rPr>
          <w:rFonts w:ascii="Times New Roman" w:eastAsia="Times New Roman" w:hAnsi="Times New Roman" w:cs="Times New Roman"/>
        </w:rPr>
        <w:t xml:space="preserve"> gali </w:t>
      </w:r>
      <w:r w:rsidRPr="008A351A">
        <w:rPr>
          <w:rFonts w:ascii="Times New Roman" w:eastAsia="Times New Roman" w:hAnsi="Times New Roman" w:cs="Times New Roman"/>
          <w:lang w:eastAsia="nl-NL"/>
        </w:rPr>
        <w:t>pykinti arba skaudės galvą, viduriuosite, vemsite, svaigs galva arba būsite dirglus</w:t>
      </w:r>
      <w:r w:rsidRPr="008A351A">
        <w:rPr>
          <w:rFonts w:ascii="Times New Roman" w:eastAsia="Times New Roman" w:hAnsi="Times New Roman" w:cs="Times New Roman"/>
        </w:rPr>
        <w:t xml:space="preserve">. Prieš baigiant gydymą, gydytojas gali patarti mažinti dozę laipsniškai. </w:t>
      </w:r>
    </w:p>
    <w:p w14:paraId="6B3D4B9C"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298A7F6F"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Jeigu kiltų daugiau klausimų dėl šio </w:t>
      </w:r>
      <w:r w:rsidR="004C434A" w:rsidRPr="008A351A">
        <w:rPr>
          <w:rFonts w:ascii="Times New Roman" w:eastAsia="Times New Roman" w:hAnsi="Times New Roman" w:cs="Times New Roman"/>
        </w:rPr>
        <w:t xml:space="preserve">vaisto </w:t>
      </w:r>
      <w:r w:rsidRPr="008A351A">
        <w:rPr>
          <w:rFonts w:ascii="Times New Roman" w:eastAsia="Times New Roman" w:hAnsi="Times New Roman" w:cs="Times New Roman"/>
        </w:rPr>
        <w:t>vartojimo, kreipkitės į gydytoją arba vaistininką.</w:t>
      </w:r>
    </w:p>
    <w:p w14:paraId="41477E32"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6EC118D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00E286F6" w14:textId="370A67FC"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4.</w:t>
      </w:r>
      <w:r w:rsidRPr="008A351A">
        <w:rPr>
          <w:rFonts w:ascii="Times New Roman" w:eastAsia="Times New Roman" w:hAnsi="Times New Roman" w:cs="Times New Roman"/>
          <w:b/>
          <w:bCs/>
        </w:rPr>
        <w:tab/>
      </w:r>
      <w:r w:rsidR="00811B8D" w:rsidRPr="00811B8D">
        <w:rPr>
          <w:rFonts w:ascii="Times New Roman" w:eastAsia="Times New Roman" w:hAnsi="Times New Roman" w:cs="Times New Roman"/>
          <w:b/>
          <w:bCs/>
        </w:rPr>
        <w:t>Galimas šalutinis poveikis</w:t>
      </w:r>
    </w:p>
    <w:p w14:paraId="0D604E48"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42A7DB80" w14:textId="77777777" w:rsidR="000B1A14" w:rsidRPr="008A351A" w:rsidRDefault="004C434A" w:rsidP="00B16D6F">
      <w:pPr>
        <w:autoSpaceDE w:val="0"/>
        <w:autoSpaceDN w:val="0"/>
        <w:adjustRightInd w:val="0"/>
        <w:rPr>
          <w:sz w:val="24"/>
        </w:rPr>
      </w:pPr>
      <w:r w:rsidRPr="008A351A">
        <w:rPr>
          <w:rFonts w:ascii="Times New Roman" w:eastAsia="Times New Roman" w:hAnsi="Times New Roman" w:cs="Times New Roman"/>
        </w:rPr>
        <w:t>Šis vaistas</w:t>
      </w:r>
      <w:r w:rsidR="009501EF" w:rsidRPr="008A351A">
        <w:rPr>
          <w:rFonts w:ascii="Times New Roman" w:eastAsia="Times New Roman" w:hAnsi="Times New Roman" w:cs="Times New Roman"/>
        </w:rPr>
        <w:t>, kaip ir visi kiti, gali sukelti šalutinį poveikį, nors jis pasireiškia ne visiems žmonėms.</w:t>
      </w:r>
      <w:r w:rsidR="009501EF" w:rsidRPr="008A351A">
        <w:rPr>
          <w:rFonts w:ascii="Times New Roman" w:eastAsia="Times New Roman" w:hAnsi="Times New Roman" w:cs="Times New Roman"/>
          <w:bCs/>
        </w:rPr>
        <w:t xml:space="preserve"> </w:t>
      </w:r>
    </w:p>
    <w:p w14:paraId="3C9C9D72"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p>
    <w:p w14:paraId="5F50FBC6" w14:textId="70F3CF23"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 xml:space="preserve">Labai </w:t>
      </w:r>
      <w:r w:rsidR="002A03E5" w:rsidRPr="0053755B">
        <w:rPr>
          <w:rFonts w:ascii="Times New Roman" w:eastAsia="Times New Roman" w:hAnsi="Times New Roman" w:cs="Times New Roman"/>
          <w:b/>
          <w:bCs/>
        </w:rPr>
        <w:t>dažn</w:t>
      </w:r>
      <w:r w:rsidR="002A03E5">
        <w:rPr>
          <w:rFonts w:ascii="Times New Roman" w:eastAsia="Times New Roman" w:hAnsi="Times New Roman" w:cs="Times New Roman"/>
          <w:b/>
          <w:bCs/>
        </w:rPr>
        <w:t>i</w:t>
      </w:r>
      <w:r w:rsidR="002A03E5" w:rsidRPr="0053755B">
        <w:rPr>
          <w:rFonts w:ascii="Times New Roman" w:eastAsia="Times New Roman" w:hAnsi="Times New Roman" w:cs="Times New Roman"/>
          <w:b/>
          <w:bCs/>
        </w:rPr>
        <w:t xml:space="preserve"> šalutini</w:t>
      </w:r>
      <w:r w:rsidR="002A03E5">
        <w:rPr>
          <w:rFonts w:ascii="Times New Roman" w:eastAsia="Times New Roman" w:hAnsi="Times New Roman" w:cs="Times New Roman"/>
          <w:b/>
          <w:bCs/>
        </w:rPr>
        <w:t>o</w:t>
      </w:r>
      <w:r w:rsidR="002A03E5" w:rsidRPr="0053755B">
        <w:rPr>
          <w:rFonts w:ascii="Times New Roman" w:eastAsia="Times New Roman" w:hAnsi="Times New Roman" w:cs="Times New Roman"/>
          <w:b/>
          <w:bCs/>
        </w:rPr>
        <w:t xml:space="preserve"> poveiki</w:t>
      </w:r>
      <w:r w:rsidR="002A03E5">
        <w:rPr>
          <w:rFonts w:ascii="Times New Roman" w:eastAsia="Times New Roman" w:hAnsi="Times New Roman" w:cs="Times New Roman"/>
          <w:b/>
          <w:bCs/>
        </w:rPr>
        <w:t>o reiškiniai</w:t>
      </w:r>
      <w:r w:rsidRPr="008A351A">
        <w:rPr>
          <w:rFonts w:ascii="Times New Roman" w:eastAsia="Times New Roman" w:hAnsi="Times New Roman" w:cs="Times New Roman"/>
          <w:b/>
        </w:rPr>
        <w:t xml:space="preserve"> (gali pasireikšti </w:t>
      </w:r>
      <w:r w:rsidR="002A03E5">
        <w:rPr>
          <w:rFonts w:ascii="Times New Roman" w:eastAsia="Times New Roman" w:hAnsi="Times New Roman" w:cs="Times New Roman"/>
          <w:b/>
        </w:rPr>
        <w:t>ne rečiau kaip</w:t>
      </w:r>
      <w:r w:rsidRPr="008A351A">
        <w:rPr>
          <w:rFonts w:ascii="Times New Roman" w:eastAsia="Times New Roman" w:hAnsi="Times New Roman" w:cs="Times New Roman"/>
          <w:b/>
        </w:rPr>
        <w:t xml:space="preserve"> 1 iš 10</w:t>
      </w:r>
      <w:r w:rsidR="002A03E5">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r w:rsidR="002A03E5">
        <w:rPr>
          <w:rFonts w:ascii="Times New Roman" w:eastAsia="Times New Roman" w:hAnsi="Times New Roman" w:cs="Times New Roman"/>
          <w:b/>
        </w:rPr>
        <w:t>:</w:t>
      </w:r>
    </w:p>
    <w:p w14:paraId="40D7C135" w14:textId="77777777" w:rsidR="009501EF" w:rsidRPr="00EA5D4E" w:rsidRDefault="009501EF" w:rsidP="009501EF">
      <w:pPr>
        <w:pStyle w:val="Sraopastraipa"/>
        <w:numPr>
          <w:ilvl w:val="0"/>
          <w:numId w:val="26"/>
        </w:numPr>
        <w:tabs>
          <w:tab w:val="left" w:pos="567"/>
        </w:tabs>
        <w:rPr>
          <w:sz w:val="22"/>
          <w:szCs w:val="22"/>
        </w:rPr>
      </w:pPr>
      <w:r w:rsidRPr="00EA5D4E">
        <w:rPr>
          <w:sz w:val="22"/>
          <w:szCs w:val="22"/>
        </w:rPr>
        <w:t>Svaigulys (dėl šio poveikio galite nukristi), galvos skausmas, burnos sausmė.</w:t>
      </w:r>
    </w:p>
    <w:p w14:paraId="301BE5C5" w14:textId="77777777" w:rsidR="009501EF" w:rsidRPr="00EA5D4E" w:rsidRDefault="009501EF" w:rsidP="009501EF">
      <w:pPr>
        <w:pStyle w:val="Sraopastraipa"/>
        <w:numPr>
          <w:ilvl w:val="0"/>
          <w:numId w:val="26"/>
        </w:numPr>
        <w:tabs>
          <w:tab w:val="left" w:pos="567"/>
        </w:tabs>
        <w:rPr>
          <w:sz w:val="22"/>
          <w:szCs w:val="22"/>
        </w:rPr>
      </w:pPr>
      <w:r w:rsidRPr="00EA5D4E">
        <w:rPr>
          <w:sz w:val="22"/>
          <w:szCs w:val="22"/>
        </w:rPr>
        <w:t>Mieguistumas (tęsiant Quetiapine Accord tablečių vartojimą, šis poveikis po kurio laiko išnyksta) (tai gali sukelti nukritimą).</w:t>
      </w:r>
    </w:p>
    <w:p w14:paraId="394A9667" w14:textId="77777777" w:rsidR="009501EF" w:rsidRPr="00EA5D4E" w:rsidRDefault="009501EF" w:rsidP="009501EF">
      <w:pPr>
        <w:pStyle w:val="Sraopastraipa"/>
        <w:numPr>
          <w:ilvl w:val="0"/>
          <w:numId w:val="26"/>
        </w:numPr>
        <w:tabs>
          <w:tab w:val="left" w:pos="567"/>
        </w:tabs>
        <w:rPr>
          <w:sz w:val="22"/>
          <w:szCs w:val="22"/>
        </w:rPr>
      </w:pPr>
      <w:r w:rsidRPr="00EA5D4E">
        <w:rPr>
          <w:sz w:val="22"/>
          <w:szCs w:val="22"/>
        </w:rPr>
        <w:t>Nutraukimo simptomai (simptomai atsirandantys nutraukus Quetiapine Accord vartojimą); negalėjimas užmigti (nemiga), pykinimas, galvos skausmas, viduriavimas, vėmimas, svaigulys ir dirglumas. Patariama nutraukti palaipsniui mažiausiai 1–2 savaičių laikotarpiu.</w:t>
      </w:r>
    </w:p>
    <w:p w14:paraId="7D78AD1B" w14:textId="77777777" w:rsidR="009501EF" w:rsidRPr="00EA5D4E" w:rsidRDefault="009501EF" w:rsidP="009501EF">
      <w:pPr>
        <w:pStyle w:val="Sraopastraipa"/>
        <w:numPr>
          <w:ilvl w:val="0"/>
          <w:numId w:val="26"/>
        </w:numPr>
        <w:tabs>
          <w:tab w:val="left" w:pos="567"/>
        </w:tabs>
        <w:rPr>
          <w:sz w:val="22"/>
          <w:szCs w:val="22"/>
        </w:rPr>
      </w:pPr>
      <w:r w:rsidRPr="00EA5D4E">
        <w:rPr>
          <w:sz w:val="22"/>
          <w:szCs w:val="22"/>
        </w:rPr>
        <w:t>Svorio padidėjimas.</w:t>
      </w:r>
    </w:p>
    <w:p w14:paraId="1995CDC9" w14:textId="77777777" w:rsidR="009501EF" w:rsidRPr="00EA5D4E" w:rsidRDefault="009501EF" w:rsidP="009501EF">
      <w:pPr>
        <w:pStyle w:val="Sraopastraipa"/>
        <w:numPr>
          <w:ilvl w:val="0"/>
          <w:numId w:val="26"/>
        </w:numPr>
        <w:tabs>
          <w:tab w:val="left" w:pos="567"/>
        </w:tabs>
        <w:rPr>
          <w:sz w:val="22"/>
          <w:szCs w:val="22"/>
        </w:rPr>
      </w:pPr>
      <w:r w:rsidRPr="00EA5D4E">
        <w:rPr>
          <w:sz w:val="22"/>
          <w:szCs w:val="22"/>
        </w:rPr>
        <w:t>Neįprasti raumenų judesiai, galintys pasireikšti sunkumu pradėti judėti, drebuliu, nuovargiu arba neskausmingu raumenų sustingimu.</w:t>
      </w:r>
    </w:p>
    <w:p w14:paraId="23045DEE" w14:textId="77777777" w:rsidR="009501EF" w:rsidRPr="00EA5D4E" w:rsidRDefault="009501EF" w:rsidP="009501EF">
      <w:pPr>
        <w:pStyle w:val="Sraopastraipa"/>
        <w:numPr>
          <w:ilvl w:val="0"/>
          <w:numId w:val="26"/>
        </w:numPr>
        <w:tabs>
          <w:tab w:val="left" w:pos="567"/>
        </w:tabs>
        <w:rPr>
          <w:sz w:val="22"/>
          <w:szCs w:val="22"/>
        </w:rPr>
      </w:pPr>
      <w:r w:rsidRPr="00EA5D4E">
        <w:rPr>
          <w:sz w:val="22"/>
          <w:szCs w:val="22"/>
        </w:rPr>
        <w:t>Kai kurių riebalų (trigliceridų ir bendro cholesterolio) kiekio pasikeitimas.</w:t>
      </w:r>
    </w:p>
    <w:p w14:paraId="799438FE"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p>
    <w:p w14:paraId="465B57B1" w14:textId="058EB6BB"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Dažn</w:t>
      </w:r>
      <w:r w:rsidR="002A03E5">
        <w:rPr>
          <w:rFonts w:ascii="Times New Roman" w:eastAsia="Times New Roman" w:hAnsi="Times New Roman" w:cs="Times New Roman"/>
          <w:b/>
        </w:rPr>
        <w:t>i</w:t>
      </w:r>
      <w:r w:rsidRPr="008A351A">
        <w:rPr>
          <w:rFonts w:ascii="Times New Roman" w:eastAsia="Times New Roman" w:hAnsi="Times New Roman" w:cs="Times New Roman"/>
          <w:b/>
        </w:rPr>
        <w:t xml:space="preserve"> šalutini</w:t>
      </w:r>
      <w:r w:rsidR="002A03E5">
        <w:rPr>
          <w:rFonts w:ascii="Times New Roman" w:eastAsia="Times New Roman" w:hAnsi="Times New Roman" w:cs="Times New Roman"/>
          <w:b/>
        </w:rPr>
        <w:t>o</w:t>
      </w:r>
      <w:r w:rsidRPr="008A351A">
        <w:rPr>
          <w:rFonts w:ascii="Times New Roman" w:eastAsia="Times New Roman" w:hAnsi="Times New Roman" w:cs="Times New Roman"/>
          <w:b/>
        </w:rPr>
        <w:t xml:space="preserve"> poveiki</w:t>
      </w:r>
      <w:r w:rsidR="002A03E5">
        <w:rPr>
          <w:rFonts w:ascii="Times New Roman" w:eastAsia="Times New Roman" w:hAnsi="Times New Roman" w:cs="Times New Roman"/>
          <w:b/>
        </w:rPr>
        <w:t>o reiškiniai</w:t>
      </w:r>
      <w:r w:rsidRPr="008A351A">
        <w:rPr>
          <w:rFonts w:ascii="Times New Roman" w:eastAsia="Times New Roman" w:hAnsi="Times New Roman" w:cs="Times New Roman"/>
          <w:b/>
        </w:rPr>
        <w:t xml:space="preserve"> (gali pasireikšti </w:t>
      </w:r>
      <w:r w:rsidR="002A03E5">
        <w:rPr>
          <w:rFonts w:ascii="Times New Roman" w:eastAsia="Times New Roman" w:hAnsi="Times New Roman" w:cs="Times New Roman"/>
          <w:b/>
        </w:rPr>
        <w:t>rečiau</w:t>
      </w:r>
      <w:r w:rsidR="002A03E5" w:rsidRPr="008A351A">
        <w:rPr>
          <w:rFonts w:ascii="Times New Roman" w:eastAsia="Times New Roman" w:hAnsi="Times New Roman" w:cs="Times New Roman"/>
          <w:b/>
        </w:rPr>
        <w:t xml:space="preserve"> </w:t>
      </w:r>
      <w:r w:rsidRPr="008A351A">
        <w:rPr>
          <w:rFonts w:ascii="Times New Roman" w:eastAsia="Times New Roman" w:hAnsi="Times New Roman" w:cs="Times New Roman"/>
          <w:b/>
        </w:rPr>
        <w:t xml:space="preserve">kaip 1 iš 10 </w:t>
      </w:r>
      <w:r w:rsidR="002A03E5">
        <w:rPr>
          <w:rFonts w:ascii="Times New Roman" w:eastAsia="Times New Roman" w:hAnsi="Times New Roman" w:cs="Times New Roman"/>
          <w:b/>
        </w:rPr>
        <w:t>asmenų</w:t>
      </w:r>
      <w:r w:rsidRPr="008A351A">
        <w:rPr>
          <w:rFonts w:ascii="Times New Roman" w:eastAsia="Times New Roman" w:hAnsi="Times New Roman" w:cs="Times New Roman"/>
          <w:b/>
        </w:rPr>
        <w:t>)</w:t>
      </w:r>
      <w:r w:rsidR="002A03E5">
        <w:rPr>
          <w:rFonts w:ascii="Times New Roman" w:eastAsia="Times New Roman" w:hAnsi="Times New Roman" w:cs="Times New Roman"/>
          <w:b/>
        </w:rPr>
        <w:t>:</w:t>
      </w:r>
    </w:p>
    <w:p w14:paraId="393FFF09"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Dažnas širdies plakimas arba alpimas.</w:t>
      </w:r>
    </w:p>
    <w:p w14:paraId="6727DF06"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Širdies plakimo jausmas, labai greitas plakimas arba permušimai</w:t>
      </w:r>
      <w:r w:rsidR="00A71733">
        <w:rPr>
          <w:rFonts w:ascii="Times New Roman" w:eastAsia="Times New Roman" w:hAnsi="Times New Roman" w:cs="Times New Roman"/>
        </w:rPr>
        <w:t>.</w:t>
      </w:r>
    </w:p>
    <w:p w14:paraId="7FA3D273"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Vidurių užkietėjimas, skrandžio veiklos sutrikimas (virškinimo sutrikimas).</w:t>
      </w:r>
    </w:p>
    <w:p w14:paraId="4ACD8DD9"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Silpnumas.</w:t>
      </w:r>
    </w:p>
    <w:p w14:paraId="4AC79247"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lastRenderedPageBreak/>
        <w:t>Rankų ir kojų patinimas.</w:t>
      </w:r>
    </w:p>
    <w:p w14:paraId="65437C77"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Kraujo spaudimo sumažėjimas atsistojant, todėl galite jausti galvos sukimąsi arba nualpti (galite nukristi).</w:t>
      </w:r>
    </w:p>
    <w:p w14:paraId="690AD6CA"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Padidėjęs cukraus kiekis kraujyje.</w:t>
      </w:r>
    </w:p>
    <w:p w14:paraId="5FDF035C"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Neryškus matymas.</w:t>
      </w:r>
    </w:p>
    <w:p w14:paraId="0990C38E"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Neįprasti sapnai arba košmarai.</w:t>
      </w:r>
    </w:p>
    <w:p w14:paraId="11AADDFA"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Apetito padidėjimas.</w:t>
      </w:r>
    </w:p>
    <w:p w14:paraId="63128CEB"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Dirglumas. </w:t>
      </w:r>
    </w:p>
    <w:p w14:paraId="59B5100D"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Kalbos </w:t>
      </w:r>
      <w:r w:rsidR="004C434A" w:rsidRPr="008A351A">
        <w:rPr>
          <w:rFonts w:ascii="Times New Roman" w:eastAsia="Times New Roman" w:hAnsi="Times New Roman" w:cs="Times New Roman"/>
        </w:rPr>
        <w:t>ir</w:t>
      </w:r>
      <w:r w:rsidRPr="008A351A">
        <w:rPr>
          <w:rFonts w:ascii="Times New Roman" w:eastAsia="Times New Roman" w:hAnsi="Times New Roman" w:cs="Times New Roman"/>
        </w:rPr>
        <w:t xml:space="preserve"> kalbėsenos sutrikimas.</w:t>
      </w:r>
    </w:p>
    <w:p w14:paraId="1235A628"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Mintys apie savižudybę arba depresijos sustiprėjimas.</w:t>
      </w:r>
    </w:p>
    <w:p w14:paraId="2F34016F"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Dusulys.</w:t>
      </w:r>
    </w:p>
    <w:p w14:paraId="7927BBF0"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Vėmimas (daugiausiai kyla vyresnio amžiaus pacientams).</w:t>
      </w:r>
    </w:p>
    <w:p w14:paraId="0461E45F"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Karščiavimas.</w:t>
      </w:r>
    </w:p>
    <w:p w14:paraId="3A82BF7E"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Skydliaukės hormonų kiekio kraujyje pakitimai.</w:t>
      </w:r>
    </w:p>
    <w:p w14:paraId="44F91A57"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Kai kurių tipų kraujo ląstelių skaičiaus sumažėjimas.</w:t>
      </w:r>
    </w:p>
    <w:p w14:paraId="23746615"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Išmatuoto kepenų fermentų kiekio kraujyje padidėjimas</w:t>
      </w:r>
      <w:r w:rsidR="00A71733">
        <w:rPr>
          <w:rFonts w:ascii="Times New Roman" w:eastAsia="Times New Roman" w:hAnsi="Times New Roman" w:cs="Times New Roman"/>
        </w:rPr>
        <w:t>.</w:t>
      </w:r>
    </w:p>
    <w:p w14:paraId="437CEB60"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Hormono prolaktino kiekio kraujyje padidėjimas. Hormono prolaktino kiekio padidėjimas retais atvejais gali pasireikšti:</w:t>
      </w:r>
    </w:p>
    <w:p w14:paraId="2A5EA11C" w14:textId="77777777" w:rsidR="009501EF" w:rsidRPr="008A351A" w:rsidRDefault="009501EF" w:rsidP="009501EF">
      <w:pPr>
        <w:tabs>
          <w:tab w:val="left" w:pos="567"/>
        </w:tabs>
        <w:spacing w:after="0" w:line="240" w:lineRule="auto"/>
        <w:ind w:left="567"/>
        <w:contextualSpacing/>
        <w:rPr>
          <w:rFonts w:ascii="Times New Roman" w:eastAsia="Times New Roman" w:hAnsi="Times New Roman" w:cs="Times New Roman"/>
        </w:rPr>
      </w:pPr>
      <w:r w:rsidRPr="008A351A">
        <w:rPr>
          <w:rFonts w:ascii="Times New Roman" w:eastAsia="Times New Roman" w:hAnsi="Times New Roman" w:cs="Times New Roman"/>
        </w:rPr>
        <w:t>vyrams ir moterims krūtų paburkimu ir netikėtai prasidėjusia pieno gamyba; moterims galimu mėnesinių išnykimu arba nereguliariu jų ciklu.</w:t>
      </w:r>
    </w:p>
    <w:p w14:paraId="0B5783D8"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3769B2B0" w14:textId="0543567B" w:rsidR="009501EF" w:rsidRPr="008A351A" w:rsidRDefault="002A03E5"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bCs/>
        </w:rPr>
        <w:t>Nedažn</w:t>
      </w:r>
      <w:r>
        <w:rPr>
          <w:rFonts w:ascii="Times New Roman" w:eastAsia="Times New Roman" w:hAnsi="Times New Roman" w:cs="Times New Roman"/>
          <w:b/>
          <w:bCs/>
        </w:rPr>
        <w:t>i</w:t>
      </w:r>
      <w:r w:rsidRPr="008A351A">
        <w:rPr>
          <w:rFonts w:ascii="Times New Roman" w:eastAsia="Times New Roman" w:hAnsi="Times New Roman" w:cs="Times New Roman"/>
          <w:b/>
          <w:bCs/>
        </w:rPr>
        <w:t xml:space="preserve"> </w:t>
      </w:r>
      <w:r w:rsidR="009501EF" w:rsidRPr="008A351A">
        <w:rPr>
          <w:rFonts w:ascii="Times New Roman" w:eastAsia="Times New Roman" w:hAnsi="Times New Roman" w:cs="Times New Roman"/>
          <w:b/>
          <w:bCs/>
        </w:rPr>
        <w:t>šalutini</w:t>
      </w:r>
      <w:r>
        <w:rPr>
          <w:rFonts w:ascii="Times New Roman" w:eastAsia="Times New Roman" w:hAnsi="Times New Roman" w:cs="Times New Roman"/>
          <w:b/>
          <w:bCs/>
        </w:rPr>
        <w:t>o</w:t>
      </w:r>
      <w:r w:rsidR="009501EF" w:rsidRPr="008A351A">
        <w:rPr>
          <w:rFonts w:ascii="Times New Roman" w:eastAsia="Times New Roman" w:hAnsi="Times New Roman" w:cs="Times New Roman"/>
          <w:b/>
          <w:bCs/>
        </w:rPr>
        <w:t xml:space="preserve"> poveiki</w:t>
      </w:r>
      <w:r>
        <w:rPr>
          <w:rFonts w:ascii="Times New Roman" w:eastAsia="Times New Roman" w:hAnsi="Times New Roman" w:cs="Times New Roman"/>
          <w:b/>
          <w:bCs/>
        </w:rPr>
        <w:t>o reiškiniai</w:t>
      </w:r>
      <w:r w:rsidR="009501EF" w:rsidRPr="008A351A">
        <w:rPr>
          <w:rFonts w:ascii="Times New Roman" w:eastAsia="Times New Roman" w:hAnsi="Times New Roman" w:cs="Times New Roman"/>
          <w:b/>
        </w:rPr>
        <w:t xml:space="preserve"> (gali pasireikšti </w:t>
      </w:r>
      <w:r>
        <w:rPr>
          <w:rFonts w:ascii="Times New Roman" w:eastAsia="Times New Roman" w:hAnsi="Times New Roman" w:cs="Times New Roman"/>
          <w:b/>
        </w:rPr>
        <w:t>reči</w:t>
      </w:r>
      <w:r w:rsidRPr="008A351A">
        <w:rPr>
          <w:rFonts w:ascii="Times New Roman" w:eastAsia="Times New Roman" w:hAnsi="Times New Roman" w:cs="Times New Roman"/>
          <w:b/>
        </w:rPr>
        <w:t xml:space="preserve">au </w:t>
      </w:r>
      <w:r w:rsidR="009501EF" w:rsidRPr="008A351A">
        <w:rPr>
          <w:rFonts w:ascii="Times New Roman" w:eastAsia="Times New Roman" w:hAnsi="Times New Roman" w:cs="Times New Roman"/>
          <w:b/>
        </w:rPr>
        <w:t>kaip 1 iš 100</w:t>
      </w:r>
      <w:r>
        <w:rPr>
          <w:rFonts w:ascii="Times New Roman" w:eastAsia="Times New Roman" w:hAnsi="Times New Roman" w:cs="Times New Roman"/>
          <w:b/>
        </w:rPr>
        <w:t xml:space="preserve"> asmenų</w:t>
      </w:r>
      <w:r w:rsidR="009501EF" w:rsidRPr="008A351A">
        <w:rPr>
          <w:rFonts w:ascii="Times New Roman" w:eastAsia="Times New Roman" w:hAnsi="Times New Roman" w:cs="Times New Roman"/>
          <w:b/>
        </w:rPr>
        <w:t>)</w:t>
      </w:r>
      <w:r>
        <w:rPr>
          <w:rFonts w:ascii="Times New Roman" w:eastAsia="Times New Roman" w:hAnsi="Times New Roman" w:cs="Times New Roman"/>
          <w:b/>
        </w:rPr>
        <w:t>:</w:t>
      </w:r>
    </w:p>
    <w:p w14:paraId="6CF8CCC5" w14:textId="77777777" w:rsidR="009501EF" w:rsidRPr="008A351A" w:rsidRDefault="009501EF" w:rsidP="009501EF">
      <w:pPr>
        <w:tabs>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Priepuoliai arba smūgiai.</w:t>
      </w:r>
    </w:p>
    <w:p w14:paraId="1FD4A2AC" w14:textId="77777777" w:rsidR="009501EF" w:rsidRPr="008A351A" w:rsidRDefault="009501EF" w:rsidP="009501EF">
      <w:pPr>
        <w:tabs>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Alerginės reakcijos, kurios gali pasireikšti guzeliais (pūslėmis), odos paburkimu ir patinimu apie burną.</w:t>
      </w:r>
    </w:p>
    <w:p w14:paraId="3B7152C3" w14:textId="77777777" w:rsidR="009501EF" w:rsidRPr="008A351A" w:rsidRDefault="009501EF" w:rsidP="009501E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Alpimas (gali sukelti kritimą)</w:t>
      </w:r>
    </w:p>
    <w:p w14:paraId="0580D81D"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Nemalonus pojūtis kojose (vadinamasis neramių kojų sindromas).</w:t>
      </w:r>
    </w:p>
    <w:p w14:paraId="3AEF78C6"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Sunkumas nuryti.</w:t>
      </w:r>
    </w:p>
    <w:p w14:paraId="0FF90C2A" w14:textId="77777777" w:rsidR="009501EF" w:rsidRPr="008A351A" w:rsidRDefault="004C434A"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Nevalingi </w:t>
      </w:r>
      <w:r w:rsidR="009501EF" w:rsidRPr="008A351A">
        <w:rPr>
          <w:rFonts w:ascii="Times New Roman" w:eastAsia="Times New Roman" w:hAnsi="Times New Roman" w:cs="Times New Roman"/>
        </w:rPr>
        <w:t>judesiai, daugiausiai veido arba liežuvio</w:t>
      </w:r>
    </w:p>
    <w:p w14:paraId="60545EA1"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Lytinė disfunkcija.</w:t>
      </w:r>
    </w:p>
    <w:p w14:paraId="1FBF293F" w14:textId="77777777" w:rsidR="009501EF" w:rsidRPr="008A351A" w:rsidRDefault="009501EF" w:rsidP="009501EF">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8A351A">
        <w:rPr>
          <w:rFonts w:ascii="Times New Roman" w:eastAsia="Times New Roman" w:hAnsi="Times New Roman" w:cs="Times New Roman"/>
        </w:rPr>
        <w:t>Užkimšta nosis</w:t>
      </w:r>
      <w:r w:rsidR="009328DF" w:rsidRPr="008A351A">
        <w:rPr>
          <w:rFonts w:ascii="Times New Roman" w:eastAsia="Times New Roman" w:hAnsi="Times New Roman" w:cs="Times New Roman"/>
        </w:rPr>
        <w:t>.</w:t>
      </w:r>
    </w:p>
    <w:p w14:paraId="039E18CD"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Cukrinis diabetas</w:t>
      </w:r>
      <w:r w:rsidR="009328DF" w:rsidRPr="008A351A">
        <w:rPr>
          <w:rFonts w:ascii="Times New Roman" w:eastAsia="Times New Roman" w:hAnsi="Times New Roman" w:cs="Times New Roman"/>
        </w:rPr>
        <w:t>.</w:t>
      </w:r>
    </w:p>
    <w:p w14:paraId="632A2BD0"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color w:val="262626"/>
        </w:rPr>
        <w:t>Širdies elektrinės veiklos pokytis, nustatytas užrašius elektrokardiogramą (QT intervalo pailgėjimas)</w:t>
      </w:r>
      <w:r w:rsidR="009328DF" w:rsidRPr="008A351A">
        <w:rPr>
          <w:rFonts w:ascii="Times New Roman" w:eastAsia="Times New Roman" w:hAnsi="Times New Roman" w:cs="Times New Roman"/>
          <w:color w:val="262626"/>
        </w:rPr>
        <w:t>.</w:t>
      </w:r>
    </w:p>
    <w:p w14:paraId="63DFC55E"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Nenormaliai lėtas širdies ritmas, kuris gali atsirasti gydymo pradžioje ir gali būti susijęs su žemu kraujospūdžiu ir alpuliu.</w:t>
      </w:r>
    </w:p>
    <w:p w14:paraId="1AA39C30"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Pasunkėjęs šlapinimasis.</w:t>
      </w:r>
    </w:p>
    <w:p w14:paraId="11ABACA4"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Sumažėjęs raudonųjų kraujo kūnelių kiekis kraujyje.</w:t>
      </w:r>
    </w:p>
    <w:p w14:paraId="020AC2D5" w14:textId="77777777" w:rsidR="009501EF" w:rsidRPr="008A351A"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Natrio koncentracijos kraujyje sumažėjimas.</w:t>
      </w:r>
    </w:p>
    <w:p w14:paraId="71E12225" w14:textId="53FB7059" w:rsidR="009501EF" w:rsidRDefault="009501EF"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Pasunkėjusi cukrinio diabeto būklė. </w:t>
      </w:r>
    </w:p>
    <w:p w14:paraId="7011E3EA" w14:textId="6F0CCC90" w:rsidR="008F6DA1" w:rsidRPr="008A351A" w:rsidRDefault="008F6DA1" w:rsidP="009501EF">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Sumišimas.</w:t>
      </w:r>
    </w:p>
    <w:p w14:paraId="64E7CB32"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2B6B2158" w14:textId="0CEF1DAC"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Ret</w:t>
      </w:r>
      <w:r w:rsidR="002A03E5">
        <w:rPr>
          <w:rFonts w:ascii="Times New Roman" w:eastAsia="Times New Roman" w:hAnsi="Times New Roman" w:cs="Times New Roman"/>
          <w:b/>
          <w:bCs/>
        </w:rPr>
        <w:t>i</w:t>
      </w:r>
      <w:r w:rsidRPr="008A351A">
        <w:rPr>
          <w:rFonts w:ascii="Times New Roman" w:eastAsia="Times New Roman" w:hAnsi="Times New Roman" w:cs="Times New Roman"/>
          <w:b/>
          <w:bCs/>
        </w:rPr>
        <w:t xml:space="preserve"> </w:t>
      </w:r>
      <w:r w:rsidR="002A03E5" w:rsidRPr="008A351A">
        <w:rPr>
          <w:rFonts w:ascii="Times New Roman" w:eastAsia="Times New Roman" w:hAnsi="Times New Roman" w:cs="Times New Roman"/>
          <w:b/>
          <w:bCs/>
        </w:rPr>
        <w:t>šalutini</w:t>
      </w:r>
      <w:r w:rsidR="002A03E5">
        <w:rPr>
          <w:rFonts w:ascii="Times New Roman" w:eastAsia="Times New Roman" w:hAnsi="Times New Roman" w:cs="Times New Roman"/>
          <w:b/>
          <w:bCs/>
        </w:rPr>
        <w:t>o</w:t>
      </w:r>
      <w:r w:rsidR="002A03E5" w:rsidRPr="008A351A">
        <w:rPr>
          <w:rFonts w:ascii="Times New Roman" w:eastAsia="Times New Roman" w:hAnsi="Times New Roman" w:cs="Times New Roman"/>
          <w:b/>
          <w:bCs/>
        </w:rPr>
        <w:t xml:space="preserve"> </w:t>
      </w:r>
      <w:r w:rsidRPr="008A351A">
        <w:rPr>
          <w:rFonts w:ascii="Times New Roman" w:eastAsia="Times New Roman" w:hAnsi="Times New Roman" w:cs="Times New Roman"/>
          <w:b/>
          <w:bCs/>
        </w:rPr>
        <w:t>poveiki</w:t>
      </w:r>
      <w:r w:rsidR="002A03E5">
        <w:rPr>
          <w:rFonts w:ascii="Times New Roman" w:eastAsia="Times New Roman" w:hAnsi="Times New Roman" w:cs="Times New Roman"/>
          <w:b/>
          <w:bCs/>
        </w:rPr>
        <w:t>o reiškiniai</w:t>
      </w:r>
      <w:r w:rsidRPr="008A351A">
        <w:rPr>
          <w:rFonts w:ascii="Times New Roman" w:eastAsia="Times New Roman" w:hAnsi="Times New Roman" w:cs="Times New Roman"/>
        </w:rPr>
        <w:t xml:space="preserve"> </w:t>
      </w:r>
      <w:r w:rsidRPr="008A351A">
        <w:rPr>
          <w:rFonts w:ascii="Times New Roman" w:eastAsia="Times New Roman" w:hAnsi="Times New Roman" w:cs="Times New Roman"/>
          <w:b/>
        </w:rPr>
        <w:t xml:space="preserve">(gali pasireikšti </w:t>
      </w:r>
      <w:r w:rsidR="002A03E5">
        <w:rPr>
          <w:rFonts w:ascii="Times New Roman" w:eastAsia="Times New Roman" w:hAnsi="Times New Roman" w:cs="Times New Roman"/>
          <w:b/>
        </w:rPr>
        <w:t>rečiau</w:t>
      </w:r>
      <w:r w:rsidR="002A03E5" w:rsidRPr="008A351A">
        <w:rPr>
          <w:rFonts w:ascii="Times New Roman" w:eastAsia="Times New Roman" w:hAnsi="Times New Roman" w:cs="Times New Roman"/>
          <w:b/>
        </w:rPr>
        <w:t xml:space="preserve"> </w:t>
      </w:r>
      <w:r w:rsidRPr="008A351A">
        <w:rPr>
          <w:rFonts w:ascii="Times New Roman" w:eastAsia="Times New Roman" w:hAnsi="Times New Roman" w:cs="Times New Roman"/>
          <w:b/>
        </w:rPr>
        <w:t>kaip 1 iš 1000</w:t>
      </w:r>
      <w:r w:rsidR="002A03E5">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r w:rsidR="002A03E5">
        <w:rPr>
          <w:rFonts w:ascii="Times New Roman" w:eastAsia="Times New Roman" w:hAnsi="Times New Roman" w:cs="Times New Roman"/>
          <w:b/>
        </w:rPr>
        <w:t>:</w:t>
      </w:r>
    </w:p>
    <w:p w14:paraId="47EB0130"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Aukštos temperatūros (karščiavimo), prakaitavimo, raumenų sustingimo, labai didelio mieguistumo arba alpulio derinys (negalavimas, vadinamas „piktybiniu neurolepsiniu sindromu“).</w:t>
      </w:r>
    </w:p>
    <w:p w14:paraId="1D996E93"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Odos ir akių pageltonavimas (gelta).</w:t>
      </w:r>
    </w:p>
    <w:p w14:paraId="2233B29B"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Kepenų uždegimas (hepatitas).</w:t>
      </w:r>
    </w:p>
    <w:p w14:paraId="34579670"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Ilgalaikė ir skausminga erekcija (priapizmas).</w:t>
      </w:r>
    </w:p>
    <w:p w14:paraId="1F330E06"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Menstruacijų sutrikimas.</w:t>
      </w:r>
    </w:p>
    <w:p w14:paraId="04ADACAA" w14:textId="77777777" w:rsidR="00D0368C" w:rsidRPr="008A351A" w:rsidRDefault="00D0368C"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Kraujo krešuliai venose, ypač kojų (atsiranda tokie simptomai, kaip kojų tinimas, skausmas ir paraudimas), kurie gali būti pernešti kraujagyslėmis į plaučius, sukeldami skausmą krūtinėje ir sunkumą kvėpuoti. Jei pastebite bet </w:t>
      </w:r>
      <w:r w:rsidR="009328DF" w:rsidRPr="008A351A">
        <w:rPr>
          <w:rFonts w:ascii="Times New Roman" w:eastAsia="Times New Roman" w:hAnsi="Times New Roman" w:cs="Times New Roman"/>
        </w:rPr>
        <w:t xml:space="preserve">kurį </w:t>
      </w:r>
      <w:r w:rsidRPr="008A351A">
        <w:rPr>
          <w:rFonts w:ascii="Times New Roman" w:eastAsia="Times New Roman" w:hAnsi="Times New Roman" w:cs="Times New Roman"/>
        </w:rPr>
        <w:t xml:space="preserve">iš nurodytų simptomų, nedelsdami kreipkitės į gydytoją. </w:t>
      </w:r>
    </w:p>
    <w:p w14:paraId="15C596E1"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Vaikščiojimas, kalbėjimas, valgymas arba kitokia veikla miego metu.</w:t>
      </w:r>
    </w:p>
    <w:p w14:paraId="5839F427"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lastRenderedPageBreak/>
        <w:t>Sumažėjusi kūno temperatūra (hipotermija).</w:t>
      </w:r>
    </w:p>
    <w:p w14:paraId="425861C5"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Krūtų paburkimas ir netikėtai prasidėjusi pieno gamyba (galaktorėja).</w:t>
      </w:r>
    </w:p>
    <w:p w14:paraId="53ABA818"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Kasos uždegimas. </w:t>
      </w:r>
    </w:p>
    <w:p w14:paraId="7B5C7F46"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Sveikatos sutrikimas („metabolinis sindromas“), pasireiškiantis 3 ar daugiau simptomų deriniu: riebalų sankaupa ant pilvo, „gero cholesterolio“ (HDL-C) kiekio sumažėjimas, tam tikro tipo riebalų, vadinamų trigliceridais, kiekio padidėjimas kraujyje, aukštas kraujospūdis ir padidėjęs cukraus kiekis kraujyje.</w:t>
      </w:r>
    </w:p>
    <w:p w14:paraId="268BA97A"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Karščiavimo, gripo simptomų, gerklės skausmo ar kitos infekcijos bei labai mažo eritrocitų skaičiaus kraujyje derinys; šis sveikatos sutrikimas vadinamas agranuliocitozė.</w:t>
      </w:r>
    </w:p>
    <w:p w14:paraId="56F16956"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Žarnų užsikimšimas.</w:t>
      </w:r>
    </w:p>
    <w:p w14:paraId="0662F50B" w14:textId="77777777" w:rsidR="009501EF" w:rsidRPr="008A351A" w:rsidRDefault="009501EF" w:rsidP="009501EF">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Kreatinino fosfokinazės (raumenų medžiagos) kiekio kraujyje padidėjimas.</w:t>
      </w:r>
    </w:p>
    <w:p w14:paraId="1D5F5095"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p>
    <w:p w14:paraId="6CA336B3" w14:textId="66A9CF75"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bCs/>
        </w:rPr>
        <w:t xml:space="preserve">Labai </w:t>
      </w:r>
      <w:r w:rsidR="002A03E5" w:rsidRPr="008A351A">
        <w:rPr>
          <w:rFonts w:ascii="Times New Roman" w:eastAsia="Times New Roman" w:hAnsi="Times New Roman" w:cs="Times New Roman"/>
          <w:b/>
          <w:bCs/>
        </w:rPr>
        <w:t>ret</w:t>
      </w:r>
      <w:r w:rsidR="002A03E5">
        <w:rPr>
          <w:rFonts w:ascii="Times New Roman" w:eastAsia="Times New Roman" w:hAnsi="Times New Roman" w:cs="Times New Roman"/>
          <w:b/>
          <w:bCs/>
        </w:rPr>
        <w:t>i</w:t>
      </w:r>
      <w:r w:rsidR="002A03E5" w:rsidRPr="008A351A">
        <w:rPr>
          <w:rFonts w:ascii="Times New Roman" w:eastAsia="Times New Roman" w:hAnsi="Times New Roman" w:cs="Times New Roman"/>
          <w:b/>
          <w:bCs/>
        </w:rPr>
        <w:t xml:space="preserve"> </w:t>
      </w:r>
      <w:r w:rsidRPr="008A351A">
        <w:rPr>
          <w:rFonts w:ascii="Times New Roman" w:eastAsia="Times New Roman" w:hAnsi="Times New Roman" w:cs="Times New Roman"/>
          <w:b/>
          <w:bCs/>
        </w:rPr>
        <w:t>šalutini</w:t>
      </w:r>
      <w:r w:rsidR="002A03E5">
        <w:rPr>
          <w:rFonts w:ascii="Times New Roman" w:eastAsia="Times New Roman" w:hAnsi="Times New Roman" w:cs="Times New Roman"/>
          <w:b/>
          <w:bCs/>
        </w:rPr>
        <w:t>o</w:t>
      </w:r>
      <w:r w:rsidRPr="008A351A">
        <w:rPr>
          <w:rFonts w:ascii="Times New Roman" w:eastAsia="Times New Roman" w:hAnsi="Times New Roman" w:cs="Times New Roman"/>
          <w:b/>
          <w:bCs/>
        </w:rPr>
        <w:t xml:space="preserve"> poveiki</w:t>
      </w:r>
      <w:r w:rsidR="002A03E5">
        <w:rPr>
          <w:rFonts w:ascii="Times New Roman" w:eastAsia="Times New Roman" w:hAnsi="Times New Roman" w:cs="Times New Roman"/>
          <w:b/>
          <w:bCs/>
        </w:rPr>
        <w:t>o reiškiniai</w:t>
      </w:r>
      <w:r w:rsidRPr="008A351A">
        <w:rPr>
          <w:rFonts w:ascii="Times New Roman" w:eastAsia="Times New Roman" w:hAnsi="Times New Roman" w:cs="Times New Roman"/>
          <w:b/>
        </w:rPr>
        <w:t xml:space="preserve"> (gali pasireikšti </w:t>
      </w:r>
      <w:r w:rsidR="002A03E5">
        <w:rPr>
          <w:rFonts w:ascii="Times New Roman" w:eastAsia="Times New Roman" w:hAnsi="Times New Roman" w:cs="Times New Roman"/>
          <w:b/>
        </w:rPr>
        <w:t>rečiau</w:t>
      </w:r>
      <w:r w:rsidR="002A03E5" w:rsidRPr="008A351A">
        <w:rPr>
          <w:rFonts w:ascii="Times New Roman" w:eastAsia="Times New Roman" w:hAnsi="Times New Roman" w:cs="Times New Roman"/>
          <w:b/>
        </w:rPr>
        <w:t xml:space="preserve"> </w:t>
      </w:r>
      <w:r w:rsidRPr="008A351A">
        <w:rPr>
          <w:rFonts w:ascii="Times New Roman" w:eastAsia="Times New Roman" w:hAnsi="Times New Roman" w:cs="Times New Roman"/>
          <w:b/>
        </w:rPr>
        <w:t>kaip 1 iš 10000</w:t>
      </w:r>
      <w:r w:rsidR="002A03E5">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r w:rsidR="002A03E5">
        <w:rPr>
          <w:rFonts w:ascii="Times New Roman" w:eastAsia="Times New Roman" w:hAnsi="Times New Roman" w:cs="Times New Roman"/>
          <w:b/>
        </w:rPr>
        <w:t>:</w:t>
      </w:r>
    </w:p>
    <w:p w14:paraId="4C76514F" w14:textId="77777777" w:rsidR="009501EF" w:rsidRPr="008A351A"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Stiprus odos bėrimas, pūslės arba raudonos dėmės.</w:t>
      </w:r>
    </w:p>
    <w:p w14:paraId="721A2D45" w14:textId="77777777" w:rsidR="009501EF" w:rsidRPr="008A351A"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Sunki alerginė reakcija (vadinama anafilaksija), kuri gali pasireikšti kvėpavimo sutrikimu arba šoku.</w:t>
      </w:r>
    </w:p>
    <w:p w14:paraId="7147ADA5" w14:textId="77777777" w:rsidR="009501EF" w:rsidRPr="008A351A"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Greitas odos patinimas, dažniausiai akių, lūpų arba burnos plote (angioneurozinė edema).</w:t>
      </w:r>
    </w:p>
    <w:p w14:paraId="65DD7D43" w14:textId="77777777" w:rsidR="009501EF" w:rsidRPr="008A351A"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Sunki būklė, kurios metu ant odos, burnos, aplink akis ir ant genitalijų atsiranda pūslės (</w:t>
      </w:r>
      <w:r w:rsidR="007E3E60" w:rsidRPr="008A351A">
        <w:rPr>
          <w:rFonts w:ascii="Times New Roman" w:eastAsia="Times New Roman" w:hAnsi="Times New Roman" w:cs="Times New Roman"/>
        </w:rPr>
        <w:t>Stivenso-Džonsono</w:t>
      </w:r>
      <w:r w:rsidRPr="008A351A">
        <w:rPr>
          <w:rFonts w:ascii="Times New Roman" w:eastAsia="Times New Roman" w:hAnsi="Times New Roman" w:cs="Times New Roman"/>
        </w:rPr>
        <w:t xml:space="preserve"> sindromas).</w:t>
      </w:r>
    </w:p>
    <w:p w14:paraId="7D1B69F3" w14:textId="77777777" w:rsidR="009501EF" w:rsidRPr="008A351A"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Hormono, kontroliuojančio šlapimo kiekį, netinkama sekrecija.</w:t>
      </w:r>
    </w:p>
    <w:p w14:paraId="1FBC7DB9" w14:textId="77777777" w:rsidR="009501EF" w:rsidRPr="008A351A"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Raumenų audinio skilimas ir skausmas raumenyse (rabdomioliozė).</w:t>
      </w:r>
    </w:p>
    <w:p w14:paraId="1D2FF22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369BB1A" w14:textId="4960CE06" w:rsidR="009501EF" w:rsidRPr="008A351A" w:rsidRDefault="002A03E5" w:rsidP="009501EF">
      <w:pPr>
        <w:tabs>
          <w:tab w:val="left" w:pos="567"/>
        </w:tabs>
        <w:spacing w:after="0" w:line="240" w:lineRule="auto"/>
        <w:rPr>
          <w:rFonts w:ascii="Times New Roman" w:hAnsi="Times New Roman"/>
          <w:b/>
          <w:color w:val="343434"/>
        </w:rPr>
      </w:pPr>
      <w:r w:rsidRPr="00845802">
        <w:rPr>
          <w:rFonts w:ascii="Times New Roman" w:hAnsi="Times New Roman" w:cs="Times New Roman"/>
          <w:b/>
          <w:bCs/>
          <w:noProof/>
          <w:snapToGrid w:val="0"/>
        </w:rPr>
        <w:t xml:space="preserve">Šalutinio poveikio reiškiniai, kurių dažnis </w:t>
      </w:r>
      <w:r>
        <w:rPr>
          <w:rFonts w:ascii="Times New Roman" w:hAnsi="Times New Roman" w:cs="Times New Roman"/>
          <w:b/>
          <w:bCs/>
          <w:noProof/>
          <w:snapToGrid w:val="0"/>
        </w:rPr>
        <w:t>n</w:t>
      </w:r>
      <w:r w:rsidR="009501EF" w:rsidRPr="008A351A">
        <w:rPr>
          <w:rFonts w:ascii="Times New Roman" w:eastAsia="Times New Roman" w:hAnsi="Times New Roman" w:cs="Times New Roman"/>
          <w:b/>
        </w:rPr>
        <w:t>ežinomas (</w:t>
      </w:r>
      <w:r w:rsidR="009501EF" w:rsidRPr="008A351A">
        <w:rPr>
          <w:rFonts w:ascii="Times New Roman" w:hAnsi="Times New Roman"/>
          <w:b/>
          <w:color w:val="343434"/>
        </w:rPr>
        <w:t xml:space="preserve">negali būti </w:t>
      </w:r>
      <w:r>
        <w:rPr>
          <w:rFonts w:ascii="Times New Roman" w:hAnsi="Times New Roman"/>
          <w:b/>
          <w:color w:val="343434"/>
        </w:rPr>
        <w:t>apskaičiuotas</w:t>
      </w:r>
      <w:r w:rsidRPr="008A351A">
        <w:rPr>
          <w:rFonts w:ascii="Times New Roman" w:hAnsi="Times New Roman"/>
          <w:b/>
          <w:color w:val="343434"/>
        </w:rPr>
        <w:t xml:space="preserve"> </w:t>
      </w:r>
      <w:r w:rsidR="009501EF" w:rsidRPr="008A351A">
        <w:rPr>
          <w:rFonts w:ascii="Times New Roman" w:hAnsi="Times New Roman"/>
          <w:b/>
          <w:color w:val="343434"/>
        </w:rPr>
        <w:t>pagal turimus duomenis)</w:t>
      </w:r>
      <w:r>
        <w:rPr>
          <w:rFonts w:ascii="Times New Roman" w:hAnsi="Times New Roman"/>
          <w:b/>
          <w:color w:val="343434"/>
        </w:rPr>
        <w:t>:</w:t>
      </w:r>
    </w:p>
    <w:p w14:paraId="1A3BB4BB" w14:textId="07B60AFC" w:rsidR="009501EF" w:rsidRPr="001319ED"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Odos </w:t>
      </w:r>
      <w:r w:rsidRPr="008A351A">
        <w:rPr>
          <w:rFonts w:ascii="Times New Roman" w:hAnsi="Times New Roman"/>
          <w:color w:val="262626"/>
        </w:rPr>
        <w:t>bėrimas su raudonom</w:t>
      </w:r>
      <w:r w:rsidR="0066448C">
        <w:rPr>
          <w:rFonts w:ascii="Times New Roman" w:hAnsi="Times New Roman"/>
          <w:color w:val="262626"/>
        </w:rPr>
        <w:t>is</w:t>
      </w:r>
      <w:r w:rsidRPr="008A351A">
        <w:rPr>
          <w:rFonts w:ascii="Times New Roman" w:hAnsi="Times New Roman"/>
          <w:color w:val="262626"/>
        </w:rPr>
        <w:t xml:space="preserve"> </w:t>
      </w:r>
      <w:r w:rsidR="0066448C">
        <w:rPr>
          <w:rFonts w:ascii="Times New Roman" w:hAnsi="Times New Roman"/>
          <w:color w:val="262626"/>
        </w:rPr>
        <w:t>netaisyklingomis</w:t>
      </w:r>
      <w:r w:rsidR="0066448C" w:rsidRPr="008A351A">
        <w:rPr>
          <w:rFonts w:ascii="Times New Roman" w:hAnsi="Times New Roman"/>
          <w:color w:val="262626"/>
        </w:rPr>
        <w:t xml:space="preserve"> </w:t>
      </w:r>
      <w:r w:rsidRPr="008A351A">
        <w:rPr>
          <w:rFonts w:ascii="Times New Roman" w:hAnsi="Times New Roman"/>
          <w:color w:val="262626"/>
        </w:rPr>
        <w:t>dėmėm</w:t>
      </w:r>
      <w:r w:rsidR="003A3F8C">
        <w:rPr>
          <w:rFonts w:ascii="Times New Roman" w:hAnsi="Times New Roman"/>
          <w:color w:val="262626"/>
        </w:rPr>
        <w:t>is</w:t>
      </w:r>
      <w:r w:rsidRPr="008A351A">
        <w:rPr>
          <w:rFonts w:ascii="Times New Roman" w:hAnsi="Times New Roman"/>
          <w:color w:val="262626"/>
        </w:rPr>
        <w:t xml:space="preserve"> (daugiaformė eritema).</w:t>
      </w:r>
      <w:r w:rsidR="001319ED">
        <w:rPr>
          <w:rFonts w:ascii="Times New Roman" w:hAnsi="Times New Roman"/>
          <w:color w:val="262626"/>
        </w:rPr>
        <w:t xml:space="preserve"> </w:t>
      </w:r>
      <w:bookmarkStart w:id="23" w:name="_Hlk161351807"/>
      <w:r w:rsidR="001319ED">
        <w:rPr>
          <w:rFonts w:ascii="Times New Roman" w:hAnsi="Times New Roman"/>
          <w:color w:val="262626"/>
        </w:rPr>
        <w:t>Žr. 2 skyrių.</w:t>
      </w:r>
    </w:p>
    <w:p w14:paraId="5360E930" w14:textId="70BA5068" w:rsidR="001319ED" w:rsidRPr="008A351A" w:rsidRDefault="001319ED"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1319ED">
        <w:rPr>
          <w:rFonts w:ascii="Times New Roman" w:eastAsia="Times New Roman" w:hAnsi="Times New Roman" w:cs="Times New Roman"/>
        </w:rPr>
        <w:t>Greitai atsirandantys raudonos odos plotai, nusėti mažomis pūslelėmis (mažo</w:t>
      </w:r>
      <w:r>
        <w:rPr>
          <w:rFonts w:ascii="Times New Roman" w:eastAsia="Times New Roman" w:hAnsi="Times New Roman" w:cs="Times New Roman"/>
        </w:rPr>
        <w:t>mi</w:t>
      </w:r>
      <w:r w:rsidRPr="001319ED">
        <w:rPr>
          <w:rFonts w:ascii="Times New Roman" w:eastAsia="Times New Roman" w:hAnsi="Times New Roman" w:cs="Times New Roman"/>
        </w:rPr>
        <w:t>s pūslelė</w:t>
      </w:r>
      <w:r>
        <w:rPr>
          <w:rFonts w:ascii="Times New Roman" w:eastAsia="Times New Roman" w:hAnsi="Times New Roman" w:cs="Times New Roman"/>
        </w:rPr>
        <w:t>mi</w:t>
      </w:r>
      <w:r w:rsidRPr="001319ED">
        <w:rPr>
          <w:rFonts w:ascii="Times New Roman" w:eastAsia="Times New Roman" w:hAnsi="Times New Roman" w:cs="Times New Roman"/>
        </w:rPr>
        <w:t>s, pripildyto</w:t>
      </w:r>
      <w:r>
        <w:rPr>
          <w:rFonts w:ascii="Times New Roman" w:eastAsia="Times New Roman" w:hAnsi="Times New Roman" w:cs="Times New Roman"/>
        </w:rPr>
        <w:t>mi</w:t>
      </w:r>
      <w:r w:rsidRPr="001319ED">
        <w:rPr>
          <w:rFonts w:ascii="Times New Roman" w:eastAsia="Times New Roman" w:hAnsi="Times New Roman" w:cs="Times New Roman"/>
        </w:rPr>
        <w:t>s balto</w:t>
      </w:r>
      <w:r>
        <w:rPr>
          <w:rFonts w:ascii="Times New Roman" w:eastAsia="Times New Roman" w:hAnsi="Times New Roman" w:cs="Times New Roman"/>
        </w:rPr>
        <w:t xml:space="preserve"> </w:t>
      </w:r>
      <w:r w:rsidRPr="001319ED">
        <w:rPr>
          <w:rFonts w:ascii="Times New Roman" w:eastAsia="Times New Roman" w:hAnsi="Times New Roman" w:cs="Times New Roman"/>
        </w:rPr>
        <w:t>/</w:t>
      </w:r>
      <w:r>
        <w:rPr>
          <w:rFonts w:ascii="Times New Roman" w:eastAsia="Times New Roman" w:hAnsi="Times New Roman" w:cs="Times New Roman"/>
        </w:rPr>
        <w:t xml:space="preserve"> </w:t>
      </w:r>
      <w:r w:rsidRPr="001319ED">
        <w:rPr>
          <w:rFonts w:ascii="Times New Roman" w:eastAsia="Times New Roman" w:hAnsi="Times New Roman" w:cs="Times New Roman"/>
        </w:rPr>
        <w:t>geltono skysčio, vadinamo</w:t>
      </w:r>
      <w:r>
        <w:rPr>
          <w:rFonts w:ascii="Times New Roman" w:eastAsia="Times New Roman" w:hAnsi="Times New Roman" w:cs="Times New Roman"/>
        </w:rPr>
        <w:t>mi</w:t>
      </w:r>
      <w:r w:rsidRPr="001319ED">
        <w:rPr>
          <w:rFonts w:ascii="Times New Roman" w:eastAsia="Times New Roman" w:hAnsi="Times New Roman" w:cs="Times New Roman"/>
        </w:rPr>
        <w:t>s ūmine generalizuota egzantemine p</w:t>
      </w:r>
      <w:r>
        <w:rPr>
          <w:rFonts w:ascii="Times New Roman" w:eastAsia="Times New Roman" w:hAnsi="Times New Roman" w:cs="Times New Roman"/>
        </w:rPr>
        <w:t>ustulioze [</w:t>
      </w:r>
      <w:r w:rsidRPr="001319ED">
        <w:rPr>
          <w:rFonts w:ascii="Times New Roman" w:eastAsia="Times New Roman" w:hAnsi="Times New Roman" w:cs="Times New Roman"/>
        </w:rPr>
        <w:t>AGEP</w:t>
      </w:r>
      <w:r>
        <w:rPr>
          <w:rFonts w:ascii="Times New Roman" w:eastAsia="Times New Roman" w:hAnsi="Times New Roman" w:cs="Times New Roman"/>
        </w:rPr>
        <w:t>]</w:t>
      </w:r>
      <w:r w:rsidRPr="001319ED">
        <w:rPr>
          <w:rFonts w:ascii="Times New Roman" w:eastAsia="Times New Roman" w:hAnsi="Times New Roman" w:cs="Times New Roman"/>
        </w:rPr>
        <w:t>). Žr. 2 skyrių.</w:t>
      </w:r>
    </w:p>
    <w:bookmarkEnd w:id="23"/>
    <w:p w14:paraId="7F912D11" w14:textId="7766066D" w:rsidR="009501EF"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Sunki, staigiai pasireiškianti alerginė reakcija su tokiais simptomais, kaip karščiavimas, pūslės ant odos ir odos lupimasis (toksinė epiderminė nekrolizė).</w:t>
      </w:r>
      <w:r w:rsidR="00811B8D">
        <w:rPr>
          <w:rFonts w:ascii="Times New Roman" w:eastAsia="Times New Roman" w:hAnsi="Times New Roman" w:cs="Times New Roman"/>
        </w:rPr>
        <w:t xml:space="preserve"> </w:t>
      </w:r>
      <w:r w:rsidR="00811B8D" w:rsidRPr="00811B8D">
        <w:rPr>
          <w:rFonts w:ascii="Times New Roman" w:eastAsia="Times New Roman" w:hAnsi="Times New Roman" w:cs="Times New Roman"/>
        </w:rPr>
        <w:t>Žr. 2 skyrių</w:t>
      </w:r>
      <w:r w:rsidR="00811B8D">
        <w:rPr>
          <w:rFonts w:ascii="Times New Roman" w:eastAsia="Times New Roman" w:hAnsi="Times New Roman" w:cs="Times New Roman"/>
        </w:rPr>
        <w:t>.</w:t>
      </w:r>
    </w:p>
    <w:p w14:paraId="2011715F" w14:textId="1B84206D" w:rsidR="00811B8D" w:rsidRPr="00433CA3" w:rsidRDefault="00811B8D" w:rsidP="00811B8D">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11B8D">
        <w:rPr>
          <w:rFonts w:ascii="Times New Roman" w:eastAsia="Times New Roman" w:hAnsi="Times New Roman" w:cs="Times New Roman"/>
        </w:rPr>
        <w:t xml:space="preserve">Vaisto sukelta reakcija su eozinofilija ir sisteminiais simptomais </w:t>
      </w:r>
      <w:r w:rsidRPr="00433CA3">
        <w:rPr>
          <w:rFonts w:ascii="Times New Roman" w:eastAsia="Times New Roman" w:hAnsi="Times New Roman" w:cs="Times New Roman"/>
        </w:rPr>
        <w:t>(DRESS), pasireiškianti į gripą panašiais simptomais su bėrimu, karščiavimu, patinusiais liaukomis ir kraujo tyrimų rodmenų pokyčiais (įskaitant padidėjusį leukocitų (eozinofilija) ir kepenų fermentų kiekį). Žr. 2 skyrių.</w:t>
      </w:r>
    </w:p>
    <w:p w14:paraId="7F7ADBC9" w14:textId="77777777" w:rsidR="009501EF" w:rsidRPr="008A351A" w:rsidRDefault="009501EF" w:rsidP="009501E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Motinų, kurios vartojo Quetiapine Accord nėštumo metu, kūdikiams gali pasireikšti vaisto vartojimo nutraukimo simptomai.</w:t>
      </w:r>
    </w:p>
    <w:p w14:paraId="274E9C8A" w14:textId="2C78FD2A" w:rsidR="000A6CDB" w:rsidRDefault="00A71733" w:rsidP="00492B65">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I</w:t>
      </w:r>
      <w:r w:rsidR="000A6CDB" w:rsidRPr="008A351A">
        <w:rPr>
          <w:rFonts w:ascii="Times New Roman" w:eastAsia="Times New Roman" w:hAnsi="Times New Roman" w:cs="Times New Roman"/>
        </w:rPr>
        <w:t>nsultas</w:t>
      </w:r>
      <w:r w:rsidR="009328DF" w:rsidRPr="008A351A">
        <w:rPr>
          <w:rFonts w:ascii="Times New Roman" w:eastAsia="Times New Roman" w:hAnsi="Times New Roman" w:cs="Times New Roman"/>
        </w:rPr>
        <w:t>.</w:t>
      </w:r>
    </w:p>
    <w:p w14:paraId="47B558FD" w14:textId="77777777" w:rsidR="00FF431F" w:rsidRDefault="00FF431F" w:rsidP="00FF431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Širdies raumens pažeidimas (kardiomiopatija).</w:t>
      </w:r>
    </w:p>
    <w:p w14:paraId="1323C0EC" w14:textId="0965CA44" w:rsidR="00FF431F" w:rsidRDefault="00FF431F" w:rsidP="00FF431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Širdies raumens uždegimas (miokarditas).</w:t>
      </w:r>
    </w:p>
    <w:p w14:paraId="38950388" w14:textId="3689D5CA" w:rsidR="00FF431F" w:rsidRPr="00CC4178" w:rsidRDefault="00FF431F" w:rsidP="00FF431F">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FF431F">
        <w:rPr>
          <w:rFonts w:ascii="Times New Roman" w:eastAsia="Times New Roman" w:hAnsi="Times New Roman" w:cs="Times New Roman"/>
        </w:rPr>
        <w:t>Kraujagyslių uždegimas (vaskulitas), kuris dažnai pasireiškia su odos išbėrimu mažomis raudonomis ar purpurinėmis iškilomis dėmelėmis</w:t>
      </w:r>
      <w:r w:rsidRPr="00CC4178">
        <w:rPr>
          <w:rFonts w:ascii="Times New Roman" w:eastAsia="Times New Roman" w:hAnsi="Times New Roman" w:cs="Times New Roman"/>
        </w:rPr>
        <w:t>.</w:t>
      </w:r>
    </w:p>
    <w:p w14:paraId="0DD830FA" w14:textId="77777777" w:rsidR="009501EF" w:rsidRPr="008A351A" w:rsidRDefault="009501EF" w:rsidP="009501EF">
      <w:pPr>
        <w:tabs>
          <w:tab w:val="left" w:pos="567"/>
        </w:tabs>
        <w:spacing w:after="0" w:line="240" w:lineRule="auto"/>
        <w:rPr>
          <w:rFonts w:ascii="Times New Roman" w:eastAsia="Times New Roman" w:hAnsi="Times New Roman" w:cs="Times New Roman"/>
          <w:b/>
        </w:rPr>
      </w:pPr>
    </w:p>
    <w:p w14:paraId="39DBAE4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Vaistų klasė, kuriai priklauso Quetiapine Accord, gali sukelti širdies ritmo sutrikimus, kurie gali būti sunkūs, o rimtais atvejais mirtini.</w:t>
      </w:r>
    </w:p>
    <w:p w14:paraId="3BBAA4C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24F3F5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Kai kuriuos šalutinius poveikius galima nustatyti tik kraujo tyrimų metu. Tokie poveikiai yra kai kurių riebalų ląstelių (trigliceridų ir bendro cholesterolio) arba gliukozės kiekio padaugėjimas, skydliaukės hormonų kiekio kraujyje pakitimai, kepenų fermentų aktyvumo padidėjimas, kai kurių tipų kraujo ląstelių skaičiaus sumažėjimas, </w:t>
      </w:r>
      <w:r w:rsidR="00D0368C" w:rsidRPr="008A351A">
        <w:rPr>
          <w:rFonts w:ascii="Times New Roman" w:eastAsia="Times New Roman" w:hAnsi="Times New Roman" w:cs="Times New Roman"/>
        </w:rPr>
        <w:t xml:space="preserve">raudonųjų kraujo kūnelių kiekio sumažėjimas, </w:t>
      </w:r>
      <w:r w:rsidRPr="008A351A">
        <w:rPr>
          <w:rFonts w:ascii="Times New Roman" w:eastAsia="Times New Roman" w:hAnsi="Times New Roman" w:cs="Times New Roman"/>
        </w:rPr>
        <w:t>kraujo kreatino fosfokinazės (raumenų medžiagos) padidėjimas, natrio koncentracijos kraujyje sumažėjimas ir hormono prolaktino kiekio kraujyje padidėjimas. Hormono prolaktino kiekio padidėjimas retais atvejais gali pasireikšti:</w:t>
      </w:r>
    </w:p>
    <w:p w14:paraId="353E4539"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vyrams ir moterims krūtų paburkimu ir netikėtai prasidėjusia pieno gamyba;</w:t>
      </w:r>
    </w:p>
    <w:p w14:paraId="30F27A45" w14:textId="77777777" w:rsidR="009501EF" w:rsidRPr="008A351A" w:rsidRDefault="009501EF" w:rsidP="009501EF">
      <w:pPr>
        <w:tabs>
          <w:tab w:val="left" w:pos="567"/>
        </w:tabs>
        <w:spacing w:after="0" w:line="240" w:lineRule="auto"/>
        <w:ind w:left="567" w:hanging="567"/>
        <w:rPr>
          <w:rFonts w:ascii="Times New Roman" w:eastAsia="Times New Roman" w:hAnsi="Times New Roman" w:cs="Times New Roman"/>
        </w:rPr>
      </w:pPr>
      <w:r w:rsidRPr="008A351A">
        <w:rPr>
          <w:rFonts w:ascii="Times New Roman" w:eastAsia="Times New Roman" w:hAnsi="Times New Roman" w:cs="Times New Roman"/>
        </w:rPr>
        <w:sym w:font="Symbol" w:char="F0B7"/>
      </w:r>
      <w:r w:rsidRPr="008A351A">
        <w:rPr>
          <w:rFonts w:ascii="Times New Roman" w:eastAsia="Times New Roman" w:hAnsi="Times New Roman" w:cs="Times New Roman"/>
        </w:rPr>
        <w:tab/>
        <w:t>moterims galimu mėnesinių išnykimu arba nereguliariu jų ciklu.</w:t>
      </w:r>
    </w:p>
    <w:p w14:paraId="61497C6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5B35BB34"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Retkarčiais gydytojas gali nurodyti Jums atlikti kraujo tyrimus.</w:t>
      </w:r>
    </w:p>
    <w:p w14:paraId="375BA08B"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12AC87D" w14:textId="514DA3B5" w:rsidR="009501EF" w:rsidRPr="008A351A" w:rsidRDefault="002A03E5" w:rsidP="009501EF">
      <w:pPr>
        <w:tabs>
          <w:tab w:val="left" w:pos="36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iCs/>
        </w:rPr>
        <w:lastRenderedPageBreak/>
        <w:t xml:space="preserve">Kitas </w:t>
      </w:r>
      <w:r w:rsidR="00D0368C" w:rsidRPr="008A351A">
        <w:rPr>
          <w:rFonts w:ascii="Times New Roman" w:eastAsia="Times New Roman" w:hAnsi="Times New Roman" w:cs="Times New Roman"/>
          <w:b/>
        </w:rPr>
        <w:t>šalutinis poveikis</w:t>
      </w:r>
      <w:r>
        <w:rPr>
          <w:rFonts w:ascii="Times New Roman" w:eastAsia="Times New Roman" w:hAnsi="Times New Roman" w:cs="Times New Roman"/>
          <w:b/>
        </w:rPr>
        <w:t>, kuris gali pasireikšti</w:t>
      </w:r>
      <w:r w:rsidR="00D0368C" w:rsidRPr="008A351A">
        <w:rPr>
          <w:rFonts w:ascii="Times New Roman" w:eastAsia="Times New Roman" w:hAnsi="Times New Roman" w:cs="Times New Roman"/>
          <w:b/>
        </w:rPr>
        <w:t xml:space="preserve"> v</w:t>
      </w:r>
      <w:r w:rsidR="009501EF" w:rsidRPr="008A351A">
        <w:rPr>
          <w:rFonts w:ascii="Times New Roman" w:eastAsia="Times New Roman" w:hAnsi="Times New Roman" w:cs="Times New Roman"/>
          <w:b/>
        </w:rPr>
        <w:t>aika</w:t>
      </w:r>
      <w:r w:rsidR="00D0368C" w:rsidRPr="008A351A">
        <w:rPr>
          <w:rFonts w:ascii="Times New Roman" w:eastAsia="Times New Roman" w:hAnsi="Times New Roman" w:cs="Times New Roman"/>
          <w:b/>
        </w:rPr>
        <w:t>ms</w:t>
      </w:r>
      <w:r w:rsidR="009501EF" w:rsidRPr="008A351A">
        <w:rPr>
          <w:rFonts w:ascii="Times New Roman" w:eastAsia="Times New Roman" w:hAnsi="Times New Roman" w:cs="Times New Roman"/>
          <w:b/>
        </w:rPr>
        <w:t xml:space="preserve"> ir paauglia</w:t>
      </w:r>
      <w:r w:rsidR="00D0368C" w:rsidRPr="008A351A">
        <w:rPr>
          <w:rFonts w:ascii="Times New Roman" w:eastAsia="Times New Roman" w:hAnsi="Times New Roman" w:cs="Times New Roman"/>
          <w:b/>
        </w:rPr>
        <w:t>ms</w:t>
      </w:r>
    </w:p>
    <w:p w14:paraId="715A5500"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Toks pats šalutinis poveikis kaip suaugusiems gali </w:t>
      </w:r>
      <w:r w:rsidR="00D0368C" w:rsidRPr="008A351A">
        <w:rPr>
          <w:rFonts w:ascii="Times New Roman" w:eastAsia="Times New Roman" w:hAnsi="Times New Roman" w:cs="Times New Roman"/>
        </w:rPr>
        <w:t>pasireikšti</w:t>
      </w:r>
      <w:r w:rsidRPr="008A351A">
        <w:rPr>
          <w:rFonts w:ascii="Times New Roman" w:eastAsia="Times New Roman" w:hAnsi="Times New Roman" w:cs="Times New Roman"/>
        </w:rPr>
        <w:t xml:space="preserve"> vaikams ir paaugliams.</w:t>
      </w:r>
    </w:p>
    <w:p w14:paraId="317BC8E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74D80389" w14:textId="334A4A2A" w:rsidR="009501EF" w:rsidRPr="008A351A" w:rsidRDefault="002A03E5" w:rsidP="009501EF">
      <w:pPr>
        <w:tabs>
          <w:tab w:val="left" w:pos="36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Tol</w:t>
      </w:r>
      <w:r w:rsidRPr="008A351A">
        <w:rPr>
          <w:rFonts w:ascii="Times New Roman" w:eastAsia="Times New Roman" w:hAnsi="Times New Roman" w:cs="Times New Roman"/>
          <w:b/>
        </w:rPr>
        <w:t xml:space="preserve">iau </w:t>
      </w:r>
      <w:r w:rsidR="009501EF" w:rsidRPr="008A351A">
        <w:rPr>
          <w:rFonts w:ascii="Times New Roman" w:eastAsia="Times New Roman" w:hAnsi="Times New Roman" w:cs="Times New Roman"/>
          <w:b/>
        </w:rPr>
        <w:t>pateikti šalutini</w:t>
      </w:r>
      <w:r>
        <w:rPr>
          <w:rFonts w:ascii="Times New Roman" w:eastAsia="Times New Roman" w:hAnsi="Times New Roman" w:cs="Times New Roman"/>
          <w:b/>
        </w:rPr>
        <w:t>o</w:t>
      </w:r>
      <w:r w:rsidR="009501EF" w:rsidRPr="008A351A">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009501EF" w:rsidRPr="008A351A">
        <w:rPr>
          <w:rFonts w:ascii="Times New Roman" w:eastAsia="Times New Roman" w:hAnsi="Times New Roman" w:cs="Times New Roman"/>
          <w:b/>
        </w:rPr>
        <w:t xml:space="preserve"> vaikams ir paaugliams pastebėti dažniau arba suaugusie</w:t>
      </w:r>
      <w:r w:rsidR="00C93102">
        <w:rPr>
          <w:rFonts w:ascii="Times New Roman" w:eastAsia="Times New Roman" w:hAnsi="Times New Roman" w:cs="Times New Roman"/>
          <w:b/>
        </w:rPr>
        <w:t>sie</w:t>
      </w:r>
      <w:r w:rsidR="009501EF" w:rsidRPr="008A351A">
        <w:rPr>
          <w:rFonts w:ascii="Times New Roman" w:eastAsia="Times New Roman" w:hAnsi="Times New Roman" w:cs="Times New Roman"/>
          <w:b/>
        </w:rPr>
        <w:t>ms nebuvo pastebėti</w:t>
      </w:r>
      <w:r w:rsidR="00C93102">
        <w:rPr>
          <w:rFonts w:ascii="Times New Roman" w:eastAsia="Times New Roman" w:hAnsi="Times New Roman" w:cs="Times New Roman"/>
          <w:b/>
        </w:rPr>
        <w:t>.</w:t>
      </w:r>
    </w:p>
    <w:p w14:paraId="1E0C9E00"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p>
    <w:p w14:paraId="651629F5" w14:textId="6087091B"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 xml:space="preserve">Labai </w:t>
      </w:r>
      <w:r w:rsidR="002A03E5" w:rsidRPr="008A351A">
        <w:rPr>
          <w:rFonts w:ascii="Times New Roman" w:eastAsia="Times New Roman" w:hAnsi="Times New Roman" w:cs="Times New Roman"/>
          <w:b/>
        </w:rPr>
        <w:t>dažn</w:t>
      </w:r>
      <w:r w:rsidR="002A03E5">
        <w:rPr>
          <w:rFonts w:ascii="Times New Roman" w:eastAsia="Times New Roman" w:hAnsi="Times New Roman" w:cs="Times New Roman"/>
          <w:b/>
        </w:rPr>
        <w:t>i</w:t>
      </w:r>
      <w:r w:rsidR="002A03E5" w:rsidRPr="008A351A">
        <w:rPr>
          <w:rFonts w:ascii="Times New Roman" w:eastAsia="Times New Roman" w:hAnsi="Times New Roman" w:cs="Times New Roman"/>
          <w:b/>
        </w:rPr>
        <w:t xml:space="preserve"> </w:t>
      </w:r>
      <w:r w:rsidRPr="008A351A">
        <w:rPr>
          <w:rFonts w:ascii="Times New Roman" w:eastAsia="Times New Roman" w:hAnsi="Times New Roman" w:cs="Times New Roman"/>
          <w:b/>
        </w:rPr>
        <w:t>šalutini</w:t>
      </w:r>
      <w:r w:rsidR="002A03E5">
        <w:rPr>
          <w:rFonts w:ascii="Times New Roman" w:eastAsia="Times New Roman" w:hAnsi="Times New Roman" w:cs="Times New Roman"/>
          <w:b/>
        </w:rPr>
        <w:t>o</w:t>
      </w:r>
      <w:r w:rsidRPr="008A351A">
        <w:rPr>
          <w:rFonts w:ascii="Times New Roman" w:eastAsia="Times New Roman" w:hAnsi="Times New Roman" w:cs="Times New Roman"/>
          <w:b/>
        </w:rPr>
        <w:t xml:space="preserve"> poveiki</w:t>
      </w:r>
      <w:r w:rsidR="002A03E5">
        <w:rPr>
          <w:rFonts w:ascii="Times New Roman" w:eastAsia="Times New Roman" w:hAnsi="Times New Roman" w:cs="Times New Roman"/>
          <w:b/>
        </w:rPr>
        <w:t>o reiškiniai</w:t>
      </w:r>
      <w:r w:rsidRPr="008A351A">
        <w:rPr>
          <w:rFonts w:ascii="Times New Roman" w:eastAsia="Times New Roman" w:hAnsi="Times New Roman" w:cs="Times New Roman"/>
          <w:b/>
        </w:rPr>
        <w:t xml:space="preserve"> (</w:t>
      </w:r>
      <w:r w:rsidR="00D0368C" w:rsidRPr="008A351A">
        <w:rPr>
          <w:rFonts w:ascii="Times New Roman" w:eastAsia="Times New Roman" w:hAnsi="Times New Roman" w:cs="Times New Roman"/>
          <w:b/>
        </w:rPr>
        <w:t xml:space="preserve">gali </w:t>
      </w:r>
      <w:r w:rsidRPr="008A351A">
        <w:rPr>
          <w:rFonts w:ascii="Times New Roman" w:eastAsia="Times New Roman" w:hAnsi="Times New Roman" w:cs="Times New Roman"/>
          <w:b/>
        </w:rPr>
        <w:t>pasirei</w:t>
      </w:r>
      <w:r w:rsidR="00D0368C" w:rsidRPr="008A351A">
        <w:rPr>
          <w:rFonts w:ascii="Times New Roman" w:eastAsia="Times New Roman" w:hAnsi="Times New Roman" w:cs="Times New Roman"/>
          <w:b/>
        </w:rPr>
        <w:t>kšti</w:t>
      </w:r>
      <w:r w:rsidRPr="008A351A">
        <w:rPr>
          <w:rFonts w:ascii="Times New Roman" w:eastAsia="Times New Roman" w:hAnsi="Times New Roman" w:cs="Times New Roman"/>
          <w:b/>
        </w:rPr>
        <w:t xml:space="preserve"> </w:t>
      </w:r>
      <w:r w:rsidR="002A03E5">
        <w:rPr>
          <w:rFonts w:ascii="Times New Roman" w:eastAsia="Times New Roman" w:hAnsi="Times New Roman" w:cs="Times New Roman"/>
          <w:b/>
        </w:rPr>
        <w:t>ne rečiau</w:t>
      </w:r>
      <w:r w:rsidR="002A03E5" w:rsidRPr="008A351A">
        <w:rPr>
          <w:rFonts w:ascii="Times New Roman" w:eastAsia="Times New Roman" w:hAnsi="Times New Roman" w:cs="Times New Roman"/>
          <w:b/>
        </w:rPr>
        <w:t xml:space="preserve"> </w:t>
      </w:r>
      <w:r w:rsidR="002A03E5">
        <w:rPr>
          <w:rFonts w:ascii="Times New Roman" w:eastAsia="Times New Roman" w:hAnsi="Times New Roman" w:cs="Times New Roman"/>
          <w:b/>
        </w:rPr>
        <w:t xml:space="preserve">kaip </w:t>
      </w:r>
      <w:r w:rsidRPr="008A351A">
        <w:rPr>
          <w:rFonts w:ascii="Times New Roman" w:eastAsia="Times New Roman" w:hAnsi="Times New Roman" w:cs="Times New Roman"/>
          <w:b/>
        </w:rPr>
        <w:t>1 iš 10</w:t>
      </w:r>
      <w:r w:rsidR="002A03E5">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p>
    <w:p w14:paraId="1E54928B" w14:textId="77777777" w:rsidR="009501EF" w:rsidRPr="008A351A" w:rsidRDefault="009328DF" w:rsidP="009328DF">
      <w:pPr>
        <w:numPr>
          <w:ilvl w:val="0"/>
          <w:numId w:val="17"/>
        </w:numPr>
        <w:tabs>
          <w:tab w:val="left" w:pos="0"/>
          <w:tab w:val="left" w:pos="567"/>
        </w:tabs>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p</w:t>
      </w:r>
      <w:r w:rsidR="009501EF" w:rsidRPr="008A351A">
        <w:rPr>
          <w:rFonts w:ascii="Times New Roman" w:eastAsia="Times New Roman" w:hAnsi="Times New Roman" w:cs="Times New Roman"/>
        </w:rPr>
        <w:t>adidėjęs hormono, vadinamo prolaktinu, kiekis kraujyje. Padidėjęs prolaktinu vadinamo hormono kiekis retais atvejais sukeli</w:t>
      </w:r>
      <w:r w:rsidR="00D0368C" w:rsidRPr="008A351A">
        <w:rPr>
          <w:rFonts w:ascii="Times New Roman" w:eastAsia="Times New Roman" w:hAnsi="Times New Roman" w:cs="Times New Roman"/>
        </w:rPr>
        <w:t>a</w:t>
      </w:r>
      <w:r w:rsidR="009501EF" w:rsidRPr="008A351A">
        <w:rPr>
          <w:rFonts w:ascii="Times New Roman" w:eastAsia="Times New Roman" w:hAnsi="Times New Roman" w:cs="Times New Roman"/>
        </w:rPr>
        <w:t>:</w:t>
      </w:r>
    </w:p>
    <w:p w14:paraId="2D869F9C" w14:textId="77777777" w:rsidR="009501EF" w:rsidRPr="008A351A" w:rsidRDefault="009501EF" w:rsidP="004A2FE7">
      <w:pPr>
        <w:numPr>
          <w:ilvl w:val="0"/>
          <w:numId w:val="18"/>
        </w:numPr>
        <w:tabs>
          <w:tab w:val="left" w:pos="851"/>
        </w:tabs>
        <w:spacing w:after="0" w:line="240" w:lineRule="auto"/>
        <w:ind w:left="993" w:hanging="426"/>
        <w:contextualSpacing/>
        <w:rPr>
          <w:rFonts w:ascii="Times New Roman" w:eastAsia="Times New Roman" w:hAnsi="Times New Roman" w:cs="Times New Roman"/>
        </w:rPr>
      </w:pPr>
      <w:r w:rsidRPr="008A351A">
        <w:rPr>
          <w:rFonts w:ascii="Times New Roman" w:eastAsia="Times New Roman" w:hAnsi="Times New Roman" w:cs="Times New Roman"/>
        </w:rPr>
        <w:t>krūtų paburkimą berniukams ir mergaitėms ir netikėtai prasidėjusią pieno gamybą;</w:t>
      </w:r>
    </w:p>
    <w:p w14:paraId="20A5F798" w14:textId="77777777" w:rsidR="009501EF" w:rsidRPr="008A351A" w:rsidRDefault="009501EF" w:rsidP="004A2FE7">
      <w:pPr>
        <w:numPr>
          <w:ilvl w:val="0"/>
          <w:numId w:val="18"/>
        </w:numPr>
        <w:tabs>
          <w:tab w:val="left" w:pos="851"/>
        </w:tabs>
        <w:spacing w:after="0" w:line="240" w:lineRule="auto"/>
        <w:ind w:left="993" w:hanging="426"/>
        <w:contextualSpacing/>
        <w:rPr>
          <w:rFonts w:ascii="Times New Roman" w:eastAsia="Times New Roman" w:hAnsi="Times New Roman" w:cs="Times New Roman"/>
        </w:rPr>
      </w:pPr>
      <w:r w:rsidRPr="008A351A">
        <w:rPr>
          <w:rFonts w:ascii="Times New Roman" w:eastAsia="Times New Roman" w:hAnsi="Times New Roman" w:cs="Times New Roman"/>
        </w:rPr>
        <w:t>mėnesinių nebuvimą arba nereguliarų jų ciklą mergaitėms</w:t>
      </w:r>
      <w:r w:rsidR="009328DF" w:rsidRPr="008A351A">
        <w:rPr>
          <w:rFonts w:ascii="Times New Roman" w:eastAsia="Times New Roman" w:hAnsi="Times New Roman" w:cs="Times New Roman"/>
        </w:rPr>
        <w:t>;</w:t>
      </w:r>
    </w:p>
    <w:p w14:paraId="1A18467B" w14:textId="77777777" w:rsidR="009501EF" w:rsidRPr="008A351A" w:rsidRDefault="009501EF" w:rsidP="009328DF">
      <w:pPr>
        <w:numPr>
          <w:ilvl w:val="0"/>
          <w:numId w:val="17"/>
        </w:numPr>
        <w:spacing w:after="0" w:line="240" w:lineRule="auto"/>
        <w:ind w:left="540" w:hanging="540"/>
        <w:contextualSpacing/>
        <w:rPr>
          <w:rFonts w:ascii="Times New Roman" w:eastAsia="Times New Roman" w:hAnsi="Times New Roman" w:cs="Times New Roman"/>
        </w:rPr>
      </w:pPr>
      <w:r w:rsidRPr="008A351A">
        <w:rPr>
          <w:rFonts w:ascii="Times New Roman" w:eastAsia="Times New Roman" w:hAnsi="Times New Roman" w:cs="Times New Roman"/>
        </w:rPr>
        <w:t>padidėj</w:t>
      </w:r>
      <w:r w:rsidR="009328DF" w:rsidRPr="008A351A">
        <w:rPr>
          <w:rFonts w:ascii="Times New Roman" w:eastAsia="Times New Roman" w:hAnsi="Times New Roman" w:cs="Times New Roman"/>
        </w:rPr>
        <w:t>ęs</w:t>
      </w:r>
      <w:r w:rsidRPr="008A351A">
        <w:rPr>
          <w:rFonts w:ascii="Times New Roman" w:eastAsia="Times New Roman" w:hAnsi="Times New Roman" w:cs="Times New Roman"/>
        </w:rPr>
        <w:t xml:space="preserve"> </w:t>
      </w:r>
      <w:r w:rsidR="009328DF" w:rsidRPr="008A351A">
        <w:rPr>
          <w:rFonts w:ascii="Times New Roman" w:eastAsia="Times New Roman" w:hAnsi="Times New Roman" w:cs="Times New Roman"/>
        </w:rPr>
        <w:t>apetitas</w:t>
      </w:r>
      <w:r w:rsidRPr="008A351A">
        <w:rPr>
          <w:rFonts w:ascii="Times New Roman" w:eastAsia="Times New Roman" w:hAnsi="Times New Roman" w:cs="Times New Roman"/>
        </w:rPr>
        <w:t>;</w:t>
      </w:r>
    </w:p>
    <w:p w14:paraId="3054A25E" w14:textId="77777777" w:rsidR="00D0368C" w:rsidRPr="008A351A" w:rsidRDefault="009328DF" w:rsidP="004A2FE7">
      <w:pPr>
        <w:numPr>
          <w:ilvl w:val="0"/>
          <w:numId w:val="17"/>
        </w:numPr>
        <w:spacing w:after="0" w:line="240" w:lineRule="auto"/>
        <w:ind w:left="540" w:hanging="540"/>
        <w:contextualSpacing/>
        <w:rPr>
          <w:rFonts w:ascii="Times New Roman" w:eastAsia="Times New Roman" w:hAnsi="Times New Roman" w:cs="Times New Roman"/>
        </w:rPr>
      </w:pPr>
      <w:r w:rsidRPr="008A351A">
        <w:rPr>
          <w:rFonts w:ascii="Times New Roman" w:eastAsia="Times New Roman" w:hAnsi="Times New Roman" w:cs="Times New Roman"/>
        </w:rPr>
        <w:t>vėmimas</w:t>
      </w:r>
      <w:r w:rsidR="009501EF" w:rsidRPr="008A351A">
        <w:rPr>
          <w:rFonts w:ascii="Times New Roman" w:eastAsia="Times New Roman" w:hAnsi="Times New Roman" w:cs="Times New Roman"/>
        </w:rPr>
        <w:t>;</w:t>
      </w:r>
    </w:p>
    <w:p w14:paraId="39E5C724" w14:textId="77777777" w:rsidR="009501EF" w:rsidRPr="008A351A" w:rsidRDefault="009328DF" w:rsidP="004A2FE7">
      <w:pPr>
        <w:numPr>
          <w:ilvl w:val="0"/>
          <w:numId w:val="17"/>
        </w:numPr>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 xml:space="preserve">neįprasti </w:t>
      </w:r>
      <w:r w:rsidR="009501EF" w:rsidRPr="008A351A">
        <w:rPr>
          <w:rFonts w:ascii="Times New Roman" w:eastAsia="Times New Roman" w:hAnsi="Times New Roman" w:cs="Times New Roman"/>
        </w:rPr>
        <w:t xml:space="preserve">raumenų </w:t>
      </w:r>
      <w:r w:rsidRPr="008A351A">
        <w:rPr>
          <w:rFonts w:ascii="Times New Roman" w:eastAsia="Times New Roman" w:hAnsi="Times New Roman" w:cs="Times New Roman"/>
        </w:rPr>
        <w:t>judesiai</w:t>
      </w:r>
      <w:r w:rsidR="009501EF" w:rsidRPr="008A351A">
        <w:rPr>
          <w:rFonts w:ascii="Times New Roman" w:eastAsia="Times New Roman" w:hAnsi="Times New Roman" w:cs="Times New Roman"/>
        </w:rPr>
        <w:t xml:space="preserve">, </w:t>
      </w:r>
      <w:r w:rsidRPr="008A351A">
        <w:rPr>
          <w:rFonts w:ascii="Times New Roman" w:eastAsia="Times New Roman" w:hAnsi="Times New Roman" w:cs="Times New Roman"/>
        </w:rPr>
        <w:t xml:space="preserve">pasireiškiantys </w:t>
      </w:r>
      <w:r w:rsidR="009501EF" w:rsidRPr="008A351A">
        <w:rPr>
          <w:rFonts w:ascii="Times New Roman" w:eastAsia="Times New Roman" w:hAnsi="Times New Roman" w:cs="Times New Roman"/>
        </w:rPr>
        <w:t>sunkumu pradėti jud</w:t>
      </w:r>
      <w:r w:rsidR="00D0368C" w:rsidRPr="008A351A">
        <w:rPr>
          <w:rFonts w:ascii="Times New Roman" w:eastAsia="Times New Roman" w:hAnsi="Times New Roman" w:cs="Times New Roman"/>
        </w:rPr>
        <w:t>inti raumenį</w:t>
      </w:r>
      <w:r w:rsidR="009501EF" w:rsidRPr="008A351A">
        <w:rPr>
          <w:rFonts w:ascii="Times New Roman" w:eastAsia="Times New Roman" w:hAnsi="Times New Roman" w:cs="Times New Roman"/>
        </w:rPr>
        <w:t>, drebuliu, nuovargi</w:t>
      </w:r>
      <w:r w:rsidR="00D0368C" w:rsidRPr="008A351A">
        <w:rPr>
          <w:rFonts w:ascii="Times New Roman" w:eastAsia="Times New Roman" w:hAnsi="Times New Roman" w:cs="Times New Roman"/>
        </w:rPr>
        <w:t>o pojūči</w:t>
      </w:r>
      <w:r w:rsidR="009501EF" w:rsidRPr="008A351A">
        <w:rPr>
          <w:rFonts w:ascii="Times New Roman" w:eastAsia="Times New Roman" w:hAnsi="Times New Roman" w:cs="Times New Roman"/>
        </w:rPr>
        <w:t>u arba neskausmingu raumenų sustingimu;</w:t>
      </w:r>
    </w:p>
    <w:p w14:paraId="3F15857F" w14:textId="77777777" w:rsidR="009501EF" w:rsidRPr="008A351A" w:rsidRDefault="009A0335" w:rsidP="004A2FE7">
      <w:pPr>
        <w:numPr>
          <w:ilvl w:val="0"/>
          <w:numId w:val="17"/>
        </w:numPr>
        <w:spacing w:after="0" w:line="240" w:lineRule="auto"/>
        <w:ind w:left="567" w:hanging="567"/>
        <w:contextualSpacing/>
        <w:rPr>
          <w:rFonts w:ascii="Times New Roman" w:eastAsia="Times New Roman" w:hAnsi="Times New Roman" w:cs="Times New Roman"/>
        </w:rPr>
      </w:pPr>
      <w:r w:rsidRPr="008A351A">
        <w:rPr>
          <w:rFonts w:ascii="Times New Roman" w:eastAsia="Times New Roman" w:hAnsi="Times New Roman" w:cs="Times New Roman"/>
        </w:rPr>
        <w:t>p</w:t>
      </w:r>
      <w:r w:rsidR="009328DF" w:rsidRPr="008A351A">
        <w:rPr>
          <w:rFonts w:ascii="Times New Roman" w:eastAsia="Times New Roman" w:hAnsi="Times New Roman" w:cs="Times New Roman"/>
        </w:rPr>
        <w:t>adidėjęs kraujospūdis</w:t>
      </w:r>
      <w:r w:rsidR="009501EF" w:rsidRPr="008A351A">
        <w:rPr>
          <w:rFonts w:ascii="Times New Roman" w:eastAsia="Times New Roman" w:hAnsi="Times New Roman" w:cs="Times New Roman"/>
        </w:rPr>
        <w:t>.</w:t>
      </w:r>
    </w:p>
    <w:p w14:paraId="37AF35A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57AAEDD6" w14:textId="2F265923"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Dažn</w:t>
      </w:r>
      <w:r w:rsidR="002A03E5">
        <w:rPr>
          <w:rFonts w:ascii="Times New Roman" w:eastAsia="Times New Roman" w:hAnsi="Times New Roman" w:cs="Times New Roman"/>
          <w:b/>
        </w:rPr>
        <w:t>i</w:t>
      </w:r>
      <w:r w:rsidRPr="008A351A">
        <w:rPr>
          <w:rFonts w:ascii="Times New Roman" w:eastAsia="Times New Roman" w:hAnsi="Times New Roman" w:cs="Times New Roman"/>
          <w:b/>
        </w:rPr>
        <w:t xml:space="preserve"> šalutini</w:t>
      </w:r>
      <w:r w:rsidR="00C93102">
        <w:rPr>
          <w:rFonts w:ascii="Times New Roman" w:eastAsia="Times New Roman" w:hAnsi="Times New Roman" w:cs="Times New Roman"/>
          <w:b/>
        </w:rPr>
        <w:t>o</w:t>
      </w:r>
      <w:r w:rsidRPr="008A351A">
        <w:rPr>
          <w:rFonts w:ascii="Times New Roman" w:eastAsia="Times New Roman" w:hAnsi="Times New Roman" w:cs="Times New Roman"/>
          <w:b/>
        </w:rPr>
        <w:t xml:space="preserve"> poveiki</w:t>
      </w:r>
      <w:r w:rsidR="00C93102">
        <w:rPr>
          <w:rFonts w:ascii="Times New Roman" w:eastAsia="Times New Roman" w:hAnsi="Times New Roman" w:cs="Times New Roman"/>
          <w:b/>
        </w:rPr>
        <w:t>o reiškiniai</w:t>
      </w:r>
      <w:r w:rsidRPr="008A351A">
        <w:rPr>
          <w:rFonts w:ascii="Times New Roman" w:eastAsia="Times New Roman" w:hAnsi="Times New Roman" w:cs="Times New Roman"/>
          <w:b/>
        </w:rPr>
        <w:t xml:space="preserve"> (</w:t>
      </w:r>
      <w:r w:rsidR="00D0368C" w:rsidRPr="008A351A">
        <w:rPr>
          <w:rFonts w:ascii="Times New Roman" w:eastAsia="Times New Roman" w:hAnsi="Times New Roman" w:cs="Times New Roman"/>
          <w:b/>
        </w:rPr>
        <w:t xml:space="preserve">gali </w:t>
      </w:r>
      <w:r w:rsidRPr="008A351A">
        <w:rPr>
          <w:rFonts w:ascii="Times New Roman" w:eastAsia="Times New Roman" w:hAnsi="Times New Roman" w:cs="Times New Roman"/>
          <w:b/>
        </w:rPr>
        <w:t>pasirei</w:t>
      </w:r>
      <w:r w:rsidR="00D0368C" w:rsidRPr="008A351A">
        <w:rPr>
          <w:rFonts w:ascii="Times New Roman" w:eastAsia="Times New Roman" w:hAnsi="Times New Roman" w:cs="Times New Roman"/>
          <w:b/>
        </w:rPr>
        <w:t>kšti</w:t>
      </w:r>
      <w:r w:rsidRPr="008A351A">
        <w:rPr>
          <w:rFonts w:ascii="Times New Roman" w:eastAsia="Times New Roman" w:hAnsi="Times New Roman" w:cs="Times New Roman"/>
          <w:b/>
        </w:rPr>
        <w:t xml:space="preserve"> </w:t>
      </w:r>
      <w:r w:rsidR="00C93102">
        <w:rPr>
          <w:rFonts w:ascii="Times New Roman" w:eastAsia="Times New Roman" w:hAnsi="Times New Roman" w:cs="Times New Roman"/>
          <w:b/>
        </w:rPr>
        <w:t>reči</w:t>
      </w:r>
      <w:r w:rsidR="00C93102" w:rsidRPr="008A351A">
        <w:rPr>
          <w:rFonts w:ascii="Times New Roman" w:eastAsia="Times New Roman" w:hAnsi="Times New Roman" w:cs="Times New Roman"/>
          <w:b/>
        </w:rPr>
        <w:t xml:space="preserve">au </w:t>
      </w:r>
      <w:r w:rsidRPr="008A351A">
        <w:rPr>
          <w:rFonts w:ascii="Times New Roman" w:eastAsia="Times New Roman" w:hAnsi="Times New Roman" w:cs="Times New Roman"/>
          <w:b/>
        </w:rPr>
        <w:t>kaip 1 iš 10</w:t>
      </w:r>
      <w:r w:rsidR="00C93102">
        <w:rPr>
          <w:rFonts w:ascii="Times New Roman" w:eastAsia="Times New Roman" w:hAnsi="Times New Roman" w:cs="Times New Roman"/>
          <w:b/>
        </w:rPr>
        <w:t xml:space="preserve"> asmenų</w:t>
      </w:r>
      <w:r w:rsidRPr="008A351A">
        <w:rPr>
          <w:rFonts w:ascii="Times New Roman" w:eastAsia="Times New Roman" w:hAnsi="Times New Roman" w:cs="Times New Roman"/>
          <w:b/>
        </w:rPr>
        <w:t>):</w:t>
      </w:r>
    </w:p>
    <w:p w14:paraId="5373093A" w14:textId="77777777" w:rsidR="009501EF" w:rsidRPr="008A351A" w:rsidRDefault="009501EF" w:rsidP="004A2FE7">
      <w:pPr>
        <w:pStyle w:val="Sraopastraipa"/>
        <w:numPr>
          <w:ilvl w:val="0"/>
          <w:numId w:val="17"/>
        </w:numPr>
        <w:ind w:left="567" w:hanging="567"/>
        <w:rPr>
          <w:b/>
          <w:sz w:val="22"/>
          <w:szCs w:val="22"/>
        </w:rPr>
      </w:pPr>
      <w:r w:rsidRPr="008A351A">
        <w:rPr>
          <w:sz w:val="22"/>
          <w:szCs w:val="22"/>
        </w:rPr>
        <w:t>silpnumo pojūtis, alpimas (iki nukritimo);</w:t>
      </w:r>
    </w:p>
    <w:p w14:paraId="7F35D1C7" w14:textId="77777777" w:rsidR="009501EF" w:rsidRPr="008A351A" w:rsidRDefault="009501EF" w:rsidP="004A2FE7">
      <w:pPr>
        <w:pStyle w:val="Sraopastraipa"/>
        <w:numPr>
          <w:ilvl w:val="0"/>
          <w:numId w:val="17"/>
        </w:numPr>
        <w:ind w:left="567" w:hanging="567"/>
        <w:rPr>
          <w:sz w:val="22"/>
          <w:szCs w:val="22"/>
        </w:rPr>
      </w:pPr>
      <w:r w:rsidRPr="008A351A">
        <w:rPr>
          <w:sz w:val="22"/>
          <w:szCs w:val="22"/>
        </w:rPr>
        <w:t>užkimšta nosis;</w:t>
      </w:r>
    </w:p>
    <w:p w14:paraId="4EBDCC15" w14:textId="77777777" w:rsidR="009501EF" w:rsidRPr="008A351A" w:rsidRDefault="009501EF" w:rsidP="004A2FE7">
      <w:pPr>
        <w:pStyle w:val="Sraopastraipa"/>
        <w:numPr>
          <w:ilvl w:val="0"/>
          <w:numId w:val="17"/>
        </w:numPr>
        <w:ind w:left="567" w:hanging="567"/>
        <w:rPr>
          <w:sz w:val="22"/>
          <w:szCs w:val="22"/>
        </w:rPr>
      </w:pPr>
      <w:r w:rsidRPr="008A351A">
        <w:rPr>
          <w:sz w:val="22"/>
          <w:szCs w:val="22"/>
        </w:rPr>
        <w:t>dirglumas.</w:t>
      </w:r>
    </w:p>
    <w:p w14:paraId="624B2728"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782A0816"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Pranešimas apie šalutinį poveikį</w:t>
      </w:r>
    </w:p>
    <w:p w14:paraId="7F853D08" w14:textId="772CB909"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Jeigu pasireiškė šalutinis poveikis, įskaitant šiame lapelyje nenurodytą, pasakykite gydytojui</w:t>
      </w:r>
      <w:bookmarkStart w:id="24" w:name="_Hlk83135203"/>
      <w:r w:rsidR="008E0E0D">
        <w:rPr>
          <w:rFonts w:ascii="Times New Roman" w:eastAsia="Times New Roman" w:hAnsi="Times New Roman" w:cs="Times New Roman"/>
        </w:rPr>
        <w:t>,</w:t>
      </w:r>
      <w:r w:rsidR="008E0E0D" w:rsidRPr="008E0E0D">
        <w:rPr>
          <w:rFonts w:ascii="Times New Roman" w:eastAsia="Calibri" w:hAnsi="Times New Roman" w:cs="Times New Roman"/>
        </w:rPr>
        <w:t xml:space="preserve"> </w:t>
      </w:r>
      <w:r w:rsidR="008E0E0D">
        <w:rPr>
          <w:rFonts w:ascii="Times New Roman" w:eastAsia="Calibri" w:hAnsi="Times New Roman" w:cs="Times New Roman"/>
        </w:rPr>
        <w:t>vaistininkui</w:t>
      </w:r>
      <w:bookmarkEnd w:id="24"/>
      <w:r w:rsidRPr="008A351A">
        <w:rPr>
          <w:rFonts w:ascii="Times New Roman" w:eastAsia="Times New Roman" w:hAnsi="Times New Roman" w:cs="Times New Roman"/>
        </w:rPr>
        <w:t xml:space="preserve"> arba slaugytoj</w:t>
      </w:r>
      <w:r w:rsidR="008E0E0D">
        <w:rPr>
          <w:rFonts w:ascii="Times New Roman" w:eastAsia="Times New Roman" w:hAnsi="Times New Roman" w:cs="Times New Roman"/>
        </w:rPr>
        <w:t>u</w:t>
      </w:r>
      <w:r w:rsidRPr="008A351A">
        <w:rPr>
          <w:rFonts w:ascii="Times New Roman" w:eastAsia="Times New Roman" w:hAnsi="Times New Roman" w:cs="Times New Roman"/>
        </w:rPr>
        <w:t xml:space="preserve">i. </w:t>
      </w:r>
      <w:r w:rsidR="008E0E0D" w:rsidRPr="00FC5CB5">
        <w:rPr>
          <w:rFonts w:ascii="Times New Roman" w:hAnsi="Times New Roman" w:cs="Times New Roman"/>
          <w:snapToGrid w:val="0"/>
        </w:rPr>
        <w:t xml:space="preserve">Pranešimą apie šalutinį poveikį galite </w:t>
      </w:r>
      <w:r w:rsidR="002B78A0" w:rsidRPr="002B78A0">
        <w:rPr>
          <w:rFonts w:ascii="Times New Roman" w:hAnsi="Times New Roman" w:cs="Times New Roman"/>
          <w:snapToGrid w:val="0"/>
        </w:rPr>
        <w:t xml:space="preserve">užpildyti ir pateikti Valstybinės vaistų kontrolės tarnybos prie Lietuvos Respublikos sveikatos apsaugos ministerijos tinklalapyje </w:t>
      </w:r>
      <w:r w:rsidR="002B78A0" w:rsidRPr="002B78A0">
        <w:rPr>
          <w:rFonts w:ascii="Times New Roman" w:eastAsia="Times New Roman" w:hAnsi="Times New Roman" w:cs="Times New Roman"/>
          <w:color w:val="0000EE"/>
          <w:u w:val="single"/>
          <w:lang w:eastAsia="lt-LT"/>
        </w:rPr>
        <w:t>https://vvkt.lrv.lt/lt/</w:t>
      </w:r>
      <w:r w:rsidR="002B78A0" w:rsidRPr="002B78A0">
        <w:rPr>
          <w:rFonts w:ascii="Times New Roman" w:eastAsia="Times New Roman" w:hAnsi="Times New Roman" w:cs="Times New Roman"/>
          <w:lang w:eastAsia="lt-LT"/>
        </w:rPr>
        <w:t xml:space="preserve"> </w:t>
      </w:r>
      <w:r w:rsidR="002B78A0" w:rsidRPr="002B78A0">
        <w:rPr>
          <w:rFonts w:ascii="Times New Roman" w:hAnsi="Times New Roman" w:cs="Times New Roman"/>
          <w:snapToGrid w:val="0"/>
        </w:rPr>
        <w:t>nurodytais būdais arba paskambinti nemokamu telefonu 8 800 73 568</w:t>
      </w:r>
      <w:r w:rsidR="008E0E0D" w:rsidRPr="00FC5CB5">
        <w:rPr>
          <w:rFonts w:ascii="Times New Roman" w:hAnsi="Times New Roman" w:cs="Times New Roman"/>
          <w:snapToGrid w:val="0"/>
        </w:rPr>
        <w:t xml:space="preserve">. </w:t>
      </w:r>
      <w:r w:rsidRPr="008A351A">
        <w:rPr>
          <w:rFonts w:ascii="Times New Roman" w:eastAsia="Times New Roman" w:hAnsi="Times New Roman" w:cs="Times New Roman"/>
        </w:rPr>
        <w:t>Pranešdami apie šalutinį poveikį galite mums padėti gauti daugiau informacijos apie šio vaisto saugumą.</w:t>
      </w:r>
    </w:p>
    <w:p w14:paraId="358364A7"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0CB9212E" w14:textId="77777777" w:rsidR="009A0335" w:rsidRPr="008A351A" w:rsidRDefault="009A0335" w:rsidP="009501EF">
      <w:pPr>
        <w:tabs>
          <w:tab w:val="left" w:pos="360"/>
          <w:tab w:val="left" w:pos="567"/>
        </w:tabs>
        <w:spacing w:after="0" w:line="240" w:lineRule="auto"/>
        <w:rPr>
          <w:rFonts w:ascii="Times New Roman" w:eastAsia="Times New Roman" w:hAnsi="Times New Roman" w:cs="Times New Roman"/>
        </w:rPr>
      </w:pPr>
    </w:p>
    <w:p w14:paraId="353A9244" w14:textId="75BEC2F1"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5.</w:t>
      </w:r>
      <w:r w:rsidRPr="008A351A">
        <w:rPr>
          <w:rFonts w:ascii="Times New Roman" w:eastAsia="Times New Roman" w:hAnsi="Times New Roman" w:cs="Times New Roman"/>
          <w:b/>
          <w:bCs/>
          <w:iCs/>
        </w:rPr>
        <w:tab/>
      </w:r>
      <w:r w:rsidR="00811B8D" w:rsidRPr="00811B8D">
        <w:rPr>
          <w:rFonts w:ascii="Times New Roman" w:eastAsia="Times New Roman" w:hAnsi="Times New Roman" w:cs="Times New Roman"/>
          <w:b/>
          <w:bCs/>
          <w:iCs/>
        </w:rPr>
        <w:t>Kaip laikyti Quetiapine Accord</w:t>
      </w:r>
    </w:p>
    <w:p w14:paraId="230A0928"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p>
    <w:p w14:paraId="530DFDD3" w14:textId="0E9F3E36"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Šį vaistą laikykite vaikams </w:t>
      </w:r>
      <w:r w:rsidR="008E33FC" w:rsidRPr="008A351A">
        <w:rPr>
          <w:rFonts w:ascii="Times New Roman" w:eastAsia="Times New Roman" w:hAnsi="Times New Roman" w:cs="Times New Roman"/>
        </w:rPr>
        <w:t xml:space="preserve">nepastebimoje </w:t>
      </w:r>
      <w:r w:rsidRPr="008A351A">
        <w:rPr>
          <w:rFonts w:ascii="Times New Roman" w:eastAsia="Times New Roman" w:hAnsi="Times New Roman" w:cs="Times New Roman"/>
        </w:rPr>
        <w:t xml:space="preserve">ir </w:t>
      </w:r>
      <w:r w:rsidR="008E33FC" w:rsidRPr="008A351A">
        <w:rPr>
          <w:rFonts w:ascii="Times New Roman" w:eastAsia="Times New Roman" w:hAnsi="Times New Roman" w:cs="Times New Roman"/>
        </w:rPr>
        <w:t>nepasiekiamoje</w:t>
      </w:r>
      <w:r w:rsidR="008E33FC" w:rsidRPr="008A351A" w:rsidDel="008E33FC">
        <w:rPr>
          <w:rFonts w:ascii="Times New Roman" w:eastAsia="Times New Roman" w:hAnsi="Times New Roman" w:cs="Times New Roman"/>
        </w:rPr>
        <w:t xml:space="preserve"> </w:t>
      </w:r>
      <w:r w:rsidRPr="008A351A">
        <w:rPr>
          <w:rFonts w:ascii="Times New Roman" w:eastAsia="Times New Roman" w:hAnsi="Times New Roman" w:cs="Times New Roman"/>
        </w:rPr>
        <w:t>vietoje.</w:t>
      </w:r>
    </w:p>
    <w:p w14:paraId="5ACF6DA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62AD9B7E" w14:textId="5FFACB14"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Šiam vaistui specialių laikymo sąlygų nereikia.</w:t>
      </w:r>
    </w:p>
    <w:p w14:paraId="3933211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798953E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Ant dėžutės ir lizdinės plokštelės po „Tinka iki/EXP“ nurodytam tinkamumo laikui pasibaigus, Quetiapine Accord vartoti negalima. Vaistas tinka vartoti iki paskutinės nurodyto mėnesio dienos.</w:t>
      </w:r>
    </w:p>
    <w:p w14:paraId="2464E25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D4C159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AE46671"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273AE62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199D2032" w14:textId="324984CC" w:rsidR="009501EF" w:rsidRPr="008A351A" w:rsidRDefault="009501EF" w:rsidP="009501EF">
      <w:pPr>
        <w:keepNext/>
        <w:tabs>
          <w:tab w:val="left" w:pos="567"/>
        </w:tabs>
        <w:spacing w:after="0" w:line="240" w:lineRule="auto"/>
        <w:outlineLvl w:val="1"/>
        <w:rPr>
          <w:rFonts w:ascii="Times New Roman" w:eastAsia="Times New Roman" w:hAnsi="Times New Roman" w:cs="Times New Roman"/>
          <w:b/>
          <w:bCs/>
          <w:iCs/>
        </w:rPr>
      </w:pPr>
      <w:r w:rsidRPr="008A351A">
        <w:rPr>
          <w:rFonts w:ascii="Times New Roman" w:eastAsia="Times New Roman" w:hAnsi="Times New Roman" w:cs="Times New Roman"/>
          <w:b/>
          <w:bCs/>
          <w:iCs/>
        </w:rPr>
        <w:t>6.</w:t>
      </w:r>
      <w:r w:rsidRPr="008A351A">
        <w:rPr>
          <w:rFonts w:ascii="Times New Roman" w:eastAsia="Times New Roman" w:hAnsi="Times New Roman" w:cs="Times New Roman"/>
          <w:b/>
          <w:bCs/>
          <w:iCs/>
        </w:rPr>
        <w:tab/>
      </w:r>
      <w:r w:rsidR="00811B8D" w:rsidRPr="00811B8D">
        <w:rPr>
          <w:rFonts w:ascii="Times New Roman" w:eastAsia="Times New Roman" w:hAnsi="Times New Roman" w:cs="Times New Roman"/>
          <w:b/>
          <w:bCs/>
          <w:iCs/>
        </w:rPr>
        <w:t>Pakuotės turinys ir kita informacija</w:t>
      </w:r>
    </w:p>
    <w:p w14:paraId="3BE8DB7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6F37E14E"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Quetiapine Accord sudėtis</w:t>
      </w:r>
    </w:p>
    <w:p w14:paraId="4DCB6A5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Pr="008A351A">
        <w:rPr>
          <w:rFonts w:ascii="Times New Roman" w:eastAsia="Times New Roman" w:hAnsi="Times New Roman" w:cs="Times New Roman"/>
        </w:rPr>
        <w:tab/>
        <w:t>Veiklioji medžiaga yra kvetiapinas. Kiekvienoje plėvele dengtoje tabletėje yra 25 mg, 100 mg, 150 mg, 200 mg ar 300 mg kvetiapino (kvetiapino hemifumarato pavidalu).</w:t>
      </w:r>
    </w:p>
    <w:p w14:paraId="0FBA7E5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008EA6E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w:t>
      </w:r>
      <w:r w:rsidRPr="008A351A">
        <w:rPr>
          <w:rFonts w:ascii="Times New Roman" w:eastAsia="Times New Roman" w:hAnsi="Times New Roman" w:cs="Times New Roman"/>
        </w:rPr>
        <w:tab/>
        <w:t>Pagalbinės medžiagos.</w:t>
      </w:r>
    </w:p>
    <w:p w14:paraId="7BA6B693" w14:textId="77777777" w:rsidR="009501EF" w:rsidRPr="008A351A" w:rsidRDefault="009501EF" w:rsidP="009501EF">
      <w:pPr>
        <w:tabs>
          <w:tab w:val="left" w:pos="567"/>
        </w:tabs>
        <w:spacing w:after="0" w:line="240" w:lineRule="auto"/>
        <w:rPr>
          <w:rFonts w:ascii="Times New Roman" w:eastAsia="Times New Roman" w:hAnsi="Times New Roman" w:cs="Times New Roman"/>
          <w:i/>
          <w:iCs/>
        </w:rPr>
      </w:pPr>
    </w:p>
    <w:p w14:paraId="45B7157F"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i/>
          <w:iCs/>
        </w:rPr>
        <w:t>Tabletės branduolys:</w:t>
      </w:r>
      <w:r w:rsidRPr="008A351A">
        <w:rPr>
          <w:rFonts w:ascii="Times New Roman" w:eastAsia="Times New Roman" w:hAnsi="Times New Roman" w:cs="Times New Roman"/>
        </w:rPr>
        <w:t xml:space="preserve"> laktozė monohidratas, mikrokristalinė celiuliozė, povidonas K30, magnio stearatas (E470b), karboksimetilkrakmolo A natrio druska, kalcio-vandenilio fosfatas dihidratas. </w:t>
      </w:r>
    </w:p>
    <w:p w14:paraId="1BC08454" w14:textId="77777777" w:rsidR="009501EF" w:rsidRPr="008A351A" w:rsidRDefault="009501EF" w:rsidP="009501EF">
      <w:pPr>
        <w:tabs>
          <w:tab w:val="left" w:pos="567"/>
        </w:tabs>
        <w:spacing w:after="0" w:line="240" w:lineRule="auto"/>
        <w:rPr>
          <w:rFonts w:ascii="Times New Roman" w:eastAsia="Times New Roman" w:hAnsi="Times New Roman" w:cs="Times New Roman"/>
          <w:i/>
          <w:iCs/>
        </w:rPr>
      </w:pPr>
    </w:p>
    <w:p w14:paraId="43A1402A" w14:textId="77777777" w:rsidR="009501EF" w:rsidRPr="008A351A" w:rsidRDefault="009501EF" w:rsidP="009501EF">
      <w:pPr>
        <w:tabs>
          <w:tab w:val="left" w:pos="567"/>
        </w:tabs>
        <w:spacing w:after="0" w:line="240" w:lineRule="auto"/>
        <w:rPr>
          <w:rFonts w:ascii="Times New Roman" w:eastAsia="Times New Roman" w:hAnsi="Times New Roman" w:cs="Times New Roman"/>
          <w:i/>
          <w:iCs/>
        </w:rPr>
      </w:pPr>
      <w:r w:rsidRPr="008A351A">
        <w:rPr>
          <w:rFonts w:ascii="Times New Roman" w:eastAsia="Times New Roman" w:hAnsi="Times New Roman" w:cs="Times New Roman"/>
          <w:i/>
          <w:iCs/>
        </w:rPr>
        <w:t>Tabletės plėvelė:</w:t>
      </w:r>
    </w:p>
    <w:p w14:paraId="1C27673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25 mg</w:t>
      </w:r>
      <w:r w:rsidRPr="008A351A">
        <w:rPr>
          <w:rFonts w:ascii="Times New Roman" w:eastAsia="Times New Roman" w:hAnsi="Times New Roman" w:cs="Times New Roman"/>
        </w:rPr>
        <w:t xml:space="preserve">: </w:t>
      </w:r>
    </w:p>
    <w:p w14:paraId="2EAEBE2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6cP</w:t>
      </w:r>
    </w:p>
    <w:p w14:paraId="00C0F772"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Titano dioksidas</w:t>
      </w:r>
    </w:p>
    <w:p w14:paraId="05E182C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3762757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14:paraId="57404606"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 xml:space="preserve">Raudonasis geležies oksidas </w:t>
      </w:r>
    </w:p>
    <w:p w14:paraId="57CB4A3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2CEA16DD" w14:textId="77777777" w:rsidR="00A71733"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100 mg</w:t>
      </w:r>
      <w:r w:rsidRPr="008A351A">
        <w:rPr>
          <w:rFonts w:ascii="Times New Roman" w:eastAsia="Times New Roman" w:hAnsi="Times New Roman" w:cs="Times New Roman"/>
        </w:rPr>
        <w:t xml:space="preserve">: </w:t>
      </w:r>
    </w:p>
    <w:p w14:paraId="2B7BE6B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6cP</w:t>
      </w:r>
    </w:p>
    <w:p w14:paraId="4B4DD5F0"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0415368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3CD98075"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14:paraId="7F21D0C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F5479E7" w14:textId="77777777" w:rsidR="00A71733"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u w:val="single"/>
        </w:rPr>
        <w:t>150 mg:</w:t>
      </w:r>
      <w:r w:rsidRPr="008A351A">
        <w:rPr>
          <w:rFonts w:ascii="Times New Roman" w:eastAsia="Times New Roman" w:hAnsi="Times New Roman" w:cs="Times New Roman"/>
        </w:rPr>
        <w:t xml:space="preserve"> </w:t>
      </w:r>
    </w:p>
    <w:p w14:paraId="76D5718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6cP</w:t>
      </w:r>
    </w:p>
    <w:p w14:paraId="757217D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350AA45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744FB82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Geltonasis geležies oksidas</w:t>
      </w:r>
    </w:p>
    <w:p w14:paraId="3159B259"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591BE110" w14:textId="77777777" w:rsidR="009501EF" w:rsidRPr="008A351A" w:rsidRDefault="009501EF" w:rsidP="009501EF">
      <w:pPr>
        <w:tabs>
          <w:tab w:val="left" w:pos="567"/>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200 mg:</w:t>
      </w:r>
    </w:p>
    <w:p w14:paraId="1D960FC3"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E-5</w:t>
      </w:r>
    </w:p>
    <w:p w14:paraId="20E7635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67DBB11D"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72268691" w14:textId="77777777" w:rsidR="009501EF" w:rsidRPr="008A351A" w:rsidRDefault="009501EF" w:rsidP="009501EF">
      <w:pPr>
        <w:tabs>
          <w:tab w:val="left" w:pos="567"/>
        </w:tabs>
        <w:spacing w:after="0" w:line="240" w:lineRule="auto"/>
        <w:rPr>
          <w:rFonts w:ascii="Times New Roman" w:eastAsia="Times New Roman" w:hAnsi="Times New Roman" w:cs="Times New Roman"/>
        </w:rPr>
      </w:pPr>
    </w:p>
    <w:p w14:paraId="4B054B22" w14:textId="77777777" w:rsidR="009501EF" w:rsidRPr="008A351A" w:rsidRDefault="009501EF" w:rsidP="009501EF">
      <w:pPr>
        <w:tabs>
          <w:tab w:val="left" w:pos="567"/>
        </w:tabs>
        <w:spacing w:after="0" w:line="240" w:lineRule="auto"/>
        <w:rPr>
          <w:rFonts w:ascii="Times New Roman" w:eastAsia="Times New Roman" w:hAnsi="Times New Roman" w:cs="Times New Roman"/>
          <w:u w:val="single"/>
        </w:rPr>
      </w:pPr>
      <w:r w:rsidRPr="008A351A">
        <w:rPr>
          <w:rFonts w:ascii="Times New Roman" w:eastAsia="Times New Roman" w:hAnsi="Times New Roman" w:cs="Times New Roman"/>
          <w:u w:val="single"/>
        </w:rPr>
        <w:t>300 mg:</w:t>
      </w:r>
    </w:p>
    <w:p w14:paraId="252024E8"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Hipromeliozė E-5</w:t>
      </w:r>
    </w:p>
    <w:p w14:paraId="5D348BAE"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Makrogolis 400</w:t>
      </w:r>
    </w:p>
    <w:p w14:paraId="43DF8347" w14:textId="77777777" w:rsidR="009501EF" w:rsidRPr="008A351A" w:rsidRDefault="009501EF" w:rsidP="009501EF">
      <w:pPr>
        <w:tabs>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Titano dioksidas</w:t>
      </w:r>
    </w:p>
    <w:p w14:paraId="70BC184D" w14:textId="77777777" w:rsidR="009501EF" w:rsidRPr="008A351A" w:rsidRDefault="009501EF" w:rsidP="009501EF">
      <w:pPr>
        <w:tabs>
          <w:tab w:val="left" w:pos="567"/>
          <w:tab w:val="left" w:pos="709"/>
        </w:tabs>
        <w:spacing w:after="0" w:line="240" w:lineRule="auto"/>
        <w:rPr>
          <w:rFonts w:ascii="Times New Roman" w:eastAsia="Times New Roman" w:hAnsi="Times New Roman" w:cs="Times New Roman"/>
        </w:rPr>
      </w:pPr>
    </w:p>
    <w:p w14:paraId="7AFD362F" w14:textId="77777777" w:rsidR="009501EF" w:rsidRPr="008A351A" w:rsidRDefault="009501EF" w:rsidP="000E4238">
      <w:pPr>
        <w:keepNext/>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b/>
          <w:bCs/>
        </w:rPr>
        <w:t>Quetiapine Accord išvaizda ir kiekis pakuotėje</w:t>
      </w:r>
    </w:p>
    <w:p w14:paraId="5F149EC9" w14:textId="77777777" w:rsidR="009501EF" w:rsidRPr="008A351A" w:rsidRDefault="009501EF" w:rsidP="000E4238">
      <w:pPr>
        <w:keepNext/>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25 mg tabletės yra rožinės spalvos, apvalios, abipus išgaubtos, lygaus paviršiaus, dengtos plėvele.</w:t>
      </w:r>
    </w:p>
    <w:p w14:paraId="351C6CA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100 mg tabletės yra geltonos spalvos, apvalios, abipus išgaubtos, lygaus paviršiaus, dengtos plėvele.</w:t>
      </w:r>
    </w:p>
    <w:p w14:paraId="1E80D7C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150 mg tabletės yra šviesiai geltonos spalvos, apvalios, abipus išgaubtos, lygaus paviršiaus, dengtos plėvele.</w:t>
      </w:r>
    </w:p>
    <w:p w14:paraId="4FE38F7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200 mg tabletės yra baltos arba beveik baltos spalvos, apvalios, abipus išgaubtos, lygaus paviršiaus, dengtos plėvele.</w:t>
      </w:r>
    </w:p>
    <w:p w14:paraId="68049B34"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spacing w:val="-3"/>
          <w:lang w:eastAsia="es-ES"/>
        </w:rPr>
      </w:pPr>
      <w:r w:rsidRPr="008A351A">
        <w:rPr>
          <w:rFonts w:ascii="Times New Roman" w:eastAsia="Times New Roman" w:hAnsi="Times New Roman" w:cs="Times New Roman"/>
          <w:spacing w:val="-3"/>
          <w:lang w:eastAsia="es-ES"/>
        </w:rPr>
        <w:t>300 mg tabletės yra baltos arba beveik baltos spalvos, kapsulės pavidalo, abipus išgaubtos, dengtos plėvele, vienoje jų pusėje įspaustas užrašas „300</w:t>
      </w:r>
      <w:r w:rsidR="00A71733">
        <w:rPr>
          <w:rFonts w:ascii="Times New Roman" w:eastAsia="Times New Roman" w:hAnsi="Times New Roman" w:cs="Times New Roman"/>
          <w:spacing w:val="-3"/>
          <w:lang w:eastAsia="es-ES"/>
        </w:rPr>
        <w:t>“</w:t>
      </w:r>
      <w:r w:rsidRPr="008A351A">
        <w:rPr>
          <w:rFonts w:ascii="Times New Roman" w:eastAsia="Times New Roman" w:hAnsi="Times New Roman" w:cs="Times New Roman"/>
          <w:spacing w:val="-3"/>
          <w:lang w:eastAsia="es-ES"/>
        </w:rPr>
        <w:t>, kita – lygi.</w:t>
      </w:r>
    </w:p>
    <w:p w14:paraId="13C3103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3D516D76"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Tabletės tiekiamos PVC/Aliuminio folijos lizdinėmis plokštelėmis kartono dėžutėje po 6, 7, 10, 14, 20, 28, 30, 50, 56, 60, 84, 90, 98 ir 100 tablečių.</w:t>
      </w:r>
    </w:p>
    <w:p w14:paraId="77E12826"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13CE234F"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Gali būti tiekiamos ne visų dydžių pakuotės.</w:t>
      </w:r>
    </w:p>
    <w:p w14:paraId="662D3795"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6FBA3D92"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Registruotojas ir gamintojas</w:t>
      </w:r>
    </w:p>
    <w:p w14:paraId="56D9003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i/>
        </w:rPr>
      </w:pPr>
      <w:r w:rsidRPr="008A351A">
        <w:rPr>
          <w:rFonts w:ascii="Times New Roman" w:eastAsia="Times New Roman" w:hAnsi="Times New Roman" w:cs="Times New Roman"/>
          <w:bCs/>
          <w:i/>
        </w:rPr>
        <w:t>Registruotojas</w:t>
      </w:r>
    </w:p>
    <w:p w14:paraId="5DE98F99"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Accord Healthcare B.V. </w:t>
      </w:r>
    </w:p>
    <w:p w14:paraId="6436D013"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Winthontlaan 200 </w:t>
      </w:r>
    </w:p>
    <w:p w14:paraId="25D94D88" w14:textId="77777777" w:rsidR="00F04877" w:rsidRPr="008A351A" w:rsidRDefault="00F04877" w:rsidP="00F04877">
      <w:pPr>
        <w:spacing w:after="0" w:line="240" w:lineRule="auto"/>
        <w:rPr>
          <w:rFonts w:ascii="Times New Roman" w:hAnsi="Times New Roman" w:cs="Times New Roman"/>
        </w:rPr>
      </w:pPr>
      <w:r w:rsidRPr="008A351A">
        <w:rPr>
          <w:rFonts w:ascii="Times New Roman" w:hAnsi="Times New Roman" w:cs="Times New Roman"/>
        </w:rPr>
        <w:t xml:space="preserve">3526 KV Utrecht </w:t>
      </w:r>
    </w:p>
    <w:p w14:paraId="1C803213" w14:textId="77777777" w:rsidR="009501EF" w:rsidRPr="008A351A" w:rsidRDefault="00F04877" w:rsidP="00B16D6F">
      <w:pPr>
        <w:tabs>
          <w:tab w:val="left" w:pos="360"/>
          <w:tab w:val="left" w:pos="567"/>
        </w:tabs>
        <w:spacing w:after="0" w:line="240" w:lineRule="auto"/>
        <w:rPr>
          <w:rFonts w:ascii="Times New Roman" w:eastAsia="Times New Roman" w:hAnsi="Times New Roman" w:cs="Times New Roman"/>
          <w:bCs/>
        </w:rPr>
      </w:pPr>
      <w:r w:rsidRPr="008A351A">
        <w:rPr>
          <w:rFonts w:ascii="Times New Roman" w:hAnsi="Times New Roman" w:cs="Times New Roman"/>
        </w:rPr>
        <w:t>Nyderlandai</w:t>
      </w:r>
    </w:p>
    <w:p w14:paraId="7D0DCA4E"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p>
    <w:p w14:paraId="1517168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i/>
        </w:rPr>
      </w:pPr>
      <w:r w:rsidRPr="008A351A">
        <w:rPr>
          <w:rFonts w:ascii="Times New Roman" w:eastAsia="Times New Roman" w:hAnsi="Times New Roman" w:cs="Times New Roman"/>
          <w:bCs/>
          <w:i/>
        </w:rPr>
        <w:t>Gamintojas</w:t>
      </w:r>
    </w:p>
    <w:p w14:paraId="63E07B0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Laboratori FUNDACIO DAU, </w:t>
      </w:r>
    </w:p>
    <w:p w14:paraId="35DCF12C"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C/ De la letra C, 12-14, </w:t>
      </w:r>
    </w:p>
    <w:p w14:paraId="781CE3D9"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Poligono Industrial de la Zona Franca, </w:t>
      </w:r>
    </w:p>
    <w:p w14:paraId="075DE4E3"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 xml:space="preserve">08040 Barcelona, </w:t>
      </w:r>
    </w:p>
    <w:p w14:paraId="38227F0E" w14:textId="77777777" w:rsidR="007E3E60" w:rsidRPr="008A351A" w:rsidRDefault="007E3E60" w:rsidP="007E3E60">
      <w:pPr>
        <w:tabs>
          <w:tab w:val="left" w:pos="360"/>
          <w:tab w:val="left" w:pos="567"/>
        </w:tabs>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Ispanija</w:t>
      </w:r>
    </w:p>
    <w:p w14:paraId="1E710478" w14:textId="77777777" w:rsidR="009079BD" w:rsidRPr="008A351A" w:rsidRDefault="009079BD" w:rsidP="00E2316B">
      <w:pPr>
        <w:spacing w:after="0" w:line="240" w:lineRule="auto"/>
        <w:rPr>
          <w:rFonts w:ascii="Times New Roman" w:eastAsia="Times New Roman" w:hAnsi="Times New Roman" w:cs="Times New Roman"/>
          <w:bCs/>
        </w:rPr>
      </w:pPr>
    </w:p>
    <w:p w14:paraId="70C534E6" w14:textId="77777777" w:rsidR="009079BD" w:rsidRPr="008A351A" w:rsidRDefault="009079BD" w:rsidP="00E2316B">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arba</w:t>
      </w:r>
    </w:p>
    <w:p w14:paraId="588B5C6E" w14:textId="77777777" w:rsidR="009079BD" w:rsidRPr="008A351A" w:rsidRDefault="009079BD" w:rsidP="009079BD">
      <w:pPr>
        <w:spacing w:after="0" w:line="240" w:lineRule="auto"/>
        <w:rPr>
          <w:rFonts w:ascii="Times New Roman" w:hAnsi="Times New Roman"/>
        </w:rPr>
      </w:pPr>
    </w:p>
    <w:p w14:paraId="7565D1FB" w14:textId="77777777" w:rsidR="009079BD" w:rsidRPr="008A351A" w:rsidRDefault="009079BD" w:rsidP="009079BD">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Accord Healthcare Polska Sp.z o.o.,</w:t>
      </w:r>
    </w:p>
    <w:p w14:paraId="5E358B35" w14:textId="77777777" w:rsidR="007E3E60" w:rsidRPr="008A351A" w:rsidRDefault="009079BD" w:rsidP="007E3E60">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rPr>
        <w:t>ul. Lutomierska 50,</w:t>
      </w:r>
      <w:r w:rsidR="007E3E60" w:rsidRPr="008A351A">
        <w:rPr>
          <w:rFonts w:ascii="Times New Roman" w:eastAsia="Times New Roman" w:hAnsi="Times New Roman" w:cs="Times New Roman"/>
          <w:bCs/>
        </w:rPr>
        <w:t xml:space="preserve"> </w:t>
      </w:r>
      <w:r w:rsidRPr="008A351A">
        <w:rPr>
          <w:rFonts w:ascii="Times New Roman" w:eastAsia="Times New Roman" w:hAnsi="Times New Roman" w:cs="Times New Roman"/>
        </w:rPr>
        <w:t xml:space="preserve">95-200 Pabianice, </w:t>
      </w:r>
    </w:p>
    <w:p w14:paraId="472A685D" w14:textId="77777777" w:rsidR="009079BD" w:rsidRPr="008A351A" w:rsidRDefault="009079BD" w:rsidP="009079BD">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t>Lenkija</w:t>
      </w:r>
    </w:p>
    <w:p w14:paraId="40F29825" w14:textId="77777777" w:rsidR="009079BD" w:rsidRPr="008A351A" w:rsidRDefault="009079BD" w:rsidP="009079BD">
      <w:pPr>
        <w:spacing w:after="0" w:line="240" w:lineRule="auto"/>
        <w:rPr>
          <w:rFonts w:ascii="Times New Roman" w:eastAsia="Times New Roman" w:hAnsi="Times New Roman" w:cs="Times New Roman"/>
        </w:rPr>
      </w:pPr>
    </w:p>
    <w:p w14:paraId="35C38D8C" w14:textId="77777777" w:rsidR="009079BD" w:rsidRPr="008A351A" w:rsidRDefault="009079BD" w:rsidP="00E2316B">
      <w:pPr>
        <w:spacing w:after="0" w:line="240" w:lineRule="auto"/>
        <w:rPr>
          <w:rFonts w:ascii="Times New Roman" w:eastAsia="Times New Roman" w:hAnsi="Times New Roman" w:cs="Times New Roman"/>
          <w:bCs/>
        </w:rPr>
      </w:pPr>
      <w:r w:rsidRPr="008A351A">
        <w:rPr>
          <w:rFonts w:ascii="Times New Roman" w:eastAsia="Times New Roman" w:hAnsi="Times New Roman" w:cs="Times New Roman"/>
          <w:bCs/>
        </w:rPr>
        <w:t>arba</w:t>
      </w:r>
    </w:p>
    <w:p w14:paraId="2A19FFFD" w14:textId="77777777" w:rsidR="009079BD" w:rsidRPr="008A351A" w:rsidRDefault="009079BD" w:rsidP="009079BD">
      <w:pPr>
        <w:spacing w:after="0" w:line="240" w:lineRule="auto"/>
        <w:rPr>
          <w:rFonts w:ascii="Times New Roman" w:eastAsia="Times New Roman" w:hAnsi="Times New Roman" w:cs="Times New Roman"/>
        </w:rPr>
      </w:pPr>
    </w:p>
    <w:p w14:paraId="3498ED50" w14:textId="77777777" w:rsidR="00123F1C" w:rsidRPr="008A351A" w:rsidRDefault="00123F1C" w:rsidP="00123F1C">
      <w:pPr>
        <w:spacing w:after="0" w:line="240" w:lineRule="auto"/>
        <w:rPr>
          <w:rFonts w:ascii="Times New Roman" w:hAnsi="Times New Roman" w:cs="Times New Roman"/>
        </w:rPr>
      </w:pPr>
      <w:r w:rsidRPr="008A351A">
        <w:rPr>
          <w:rFonts w:ascii="Times New Roman" w:hAnsi="Times New Roman" w:cs="Times New Roman"/>
        </w:rPr>
        <w:t xml:space="preserve">Accord Healthcare B.V. </w:t>
      </w:r>
    </w:p>
    <w:p w14:paraId="69D4E4BC" w14:textId="77777777" w:rsidR="00123F1C" w:rsidRPr="008A351A" w:rsidRDefault="00123F1C" w:rsidP="00123F1C">
      <w:pPr>
        <w:spacing w:after="0" w:line="240" w:lineRule="auto"/>
        <w:rPr>
          <w:rFonts w:ascii="Times New Roman" w:hAnsi="Times New Roman" w:cs="Times New Roman"/>
        </w:rPr>
      </w:pPr>
      <w:r w:rsidRPr="008A351A">
        <w:rPr>
          <w:rFonts w:ascii="Times New Roman" w:hAnsi="Times New Roman" w:cs="Times New Roman"/>
        </w:rPr>
        <w:t xml:space="preserve">Winthontlaan 200 </w:t>
      </w:r>
    </w:p>
    <w:p w14:paraId="2757F5DC" w14:textId="77777777" w:rsidR="00123F1C" w:rsidRPr="008A351A" w:rsidRDefault="00123F1C" w:rsidP="00123F1C">
      <w:pPr>
        <w:spacing w:after="0" w:line="240" w:lineRule="auto"/>
        <w:rPr>
          <w:rFonts w:ascii="Times New Roman" w:hAnsi="Times New Roman" w:cs="Times New Roman"/>
        </w:rPr>
      </w:pPr>
      <w:r w:rsidRPr="008A351A">
        <w:rPr>
          <w:rFonts w:ascii="Times New Roman" w:hAnsi="Times New Roman" w:cs="Times New Roman"/>
        </w:rPr>
        <w:t xml:space="preserve">3526 KV Utrecht </w:t>
      </w:r>
    </w:p>
    <w:p w14:paraId="747FD289" w14:textId="77777777" w:rsidR="00123F1C" w:rsidRPr="008F1D60" w:rsidRDefault="00123F1C" w:rsidP="00123F1C">
      <w:pPr>
        <w:tabs>
          <w:tab w:val="left" w:pos="360"/>
          <w:tab w:val="left" w:pos="567"/>
        </w:tabs>
        <w:spacing w:after="0" w:line="240" w:lineRule="auto"/>
        <w:rPr>
          <w:rFonts w:ascii="Times New Roman" w:hAnsi="Times New Roman"/>
        </w:rPr>
      </w:pPr>
      <w:r w:rsidRPr="008A351A">
        <w:rPr>
          <w:rFonts w:ascii="Times New Roman" w:hAnsi="Times New Roman" w:cs="Times New Roman"/>
        </w:rPr>
        <w:t>Nyderlandai</w:t>
      </w:r>
    </w:p>
    <w:p w14:paraId="31C8918C" w14:textId="77777777" w:rsidR="005D2A55" w:rsidRPr="008F1D60" w:rsidRDefault="005D2A55" w:rsidP="00123F1C">
      <w:pPr>
        <w:tabs>
          <w:tab w:val="left" w:pos="360"/>
          <w:tab w:val="left" w:pos="567"/>
        </w:tabs>
        <w:spacing w:after="0" w:line="240" w:lineRule="auto"/>
        <w:rPr>
          <w:rFonts w:ascii="Times New Roman" w:hAnsi="Times New Roman"/>
        </w:rPr>
      </w:pPr>
    </w:p>
    <w:p w14:paraId="3047D940" w14:textId="5CF7EDF9" w:rsidR="005D2A55" w:rsidRDefault="005D2A55" w:rsidP="00123F1C">
      <w:pPr>
        <w:tabs>
          <w:tab w:val="left" w:pos="360"/>
          <w:tab w:val="left" w:pos="567"/>
        </w:tabs>
        <w:spacing w:after="0" w:line="240" w:lineRule="auto"/>
        <w:rPr>
          <w:rFonts w:ascii="Times New Roman" w:hAnsi="Times New Roman" w:cs="Times New Roman"/>
        </w:rPr>
      </w:pPr>
      <w:r>
        <w:rPr>
          <w:rFonts w:ascii="Times New Roman" w:hAnsi="Times New Roman" w:cs="Times New Roman"/>
        </w:rPr>
        <w:t>arba</w:t>
      </w:r>
    </w:p>
    <w:p w14:paraId="60AEF8D3" w14:textId="77777777" w:rsidR="005D2A55" w:rsidRDefault="005D2A55" w:rsidP="00123F1C">
      <w:pPr>
        <w:tabs>
          <w:tab w:val="left" w:pos="360"/>
          <w:tab w:val="left" w:pos="567"/>
        </w:tabs>
        <w:spacing w:after="0" w:line="240" w:lineRule="auto"/>
        <w:rPr>
          <w:rFonts w:ascii="Times New Roman" w:hAnsi="Times New Roman" w:cs="Times New Roman"/>
        </w:rPr>
      </w:pPr>
    </w:p>
    <w:p w14:paraId="0C0AACF9" w14:textId="77777777" w:rsidR="005D2A55" w:rsidRPr="00712492" w:rsidRDefault="005D2A55" w:rsidP="005D2A55">
      <w:pPr>
        <w:autoSpaceDE w:val="0"/>
        <w:autoSpaceDN w:val="0"/>
        <w:adjustRightInd w:val="0"/>
        <w:spacing w:after="0" w:line="240" w:lineRule="auto"/>
        <w:rPr>
          <w:rFonts w:ascii="Times New Roman" w:hAnsi="Times New Roman" w:cs="Times New Roman"/>
          <w:lang w:val="en-US"/>
        </w:rPr>
      </w:pPr>
      <w:r w:rsidRPr="00712492">
        <w:rPr>
          <w:rFonts w:ascii="Times New Roman" w:hAnsi="Times New Roman" w:cs="Times New Roman"/>
          <w:lang w:val="en-US"/>
        </w:rPr>
        <w:t xml:space="preserve">Accord Healthcare Single Member S.A. </w:t>
      </w:r>
    </w:p>
    <w:p w14:paraId="109A7EAA" w14:textId="77777777" w:rsidR="005D2A55" w:rsidRPr="00712492" w:rsidRDefault="005D2A55" w:rsidP="005D2A55">
      <w:pPr>
        <w:autoSpaceDE w:val="0"/>
        <w:autoSpaceDN w:val="0"/>
        <w:adjustRightInd w:val="0"/>
        <w:spacing w:after="0" w:line="240" w:lineRule="auto"/>
        <w:rPr>
          <w:rFonts w:ascii="Times New Roman" w:hAnsi="Times New Roman" w:cs="Times New Roman"/>
          <w:lang w:val="en-US"/>
        </w:rPr>
      </w:pPr>
      <w:r w:rsidRPr="00712492">
        <w:rPr>
          <w:rFonts w:ascii="Times New Roman" w:hAnsi="Times New Roman" w:cs="Times New Roman"/>
          <w:lang w:val="en-US"/>
        </w:rPr>
        <w:t xml:space="preserve">64th Km National Road Athens, </w:t>
      </w:r>
    </w:p>
    <w:p w14:paraId="11F9E7B3" w14:textId="77777777" w:rsidR="005D2A55" w:rsidRPr="00712492" w:rsidRDefault="005D2A55" w:rsidP="005D2A55">
      <w:pPr>
        <w:spacing w:after="0" w:line="240" w:lineRule="auto"/>
        <w:rPr>
          <w:rFonts w:ascii="Times New Roman" w:hAnsi="Times New Roman" w:cs="Times New Roman"/>
          <w:lang w:val="en-US"/>
        </w:rPr>
      </w:pPr>
      <w:r w:rsidRPr="00712492">
        <w:rPr>
          <w:rFonts w:ascii="Times New Roman" w:hAnsi="Times New Roman" w:cs="Times New Roman"/>
          <w:lang w:val="en-US"/>
        </w:rPr>
        <w:t xml:space="preserve">Lamia, Schimatari, 32009, </w:t>
      </w:r>
    </w:p>
    <w:p w14:paraId="4003957E" w14:textId="3B3A6A63" w:rsidR="005D2A55" w:rsidRDefault="005D2A55" w:rsidP="005D2A55">
      <w:pPr>
        <w:tabs>
          <w:tab w:val="left" w:pos="360"/>
          <w:tab w:val="left" w:pos="567"/>
        </w:tabs>
        <w:spacing w:after="0" w:line="240" w:lineRule="auto"/>
        <w:rPr>
          <w:rFonts w:ascii="Times New Roman" w:eastAsia="Times New Roman" w:hAnsi="Times New Roman" w:cs="Times New Roman"/>
          <w:b/>
        </w:rPr>
      </w:pPr>
      <w:r w:rsidRPr="00712492">
        <w:rPr>
          <w:rFonts w:ascii="Times New Roman" w:hAnsi="Times New Roman" w:cs="Times New Roman"/>
          <w:lang w:val="en-US"/>
        </w:rPr>
        <w:t>Graikija</w:t>
      </w:r>
    </w:p>
    <w:p w14:paraId="66BCB4E6" w14:textId="77777777" w:rsidR="00123F1C" w:rsidRDefault="00123F1C" w:rsidP="00123F1C">
      <w:pPr>
        <w:tabs>
          <w:tab w:val="left" w:pos="360"/>
          <w:tab w:val="left" w:pos="567"/>
        </w:tabs>
        <w:spacing w:after="0" w:line="240" w:lineRule="auto"/>
        <w:rPr>
          <w:rFonts w:ascii="Times New Roman" w:eastAsia="Times New Roman" w:hAnsi="Times New Roman" w:cs="Times New Roman"/>
          <w:b/>
        </w:rPr>
      </w:pPr>
    </w:p>
    <w:p w14:paraId="7074C161" w14:textId="334DAD76" w:rsidR="009501EF" w:rsidRPr="008A351A" w:rsidRDefault="009501EF" w:rsidP="000E4238">
      <w:pPr>
        <w:keepNext/>
        <w:tabs>
          <w:tab w:val="left" w:pos="360"/>
          <w:tab w:val="left" w:pos="567"/>
        </w:tabs>
        <w:spacing w:after="0" w:line="240" w:lineRule="auto"/>
        <w:rPr>
          <w:rFonts w:ascii="Times New Roman" w:eastAsia="Times New Roman" w:hAnsi="Times New Roman" w:cs="Times New Roman"/>
          <w:b/>
        </w:rPr>
      </w:pPr>
      <w:r w:rsidRPr="008A351A">
        <w:rPr>
          <w:rFonts w:ascii="Times New Roman" w:eastAsia="Times New Roman" w:hAnsi="Times New Roman" w:cs="Times New Roman"/>
          <w:b/>
        </w:rPr>
        <w:t>Šis vaist</w:t>
      </w:r>
      <w:r w:rsidR="009A0335" w:rsidRPr="008A351A">
        <w:rPr>
          <w:rFonts w:ascii="Times New Roman" w:eastAsia="Times New Roman" w:hAnsi="Times New Roman" w:cs="Times New Roman"/>
          <w:b/>
        </w:rPr>
        <w:t xml:space="preserve">as </w:t>
      </w:r>
      <w:r w:rsidR="008E0E0D" w:rsidRPr="001B152A">
        <w:rPr>
          <w:rFonts w:ascii="Times New Roman" w:eastAsia="Times New Roman" w:hAnsi="Times New Roman" w:cs="Times New Roman"/>
          <w:b/>
          <w:snapToGrid w:val="0"/>
          <w:szCs w:val="20"/>
        </w:rPr>
        <w:t>Europos ekonominės erdvės</w:t>
      </w:r>
      <w:r w:rsidRPr="008A351A">
        <w:rPr>
          <w:rFonts w:ascii="Times New Roman" w:eastAsia="Times New Roman" w:hAnsi="Times New Roman" w:cs="Times New Roman"/>
          <w:b/>
        </w:rPr>
        <w:t xml:space="preserve"> valstybėse narėse </w:t>
      </w:r>
      <w:bookmarkStart w:id="25" w:name="_Hlk83135276"/>
      <w:r w:rsidR="008E0E0D" w:rsidRPr="001B152A">
        <w:rPr>
          <w:rFonts w:ascii="Times New Roman" w:eastAsia="Times New Roman" w:hAnsi="Times New Roman" w:cs="Times New Roman"/>
          <w:b/>
          <w:snapToGrid w:val="0"/>
          <w:szCs w:val="20"/>
        </w:rPr>
        <w:t>ir Jungtinėje Karalystėje (Šiaurės Airijoje)</w:t>
      </w:r>
      <w:r w:rsidR="008E0E0D">
        <w:rPr>
          <w:rFonts w:ascii="Times New Roman" w:eastAsia="Times New Roman" w:hAnsi="Times New Roman" w:cs="Times New Roman"/>
          <w:b/>
          <w:snapToGrid w:val="0"/>
          <w:szCs w:val="20"/>
        </w:rPr>
        <w:t xml:space="preserve"> </w:t>
      </w:r>
      <w:bookmarkEnd w:id="25"/>
      <w:r w:rsidRPr="008A351A">
        <w:rPr>
          <w:rFonts w:ascii="Times New Roman" w:eastAsia="Times New Roman" w:hAnsi="Times New Roman" w:cs="Times New Roman"/>
          <w:b/>
        </w:rPr>
        <w:t>registruotas tokiais pavadinimais:</w:t>
      </w:r>
    </w:p>
    <w:p w14:paraId="4A2BA0AC" w14:textId="77777777" w:rsidR="009A0335" w:rsidRPr="008A351A" w:rsidRDefault="009A0335" w:rsidP="000E4238">
      <w:pPr>
        <w:keepNext/>
        <w:tabs>
          <w:tab w:val="left" w:pos="360"/>
          <w:tab w:val="left" w:pos="567"/>
        </w:tabs>
        <w:spacing w:after="0" w:line="240" w:lineRule="auto"/>
        <w:rPr>
          <w:rFonts w:ascii="Times New Roman" w:eastAsia="Times New Roman" w:hAnsi="Times New Roman" w:cs="Times New Roman"/>
          <w:bCs/>
        </w:rPr>
      </w:pPr>
    </w:p>
    <w:tbl>
      <w:tblPr>
        <w:tblW w:w="832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6224"/>
      </w:tblGrid>
      <w:tr w:rsidR="009501EF" w:rsidRPr="008A351A" w14:paraId="3CCB77FA" w14:textId="77777777" w:rsidTr="004A2FE7">
        <w:tc>
          <w:tcPr>
            <w:tcW w:w="2098" w:type="dxa"/>
            <w:vAlign w:val="center"/>
          </w:tcPr>
          <w:p w14:paraId="06BFB8D6" w14:textId="77777777" w:rsidR="009501EF" w:rsidRPr="008A351A" w:rsidRDefault="009501EF" w:rsidP="000E4238">
            <w:pPr>
              <w:keepNext/>
              <w:spacing w:after="0" w:line="240" w:lineRule="auto"/>
              <w:rPr>
                <w:rFonts w:ascii="Times New Roman" w:eastAsia="Times New Roman" w:hAnsi="Times New Roman" w:cs="Times New Roman"/>
                <w:b/>
                <w:bCs/>
              </w:rPr>
            </w:pPr>
            <w:r w:rsidRPr="008A351A">
              <w:rPr>
                <w:rFonts w:ascii="Times New Roman" w:hAnsi="Times New Roman"/>
                <w:b/>
              </w:rPr>
              <w:t>Valstyb</w:t>
            </w:r>
            <w:r w:rsidRPr="008A351A">
              <w:rPr>
                <w:rFonts w:ascii="Times New Roman" w:eastAsia="Times New Roman" w:hAnsi="Times New Roman" w:cs="Times New Roman"/>
                <w:b/>
                <w:bCs/>
              </w:rPr>
              <w:t>ė</w:t>
            </w:r>
            <w:r w:rsidR="009A0335" w:rsidRPr="008A351A">
              <w:rPr>
                <w:rFonts w:ascii="Times New Roman" w:eastAsia="Times New Roman" w:hAnsi="Times New Roman" w:cs="Times New Roman"/>
                <w:b/>
                <w:bCs/>
              </w:rPr>
              <w:t>s</w:t>
            </w:r>
            <w:r w:rsidRPr="008A351A">
              <w:rPr>
                <w:rFonts w:ascii="Times New Roman" w:eastAsia="Times New Roman" w:hAnsi="Times New Roman" w:cs="Times New Roman"/>
                <w:b/>
                <w:bCs/>
              </w:rPr>
              <w:t xml:space="preserve"> narė</w:t>
            </w:r>
            <w:r w:rsidR="009A0335" w:rsidRPr="008A351A">
              <w:rPr>
                <w:rFonts w:ascii="Times New Roman" w:eastAsia="Times New Roman" w:hAnsi="Times New Roman" w:cs="Times New Roman"/>
                <w:b/>
                <w:bCs/>
              </w:rPr>
              <w:t>s pavadinimas</w:t>
            </w:r>
          </w:p>
        </w:tc>
        <w:tc>
          <w:tcPr>
            <w:tcW w:w="6224" w:type="dxa"/>
            <w:vAlign w:val="center"/>
          </w:tcPr>
          <w:p w14:paraId="04228EC3" w14:textId="77777777" w:rsidR="009501EF" w:rsidRPr="008A351A" w:rsidRDefault="009A0335" w:rsidP="000E4238">
            <w:pPr>
              <w:keepNext/>
              <w:spacing w:after="0" w:line="240" w:lineRule="auto"/>
              <w:rPr>
                <w:rFonts w:ascii="Times New Roman" w:hAnsi="Times New Roman"/>
                <w:b/>
              </w:rPr>
            </w:pPr>
            <w:r w:rsidRPr="008A351A">
              <w:rPr>
                <w:rFonts w:ascii="Times New Roman" w:hAnsi="Times New Roman"/>
                <w:b/>
              </w:rPr>
              <w:t>V</w:t>
            </w:r>
            <w:r w:rsidR="009501EF" w:rsidRPr="008A351A">
              <w:rPr>
                <w:rFonts w:ascii="Times New Roman" w:hAnsi="Times New Roman"/>
                <w:b/>
              </w:rPr>
              <w:t>aist</w:t>
            </w:r>
            <w:r w:rsidRPr="008A351A">
              <w:rPr>
                <w:rFonts w:ascii="Times New Roman" w:hAnsi="Times New Roman"/>
                <w:b/>
              </w:rPr>
              <w:t xml:space="preserve">o </w:t>
            </w:r>
            <w:r w:rsidR="009501EF" w:rsidRPr="008A351A">
              <w:rPr>
                <w:rFonts w:ascii="Times New Roman" w:hAnsi="Times New Roman"/>
                <w:b/>
              </w:rPr>
              <w:t>pavadinimas</w:t>
            </w:r>
          </w:p>
        </w:tc>
      </w:tr>
      <w:tr w:rsidR="009501EF" w:rsidRPr="008A351A" w14:paraId="7195D333" w14:textId="77777777" w:rsidTr="004A2FE7">
        <w:tc>
          <w:tcPr>
            <w:tcW w:w="2098" w:type="dxa"/>
          </w:tcPr>
          <w:p w14:paraId="64C680F1" w14:textId="485F395D" w:rsidR="009501EF" w:rsidRPr="008A351A" w:rsidRDefault="009501EF" w:rsidP="00CC4178">
            <w:pPr>
              <w:spacing w:after="0" w:line="240" w:lineRule="auto"/>
              <w:rPr>
                <w:rFonts w:ascii="Times New Roman" w:hAnsi="Times New Roman"/>
              </w:rPr>
            </w:pPr>
            <w:r w:rsidRPr="008A351A">
              <w:rPr>
                <w:rFonts w:ascii="Times New Roman" w:hAnsi="Times New Roman"/>
              </w:rPr>
              <w:t>Jungtinė Karalystė</w:t>
            </w:r>
            <w:r w:rsidR="008E0E0D">
              <w:rPr>
                <w:rFonts w:ascii="Times New Roman" w:hAnsi="Times New Roman"/>
              </w:rPr>
              <w:t xml:space="preserve"> </w:t>
            </w:r>
            <w:r w:rsidR="008E0E0D" w:rsidRPr="001B152A">
              <w:rPr>
                <w:rFonts w:ascii="Times New Roman" w:eastAsia="Times New Roman" w:hAnsi="Times New Roman" w:cs="Times New Roman"/>
              </w:rPr>
              <w:t>(Šiaurės Airij</w:t>
            </w:r>
            <w:r w:rsidR="008E0E0D">
              <w:rPr>
                <w:rFonts w:ascii="Times New Roman" w:eastAsia="Times New Roman" w:hAnsi="Times New Roman" w:cs="Times New Roman"/>
              </w:rPr>
              <w:t>a</w:t>
            </w:r>
            <w:r w:rsidR="008E0E0D" w:rsidRPr="001B152A">
              <w:rPr>
                <w:rFonts w:ascii="Times New Roman" w:eastAsia="Times New Roman" w:hAnsi="Times New Roman" w:cs="Times New Roman"/>
              </w:rPr>
              <w:t>)</w:t>
            </w:r>
          </w:p>
        </w:tc>
        <w:tc>
          <w:tcPr>
            <w:tcW w:w="6224" w:type="dxa"/>
          </w:tcPr>
          <w:p w14:paraId="2E4D9690" w14:textId="77777777" w:rsidR="009501EF" w:rsidRPr="008A351A" w:rsidRDefault="009501EF" w:rsidP="004A2FE7">
            <w:pPr>
              <w:spacing w:after="0" w:line="240" w:lineRule="auto"/>
              <w:jc w:val="both"/>
              <w:rPr>
                <w:rFonts w:ascii="Times New Roman" w:hAnsi="Times New Roman"/>
              </w:rPr>
            </w:pPr>
            <w:r w:rsidRPr="008A351A">
              <w:rPr>
                <w:rFonts w:ascii="Times New Roman" w:hAnsi="Times New Roman"/>
              </w:rPr>
              <w:t>Quetiapine 25/100/150/200/300 mg Film-coated Tablets</w:t>
            </w:r>
          </w:p>
        </w:tc>
      </w:tr>
      <w:tr w:rsidR="009501EF" w:rsidRPr="008A351A" w14:paraId="5C7CDCB6" w14:textId="77777777" w:rsidTr="004A2FE7">
        <w:tc>
          <w:tcPr>
            <w:tcW w:w="2098" w:type="dxa"/>
          </w:tcPr>
          <w:p w14:paraId="1BD430E8" w14:textId="77777777" w:rsidR="009501EF" w:rsidRPr="008A351A" w:rsidRDefault="009501EF" w:rsidP="004A2FE7">
            <w:pPr>
              <w:spacing w:after="0" w:line="240" w:lineRule="auto"/>
              <w:jc w:val="both"/>
              <w:rPr>
                <w:rFonts w:ascii="Times New Roman" w:hAnsi="Times New Roman"/>
              </w:rPr>
            </w:pPr>
            <w:r w:rsidRPr="008A351A">
              <w:rPr>
                <w:rFonts w:ascii="Times New Roman" w:hAnsi="Times New Roman"/>
              </w:rPr>
              <w:t>Ispanija</w:t>
            </w:r>
          </w:p>
        </w:tc>
        <w:tc>
          <w:tcPr>
            <w:tcW w:w="6224" w:type="dxa"/>
          </w:tcPr>
          <w:p w14:paraId="366504FB" w14:textId="77777777" w:rsidR="009501EF" w:rsidRPr="008A351A" w:rsidRDefault="009501EF" w:rsidP="004A2FE7">
            <w:pPr>
              <w:spacing w:after="0" w:line="240" w:lineRule="auto"/>
              <w:rPr>
                <w:rFonts w:ascii="Times New Roman" w:hAnsi="Times New Roman"/>
              </w:rPr>
            </w:pPr>
            <w:r w:rsidRPr="008A351A">
              <w:rPr>
                <w:rFonts w:ascii="Times New Roman" w:eastAsia="Times New Roman" w:hAnsi="Times New Roman" w:cs="Times New Roman"/>
              </w:rPr>
              <w:t xml:space="preserve">Quetiapina Combix </w:t>
            </w:r>
            <w:r w:rsidRPr="008A351A">
              <w:rPr>
                <w:rFonts w:ascii="Times New Roman" w:hAnsi="Times New Roman"/>
              </w:rPr>
              <w:t>25/100/150/200/300 mg comprimidos recubiertos con película EFG</w:t>
            </w:r>
          </w:p>
        </w:tc>
      </w:tr>
      <w:tr w:rsidR="009501EF" w:rsidRPr="008A351A" w14:paraId="443CABFD" w14:textId="77777777" w:rsidTr="004A2FE7">
        <w:tc>
          <w:tcPr>
            <w:tcW w:w="2098" w:type="dxa"/>
          </w:tcPr>
          <w:p w14:paraId="3D2C0F8E"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Suomija</w:t>
            </w:r>
          </w:p>
        </w:tc>
        <w:tc>
          <w:tcPr>
            <w:tcW w:w="6224" w:type="dxa"/>
          </w:tcPr>
          <w:p w14:paraId="5E5D8177" w14:textId="77777777" w:rsidR="009501EF" w:rsidRPr="008A351A" w:rsidRDefault="009501EF" w:rsidP="004A2FE7">
            <w:pPr>
              <w:spacing w:after="0" w:line="240" w:lineRule="auto"/>
              <w:rPr>
                <w:rFonts w:ascii="Times New Roman" w:hAnsi="Times New Roman"/>
              </w:rPr>
            </w:pPr>
            <w:r w:rsidRPr="008A351A">
              <w:rPr>
                <w:rFonts w:ascii="Times New Roman" w:hAnsi="Times New Roman"/>
              </w:rPr>
              <w:t>Quetiapine Accord 25/100/200/300 mg tabletti, kalvopäällysteinen / filmdragerade tabletter</w:t>
            </w:r>
          </w:p>
        </w:tc>
      </w:tr>
      <w:tr w:rsidR="009501EF" w:rsidRPr="008A351A" w14:paraId="409D7E55" w14:textId="77777777" w:rsidTr="004A2FE7">
        <w:tc>
          <w:tcPr>
            <w:tcW w:w="2098" w:type="dxa"/>
          </w:tcPr>
          <w:p w14:paraId="669EE91E" w14:textId="77777777" w:rsidR="009501EF" w:rsidRPr="008A351A" w:rsidRDefault="009A0335" w:rsidP="008E2FBF">
            <w:pPr>
              <w:spacing w:after="0" w:line="240" w:lineRule="auto"/>
              <w:jc w:val="both"/>
              <w:rPr>
                <w:rFonts w:ascii="Times New Roman" w:hAnsi="Times New Roman"/>
              </w:rPr>
            </w:pPr>
            <w:r w:rsidRPr="008A351A">
              <w:rPr>
                <w:rFonts w:ascii="Times New Roman" w:hAnsi="Times New Roman"/>
              </w:rPr>
              <w:t>Nyderlandai</w:t>
            </w:r>
          </w:p>
        </w:tc>
        <w:tc>
          <w:tcPr>
            <w:tcW w:w="6224" w:type="dxa"/>
          </w:tcPr>
          <w:p w14:paraId="7962066D"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Accord 25/100/150/200/300 mg filmomhulde tabletten</w:t>
            </w:r>
          </w:p>
        </w:tc>
      </w:tr>
      <w:tr w:rsidR="009501EF" w:rsidRPr="008A351A" w14:paraId="51F9EBBC" w14:textId="77777777" w:rsidTr="004A2FE7">
        <w:tc>
          <w:tcPr>
            <w:tcW w:w="2098" w:type="dxa"/>
          </w:tcPr>
          <w:p w14:paraId="75044ABB"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Portugalija</w:t>
            </w:r>
          </w:p>
        </w:tc>
        <w:tc>
          <w:tcPr>
            <w:tcW w:w="6224" w:type="dxa"/>
          </w:tcPr>
          <w:p w14:paraId="40B3EF8E"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Quetiapina Accord</w:t>
            </w:r>
          </w:p>
        </w:tc>
      </w:tr>
      <w:tr w:rsidR="009501EF" w:rsidRPr="008A351A" w14:paraId="4A46D248" w14:textId="77777777" w:rsidTr="004A2FE7">
        <w:tc>
          <w:tcPr>
            <w:tcW w:w="2098" w:type="dxa"/>
          </w:tcPr>
          <w:p w14:paraId="7BD55A45"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Lenkija</w:t>
            </w:r>
          </w:p>
        </w:tc>
        <w:tc>
          <w:tcPr>
            <w:tcW w:w="6224" w:type="dxa"/>
          </w:tcPr>
          <w:p w14:paraId="42F4F424"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Alcreno, 25/100/150/200/300 mg, tabletki powlekane</w:t>
            </w:r>
          </w:p>
        </w:tc>
      </w:tr>
      <w:tr w:rsidR="009501EF" w:rsidRPr="008A351A" w14:paraId="5A5AB52D" w14:textId="77777777" w:rsidTr="004A2FE7">
        <w:tc>
          <w:tcPr>
            <w:tcW w:w="2098" w:type="dxa"/>
          </w:tcPr>
          <w:p w14:paraId="19FDFFC2"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Danija</w:t>
            </w:r>
          </w:p>
        </w:tc>
        <w:tc>
          <w:tcPr>
            <w:tcW w:w="6224" w:type="dxa"/>
          </w:tcPr>
          <w:p w14:paraId="404962A9"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 xml:space="preserve">Quetiapin Accord </w:t>
            </w:r>
          </w:p>
        </w:tc>
      </w:tr>
      <w:tr w:rsidR="009501EF" w:rsidRPr="008A351A" w14:paraId="71367EE7" w14:textId="77777777" w:rsidTr="004A2FE7">
        <w:tc>
          <w:tcPr>
            <w:tcW w:w="2098" w:type="dxa"/>
          </w:tcPr>
          <w:p w14:paraId="64E559A2"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Rumunija</w:t>
            </w:r>
          </w:p>
        </w:tc>
        <w:tc>
          <w:tcPr>
            <w:tcW w:w="6224" w:type="dxa"/>
          </w:tcPr>
          <w:p w14:paraId="4DAC9755"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Accord 25/100/150/200/300 mg comprimate filmate</w:t>
            </w:r>
          </w:p>
        </w:tc>
      </w:tr>
      <w:tr w:rsidR="009501EF" w:rsidRPr="008A351A" w14:paraId="343A17A0" w14:textId="77777777" w:rsidTr="004A2FE7">
        <w:tc>
          <w:tcPr>
            <w:tcW w:w="2098" w:type="dxa"/>
          </w:tcPr>
          <w:p w14:paraId="52AF5AC1"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Švedija</w:t>
            </w:r>
          </w:p>
        </w:tc>
        <w:tc>
          <w:tcPr>
            <w:tcW w:w="6224" w:type="dxa"/>
          </w:tcPr>
          <w:p w14:paraId="2C397B40"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Accord 25/100/200/300 mg filmdragerad tabletter</w:t>
            </w:r>
          </w:p>
        </w:tc>
      </w:tr>
      <w:tr w:rsidR="009501EF" w:rsidRPr="008A351A" w14:paraId="56A76D23" w14:textId="77777777" w:rsidTr="004A2FE7">
        <w:tc>
          <w:tcPr>
            <w:tcW w:w="2098" w:type="dxa"/>
          </w:tcPr>
          <w:p w14:paraId="33A912A4"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Vengrija</w:t>
            </w:r>
          </w:p>
        </w:tc>
        <w:tc>
          <w:tcPr>
            <w:tcW w:w="6224" w:type="dxa"/>
          </w:tcPr>
          <w:p w14:paraId="783CFC49"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Accord 200/300 mg filmtabletta</w:t>
            </w:r>
          </w:p>
        </w:tc>
      </w:tr>
      <w:tr w:rsidR="009501EF" w:rsidRPr="008A351A" w14:paraId="19A37315" w14:textId="77777777" w:rsidTr="004A2FE7">
        <w:tc>
          <w:tcPr>
            <w:tcW w:w="2098" w:type="dxa"/>
          </w:tcPr>
          <w:p w14:paraId="7012B1DA"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Slovakija</w:t>
            </w:r>
          </w:p>
        </w:tc>
        <w:tc>
          <w:tcPr>
            <w:tcW w:w="6224" w:type="dxa"/>
          </w:tcPr>
          <w:p w14:paraId="183DE5BE"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Accord 25/100/150/200/300 mg filmom obalené tablety</w:t>
            </w:r>
          </w:p>
        </w:tc>
      </w:tr>
      <w:tr w:rsidR="009501EF" w:rsidRPr="008A351A" w14:paraId="3DC4497F" w14:textId="77777777" w:rsidTr="004A2FE7">
        <w:tc>
          <w:tcPr>
            <w:tcW w:w="2098" w:type="dxa"/>
          </w:tcPr>
          <w:p w14:paraId="2E82A3ED"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Airija</w:t>
            </w:r>
          </w:p>
        </w:tc>
        <w:tc>
          <w:tcPr>
            <w:tcW w:w="6224" w:type="dxa"/>
          </w:tcPr>
          <w:p w14:paraId="64D796E2"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25/100/150/200/300 mg Film coated Tablet</w:t>
            </w:r>
          </w:p>
        </w:tc>
      </w:tr>
      <w:tr w:rsidR="009501EF" w:rsidRPr="008A351A" w14:paraId="7397563A" w14:textId="77777777" w:rsidTr="004A2FE7">
        <w:tc>
          <w:tcPr>
            <w:tcW w:w="2098" w:type="dxa"/>
          </w:tcPr>
          <w:p w14:paraId="2E446E78"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Lietuva</w:t>
            </w:r>
          </w:p>
        </w:tc>
        <w:tc>
          <w:tcPr>
            <w:tcW w:w="6224" w:type="dxa"/>
          </w:tcPr>
          <w:p w14:paraId="124EC990"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Accord 25/100/150/200/300 mg plėvele dengtos tabletės</w:t>
            </w:r>
          </w:p>
        </w:tc>
      </w:tr>
      <w:tr w:rsidR="009501EF" w:rsidRPr="008A351A" w14:paraId="2E2D0518" w14:textId="77777777" w:rsidTr="004A2FE7">
        <w:tc>
          <w:tcPr>
            <w:tcW w:w="2098" w:type="dxa"/>
          </w:tcPr>
          <w:p w14:paraId="0FD3E2C3"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Italija</w:t>
            </w:r>
          </w:p>
        </w:tc>
        <w:tc>
          <w:tcPr>
            <w:tcW w:w="6224" w:type="dxa"/>
          </w:tcPr>
          <w:p w14:paraId="4EAF17B3"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AHCL 25/100/200/300 mg compresse rivestite con film</w:t>
            </w:r>
          </w:p>
        </w:tc>
      </w:tr>
      <w:tr w:rsidR="009501EF" w:rsidRPr="008A351A" w14:paraId="55263B6F" w14:textId="77777777" w:rsidTr="004A2FE7">
        <w:tc>
          <w:tcPr>
            <w:tcW w:w="2098" w:type="dxa"/>
          </w:tcPr>
          <w:p w14:paraId="1029461C"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Bulgarija</w:t>
            </w:r>
          </w:p>
        </w:tc>
        <w:tc>
          <w:tcPr>
            <w:tcW w:w="6224" w:type="dxa"/>
          </w:tcPr>
          <w:p w14:paraId="1A73523A" w14:textId="77777777" w:rsidR="009501EF" w:rsidRPr="008A351A" w:rsidRDefault="009501EF" w:rsidP="008E2FBF">
            <w:pPr>
              <w:spacing w:after="0" w:line="240" w:lineRule="auto"/>
              <w:jc w:val="both"/>
              <w:rPr>
                <w:rFonts w:ascii="Times New Roman" w:hAnsi="Times New Roman"/>
              </w:rPr>
            </w:pPr>
            <w:r w:rsidRPr="008A351A">
              <w:rPr>
                <w:rFonts w:ascii="Times New Roman" w:hAnsi="Times New Roman"/>
              </w:rPr>
              <w:t>Quetiapine Accord 25/100/200/300 mg филмирани таблетки</w:t>
            </w:r>
          </w:p>
        </w:tc>
      </w:tr>
    </w:tbl>
    <w:p w14:paraId="36C2EC4A"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bCs/>
        </w:rPr>
      </w:pPr>
    </w:p>
    <w:p w14:paraId="6EEF99FD"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78F36735" w14:textId="43DC964A" w:rsidR="00F04877" w:rsidRPr="008A351A" w:rsidRDefault="00F04877" w:rsidP="00F04877">
      <w:pPr>
        <w:tabs>
          <w:tab w:val="left" w:pos="360"/>
          <w:tab w:val="left" w:pos="567"/>
        </w:tabs>
        <w:spacing w:after="0" w:line="240" w:lineRule="auto"/>
        <w:rPr>
          <w:rFonts w:ascii="Times New Roman" w:eastAsia="Times New Roman" w:hAnsi="Times New Roman" w:cs="Times New Roman"/>
          <w:b/>
          <w:bCs/>
        </w:rPr>
      </w:pPr>
      <w:r w:rsidRPr="008A351A">
        <w:rPr>
          <w:rFonts w:ascii="Times New Roman" w:eastAsia="Times New Roman" w:hAnsi="Times New Roman" w:cs="Times New Roman"/>
          <w:b/>
          <w:bCs/>
        </w:rPr>
        <w:t xml:space="preserve">Šis pakuotės lapelis paskutinį kartą </w:t>
      </w:r>
      <w:r w:rsidR="009A0335" w:rsidRPr="00806CBF">
        <w:rPr>
          <w:rFonts w:ascii="Times New Roman" w:eastAsia="Times New Roman" w:hAnsi="Times New Roman" w:cs="Times New Roman"/>
          <w:b/>
          <w:bCs/>
        </w:rPr>
        <w:t>peržiūrėtas</w:t>
      </w:r>
      <w:r w:rsidR="002B78A0">
        <w:rPr>
          <w:rFonts w:ascii="Times New Roman" w:eastAsia="Times New Roman" w:hAnsi="Times New Roman" w:cs="Times New Roman"/>
          <w:b/>
          <w:bCs/>
        </w:rPr>
        <w:t xml:space="preserve"> </w:t>
      </w:r>
      <w:r w:rsidR="00646653">
        <w:rPr>
          <w:rFonts w:ascii="Times New Roman" w:eastAsia="Times New Roman" w:hAnsi="Times New Roman" w:cs="Times New Roman"/>
          <w:b/>
          <w:bCs/>
        </w:rPr>
        <w:t>2025-03-25.</w:t>
      </w:r>
    </w:p>
    <w:p w14:paraId="2CCB5677" w14:textId="77777777" w:rsidR="009501EF" w:rsidRPr="008A351A" w:rsidRDefault="009501EF" w:rsidP="009501EF">
      <w:pPr>
        <w:tabs>
          <w:tab w:val="left" w:pos="360"/>
          <w:tab w:val="left" w:pos="567"/>
        </w:tabs>
        <w:spacing w:after="0" w:line="240" w:lineRule="auto"/>
        <w:rPr>
          <w:rFonts w:ascii="Times New Roman" w:eastAsia="Times New Roman" w:hAnsi="Times New Roman" w:cs="Times New Roman"/>
        </w:rPr>
      </w:pPr>
    </w:p>
    <w:p w14:paraId="0FC0D09A" w14:textId="77777777" w:rsidR="009501EF" w:rsidRPr="008A351A" w:rsidRDefault="009501EF" w:rsidP="009501EF">
      <w:pPr>
        <w:tabs>
          <w:tab w:val="left" w:pos="567"/>
        </w:tabs>
        <w:spacing w:after="0" w:line="240" w:lineRule="auto"/>
        <w:ind w:left="567" w:hanging="567"/>
        <w:outlineLvl w:val="0"/>
        <w:rPr>
          <w:rFonts w:ascii="Times New Roman" w:eastAsia="Times New Roman" w:hAnsi="Times New Roman" w:cs="Times New Roman"/>
          <w:b/>
          <w:caps/>
        </w:rPr>
      </w:pPr>
    </w:p>
    <w:p w14:paraId="730F4E5A" w14:textId="6EF9FCCA" w:rsidR="009501EF" w:rsidRDefault="009501EF" w:rsidP="009501EF">
      <w:pPr>
        <w:rPr>
          <w:rStyle w:val="Hipersaitas"/>
          <w:rFonts w:ascii="Times New Roman" w:eastAsia="Times New Roman" w:hAnsi="Times New Roman" w:cs="Times New Roman"/>
        </w:rPr>
      </w:pPr>
      <w:r w:rsidRPr="008A351A">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3" w:history="1">
        <w:r w:rsidR="00376B8B" w:rsidRPr="00186494">
          <w:rPr>
            <w:rStyle w:val="Hipersaitas"/>
            <w:rFonts w:ascii="Times New Roman" w:eastAsia="Times New Roman" w:hAnsi="Times New Roman" w:cs="Times New Roman"/>
            <w:lang w:eastAsia="lt-LT"/>
          </w:rPr>
          <w:t>https://vvkt.lrv.lt/lt/</w:t>
        </w:r>
      </w:hyperlink>
      <w:r w:rsidR="002B78A0">
        <w:rPr>
          <w:rStyle w:val="Hipersaitas"/>
          <w:rFonts w:ascii="Times New Roman" w:eastAsia="Times New Roman" w:hAnsi="Times New Roman" w:cs="Times New Roman"/>
        </w:rPr>
        <w:t>.</w:t>
      </w:r>
    </w:p>
    <w:p w14:paraId="726CA597" w14:textId="77777777" w:rsidR="00376B8B" w:rsidRPr="00434403" w:rsidRDefault="00376B8B" w:rsidP="009501EF">
      <w:pPr>
        <w:rPr>
          <w:rFonts w:ascii="Times New Roman" w:hAnsi="Times New Roman"/>
        </w:rPr>
      </w:pPr>
      <w:bookmarkStart w:id="26" w:name="_GoBack"/>
      <w:bookmarkEnd w:id="26"/>
    </w:p>
    <w:p w14:paraId="2D3DCB8E" w14:textId="77777777" w:rsidR="009501EF" w:rsidRPr="00434403" w:rsidRDefault="009501EF" w:rsidP="009501EF">
      <w:pPr>
        <w:rPr>
          <w:rFonts w:ascii="Times New Roman" w:hAnsi="Times New Roman" w:cs="Times New Roman"/>
        </w:rPr>
      </w:pPr>
    </w:p>
    <w:p w14:paraId="36B6DFFA" w14:textId="77777777" w:rsidR="00AA5A92" w:rsidRPr="000E4238" w:rsidRDefault="00AA5A92">
      <w:pPr>
        <w:rPr>
          <w:rFonts w:ascii="Times New Roman" w:hAnsi="Times New Roman"/>
        </w:rPr>
      </w:pPr>
    </w:p>
    <w:sectPr w:rsidR="00AA5A92" w:rsidRPr="000E4238" w:rsidSect="00CE4DE4">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2F6AC" w14:textId="77777777" w:rsidR="004914D7" w:rsidRDefault="004914D7" w:rsidP="00E2316B">
      <w:pPr>
        <w:spacing w:after="0" w:line="240" w:lineRule="auto"/>
      </w:pPr>
      <w:r>
        <w:separator/>
      </w:r>
    </w:p>
  </w:endnote>
  <w:endnote w:type="continuationSeparator" w:id="0">
    <w:p w14:paraId="2B019DB9" w14:textId="77777777" w:rsidR="004914D7" w:rsidRDefault="004914D7" w:rsidP="00E2316B">
      <w:pPr>
        <w:spacing w:after="0" w:line="240" w:lineRule="auto"/>
      </w:pPr>
      <w:r>
        <w:continuationSeparator/>
      </w:r>
    </w:p>
  </w:endnote>
  <w:endnote w:type="continuationNotice" w:id="1">
    <w:p w14:paraId="138C8F69" w14:textId="77777777" w:rsidR="004914D7" w:rsidRDefault="00491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F413" w14:textId="77777777" w:rsidR="00FC1E6C" w:rsidRDefault="00FC1E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143C1" w14:textId="77777777" w:rsidR="004914D7" w:rsidRDefault="004914D7" w:rsidP="00E2316B">
      <w:pPr>
        <w:spacing w:after="0" w:line="240" w:lineRule="auto"/>
      </w:pPr>
      <w:r>
        <w:separator/>
      </w:r>
    </w:p>
  </w:footnote>
  <w:footnote w:type="continuationSeparator" w:id="0">
    <w:p w14:paraId="3BBED8DC" w14:textId="77777777" w:rsidR="004914D7" w:rsidRDefault="004914D7" w:rsidP="00E2316B">
      <w:pPr>
        <w:spacing w:after="0" w:line="240" w:lineRule="auto"/>
      </w:pPr>
      <w:r>
        <w:continuationSeparator/>
      </w:r>
    </w:p>
  </w:footnote>
  <w:footnote w:type="continuationNotice" w:id="1">
    <w:p w14:paraId="400A59A8" w14:textId="77777777" w:rsidR="004914D7" w:rsidRDefault="004914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213" w14:textId="77777777" w:rsidR="00FC1E6C" w:rsidRDefault="00FC1E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183"/>
    <w:multiLevelType w:val="hybridMultilevel"/>
    <w:tmpl w:val="941C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630FA"/>
    <w:multiLevelType w:val="hybridMultilevel"/>
    <w:tmpl w:val="54A6B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9A1CFA"/>
    <w:multiLevelType w:val="hybridMultilevel"/>
    <w:tmpl w:val="77CAE646"/>
    <w:lvl w:ilvl="0" w:tplc="B0FC2C0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333479"/>
    <w:multiLevelType w:val="hybridMultilevel"/>
    <w:tmpl w:val="8B42CF84"/>
    <w:lvl w:ilvl="0" w:tplc="04090001">
      <w:start w:val="1"/>
      <w:numFmt w:val="bullet"/>
      <w:lvlText w:val=""/>
      <w:lvlJc w:val="left"/>
      <w:pPr>
        <w:tabs>
          <w:tab w:val="num" w:pos="360"/>
        </w:tabs>
        <w:ind w:left="360" w:hanging="360"/>
      </w:pPr>
      <w:rPr>
        <w:rFonts w:ascii="Symbol" w:hAnsi="Symbol" w:cs="Calibri"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E6702B9"/>
    <w:multiLevelType w:val="hybridMultilevel"/>
    <w:tmpl w:val="401C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01369"/>
    <w:multiLevelType w:val="hybridMultilevel"/>
    <w:tmpl w:val="B1F46980"/>
    <w:lvl w:ilvl="0" w:tplc="D2443140">
      <w:start w:val="6"/>
      <w:numFmt w:val="decimal"/>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23FD6479"/>
    <w:multiLevelType w:val="hybridMultilevel"/>
    <w:tmpl w:val="9EDCC480"/>
    <w:lvl w:ilvl="0" w:tplc="04270003">
      <w:start w:val="1"/>
      <w:numFmt w:val="bullet"/>
      <w:lvlText w:val="o"/>
      <w:lvlJc w:val="left"/>
      <w:pPr>
        <w:ind w:left="720" w:hanging="360"/>
      </w:pPr>
      <w:rPr>
        <w:rFonts w:ascii="Courier New" w:hAnsi="Courier New" w:cs="Wingding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861F5C"/>
    <w:multiLevelType w:val="multilevel"/>
    <w:tmpl w:val="9EDCC480"/>
    <w:lvl w:ilvl="0">
      <w:start w:val="1"/>
      <w:numFmt w:val="bullet"/>
      <w:lvlText w:val="o"/>
      <w:lvlJc w:val="left"/>
      <w:pPr>
        <w:ind w:left="720" w:hanging="360"/>
      </w:pPr>
      <w:rPr>
        <w:rFonts w:ascii="Courier New" w:hAnsi="Courier New" w:cs="Wingdings"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42B50"/>
    <w:multiLevelType w:val="hybridMultilevel"/>
    <w:tmpl w:val="E24E740C"/>
    <w:lvl w:ilvl="0" w:tplc="C316CB1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20A6D"/>
    <w:multiLevelType w:val="hybridMultilevel"/>
    <w:tmpl w:val="726AD824"/>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045D8"/>
    <w:multiLevelType w:val="hybridMultilevel"/>
    <w:tmpl w:val="6C24FA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823603D"/>
    <w:multiLevelType w:val="hybridMultilevel"/>
    <w:tmpl w:val="4802E5F8"/>
    <w:lvl w:ilvl="0" w:tplc="04270001">
      <w:start w:val="1"/>
      <w:numFmt w:val="bullet"/>
      <w:lvlText w:val=""/>
      <w:lvlJc w:val="left"/>
      <w:pPr>
        <w:ind w:left="720" w:hanging="360"/>
      </w:pPr>
      <w:rPr>
        <w:rFonts w:ascii="Symbol" w:hAnsi="Symbol"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FD035A"/>
    <w:multiLevelType w:val="hybridMultilevel"/>
    <w:tmpl w:val="7724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A75916"/>
    <w:multiLevelType w:val="hybridMultilevel"/>
    <w:tmpl w:val="7F38E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8F2DE8"/>
    <w:multiLevelType w:val="hybridMultilevel"/>
    <w:tmpl w:val="AE6ABBBA"/>
    <w:lvl w:ilvl="0" w:tplc="A75E5664">
      <w:start w:val="2"/>
      <w:numFmt w:val="bullet"/>
      <w:lvlText w:val="-"/>
      <w:lvlJc w:val="left"/>
      <w:pPr>
        <w:tabs>
          <w:tab w:val="num" w:pos="765"/>
        </w:tabs>
        <w:ind w:left="765" w:hanging="405"/>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Calibri"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Calibri" w:hint="default"/>
      </w:rPr>
    </w:lvl>
    <w:lvl w:ilvl="7" w:tplc="0C0A0003">
      <w:start w:val="1"/>
      <w:numFmt w:val="bullet"/>
      <w:lvlText w:val="o"/>
      <w:lvlJc w:val="left"/>
      <w:pPr>
        <w:tabs>
          <w:tab w:val="num" w:pos="5760"/>
        </w:tabs>
        <w:ind w:left="5760" w:hanging="360"/>
      </w:pPr>
      <w:rPr>
        <w:rFonts w:ascii="Courier New" w:hAnsi="Courier New" w:cs="Wingdings"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5A223D9"/>
    <w:multiLevelType w:val="hybridMultilevel"/>
    <w:tmpl w:val="D9A41D9A"/>
    <w:lvl w:ilvl="0" w:tplc="1B62FECC">
      <w:start w:val="1"/>
      <w:numFmt w:val="bullet"/>
      <w:lvlText w:val=""/>
      <w:lvlJc w:val="left"/>
      <w:pPr>
        <w:ind w:left="537" w:hanging="312"/>
      </w:pPr>
      <w:rPr>
        <w:rFonts w:ascii="Symbol" w:eastAsia="Symbol" w:hAnsi="Symbol" w:hint="default"/>
        <w:sz w:val="24"/>
        <w:szCs w:val="24"/>
      </w:rPr>
    </w:lvl>
    <w:lvl w:ilvl="1" w:tplc="A43656A0">
      <w:start w:val="1"/>
      <w:numFmt w:val="bullet"/>
      <w:lvlText w:val=""/>
      <w:lvlJc w:val="left"/>
      <w:pPr>
        <w:ind w:left="832" w:hanging="360"/>
      </w:pPr>
      <w:rPr>
        <w:rFonts w:ascii="Symbol" w:eastAsia="Symbol" w:hAnsi="Symbol" w:hint="default"/>
        <w:sz w:val="24"/>
        <w:szCs w:val="24"/>
      </w:rPr>
    </w:lvl>
    <w:lvl w:ilvl="2" w:tplc="9E081B3A">
      <w:start w:val="1"/>
      <w:numFmt w:val="bullet"/>
      <w:lvlText w:val="•"/>
      <w:lvlJc w:val="left"/>
      <w:pPr>
        <w:ind w:left="1809" w:hanging="360"/>
      </w:pPr>
      <w:rPr>
        <w:rFonts w:hint="default"/>
      </w:rPr>
    </w:lvl>
    <w:lvl w:ilvl="3" w:tplc="D5769A40">
      <w:start w:val="1"/>
      <w:numFmt w:val="bullet"/>
      <w:lvlText w:val="•"/>
      <w:lvlJc w:val="left"/>
      <w:pPr>
        <w:ind w:left="2786" w:hanging="360"/>
      </w:pPr>
      <w:rPr>
        <w:rFonts w:hint="default"/>
      </w:rPr>
    </w:lvl>
    <w:lvl w:ilvl="4" w:tplc="F7668BD2">
      <w:start w:val="1"/>
      <w:numFmt w:val="bullet"/>
      <w:lvlText w:val="•"/>
      <w:lvlJc w:val="left"/>
      <w:pPr>
        <w:ind w:left="3764" w:hanging="360"/>
      </w:pPr>
      <w:rPr>
        <w:rFonts w:hint="default"/>
      </w:rPr>
    </w:lvl>
    <w:lvl w:ilvl="5" w:tplc="6F64C2C0">
      <w:start w:val="1"/>
      <w:numFmt w:val="bullet"/>
      <w:lvlText w:val="•"/>
      <w:lvlJc w:val="left"/>
      <w:pPr>
        <w:ind w:left="4741" w:hanging="360"/>
      </w:pPr>
      <w:rPr>
        <w:rFonts w:hint="default"/>
      </w:rPr>
    </w:lvl>
    <w:lvl w:ilvl="6" w:tplc="C47A0940">
      <w:start w:val="1"/>
      <w:numFmt w:val="bullet"/>
      <w:lvlText w:val="•"/>
      <w:lvlJc w:val="left"/>
      <w:pPr>
        <w:ind w:left="5718" w:hanging="360"/>
      </w:pPr>
      <w:rPr>
        <w:rFonts w:hint="default"/>
      </w:rPr>
    </w:lvl>
    <w:lvl w:ilvl="7" w:tplc="5E820280">
      <w:start w:val="1"/>
      <w:numFmt w:val="bullet"/>
      <w:lvlText w:val="•"/>
      <w:lvlJc w:val="left"/>
      <w:pPr>
        <w:ind w:left="6695" w:hanging="360"/>
      </w:pPr>
      <w:rPr>
        <w:rFonts w:hint="default"/>
      </w:rPr>
    </w:lvl>
    <w:lvl w:ilvl="8" w:tplc="294A63A4">
      <w:start w:val="1"/>
      <w:numFmt w:val="bullet"/>
      <w:lvlText w:val="•"/>
      <w:lvlJc w:val="left"/>
      <w:pPr>
        <w:ind w:left="7672" w:hanging="360"/>
      </w:pPr>
      <w:rPr>
        <w:rFonts w:hint="default"/>
      </w:rPr>
    </w:lvl>
  </w:abstractNum>
  <w:abstractNum w:abstractNumId="19" w15:restartNumberingAfterBreak="0">
    <w:nsid w:val="4C22758E"/>
    <w:multiLevelType w:val="hybridMultilevel"/>
    <w:tmpl w:val="4DF4F604"/>
    <w:lvl w:ilvl="0" w:tplc="04270001">
      <w:start w:val="1"/>
      <w:numFmt w:val="bullet"/>
      <w:lvlText w:val=""/>
      <w:lvlJc w:val="left"/>
      <w:pPr>
        <w:tabs>
          <w:tab w:val="num" w:pos="720"/>
        </w:tabs>
        <w:ind w:left="720" w:hanging="360"/>
      </w:pPr>
      <w:rPr>
        <w:rFonts w:ascii="Symbol" w:hAnsi="Symbol" w:hint="default"/>
      </w:rPr>
    </w:lvl>
    <w:lvl w:ilvl="1" w:tplc="AB0A122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31526D"/>
    <w:multiLevelType w:val="hybridMultilevel"/>
    <w:tmpl w:val="D5D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Calibri"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9D171C5"/>
    <w:multiLevelType w:val="hybridMultilevel"/>
    <w:tmpl w:val="BE7E8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A23DB7"/>
    <w:multiLevelType w:val="hybridMultilevel"/>
    <w:tmpl w:val="6414D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885DAE"/>
    <w:multiLevelType w:val="hybridMultilevel"/>
    <w:tmpl w:val="4BF20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446879"/>
    <w:multiLevelType w:val="hybridMultilevel"/>
    <w:tmpl w:val="8F5676D2"/>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0437C4"/>
    <w:multiLevelType w:val="hybridMultilevel"/>
    <w:tmpl w:val="34784946"/>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2B6E9572"/>
    <w:lvl w:ilvl="0" w:tplc="FD788292">
      <w:start w:val="1"/>
      <w:numFmt w:val="upperLetter"/>
      <w:lvlText w:val="%1."/>
      <w:lvlJc w:val="left"/>
      <w:pPr>
        <w:ind w:left="5670" w:hanging="5670"/>
      </w:pPr>
      <w:rPr>
        <w:rFonts w:hint="default"/>
        <w:b/>
      </w:rPr>
    </w:lvl>
    <w:lvl w:ilvl="1" w:tplc="AC68B3B8">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1"/>
  </w:num>
  <w:num w:numId="2">
    <w:abstractNumId w:val="17"/>
  </w:num>
  <w:num w:numId="3">
    <w:abstractNumId w:val="5"/>
  </w:num>
  <w:num w:numId="4">
    <w:abstractNumId w:val="22"/>
  </w:num>
  <w:num w:numId="5">
    <w:abstractNumId w:val="3"/>
  </w:num>
  <w:num w:numId="6">
    <w:abstractNumId w:val="2"/>
  </w:num>
  <w:num w:numId="7">
    <w:abstractNumId w:val="23"/>
  </w:num>
  <w:num w:numId="8">
    <w:abstractNumId w:val="25"/>
  </w:num>
  <w:num w:numId="9">
    <w:abstractNumId w:val="6"/>
  </w:num>
  <w:num w:numId="10">
    <w:abstractNumId w:val="16"/>
  </w:num>
  <w:num w:numId="11">
    <w:abstractNumId w:val="7"/>
  </w:num>
  <w:num w:numId="12">
    <w:abstractNumId w:val="10"/>
  </w:num>
  <w:num w:numId="13">
    <w:abstractNumId w:val="24"/>
  </w:num>
  <w:num w:numId="14">
    <w:abstractNumId w:val="28"/>
  </w:num>
  <w:num w:numId="15">
    <w:abstractNumId w:val="13"/>
  </w:num>
  <w:num w:numId="16">
    <w:abstractNumId w:val="27"/>
  </w:num>
  <w:num w:numId="17">
    <w:abstractNumId w:val="20"/>
  </w:num>
  <w:num w:numId="18">
    <w:abstractNumId w:val="15"/>
  </w:num>
  <w:num w:numId="19">
    <w:abstractNumId w:val="8"/>
  </w:num>
  <w:num w:numId="20">
    <w:abstractNumId w:val="19"/>
  </w:num>
  <w:num w:numId="21">
    <w:abstractNumId w:val="9"/>
  </w:num>
  <w:num w:numId="22">
    <w:abstractNumId w:val="21"/>
  </w:num>
  <w:num w:numId="23">
    <w:abstractNumId w:val="0"/>
  </w:num>
  <w:num w:numId="24">
    <w:abstractNumId w:val="4"/>
  </w:num>
  <w:num w:numId="25">
    <w:abstractNumId w:val="14"/>
  </w:num>
  <w:num w:numId="26">
    <w:abstractNumId w:val="26"/>
  </w:num>
  <w:num w:numId="27">
    <w:abstractNumId w:val="29"/>
  </w:num>
  <w:num w:numId="28">
    <w:abstractNumId w:val="1"/>
  </w:num>
  <w:num w:numId="29">
    <w:abstractNumId w:val="12"/>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EF"/>
    <w:rsid w:val="00005B79"/>
    <w:rsid w:val="00013F36"/>
    <w:rsid w:val="000453AC"/>
    <w:rsid w:val="00080F2E"/>
    <w:rsid w:val="00083351"/>
    <w:rsid w:val="000A1A4F"/>
    <w:rsid w:val="000A6CDB"/>
    <w:rsid w:val="000B1A14"/>
    <w:rsid w:val="000B2E4D"/>
    <w:rsid w:val="000C16CF"/>
    <w:rsid w:val="000E4238"/>
    <w:rsid w:val="000F4C91"/>
    <w:rsid w:val="0010317E"/>
    <w:rsid w:val="00110AC6"/>
    <w:rsid w:val="00123F1C"/>
    <w:rsid w:val="001319ED"/>
    <w:rsid w:val="00133E5B"/>
    <w:rsid w:val="001341A3"/>
    <w:rsid w:val="0014395D"/>
    <w:rsid w:val="00150924"/>
    <w:rsid w:val="00153CB3"/>
    <w:rsid w:val="00163168"/>
    <w:rsid w:val="001702D2"/>
    <w:rsid w:val="00182A01"/>
    <w:rsid w:val="001862FE"/>
    <w:rsid w:val="001869E6"/>
    <w:rsid w:val="001A3CD5"/>
    <w:rsid w:val="001A6287"/>
    <w:rsid w:val="001B35C8"/>
    <w:rsid w:val="00210F39"/>
    <w:rsid w:val="00232135"/>
    <w:rsid w:val="0025631D"/>
    <w:rsid w:val="00297495"/>
    <w:rsid w:val="002A03E5"/>
    <w:rsid w:val="002B288B"/>
    <w:rsid w:val="002B4CAC"/>
    <w:rsid w:val="002B78A0"/>
    <w:rsid w:val="002C5213"/>
    <w:rsid w:val="002D09A5"/>
    <w:rsid w:val="002E6D74"/>
    <w:rsid w:val="002F7D4A"/>
    <w:rsid w:val="00325865"/>
    <w:rsid w:val="00335BD1"/>
    <w:rsid w:val="00336AD3"/>
    <w:rsid w:val="003414FC"/>
    <w:rsid w:val="00351BEB"/>
    <w:rsid w:val="00361A05"/>
    <w:rsid w:val="003675E5"/>
    <w:rsid w:val="00376B8B"/>
    <w:rsid w:val="00380466"/>
    <w:rsid w:val="0039366E"/>
    <w:rsid w:val="003A3F8C"/>
    <w:rsid w:val="003A6A7A"/>
    <w:rsid w:val="003B3638"/>
    <w:rsid w:val="003D5459"/>
    <w:rsid w:val="00425D19"/>
    <w:rsid w:val="00433CA3"/>
    <w:rsid w:val="00434403"/>
    <w:rsid w:val="00436115"/>
    <w:rsid w:val="0044443B"/>
    <w:rsid w:val="004508E5"/>
    <w:rsid w:val="00460391"/>
    <w:rsid w:val="00474A9F"/>
    <w:rsid w:val="00477B01"/>
    <w:rsid w:val="00480F87"/>
    <w:rsid w:val="00484122"/>
    <w:rsid w:val="00485152"/>
    <w:rsid w:val="004871F2"/>
    <w:rsid w:val="004914D7"/>
    <w:rsid w:val="00491E66"/>
    <w:rsid w:val="00492B65"/>
    <w:rsid w:val="00493557"/>
    <w:rsid w:val="004A031B"/>
    <w:rsid w:val="004A2947"/>
    <w:rsid w:val="004A2FE7"/>
    <w:rsid w:val="004C36F1"/>
    <w:rsid w:val="004C434A"/>
    <w:rsid w:val="004D1B44"/>
    <w:rsid w:val="004D1F82"/>
    <w:rsid w:val="004E70DE"/>
    <w:rsid w:val="005107E0"/>
    <w:rsid w:val="00550F0A"/>
    <w:rsid w:val="00573DC2"/>
    <w:rsid w:val="005743E5"/>
    <w:rsid w:val="00575D58"/>
    <w:rsid w:val="00580780"/>
    <w:rsid w:val="00584CB8"/>
    <w:rsid w:val="0059442D"/>
    <w:rsid w:val="00596082"/>
    <w:rsid w:val="005A2517"/>
    <w:rsid w:val="005B376C"/>
    <w:rsid w:val="005D2A55"/>
    <w:rsid w:val="005F0475"/>
    <w:rsid w:val="005F455B"/>
    <w:rsid w:val="005F5F68"/>
    <w:rsid w:val="00600A93"/>
    <w:rsid w:val="00617746"/>
    <w:rsid w:val="00646653"/>
    <w:rsid w:val="00652495"/>
    <w:rsid w:val="0066448C"/>
    <w:rsid w:val="00695C7B"/>
    <w:rsid w:val="00697FB2"/>
    <w:rsid w:val="006C3F07"/>
    <w:rsid w:val="006C6EBB"/>
    <w:rsid w:val="006D4537"/>
    <w:rsid w:val="006F1B7D"/>
    <w:rsid w:val="006F712D"/>
    <w:rsid w:val="00702AFB"/>
    <w:rsid w:val="00704B24"/>
    <w:rsid w:val="00705CE8"/>
    <w:rsid w:val="00707A6A"/>
    <w:rsid w:val="007169A7"/>
    <w:rsid w:val="00717905"/>
    <w:rsid w:val="00721782"/>
    <w:rsid w:val="0072418D"/>
    <w:rsid w:val="007376B4"/>
    <w:rsid w:val="00745CA2"/>
    <w:rsid w:val="0075213B"/>
    <w:rsid w:val="00762BA9"/>
    <w:rsid w:val="00762F0E"/>
    <w:rsid w:val="00766541"/>
    <w:rsid w:val="00766F98"/>
    <w:rsid w:val="00772FC7"/>
    <w:rsid w:val="00775067"/>
    <w:rsid w:val="007911C1"/>
    <w:rsid w:val="007B482D"/>
    <w:rsid w:val="007B6D0B"/>
    <w:rsid w:val="007C78E2"/>
    <w:rsid w:val="007E3191"/>
    <w:rsid w:val="007E3E60"/>
    <w:rsid w:val="007E4D22"/>
    <w:rsid w:val="007F341E"/>
    <w:rsid w:val="00802666"/>
    <w:rsid w:val="00806CBF"/>
    <w:rsid w:val="00811B8D"/>
    <w:rsid w:val="00833FB4"/>
    <w:rsid w:val="00846FDD"/>
    <w:rsid w:val="0085707B"/>
    <w:rsid w:val="008612FE"/>
    <w:rsid w:val="00870569"/>
    <w:rsid w:val="00896C8D"/>
    <w:rsid w:val="008A351A"/>
    <w:rsid w:val="008D2606"/>
    <w:rsid w:val="008D5C7D"/>
    <w:rsid w:val="008E0E0D"/>
    <w:rsid w:val="008E17A2"/>
    <w:rsid w:val="008E2FBF"/>
    <w:rsid w:val="008E33FC"/>
    <w:rsid w:val="008F1D60"/>
    <w:rsid w:val="008F6DA1"/>
    <w:rsid w:val="00900110"/>
    <w:rsid w:val="009079BD"/>
    <w:rsid w:val="009118F6"/>
    <w:rsid w:val="009311D2"/>
    <w:rsid w:val="009328DF"/>
    <w:rsid w:val="009362E2"/>
    <w:rsid w:val="009501EF"/>
    <w:rsid w:val="009512DA"/>
    <w:rsid w:val="00965E30"/>
    <w:rsid w:val="009721CF"/>
    <w:rsid w:val="00980866"/>
    <w:rsid w:val="009A0335"/>
    <w:rsid w:val="009A4C6A"/>
    <w:rsid w:val="009B5713"/>
    <w:rsid w:val="009D178C"/>
    <w:rsid w:val="009E0127"/>
    <w:rsid w:val="009E231D"/>
    <w:rsid w:val="009E7A7C"/>
    <w:rsid w:val="00A20FE4"/>
    <w:rsid w:val="00A242E7"/>
    <w:rsid w:val="00A24FA5"/>
    <w:rsid w:val="00A31B7E"/>
    <w:rsid w:val="00A443E2"/>
    <w:rsid w:val="00A523CC"/>
    <w:rsid w:val="00A53EDF"/>
    <w:rsid w:val="00A6162B"/>
    <w:rsid w:val="00A66831"/>
    <w:rsid w:val="00A71733"/>
    <w:rsid w:val="00A72D8A"/>
    <w:rsid w:val="00A774BA"/>
    <w:rsid w:val="00A839D5"/>
    <w:rsid w:val="00A9503B"/>
    <w:rsid w:val="00A9595C"/>
    <w:rsid w:val="00A966E9"/>
    <w:rsid w:val="00AA346A"/>
    <w:rsid w:val="00AA5A92"/>
    <w:rsid w:val="00AA6C49"/>
    <w:rsid w:val="00AD5C1E"/>
    <w:rsid w:val="00AE3DEA"/>
    <w:rsid w:val="00AE5595"/>
    <w:rsid w:val="00AE6F5F"/>
    <w:rsid w:val="00B16D6F"/>
    <w:rsid w:val="00B219BD"/>
    <w:rsid w:val="00B24AA1"/>
    <w:rsid w:val="00B33B7E"/>
    <w:rsid w:val="00B340AF"/>
    <w:rsid w:val="00B53CD9"/>
    <w:rsid w:val="00B57266"/>
    <w:rsid w:val="00B6584D"/>
    <w:rsid w:val="00B95276"/>
    <w:rsid w:val="00B9579F"/>
    <w:rsid w:val="00B96571"/>
    <w:rsid w:val="00B96EDC"/>
    <w:rsid w:val="00B9789F"/>
    <w:rsid w:val="00BB12F4"/>
    <w:rsid w:val="00BC78FB"/>
    <w:rsid w:val="00BD4427"/>
    <w:rsid w:val="00BD6CB0"/>
    <w:rsid w:val="00BD6D4C"/>
    <w:rsid w:val="00BE25D4"/>
    <w:rsid w:val="00BF059B"/>
    <w:rsid w:val="00C0364F"/>
    <w:rsid w:val="00C203F2"/>
    <w:rsid w:val="00C33C6C"/>
    <w:rsid w:val="00C445B3"/>
    <w:rsid w:val="00C613E2"/>
    <w:rsid w:val="00C77D42"/>
    <w:rsid w:val="00C90462"/>
    <w:rsid w:val="00C91A21"/>
    <w:rsid w:val="00C93102"/>
    <w:rsid w:val="00C955B7"/>
    <w:rsid w:val="00CA29D9"/>
    <w:rsid w:val="00CA336F"/>
    <w:rsid w:val="00CB4C14"/>
    <w:rsid w:val="00CC4178"/>
    <w:rsid w:val="00CC484B"/>
    <w:rsid w:val="00CC5EDF"/>
    <w:rsid w:val="00CC764F"/>
    <w:rsid w:val="00CE4DE4"/>
    <w:rsid w:val="00CF2700"/>
    <w:rsid w:val="00D0368C"/>
    <w:rsid w:val="00D178FE"/>
    <w:rsid w:val="00D34AB6"/>
    <w:rsid w:val="00D3522D"/>
    <w:rsid w:val="00D50E45"/>
    <w:rsid w:val="00D5774D"/>
    <w:rsid w:val="00D57DFE"/>
    <w:rsid w:val="00D712D0"/>
    <w:rsid w:val="00D767AD"/>
    <w:rsid w:val="00DB4FA7"/>
    <w:rsid w:val="00DD0397"/>
    <w:rsid w:val="00DD2DE5"/>
    <w:rsid w:val="00DF059B"/>
    <w:rsid w:val="00E012BE"/>
    <w:rsid w:val="00E046BC"/>
    <w:rsid w:val="00E2316B"/>
    <w:rsid w:val="00E234DC"/>
    <w:rsid w:val="00E234FD"/>
    <w:rsid w:val="00E2398E"/>
    <w:rsid w:val="00E24EF2"/>
    <w:rsid w:val="00E35046"/>
    <w:rsid w:val="00E35E14"/>
    <w:rsid w:val="00E42078"/>
    <w:rsid w:val="00E46D34"/>
    <w:rsid w:val="00E52BEE"/>
    <w:rsid w:val="00E55E94"/>
    <w:rsid w:val="00E637C9"/>
    <w:rsid w:val="00E6463E"/>
    <w:rsid w:val="00E649EC"/>
    <w:rsid w:val="00E67128"/>
    <w:rsid w:val="00E83CBE"/>
    <w:rsid w:val="00E93604"/>
    <w:rsid w:val="00E94901"/>
    <w:rsid w:val="00EA5D4E"/>
    <w:rsid w:val="00EC30D3"/>
    <w:rsid w:val="00ED720C"/>
    <w:rsid w:val="00EE1743"/>
    <w:rsid w:val="00EE4D12"/>
    <w:rsid w:val="00F0464B"/>
    <w:rsid w:val="00F04877"/>
    <w:rsid w:val="00F06681"/>
    <w:rsid w:val="00F12ACC"/>
    <w:rsid w:val="00F423C6"/>
    <w:rsid w:val="00F461BC"/>
    <w:rsid w:val="00F500D8"/>
    <w:rsid w:val="00F64986"/>
    <w:rsid w:val="00F76864"/>
    <w:rsid w:val="00F83FF8"/>
    <w:rsid w:val="00FA796B"/>
    <w:rsid w:val="00FB0C4F"/>
    <w:rsid w:val="00FB6E71"/>
    <w:rsid w:val="00FC08E7"/>
    <w:rsid w:val="00FC1E6C"/>
    <w:rsid w:val="00FD550C"/>
    <w:rsid w:val="00FF431F"/>
    <w:rsid w:val="00FF4BA3"/>
    <w:rsid w:val="00FF53A7"/>
    <w:rsid w:val="00FF661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4B6F"/>
  <w15:docId w15:val="{64A88ABE-3279-49E0-BBD7-CF4F90EA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571"/>
    <w:pPr>
      <w:spacing w:after="160" w:line="259" w:lineRule="auto"/>
    </w:pPr>
    <w:rPr>
      <w:lang w:val="lt-LT"/>
    </w:rPr>
  </w:style>
  <w:style w:type="paragraph" w:styleId="Antrat1">
    <w:name w:val="heading 1"/>
    <w:basedOn w:val="prastasis"/>
    <w:next w:val="prastasis"/>
    <w:link w:val="Antrat1Diagrama"/>
    <w:qFormat/>
    <w:rsid w:val="009501E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9501EF"/>
    <w:pPr>
      <w:keepNext/>
      <w:tabs>
        <w:tab w:val="left" w:pos="567"/>
      </w:tabs>
      <w:spacing w:after="0" w:line="240" w:lineRule="auto"/>
      <w:outlineLvl w:val="1"/>
    </w:pPr>
    <w:rPr>
      <w:rFonts w:ascii="Times New Roman" w:eastAsia="Times New Roman" w:hAnsi="Times New Roman" w:cs="Arial"/>
      <w:b/>
      <w:bCs/>
      <w:iCs/>
      <w:szCs w:val="28"/>
    </w:rPr>
  </w:style>
  <w:style w:type="paragraph" w:styleId="Antrat3">
    <w:name w:val="heading 3"/>
    <w:basedOn w:val="prastasis"/>
    <w:next w:val="prastasis"/>
    <w:link w:val="Antrat3Diagrama"/>
    <w:qFormat/>
    <w:rsid w:val="009501EF"/>
    <w:pPr>
      <w:keepNext/>
      <w:tabs>
        <w:tab w:val="left" w:pos="567"/>
      </w:tabs>
      <w:spacing w:after="0" w:line="240" w:lineRule="auto"/>
      <w:outlineLvl w:val="2"/>
    </w:pPr>
    <w:rPr>
      <w:rFonts w:ascii="Times New Roman" w:eastAsia="Times New Roman" w:hAnsi="Times New Roman" w:cs="Arial"/>
      <w:b/>
      <w:bCs/>
      <w:szCs w:val="26"/>
    </w:rPr>
  </w:style>
  <w:style w:type="paragraph" w:styleId="Antrat6">
    <w:name w:val="heading 6"/>
    <w:basedOn w:val="prastasis"/>
    <w:next w:val="prastasis"/>
    <w:link w:val="Antrat6Diagrama"/>
    <w:uiPriority w:val="9"/>
    <w:unhideWhenUsed/>
    <w:qFormat/>
    <w:rsid w:val="00D57DF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501E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9501EF"/>
    <w:rPr>
      <w:rFonts w:ascii="Times New Roman" w:eastAsia="Times New Roman" w:hAnsi="Times New Roman" w:cs="Arial"/>
      <w:b/>
      <w:bCs/>
      <w:iCs/>
      <w:szCs w:val="28"/>
      <w:lang w:val="lt-LT"/>
    </w:rPr>
  </w:style>
  <w:style w:type="character" w:customStyle="1" w:styleId="Antrat3Diagrama">
    <w:name w:val="Antraštė 3 Diagrama"/>
    <w:basedOn w:val="Numatytasispastraiposriftas"/>
    <w:link w:val="Antrat3"/>
    <w:rsid w:val="009501EF"/>
    <w:rPr>
      <w:rFonts w:ascii="Times New Roman" w:eastAsia="Times New Roman" w:hAnsi="Times New Roman" w:cs="Arial"/>
      <w:b/>
      <w:bCs/>
      <w:szCs w:val="26"/>
      <w:lang w:val="lt-LT"/>
    </w:rPr>
  </w:style>
  <w:style w:type="numbering" w:customStyle="1" w:styleId="Sraonra1">
    <w:name w:val="Sąrašo nėra1"/>
    <w:next w:val="Sraonra"/>
    <w:uiPriority w:val="99"/>
    <w:semiHidden/>
    <w:unhideWhenUsed/>
    <w:rsid w:val="009501EF"/>
  </w:style>
  <w:style w:type="character" w:styleId="Hipersaitas">
    <w:name w:val="Hyperlink"/>
    <w:rsid w:val="009501EF"/>
    <w:rPr>
      <w:color w:val="0000FF"/>
      <w:u w:val="single"/>
    </w:rPr>
  </w:style>
  <w:style w:type="paragraph" w:customStyle="1" w:styleId="PI-1EMEASMCA">
    <w:name w:val="PI-1 EMEA_SMCA"/>
    <w:basedOn w:val="Antrat2"/>
    <w:autoRedefine/>
    <w:rsid w:val="009501EF"/>
    <w:pPr>
      <w:ind w:left="567" w:hanging="567"/>
    </w:pPr>
    <w:rPr>
      <w:rFonts w:cs="Times New Roman"/>
      <w:bCs w:val="0"/>
      <w:iCs w:val="0"/>
      <w:szCs w:val="22"/>
    </w:rPr>
  </w:style>
  <w:style w:type="paragraph" w:customStyle="1" w:styleId="PI-1labEMEASMCA">
    <w:name w:val="PI-1_lab EMEA_SMCA"/>
    <w:basedOn w:val="prastasis"/>
    <w:link w:val="PI-1labEMEASMCAChar"/>
    <w:autoRedefine/>
    <w:rsid w:val="009501E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9501EF"/>
    <w:rPr>
      <w:rFonts w:ascii="Times New Roman" w:eastAsia="Times New Roman" w:hAnsi="Times New Roman" w:cs="Times New Roman"/>
      <w:b/>
      <w:noProof/>
      <w:lang w:val="lt-LT"/>
    </w:rPr>
  </w:style>
  <w:style w:type="paragraph" w:customStyle="1" w:styleId="PI-2EMEASMCA">
    <w:name w:val="PI-2 EMEA_SMCA"/>
    <w:basedOn w:val="Antrat3"/>
    <w:autoRedefine/>
    <w:rsid w:val="009501EF"/>
    <w:pPr>
      <w:keepLines/>
      <w:ind w:left="567" w:hanging="567"/>
    </w:pPr>
    <w:rPr>
      <w:rFonts w:cs="Times New Roman"/>
      <w:bCs w:val="0"/>
      <w:kern w:val="28"/>
      <w:szCs w:val="22"/>
    </w:rPr>
  </w:style>
  <w:style w:type="paragraph" w:customStyle="1" w:styleId="BTEMEASMCA">
    <w:name w:val="BT EMEA_SMCA"/>
    <w:basedOn w:val="prastasis"/>
    <w:link w:val="BTEMEASMCAChar"/>
    <w:autoRedefine/>
    <w:rsid w:val="009501EF"/>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rsid w:val="009501E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9501E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501E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96571"/>
    <w:pPr>
      <w:numPr>
        <w:numId w:val="1"/>
      </w:numPr>
      <w:tabs>
        <w:tab w:val="clear" w:pos="720"/>
        <w:tab w:val="num" w:pos="360"/>
      </w:tabs>
      <w:ind w:left="0" w:firstLine="0"/>
    </w:pPr>
  </w:style>
  <w:style w:type="paragraph" w:customStyle="1" w:styleId="PI-3EMEASMCA">
    <w:name w:val="PI-3 EMEA_SMCA"/>
    <w:basedOn w:val="prastasis"/>
    <w:autoRedefine/>
    <w:rsid w:val="009501E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9501EF"/>
    <w:rPr>
      <w:b/>
    </w:rPr>
  </w:style>
  <w:style w:type="paragraph" w:customStyle="1" w:styleId="BTbeEMEASMCA">
    <w:name w:val="BT(be) EMEA_SMCA"/>
    <w:basedOn w:val="BTEMEASMCA"/>
    <w:autoRedefine/>
    <w:rsid w:val="009501EF"/>
    <w:pPr>
      <w:jc w:val="center"/>
    </w:pPr>
    <w:rPr>
      <w:b/>
    </w:rPr>
  </w:style>
  <w:style w:type="paragraph" w:customStyle="1" w:styleId="BTeEMEASMCA">
    <w:name w:val="BT(e) EMEA_SMCA"/>
    <w:basedOn w:val="BTEMEASMCA"/>
    <w:autoRedefine/>
    <w:rsid w:val="009501EF"/>
    <w:pPr>
      <w:jc w:val="center"/>
    </w:pPr>
  </w:style>
  <w:style w:type="paragraph" w:customStyle="1" w:styleId="BTgEMEASMCA">
    <w:name w:val="BT(g) EMEA_SMCA"/>
    <w:basedOn w:val="BTEMEASMCA"/>
    <w:link w:val="BTgEMEASMCAChar"/>
    <w:autoRedefine/>
    <w:rsid w:val="009501EF"/>
    <w:rPr>
      <w:i/>
      <w:color w:val="008000"/>
    </w:rPr>
  </w:style>
  <w:style w:type="character" w:customStyle="1" w:styleId="BTEMEASMCAChar">
    <w:name w:val="BT EMEA_SMCA Char"/>
    <w:link w:val="BTEMEASMCA"/>
    <w:rsid w:val="009501EF"/>
    <w:rPr>
      <w:rFonts w:ascii="Times New Roman" w:eastAsia="Times New Roman" w:hAnsi="Times New Roman" w:cs="Times New Roman"/>
      <w:noProof/>
      <w:lang w:val="lt-LT"/>
    </w:rPr>
  </w:style>
  <w:style w:type="character" w:customStyle="1" w:styleId="BTgEMEASMCAChar">
    <w:name w:val="BT(g) EMEA_SMCA Char"/>
    <w:link w:val="BTgEMEASMCA"/>
    <w:rsid w:val="009501EF"/>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9501EF"/>
    <w:rPr>
      <w:u w:val="single"/>
    </w:rPr>
  </w:style>
  <w:style w:type="paragraph" w:styleId="Debesliotekstas">
    <w:name w:val="Balloon Text"/>
    <w:basedOn w:val="prastasis"/>
    <w:link w:val="DebesliotekstasDiagrama"/>
    <w:semiHidden/>
    <w:rsid w:val="009501E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9501EF"/>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9501E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9501EF"/>
    <w:rPr>
      <w:rFonts w:ascii="Tahoma" w:eastAsia="Times New Roman" w:hAnsi="Tahoma" w:cs="Tahoma"/>
      <w:sz w:val="20"/>
      <w:szCs w:val="20"/>
      <w:shd w:val="clear" w:color="auto" w:fill="000080"/>
      <w:lang w:val="lt-LT"/>
    </w:rPr>
  </w:style>
  <w:style w:type="paragraph" w:customStyle="1" w:styleId="Textodenotaalfinal">
    <w:name w:val="Texto de nota al final"/>
    <w:basedOn w:val="prastasis"/>
    <w:uiPriority w:val="99"/>
    <w:rsid w:val="009501EF"/>
    <w:pPr>
      <w:widowControl w:val="0"/>
      <w:spacing w:after="0" w:line="240" w:lineRule="auto"/>
    </w:pPr>
    <w:rPr>
      <w:rFonts w:ascii="Arial" w:eastAsia="Times New Roman" w:hAnsi="Arial" w:cs="Arial"/>
      <w:spacing w:val="-3"/>
      <w:lang w:val="es-ES_tradnl" w:eastAsia="es-ES"/>
    </w:rPr>
  </w:style>
  <w:style w:type="paragraph" w:customStyle="1" w:styleId="BodyText31">
    <w:name w:val="Body Text 31"/>
    <w:basedOn w:val="prastasis"/>
    <w:uiPriority w:val="99"/>
    <w:rsid w:val="009501EF"/>
    <w:pPr>
      <w:spacing w:after="0" w:line="240" w:lineRule="auto"/>
    </w:pPr>
    <w:rPr>
      <w:rFonts w:ascii="CG Times (W1)" w:eastAsia="Times New Roman" w:hAnsi="CG Times (W1)" w:cs="CG Times (W1)"/>
      <w:sz w:val="24"/>
      <w:szCs w:val="24"/>
      <w:lang w:val="es-ES" w:eastAsia="es-ES"/>
    </w:rPr>
  </w:style>
  <w:style w:type="paragraph" w:styleId="Pagrindinistekstas2">
    <w:name w:val="Body Text 2"/>
    <w:basedOn w:val="prastasis"/>
    <w:link w:val="Pagrindinistekstas2Diagrama"/>
    <w:uiPriority w:val="99"/>
    <w:rsid w:val="009501EF"/>
    <w:pPr>
      <w:tabs>
        <w:tab w:val="left" w:pos="-1068"/>
        <w:tab w:val="left" w:pos="-714"/>
        <w:tab w:val="left" w:pos="1"/>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pPr>
    <w:rPr>
      <w:rFonts w:ascii="Arial" w:eastAsia="Times New Roman" w:hAnsi="Arial" w:cs="Times New Roman"/>
      <w:lang w:val="es-ES" w:eastAsia="es-ES"/>
    </w:rPr>
  </w:style>
  <w:style w:type="character" w:customStyle="1" w:styleId="Pagrindinistekstas2Diagrama">
    <w:name w:val="Pagrindinis tekstas 2 Diagrama"/>
    <w:basedOn w:val="Numatytasispastraiposriftas"/>
    <w:link w:val="Pagrindinistekstas2"/>
    <w:uiPriority w:val="99"/>
    <w:rsid w:val="009501EF"/>
    <w:rPr>
      <w:rFonts w:ascii="Arial" w:eastAsia="Times New Roman" w:hAnsi="Arial" w:cs="Times New Roman"/>
      <w:lang w:val="es-ES" w:eastAsia="es-ES"/>
    </w:rPr>
  </w:style>
  <w:style w:type="paragraph" w:styleId="Komentarotekstas">
    <w:name w:val="annotation text"/>
    <w:basedOn w:val="prastasis"/>
    <w:link w:val="KomentarotekstasDiagrama"/>
    <w:uiPriority w:val="99"/>
    <w:rsid w:val="009501EF"/>
    <w:pPr>
      <w:spacing w:after="0" w:line="240" w:lineRule="auto"/>
      <w:jc w:val="both"/>
    </w:pPr>
    <w:rPr>
      <w:rFonts w:ascii="Times New Roman" w:eastAsia="Times New Roman" w:hAnsi="Times New Roman" w:cs="Times New Roman"/>
      <w:sz w:val="24"/>
      <w:szCs w:val="24"/>
      <w:lang w:val="en-GB" w:eastAsia="es-ES"/>
    </w:rPr>
  </w:style>
  <w:style w:type="character" w:customStyle="1" w:styleId="KomentarotekstasDiagrama">
    <w:name w:val="Komentaro tekstas Diagrama"/>
    <w:basedOn w:val="Numatytasispastraiposriftas"/>
    <w:link w:val="Komentarotekstas"/>
    <w:uiPriority w:val="99"/>
    <w:rsid w:val="009501EF"/>
    <w:rPr>
      <w:rFonts w:ascii="Times New Roman" w:eastAsia="Times New Roman" w:hAnsi="Times New Roman" w:cs="Times New Roman"/>
      <w:sz w:val="24"/>
      <w:szCs w:val="24"/>
      <w:lang w:val="en-GB" w:eastAsia="es-ES"/>
    </w:rPr>
  </w:style>
  <w:style w:type="paragraph" w:styleId="Pagrindiniotekstotrauka2">
    <w:name w:val="Body Text Indent 2"/>
    <w:basedOn w:val="prastasis"/>
    <w:link w:val="Pagrindiniotekstotrauka2Diagrama"/>
    <w:uiPriority w:val="99"/>
    <w:rsid w:val="009501EF"/>
    <w:pPr>
      <w:spacing w:after="120" w:line="480" w:lineRule="auto"/>
      <w:ind w:left="283"/>
      <w:jc w:val="both"/>
    </w:pPr>
    <w:rPr>
      <w:rFonts w:ascii="Times New Roman" w:eastAsia="Times New Roman" w:hAnsi="Times New Roman" w:cs="Times New Roman"/>
      <w:sz w:val="24"/>
      <w:szCs w:val="24"/>
      <w:lang w:val="en-GB" w:eastAsia="es-ES"/>
    </w:rPr>
  </w:style>
  <w:style w:type="character" w:customStyle="1" w:styleId="Pagrindiniotekstotrauka2Diagrama">
    <w:name w:val="Pagrindinio teksto įtrauka 2 Diagrama"/>
    <w:basedOn w:val="Numatytasispastraiposriftas"/>
    <w:link w:val="Pagrindiniotekstotrauka2"/>
    <w:uiPriority w:val="99"/>
    <w:rsid w:val="009501EF"/>
    <w:rPr>
      <w:rFonts w:ascii="Times New Roman" w:eastAsia="Times New Roman" w:hAnsi="Times New Roman" w:cs="Times New Roman"/>
      <w:sz w:val="24"/>
      <w:szCs w:val="24"/>
      <w:lang w:val="en-GB" w:eastAsia="es-ES"/>
    </w:rPr>
  </w:style>
  <w:style w:type="character" w:styleId="Emfaz">
    <w:name w:val="Emphasis"/>
    <w:uiPriority w:val="99"/>
    <w:qFormat/>
    <w:rsid w:val="009501EF"/>
    <w:rPr>
      <w:i/>
      <w:iCs/>
    </w:rPr>
  </w:style>
  <w:style w:type="paragraph" w:styleId="Z-Formospradia">
    <w:name w:val="HTML Top of Form"/>
    <w:basedOn w:val="prastasis"/>
    <w:link w:val="Z-FormospradiaDiagrama"/>
    <w:hidden/>
    <w:uiPriority w:val="99"/>
    <w:rsid w:val="009501EF"/>
    <w:pPr>
      <w:tabs>
        <w:tab w:val="left" w:pos="720"/>
        <w:tab w:val="left" w:pos="1440"/>
        <w:tab w:val="left" w:pos="7200"/>
      </w:tabs>
      <w:spacing w:after="0" w:line="240" w:lineRule="auto"/>
      <w:jc w:val="both"/>
    </w:pPr>
    <w:rPr>
      <w:rFonts w:ascii="Times New Roman" w:eastAsia="Times New Roman" w:hAnsi="Times New Roman" w:cs="Times New Roman"/>
      <w:sz w:val="24"/>
      <w:szCs w:val="24"/>
      <w:lang w:val="en-US" w:eastAsia="es-ES"/>
    </w:rPr>
  </w:style>
  <w:style w:type="character" w:customStyle="1" w:styleId="Z-FormospradiaDiagrama">
    <w:name w:val="Z-Formos pradžia Diagrama"/>
    <w:basedOn w:val="Numatytasispastraiposriftas"/>
    <w:link w:val="Z-Formospradia"/>
    <w:uiPriority w:val="99"/>
    <w:rsid w:val="009501EF"/>
    <w:rPr>
      <w:rFonts w:ascii="Times New Roman" w:eastAsia="Times New Roman" w:hAnsi="Times New Roman" w:cs="Times New Roman"/>
      <w:sz w:val="24"/>
      <w:szCs w:val="24"/>
      <w:lang w:val="en-US" w:eastAsia="es-ES"/>
    </w:rPr>
  </w:style>
  <w:style w:type="paragraph" w:styleId="Pagrindinistekstas">
    <w:name w:val="Body Text"/>
    <w:basedOn w:val="prastasis"/>
    <w:link w:val="PagrindinistekstasDiagrama"/>
    <w:rsid w:val="009501E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9501EF"/>
    <w:rPr>
      <w:rFonts w:ascii="Times New Roman" w:eastAsia="Times New Roman" w:hAnsi="Times New Roman" w:cs="Times New Roman"/>
      <w:sz w:val="24"/>
      <w:szCs w:val="24"/>
      <w:lang w:val="lt-LT"/>
    </w:rPr>
  </w:style>
  <w:style w:type="character" w:styleId="Komentaronuoroda">
    <w:name w:val="annotation reference"/>
    <w:rsid w:val="009501EF"/>
    <w:rPr>
      <w:sz w:val="16"/>
      <w:szCs w:val="16"/>
    </w:rPr>
  </w:style>
  <w:style w:type="paragraph" w:styleId="Komentarotema">
    <w:name w:val="annotation subject"/>
    <w:basedOn w:val="Komentarotekstas"/>
    <w:next w:val="Komentarotekstas"/>
    <w:link w:val="KomentarotemaDiagrama"/>
    <w:rsid w:val="009501EF"/>
    <w:pPr>
      <w:jc w:val="left"/>
    </w:pPr>
    <w:rPr>
      <w:b/>
      <w:bCs/>
      <w:lang w:eastAsia="en-US"/>
    </w:rPr>
  </w:style>
  <w:style w:type="character" w:customStyle="1" w:styleId="KomentarotemaDiagrama">
    <w:name w:val="Komentaro tema Diagrama"/>
    <w:basedOn w:val="KomentarotekstasDiagrama"/>
    <w:link w:val="Komentarotema"/>
    <w:rsid w:val="009501EF"/>
    <w:rPr>
      <w:rFonts w:ascii="Times New Roman" w:eastAsia="Times New Roman" w:hAnsi="Times New Roman" w:cs="Times New Roman"/>
      <w:b/>
      <w:bCs/>
      <w:sz w:val="24"/>
      <w:szCs w:val="24"/>
      <w:lang w:val="en-GB" w:eastAsia="es-ES"/>
    </w:rPr>
  </w:style>
  <w:style w:type="paragraph" w:customStyle="1" w:styleId="Default">
    <w:name w:val="Default"/>
    <w:rsid w:val="009501E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orat">
    <w:name w:val="footer"/>
    <w:basedOn w:val="prastasis"/>
    <w:link w:val="PoratDiagrama"/>
    <w:rsid w:val="009501E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9501EF"/>
    <w:rPr>
      <w:rFonts w:ascii="Times New Roman" w:eastAsia="Times New Roman" w:hAnsi="Times New Roman" w:cs="Times New Roman"/>
      <w:sz w:val="24"/>
      <w:szCs w:val="24"/>
      <w:lang w:val="lt-LT"/>
    </w:rPr>
  </w:style>
  <w:style w:type="character" w:styleId="Puslapionumeris">
    <w:name w:val="page number"/>
    <w:basedOn w:val="Numatytasispastraiposriftas"/>
    <w:rsid w:val="009501EF"/>
  </w:style>
  <w:style w:type="paragraph" w:styleId="Antrats">
    <w:name w:val="header"/>
    <w:basedOn w:val="prastasis"/>
    <w:link w:val="AntratsDiagrama"/>
    <w:rsid w:val="009501E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9501EF"/>
    <w:rPr>
      <w:rFonts w:ascii="Times New Roman" w:eastAsia="Times New Roman" w:hAnsi="Times New Roman" w:cs="Times New Roman"/>
      <w:sz w:val="24"/>
      <w:szCs w:val="24"/>
      <w:lang w:val="lt-LT"/>
    </w:rPr>
  </w:style>
  <w:style w:type="paragraph" w:customStyle="1" w:styleId="A-TableHeader">
    <w:name w:val="A-Table Header"/>
    <w:next w:val="prastasis"/>
    <w:rsid w:val="009501EF"/>
    <w:pPr>
      <w:keepNext/>
      <w:spacing w:before="60" w:after="60" w:line="240" w:lineRule="auto"/>
    </w:pPr>
    <w:rPr>
      <w:rFonts w:ascii="Times New Roman" w:eastAsia="Times New Roman" w:hAnsi="Times New Roman" w:cs="Times New Roman"/>
      <w:b/>
      <w:szCs w:val="20"/>
      <w:lang w:val="en-GB"/>
    </w:rPr>
  </w:style>
  <w:style w:type="paragraph" w:customStyle="1" w:styleId="ListParagraph1">
    <w:name w:val="List Paragraph1"/>
    <w:basedOn w:val="prastasis"/>
    <w:uiPriority w:val="34"/>
    <w:qFormat/>
    <w:rsid w:val="009501EF"/>
    <w:pPr>
      <w:spacing w:after="0" w:line="240" w:lineRule="auto"/>
      <w:ind w:left="720"/>
      <w:contextualSpacing/>
    </w:pPr>
    <w:rPr>
      <w:rFonts w:ascii="Times New Roman" w:eastAsia="Times New Roman" w:hAnsi="Times New Roman" w:cs="Times New Roman"/>
      <w:sz w:val="24"/>
      <w:szCs w:val="24"/>
    </w:rPr>
  </w:style>
  <w:style w:type="paragraph" w:customStyle="1" w:styleId="1vidutinistinklelis2parykinimas1">
    <w:name w:val="1 vidutinis tinklelis – 2 paryškinimas1"/>
    <w:basedOn w:val="prastasis"/>
    <w:qFormat/>
    <w:rsid w:val="009501EF"/>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501EF"/>
  </w:style>
  <w:style w:type="character" w:styleId="Grietas">
    <w:name w:val="Strong"/>
    <w:uiPriority w:val="22"/>
    <w:qFormat/>
    <w:rsid w:val="009501EF"/>
    <w:rPr>
      <w:b/>
      <w:bCs/>
    </w:rPr>
  </w:style>
  <w:style w:type="paragraph" w:customStyle="1" w:styleId="1vidutinistinklelis2parykinimas2">
    <w:name w:val="1 vidutinis tinklelis – 2 paryškinimas2"/>
    <w:basedOn w:val="prastasis"/>
    <w:qFormat/>
    <w:rsid w:val="009501EF"/>
    <w:pPr>
      <w:spacing w:after="0" w:line="240" w:lineRule="auto"/>
      <w:ind w:left="720"/>
      <w:contextualSpacing/>
    </w:pPr>
    <w:rPr>
      <w:rFonts w:ascii="Times New Roman" w:eastAsia="Times New Roman" w:hAnsi="Times New Roman" w:cs="Times New Roman"/>
      <w:sz w:val="24"/>
      <w:szCs w:val="24"/>
    </w:rPr>
  </w:style>
  <w:style w:type="paragraph" w:styleId="prastasiniatinklio">
    <w:name w:val="Normal (Web)"/>
    <w:basedOn w:val="prastasis"/>
    <w:uiPriority w:val="99"/>
    <w:rsid w:val="009501EF"/>
    <w:pPr>
      <w:spacing w:before="100" w:beforeAutospacing="1" w:after="100" w:afterAutospacing="1" w:line="240" w:lineRule="auto"/>
    </w:pPr>
    <w:rPr>
      <w:rFonts w:ascii="Arial Unicode MS" w:eastAsia="Arial Unicode MS" w:hAnsi="Arial Unicode MS" w:cs="Times New Roman" w:hint="eastAsia"/>
      <w:sz w:val="24"/>
      <w:szCs w:val="24"/>
      <w:lang w:val="nl-NL" w:eastAsia="nl-NL"/>
    </w:rPr>
  </w:style>
  <w:style w:type="paragraph" w:styleId="Sraopastraipa">
    <w:name w:val="List Paragraph"/>
    <w:basedOn w:val="prastasis"/>
    <w:qFormat/>
    <w:rsid w:val="009501EF"/>
    <w:pPr>
      <w:spacing w:after="0" w:line="240" w:lineRule="auto"/>
      <w:ind w:left="720"/>
      <w:contextualSpacing/>
    </w:pPr>
    <w:rPr>
      <w:rFonts w:ascii="Times New Roman" w:eastAsia="Times New Roman" w:hAnsi="Times New Roman" w:cs="Times New Roman"/>
      <w:sz w:val="24"/>
      <w:szCs w:val="24"/>
    </w:rPr>
  </w:style>
  <w:style w:type="paragraph" w:customStyle="1" w:styleId="Sraopastraipa1">
    <w:name w:val="Sąrašo pastraipa1"/>
    <w:basedOn w:val="prastasis"/>
    <w:qFormat/>
    <w:rsid w:val="009501EF"/>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9501EF"/>
    <w:pPr>
      <w:spacing w:after="0" w:line="240" w:lineRule="auto"/>
    </w:pPr>
    <w:rPr>
      <w:lang w:val="lt-LT"/>
    </w:rPr>
  </w:style>
  <w:style w:type="character" w:customStyle="1" w:styleId="Antrat6Diagrama">
    <w:name w:val="Antraštė 6 Diagrama"/>
    <w:basedOn w:val="Numatytasispastraiposriftas"/>
    <w:link w:val="Antrat6"/>
    <w:uiPriority w:val="9"/>
    <w:rsid w:val="00D57DFE"/>
    <w:rPr>
      <w:rFonts w:asciiTheme="majorHAnsi" w:eastAsiaTheme="majorEastAsia" w:hAnsiTheme="majorHAnsi" w:cstheme="majorBidi"/>
      <w:i/>
      <w:iCs/>
      <w:color w:val="243F60" w:themeColor="accent1" w:themeShade="7F"/>
      <w:lang w:val="lt-LT"/>
    </w:rPr>
  </w:style>
  <w:style w:type="table" w:styleId="Lentelstinklelis">
    <w:name w:val="Table Grid"/>
    <w:basedOn w:val="prastojilentel"/>
    <w:uiPriority w:val="59"/>
    <w:rsid w:val="00FC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2B78A0"/>
    <w:rPr>
      <w:color w:val="605E5C"/>
      <w:shd w:val="clear" w:color="auto" w:fill="E1DFDD"/>
    </w:rPr>
  </w:style>
  <w:style w:type="character" w:customStyle="1" w:styleId="UnresolvedMention">
    <w:name w:val="Unresolved Mention"/>
    <w:basedOn w:val="Numatytasispastraiposriftas"/>
    <w:uiPriority w:val="99"/>
    <w:semiHidden/>
    <w:unhideWhenUsed/>
    <w:rsid w:val="00491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20">
      <w:bodyDiv w:val="1"/>
      <w:marLeft w:val="0"/>
      <w:marRight w:val="0"/>
      <w:marTop w:val="0"/>
      <w:marBottom w:val="0"/>
      <w:divBdr>
        <w:top w:val="none" w:sz="0" w:space="0" w:color="auto"/>
        <w:left w:val="none" w:sz="0" w:space="0" w:color="auto"/>
        <w:bottom w:val="none" w:sz="0" w:space="0" w:color="auto"/>
        <w:right w:val="none" w:sz="0" w:space="0" w:color="auto"/>
      </w:divBdr>
    </w:div>
    <w:div w:id="154494351">
      <w:bodyDiv w:val="1"/>
      <w:marLeft w:val="0"/>
      <w:marRight w:val="0"/>
      <w:marTop w:val="0"/>
      <w:marBottom w:val="0"/>
      <w:divBdr>
        <w:top w:val="none" w:sz="0" w:space="0" w:color="auto"/>
        <w:left w:val="none" w:sz="0" w:space="0" w:color="auto"/>
        <w:bottom w:val="none" w:sz="0" w:space="0" w:color="auto"/>
        <w:right w:val="none" w:sz="0" w:space="0" w:color="auto"/>
      </w:divBdr>
    </w:div>
    <w:div w:id="692415769">
      <w:bodyDiv w:val="1"/>
      <w:marLeft w:val="0"/>
      <w:marRight w:val="0"/>
      <w:marTop w:val="0"/>
      <w:marBottom w:val="0"/>
      <w:divBdr>
        <w:top w:val="none" w:sz="0" w:space="0" w:color="auto"/>
        <w:left w:val="none" w:sz="0" w:space="0" w:color="auto"/>
        <w:bottom w:val="none" w:sz="0" w:space="0" w:color="auto"/>
        <w:right w:val="none" w:sz="0" w:space="0" w:color="auto"/>
      </w:divBdr>
    </w:div>
    <w:div w:id="1004481012">
      <w:bodyDiv w:val="1"/>
      <w:marLeft w:val="0"/>
      <w:marRight w:val="0"/>
      <w:marTop w:val="0"/>
      <w:marBottom w:val="0"/>
      <w:divBdr>
        <w:top w:val="none" w:sz="0" w:space="0" w:color="auto"/>
        <w:left w:val="none" w:sz="0" w:space="0" w:color="auto"/>
        <w:bottom w:val="none" w:sz="0" w:space="0" w:color="auto"/>
        <w:right w:val="none" w:sz="0" w:space="0" w:color="auto"/>
      </w:divBdr>
    </w:div>
    <w:div w:id="1170876040">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6011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TaxCatchAll xmlns="525029b5-868e-4932-a2f1-2267ab1d00cd" xsi:nil="true"/>
    <_Flow_SignoffStatus xmlns="dbf2eccc-375d-4251-95f3-c31d8c47615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9E6E8-AE44-437C-A551-FECF1DD1F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512C0-7CC9-43DC-A757-0E03CE8B94C0}">
  <ds:schemaRefs>
    <ds:schemaRef ds:uri="http://schemas.microsoft.com/sharepoint/v3/contenttype/forms"/>
  </ds:schemaRefs>
</ds:datastoreItem>
</file>

<file path=customXml/itemProps3.xml><?xml version="1.0" encoding="utf-8"?>
<ds:datastoreItem xmlns:ds="http://schemas.openxmlformats.org/officeDocument/2006/customXml" ds:itemID="{EF802FDE-A932-4C15-8EC0-F3CC4BE98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E6C4C-3448-4E55-BB43-AF31EDE358C4}">
  <ds:schemaRefs>
    <ds:schemaRef ds:uri="dbf2eccc-375d-4251-95f3-c31d8c476153"/>
    <ds:schemaRef ds:uri="http://schemas.openxmlformats.org/package/2006/metadata/core-properties"/>
    <ds:schemaRef ds:uri="http://www.w3.org/XML/1998/namespace"/>
    <ds:schemaRef ds:uri="525029b5-868e-4932-a2f1-2267ab1d00cd"/>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2CC12E6D-FEBF-4087-8A7D-BA1842FE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68761</Words>
  <Characters>39194</Characters>
  <Application>Microsoft Office Word</Application>
  <DocSecurity>0</DocSecurity>
  <Lines>326</Lines>
  <Paragraphs>215</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68</vt:i4>
      </vt:variant>
      <vt:variant>
        <vt:lpstr>Cím</vt:lpstr>
      </vt:variant>
      <vt:variant>
        <vt:i4>1</vt:i4>
      </vt:variant>
    </vt:vector>
  </HeadingPairs>
  <TitlesOfParts>
    <vt:vector size="71" baseType="lpstr">
      <vt:lpstr/>
      <vt:lpstr/>
      <vt:lpstr>I PRIEDAS</vt:lpstr>
      <vt:lpstr>PREPARATO CHARAKTERISTIKŲ SANTRAUKA</vt:lpstr>
      <vt:lpstr>    1.	VAISTINIO PREPARATO PAVADINIMAS</vt:lpstr>
      <vt:lpstr>    2.	KOKYBINĖ IR KIEKYBINĖ SUDĖTIS </vt:lpstr>
      <vt:lpstr>    3.	FARMACINĖ FORMA</vt:lpstr>
      <vt:lpstr>    4.	KLINIKINĖ INFORMACIJA</vt:lpstr>
      <vt:lpstr>        4.1	Terapinės indikacijos</vt:lpstr>
      <vt:lpstr>        4.2	Dozavimas ir vartojimo metodas </vt:lpstr>
      <vt:lpstr>        4.3	Kontraindikacijos </vt:lpstr>
      <vt:lpstr>        4.4	Specialūs įspėjimai ir specialios atsargumo priemonės</vt:lpstr>
      <vt:lpstr>        4.5	Sąveika su kitais vaistiniais preparatais ir kitokia sąveika</vt:lpstr>
      <vt:lpstr>        4.6	Vaisingumas, nėštumo ir žindymo laikotarpis </vt:lpstr>
      <vt:lpstr>        4.7	Poveikis gebėjimui vairuoti ir valdyti mechanizmus </vt:lpstr>
      <vt:lpstr>        4.8	Nepageidaujamas poveikis </vt:lpstr>
      <vt:lpstr>        Svarbu pranešti apie įtariamas nepageidaujamas reakcijas, pastebėtas po vaistini</vt:lpstr>
      <vt:lpstr>        </vt:lpstr>
      <vt:lpstr>        4.9	Perdozavimas</vt:lpstr>
      <vt:lpstr>    5.	FARMAKOLOGINĖS SAVYBĖS</vt:lpstr>
      <vt:lpstr>        5.1	Farmakodinaminės savybės</vt:lpstr>
      <vt:lpstr>        </vt:lpstr>
      <vt:lpstr>        Farmakodinaminis poveikis</vt:lpstr>
      <vt:lpstr>        Klinikinis veiksmingumas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 ir jos turinys</vt:lpstr>
      <vt:lpstr>        6.6	Specialūs reikalavimai atliekoms laikyti ir tvarkyti</vt:lpstr>
      <vt:lpstr>    7.	REGISTRUOTOJAS</vt:lpstr>
      <vt:lpstr>    8.	REGISTRACIJOS PAŽYMĖJIMO numeris (-IAI)</vt:lpstr>
      <vt:lpstr>    9.	REGISTRAVIMO / PERREGISTRAVIMO DATA</vt:lpstr>
      <vt:lpstr>    10.	TEKSTO PERŽIŪROS DATA</vt:lpstr>
      <vt:lpstr>    </vt:lpstr>
      <vt:lpstr>    </vt:lpstr>
      <vt: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
      <vt:lpstr/>
      <vt:lpstr/>
      <vt:lpstr/>
      <vt:lpstr/>
      <vt:lpstr/>
      <vt:lpstr/>
      <vt:lpstr/>
      <vt:lpstr/>
      <vt:lpstr/>
      <vt:lpstr/>
      <vt:lpstr/>
      <vt:lpstr/>
      <vt:lpstr/>
      <vt:lpstr/>
      <vt:lpstr/>
      <vt:lpstr/>
      <vt:lpstr/>
      <vt:lpstr/>
      <vt:lpstr/>
      <vt:lpstr>B. PAKUOTĖS LAPELIS</vt:lpstr>
      <vt:lpstr>    Sunkios odos nepageidaujamos reakcijos (SCARs)</vt:lpstr>
      <vt:lpstr/>
    </vt:vector>
  </TitlesOfParts>
  <Company>Hewlett-Packard Company</Company>
  <LinksUpToDate>false</LinksUpToDate>
  <CharactersWithSpaces>107740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eu_artwork</dc:creator>
  <cp:lastModifiedBy>Albina Burkauskaitė</cp:lastModifiedBy>
  <cp:revision>3</cp:revision>
  <dcterms:created xsi:type="dcterms:W3CDTF">2025-04-02T05:36:00Z</dcterms:created>
  <dcterms:modified xsi:type="dcterms:W3CDTF">2025-04-02T05:39:00Z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0x01010024448ADDA094B941BF150AA70B0E97EF</vt:lpwstr>
  </property>
</Properties>
</file>