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BE14E" w14:textId="77777777" w:rsidR="00A052FA" w:rsidRPr="00BD03D8" w:rsidRDefault="00A052FA" w:rsidP="00A052FA">
      <w:pPr>
        <w:rPr>
          <w:sz w:val="22"/>
          <w:szCs w:val="22"/>
        </w:rPr>
      </w:pPr>
    </w:p>
    <w:p w14:paraId="508F49A6" w14:textId="77777777" w:rsidR="00A052FA" w:rsidRPr="00BD03D8" w:rsidRDefault="00A052FA" w:rsidP="00A052FA">
      <w:pPr>
        <w:rPr>
          <w:sz w:val="22"/>
          <w:szCs w:val="22"/>
        </w:rPr>
      </w:pPr>
    </w:p>
    <w:p w14:paraId="240936C1" w14:textId="77777777" w:rsidR="00A052FA" w:rsidRPr="00BD03D8" w:rsidRDefault="00A052FA" w:rsidP="00A052FA">
      <w:pPr>
        <w:rPr>
          <w:sz w:val="22"/>
          <w:szCs w:val="22"/>
        </w:rPr>
      </w:pPr>
    </w:p>
    <w:p w14:paraId="10864E9A" w14:textId="77777777" w:rsidR="00A052FA" w:rsidRPr="00BD03D8" w:rsidRDefault="00A052FA" w:rsidP="00A052FA">
      <w:pPr>
        <w:rPr>
          <w:sz w:val="22"/>
          <w:szCs w:val="22"/>
        </w:rPr>
      </w:pPr>
    </w:p>
    <w:p w14:paraId="0B821E2D" w14:textId="77777777" w:rsidR="00A052FA" w:rsidRPr="00BD03D8" w:rsidRDefault="00A052FA" w:rsidP="00A052FA">
      <w:pPr>
        <w:rPr>
          <w:sz w:val="22"/>
          <w:szCs w:val="22"/>
        </w:rPr>
      </w:pPr>
    </w:p>
    <w:p w14:paraId="19CC489E" w14:textId="77777777" w:rsidR="00A052FA" w:rsidRPr="00BD03D8" w:rsidRDefault="00A052FA" w:rsidP="00A052FA">
      <w:pPr>
        <w:rPr>
          <w:sz w:val="22"/>
          <w:szCs w:val="22"/>
        </w:rPr>
      </w:pPr>
    </w:p>
    <w:p w14:paraId="4D0A8594" w14:textId="77777777" w:rsidR="00A052FA" w:rsidRPr="00BD03D8" w:rsidRDefault="00A052FA" w:rsidP="00A052FA">
      <w:pPr>
        <w:rPr>
          <w:sz w:val="22"/>
          <w:szCs w:val="22"/>
        </w:rPr>
      </w:pPr>
    </w:p>
    <w:p w14:paraId="27B350BD" w14:textId="77777777" w:rsidR="00A052FA" w:rsidRPr="00BD03D8" w:rsidRDefault="00A052FA" w:rsidP="00A052FA">
      <w:pPr>
        <w:rPr>
          <w:sz w:val="22"/>
          <w:szCs w:val="22"/>
        </w:rPr>
      </w:pPr>
    </w:p>
    <w:p w14:paraId="252D3190" w14:textId="77777777" w:rsidR="00A052FA" w:rsidRPr="00BD03D8" w:rsidRDefault="00A052FA" w:rsidP="00A052FA">
      <w:pPr>
        <w:rPr>
          <w:sz w:val="22"/>
          <w:szCs w:val="22"/>
        </w:rPr>
      </w:pPr>
    </w:p>
    <w:p w14:paraId="51D31F0D" w14:textId="77777777" w:rsidR="00A052FA" w:rsidRPr="00BD03D8" w:rsidRDefault="00A052FA" w:rsidP="00A052FA">
      <w:pPr>
        <w:rPr>
          <w:sz w:val="22"/>
          <w:szCs w:val="22"/>
        </w:rPr>
      </w:pPr>
    </w:p>
    <w:p w14:paraId="2B5B2957" w14:textId="77777777" w:rsidR="00A052FA" w:rsidRPr="00BD03D8" w:rsidRDefault="00A052FA" w:rsidP="00A052FA">
      <w:pPr>
        <w:rPr>
          <w:sz w:val="22"/>
          <w:szCs w:val="22"/>
        </w:rPr>
      </w:pPr>
    </w:p>
    <w:p w14:paraId="634DAC7F" w14:textId="77777777" w:rsidR="00A052FA" w:rsidRPr="00BD03D8" w:rsidRDefault="00A052FA" w:rsidP="00634EE3">
      <w:pPr>
        <w:pStyle w:val="BTEMEASMCA"/>
      </w:pPr>
    </w:p>
    <w:p w14:paraId="35DF5F53" w14:textId="77777777" w:rsidR="00A052FA" w:rsidRPr="00BD03D8" w:rsidRDefault="00A052FA" w:rsidP="00634EE3">
      <w:pPr>
        <w:pStyle w:val="BTEMEASMCA"/>
      </w:pPr>
    </w:p>
    <w:p w14:paraId="5558CF2A" w14:textId="77777777" w:rsidR="00A052FA" w:rsidRPr="00BD03D8" w:rsidRDefault="00A052FA" w:rsidP="00634EE3">
      <w:pPr>
        <w:pStyle w:val="BTEMEASMCA"/>
      </w:pPr>
    </w:p>
    <w:p w14:paraId="4B105A32" w14:textId="77777777" w:rsidR="00A052FA" w:rsidRPr="00BD03D8" w:rsidRDefault="00A052FA" w:rsidP="00634EE3">
      <w:pPr>
        <w:pStyle w:val="BTEMEASMCA"/>
      </w:pPr>
    </w:p>
    <w:p w14:paraId="4D610522" w14:textId="77777777" w:rsidR="00A052FA" w:rsidRPr="00BD03D8" w:rsidRDefault="00A052FA" w:rsidP="00634EE3">
      <w:pPr>
        <w:pStyle w:val="BTEMEASMCA"/>
      </w:pPr>
    </w:p>
    <w:p w14:paraId="1E0EC272" w14:textId="77777777" w:rsidR="00A052FA" w:rsidRPr="00BD03D8" w:rsidRDefault="00A052FA" w:rsidP="00634EE3">
      <w:pPr>
        <w:pStyle w:val="BTEMEASMCA"/>
      </w:pPr>
    </w:p>
    <w:p w14:paraId="374641C4" w14:textId="77777777" w:rsidR="00A052FA" w:rsidRPr="00BD03D8" w:rsidRDefault="00A052FA" w:rsidP="00634EE3">
      <w:pPr>
        <w:pStyle w:val="BTEMEASMCA"/>
      </w:pPr>
    </w:p>
    <w:p w14:paraId="1D55D871" w14:textId="77777777" w:rsidR="00A052FA" w:rsidRPr="00BD03D8" w:rsidRDefault="00A052FA" w:rsidP="00634EE3">
      <w:pPr>
        <w:pStyle w:val="BTEMEASMCA"/>
      </w:pPr>
    </w:p>
    <w:p w14:paraId="015D3189" w14:textId="77777777" w:rsidR="00A052FA" w:rsidRPr="00BD03D8" w:rsidRDefault="00A052FA" w:rsidP="00634EE3">
      <w:pPr>
        <w:pStyle w:val="BTEMEASMCA"/>
      </w:pPr>
    </w:p>
    <w:p w14:paraId="6F41F702" w14:textId="77777777" w:rsidR="00A052FA" w:rsidRPr="00BD03D8" w:rsidRDefault="00A052FA" w:rsidP="00634EE3">
      <w:pPr>
        <w:pStyle w:val="BTEMEASMCA"/>
      </w:pPr>
    </w:p>
    <w:p w14:paraId="50AE084E" w14:textId="77777777" w:rsidR="00A052FA" w:rsidRPr="00BD03D8" w:rsidRDefault="00A052FA" w:rsidP="00634EE3">
      <w:pPr>
        <w:pStyle w:val="BTEMEASMCA"/>
      </w:pPr>
    </w:p>
    <w:p w14:paraId="3F817207" w14:textId="77777777" w:rsidR="00A052FA" w:rsidRPr="00BD03D8" w:rsidRDefault="00A052FA" w:rsidP="00634EE3">
      <w:pPr>
        <w:pStyle w:val="BTEMEASMCA"/>
      </w:pPr>
    </w:p>
    <w:p w14:paraId="64003A47" w14:textId="34081050" w:rsidR="00A052FA" w:rsidRPr="00BD03D8" w:rsidRDefault="00A052FA" w:rsidP="00A052FA">
      <w:pPr>
        <w:pStyle w:val="TTEMEASMCA"/>
        <w:rPr>
          <w:lang w:val="lt-LT"/>
        </w:rPr>
      </w:pPr>
      <w:bookmarkStart w:id="0" w:name="_Toc129243096"/>
      <w:bookmarkStart w:id="1" w:name="_Toc129243221"/>
      <w:r w:rsidRPr="00BD03D8">
        <w:rPr>
          <w:lang w:val="lt-LT"/>
        </w:rPr>
        <w:t>I PRIEDAS</w:t>
      </w:r>
      <w:bookmarkEnd w:id="0"/>
      <w:bookmarkEnd w:id="1"/>
    </w:p>
    <w:p w14:paraId="77C8976C" w14:textId="77777777" w:rsidR="00A052FA" w:rsidRPr="00BD03D8" w:rsidRDefault="00A052FA" w:rsidP="00634EE3">
      <w:pPr>
        <w:pStyle w:val="BTEMEASMCA"/>
      </w:pPr>
    </w:p>
    <w:p w14:paraId="6565FE12" w14:textId="007FA841" w:rsidR="00A052FA" w:rsidRPr="00BD03D8" w:rsidRDefault="00A052FA" w:rsidP="00A052FA">
      <w:pPr>
        <w:pStyle w:val="TTEMEASMCA"/>
        <w:rPr>
          <w:lang w:val="lt-LT"/>
        </w:rPr>
      </w:pPr>
      <w:bookmarkStart w:id="2" w:name="_Toc129243097"/>
      <w:bookmarkStart w:id="3" w:name="_Toc129243222"/>
      <w:r w:rsidRPr="00BD03D8">
        <w:rPr>
          <w:lang w:val="lt-LT"/>
        </w:rPr>
        <w:t>PREPARATO CHARAKTERISTIKŲ SANTRAUKA</w:t>
      </w:r>
      <w:bookmarkEnd w:id="2"/>
      <w:bookmarkEnd w:id="3"/>
    </w:p>
    <w:p w14:paraId="14D0F1DA" w14:textId="77777777" w:rsidR="00A052FA" w:rsidRPr="00BD03D8" w:rsidRDefault="00A052FA" w:rsidP="00A052FA">
      <w:pPr>
        <w:pStyle w:val="PI-1EMEASMCA"/>
      </w:pPr>
      <w:r w:rsidRPr="00BD03D8">
        <w:rPr>
          <w:bCs/>
          <w:iCs/>
        </w:rPr>
        <w:br w:type="page"/>
      </w:r>
      <w:bookmarkStart w:id="4" w:name="_Toc129243098"/>
      <w:bookmarkStart w:id="5" w:name="_Toc129243223"/>
      <w:r w:rsidRPr="00BD03D8">
        <w:lastRenderedPageBreak/>
        <w:t>1.</w:t>
      </w:r>
      <w:r w:rsidRPr="00BD03D8">
        <w:tab/>
        <w:t>VAISTINIO PREPARATO PAVADINIMAS</w:t>
      </w:r>
      <w:bookmarkEnd w:id="4"/>
      <w:bookmarkEnd w:id="5"/>
    </w:p>
    <w:p w14:paraId="2EDAEE98" w14:textId="77777777" w:rsidR="00A052FA" w:rsidRPr="0082224B" w:rsidRDefault="00A052FA" w:rsidP="00240DB9"/>
    <w:p w14:paraId="2000121D" w14:textId="77777777" w:rsidR="00A052FA" w:rsidRPr="0082224B" w:rsidRDefault="00A052FA" w:rsidP="00240DB9">
      <w:r w:rsidRPr="00240DB9">
        <w:rPr>
          <w:sz w:val="22"/>
        </w:rPr>
        <w:t>Analgin Sopharma 500 mg/ml injekcinis tirpalas</w:t>
      </w:r>
    </w:p>
    <w:p w14:paraId="3DC3B4A8" w14:textId="77777777" w:rsidR="00A052FA" w:rsidRPr="0082224B" w:rsidRDefault="00A052FA" w:rsidP="00240DB9"/>
    <w:p w14:paraId="17F66DDF" w14:textId="77777777" w:rsidR="00A052FA" w:rsidRPr="0082224B" w:rsidRDefault="00A052FA" w:rsidP="00240DB9"/>
    <w:p w14:paraId="63E1B982" w14:textId="30919119" w:rsidR="00A052FA" w:rsidRPr="00BD03D8" w:rsidRDefault="00A052FA" w:rsidP="00A052FA">
      <w:pPr>
        <w:pStyle w:val="PI-1EMEASMCA"/>
      </w:pPr>
      <w:bookmarkStart w:id="6" w:name="_Toc129243099"/>
      <w:bookmarkStart w:id="7" w:name="_Toc129243224"/>
      <w:r w:rsidRPr="00BD03D8">
        <w:t>2.</w:t>
      </w:r>
      <w:r w:rsidRPr="00BD03D8">
        <w:tab/>
        <w:t>KOKYBINĖ IR KIEKYBINĖ SUDĖTIS</w:t>
      </w:r>
      <w:bookmarkEnd w:id="6"/>
      <w:bookmarkEnd w:id="7"/>
    </w:p>
    <w:p w14:paraId="6596A497" w14:textId="77777777" w:rsidR="00A052FA" w:rsidRPr="0082224B" w:rsidRDefault="00A052FA" w:rsidP="00240DB9"/>
    <w:p w14:paraId="5F351211" w14:textId="77777777" w:rsidR="00A052FA" w:rsidRPr="00F64F0D" w:rsidRDefault="00A052FA" w:rsidP="00240DB9">
      <w:pPr>
        <w:rPr>
          <w:sz w:val="22"/>
          <w:szCs w:val="22"/>
        </w:rPr>
      </w:pPr>
      <w:r w:rsidRPr="00F64F0D">
        <w:rPr>
          <w:sz w:val="22"/>
          <w:szCs w:val="22"/>
        </w:rPr>
        <w:t xml:space="preserve">Kiekviename injekcinio tirpalo mililitre yra 500 mg metamizolo natrio druskos monohidrato. Kiekvienoje 2 ml ampulėje yra 1000 mg metamizolo natrio druskos monohidrato. </w:t>
      </w:r>
    </w:p>
    <w:p w14:paraId="1202EE85" w14:textId="77777777" w:rsidR="00A052FA" w:rsidRPr="0082224B" w:rsidRDefault="00A052FA" w:rsidP="00240DB9"/>
    <w:p w14:paraId="15851DB7" w14:textId="77777777" w:rsidR="00A052FA" w:rsidRPr="0082224B" w:rsidRDefault="00A052FA" w:rsidP="00240DB9">
      <w:r w:rsidRPr="00240DB9">
        <w:rPr>
          <w:sz w:val="22"/>
        </w:rPr>
        <w:t>Visos pagalbinės medžiagos išvardytos 6.1 skyriuje.</w:t>
      </w:r>
    </w:p>
    <w:p w14:paraId="2ED1AE34" w14:textId="77777777" w:rsidR="00A052FA" w:rsidRPr="0082224B" w:rsidRDefault="00A052FA" w:rsidP="00240DB9"/>
    <w:p w14:paraId="3D14C7A0" w14:textId="77777777" w:rsidR="00A052FA" w:rsidRPr="0082224B" w:rsidRDefault="00A052FA" w:rsidP="00240DB9"/>
    <w:p w14:paraId="613B0A95" w14:textId="55A7AA97" w:rsidR="00A052FA" w:rsidRPr="00BD03D8" w:rsidRDefault="00A052FA" w:rsidP="00A052FA">
      <w:pPr>
        <w:pStyle w:val="PI-1EMEASMCA"/>
      </w:pPr>
      <w:bookmarkStart w:id="8" w:name="_Toc129243100"/>
      <w:bookmarkStart w:id="9" w:name="_Toc129243225"/>
      <w:r w:rsidRPr="00BD03D8">
        <w:t>3.</w:t>
      </w:r>
      <w:r w:rsidRPr="00BD03D8">
        <w:tab/>
        <w:t>FARMACINĖ FORMA</w:t>
      </w:r>
      <w:bookmarkEnd w:id="8"/>
      <w:bookmarkEnd w:id="9"/>
    </w:p>
    <w:p w14:paraId="3111DE95" w14:textId="77777777" w:rsidR="00A052FA" w:rsidRPr="0082224B" w:rsidRDefault="00A052FA" w:rsidP="00240DB9"/>
    <w:p w14:paraId="1594B58D" w14:textId="77777777" w:rsidR="00A052FA" w:rsidRPr="0082224B" w:rsidRDefault="00A052FA" w:rsidP="00240DB9">
      <w:r w:rsidRPr="00240DB9">
        <w:rPr>
          <w:sz w:val="22"/>
        </w:rPr>
        <w:t>Injekcinis tirpalas.</w:t>
      </w:r>
    </w:p>
    <w:p w14:paraId="05059747" w14:textId="77777777" w:rsidR="00A052FA" w:rsidRPr="0082224B" w:rsidRDefault="00A052FA" w:rsidP="00240DB9">
      <w:r w:rsidRPr="00240DB9">
        <w:rPr>
          <w:sz w:val="22"/>
        </w:rPr>
        <w:t>Skaidrus bespalvis ar gelsvos spalvos tirpalas.</w:t>
      </w:r>
    </w:p>
    <w:p w14:paraId="428922FC" w14:textId="77777777" w:rsidR="00A052FA" w:rsidRPr="0082224B" w:rsidRDefault="00A052FA" w:rsidP="00240DB9"/>
    <w:p w14:paraId="220FED1F" w14:textId="77777777" w:rsidR="00A052FA" w:rsidRPr="0082224B" w:rsidRDefault="00A052FA" w:rsidP="00240DB9"/>
    <w:p w14:paraId="5808945A" w14:textId="7422BE60" w:rsidR="00A052FA" w:rsidRPr="00BD03D8" w:rsidRDefault="00A052FA" w:rsidP="00A052FA">
      <w:pPr>
        <w:pStyle w:val="PI-1EMEASMCA"/>
      </w:pPr>
      <w:bookmarkStart w:id="10" w:name="_Toc129243101"/>
      <w:bookmarkStart w:id="11" w:name="_Toc129243226"/>
      <w:r w:rsidRPr="00BD03D8">
        <w:t>4.</w:t>
      </w:r>
      <w:r w:rsidRPr="00BD03D8">
        <w:tab/>
        <w:t>KLINIKINĖ INFORMACIJA</w:t>
      </w:r>
      <w:bookmarkEnd w:id="10"/>
      <w:bookmarkEnd w:id="11"/>
    </w:p>
    <w:p w14:paraId="5C303595" w14:textId="77777777" w:rsidR="00A052FA" w:rsidRPr="00BD03D8" w:rsidRDefault="00A052FA" w:rsidP="00634EE3">
      <w:pPr>
        <w:pStyle w:val="BTEMEASMCA"/>
      </w:pPr>
    </w:p>
    <w:p w14:paraId="40847CC1" w14:textId="0018DB6D" w:rsidR="00A052FA" w:rsidRPr="00BD03D8" w:rsidRDefault="00A052FA" w:rsidP="00A052FA">
      <w:pPr>
        <w:pStyle w:val="PI-2EMEASMCA"/>
      </w:pPr>
      <w:bookmarkStart w:id="12" w:name="_Toc129243102"/>
      <w:bookmarkStart w:id="13" w:name="_Toc129243227"/>
      <w:r w:rsidRPr="00BD03D8">
        <w:t>4.1</w:t>
      </w:r>
      <w:r w:rsidRPr="00BD03D8">
        <w:tab/>
        <w:t>Terapinės indikacijos</w:t>
      </w:r>
      <w:bookmarkEnd w:id="12"/>
      <w:bookmarkEnd w:id="13"/>
    </w:p>
    <w:p w14:paraId="35B2D9F8" w14:textId="77777777" w:rsidR="00A052FA" w:rsidRPr="0082224B" w:rsidRDefault="00A052FA" w:rsidP="00240DB9"/>
    <w:p w14:paraId="2960E17A" w14:textId="77777777" w:rsidR="00A052FA" w:rsidRPr="0082224B" w:rsidRDefault="00A052FA" w:rsidP="00240DB9">
      <w:r w:rsidRPr="00240DB9">
        <w:rPr>
          <w:sz w:val="22"/>
        </w:rPr>
        <w:t xml:space="preserve">Ūminio vidutinio ar stipraus skausmo (pvz., pooperacinio, inkstų dieglių) malšinimas. </w:t>
      </w:r>
    </w:p>
    <w:p w14:paraId="04B6CBC2" w14:textId="77777777" w:rsidR="00A052FA" w:rsidRPr="0082224B" w:rsidRDefault="00A052FA" w:rsidP="00240DB9"/>
    <w:p w14:paraId="73B37B0F" w14:textId="1FCFB7B8" w:rsidR="00A052FA" w:rsidRPr="00BD03D8" w:rsidRDefault="00A052FA" w:rsidP="00A052FA">
      <w:pPr>
        <w:pStyle w:val="PI-2EMEASMCA"/>
      </w:pPr>
      <w:bookmarkStart w:id="14" w:name="_Toc129243103"/>
      <w:bookmarkStart w:id="15" w:name="_Toc129243228"/>
      <w:r w:rsidRPr="00BD03D8">
        <w:t>4.2</w:t>
      </w:r>
      <w:r w:rsidRPr="00BD03D8">
        <w:tab/>
        <w:t>Dozavimas ir vartojimo metodas</w:t>
      </w:r>
      <w:bookmarkEnd w:id="14"/>
      <w:bookmarkEnd w:id="15"/>
    </w:p>
    <w:p w14:paraId="4784E762" w14:textId="77777777" w:rsidR="00A052FA" w:rsidRPr="0082224B" w:rsidRDefault="00A052FA" w:rsidP="00240DB9"/>
    <w:p w14:paraId="50AD7B09" w14:textId="77777777" w:rsidR="00A052FA" w:rsidRPr="00240DB9" w:rsidRDefault="00A052FA" w:rsidP="00F64F0D">
      <w:pPr>
        <w:rPr>
          <w:sz w:val="22"/>
        </w:rPr>
      </w:pPr>
      <w:r w:rsidRPr="00F64F0D">
        <w:rPr>
          <w:sz w:val="22"/>
          <w:szCs w:val="22"/>
          <w:u w:val="single"/>
        </w:rPr>
        <w:t>Dozavimas</w:t>
      </w:r>
    </w:p>
    <w:p w14:paraId="2A55D958" w14:textId="77777777" w:rsidR="00A052FA" w:rsidRPr="0082224B" w:rsidRDefault="00A052FA" w:rsidP="00240DB9">
      <w:r w:rsidRPr="00240DB9">
        <w:rPr>
          <w:sz w:val="22"/>
        </w:rPr>
        <w:t>Dozė nustatoma pagal skausmo arba karščiavimo intensyvumą ir kiekvieno paciento organizmo reakcijos į Analgin Sopharma jautrumą. Itin svarbu pasirinkti mažiausią dozę, kurios pakanka skausmui ir karščiavimui kontroliuoti.</w:t>
      </w:r>
    </w:p>
    <w:p w14:paraId="3A7FCCFA" w14:textId="77777777" w:rsidR="00A052FA" w:rsidRPr="0082224B" w:rsidRDefault="00A052FA" w:rsidP="00240DB9"/>
    <w:p w14:paraId="53E75BA6" w14:textId="77777777" w:rsidR="00A052FA" w:rsidRPr="00240DB9" w:rsidRDefault="00A052FA" w:rsidP="00240DB9">
      <w:pPr>
        <w:rPr>
          <w:i/>
        </w:rPr>
      </w:pPr>
      <w:r w:rsidRPr="00240DB9">
        <w:rPr>
          <w:i/>
          <w:sz w:val="22"/>
        </w:rPr>
        <w:t>Suaugusiesiems ir paaugliams nuo 15 metų amžiaus</w:t>
      </w:r>
    </w:p>
    <w:p w14:paraId="6DB3DE6C" w14:textId="77777777" w:rsidR="00A052FA" w:rsidRPr="0082224B" w:rsidRDefault="00A052FA" w:rsidP="00240DB9">
      <w:r w:rsidRPr="00240DB9">
        <w:rPr>
          <w:sz w:val="22"/>
        </w:rPr>
        <w:t>Suaugusiesiems ir 15 metų amžiaus arba vyresniems paaugliams (&gt; 53 kg) galima vartoti ne didesnę kaip 1000 mg metamizolo vienkartinę dozę.</w:t>
      </w:r>
    </w:p>
    <w:p w14:paraId="2868BD63" w14:textId="77777777" w:rsidR="00A052FA" w:rsidRPr="0082224B" w:rsidRDefault="00A052FA" w:rsidP="00240DB9"/>
    <w:p w14:paraId="55364506" w14:textId="77777777" w:rsidR="00A052FA" w:rsidRPr="0082224B" w:rsidRDefault="00A052FA" w:rsidP="00240DB9">
      <w:r w:rsidRPr="00240DB9">
        <w:rPr>
          <w:sz w:val="22"/>
        </w:rPr>
        <w:t>Tokią dozę galima vartoti ne daugiau kaip 4 kartus per parą, 6-8 val. intervalu, prisiderinant prie didžiausios, t. y. 4000 mg, paros dozės.</w:t>
      </w:r>
    </w:p>
    <w:p w14:paraId="1E02CAA7" w14:textId="77777777" w:rsidR="00A052FA" w:rsidRPr="0082224B" w:rsidRDefault="00A052FA" w:rsidP="00240DB9"/>
    <w:p w14:paraId="6C25297B" w14:textId="77777777" w:rsidR="00A052FA" w:rsidRPr="00240DB9" w:rsidRDefault="00A052FA" w:rsidP="00240DB9">
      <w:pPr>
        <w:rPr>
          <w:i/>
        </w:rPr>
      </w:pPr>
      <w:r w:rsidRPr="00240DB9">
        <w:rPr>
          <w:i/>
          <w:sz w:val="22"/>
        </w:rPr>
        <w:t>Vaikams ir paaugliams iki 14 metų amžiaus</w:t>
      </w:r>
    </w:p>
    <w:p w14:paraId="68B53217" w14:textId="77777777" w:rsidR="00A052FA" w:rsidRPr="0082224B" w:rsidRDefault="00A052FA" w:rsidP="00240DB9">
      <w:r w:rsidRPr="00240DB9">
        <w:rPr>
          <w:sz w:val="22"/>
        </w:rPr>
        <w:t>Vaikams ir jaunesniems negu 14 metų amžiaus paaugliams galima vartoti ne didesnę kaip 8–16 mg metamizolo/kg kūno svorio vienkartinę dozę. Karščiuojant vaikams paprastai pakanka 10 mg metamizolo/kg kūno svorio dozės.</w:t>
      </w:r>
    </w:p>
    <w:p w14:paraId="0A4F9777" w14:textId="77777777" w:rsidR="00A052FA" w:rsidRPr="00F64F0D" w:rsidRDefault="00A052FA" w:rsidP="00F64F0D">
      <w:pPr>
        <w:rPr>
          <w:i/>
          <w:sz w:val="22"/>
          <w:szCs w:val="22"/>
        </w:rPr>
      </w:pPr>
    </w:p>
    <w:p w14:paraId="2A72746B" w14:textId="77777777" w:rsidR="00A052FA" w:rsidRPr="00F64F0D" w:rsidRDefault="00A052FA" w:rsidP="00F64F0D">
      <w:pPr>
        <w:rPr>
          <w:sz w:val="22"/>
          <w:szCs w:val="22"/>
        </w:rPr>
      </w:pPr>
      <w:r w:rsidRPr="00F64F0D">
        <w:rPr>
          <w:sz w:val="22"/>
          <w:szCs w:val="22"/>
        </w:rPr>
        <w:t>Žiūrint, kokia didžiausia paros dozė, vienkartinę dozę galima vartoti iki 4 kartų per parą, 6–8 val. intervalu.</w:t>
      </w:r>
    </w:p>
    <w:p w14:paraId="03E8EB97" w14:textId="77777777" w:rsidR="00A052FA" w:rsidRPr="00F64F0D" w:rsidRDefault="00A052FA" w:rsidP="00F64F0D">
      <w:pPr>
        <w:rPr>
          <w:sz w:val="22"/>
          <w:szCs w:val="22"/>
        </w:rPr>
      </w:pPr>
    </w:p>
    <w:p w14:paraId="19A2B49C" w14:textId="77777777" w:rsidR="00A052FA" w:rsidRPr="00F64F0D" w:rsidRDefault="00A052FA" w:rsidP="00F64F0D">
      <w:pPr>
        <w:rPr>
          <w:sz w:val="22"/>
          <w:szCs w:val="22"/>
        </w:rPr>
      </w:pPr>
      <w:r w:rsidRPr="00F64F0D">
        <w:rPr>
          <w:sz w:val="22"/>
          <w:szCs w:val="22"/>
        </w:rPr>
        <w:t>Suleidus vaistinio preparato, aiškus poveikis turėtų pasireikšti po 30 minučių.</w:t>
      </w:r>
    </w:p>
    <w:p w14:paraId="11F7735B" w14:textId="77777777" w:rsidR="00A052FA" w:rsidRPr="00F64F0D" w:rsidRDefault="00A052FA" w:rsidP="00F64F0D">
      <w:pPr>
        <w:rPr>
          <w:sz w:val="22"/>
          <w:szCs w:val="22"/>
        </w:rPr>
      </w:pPr>
    </w:p>
    <w:p w14:paraId="5D1123C0" w14:textId="77777777" w:rsidR="00A052FA" w:rsidRPr="00F64F0D" w:rsidRDefault="00A052FA" w:rsidP="00F64F0D">
      <w:pPr>
        <w:rPr>
          <w:sz w:val="22"/>
          <w:szCs w:val="22"/>
        </w:rPr>
      </w:pPr>
      <w:r w:rsidRPr="00F64F0D">
        <w:rPr>
          <w:sz w:val="22"/>
          <w:szCs w:val="22"/>
        </w:rPr>
        <w:t xml:space="preserve">Siekiant sumažinti </w:t>
      </w:r>
      <w:proofErr w:type="spellStart"/>
      <w:r w:rsidRPr="00F64F0D">
        <w:rPr>
          <w:sz w:val="22"/>
          <w:szCs w:val="22"/>
        </w:rPr>
        <w:t>hipotenzinės</w:t>
      </w:r>
      <w:proofErr w:type="spellEnd"/>
      <w:r w:rsidRPr="00F64F0D">
        <w:rPr>
          <w:sz w:val="22"/>
          <w:szCs w:val="22"/>
        </w:rPr>
        <w:t xml:space="preserve"> reakcijos pavojų, į veną vaistinis preparatas turi būti leidžiamas labai lėtai.</w:t>
      </w:r>
    </w:p>
    <w:p w14:paraId="759577B4" w14:textId="77777777" w:rsidR="00A052FA" w:rsidRPr="00F64F0D" w:rsidRDefault="00A052FA" w:rsidP="00F64F0D">
      <w:pPr>
        <w:rPr>
          <w:sz w:val="22"/>
          <w:szCs w:val="22"/>
        </w:rPr>
      </w:pPr>
    </w:p>
    <w:p w14:paraId="021E375F" w14:textId="77777777" w:rsidR="00A052FA" w:rsidRPr="00F64F0D" w:rsidRDefault="00A052FA" w:rsidP="00F64F0D">
      <w:pPr>
        <w:rPr>
          <w:sz w:val="22"/>
          <w:szCs w:val="22"/>
        </w:rPr>
      </w:pPr>
      <w:r w:rsidRPr="00F64F0D">
        <w:rPr>
          <w:sz w:val="22"/>
          <w:szCs w:val="22"/>
        </w:rPr>
        <w:t>Toliau pateiktoje lentelėje nurodytas rekomenduojamas vienkartinės dozės dydis ir rekomenduojama didžiausia paros dozė pagal svorį arba amžių.</w:t>
      </w:r>
    </w:p>
    <w:p w14:paraId="5C3ED81B" w14:textId="77777777" w:rsidR="00A052FA" w:rsidRPr="00F64F0D" w:rsidRDefault="00A052FA" w:rsidP="00F64F0D">
      <w:pPr>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4"/>
        <w:gridCol w:w="1408"/>
        <w:gridCol w:w="1380"/>
        <w:gridCol w:w="1397"/>
        <w:gridCol w:w="1380"/>
        <w:gridCol w:w="1401"/>
      </w:tblGrid>
      <w:tr w:rsidR="00A052FA" w:rsidRPr="00F64F0D" w14:paraId="0E7AEDC6" w14:textId="77777777" w:rsidTr="00240DB9">
        <w:tc>
          <w:tcPr>
            <w:tcW w:w="2782" w:type="dxa"/>
            <w:gridSpan w:val="2"/>
            <w:vAlign w:val="center"/>
          </w:tcPr>
          <w:p w14:paraId="71F55E2C" w14:textId="77777777" w:rsidR="00A052FA" w:rsidRPr="00F64F0D" w:rsidRDefault="00A052FA" w:rsidP="00240DB9">
            <w:pPr>
              <w:rPr>
                <w:rFonts w:eastAsia="Verdana"/>
                <w:sz w:val="22"/>
                <w:szCs w:val="22"/>
                <w:lang w:eastAsia="en-GB"/>
              </w:rPr>
            </w:pPr>
            <w:r w:rsidRPr="00F64F0D">
              <w:rPr>
                <w:rFonts w:eastAsia="Verdana"/>
                <w:sz w:val="22"/>
                <w:szCs w:val="22"/>
                <w:lang w:eastAsia="en-GB"/>
              </w:rPr>
              <w:t>Kūno svoris</w:t>
            </w:r>
          </w:p>
        </w:tc>
        <w:tc>
          <w:tcPr>
            <w:tcW w:w="2777" w:type="dxa"/>
            <w:gridSpan w:val="2"/>
            <w:vAlign w:val="center"/>
          </w:tcPr>
          <w:p w14:paraId="6D2AB112" w14:textId="77777777" w:rsidR="00A052FA" w:rsidRPr="00F64F0D" w:rsidRDefault="00A052FA" w:rsidP="00240DB9">
            <w:pPr>
              <w:rPr>
                <w:rFonts w:eastAsia="Verdana"/>
                <w:sz w:val="22"/>
                <w:szCs w:val="22"/>
                <w:lang w:eastAsia="en-GB"/>
              </w:rPr>
            </w:pPr>
            <w:r w:rsidRPr="00F64F0D">
              <w:rPr>
                <w:rFonts w:eastAsia="Verdana"/>
                <w:sz w:val="22"/>
                <w:szCs w:val="22"/>
                <w:lang w:eastAsia="en-GB"/>
              </w:rPr>
              <w:t>Vienkartinė dozė</w:t>
            </w:r>
          </w:p>
        </w:tc>
        <w:tc>
          <w:tcPr>
            <w:tcW w:w="2781" w:type="dxa"/>
            <w:gridSpan w:val="2"/>
            <w:vAlign w:val="center"/>
          </w:tcPr>
          <w:p w14:paraId="19D7FFBE" w14:textId="77777777" w:rsidR="00A052FA" w:rsidRPr="00F64F0D" w:rsidRDefault="00A052FA" w:rsidP="00240DB9">
            <w:pPr>
              <w:rPr>
                <w:rFonts w:eastAsia="Verdana"/>
                <w:sz w:val="22"/>
                <w:szCs w:val="22"/>
                <w:lang w:eastAsia="en-GB"/>
              </w:rPr>
            </w:pPr>
            <w:r w:rsidRPr="00F64F0D">
              <w:rPr>
                <w:rFonts w:eastAsia="Verdana"/>
                <w:sz w:val="22"/>
                <w:szCs w:val="22"/>
                <w:lang w:eastAsia="en-GB"/>
              </w:rPr>
              <w:t>Didžiausia paros dozė</w:t>
            </w:r>
          </w:p>
        </w:tc>
      </w:tr>
      <w:tr w:rsidR="00A052FA" w:rsidRPr="00F64F0D" w14:paraId="24C8AED8" w14:textId="77777777" w:rsidTr="00240DB9">
        <w:tc>
          <w:tcPr>
            <w:tcW w:w="1374" w:type="dxa"/>
            <w:vAlign w:val="center"/>
          </w:tcPr>
          <w:p w14:paraId="1D007EED" w14:textId="77777777" w:rsidR="00A052FA" w:rsidRPr="00F64F0D" w:rsidRDefault="00A052FA" w:rsidP="00240DB9">
            <w:pPr>
              <w:rPr>
                <w:rFonts w:eastAsia="Verdana"/>
                <w:sz w:val="22"/>
                <w:szCs w:val="22"/>
                <w:lang w:eastAsia="en-GB"/>
              </w:rPr>
            </w:pPr>
            <w:r w:rsidRPr="00F64F0D">
              <w:rPr>
                <w:rFonts w:eastAsia="Verdana"/>
                <w:sz w:val="22"/>
                <w:szCs w:val="22"/>
                <w:lang w:eastAsia="en-GB"/>
              </w:rPr>
              <w:lastRenderedPageBreak/>
              <w:t>kg</w:t>
            </w:r>
          </w:p>
        </w:tc>
        <w:tc>
          <w:tcPr>
            <w:tcW w:w="1408" w:type="dxa"/>
            <w:vAlign w:val="center"/>
          </w:tcPr>
          <w:p w14:paraId="37121434" w14:textId="77777777" w:rsidR="00A052FA" w:rsidRPr="00F64F0D" w:rsidRDefault="00A052FA" w:rsidP="00240DB9">
            <w:pPr>
              <w:rPr>
                <w:rFonts w:eastAsia="Verdana"/>
                <w:sz w:val="22"/>
                <w:szCs w:val="22"/>
                <w:lang w:eastAsia="en-GB"/>
              </w:rPr>
            </w:pPr>
            <w:r w:rsidRPr="00F64F0D">
              <w:rPr>
                <w:rFonts w:eastAsia="Verdana"/>
                <w:sz w:val="22"/>
                <w:szCs w:val="22"/>
                <w:lang w:eastAsia="en-GB"/>
              </w:rPr>
              <w:t>amžius</w:t>
            </w:r>
          </w:p>
        </w:tc>
        <w:tc>
          <w:tcPr>
            <w:tcW w:w="1380" w:type="dxa"/>
            <w:vAlign w:val="center"/>
          </w:tcPr>
          <w:p w14:paraId="4B9DDB04" w14:textId="77777777" w:rsidR="00A052FA" w:rsidRPr="00F64F0D" w:rsidRDefault="00A052FA" w:rsidP="00240DB9">
            <w:pPr>
              <w:rPr>
                <w:rFonts w:eastAsia="Verdana"/>
                <w:sz w:val="22"/>
                <w:szCs w:val="22"/>
                <w:lang w:eastAsia="en-GB"/>
              </w:rPr>
            </w:pPr>
            <w:r w:rsidRPr="00F64F0D">
              <w:rPr>
                <w:rFonts w:eastAsia="Verdana"/>
                <w:sz w:val="22"/>
                <w:szCs w:val="22"/>
                <w:lang w:eastAsia="en-GB"/>
              </w:rPr>
              <w:t>ml</w:t>
            </w:r>
          </w:p>
        </w:tc>
        <w:tc>
          <w:tcPr>
            <w:tcW w:w="1397" w:type="dxa"/>
            <w:vAlign w:val="center"/>
          </w:tcPr>
          <w:p w14:paraId="01E81747" w14:textId="77777777" w:rsidR="00A052FA" w:rsidRPr="00F64F0D" w:rsidRDefault="00A052FA" w:rsidP="00240DB9">
            <w:pPr>
              <w:rPr>
                <w:rFonts w:eastAsia="Verdana"/>
                <w:sz w:val="22"/>
                <w:szCs w:val="22"/>
                <w:lang w:eastAsia="en-GB"/>
              </w:rPr>
            </w:pPr>
            <w:r w:rsidRPr="00F64F0D">
              <w:rPr>
                <w:rFonts w:eastAsia="Verdana"/>
                <w:sz w:val="22"/>
                <w:szCs w:val="22"/>
                <w:lang w:eastAsia="en-GB"/>
              </w:rPr>
              <w:t>mg</w:t>
            </w:r>
          </w:p>
        </w:tc>
        <w:tc>
          <w:tcPr>
            <w:tcW w:w="1380" w:type="dxa"/>
            <w:vAlign w:val="center"/>
          </w:tcPr>
          <w:p w14:paraId="3FD1A4B5" w14:textId="77777777" w:rsidR="00A052FA" w:rsidRPr="00F64F0D" w:rsidRDefault="00A052FA" w:rsidP="00240DB9">
            <w:pPr>
              <w:rPr>
                <w:rFonts w:eastAsia="Verdana"/>
                <w:sz w:val="22"/>
                <w:szCs w:val="22"/>
                <w:lang w:eastAsia="en-GB"/>
              </w:rPr>
            </w:pPr>
            <w:r w:rsidRPr="00F64F0D">
              <w:rPr>
                <w:rFonts w:eastAsia="Verdana"/>
                <w:sz w:val="22"/>
                <w:szCs w:val="22"/>
                <w:lang w:eastAsia="en-GB"/>
              </w:rPr>
              <w:t>ml</w:t>
            </w:r>
          </w:p>
        </w:tc>
        <w:tc>
          <w:tcPr>
            <w:tcW w:w="1401" w:type="dxa"/>
            <w:vAlign w:val="center"/>
          </w:tcPr>
          <w:p w14:paraId="68A88A25" w14:textId="77777777" w:rsidR="00A052FA" w:rsidRPr="00F64F0D" w:rsidRDefault="00A052FA" w:rsidP="00240DB9">
            <w:pPr>
              <w:rPr>
                <w:rFonts w:eastAsia="Verdana"/>
                <w:sz w:val="22"/>
                <w:szCs w:val="22"/>
                <w:lang w:eastAsia="en-GB"/>
              </w:rPr>
            </w:pPr>
            <w:r w:rsidRPr="00F64F0D">
              <w:rPr>
                <w:rFonts w:eastAsia="Verdana"/>
                <w:sz w:val="22"/>
                <w:szCs w:val="22"/>
                <w:lang w:eastAsia="en-GB"/>
              </w:rPr>
              <w:t>mg</w:t>
            </w:r>
          </w:p>
        </w:tc>
      </w:tr>
      <w:tr w:rsidR="00A052FA" w:rsidRPr="00F64F0D" w14:paraId="3C7725B6" w14:textId="77777777" w:rsidTr="00240DB9">
        <w:tc>
          <w:tcPr>
            <w:tcW w:w="1374" w:type="dxa"/>
            <w:vAlign w:val="center"/>
          </w:tcPr>
          <w:p w14:paraId="41E8628B" w14:textId="77777777" w:rsidR="00A052FA" w:rsidRPr="00F64F0D" w:rsidRDefault="00A052FA" w:rsidP="00240DB9">
            <w:pPr>
              <w:rPr>
                <w:rFonts w:eastAsia="Verdana"/>
                <w:sz w:val="22"/>
                <w:szCs w:val="22"/>
                <w:lang w:eastAsia="en-GB"/>
              </w:rPr>
            </w:pPr>
            <w:r w:rsidRPr="00F64F0D">
              <w:rPr>
                <w:rFonts w:eastAsia="Verdana"/>
                <w:sz w:val="22"/>
                <w:szCs w:val="22"/>
                <w:lang w:eastAsia="en-GB"/>
              </w:rPr>
              <w:t>5-8</w:t>
            </w:r>
          </w:p>
        </w:tc>
        <w:tc>
          <w:tcPr>
            <w:tcW w:w="1408" w:type="dxa"/>
            <w:vAlign w:val="center"/>
          </w:tcPr>
          <w:p w14:paraId="0B1952AE" w14:textId="77777777" w:rsidR="00A052FA" w:rsidRPr="00F64F0D" w:rsidRDefault="00A052FA" w:rsidP="00240DB9">
            <w:pPr>
              <w:rPr>
                <w:rFonts w:eastAsia="Verdana"/>
                <w:sz w:val="22"/>
                <w:szCs w:val="22"/>
                <w:lang w:eastAsia="en-GB"/>
              </w:rPr>
            </w:pPr>
            <w:r w:rsidRPr="00F64F0D">
              <w:rPr>
                <w:rFonts w:eastAsia="Verdana"/>
                <w:sz w:val="22"/>
                <w:szCs w:val="22"/>
                <w:lang w:eastAsia="en-GB"/>
              </w:rPr>
              <w:t>3-11 mėn.</w:t>
            </w:r>
          </w:p>
        </w:tc>
        <w:tc>
          <w:tcPr>
            <w:tcW w:w="1380" w:type="dxa"/>
            <w:vAlign w:val="center"/>
          </w:tcPr>
          <w:p w14:paraId="65858B11" w14:textId="77777777" w:rsidR="00A052FA" w:rsidRPr="00F64F0D" w:rsidRDefault="00A052FA" w:rsidP="00240DB9">
            <w:pPr>
              <w:rPr>
                <w:rFonts w:eastAsia="Verdana"/>
                <w:sz w:val="22"/>
                <w:szCs w:val="22"/>
                <w:lang w:eastAsia="en-GB"/>
              </w:rPr>
            </w:pPr>
            <w:r w:rsidRPr="00F64F0D">
              <w:rPr>
                <w:rFonts w:eastAsia="Verdana"/>
                <w:sz w:val="22"/>
                <w:szCs w:val="22"/>
                <w:lang w:eastAsia="en-GB"/>
              </w:rPr>
              <w:t>0,1-0,2</w:t>
            </w:r>
          </w:p>
        </w:tc>
        <w:tc>
          <w:tcPr>
            <w:tcW w:w="1397" w:type="dxa"/>
            <w:vAlign w:val="center"/>
          </w:tcPr>
          <w:p w14:paraId="4F34EB4F" w14:textId="77777777" w:rsidR="00A052FA" w:rsidRPr="00F64F0D" w:rsidRDefault="00A052FA" w:rsidP="00240DB9">
            <w:pPr>
              <w:rPr>
                <w:rFonts w:eastAsia="Verdana"/>
                <w:sz w:val="22"/>
                <w:szCs w:val="22"/>
                <w:lang w:eastAsia="en-GB"/>
              </w:rPr>
            </w:pPr>
            <w:r w:rsidRPr="00F64F0D">
              <w:rPr>
                <w:rFonts w:eastAsia="Verdana"/>
                <w:sz w:val="22"/>
                <w:szCs w:val="22"/>
                <w:lang w:eastAsia="en-GB"/>
              </w:rPr>
              <w:t>50-100</w:t>
            </w:r>
          </w:p>
        </w:tc>
        <w:tc>
          <w:tcPr>
            <w:tcW w:w="1380" w:type="dxa"/>
            <w:vAlign w:val="center"/>
          </w:tcPr>
          <w:p w14:paraId="3C341143" w14:textId="77777777" w:rsidR="00A052FA" w:rsidRPr="00F64F0D" w:rsidRDefault="00A052FA" w:rsidP="00240DB9">
            <w:pPr>
              <w:rPr>
                <w:rFonts w:eastAsia="Verdana"/>
                <w:sz w:val="22"/>
                <w:szCs w:val="22"/>
                <w:lang w:eastAsia="en-GB"/>
              </w:rPr>
            </w:pPr>
            <w:r w:rsidRPr="00F64F0D">
              <w:rPr>
                <w:rFonts w:eastAsia="Verdana"/>
                <w:sz w:val="22"/>
                <w:szCs w:val="22"/>
                <w:lang w:eastAsia="en-GB"/>
              </w:rPr>
              <w:t>0,4-0,8</w:t>
            </w:r>
          </w:p>
        </w:tc>
        <w:tc>
          <w:tcPr>
            <w:tcW w:w="1401" w:type="dxa"/>
            <w:vAlign w:val="center"/>
          </w:tcPr>
          <w:p w14:paraId="34870FD5" w14:textId="77777777" w:rsidR="00A052FA" w:rsidRPr="00F64F0D" w:rsidRDefault="00A052FA" w:rsidP="00240DB9">
            <w:pPr>
              <w:rPr>
                <w:rFonts w:eastAsia="Verdana"/>
                <w:sz w:val="22"/>
                <w:szCs w:val="22"/>
                <w:lang w:eastAsia="en-GB"/>
              </w:rPr>
            </w:pPr>
            <w:r w:rsidRPr="00F64F0D">
              <w:rPr>
                <w:rFonts w:eastAsia="Verdana"/>
                <w:sz w:val="22"/>
                <w:szCs w:val="22"/>
                <w:lang w:eastAsia="en-GB"/>
              </w:rPr>
              <w:t>200-400</w:t>
            </w:r>
          </w:p>
        </w:tc>
      </w:tr>
      <w:tr w:rsidR="00A052FA" w:rsidRPr="00F64F0D" w14:paraId="3386D408" w14:textId="77777777" w:rsidTr="00240DB9">
        <w:tc>
          <w:tcPr>
            <w:tcW w:w="1374" w:type="dxa"/>
            <w:vAlign w:val="center"/>
          </w:tcPr>
          <w:p w14:paraId="41EE8DF6" w14:textId="77777777" w:rsidR="00A052FA" w:rsidRPr="00F64F0D" w:rsidRDefault="00A052FA" w:rsidP="00240DB9">
            <w:pPr>
              <w:rPr>
                <w:rFonts w:eastAsia="Verdana"/>
                <w:sz w:val="22"/>
                <w:szCs w:val="22"/>
                <w:lang w:eastAsia="en-GB"/>
              </w:rPr>
            </w:pPr>
            <w:r w:rsidRPr="00F64F0D">
              <w:rPr>
                <w:rFonts w:eastAsia="Verdana"/>
                <w:sz w:val="22"/>
                <w:szCs w:val="22"/>
                <w:lang w:eastAsia="en-GB"/>
              </w:rPr>
              <w:t>9-15</w:t>
            </w:r>
          </w:p>
        </w:tc>
        <w:tc>
          <w:tcPr>
            <w:tcW w:w="1408" w:type="dxa"/>
            <w:vAlign w:val="center"/>
          </w:tcPr>
          <w:p w14:paraId="77C8DDD8" w14:textId="77777777" w:rsidR="00A052FA" w:rsidRPr="00F64F0D" w:rsidRDefault="00A052FA" w:rsidP="00240DB9">
            <w:pPr>
              <w:rPr>
                <w:rFonts w:eastAsia="Verdana"/>
                <w:sz w:val="22"/>
                <w:szCs w:val="22"/>
                <w:lang w:eastAsia="en-GB"/>
              </w:rPr>
            </w:pPr>
            <w:r w:rsidRPr="00F64F0D">
              <w:rPr>
                <w:rFonts w:eastAsia="Verdana"/>
                <w:sz w:val="22"/>
                <w:szCs w:val="22"/>
                <w:lang w:eastAsia="en-GB"/>
              </w:rPr>
              <w:t>1-3 metų</w:t>
            </w:r>
          </w:p>
        </w:tc>
        <w:tc>
          <w:tcPr>
            <w:tcW w:w="1380" w:type="dxa"/>
            <w:vAlign w:val="center"/>
          </w:tcPr>
          <w:p w14:paraId="6FF3B29C" w14:textId="77777777" w:rsidR="00A052FA" w:rsidRPr="00F64F0D" w:rsidRDefault="00A052FA" w:rsidP="00240DB9">
            <w:pPr>
              <w:rPr>
                <w:rFonts w:eastAsia="Verdana"/>
                <w:sz w:val="22"/>
                <w:szCs w:val="22"/>
                <w:lang w:eastAsia="en-GB"/>
              </w:rPr>
            </w:pPr>
            <w:r w:rsidRPr="00F64F0D">
              <w:rPr>
                <w:rFonts w:eastAsia="Verdana"/>
                <w:sz w:val="22"/>
                <w:szCs w:val="22"/>
                <w:lang w:eastAsia="en-GB"/>
              </w:rPr>
              <w:t>0,2-0,5</w:t>
            </w:r>
          </w:p>
        </w:tc>
        <w:tc>
          <w:tcPr>
            <w:tcW w:w="1397" w:type="dxa"/>
            <w:vAlign w:val="center"/>
          </w:tcPr>
          <w:p w14:paraId="7317F059" w14:textId="77777777" w:rsidR="00A052FA" w:rsidRPr="00F64F0D" w:rsidRDefault="00A052FA" w:rsidP="00240DB9">
            <w:pPr>
              <w:rPr>
                <w:rFonts w:eastAsia="Verdana"/>
                <w:sz w:val="22"/>
                <w:szCs w:val="22"/>
                <w:lang w:eastAsia="en-GB"/>
              </w:rPr>
            </w:pPr>
            <w:r w:rsidRPr="00F64F0D">
              <w:rPr>
                <w:rFonts w:eastAsia="Verdana"/>
                <w:sz w:val="22"/>
                <w:szCs w:val="22"/>
                <w:lang w:eastAsia="en-GB"/>
              </w:rPr>
              <w:t>100-250</w:t>
            </w:r>
          </w:p>
        </w:tc>
        <w:tc>
          <w:tcPr>
            <w:tcW w:w="1380" w:type="dxa"/>
            <w:vAlign w:val="center"/>
          </w:tcPr>
          <w:p w14:paraId="786C72E6" w14:textId="77777777" w:rsidR="00A052FA" w:rsidRPr="00F64F0D" w:rsidRDefault="00A052FA" w:rsidP="00240DB9">
            <w:pPr>
              <w:rPr>
                <w:rFonts w:eastAsia="Verdana"/>
                <w:sz w:val="22"/>
                <w:szCs w:val="22"/>
                <w:lang w:eastAsia="en-GB"/>
              </w:rPr>
            </w:pPr>
            <w:r w:rsidRPr="00F64F0D">
              <w:rPr>
                <w:rFonts w:eastAsia="Verdana"/>
                <w:sz w:val="22"/>
                <w:szCs w:val="22"/>
                <w:lang w:eastAsia="en-GB"/>
              </w:rPr>
              <w:t>0,8-2,0</w:t>
            </w:r>
          </w:p>
        </w:tc>
        <w:tc>
          <w:tcPr>
            <w:tcW w:w="1401" w:type="dxa"/>
            <w:vAlign w:val="center"/>
          </w:tcPr>
          <w:p w14:paraId="7380E966" w14:textId="77777777" w:rsidR="00A052FA" w:rsidRPr="00F64F0D" w:rsidRDefault="00A052FA" w:rsidP="00240DB9">
            <w:pPr>
              <w:rPr>
                <w:rFonts w:eastAsia="Verdana"/>
                <w:sz w:val="22"/>
                <w:szCs w:val="22"/>
                <w:lang w:eastAsia="en-GB"/>
              </w:rPr>
            </w:pPr>
            <w:r w:rsidRPr="00F64F0D">
              <w:rPr>
                <w:rFonts w:eastAsia="Verdana"/>
                <w:sz w:val="22"/>
                <w:szCs w:val="22"/>
                <w:lang w:eastAsia="en-GB"/>
              </w:rPr>
              <w:t>400-1 000</w:t>
            </w:r>
          </w:p>
        </w:tc>
      </w:tr>
      <w:tr w:rsidR="00A052FA" w:rsidRPr="00F64F0D" w14:paraId="462E6BE3" w14:textId="77777777" w:rsidTr="00240DB9">
        <w:tc>
          <w:tcPr>
            <w:tcW w:w="1374" w:type="dxa"/>
            <w:vAlign w:val="center"/>
          </w:tcPr>
          <w:p w14:paraId="568118FD" w14:textId="77777777" w:rsidR="00A052FA" w:rsidRPr="00F64F0D" w:rsidRDefault="00A052FA" w:rsidP="00240DB9">
            <w:pPr>
              <w:rPr>
                <w:rFonts w:eastAsia="Verdana"/>
                <w:sz w:val="22"/>
                <w:szCs w:val="22"/>
                <w:lang w:eastAsia="en-GB"/>
              </w:rPr>
            </w:pPr>
            <w:r w:rsidRPr="00F64F0D">
              <w:rPr>
                <w:rFonts w:eastAsia="Verdana"/>
                <w:sz w:val="22"/>
                <w:szCs w:val="22"/>
                <w:lang w:eastAsia="en-GB"/>
              </w:rPr>
              <w:t>16-23</w:t>
            </w:r>
          </w:p>
        </w:tc>
        <w:tc>
          <w:tcPr>
            <w:tcW w:w="1408" w:type="dxa"/>
            <w:vAlign w:val="center"/>
          </w:tcPr>
          <w:p w14:paraId="31A872D5" w14:textId="77777777" w:rsidR="00A052FA" w:rsidRPr="00F64F0D" w:rsidRDefault="00A052FA" w:rsidP="00240DB9">
            <w:pPr>
              <w:rPr>
                <w:rFonts w:eastAsia="Verdana"/>
                <w:sz w:val="22"/>
                <w:szCs w:val="22"/>
                <w:lang w:eastAsia="en-GB"/>
              </w:rPr>
            </w:pPr>
            <w:r w:rsidRPr="00F64F0D">
              <w:rPr>
                <w:rFonts w:eastAsia="Verdana"/>
                <w:sz w:val="22"/>
                <w:szCs w:val="22"/>
                <w:lang w:eastAsia="en-GB"/>
              </w:rPr>
              <w:t>4-6 metai</w:t>
            </w:r>
          </w:p>
        </w:tc>
        <w:tc>
          <w:tcPr>
            <w:tcW w:w="1380" w:type="dxa"/>
            <w:vAlign w:val="center"/>
          </w:tcPr>
          <w:p w14:paraId="264A35D0" w14:textId="77777777" w:rsidR="00A052FA" w:rsidRPr="00F64F0D" w:rsidRDefault="00A052FA" w:rsidP="00240DB9">
            <w:pPr>
              <w:rPr>
                <w:rFonts w:eastAsia="Verdana"/>
                <w:sz w:val="22"/>
                <w:szCs w:val="22"/>
                <w:lang w:eastAsia="en-GB"/>
              </w:rPr>
            </w:pPr>
            <w:r w:rsidRPr="00F64F0D">
              <w:rPr>
                <w:rFonts w:eastAsia="Verdana"/>
                <w:sz w:val="22"/>
                <w:szCs w:val="22"/>
                <w:lang w:eastAsia="en-GB"/>
              </w:rPr>
              <w:t>0,3-0,8</w:t>
            </w:r>
          </w:p>
        </w:tc>
        <w:tc>
          <w:tcPr>
            <w:tcW w:w="1397" w:type="dxa"/>
            <w:vAlign w:val="center"/>
          </w:tcPr>
          <w:p w14:paraId="07FF3DA3" w14:textId="77777777" w:rsidR="00A052FA" w:rsidRPr="00F64F0D" w:rsidRDefault="00A052FA" w:rsidP="00240DB9">
            <w:pPr>
              <w:rPr>
                <w:rFonts w:eastAsia="Verdana"/>
                <w:sz w:val="22"/>
                <w:szCs w:val="22"/>
                <w:lang w:eastAsia="en-GB"/>
              </w:rPr>
            </w:pPr>
            <w:r w:rsidRPr="00F64F0D">
              <w:rPr>
                <w:rFonts w:eastAsia="Verdana"/>
                <w:sz w:val="22"/>
                <w:szCs w:val="22"/>
                <w:lang w:eastAsia="en-GB"/>
              </w:rPr>
              <w:t>150-400</w:t>
            </w:r>
          </w:p>
        </w:tc>
        <w:tc>
          <w:tcPr>
            <w:tcW w:w="1380" w:type="dxa"/>
            <w:vAlign w:val="center"/>
          </w:tcPr>
          <w:p w14:paraId="65EC5E38" w14:textId="77777777" w:rsidR="00A052FA" w:rsidRPr="00F64F0D" w:rsidRDefault="00A052FA" w:rsidP="00240DB9">
            <w:pPr>
              <w:rPr>
                <w:rFonts w:eastAsia="Verdana"/>
                <w:sz w:val="22"/>
                <w:szCs w:val="22"/>
                <w:lang w:eastAsia="en-GB"/>
              </w:rPr>
            </w:pPr>
            <w:r w:rsidRPr="00F64F0D">
              <w:rPr>
                <w:rFonts w:eastAsia="Verdana"/>
                <w:sz w:val="22"/>
                <w:szCs w:val="22"/>
                <w:lang w:eastAsia="en-GB"/>
              </w:rPr>
              <w:t>1,2-3,2</w:t>
            </w:r>
          </w:p>
        </w:tc>
        <w:tc>
          <w:tcPr>
            <w:tcW w:w="1401" w:type="dxa"/>
            <w:vAlign w:val="center"/>
          </w:tcPr>
          <w:p w14:paraId="37E7798A" w14:textId="77777777" w:rsidR="00A052FA" w:rsidRPr="00F64F0D" w:rsidRDefault="00A052FA" w:rsidP="00240DB9">
            <w:pPr>
              <w:rPr>
                <w:rFonts w:eastAsia="Verdana"/>
                <w:sz w:val="22"/>
                <w:szCs w:val="22"/>
                <w:lang w:eastAsia="en-GB"/>
              </w:rPr>
            </w:pPr>
            <w:r w:rsidRPr="00F64F0D">
              <w:rPr>
                <w:rFonts w:eastAsia="Verdana"/>
                <w:sz w:val="22"/>
                <w:szCs w:val="22"/>
                <w:lang w:eastAsia="en-GB"/>
              </w:rPr>
              <w:t>600-1 600</w:t>
            </w:r>
          </w:p>
        </w:tc>
      </w:tr>
      <w:tr w:rsidR="00A052FA" w:rsidRPr="00F64F0D" w14:paraId="7E7C19BB" w14:textId="77777777" w:rsidTr="00240DB9">
        <w:tc>
          <w:tcPr>
            <w:tcW w:w="1374" w:type="dxa"/>
            <w:vAlign w:val="center"/>
          </w:tcPr>
          <w:p w14:paraId="7DEDCB9D" w14:textId="77777777" w:rsidR="00A052FA" w:rsidRPr="00F64F0D" w:rsidRDefault="00A052FA" w:rsidP="00240DB9">
            <w:pPr>
              <w:rPr>
                <w:rFonts w:eastAsia="Verdana"/>
                <w:sz w:val="22"/>
                <w:szCs w:val="22"/>
                <w:lang w:eastAsia="en-GB"/>
              </w:rPr>
            </w:pPr>
            <w:r w:rsidRPr="00F64F0D">
              <w:rPr>
                <w:rFonts w:eastAsia="Verdana"/>
                <w:sz w:val="22"/>
                <w:szCs w:val="22"/>
                <w:lang w:eastAsia="en-GB"/>
              </w:rPr>
              <w:t>24-30</w:t>
            </w:r>
          </w:p>
        </w:tc>
        <w:tc>
          <w:tcPr>
            <w:tcW w:w="1408" w:type="dxa"/>
            <w:vAlign w:val="center"/>
          </w:tcPr>
          <w:p w14:paraId="26A9324F" w14:textId="77777777" w:rsidR="00A052FA" w:rsidRPr="00F64F0D" w:rsidRDefault="00A052FA" w:rsidP="00240DB9">
            <w:pPr>
              <w:rPr>
                <w:rFonts w:eastAsia="Verdana"/>
                <w:sz w:val="22"/>
                <w:szCs w:val="22"/>
                <w:lang w:eastAsia="en-GB"/>
              </w:rPr>
            </w:pPr>
            <w:r w:rsidRPr="00F64F0D">
              <w:rPr>
                <w:rFonts w:eastAsia="Verdana"/>
                <w:sz w:val="22"/>
                <w:szCs w:val="22"/>
                <w:lang w:eastAsia="en-GB"/>
              </w:rPr>
              <w:t>7-9 metai</w:t>
            </w:r>
          </w:p>
        </w:tc>
        <w:tc>
          <w:tcPr>
            <w:tcW w:w="1380" w:type="dxa"/>
            <w:vAlign w:val="center"/>
          </w:tcPr>
          <w:p w14:paraId="43FBC64F" w14:textId="77777777" w:rsidR="00A052FA" w:rsidRPr="00F64F0D" w:rsidRDefault="00A052FA" w:rsidP="00240DB9">
            <w:pPr>
              <w:rPr>
                <w:rFonts w:eastAsia="Verdana"/>
                <w:sz w:val="22"/>
                <w:szCs w:val="22"/>
                <w:lang w:eastAsia="en-GB"/>
              </w:rPr>
            </w:pPr>
            <w:r w:rsidRPr="00F64F0D">
              <w:rPr>
                <w:rFonts w:eastAsia="Verdana"/>
                <w:sz w:val="22"/>
                <w:szCs w:val="22"/>
                <w:lang w:eastAsia="en-GB"/>
              </w:rPr>
              <w:t>0,4-1,0</w:t>
            </w:r>
          </w:p>
        </w:tc>
        <w:tc>
          <w:tcPr>
            <w:tcW w:w="1397" w:type="dxa"/>
            <w:vAlign w:val="center"/>
          </w:tcPr>
          <w:p w14:paraId="2CF394B9" w14:textId="77777777" w:rsidR="00A052FA" w:rsidRPr="00F64F0D" w:rsidRDefault="00A052FA" w:rsidP="00240DB9">
            <w:pPr>
              <w:rPr>
                <w:rFonts w:eastAsia="Verdana"/>
                <w:sz w:val="22"/>
                <w:szCs w:val="22"/>
                <w:lang w:eastAsia="en-GB"/>
              </w:rPr>
            </w:pPr>
            <w:r w:rsidRPr="00F64F0D">
              <w:rPr>
                <w:rFonts w:eastAsia="Verdana"/>
                <w:sz w:val="22"/>
                <w:szCs w:val="22"/>
                <w:lang w:eastAsia="en-GB"/>
              </w:rPr>
              <w:t>200-500</w:t>
            </w:r>
          </w:p>
        </w:tc>
        <w:tc>
          <w:tcPr>
            <w:tcW w:w="1380" w:type="dxa"/>
            <w:vAlign w:val="center"/>
          </w:tcPr>
          <w:p w14:paraId="179D56C0" w14:textId="77777777" w:rsidR="00A052FA" w:rsidRPr="00F64F0D" w:rsidRDefault="00A052FA" w:rsidP="00240DB9">
            <w:pPr>
              <w:rPr>
                <w:rFonts w:eastAsia="Verdana"/>
                <w:sz w:val="22"/>
                <w:szCs w:val="22"/>
                <w:lang w:eastAsia="en-GB"/>
              </w:rPr>
            </w:pPr>
            <w:r w:rsidRPr="00F64F0D">
              <w:rPr>
                <w:rFonts w:eastAsia="Verdana"/>
                <w:sz w:val="22"/>
                <w:szCs w:val="22"/>
                <w:lang w:eastAsia="en-GB"/>
              </w:rPr>
              <w:t>1,6-4,0</w:t>
            </w:r>
          </w:p>
        </w:tc>
        <w:tc>
          <w:tcPr>
            <w:tcW w:w="1401" w:type="dxa"/>
            <w:vAlign w:val="center"/>
          </w:tcPr>
          <w:p w14:paraId="0A15B98D" w14:textId="77777777" w:rsidR="00A052FA" w:rsidRPr="00F64F0D" w:rsidRDefault="00A052FA" w:rsidP="00240DB9">
            <w:pPr>
              <w:rPr>
                <w:rFonts w:eastAsia="Verdana"/>
                <w:sz w:val="22"/>
                <w:szCs w:val="22"/>
                <w:lang w:eastAsia="en-GB"/>
              </w:rPr>
            </w:pPr>
            <w:r w:rsidRPr="00F64F0D">
              <w:rPr>
                <w:rFonts w:eastAsia="Verdana"/>
                <w:sz w:val="22"/>
                <w:szCs w:val="22"/>
                <w:lang w:eastAsia="en-GB"/>
              </w:rPr>
              <w:t>800-2 000</w:t>
            </w:r>
          </w:p>
        </w:tc>
      </w:tr>
      <w:tr w:rsidR="00A052FA" w:rsidRPr="00F64F0D" w14:paraId="4B569B01" w14:textId="77777777" w:rsidTr="00240DB9">
        <w:tc>
          <w:tcPr>
            <w:tcW w:w="1374" w:type="dxa"/>
            <w:vAlign w:val="center"/>
          </w:tcPr>
          <w:p w14:paraId="79F40E05" w14:textId="77777777" w:rsidR="00A052FA" w:rsidRPr="00F64F0D" w:rsidRDefault="00A052FA" w:rsidP="00240DB9">
            <w:pPr>
              <w:rPr>
                <w:rFonts w:eastAsia="Verdana"/>
                <w:sz w:val="22"/>
                <w:szCs w:val="22"/>
                <w:lang w:eastAsia="en-GB"/>
              </w:rPr>
            </w:pPr>
            <w:r w:rsidRPr="00F64F0D">
              <w:rPr>
                <w:rFonts w:eastAsia="Verdana"/>
                <w:sz w:val="22"/>
                <w:szCs w:val="22"/>
                <w:lang w:eastAsia="en-GB"/>
              </w:rPr>
              <w:t>31-45</w:t>
            </w:r>
          </w:p>
        </w:tc>
        <w:tc>
          <w:tcPr>
            <w:tcW w:w="1408" w:type="dxa"/>
            <w:vAlign w:val="center"/>
          </w:tcPr>
          <w:p w14:paraId="22CAD605" w14:textId="77777777" w:rsidR="00A052FA" w:rsidRPr="00F64F0D" w:rsidRDefault="00A052FA" w:rsidP="00240DB9">
            <w:pPr>
              <w:rPr>
                <w:rFonts w:eastAsia="Verdana"/>
                <w:sz w:val="22"/>
                <w:szCs w:val="22"/>
                <w:lang w:eastAsia="en-GB"/>
              </w:rPr>
            </w:pPr>
            <w:r w:rsidRPr="00F64F0D">
              <w:rPr>
                <w:rFonts w:eastAsia="Verdana"/>
                <w:sz w:val="22"/>
                <w:szCs w:val="22"/>
                <w:lang w:eastAsia="en-GB"/>
              </w:rPr>
              <w:t>10-12 metų</w:t>
            </w:r>
          </w:p>
        </w:tc>
        <w:tc>
          <w:tcPr>
            <w:tcW w:w="1380" w:type="dxa"/>
            <w:vAlign w:val="center"/>
          </w:tcPr>
          <w:p w14:paraId="5A814F90" w14:textId="77777777" w:rsidR="00A052FA" w:rsidRPr="00F64F0D" w:rsidRDefault="00A052FA" w:rsidP="00240DB9">
            <w:pPr>
              <w:rPr>
                <w:rFonts w:eastAsia="Verdana"/>
                <w:sz w:val="22"/>
                <w:szCs w:val="22"/>
                <w:lang w:eastAsia="en-GB"/>
              </w:rPr>
            </w:pPr>
            <w:r w:rsidRPr="00F64F0D">
              <w:rPr>
                <w:rFonts w:eastAsia="Verdana"/>
                <w:sz w:val="22"/>
                <w:szCs w:val="22"/>
                <w:lang w:eastAsia="en-GB"/>
              </w:rPr>
              <w:t>0,5-1,4</w:t>
            </w:r>
          </w:p>
        </w:tc>
        <w:tc>
          <w:tcPr>
            <w:tcW w:w="1397" w:type="dxa"/>
            <w:vAlign w:val="center"/>
          </w:tcPr>
          <w:p w14:paraId="2DD627AC" w14:textId="77777777" w:rsidR="00A052FA" w:rsidRPr="00F64F0D" w:rsidRDefault="00A052FA" w:rsidP="00240DB9">
            <w:pPr>
              <w:rPr>
                <w:rFonts w:eastAsia="Verdana"/>
                <w:sz w:val="22"/>
                <w:szCs w:val="22"/>
                <w:lang w:eastAsia="en-GB"/>
              </w:rPr>
            </w:pPr>
            <w:r w:rsidRPr="00F64F0D">
              <w:rPr>
                <w:rFonts w:eastAsia="Verdana"/>
                <w:sz w:val="22"/>
                <w:szCs w:val="22"/>
                <w:lang w:eastAsia="en-GB"/>
              </w:rPr>
              <w:t>250-700</w:t>
            </w:r>
          </w:p>
        </w:tc>
        <w:tc>
          <w:tcPr>
            <w:tcW w:w="1380" w:type="dxa"/>
            <w:vAlign w:val="center"/>
          </w:tcPr>
          <w:p w14:paraId="0BBCBB98" w14:textId="77777777" w:rsidR="00A052FA" w:rsidRPr="00F64F0D" w:rsidRDefault="00A052FA" w:rsidP="00240DB9">
            <w:pPr>
              <w:rPr>
                <w:rFonts w:eastAsia="Verdana"/>
                <w:sz w:val="22"/>
                <w:szCs w:val="22"/>
                <w:lang w:eastAsia="en-GB"/>
              </w:rPr>
            </w:pPr>
            <w:r w:rsidRPr="00F64F0D">
              <w:rPr>
                <w:rFonts w:eastAsia="Verdana"/>
                <w:sz w:val="22"/>
                <w:szCs w:val="22"/>
                <w:lang w:eastAsia="en-GB"/>
              </w:rPr>
              <w:t>2,0-5,6</w:t>
            </w:r>
          </w:p>
        </w:tc>
        <w:tc>
          <w:tcPr>
            <w:tcW w:w="1401" w:type="dxa"/>
            <w:vAlign w:val="center"/>
          </w:tcPr>
          <w:p w14:paraId="62755BFB" w14:textId="77777777" w:rsidR="00A052FA" w:rsidRPr="00F64F0D" w:rsidRDefault="00A052FA" w:rsidP="00240DB9">
            <w:pPr>
              <w:rPr>
                <w:rFonts w:eastAsia="Verdana"/>
                <w:sz w:val="22"/>
                <w:szCs w:val="22"/>
                <w:lang w:eastAsia="en-GB"/>
              </w:rPr>
            </w:pPr>
            <w:r w:rsidRPr="00F64F0D">
              <w:rPr>
                <w:rFonts w:eastAsia="Verdana"/>
                <w:sz w:val="22"/>
                <w:szCs w:val="22"/>
                <w:lang w:eastAsia="en-GB"/>
              </w:rPr>
              <w:t>1 000-2 800</w:t>
            </w:r>
          </w:p>
        </w:tc>
      </w:tr>
      <w:tr w:rsidR="00A052FA" w:rsidRPr="00F64F0D" w14:paraId="4D8A2871" w14:textId="77777777" w:rsidTr="00240DB9">
        <w:tc>
          <w:tcPr>
            <w:tcW w:w="1374" w:type="dxa"/>
            <w:vAlign w:val="center"/>
          </w:tcPr>
          <w:p w14:paraId="548541A4" w14:textId="77777777" w:rsidR="00A052FA" w:rsidRPr="00F64F0D" w:rsidRDefault="00A052FA" w:rsidP="00240DB9">
            <w:pPr>
              <w:rPr>
                <w:rFonts w:eastAsia="Verdana"/>
                <w:sz w:val="22"/>
                <w:szCs w:val="22"/>
                <w:lang w:eastAsia="en-GB"/>
              </w:rPr>
            </w:pPr>
            <w:r w:rsidRPr="00F64F0D">
              <w:rPr>
                <w:rFonts w:eastAsia="Verdana"/>
                <w:sz w:val="22"/>
                <w:szCs w:val="22"/>
                <w:lang w:eastAsia="en-GB"/>
              </w:rPr>
              <w:t>46-53</w:t>
            </w:r>
          </w:p>
        </w:tc>
        <w:tc>
          <w:tcPr>
            <w:tcW w:w="1408" w:type="dxa"/>
            <w:vAlign w:val="center"/>
          </w:tcPr>
          <w:p w14:paraId="173406F9" w14:textId="77777777" w:rsidR="00A052FA" w:rsidRPr="00F64F0D" w:rsidRDefault="00A052FA" w:rsidP="00240DB9">
            <w:pPr>
              <w:rPr>
                <w:rFonts w:eastAsia="Verdana"/>
                <w:sz w:val="22"/>
                <w:szCs w:val="22"/>
                <w:lang w:eastAsia="en-GB"/>
              </w:rPr>
            </w:pPr>
            <w:r w:rsidRPr="00F64F0D">
              <w:rPr>
                <w:rFonts w:eastAsia="Verdana"/>
                <w:sz w:val="22"/>
                <w:szCs w:val="22"/>
                <w:lang w:eastAsia="en-GB"/>
              </w:rPr>
              <w:t>13-14 metų</w:t>
            </w:r>
          </w:p>
        </w:tc>
        <w:tc>
          <w:tcPr>
            <w:tcW w:w="1380" w:type="dxa"/>
            <w:vAlign w:val="center"/>
          </w:tcPr>
          <w:p w14:paraId="41FC427E" w14:textId="77777777" w:rsidR="00A052FA" w:rsidRPr="00F64F0D" w:rsidRDefault="00A052FA" w:rsidP="00240DB9">
            <w:pPr>
              <w:rPr>
                <w:rFonts w:eastAsia="Verdana"/>
                <w:sz w:val="22"/>
                <w:szCs w:val="22"/>
                <w:lang w:eastAsia="en-GB"/>
              </w:rPr>
            </w:pPr>
            <w:r w:rsidRPr="00F64F0D">
              <w:rPr>
                <w:rFonts w:eastAsia="Verdana"/>
                <w:sz w:val="22"/>
                <w:szCs w:val="22"/>
                <w:lang w:eastAsia="en-GB"/>
              </w:rPr>
              <w:t>0,8-1,8</w:t>
            </w:r>
          </w:p>
        </w:tc>
        <w:tc>
          <w:tcPr>
            <w:tcW w:w="1397" w:type="dxa"/>
            <w:vAlign w:val="center"/>
          </w:tcPr>
          <w:p w14:paraId="058FB2EB" w14:textId="77777777" w:rsidR="00A052FA" w:rsidRPr="00F64F0D" w:rsidRDefault="00A052FA" w:rsidP="00240DB9">
            <w:pPr>
              <w:rPr>
                <w:rFonts w:eastAsia="Verdana"/>
                <w:sz w:val="22"/>
                <w:szCs w:val="22"/>
                <w:lang w:eastAsia="en-GB"/>
              </w:rPr>
            </w:pPr>
            <w:r w:rsidRPr="00F64F0D">
              <w:rPr>
                <w:rFonts w:eastAsia="Verdana"/>
                <w:sz w:val="22"/>
                <w:szCs w:val="22"/>
                <w:lang w:eastAsia="en-GB"/>
              </w:rPr>
              <w:t>400-900</w:t>
            </w:r>
          </w:p>
        </w:tc>
        <w:tc>
          <w:tcPr>
            <w:tcW w:w="1380" w:type="dxa"/>
            <w:vAlign w:val="center"/>
          </w:tcPr>
          <w:p w14:paraId="74CF9E5C" w14:textId="77777777" w:rsidR="00A052FA" w:rsidRPr="00F64F0D" w:rsidRDefault="00A052FA" w:rsidP="00240DB9">
            <w:pPr>
              <w:rPr>
                <w:rFonts w:eastAsia="Verdana"/>
                <w:sz w:val="22"/>
                <w:szCs w:val="22"/>
                <w:lang w:eastAsia="en-GB"/>
              </w:rPr>
            </w:pPr>
            <w:r w:rsidRPr="00F64F0D">
              <w:rPr>
                <w:rFonts w:eastAsia="Verdana"/>
                <w:sz w:val="22"/>
                <w:szCs w:val="22"/>
                <w:lang w:eastAsia="en-GB"/>
              </w:rPr>
              <w:t>3,2-7,2</w:t>
            </w:r>
          </w:p>
        </w:tc>
        <w:tc>
          <w:tcPr>
            <w:tcW w:w="1401" w:type="dxa"/>
            <w:vAlign w:val="center"/>
          </w:tcPr>
          <w:p w14:paraId="5BFB2A14" w14:textId="77777777" w:rsidR="00A052FA" w:rsidRPr="00F64F0D" w:rsidRDefault="00A052FA" w:rsidP="00240DB9">
            <w:pPr>
              <w:rPr>
                <w:rFonts w:eastAsia="Verdana"/>
                <w:sz w:val="22"/>
                <w:szCs w:val="22"/>
                <w:lang w:eastAsia="en-GB"/>
              </w:rPr>
            </w:pPr>
            <w:r w:rsidRPr="00F64F0D">
              <w:rPr>
                <w:rFonts w:eastAsia="Verdana"/>
                <w:sz w:val="22"/>
                <w:szCs w:val="22"/>
                <w:lang w:eastAsia="en-GB"/>
              </w:rPr>
              <w:t>1 600-3 600</w:t>
            </w:r>
          </w:p>
        </w:tc>
      </w:tr>
      <w:tr w:rsidR="00A052FA" w:rsidRPr="00F64F0D" w14:paraId="6607F7EE" w14:textId="77777777" w:rsidTr="00240DB9">
        <w:tc>
          <w:tcPr>
            <w:tcW w:w="1374" w:type="dxa"/>
            <w:vAlign w:val="center"/>
          </w:tcPr>
          <w:p w14:paraId="483E5576" w14:textId="77777777" w:rsidR="00A052FA" w:rsidRPr="00F64F0D" w:rsidRDefault="00A052FA" w:rsidP="00240DB9">
            <w:pPr>
              <w:rPr>
                <w:rFonts w:eastAsia="Verdana"/>
                <w:sz w:val="22"/>
                <w:szCs w:val="22"/>
                <w:lang w:eastAsia="en-GB"/>
              </w:rPr>
            </w:pPr>
            <w:r w:rsidRPr="00F64F0D">
              <w:rPr>
                <w:rFonts w:eastAsia="Verdana"/>
                <w:sz w:val="22"/>
                <w:szCs w:val="22"/>
                <w:lang w:eastAsia="en-GB"/>
              </w:rPr>
              <w:t>&gt;53</w:t>
            </w:r>
          </w:p>
        </w:tc>
        <w:tc>
          <w:tcPr>
            <w:tcW w:w="1408" w:type="dxa"/>
            <w:vAlign w:val="center"/>
          </w:tcPr>
          <w:p w14:paraId="1A61649D" w14:textId="77777777" w:rsidR="00A052FA" w:rsidRPr="00F64F0D" w:rsidRDefault="00A052FA" w:rsidP="00240DB9">
            <w:pPr>
              <w:rPr>
                <w:rFonts w:eastAsia="Verdana"/>
                <w:sz w:val="22"/>
                <w:szCs w:val="22"/>
                <w:lang w:eastAsia="en-GB"/>
              </w:rPr>
            </w:pPr>
            <w:r w:rsidRPr="00F64F0D">
              <w:rPr>
                <w:sz w:val="22"/>
                <w:szCs w:val="22"/>
              </w:rPr>
              <w:sym w:font="Symbol" w:char="F0B3"/>
            </w:r>
            <w:r w:rsidRPr="00F64F0D">
              <w:rPr>
                <w:rFonts w:eastAsia="Verdana"/>
                <w:sz w:val="22"/>
                <w:szCs w:val="22"/>
                <w:lang w:eastAsia="en-GB"/>
              </w:rPr>
              <w:t xml:space="preserve"> 15 metų</w:t>
            </w:r>
          </w:p>
        </w:tc>
        <w:tc>
          <w:tcPr>
            <w:tcW w:w="1380" w:type="dxa"/>
            <w:vAlign w:val="center"/>
          </w:tcPr>
          <w:p w14:paraId="255D9F39" w14:textId="77777777" w:rsidR="00A052FA" w:rsidRPr="00F64F0D" w:rsidRDefault="00A052FA" w:rsidP="00240DB9">
            <w:pPr>
              <w:rPr>
                <w:rFonts w:eastAsia="Verdana"/>
                <w:sz w:val="22"/>
                <w:szCs w:val="22"/>
                <w:lang w:eastAsia="en-GB"/>
              </w:rPr>
            </w:pPr>
            <w:r w:rsidRPr="00F64F0D">
              <w:rPr>
                <w:rFonts w:eastAsia="Verdana"/>
                <w:sz w:val="22"/>
                <w:szCs w:val="22"/>
                <w:lang w:eastAsia="en-GB"/>
              </w:rPr>
              <w:t>1,0-2,0*</w:t>
            </w:r>
          </w:p>
        </w:tc>
        <w:tc>
          <w:tcPr>
            <w:tcW w:w="1397" w:type="dxa"/>
            <w:vAlign w:val="center"/>
          </w:tcPr>
          <w:p w14:paraId="13B20C6D" w14:textId="77777777" w:rsidR="00A052FA" w:rsidRPr="00F64F0D" w:rsidRDefault="00A052FA" w:rsidP="00240DB9">
            <w:pPr>
              <w:rPr>
                <w:rFonts w:eastAsia="Verdana"/>
                <w:sz w:val="22"/>
                <w:szCs w:val="22"/>
                <w:lang w:eastAsia="en-GB"/>
              </w:rPr>
            </w:pPr>
            <w:r w:rsidRPr="00F64F0D">
              <w:rPr>
                <w:rFonts w:eastAsia="Verdana"/>
                <w:sz w:val="22"/>
                <w:szCs w:val="22"/>
                <w:lang w:eastAsia="en-GB"/>
              </w:rPr>
              <w:t>500-1 000*</w:t>
            </w:r>
          </w:p>
        </w:tc>
        <w:tc>
          <w:tcPr>
            <w:tcW w:w="1380" w:type="dxa"/>
            <w:vAlign w:val="center"/>
          </w:tcPr>
          <w:p w14:paraId="30936659" w14:textId="77777777" w:rsidR="00A052FA" w:rsidRPr="00F64F0D" w:rsidRDefault="00A052FA" w:rsidP="00240DB9">
            <w:pPr>
              <w:rPr>
                <w:rFonts w:eastAsia="Verdana"/>
                <w:sz w:val="22"/>
                <w:szCs w:val="22"/>
                <w:lang w:eastAsia="en-GB"/>
              </w:rPr>
            </w:pPr>
            <w:r w:rsidRPr="00F64F0D">
              <w:rPr>
                <w:rFonts w:eastAsia="Verdana"/>
                <w:sz w:val="22"/>
                <w:szCs w:val="22"/>
                <w:lang w:eastAsia="en-GB"/>
              </w:rPr>
              <w:t>4,0-8,0*</w:t>
            </w:r>
          </w:p>
        </w:tc>
        <w:tc>
          <w:tcPr>
            <w:tcW w:w="1401" w:type="dxa"/>
            <w:vAlign w:val="center"/>
          </w:tcPr>
          <w:p w14:paraId="21CA3961" w14:textId="77777777" w:rsidR="00A052FA" w:rsidRPr="00F64F0D" w:rsidRDefault="00A052FA" w:rsidP="00240DB9">
            <w:pPr>
              <w:rPr>
                <w:rFonts w:eastAsia="Verdana"/>
                <w:sz w:val="22"/>
                <w:szCs w:val="22"/>
                <w:lang w:eastAsia="en-GB"/>
              </w:rPr>
            </w:pPr>
            <w:r w:rsidRPr="00F64F0D">
              <w:rPr>
                <w:rFonts w:eastAsia="Verdana"/>
                <w:sz w:val="22"/>
                <w:szCs w:val="22"/>
                <w:lang w:eastAsia="en-GB"/>
              </w:rPr>
              <w:t>2 000-4 000*</w:t>
            </w:r>
          </w:p>
        </w:tc>
      </w:tr>
    </w:tbl>
    <w:p w14:paraId="5ABF606B" w14:textId="77777777" w:rsidR="00A052FA" w:rsidRPr="00F64F0D" w:rsidRDefault="00A052FA" w:rsidP="00F64F0D">
      <w:pPr>
        <w:rPr>
          <w:sz w:val="22"/>
          <w:szCs w:val="22"/>
        </w:rPr>
      </w:pPr>
      <w:r w:rsidRPr="00F64F0D">
        <w:rPr>
          <w:sz w:val="22"/>
          <w:szCs w:val="22"/>
        </w:rPr>
        <w:t>* Esant būtinybei, vienkartinę dozę galima padidinti iki 5 ml (tai atitinka 2500 mg metamizolo), o paros dozę – iki 10 ml (tai atitinka 5000 mg metamizolo).</w:t>
      </w:r>
    </w:p>
    <w:p w14:paraId="7AE2C57B" w14:textId="77777777" w:rsidR="00A052FA" w:rsidRPr="0082224B" w:rsidRDefault="00A052FA" w:rsidP="00240DB9"/>
    <w:p w14:paraId="68BEED00" w14:textId="77777777" w:rsidR="00A052FA" w:rsidRPr="0082224B" w:rsidRDefault="00A052FA" w:rsidP="00240DB9">
      <w:pPr>
        <w:rPr>
          <w:u w:val="single"/>
        </w:rPr>
      </w:pPr>
      <w:r w:rsidRPr="00240DB9">
        <w:rPr>
          <w:sz w:val="22"/>
          <w:u w:val="single"/>
        </w:rPr>
        <w:t>Ypatingos populiacijos</w:t>
      </w:r>
    </w:p>
    <w:p w14:paraId="7F9719CC" w14:textId="77777777" w:rsidR="00A052FA" w:rsidRPr="0082224B" w:rsidRDefault="00A052FA" w:rsidP="00240DB9"/>
    <w:p w14:paraId="62C5B087" w14:textId="77777777" w:rsidR="00A052FA" w:rsidRPr="00240DB9" w:rsidRDefault="00A052FA" w:rsidP="00240DB9">
      <w:pPr>
        <w:rPr>
          <w:i/>
        </w:rPr>
      </w:pPr>
      <w:r w:rsidRPr="00240DB9">
        <w:rPr>
          <w:i/>
          <w:sz w:val="22"/>
        </w:rPr>
        <w:t>Senyviems pacientams, nusilpusiems pacientams ir pacientams, kurių kreatinino klirensas sumažėjęs</w:t>
      </w:r>
    </w:p>
    <w:p w14:paraId="551209FA" w14:textId="77777777" w:rsidR="00A052FA" w:rsidRPr="0082224B" w:rsidRDefault="00A052FA" w:rsidP="00240DB9">
      <w:r w:rsidRPr="00240DB9">
        <w:rPr>
          <w:sz w:val="22"/>
        </w:rPr>
        <w:t>Senyviems pacientams, taip pat nusilpusiems pacientams ir pacientams, kurių kreatinino klirensas sumažėjęs, dozė turi būti sumažinta, nes gali būti užsitęsęs metamizolo metabolizmo produktų šalinimas iš organizmo.</w:t>
      </w:r>
    </w:p>
    <w:p w14:paraId="30159AFB" w14:textId="77777777" w:rsidR="00A052FA" w:rsidRPr="0082224B" w:rsidRDefault="00A052FA" w:rsidP="00240DB9"/>
    <w:p w14:paraId="47E75CE2" w14:textId="77777777" w:rsidR="00A052FA" w:rsidRPr="00240DB9" w:rsidRDefault="00A052FA" w:rsidP="00240DB9">
      <w:pPr>
        <w:rPr>
          <w:i/>
        </w:rPr>
      </w:pPr>
      <w:r w:rsidRPr="00240DB9">
        <w:rPr>
          <w:i/>
          <w:sz w:val="22"/>
        </w:rPr>
        <w:t>Pacientams, kurių kepenų ar inkstų funkcija sutrikusi</w:t>
      </w:r>
    </w:p>
    <w:p w14:paraId="11E331CE" w14:textId="77777777" w:rsidR="00A052FA" w:rsidRPr="0082224B" w:rsidRDefault="00A052FA" w:rsidP="00240DB9">
      <w:r w:rsidRPr="00240DB9">
        <w:rPr>
          <w:sz w:val="22"/>
        </w:rPr>
        <w:t>Kadangi sutrikus inkstų arba kepenų veiklai sulėtėja eliminacija, turi būti vengiama kartotinių didelių dozių. Vartojant tik trumpą laiką, dozės mažinti nereikia. Lig šiol sukaupta nepakankamai patirties apie ilgalaikį metamizolo vartojimą pacientams, kuriems yra sunkus kepenų ir inkstų veiklos sutrikimas.</w:t>
      </w:r>
    </w:p>
    <w:p w14:paraId="53FA6E4C" w14:textId="77777777" w:rsidR="00A052FA" w:rsidRPr="0082224B" w:rsidRDefault="00A052FA" w:rsidP="00240DB9"/>
    <w:p w14:paraId="496637DE" w14:textId="77777777" w:rsidR="00A052FA" w:rsidRPr="0082224B" w:rsidRDefault="00A052FA" w:rsidP="00240DB9">
      <w:pPr>
        <w:rPr>
          <w:u w:val="single"/>
        </w:rPr>
      </w:pPr>
      <w:r w:rsidRPr="00240DB9">
        <w:rPr>
          <w:sz w:val="22"/>
          <w:u w:val="single"/>
        </w:rPr>
        <w:t>Vartojimo metodas</w:t>
      </w:r>
    </w:p>
    <w:p w14:paraId="717A2CD1" w14:textId="77777777" w:rsidR="00A052FA" w:rsidRPr="00F64F0D" w:rsidRDefault="00A052FA" w:rsidP="00F64F0D">
      <w:pPr>
        <w:rPr>
          <w:sz w:val="22"/>
          <w:szCs w:val="22"/>
        </w:rPr>
      </w:pPr>
      <w:r w:rsidRPr="00F64F0D">
        <w:rPr>
          <w:sz w:val="22"/>
          <w:szCs w:val="22"/>
        </w:rPr>
        <w:t>Leisti į raumenis ar į veną.</w:t>
      </w:r>
    </w:p>
    <w:p w14:paraId="771640B6" w14:textId="77777777" w:rsidR="00A052FA" w:rsidRPr="00F64F0D" w:rsidRDefault="00A052FA" w:rsidP="00F64F0D">
      <w:pPr>
        <w:rPr>
          <w:sz w:val="22"/>
          <w:szCs w:val="22"/>
        </w:rPr>
      </w:pPr>
      <w:r w:rsidRPr="00F64F0D">
        <w:rPr>
          <w:sz w:val="22"/>
          <w:szCs w:val="22"/>
        </w:rPr>
        <w:t xml:space="preserve">Analgin Sopharma būtina leisti kiek galima lėčiau. Leidžiant į veną pacientas turi gulėti. Vaistinio preparato negalima leisti greičiau nei 1 ml per min.  </w:t>
      </w:r>
    </w:p>
    <w:p w14:paraId="2BBD90D0" w14:textId="77777777" w:rsidR="00A052FA" w:rsidRPr="0082224B" w:rsidRDefault="00A052FA" w:rsidP="00240DB9"/>
    <w:p w14:paraId="2269376F" w14:textId="46695D4C" w:rsidR="00A052FA" w:rsidRPr="00D15ECB" w:rsidRDefault="00A052FA" w:rsidP="00A052FA">
      <w:pPr>
        <w:pStyle w:val="PI-2EMEASMCA"/>
      </w:pPr>
      <w:bookmarkStart w:id="16" w:name="_Toc129243104"/>
      <w:bookmarkStart w:id="17" w:name="_Toc129243229"/>
      <w:r w:rsidRPr="00D15ECB">
        <w:t>4.3</w:t>
      </w:r>
      <w:r w:rsidRPr="00D15ECB">
        <w:tab/>
        <w:t>Kontraindikacijos</w:t>
      </w:r>
      <w:bookmarkEnd w:id="16"/>
      <w:bookmarkEnd w:id="17"/>
    </w:p>
    <w:p w14:paraId="398055D2" w14:textId="77777777" w:rsidR="00A052FA" w:rsidRPr="0082224B" w:rsidRDefault="00A052FA" w:rsidP="00240DB9"/>
    <w:p w14:paraId="0B69317C" w14:textId="5055C073" w:rsidR="00A052FA" w:rsidRPr="0082224B" w:rsidRDefault="00A052FA" w:rsidP="00240DB9">
      <w:pPr>
        <w:pStyle w:val="Sraopastraipa"/>
        <w:numPr>
          <w:ilvl w:val="0"/>
          <w:numId w:val="25"/>
        </w:numPr>
        <w:ind w:left="567" w:hanging="567"/>
      </w:pPr>
      <w:r w:rsidRPr="00240DB9">
        <w:rPr>
          <w:sz w:val="22"/>
        </w:rPr>
        <w:t>Padidėjęs jautrumas veikliajai</w:t>
      </w:r>
      <w:r w:rsidR="00DF58D2">
        <w:rPr>
          <w:sz w:val="22"/>
        </w:rPr>
        <w:t xml:space="preserve"> medžiagai</w:t>
      </w:r>
      <w:r w:rsidRPr="00240DB9">
        <w:rPr>
          <w:sz w:val="22"/>
        </w:rPr>
        <w:t xml:space="preserve"> arba bet kuriai 6.1 skyriuje nurodytai pagalbinei medžiagai.</w:t>
      </w:r>
    </w:p>
    <w:p w14:paraId="3CAFE5AF" w14:textId="342724D4" w:rsidR="00EE7886" w:rsidRPr="0082224B" w:rsidRDefault="00EE7886" w:rsidP="00B6417F">
      <w:pPr>
        <w:pStyle w:val="Sraopastraipa"/>
        <w:numPr>
          <w:ilvl w:val="0"/>
          <w:numId w:val="25"/>
        </w:numPr>
        <w:ind w:left="567" w:hanging="567"/>
      </w:pPr>
      <w:r w:rsidRPr="00EE7886">
        <w:rPr>
          <w:sz w:val="22"/>
        </w:rPr>
        <w:t>Metamizolo, kitų pirazolonų ar pirazolidinų sukelta agranulocitozė ligos anamnezėje</w:t>
      </w:r>
      <w:r>
        <w:rPr>
          <w:sz w:val="22"/>
        </w:rPr>
        <w:t>.</w:t>
      </w:r>
    </w:p>
    <w:p w14:paraId="46BEF530" w14:textId="77777777" w:rsidR="00A052FA" w:rsidRPr="0082224B" w:rsidRDefault="00A052FA" w:rsidP="00B6417F">
      <w:pPr>
        <w:pStyle w:val="Sraopastraipa"/>
        <w:numPr>
          <w:ilvl w:val="0"/>
          <w:numId w:val="25"/>
        </w:numPr>
        <w:ind w:left="567" w:hanging="567"/>
      </w:pPr>
      <w:r w:rsidRPr="00EE7886">
        <w:rPr>
          <w:sz w:val="22"/>
        </w:rPr>
        <w:t>Buvusi sunki alerginė reakcija (pvz., astmos priepuolis, angioneurozinė edema, anafilaksinė reakcija) į acetilsalicilo rūgštį ar bet kurį nesteroidinį vaistinį preparatą nuo uždegimo (NVNU).</w:t>
      </w:r>
    </w:p>
    <w:p w14:paraId="26D11EC9" w14:textId="77777777" w:rsidR="00A052FA" w:rsidRPr="0082224B" w:rsidRDefault="00A052FA" w:rsidP="00240DB9">
      <w:pPr>
        <w:pStyle w:val="Sraopastraipa"/>
        <w:numPr>
          <w:ilvl w:val="0"/>
          <w:numId w:val="25"/>
        </w:numPr>
        <w:ind w:left="567" w:hanging="567"/>
      </w:pPr>
      <w:r w:rsidRPr="00240DB9">
        <w:rPr>
          <w:sz w:val="22"/>
        </w:rPr>
        <w:t>Trečias nėštumo trimestras (žr. 4.6 skyrių).</w:t>
      </w:r>
    </w:p>
    <w:p w14:paraId="3F96D186" w14:textId="77777777" w:rsidR="00A052FA" w:rsidRPr="0082224B" w:rsidRDefault="00A052FA" w:rsidP="00240DB9">
      <w:pPr>
        <w:pStyle w:val="Sraopastraipa"/>
        <w:numPr>
          <w:ilvl w:val="0"/>
          <w:numId w:val="25"/>
        </w:numPr>
        <w:ind w:left="567" w:hanging="567"/>
      </w:pPr>
      <w:r w:rsidRPr="00240DB9">
        <w:rPr>
          <w:sz w:val="22"/>
        </w:rPr>
        <w:t>Ūminė kepenų porfirija.</w:t>
      </w:r>
    </w:p>
    <w:p w14:paraId="17F0C69E" w14:textId="3BD23743" w:rsidR="00A052FA" w:rsidRPr="0082224B" w:rsidRDefault="00EE7886" w:rsidP="00240DB9">
      <w:pPr>
        <w:pStyle w:val="Sraopastraipa"/>
        <w:numPr>
          <w:ilvl w:val="0"/>
          <w:numId w:val="25"/>
        </w:numPr>
        <w:ind w:left="567" w:hanging="567"/>
      </w:pPr>
      <w:r w:rsidRPr="00EE7886">
        <w:rPr>
          <w:sz w:val="22"/>
        </w:rPr>
        <w:t>Sutrikusi kaulų čiulpų funkcija arba kraujodaros sistemos ligos</w:t>
      </w:r>
      <w:r>
        <w:rPr>
          <w:sz w:val="22"/>
        </w:rPr>
        <w:t>.</w:t>
      </w:r>
    </w:p>
    <w:p w14:paraId="0B005313" w14:textId="77777777" w:rsidR="00A052FA" w:rsidRPr="0082224B" w:rsidRDefault="00A052FA" w:rsidP="00240DB9">
      <w:pPr>
        <w:pStyle w:val="Sraopastraipa"/>
        <w:numPr>
          <w:ilvl w:val="0"/>
          <w:numId w:val="25"/>
        </w:numPr>
        <w:ind w:left="567" w:hanging="567"/>
      </w:pPr>
      <w:r w:rsidRPr="00240DB9">
        <w:rPr>
          <w:sz w:val="22"/>
        </w:rPr>
        <w:t>Gliukozės 6 – fosfato dehidrogenazės trūkumo sukelta hemolizinė anemija.</w:t>
      </w:r>
    </w:p>
    <w:p w14:paraId="267FB1CE" w14:textId="77777777" w:rsidR="00A052FA" w:rsidRPr="0082224B" w:rsidRDefault="00A052FA" w:rsidP="00240DB9"/>
    <w:p w14:paraId="0BD504A1" w14:textId="2C35B0A5" w:rsidR="00A052FA" w:rsidRPr="00D15ECB" w:rsidRDefault="00A052FA" w:rsidP="00A052FA">
      <w:pPr>
        <w:pStyle w:val="PI-2EMEASMCA"/>
      </w:pPr>
      <w:bookmarkStart w:id="18" w:name="_Toc129243105"/>
      <w:bookmarkStart w:id="19" w:name="_Toc129243230"/>
      <w:r w:rsidRPr="00D15ECB">
        <w:t>4.4</w:t>
      </w:r>
      <w:r w:rsidRPr="00D15ECB">
        <w:tab/>
        <w:t>Specialūs įspėjimai ir atsargumo priemonės</w:t>
      </w:r>
      <w:bookmarkEnd w:id="18"/>
      <w:bookmarkEnd w:id="19"/>
    </w:p>
    <w:p w14:paraId="061F5155" w14:textId="77777777" w:rsidR="00A052FA" w:rsidRDefault="00A052FA" w:rsidP="00240D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F3E4F" w14:paraId="3E12F341" w14:textId="77777777" w:rsidTr="00D533CF">
        <w:tc>
          <w:tcPr>
            <w:tcW w:w="9892" w:type="dxa"/>
            <w:shd w:val="clear" w:color="auto" w:fill="auto"/>
          </w:tcPr>
          <w:p w14:paraId="0D01A61F" w14:textId="77777777" w:rsidR="008F3E4F" w:rsidRPr="00DB4C67" w:rsidRDefault="008F3E4F" w:rsidP="008F3E4F">
            <w:pPr>
              <w:jc w:val="both"/>
              <w:rPr>
                <w:bCs/>
                <w:color w:val="000000"/>
                <w:sz w:val="22"/>
                <w:szCs w:val="22"/>
              </w:rPr>
            </w:pPr>
            <w:r w:rsidRPr="00DB4C67">
              <w:rPr>
                <w:bCs/>
                <w:color w:val="000000"/>
                <w:sz w:val="22"/>
                <w:szCs w:val="22"/>
              </w:rPr>
              <w:t>Agranulocitozė</w:t>
            </w:r>
          </w:p>
          <w:p w14:paraId="134E9C40" w14:textId="77777777" w:rsidR="008F3E4F" w:rsidRPr="00DB4C67" w:rsidRDefault="008F3E4F" w:rsidP="008F3E4F">
            <w:pPr>
              <w:jc w:val="both"/>
              <w:rPr>
                <w:bCs/>
                <w:color w:val="000000"/>
                <w:sz w:val="22"/>
                <w:szCs w:val="22"/>
              </w:rPr>
            </w:pPr>
          </w:p>
          <w:p w14:paraId="49CD0470" w14:textId="77777777" w:rsidR="008F3E4F" w:rsidRPr="00DB4C67" w:rsidRDefault="008F3E4F" w:rsidP="008F3E4F">
            <w:pPr>
              <w:jc w:val="both"/>
              <w:rPr>
                <w:bCs/>
                <w:color w:val="000000"/>
                <w:sz w:val="22"/>
                <w:szCs w:val="22"/>
              </w:rPr>
            </w:pPr>
            <w:r w:rsidRPr="00DB4C67">
              <w:rPr>
                <w:bCs/>
                <w:color w:val="000000"/>
                <w:sz w:val="22"/>
                <w:szCs w:val="22"/>
              </w:rPr>
              <w:t>Gydymas metamizolu gali sukelti agranulocitozę. Ši liga gali būti mirtina (žr. 4.8 skyrių). Ji gali pasireikšti net jei anksčiau vartojant metamizolo komplikacijų nebuvo.</w:t>
            </w:r>
          </w:p>
          <w:p w14:paraId="59301793" w14:textId="77777777" w:rsidR="008F3E4F" w:rsidRPr="00DB4C67" w:rsidRDefault="008F3E4F" w:rsidP="008F3E4F">
            <w:pPr>
              <w:jc w:val="both"/>
              <w:rPr>
                <w:bCs/>
                <w:color w:val="000000"/>
                <w:sz w:val="22"/>
                <w:szCs w:val="22"/>
              </w:rPr>
            </w:pPr>
            <w:r w:rsidRPr="00DB4C67">
              <w:rPr>
                <w:bCs/>
                <w:color w:val="000000"/>
                <w:sz w:val="22"/>
                <w:szCs w:val="22"/>
              </w:rPr>
              <w:t>Metamizolo sukelta agranulocitozė yra idiosinkrazinė nepageidaujama reakcija. Ji nepriklauso nuo dozės ir gali pasireikšti bet kuriuo gydymo momentu, netgi netrukus po gydymo nutraukimo.</w:t>
            </w:r>
          </w:p>
          <w:p w14:paraId="250548E8" w14:textId="77777777" w:rsidR="008F3E4F" w:rsidRPr="00DB4C67" w:rsidRDefault="008F3E4F" w:rsidP="008F3E4F">
            <w:pPr>
              <w:jc w:val="both"/>
              <w:rPr>
                <w:bCs/>
                <w:color w:val="000000"/>
                <w:sz w:val="22"/>
                <w:szCs w:val="22"/>
              </w:rPr>
            </w:pPr>
            <w:r w:rsidRPr="00DB4C67">
              <w:rPr>
                <w:bCs/>
                <w:color w:val="000000"/>
                <w:sz w:val="22"/>
                <w:szCs w:val="22"/>
              </w:rPr>
              <w:t>Pacientams turi būti nurodoma nutraukti gydymą ir nedelsiant kreiptis į gydytoją, jei atsiranda bet kokių simptomų, galinčių reikšti agranulocitozę (pvz., karščiavimas, šaltkrėtis, ryklės skausmas ir skausmingi gleivinės pokyčiai, ypač burnos, nosies ir ryklės arba lytinių organų ar išangės srityse).</w:t>
            </w:r>
          </w:p>
          <w:p w14:paraId="56CAB257" w14:textId="77777777" w:rsidR="008F3E4F" w:rsidRPr="00DB4C67" w:rsidRDefault="008F3E4F" w:rsidP="008F3E4F">
            <w:pPr>
              <w:jc w:val="both"/>
              <w:rPr>
                <w:bCs/>
                <w:color w:val="000000"/>
                <w:sz w:val="22"/>
                <w:szCs w:val="22"/>
              </w:rPr>
            </w:pPr>
            <w:r w:rsidRPr="00DB4C67">
              <w:rPr>
                <w:bCs/>
                <w:color w:val="000000"/>
                <w:sz w:val="22"/>
                <w:szCs w:val="22"/>
              </w:rPr>
              <w:t>Jei metamizolo vartojama nuo karščiavimo, kai kurie atsirandantys agranulocitozės simptomai gali praeiti nepastebėti. Simptomus taip pat gali būti sunku pastebėti, kai pacientai gydomi antibiotikais.</w:t>
            </w:r>
          </w:p>
          <w:p w14:paraId="1A515ABE" w14:textId="39288714" w:rsidR="008F3E4F" w:rsidRDefault="008F3E4F" w:rsidP="008F3E4F">
            <w:pPr>
              <w:jc w:val="both"/>
              <w:rPr>
                <w:b/>
                <w:color w:val="000000"/>
                <w:szCs w:val="22"/>
              </w:rPr>
            </w:pPr>
            <w:r w:rsidRPr="00DB4C67">
              <w:rPr>
                <w:bCs/>
                <w:color w:val="000000"/>
                <w:sz w:val="22"/>
                <w:szCs w:val="22"/>
              </w:rPr>
              <w:lastRenderedPageBreak/>
              <w:t>Jei atsiranda požymių ir simptomų, galinčių reikšti agranulocitozę, reikia nedelsiant atlikti pilną kraujo ląstelių tyrimą (įskaitant diferencinį kraujo tyrimą), o laukiant jo rezultatų gydymą būtina laikinai nutraukti. Jei agranulocitozė patvirtinama, gydymą atnaujinti draudžiama (žr. 4.3 skyrių).</w:t>
            </w:r>
          </w:p>
        </w:tc>
      </w:tr>
    </w:tbl>
    <w:p w14:paraId="2CF33235" w14:textId="77777777" w:rsidR="00DB4C67" w:rsidRPr="0082224B" w:rsidRDefault="00DB4C67" w:rsidP="00240DB9"/>
    <w:p w14:paraId="7A7FF03C" w14:textId="1C77E3FC" w:rsidR="00A052FA" w:rsidRPr="00F64F0D" w:rsidRDefault="00A052FA" w:rsidP="00240DB9">
      <w:pPr>
        <w:rPr>
          <w:i/>
          <w:iCs/>
          <w:sz w:val="22"/>
          <w:szCs w:val="22"/>
        </w:rPr>
      </w:pPr>
      <w:r w:rsidRPr="00F64F0D">
        <w:rPr>
          <w:i/>
          <w:iCs/>
          <w:sz w:val="22"/>
          <w:szCs w:val="22"/>
        </w:rPr>
        <w:t>Įspėjimai</w:t>
      </w:r>
    </w:p>
    <w:p w14:paraId="19301D25" w14:textId="77777777" w:rsidR="00A052FA" w:rsidRPr="00F64F0D" w:rsidRDefault="00A052FA" w:rsidP="00240DB9">
      <w:pPr>
        <w:rPr>
          <w:sz w:val="22"/>
          <w:szCs w:val="22"/>
        </w:rPr>
      </w:pPr>
      <w:r w:rsidRPr="00F64F0D">
        <w:rPr>
          <w:sz w:val="22"/>
          <w:szCs w:val="22"/>
        </w:rPr>
        <w:t>Jeigu pacientą ketinama operuoti, apie metamizolo vartojimą būtina pasakyti chirurgui.</w:t>
      </w:r>
    </w:p>
    <w:p w14:paraId="65DAC4EB" w14:textId="77777777" w:rsidR="00A052FA" w:rsidRPr="00F64F0D" w:rsidRDefault="00A052FA" w:rsidP="00240DB9">
      <w:pPr>
        <w:rPr>
          <w:sz w:val="22"/>
          <w:szCs w:val="22"/>
          <w:u w:val="single"/>
        </w:rPr>
      </w:pPr>
    </w:p>
    <w:p w14:paraId="14C15938" w14:textId="77777777" w:rsidR="00A052FA" w:rsidRPr="00F64F0D" w:rsidRDefault="00A052FA" w:rsidP="00240DB9">
      <w:pPr>
        <w:rPr>
          <w:sz w:val="22"/>
          <w:szCs w:val="22"/>
        </w:rPr>
      </w:pPr>
      <w:r w:rsidRPr="00F64F0D">
        <w:rPr>
          <w:sz w:val="22"/>
          <w:szCs w:val="22"/>
        </w:rPr>
        <w:t>Toliau nurodytais atvejais metamizolo injekciniu tirpalu galima gydyti tik tuo atveju, jei manoma, kad gydomasis poveikis bus didesnis už galimą žalą:</w:t>
      </w:r>
    </w:p>
    <w:p w14:paraId="588877C2" w14:textId="77777777" w:rsidR="00A052FA" w:rsidRPr="0082224B" w:rsidRDefault="00A052FA" w:rsidP="00240DB9">
      <w:pPr>
        <w:pStyle w:val="Sraopastraipa"/>
        <w:numPr>
          <w:ilvl w:val="0"/>
          <w:numId w:val="26"/>
        </w:numPr>
        <w:ind w:left="567" w:hanging="567"/>
      </w:pPr>
      <w:r w:rsidRPr="00240DB9">
        <w:rPr>
          <w:sz w:val="22"/>
        </w:rPr>
        <w:t>sergama pasunkėjusia opalige, hipertenzija, cukriniu diabetu, sistemine raudonąja vilklige, stomatitu, sunkiomis infekcinėmis arba uždegimo sukeltomis virškinimo trakto ligomis, yra inkstų ar kepenų veiklos sutrikimas;</w:t>
      </w:r>
    </w:p>
    <w:p w14:paraId="06673315" w14:textId="77777777" w:rsidR="00A052FA" w:rsidRPr="0082224B" w:rsidRDefault="00A052FA" w:rsidP="00240DB9">
      <w:pPr>
        <w:pStyle w:val="Sraopastraipa"/>
        <w:numPr>
          <w:ilvl w:val="0"/>
          <w:numId w:val="26"/>
        </w:numPr>
        <w:ind w:left="567" w:hanging="567"/>
      </w:pPr>
      <w:r w:rsidRPr="00240DB9">
        <w:rPr>
          <w:w w:val="104"/>
          <w:sz w:val="22"/>
        </w:rPr>
        <w:t xml:space="preserve">yra hipotenzija arba paciento </w:t>
      </w:r>
      <w:r w:rsidRPr="00240DB9">
        <w:rPr>
          <w:sz w:val="22"/>
        </w:rPr>
        <w:t>kraujotaka nestabili, pvz., ūminis kraujotakos nepakankamumas, kurį sukėlė ištikęs miokardo infarktas, sunki trauma, ankstyva šoko fazė;</w:t>
      </w:r>
    </w:p>
    <w:p w14:paraId="401F6BCB" w14:textId="77777777" w:rsidR="00A052FA" w:rsidRPr="0082224B" w:rsidRDefault="00A052FA" w:rsidP="00240DB9">
      <w:pPr>
        <w:pStyle w:val="Sraopastraipa"/>
        <w:numPr>
          <w:ilvl w:val="0"/>
          <w:numId w:val="26"/>
        </w:numPr>
        <w:ind w:left="567" w:hanging="567"/>
      </w:pPr>
      <w:r w:rsidRPr="00240DB9">
        <w:rPr>
          <w:sz w:val="22"/>
        </w:rPr>
        <w:t xml:space="preserve">piktnaudžiaujama alkoholiniais gėrimais arba pacientas yra rūkalius. </w:t>
      </w:r>
    </w:p>
    <w:p w14:paraId="1077294F" w14:textId="77777777" w:rsidR="00A052FA" w:rsidRPr="00F64F0D" w:rsidRDefault="00A052FA" w:rsidP="00F64F0D">
      <w:pPr>
        <w:rPr>
          <w:sz w:val="22"/>
          <w:szCs w:val="22"/>
        </w:rPr>
      </w:pPr>
    </w:p>
    <w:p w14:paraId="46787804" w14:textId="77777777" w:rsidR="00A052FA" w:rsidRPr="00F64F0D" w:rsidRDefault="00A052FA" w:rsidP="00F64F0D">
      <w:pPr>
        <w:rPr>
          <w:sz w:val="22"/>
          <w:szCs w:val="22"/>
        </w:rPr>
      </w:pPr>
      <w:r w:rsidRPr="00F64F0D">
        <w:rPr>
          <w:sz w:val="22"/>
          <w:szCs w:val="22"/>
        </w:rPr>
        <w:t>Per inkstus išsiskiriantis toksinio poveikio nesukeliantis metabolitas gali nudažyti šlapimą raudona spalva.</w:t>
      </w:r>
    </w:p>
    <w:p w14:paraId="16A113C3" w14:textId="77777777" w:rsidR="00A052FA" w:rsidRPr="00F64F0D" w:rsidRDefault="00A052FA" w:rsidP="00F64F0D">
      <w:pPr>
        <w:rPr>
          <w:i/>
          <w:sz w:val="22"/>
          <w:szCs w:val="22"/>
        </w:rPr>
      </w:pPr>
    </w:p>
    <w:p w14:paraId="3C7FDF4E" w14:textId="024945EF" w:rsidR="00A052FA" w:rsidRPr="00F64F0D" w:rsidRDefault="00A052FA" w:rsidP="00F64F0D">
      <w:pPr>
        <w:rPr>
          <w:i/>
          <w:sz w:val="22"/>
          <w:szCs w:val="22"/>
        </w:rPr>
      </w:pPr>
      <w:r w:rsidRPr="00F64F0D">
        <w:rPr>
          <w:i/>
          <w:sz w:val="22"/>
          <w:szCs w:val="22"/>
        </w:rPr>
        <w:t>Atsargumo priemonės</w:t>
      </w:r>
    </w:p>
    <w:p w14:paraId="10A68769" w14:textId="77777777" w:rsidR="00A052FA" w:rsidRPr="00F64F0D" w:rsidRDefault="00A052FA" w:rsidP="00F64F0D">
      <w:pPr>
        <w:rPr>
          <w:i/>
          <w:sz w:val="22"/>
          <w:szCs w:val="22"/>
        </w:rPr>
      </w:pPr>
    </w:p>
    <w:p w14:paraId="5FA572FA" w14:textId="77777777" w:rsidR="00A052FA" w:rsidRPr="00F64F0D" w:rsidRDefault="00A052FA" w:rsidP="00240DB9">
      <w:pPr>
        <w:rPr>
          <w:i/>
          <w:iCs/>
          <w:color w:val="000000"/>
          <w:sz w:val="22"/>
          <w:szCs w:val="22"/>
        </w:rPr>
      </w:pPr>
      <w:r w:rsidRPr="00F64F0D">
        <w:rPr>
          <w:i/>
          <w:iCs/>
          <w:color w:val="000000"/>
          <w:sz w:val="22"/>
          <w:szCs w:val="22"/>
        </w:rPr>
        <w:t>Šokas</w:t>
      </w:r>
    </w:p>
    <w:p w14:paraId="6938C49F" w14:textId="77777777" w:rsidR="00A052FA" w:rsidRPr="00F64F0D" w:rsidRDefault="00A052FA" w:rsidP="00F64F0D">
      <w:pPr>
        <w:rPr>
          <w:sz w:val="22"/>
          <w:szCs w:val="22"/>
        </w:rPr>
      </w:pPr>
      <w:r w:rsidRPr="00F64F0D">
        <w:rPr>
          <w:sz w:val="22"/>
          <w:szCs w:val="22"/>
        </w:rPr>
        <w:t>Metamizolas gali sukelti anafilaksinį šoką, angioneurozinę edemą, anafilaksiją arba kitokią sunkią alerginę reakciją, todėl prieš pradedant gydyti būtina įsitikinti, ar paciento organizmo jautrumas metamizolui nepadidėjęs.</w:t>
      </w:r>
    </w:p>
    <w:p w14:paraId="41DC05DE" w14:textId="77777777" w:rsidR="00A052FA" w:rsidRPr="00F64F0D" w:rsidRDefault="00A052FA" w:rsidP="00F64F0D">
      <w:pPr>
        <w:rPr>
          <w:sz w:val="22"/>
          <w:szCs w:val="22"/>
        </w:rPr>
      </w:pPr>
      <w:r w:rsidRPr="00F64F0D">
        <w:rPr>
          <w:sz w:val="22"/>
          <w:szCs w:val="22"/>
        </w:rPr>
        <w:t xml:space="preserve">Jei leidžiant metamizolo tirpalo atsiranda šoko požymių ar simptomų (pacientas staiga pasidaro neramus, jam sutrinka orientacija, pasireiškia didelis bendrasis silpnumas, oda pasidengia lipniu šaltu prakaitu, kraujospūdis tampa neišmatuojamas, pulsas </w:t>
      </w:r>
      <w:r w:rsidRPr="00F64F0D">
        <w:rPr>
          <w:sz w:val="22"/>
          <w:szCs w:val="22"/>
        </w:rPr>
        <w:noBreakHyphen/>
        <w:t xml:space="preserve"> dažnas ir sunkiai apčiuopiamas), būtina nedelsiant nutraukti vaistinio preparato injekciją ir pradėti tinkamą gydymą. </w:t>
      </w:r>
    </w:p>
    <w:p w14:paraId="30D9E406" w14:textId="77777777" w:rsidR="00A052FA" w:rsidRPr="00F64F0D" w:rsidRDefault="00A052FA" w:rsidP="00F64F0D">
      <w:pPr>
        <w:rPr>
          <w:sz w:val="22"/>
          <w:szCs w:val="22"/>
        </w:rPr>
      </w:pPr>
      <w:r w:rsidRPr="00F64F0D">
        <w:rPr>
          <w:sz w:val="22"/>
          <w:szCs w:val="22"/>
        </w:rPr>
        <w:t xml:space="preserve">Šokas pasireiškia dažniau, jei metamizolo tirpalo į veną leidžiama per greitai, todėl vaistinio preparato reikia leisti lėtai (ne greičiau kaip 1 ml/min.), pacientas turi gulėti. Būtina reguliariai stebėti paciento kraujospūdį, širdies susitraukimų dažnį ir kvėpavimą. Jeigu kraujospūdis mažėja, injekciją būtina nutraukti. </w:t>
      </w:r>
    </w:p>
    <w:p w14:paraId="320D93DF" w14:textId="77777777" w:rsidR="00A052FA" w:rsidRPr="00F64F0D" w:rsidRDefault="00A052FA" w:rsidP="00240DB9">
      <w:pPr>
        <w:rPr>
          <w:sz w:val="22"/>
          <w:szCs w:val="22"/>
        </w:rPr>
      </w:pPr>
    </w:p>
    <w:p w14:paraId="4DEE95BF" w14:textId="77777777" w:rsidR="00A052FA" w:rsidRPr="00F64F0D" w:rsidRDefault="00A052FA" w:rsidP="00240DB9">
      <w:pPr>
        <w:rPr>
          <w:i/>
          <w:sz w:val="22"/>
          <w:szCs w:val="22"/>
        </w:rPr>
      </w:pPr>
      <w:r w:rsidRPr="00F64F0D">
        <w:rPr>
          <w:i/>
          <w:sz w:val="22"/>
          <w:szCs w:val="22"/>
        </w:rPr>
        <w:t xml:space="preserve">Poveikis kraujodarai </w:t>
      </w:r>
    </w:p>
    <w:p w14:paraId="2793FAEE" w14:textId="77777777" w:rsidR="00AE41A2" w:rsidRDefault="00A052FA" w:rsidP="00F64F0D">
      <w:pPr>
        <w:rPr>
          <w:sz w:val="22"/>
          <w:szCs w:val="22"/>
        </w:rPr>
      </w:pPr>
      <w:r w:rsidRPr="00F64F0D">
        <w:rPr>
          <w:sz w:val="22"/>
          <w:szCs w:val="22"/>
        </w:rPr>
        <w:t xml:space="preserve">Jei vartojant metamizolo tirpalo atsiranda simptomų, panašių į gripo arba anginos, be aiškios priežasties pradeda kraujuoti dantenos arba atsiranda kraujosruvų, būtina nedelsiant nutraukti vaistinio preparato vartojimą, nes tokie simptomai gali būti agranulocitozės požymis. </w:t>
      </w:r>
    </w:p>
    <w:p w14:paraId="219B674B" w14:textId="2C7BE1D9" w:rsidR="00A052FA" w:rsidRPr="00F64F0D" w:rsidRDefault="00A052FA" w:rsidP="00F64F0D">
      <w:pPr>
        <w:rPr>
          <w:sz w:val="22"/>
          <w:szCs w:val="22"/>
        </w:rPr>
      </w:pPr>
      <w:r w:rsidRPr="00F64F0D">
        <w:rPr>
          <w:sz w:val="22"/>
          <w:szCs w:val="22"/>
        </w:rPr>
        <w:t>Jei atsiranda leukopenija ar trombocitopenija, dantų gydymą ar kitą intervenciją reikėtų atidėti, kol kraujo ląstelių skaičius taps normalus.</w:t>
      </w:r>
    </w:p>
    <w:p w14:paraId="7C3B23D1" w14:textId="77777777" w:rsidR="00A052FA" w:rsidRPr="00F64F0D" w:rsidRDefault="00A052FA" w:rsidP="00F64F0D">
      <w:pPr>
        <w:rPr>
          <w:sz w:val="22"/>
          <w:szCs w:val="22"/>
        </w:rPr>
      </w:pPr>
    </w:p>
    <w:p w14:paraId="03DA0C6E" w14:textId="77777777" w:rsidR="00A052FA" w:rsidRPr="00F64F0D" w:rsidRDefault="00A052FA" w:rsidP="00F64F0D">
      <w:pPr>
        <w:rPr>
          <w:i/>
          <w:iCs/>
          <w:sz w:val="22"/>
          <w:szCs w:val="22"/>
        </w:rPr>
      </w:pPr>
      <w:r w:rsidRPr="00F64F0D">
        <w:rPr>
          <w:i/>
          <w:iCs/>
          <w:sz w:val="22"/>
          <w:szCs w:val="22"/>
        </w:rPr>
        <w:t>Senyvi pacientai</w:t>
      </w:r>
    </w:p>
    <w:p w14:paraId="5F1B830B" w14:textId="77777777" w:rsidR="00A052FA" w:rsidRPr="00F64F0D" w:rsidRDefault="00A052FA" w:rsidP="00F64F0D">
      <w:pPr>
        <w:rPr>
          <w:sz w:val="22"/>
          <w:szCs w:val="22"/>
        </w:rPr>
      </w:pPr>
      <w:r w:rsidRPr="00F64F0D">
        <w:rPr>
          <w:sz w:val="22"/>
          <w:szCs w:val="22"/>
        </w:rPr>
        <w:t>Metamizolu tokius pacientus reikia gydyti atsargiai, skirti mažesnę dozę ir kiek įmanoma trumpesnį laikotarpį.</w:t>
      </w:r>
    </w:p>
    <w:p w14:paraId="3D7F27D8" w14:textId="77777777" w:rsidR="00A052FA" w:rsidRPr="00F64F0D" w:rsidRDefault="00A052FA" w:rsidP="00F64F0D">
      <w:pPr>
        <w:rPr>
          <w:sz w:val="22"/>
          <w:szCs w:val="22"/>
        </w:rPr>
      </w:pPr>
    </w:p>
    <w:p w14:paraId="5228640E" w14:textId="77777777" w:rsidR="00A052FA" w:rsidRPr="00B21BA2" w:rsidRDefault="00A052FA" w:rsidP="00240DB9">
      <w:pPr>
        <w:rPr>
          <w:i/>
          <w:sz w:val="22"/>
        </w:rPr>
      </w:pPr>
      <w:r w:rsidRPr="00B21BA2">
        <w:rPr>
          <w:i/>
          <w:sz w:val="22"/>
        </w:rPr>
        <w:t>Burnos ertmės ir dantų ligos</w:t>
      </w:r>
    </w:p>
    <w:p w14:paraId="72935E13" w14:textId="77777777" w:rsidR="00A052FA" w:rsidRPr="0082224B" w:rsidRDefault="00A052FA" w:rsidP="00240DB9">
      <w:pPr>
        <w:rPr>
          <w:sz w:val="22"/>
        </w:rPr>
      </w:pPr>
      <w:r w:rsidRPr="0082224B">
        <w:rPr>
          <w:sz w:val="22"/>
        </w:rPr>
        <w:t>Gali pradėti kraujuoti dantenos ir pablogėti žaizdų gijimas. Pacientui reikia paaiškinti, kad burnos higienos metu būtina laikytis atsargumo (dantų šepetėlį, siūlus ir dantų krapštukus reikia naudoti atsargiai).</w:t>
      </w:r>
    </w:p>
    <w:p w14:paraId="1A8CFBCF" w14:textId="77777777" w:rsidR="00A052FA" w:rsidRPr="0082224B" w:rsidRDefault="00A052FA" w:rsidP="00240DB9">
      <w:pPr>
        <w:rPr>
          <w:sz w:val="22"/>
        </w:rPr>
      </w:pPr>
    </w:p>
    <w:p w14:paraId="2DA5063F" w14:textId="77777777" w:rsidR="00A052FA" w:rsidRPr="00F64F0D" w:rsidRDefault="00A052FA" w:rsidP="00F64F0D">
      <w:pPr>
        <w:rPr>
          <w:i/>
          <w:sz w:val="22"/>
          <w:szCs w:val="22"/>
        </w:rPr>
      </w:pPr>
      <w:r w:rsidRPr="00F64F0D">
        <w:rPr>
          <w:i/>
          <w:sz w:val="22"/>
          <w:szCs w:val="22"/>
        </w:rPr>
        <w:t xml:space="preserve">Inkstų ir kepenų funkcijos sutrikimas </w:t>
      </w:r>
    </w:p>
    <w:p w14:paraId="2EED74C2" w14:textId="77777777" w:rsidR="00A052FA" w:rsidRPr="00F64F0D" w:rsidRDefault="00A052FA" w:rsidP="00F64F0D">
      <w:pPr>
        <w:rPr>
          <w:sz w:val="22"/>
          <w:szCs w:val="22"/>
        </w:rPr>
      </w:pPr>
      <w:r w:rsidRPr="00F64F0D">
        <w:rPr>
          <w:sz w:val="22"/>
          <w:szCs w:val="22"/>
        </w:rPr>
        <w:t>Pacientams, kurių kepenų ar inkstų funkcija sutrikusi, metamizolo būtina skirti atsargiai (žr. 4.2 skyrių).</w:t>
      </w:r>
    </w:p>
    <w:p w14:paraId="66A4F018" w14:textId="77777777" w:rsidR="00A052FA" w:rsidRPr="00F64F0D" w:rsidRDefault="00A052FA" w:rsidP="00F64F0D">
      <w:pPr>
        <w:rPr>
          <w:sz w:val="22"/>
          <w:szCs w:val="22"/>
        </w:rPr>
      </w:pPr>
    </w:p>
    <w:p w14:paraId="609BBCB5" w14:textId="77777777" w:rsidR="00A052FA" w:rsidRPr="00F64F0D" w:rsidRDefault="00A052FA" w:rsidP="00F64F0D">
      <w:pPr>
        <w:rPr>
          <w:i/>
          <w:sz w:val="22"/>
          <w:szCs w:val="22"/>
        </w:rPr>
      </w:pPr>
      <w:r w:rsidRPr="00F64F0D">
        <w:rPr>
          <w:i/>
          <w:sz w:val="22"/>
          <w:szCs w:val="22"/>
        </w:rPr>
        <w:t>Akių tyrimai</w:t>
      </w:r>
    </w:p>
    <w:p w14:paraId="51A34C7C" w14:textId="77777777" w:rsidR="00A052FA" w:rsidRPr="00F64F0D" w:rsidRDefault="00A052FA" w:rsidP="00F64F0D">
      <w:pPr>
        <w:rPr>
          <w:sz w:val="22"/>
          <w:szCs w:val="22"/>
        </w:rPr>
      </w:pPr>
      <w:r w:rsidRPr="00F64F0D">
        <w:rPr>
          <w:sz w:val="22"/>
          <w:szCs w:val="22"/>
        </w:rPr>
        <w:t xml:space="preserve">Juos būtina atlikti, jei </w:t>
      </w:r>
      <w:proofErr w:type="spellStart"/>
      <w:r w:rsidRPr="00F64F0D">
        <w:rPr>
          <w:sz w:val="22"/>
          <w:szCs w:val="22"/>
        </w:rPr>
        <w:t>metamizolas</w:t>
      </w:r>
      <w:proofErr w:type="spellEnd"/>
      <w:r w:rsidRPr="00F64F0D">
        <w:rPr>
          <w:sz w:val="22"/>
          <w:szCs w:val="22"/>
        </w:rPr>
        <w:t xml:space="preserve"> sukelia alerginį junginės pažeidimą (konjunktyvitą) arba kitokį akių sutrikimą.</w:t>
      </w:r>
    </w:p>
    <w:p w14:paraId="6ED9B287" w14:textId="77777777" w:rsidR="00A052FA" w:rsidRPr="0082224B" w:rsidRDefault="00A052FA" w:rsidP="00240DB9"/>
    <w:p w14:paraId="30A2E9BE" w14:textId="77777777" w:rsidR="00A052FA" w:rsidRPr="0082224B" w:rsidRDefault="00A052FA" w:rsidP="00240DB9">
      <w:pPr>
        <w:rPr>
          <w:i/>
        </w:rPr>
      </w:pPr>
      <w:r w:rsidRPr="00240DB9">
        <w:rPr>
          <w:i/>
          <w:sz w:val="22"/>
        </w:rPr>
        <w:t>Vaistinio preparato sukeltas kepenų pažeidimas</w:t>
      </w:r>
    </w:p>
    <w:p w14:paraId="74EDEBDF" w14:textId="77777777" w:rsidR="00A052FA" w:rsidRPr="0082224B" w:rsidRDefault="00A052FA" w:rsidP="00240DB9">
      <w:r w:rsidRPr="00240DB9">
        <w:rPr>
          <w:sz w:val="22"/>
        </w:rPr>
        <w:t xml:space="preserve">Gauta pranešimų apie metamizolu gydytiems pacientams nustatytus ūminio hepatito, daugiausia </w:t>
      </w:r>
      <w:proofErr w:type="spellStart"/>
      <w:r w:rsidRPr="00240DB9">
        <w:rPr>
          <w:sz w:val="22"/>
        </w:rPr>
        <w:t>hepatoceliulinio</w:t>
      </w:r>
      <w:proofErr w:type="spellEnd"/>
      <w:r w:rsidRPr="00240DB9">
        <w:rPr>
          <w:sz w:val="22"/>
        </w:rPr>
        <w:t xml:space="preserve"> pobūdžio, atvejus, kai šis sutrikimas pasireiškė praėjus nuo kelių dienų iki kelių mėnesių nuo gydymo pradžios. Ūminis hepatitas pasireiškia šiais požymiais ir simptomais: padidėjusiu kepenų fermentų aktyvumu kraujo serume su gelta arba be jos, kuris dažnai nustatomas kartu su kitomis padidėjusio jautrumo į vaistą reakcijomis (pvz., odos išbėrimu, kraujo diskrazija, karščiavimu ir eozinofilija) arba autoimuninio hepatito požymiais. Daugumos pacientų nepageidaujamos reakcijos išnyko nutraukus gydymą metamizolu, vis dėlto pavieniais atvejais, apie kuriuos buvo pranešta, šis sutrikimas progresavo į ūminį kepenų nepakankamumą, dėl kurio pacientui reikėjo persodinti kepenis.</w:t>
      </w:r>
    </w:p>
    <w:p w14:paraId="667EBFA6" w14:textId="77777777" w:rsidR="00A052FA" w:rsidRPr="0082224B" w:rsidRDefault="00A052FA" w:rsidP="00240DB9">
      <w:r w:rsidRPr="00240DB9">
        <w:rPr>
          <w:sz w:val="22"/>
        </w:rPr>
        <w:t>Metamizolo sukeliamo kepenų pažeidimo mechanizmas  nevisiškai ištirtas, bet iš duomenų matyti, kad jį lemia imuninis-alerginis mechanizmas.</w:t>
      </w:r>
    </w:p>
    <w:p w14:paraId="278B240A" w14:textId="77777777" w:rsidR="00A052FA" w:rsidRPr="0082224B" w:rsidRDefault="00A052FA" w:rsidP="00240DB9">
      <w:r w:rsidRPr="00240DB9">
        <w:rPr>
          <w:sz w:val="22"/>
        </w:rPr>
        <w:t>Pacientams reikia paaiškinti, kad pasireiškus  simptomams, kurie leidžia įtarti kepenų pažeidimą, jie turi kreiptis į gydytoją. Reikia nutraukti tokių pacientų gydymą metamizolu ir įvertinti jų kepenų funkciją.</w:t>
      </w:r>
    </w:p>
    <w:p w14:paraId="1FF25A38" w14:textId="77777777" w:rsidR="00A052FA" w:rsidRPr="0082224B" w:rsidRDefault="00A052FA" w:rsidP="00240DB9">
      <w:r w:rsidRPr="00240DB9">
        <w:rPr>
          <w:sz w:val="22"/>
        </w:rPr>
        <w:t>Gydymo metamizolu negalima atnaujinti pacientams, kuriems gydymo metamizolu laikotarpiu pasireiškė kepenų pažeidimo epizodas, jei kitų kepenų pažeidimo priežasčių nenustatyta.</w:t>
      </w:r>
    </w:p>
    <w:p w14:paraId="2F7BCDDE" w14:textId="16AE5CE1" w:rsidR="00A052FA" w:rsidRPr="0082224B" w:rsidRDefault="00A052FA" w:rsidP="00240DB9"/>
    <w:p w14:paraId="1C2EB0FB" w14:textId="77777777" w:rsidR="00A61EE7" w:rsidRPr="00F64F0D" w:rsidRDefault="00A61EE7" w:rsidP="00F64F0D">
      <w:pPr>
        <w:rPr>
          <w:sz w:val="22"/>
          <w:szCs w:val="22"/>
        </w:rPr>
      </w:pPr>
      <w:r w:rsidRPr="00F64F0D">
        <w:rPr>
          <w:sz w:val="22"/>
          <w:szCs w:val="22"/>
        </w:rPr>
        <w:t>Sunkios odos reakcijos</w:t>
      </w:r>
    </w:p>
    <w:p w14:paraId="464858B6" w14:textId="60B9C8B3" w:rsidR="00A61EE7" w:rsidRPr="00F64F0D" w:rsidRDefault="00A61EE7" w:rsidP="00F64F0D">
      <w:pPr>
        <w:rPr>
          <w:sz w:val="22"/>
          <w:szCs w:val="22"/>
        </w:rPr>
      </w:pPr>
      <w:r w:rsidRPr="00F64F0D">
        <w:rPr>
          <w:sz w:val="22"/>
          <w:szCs w:val="22"/>
        </w:rPr>
        <w:t xml:space="preserve">Gydant metamizolu, gauta pranešimų apie sunkias nepageidaujamas odos reakcijas, įskaitant Stivenso-Džonsono sindromą (SDS), toksinę epidermio nekrolizę (TEN) ir reakciją į vaistinį preparatą su eozinofilija ir sisteminiais simptomais (angl. </w:t>
      </w:r>
      <w:proofErr w:type="spellStart"/>
      <w:r w:rsidRPr="00F64F0D">
        <w:rPr>
          <w:i/>
          <w:iCs/>
          <w:sz w:val="22"/>
          <w:szCs w:val="22"/>
        </w:rPr>
        <w:t>drug</w:t>
      </w:r>
      <w:proofErr w:type="spellEnd"/>
      <w:r w:rsidRPr="00F64F0D">
        <w:rPr>
          <w:i/>
          <w:iCs/>
          <w:sz w:val="22"/>
          <w:szCs w:val="22"/>
        </w:rPr>
        <w:t xml:space="preserve"> </w:t>
      </w:r>
      <w:proofErr w:type="spellStart"/>
      <w:r w:rsidRPr="00F64F0D">
        <w:rPr>
          <w:i/>
          <w:iCs/>
          <w:sz w:val="22"/>
          <w:szCs w:val="22"/>
        </w:rPr>
        <w:t>reaction</w:t>
      </w:r>
      <w:proofErr w:type="spellEnd"/>
      <w:r w:rsidRPr="00F64F0D">
        <w:rPr>
          <w:i/>
          <w:iCs/>
          <w:sz w:val="22"/>
          <w:szCs w:val="22"/>
        </w:rPr>
        <w:t xml:space="preserve"> </w:t>
      </w:r>
      <w:proofErr w:type="spellStart"/>
      <w:r w:rsidRPr="00F64F0D">
        <w:rPr>
          <w:i/>
          <w:iCs/>
          <w:sz w:val="22"/>
          <w:szCs w:val="22"/>
        </w:rPr>
        <w:t>with</w:t>
      </w:r>
      <w:proofErr w:type="spellEnd"/>
      <w:r w:rsidRPr="00F64F0D">
        <w:rPr>
          <w:i/>
          <w:iCs/>
          <w:sz w:val="22"/>
          <w:szCs w:val="22"/>
        </w:rPr>
        <w:t xml:space="preserve"> </w:t>
      </w:r>
      <w:proofErr w:type="spellStart"/>
      <w:r w:rsidRPr="00F64F0D">
        <w:rPr>
          <w:i/>
          <w:iCs/>
          <w:sz w:val="22"/>
          <w:szCs w:val="22"/>
        </w:rPr>
        <w:t>eosinophilia</w:t>
      </w:r>
      <w:proofErr w:type="spellEnd"/>
      <w:r w:rsidRPr="00F64F0D">
        <w:rPr>
          <w:i/>
          <w:iCs/>
          <w:sz w:val="22"/>
          <w:szCs w:val="22"/>
        </w:rPr>
        <w:t xml:space="preserve"> </w:t>
      </w:r>
      <w:proofErr w:type="spellStart"/>
      <w:r w:rsidRPr="00F64F0D">
        <w:rPr>
          <w:i/>
          <w:iCs/>
          <w:sz w:val="22"/>
          <w:szCs w:val="22"/>
        </w:rPr>
        <w:t>and</w:t>
      </w:r>
      <w:proofErr w:type="spellEnd"/>
      <w:r w:rsidRPr="00F64F0D">
        <w:rPr>
          <w:i/>
          <w:iCs/>
          <w:sz w:val="22"/>
          <w:szCs w:val="22"/>
        </w:rPr>
        <w:t xml:space="preserve"> </w:t>
      </w:r>
      <w:proofErr w:type="spellStart"/>
      <w:r w:rsidRPr="00F64F0D">
        <w:rPr>
          <w:i/>
          <w:iCs/>
          <w:sz w:val="22"/>
          <w:szCs w:val="22"/>
        </w:rPr>
        <w:t>systemic</w:t>
      </w:r>
      <w:proofErr w:type="spellEnd"/>
      <w:r w:rsidRPr="00F64F0D">
        <w:rPr>
          <w:i/>
          <w:iCs/>
          <w:sz w:val="22"/>
          <w:szCs w:val="22"/>
        </w:rPr>
        <w:t xml:space="preserve"> </w:t>
      </w:r>
      <w:proofErr w:type="spellStart"/>
      <w:r w:rsidRPr="00F64F0D">
        <w:rPr>
          <w:i/>
          <w:iCs/>
          <w:sz w:val="22"/>
          <w:szCs w:val="22"/>
        </w:rPr>
        <w:t>symptoms</w:t>
      </w:r>
      <w:proofErr w:type="spellEnd"/>
      <w:r w:rsidRPr="00F64F0D">
        <w:rPr>
          <w:i/>
          <w:iCs/>
          <w:sz w:val="22"/>
          <w:szCs w:val="22"/>
        </w:rPr>
        <w:t>;</w:t>
      </w:r>
      <w:r w:rsidRPr="00F64F0D">
        <w:rPr>
          <w:sz w:val="22"/>
          <w:szCs w:val="22"/>
        </w:rPr>
        <w:t xml:space="preserve"> DRESS), kurie gali būti pavojingi gyvybei arba lemti mirtį.</w:t>
      </w:r>
    </w:p>
    <w:p w14:paraId="60801B8D" w14:textId="77777777" w:rsidR="00A61EE7" w:rsidRPr="00F64F0D" w:rsidRDefault="00A61EE7" w:rsidP="00F64F0D">
      <w:pPr>
        <w:rPr>
          <w:sz w:val="22"/>
          <w:szCs w:val="22"/>
        </w:rPr>
      </w:pPr>
      <w:r w:rsidRPr="00F64F0D">
        <w:rPr>
          <w:sz w:val="22"/>
          <w:szCs w:val="22"/>
        </w:rPr>
        <w:t>Pacientus reikia informuoti apie odos reakcijų požymius ir simptomus bei pacientus atidžiai stebėti, ar jiems nepasireiškia tokios reakcijos.</w:t>
      </w:r>
    </w:p>
    <w:p w14:paraId="3A2DEE98" w14:textId="34FB4D54" w:rsidR="00A61EE7" w:rsidRPr="00F64F0D" w:rsidRDefault="00A61EE7" w:rsidP="00F64F0D">
      <w:pPr>
        <w:rPr>
          <w:sz w:val="22"/>
          <w:szCs w:val="22"/>
        </w:rPr>
      </w:pPr>
      <w:r w:rsidRPr="00F64F0D">
        <w:rPr>
          <w:sz w:val="22"/>
          <w:szCs w:val="22"/>
        </w:rPr>
        <w:t>Jeigu pasireikštų šių reakcijų požymių ir simptomų, gydymą metamizolu gydymą metamizolu reikia nedelsiant nutraukti ir nebegalima atnaujinti (žr. 4.3 skyrių).</w:t>
      </w:r>
    </w:p>
    <w:p w14:paraId="0C77E354" w14:textId="77777777" w:rsidR="00A61EE7" w:rsidRPr="00F64F0D" w:rsidRDefault="00A61EE7" w:rsidP="00F64F0D">
      <w:pPr>
        <w:rPr>
          <w:sz w:val="22"/>
          <w:szCs w:val="22"/>
        </w:rPr>
      </w:pPr>
    </w:p>
    <w:p w14:paraId="3B9587FA" w14:textId="77777777" w:rsidR="00A052FA" w:rsidRPr="0082224B" w:rsidRDefault="00A052FA" w:rsidP="00240DB9">
      <w:r w:rsidRPr="00240DB9">
        <w:rPr>
          <w:sz w:val="22"/>
        </w:rPr>
        <w:t>Analgin Sopharma sudėtyje yra natrio</w:t>
      </w:r>
    </w:p>
    <w:p w14:paraId="728E62DA" w14:textId="77777777" w:rsidR="00A052FA" w:rsidRPr="00240DB9" w:rsidRDefault="00A052FA" w:rsidP="00F64F0D">
      <w:pPr>
        <w:rPr>
          <w:sz w:val="22"/>
        </w:rPr>
      </w:pPr>
      <w:r w:rsidRPr="00F64F0D">
        <w:rPr>
          <w:sz w:val="22"/>
          <w:szCs w:val="22"/>
        </w:rPr>
        <w:t>Kiekviename šio injekcinio tirpalo mililitre yra 32,7 mg natrio, tai atitinka 1,6 % didžiausios PSO rekomenduojamos paros normos suaugusiesiems, kuri yra 2 g natrio.</w:t>
      </w:r>
    </w:p>
    <w:p w14:paraId="5B7327A6" w14:textId="77777777" w:rsidR="00A052FA" w:rsidRPr="00BD03D8" w:rsidRDefault="00A052FA" w:rsidP="00634EE3">
      <w:pPr>
        <w:pStyle w:val="BTEMEASMCA"/>
      </w:pPr>
    </w:p>
    <w:p w14:paraId="6BC4FF37" w14:textId="4D554B2B" w:rsidR="00A052FA" w:rsidRPr="00BD03D8" w:rsidRDefault="00A052FA" w:rsidP="00A052FA">
      <w:pPr>
        <w:pStyle w:val="PI-2EMEASMCA"/>
      </w:pPr>
      <w:bookmarkStart w:id="20" w:name="_Toc129243106"/>
      <w:bookmarkStart w:id="21" w:name="_Toc129243231"/>
      <w:r w:rsidRPr="00BD03D8">
        <w:t>4.5</w:t>
      </w:r>
      <w:r w:rsidRPr="00BD03D8">
        <w:tab/>
        <w:t>Sąveika su kitais vaistiniais preparatais ir kitokia sąveika</w:t>
      </w:r>
      <w:bookmarkEnd w:id="20"/>
      <w:bookmarkEnd w:id="21"/>
    </w:p>
    <w:p w14:paraId="7F7FE11B" w14:textId="77777777" w:rsidR="00A052FA" w:rsidRPr="0082224B" w:rsidRDefault="00A052FA" w:rsidP="00240DB9"/>
    <w:p w14:paraId="67EBBA06" w14:textId="77777777" w:rsidR="00A052FA" w:rsidRPr="0082224B" w:rsidRDefault="00A052FA" w:rsidP="00240DB9">
      <w:pPr>
        <w:pStyle w:val="Sraopastraipa"/>
        <w:numPr>
          <w:ilvl w:val="0"/>
          <w:numId w:val="27"/>
        </w:numPr>
        <w:ind w:left="567" w:hanging="567"/>
      </w:pPr>
      <w:r w:rsidRPr="00240DB9">
        <w:rPr>
          <w:sz w:val="22"/>
        </w:rPr>
        <w:t>Metamizolo vartojant kartu su kitokiu NVNU, didėja nepageidaujamo bei toksinio abiejų vaistinių preparatų poveikio rizika.</w:t>
      </w:r>
    </w:p>
    <w:p w14:paraId="594C63B3" w14:textId="77777777" w:rsidR="00A052FA" w:rsidRPr="0082224B" w:rsidRDefault="00A052FA" w:rsidP="00240DB9">
      <w:pPr>
        <w:pStyle w:val="Sraopastraipa"/>
        <w:numPr>
          <w:ilvl w:val="0"/>
          <w:numId w:val="27"/>
        </w:numPr>
        <w:ind w:left="567" w:hanging="567"/>
      </w:pPr>
      <w:proofErr w:type="spellStart"/>
      <w:r w:rsidRPr="00240DB9">
        <w:rPr>
          <w:sz w:val="22"/>
        </w:rPr>
        <w:t>Tricikliai</w:t>
      </w:r>
      <w:proofErr w:type="spellEnd"/>
      <w:r w:rsidRPr="00240DB9">
        <w:rPr>
          <w:sz w:val="22"/>
        </w:rPr>
        <w:t xml:space="preserve"> antidepresantai, geriamieji kontraceptikai ir </w:t>
      </w:r>
      <w:proofErr w:type="spellStart"/>
      <w:r w:rsidRPr="00240DB9">
        <w:rPr>
          <w:sz w:val="22"/>
        </w:rPr>
        <w:t>alopurinolis</w:t>
      </w:r>
      <w:proofErr w:type="spellEnd"/>
      <w:r w:rsidRPr="00240DB9">
        <w:rPr>
          <w:sz w:val="22"/>
        </w:rPr>
        <w:t xml:space="preserve"> gali slopinti </w:t>
      </w:r>
      <w:proofErr w:type="spellStart"/>
      <w:r w:rsidRPr="00240DB9">
        <w:rPr>
          <w:sz w:val="22"/>
        </w:rPr>
        <w:t>metamizolo</w:t>
      </w:r>
      <w:proofErr w:type="spellEnd"/>
      <w:r w:rsidRPr="00240DB9">
        <w:rPr>
          <w:sz w:val="22"/>
        </w:rPr>
        <w:t xml:space="preserve"> skaidymą kepenyse ir didinti toksinio poveikio riziką.</w:t>
      </w:r>
    </w:p>
    <w:p w14:paraId="6299BCF7" w14:textId="77777777" w:rsidR="00A052FA" w:rsidRPr="0082224B" w:rsidRDefault="00A052FA" w:rsidP="00240DB9">
      <w:pPr>
        <w:pStyle w:val="Sraopastraipa"/>
        <w:numPr>
          <w:ilvl w:val="0"/>
          <w:numId w:val="27"/>
        </w:numPr>
        <w:ind w:left="567" w:hanging="567"/>
      </w:pPr>
      <w:r w:rsidRPr="00240DB9">
        <w:rPr>
          <w:sz w:val="22"/>
        </w:rPr>
        <w:t xml:space="preserve">Barbitūratai ir </w:t>
      </w:r>
      <w:proofErr w:type="spellStart"/>
      <w:r w:rsidRPr="00240DB9">
        <w:rPr>
          <w:sz w:val="22"/>
        </w:rPr>
        <w:t>fenilbutazonas</w:t>
      </w:r>
      <w:proofErr w:type="spellEnd"/>
      <w:r w:rsidRPr="00240DB9">
        <w:rPr>
          <w:sz w:val="22"/>
        </w:rPr>
        <w:t xml:space="preserve"> didina </w:t>
      </w:r>
      <w:proofErr w:type="spellStart"/>
      <w:r w:rsidRPr="00240DB9">
        <w:rPr>
          <w:sz w:val="22"/>
        </w:rPr>
        <w:t>metamizolo</w:t>
      </w:r>
      <w:proofErr w:type="spellEnd"/>
      <w:r w:rsidRPr="00240DB9">
        <w:rPr>
          <w:sz w:val="22"/>
        </w:rPr>
        <w:t xml:space="preserve"> metabolizmą kepenyse, todėl mažėja jo koncentracija serume bei veiksmingumas.</w:t>
      </w:r>
    </w:p>
    <w:p w14:paraId="3EF341FF" w14:textId="7E3E30AD" w:rsidR="00A052FA" w:rsidRPr="0082224B" w:rsidRDefault="00A052FA" w:rsidP="00240DB9">
      <w:pPr>
        <w:pStyle w:val="Sraopastraipa"/>
        <w:numPr>
          <w:ilvl w:val="0"/>
          <w:numId w:val="27"/>
        </w:numPr>
        <w:ind w:left="567" w:hanging="567"/>
      </w:pPr>
      <w:bookmarkStart w:id="22" w:name="OLE_LINK5"/>
      <w:bookmarkStart w:id="23" w:name="OLE_LINK6"/>
      <w:r w:rsidRPr="00240DB9">
        <w:rPr>
          <w:sz w:val="22"/>
        </w:rPr>
        <w:t xml:space="preserve">Metamizolas </w:t>
      </w:r>
      <w:bookmarkEnd w:id="22"/>
      <w:bookmarkEnd w:id="23"/>
      <w:r w:rsidRPr="00240DB9">
        <w:rPr>
          <w:sz w:val="22"/>
        </w:rPr>
        <w:t xml:space="preserve">didina netiesioginio poveikio antikoaguliantų (vitamino K antagonistų), antinksčių žievės hormonų, geriamųjų vaistinių preparatų nuo cukrinio diabeto, </w:t>
      </w:r>
      <w:proofErr w:type="spellStart"/>
      <w:r w:rsidRPr="00240DB9">
        <w:rPr>
          <w:sz w:val="22"/>
        </w:rPr>
        <w:t>ibuprofeno</w:t>
      </w:r>
      <w:proofErr w:type="spellEnd"/>
      <w:r w:rsidRPr="00240DB9">
        <w:rPr>
          <w:sz w:val="22"/>
        </w:rPr>
        <w:t xml:space="preserve"> ir </w:t>
      </w:r>
      <w:proofErr w:type="spellStart"/>
      <w:r w:rsidRPr="00240DB9">
        <w:rPr>
          <w:sz w:val="22"/>
        </w:rPr>
        <w:t>indometacino</w:t>
      </w:r>
      <w:proofErr w:type="spellEnd"/>
      <w:r w:rsidRPr="00240DB9">
        <w:rPr>
          <w:sz w:val="22"/>
        </w:rPr>
        <w:t xml:space="preserve"> veiksmingumą, nes suardo jų ir kraujo serumo baltymų ryšį.</w:t>
      </w:r>
    </w:p>
    <w:p w14:paraId="1537AD8E" w14:textId="77777777" w:rsidR="00A052FA" w:rsidRPr="0082224B" w:rsidRDefault="00A052FA" w:rsidP="00240DB9">
      <w:pPr>
        <w:pStyle w:val="Sraopastraipa"/>
        <w:numPr>
          <w:ilvl w:val="0"/>
          <w:numId w:val="27"/>
        </w:numPr>
        <w:ind w:left="567" w:hanging="567"/>
      </w:pPr>
      <w:proofErr w:type="spellStart"/>
      <w:r w:rsidRPr="00240DB9">
        <w:rPr>
          <w:sz w:val="22"/>
        </w:rPr>
        <w:t>Metamizolą</w:t>
      </w:r>
      <w:proofErr w:type="spellEnd"/>
      <w:r w:rsidRPr="00240DB9">
        <w:rPr>
          <w:sz w:val="22"/>
        </w:rPr>
        <w:t xml:space="preserve"> vartojant kartu su antikoaguliantais didėja kraujavimo, ypač iš virškinimo trakto, rizika. </w:t>
      </w:r>
    </w:p>
    <w:p w14:paraId="1409D2DE" w14:textId="77777777" w:rsidR="00A052FA" w:rsidRPr="0082224B" w:rsidRDefault="00A052FA" w:rsidP="00240DB9">
      <w:pPr>
        <w:pStyle w:val="Sraopastraipa"/>
        <w:numPr>
          <w:ilvl w:val="0"/>
          <w:numId w:val="27"/>
        </w:numPr>
        <w:ind w:left="567" w:hanging="567"/>
      </w:pPr>
      <w:r w:rsidRPr="00240DB9">
        <w:rPr>
          <w:sz w:val="22"/>
        </w:rPr>
        <w:t xml:space="preserve">Kartu su </w:t>
      </w:r>
      <w:proofErr w:type="spellStart"/>
      <w:r w:rsidRPr="00240DB9">
        <w:rPr>
          <w:sz w:val="22"/>
        </w:rPr>
        <w:t>metamizolu</w:t>
      </w:r>
      <w:proofErr w:type="spellEnd"/>
      <w:r w:rsidRPr="00240DB9">
        <w:rPr>
          <w:sz w:val="22"/>
        </w:rPr>
        <w:t xml:space="preserve"> vartojami </w:t>
      </w:r>
      <w:proofErr w:type="spellStart"/>
      <w:r w:rsidRPr="00240DB9">
        <w:rPr>
          <w:sz w:val="22"/>
        </w:rPr>
        <w:t>tiamazolas</w:t>
      </w:r>
      <w:proofErr w:type="spellEnd"/>
      <w:r w:rsidRPr="00240DB9">
        <w:rPr>
          <w:sz w:val="22"/>
        </w:rPr>
        <w:t xml:space="preserve"> ir </w:t>
      </w:r>
      <w:proofErr w:type="spellStart"/>
      <w:r w:rsidRPr="00240DB9">
        <w:rPr>
          <w:sz w:val="22"/>
        </w:rPr>
        <w:t>sarkolizinas</w:t>
      </w:r>
      <w:proofErr w:type="spellEnd"/>
      <w:r w:rsidRPr="00240DB9">
        <w:rPr>
          <w:sz w:val="22"/>
        </w:rPr>
        <w:t xml:space="preserve"> didina </w:t>
      </w:r>
      <w:proofErr w:type="spellStart"/>
      <w:r w:rsidRPr="00240DB9">
        <w:rPr>
          <w:sz w:val="22"/>
        </w:rPr>
        <w:t>leukopenijos</w:t>
      </w:r>
      <w:proofErr w:type="spellEnd"/>
      <w:r w:rsidRPr="00240DB9">
        <w:rPr>
          <w:sz w:val="22"/>
        </w:rPr>
        <w:t xml:space="preserve"> atsiradimo riziką.</w:t>
      </w:r>
    </w:p>
    <w:p w14:paraId="57EB3D8D" w14:textId="77777777" w:rsidR="00A052FA" w:rsidRPr="0082224B" w:rsidRDefault="00A052FA" w:rsidP="00240DB9">
      <w:pPr>
        <w:pStyle w:val="Sraopastraipa"/>
        <w:numPr>
          <w:ilvl w:val="0"/>
          <w:numId w:val="27"/>
        </w:numPr>
        <w:ind w:left="567" w:hanging="567"/>
      </w:pPr>
      <w:r w:rsidRPr="00240DB9">
        <w:rPr>
          <w:sz w:val="22"/>
        </w:rPr>
        <w:t xml:space="preserve">Vartojant </w:t>
      </w:r>
      <w:proofErr w:type="spellStart"/>
      <w:r w:rsidRPr="00240DB9">
        <w:rPr>
          <w:sz w:val="22"/>
        </w:rPr>
        <w:t>metamizolą</w:t>
      </w:r>
      <w:proofErr w:type="spellEnd"/>
      <w:r w:rsidRPr="00240DB9">
        <w:rPr>
          <w:sz w:val="22"/>
        </w:rPr>
        <w:t xml:space="preserve"> kartu su </w:t>
      </w:r>
      <w:proofErr w:type="spellStart"/>
      <w:r w:rsidRPr="00240DB9">
        <w:rPr>
          <w:sz w:val="22"/>
        </w:rPr>
        <w:t>chlorpromazinu</w:t>
      </w:r>
      <w:proofErr w:type="spellEnd"/>
      <w:r w:rsidRPr="00240DB9">
        <w:rPr>
          <w:sz w:val="22"/>
        </w:rPr>
        <w:t xml:space="preserve"> gali pasireikšti sunki hipotermija. </w:t>
      </w:r>
    </w:p>
    <w:p w14:paraId="76A53F2F" w14:textId="77777777" w:rsidR="00A052FA" w:rsidRPr="0082224B" w:rsidRDefault="00A052FA" w:rsidP="00240DB9">
      <w:pPr>
        <w:pStyle w:val="Sraopastraipa"/>
        <w:numPr>
          <w:ilvl w:val="0"/>
          <w:numId w:val="27"/>
        </w:numPr>
        <w:ind w:left="567" w:hanging="567"/>
      </w:pPr>
      <w:r w:rsidRPr="00240DB9">
        <w:rPr>
          <w:sz w:val="22"/>
        </w:rPr>
        <w:t xml:space="preserve">Kartu vartojami </w:t>
      </w:r>
      <w:proofErr w:type="spellStart"/>
      <w:r w:rsidRPr="00240DB9">
        <w:rPr>
          <w:sz w:val="22"/>
        </w:rPr>
        <w:t>trankviliantai</w:t>
      </w:r>
      <w:proofErr w:type="spellEnd"/>
      <w:r w:rsidRPr="00240DB9">
        <w:rPr>
          <w:sz w:val="22"/>
        </w:rPr>
        <w:t xml:space="preserve"> didina </w:t>
      </w:r>
      <w:proofErr w:type="spellStart"/>
      <w:r w:rsidRPr="00240DB9">
        <w:rPr>
          <w:sz w:val="22"/>
        </w:rPr>
        <w:t>metamizolo</w:t>
      </w:r>
      <w:proofErr w:type="spellEnd"/>
      <w:r w:rsidRPr="00240DB9">
        <w:rPr>
          <w:sz w:val="22"/>
        </w:rPr>
        <w:t xml:space="preserve"> skausmą malšinantį poveikį.</w:t>
      </w:r>
    </w:p>
    <w:p w14:paraId="3C75DCAB" w14:textId="77777777" w:rsidR="00A052FA" w:rsidRPr="0082224B" w:rsidRDefault="00A052FA" w:rsidP="00240DB9">
      <w:pPr>
        <w:pStyle w:val="Sraopastraipa"/>
        <w:numPr>
          <w:ilvl w:val="0"/>
          <w:numId w:val="27"/>
        </w:numPr>
        <w:ind w:left="567" w:hanging="567"/>
      </w:pPr>
      <w:r w:rsidRPr="00240DB9">
        <w:rPr>
          <w:sz w:val="22"/>
        </w:rPr>
        <w:t>Vartojant metamizolo ir geriant daug alkoholinių gėrimų, didėja nepageidaujamo poveikio virškinimo traktui pavojus.</w:t>
      </w:r>
    </w:p>
    <w:p w14:paraId="109F69DC" w14:textId="77777777" w:rsidR="00A052FA" w:rsidRPr="0082224B" w:rsidRDefault="00A052FA" w:rsidP="00240DB9">
      <w:pPr>
        <w:pStyle w:val="Sraopastraipa"/>
        <w:numPr>
          <w:ilvl w:val="0"/>
          <w:numId w:val="27"/>
        </w:numPr>
        <w:ind w:left="567" w:hanging="567"/>
      </w:pPr>
      <w:r w:rsidRPr="00240DB9">
        <w:rPr>
          <w:sz w:val="22"/>
        </w:rPr>
        <w:t xml:space="preserve">Nustatyta, kad NVNU didina </w:t>
      </w:r>
      <w:proofErr w:type="spellStart"/>
      <w:r w:rsidRPr="00240DB9">
        <w:rPr>
          <w:sz w:val="22"/>
        </w:rPr>
        <w:t>metotreksato</w:t>
      </w:r>
      <w:proofErr w:type="spellEnd"/>
      <w:r w:rsidRPr="00240DB9">
        <w:rPr>
          <w:sz w:val="22"/>
        </w:rPr>
        <w:t xml:space="preserve"> ir ličio vaistinių preparatų koncentraciją kraujo serume. Be to, galima NVNU sąveika su antihipertenziniais vaistiniais preparatais (beta adrenoblokatoriais, kalcio kanalų blokatoriais, AKF inhibitoriais), diuretikais. Nežinoma, ar pasireiškia metamizolo ir šių vaistinių preparatų sąveika.</w:t>
      </w:r>
    </w:p>
    <w:p w14:paraId="4EACD950" w14:textId="77777777" w:rsidR="00A052FA" w:rsidRPr="0082224B" w:rsidRDefault="00A052FA" w:rsidP="00240DB9">
      <w:pPr>
        <w:pStyle w:val="Sraopastraipa"/>
        <w:numPr>
          <w:ilvl w:val="0"/>
          <w:numId w:val="27"/>
        </w:numPr>
        <w:ind w:left="567" w:hanging="567"/>
      </w:pPr>
      <w:r w:rsidRPr="00240DB9">
        <w:rPr>
          <w:sz w:val="22"/>
        </w:rPr>
        <w:lastRenderedPageBreak/>
        <w:t xml:space="preserve">Kartu vartojamas </w:t>
      </w:r>
      <w:proofErr w:type="spellStart"/>
      <w:r w:rsidRPr="00240DB9">
        <w:rPr>
          <w:sz w:val="22"/>
        </w:rPr>
        <w:t>metamizolas</w:t>
      </w:r>
      <w:proofErr w:type="spellEnd"/>
      <w:r w:rsidRPr="00240DB9">
        <w:rPr>
          <w:sz w:val="22"/>
        </w:rPr>
        <w:t xml:space="preserve"> gali sumažinti </w:t>
      </w:r>
      <w:proofErr w:type="spellStart"/>
      <w:r w:rsidRPr="00240DB9">
        <w:rPr>
          <w:sz w:val="22"/>
        </w:rPr>
        <w:t>acetilsalicilo</w:t>
      </w:r>
      <w:proofErr w:type="spellEnd"/>
      <w:r w:rsidRPr="00240DB9">
        <w:rPr>
          <w:sz w:val="22"/>
        </w:rPr>
        <w:t xml:space="preserve"> rūgšties poveikį trombocitų </w:t>
      </w:r>
      <w:proofErr w:type="spellStart"/>
      <w:r w:rsidRPr="00240DB9">
        <w:rPr>
          <w:sz w:val="22"/>
        </w:rPr>
        <w:t>agregacijai</w:t>
      </w:r>
      <w:proofErr w:type="spellEnd"/>
      <w:r w:rsidRPr="00240DB9">
        <w:rPr>
          <w:sz w:val="22"/>
        </w:rPr>
        <w:t>. Todėl šį derinį reikia vartoti atsargiai pacientams, vartojantiems mažas aspirino (</w:t>
      </w:r>
      <w:proofErr w:type="spellStart"/>
      <w:r w:rsidRPr="00240DB9">
        <w:rPr>
          <w:sz w:val="22"/>
        </w:rPr>
        <w:t>acetilsalicilo</w:t>
      </w:r>
      <w:proofErr w:type="spellEnd"/>
      <w:r w:rsidRPr="00240DB9">
        <w:rPr>
          <w:sz w:val="22"/>
        </w:rPr>
        <w:t xml:space="preserve"> rūgšties) dozes </w:t>
      </w:r>
      <w:proofErr w:type="spellStart"/>
      <w:r w:rsidRPr="00240DB9">
        <w:rPr>
          <w:sz w:val="22"/>
        </w:rPr>
        <w:t>kardioprotekcijai</w:t>
      </w:r>
      <w:proofErr w:type="spellEnd"/>
      <w:r w:rsidRPr="00240DB9">
        <w:rPr>
          <w:sz w:val="22"/>
        </w:rPr>
        <w:t>.</w:t>
      </w:r>
    </w:p>
    <w:p w14:paraId="5819BB56" w14:textId="77777777" w:rsidR="00A052FA" w:rsidRPr="0082224B" w:rsidRDefault="00A052FA" w:rsidP="00240DB9">
      <w:pPr>
        <w:pStyle w:val="Sraopastraipa"/>
        <w:numPr>
          <w:ilvl w:val="0"/>
          <w:numId w:val="27"/>
        </w:numPr>
        <w:ind w:left="567" w:hanging="567"/>
      </w:pPr>
      <w:r w:rsidRPr="00240DB9">
        <w:rPr>
          <w:sz w:val="22"/>
        </w:rPr>
        <w:t xml:space="preserve">Farmakokinetinė metabolizuojančių fermentų indukcija -  Metamizolas gali indukuoti metabolizuojančius fermentus, įskaitant CYP2B6 ir CYP3A4. </w:t>
      </w:r>
      <w:proofErr w:type="spellStart"/>
      <w:r w:rsidRPr="00240DB9">
        <w:rPr>
          <w:sz w:val="22"/>
        </w:rPr>
        <w:t>Metamizolą</w:t>
      </w:r>
      <w:proofErr w:type="spellEnd"/>
      <w:r w:rsidRPr="00240DB9">
        <w:rPr>
          <w:sz w:val="22"/>
        </w:rPr>
        <w:t xml:space="preserve"> vartojant kartu su bupropionu, efavirenzu, metadonu, valproatu, </w:t>
      </w:r>
      <w:proofErr w:type="spellStart"/>
      <w:r w:rsidRPr="00240DB9">
        <w:rPr>
          <w:sz w:val="22"/>
        </w:rPr>
        <w:t>ciklosporinu</w:t>
      </w:r>
      <w:proofErr w:type="spellEnd"/>
      <w:r w:rsidRPr="00240DB9">
        <w:rPr>
          <w:sz w:val="22"/>
        </w:rPr>
        <w:t xml:space="preserve">, </w:t>
      </w:r>
      <w:proofErr w:type="spellStart"/>
      <w:r w:rsidRPr="00240DB9">
        <w:rPr>
          <w:sz w:val="22"/>
        </w:rPr>
        <w:t>takrolimuzu</w:t>
      </w:r>
      <w:proofErr w:type="spellEnd"/>
      <w:r w:rsidRPr="00240DB9">
        <w:rPr>
          <w:sz w:val="22"/>
        </w:rPr>
        <w:t xml:space="preserve"> arba </w:t>
      </w:r>
      <w:proofErr w:type="spellStart"/>
      <w:r w:rsidRPr="00240DB9">
        <w:rPr>
          <w:sz w:val="22"/>
        </w:rPr>
        <w:t>sertralinu</w:t>
      </w:r>
      <w:proofErr w:type="spellEnd"/>
      <w:r w:rsidRPr="00240DB9">
        <w:rPr>
          <w:sz w:val="22"/>
        </w:rPr>
        <w:t>, gali sumažėti šių vaistinių preparatų koncentracija plazmoje ir gali sumažėti jų klinikinis veiksmingumas. Todėl, kai vartojama minėtų vaistinių preparatų ir metamizolo derinio, rekomenduojama imtis atitinkamų atsargumo priemonių; prireikus, reikia stebėti klinikinį atsaką į gydymą ir (arba) vaistinių preparatų koncentracijas kraujyje.</w:t>
      </w:r>
    </w:p>
    <w:p w14:paraId="6E34B3F2" w14:textId="77777777" w:rsidR="00A052FA" w:rsidRPr="0082224B" w:rsidRDefault="00A052FA" w:rsidP="00240DB9">
      <w:pPr>
        <w:ind w:left="567" w:hanging="567"/>
      </w:pPr>
    </w:p>
    <w:p w14:paraId="76E845B8" w14:textId="2050989A" w:rsidR="00A052FA" w:rsidRPr="00BD03D8" w:rsidRDefault="00A052FA" w:rsidP="00A052FA">
      <w:pPr>
        <w:pStyle w:val="PI-2EMEASMCA"/>
      </w:pPr>
      <w:bookmarkStart w:id="24" w:name="_Toc129243107"/>
      <w:bookmarkStart w:id="25" w:name="_Toc129243232"/>
      <w:r w:rsidRPr="00BD03D8">
        <w:t>4.6</w:t>
      </w:r>
      <w:r w:rsidRPr="00BD03D8">
        <w:tab/>
        <w:t>Vaisingumas, nėštumo ir žindymo laikotarpis</w:t>
      </w:r>
      <w:bookmarkEnd w:id="24"/>
      <w:bookmarkEnd w:id="25"/>
    </w:p>
    <w:p w14:paraId="47C798F5" w14:textId="77777777" w:rsidR="00A052FA" w:rsidRPr="00BD03D8" w:rsidRDefault="00A052FA" w:rsidP="00634EE3">
      <w:pPr>
        <w:pStyle w:val="BTEMEASMCA"/>
      </w:pPr>
    </w:p>
    <w:p w14:paraId="4F43C53F" w14:textId="77777777" w:rsidR="00A052FA" w:rsidRPr="00BD03D8" w:rsidRDefault="00A052FA" w:rsidP="00A052FA">
      <w:pPr>
        <w:rPr>
          <w:sz w:val="22"/>
          <w:szCs w:val="22"/>
          <w:u w:val="single"/>
        </w:rPr>
      </w:pPr>
      <w:r w:rsidRPr="00BD03D8">
        <w:rPr>
          <w:sz w:val="22"/>
          <w:szCs w:val="22"/>
          <w:u w:val="single"/>
        </w:rPr>
        <w:t>Nėštumas</w:t>
      </w:r>
    </w:p>
    <w:p w14:paraId="75F2DE58" w14:textId="77777777" w:rsidR="00A052FA" w:rsidRPr="00BD03D8" w:rsidRDefault="00A052FA" w:rsidP="00A052FA">
      <w:pPr>
        <w:rPr>
          <w:sz w:val="22"/>
          <w:szCs w:val="22"/>
          <w:u w:val="single"/>
        </w:rPr>
      </w:pPr>
    </w:p>
    <w:p w14:paraId="0148DBB8" w14:textId="77777777" w:rsidR="00A052FA" w:rsidRPr="00BD03D8" w:rsidRDefault="00A052FA" w:rsidP="00A052FA">
      <w:pPr>
        <w:rPr>
          <w:sz w:val="22"/>
          <w:szCs w:val="22"/>
        </w:rPr>
      </w:pPr>
      <w:r w:rsidRPr="00BD03D8">
        <w:rPr>
          <w:sz w:val="22"/>
          <w:szCs w:val="22"/>
        </w:rPr>
        <w:t>Duomenų apie metamizolo vartojimą nėštumo metu nėra daug.</w:t>
      </w:r>
    </w:p>
    <w:p w14:paraId="6321DE29" w14:textId="77777777" w:rsidR="00A052FA" w:rsidRPr="00BD03D8" w:rsidRDefault="00A052FA" w:rsidP="00A052FA">
      <w:pPr>
        <w:rPr>
          <w:sz w:val="22"/>
          <w:szCs w:val="22"/>
        </w:rPr>
      </w:pPr>
    </w:p>
    <w:p w14:paraId="2554AD34" w14:textId="77777777" w:rsidR="00A052FA" w:rsidRPr="00BD03D8" w:rsidRDefault="00A052FA" w:rsidP="00A052FA">
      <w:pPr>
        <w:rPr>
          <w:sz w:val="22"/>
          <w:szCs w:val="22"/>
        </w:rPr>
      </w:pPr>
      <w:r w:rsidRPr="00BD03D8">
        <w:rPr>
          <w:sz w:val="22"/>
          <w:szCs w:val="22"/>
        </w:rPr>
        <w:t xml:space="preserve">Remiantis paskelbtais nėščiųjų, kurios vartojo metamizolo pirmą trimestrą (n=568), tyrimų duomenimis, teratogeninio poveikio ir toksinio poveikio embrionui įrodymų nenustatyta. Tam tikrais atvejais, nesant kitokio gydymo pasirinkimo galimybių, vartoti pavienes metamizolo dozes pirmą ir antrą trimestrą gali būti priimtina. Vis dėlto, apskritai vartoti metamizolo pirmą ir antrą trimestrą nerekomenduojama. Jo vartojimas trečią trimestrą siejamas su </w:t>
      </w:r>
      <w:proofErr w:type="spellStart"/>
      <w:r w:rsidRPr="00BD03D8">
        <w:rPr>
          <w:sz w:val="22"/>
          <w:szCs w:val="22"/>
        </w:rPr>
        <w:t>fetotoksiškumu</w:t>
      </w:r>
      <w:proofErr w:type="spellEnd"/>
      <w:r w:rsidRPr="00BD03D8">
        <w:rPr>
          <w:sz w:val="22"/>
          <w:szCs w:val="22"/>
        </w:rPr>
        <w:t xml:space="preserve"> (inkstų pažeidimu ir arterinio latako užsivėrimu), todėl trečią nėštumo trimestrą vartoti metamizolo draudžiama (žr. 4.3 skyrių). Atsitiktinai pavartojus metamizolo trečią trimestrą, reikia tikrinti vaisiaus vandenų ir arterinio latako būklę atliekant ultragarsinį tyrimą ir </w:t>
      </w:r>
      <w:proofErr w:type="spellStart"/>
      <w:r w:rsidRPr="00BD03D8">
        <w:rPr>
          <w:sz w:val="22"/>
          <w:szCs w:val="22"/>
        </w:rPr>
        <w:t>echokardiografiją</w:t>
      </w:r>
      <w:proofErr w:type="spellEnd"/>
      <w:r w:rsidRPr="00BD03D8">
        <w:rPr>
          <w:sz w:val="22"/>
          <w:szCs w:val="22"/>
        </w:rPr>
        <w:t>.</w:t>
      </w:r>
    </w:p>
    <w:p w14:paraId="3C856ED2" w14:textId="77777777" w:rsidR="00A052FA" w:rsidRPr="00BD03D8" w:rsidRDefault="00A052FA" w:rsidP="00A052FA">
      <w:pPr>
        <w:rPr>
          <w:sz w:val="22"/>
          <w:szCs w:val="22"/>
        </w:rPr>
      </w:pPr>
    </w:p>
    <w:p w14:paraId="65F93A57" w14:textId="77777777" w:rsidR="00A052FA" w:rsidRPr="00BD03D8" w:rsidRDefault="00A052FA" w:rsidP="00A052FA">
      <w:pPr>
        <w:rPr>
          <w:sz w:val="22"/>
          <w:szCs w:val="22"/>
        </w:rPr>
      </w:pPr>
      <w:r w:rsidRPr="00BD03D8">
        <w:rPr>
          <w:sz w:val="22"/>
          <w:szCs w:val="22"/>
        </w:rPr>
        <w:t>Metamizolas prasiskverbia pro placentos barjerą.</w:t>
      </w:r>
    </w:p>
    <w:p w14:paraId="25400375" w14:textId="77777777" w:rsidR="00A052FA" w:rsidRPr="00BD03D8" w:rsidRDefault="00A052FA" w:rsidP="00A052FA">
      <w:pPr>
        <w:rPr>
          <w:sz w:val="22"/>
          <w:szCs w:val="22"/>
        </w:rPr>
      </w:pPr>
    </w:p>
    <w:p w14:paraId="23D16FE7" w14:textId="77777777" w:rsidR="00A052FA" w:rsidRPr="00BD03D8" w:rsidRDefault="00A052FA" w:rsidP="00A052FA">
      <w:pPr>
        <w:rPr>
          <w:sz w:val="22"/>
          <w:szCs w:val="22"/>
        </w:rPr>
      </w:pPr>
      <w:r w:rsidRPr="00BD03D8">
        <w:rPr>
          <w:sz w:val="22"/>
          <w:szCs w:val="22"/>
        </w:rPr>
        <w:t xml:space="preserve">Atliekant tyrimus su gyvūnais, </w:t>
      </w:r>
      <w:proofErr w:type="spellStart"/>
      <w:r w:rsidRPr="00BD03D8">
        <w:rPr>
          <w:sz w:val="22"/>
          <w:szCs w:val="22"/>
        </w:rPr>
        <w:t>metamizolas</w:t>
      </w:r>
      <w:proofErr w:type="spellEnd"/>
      <w:r w:rsidRPr="00BD03D8">
        <w:rPr>
          <w:sz w:val="22"/>
          <w:szCs w:val="22"/>
        </w:rPr>
        <w:t xml:space="preserve"> sukėlė toksinį poveikį reprodukcijai, bet </w:t>
      </w:r>
      <w:proofErr w:type="spellStart"/>
      <w:r w:rsidRPr="00BD03D8">
        <w:rPr>
          <w:sz w:val="22"/>
          <w:szCs w:val="22"/>
        </w:rPr>
        <w:t>teratogeniškumo</w:t>
      </w:r>
      <w:proofErr w:type="spellEnd"/>
      <w:r w:rsidRPr="00BD03D8">
        <w:rPr>
          <w:sz w:val="22"/>
          <w:szCs w:val="22"/>
        </w:rPr>
        <w:t xml:space="preserve"> nenustatyta (žr. 5.3 skyrių).</w:t>
      </w:r>
    </w:p>
    <w:p w14:paraId="34BEC6F0" w14:textId="77777777" w:rsidR="00A052FA" w:rsidRPr="00BD03D8" w:rsidRDefault="00A052FA" w:rsidP="00A052FA">
      <w:pPr>
        <w:rPr>
          <w:sz w:val="22"/>
          <w:szCs w:val="22"/>
        </w:rPr>
      </w:pPr>
    </w:p>
    <w:p w14:paraId="15E2ACBF" w14:textId="77777777" w:rsidR="00A052FA" w:rsidRPr="00BD03D8" w:rsidRDefault="00A052FA" w:rsidP="00A052FA">
      <w:pPr>
        <w:rPr>
          <w:sz w:val="22"/>
          <w:szCs w:val="22"/>
          <w:u w:val="single"/>
        </w:rPr>
      </w:pPr>
      <w:r w:rsidRPr="00BD03D8">
        <w:rPr>
          <w:sz w:val="22"/>
          <w:szCs w:val="22"/>
          <w:u w:val="single"/>
        </w:rPr>
        <w:t>Žindymas</w:t>
      </w:r>
    </w:p>
    <w:p w14:paraId="3409E0C5" w14:textId="77777777" w:rsidR="00A052FA" w:rsidRPr="00BD03D8" w:rsidRDefault="00A052FA" w:rsidP="00A052FA">
      <w:pPr>
        <w:rPr>
          <w:sz w:val="22"/>
          <w:szCs w:val="22"/>
          <w:u w:val="single"/>
        </w:rPr>
      </w:pPr>
    </w:p>
    <w:p w14:paraId="7A00C70B" w14:textId="77777777" w:rsidR="00A052FA" w:rsidRPr="00BD03D8" w:rsidRDefault="00A052FA" w:rsidP="00A052FA">
      <w:pPr>
        <w:rPr>
          <w:sz w:val="22"/>
          <w:szCs w:val="22"/>
        </w:rPr>
      </w:pPr>
      <w:r w:rsidRPr="00BD03D8">
        <w:rPr>
          <w:sz w:val="22"/>
          <w:szCs w:val="22"/>
        </w:rPr>
        <w:t>Didelis kiekis metamizolo skilimo produktų patenka į motinos pieną, todėl negalima atmesti pavojaus žindomam kūdikiui galimybės. Dėl šios priežasties žindymo laikotarpiu reikia vengti vartoti metamizolo, ypač pakartotinai. Pavartojus metamizolo vieną kartą, motinoms rekomenduojama 48 valandas po dozės pavartojimo nusitraukti ir išpilti pieną.</w:t>
      </w:r>
    </w:p>
    <w:p w14:paraId="0AE0FD44" w14:textId="77777777" w:rsidR="00A052FA" w:rsidRPr="00BD03D8" w:rsidRDefault="00A052FA" w:rsidP="00634EE3">
      <w:pPr>
        <w:pStyle w:val="BTEMEASMCA"/>
      </w:pPr>
    </w:p>
    <w:p w14:paraId="7460CE60" w14:textId="7E2707B1" w:rsidR="00A052FA" w:rsidRPr="00BD03D8" w:rsidRDefault="00A052FA" w:rsidP="00A052FA">
      <w:pPr>
        <w:pStyle w:val="PI-2EMEASMCA"/>
      </w:pPr>
      <w:bookmarkStart w:id="26" w:name="_Toc129243108"/>
      <w:bookmarkStart w:id="27" w:name="_Toc129243233"/>
      <w:r w:rsidRPr="00BD03D8">
        <w:t>4.7</w:t>
      </w:r>
      <w:r w:rsidRPr="00BD03D8">
        <w:tab/>
        <w:t>Poveikis gebėjimui vairuoti ir valdyti mechanizmus</w:t>
      </w:r>
      <w:bookmarkEnd w:id="26"/>
      <w:bookmarkEnd w:id="27"/>
    </w:p>
    <w:p w14:paraId="40DA2D50" w14:textId="77777777" w:rsidR="00A052FA" w:rsidRPr="00BD03D8" w:rsidRDefault="00A052FA" w:rsidP="00634EE3">
      <w:pPr>
        <w:pStyle w:val="BTEMEASMCA"/>
      </w:pPr>
    </w:p>
    <w:p w14:paraId="0D093A65" w14:textId="77777777" w:rsidR="00A052FA" w:rsidRPr="00BD03D8" w:rsidRDefault="00A052FA" w:rsidP="00634EE3">
      <w:pPr>
        <w:pStyle w:val="BTEMEASMCA"/>
        <w:rPr>
          <w:lang w:eastAsia="lt-LT"/>
        </w:rPr>
      </w:pPr>
      <w:r w:rsidRPr="00BD03D8">
        <w:rPr>
          <w:lang w:eastAsia="lt-LT"/>
        </w:rPr>
        <w:t>Vartojant metamizolo, gali atsirasti galvos svaigimas ir mieguistumas. Jeigu pacientui pasireiškia toks poveikis, vairuoti ir valdyti mechanizmų nerekomenduojama.</w:t>
      </w:r>
    </w:p>
    <w:p w14:paraId="3611F07C" w14:textId="77777777" w:rsidR="00A052FA" w:rsidRPr="00BD03D8" w:rsidRDefault="00A052FA" w:rsidP="00634EE3">
      <w:pPr>
        <w:pStyle w:val="BTEMEASMCA"/>
      </w:pPr>
    </w:p>
    <w:p w14:paraId="69439CF0" w14:textId="3097E895" w:rsidR="00A052FA" w:rsidRPr="00BD03D8" w:rsidRDefault="00A052FA" w:rsidP="00A052FA">
      <w:pPr>
        <w:pStyle w:val="PI-2EMEASMCA"/>
      </w:pPr>
      <w:bookmarkStart w:id="28" w:name="_Toc129243109"/>
      <w:bookmarkStart w:id="29" w:name="_Toc129243234"/>
      <w:r w:rsidRPr="00BD03D8">
        <w:t>4.8</w:t>
      </w:r>
      <w:r w:rsidRPr="00BD03D8">
        <w:tab/>
        <w:t>Nepageidaujamas poveikis</w:t>
      </w:r>
      <w:bookmarkEnd w:id="28"/>
      <w:bookmarkEnd w:id="29"/>
    </w:p>
    <w:p w14:paraId="61E87F7F" w14:textId="77777777" w:rsidR="00A052FA" w:rsidRPr="00BD03D8" w:rsidRDefault="00A052FA" w:rsidP="00634EE3">
      <w:pPr>
        <w:pStyle w:val="BTEMEASMCA"/>
      </w:pPr>
    </w:p>
    <w:p w14:paraId="2F7022F3" w14:textId="4F197F38" w:rsidR="00A052FA" w:rsidRPr="00BD03D8" w:rsidRDefault="00A052FA" w:rsidP="00A052FA">
      <w:pPr>
        <w:autoSpaceDE w:val="0"/>
        <w:contextualSpacing/>
      </w:pPr>
      <w:r w:rsidRPr="00BD03D8">
        <w:rPr>
          <w:sz w:val="22"/>
          <w:szCs w:val="22"/>
        </w:rPr>
        <w:t>Nepageidaujamo poveikio dažnis apibūdinamas taip: labai dažnas (≥ 1/10), dažnas (nuo ≥ 1/100 iki &lt; 1/10), nedažnas (nuo ≥ 1/1</w:t>
      </w:r>
      <w:r w:rsidR="007B6830">
        <w:rPr>
          <w:sz w:val="22"/>
          <w:szCs w:val="22"/>
        </w:rPr>
        <w:t xml:space="preserve"> </w:t>
      </w:r>
      <w:r w:rsidRPr="00BD03D8">
        <w:rPr>
          <w:sz w:val="22"/>
          <w:szCs w:val="22"/>
        </w:rPr>
        <w:t>000 iki &lt; 1/100), retas (nuo ≥ 1/10</w:t>
      </w:r>
      <w:r w:rsidR="007B6830">
        <w:rPr>
          <w:sz w:val="22"/>
          <w:szCs w:val="22"/>
        </w:rPr>
        <w:t xml:space="preserve"> </w:t>
      </w:r>
      <w:r w:rsidRPr="00BD03D8">
        <w:rPr>
          <w:sz w:val="22"/>
          <w:szCs w:val="22"/>
        </w:rPr>
        <w:t>000 iki &lt; 1/1</w:t>
      </w:r>
      <w:r w:rsidR="007B6830">
        <w:rPr>
          <w:sz w:val="22"/>
          <w:szCs w:val="22"/>
        </w:rPr>
        <w:t xml:space="preserve"> </w:t>
      </w:r>
      <w:r w:rsidRPr="00BD03D8">
        <w:rPr>
          <w:sz w:val="22"/>
          <w:szCs w:val="22"/>
        </w:rPr>
        <w:t>000), labai retas (&lt; 1/10</w:t>
      </w:r>
      <w:r w:rsidR="007B6830">
        <w:rPr>
          <w:sz w:val="22"/>
          <w:szCs w:val="22"/>
        </w:rPr>
        <w:t xml:space="preserve"> </w:t>
      </w:r>
      <w:r w:rsidRPr="00BD03D8">
        <w:rPr>
          <w:sz w:val="22"/>
          <w:szCs w:val="22"/>
        </w:rPr>
        <w:t>000) ir nežinomas (negali būti apskaičiuotas pagal turimus duomenis).</w:t>
      </w:r>
    </w:p>
    <w:p w14:paraId="7BF988C2" w14:textId="77777777" w:rsidR="00A052FA" w:rsidRPr="00BD03D8" w:rsidRDefault="00A052FA" w:rsidP="00634EE3">
      <w:pPr>
        <w:pStyle w:val="BTEMEASMCA"/>
      </w:pPr>
    </w:p>
    <w:p w14:paraId="2F007B6E" w14:textId="77777777" w:rsidR="00A052FA" w:rsidRPr="00240DB9" w:rsidRDefault="00A052FA" w:rsidP="00A052FA">
      <w:pPr>
        <w:pStyle w:val="Pavadinimas"/>
        <w:jc w:val="left"/>
        <w:rPr>
          <w:rFonts w:ascii="Times New Roman" w:hAnsi="Times New Roman"/>
          <w:b w:val="0"/>
          <w:sz w:val="22"/>
          <w:u w:val="single"/>
        </w:rPr>
      </w:pPr>
      <w:r w:rsidRPr="00240DB9">
        <w:rPr>
          <w:rFonts w:ascii="Times New Roman" w:hAnsi="Times New Roman"/>
          <w:b w:val="0"/>
          <w:sz w:val="22"/>
          <w:u w:val="single"/>
        </w:rPr>
        <w:t>Kraujo ir limfinės sistemos sutrikimai</w:t>
      </w:r>
    </w:p>
    <w:p w14:paraId="408BF5AA" w14:textId="77777777" w:rsidR="00A052FA" w:rsidRPr="00BD03D8" w:rsidRDefault="00A052FA" w:rsidP="00A052FA">
      <w:pPr>
        <w:rPr>
          <w:sz w:val="22"/>
          <w:szCs w:val="22"/>
        </w:rPr>
      </w:pPr>
      <w:r w:rsidRPr="00BD03D8">
        <w:rPr>
          <w:sz w:val="22"/>
          <w:szCs w:val="22"/>
        </w:rPr>
        <w:t xml:space="preserve">Retas: leukopenija. </w:t>
      </w:r>
    </w:p>
    <w:p w14:paraId="545C5844" w14:textId="77777777" w:rsidR="00A052FA" w:rsidRPr="00BD03D8" w:rsidRDefault="00A052FA" w:rsidP="00A052FA">
      <w:pPr>
        <w:rPr>
          <w:sz w:val="22"/>
          <w:szCs w:val="22"/>
        </w:rPr>
      </w:pPr>
      <w:r w:rsidRPr="00BD03D8">
        <w:rPr>
          <w:sz w:val="22"/>
          <w:szCs w:val="22"/>
        </w:rPr>
        <w:t>Labai retas: trombocitopenija, agranulocitozė.</w:t>
      </w:r>
    </w:p>
    <w:p w14:paraId="75B31CEA" w14:textId="77777777" w:rsidR="00A052FA" w:rsidRPr="00BD03D8" w:rsidRDefault="00A052FA" w:rsidP="00A052FA">
      <w:pPr>
        <w:rPr>
          <w:sz w:val="22"/>
          <w:szCs w:val="22"/>
        </w:rPr>
      </w:pPr>
    </w:p>
    <w:p w14:paraId="736932A4" w14:textId="77777777" w:rsidR="00A052FA" w:rsidRPr="00BD03D8" w:rsidRDefault="00A052FA" w:rsidP="00A052FA">
      <w:pPr>
        <w:rPr>
          <w:sz w:val="22"/>
          <w:szCs w:val="22"/>
          <w:u w:val="single"/>
        </w:rPr>
      </w:pPr>
      <w:r w:rsidRPr="00BD03D8">
        <w:rPr>
          <w:sz w:val="22"/>
          <w:szCs w:val="22"/>
          <w:u w:val="single"/>
        </w:rPr>
        <w:t>Imuninės sistemos sutrikimai</w:t>
      </w:r>
    </w:p>
    <w:p w14:paraId="25C8C4AD" w14:textId="77777777" w:rsidR="00A052FA" w:rsidRPr="00BD03D8" w:rsidRDefault="00A052FA" w:rsidP="00A052FA">
      <w:pPr>
        <w:rPr>
          <w:sz w:val="22"/>
          <w:szCs w:val="22"/>
        </w:rPr>
      </w:pPr>
      <w:r w:rsidRPr="00BD03D8">
        <w:rPr>
          <w:sz w:val="22"/>
          <w:szCs w:val="22"/>
        </w:rPr>
        <w:t>Retas: anafilaksinė ar anafilaktoidinė reakcija, dilgėlinė, odos išbėrimas, angioneurozinė edema, bronchų spazmas.</w:t>
      </w:r>
    </w:p>
    <w:p w14:paraId="561724B7" w14:textId="77777777" w:rsidR="00A052FA" w:rsidRPr="00BD03D8" w:rsidRDefault="00A052FA" w:rsidP="00A052FA">
      <w:pPr>
        <w:rPr>
          <w:sz w:val="22"/>
          <w:szCs w:val="22"/>
        </w:rPr>
      </w:pPr>
    </w:p>
    <w:p w14:paraId="50E86D0D" w14:textId="77777777" w:rsidR="00A052FA" w:rsidRPr="00BD03D8" w:rsidRDefault="00A052FA" w:rsidP="00A052FA">
      <w:pPr>
        <w:rPr>
          <w:sz w:val="22"/>
          <w:szCs w:val="22"/>
          <w:u w:val="single"/>
        </w:rPr>
      </w:pPr>
      <w:r w:rsidRPr="00BD03D8">
        <w:rPr>
          <w:sz w:val="22"/>
          <w:szCs w:val="22"/>
          <w:u w:val="single"/>
        </w:rPr>
        <w:lastRenderedPageBreak/>
        <w:t>Kraujagyslių sutrikimai</w:t>
      </w:r>
    </w:p>
    <w:p w14:paraId="7FAC6D20" w14:textId="77777777" w:rsidR="00A052FA" w:rsidRPr="00BD03D8" w:rsidRDefault="00A052FA" w:rsidP="00A052FA">
      <w:pPr>
        <w:rPr>
          <w:noProof/>
          <w:sz w:val="22"/>
          <w:szCs w:val="22"/>
        </w:rPr>
      </w:pPr>
      <w:r w:rsidRPr="00BD03D8">
        <w:rPr>
          <w:sz w:val="22"/>
          <w:szCs w:val="22"/>
        </w:rPr>
        <w:t xml:space="preserve">Nedažnas: hipotenzija. </w:t>
      </w:r>
      <w:r w:rsidRPr="00BD03D8">
        <w:rPr>
          <w:noProof/>
          <w:sz w:val="22"/>
          <w:szCs w:val="22"/>
        </w:rPr>
        <w:t xml:space="preserve">Tai gali būti tik dėl vaistinio preparato poveikio be anafilaktoidinės ar anafilaksijos reakcijų. Tik retais atvejais esti labai stiprus </w:t>
      </w:r>
      <w:r w:rsidRPr="00BD03D8">
        <w:rPr>
          <w:sz w:val="22"/>
          <w:szCs w:val="22"/>
        </w:rPr>
        <w:t>kraujospūdžio</w:t>
      </w:r>
      <w:r w:rsidRPr="00BD03D8">
        <w:rPr>
          <w:noProof/>
          <w:sz w:val="22"/>
          <w:szCs w:val="22"/>
        </w:rPr>
        <w:t xml:space="preserve"> sumažėjimas. Greitas vaistinio preparato suleidimas į veną tokios hipotenzinės reakcijos riziką padidina.</w:t>
      </w:r>
    </w:p>
    <w:p w14:paraId="14E369ED" w14:textId="77777777" w:rsidR="00A052FA" w:rsidRPr="00BD03D8" w:rsidRDefault="00A052FA" w:rsidP="00A052FA">
      <w:pPr>
        <w:rPr>
          <w:sz w:val="22"/>
          <w:szCs w:val="22"/>
        </w:rPr>
      </w:pPr>
      <w:r w:rsidRPr="00BD03D8">
        <w:rPr>
          <w:sz w:val="22"/>
          <w:szCs w:val="22"/>
        </w:rPr>
        <w:t>Labai retas: flebitas.</w:t>
      </w:r>
    </w:p>
    <w:p w14:paraId="736361F7" w14:textId="77777777" w:rsidR="00A052FA" w:rsidRPr="00BD03D8" w:rsidRDefault="00A052FA" w:rsidP="00A052FA">
      <w:pPr>
        <w:rPr>
          <w:sz w:val="22"/>
          <w:szCs w:val="22"/>
        </w:rPr>
      </w:pPr>
    </w:p>
    <w:p w14:paraId="46B23BC3" w14:textId="77777777" w:rsidR="00A052FA" w:rsidRPr="00BD03D8" w:rsidRDefault="00A052FA" w:rsidP="00A052FA">
      <w:pPr>
        <w:rPr>
          <w:sz w:val="22"/>
          <w:szCs w:val="22"/>
          <w:u w:val="single"/>
        </w:rPr>
      </w:pPr>
      <w:r w:rsidRPr="00BD03D8">
        <w:rPr>
          <w:sz w:val="22"/>
          <w:szCs w:val="22"/>
          <w:u w:val="single"/>
        </w:rPr>
        <w:t>Odos ir poodinio audinio sutrikimai</w:t>
      </w:r>
    </w:p>
    <w:p w14:paraId="3EAB8B92" w14:textId="77777777" w:rsidR="00A052FA" w:rsidRPr="00BD03D8" w:rsidRDefault="00A052FA" w:rsidP="00A052FA">
      <w:pPr>
        <w:rPr>
          <w:sz w:val="22"/>
          <w:szCs w:val="22"/>
        </w:rPr>
      </w:pPr>
      <w:r w:rsidRPr="00BD03D8">
        <w:rPr>
          <w:sz w:val="22"/>
          <w:szCs w:val="22"/>
        </w:rPr>
        <w:t xml:space="preserve">Nedažnas: </w:t>
      </w:r>
      <w:proofErr w:type="spellStart"/>
      <w:r w:rsidRPr="00BD03D8">
        <w:rPr>
          <w:sz w:val="22"/>
          <w:szCs w:val="22"/>
        </w:rPr>
        <w:t>egzantema</w:t>
      </w:r>
      <w:proofErr w:type="spellEnd"/>
      <w:r w:rsidRPr="00BD03D8">
        <w:rPr>
          <w:sz w:val="22"/>
          <w:szCs w:val="22"/>
        </w:rPr>
        <w:t>.</w:t>
      </w:r>
    </w:p>
    <w:p w14:paraId="561630D0" w14:textId="77777777" w:rsidR="00A052FA" w:rsidRPr="00BD03D8" w:rsidRDefault="00A052FA" w:rsidP="00A052FA">
      <w:pPr>
        <w:rPr>
          <w:sz w:val="22"/>
          <w:szCs w:val="22"/>
        </w:rPr>
      </w:pPr>
      <w:r w:rsidRPr="00BD03D8">
        <w:rPr>
          <w:sz w:val="22"/>
          <w:szCs w:val="22"/>
        </w:rPr>
        <w:t xml:space="preserve">Retas: kitoks odos išbėrimas. </w:t>
      </w:r>
    </w:p>
    <w:p w14:paraId="74B3D008" w14:textId="1121DC41" w:rsidR="007B6830" w:rsidRDefault="00A052FA" w:rsidP="00A052FA">
      <w:pPr>
        <w:rPr>
          <w:sz w:val="22"/>
          <w:szCs w:val="22"/>
        </w:rPr>
      </w:pPr>
      <w:r w:rsidRPr="00BD03D8">
        <w:rPr>
          <w:sz w:val="22"/>
          <w:szCs w:val="22"/>
        </w:rPr>
        <w:t xml:space="preserve">Labai retas: paprastoji </w:t>
      </w:r>
      <w:proofErr w:type="spellStart"/>
      <w:r w:rsidRPr="00BD03D8">
        <w:rPr>
          <w:sz w:val="22"/>
          <w:szCs w:val="22"/>
        </w:rPr>
        <w:t>pūslinė</w:t>
      </w:r>
      <w:proofErr w:type="spellEnd"/>
      <w:r w:rsidRPr="00BD03D8">
        <w:rPr>
          <w:sz w:val="22"/>
          <w:szCs w:val="22"/>
        </w:rPr>
        <w:t xml:space="preserve"> (</w:t>
      </w:r>
      <w:proofErr w:type="spellStart"/>
      <w:r w:rsidRPr="00BD03D8">
        <w:rPr>
          <w:i/>
          <w:sz w:val="22"/>
          <w:szCs w:val="22"/>
        </w:rPr>
        <w:t>pemphigus</w:t>
      </w:r>
      <w:proofErr w:type="spellEnd"/>
      <w:r w:rsidRPr="00BD03D8">
        <w:rPr>
          <w:i/>
          <w:sz w:val="22"/>
          <w:szCs w:val="22"/>
        </w:rPr>
        <w:t xml:space="preserve"> </w:t>
      </w:r>
      <w:proofErr w:type="spellStart"/>
      <w:r w:rsidRPr="00BD03D8">
        <w:rPr>
          <w:i/>
          <w:sz w:val="22"/>
          <w:szCs w:val="22"/>
        </w:rPr>
        <w:t>vulgaris</w:t>
      </w:r>
      <w:proofErr w:type="spellEnd"/>
      <w:r w:rsidRPr="00BD03D8">
        <w:rPr>
          <w:sz w:val="22"/>
          <w:szCs w:val="22"/>
        </w:rPr>
        <w:t>), jautrumo šviesai padidėjimas</w:t>
      </w:r>
      <w:r w:rsidR="007B6830">
        <w:rPr>
          <w:sz w:val="22"/>
          <w:szCs w:val="22"/>
        </w:rPr>
        <w:t>.</w:t>
      </w:r>
      <w:r w:rsidR="00EF0623" w:rsidRPr="00BD03D8">
        <w:rPr>
          <w:sz w:val="22"/>
          <w:szCs w:val="22"/>
        </w:rPr>
        <w:t xml:space="preserve"> </w:t>
      </w:r>
    </w:p>
    <w:p w14:paraId="2C5B6E0F" w14:textId="6A00A262" w:rsidR="00A052FA" w:rsidRPr="00BD03D8" w:rsidRDefault="007B6830" w:rsidP="00A052FA">
      <w:pPr>
        <w:rPr>
          <w:sz w:val="22"/>
          <w:szCs w:val="22"/>
        </w:rPr>
      </w:pPr>
      <w:r>
        <w:rPr>
          <w:sz w:val="22"/>
          <w:szCs w:val="22"/>
        </w:rPr>
        <w:t xml:space="preserve">Dažnis nežinomas: </w:t>
      </w:r>
      <w:r w:rsidR="00EF0623" w:rsidRPr="00BD03D8">
        <w:rPr>
          <w:sz w:val="22"/>
          <w:szCs w:val="22"/>
        </w:rPr>
        <w:t xml:space="preserve">reakcija į vaistinį preparatą su eozinofilija ir sisteminiais simptomais (angl. </w:t>
      </w:r>
      <w:proofErr w:type="spellStart"/>
      <w:r w:rsidR="00EF0623" w:rsidRPr="00BD03D8">
        <w:rPr>
          <w:i/>
          <w:iCs/>
          <w:sz w:val="22"/>
          <w:szCs w:val="22"/>
        </w:rPr>
        <w:t>drug</w:t>
      </w:r>
      <w:proofErr w:type="spellEnd"/>
      <w:r w:rsidR="00EF0623" w:rsidRPr="00BD03D8">
        <w:rPr>
          <w:i/>
          <w:iCs/>
          <w:sz w:val="22"/>
          <w:szCs w:val="22"/>
        </w:rPr>
        <w:t xml:space="preserve"> </w:t>
      </w:r>
      <w:proofErr w:type="spellStart"/>
      <w:r w:rsidR="00EF0623" w:rsidRPr="00BD03D8">
        <w:rPr>
          <w:i/>
          <w:iCs/>
          <w:sz w:val="22"/>
          <w:szCs w:val="22"/>
        </w:rPr>
        <w:t>reaction</w:t>
      </w:r>
      <w:proofErr w:type="spellEnd"/>
      <w:r w:rsidR="00EF0623" w:rsidRPr="00BD03D8">
        <w:rPr>
          <w:i/>
          <w:iCs/>
          <w:sz w:val="22"/>
          <w:szCs w:val="22"/>
        </w:rPr>
        <w:t xml:space="preserve"> </w:t>
      </w:r>
      <w:proofErr w:type="spellStart"/>
      <w:r w:rsidR="00EF0623" w:rsidRPr="00BD03D8">
        <w:rPr>
          <w:i/>
          <w:iCs/>
          <w:sz w:val="22"/>
          <w:szCs w:val="22"/>
        </w:rPr>
        <w:t>with</w:t>
      </w:r>
      <w:proofErr w:type="spellEnd"/>
      <w:r w:rsidR="00EF0623" w:rsidRPr="00BD03D8">
        <w:rPr>
          <w:i/>
          <w:iCs/>
          <w:sz w:val="22"/>
          <w:szCs w:val="22"/>
        </w:rPr>
        <w:t xml:space="preserve"> </w:t>
      </w:r>
      <w:proofErr w:type="spellStart"/>
      <w:r w:rsidR="00EF0623" w:rsidRPr="00BD03D8">
        <w:rPr>
          <w:i/>
          <w:iCs/>
          <w:sz w:val="22"/>
          <w:szCs w:val="22"/>
        </w:rPr>
        <w:t>eosinophilia</w:t>
      </w:r>
      <w:proofErr w:type="spellEnd"/>
      <w:r w:rsidR="00EF0623" w:rsidRPr="00BD03D8">
        <w:rPr>
          <w:i/>
          <w:iCs/>
          <w:sz w:val="22"/>
          <w:szCs w:val="22"/>
        </w:rPr>
        <w:t xml:space="preserve"> </w:t>
      </w:r>
      <w:proofErr w:type="spellStart"/>
      <w:r w:rsidR="00EF0623" w:rsidRPr="00BD03D8">
        <w:rPr>
          <w:i/>
          <w:iCs/>
          <w:sz w:val="22"/>
          <w:szCs w:val="22"/>
        </w:rPr>
        <w:t>and</w:t>
      </w:r>
      <w:proofErr w:type="spellEnd"/>
      <w:r w:rsidR="00EF0623" w:rsidRPr="00BD03D8">
        <w:rPr>
          <w:i/>
          <w:iCs/>
          <w:sz w:val="22"/>
          <w:szCs w:val="22"/>
        </w:rPr>
        <w:t xml:space="preserve"> </w:t>
      </w:r>
      <w:proofErr w:type="spellStart"/>
      <w:r w:rsidR="00EF0623" w:rsidRPr="00BD03D8">
        <w:rPr>
          <w:i/>
          <w:iCs/>
          <w:sz w:val="22"/>
          <w:szCs w:val="22"/>
        </w:rPr>
        <w:t>systemic</w:t>
      </w:r>
      <w:proofErr w:type="spellEnd"/>
      <w:r w:rsidR="00EF0623" w:rsidRPr="00BD03D8">
        <w:rPr>
          <w:i/>
          <w:iCs/>
          <w:sz w:val="22"/>
          <w:szCs w:val="22"/>
        </w:rPr>
        <w:t xml:space="preserve"> </w:t>
      </w:r>
      <w:proofErr w:type="spellStart"/>
      <w:r w:rsidR="00EF0623" w:rsidRPr="00BD03D8">
        <w:rPr>
          <w:i/>
          <w:iCs/>
          <w:sz w:val="22"/>
          <w:szCs w:val="22"/>
        </w:rPr>
        <w:t>symptoms</w:t>
      </w:r>
      <w:proofErr w:type="spellEnd"/>
      <w:r w:rsidR="00EF0623" w:rsidRPr="00BD03D8">
        <w:rPr>
          <w:i/>
          <w:iCs/>
          <w:sz w:val="22"/>
          <w:szCs w:val="22"/>
        </w:rPr>
        <w:t>;</w:t>
      </w:r>
      <w:r w:rsidR="00EF0623" w:rsidRPr="00BD03D8">
        <w:rPr>
          <w:sz w:val="22"/>
          <w:szCs w:val="22"/>
        </w:rPr>
        <w:t xml:space="preserve"> DRESS)</w:t>
      </w:r>
    </w:p>
    <w:p w14:paraId="4A9A0EC3" w14:textId="3C81B9E2" w:rsidR="00A052FA" w:rsidRPr="00BD03D8" w:rsidRDefault="00EF0623" w:rsidP="00A052FA">
      <w:pPr>
        <w:rPr>
          <w:sz w:val="22"/>
          <w:szCs w:val="22"/>
        </w:rPr>
      </w:pPr>
      <w:r w:rsidRPr="00BD03D8">
        <w:rPr>
          <w:sz w:val="22"/>
          <w:szCs w:val="22"/>
        </w:rPr>
        <w:t xml:space="preserve">Taikant gydymą metamizolu, gauta pranešimų apie sunkias nepageidaujamas odos reakcijas, įskaitant Stivenso-Džonsono sindromą (SDS), toksinę epidermio nekrolizę (TEN) ir reakciją į vaistinį preparatą su eozinofilija ir sisteminiais simptomais (angl. </w:t>
      </w:r>
      <w:proofErr w:type="spellStart"/>
      <w:r w:rsidRPr="00BD03D8">
        <w:rPr>
          <w:i/>
          <w:iCs/>
          <w:sz w:val="22"/>
          <w:szCs w:val="22"/>
        </w:rPr>
        <w:t>drug</w:t>
      </w:r>
      <w:proofErr w:type="spellEnd"/>
      <w:r w:rsidRPr="00BD03D8">
        <w:rPr>
          <w:i/>
          <w:iCs/>
          <w:sz w:val="22"/>
          <w:szCs w:val="22"/>
        </w:rPr>
        <w:t xml:space="preserve"> </w:t>
      </w:r>
      <w:proofErr w:type="spellStart"/>
      <w:r w:rsidRPr="00BD03D8">
        <w:rPr>
          <w:i/>
          <w:iCs/>
          <w:sz w:val="22"/>
          <w:szCs w:val="22"/>
        </w:rPr>
        <w:t>reaction</w:t>
      </w:r>
      <w:proofErr w:type="spellEnd"/>
      <w:r w:rsidRPr="00BD03D8">
        <w:rPr>
          <w:i/>
          <w:iCs/>
          <w:sz w:val="22"/>
          <w:szCs w:val="22"/>
        </w:rPr>
        <w:t xml:space="preserve"> </w:t>
      </w:r>
      <w:proofErr w:type="spellStart"/>
      <w:r w:rsidRPr="00BD03D8">
        <w:rPr>
          <w:i/>
          <w:iCs/>
          <w:sz w:val="22"/>
          <w:szCs w:val="22"/>
        </w:rPr>
        <w:t>with</w:t>
      </w:r>
      <w:proofErr w:type="spellEnd"/>
      <w:r w:rsidRPr="00BD03D8">
        <w:rPr>
          <w:i/>
          <w:iCs/>
          <w:sz w:val="22"/>
          <w:szCs w:val="22"/>
        </w:rPr>
        <w:t xml:space="preserve"> </w:t>
      </w:r>
      <w:proofErr w:type="spellStart"/>
      <w:r w:rsidRPr="00BD03D8">
        <w:rPr>
          <w:i/>
          <w:iCs/>
          <w:sz w:val="22"/>
          <w:szCs w:val="22"/>
        </w:rPr>
        <w:t>eosinophilia</w:t>
      </w:r>
      <w:proofErr w:type="spellEnd"/>
      <w:r w:rsidRPr="00BD03D8">
        <w:rPr>
          <w:i/>
          <w:iCs/>
          <w:sz w:val="22"/>
          <w:szCs w:val="22"/>
        </w:rPr>
        <w:t xml:space="preserve"> </w:t>
      </w:r>
      <w:proofErr w:type="spellStart"/>
      <w:r w:rsidRPr="00BD03D8">
        <w:rPr>
          <w:i/>
          <w:iCs/>
          <w:sz w:val="22"/>
          <w:szCs w:val="22"/>
        </w:rPr>
        <w:t>and</w:t>
      </w:r>
      <w:proofErr w:type="spellEnd"/>
      <w:r w:rsidRPr="00BD03D8">
        <w:rPr>
          <w:i/>
          <w:iCs/>
          <w:sz w:val="22"/>
          <w:szCs w:val="22"/>
        </w:rPr>
        <w:t xml:space="preserve"> </w:t>
      </w:r>
      <w:proofErr w:type="spellStart"/>
      <w:r w:rsidRPr="00BD03D8">
        <w:rPr>
          <w:i/>
          <w:iCs/>
          <w:sz w:val="22"/>
          <w:szCs w:val="22"/>
        </w:rPr>
        <w:t>systemic</w:t>
      </w:r>
      <w:proofErr w:type="spellEnd"/>
      <w:r w:rsidRPr="00BD03D8">
        <w:rPr>
          <w:i/>
          <w:iCs/>
          <w:sz w:val="22"/>
          <w:szCs w:val="22"/>
        </w:rPr>
        <w:t xml:space="preserve"> </w:t>
      </w:r>
      <w:proofErr w:type="spellStart"/>
      <w:r w:rsidRPr="00BD03D8">
        <w:rPr>
          <w:i/>
          <w:iCs/>
          <w:sz w:val="22"/>
          <w:szCs w:val="22"/>
        </w:rPr>
        <w:t>symptoms</w:t>
      </w:r>
      <w:proofErr w:type="spellEnd"/>
      <w:r w:rsidRPr="00BD03D8">
        <w:rPr>
          <w:i/>
          <w:iCs/>
          <w:sz w:val="22"/>
          <w:szCs w:val="22"/>
        </w:rPr>
        <w:t>;</w:t>
      </w:r>
      <w:r w:rsidRPr="00BD03D8">
        <w:rPr>
          <w:sz w:val="22"/>
          <w:szCs w:val="22"/>
        </w:rPr>
        <w:t xml:space="preserve"> DRESS) (žr. 4.4 skyrių).</w:t>
      </w:r>
    </w:p>
    <w:p w14:paraId="57C4F422" w14:textId="77777777" w:rsidR="00EF0623" w:rsidRPr="00BD03D8" w:rsidRDefault="00EF0623" w:rsidP="00A052FA">
      <w:pPr>
        <w:rPr>
          <w:sz w:val="22"/>
          <w:szCs w:val="22"/>
        </w:rPr>
      </w:pPr>
    </w:p>
    <w:p w14:paraId="13353C77" w14:textId="77777777" w:rsidR="00A052FA" w:rsidRPr="00BD03D8" w:rsidRDefault="00A052FA" w:rsidP="00A052FA">
      <w:pPr>
        <w:rPr>
          <w:sz w:val="22"/>
          <w:szCs w:val="22"/>
          <w:u w:val="single"/>
        </w:rPr>
      </w:pPr>
      <w:r w:rsidRPr="00BD03D8">
        <w:rPr>
          <w:sz w:val="22"/>
          <w:szCs w:val="22"/>
          <w:u w:val="single"/>
        </w:rPr>
        <w:t>Inkstų ir šlapimo takų sutrikimai</w:t>
      </w:r>
    </w:p>
    <w:p w14:paraId="7C5D4ABD" w14:textId="77777777" w:rsidR="00A052FA" w:rsidRPr="00BD03D8" w:rsidRDefault="00A052FA" w:rsidP="00A052FA">
      <w:pPr>
        <w:rPr>
          <w:sz w:val="22"/>
          <w:szCs w:val="22"/>
        </w:rPr>
      </w:pPr>
      <w:r w:rsidRPr="00BD03D8">
        <w:rPr>
          <w:sz w:val="22"/>
          <w:szCs w:val="22"/>
        </w:rPr>
        <w:t xml:space="preserve">Retas: inkstų funkcijos sutrikimas, </w:t>
      </w:r>
      <w:proofErr w:type="spellStart"/>
      <w:r w:rsidRPr="00BD03D8">
        <w:rPr>
          <w:sz w:val="22"/>
          <w:szCs w:val="22"/>
        </w:rPr>
        <w:t>oligurija</w:t>
      </w:r>
      <w:proofErr w:type="spellEnd"/>
      <w:r w:rsidRPr="00BD03D8">
        <w:rPr>
          <w:sz w:val="22"/>
          <w:szCs w:val="22"/>
        </w:rPr>
        <w:t xml:space="preserve">, </w:t>
      </w:r>
      <w:proofErr w:type="spellStart"/>
      <w:r w:rsidRPr="00BD03D8">
        <w:rPr>
          <w:sz w:val="22"/>
          <w:szCs w:val="22"/>
        </w:rPr>
        <w:t>anurija</w:t>
      </w:r>
      <w:proofErr w:type="spellEnd"/>
      <w:r w:rsidRPr="00BD03D8">
        <w:rPr>
          <w:sz w:val="22"/>
          <w:szCs w:val="22"/>
        </w:rPr>
        <w:t xml:space="preserve">, </w:t>
      </w:r>
      <w:proofErr w:type="spellStart"/>
      <w:r w:rsidRPr="00BD03D8">
        <w:rPr>
          <w:sz w:val="22"/>
          <w:szCs w:val="22"/>
        </w:rPr>
        <w:t>proteinurija</w:t>
      </w:r>
      <w:proofErr w:type="spellEnd"/>
      <w:r w:rsidRPr="00BD03D8">
        <w:rPr>
          <w:sz w:val="22"/>
          <w:szCs w:val="22"/>
        </w:rPr>
        <w:t xml:space="preserve">, </w:t>
      </w:r>
      <w:proofErr w:type="spellStart"/>
      <w:r w:rsidRPr="00BD03D8">
        <w:rPr>
          <w:sz w:val="22"/>
          <w:szCs w:val="22"/>
        </w:rPr>
        <w:t>intersticinis</w:t>
      </w:r>
      <w:proofErr w:type="spellEnd"/>
      <w:r w:rsidRPr="00BD03D8">
        <w:rPr>
          <w:sz w:val="22"/>
          <w:szCs w:val="22"/>
        </w:rPr>
        <w:t xml:space="preserve"> nefritas.</w:t>
      </w:r>
    </w:p>
    <w:p w14:paraId="220926A1" w14:textId="77777777" w:rsidR="00A052FA" w:rsidRPr="00BD03D8" w:rsidRDefault="00A052FA" w:rsidP="00A052FA">
      <w:pPr>
        <w:rPr>
          <w:sz w:val="22"/>
          <w:szCs w:val="22"/>
        </w:rPr>
      </w:pPr>
    </w:p>
    <w:p w14:paraId="541BAC9A" w14:textId="77777777" w:rsidR="00A052FA" w:rsidRPr="00240DB9" w:rsidRDefault="00A052FA" w:rsidP="00A052FA">
      <w:pPr>
        <w:rPr>
          <w:b/>
          <w:sz w:val="22"/>
          <w:u w:val="single"/>
        </w:rPr>
      </w:pPr>
      <w:r w:rsidRPr="00BD03D8">
        <w:rPr>
          <w:sz w:val="22"/>
          <w:szCs w:val="22"/>
          <w:u w:val="single"/>
        </w:rPr>
        <w:t>Bendrieji sutrikimai ir vartojimo vietos pažeidimai</w:t>
      </w:r>
    </w:p>
    <w:p w14:paraId="44B9800A" w14:textId="77777777" w:rsidR="00A052FA" w:rsidRPr="00BD03D8" w:rsidRDefault="00A052FA" w:rsidP="00A052FA">
      <w:pPr>
        <w:rPr>
          <w:sz w:val="22"/>
          <w:szCs w:val="22"/>
        </w:rPr>
      </w:pPr>
      <w:r w:rsidRPr="00BD03D8">
        <w:rPr>
          <w:sz w:val="22"/>
          <w:szCs w:val="22"/>
        </w:rPr>
        <w:t>Nežinomas: skausmingumas leidimo vietoje, kitokios lokalios audinių reakcijos.</w:t>
      </w:r>
    </w:p>
    <w:p w14:paraId="1B71CF49" w14:textId="77777777" w:rsidR="00A052FA" w:rsidRPr="00BD03D8" w:rsidRDefault="00A052FA" w:rsidP="00A052FA">
      <w:pPr>
        <w:rPr>
          <w:i/>
          <w:sz w:val="22"/>
          <w:szCs w:val="22"/>
        </w:rPr>
      </w:pPr>
    </w:p>
    <w:p w14:paraId="7829DA37" w14:textId="77777777" w:rsidR="00A052FA" w:rsidRPr="00BD03D8" w:rsidRDefault="00A052FA" w:rsidP="00A052FA">
      <w:pPr>
        <w:rPr>
          <w:sz w:val="22"/>
          <w:szCs w:val="22"/>
          <w:u w:val="single"/>
        </w:rPr>
      </w:pPr>
      <w:r w:rsidRPr="00BD03D8">
        <w:rPr>
          <w:sz w:val="22"/>
          <w:szCs w:val="22"/>
          <w:u w:val="single"/>
        </w:rPr>
        <w:t>Virškinimo trakto sutrikimai</w:t>
      </w:r>
    </w:p>
    <w:p w14:paraId="78A560BF" w14:textId="77777777" w:rsidR="00A052FA" w:rsidRPr="00BD03D8" w:rsidRDefault="00A052FA" w:rsidP="00A052FA">
      <w:pPr>
        <w:tabs>
          <w:tab w:val="left" w:pos="567"/>
        </w:tabs>
        <w:rPr>
          <w:sz w:val="22"/>
          <w:szCs w:val="22"/>
        </w:rPr>
      </w:pPr>
      <w:r w:rsidRPr="00BD03D8">
        <w:rPr>
          <w:sz w:val="22"/>
          <w:szCs w:val="22"/>
        </w:rPr>
        <w:t>Nežinomas: apetito pablogėjimas,</w:t>
      </w:r>
      <w:r w:rsidRPr="00BD03D8">
        <w:rPr>
          <w:sz w:val="22"/>
          <w:szCs w:val="22"/>
          <w:lang w:eastAsia="lt-LT"/>
        </w:rPr>
        <w:t xml:space="preserve"> nemalonus pojūtis pilve, pykinimas, viduriavimas,</w:t>
      </w:r>
      <w:r w:rsidRPr="00BD03D8">
        <w:rPr>
          <w:sz w:val="22"/>
          <w:szCs w:val="22"/>
        </w:rPr>
        <w:t xml:space="preserve"> kraujavimas iš virškinimo trakto, opa, žarnų uždegimas ar jo paūmėjimas. </w:t>
      </w:r>
    </w:p>
    <w:p w14:paraId="7B7D6775" w14:textId="77777777" w:rsidR="00A052FA" w:rsidRPr="00BD03D8" w:rsidRDefault="00A052FA" w:rsidP="00A052FA">
      <w:pPr>
        <w:tabs>
          <w:tab w:val="left" w:pos="567"/>
        </w:tabs>
        <w:rPr>
          <w:sz w:val="22"/>
          <w:szCs w:val="22"/>
          <w:lang w:eastAsia="lt-LT"/>
        </w:rPr>
      </w:pPr>
    </w:p>
    <w:p w14:paraId="14F6FF40" w14:textId="77777777" w:rsidR="00A052FA" w:rsidRPr="00BD03D8" w:rsidRDefault="00A052FA" w:rsidP="00A052FA">
      <w:pPr>
        <w:rPr>
          <w:sz w:val="22"/>
          <w:szCs w:val="22"/>
          <w:u w:val="single"/>
        </w:rPr>
      </w:pPr>
      <w:r w:rsidRPr="00BD03D8">
        <w:rPr>
          <w:sz w:val="22"/>
          <w:szCs w:val="22"/>
          <w:u w:val="single"/>
        </w:rPr>
        <w:t>Kepenų, tulžies pūslės ir latakų sutrikimai</w:t>
      </w:r>
    </w:p>
    <w:p w14:paraId="62AAE495" w14:textId="77777777" w:rsidR="00A052FA" w:rsidRPr="00BD03D8" w:rsidRDefault="00A052FA" w:rsidP="00A052FA">
      <w:pPr>
        <w:tabs>
          <w:tab w:val="left" w:pos="567"/>
        </w:tabs>
        <w:rPr>
          <w:sz w:val="22"/>
          <w:szCs w:val="22"/>
          <w:lang w:eastAsia="lt-LT"/>
        </w:rPr>
      </w:pPr>
      <w:r w:rsidRPr="00BD03D8">
        <w:rPr>
          <w:sz w:val="22"/>
          <w:szCs w:val="22"/>
        </w:rPr>
        <w:t>Nežinomas: Vaistinio preparato sukeltas kepenų pažeidimas, įskaitant ūminį hepatitą, geltą, padidėjusį kepenų fermentų aktyvumą kraujo serume (žr. 4.4 skyrių).</w:t>
      </w:r>
    </w:p>
    <w:p w14:paraId="51101A05" w14:textId="77777777" w:rsidR="00A052FA" w:rsidRPr="00BD03D8" w:rsidRDefault="00A052FA" w:rsidP="00A052FA">
      <w:pPr>
        <w:rPr>
          <w:i/>
          <w:sz w:val="22"/>
          <w:szCs w:val="22"/>
        </w:rPr>
      </w:pPr>
    </w:p>
    <w:p w14:paraId="71C30F40" w14:textId="77777777" w:rsidR="00A052FA" w:rsidRPr="00BD03D8" w:rsidRDefault="00A052FA" w:rsidP="00A052FA">
      <w:pPr>
        <w:rPr>
          <w:sz w:val="22"/>
          <w:szCs w:val="22"/>
          <w:u w:val="single"/>
        </w:rPr>
      </w:pPr>
      <w:r w:rsidRPr="00BD03D8">
        <w:rPr>
          <w:sz w:val="22"/>
          <w:szCs w:val="22"/>
          <w:u w:val="single"/>
        </w:rPr>
        <w:t>Nervų sistemos sutrikimai</w:t>
      </w:r>
    </w:p>
    <w:p w14:paraId="632CF77E" w14:textId="77777777" w:rsidR="00A052FA" w:rsidRPr="00BD03D8" w:rsidRDefault="00A052FA" w:rsidP="00A052FA">
      <w:pPr>
        <w:tabs>
          <w:tab w:val="left" w:pos="567"/>
        </w:tabs>
        <w:rPr>
          <w:sz w:val="22"/>
          <w:szCs w:val="22"/>
        </w:rPr>
      </w:pPr>
      <w:r w:rsidRPr="00BD03D8">
        <w:rPr>
          <w:sz w:val="22"/>
          <w:szCs w:val="22"/>
        </w:rPr>
        <w:t xml:space="preserve">Nežinomas: galvos skausmas, svaigimas, </w:t>
      </w:r>
      <w:r w:rsidRPr="00BD03D8">
        <w:rPr>
          <w:sz w:val="22"/>
          <w:szCs w:val="22"/>
          <w:lang w:eastAsia="lt-LT"/>
        </w:rPr>
        <w:t>sąmonės pritemimas</w:t>
      </w:r>
      <w:r w:rsidRPr="00BD03D8">
        <w:rPr>
          <w:sz w:val="22"/>
          <w:szCs w:val="22"/>
        </w:rPr>
        <w:t>, mieguistumas, traukuliai.</w:t>
      </w:r>
    </w:p>
    <w:p w14:paraId="4F1F96AE" w14:textId="77777777" w:rsidR="00A052FA" w:rsidRPr="00BD03D8" w:rsidRDefault="00A052FA" w:rsidP="00A052FA">
      <w:pPr>
        <w:tabs>
          <w:tab w:val="left" w:pos="567"/>
        </w:tabs>
        <w:rPr>
          <w:sz w:val="22"/>
          <w:szCs w:val="22"/>
        </w:rPr>
      </w:pPr>
    </w:p>
    <w:p w14:paraId="09E47F5C" w14:textId="77777777" w:rsidR="00A052FA" w:rsidRPr="00BD03D8" w:rsidRDefault="00A052FA" w:rsidP="00A052FA">
      <w:pPr>
        <w:rPr>
          <w:sz w:val="22"/>
          <w:szCs w:val="22"/>
          <w:u w:val="single"/>
        </w:rPr>
      </w:pPr>
      <w:r w:rsidRPr="00BD03D8">
        <w:rPr>
          <w:sz w:val="22"/>
          <w:szCs w:val="22"/>
          <w:u w:val="single"/>
        </w:rPr>
        <w:t>Širdies sutrikimai</w:t>
      </w:r>
    </w:p>
    <w:p w14:paraId="1DF6A059" w14:textId="77777777" w:rsidR="00A052FA" w:rsidRPr="00BD03D8" w:rsidRDefault="00A052FA" w:rsidP="00A052FA">
      <w:pPr>
        <w:tabs>
          <w:tab w:val="left" w:pos="567"/>
        </w:tabs>
        <w:rPr>
          <w:sz w:val="22"/>
          <w:szCs w:val="22"/>
        </w:rPr>
      </w:pPr>
      <w:r w:rsidRPr="00BD03D8">
        <w:rPr>
          <w:sz w:val="22"/>
          <w:szCs w:val="22"/>
        </w:rPr>
        <w:t>Nežinomas: cianozė, tachikardija, palpitacijos.</w:t>
      </w:r>
    </w:p>
    <w:p w14:paraId="19724B74" w14:textId="77777777" w:rsidR="00A052FA" w:rsidRPr="00BD03D8" w:rsidRDefault="00A052FA" w:rsidP="00A052FA">
      <w:pPr>
        <w:tabs>
          <w:tab w:val="left" w:pos="567"/>
        </w:tabs>
        <w:rPr>
          <w:sz w:val="22"/>
          <w:szCs w:val="22"/>
        </w:rPr>
      </w:pPr>
    </w:p>
    <w:p w14:paraId="50C561CE" w14:textId="77777777" w:rsidR="00A052FA" w:rsidRPr="00BD03D8" w:rsidRDefault="00A052FA" w:rsidP="00A052FA">
      <w:pPr>
        <w:rPr>
          <w:sz w:val="22"/>
          <w:szCs w:val="22"/>
          <w:u w:val="single"/>
        </w:rPr>
      </w:pPr>
      <w:r w:rsidRPr="00BD03D8">
        <w:rPr>
          <w:sz w:val="22"/>
          <w:szCs w:val="22"/>
          <w:u w:val="single"/>
        </w:rPr>
        <w:t>Akių sutrikimai</w:t>
      </w:r>
    </w:p>
    <w:p w14:paraId="3F45EC4F" w14:textId="77777777" w:rsidR="00A052FA" w:rsidRPr="00BD03D8" w:rsidRDefault="00A052FA" w:rsidP="00A052FA">
      <w:pPr>
        <w:rPr>
          <w:sz w:val="22"/>
          <w:szCs w:val="22"/>
        </w:rPr>
      </w:pPr>
      <w:r w:rsidRPr="00BD03D8">
        <w:rPr>
          <w:sz w:val="22"/>
          <w:szCs w:val="22"/>
        </w:rPr>
        <w:t>Nežinomas: regos sutrikimas.</w:t>
      </w:r>
    </w:p>
    <w:p w14:paraId="78876FAF" w14:textId="77777777" w:rsidR="00A052FA" w:rsidRPr="00BD03D8" w:rsidRDefault="00A052FA" w:rsidP="00A052FA">
      <w:pPr>
        <w:rPr>
          <w:sz w:val="22"/>
          <w:szCs w:val="22"/>
        </w:rPr>
      </w:pPr>
    </w:p>
    <w:p w14:paraId="7ED4765F" w14:textId="77777777" w:rsidR="00A052FA" w:rsidRPr="00BD03D8" w:rsidRDefault="00A052FA" w:rsidP="00A052FA">
      <w:pPr>
        <w:rPr>
          <w:sz w:val="22"/>
          <w:szCs w:val="22"/>
          <w:u w:val="single"/>
        </w:rPr>
      </w:pPr>
      <w:r w:rsidRPr="00BD03D8">
        <w:rPr>
          <w:sz w:val="22"/>
          <w:szCs w:val="22"/>
          <w:u w:val="single"/>
        </w:rPr>
        <w:t>Ausų ir labirintų sutrikimai</w:t>
      </w:r>
    </w:p>
    <w:p w14:paraId="37CE06A2" w14:textId="77777777" w:rsidR="00A052FA" w:rsidRPr="00BD03D8" w:rsidRDefault="00A052FA" w:rsidP="00A052FA">
      <w:pPr>
        <w:tabs>
          <w:tab w:val="left" w:pos="567"/>
        </w:tabs>
        <w:rPr>
          <w:sz w:val="22"/>
          <w:szCs w:val="22"/>
        </w:rPr>
      </w:pPr>
      <w:r w:rsidRPr="00BD03D8">
        <w:rPr>
          <w:sz w:val="22"/>
          <w:szCs w:val="22"/>
        </w:rPr>
        <w:t>Nežinomas: klausos sutrikimas (pvz., spengimas ir ūžimas ausyse).</w:t>
      </w:r>
    </w:p>
    <w:p w14:paraId="75E152E2" w14:textId="77777777" w:rsidR="00A052FA" w:rsidRPr="00BD03D8" w:rsidRDefault="00A052FA" w:rsidP="00A052FA">
      <w:pPr>
        <w:tabs>
          <w:tab w:val="left" w:pos="567"/>
        </w:tabs>
        <w:rPr>
          <w:sz w:val="22"/>
          <w:szCs w:val="22"/>
        </w:rPr>
      </w:pPr>
    </w:p>
    <w:p w14:paraId="6035A6BB" w14:textId="77777777" w:rsidR="00A052FA" w:rsidRPr="00BD03D8" w:rsidRDefault="00A052FA" w:rsidP="00A052FA">
      <w:pPr>
        <w:autoSpaceDE w:val="0"/>
        <w:autoSpaceDN w:val="0"/>
        <w:adjustRightInd w:val="0"/>
        <w:jc w:val="both"/>
        <w:rPr>
          <w:sz w:val="22"/>
          <w:szCs w:val="22"/>
          <w:u w:val="single"/>
        </w:rPr>
      </w:pPr>
      <w:r w:rsidRPr="00BD03D8">
        <w:rPr>
          <w:noProof/>
          <w:sz w:val="22"/>
          <w:szCs w:val="22"/>
          <w:u w:val="single"/>
        </w:rPr>
        <w:t>Pranešimas apie įtariamas nepageidaujamas reakcijas</w:t>
      </w:r>
    </w:p>
    <w:p w14:paraId="18D21B5F" w14:textId="090202C2" w:rsidR="00484FF5" w:rsidRPr="00ED1D0B" w:rsidRDefault="00484FF5" w:rsidP="00ED1D0B">
      <w:pPr>
        <w:suppressAutoHyphens/>
        <w:spacing w:line="100" w:lineRule="atLeast"/>
        <w:rPr>
          <w:rFonts w:eastAsia="Calibri"/>
          <w:color w:val="000000"/>
          <w:sz w:val="22"/>
        </w:rPr>
      </w:pPr>
      <w:r w:rsidRPr="00ED1D0B">
        <w:rPr>
          <w:color w:val="000000"/>
          <w:sz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w:t>
      </w:r>
      <w:r w:rsidRPr="00484FF5">
        <w:rPr>
          <w:snapToGrid w:val="0"/>
          <w:color w:val="000000"/>
          <w:sz w:val="22"/>
          <w:lang w:eastAsia="ar-SA"/>
        </w:rPr>
        <w:t xml:space="preserve"> ir pateikę</w:t>
      </w:r>
      <w:r w:rsidRPr="00ED1D0B">
        <w:rPr>
          <w:color w:val="000000"/>
          <w:sz w:val="22"/>
        </w:rPr>
        <w:t xml:space="preserve"> pranešimo formą </w:t>
      </w:r>
      <w:r w:rsidRPr="00484FF5">
        <w:rPr>
          <w:snapToGrid w:val="0"/>
          <w:color w:val="000000"/>
          <w:sz w:val="22"/>
          <w:lang w:eastAsia="ar-SA"/>
        </w:rPr>
        <w:t>Valstybinės vaistų kontrolės tarnybos prie Lietuvos Respublikos sveikatos apsaugos ministerijos tinklalapyje</w:t>
      </w:r>
      <w:r w:rsidRPr="00ED1D0B">
        <w:rPr>
          <w:color w:val="000000"/>
          <w:sz w:val="22"/>
        </w:rPr>
        <w:t xml:space="preserve"> </w:t>
      </w:r>
      <w:hyperlink r:id="rId7" w:history="1">
        <w:r w:rsidRPr="00484FF5">
          <w:rPr>
            <w:rFonts w:eastAsia="Calibri"/>
            <w:snapToGrid w:val="0"/>
            <w:color w:val="0000FF"/>
            <w:sz w:val="22"/>
            <w:u w:val="single"/>
            <w:lang w:eastAsia="ar-SA"/>
          </w:rPr>
          <w:t>https://vvkt.lrv.lt/lt/</w:t>
        </w:r>
      </w:hyperlink>
      <w:r w:rsidRPr="00484FF5">
        <w:rPr>
          <w:snapToGrid w:val="0"/>
          <w:color w:val="000000"/>
          <w:sz w:val="22"/>
          <w:lang w:eastAsia="ar-SA"/>
        </w:rPr>
        <w:t xml:space="preserve"> nurodytais būdais.</w:t>
      </w:r>
    </w:p>
    <w:p w14:paraId="09A85828" w14:textId="77777777" w:rsidR="00A052FA" w:rsidRPr="00BD03D8" w:rsidRDefault="00A052FA" w:rsidP="00634EE3">
      <w:pPr>
        <w:pStyle w:val="BTEMEASMCA"/>
      </w:pPr>
    </w:p>
    <w:p w14:paraId="1A4AB4A6" w14:textId="2EEF5A6C" w:rsidR="00A052FA" w:rsidRPr="00BD03D8" w:rsidRDefault="00A052FA" w:rsidP="00A052FA">
      <w:pPr>
        <w:pStyle w:val="PI-2EMEASMCA"/>
      </w:pPr>
      <w:bookmarkStart w:id="30" w:name="_Toc129243110"/>
      <w:bookmarkStart w:id="31" w:name="_Toc129243235"/>
      <w:r w:rsidRPr="00BD03D8">
        <w:t>4.9</w:t>
      </w:r>
      <w:r w:rsidRPr="00BD03D8">
        <w:tab/>
        <w:t>Perdozavimas</w:t>
      </w:r>
      <w:bookmarkEnd w:id="30"/>
      <w:bookmarkEnd w:id="31"/>
    </w:p>
    <w:p w14:paraId="3F010E09" w14:textId="77777777" w:rsidR="00A052FA" w:rsidRPr="0082224B" w:rsidRDefault="00A052FA" w:rsidP="00240DB9"/>
    <w:p w14:paraId="26843EEC" w14:textId="77777777" w:rsidR="00A052FA" w:rsidRPr="00D74945" w:rsidRDefault="00A052FA" w:rsidP="00D74945">
      <w:pPr>
        <w:rPr>
          <w:i/>
          <w:sz w:val="22"/>
          <w:szCs w:val="22"/>
        </w:rPr>
      </w:pPr>
      <w:r w:rsidRPr="00D74945">
        <w:rPr>
          <w:i/>
          <w:sz w:val="22"/>
          <w:szCs w:val="22"/>
        </w:rPr>
        <w:t>Simptomai</w:t>
      </w:r>
    </w:p>
    <w:p w14:paraId="3A6E9A6F" w14:textId="77777777" w:rsidR="00A052FA" w:rsidRPr="00D74945" w:rsidRDefault="00A052FA" w:rsidP="00D74945">
      <w:pPr>
        <w:rPr>
          <w:sz w:val="22"/>
          <w:szCs w:val="22"/>
        </w:rPr>
      </w:pPr>
      <w:r w:rsidRPr="00D74945">
        <w:rPr>
          <w:sz w:val="22"/>
          <w:szCs w:val="22"/>
        </w:rPr>
        <w:t>Labai sunkus perdozavimas gali sutrikdyti toliau išvardytų sistemų veiklą.</w:t>
      </w:r>
    </w:p>
    <w:p w14:paraId="40275EBA" w14:textId="77777777" w:rsidR="00A052FA" w:rsidRPr="0082224B" w:rsidRDefault="00A052FA" w:rsidP="00240DB9">
      <w:pPr>
        <w:pStyle w:val="Sraopastraipa"/>
        <w:numPr>
          <w:ilvl w:val="0"/>
          <w:numId w:val="28"/>
        </w:numPr>
        <w:tabs>
          <w:tab w:val="left" w:pos="567"/>
        </w:tabs>
        <w:ind w:left="567" w:hanging="567"/>
      </w:pPr>
      <w:r w:rsidRPr="00240DB9">
        <w:rPr>
          <w:sz w:val="22"/>
        </w:rPr>
        <w:t>Kraujodaros (pasireiškia ūminė negrįžtama agranulocitozė, hemoraginis sindromas).</w:t>
      </w:r>
    </w:p>
    <w:p w14:paraId="4169ED92" w14:textId="77777777" w:rsidR="00A052FA" w:rsidRPr="0082224B" w:rsidRDefault="00A052FA" w:rsidP="00240DB9">
      <w:pPr>
        <w:pStyle w:val="Sraopastraipa"/>
        <w:numPr>
          <w:ilvl w:val="0"/>
          <w:numId w:val="28"/>
        </w:numPr>
        <w:tabs>
          <w:tab w:val="left" w:pos="567"/>
        </w:tabs>
        <w:ind w:left="567" w:hanging="567"/>
      </w:pPr>
      <w:r w:rsidRPr="00240DB9">
        <w:rPr>
          <w:sz w:val="22"/>
        </w:rPr>
        <w:lastRenderedPageBreak/>
        <w:t>Centrinės nervų sistemos (</w:t>
      </w:r>
      <w:bookmarkStart w:id="32" w:name="OLE_LINK11"/>
      <w:bookmarkStart w:id="33" w:name="OLE_LINK12"/>
      <w:r w:rsidRPr="00240DB9">
        <w:rPr>
          <w:sz w:val="22"/>
        </w:rPr>
        <w:t xml:space="preserve">atsiranda </w:t>
      </w:r>
      <w:bookmarkEnd w:id="32"/>
      <w:bookmarkEnd w:id="33"/>
      <w:r w:rsidRPr="00240DB9">
        <w:rPr>
          <w:sz w:val="22"/>
        </w:rPr>
        <w:t>galvos svaigimas, mieguistumas, spengimas ausyse, haliucinacijų, hipotermija, kalbos sutrikimas, traukuliai, pykinimas, vėmimas, odos blyškumas, šalto prakaito pylimas, kvėpavimo centro veiklos, rijimo sutrikimas, dusulys, hipotermija).</w:t>
      </w:r>
    </w:p>
    <w:p w14:paraId="17CBD860" w14:textId="77777777" w:rsidR="00A052FA" w:rsidRPr="0082224B" w:rsidRDefault="00A052FA" w:rsidP="00240DB9">
      <w:pPr>
        <w:pStyle w:val="Sraopastraipa"/>
        <w:numPr>
          <w:ilvl w:val="0"/>
          <w:numId w:val="28"/>
        </w:numPr>
        <w:tabs>
          <w:tab w:val="left" w:pos="567"/>
        </w:tabs>
        <w:ind w:left="567" w:hanging="567"/>
      </w:pPr>
      <w:r w:rsidRPr="00240DB9">
        <w:rPr>
          <w:sz w:val="22"/>
        </w:rPr>
        <w:t>Širdies ir kraujagyslių sistemos (pasireiškia hipotenzija, tachikardija).</w:t>
      </w:r>
    </w:p>
    <w:p w14:paraId="0238A8A8" w14:textId="77777777" w:rsidR="00A052FA" w:rsidRPr="0082224B" w:rsidRDefault="00A052FA" w:rsidP="00240DB9">
      <w:pPr>
        <w:pStyle w:val="Sraopastraipa"/>
        <w:numPr>
          <w:ilvl w:val="0"/>
          <w:numId w:val="28"/>
        </w:numPr>
        <w:tabs>
          <w:tab w:val="left" w:pos="567"/>
        </w:tabs>
        <w:ind w:left="567" w:hanging="567"/>
      </w:pPr>
      <w:r w:rsidRPr="00240DB9">
        <w:rPr>
          <w:sz w:val="22"/>
        </w:rPr>
        <w:t xml:space="preserve">Inkstų (atsiranda </w:t>
      </w:r>
      <w:proofErr w:type="spellStart"/>
      <w:r w:rsidRPr="00240DB9">
        <w:rPr>
          <w:color w:val="000000"/>
          <w:spacing w:val="-1"/>
          <w:sz w:val="22"/>
        </w:rPr>
        <w:t>intersticinis</w:t>
      </w:r>
      <w:proofErr w:type="spellEnd"/>
      <w:r w:rsidRPr="00240DB9">
        <w:rPr>
          <w:color w:val="000000"/>
          <w:spacing w:val="-1"/>
          <w:sz w:val="22"/>
        </w:rPr>
        <w:t xml:space="preserve"> nefritas</w:t>
      </w:r>
      <w:r w:rsidRPr="00240DB9">
        <w:rPr>
          <w:sz w:val="22"/>
        </w:rPr>
        <w:t xml:space="preserve">, </w:t>
      </w:r>
      <w:proofErr w:type="spellStart"/>
      <w:r w:rsidRPr="00240DB9">
        <w:rPr>
          <w:sz w:val="22"/>
        </w:rPr>
        <w:t>oligurija</w:t>
      </w:r>
      <w:proofErr w:type="spellEnd"/>
      <w:r w:rsidRPr="00240DB9">
        <w:rPr>
          <w:sz w:val="22"/>
        </w:rPr>
        <w:t xml:space="preserve"> arba </w:t>
      </w:r>
      <w:proofErr w:type="spellStart"/>
      <w:r w:rsidRPr="00240DB9">
        <w:rPr>
          <w:sz w:val="22"/>
        </w:rPr>
        <w:t>anurija</w:t>
      </w:r>
      <w:proofErr w:type="spellEnd"/>
      <w:r w:rsidRPr="00240DB9">
        <w:rPr>
          <w:sz w:val="22"/>
        </w:rPr>
        <w:t>, ūminis inkstų veiklos nepakankamumas).</w:t>
      </w:r>
    </w:p>
    <w:p w14:paraId="52AAD6F9" w14:textId="77777777" w:rsidR="00A052FA" w:rsidRPr="00D74945" w:rsidRDefault="00A052FA" w:rsidP="00D74945">
      <w:pPr>
        <w:rPr>
          <w:i/>
          <w:sz w:val="22"/>
          <w:szCs w:val="22"/>
        </w:rPr>
      </w:pPr>
    </w:p>
    <w:p w14:paraId="7F05F329" w14:textId="77777777" w:rsidR="00A052FA" w:rsidRPr="00D74945" w:rsidRDefault="00A052FA" w:rsidP="00D74945">
      <w:pPr>
        <w:rPr>
          <w:i/>
          <w:sz w:val="22"/>
          <w:szCs w:val="22"/>
        </w:rPr>
      </w:pPr>
      <w:r w:rsidRPr="00D74945">
        <w:rPr>
          <w:i/>
          <w:sz w:val="22"/>
          <w:szCs w:val="22"/>
        </w:rPr>
        <w:t>Gydymas</w:t>
      </w:r>
    </w:p>
    <w:p w14:paraId="224E6189" w14:textId="77777777" w:rsidR="00A052FA" w:rsidRPr="00D74945" w:rsidRDefault="00A052FA" w:rsidP="00D74945">
      <w:pPr>
        <w:rPr>
          <w:sz w:val="22"/>
          <w:szCs w:val="22"/>
        </w:rPr>
      </w:pPr>
      <w:r w:rsidRPr="00D74945">
        <w:rPr>
          <w:sz w:val="22"/>
          <w:szCs w:val="22"/>
        </w:rPr>
        <w:t>Sunkiu atveju būtina nedelsiant nutraukti metamizolo vartojimą ir pacientą gydyti toksikologijos centre.</w:t>
      </w:r>
    </w:p>
    <w:p w14:paraId="34007F24" w14:textId="77777777" w:rsidR="00A052FA" w:rsidRPr="0082224B" w:rsidRDefault="00A052FA" w:rsidP="00240DB9">
      <w:pPr>
        <w:pStyle w:val="Sraopastraipa"/>
        <w:numPr>
          <w:ilvl w:val="0"/>
          <w:numId w:val="29"/>
        </w:numPr>
        <w:ind w:left="567" w:hanging="567"/>
        <w:rPr>
          <w:color w:val="000000"/>
        </w:rPr>
      </w:pPr>
      <w:r w:rsidRPr="00240DB9">
        <w:rPr>
          <w:sz w:val="22"/>
        </w:rPr>
        <w:t>Metamizolo šalinimas</w:t>
      </w:r>
      <w:r w:rsidRPr="00240DB9">
        <w:rPr>
          <w:color w:val="000000"/>
          <w:sz w:val="22"/>
        </w:rPr>
        <w:t xml:space="preserve"> skatinamas</w:t>
      </w:r>
      <w:r w:rsidRPr="00240DB9">
        <w:rPr>
          <w:sz w:val="22"/>
        </w:rPr>
        <w:t xml:space="preserve"> šarminant šlapimą ir skatinant diurezę.</w:t>
      </w:r>
    </w:p>
    <w:p w14:paraId="121A4EAA" w14:textId="77777777" w:rsidR="00A052FA" w:rsidRPr="0082224B" w:rsidRDefault="00A052FA" w:rsidP="00240DB9">
      <w:pPr>
        <w:pStyle w:val="Sraopastraipa"/>
        <w:numPr>
          <w:ilvl w:val="0"/>
          <w:numId w:val="29"/>
        </w:numPr>
        <w:ind w:left="567" w:hanging="567"/>
        <w:rPr>
          <w:color w:val="000000"/>
        </w:rPr>
      </w:pPr>
      <w:r w:rsidRPr="00240DB9">
        <w:rPr>
          <w:sz w:val="22"/>
        </w:rPr>
        <w:t>Sunkiais atvejais tinka pakeičiamasis kraujo perpylimas, hemodializė, peritoninė dializė arba hemoperfuzija.</w:t>
      </w:r>
    </w:p>
    <w:p w14:paraId="16488748" w14:textId="77777777" w:rsidR="00A052FA" w:rsidRPr="00240DB9" w:rsidRDefault="00A052FA" w:rsidP="00240DB9">
      <w:pPr>
        <w:pStyle w:val="Sraopastraipa"/>
        <w:numPr>
          <w:ilvl w:val="0"/>
          <w:numId w:val="29"/>
        </w:numPr>
        <w:ind w:left="567" w:hanging="567"/>
      </w:pPr>
      <w:r w:rsidRPr="00240DB9">
        <w:rPr>
          <w:sz w:val="22"/>
        </w:rPr>
        <w:t>Būtina stebėti ir palaikyti bei koreguoti gyvybines organizmo funkcijas.</w:t>
      </w:r>
    </w:p>
    <w:p w14:paraId="777A9F7B" w14:textId="77777777" w:rsidR="00A052FA" w:rsidRPr="00240DB9" w:rsidRDefault="00A052FA" w:rsidP="00240DB9">
      <w:pPr>
        <w:pStyle w:val="Sraopastraipa"/>
        <w:numPr>
          <w:ilvl w:val="0"/>
          <w:numId w:val="29"/>
        </w:numPr>
        <w:ind w:left="567" w:hanging="567"/>
      </w:pPr>
      <w:r w:rsidRPr="00240DB9">
        <w:rPr>
          <w:sz w:val="22"/>
        </w:rPr>
        <w:t>Esat reikalui, pradedama plaučių pabrinkimo ir traukulių profilaktika, hipotermijos šalinimas, skysčių, elektrolitų, šarmų ir rūgščių pusiausvyros sutrikimo, kitoks simptominis gydymas.</w:t>
      </w:r>
    </w:p>
    <w:p w14:paraId="36453914" w14:textId="77777777" w:rsidR="00A052FA" w:rsidRPr="00240DB9" w:rsidRDefault="00A052FA" w:rsidP="00240DB9">
      <w:pPr>
        <w:pStyle w:val="Sraopastraipa"/>
        <w:numPr>
          <w:ilvl w:val="0"/>
          <w:numId w:val="29"/>
        </w:numPr>
        <w:ind w:left="567" w:hanging="567"/>
      </w:pPr>
      <w:r w:rsidRPr="00240DB9">
        <w:rPr>
          <w:sz w:val="22"/>
        </w:rPr>
        <w:t>Traukuliams šalinti tinka trumpai veikiantys barbitūratai, diazepamas.</w:t>
      </w:r>
    </w:p>
    <w:p w14:paraId="18AB96CD" w14:textId="77777777" w:rsidR="00A052FA" w:rsidRPr="0082224B" w:rsidRDefault="00A052FA" w:rsidP="00240DB9"/>
    <w:p w14:paraId="09C4E47B" w14:textId="77777777" w:rsidR="00A052FA" w:rsidRPr="0082224B" w:rsidRDefault="00A052FA" w:rsidP="00240DB9"/>
    <w:p w14:paraId="617E0A63" w14:textId="29ED0984" w:rsidR="00A052FA" w:rsidRPr="00BD03D8" w:rsidRDefault="00A052FA" w:rsidP="00A052FA">
      <w:pPr>
        <w:pStyle w:val="PI-1EMEASMCA"/>
      </w:pPr>
      <w:bookmarkStart w:id="34" w:name="_Toc129243111"/>
      <w:bookmarkStart w:id="35" w:name="_Toc129243236"/>
      <w:r w:rsidRPr="00BD03D8">
        <w:t>5.</w:t>
      </w:r>
      <w:r w:rsidRPr="00BD03D8">
        <w:tab/>
        <w:t>FARMAKOLOGINĖS SAVYBĖS</w:t>
      </w:r>
      <w:bookmarkEnd w:id="34"/>
      <w:bookmarkEnd w:id="35"/>
    </w:p>
    <w:p w14:paraId="3B6171A6" w14:textId="77777777" w:rsidR="00A052FA" w:rsidRPr="00BD03D8" w:rsidRDefault="00A052FA" w:rsidP="00634EE3">
      <w:pPr>
        <w:pStyle w:val="BTEMEASMCA"/>
      </w:pPr>
    </w:p>
    <w:p w14:paraId="2451C68C" w14:textId="7EFBEEA6" w:rsidR="00A052FA" w:rsidRPr="00BD03D8" w:rsidRDefault="00A052FA" w:rsidP="00A052FA">
      <w:pPr>
        <w:pStyle w:val="PI-2EMEASMCA"/>
      </w:pPr>
      <w:bookmarkStart w:id="36" w:name="_Toc129243112"/>
      <w:bookmarkStart w:id="37" w:name="_Toc129243237"/>
      <w:r w:rsidRPr="00BD03D8">
        <w:t>5.1</w:t>
      </w:r>
      <w:r w:rsidRPr="00BD03D8">
        <w:tab/>
        <w:t>Farmakodinaminės savybės</w:t>
      </w:r>
      <w:bookmarkEnd w:id="36"/>
      <w:bookmarkEnd w:id="37"/>
    </w:p>
    <w:p w14:paraId="703AA925" w14:textId="77777777" w:rsidR="00A052FA" w:rsidRPr="00BD03D8" w:rsidRDefault="00A052FA" w:rsidP="00634EE3">
      <w:pPr>
        <w:pStyle w:val="BTEMEASMCA"/>
      </w:pPr>
    </w:p>
    <w:p w14:paraId="1577EACD" w14:textId="77777777" w:rsidR="00A052FA" w:rsidRPr="00BD03D8" w:rsidRDefault="00A052FA" w:rsidP="00A052FA">
      <w:pPr>
        <w:tabs>
          <w:tab w:val="left" w:pos="567"/>
        </w:tabs>
        <w:rPr>
          <w:sz w:val="22"/>
          <w:szCs w:val="22"/>
        </w:rPr>
      </w:pPr>
      <w:r w:rsidRPr="00BD03D8">
        <w:rPr>
          <w:sz w:val="22"/>
          <w:szCs w:val="22"/>
        </w:rPr>
        <w:t xml:space="preserve">Farmakoterapinė grupė – kiti analgetikai ir antipiretikai, </w:t>
      </w:r>
      <w:r w:rsidRPr="00BD03D8">
        <w:rPr>
          <w:caps/>
          <w:sz w:val="22"/>
          <w:szCs w:val="22"/>
        </w:rPr>
        <w:t>atc</w:t>
      </w:r>
      <w:r w:rsidRPr="00BD03D8">
        <w:rPr>
          <w:sz w:val="22"/>
          <w:szCs w:val="22"/>
        </w:rPr>
        <w:t xml:space="preserve"> kodas - N02BB02.</w:t>
      </w:r>
    </w:p>
    <w:p w14:paraId="347785C7" w14:textId="77777777" w:rsidR="00A052FA" w:rsidRPr="00BD03D8" w:rsidRDefault="00A052FA" w:rsidP="00A052FA">
      <w:pPr>
        <w:tabs>
          <w:tab w:val="left" w:pos="567"/>
        </w:tabs>
        <w:rPr>
          <w:sz w:val="22"/>
          <w:szCs w:val="22"/>
        </w:rPr>
      </w:pPr>
    </w:p>
    <w:p w14:paraId="6853EBD2" w14:textId="77777777" w:rsidR="00A052FA" w:rsidRPr="00BD03D8" w:rsidRDefault="00A052FA" w:rsidP="00A052FA">
      <w:pPr>
        <w:tabs>
          <w:tab w:val="left" w:pos="567"/>
        </w:tabs>
        <w:rPr>
          <w:sz w:val="22"/>
          <w:szCs w:val="22"/>
        </w:rPr>
      </w:pPr>
      <w:r w:rsidRPr="00BD03D8">
        <w:rPr>
          <w:sz w:val="22"/>
          <w:szCs w:val="22"/>
        </w:rPr>
        <w:t>Vaistinis preparatas malšina skausmą pirmiausiai dėl periferinio poveikio (slopina endogeninių skausmo mediatorių sintezę), tačiau šiek tiek veikia ir pogumburio dirglumo lygį (t.y. slenkstį) bei išorinio ir vidinio dirginimo (</w:t>
      </w:r>
      <w:proofErr w:type="spellStart"/>
      <w:r w:rsidRPr="00BD03D8">
        <w:rPr>
          <w:sz w:val="22"/>
          <w:szCs w:val="22"/>
        </w:rPr>
        <w:t>eksterorecepcinių</w:t>
      </w:r>
      <w:proofErr w:type="spellEnd"/>
      <w:r w:rsidRPr="00BD03D8">
        <w:rPr>
          <w:sz w:val="22"/>
          <w:szCs w:val="22"/>
        </w:rPr>
        <w:t xml:space="preserve"> ir </w:t>
      </w:r>
      <w:proofErr w:type="spellStart"/>
      <w:r w:rsidRPr="00BD03D8">
        <w:rPr>
          <w:sz w:val="22"/>
          <w:szCs w:val="22"/>
        </w:rPr>
        <w:t>interorecepcinių</w:t>
      </w:r>
      <w:proofErr w:type="spellEnd"/>
      <w:r w:rsidRPr="00BD03D8">
        <w:rPr>
          <w:sz w:val="22"/>
          <w:szCs w:val="22"/>
        </w:rPr>
        <w:t>) impulsų laidumą CNS.</w:t>
      </w:r>
    </w:p>
    <w:p w14:paraId="768AD0E5" w14:textId="77777777" w:rsidR="00A052FA" w:rsidRPr="00BD03D8" w:rsidRDefault="00A052FA" w:rsidP="00A052FA">
      <w:pPr>
        <w:tabs>
          <w:tab w:val="left" w:pos="567"/>
        </w:tabs>
        <w:rPr>
          <w:sz w:val="22"/>
          <w:szCs w:val="22"/>
        </w:rPr>
      </w:pPr>
      <w:r w:rsidRPr="00BD03D8">
        <w:rPr>
          <w:sz w:val="22"/>
          <w:szCs w:val="22"/>
        </w:rPr>
        <w:t>Metamizolas slopina periferinę ir centrinę prostaglandinų, kurie didina skausmo receptorių jautrumą mechaninio dirginimo arba skausmą sukeliančių mediatorių (</w:t>
      </w:r>
      <w:proofErr w:type="spellStart"/>
      <w:r w:rsidRPr="00BD03D8">
        <w:rPr>
          <w:sz w:val="22"/>
          <w:szCs w:val="22"/>
        </w:rPr>
        <w:t>bradikinino</w:t>
      </w:r>
      <w:proofErr w:type="spellEnd"/>
      <w:r w:rsidRPr="00BD03D8">
        <w:rPr>
          <w:sz w:val="22"/>
          <w:szCs w:val="22"/>
        </w:rPr>
        <w:t xml:space="preserve">, </w:t>
      </w:r>
      <w:proofErr w:type="spellStart"/>
      <w:r w:rsidRPr="00BD03D8">
        <w:rPr>
          <w:sz w:val="22"/>
          <w:szCs w:val="22"/>
        </w:rPr>
        <w:t>histamino</w:t>
      </w:r>
      <w:proofErr w:type="spellEnd"/>
      <w:r w:rsidRPr="00BD03D8">
        <w:rPr>
          <w:sz w:val="22"/>
          <w:szCs w:val="22"/>
        </w:rPr>
        <w:t xml:space="preserve"> ir kt.) poveikiui, sintezę, todėl skausmas mąžta. Prostaglandinų sintezės ir jų poveikio slopinimas yra pagrindinė priežastis, lemianti tiek gydomąjį, tiek ir nepageidaujamą vaistinio preparato poveikį.</w:t>
      </w:r>
    </w:p>
    <w:p w14:paraId="467CD9D3" w14:textId="77777777" w:rsidR="00A052FA" w:rsidRPr="00BD03D8" w:rsidRDefault="00A052FA" w:rsidP="00A052FA">
      <w:pPr>
        <w:tabs>
          <w:tab w:val="left" w:pos="567"/>
        </w:tabs>
        <w:rPr>
          <w:sz w:val="22"/>
          <w:szCs w:val="22"/>
        </w:rPr>
      </w:pPr>
      <w:bookmarkStart w:id="38" w:name="OLE_LINK13"/>
      <w:bookmarkStart w:id="39" w:name="OLE_LINK14"/>
      <w:r w:rsidRPr="00BD03D8">
        <w:rPr>
          <w:sz w:val="22"/>
          <w:szCs w:val="22"/>
        </w:rPr>
        <w:t xml:space="preserve">Metamizolas </w:t>
      </w:r>
      <w:bookmarkEnd w:id="38"/>
      <w:bookmarkEnd w:id="39"/>
      <w:r w:rsidRPr="00BD03D8">
        <w:rPr>
          <w:sz w:val="22"/>
          <w:szCs w:val="22"/>
        </w:rPr>
        <w:t xml:space="preserve">nedaro įtakos skausmo jutimo slenksčiui ir neveikia skausmo, kurį sukėlė </w:t>
      </w:r>
      <w:proofErr w:type="spellStart"/>
      <w:r w:rsidRPr="00BD03D8">
        <w:rPr>
          <w:sz w:val="22"/>
          <w:szCs w:val="22"/>
        </w:rPr>
        <w:t>egzogeniniai</w:t>
      </w:r>
      <w:proofErr w:type="spellEnd"/>
      <w:r w:rsidRPr="00BD03D8">
        <w:rPr>
          <w:sz w:val="22"/>
          <w:szCs w:val="22"/>
        </w:rPr>
        <w:t xml:space="preserve"> arba susintetinti prostaglandinai. Jis neveikia </w:t>
      </w:r>
      <w:proofErr w:type="spellStart"/>
      <w:r w:rsidRPr="00BD03D8">
        <w:rPr>
          <w:sz w:val="22"/>
          <w:szCs w:val="22"/>
        </w:rPr>
        <w:t>opiatams</w:t>
      </w:r>
      <w:proofErr w:type="spellEnd"/>
      <w:r w:rsidRPr="00BD03D8">
        <w:rPr>
          <w:sz w:val="22"/>
          <w:szCs w:val="22"/>
        </w:rPr>
        <w:t xml:space="preserve"> specifinių receptorių, kraujotakos, neslopina kvėpavimo centro, širdies veiklos, psichomotorinių reakcijų.</w:t>
      </w:r>
    </w:p>
    <w:p w14:paraId="3EBD5E93" w14:textId="77777777" w:rsidR="00A052FA" w:rsidRPr="00BD03D8" w:rsidRDefault="00A052FA" w:rsidP="00A052FA">
      <w:pPr>
        <w:tabs>
          <w:tab w:val="left" w:pos="567"/>
        </w:tabs>
        <w:rPr>
          <w:sz w:val="22"/>
          <w:szCs w:val="22"/>
        </w:rPr>
      </w:pPr>
      <w:r w:rsidRPr="00BD03D8">
        <w:rPr>
          <w:sz w:val="22"/>
          <w:szCs w:val="22"/>
        </w:rPr>
        <w:t xml:space="preserve">Metamizolas mažina smegenų ciklooksigenazės ir šiek tiek periferinių audinių prostaglandinų sintetazės aktyvumą, todėl stipriai malšina skausmą bei mažina padidėjusią kūno temperatūrą, šiek tiek mažina uždegimą. </w:t>
      </w:r>
    </w:p>
    <w:p w14:paraId="01E20EF7" w14:textId="77777777" w:rsidR="00A052FA" w:rsidRPr="00BD03D8" w:rsidRDefault="00A052FA" w:rsidP="00A052FA">
      <w:pPr>
        <w:tabs>
          <w:tab w:val="left" w:pos="567"/>
        </w:tabs>
        <w:rPr>
          <w:sz w:val="22"/>
          <w:szCs w:val="22"/>
        </w:rPr>
      </w:pPr>
    </w:p>
    <w:p w14:paraId="5864B9E0" w14:textId="77777777" w:rsidR="00A052FA" w:rsidRPr="00BD03D8" w:rsidRDefault="00A052FA" w:rsidP="00A052FA">
      <w:pPr>
        <w:tabs>
          <w:tab w:val="left" w:pos="567"/>
        </w:tabs>
        <w:rPr>
          <w:sz w:val="22"/>
          <w:szCs w:val="22"/>
        </w:rPr>
      </w:pPr>
      <w:r w:rsidRPr="00BD03D8">
        <w:rPr>
          <w:sz w:val="22"/>
          <w:szCs w:val="22"/>
        </w:rPr>
        <w:t xml:space="preserve">Manoma, kad centrinis </w:t>
      </w:r>
      <w:proofErr w:type="spellStart"/>
      <w:r w:rsidRPr="00BD03D8">
        <w:rPr>
          <w:sz w:val="22"/>
          <w:szCs w:val="22"/>
        </w:rPr>
        <w:t>analgezinis</w:t>
      </w:r>
      <w:proofErr w:type="spellEnd"/>
      <w:r w:rsidRPr="00BD03D8">
        <w:rPr>
          <w:sz w:val="22"/>
          <w:szCs w:val="22"/>
        </w:rPr>
        <w:t xml:space="preserve"> </w:t>
      </w:r>
      <w:proofErr w:type="spellStart"/>
      <w:r w:rsidRPr="00BD03D8">
        <w:rPr>
          <w:sz w:val="22"/>
          <w:szCs w:val="22"/>
        </w:rPr>
        <w:t>metamizolo</w:t>
      </w:r>
      <w:proofErr w:type="spellEnd"/>
      <w:r w:rsidRPr="00BD03D8">
        <w:rPr>
          <w:sz w:val="22"/>
          <w:szCs w:val="22"/>
        </w:rPr>
        <w:t xml:space="preserve"> natrio poveikis pasireiškia dėl </w:t>
      </w:r>
      <w:proofErr w:type="spellStart"/>
      <w:r w:rsidRPr="00BD03D8">
        <w:rPr>
          <w:sz w:val="22"/>
          <w:szCs w:val="22"/>
        </w:rPr>
        <w:t>adenilatciklazės</w:t>
      </w:r>
      <w:proofErr w:type="spellEnd"/>
      <w:r w:rsidRPr="00BD03D8">
        <w:rPr>
          <w:sz w:val="22"/>
          <w:szCs w:val="22"/>
        </w:rPr>
        <w:t xml:space="preserve"> aktyvavimo arba kalcio jonų patekimo į skausmo receptorius blokavimo. </w:t>
      </w:r>
      <w:proofErr w:type="spellStart"/>
      <w:r w:rsidRPr="00BD03D8">
        <w:rPr>
          <w:sz w:val="22"/>
          <w:szCs w:val="22"/>
        </w:rPr>
        <w:t>Metamizolas</w:t>
      </w:r>
      <w:proofErr w:type="spellEnd"/>
      <w:r w:rsidRPr="00BD03D8">
        <w:rPr>
          <w:sz w:val="22"/>
          <w:szCs w:val="22"/>
        </w:rPr>
        <w:t xml:space="preserve"> skatina beta </w:t>
      </w:r>
      <w:proofErr w:type="spellStart"/>
      <w:r w:rsidRPr="00BD03D8">
        <w:rPr>
          <w:sz w:val="22"/>
          <w:szCs w:val="22"/>
        </w:rPr>
        <w:t>endorfinų</w:t>
      </w:r>
      <w:proofErr w:type="spellEnd"/>
      <w:r w:rsidRPr="00BD03D8">
        <w:rPr>
          <w:sz w:val="22"/>
          <w:szCs w:val="22"/>
        </w:rPr>
        <w:t xml:space="preserve"> išsiskyrimą, veikia </w:t>
      </w:r>
      <w:proofErr w:type="spellStart"/>
      <w:r w:rsidRPr="00BD03D8">
        <w:rPr>
          <w:sz w:val="22"/>
          <w:szCs w:val="22"/>
        </w:rPr>
        <w:t>mitochondrijose</w:t>
      </w:r>
      <w:proofErr w:type="spellEnd"/>
      <w:r w:rsidRPr="00BD03D8">
        <w:rPr>
          <w:sz w:val="22"/>
          <w:szCs w:val="22"/>
        </w:rPr>
        <w:t xml:space="preserve"> vykstantį oksidacinį </w:t>
      </w:r>
      <w:proofErr w:type="spellStart"/>
      <w:r w:rsidRPr="00BD03D8">
        <w:rPr>
          <w:sz w:val="22"/>
          <w:szCs w:val="22"/>
        </w:rPr>
        <w:t>fosforilinimą</w:t>
      </w:r>
      <w:proofErr w:type="spellEnd"/>
      <w:r w:rsidRPr="00BD03D8">
        <w:rPr>
          <w:sz w:val="22"/>
          <w:szCs w:val="22"/>
        </w:rPr>
        <w:t xml:space="preserve">, slopina </w:t>
      </w:r>
      <w:proofErr w:type="spellStart"/>
      <w:r w:rsidRPr="00BD03D8">
        <w:rPr>
          <w:sz w:val="22"/>
          <w:szCs w:val="22"/>
        </w:rPr>
        <w:t>histamino</w:t>
      </w:r>
      <w:proofErr w:type="spellEnd"/>
      <w:r w:rsidRPr="00BD03D8">
        <w:rPr>
          <w:sz w:val="22"/>
          <w:szCs w:val="22"/>
        </w:rPr>
        <w:t xml:space="preserve">, </w:t>
      </w:r>
      <w:proofErr w:type="spellStart"/>
      <w:r w:rsidRPr="00BD03D8">
        <w:rPr>
          <w:sz w:val="22"/>
          <w:szCs w:val="22"/>
        </w:rPr>
        <w:t>serotonino</w:t>
      </w:r>
      <w:proofErr w:type="spellEnd"/>
      <w:r w:rsidRPr="00BD03D8">
        <w:rPr>
          <w:sz w:val="22"/>
          <w:szCs w:val="22"/>
        </w:rPr>
        <w:t xml:space="preserve">, </w:t>
      </w:r>
      <w:proofErr w:type="spellStart"/>
      <w:r w:rsidRPr="00BD03D8">
        <w:rPr>
          <w:sz w:val="22"/>
          <w:szCs w:val="22"/>
        </w:rPr>
        <w:t>bradikinino</w:t>
      </w:r>
      <w:proofErr w:type="spellEnd"/>
      <w:r w:rsidRPr="00BD03D8">
        <w:rPr>
          <w:sz w:val="22"/>
          <w:szCs w:val="22"/>
        </w:rPr>
        <w:t xml:space="preserve"> ir kitokių biologiškai aktyvių medžiagų sintezę.</w:t>
      </w:r>
    </w:p>
    <w:p w14:paraId="2B3B9D4C" w14:textId="77777777" w:rsidR="00A052FA" w:rsidRPr="00BD03D8" w:rsidRDefault="00A052FA" w:rsidP="00A052FA">
      <w:pPr>
        <w:tabs>
          <w:tab w:val="left" w:pos="567"/>
        </w:tabs>
        <w:rPr>
          <w:sz w:val="22"/>
          <w:szCs w:val="22"/>
        </w:rPr>
      </w:pPr>
      <w:r w:rsidRPr="00BD03D8">
        <w:rPr>
          <w:sz w:val="22"/>
          <w:szCs w:val="22"/>
        </w:rPr>
        <w:t>Metamizolas tiesiogiai blokuoja uždegimo sukeltą padidėjusį jautrumą skausmui.</w:t>
      </w:r>
    </w:p>
    <w:p w14:paraId="290E2BB3" w14:textId="77777777" w:rsidR="00A052FA" w:rsidRPr="00BD03D8" w:rsidRDefault="00A052FA" w:rsidP="00A052FA">
      <w:pPr>
        <w:tabs>
          <w:tab w:val="left" w:pos="567"/>
        </w:tabs>
        <w:rPr>
          <w:sz w:val="22"/>
          <w:szCs w:val="22"/>
        </w:rPr>
      </w:pPr>
      <w:r w:rsidRPr="00BD03D8">
        <w:rPr>
          <w:sz w:val="22"/>
          <w:szCs w:val="22"/>
        </w:rPr>
        <w:t xml:space="preserve">Metamizolas, kaip ir kiti NVNU, slopina trombocitų </w:t>
      </w:r>
      <w:proofErr w:type="spellStart"/>
      <w:r w:rsidRPr="00BD03D8">
        <w:rPr>
          <w:sz w:val="22"/>
          <w:szCs w:val="22"/>
        </w:rPr>
        <w:t>agregaciją</w:t>
      </w:r>
      <w:proofErr w:type="spellEnd"/>
      <w:r w:rsidRPr="00BD03D8">
        <w:rPr>
          <w:sz w:val="22"/>
          <w:szCs w:val="22"/>
        </w:rPr>
        <w:t xml:space="preserve">. </w:t>
      </w:r>
    </w:p>
    <w:p w14:paraId="1FAF499F" w14:textId="77777777" w:rsidR="00A052FA" w:rsidRPr="00BD03D8" w:rsidRDefault="00A052FA" w:rsidP="00A052FA">
      <w:pPr>
        <w:tabs>
          <w:tab w:val="left" w:pos="567"/>
        </w:tabs>
        <w:rPr>
          <w:sz w:val="22"/>
          <w:szCs w:val="22"/>
        </w:rPr>
      </w:pPr>
      <w:r w:rsidRPr="00BD03D8">
        <w:rPr>
          <w:sz w:val="22"/>
          <w:szCs w:val="22"/>
        </w:rPr>
        <w:t xml:space="preserve">Slopindamas prostaglandinų sintezę, </w:t>
      </w:r>
      <w:proofErr w:type="spellStart"/>
      <w:r w:rsidRPr="00BD03D8">
        <w:rPr>
          <w:sz w:val="22"/>
          <w:szCs w:val="22"/>
        </w:rPr>
        <w:t>metamizolas</w:t>
      </w:r>
      <w:proofErr w:type="spellEnd"/>
      <w:r w:rsidRPr="00BD03D8">
        <w:rPr>
          <w:sz w:val="22"/>
          <w:szCs w:val="22"/>
        </w:rPr>
        <w:t xml:space="preserve"> mažina virškinimo trakto gleivinės apsaugą, todėl gali pasireikšti poveikis virškinimo traktui.</w:t>
      </w:r>
    </w:p>
    <w:p w14:paraId="22A81934" w14:textId="77777777" w:rsidR="00A052FA" w:rsidRPr="00BD03D8" w:rsidRDefault="00A052FA" w:rsidP="00634EE3">
      <w:pPr>
        <w:pStyle w:val="BTEMEASMCA"/>
      </w:pPr>
      <w:r w:rsidRPr="00BD03D8">
        <w:t xml:space="preserve">Be to, </w:t>
      </w:r>
      <w:proofErr w:type="spellStart"/>
      <w:r w:rsidRPr="00BD03D8">
        <w:t>metamizolas</w:t>
      </w:r>
      <w:proofErr w:type="spellEnd"/>
      <w:r w:rsidRPr="00BD03D8">
        <w:t xml:space="preserve"> silpnina inkstų veiklą, todėl jo perdozavus organizme gali kauptis natrio jonai ir susilaikyti skysčiai. Prostaglandinų sintezės slopinimas inkstų veiklai turi įtakos ypač tada, kai yra bendras organizmo kraujagyslių spazmas arba </w:t>
      </w:r>
      <w:proofErr w:type="spellStart"/>
      <w:r w:rsidRPr="00BD03D8">
        <w:t>hipovolemija</w:t>
      </w:r>
      <w:proofErr w:type="spellEnd"/>
      <w:r w:rsidRPr="00BD03D8">
        <w:t>.</w:t>
      </w:r>
    </w:p>
    <w:p w14:paraId="25DB9B76" w14:textId="77777777" w:rsidR="00A052FA" w:rsidRPr="00BD03D8" w:rsidRDefault="00A052FA" w:rsidP="00634EE3">
      <w:pPr>
        <w:pStyle w:val="BTEMEASMCA"/>
      </w:pPr>
    </w:p>
    <w:p w14:paraId="74E7C0DA" w14:textId="47574087" w:rsidR="00A052FA" w:rsidRPr="00BD03D8" w:rsidRDefault="00A052FA" w:rsidP="00A052FA">
      <w:pPr>
        <w:pStyle w:val="PI-2EMEASMCA"/>
      </w:pPr>
      <w:bookmarkStart w:id="40" w:name="_Toc129243113"/>
      <w:bookmarkStart w:id="41" w:name="_Toc129243238"/>
      <w:r w:rsidRPr="00BD03D8">
        <w:t>5.2</w:t>
      </w:r>
      <w:r w:rsidRPr="00BD03D8">
        <w:tab/>
        <w:t>Farmakokinetinės savybės</w:t>
      </w:r>
      <w:bookmarkEnd w:id="40"/>
      <w:bookmarkEnd w:id="41"/>
    </w:p>
    <w:p w14:paraId="79DE53DE" w14:textId="77777777" w:rsidR="00A052FA" w:rsidRPr="00BD03D8" w:rsidRDefault="00A052FA" w:rsidP="00634EE3">
      <w:pPr>
        <w:pStyle w:val="BTEMEASMCA"/>
      </w:pPr>
    </w:p>
    <w:p w14:paraId="61446268" w14:textId="77777777" w:rsidR="00A052FA" w:rsidRPr="00BD03D8" w:rsidRDefault="00A052FA" w:rsidP="00A052FA">
      <w:pPr>
        <w:tabs>
          <w:tab w:val="left" w:pos="567"/>
        </w:tabs>
        <w:rPr>
          <w:sz w:val="22"/>
          <w:szCs w:val="22"/>
          <w:u w:val="single"/>
        </w:rPr>
      </w:pPr>
      <w:r w:rsidRPr="00BD03D8">
        <w:rPr>
          <w:sz w:val="22"/>
          <w:szCs w:val="22"/>
          <w:u w:val="single"/>
        </w:rPr>
        <w:t>Absorbcija</w:t>
      </w:r>
    </w:p>
    <w:p w14:paraId="17802C3D" w14:textId="77777777" w:rsidR="00A052FA" w:rsidRPr="00BD03D8" w:rsidRDefault="00A052FA" w:rsidP="00A052FA">
      <w:pPr>
        <w:tabs>
          <w:tab w:val="left" w:pos="567"/>
        </w:tabs>
        <w:rPr>
          <w:sz w:val="22"/>
          <w:szCs w:val="22"/>
        </w:rPr>
      </w:pPr>
      <w:r w:rsidRPr="00BD03D8">
        <w:rPr>
          <w:sz w:val="22"/>
          <w:szCs w:val="22"/>
        </w:rPr>
        <w:t xml:space="preserve">Į raumenis suleistas </w:t>
      </w:r>
      <w:proofErr w:type="spellStart"/>
      <w:r w:rsidRPr="00BD03D8">
        <w:rPr>
          <w:sz w:val="22"/>
          <w:szCs w:val="22"/>
        </w:rPr>
        <w:t>metamizolas</w:t>
      </w:r>
      <w:proofErr w:type="spellEnd"/>
      <w:r w:rsidRPr="00BD03D8">
        <w:rPr>
          <w:sz w:val="22"/>
          <w:szCs w:val="22"/>
        </w:rPr>
        <w:t xml:space="preserve"> absorbuojamas gerai.</w:t>
      </w:r>
    </w:p>
    <w:p w14:paraId="2B2DEEB0" w14:textId="77777777" w:rsidR="00A052FA" w:rsidRPr="00BD03D8" w:rsidRDefault="00A052FA" w:rsidP="00A052FA">
      <w:pPr>
        <w:tabs>
          <w:tab w:val="left" w:pos="567"/>
        </w:tabs>
        <w:rPr>
          <w:sz w:val="22"/>
          <w:szCs w:val="22"/>
        </w:rPr>
      </w:pPr>
    </w:p>
    <w:p w14:paraId="1C2A9734" w14:textId="77777777" w:rsidR="00A052FA" w:rsidRPr="00BD03D8" w:rsidRDefault="00A052FA" w:rsidP="00A052FA">
      <w:pPr>
        <w:tabs>
          <w:tab w:val="left" w:pos="567"/>
        </w:tabs>
        <w:rPr>
          <w:sz w:val="22"/>
          <w:szCs w:val="22"/>
          <w:u w:val="single"/>
        </w:rPr>
      </w:pPr>
      <w:r w:rsidRPr="00BD03D8">
        <w:rPr>
          <w:sz w:val="22"/>
          <w:szCs w:val="22"/>
          <w:u w:val="single"/>
        </w:rPr>
        <w:lastRenderedPageBreak/>
        <w:t>Pasiskirstymas</w:t>
      </w:r>
    </w:p>
    <w:p w14:paraId="28F76163" w14:textId="77777777" w:rsidR="00A052FA" w:rsidRPr="00BD03D8" w:rsidRDefault="00A052FA" w:rsidP="00A052FA">
      <w:pPr>
        <w:tabs>
          <w:tab w:val="left" w:pos="567"/>
        </w:tabs>
        <w:rPr>
          <w:sz w:val="22"/>
          <w:szCs w:val="22"/>
        </w:rPr>
      </w:pPr>
      <w:r w:rsidRPr="00BD03D8">
        <w:rPr>
          <w:sz w:val="22"/>
          <w:szCs w:val="22"/>
        </w:rPr>
        <w:t xml:space="preserve">Visi metamizolo metabolitai vidutiniškai arba silpnai jungiasi su plazmos baltymais bei patenka į motinos pieną. </w:t>
      </w:r>
      <w:proofErr w:type="spellStart"/>
      <w:r w:rsidRPr="00BD03D8">
        <w:rPr>
          <w:sz w:val="22"/>
          <w:szCs w:val="22"/>
        </w:rPr>
        <w:t>Metamizolas</w:t>
      </w:r>
      <w:proofErr w:type="spellEnd"/>
      <w:r w:rsidRPr="00BD03D8">
        <w:rPr>
          <w:sz w:val="22"/>
          <w:szCs w:val="22"/>
        </w:rPr>
        <w:t xml:space="preserve"> praeina pro </w:t>
      </w:r>
      <w:proofErr w:type="spellStart"/>
      <w:r w:rsidRPr="00BD03D8">
        <w:rPr>
          <w:sz w:val="22"/>
          <w:szCs w:val="22"/>
        </w:rPr>
        <w:t>hematoencefalinį</w:t>
      </w:r>
      <w:proofErr w:type="spellEnd"/>
      <w:r w:rsidRPr="00BD03D8">
        <w:rPr>
          <w:sz w:val="22"/>
          <w:szCs w:val="22"/>
        </w:rPr>
        <w:t xml:space="preserve"> bei placentos barjerus.</w:t>
      </w:r>
    </w:p>
    <w:p w14:paraId="355FCEFC" w14:textId="77777777" w:rsidR="00A052FA" w:rsidRPr="00BD03D8" w:rsidRDefault="00A052FA" w:rsidP="00A052FA">
      <w:pPr>
        <w:tabs>
          <w:tab w:val="left" w:pos="567"/>
        </w:tabs>
        <w:rPr>
          <w:i/>
          <w:sz w:val="22"/>
          <w:szCs w:val="22"/>
        </w:rPr>
      </w:pPr>
    </w:p>
    <w:p w14:paraId="37945FFB" w14:textId="77777777" w:rsidR="00A052FA" w:rsidRPr="00BD03D8" w:rsidRDefault="00A052FA" w:rsidP="00A052FA">
      <w:pPr>
        <w:tabs>
          <w:tab w:val="left" w:pos="567"/>
        </w:tabs>
        <w:rPr>
          <w:sz w:val="22"/>
          <w:szCs w:val="22"/>
          <w:u w:val="single"/>
        </w:rPr>
      </w:pPr>
      <w:r w:rsidRPr="00BD03D8">
        <w:rPr>
          <w:sz w:val="22"/>
          <w:szCs w:val="22"/>
          <w:u w:val="single"/>
        </w:rPr>
        <w:t>Biotransformacija</w:t>
      </w:r>
    </w:p>
    <w:p w14:paraId="5232F022" w14:textId="77777777" w:rsidR="00A052FA" w:rsidRPr="00BD03D8" w:rsidRDefault="00A052FA" w:rsidP="00A052FA">
      <w:pPr>
        <w:tabs>
          <w:tab w:val="left" w:pos="567"/>
        </w:tabs>
        <w:rPr>
          <w:sz w:val="22"/>
          <w:szCs w:val="22"/>
        </w:rPr>
      </w:pPr>
      <w:proofErr w:type="spellStart"/>
      <w:r w:rsidRPr="00BD03D8">
        <w:rPr>
          <w:sz w:val="22"/>
          <w:szCs w:val="22"/>
        </w:rPr>
        <w:t>Metamizolas</w:t>
      </w:r>
      <w:proofErr w:type="spellEnd"/>
      <w:r w:rsidRPr="00BD03D8">
        <w:rPr>
          <w:sz w:val="22"/>
          <w:szCs w:val="22"/>
        </w:rPr>
        <w:t xml:space="preserve"> yra </w:t>
      </w:r>
      <w:proofErr w:type="spellStart"/>
      <w:r w:rsidRPr="00BD03D8">
        <w:rPr>
          <w:sz w:val="22"/>
          <w:szCs w:val="22"/>
        </w:rPr>
        <w:t>provaistas</w:t>
      </w:r>
      <w:proofErr w:type="spellEnd"/>
      <w:r w:rsidRPr="00BD03D8">
        <w:rPr>
          <w:sz w:val="22"/>
          <w:szCs w:val="22"/>
        </w:rPr>
        <w:t>. Pirmiausia susidaro veiklus metabolitas 4-metilaminoantipirinas, kuris, dalyvaujant CYP P450 fermentų sistemai, kepenyse daugiausia virsta 4-aminoantipirinu, 4-acetilaminoantipirinu ir 4-formilaminoantipirinu. 4-metilaminoantipirino pasiskirstymo tūris yra 1,19 l/kg kūno svorio. Didžiausia metabolitų koncentracija organizme susidaro po 30 – 90 minučių.</w:t>
      </w:r>
    </w:p>
    <w:p w14:paraId="07331AED" w14:textId="77777777" w:rsidR="00A052FA" w:rsidRPr="00BD03D8" w:rsidRDefault="00A052FA" w:rsidP="00A052FA">
      <w:pPr>
        <w:tabs>
          <w:tab w:val="left" w:pos="567"/>
        </w:tabs>
        <w:rPr>
          <w:sz w:val="22"/>
          <w:szCs w:val="22"/>
        </w:rPr>
      </w:pPr>
    </w:p>
    <w:p w14:paraId="4E9CB004" w14:textId="77777777" w:rsidR="00A052FA" w:rsidRPr="00BD03D8" w:rsidRDefault="00A052FA" w:rsidP="00A052FA">
      <w:pPr>
        <w:tabs>
          <w:tab w:val="left" w:pos="567"/>
        </w:tabs>
        <w:rPr>
          <w:sz w:val="22"/>
          <w:szCs w:val="22"/>
          <w:u w:val="single"/>
        </w:rPr>
      </w:pPr>
      <w:r w:rsidRPr="00BD03D8">
        <w:rPr>
          <w:sz w:val="22"/>
          <w:szCs w:val="22"/>
          <w:u w:val="single"/>
        </w:rPr>
        <w:t>Eliminacija</w:t>
      </w:r>
    </w:p>
    <w:p w14:paraId="6C1972F3" w14:textId="77777777" w:rsidR="00A052FA" w:rsidRPr="00BD03D8" w:rsidRDefault="00A052FA" w:rsidP="00A052FA">
      <w:pPr>
        <w:tabs>
          <w:tab w:val="left" w:pos="567"/>
        </w:tabs>
        <w:rPr>
          <w:sz w:val="22"/>
          <w:szCs w:val="22"/>
        </w:rPr>
      </w:pPr>
      <w:r w:rsidRPr="00BD03D8">
        <w:rPr>
          <w:sz w:val="22"/>
          <w:szCs w:val="22"/>
        </w:rPr>
        <w:t xml:space="preserve">Metamizolas daugiausia šalinamas per inkstus metabolitų pavidalu. Tik 3 % metamizolo pašalinama nepakitusio. Pagrindinio metabolito </w:t>
      </w:r>
      <w:bookmarkStart w:id="42" w:name="OLE_LINK1"/>
      <w:bookmarkStart w:id="43" w:name="OLE_LINK2"/>
      <w:r w:rsidRPr="00BD03D8">
        <w:rPr>
          <w:sz w:val="22"/>
          <w:szCs w:val="22"/>
        </w:rPr>
        <w:t xml:space="preserve">4-metilaminoantipirino pusinės eliminacijos laikas </w:t>
      </w:r>
      <w:bookmarkEnd w:id="42"/>
      <w:bookmarkEnd w:id="43"/>
      <w:r w:rsidRPr="00BD03D8">
        <w:rPr>
          <w:sz w:val="22"/>
          <w:szCs w:val="22"/>
        </w:rPr>
        <w:t>yra maždaug 3 val., klirensas – 4 ml/min./kg kūno svorio.</w:t>
      </w:r>
    </w:p>
    <w:p w14:paraId="275BCAE4" w14:textId="77777777" w:rsidR="00A052FA" w:rsidRPr="00BD03D8" w:rsidRDefault="00A052FA" w:rsidP="00A052FA">
      <w:pPr>
        <w:tabs>
          <w:tab w:val="left" w:pos="567"/>
        </w:tabs>
        <w:rPr>
          <w:i/>
          <w:sz w:val="22"/>
          <w:szCs w:val="22"/>
        </w:rPr>
      </w:pPr>
    </w:p>
    <w:p w14:paraId="078354FD" w14:textId="77777777" w:rsidR="00A052FA" w:rsidRPr="00BD03D8" w:rsidRDefault="00A052FA" w:rsidP="00A052FA">
      <w:pPr>
        <w:tabs>
          <w:tab w:val="left" w:pos="567"/>
        </w:tabs>
        <w:rPr>
          <w:sz w:val="22"/>
          <w:szCs w:val="22"/>
        </w:rPr>
      </w:pPr>
      <w:r w:rsidRPr="00BD03D8">
        <w:rPr>
          <w:sz w:val="22"/>
          <w:szCs w:val="22"/>
          <w:u w:val="single"/>
        </w:rPr>
        <w:t>Sutrikusi kepenų funkcija</w:t>
      </w:r>
    </w:p>
    <w:p w14:paraId="54601E50" w14:textId="77777777" w:rsidR="00A052FA" w:rsidRPr="00BD03D8" w:rsidRDefault="00A052FA" w:rsidP="00A052FA">
      <w:pPr>
        <w:tabs>
          <w:tab w:val="left" w:pos="567"/>
        </w:tabs>
        <w:rPr>
          <w:sz w:val="22"/>
          <w:szCs w:val="22"/>
        </w:rPr>
      </w:pPr>
      <w:r w:rsidRPr="00BD03D8">
        <w:rPr>
          <w:sz w:val="22"/>
          <w:szCs w:val="22"/>
        </w:rPr>
        <w:t xml:space="preserve">Lėtėja metabolizmas, todėl 4-metilaminoantipirinas gali kauptis. </w:t>
      </w:r>
    </w:p>
    <w:p w14:paraId="0677C9F1" w14:textId="77777777" w:rsidR="00A052FA" w:rsidRPr="00BD03D8" w:rsidRDefault="00A052FA" w:rsidP="00A052FA">
      <w:pPr>
        <w:tabs>
          <w:tab w:val="left" w:pos="567"/>
        </w:tabs>
        <w:rPr>
          <w:i/>
          <w:sz w:val="22"/>
          <w:szCs w:val="22"/>
        </w:rPr>
      </w:pPr>
    </w:p>
    <w:p w14:paraId="3C8AE516" w14:textId="77777777" w:rsidR="00A052FA" w:rsidRPr="00BD03D8" w:rsidRDefault="00A052FA" w:rsidP="00A052FA">
      <w:pPr>
        <w:tabs>
          <w:tab w:val="left" w:pos="567"/>
        </w:tabs>
        <w:rPr>
          <w:sz w:val="22"/>
          <w:szCs w:val="22"/>
          <w:u w:val="single"/>
        </w:rPr>
      </w:pPr>
      <w:r w:rsidRPr="00BD03D8">
        <w:rPr>
          <w:sz w:val="22"/>
          <w:szCs w:val="22"/>
          <w:u w:val="single"/>
        </w:rPr>
        <w:t xml:space="preserve">Sutrikusi inkstų funkcija </w:t>
      </w:r>
    </w:p>
    <w:p w14:paraId="37836239" w14:textId="77777777" w:rsidR="00A052FA" w:rsidRPr="00BD03D8" w:rsidRDefault="00A052FA" w:rsidP="00634EE3">
      <w:pPr>
        <w:pStyle w:val="BTEMEASMCA"/>
      </w:pPr>
      <w:r w:rsidRPr="00BD03D8">
        <w:t>4-metilaminoantipirino klirensas sumažėja.</w:t>
      </w:r>
    </w:p>
    <w:p w14:paraId="465BE765" w14:textId="77777777" w:rsidR="00A052FA" w:rsidRPr="00BD03D8" w:rsidRDefault="00A052FA" w:rsidP="00634EE3">
      <w:pPr>
        <w:pStyle w:val="BTEMEASMCA"/>
      </w:pPr>
    </w:p>
    <w:p w14:paraId="4EC8DA7E" w14:textId="59EFCB04" w:rsidR="00A052FA" w:rsidRPr="00BD03D8" w:rsidRDefault="00A052FA" w:rsidP="00A052FA">
      <w:pPr>
        <w:pStyle w:val="PI-2EMEASMCA"/>
      </w:pPr>
      <w:bookmarkStart w:id="44" w:name="_Toc129243114"/>
      <w:bookmarkStart w:id="45" w:name="_Toc129243239"/>
      <w:r w:rsidRPr="00BD03D8">
        <w:t>5.3</w:t>
      </w:r>
      <w:r w:rsidRPr="00BD03D8">
        <w:tab/>
        <w:t>Ikiklinikinių saugumo tyrimų duomenys</w:t>
      </w:r>
      <w:bookmarkEnd w:id="44"/>
      <w:bookmarkEnd w:id="45"/>
    </w:p>
    <w:p w14:paraId="0A72F496" w14:textId="77777777" w:rsidR="00A052FA" w:rsidRPr="00BD03D8" w:rsidRDefault="00A052FA" w:rsidP="00634EE3">
      <w:pPr>
        <w:pStyle w:val="BTEMEASMCA"/>
      </w:pPr>
    </w:p>
    <w:p w14:paraId="771DC5AD" w14:textId="77777777" w:rsidR="00A052FA" w:rsidRPr="00BD03D8" w:rsidRDefault="00A052FA" w:rsidP="00A052FA">
      <w:pPr>
        <w:tabs>
          <w:tab w:val="left" w:pos="567"/>
        </w:tabs>
        <w:rPr>
          <w:i/>
          <w:sz w:val="22"/>
          <w:szCs w:val="22"/>
        </w:rPr>
      </w:pPr>
      <w:r w:rsidRPr="00BD03D8">
        <w:rPr>
          <w:i/>
          <w:sz w:val="22"/>
          <w:szCs w:val="22"/>
        </w:rPr>
        <w:t>Toksiškumas</w:t>
      </w:r>
    </w:p>
    <w:p w14:paraId="4C357DFA" w14:textId="77777777" w:rsidR="00A052FA" w:rsidRPr="00BD03D8" w:rsidRDefault="00A052FA" w:rsidP="00A052FA">
      <w:pPr>
        <w:rPr>
          <w:sz w:val="22"/>
          <w:szCs w:val="22"/>
        </w:rPr>
      </w:pPr>
      <w:r w:rsidRPr="00BD03D8">
        <w:rPr>
          <w:sz w:val="22"/>
          <w:szCs w:val="22"/>
        </w:rPr>
        <w:t>Analgin Sopharma yra mažai toksiškas vaistinis preparatas. Suleidus į veną, LD</w:t>
      </w:r>
      <w:r w:rsidRPr="00BD03D8">
        <w:rPr>
          <w:sz w:val="22"/>
          <w:szCs w:val="22"/>
          <w:vertAlign w:val="subscript"/>
        </w:rPr>
        <w:t>50</w:t>
      </w:r>
      <w:r w:rsidRPr="00BD03D8">
        <w:rPr>
          <w:sz w:val="22"/>
          <w:szCs w:val="22"/>
        </w:rPr>
        <w:t xml:space="preserve"> pelėms – 2,389 mg/kg kūno svorio, o triušiams – 1300 mg/kg kūno svorio. Vidutinė skausmo malšinamoji dozė pelėms yra kelis kartus mažesnė už vidutinę mirtiną.</w:t>
      </w:r>
    </w:p>
    <w:p w14:paraId="3B2EAAAD" w14:textId="77777777" w:rsidR="00A052FA" w:rsidRPr="00BD03D8" w:rsidRDefault="00A052FA" w:rsidP="00A052FA">
      <w:pPr>
        <w:tabs>
          <w:tab w:val="left" w:pos="567"/>
        </w:tabs>
        <w:rPr>
          <w:i/>
          <w:sz w:val="22"/>
          <w:szCs w:val="22"/>
        </w:rPr>
      </w:pPr>
      <w:r w:rsidRPr="00BD03D8">
        <w:rPr>
          <w:sz w:val="22"/>
          <w:szCs w:val="22"/>
        </w:rPr>
        <w:t xml:space="preserve">Tiriant </w:t>
      </w:r>
      <w:proofErr w:type="spellStart"/>
      <w:r w:rsidRPr="00BD03D8">
        <w:rPr>
          <w:sz w:val="22"/>
          <w:szCs w:val="22"/>
        </w:rPr>
        <w:t>metamizolo</w:t>
      </w:r>
      <w:proofErr w:type="spellEnd"/>
      <w:r w:rsidRPr="00BD03D8">
        <w:rPr>
          <w:sz w:val="22"/>
          <w:szCs w:val="22"/>
        </w:rPr>
        <w:t xml:space="preserve"> </w:t>
      </w:r>
      <w:proofErr w:type="spellStart"/>
      <w:r w:rsidRPr="00BD03D8">
        <w:rPr>
          <w:sz w:val="22"/>
          <w:szCs w:val="22"/>
        </w:rPr>
        <w:t>poūmį</w:t>
      </w:r>
      <w:proofErr w:type="spellEnd"/>
      <w:r w:rsidRPr="00BD03D8">
        <w:rPr>
          <w:sz w:val="22"/>
          <w:szCs w:val="22"/>
        </w:rPr>
        <w:t xml:space="preserve"> ir lėtinį </w:t>
      </w:r>
      <w:proofErr w:type="spellStart"/>
      <w:r w:rsidRPr="00BD03D8">
        <w:rPr>
          <w:sz w:val="22"/>
          <w:szCs w:val="22"/>
        </w:rPr>
        <w:t>toksiškumą</w:t>
      </w:r>
      <w:proofErr w:type="spellEnd"/>
      <w:r w:rsidRPr="00BD03D8">
        <w:rPr>
          <w:sz w:val="22"/>
          <w:szCs w:val="22"/>
        </w:rPr>
        <w:t xml:space="preserve">, įrodyta, kad, vartojant vaistinį preparatą dozėmis iki 300 mg/kg per parą šešis mėnesius, tiriamų gyvūnų organizme neatsirado jokių morfologinių pokyčių. 600 mg/kg per parą dozės, vartojamos 6 mėnesius, sukėlė gyvūnų kepenų ir blužnies </w:t>
      </w:r>
      <w:proofErr w:type="spellStart"/>
      <w:r w:rsidRPr="00BD03D8">
        <w:rPr>
          <w:sz w:val="22"/>
          <w:szCs w:val="22"/>
        </w:rPr>
        <w:t>siderozę</w:t>
      </w:r>
      <w:proofErr w:type="spellEnd"/>
      <w:r w:rsidRPr="00BD03D8">
        <w:rPr>
          <w:sz w:val="22"/>
          <w:szCs w:val="22"/>
        </w:rPr>
        <w:t>, svorio sumažėjimą, eritrocitų ir leukocitų skaičiaus sumažėjimą.</w:t>
      </w:r>
    </w:p>
    <w:p w14:paraId="085673EF" w14:textId="77777777" w:rsidR="00A052FA" w:rsidRPr="00BD03D8" w:rsidRDefault="00A052FA" w:rsidP="00A052FA">
      <w:pPr>
        <w:tabs>
          <w:tab w:val="left" w:pos="567"/>
        </w:tabs>
        <w:rPr>
          <w:i/>
          <w:sz w:val="22"/>
          <w:szCs w:val="22"/>
        </w:rPr>
      </w:pPr>
    </w:p>
    <w:p w14:paraId="77AA5D6E" w14:textId="77777777" w:rsidR="00A052FA" w:rsidRPr="00BD03D8" w:rsidRDefault="00A052FA" w:rsidP="00A052FA">
      <w:pPr>
        <w:tabs>
          <w:tab w:val="left" w:pos="567"/>
        </w:tabs>
        <w:rPr>
          <w:i/>
          <w:sz w:val="22"/>
          <w:szCs w:val="22"/>
        </w:rPr>
      </w:pPr>
      <w:proofErr w:type="spellStart"/>
      <w:r w:rsidRPr="00BD03D8">
        <w:rPr>
          <w:i/>
          <w:sz w:val="22"/>
          <w:szCs w:val="22"/>
        </w:rPr>
        <w:t>Teratogeninis</w:t>
      </w:r>
      <w:proofErr w:type="spellEnd"/>
      <w:r w:rsidRPr="00BD03D8">
        <w:rPr>
          <w:i/>
          <w:sz w:val="22"/>
          <w:szCs w:val="22"/>
        </w:rPr>
        <w:t xml:space="preserve"> poveikis</w:t>
      </w:r>
    </w:p>
    <w:p w14:paraId="5DCF3B59" w14:textId="77777777" w:rsidR="00A052FA" w:rsidRPr="00BD03D8" w:rsidRDefault="00A052FA" w:rsidP="00A052FA">
      <w:pPr>
        <w:tabs>
          <w:tab w:val="left" w:pos="567"/>
        </w:tabs>
        <w:rPr>
          <w:sz w:val="22"/>
          <w:szCs w:val="22"/>
        </w:rPr>
      </w:pPr>
      <w:r w:rsidRPr="00BD03D8">
        <w:rPr>
          <w:sz w:val="22"/>
          <w:szCs w:val="22"/>
        </w:rPr>
        <w:t xml:space="preserve">Tyrimų su žiurkėmis ir pelėmis metu nustatyta, kad </w:t>
      </w:r>
      <w:proofErr w:type="spellStart"/>
      <w:r w:rsidRPr="00BD03D8">
        <w:rPr>
          <w:sz w:val="22"/>
          <w:szCs w:val="22"/>
        </w:rPr>
        <w:t>metamizolas</w:t>
      </w:r>
      <w:proofErr w:type="spellEnd"/>
      <w:r w:rsidRPr="00BD03D8">
        <w:rPr>
          <w:sz w:val="22"/>
          <w:szCs w:val="22"/>
        </w:rPr>
        <w:t xml:space="preserve"> </w:t>
      </w:r>
      <w:proofErr w:type="spellStart"/>
      <w:r w:rsidRPr="00BD03D8">
        <w:rPr>
          <w:sz w:val="22"/>
          <w:szCs w:val="22"/>
        </w:rPr>
        <w:t>teratogeninio</w:t>
      </w:r>
      <w:proofErr w:type="spellEnd"/>
      <w:r w:rsidRPr="00BD03D8">
        <w:rPr>
          <w:sz w:val="22"/>
          <w:szCs w:val="22"/>
        </w:rPr>
        <w:t xml:space="preserve"> poveikio nesukelia. </w:t>
      </w:r>
    </w:p>
    <w:p w14:paraId="72249EDE" w14:textId="77777777" w:rsidR="00A052FA" w:rsidRPr="00BD03D8" w:rsidRDefault="00A052FA" w:rsidP="00A052FA">
      <w:pPr>
        <w:tabs>
          <w:tab w:val="left" w:pos="567"/>
        </w:tabs>
        <w:rPr>
          <w:i/>
          <w:sz w:val="22"/>
          <w:szCs w:val="22"/>
        </w:rPr>
      </w:pPr>
    </w:p>
    <w:p w14:paraId="01EFAD2D" w14:textId="77777777" w:rsidR="00A052FA" w:rsidRPr="00BD03D8" w:rsidRDefault="00A052FA" w:rsidP="00A052FA">
      <w:pPr>
        <w:tabs>
          <w:tab w:val="left" w:pos="567"/>
        </w:tabs>
        <w:rPr>
          <w:i/>
          <w:sz w:val="22"/>
          <w:szCs w:val="22"/>
        </w:rPr>
      </w:pPr>
      <w:r w:rsidRPr="00BD03D8">
        <w:rPr>
          <w:i/>
          <w:sz w:val="22"/>
          <w:szCs w:val="22"/>
        </w:rPr>
        <w:t xml:space="preserve">Mutageninis poveikis </w:t>
      </w:r>
    </w:p>
    <w:p w14:paraId="62D35B02" w14:textId="77777777" w:rsidR="00A052FA" w:rsidRPr="00BD03D8" w:rsidRDefault="00A052FA" w:rsidP="00A052FA">
      <w:pPr>
        <w:tabs>
          <w:tab w:val="left" w:pos="567"/>
        </w:tabs>
        <w:rPr>
          <w:sz w:val="22"/>
          <w:szCs w:val="22"/>
        </w:rPr>
      </w:pPr>
      <w:r w:rsidRPr="00BD03D8">
        <w:rPr>
          <w:sz w:val="22"/>
          <w:szCs w:val="22"/>
        </w:rPr>
        <w:t xml:space="preserve">Tyrimų su salmonelių padermėmis ir gyvūnais metu nustatyta, kad </w:t>
      </w:r>
      <w:proofErr w:type="spellStart"/>
      <w:r w:rsidRPr="00BD03D8">
        <w:rPr>
          <w:sz w:val="22"/>
          <w:szCs w:val="22"/>
        </w:rPr>
        <w:t>metamizolas</w:t>
      </w:r>
      <w:proofErr w:type="spellEnd"/>
      <w:r w:rsidRPr="00BD03D8">
        <w:rPr>
          <w:sz w:val="22"/>
          <w:szCs w:val="22"/>
        </w:rPr>
        <w:t xml:space="preserve"> bakterijoms ir pelėms sukelia nedidelį mutageninį poveikį.</w:t>
      </w:r>
    </w:p>
    <w:p w14:paraId="61573664" w14:textId="77777777" w:rsidR="00A052FA" w:rsidRPr="00BD03D8" w:rsidRDefault="00A052FA" w:rsidP="00A052FA">
      <w:pPr>
        <w:tabs>
          <w:tab w:val="left" w:pos="567"/>
        </w:tabs>
        <w:rPr>
          <w:sz w:val="22"/>
          <w:szCs w:val="22"/>
        </w:rPr>
      </w:pPr>
    </w:p>
    <w:p w14:paraId="69CE82ED" w14:textId="77777777" w:rsidR="00A052FA" w:rsidRPr="00BD03D8" w:rsidRDefault="00A052FA" w:rsidP="00A052FA">
      <w:pPr>
        <w:tabs>
          <w:tab w:val="left" w:pos="567"/>
        </w:tabs>
        <w:rPr>
          <w:i/>
          <w:sz w:val="22"/>
          <w:szCs w:val="22"/>
        </w:rPr>
      </w:pPr>
      <w:r w:rsidRPr="00BD03D8">
        <w:rPr>
          <w:i/>
          <w:sz w:val="22"/>
          <w:szCs w:val="22"/>
        </w:rPr>
        <w:t>Kancerogeninis poveikis</w:t>
      </w:r>
    </w:p>
    <w:p w14:paraId="3281ADD1" w14:textId="77777777" w:rsidR="00A052FA" w:rsidRPr="00BD03D8" w:rsidRDefault="00A052FA" w:rsidP="00A052FA">
      <w:pPr>
        <w:tabs>
          <w:tab w:val="left" w:pos="567"/>
        </w:tabs>
        <w:rPr>
          <w:sz w:val="22"/>
          <w:szCs w:val="22"/>
        </w:rPr>
      </w:pPr>
      <w:r w:rsidRPr="00BD03D8">
        <w:rPr>
          <w:sz w:val="22"/>
          <w:szCs w:val="22"/>
        </w:rPr>
        <w:t xml:space="preserve">Daugelio ilgalaikių tyrimų su žiurkėmis duomenimis, kancerogeninio poveikio nenustatyta, tačiau </w:t>
      </w:r>
      <w:proofErr w:type="spellStart"/>
      <w:r w:rsidRPr="00BD03D8">
        <w:rPr>
          <w:sz w:val="22"/>
          <w:szCs w:val="22"/>
        </w:rPr>
        <w:t>metamizolo</w:t>
      </w:r>
      <w:proofErr w:type="spellEnd"/>
      <w:r w:rsidRPr="00BD03D8">
        <w:rPr>
          <w:sz w:val="22"/>
          <w:szCs w:val="22"/>
        </w:rPr>
        <w:t xml:space="preserve"> vartojimas sukėlė </w:t>
      </w:r>
      <w:proofErr w:type="spellStart"/>
      <w:r w:rsidRPr="00BD03D8">
        <w:rPr>
          <w:sz w:val="22"/>
          <w:szCs w:val="22"/>
        </w:rPr>
        <w:t>preneoplastinius</w:t>
      </w:r>
      <w:proofErr w:type="spellEnd"/>
      <w:r w:rsidRPr="00BD03D8">
        <w:rPr>
          <w:sz w:val="22"/>
          <w:szCs w:val="22"/>
        </w:rPr>
        <w:t xml:space="preserve"> židinius kepenyse. Ilgalaikių tyrimų su pelėmis metu, didelės dozės sukėlė kepenų adenomų, tačiau manoma, kad žmogui tokių reiškinių reikšmė yra maža.</w:t>
      </w:r>
    </w:p>
    <w:p w14:paraId="33F5FE19" w14:textId="77777777" w:rsidR="00A052FA" w:rsidRPr="00BD03D8" w:rsidRDefault="00A052FA" w:rsidP="00A052FA">
      <w:pPr>
        <w:tabs>
          <w:tab w:val="left" w:pos="567"/>
        </w:tabs>
        <w:rPr>
          <w:sz w:val="22"/>
          <w:szCs w:val="22"/>
        </w:rPr>
      </w:pPr>
    </w:p>
    <w:p w14:paraId="7F21D062" w14:textId="77777777" w:rsidR="00A052FA" w:rsidRPr="00BD03D8" w:rsidRDefault="00A052FA" w:rsidP="00A052FA">
      <w:pPr>
        <w:tabs>
          <w:tab w:val="left" w:pos="567"/>
        </w:tabs>
        <w:rPr>
          <w:sz w:val="22"/>
          <w:szCs w:val="22"/>
        </w:rPr>
      </w:pPr>
      <w:r w:rsidRPr="00BD03D8">
        <w:rPr>
          <w:i/>
          <w:sz w:val="22"/>
          <w:szCs w:val="22"/>
        </w:rPr>
        <w:t xml:space="preserve">Poveikis reprodukcijai </w:t>
      </w:r>
    </w:p>
    <w:p w14:paraId="4F442E7F" w14:textId="77777777" w:rsidR="00A052FA" w:rsidRPr="00BD03D8" w:rsidRDefault="00A052FA" w:rsidP="00634EE3">
      <w:pPr>
        <w:pStyle w:val="BTEMEASMCA"/>
      </w:pPr>
      <w:r w:rsidRPr="00BD03D8">
        <w:t xml:space="preserve">Tyrimų su žiurkėmis ir pelėmis metu nustatyta, kad </w:t>
      </w:r>
      <w:proofErr w:type="spellStart"/>
      <w:r w:rsidRPr="00BD03D8">
        <w:t>metamizolas</w:t>
      </w:r>
      <w:proofErr w:type="spellEnd"/>
      <w:r w:rsidRPr="00BD03D8">
        <w:t xml:space="preserve"> ilgino nėštumo trukmę, o 100 mg/kg kūno svorio per parą dozė sukėlė embrionų žūtį. Didesnė negu 250 mg/kg kūno svorio metamizolo paros dozė vaisingumo nemažino.</w:t>
      </w:r>
    </w:p>
    <w:p w14:paraId="05B89163" w14:textId="77777777" w:rsidR="00A052FA" w:rsidRPr="00BD03D8" w:rsidRDefault="00A052FA" w:rsidP="00634EE3">
      <w:pPr>
        <w:pStyle w:val="BTEMEASMCA"/>
      </w:pPr>
    </w:p>
    <w:p w14:paraId="14AE2EE0" w14:textId="77777777" w:rsidR="00A052FA" w:rsidRPr="00BD03D8" w:rsidRDefault="00A052FA" w:rsidP="00634EE3">
      <w:pPr>
        <w:pStyle w:val="BTEMEASMCA"/>
      </w:pPr>
    </w:p>
    <w:p w14:paraId="79490BC8" w14:textId="0DC8236B" w:rsidR="00A052FA" w:rsidRPr="00BD03D8" w:rsidRDefault="00A052FA" w:rsidP="00A052FA">
      <w:pPr>
        <w:pStyle w:val="PI-1EMEASMCA"/>
      </w:pPr>
      <w:bookmarkStart w:id="46" w:name="_Toc129243115"/>
      <w:bookmarkStart w:id="47" w:name="_Toc129243240"/>
      <w:r w:rsidRPr="00BD03D8">
        <w:t>6.</w:t>
      </w:r>
      <w:r w:rsidRPr="00BD03D8">
        <w:tab/>
        <w:t>FARMACINĖ INFORMACIJA</w:t>
      </w:r>
      <w:bookmarkEnd w:id="46"/>
      <w:bookmarkEnd w:id="47"/>
    </w:p>
    <w:p w14:paraId="0255F1A5" w14:textId="77777777" w:rsidR="00A052FA" w:rsidRPr="00BD03D8" w:rsidRDefault="00A052FA" w:rsidP="00634EE3">
      <w:pPr>
        <w:pStyle w:val="BTEMEASMCA"/>
      </w:pPr>
    </w:p>
    <w:p w14:paraId="3623EF54" w14:textId="50AE72A5" w:rsidR="00A052FA" w:rsidRPr="00BD03D8" w:rsidRDefault="00A052FA" w:rsidP="00A052FA">
      <w:pPr>
        <w:pStyle w:val="PI-2EMEASMCA"/>
      </w:pPr>
      <w:bookmarkStart w:id="48" w:name="_Toc129243116"/>
      <w:bookmarkStart w:id="49" w:name="_Toc129243241"/>
      <w:r w:rsidRPr="00BD03D8">
        <w:t>6.1</w:t>
      </w:r>
      <w:r w:rsidRPr="00BD03D8">
        <w:tab/>
        <w:t>Pagalbinių medžiagų sąrašas</w:t>
      </w:r>
      <w:bookmarkEnd w:id="48"/>
      <w:bookmarkEnd w:id="49"/>
    </w:p>
    <w:p w14:paraId="1BA13FB0" w14:textId="77777777" w:rsidR="00A052FA" w:rsidRPr="00BD03D8" w:rsidRDefault="00A052FA" w:rsidP="00634EE3">
      <w:pPr>
        <w:pStyle w:val="BTEMEASMCA"/>
      </w:pPr>
    </w:p>
    <w:p w14:paraId="14150913" w14:textId="77777777" w:rsidR="00A052FA" w:rsidRPr="00BD03D8" w:rsidRDefault="00A052FA" w:rsidP="00634EE3">
      <w:pPr>
        <w:pStyle w:val="BTEMEASMCA"/>
      </w:pPr>
      <w:r w:rsidRPr="00BD03D8">
        <w:t>Injekcinis vanduo</w:t>
      </w:r>
    </w:p>
    <w:p w14:paraId="0609D1FB" w14:textId="77777777" w:rsidR="00A052FA" w:rsidRPr="00BD03D8" w:rsidRDefault="00A052FA" w:rsidP="00634EE3">
      <w:pPr>
        <w:pStyle w:val="BTEMEASMCA"/>
      </w:pPr>
    </w:p>
    <w:p w14:paraId="41C946E0" w14:textId="72E7F48A" w:rsidR="00A052FA" w:rsidRPr="00BD03D8" w:rsidRDefault="00A052FA" w:rsidP="00A052FA">
      <w:pPr>
        <w:pStyle w:val="PI-2EMEASMCA"/>
      </w:pPr>
      <w:bookmarkStart w:id="50" w:name="_Toc129243117"/>
      <w:bookmarkStart w:id="51" w:name="_Toc129243242"/>
      <w:r w:rsidRPr="00BD03D8">
        <w:lastRenderedPageBreak/>
        <w:t>6.2</w:t>
      </w:r>
      <w:r w:rsidRPr="00BD03D8">
        <w:tab/>
        <w:t>Nesuderinamumas</w:t>
      </w:r>
      <w:bookmarkEnd w:id="50"/>
      <w:bookmarkEnd w:id="51"/>
    </w:p>
    <w:p w14:paraId="61B0DE28" w14:textId="77777777" w:rsidR="00A052FA" w:rsidRPr="00BD03D8" w:rsidRDefault="00A052FA" w:rsidP="00634EE3">
      <w:pPr>
        <w:pStyle w:val="BTEMEASMCA"/>
      </w:pPr>
    </w:p>
    <w:p w14:paraId="59479C1E" w14:textId="77777777" w:rsidR="00A052FA" w:rsidRPr="00BD03D8" w:rsidRDefault="00A052FA" w:rsidP="00634EE3">
      <w:pPr>
        <w:pStyle w:val="BTEMEASMCA"/>
      </w:pPr>
      <w:r w:rsidRPr="00BD03D8">
        <w:t>Duomenys nebūtini.</w:t>
      </w:r>
    </w:p>
    <w:p w14:paraId="2B3D00D8" w14:textId="77777777" w:rsidR="00A052FA" w:rsidRPr="00BD03D8" w:rsidRDefault="00A052FA" w:rsidP="00634EE3">
      <w:pPr>
        <w:pStyle w:val="BTEMEASMCA"/>
      </w:pPr>
    </w:p>
    <w:p w14:paraId="5E561F0E" w14:textId="4D7B9671" w:rsidR="00A052FA" w:rsidRPr="00BD03D8" w:rsidRDefault="00A052FA" w:rsidP="00A052FA">
      <w:pPr>
        <w:pStyle w:val="PI-2EMEASMCA"/>
      </w:pPr>
      <w:bookmarkStart w:id="52" w:name="_Toc129243118"/>
      <w:bookmarkStart w:id="53" w:name="_Toc129243243"/>
      <w:r w:rsidRPr="00BD03D8">
        <w:t>6.3</w:t>
      </w:r>
      <w:r w:rsidRPr="00BD03D8">
        <w:tab/>
        <w:t>Tinkamumo laikas</w:t>
      </w:r>
      <w:bookmarkEnd w:id="52"/>
      <w:bookmarkEnd w:id="53"/>
    </w:p>
    <w:p w14:paraId="28F24BF5" w14:textId="77777777" w:rsidR="00A052FA" w:rsidRPr="00BD03D8" w:rsidRDefault="00A052FA" w:rsidP="00634EE3">
      <w:pPr>
        <w:pStyle w:val="BTEMEASMCA"/>
      </w:pPr>
    </w:p>
    <w:p w14:paraId="7258B0BF" w14:textId="77777777" w:rsidR="00A052FA" w:rsidRPr="00BD03D8" w:rsidRDefault="00A052FA" w:rsidP="00634EE3">
      <w:pPr>
        <w:pStyle w:val="BTEMEASMCA"/>
      </w:pPr>
      <w:r w:rsidRPr="00BD03D8">
        <w:t>5 metai</w:t>
      </w:r>
    </w:p>
    <w:p w14:paraId="4F8178CF" w14:textId="77777777" w:rsidR="00A052FA" w:rsidRPr="00BD03D8" w:rsidRDefault="00A052FA" w:rsidP="00634EE3">
      <w:pPr>
        <w:pStyle w:val="BTEMEASMCA"/>
      </w:pPr>
    </w:p>
    <w:p w14:paraId="35048CEB" w14:textId="51ECC89D" w:rsidR="00A052FA" w:rsidRPr="00BD03D8" w:rsidRDefault="00A052FA" w:rsidP="00A052FA">
      <w:pPr>
        <w:pStyle w:val="PI-2EMEASMCA"/>
      </w:pPr>
      <w:bookmarkStart w:id="54" w:name="_Toc129243119"/>
      <w:bookmarkStart w:id="55" w:name="_Toc129243244"/>
      <w:r w:rsidRPr="00BD03D8">
        <w:t>6.4</w:t>
      </w:r>
      <w:r w:rsidRPr="00BD03D8">
        <w:tab/>
        <w:t>Specialios laikymo sąlygos</w:t>
      </w:r>
      <w:bookmarkEnd w:id="54"/>
      <w:bookmarkEnd w:id="55"/>
    </w:p>
    <w:p w14:paraId="0A9EE68C" w14:textId="77777777" w:rsidR="00A052FA" w:rsidRPr="00BD03D8" w:rsidRDefault="00A052FA" w:rsidP="00634EE3">
      <w:pPr>
        <w:pStyle w:val="BTEMEASMCA"/>
      </w:pPr>
    </w:p>
    <w:p w14:paraId="0CFF2DCD" w14:textId="77777777" w:rsidR="00A052FA" w:rsidRPr="00BD03D8" w:rsidRDefault="00A052FA" w:rsidP="00634EE3">
      <w:pPr>
        <w:pStyle w:val="BTEMEASMCA"/>
      </w:pPr>
      <w:r w:rsidRPr="00BD03D8">
        <w:t>Šiam vaistiniam preparatui specialių laikymo sąlygų nereikia. Negalima užšaldyti.</w:t>
      </w:r>
    </w:p>
    <w:p w14:paraId="348CDA01" w14:textId="77777777" w:rsidR="00A052FA" w:rsidRPr="00BD03D8" w:rsidRDefault="00A052FA" w:rsidP="00634EE3">
      <w:pPr>
        <w:pStyle w:val="BTEMEASMCA"/>
      </w:pPr>
    </w:p>
    <w:p w14:paraId="1A942B9C" w14:textId="4AAED709" w:rsidR="00A052FA" w:rsidRPr="00BD03D8" w:rsidRDefault="00A052FA" w:rsidP="00A052FA">
      <w:pPr>
        <w:pStyle w:val="PI-2EMEASMCA"/>
      </w:pPr>
      <w:bookmarkStart w:id="56" w:name="_Toc129243120"/>
      <w:bookmarkStart w:id="57" w:name="_Toc129243245"/>
      <w:r w:rsidRPr="00BD03D8">
        <w:t>6.5</w:t>
      </w:r>
      <w:r w:rsidRPr="00BD03D8">
        <w:tab/>
        <w:t>Talpyklės pobūdis ir jos turinys</w:t>
      </w:r>
      <w:bookmarkEnd w:id="56"/>
      <w:bookmarkEnd w:id="57"/>
    </w:p>
    <w:p w14:paraId="4159D1F2" w14:textId="77777777" w:rsidR="00A052FA" w:rsidRPr="00BD03D8" w:rsidRDefault="00A052FA" w:rsidP="00634EE3">
      <w:pPr>
        <w:pStyle w:val="BTEMEASMCA"/>
      </w:pPr>
    </w:p>
    <w:p w14:paraId="2DD7F553" w14:textId="77777777" w:rsidR="00A052FA" w:rsidRPr="00BD03D8" w:rsidRDefault="00A052FA" w:rsidP="00634EE3">
      <w:pPr>
        <w:pStyle w:val="BTEMEASMCA"/>
      </w:pPr>
      <w:r w:rsidRPr="00BD03D8">
        <w:t xml:space="preserve">2 ml rudos spalvos I tipo stiklo ampulė </w:t>
      </w:r>
      <w:r w:rsidRPr="00BD03D8">
        <w:rPr>
          <w:rStyle w:val="st"/>
          <w:rFonts w:eastAsia="SimSun"/>
        </w:rPr>
        <w:t xml:space="preserve">su pažymėtu </w:t>
      </w:r>
      <w:r w:rsidRPr="00BD03D8">
        <w:rPr>
          <w:rStyle w:val="Emfaz"/>
        </w:rPr>
        <w:t>spalvotu ampulės atidarymo tašku</w:t>
      </w:r>
      <w:r w:rsidRPr="00BD03D8">
        <w:t>. 10 ampulių PVC lizdinėje plokštelėje. Kartono dėžutėje yra 1 arba 10 lizdinių plokštelių ir pakuotės lapelis.</w:t>
      </w:r>
    </w:p>
    <w:p w14:paraId="50EB44C6" w14:textId="77777777" w:rsidR="00A052FA" w:rsidRPr="00BD03D8" w:rsidRDefault="00A052FA" w:rsidP="00634EE3">
      <w:pPr>
        <w:pStyle w:val="BTEMEASMCA"/>
      </w:pPr>
      <w:r w:rsidRPr="00BD03D8">
        <w:t>Gali būti tiekiamos ne visų dydžių pakuotės.</w:t>
      </w:r>
    </w:p>
    <w:p w14:paraId="6CBA2EAD" w14:textId="77777777" w:rsidR="00A052FA" w:rsidRPr="00BD03D8" w:rsidRDefault="00A052FA" w:rsidP="00634EE3">
      <w:pPr>
        <w:pStyle w:val="BTEMEASMCA"/>
      </w:pPr>
    </w:p>
    <w:p w14:paraId="3D9D9F61" w14:textId="24861ADE" w:rsidR="00A052FA" w:rsidRPr="00BD03D8" w:rsidRDefault="00A052FA" w:rsidP="00A052FA">
      <w:pPr>
        <w:pStyle w:val="PI-2EMEASMCA"/>
      </w:pPr>
      <w:bookmarkStart w:id="58" w:name="_Toc129243121"/>
      <w:bookmarkStart w:id="59" w:name="_Toc129243246"/>
      <w:r w:rsidRPr="00BD03D8">
        <w:t>6.6</w:t>
      </w:r>
      <w:r w:rsidRPr="00BD03D8">
        <w:tab/>
        <w:t xml:space="preserve">Specialūs reikalavimai atliekoms tvarkyti </w:t>
      </w:r>
      <w:bookmarkEnd w:id="58"/>
      <w:bookmarkEnd w:id="59"/>
    </w:p>
    <w:p w14:paraId="62F821E1" w14:textId="77777777" w:rsidR="00A052FA" w:rsidRPr="00BD03D8" w:rsidRDefault="00A052FA" w:rsidP="00634EE3">
      <w:pPr>
        <w:pStyle w:val="BTEMEASMCA"/>
      </w:pPr>
    </w:p>
    <w:p w14:paraId="6438A62E" w14:textId="77777777" w:rsidR="00A052FA" w:rsidRPr="00BD03D8" w:rsidRDefault="00A052FA" w:rsidP="00634EE3">
      <w:pPr>
        <w:pStyle w:val="BTEMEASMCA"/>
      </w:pPr>
      <w:r w:rsidRPr="00BD03D8">
        <w:t>Specialių reikalavimų nėra.</w:t>
      </w:r>
    </w:p>
    <w:p w14:paraId="6C4C0CB3" w14:textId="77777777" w:rsidR="00A052FA" w:rsidRPr="00BD03D8" w:rsidRDefault="00A052FA" w:rsidP="00634EE3">
      <w:pPr>
        <w:pStyle w:val="BTEMEASMCA"/>
      </w:pPr>
    </w:p>
    <w:p w14:paraId="3C900EA3" w14:textId="77777777" w:rsidR="00A052FA" w:rsidRPr="00BD03D8" w:rsidRDefault="00A052FA" w:rsidP="00634EE3">
      <w:pPr>
        <w:pStyle w:val="BTEMEASMCA"/>
      </w:pPr>
    </w:p>
    <w:p w14:paraId="7D8E545C" w14:textId="55DF4565" w:rsidR="00A052FA" w:rsidRPr="00BD03D8" w:rsidRDefault="00A052FA" w:rsidP="00A052FA">
      <w:pPr>
        <w:pStyle w:val="PI-1EMEASMCA"/>
      </w:pPr>
      <w:bookmarkStart w:id="60" w:name="_Toc129243122"/>
      <w:bookmarkStart w:id="61" w:name="_Toc129243247"/>
      <w:r w:rsidRPr="00BD03D8">
        <w:t>7.</w:t>
      </w:r>
      <w:r w:rsidRPr="00BD03D8">
        <w:tab/>
        <w:t>REGISTRUOTOJAS</w:t>
      </w:r>
      <w:bookmarkEnd w:id="60"/>
      <w:bookmarkEnd w:id="61"/>
    </w:p>
    <w:p w14:paraId="584742C2" w14:textId="77777777" w:rsidR="00A052FA" w:rsidRPr="00BD03D8" w:rsidRDefault="00A052FA" w:rsidP="00634EE3">
      <w:pPr>
        <w:pStyle w:val="BTEMEASMCA"/>
      </w:pPr>
    </w:p>
    <w:p w14:paraId="40D8F7B3" w14:textId="77777777" w:rsidR="00A052FA" w:rsidRPr="00BD03D8" w:rsidRDefault="00A052FA" w:rsidP="00A052FA">
      <w:pPr>
        <w:rPr>
          <w:sz w:val="22"/>
          <w:szCs w:val="22"/>
        </w:rPr>
      </w:pPr>
      <w:r w:rsidRPr="00BD03D8">
        <w:rPr>
          <w:sz w:val="22"/>
          <w:szCs w:val="22"/>
        </w:rPr>
        <w:t xml:space="preserve">SOPHARMA AD </w:t>
      </w:r>
    </w:p>
    <w:p w14:paraId="5EA36518" w14:textId="77777777" w:rsidR="00A052FA" w:rsidRPr="00BD03D8" w:rsidRDefault="00A052FA" w:rsidP="00A052FA">
      <w:pPr>
        <w:rPr>
          <w:sz w:val="22"/>
          <w:szCs w:val="22"/>
        </w:rPr>
      </w:pPr>
      <w:r w:rsidRPr="00BD03D8">
        <w:rPr>
          <w:sz w:val="22"/>
          <w:szCs w:val="22"/>
        </w:rPr>
        <w:t xml:space="preserve">16 </w:t>
      </w:r>
      <w:proofErr w:type="spellStart"/>
      <w:r w:rsidRPr="00BD03D8">
        <w:rPr>
          <w:sz w:val="22"/>
          <w:szCs w:val="22"/>
        </w:rPr>
        <w:t>Iliensko</w:t>
      </w:r>
      <w:proofErr w:type="spellEnd"/>
      <w:r w:rsidRPr="00BD03D8">
        <w:rPr>
          <w:sz w:val="22"/>
          <w:szCs w:val="22"/>
        </w:rPr>
        <w:t xml:space="preserve"> </w:t>
      </w:r>
      <w:proofErr w:type="spellStart"/>
      <w:r w:rsidRPr="00BD03D8">
        <w:rPr>
          <w:sz w:val="22"/>
          <w:szCs w:val="22"/>
        </w:rPr>
        <w:t>Shosse</w:t>
      </w:r>
      <w:proofErr w:type="spellEnd"/>
      <w:r w:rsidRPr="00BD03D8">
        <w:rPr>
          <w:sz w:val="22"/>
          <w:szCs w:val="22"/>
        </w:rPr>
        <w:t xml:space="preserve"> Str. </w:t>
      </w:r>
    </w:p>
    <w:p w14:paraId="3D6A261B" w14:textId="77777777" w:rsidR="00A052FA" w:rsidRPr="00BD03D8" w:rsidRDefault="00A052FA" w:rsidP="00A052FA">
      <w:pPr>
        <w:rPr>
          <w:sz w:val="22"/>
          <w:szCs w:val="22"/>
        </w:rPr>
      </w:pPr>
      <w:proofErr w:type="spellStart"/>
      <w:r w:rsidRPr="00BD03D8">
        <w:rPr>
          <w:sz w:val="22"/>
          <w:szCs w:val="22"/>
        </w:rPr>
        <w:t>Sofia</w:t>
      </w:r>
      <w:proofErr w:type="spellEnd"/>
      <w:r w:rsidRPr="00BD03D8">
        <w:rPr>
          <w:sz w:val="22"/>
          <w:szCs w:val="22"/>
        </w:rPr>
        <w:t xml:space="preserve"> 1220 </w:t>
      </w:r>
    </w:p>
    <w:p w14:paraId="2C44B23A" w14:textId="77777777" w:rsidR="00A052FA" w:rsidRPr="00BD03D8" w:rsidRDefault="00A052FA" w:rsidP="00A052FA">
      <w:pPr>
        <w:rPr>
          <w:sz w:val="22"/>
          <w:szCs w:val="22"/>
        </w:rPr>
      </w:pPr>
      <w:r w:rsidRPr="00BD03D8">
        <w:rPr>
          <w:sz w:val="22"/>
          <w:szCs w:val="22"/>
        </w:rPr>
        <w:t>Bulgarija</w:t>
      </w:r>
    </w:p>
    <w:p w14:paraId="62761B6F" w14:textId="77777777" w:rsidR="00A052FA" w:rsidRPr="00BD03D8" w:rsidRDefault="00A052FA" w:rsidP="00634EE3">
      <w:pPr>
        <w:pStyle w:val="BTEMEASMCA"/>
      </w:pPr>
    </w:p>
    <w:p w14:paraId="68074C49" w14:textId="77777777" w:rsidR="00A052FA" w:rsidRPr="00BD03D8" w:rsidRDefault="00A052FA" w:rsidP="00634EE3">
      <w:pPr>
        <w:pStyle w:val="BTEMEASMCA"/>
      </w:pPr>
    </w:p>
    <w:p w14:paraId="7B0679FD" w14:textId="0A5DE9FD" w:rsidR="00A052FA" w:rsidRPr="00BD03D8" w:rsidRDefault="00A052FA" w:rsidP="00A052FA">
      <w:pPr>
        <w:pStyle w:val="PI-1EMEASMCA"/>
      </w:pPr>
      <w:bookmarkStart w:id="62" w:name="_Toc129243123"/>
      <w:bookmarkStart w:id="63" w:name="_Toc129243248"/>
      <w:r w:rsidRPr="00BD03D8">
        <w:t>8.</w:t>
      </w:r>
      <w:r w:rsidRPr="00BD03D8">
        <w:tab/>
        <w:t>REGISTRACIJOS PAŽYMĖJIMO NUMERIS</w:t>
      </w:r>
      <w:bookmarkEnd w:id="62"/>
      <w:bookmarkEnd w:id="63"/>
      <w:r w:rsidRPr="00BD03D8">
        <w:t xml:space="preserve"> (-IAI)</w:t>
      </w:r>
    </w:p>
    <w:p w14:paraId="4282C736" w14:textId="77777777" w:rsidR="00A052FA" w:rsidRPr="00BD03D8" w:rsidRDefault="00A052FA" w:rsidP="00634EE3">
      <w:pPr>
        <w:pStyle w:val="BTEMEASMCA"/>
      </w:pPr>
    </w:p>
    <w:p w14:paraId="2E213677" w14:textId="77777777" w:rsidR="00A052FA" w:rsidRPr="00BD03D8" w:rsidRDefault="00A052FA" w:rsidP="00634EE3">
      <w:pPr>
        <w:pStyle w:val="BTEMEASMCA"/>
      </w:pPr>
      <w:r w:rsidRPr="00BD03D8">
        <w:t>N10 - LT/1/02/2218/001</w:t>
      </w:r>
    </w:p>
    <w:p w14:paraId="4B333085" w14:textId="77777777" w:rsidR="00A052FA" w:rsidRPr="00BD03D8" w:rsidRDefault="00A052FA" w:rsidP="00634EE3">
      <w:pPr>
        <w:pStyle w:val="BTEMEASMCA"/>
      </w:pPr>
      <w:r w:rsidRPr="00BD03D8">
        <w:t>N100 - LT/1/02/2218/002</w:t>
      </w:r>
    </w:p>
    <w:p w14:paraId="05D94E7D" w14:textId="77777777" w:rsidR="00A052FA" w:rsidRPr="00BD03D8" w:rsidRDefault="00A052FA" w:rsidP="00634EE3">
      <w:pPr>
        <w:pStyle w:val="BTEMEASMCA"/>
      </w:pPr>
    </w:p>
    <w:p w14:paraId="7CA4C1A9" w14:textId="77777777" w:rsidR="00A052FA" w:rsidRPr="00BD03D8" w:rsidRDefault="00A052FA" w:rsidP="00634EE3">
      <w:pPr>
        <w:pStyle w:val="BTEMEASMCA"/>
      </w:pPr>
    </w:p>
    <w:p w14:paraId="57A66FB2" w14:textId="5C93FB12" w:rsidR="00A052FA" w:rsidRPr="00BD03D8" w:rsidRDefault="00A052FA" w:rsidP="00A052FA">
      <w:pPr>
        <w:pStyle w:val="PI-1EMEASMCA"/>
      </w:pPr>
      <w:bookmarkStart w:id="64" w:name="_Toc129243124"/>
      <w:bookmarkStart w:id="65" w:name="_Toc129243249"/>
      <w:r w:rsidRPr="00BD03D8">
        <w:t>9.</w:t>
      </w:r>
      <w:r w:rsidRPr="00BD03D8">
        <w:tab/>
        <w:t>REGISTRAVIMO / PERREGISTRAVIMO</w:t>
      </w:r>
      <w:r w:rsidRPr="00BD03D8" w:rsidDel="003E41CE">
        <w:t xml:space="preserve"> </w:t>
      </w:r>
      <w:r w:rsidRPr="00BD03D8">
        <w:t>DATA</w:t>
      </w:r>
      <w:bookmarkEnd w:id="64"/>
      <w:bookmarkEnd w:id="65"/>
    </w:p>
    <w:p w14:paraId="2717F0E2" w14:textId="77777777" w:rsidR="00A052FA" w:rsidRPr="00BD03D8" w:rsidRDefault="00A052FA" w:rsidP="00634EE3">
      <w:pPr>
        <w:pStyle w:val="BTEMEASMCA"/>
      </w:pPr>
    </w:p>
    <w:p w14:paraId="5C80D32F" w14:textId="77777777" w:rsidR="00A052FA" w:rsidRPr="00BD03D8" w:rsidRDefault="00A052FA" w:rsidP="00634EE3">
      <w:pPr>
        <w:pStyle w:val="BTEMEASMCA"/>
      </w:pPr>
      <w:r w:rsidRPr="00BD03D8">
        <w:rPr>
          <w:noProof/>
          <w:snapToGrid w:val="0"/>
          <w:szCs w:val="24"/>
        </w:rPr>
        <w:t xml:space="preserve">Registravimo data </w:t>
      </w:r>
      <w:r w:rsidRPr="00BD03D8">
        <w:t>2010 m. lapkričio 10 d.</w:t>
      </w:r>
    </w:p>
    <w:p w14:paraId="55329E0B" w14:textId="77777777" w:rsidR="00A052FA" w:rsidRPr="00BD03D8" w:rsidRDefault="00A052FA" w:rsidP="00634EE3">
      <w:pPr>
        <w:pStyle w:val="BTEMEASMCA"/>
      </w:pPr>
      <w:r w:rsidRPr="00BD03D8">
        <w:t>Paskutinio perregistravimo data 2015 m. lapkričio 9 d.</w:t>
      </w:r>
    </w:p>
    <w:p w14:paraId="11E60263" w14:textId="77777777" w:rsidR="00A052FA" w:rsidRPr="00BD03D8" w:rsidRDefault="00A052FA" w:rsidP="00634EE3">
      <w:pPr>
        <w:pStyle w:val="BTEMEASMCA"/>
      </w:pPr>
    </w:p>
    <w:p w14:paraId="3FF64324" w14:textId="77777777" w:rsidR="00A052FA" w:rsidRPr="00BD03D8" w:rsidRDefault="00A052FA" w:rsidP="00634EE3">
      <w:pPr>
        <w:pStyle w:val="BTEMEASMCA"/>
      </w:pPr>
    </w:p>
    <w:p w14:paraId="657A983D" w14:textId="0F77504C" w:rsidR="00A052FA" w:rsidRPr="00BD03D8" w:rsidRDefault="00A052FA" w:rsidP="00A052FA">
      <w:pPr>
        <w:pStyle w:val="PI-1EMEASMCA"/>
      </w:pPr>
      <w:bookmarkStart w:id="66" w:name="_Toc129243125"/>
      <w:bookmarkStart w:id="67" w:name="_Toc129243250"/>
      <w:r w:rsidRPr="00BD03D8">
        <w:t>10.</w:t>
      </w:r>
      <w:r w:rsidRPr="00BD03D8">
        <w:tab/>
        <w:t>TEKSTO PERŽIŪROS DATA</w:t>
      </w:r>
      <w:bookmarkEnd w:id="66"/>
      <w:bookmarkEnd w:id="67"/>
    </w:p>
    <w:p w14:paraId="2B2F4609" w14:textId="77777777" w:rsidR="00A052FA" w:rsidRPr="00BD03D8" w:rsidRDefault="00A052FA" w:rsidP="00634EE3">
      <w:pPr>
        <w:pStyle w:val="BTEMEASMCA"/>
      </w:pPr>
    </w:p>
    <w:p w14:paraId="11A0777B" w14:textId="7A9DD90B" w:rsidR="00A052FA" w:rsidRPr="00BD03D8" w:rsidRDefault="00E53F85" w:rsidP="00634EE3">
      <w:pPr>
        <w:pStyle w:val="BTEMEASMCA"/>
      </w:pPr>
      <w:r>
        <w:t>2025 m. balandžio 14 d.</w:t>
      </w:r>
    </w:p>
    <w:p w14:paraId="541454FE" w14:textId="77777777" w:rsidR="00A052FA" w:rsidRPr="00BD03D8" w:rsidRDefault="00A052FA" w:rsidP="00634EE3">
      <w:pPr>
        <w:pStyle w:val="BTEMEASMCA"/>
      </w:pPr>
    </w:p>
    <w:p w14:paraId="2B0D6DAA" w14:textId="1B2F51FB" w:rsidR="00A052FA" w:rsidRPr="00BD03D8" w:rsidRDefault="00A052FA" w:rsidP="00A052FA">
      <w:pPr>
        <w:pStyle w:val="Paprastasistekstas"/>
        <w:tabs>
          <w:tab w:val="left" w:pos="5954"/>
          <w:tab w:val="left" w:pos="6237"/>
          <w:tab w:val="left" w:pos="6663"/>
          <w:tab w:val="left" w:pos="6946"/>
        </w:tabs>
        <w:rPr>
          <w:rFonts w:ascii="Times New Roman" w:hAnsi="Times New Roman"/>
          <w:sz w:val="22"/>
          <w:szCs w:val="22"/>
          <w:lang w:val="lt-LT"/>
        </w:rPr>
      </w:pPr>
      <w:r w:rsidRPr="00BD03D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BD03D8">
        <w:rPr>
          <w:rFonts w:ascii="Times New Roman" w:hAnsi="Times New Roman"/>
          <w:i/>
          <w:noProof/>
          <w:sz w:val="22"/>
          <w:szCs w:val="22"/>
          <w:lang w:val="lt-LT"/>
        </w:rPr>
        <w:t xml:space="preserve"> </w:t>
      </w:r>
      <w:hyperlink r:id="rId8" w:history="1">
        <w:r w:rsidR="00FB1A2A" w:rsidRPr="00FB1A2A">
          <w:rPr>
            <w:rFonts w:ascii="Times New Roman" w:eastAsia="Times New Roman" w:hAnsi="Times New Roman"/>
            <w:color w:val="0000FF"/>
            <w:sz w:val="22"/>
            <w:szCs w:val="22"/>
            <w:u w:val="single"/>
            <w:lang w:val="lt-LT" w:eastAsia="ar-SA"/>
          </w:rPr>
          <w:t>https://vvkt.lrv.lt/lt/</w:t>
        </w:r>
      </w:hyperlink>
      <w:r w:rsidR="00FB1A2A" w:rsidRPr="00FB1A2A">
        <w:rPr>
          <w:rFonts w:ascii="Times New Roman" w:eastAsia="Times New Roman" w:hAnsi="Times New Roman"/>
          <w:color w:val="0000EE"/>
          <w:sz w:val="22"/>
          <w:szCs w:val="22"/>
          <w:u w:val="single"/>
          <w:lang w:val="lt-LT" w:eastAsia="ar-SA"/>
        </w:rPr>
        <w:t>.</w:t>
      </w:r>
    </w:p>
    <w:p w14:paraId="3D34E0FC" w14:textId="77777777" w:rsidR="00A052FA" w:rsidRPr="00BD03D8" w:rsidRDefault="00A052FA" w:rsidP="00634EE3">
      <w:pPr>
        <w:pStyle w:val="BTEMEASMCA"/>
      </w:pPr>
    </w:p>
    <w:p w14:paraId="30A7EF4D" w14:textId="77777777" w:rsidR="00A052FA" w:rsidRPr="00BD03D8" w:rsidRDefault="00A052FA" w:rsidP="00634EE3">
      <w:pPr>
        <w:pStyle w:val="BTEMEASMCA"/>
      </w:pPr>
      <w:r w:rsidRPr="00BD03D8">
        <w:br w:type="page"/>
      </w:r>
    </w:p>
    <w:p w14:paraId="359428F3" w14:textId="77777777" w:rsidR="00A052FA" w:rsidRPr="00BD03D8" w:rsidRDefault="00A052FA" w:rsidP="00634EE3">
      <w:pPr>
        <w:pStyle w:val="BTEMEASMCA"/>
      </w:pPr>
    </w:p>
    <w:p w14:paraId="0FF3D32A" w14:textId="77777777" w:rsidR="00A052FA" w:rsidRPr="00BD03D8" w:rsidRDefault="00A052FA" w:rsidP="00634EE3">
      <w:pPr>
        <w:pStyle w:val="BTEMEASMCA"/>
      </w:pPr>
    </w:p>
    <w:p w14:paraId="17F8A06B" w14:textId="77777777" w:rsidR="00A052FA" w:rsidRPr="00BD03D8" w:rsidRDefault="00A052FA" w:rsidP="00634EE3">
      <w:pPr>
        <w:pStyle w:val="BTEMEASMCA"/>
      </w:pPr>
    </w:p>
    <w:p w14:paraId="382ED827" w14:textId="77777777" w:rsidR="00A052FA" w:rsidRPr="00BD03D8" w:rsidRDefault="00A052FA" w:rsidP="00634EE3">
      <w:pPr>
        <w:pStyle w:val="BTEMEASMCA"/>
      </w:pPr>
    </w:p>
    <w:p w14:paraId="78271B3E" w14:textId="77777777" w:rsidR="00A052FA" w:rsidRPr="00BD03D8" w:rsidRDefault="00A052FA" w:rsidP="00634EE3">
      <w:pPr>
        <w:pStyle w:val="BTEMEASMCA"/>
      </w:pPr>
    </w:p>
    <w:p w14:paraId="0F4D19E1" w14:textId="77777777" w:rsidR="00A052FA" w:rsidRPr="00BD03D8" w:rsidRDefault="00A052FA" w:rsidP="00634EE3">
      <w:pPr>
        <w:pStyle w:val="BTEMEASMCA"/>
      </w:pPr>
    </w:p>
    <w:p w14:paraId="1BE68610" w14:textId="77777777" w:rsidR="00A052FA" w:rsidRPr="00BD03D8" w:rsidRDefault="00A052FA" w:rsidP="00634EE3">
      <w:pPr>
        <w:pStyle w:val="BTEMEASMCA"/>
      </w:pPr>
    </w:p>
    <w:p w14:paraId="75B1C590" w14:textId="77777777" w:rsidR="00A052FA" w:rsidRPr="00BD03D8" w:rsidRDefault="00A052FA" w:rsidP="00634EE3">
      <w:pPr>
        <w:pStyle w:val="BTEMEASMCA"/>
      </w:pPr>
    </w:p>
    <w:p w14:paraId="3FF51688" w14:textId="77777777" w:rsidR="00A052FA" w:rsidRPr="00BD03D8" w:rsidRDefault="00A052FA" w:rsidP="00634EE3">
      <w:pPr>
        <w:pStyle w:val="BTEMEASMCA"/>
      </w:pPr>
    </w:p>
    <w:p w14:paraId="386E2491" w14:textId="77777777" w:rsidR="00A052FA" w:rsidRPr="00BD03D8" w:rsidRDefault="00A052FA" w:rsidP="00634EE3">
      <w:pPr>
        <w:pStyle w:val="BTEMEASMCA"/>
      </w:pPr>
    </w:p>
    <w:p w14:paraId="747D9B40" w14:textId="77777777" w:rsidR="00A052FA" w:rsidRPr="00BD03D8" w:rsidRDefault="00A052FA" w:rsidP="00634EE3">
      <w:pPr>
        <w:pStyle w:val="BTEMEASMCA"/>
      </w:pPr>
    </w:p>
    <w:p w14:paraId="11B9D885" w14:textId="77777777" w:rsidR="00A052FA" w:rsidRPr="00BD03D8" w:rsidRDefault="00A052FA" w:rsidP="00634EE3">
      <w:pPr>
        <w:pStyle w:val="BTEMEASMCA"/>
      </w:pPr>
    </w:p>
    <w:p w14:paraId="21B419F2" w14:textId="77777777" w:rsidR="00A052FA" w:rsidRPr="00BD03D8" w:rsidRDefault="00A052FA" w:rsidP="00634EE3">
      <w:pPr>
        <w:pStyle w:val="BTEMEASMCA"/>
      </w:pPr>
    </w:p>
    <w:p w14:paraId="1554122A" w14:textId="77777777" w:rsidR="00A052FA" w:rsidRPr="00BD03D8" w:rsidRDefault="00A052FA" w:rsidP="00634EE3">
      <w:pPr>
        <w:pStyle w:val="BTEMEASMCA"/>
      </w:pPr>
    </w:p>
    <w:p w14:paraId="5549800A" w14:textId="77777777" w:rsidR="00A052FA" w:rsidRPr="00BD03D8" w:rsidRDefault="00A052FA" w:rsidP="00634EE3">
      <w:pPr>
        <w:pStyle w:val="BTEMEASMCA"/>
      </w:pPr>
    </w:p>
    <w:p w14:paraId="7FC1F4F8" w14:textId="77777777" w:rsidR="00A052FA" w:rsidRPr="00BD03D8" w:rsidRDefault="00A052FA" w:rsidP="00634EE3">
      <w:pPr>
        <w:pStyle w:val="BTEMEASMCA"/>
      </w:pPr>
    </w:p>
    <w:p w14:paraId="4EDFB92A" w14:textId="77777777" w:rsidR="00A052FA" w:rsidRPr="00BD03D8" w:rsidRDefault="00A052FA" w:rsidP="00634EE3">
      <w:pPr>
        <w:pStyle w:val="BTEMEASMCA"/>
      </w:pPr>
    </w:p>
    <w:p w14:paraId="77CF6FD3" w14:textId="77777777" w:rsidR="00A052FA" w:rsidRPr="00BD03D8" w:rsidRDefault="00A052FA" w:rsidP="00634EE3">
      <w:pPr>
        <w:pStyle w:val="BTEMEASMCA"/>
      </w:pPr>
    </w:p>
    <w:p w14:paraId="6C01DD3F" w14:textId="77777777" w:rsidR="00A052FA" w:rsidRPr="00BD03D8" w:rsidRDefault="00A052FA" w:rsidP="00634EE3">
      <w:pPr>
        <w:pStyle w:val="BTEMEASMCA"/>
      </w:pPr>
    </w:p>
    <w:p w14:paraId="1E91B3CC" w14:textId="77777777" w:rsidR="00A052FA" w:rsidRPr="00BD03D8" w:rsidRDefault="00A052FA" w:rsidP="00634EE3">
      <w:pPr>
        <w:pStyle w:val="BTEMEASMCA"/>
      </w:pPr>
    </w:p>
    <w:p w14:paraId="56AB60F7" w14:textId="77777777" w:rsidR="00A052FA" w:rsidRPr="00BD03D8" w:rsidRDefault="00A052FA" w:rsidP="00634EE3">
      <w:pPr>
        <w:pStyle w:val="BTEMEASMCA"/>
      </w:pPr>
    </w:p>
    <w:p w14:paraId="07B3C4FE" w14:textId="77777777" w:rsidR="00A052FA" w:rsidRPr="00BD03D8" w:rsidRDefault="00A052FA" w:rsidP="00634EE3">
      <w:pPr>
        <w:pStyle w:val="BTEMEASMCA"/>
      </w:pPr>
    </w:p>
    <w:p w14:paraId="1698EEE9" w14:textId="77777777" w:rsidR="00A052FA" w:rsidRPr="00BD03D8" w:rsidRDefault="00A052FA" w:rsidP="00A052FA">
      <w:pPr>
        <w:pStyle w:val="TTEMEASMCA"/>
        <w:rPr>
          <w:lang w:val="lt-LT"/>
        </w:rPr>
      </w:pPr>
      <w:bookmarkStart w:id="68" w:name="_Toc129243128"/>
      <w:bookmarkStart w:id="69" w:name="_Toc129243253"/>
    </w:p>
    <w:p w14:paraId="041221B0" w14:textId="64F8CEFE" w:rsidR="00A052FA" w:rsidRPr="00BD03D8" w:rsidRDefault="00A052FA" w:rsidP="00A052FA">
      <w:pPr>
        <w:pStyle w:val="TTEMEASMCA"/>
        <w:rPr>
          <w:lang w:val="lt-LT"/>
        </w:rPr>
      </w:pPr>
      <w:r w:rsidRPr="00BD03D8">
        <w:rPr>
          <w:lang w:val="lt-LT"/>
        </w:rPr>
        <w:t>II PRIEDAS</w:t>
      </w:r>
      <w:bookmarkEnd w:id="68"/>
      <w:bookmarkEnd w:id="69"/>
    </w:p>
    <w:p w14:paraId="46A30387" w14:textId="77777777" w:rsidR="00A052FA" w:rsidRPr="00BD03D8" w:rsidRDefault="00A052FA" w:rsidP="00A052FA">
      <w:pPr>
        <w:pStyle w:val="TTEMEASMCA"/>
        <w:rPr>
          <w:lang w:val="lt-LT"/>
        </w:rPr>
      </w:pPr>
    </w:p>
    <w:p w14:paraId="76CB1A6C" w14:textId="77777777" w:rsidR="00A052FA" w:rsidRPr="00BD03D8" w:rsidRDefault="00A052FA" w:rsidP="00A052FA">
      <w:pPr>
        <w:pStyle w:val="TTEMEASMCA"/>
        <w:rPr>
          <w:lang w:val="lt-LT"/>
        </w:rPr>
      </w:pPr>
      <w:r w:rsidRPr="00BD03D8">
        <w:rPr>
          <w:lang w:val="lt-LT"/>
        </w:rPr>
        <w:t>REGISTRACIJOS SĄLYGOS</w:t>
      </w:r>
    </w:p>
    <w:p w14:paraId="68C18CE7" w14:textId="77777777" w:rsidR="00A052FA" w:rsidRPr="00BD03D8" w:rsidRDefault="00A052FA" w:rsidP="00634EE3">
      <w:pPr>
        <w:pStyle w:val="BTEMEASMCA"/>
      </w:pPr>
    </w:p>
    <w:p w14:paraId="64477ADE" w14:textId="77777777" w:rsidR="00A052FA" w:rsidRPr="00BD03D8" w:rsidRDefault="00A052FA" w:rsidP="00A052FA">
      <w:pPr>
        <w:pStyle w:val="BTAnIIEMEASMCA"/>
        <w:rPr>
          <w:highlight w:val="yellow"/>
          <w:lang w:val="lt-LT"/>
        </w:rPr>
      </w:pPr>
      <w:r w:rsidRPr="00BD03D8">
        <w:rPr>
          <w:lang w:val="lt-LT"/>
        </w:rPr>
        <w:t>A.</w:t>
      </w:r>
      <w:r w:rsidRPr="00BD03D8">
        <w:rPr>
          <w:lang w:val="lt-LT"/>
        </w:rPr>
        <w:tab/>
        <w:t>GAMINTOJAS (-AI), ATSAKINGAS (-I) UŽ SERIJŲ IŠLEIDIMĄ</w:t>
      </w:r>
    </w:p>
    <w:p w14:paraId="254187A4" w14:textId="77777777" w:rsidR="00A052FA" w:rsidRPr="00BD03D8" w:rsidRDefault="00A052FA" w:rsidP="00634EE3">
      <w:pPr>
        <w:pStyle w:val="BTEMEASMCA"/>
        <w:rPr>
          <w:highlight w:val="yellow"/>
        </w:rPr>
      </w:pPr>
    </w:p>
    <w:p w14:paraId="5DFD751E" w14:textId="77777777" w:rsidR="00A052FA" w:rsidRPr="00BD03D8" w:rsidRDefault="00A052FA" w:rsidP="00A052FA">
      <w:pPr>
        <w:pStyle w:val="BTAnIIEMEASMCA"/>
        <w:rPr>
          <w:lang w:val="lt-LT"/>
        </w:rPr>
      </w:pPr>
      <w:r w:rsidRPr="00BD03D8">
        <w:rPr>
          <w:lang w:val="lt-LT"/>
        </w:rPr>
        <w:t>B.</w:t>
      </w:r>
      <w:r w:rsidRPr="00BD03D8">
        <w:rPr>
          <w:lang w:val="lt-LT"/>
        </w:rPr>
        <w:tab/>
        <w:t>TIEKIMO IR VARTOJIMO SĄLYGOS AR APRIBOJIMAI</w:t>
      </w:r>
    </w:p>
    <w:p w14:paraId="5F82F83B" w14:textId="77777777" w:rsidR="00A052FA" w:rsidRPr="00BD03D8" w:rsidRDefault="00A052FA" w:rsidP="00634EE3">
      <w:pPr>
        <w:pStyle w:val="BTEMEASMCA"/>
        <w:rPr>
          <w:highlight w:val="yellow"/>
        </w:rPr>
      </w:pPr>
    </w:p>
    <w:p w14:paraId="3E79E4B2" w14:textId="77777777" w:rsidR="00A052FA" w:rsidRPr="00BD03D8" w:rsidRDefault="00A052FA" w:rsidP="00A052FA">
      <w:pPr>
        <w:pStyle w:val="PI-1EMEASMCA"/>
      </w:pPr>
      <w:r w:rsidRPr="00BD03D8">
        <w:br w:type="page"/>
      </w:r>
      <w:r w:rsidRPr="00BD03D8">
        <w:lastRenderedPageBreak/>
        <w:t>A.</w:t>
      </w:r>
      <w:r w:rsidRPr="00BD03D8">
        <w:tab/>
        <w:t>GAMINTOJAS (-AI), ATSAKINGAS (-I) UŽ SERIJŲ IŠLEIDIMĄ</w:t>
      </w:r>
    </w:p>
    <w:p w14:paraId="654764C4" w14:textId="77777777" w:rsidR="00A052FA" w:rsidRPr="00BD03D8" w:rsidRDefault="00A052FA" w:rsidP="00634EE3">
      <w:pPr>
        <w:pStyle w:val="BTEMEASMCA"/>
        <w:rPr>
          <w:highlight w:val="yellow"/>
        </w:rPr>
      </w:pPr>
    </w:p>
    <w:p w14:paraId="7EF1A6D0" w14:textId="77777777" w:rsidR="00A052FA" w:rsidRPr="00BD03D8" w:rsidRDefault="00A052FA" w:rsidP="00ED1D0B">
      <w:pPr>
        <w:pStyle w:val="BTEMEASMCA"/>
      </w:pPr>
      <w:r w:rsidRPr="00BD03D8">
        <w:t>Gamintojo (-ų), atsakingo (-ų) už serijų išleidimą, pavadinimas (-ai) ir adresas (-ai)</w:t>
      </w:r>
    </w:p>
    <w:p w14:paraId="1799842F" w14:textId="77777777" w:rsidR="00A052FA" w:rsidRPr="00BD03D8" w:rsidRDefault="00A052FA" w:rsidP="00634EE3">
      <w:pPr>
        <w:pStyle w:val="BTEMEASMCA"/>
      </w:pPr>
    </w:p>
    <w:p w14:paraId="7770B40C" w14:textId="77777777" w:rsidR="00A052FA" w:rsidRPr="00BD03D8" w:rsidRDefault="00A052FA" w:rsidP="00A052FA">
      <w:pPr>
        <w:rPr>
          <w:sz w:val="22"/>
          <w:szCs w:val="22"/>
        </w:rPr>
      </w:pPr>
      <w:r w:rsidRPr="00BD03D8">
        <w:rPr>
          <w:sz w:val="22"/>
          <w:szCs w:val="22"/>
        </w:rPr>
        <w:t xml:space="preserve">SOPHARMA AD </w:t>
      </w:r>
    </w:p>
    <w:p w14:paraId="39B81A4F" w14:textId="77777777" w:rsidR="00A052FA" w:rsidRPr="00BD03D8" w:rsidRDefault="00A052FA" w:rsidP="00A052FA">
      <w:pPr>
        <w:rPr>
          <w:sz w:val="22"/>
          <w:szCs w:val="22"/>
        </w:rPr>
      </w:pPr>
      <w:r w:rsidRPr="00BD03D8">
        <w:rPr>
          <w:sz w:val="22"/>
          <w:szCs w:val="22"/>
        </w:rPr>
        <w:t xml:space="preserve">16 </w:t>
      </w:r>
      <w:proofErr w:type="spellStart"/>
      <w:r w:rsidRPr="00BD03D8">
        <w:rPr>
          <w:sz w:val="22"/>
          <w:szCs w:val="22"/>
        </w:rPr>
        <w:t>Iliensko</w:t>
      </w:r>
      <w:proofErr w:type="spellEnd"/>
      <w:r w:rsidRPr="00BD03D8">
        <w:rPr>
          <w:sz w:val="22"/>
          <w:szCs w:val="22"/>
        </w:rPr>
        <w:t xml:space="preserve"> </w:t>
      </w:r>
      <w:proofErr w:type="spellStart"/>
      <w:r w:rsidRPr="00BD03D8">
        <w:rPr>
          <w:sz w:val="22"/>
          <w:szCs w:val="22"/>
        </w:rPr>
        <w:t>Shosse</w:t>
      </w:r>
      <w:proofErr w:type="spellEnd"/>
      <w:r w:rsidRPr="00BD03D8">
        <w:rPr>
          <w:sz w:val="22"/>
          <w:szCs w:val="22"/>
        </w:rPr>
        <w:t xml:space="preserve"> Str. </w:t>
      </w:r>
    </w:p>
    <w:p w14:paraId="66D61C8B" w14:textId="77777777" w:rsidR="00A052FA" w:rsidRPr="00BD03D8" w:rsidRDefault="00A052FA" w:rsidP="00A052FA">
      <w:pPr>
        <w:rPr>
          <w:sz w:val="22"/>
          <w:szCs w:val="22"/>
        </w:rPr>
      </w:pPr>
      <w:proofErr w:type="spellStart"/>
      <w:r w:rsidRPr="00BD03D8">
        <w:rPr>
          <w:sz w:val="22"/>
          <w:szCs w:val="22"/>
        </w:rPr>
        <w:t>Sofia</w:t>
      </w:r>
      <w:proofErr w:type="spellEnd"/>
      <w:r w:rsidRPr="00BD03D8">
        <w:rPr>
          <w:sz w:val="22"/>
          <w:szCs w:val="22"/>
        </w:rPr>
        <w:t xml:space="preserve"> 1220 </w:t>
      </w:r>
    </w:p>
    <w:p w14:paraId="3F11E427" w14:textId="77777777" w:rsidR="00A052FA" w:rsidRPr="00BD03D8" w:rsidRDefault="00A052FA" w:rsidP="00A052FA">
      <w:pPr>
        <w:rPr>
          <w:sz w:val="22"/>
          <w:szCs w:val="22"/>
        </w:rPr>
      </w:pPr>
      <w:r w:rsidRPr="00BD03D8">
        <w:rPr>
          <w:sz w:val="22"/>
          <w:szCs w:val="22"/>
        </w:rPr>
        <w:t>Bulgarija</w:t>
      </w:r>
    </w:p>
    <w:p w14:paraId="2C6A75F9" w14:textId="77777777" w:rsidR="00A052FA" w:rsidRPr="00BD03D8" w:rsidRDefault="00A052FA" w:rsidP="00634EE3">
      <w:pPr>
        <w:pStyle w:val="BTEMEASMCA"/>
        <w:rPr>
          <w:highlight w:val="yellow"/>
        </w:rPr>
      </w:pPr>
    </w:p>
    <w:p w14:paraId="0B3CA814" w14:textId="77777777" w:rsidR="00A052FA" w:rsidRPr="00BD03D8" w:rsidRDefault="00A052FA" w:rsidP="00634EE3">
      <w:pPr>
        <w:pStyle w:val="BTEMEASMCA"/>
        <w:rPr>
          <w:highlight w:val="yellow"/>
        </w:rPr>
      </w:pPr>
    </w:p>
    <w:p w14:paraId="3108B9D8" w14:textId="77777777" w:rsidR="00A052FA" w:rsidRPr="00BD03D8" w:rsidRDefault="00A052FA" w:rsidP="00A052FA">
      <w:pPr>
        <w:ind w:left="567" w:hanging="567"/>
        <w:rPr>
          <w:sz w:val="22"/>
          <w:szCs w:val="22"/>
        </w:rPr>
      </w:pPr>
      <w:bookmarkStart w:id="70" w:name="_Toc129243129"/>
      <w:bookmarkStart w:id="71" w:name="_Toc129243254"/>
      <w:r w:rsidRPr="00BD03D8">
        <w:rPr>
          <w:b/>
          <w:noProof/>
          <w:sz w:val="22"/>
          <w:szCs w:val="22"/>
        </w:rPr>
        <w:t>B.</w:t>
      </w:r>
      <w:r w:rsidRPr="00BD03D8">
        <w:rPr>
          <w:b/>
          <w:sz w:val="22"/>
          <w:szCs w:val="22"/>
        </w:rPr>
        <w:tab/>
      </w:r>
      <w:r w:rsidRPr="00BD03D8">
        <w:rPr>
          <w:b/>
          <w:noProof/>
          <w:sz w:val="22"/>
          <w:szCs w:val="22"/>
        </w:rPr>
        <w:t>TIEKIMO IR VARTOJIMO SĄLYGOS AR APRIBOJIMAI</w:t>
      </w:r>
    </w:p>
    <w:p w14:paraId="36CE5E40" w14:textId="77777777" w:rsidR="00A052FA" w:rsidRPr="00BD03D8" w:rsidRDefault="00A052FA" w:rsidP="00A052FA">
      <w:pPr>
        <w:rPr>
          <w:sz w:val="22"/>
          <w:szCs w:val="22"/>
        </w:rPr>
      </w:pPr>
    </w:p>
    <w:p w14:paraId="26027B5E" w14:textId="77777777" w:rsidR="00A052FA" w:rsidRPr="00BD03D8" w:rsidRDefault="00A052FA" w:rsidP="00A052FA">
      <w:pPr>
        <w:rPr>
          <w:sz w:val="22"/>
          <w:szCs w:val="22"/>
        </w:rPr>
      </w:pPr>
      <w:r w:rsidRPr="00BD03D8">
        <w:rPr>
          <w:sz w:val="22"/>
          <w:szCs w:val="22"/>
        </w:rPr>
        <w:t>Receptinis vaistinis preparatas.</w:t>
      </w:r>
    </w:p>
    <w:bookmarkEnd w:id="70"/>
    <w:bookmarkEnd w:id="71"/>
    <w:p w14:paraId="48438EE1" w14:textId="77777777" w:rsidR="00A052FA" w:rsidRPr="00BD03D8" w:rsidRDefault="00A052FA" w:rsidP="00634EE3">
      <w:pPr>
        <w:pStyle w:val="BTEMEASMCA"/>
      </w:pPr>
    </w:p>
    <w:p w14:paraId="62CD1D63" w14:textId="77777777" w:rsidR="00A052FA" w:rsidRPr="00BD03D8" w:rsidRDefault="00A052FA" w:rsidP="00634EE3">
      <w:pPr>
        <w:pStyle w:val="BTEMEASMCA"/>
      </w:pPr>
    </w:p>
    <w:p w14:paraId="71ED3C06" w14:textId="77777777" w:rsidR="00A052FA" w:rsidRPr="00BD03D8" w:rsidRDefault="00A052FA" w:rsidP="00634EE3">
      <w:pPr>
        <w:pStyle w:val="BTEMEASMCA"/>
      </w:pPr>
      <w:r w:rsidRPr="00BD03D8">
        <w:br w:type="page"/>
      </w:r>
    </w:p>
    <w:p w14:paraId="3524A2F3" w14:textId="77777777" w:rsidR="00A052FA" w:rsidRPr="00BD03D8" w:rsidRDefault="00A052FA" w:rsidP="00634EE3">
      <w:pPr>
        <w:pStyle w:val="BTEMEASMCA"/>
      </w:pPr>
    </w:p>
    <w:p w14:paraId="598C05FD" w14:textId="77777777" w:rsidR="00A052FA" w:rsidRPr="00BD03D8" w:rsidRDefault="00A052FA" w:rsidP="00634EE3">
      <w:pPr>
        <w:pStyle w:val="BTEMEASMCA"/>
      </w:pPr>
    </w:p>
    <w:p w14:paraId="6BCEA036" w14:textId="77777777" w:rsidR="00A052FA" w:rsidRPr="00BD03D8" w:rsidRDefault="00A052FA" w:rsidP="00634EE3">
      <w:pPr>
        <w:pStyle w:val="BTEMEASMCA"/>
      </w:pPr>
    </w:p>
    <w:p w14:paraId="70E527A2" w14:textId="77777777" w:rsidR="00A052FA" w:rsidRPr="00BD03D8" w:rsidRDefault="00A052FA" w:rsidP="00634EE3">
      <w:pPr>
        <w:pStyle w:val="BTEMEASMCA"/>
      </w:pPr>
    </w:p>
    <w:p w14:paraId="222E60F9" w14:textId="77777777" w:rsidR="00A052FA" w:rsidRPr="00BD03D8" w:rsidRDefault="00A052FA" w:rsidP="00634EE3">
      <w:pPr>
        <w:pStyle w:val="BTEMEASMCA"/>
      </w:pPr>
    </w:p>
    <w:p w14:paraId="684AF251" w14:textId="77777777" w:rsidR="00A052FA" w:rsidRPr="00BD03D8" w:rsidRDefault="00A052FA" w:rsidP="00634EE3">
      <w:pPr>
        <w:pStyle w:val="BTEMEASMCA"/>
      </w:pPr>
    </w:p>
    <w:p w14:paraId="1E3F00AB" w14:textId="77777777" w:rsidR="00A052FA" w:rsidRPr="00BD03D8" w:rsidRDefault="00A052FA" w:rsidP="00634EE3">
      <w:pPr>
        <w:pStyle w:val="BTEMEASMCA"/>
      </w:pPr>
    </w:p>
    <w:p w14:paraId="72096188" w14:textId="77777777" w:rsidR="00A052FA" w:rsidRPr="00BD03D8" w:rsidRDefault="00A052FA" w:rsidP="00634EE3">
      <w:pPr>
        <w:pStyle w:val="BTEMEASMCA"/>
      </w:pPr>
    </w:p>
    <w:p w14:paraId="6CEF8E32" w14:textId="77777777" w:rsidR="00A052FA" w:rsidRPr="00BD03D8" w:rsidRDefault="00A052FA" w:rsidP="00634EE3">
      <w:pPr>
        <w:pStyle w:val="BTEMEASMCA"/>
      </w:pPr>
    </w:p>
    <w:p w14:paraId="3D2F14AB" w14:textId="77777777" w:rsidR="00A052FA" w:rsidRPr="00BD03D8" w:rsidRDefault="00A052FA" w:rsidP="00634EE3">
      <w:pPr>
        <w:pStyle w:val="BTEMEASMCA"/>
      </w:pPr>
    </w:p>
    <w:p w14:paraId="5238AB61" w14:textId="77777777" w:rsidR="00A052FA" w:rsidRPr="00BD03D8" w:rsidRDefault="00A052FA" w:rsidP="00634EE3">
      <w:pPr>
        <w:pStyle w:val="BTEMEASMCA"/>
      </w:pPr>
    </w:p>
    <w:p w14:paraId="6313781C" w14:textId="77777777" w:rsidR="00A052FA" w:rsidRPr="00BD03D8" w:rsidRDefault="00A052FA" w:rsidP="00634EE3">
      <w:pPr>
        <w:pStyle w:val="BTEMEASMCA"/>
      </w:pPr>
    </w:p>
    <w:p w14:paraId="7CF3BC22" w14:textId="77777777" w:rsidR="00A052FA" w:rsidRPr="00BD03D8" w:rsidRDefault="00A052FA" w:rsidP="00634EE3">
      <w:pPr>
        <w:pStyle w:val="BTEMEASMCA"/>
      </w:pPr>
    </w:p>
    <w:p w14:paraId="2D856F1F" w14:textId="77777777" w:rsidR="00A052FA" w:rsidRPr="00BD03D8" w:rsidRDefault="00A052FA" w:rsidP="00634EE3">
      <w:pPr>
        <w:pStyle w:val="BTEMEASMCA"/>
      </w:pPr>
    </w:p>
    <w:p w14:paraId="7304BB05" w14:textId="77777777" w:rsidR="00A052FA" w:rsidRPr="00BD03D8" w:rsidRDefault="00A052FA" w:rsidP="00634EE3">
      <w:pPr>
        <w:pStyle w:val="BTEMEASMCA"/>
      </w:pPr>
    </w:p>
    <w:p w14:paraId="1787A8F4" w14:textId="77777777" w:rsidR="00A052FA" w:rsidRPr="00BD03D8" w:rsidRDefault="00A052FA" w:rsidP="00634EE3">
      <w:pPr>
        <w:pStyle w:val="BTEMEASMCA"/>
      </w:pPr>
    </w:p>
    <w:p w14:paraId="4A694F1D" w14:textId="77777777" w:rsidR="00A052FA" w:rsidRPr="00BD03D8" w:rsidRDefault="00A052FA" w:rsidP="00634EE3">
      <w:pPr>
        <w:pStyle w:val="BTEMEASMCA"/>
      </w:pPr>
    </w:p>
    <w:p w14:paraId="450CE766" w14:textId="77777777" w:rsidR="00A052FA" w:rsidRPr="00BD03D8" w:rsidRDefault="00A052FA" w:rsidP="00634EE3">
      <w:pPr>
        <w:pStyle w:val="BTEMEASMCA"/>
      </w:pPr>
    </w:p>
    <w:p w14:paraId="1B16020F" w14:textId="77777777" w:rsidR="00A052FA" w:rsidRPr="00BD03D8" w:rsidRDefault="00A052FA" w:rsidP="00634EE3">
      <w:pPr>
        <w:pStyle w:val="BTEMEASMCA"/>
      </w:pPr>
    </w:p>
    <w:p w14:paraId="3659B04C" w14:textId="77777777" w:rsidR="00A052FA" w:rsidRPr="00BD03D8" w:rsidRDefault="00A052FA" w:rsidP="00634EE3">
      <w:pPr>
        <w:pStyle w:val="BTEMEASMCA"/>
      </w:pPr>
    </w:p>
    <w:p w14:paraId="29CD2BF4" w14:textId="77777777" w:rsidR="00A052FA" w:rsidRPr="00BD03D8" w:rsidRDefault="00A052FA" w:rsidP="00634EE3">
      <w:pPr>
        <w:pStyle w:val="BTEMEASMCA"/>
      </w:pPr>
    </w:p>
    <w:p w14:paraId="3F1BE909" w14:textId="77777777" w:rsidR="00A052FA" w:rsidRPr="00BD03D8" w:rsidRDefault="00A052FA" w:rsidP="00634EE3">
      <w:pPr>
        <w:pStyle w:val="BTEMEASMCA"/>
      </w:pPr>
    </w:p>
    <w:p w14:paraId="2CC7DD5B" w14:textId="77777777" w:rsidR="00A052FA" w:rsidRPr="00BD03D8" w:rsidRDefault="00A052FA" w:rsidP="00A052FA">
      <w:pPr>
        <w:pStyle w:val="TTEMEASMCA"/>
        <w:rPr>
          <w:lang w:val="lt-LT"/>
        </w:rPr>
      </w:pPr>
      <w:bookmarkStart w:id="72" w:name="_Toc129243134"/>
      <w:bookmarkStart w:id="73" w:name="_Toc129243259"/>
    </w:p>
    <w:p w14:paraId="0A83B2CB" w14:textId="5AE1010D" w:rsidR="00A052FA" w:rsidRPr="00BD03D8" w:rsidRDefault="00A052FA" w:rsidP="00A052FA">
      <w:pPr>
        <w:pStyle w:val="TTEMEASMCA"/>
        <w:rPr>
          <w:lang w:val="lt-LT"/>
        </w:rPr>
      </w:pPr>
      <w:r w:rsidRPr="00BD03D8">
        <w:rPr>
          <w:lang w:val="lt-LT"/>
        </w:rPr>
        <w:t>III PRIEDAS</w:t>
      </w:r>
      <w:bookmarkEnd w:id="72"/>
      <w:bookmarkEnd w:id="73"/>
    </w:p>
    <w:p w14:paraId="796EDB34" w14:textId="77777777" w:rsidR="00A052FA" w:rsidRPr="00BD03D8" w:rsidRDefault="00A052FA" w:rsidP="00634EE3">
      <w:pPr>
        <w:pStyle w:val="BTEMEASMCA"/>
      </w:pPr>
    </w:p>
    <w:p w14:paraId="2CDC4258" w14:textId="539E759B" w:rsidR="00A052FA" w:rsidRPr="00BD03D8" w:rsidRDefault="00A052FA" w:rsidP="00A052FA">
      <w:pPr>
        <w:pStyle w:val="TTEMEASMCA"/>
        <w:rPr>
          <w:lang w:val="lt-LT"/>
        </w:rPr>
      </w:pPr>
      <w:bookmarkStart w:id="74" w:name="_Toc129243135"/>
      <w:bookmarkStart w:id="75" w:name="_Toc129243260"/>
      <w:r w:rsidRPr="00BD03D8">
        <w:rPr>
          <w:lang w:val="lt-LT"/>
        </w:rPr>
        <w:t>ŽENKLINIMAS IR PAKUOTĖS LAPELIS</w:t>
      </w:r>
      <w:bookmarkEnd w:id="74"/>
      <w:bookmarkEnd w:id="75"/>
    </w:p>
    <w:p w14:paraId="18E9E58A" w14:textId="77777777" w:rsidR="00A052FA" w:rsidRPr="00BD03D8" w:rsidRDefault="00A052FA" w:rsidP="00634EE3">
      <w:pPr>
        <w:pStyle w:val="BTEMEASMCA"/>
      </w:pPr>
      <w:r w:rsidRPr="00BD03D8">
        <w:br w:type="page"/>
      </w:r>
    </w:p>
    <w:p w14:paraId="6017A21E" w14:textId="77777777" w:rsidR="00A052FA" w:rsidRPr="00BD03D8" w:rsidRDefault="00A052FA" w:rsidP="00634EE3">
      <w:pPr>
        <w:pStyle w:val="BTEMEASMCA"/>
      </w:pPr>
    </w:p>
    <w:p w14:paraId="05B34194" w14:textId="77777777" w:rsidR="00A052FA" w:rsidRPr="00BD03D8" w:rsidRDefault="00A052FA" w:rsidP="00634EE3">
      <w:pPr>
        <w:pStyle w:val="BTEMEASMCA"/>
      </w:pPr>
    </w:p>
    <w:p w14:paraId="48E774BA" w14:textId="77777777" w:rsidR="00A052FA" w:rsidRPr="00BD03D8" w:rsidRDefault="00A052FA" w:rsidP="00634EE3">
      <w:pPr>
        <w:pStyle w:val="BTEMEASMCA"/>
      </w:pPr>
    </w:p>
    <w:p w14:paraId="7275D29E" w14:textId="77777777" w:rsidR="00A052FA" w:rsidRPr="00BD03D8" w:rsidRDefault="00A052FA" w:rsidP="00634EE3">
      <w:pPr>
        <w:pStyle w:val="BTEMEASMCA"/>
      </w:pPr>
    </w:p>
    <w:p w14:paraId="2D1DE971" w14:textId="77777777" w:rsidR="00A052FA" w:rsidRPr="00BD03D8" w:rsidRDefault="00A052FA" w:rsidP="00634EE3">
      <w:pPr>
        <w:pStyle w:val="BTEMEASMCA"/>
      </w:pPr>
    </w:p>
    <w:p w14:paraId="6F915935" w14:textId="77777777" w:rsidR="00A052FA" w:rsidRPr="00BD03D8" w:rsidRDefault="00A052FA" w:rsidP="00634EE3">
      <w:pPr>
        <w:pStyle w:val="BTEMEASMCA"/>
      </w:pPr>
    </w:p>
    <w:p w14:paraId="36183932" w14:textId="77777777" w:rsidR="00A052FA" w:rsidRPr="00BD03D8" w:rsidRDefault="00A052FA" w:rsidP="00634EE3">
      <w:pPr>
        <w:pStyle w:val="BTEMEASMCA"/>
      </w:pPr>
    </w:p>
    <w:p w14:paraId="5A56FF37" w14:textId="77777777" w:rsidR="00A052FA" w:rsidRPr="00BD03D8" w:rsidRDefault="00A052FA" w:rsidP="00634EE3">
      <w:pPr>
        <w:pStyle w:val="BTEMEASMCA"/>
      </w:pPr>
    </w:p>
    <w:p w14:paraId="5689C8D4" w14:textId="77777777" w:rsidR="00A052FA" w:rsidRPr="00BD03D8" w:rsidRDefault="00A052FA" w:rsidP="00634EE3">
      <w:pPr>
        <w:pStyle w:val="BTEMEASMCA"/>
      </w:pPr>
    </w:p>
    <w:p w14:paraId="7EEA63C6" w14:textId="77777777" w:rsidR="00A052FA" w:rsidRPr="00BD03D8" w:rsidRDefault="00A052FA" w:rsidP="00634EE3">
      <w:pPr>
        <w:pStyle w:val="BTEMEASMCA"/>
      </w:pPr>
    </w:p>
    <w:p w14:paraId="01029F51" w14:textId="77777777" w:rsidR="00A052FA" w:rsidRPr="00BD03D8" w:rsidRDefault="00A052FA" w:rsidP="00634EE3">
      <w:pPr>
        <w:pStyle w:val="BTEMEASMCA"/>
      </w:pPr>
    </w:p>
    <w:p w14:paraId="5CA6879E" w14:textId="77777777" w:rsidR="00A052FA" w:rsidRPr="00BD03D8" w:rsidRDefault="00A052FA" w:rsidP="00634EE3">
      <w:pPr>
        <w:pStyle w:val="BTEMEASMCA"/>
      </w:pPr>
    </w:p>
    <w:p w14:paraId="7BADA425" w14:textId="77777777" w:rsidR="00A052FA" w:rsidRPr="00BD03D8" w:rsidRDefault="00A052FA" w:rsidP="00634EE3">
      <w:pPr>
        <w:pStyle w:val="BTEMEASMCA"/>
      </w:pPr>
    </w:p>
    <w:p w14:paraId="4F7F0C63" w14:textId="77777777" w:rsidR="00A052FA" w:rsidRPr="00BD03D8" w:rsidRDefault="00A052FA" w:rsidP="00634EE3">
      <w:pPr>
        <w:pStyle w:val="BTEMEASMCA"/>
      </w:pPr>
    </w:p>
    <w:p w14:paraId="580B1000" w14:textId="77777777" w:rsidR="00A052FA" w:rsidRPr="00BD03D8" w:rsidRDefault="00A052FA" w:rsidP="00634EE3">
      <w:pPr>
        <w:pStyle w:val="BTEMEASMCA"/>
      </w:pPr>
    </w:p>
    <w:p w14:paraId="3B71A844" w14:textId="77777777" w:rsidR="00A052FA" w:rsidRPr="00BD03D8" w:rsidRDefault="00A052FA" w:rsidP="00634EE3">
      <w:pPr>
        <w:pStyle w:val="BTEMEASMCA"/>
      </w:pPr>
    </w:p>
    <w:p w14:paraId="1251117F" w14:textId="77777777" w:rsidR="00A052FA" w:rsidRPr="00BD03D8" w:rsidRDefault="00A052FA" w:rsidP="00634EE3">
      <w:pPr>
        <w:pStyle w:val="BTEMEASMCA"/>
      </w:pPr>
    </w:p>
    <w:p w14:paraId="4B18F1FA" w14:textId="77777777" w:rsidR="00A052FA" w:rsidRPr="00BD03D8" w:rsidRDefault="00A052FA" w:rsidP="00634EE3">
      <w:pPr>
        <w:pStyle w:val="BTEMEASMCA"/>
      </w:pPr>
    </w:p>
    <w:p w14:paraId="1707F08B" w14:textId="77777777" w:rsidR="00A052FA" w:rsidRPr="00BD03D8" w:rsidRDefault="00A052FA" w:rsidP="00634EE3">
      <w:pPr>
        <w:pStyle w:val="BTEMEASMCA"/>
      </w:pPr>
    </w:p>
    <w:p w14:paraId="26A3CD7A" w14:textId="77777777" w:rsidR="00A052FA" w:rsidRPr="00BD03D8" w:rsidRDefault="00A052FA" w:rsidP="00634EE3">
      <w:pPr>
        <w:pStyle w:val="BTEMEASMCA"/>
      </w:pPr>
    </w:p>
    <w:p w14:paraId="750E9802" w14:textId="77777777" w:rsidR="00A052FA" w:rsidRPr="00BD03D8" w:rsidRDefault="00A052FA" w:rsidP="00634EE3">
      <w:pPr>
        <w:pStyle w:val="BTEMEASMCA"/>
      </w:pPr>
    </w:p>
    <w:p w14:paraId="4BEA8AFF" w14:textId="77777777" w:rsidR="00A052FA" w:rsidRPr="00BD03D8" w:rsidRDefault="00A052FA" w:rsidP="00634EE3">
      <w:pPr>
        <w:pStyle w:val="BTEMEASMCA"/>
      </w:pPr>
    </w:p>
    <w:p w14:paraId="7FE345A7" w14:textId="77777777" w:rsidR="00A052FA" w:rsidRPr="00BD03D8" w:rsidRDefault="00A052FA" w:rsidP="00A052FA">
      <w:pPr>
        <w:pStyle w:val="TTEMEASMCA"/>
        <w:rPr>
          <w:lang w:val="lt-LT"/>
        </w:rPr>
      </w:pPr>
      <w:bookmarkStart w:id="76" w:name="_Toc129243136"/>
      <w:bookmarkStart w:id="77" w:name="_Toc129243261"/>
    </w:p>
    <w:p w14:paraId="4CF422E2" w14:textId="7E803ED0" w:rsidR="00A052FA" w:rsidRPr="00BD03D8" w:rsidRDefault="00A052FA" w:rsidP="00A052FA">
      <w:pPr>
        <w:pStyle w:val="TTEMEASMCA"/>
        <w:rPr>
          <w:lang w:val="lt-LT"/>
        </w:rPr>
      </w:pPr>
      <w:r w:rsidRPr="00BD03D8">
        <w:rPr>
          <w:lang w:val="lt-LT"/>
        </w:rPr>
        <w:t>A. ŽENKLINIMAS</w:t>
      </w:r>
      <w:bookmarkEnd w:id="76"/>
      <w:bookmarkEnd w:id="77"/>
    </w:p>
    <w:p w14:paraId="4CEB24D2" w14:textId="77777777" w:rsidR="00A052FA" w:rsidRPr="00BD03D8" w:rsidRDefault="00A052FA" w:rsidP="00634EE3">
      <w:pPr>
        <w:pStyle w:val="BTEMEASMCA"/>
      </w:pPr>
      <w:r w:rsidRPr="00BD03D8">
        <w:br w:type="page"/>
      </w:r>
    </w:p>
    <w:p w14:paraId="73F07BA1" w14:textId="77777777" w:rsidR="00A052FA" w:rsidRPr="00BD03D8" w:rsidRDefault="00A052FA" w:rsidP="00A052FA">
      <w:pPr>
        <w:pStyle w:val="PI-1labEMEASMCA"/>
      </w:pPr>
      <w:r w:rsidRPr="00BD03D8">
        <w:lastRenderedPageBreak/>
        <w:t>INFORMACIJA ANT IŠORINĖS PAKUOTĖS</w:t>
      </w:r>
    </w:p>
    <w:p w14:paraId="6BC3CC8B" w14:textId="77777777" w:rsidR="00A052FA" w:rsidRPr="00BD03D8" w:rsidRDefault="00A052FA" w:rsidP="00A052FA">
      <w:pPr>
        <w:pStyle w:val="PI-1labEMEASMCA"/>
      </w:pPr>
    </w:p>
    <w:p w14:paraId="518AD07A" w14:textId="77777777" w:rsidR="00A052FA" w:rsidRPr="00BD03D8" w:rsidRDefault="00A052FA" w:rsidP="00A052FA">
      <w:pPr>
        <w:pStyle w:val="PI-1labEMEASMCA"/>
        <w:rPr>
          <w:bCs/>
        </w:rPr>
      </w:pPr>
      <w:r w:rsidRPr="00BD03D8">
        <w:t>KARTONO DĖŽUTĖ</w:t>
      </w:r>
    </w:p>
    <w:p w14:paraId="556CCC62" w14:textId="77777777" w:rsidR="00A052FA" w:rsidRPr="00BD03D8" w:rsidRDefault="00A052FA" w:rsidP="00634EE3">
      <w:pPr>
        <w:pStyle w:val="BTEMEASMCA"/>
      </w:pPr>
    </w:p>
    <w:p w14:paraId="49E9B34D" w14:textId="77777777" w:rsidR="00A052FA" w:rsidRPr="00BD03D8" w:rsidRDefault="00A052FA" w:rsidP="00634EE3">
      <w:pPr>
        <w:pStyle w:val="BTEMEASMCA"/>
      </w:pPr>
    </w:p>
    <w:p w14:paraId="259079CD" w14:textId="77777777" w:rsidR="00A052FA" w:rsidRPr="00BD03D8" w:rsidRDefault="00A052FA" w:rsidP="00A052FA">
      <w:pPr>
        <w:pStyle w:val="PI-1labEMEASMCA"/>
      </w:pPr>
      <w:r w:rsidRPr="00BD03D8">
        <w:t>1.</w:t>
      </w:r>
      <w:r w:rsidRPr="00BD03D8">
        <w:tab/>
        <w:t>VAISTINIO PREPARATO PAVADINIMAS</w:t>
      </w:r>
    </w:p>
    <w:p w14:paraId="329D655F" w14:textId="77777777" w:rsidR="00A052FA" w:rsidRPr="0082224B" w:rsidRDefault="00A052FA" w:rsidP="003C614E"/>
    <w:p w14:paraId="5B46B451" w14:textId="77777777" w:rsidR="00A052FA" w:rsidRPr="00F51081" w:rsidRDefault="00A052FA" w:rsidP="003C614E">
      <w:pPr>
        <w:rPr>
          <w:sz w:val="22"/>
          <w:szCs w:val="22"/>
        </w:rPr>
      </w:pPr>
      <w:r w:rsidRPr="003C614E">
        <w:rPr>
          <w:sz w:val="22"/>
        </w:rPr>
        <w:t xml:space="preserve">Analgin Sopharma 500 mg/ml </w:t>
      </w:r>
      <w:r w:rsidRPr="00F51081">
        <w:rPr>
          <w:sz w:val="22"/>
          <w:szCs w:val="22"/>
        </w:rPr>
        <w:t xml:space="preserve">injekcinis tirpalas </w:t>
      </w:r>
    </w:p>
    <w:p w14:paraId="42807A37" w14:textId="08984114" w:rsidR="00A052FA" w:rsidRPr="0082224B" w:rsidRDefault="00DD7232" w:rsidP="003C614E">
      <w:r w:rsidRPr="00F51081">
        <w:rPr>
          <w:sz w:val="22"/>
          <w:szCs w:val="22"/>
        </w:rPr>
        <w:t>m</w:t>
      </w:r>
      <w:r w:rsidR="00A052FA" w:rsidRPr="00F51081">
        <w:rPr>
          <w:sz w:val="22"/>
          <w:szCs w:val="22"/>
        </w:rPr>
        <w:t>etamizolo</w:t>
      </w:r>
      <w:r w:rsidR="00A052FA" w:rsidRPr="003C614E">
        <w:rPr>
          <w:sz w:val="22"/>
        </w:rPr>
        <w:t xml:space="preserve"> natrio druska </w:t>
      </w:r>
    </w:p>
    <w:p w14:paraId="55DD744F" w14:textId="77777777" w:rsidR="00A052FA" w:rsidRPr="0082224B" w:rsidRDefault="00A052FA" w:rsidP="003C614E"/>
    <w:p w14:paraId="2BC3DCDB" w14:textId="77777777" w:rsidR="00A052FA" w:rsidRPr="0082224B" w:rsidRDefault="00A052FA" w:rsidP="003C614E"/>
    <w:p w14:paraId="13FC9574" w14:textId="77777777" w:rsidR="00A052FA" w:rsidRPr="00BD03D8" w:rsidRDefault="00A052FA" w:rsidP="00A052FA">
      <w:pPr>
        <w:pStyle w:val="PI-1labEMEASMCA"/>
      </w:pPr>
      <w:r w:rsidRPr="00BD03D8">
        <w:t>2.</w:t>
      </w:r>
      <w:r w:rsidRPr="00BD03D8">
        <w:tab/>
        <w:t>VEIKLIOJI MEDŽIAGA IR JOS KIEKIS</w:t>
      </w:r>
    </w:p>
    <w:p w14:paraId="5BFE3916" w14:textId="77777777" w:rsidR="00A052FA" w:rsidRPr="0082224B" w:rsidRDefault="00A052FA" w:rsidP="003C614E"/>
    <w:p w14:paraId="42E0F8CD" w14:textId="77777777" w:rsidR="00A052FA" w:rsidRPr="0082224B" w:rsidRDefault="00A052FA" w:rsidP="003C614E">
      <w:r w:rsidRPr="003C614E">
        <w:rPr>
          <w:sz w:val="22"/>
        </w:rPr>
        <w:t>Kiekviename injekcinio tirpalo ml yra 500 mg metamizolo natrio druskos monohidrato.</w:t>
      </w:r>
    </w:p>
    <w:p w14:paraId="4BB5BB52" w14:textId="77777777" w:rsidR="00A052FA" w:rsidRPr="0082224B" w:rsidRDefault="00A052FA" w:rsidP="003C614E">
      <w:r w:rsidRPr="003C614E">
        <w:rPr>
          <w:sz w:val="22"/>
        </w:rPr>
        <w:t>Kiekvienoje 2 ml ampulėje yra 1000 mg metamizolo natrio druskos monohidrato.</w:t>
      </w:r>
    </w:p>
    <w:p w14:paraId="15E01361" w14:textId="77777777" w:rsidR="00A052FA" w:rsidRPr="003C614E" w:rsidRDefault="00A052FA" w:rsidP="003C614E"/>
    <w:p w14:paraId="50543ADE" w14:textId="77777777" w:rsidR="00A052FA" w:rsidRPr="0082224B" w:rsidRDefault="00A052FA" w:rsidP="003C614E"/>
    <w:p w14:paraId="4A632D31" w14:textId="77777777" w:rsidR="00A052FA" w:rsidRPr="00BD03D8" w:rsidRDefault="00A052FA" w:rsidP="00A052FA">
      <w:pPr>
        <w:pStyle w:val="PI-1labEMEASMCA"/>
        <w:rPr>
          <w:highlight w:val="lightGray"/>
        </w:rPr>
      </w:pPr>
      <w:r w:rsidRPr="00BD03D8">
        <w:t>3.</w:t>
      </w:r>
      <w:r w:rsidRPr="00BD03D8">
        <w:tab/>
        <w:t>PAGALBINIŲ MEDŽIAGŲ SĄRAŠAS</w:t>
      </w:r>
    </w:p>
    <w:p w14:paraId="59C982C5" w14:textId="77777777" w:rsidR="00A052FA" w:rsidRPr="0082224B" w:rsidRDefault="00A052FA" w:rsidP="003C614E"/>
    <w:p w14:paraId="22AAB4D5" w14:textId="77777777" w:rsidR="00A052FA" w:rsidRPr="0082224B" w:rsidRDefault="00A052FA" w:rsidP="003C614E">
      <w:r w:rsidRPr="003C614E">
        <w:rPr>
          <w:sz w:val="22"/>
        </w:rPr>
        <w:t>Pagalbinės medžiagos: injekcinis vanduo.</w:t>
      </w:r>
    </w:p>
    <w:p w14:paraId="09E80D20" w14:textId="77777777" w:rsidR="00A052FA" w:rsidRPr="003C614E" w:rsidRDefault="00A052FA" w:rsidP="003C614E"/>
    <w:p w14:paraId="264C2B84" w14:textId="77777777" w:rsidR="00A052FA" w:rsidRPr="0082224B" w:rsidRDefault="00A052FA" w:rsidP="003C614E"/>
    <w:p w14:paraId="532E24D8" w14:textId="77777777" w:rsidR="00A052FA" w:rsidRPr="00BD03D8" w:rsidRDefault="00A052FA" w:rsidP="00A052FA">
      <w:pPr>
        <w:pStyle w:val="PI-1labEMEASMCA"/>
      </w:pPr>
      <w:r w:rsidRPr="00BD03D8">
        <w:t>4.</w:t>
      </w:r>
      <w:r w:rsidRPr="00BD03D8">
        <w:tab/>
        <w:t>FARMACINĖ FORMA IR KIEKIS PAKUOTĖJE</w:t>
      </w:r>
    </w:p>
    <w:p w14:paraId="2C484DA8" w14:textId="77777777" w:rsidR="00A052FA" w:rsidRPr="00BD03D8" w:rsidRDefault="00A052FA" w:rsidP="003C614E"/>
    <w:p w14:paraId="6CD8020A" w14:textId="77777777" w:rsidR="00A052FA" w:rsidRPr="003C614E" w:rsidRDefault="00A052FA" w:rsidP="003C614E">
      <w:pPr>
        <w:rPr>
          <w:sz w:val="22"/>
        </w:rPr>
      </w:pPr>
      <w:r w:rsidRPr="003C614E">
        <w:rPr>
          <w:sz w:val="22"/>
          <w:highlight w:val="lightGray"/>
        </w:rPr>
        <w:t>Injekcinis tirpalas</w:t>
      </w:r>
    </w:p>
    <w:p w14:paraId="35D33BEF" w14:textId="77777777" w:rsidR="00A052FA" w:rsidRPr="003C614E" w:rsidRDefault="00A052FA" w:rsidP="003C614E">
      <w:pPr>
        <w:rPr>
          <w:sz w:val="22"/>
        </w:rPr>
      </w:pPr>
    </w:p>
    <w:p w14:paraId="03AF14DF" w14:textId="77777777" w:rsidR="00A052FA" w:rsidRPr="003C614E" w:rsidRDefault="00A052FA" w:rsidP="003C614E">
      <w:pPr>
        <w:rPr>
          <w:sz w:val="22"/>
        </w:rPr>
      </w:pPr>
      <w:r w:rsidRPr="003C614E">
        <w:rPr>
          <w:sz w:val="22"/>
        </w:rPr>
        <w:t>10 ampulių po 2 ml</w:t>
      </w:r>
    </w:p>
    <w:p w14:paraId="6EC068B4" w14:textId="77777777" w:rsidR="00A052FA" w:rsidRPr="003C614E" w:rsidRDefault="00A052FA" w:rsidP="003C614E">
      <w:pPr>
        <w:rPr>
          <w:sz w:val="22"/>
        </w:rPr>
      </w:pPr>
      <w:r w:rsidRPr="003C614E">
        <w:rPr>
          <w:sz w:val="22"/>
          <w:highlight w:val="lightGray"/>
        </w:rPr>
        <w:t>100 ampulių po 2 ml</w:t>
      </w:r>
    </w:p>
    <w:p w14:paraId="667DBC59" w14:textId="77777777" w:rsidR="00A052FA" w:rsidRPr="00BD03D8" w:rsidRDefault="00A052FA" w:rsidP="003C614E"/>
    <w:p w14:paraId="00AF7F06" w14:textId="77777777" w:rsidR="00A052FA" w:rsidRPr="00BD03D8" w:rsidRDefault="00A052FA" w:rsidP="003C614E"/>
    <w:p w14:paraId="67A8B0BD" w14:textId="77777777" w:rsidR="00A052FA" w:rsidRPr="00BD03D8" w:rsidRDefault="00A052FA" w:rsidP="00A052FA">
      <w:pPr>
        <w:pStyle w:val="PI-1labEMEASMCA"/>
        <w:rPr>
          <w:highlight w:val="lightGray"/>
        </w:rPr>
      </w:pPr>
      <w:r w:rsidRPr="00BD03D8">
        <w:t>5.</w:t>
      </w:r>
      <w:r w:rsidRPr="00BD03D8">
        <w:tab/>
        <w:t>VARTOJIMO METODAS IR BŪDAS (-AI)</w:t>
      </w:r>
    </w:p>
    <w:p w14:paraId="4D913F44" w14:textId="77777777" w:rsidR="00A052FA" w:rsidRPr="0082224B" w:rsidRDefault="00A052FA" w:rsidP="003C614E"/>
    <w:p w14:paraId="5834FBA1" w14:textId="77777777" w:rsidR="00A052FA" w:rsidRPr="0082224B" w:rsidRDefault="00A052FA" w:rsidP="003C614E">
      <w:r w:rsidRPr="003C614E">
        <w:rPr>
          <w:sz w:val="22"/>
        </w:rPr>
        <w:t>Leisti į raumenis arba į veną.</w:t>
      </w:r>
    </w:p>
    <w:p w14:paraId="03A626DC" w14:textId="77777777" w:rsidR="00A052FA" w:rsidRPr="0082224B" w:rsidRDefault="00A052FA" w:rsidP="003C614E">
      <w:r w:rsidRPr="003C614E">
        <w:rPr>
          <w:sz w:val="22"/>
        </w:rPr>
        <w:t>Prieš vartojimą perskaitykite pakuotės lapelį.</w:t>
      </w:r>
    </w:p>
    <w:p w14:paraId="182D7175" w14:textId="77777777" w:rsidR="00A052FA" w:rsidRPr="0082224B" w:rsidRDefault="00A052FA" w:rsidP="003C614E"/>
    <w:p w14:paraId="22665D70" w14:textId="77777777" w:rsidR="00A052FA" w:rsidRPr="0082224B" w:rsidRDefault="00A052FA" w:rsidP="003C614E"/>
    <w:p w14:paraId="4C1B538D" w14:textId="77777777" w:rsidR="00A052FA" w:rsidRPr="00BD03D8" w:rsidRDefault="00A052FA" w:rsidP="00A052FA">
      <w:pPr>
        <w:pStyle w:val="PI-1labEMEASMCA"/>
      </w:pPr>
      <w:r w:rsidRPr="00BD03D8">
        <w:t>6.</w:t>
      </w:r>
      <w:r w:rsidRPr="00BD03D8">
        <w:tab/>
        <w:t xml:space="preserve">SPECIALUS ĮSPĖJIMAS, KAD VAISTINĮ PREPARATĄ BŪTINA LAIKYTI VAIKAMS </w:t>
      </w:r>
      <w:r w:rsidRPr="00BD03D8">
        <w:rPr>
          <w:szCs w:val="24"/>
        </w:rPr>
        <w:t>NEPASTEBIMOJE IR  NEPASIEKIAMOJE</w:t>
      </w:r>
      <w:r w:rsidRPr="00BD03D8">
        <w:rPr>
          <w:b w:val="0"/>
          <w:szCs w:val="24"/>
        </w:rPr>
        <w:t xml:space="preserve"> </w:t>
      </w:r>
      <w:r w:rsidRPr="00BD03D8">
        <w:t>VIETOJE</w:t>
      </w:r>
    </w:p>
    <w:p w14:paraId="4F611519" w14:textId="77777777" w:rsidR="00A052FA" w:rsidRPr="0082224B" w:rsidRDefault="00A052FA" w:rsidP="003C614E"/>
    <w:p w14:paraId="5A7347DB" w14:textId="77777777" w:rsidR="00A052FA" w:rsidRPr="0082224B" w:rsidRDefault="00A052FA" w:rsidP="003C614E">
      <w:r w:rsidRPr="003C614E">
        <w:rPr>
          <w:sz w:val="22"/>
        </w:rPr>
        <w:t>Laikyti vaikams nepastebimoje ir nepasiekiamoje vietoje.</w:t>
      </w:r>
    </w:p>
    <w:p w14:paraId="13988C5B" w14:textId="77777777" w:rsidR="00A052FA" w:rsidRPr="0082224B" w:rsidRDefault="00A052FA" w:rsidP="003C614E"/>
    <w:p w14:paraId="5E4D32D5" w14:textId="77777777" w:rsidR="00A052FA" w:rsidRPr="0082224B" w:rsidRDefault="00A052FA" w:rsidP="003C614E"/>
    <w:p w14:paraId="52A402EC" w14:textId="77777777" w:rsidR="00A052FA" w:rsidRPr="00BD03D8" w:rsidRDefault="00A052FA" w:rsidP="00A052FA">
      <w:pPr>
        <w:pStyle w:val="PI-1labEMEASMCA"/>
        <w:rPr>
          <w:highlight w:val="lightGray"/>
        </w:rPr>
      </w:pPr>
      <w:r w:rsidRPr="00BD03D8">
        <w:t>7.</w:t>
      </w:r>
      <w:r w:rsidRPr="00BD03D8">
        <w:tab/>
        <w:t>KITAS (-I) SPECIALUS (-ŪS) ĮSPĖJIMAS (-AI) (JEI REIKIA)</w:t>
      </w:r>
    </w:p>
    <w:p w14:paraId="79110700" w14:textId="77777777" w:rsidR="00A052FA" w:rsidRPr="0082224B" w:rsidRDefault="00A052FA" w:rsidP="003C614E"/>
    <w:p w14:paraId="1D468117" w14:textId="77777777" w:rsidR="00A052FA" w:rsidRPr="0082224B" w:rsidRDefault="00A052FA" w:rsidP="003C614E"/>
    <w:p w14:paraId="34D30D06" w14:textId="77777777" w:rsidR="00A052FA" w:rsidRPr="00BD03D8" w:rsidRDefault="00A052FA" w:rsidP="00A052FA">
      <w:pPr>
        <w:pStyle w:val="PI-1labEMEASMCA"/>
        <w:rPr>
          <w:highlight w:val="lightGray"/>
        </w:rPr>
      </w:pPr>
      <w:r w:rsidRPr="00BD03D8">
        <w:t>8.</w:t>
      </w:r>
      <w:r w:rsidRPr="00BD03D8">
        <w:tab/>
        <w:t>TINKAMUMO LAIKAS</w:t>
      </w:r>
    </w:p>
    <w:p w14:paraId="1FA76577" w14:textId="77777777" w:rsidR="00A052FA" w:rsidRPr="0082224B" w:rsidRDefault="00A052FA" w:rsidP="003C614E"/>
    <w:p w14:paraId="73EC483D" w14:textId="77777777" w:rsidR="00A052FA" w:rsidRPr="0082224B" w:rsidRDefault="00A052FA" w:rsidP="003C614E">
      <w:r w:rsidRPr="003C614E">
        <w:rPr>
          <w:sz w:val="22"/>
        </w:rPr>
        <w:t>EXP {</w:t>
      </w:r>
      <w:proofErr w:type="spellStart"/>
      <w:r w:rsidRPr="003C614E">
        <w:rPr>
          <w:sz w:val="22"/>
        </w:rPr>
        <w:t>mm.MMMM</w:t>
      </w:r>
      <w:proofErr w:type="spellEnd"/>
      <w:r w:rsidRPr="003C614E">
        <w:rPr>
          <w:sz w:val="22"/>
        </w:rPr>
        <w:t>}</w:t>
      </w:r>
    </w:p>
    <w:p w14:paraId="4A9C4D56" w14:textId="77777777" w:rsidR="00A052FA" w:rsidRPr="0082224B" w:rsidRDefault="00A052FA" w:rsidP="003C614E"/>
    <w:p w14:paraId="694FBBC6" w14:textId="77777777" w:rsidR="00A052FA" w:rsidRPr="0082224B" w:rsidRDefault="00A052FA" w:rsidP="003C614E"/>
    <w:p w14:paraId="32E38B79" w14:textId="77777777" w:rsidR="00A052FA" w:rsidRPr="00BD03D8" w:rsidRDefault="00A052FA" w:rsidP="00A052FA">
      <w:pPr>
        <w:pStyle w:val="PI-1labEMEASMCA"/>
      </w:pPr>
      <w:r w:rsidRPr="00BD03D8">
        <w:t>9.</w:t>
      </w:r>
      <w:r w:rsidRPr="00BD03D8">
        <w:tab/>
        <w:t>SPECIALIOS LAIKYMO SĄLYGOS</w:t>
      </w:r>
    </w:p>
    <w:p w14:paraId="5E6A740D" w14:textId="77777777" w:rsidR="00A052FA" w:rsidRPr="0082224B" w:rsidRDefault="00A052FA" w:rsidP="003C614E"/>
    <w:p w14:paraId="34F3016C" w14:textId="77777777" w:rsidR="00A052FA" w:rsidRPr="0082224B" w:rsidRDefault="00A052FA" w:rsidP="003C614E">
      <w:r w:rsidRPr="003C614E">
        <w:rPr>
          <w:sz w:val="22"/>
        </w:rPr>
        <w:t>Negalima užšaldyti.</w:t>
      </w:r>
    </w:p>
    <w:p w14:paraId="698A58E2" w14:textId="77777777" w:rsidR="00A052FA" w:rsidRPr="0082224B" w:rsidRDefault="00A052FA" w:rsidP="003C614E"/>
    <w:p w14:paraId="7B80CF55" w14:textId="77777777" w:rsidR="00A052FA" w:rsidRPr="0082224B" w:rsidRDefault="00A052FA" w:rsidP="003C614E"/>
    <w:p w14:paraId="179EEC0A" w14:textId="77777777" w:rsidR="00A052FA" w:rsidRPr="00BD03D8" w:rsidRDefault="00A052FA" w:rsidP="00A052FA">
      <w:pPr>
        <w:pStyle w:val="PI-1labEMEASMCA"/>
      </w:pPr>
      <w:r w:rsidRPr="00BD03D8">
        <w:t>10.</w:t>
      </w:r>
      <w:r w:rsidRPr="00BD03D8">
        <w:tab/>
        <w:t xml:space="preserve">SPECIALIOS ATSARGUMO PRIEMONĖS DĖL NESUVARTOTO </w:t>
      </w:r>
      <w:r w:rsidRPr="00BD03D8">
        <w:rPr>
          <w:bCs/>
        </w:rPr>
        <w:t xml:space="preserve">VAISTINIO PREPARATO AR JO ATLIEKŲ </w:t>
      </w:r>
      <w:r w:rsidRPr="00BD03D8">
        <w:t>TVARKYMO (JEI REIKIA)</w:t>
      </w:r>
    </w:p>
    <w:p w14:paraId="46D1EE5C" w14:textId="77777777" w:rsidR="00A052FA" w:rsidRPr="0082224B" w:rsidRDefault="00A052FA" w:rsidP="003C614E"/>
    <w:p w14:paraId="7EB21822" w14:textId="77777777" w:rsidR="00A052FA" w:rsidRPr="0082224B" w:rsidRDefault="00A052FA" w:rsidP="003C614E"/>
    <w:p w14:paraId="1154D2F4" w14:textId="77777777" w:rsidR="00A052FA" w:rsidRPr="00BD03D8" w:rsidRDefault="00A052FA" w:rsidP="00A052FA">
      <w:pPr>
        <w:pStyle w:val="PI-1labEMEASMCA"/>
      </w:pPr>
      <w:r w:rsidRPr="00BD03D8">
        <w:t>11.</w:t>
      </w:r>
      <w:r w:rsidRPr="00BD03D8">
        <w:tab/>
        <w:t>REGISTRUOTOJO</w:t>
      </w:r>
      <w:r w:rsidRPr="00BD03D8" w:rsidDel="003E41CE">
        <w:t xml:space="preserve"> </w:t>
      </w:r>
      <w:r w:rsidRPr="00BD03D8">
        <w:t>PAVADINIMAS IR ADRESAS</w:t>
      </w:r>
    </w:p>
    <w:p w14:paraId="7E2DA531" w14:textId="77777777" w:rsidR="00A052FA" w:rsidRPr="00BD03D8" w:rsidRDefault="00A052FA" w:rsidP="003C614E"/>
    <w:p w14:paraId="38273EBD" w14:textId="77777777" w:rsidR="00A052FA" w:rsidRPr="00BD03D8" w:rsidRDefault="00A052FA" w:rsidP="00F51081">
      <w:pPr>
        <w:rPr>
          <w:sz w:val="22"/>
          <w:szCs w:val="22"/>
        </w:rPr>
      </w:pPr>
      <w:r w:rsidRPr="00BD03D8">
        <w:rPr>
          <w:sz w:val="22"/>
          <w:szCs w:val="22"/>
        </w:rPr>
        <w:t xml:space="preserve">SOPHARMA AD, 16 </w:t>
      </w:r>
      <w:proofErr w:type="spellStart"/>
      <w:r w:rsidRPr="00BD03D8">
        <w:rPr>
          <w:sz w:val="22"/>
          <w:szCs w:val="22"/>
        </w:rPr>
        <w:t>Iliensko</w:t>
      </w:r>
      <w:proofErr w:type="spellEnd"/>
      <w:r w:rsidRPr="00BD03D8">
        <w:rPr>
          <w:sz w:val="22"/>
          <w:szCs w:val="22"/>
        </w:rPr>
        <w:t xml:space="preserve"> </w:t>
      </w:r>
      <w:proofErr w:type="spellStart"/>
      <w:r w:rsidRPr="00BD03D8">
        <w:rPr>
          <w:sz w:val="22"/>
          <w:szCs w:val="22"/>
        </w:rPr>
        <w:t>Shosse</w:t>
      </w:r>
      <w:proofErr w:type="spellEnd"/>
      <w:r w:rsidRPr="00BD03D8">
        <w:rPr>
          <w:sz w:val="22"/>
          <w:szCs w:val="22"/>
        </w:rPr>
        <w:t xml:space="preserve"> Str., </w:t>
      </w:r>
      <w:proofErr w:type="spellStart"/>
      <w:r w:rsidRPr="00BD03D8">
        <w:rPr>
          <w:sz w:val="22"/>
          <w:szCs w:val="22"/>
        </w:rPr>
        <w:t>Sofia</w:t>
      </w:r>
      <w:proofErr w:type="spellEnd"/>
      <w:r w:rsidRPr="00BD03D8">
        <w:rPr>
          <w:sz w:val="22"/>
          <w:szCs w:val="22"/>
        </w:rPr>
        <w:t xml:space="preserve"> 1220, Bulgarija</w:t>
      </w:r>
    </w:p>
    <w:p w14:paraId="549EAEE7" w14:textId="77777777" w:rsidR="00A052FA" w:rsidRPr="00BD03D8" w:rsidRDefault="00A052FA" w:rsidP="003C614E"/>
    <w:p w14:paraId="66A8B061" w14:textId="77777777" w:rsidR="00A052FA" w:rsidRPr="00BD03D8" w:rsidRDefault="00A052FA" w:rsidP="003C614E"/>
    <w:p w14:paraId="7083589F" w14:textId="77777777" w:rsidR="00A052FA" w:rsidRPr="00BD03D8" w:rsidRDefault="00A052FA" w:rsidP="00A052FA">
      <w:pPr>
        <w:pStyle w:val="PI-1labEMEASMCA"/>
      </w:pPr>
      <w:r w:rsidRPr="00BD03D8">
        <w:t>12.</w:t>
      </w:r>
      <w:r w:rsidRPr="00BD03D8">
        <w:tab/>
        <w:t>REGISTRACIJOS</w:t>
      </w:r>
      <w:r w:rsidRPr="00BD03D8" w:rsidDel="003E41CE">
        <w:t xml:space="preserve"> </w:t>
      </w:r>
      <w:r w:rsidRPr="00BD03D8">
        <w:t xml:space="preserve"> </w:t>
      </w:r>
      <w:r w:rsidRPr="00BD03D8">
        <w:rPr>
          <w:szCs w:val="24"/>
        </w:rPr>
        <w:t>PAŽYMĖJIMO NUMERIS (-IAI)</w:t>
      </w:r>
    </w:p>
    <w:p w14:paraId="79EBAE5D" w14:textId="77777777" w:rsidR="00A052FA" w:rsidRPr="00BD03D8" w:rsidRDefault="00A052FA" w:rsidP="00634EE3">
      <w:pPr>
        <w:pStyle w:val="BTEMEASMCA"/>
      </w:pPr>
    </w:p>
    <w:p w14:paraId="618D277C" w14:textId="77777777" w:rsidR="00A052FA" w:rsidRPr="00BD03D8" w:rsidRDefault="00A052FA" w:rsidP="00634EE3">
      <w:pPr>
        <w:pStyle w:val="BTEMEASMCA"/>
      </w:pPr>
      <w:r w:rsidRPr="00BD03D8">
        <w:rPr>
          <w:highlight w:val="lightGray"/>
        </w:rPr>
        <w:t>N10 -</w:t>
      </w:r>
      <w:r w:rsidRPr="00BD03D8">
        <w:t xml:space="preserve"> LT/1/02/2218/001</w:t>
      </w:r>
    </w:p>
    <w:p w14:paraId="7F30AA11" w14:textId="77777777" w:rsidR="00A052FA" w:rsidRPr="00BD03D8" w:rsidRDefault="00A052FA" w:rsidP="00634EE3">
      <w:pPr>
        <w:pStyle w:val="BTEMEASMCA"/>
      </w:pPr>
      <w:r w:rsidRPr="00BD03D8">
        <w:rPr>
          <w:highlight w:val="lightGray"/>
        </w:rPr>
        <w:t>N100 - LT/1/02/2218/002</w:t>
      </w:r>
    </w:p>
    <w:p w14:paraId="08F94F35" w14:textId="77777777" w:rsidR="00A052FA" w:rsidRPr="00BD03D8" w:rsidRDefault="00A052FA" w:rsidP="00634EE3">
      <w:pPr>
        <w:pStyle w:val="BTEMEASMCA"/>
      </w:pPr>
    </w:p>
    <w:p w14:paraId="5F604FA3" w14:textId="77777777" w:rsidR="00A052FA" w:rsidRPr="00BD03D8" w:rsidRDefault="00A052FA" w:rsidP="00634EE3">
      <w:pPr>
        <w:pStyle w:val="BTEMEASMCA"/>
      </w:pPr>
    </w:p>
    <w:p w14:paraId="0CDC0093" w14:textId="77777777" w:rsidR="00A052FA" w:rsidRPr="00BD03D8" w:rsidRDefault="00A052FA" w:rsidP="00A052FA">
      <w:pPr>
        <w:pStyle w:val="PI-1labEMEASMCA"/>
      </w:pPr>
      <w:r w:rsidRPr="00BD03D8">
        <w:t>13.</w:t>
      </w:r>
      <w:r w:rsidRPr="00BD03D8">
        <w:tab/>
        <w:t>SERIJOS NUMERIS</w:t>
      </w:r>
    </w:p>
    <w:p w14:paraId="6F0ED181" w14:textId="77777777" w:rsidR="00A052FA" w:rsidRPr="0082224B" w:rsidRDefault="00A052FA" w:rsidP="003C614E"/>
    <w:p w14:paraId="2688345B" w14:textId="77777777" w:rsidR="00A052FA" w:rsidRPr="0082224B" w:rsidRDefault="00A052FA" w:rsidP="003C614E">
      <w:r w:rsidRPr="003C614E">
        <w:rPr>
          <w:sz w:val="22"/>
        </w:rPr>
        <w:t>Lot</w:t>
      </w:r>
    </w:p>
    <w:p w14:paraId="524D4F83" w14:textId="064674FC" w:rsidR="00A052FA" w:rsidRPr="0082224B" w:rsidRDefault="00A052FA" w:rsidP="003C614E"/>
    <w:p w14:paraId="5802AE35" w14:textId="77777777" w:rsidR="00F51081" w:rsidRPr="00F51081" w:rsidRDefault="00F51081" w:rsidP="00F51081">
      <w:pPr>
        <w:rPr>
          <w:sz w:val="22"/>
          <w:szCs w:val="22"/>
        </w:rPr>
      </w:pPr>
    </w:p>
    <w:p w14:paraId="7AF0473A" w14:textId="77777777" w:rsidR="00A052FA" w:rsidRPr="00BD03D8" w:rsidRDefault="00A052FA" w:rsidP="00A052FA">
      <w:pPr>
        <w:pStyle w:val="PI-1labEMEASMCA"/>
      </w:pPr>
      <w:r w:rsidRPr="00BD03D8">
        <w:t>14.</w:t>
      </w:r>
      <w:r w:rsidRPr="00BD03D8">
        <w:tab/>
        <w:t>PARDAVIMO (IŠDAVIMO) TVARKA</w:t>
      </w:r>
    </w:p>
    <w:p w14:paraId="6EE978D3" w14:textId="77777777" w:rsidR="00A052FA" w:rsidRPr="0082224B" w:rsidRDefault="00A052FA" w:rsidP="003C614E"/>
    <w:p w14:paraId="0DCD2121" w14:textId="77777777" w:rsidR="00A052FA" w:rsidRPr="0082224B" w:rsidRDefault="00A052FA" w:rsidP="003C614E">
      <w:r w:rsidRPr="003C614E">
        <w:rPr>
          <w:sz w:val="22"/>
        </w:rPr>
        <w:t>Receptinis vaistas.</w:t>
      </w:r>
    </w:p>
    <w:p w14:paraId="117CA6D0" w14:textId="77777777" w:rsidR="00A052FA" w:rsidRPr="0082224B" w:rsidRDefault="00A052FA" w:rsidP="003C614E"/>
    <w:p w14:paraId="76183966" w14:textId="77777777" w:rsidR="00A052FA" w:rsidRPr="0082224B" w:rsidRDefault="00A052FA" w:rsidP="003C614E"/>
    <w:p w14:paraId="1A5EF4F8" w14:textId="77777777" w:rsidR="00A052FA" w:rsidRPr="00BD03D8" w:rsidRDefault="00A052FA" w:rsidP="00A052FA">
      <w:pPr>
        <w:pStyle w:val="PI-1labEMEASMCA"/>
      </w:pPr>
      <w:r w:rsidRPr="00BD03D8">
        <w:t>15.</w:t>
      </w:r>
      <w:r w:rsidRPr="00BD03D8">
        <w:tab/>
        <w:t>VARTOJIMO INSTRUKCIJA</w:t>
      </w:r>
    </w:p>
    <w:p w14:paraId="47E88BC2" w14:textId="77777777" w:rsidR="00A052FA" w:rsidRPr="0082224B" w:rsidRDefault="00A052FA" w:rsidP="003C614E"/>
    <w:p w14:paraId="3F467E1F" w14:textId="77777777" w:rsidR="00A052FA" w:rsidRPr="0082224B" w:rsidRDefault="00A052FA" w:rsidP="003C614E"/>
    <w:p w14:paraId="0E6153A4" w14:textId="77777777" w:rsidR="00A052FA" w:rsidRPr="00BD03D8" w:rsidRDefault="00A052FA" w:rsidP="00A052FA">
      <w:pPr>
        <w:pStyle w:val="PI-1labEMEASMCA"/>
      </w:pPr>
      <w:r w:rsidRPr="00BD03D8">
        <w:t>16.</w:t>
      </w:r>
      <w:r w:rsidRPr="00BD03D8">
        <w:tab/>
        <w:t>INFORMACIJA BRAILIO RAŠTU</w:t>
      </w:r>
    </w:p>
    <w:p w14:paraId="46D26F07" w14:textId="77777777" w:rsidR="00A052FA" w:rsidRPr="0082224B" w:rsidRDefault="00A052FA" w:rsidP="003C614E"/>
    <w:p w14:paraId="11FA3F14" w14:textId="77777777" w:rsidR="00A052FA" w:rsidRPr="0082224B" w:rsidRDefault="00A052FA" w:rsidP="003C614E">
      <w:r w:rsidRPr="003C614E">
        <w:rPr>
          <w:sz w:val="22"/>
          <w:highlight w:val="lightGray"/>
        </w:rPr>
        <w:t>Priimtas pagrindimas informacijos Brailio raštu nepateikti.</w:t>
      </w:r>
    </w:p>
    <w:p w14:paraId="4852AC72" w14:textId="77777777" w:rsidR="00A052FA" w:rsidRPr="0082224B" w:rsidRDefault="00A052FA" w:rsidP="003C614E"/>
    <w:p w14:paraId="26AE6483" w14:textId="77777777" w:rsidR="00A052FA" w:rsidRPr="0082224B" w:rsidRDefault="00A052FA" w:rsidP="003C614E"/>
    <w:p w14:paraId="0B52B9EE" w14:textId="77777777" w:rsidR="00A052FA" w:rsidRPr="00BD03D8" w:rsidRDefault="00A052FA" w:rsidP="00A052FA">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ind w:left="1701" w:hanging="1701"/>
        <w:outlineLvl w:val="0"/>
        <w:rPr>
          <w:i/>
          <w:noProof/>
          <w:sz w:val="22"/>
          <w:szCs w:val="22"/>
        </w:rPr>
      </w:pPr>
      <w:r w:rsidRPr="00BD03D8">
        <w:rPr>
          <w:b/>
          <w:noProof/>
          <w:sz w:val="22"/>
          <w:szCs w:val="22"/>
        </w:rPr>
        <w:t>UNIKALUS IDENTIFIKATORIUS – 2D BRŪKŠNINIS KODAS</w:t>
      </w:r>
    </w:p>
    <w:p w14:paraId="7FB385BF" w14:textId="77777777" w:rsidR="00A052FA" w:rsidRPr="00BD03D8" w:rsidRDefault="00A052FA" w:rsidP="00A052FA">
      <w:pPr>
        <w:rPr>
          <w:noProof/>
          <w:sz w:val="22"/>
          <w:szCs w:val="22"/>
        </w:rPr>
      </w:pPr>
    </w:p>
    <w:p w14:paraId="251EE99F" w14:textId="77777777" w:rsidR="00A052FA" w:rsidRPr="00BD03D8" w:rsidRDefault="00A052FA" w:rsidP="00A052FA">
      <w:pPr>
        <w:rPr>
          <w:noProof/>
          <w:sz w:val="22"/>
          <w:szCs w:val="22"/>
          <w:shd w:val="clear" w:color="auto" w:fill="CCCCCC"/>
        </w:rPr>
      </w:pPr>
      <w:r w:rsidRPr="00BD03D8">
        <w:rPr>
          <w:noProof/>
          <w:sz w:val="22"/>
          <w:szCs w:val="22"/>
          <w:highlight w:val="lightGray"/>
        </w:rPr>
        <w:t>2D brūkšninis kodas su nurodytu unikaliu identifikatoriumi.</w:t>
      </w:r>
    </w:p>
    <w:p w14:paraId="2DF54EB5" w14:textId="77777777" w:rsidR="00A052FA" w:rsidRPr="00BD03D8" w:rsidRDefault="00A052FA" w:rsidP="00A052FA">
      <w:pPr>
        <w:rPr>
          <w:noProof/>
          <w:sz w:val="22"/>
          <w:szCs w:val="22"/>
        </w:rPr>
      </w:pPr>
    </w:p>
    <w:p w14:paraId="36D93658" w14:textId="77777777" w:rsidR="00A052FA" w:rsidRPr="00BD03D8" w:rsidRDefault="00A052FA" w:rsidP="00A052FA">
      <w:pPr>
        <w:rPr>
          <w:noProof/>
          <w:vanish/>
          <w:sz w:val="22"/>
          <w:szCs w:val="22"/>
        </w:rPr>
      </w:pPr>
    </w:p>
    <w:p w14:paraId="46069779" w14:textId="77777777" w:rsidR="00A052FA" w:rsidRPr="00BD03D8" w:rsidRDefault="00A052FA" w:rsidP="00A052FA">
      <w:pPr>
        <w:rPr>
          <w:noProof/>
          <w:sz w:val="22"/>
          <w:szCs w:val="22"/>
        </w:rPr>
      </w:pPr>
    </w:p>
    <w:p w14:paraId="05EDDE11" w14:textId="77777777" w:rsidR="00A052FA" w:rsidRPr="00BD03D8" w:rsidRDefault="00A052FA" w:rsidP="00A052FA">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ind w:left="1418" w:hanging="1418"/>
        <w:outlineLvl w:val="0"/>
        <w:rPr>
          <w:i/>
          <w:noProof/>
          <w:sz w:val="22"/>
          <w:szCs w:val="22"/>
        </w:rPr>
      </w:pPr>
      <w:r w:rsidRPr="00BD03D8">
        <w:rPr>
          <w:b/>
          <w:noProof/>
          <w:sz w:val="22"/>
          <w:szCs w:val="22"/>
        </w:rPr>
        <w:t>UNIKALUS IDENTIFIKATORIUS – ŽMONĖMS SUPRANTAMI DUOMENYS</w:t>
      </w:r>
    </w:p>
    <w:p w14:paraId="116CF53D" w14:textId="77777777" w:rsidR="00A052FA" w:rsidRPr="00BD03D8" w:rsidRDefault="00A052FA" w:rsidP="00A052FA">
      <w:pPr>
        <w:rPr>
          <w:noProof/>
          <w:sz w:val="22"/>
          <w:szCs w:val="22"/>
        </w:rPr>
      </w:pPr>
    </w:p>
    <w:p w14:paraId="1C08EE71" w14:textId="77777777" w:rsidR="00A052FA" w:rsidRPr="00BD03D8" w:rsidRDefault="00A052FA" w:rsidP="00A052FA">
      <w:pPr>
        <w:rPr>
          <w:sz w:val="22"/>
          <w:szCs w:val="22"/>
        </w:rPr>
      </w:pPr>
      <w:r w:rsidRPr="00BD03D8">
        <w:rPr>
          <w:sz w:val="22"/>
          <w:szCs w:val="22"/>
        </w:rPr>
        <w:t>PC</w:t>
      </w:r>
      <w:r w:rsidRPr="00ED1D0B">
        <w:rPr>
          <w:sz w:val="22"/>
          <w:highlight w:val="lightGray"/>
        </w:rPr>
        <w:t>:</w:t>
      </w:r>
      <w:r w:rsidRPr="00BD03D8">
        <w:rPr>
          <w:sz w:val="22"/>
          <w:szCs w:val="22"/>
        </w:rPr>
        <w:t xml:space="preserve"> {numeris}</w:t>
      </w:r>
    </w:p>
    <w:p w14:paraId="1DB03141" w14:textId="77777777" w:rsidR="00A052FA" w:rsidRPr="00BD03D8" w:rsidRDefault="00A052FA" w:rsidP="00A052FA">
      <w:pPr>
        <w:rPr>
          <w:sz w:val="22"/>
          <w:szCs w:val="22"/>
        </w:rPr>
      </w:pPr>
      <w:r w:rsidRPr="00BD03D8">
        <w:rPr>
          <w:sz w:val="22"/>
          <w:szCs w:val="22"/>
        </w:rPr>
        <w:t>SN</w:t>
      </w:r>
      <w:r w:rsidRPr="00ED1D0B">
        <w:rPr>
          <w:sz w:val="22"/>
          <w:highlight w:val="lightGray"/>
        </w:rPr>
        <w:t>:</w:t>
      </w:r>
      <w:r w:rsidRPr="00BD03D8">
        <w:rPr>
          <w:sz w:val="22"/>
          <w:szCs w:val="22"/>
        </w:rPr>
        <w:t xml:space="preserve"> {numeris}</w:t>
      </w:r>
    </w:p>
    <w:p w14:paraId="0B5E5A0A" w14:textId="77777777" w:rsidR="00A052FA" w:rsidRPr="00BD03D8" w:rsidRDefault="00A052FA" w:rsidP="00A052FA">
      <w:pPr>
        <w:rPr>
          <w:sz w:val="22"/>
          <w:szCs w:val="22"/>
        </w:rPr>
      </w:pPr>
      <w:r w:rsidRPr="00BD03D8">
        <w:rPr>
          <w:sz w:val="22"/>
          <w:szCs w:val="22"/>
          <w:highlight w:val="lightGray"/>
        </w:rPr>
        <w:t>NN: {numeris}</w:t>
      </w:r>
    </w:p>
    <w:p w14:paraId="3DB0F9CA" w14:textId="77777777" w:rsidR="00A052FA" w:rsidRPr="00BD03D8" w:rsidRDefault="00A052FA" w:rsidP="00634EE3">
      <w:pPr>
        <w:pStyle w:val="BTEMEASMCA"/>
      </w:pPr>
      <w:r w:rsidRPr="00BD03D8">
        <w:br w:type="page"/>
      </w:r>
    </w:p>
    <w:p w14:paraId="496B9126" w14:textId="77777777" w:rsidR="00A052FA" w:rsidRPr="00BD03D8" w:rsidRDefault="00A052FA" w:rsidP="00A052FA">
      <w:pPr>
        <w:pStyle w:val="PI-1labEMEASMCA"/>
      </w:pPr>
      <w:r w:rsidRPr="00BD03D8">
        <w:lastRenderedPageBreak/>
        <w:t>MINIMALI INFORMACIJA ANT MAŽŲ VIDINIŲ</w:t>
      </w:r>
      <w:r w:rsidRPr="00BD03D8">
        <w:rPr>
          <w:bCs/>
        </w:rPr>
        <w:t xml:space="preserve"> </w:t>
      </w:r>
      <w:r w:rsidRPr="00BD03D8">
        <w:t>PAKUOČIŲ</w:t>
      </w:r>
    </w:p>
    <w:p w14:paraId="3EAC45AE" w14:textId="77777777" w:rsidR="00A052FA" w:rsidRPr="00BD03D8" w:rsidRDefault="00A052FA" w:rsidP="00A052FA">
      <w:pPr>
        <w:pStyle w:val="PI-1labEMEASMCA"/>
      </w:pPr>
    </w:p>
    <w:p w14:paraId="71FA0D1C" w14:textId="77777777" w:rsidR="00A052FA" w:rsidRPr="00BD03D8" w:rsidRDefault="00A052FA" w:rsidP="00A052FA">
      <w:pPr>
        <w:pStyle w:val="PI-1labEMEASMCA"/>
      </w:pPr>
      <w:r w:rsidRPr="00BD03D8">
        <w:t>AMPULĖ</w:t>
      </w:r>
    </w:p>
    <w:p w14:paraId="20D5D067" w14:textId="77777777" w:rsidR="00A052FA" w:rsidRPr="00BD03D8" w:rsidRDefault="00A052FA" w:rsidP="00634EE3">
      <w:pPr>
        <w:pStyle w:val="BTEMEASMCA"/>
      </w:pPr>
    </w:p>
    <w:p w14:paraId="45A8C22E" w14:textId="77777777" w:rsidR="00A052FA" w:rsidRPr="00BD03D8" w:rsidRDefault="00A052FA" w:rsidP="00634EE3">
      <w:pPr>
        <w:pStyle w:val="BTEMEASMCA"/>
      </w:pPr>
    </w:p>
    <w:p w14:paraId="762E327A" w14:textId="77777777" w:rsidR="00A052FA" w:rsidRPr="00BD03D8" w:rsidRDefault="00A052FA" w:rsidP="00A052FA">
      <w:pPr>
        <w:pStyle w:val="PI-1labEMEASMCA"/>
      </w:pPr>
      <w:r w:rsidRPr="00BD03D8">
        <w:t>1.</w:t>
      </w:r>
      <w:r w:rsidRPr="00BD03D8">
        <w:tab/>
        <w:t>VAISTINIO PREPARATO PAVADINIMAS IR VARTOJIMO BŪDAS (-AI)</w:t>
      </w:r>
    </w:p>
    <w:p w14:paraId="6553755E" w14:textId="77777777" w:rsidR="00A052FA" w:rsidRPr="0082224B" w:rsidRDefault="00A052FA" w:rsidP="003C614E"/>
    <w:p w14:paraId="4DCA8B83" w14:textId="77777777" w:rsidR="00A052FA" w:rsidRPr="00F51081" w:rsidRDefault="00A052FA" w:rsidP="003C614E">
      <w:pPr>
        <w:rPr>
          <w:sz w:val="22"/>
          <w:szCs w:val="22"/>
        </w:rPr>
      </w:pPr>
      <w:r w:rsidRPr="003C614E">
        <w:rPr>
          <w:sz w:val="22"/>
        </w:rPr>
        <w:t xml:space="preserve">Analgin Sopharma 500 mg/ml </w:t>
      </w:r>
      <w:r w:rsidRPr="00F51081">
        <w:rPr>
          <w:sz w:val="22"/>
          <w:szCs w:val="22"/>
        </w:rPr>
        <w:t xml:space="preserve">injekcinis tirpalas </w:t>
      </w:r>
    </w:p>
    <w:p w14:paraId="6E56FDCC" w14:textId="488841A4" w:rsidR="00A052FA" w:rsidRPr="00F51081" w:rsidRDefault="00DD7232" w:rsidP="003C614E">
      <w:pPr>
        <w:rPr>
          <w:sz w:val="22"/>
          <w:szCs w:val="22"/>
        </w:rPr>
      </w:pPr>
      <w:r w:rsidRPr="00F51081">
        <w:rPr>
          <w:sz w:val="22"/>
          <w:szCs w:val="22"/>
        </w:rPr>
        <w:t>m</w:t>
      </w:r>
      <w:r w:rsidR="00A052FA" w:rsidRPr="00F51081">
        <w:rPr>
          <w:sz w:val="22"/>
          <w:szCs w:val="22"/>
        </w:rPr>
        <w:t xml:space="preserve">etamizolo natrio druska </w:t>
      </w:r>
    </w:p>
    <w:p w14:paraId="1A5379D1" w14:textId="77777777" w:rsidR="00A052FA" w:rsidRPr="00F51081" w:rsidRDefault="00A052FA" w:rsidP="003C614E">
      <w:pPr>
        <w:rPr>
          <w:noProof/>
          <w:sz w:val="22"/>
          <w:szCs w:val="22"/>
        </w:rPr>
      </w:pPr>
      <w:proofErr w:type="spellStart"/>
      <w:r w:rsidRPr="00F51081">
        <w:rPr>
          <w:sz w:val="22"/>
          <w:szCs w:val="22"/>
        </w:rPr>
        <w:t>i.m</w:t>
      </w:r>
      <w:proofErr w:type="spellEnd"/>
      <w:r w:rsidRPr="00F51081">
        <w:rPr>
          <w:sz w:val="22"/>
          <w:szCs w:val="22"/>
        </w:rPr>
        <w:t xml:space="preserve">., </w:t>
      </w:r>
      <w:r w:rsidRPr="00F51081">
        <w:rPr>
          <w:noProof/>
          <w:sz w:val="22"/>
          <w:szCs w:val="22"/>
        </w:rPr>
        <w:t>i.v.</w:t>
      </w:r>
    </w:p>
    <w:p w14:paraId="0F750066" w14:textId="77777777" w:rsidR="00A052FA" w:rsidRPr="0082224B" w:rsidRDefault="00A052FA" w:rsidP="003C614E"/>
    <w:p w14:paraId="169D08BF" w14:textId="77777777" w:rsidR="00A052FA" w:rsidRPr="0082224B" w:rsidRDefault="00A052FA" w:rsidP="003C614E"/>
    <w:p w14:paraId="21654A00" w14:textId="77777777" w:rsidR="00A052FA" w:rsidRPr="00BD03D8" w:rsidRDefault="00A052FA" w:rsidP="00A052FA">
      <w:pPr>
        <w:pStyle w:val="PI-1labEMEASMCA"/>
      </w:pPr>
      <w:r w:rsidRPr="00BD03D8">
        <w:t>2.</w:t>
      </w:r>
      <w:r w:rsidRPr="00BD03D8">
        <w:tab/>
        <w:t>VARTOJIMO METODAS</w:t>
      </w:r>
    </w:p>
    <w:p w14:paraId="45D4A7D5" w14:textId="77777777" w:rsidR="00A052FA" w:rsidRPr="0082224B" w:rsidRDefault="00A052FA" w:rsidP="003C614E"/>
    <w:p w14:paraId="0A377B50" w14:textId="77777777" w:rsidR="00A052FA" w:rsidRPr="0082224B" w:rsidRDefault="00A052FA" w:rsidP="003C614E"/>
    <w:p w14:paraId="0D8252E1" w14:textId="77777777" w:rsidR="00A052FA" w:rsidRPr="00BD03D8" w:rsidRDefault="00A052FA" w:rsidP="00A052FA">
      <w:pPr>
        <w:pStyle w:val="PI-1labEMEASMCA"/>
      </w:pPr>
      <w:r w:rsidRPr="00BD03D8">
        <w:t>3.</w:t>
      </w:r>
      <w:r w:rsidRPr="00BD03D8">
        <w:tab/>
        <w:t>TINKAMUMO LAIKAS</w:t>
      </w:r>
    </w:p>
    <w:p w14:paraId="5BB238A9" w14:textId="77777777" w:rsidR="00A052FA" w:rsidRPr="0082224B" w:rsidRDefault="00A052FA" w:rsidP="003C614E"/>
    <w:p w14:paraId="5F348AB4" w14:textId="77777777" w:rsidR="00A052FA" w:rsidRPr="0082224B" w:rsidRDefault="00A052FA" w:rsidP="003C614E">
      <w:r w:rsidRPr="003C614E">
        <w:rPr>
          <w:sz w:val="22"/>
        </w:rPr>
        <w:t>EXP {</w:t>
      </w:r>
      <w:proofErr w:type="spellStart"/>
      <w:r w:rsidRPr="003C614E">
        <w:rPr>
          <w:sz w:val="22"/>
        </w:rPr>
        <w:t>mm.MMMM</w:t>
      </w:r>
      <w:proofErr w:type="spellEnd"/>
      <w:r w:rsidRPr="003C614E">
        <w:rPr>
          <w:sz w:val="22"/>
        </w:rPr>
        <w:t>}</w:t>
      </w:r>
    </w:p>
    <w:p w14:paraId="7DB9F706" w14:textId="77777777" w:rsidR="00A052FA" w:rsidRPr="0082224B" w:rsidRDefault="00A052FA" w:rsidP="003C614E"/>
    <w:p w14:paraId="6246A700" w14:textId="77777777" w:rsidR="00A052FA" w:rsidRPr="0082224B" w:rsidRDefault="00A052FA" w:rsidP="003C614E"/>
    <w:p w14:paraId="4B8194B9" w14:textId="77777777" w:rsidR="00A052FA" w:rsidRPr="00BD03D8" w:rsidRDefault="00A052FA" w:rsidP="00A052FA">
      <w:pPr>
        <w:pStyle w:val="PI-1labEMEASMCA"/>
        <w:rPr>
          <w:highlight w:val="lightGray"/>
        </w:rPr>
      </w:pPr>
      <w:r w:rsidRPr="00BD03D8">
        <w:t>4.</w:t>
      </w:r>
      <w:r w:rsidRPr="00BD03D8">
        <w:tab/>
        <w:t>SERIJOS NUMERIS</w:t>
      </w:r>
    </w:p>
    <w:p w14:paraId="4533625C" w14:textId="77777777" w:rsidR="00A052FA" w:rsidRPr="0082224B" w:rsidRDefault="00A052FA" w:rsidP="003C614E"/>
    <w:p w14:paraId="5F514580" w14:textId="77777777" w:rsidR="00A052FA" w:rsidRPr="0082224B" w:rsidRDefault="00A052FA" w:rsidP="003C614E">
      <w:r w:rsidRPr="003C614E">
        <w:rPr>
          <w:sz w:val="22"/>
        </w:rPr>
        <w:t>Lot</w:t>
      </w:r>
    </w:p>
    <w:p w14:paraId="4BE436C9" w14:textId="77777777" w:rsidR="00A052FA" w:rsidRPr="0082224B" w:rsidRDefault="00A052FA" w:rsidP="003C614E"/>
    <w:p w14:paraId="0D169D75" w14:textId="77777777" w:rsidR="00A052FA" w:rsidRPr="0082224B" w:rsidRDefault="00A052FA" w:rsidP="003C614E"/>
    <w:p w14:paraId="37A33C37" w14:textId="77777777" w:rsidR="00A052FA" w:rsidRPr="00BD03D8" w:rsidRDefault="00A052FA" w:rsidP="00A052FA">
      <w:pPr>
        <w:pStyle w:val="PI-1labEMEASMCA"/>
        <w:rPr>
          <w:highlight w:val="lightGray"/>
        </w:rPr>
      </w:pPr>
      <w:r w:rsidRPr="00BD03D8">
        <w:t>5.</w:t>
      </w:r>
      <w:r w:rsidRPr="00BD03D8">
        <w:tab/>
        <w:t>KIEKIS (MASĖ, TŪRIS ARBA VIENETAI)</w:t>
      </w:r>
    </w:p>
    <w:p w14:paraId="0C49D1FD" w14:textId="77777777" w:rsidR="00A052FA" w:rsidRPr="0082224B" w:rsidRDefault="00A052FA" w:rsidP="003C614E"/>
    <w:p w14:paraId="07099FBF" w14:textId="77777777" w:rsidR="00A052FA" w:rsidRPr="0082224B" w:rsidRDefault="00A052FA" w:rsidP="003C614E">
      <w:r w:rsidRPr="003C614E">
        <w:rPr>
          <w:sz w:val="22"/>
        </w:rPr>
        <w:t>2 ml</w:t>
      </w:r>
    </w:p>
    <w:p w14:paraId="174204C8" w14:textId="77777777" w:rsidR="00A052FA" w:rsidRPr="0082224B" w:rsidRDefault="00A052FA" w:rsidP="003C614E"/>
    <w:p w14:paraId="5ABE2E71" w14:textId="77777777" w:rsidR="00A052FA" w:rsidRPr="0082224B" w:rsidRDefault="00A052FA" w:rsidP="003C614E"/>
    <w:p w14:paraId="4D089152" w14:textId="77777777" w:rsidR="00A052FA" w:rsidRPr="00BD03D8" w:rsidRDefault="00A052FA" w:rsidP="00A052FA">
      <w:pPr>
        <w:pStyle w:val="PI-1labEMEASMCA"/>
        <w:rPr>
          <w:highlight w:val="lightGray"/>
        </w:rPr>
      </w:pPr>
      <w:r w:rsidRPr="00BD03D8">
        <w:t>6.</w:t>
      </w:r>
      <w:r w:rsidRPr="00BD03D8">
        <w:tab/>
        <w:t>KITA</w:t>
      </w:r>
    </w:p>
    <w:p w14:paraId="5CBBE2AF" w14:textId="77777777" w:rsidR="00A052FA" w:rsidRPr="0082224B" w:rsidRDefault="00A052FA" w:rsidP="003C614E"/>
    <w:p w14:paraId="2EF442FE" w14:textId="77777777" w:rsidR="00A052FA" w:rsidRPr="0082224B" w:rsidRDefault="00A052FA" w:rsidP="003C614E">
      <w:r w:rsidRPr="003C614E">
        <w:rPr>
          <w:sz w:val="22"/>
          <w:highlight w:val="lightGray"/>
        </w:rPr>
        <w:t>Sopharma logo</w:t>
      </w:r>
      <w:r w:rsidRPr="003C614E">
        <w:rPr>
          <w:sz w:val="22"/>
        </w:rPr>
        <w:br w:type="page"/>
      </w:r>
    </w:p>
    <w:p w14:paraId="6BBAE7EE" w14:textId="77777777" w:rsidR="00A052FA" w:rsidRPr="00BD03D8" w:rsidRDefault="00A052FA" w:rsidP="00634EE3">
      <w:pPr>
        <w:pStyle w:val="BTEMEASMCA"/>
      </w:pPr>
    </w:p>
    <w:p w14:paraId="7C60979C" w14:textId="77777777" w:rsidR="00A052FA" w:rsidRPr="00BD03D8" w:rsidRDefault="00A052FA" w:rsidP="00634EE3">
      <w:pPr>
        <w:pStyle w:val="BTEMEASMCA"/>
      </w:pPr>
    </w:p>
    <w:p w14:paraId="20A52925" w14:textId="77777777" w:rsidR="00A052FA" w:rsidRPr="00BD03D8" w:rsidRDefault="00A052FA" w:rsidP="00634EE3">
      <w:pPr>
        <w:pStyle w:val="BTEMEASMCA"/>
      </w:pPr>
    </w:p>
    <w:p w14:paraId="7B283273" w14:textId="77777777" w:rsidR="00A052FA" w:rsidRPr="00BD03D8" w:rsidRDefault="00A052FA" w:rsidP="00634EE3">
      <w:pPr>
        <w:pStyle w:val="BTEMEASMCA"/>
      </w:pPr>
    </w:p>
    <w:p w14:paraId="502466F4" w14:textId="77777777" w:rsidR="00A052FA" w:rsidRPr="00BD03D8" w:rsidRDefault="00A052FA" w:rsidP="00634EE3">
      <w:pPr>
        <w:pStyle w:val="BTEMEASMCA"/>
      </w:pPr>
    </w:p>
    <w:p w14:paraId="1F8E7E2D" w14:textId="77777777" w:rsidR="00A052FA" w:rsidRPr="00BD03D8" w:rsidRDefault="00A052FA" w:rsidP="00634EE3">
      <w:pPr>
        <w:pStyle w:val="BTEMEASMCA"/>
      </w:pPr>
    </w:p>
    <w:p w14:paraId="388B4E87" w14:textId="77777777" w:rsidR="00A052FA" w:rsidRPr="00BD03D8" w:rsidRDefault="00A052FA" w:rsidP="00634EE3">
      <w:pPr>
        <w:pStyle w:val="BTEMEASMCA"/>
      </w:pPr>
    </w:p>
    <w:p w14:paraId="53506423" w14:textId="77777777" w:rsidR="00A052FA" w:rsidRPr="00BD03D8" w:rsidRDefault="00A052FA" w:rsidP="00634EE3">
      <w:pPr>
        <w:pStyle w:val="BTEMEASMCA"/>
      </w:pPr>
    </w:p>
    <w:p w14:paraId="4E1E7D6A" w14:textId="77777777" w:rsidR="00A052FA" w:rsidRPr="00BD03D8" w:rsidRDefault="00A052FA" w:rsidP="00634EE3">
      <w:pPr>
        <w:pStyle w:val="BTEMEASMCA"/>
      </w:pPr>
    </w:p>
    <w:p w14:paraId="02BE182A" w14:textId="77777777" w:rsidR="00A052FA" w:rsidRPr="00BD03D8" w:rsidRDefault="00A052FA" w:rsidP="00634EE3">
      <w:pPr>
        <w:pStyle w:val="BTEMEASMCA"/>
      </w:pPr>
    </w:p>
    <w:p w14:paraId="51B1AFC4" w14:textId="77777777" w:rsidR="00A052FA" w:rsidRPr="00BD03D8" w:rsidRDefault="00A052FA" w:rsidP="00634EE3">
      <w:pPr>
        <w:pStyle w:val="BTEMEASMCA"/>
      </w:pPr>
    </w:p>
    <w:p w14:paraId="28B0C800" w14:textId="77777777" w:rsidR="00A052FA" w:rsidRPr="00BD03D8" w:rsidRDefault="00A052FA" w:rsidP="00634EE3">
      <w:pPr>
        <w:pStyle w:val="BTEMEASMCA"/>
      </w:pPr>
    </w:p>
    <w:p w14:paraId="20F571A8" w14:textId="77777777" w:rsidR="00A052FA" w:rsidRPr="00BD03D8" w:rsidRDefault="00A052FA" w:rsidP="00634EE3">
      <w:pPr>
        <w:pStyle w:val="BTEMEASMCA"/>
      </w:pPr>
    </w:p>
    <w:p w14:paraId="031602B7" w14:textId="77777777" w:rsidR="00A052FA" w:rsidRPr="00BD03D8" w:rsidRDefault="00A052FA" w:rsidP="00634EE3">
      <w:pPr>
        <w:pStyle w:val="BTEMEASMCA"/>
      </w:pPr>
    </w:p>
    <w:p w14:paraId="7E72E14C" w14:textId="77777777" w:rsidR="00A052FA" w:rsidRPr="00BD03D8" w:rsidRDefault="00A052FA" w:rsidP="00634EE3">
      <w:pPr>
        <w:pStyle w:val="BTEMEASMCA"/>
      </w:pPr>
    </w:p>
    <w:p w14:paraId="183A1102" w14:textId="77777777" w:rsidR="00A052FA" w:rsidRPr="00BD03D8" w:rsidRDefault="00A052FA" w:rsidP="00634EE3">
      <w:pPr>
        <w:pStyle w:val="BTEMEASMCA"/>
      </w:pPr>
    </w:p>
    <w:p w14:paraId="06AB2F9B" w14:textId="77777777" w:rsidR="00A052FA" w:rsidRPr="00BD03D8" w:rsidRDefault="00A052FA" w:rsidP="00634EE3">
      <w:pPr>
        <w:pStyle w:val="BTEMEASMCA"/>
      </w:pPr>
    </w:p>
    <w:p w14:paraId="704DF16C" w14:textId="77777777" w:rsidR="00A052FA" w:rsidRPr="00BD03D8" w:rsidRDefault="00A052FA" w:rsidP="00634EE3">
      <w:pPr>
        <w:pStyle w:val="BTEMEASMCA"/>
      </w:pPr>
    </w:p>
    <w:p w14:paraId="7933AB33" w14:textId="77777777" w:rsidR="00A052FA" w:rsidRPr="00BD03D8" w:rsidRDefault="00A052FA" w:rsidP="00634EE3">
      <w:pPr>
        <w:pStyle w:val="BTEMEASMCA"/>
      </w:pPr>
    </w:p>
    <w:p w14:paraId="4E3BC42E" w14:textId="77777777" w:rsidR="00A052FA" w:rsidRPr="00BD03D8" w:rsidRDefault="00A052FA" w:rsidP="00634EE3">
      <w:pPr>
        <w:pStyle w:val="BTEMEASMCA"/>
      </w:pPr>
    </w:p>
    <w:p w14:paraId="65E1EDE7" w14:textId="77777777" w:rsidR="00A052FA" w:rsidRPr="00BD03D8" w:rsidRDefault="00A052FA" w:rsidP="00634EE3">
      <w:pPr>
        <w:pStyle w:val="BTEMEASMCA"/>
      </w:pPr>
    </w:p>
    <w:p w14:paraId="2770A4EA" w14:textId="77777777" w:rsidR="00A052FA" w:rsidRPr="00BD03D8" w:rsidRDefault="00A052FA" w:rsidP="00634EE3">
      <w:pPr>
        <w:pStyle w:val="BTEMEASMCA"/>
      </w:pPr>
    </w:p>
    <w:p w14:paraId="2773715D" w14:textId="77777777" w:rsidR="00A052FA" w:rsidRPr="00BD03D8" w:rsidRDefault="00A052FA" w:rsidP="00A052FA">
      <w:pPr>
        <w:pStyle w:val="TTEMEASMCA"/>
        <w:rPr>
          <w:lang w:val="lt-LT"/>
        </w:rPr>
      </w:pPr>
      <w:bookmarkStart w:id="78" w:name="_Toc129243137"/>
      <w:bookmarkStart w:id="79" w:name="_Toc129243262"/>
    </w:p>
    <w:p w14:paraId="12D0B3C9" w14:textId="30ADD39A" w:rsidR="00A052FA" w:rsidRPr="00BD03D8" w:rsidRDefault="00A052FA" w:rsidP="00A052FA">
      <w:pPr>
        <w:pStyle w:val="TTEMEASMCA"/>
        <w:rPr>
          <w:lang w:val="lt-LT"/>
        </w:rPr>
      </w:pPr>
      <w:r w:rsidRPr="00BD03D8">
        <w:rPr>
          <w:lang w:val="lt-LT"/>
        </w:rPr>
        <w:t>B. PAKUOTĖS LAPELIS</w:t>
      </w:r>
      <w:bookmarkEnd w:id="78"/>
      <w:bookmarkEnd w:id="79"/>
    </w:p>
    <w:p w14:paraId="6F9DA173" w14:textId="0AA9BE62" w:rsidR="00165C8A" w:rsidRPr="004B46BA" w:rsidRDefault="00A052FA" w:rsidP="00634EE3">
      <w:pPr>
        <w:pStyle w:val="BTEMEASMCA"/>
      </w:pPr>
      <w:r w:rsidRPr="00BD03D8">
        <w:br w:type="page"/>
      </w:r>
    </w:p>
    <w:p w14:paraId="77BF1DA4" w14:textId="7D628757" w:rsidR="00BD03D8" w:rsidRPr="00BD03D8" w:rsidRDefault="00BD03D8" w:rsidP="00BD03D8">
      <w:pPr>
        <w:keepNext/>
        <w:tabs>
          <w:tab w:val="left" w:pos="567"/>
        </w:tabs>
        <w:jc w:val="center"/>
        <w:outlineLvl w:val="1"/>
        <w:rPr>
          <w:b/>
          <w:snapToGrid w:val="0"/>
          <w:sz w:val="22"/>
          <w:lang w:eastAsia="x-none"/>
        </w:rPr>
      </w:pPr>
      <w:r w:rsidRPr="003C614E">
        <w:rPr>
          <w:b/>
          <w:sz w:val="22"/>
        </w:rPr>
        <w:lastRenderedPageBreak/>
        <w:t>Pakuotės lapelis: informacija vartotojui</w:t>
      </w:r>
    </w:p>
    <w:p w14:paraId="79E120E6" w14:textId="77777777" w:rsidR="00BD03D8" w:rsidRPr="003C614E" w:rsidRDefault="00BD03D8" w:rsidP="003C614E">
      <w:pPr>
        <w:numPr>
          <w:ilvl w:val="12"/>
          <w:numId w:val="0"/>
        </w:numPr>
        <w:shd w:val="clear" w:color="auto" w:fill="FFFFFF"/>
        <w:jc w:val="center"/>
      </w:pPr>
    </w:p>
    <w:p w14:paraId="4CB80F5D" w14:textId="333439CC" w:rsidR="00BD03D8" w:rsidRPr="0082224B" w:rsidRDefault="00BD03D8" w:rsidP="003C614E">
      <w:pPr>
        <w:tabs>
          <w:tab w:val="left" w:pos="567"/>
        </w:tabs>
        <w:spacing w:line="260" w:lineRule="exact"/>
        <w:jc w:val="center"/>
        <w:rPr>
          <w:b/>
        </w:rPr>
      </w:pPr>
      <w:r w:rsidRPr="003C614E">
        <w:rPr>
          <w:b/>
          <w:sz w:val="22"/>
        </w:rPr>
        <w:t>Analgin Sopharma 500 mg/ml injekcinis tirpalas</w:t>
      </w:r>
    </w:p>
    <w:p w14:paraId="759A0AC4" w14:textId="7BE33D74" w:rsidR="00BD03D8" w:rsidRPr="0082224B" w:rsidRDefault="00225CEE" w:rsidP="003C614E">
      <w:pPr>
        <w:tabs>
          <w:tab w:val="left" w:pos="567"/>
        </w:tabs>
        <w:spacing w:line="260" w:lineRule="exact"/>
        <w:jc w:val="center"/>
      </w:pPr>
      <w:r>
        <w:rPr>
          <w:bCs/>
          <w:noProof/>
          <w:snapToGrid w:val="0"/>
          <w:sz w:val="22"/>
        </w:rPr>
        <w:t>m</w:t>
      </w:r>
      <w:r w:rsidR="00BD03D8" w:rsidRPr="007F4E73">
        <w:rPr>
          <w:bCs/>
          <w:noProof/>
          <w:snapToGrid w:val="0"/>
          <w:sz w:val="22"/>
        </w:rPr>
        <w:t>etamizolo</w:t>
      </w:r>
      <w:r w:rsidR="00BD03D8" w:rsidRPr="003C614E">
        <w:rPr>
          <w:sz w:val="22"/>
        </w:rPr>
        <w:t xml:space="preserve"> natrio druska</w:t>
      </w:r>
    </w:p>
    <w:p w14:paraId="1E2F6C2E" w14:textId="77777777" w:rsidR="007F4E73" w:rsidRPr="0082224B" w:rsidRDefault="007F4E73" w:rsidP="003C614E">
      <w:pPr>
        <w:suppressAutoHyphens/>
        <w:ind w:left="142" w:hanging="142"/>
      </w:pPr>
    </w:p>
    <w:p w14:paraId="56FBFD74" w14:textId="1C55EB6B" w:rsidR="00BD03D8" w:rsidRPr="0082224B" w:rsidRDefault="00BD03D8" w:rsidP="003C614E">
      <w:pPr>
        <w:suppressAutoHyphens/>
      </w:pPr>
      <w:r w:rsidRPr="003C614E">
        <w:rPr>
          <w:b/>
          <w:sz w:val="22"/>
        </w:rPr>
        <w:t>Atidžiai perskaitykite visą šį lapelį, prieš pradėdami vartoti vaistą, nes jame pateikiama Jums svarbi informacija.</w:t>
      </w:r>
    </w:p>
    <w:p w14:paraId="1C372BE0" w14:textId="77777777" w:rsidR="00BD03D8" w:rsidRPr="0082224B" w:rsidRDefault="00BD03D8" w:rsidP="003C614E">
      <w:pPr>
        <w:pStyle w:val="Sraopastraipa"/>
        <w:numPr>
          <w:ilvl w:val="0"/>
          <w:numId w:val="30"/>
        </w:numPr>
        <w:ind w:left="567" w:hanging="567"/>
      </w:pPr>
      <w:r w:rsidRPr="003C614E">
        <w:rPr>
          <w:sz w:val="22"/>
        </w:rPr>
        <w:t>Neišmeskite šio lapelio, nes vėl gali prireikti jį perskaityti.</w:t>
      </w:r>
      <w:r w:rsidRPr="00AB2E84">
        <w:rPr>
          <w:snapToGrid w:val="0"/>
          <w:sz w:val="22"/>
          <w:szCs w:val="22"/>
        </w:rPr>
        <w:t xml:space="preserve"> </w:t>
      </w:r>
    </w:p>
    <w:p w14:paraId="0B9AF6F6" w14:textId="0641E0BB" w:rsidR="00BD03D8" w:rsidRPr="0082224B" w:rsidRDefault="00BD03D8" w:rsidP="003C614E">
      <w:pPr>
        <w:pStyle w:val="Sraopastraipa"/>
        <w:numPr>
          <w:ilvl w:val="0"/>
          <w:numId w:val="30"/>
        </w:numPr>
        <w:ind w:left="567" w:hanging="567"/>
      </w:pPr>
      <w:r w:rsidRPr="003C614E">
        <w:rPr>
          <w:sz w:val="22"/>
        </w:rPr>
        <w:t>Jeigu kiltų daugiau klausimų, kreipkitės į gydytoją</w:t>
      </w:r>
      <w:r w:rsidR="007F4E73" w:rsidRPr="003C614E">
        <w:rPr>
          <w:sz w:val="22"/>
        </w:rPr>
        <w:t xml:space="preserve"> </w:t>
      </w:r>
      <w:r w:rsidRPr="003C614E">
        <w:rPr>
          <w:sz w:val="22"/>
        </w:rPr>
        <w:t>arba</w:t>
      </w:r>
      <w:r w:rsidR="007F4E73" w:rsidRPr="003C614E">
        <w:rPr>
          <w:sz w:val="22"/>
        </w:rPr>
        <w:t xml:space="preserve"> </w:t>
      </w:r>
      <w:r w:rsidRPr="003C614E">
        <w:rPr>
          <w:sz w:val="22"/>
        </w:rPr>
        <w:t>vaistininką.</w:t>
      </w:r>
    </w:p>
    <w:p w14:paraId="5300F2E3" w14:textId="2383CC70" w:rsidR="00BD03D8" w:rsidRPr="0082224B" w:rsidRDefault="00BD03D8" w:rsidP="003C614E">
      <w:pPr>
        <w:pStyle w:val="Sraopastraipa"/>
        <w:numPr>
          <w:ilvl w:val="0"/>
          <w:numId w:val="30"/>
        </w:numPr>
        <w:ind w:left="567" w:hanging="567"/>
      </w:pPr>
      <w:r w:rsidRPr="003C614E">
        <w:rPr>
          <w:sz w:val="22"/>
        </w:rPr>
        <w:t xml:space="preserve">Šis vaistas skirtas tik Jums, todėl kitiems žmonėms jo duoti negalima. Vaistas gali jiems pakenkti (net tiems, kurių ligos </w:t>
      </w:r>
      <w:r w:rsidRPr="00AB2E84">
        <w:rPr>
          <w:noProof/>
          <w:snapToGrid w:val="0"/>
          <w:sz w:val="22"/>
          <w:szCs w:val="22"/>
        </w:rPr>
        <w:t>požymiai</w:t>
      </w:r>
      <w:r w:rsidRPr="003C614E">
        <w:rPr>
          <w:sz w:val="22"/>
        </w:rPr>
        <w:t xml:space="preserve"> yra tokie patys kaip Jūsų).</w:t>
      </w:r>
    </w:p>
    <w:p w14:paraId="6672DF28" w14:textId="1D0E8871" w:rsidR="00BD03D8" w:rsidRPr="0082224B" w:rsidRDefault="00BD03D8" w:rsidP="003C614E">
      <w:pPr>
        <w:pStyle w:val="Sraopastraipa"/>
        <w:numPr>
          <w:ilvl w:val="0"/>
          <w:numId w:val="30"/>
        </w:numPr>
        <w:ind w:left="567" w:hanging="567"/>
      </w:pPr>
      <w:r w:rsidRPr="003C614E">
        <w:rPr>
          <w:sz w:val="22"/>
        </w:rPr>
        <w:t>Jeigu pasireiškė šalutinis poveikis (net jeigu jis šiame lapelyje nenurodytas), kreipkitės į gydytoją</w:t>
      </w:r>
      <w:r w:rsidR="007F4E73" w:rsidRPr="003C614E">
        <w:rPr>
          <w:sz w:val="22"/>
        </w:rPr>
        <w:t xml:space="preserve"> </w:t>
      </w:r>
      <w:r w:rsidRPr="003C614E">
        <w:rPr>
          <w:sz w:val="22"/>
        </w:rPr>
        <w:t>arba</w:t>
      </w:r>
      <w:r w:rsidR="007F4E73" w:rsidRPr="003C614E">
        <w:rPr>
          <w:sz w:val="22"/>
        </w:rPr>
        <w:t xml:space="preserve"> </w:t>
      </w:r>
      <w:r w:rsidRPr="003C614E">
        <w:rPr>
          <w:sz w:val="22"/>
        </w:rPr>
        <w:t>vaistinink</w:t>
      </w:r>
      <w:r w:rsidR="007F4E73" w:rsidRPr="003C614E">
        <w:rPr>
          <w:sz w:val="22"/>
        </w:rPr>
        <w:t>ą</w:t>
      </w:r>
      <w:r w:rsidRPr="003C614E">
        <w:rPr>
          <w:sz w:val="22"/>
        </w:rPr>
        <w:t>. Žr. 4 skyrių.</w:t>
      </w:r>
    </w:p>
    <w:p w14:paraId="13E5D2A6" w14:textId="77777777" w:rsidR="00BD03D8" w:rsidRPr="0082224B" w:rsidRDefault="00BD03D8" w:rsidP="003C614E">
      <w:pPr>
        <w:ind w:left="567" w:hanging="567"/>
      </w:pPr>
    </w:p>
    <w:p w14:paraId="5EC07407" w14:textId="7FD5229A" w:rsidR="00902BB9" w:rsidRPr="00243DC6" w:rsidRDefault="00902BB9" w:rsidP="00A53D23">
      <w:pPr>
        <w:pStyle w:val="BT-EMEASMCA"/>
      </w:pPr>
      <w:proofErr w:type="spellStart"/>
      <w:r w:rsidRPr="00243DC6">
        <w:t>Apie</w:t>
      </w:r>
      <w:proofErr w:type="spellEnd"/>
      <w:r w:rsidRPr="00243DC6">
        <w:t xml:space="preserve"> </w:t>
      </w:r>
      <w:proofErr w:type="spellStart"/>
      <w:r w:rsidRPr="00243DC6">
        <w:t>ką</w:t>
      </w:r>
      <w:proofErr w:type="spellEnd"/>
      <w:r w:rsidRPr="00243DC6">
        <w:t xml:space="preserve"> </w:t>
      </w:r>
      <w:proofErr w:type="spellStart"/>
      <w:r w:rsidRPr="00243DC6">
        <w:t>rašoma</w:t>
      </w:r>
      <w:proofErr w:type="spellEnd"/>
      <w:r w:rsidRPr="00243DC6">
        <w:t xml:space="preserve"> </w:t>
      </w:r>
      <w:proofErr w:type="spellStart"/>
      <w:r w:rsidRPr="00243DC6">
        <w:t>šiame</w:t>
      </w:r>
      <w:proofErr w:type="spellEnd"/>
      <w:r w:rsidRPr="00243DC6">
        <w:t xml:space="preserve"> </w:t>
      </w:r>
      <w:proofErr w:type="spellStart"/>
      <w:r w:rsidRPr="00243DC6">
        <w:t>lapelyje</w:t>
      </w:r>
      <w:proofErr w:type="spellEnd"/>
      <w:r w:rsidRPr="00243DC6">
        <w:t>?</w:t>
      </w:r>
      <w:r w:rsidR="00243DC6">
        <w:t xml:space="preserve"> </w:t>
      </w:r>
    </w:p>
    <w:p w14:paraId="18302463" w14:textId="7D8ACDAF" w:rsidR="00902BB9" w:rsidRPr="00F1069E" w:rsidRDefault="00243DC6" w:rsidP="00A53D23">
      <w:pPr>
        <w:pStyle w:val="BT-EMEASMCA"/>
      </w:pPr>
      <w:r>
        <w:t xml:space="preserve"> </w:t>
      </w:r>
    </w:p>
    <w:p w14:paraId="09F09667" w14:textId="77777777" w:rsidR="00902BB9" w:rsidRPr="00F1069E" w:rsidRDefault="00902BB9" w:rsidP="00BE2BC4">
      <w:pPr>
        <w:numPr>
          <w:ilvl w:val="12"/>
          <w:numId w:val="0"/>
        </w:numPr>
        <w:tabs>
          <w:tab w:val="left" w:pos="567"/>
        </w:tabs>
        <w:ind w:right="-2"/>
        <w:rPr>
          <w:sz w:val="22"/>
          <w:szCs w:val="22"/>
        </w:rPr>
      </w:pPr>
      <w:r w:rsidRPr="001F6F3C">
        <w:rPr>
          <w:sz w:val="22"/>
          <w:szCs w:val="22"/>
        </w:rPr>
        <w:t>1.</w:t>
      </w:r>
      <w:r w:rsidRPr="001F6F3C">
        <w:rPr>
          <w:sz w:val="22"/>
          <w:szCs w:val="22"/>
        </w:rPr>
        <w:tab/>
        <w:t xml:space="preserve">Kas yra </w:t>
      </w:r>
      <w:r w:rsidRPr="00F1069E">
        <w:rPr>
          <w:sz w:val="22"/>
          <w:szCs w:val="22"/>
        </w:rPr>
        <w:t>Analgin Sopharma ir kam jis vartojamas</w:t>
      </w:r>
    </w:p>
    <w:p w14:paraId="6DC695E0" w14:textId="77777777" w:rsidR="00902BB9" w:rsidRPr="001F6F3C" w:rsidRDefault="00902BB9" w:rsidP="00BE2BC4">
      <w:pPr>
        <w:numPr>
          <w:ilvl w:val="12"/>
          <w:numId w:val="0"/>
        </w:numPr>
        <w:tabs>
          <w:tab w:val="left" w:pos="567"/>
          <w:tab w:val="left" w:pos="1276"/>
        </w:tabs>
        <w:ind w:right="-2"/>
        <w:rPr>
          <w:sz w:val="22"/>
          <w:szCs w:val="22"/>
        </w:rPr>
      </w:pPr>
      <w:r w:rsidRPr="00530826">
        <w:rPr>
          <w:sz w:val="22"/>
          <w:szCs w:val="22"/>
        </w:rPr>
        <w:t>2.</w:t>
      </w:r>
      <w:r w:rsidRPr="00530826">
        <w:rPr>
          <w:sz w:val="22"/>
          <w:szCs w:val="22"/>
        </w:rPr>
        <w:tab/>
      </w:r>
      <w:r w:rsidRPr="00530826">
        <w:rPr>
          <w:noProof/>
          <w:sz w:val="22"/>
          <w:szCs w:val="22"/>
        </w:rPr>
        <w:t xml:space="preserve">Kas žinotina prieš vartojant </w:t>
      </w:r>
      <w:r w:rsidRPr="001F6F3C">
        <w:rPr>
          <w:sz w:val="22"/>
          <w:szCs w:val="22"/>
        </w:rPr>
        <w:t>Analgin Sopharma</w:t>
      </w:r>
    </w:p>
    <w:p w14:paraId="7670B5DF" w14:textId="77777777" w:rsidR="00902BB9" w:rsidRPr="001F6F3C" w:rsidRDefault="00902BB9" w:rsidP="00BE2BC4">
      <w:pPr>
        <w:numPr>
          <w:ilvl w:val="12"/>
          <w:numId w:val="0"/>
        </w:numPr>
        <w:tabs>
          <w:tab w:val="left" w:pos="567"/>
          <w:tab w:val="left" w:pos="1276"/>
        </w:tabs>
        <w:ind w:right="-2"/>
        <w:rPr>
          <w:sz w:val="22"/>
          <w:szCs w:val="22"/>
        </w:rPr>
      </w:pPr>
      <w:r w:rsidRPr="001F6F3C">
        <w:rPr>
          <w:sz w:val="22"/>
          <w:szCs w:val="22"/>
        </w:rPr>
        <w:t>3.</w:t>
      </w:r>
      <w:r w:rsidRPr="001F6F3C">
        <w:rPr>
          <w:sz w:val="22"/>
          <w:szCs w:val="22"/>
        </w:rPr>
        <w:tab/>
      </w:r>
      <w:r w:rsidRPr="001F6F3C">
        <w:rPr>
          <w:noProof/>
          <w:sz w:val="22"/>
          <w:szCs w:val="22"/>
        </w:rPr>
        <w:t xml:space="preserve">Kaip vartoti </w:t>
      </w:r>
      <w:r w:rsidRPr="001F6F3C">
        <w:rPr>
          <w:sz w:val="22"/>
          <w:szCs w:val="22"/>
        </w:rPr>
        <w:t>Analgin Sopharma</w:t>
      </w:r>
    </w:p>
    <w:p w14:paraId="5CFE23D2" w14:textId="77777777" w:rsidR="00902BB9" w:rsidRPr="001F6F3C" w:rsidRDefault="00902BB9" w:rsidP="00BE2BC4">
      <w:pPr>
        <w:numPr>
          <w:ilvl w:val="12"/>
          <w:numId w:val="0"/>
        </w:numPr>
        <w:tabs>
          <w:tab w:val="left" w:pos="567"/>
          <w:tab w:val="left" w:pos="1276"/>
        </w:tabs>
        <w:ind w:right="-2"/>
        <w:rPr>
          <w:sz w:val="22"/>
          <w:szCs w:val="22"/>
        </w:rPr>
      </w:pPr>
      <w:r w:rsidRPr="001F6F3C">
        <w:rPr>
          <w:sz w:val="22"/>
          <w:szCs w:val="22"/>
        </w:rPr>
        <w:t>4.</w:t>
      </w:r>
      <w:r w:rsidRPr="001F6F3C">
        <w:rPr>
          <w:sz w:val="22"/>
          <w:szCs w:val="22"/>
        </w:rPr>
        <w:tab/>
        <w:t>Galimas šalutinis poveikis</w:t>
      </w:r>
    </w:p>
    <w:p w14:paraId="1CB11A37" w14:textId="77777777" w:rsidR="00902BB9" w:rsidRPr="001F6F3C" w:rsidRDefault="00902BB9" w:rsidP="00BE2BC4">
      <w:pPr>
        <w:numPr>
          <w:ilvl w:val="12"/>
          <w:numId w:val="0"/>
        </w:numPr>
        <w:tabs>
          <w:tab w:val="left" w:pos="567"/>
          <w:tab w:val="left" w:pos="709"/>
          <w:tab w:val="left" w:pos="1276"/>
        </w:tabs>
        <w:ind w:right="-2"/>
        <w:rPr>
          <w:sz w:val="22"/>
          <w:szCs w:val="22"/>
        </w:rPr>
      </w:pPr>
      <w:r w:rsidRPr="001F6F3C">
        <w:rPr>
          <w:sz w:val="22"/>
          <w:szCs w:val="22"/>
        </w:rPr>
        <w:t>5.</w:t>
      </w:r>
      <w:r w:rsidRPr="001F6F3C">
        <w:rPr>
          <w:sz w:val="22"/>
          <w:szCs w:val="22"/>
        </w:rPr>
        <w:tab/>
        <w:t>Kaip laikyti Analgin Sopharma</w:t>
      </w:r>
    </w:p>
    <w:p w14:paraId="51476B2C" w14:textId="77777777" w:rsidR="00902BB9" w:rsidRPr="001F6F3C" w:rsidRDefault="00902BB9" w:rsidP="00BE2BC4">
      <w:pPr>
        <w:numPr>
          <w:ilvl w:val="12"/>
          <w:numId w:val="0"/>
        </w:numPr>
        <w:tabs>
          <w:tab w:val="left" w:pos="567"/>
          <w:tab w:val="left" w:pos="1276"/>
        </w:tabs>
        <w:ind w:right="-2"/>
        <w:rPr>
          <w:sz w:val="22"/>
          <w:szCs w:val="22"/>
        </w:rPr>
      </w:pPr>
      <w:r w:rsidRPr="001F6F3C">
        <w:rPr>
          <w:sz w:val="22"/>
          <w:szCs w:val="22"/>
        </w:rPr>
        <w:t>6.</w:t>
      </w:r>
      <w:r w:rsidRPr="001F6F3C">
        <w:rPr>
          <w:sz w:val="22"/>
          <w:szCs w:val="22"/>
        </w:rPr>
        <w:tab/>
      </w:r>
      <w:r w:rsidRPr="001F6F3C">
        <w:rPr>
          <w:noProof/>
          <w:sz w:val="22"/>
          <w:szCs w:val="22"/>
        </w:rPr>
        <w:t>Pakuotės turinys ir kita informacija</w:t>
      </w:r>
    </w:p>
    <w:p w14:paraId="72CEDC34" w14:textId="77777777" w:rsidR="00BD03D8" w:rsidRDefault="00BD03D8" w:rsidP="003C614E">
      <w:pPr>
        <w:ind w:left="567" w:hanging="567"/>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815AB" w14:paraId="35261919" w14:textId="77777777" w:rsidTr="00D533CF">
        <w:tc>
          <w:tcPr>
            <w:tcW w:w="9211" w:type="dxa"/>
            <w:shd w:val="clear" w:color="auto" w:fill="auto"/>
          </w:tcPr>
          <w:p w14:paraId="227F2485" w14:textId="77777777" w:rsidR="003815AB" w:rsidRPr="00EB7B49" w:rsidRDefault="003815AB" w:rsidP="00D533CF">
            <w:pPr>
              <w:numPr>
                <w:ilvl w:val="12"/>
                <w:numId w:val="0"/>
              </w:numPr>
              <w:jc w:val="both"/>
              <w:rPr>
                <w:noProof/>
                <w:color w:val="000000"/>
                <w:sz w:val="22"/>
                <w:szCs w:val="22"/>
              </w:rPr>
            </w:pPr>
            <w:r w:rsidRPr="00EB7B49">
              <w:rPr>
                <w:noProof/>
                <w:color w:val="000000"/>
                <w:sz w:val="22"/>
                <w:szCs w:val="22"/>
              </w:rPr>
              <w:t>Analgin Sopharma gali sukelti didelį baltųjų kraujo ląstelių skaičiaus sumažėjimą (agranulocitozę), o dėl to gali pasireikšti sunkios ir gyvybei pavojingos infekcijos (žr. 4 skyrių).</w:t>
            </w:r>
          </w:p>
          <w:p w14:paraId="02A8C18F" w14:textId="77777777" w:rsidR="003815AB" w:rsidRPr="00EB7B49" w:rsidRDefault="003815AB" w:rsidP="00D533CF">
            <w:pPr>
              <w:numPr>
                <w:ilvl w:val="12"/>
                <w:numId w:val="0"/>
              </w:numPr>
              <w:jc w:val="both"/>
              <w:rPr>
                <w:noProof/>
                <w:color w:val="000000"/>
                <w:sz w:val="22"/>
                <w:szCs w:val="22"/>
              </w:rPr>
            </w:pPr>
            <w:r w:rsidRPr="00EB7B49">
              <w:rPr>
                <w:noProof/>
                <w:color w:val="000000"/>
                <w:sz w:val="22"/>
                <w:szCs w:val="22"/>
              </w:rPr>
              <w:t>Turite nutraukti vaisto vartojimą ir nedelsiant kreiptis į gydytoją, jei pasireiškia kuris nors iš šių simptomų: karščiavimas, šaltkrėtis, gerklės (ryklės) skausmas, skausmingos opos nosyje, burnoje ir gerklėje (ryklėje) arba lytinių organų ar išangės srityse.</w:t>
            </w:r>
          </w:p>
          <w:p w14:paraId="1F164A1E" w14:textId="77777777" w:rsidR="003815AB" w:rsidRDefault="003815AB" w:rsidP="00D533CF">
            <w:pPr>
              <w:numPr>
                <w:ilvl w:val="12"/>
                <w:numId w:val="0"/>
              </w:numPr>
              <w:jc w:val="both"/>
              <w:rPr>
                <w:noProof/>
                <w:color w:val="000000"/>
              </w:rPr>
            </w:pPr>
            <w:r w:rsidRPr="00EB7B49">
              <w:rPr>
                <w:noProof/>
                <w:color w:val="000000"/>
                <w:sz w:val="22"/>
                <w:szCs w:val="22"/>
              </w:rPr>
              <w:t>Jeigu vartojant metamizolo ar panašių vaistų Jums kada nors pasireiškė agranulocitozė, šio vaisto daugiau niekada nevartokite (žr. 2 skyrių).</w:t>
            </w:r>
          </w:p>
        </w:tc>
      </w:tr>
    </w:tbl>
    <w:p w14:paraId="0A6CE457" w14:textId="77777777" w:rsidR="003815AB" w:rsidRPr="00AB2E84" w:rsidRDefault="003815AB" w:rsidP="003C614E">
      <w:pPr>
        <w:ind w:left="567" w:hanging="567"/>
        <w:rPr>
          <w:snapToGrid w:val="0"/>
          <w:sz w:val="22"/>
          <w:szCs w:val="22"/>
        </w:rPr>
      </w:pPr>
    </w:p>
    <w:p w14:paraId="04E2B60C" w14:textId="439499D3" w:rsidR="00BD03D8" w:rsidRPr="003C614E" w:rsidRDefault="00BD03D8" w:rsidP="003C614E">
      <w:pPr>
        <w:keepNext/>
        <w:tabs>
          <w:tab w:val="left" w:pos="567"/>
        </w:tabs>
        <w:spacing w:line="260" w:lineRule="exact"/>
        <w:jc w:val="both"/>
        <w:outlineLvl w:val="3"/>
        <w:rPr>
          <w:i/>
          <w:sz w:val="22"/>
        </w:rPr>
      </w:pPr>
      <w:r w:rsidRPr="003C614E">
        <w:rPr>
          <w:b/>
          <w:sz w:val="22"/>
        </w:rPr>
        <w:t>1.</w:t>
      </w:r>
      <w:r w:rsidRPr="003C614E">
        <w:rPr>
          <w:b/>
          <w:sz w:val="22"/>
        </w:rPr>
        <w:tab/>
        <w:t>Kas yra Analgin Sopharma ir kam jis vartojamas</w:t>
      </w:r>
    </w:p>
    <w:p w14:paraId="086EA748" w14:textId="77777777" w:rsidR="00BD03D8" w:rsidRPr="00A6381F" w:rsidRDefault="00BD03D8" w:rsidP="003C614E">
      <w:pPr>
        <w:rPr>
          <w:snapToGrid w:val="0"/>
          <w:sz w:val="22"/>
          <w:szCs w:val="22"/>
        </w:rPr>
      </w:pPr>
    </w:p>
    <w:p w14:paraId="04F60A89" w14:textId="77777777" w:rsidR="002A1D66" w:rsidRPr="0082224B" w:rsidRDefault="002A1D66" w:rsidP="003C614E">
      <w:r w:rsidRPr="003C614E">
        <w:rPr>
          <w:sz w:val="22"/>
        </w:rPr>
        <w:t xml:space="preserve">Analgin Sopharma skirtas ūminio vidutinio ar stipraus skausmo (pvz., pooperacinio, inkstų dieglių) malšinimui. </w:t>
      </w:r>
    </w:p>
    <w:p w14:paraId="6DFED94F" w14:textId="77777777" w:rsidR="002A1D66" w:rsidRPr="0082224B" w:rsidRDefault="002A1D66" w:rsidP="003C614E"/>
    <w:p w14:paraId="64E3A259" w14:textId="77777777" w:rsidR="002A1D66" w:rsidRPr="0082224B" w:rsidRDefault="002A1D66" w:rsidP="003C614E"/>
    <w:p w14:paraId="0BD80F1F" w14:textId="76F32DDD" w:rsidR="002A1D66" w:rsidRPr="00BD03D8" w:rsidRDefault="002A1D66" w:rsidP="002A1D66">
      <w:pPr>
        <w:pStyle w:val="PI-1EMEASMCA"/>
      </w:pPr>
      <w:bookmarkStart w:id="80" w:name="_Toc129243140"/>
      <w:bookmarkStart w:id="81" w:name="_Toc129243265"/>
      <w:r w:rsidRPr="00BD03D8">
        <w:t>2.</w:t>
      </w:r>
      <w:r w:rsidRPr="00BD03D8">
        <w:tab/>
        <w:t>Kas žinotina prieš vartojant Analgin Sopharma</w:t>
      </w:r>
      <w:bookmarkEnd w:id="80"/>
      <w:bookmarkEnd w:id="81"/>
    </w:p>
    <w:p w14:paraId="641814A5" w14:textId="77777777" w:rsidR="00A62AEC" w:rsidRPr="0082224B" w:rsidRDefault="00A62AEC" w:rsidP="003C614E"/>
    <w:p w14:paraId="679C9807" w14:textId="5A0B1644" w:rsidR="00A62AEC" w:rsidRPr="0082224B" w:rsidRDefault="002A1D66" w:rsidP="003C614E">
      <w:r w:rsidRPr="003C614E">
        <w:rPr>
          <w:b/>
          <w:sz w:val="22"/>
        </w:rPr>
        <w:t xml:space="preserve">Analgin Sopharma vartoti </w:t>
      </w:r>
      <w:r w:rsidR="00AB097D" w:rsidRPr="001406F1">
        <w:rPr>
          <w:b/>
          <w:bCs/>
          <w:sz w:val="22"/>
          <w:szCs w:val="22"/>
        </w:rPr>
        <w:t>draudžiama</w:t>
      </w:r>
    </w:p>
    <w:p w14:paraId="25487BEB" w14:textId="5D858DC5" w:rsidR="002A1D66" w:rsidRPr="0082224B" w:rsidRDefault="002A1D66" w:rsidP="003C614E">
      <w:pPr>
        <w:pStyle w:val="Sraopastraipa"/>
        <w:numPr>
          <w:ilvl w:val="0"/>
          <w:numId w:val="32"/>
        </w:numPr>
        <w:ind w:left="567" w:hanging="567"/>
      </w:pPr>
      <w:r w:rsidRPr="003C614E">
        <w:rPr>
          <w:sz w:val="22"/>
        </w:rPr>
        <w:t>jeigu yra alergija veikliajai medžiagai arba bet kuriai pagalbinei šio vaisto medžiagai (jos išvardytos 6 skyriuje);</w:t>
      </w:r>
    </w:p>
    <w:p w14:paraId="360CFC21" w14:textId="77777777" w:rsidR="00311ACD" w:rsidRPr="00311ACD" w:rsidRDefault="00311ACD" w:rsidP="00311ACD">
      <w:pPr>
        <w:pStyle w:val="Sraopastraipa"/>
        <w:numPr>
          <w:ilvl w:val="0"/>
          <w:numId w:val="32"/>
        </w:numPr>
        <w:ind w:left="567" w:hanging="567"/>
        <w:rPr>
          <w:sz w:val="22"/>
        </w:rPr>
      </w:pPr>
      <w:r w:rsidRPr="00311ACD">
        <w:rPr>
          <w:sz w:val="22"/>
        </w:rPr>
        <w:t>jeigu anksčiau dėl metamizolo arba panašių vaistų, vadinamų pirazolonais arba pirazolidinais, Jums buvo labai sumažėjęs baltųjų kraujo ląstelių, vadinamų granulocitais, skaičius;</w:t>
      </w:r>
    </w:p>
    <w:p w14:paraId="2A617076" w14:textId="77777777" w:rsidR="002A1D66" w:rsidRPr="0082224B" w:rsidRDefault="002A1D66" w:rsidP="003C614E">
      <w:pPr>
        <w:pStyle w:val="Sraopastraipa"/>
        <w:numPr>
          <w:ilvl w:val="0"/>
          <w:numId w:val="32"/>
        </w:numPr>
        <w:ind w:left="567" w:hanging="567"/>
      </w:pPr>
      <w:r w:rsidRPr="003C614E">
        <w:rPr>
          <w:sz w:val="22"/>
        </w:rPr>
        <w:t>jeigu buvo sunki alerginė reakcija (pvz., astmos priepuolis, veido ir ryklės patinimas, šokas) į acetilsalicilo rūgštį ar bet kurį vadinamą nesteroidinį vaistą nuo uždegimo (NVNU);</w:t>
      </w:r>
    </w:p>
    <w:p w14:paraId="7724193C" w14:textId="77777777" w:rsidR="002A1D66" w:rsidRPr="0082224B" w:rsidRDefault="002A1D66" w:rsidP="003C614E">
      <w:pPr>
        <w:pStyle w:val="Sraopastraipa"/>
        <w:numPr>
          <w:ilvl w:val="0"/>
          <w:numId w:val="32"/>
        </w:numPr>
        <w:ind w:left="567" w:hanging="567"/>
      </w:pPr>
      <w:r w:rsidRPr="003C614E">
        <w:rPr>
          <w:sz w:val="22"/>
        </w:rPr>
        <w:t>jeigu Jums prasidėjęs paskutinis nėštumo trimestras;</w:t>
      </w:r>
    </w:p>
    <w:p w14:paraId="3EE8FFBE" w14:textId="77777777" w:rsidR="002A1D66" w:rsidRPr="0082224B" w:rsidRDefault="002A1D66" w:rsidP="003C614E">
      <w:pPr>
        <w:pStyle w:val="Sraopastraipa"/>
        <w:numPr>
          <w:ilvl w:val="0"/>
          <w:numId w:val="32"/>
        </w:numPr>
        <w:ind w:left="567" w:hanging="567"/>
      </w:pPr>
      <w:r w:rsidRPr="003C614E">
        <w:rPr>
          <w:sz w:val="22"/>
        </w:rPr>
        <w:t>jeigu yra ūminė kepenų porfirija;</w:t>
      </w:r>
    </w:p>
    <w:p w14:paraId="4FD8B970" w14:textId="33F8F004" w:rsidR="00FD106F" w:rsidRPr="00FD106F" w:rsidRDefault="00FD106F" w:rsidP="00FD106F">
      <w:pPr>
        <w:pStyle w:val="Sraopastraipa"/>
        <w:numPr>
          <w:ilvl w:val="0"/>
          <w:numId w:val="32"/>
        </w:numPr>
        <w:ind w:left="567" w:hanging="567"/>
        <w:rPr>
          <w:sz w:val="22"/>
        </w:rPr>
      </w:pPr>
      <w:r w:rsidRPr="00FD106F">
        <w:rPr>
          <w:sz w:val="22"/>
        </w:rPr>
        <w:t>jeigu turite kaulų čiulpų problemų arba sergate liga, kuri turi įtakos kraujo ląstelių susidarymui ar veiklai</w:t>
      </w:r>
      <w:r w:rsidR="00CD2ED7">
        <w:rPr>
          <w:sz w:val="22"/>
        </w:rPr>
        <w:t>;</w:t>
      </w:r>
    </w:p>
    <w:p w14:paraId="184A0518" w14:textId="25F6C8A0" w:rsidR="00107E39" w:rsidRPr="00ED1D0B" w:rsidRDefault="002A1D66" w:rsidP="003C614E">
      <w:pPr>
        <w:pStyle w:val="Sraopastraipa"/>
        <w:numPr>
          <w:ilvl w:val="0"/>
          <w:numId w:val="32"/>
        </w:numPr>
        <w:ind w:left="567" w:hanging="567"/>
        <w:rPr>
          <w:sz w:val="22"/>
        </w:rPr>
      </w:pPr>
      <w:r w:rsidRPr="003C614E">
        <w:rPr>
          <w:sz w:val="22"/>
        </w:rPr>
        <w:t>jei yra mažakraujystė, sukelta fermento gliukozės 6 – fosfato dehidrogenazės trūkumo.</w:t>
      </w:r>
    </w:p>
    <w:p w14:paraId="28ABEED5" w14:textId="77777777" w:rsidR="00A052FA" w:rsidRPr="0082224B" w:rsidRDefault="00A052FA" w:rsidP="003C614E">
      <w:pPr>
        <w:ind w:left="567" w:hanging="567"/>
      </w:pPr>
    </w:p>
    <w:p w14:paraId="19FC46DD" w14:textId="77777777" w:rsidR="00D15ECB" w:rsidRPr="0082224B" w:rsidRDefault="00D15ECB" w:rsidP="003C614E">
      <w:r w:rsidRPr="003C614E">
        <w:rPr>
          <w:b/>
          <w:sz w:val="22"/>
        </w:rPr>
        <w:t>Įspėjimai ir atsargumo priemonės</w:t>
      </w:r>
      <w:r w:rsidRPr="00A62AEC">
        <w:rPr>
          <w:b/>
          <w:bCs/>
          <w:snapToGrid w:val="0"/>
          <w:sz w:val="22"/>
          <w:szCs w:val="22"/>
        </w:rPr>
        <w:t xml:space="preserve"> </w:t>
      </w:r>
    </w:p>
    <w:p w14:paraId="7E37460D" w14:textId="7A0CF234" w:rsidR="00D15ECB" w:rsidRDefault="00D15ECB" w:rsidP="003C614E">
      <w:pPr>
        <w:rPr>
          <w:noProof/>
          <w:snapToGrid w:val="0"/>
          <w:sz w:val="22"/>
          <w:szCs w:val="22"/>
        </w:rPr>
      </w:pPr>
      <w:r w:rsidRPr="001406F1">
        <w:rPr>
          <w:noProof/>
          <w:snapToGrid w:val="0"/>
          <w:sz w:val="22"/>
          <w:szCs w:val="22"/>
        </w:rPr>
        <w:t>Pasitarkite su gydytoju arba vaistininku, prieš pradėdami vartoti Analgin Sopharma:</w:t>
      </w:r>
    </w:p>
    <w:p w14:paraId="5A23C53F" w14:textId="77777777" w:rsidR="00606F32" w:rsidRDefault="00606F32" w:rsidP="003C614E">
      <w:pPr>
        <w:rPr>
          <w:noProof/>
          <w:snapToGrid w:val="0"/>
          <w:sz w:val="22"/>
          <w:szCs w:val="22"/>
        </w:rPr>
      </w:pPr>
    </w:p>
    <w:p w14:paraId="61A62353" w14:textId="0029951B" w:rsidR="00876C5A" w:rsidRDefault="00230FD3" w:rsidP="00230FD3">
      <w:pPr>
        <w:pStyle w:val="BTEMEASMCA"/>
        <w:numPr>
          <w:ilvl w:val="0"/>
          <w:numId w:val="40"/>
        </w:numPr>
        <w:ind w:left="567" w:hanging="567"/>
      </w:pPr>
      <w:r>
        <w:t xml:space="preserve">jei yra </w:t>
      </w:r>
      <w:r w:rsidR="006574D6">
        <w:t>d</w:t>
      </w:r>
      <w:r w:rsidR="009A74DC">
        <w:t>idelis baltųjų kraujo ląstelių skaičiaus sumažėjimas (agranulocitozė)</w:t>
      </w:r>
    </w:p>
    <w:p w14:paraId="4411C9A0" w14:textId="77777777" w:rsidR="009A74DC" w:rsidRDefault="009A74DC" w:rsidP="00634EE3">
      <w:pPr>
        <w:pStyle w:val="BTEMEASMCA"/>
      </w:pPr>
      <w:r>
        <w:lastRenderedPageBreak/>
        <w:t>Analgin Sopharma gali sukelti agranulocitozę – labai didelį baltųjų kraujo ląstelių, vadinamų granulocitais, kurie yra svarbūs kovojant su infekcijomis, skaičiaus sumažėjimą (žr. 4 skyrių). Turite nutraukti metamizolo vartojimą ir nedelsiant kreiptis į gydytoją, jeigu Jums pasireiškia toliau nurodytų simptomų, galinčių reikšti agranulocitozę: šaltkrėtis, karščiavimas, gerklės (ryklės) skausmas ir skausmingos gleivinės (drėgnų kūno paviršių), ypač burnos, nosies ir gerklės (ryklės) arba lytinių organų ar išangės sričių, opos. Gydytojas atliks laboratorinį tyrimą Jūsų kraujo ląstelių skaičiui patikrinti.</w:t>
      </w:r>
    </w:p>
    <w:p w14:paraId="7970DCA2" w14:textId="77777777" w:rsidR="009A74DC" w:rsidRDefault="009A74DC" w:rsidP="00634EE3">
      <w:pPr>
        <w:pStyle w:val="BTEMEASMCA"/>
      </w:pPr>
      <w:r>
        <w:t>Jei metamizolo vartojama nuo karščiavimo, kai kurie atsirandantys agranulocitozės simptomai gali praeiti nepastebėti. Simptomus taip pat gali būti sunku pastebėti, jei esate gydomi antibiotikais.</w:t>
      </w:r>
    </w:p>
    <w:p w14:paraId="79CD2710" w14:textId="77777777" w:rsidR="009A74DC" w:rsidRDefault="009A74DC" w:rsidP="00634EE3">
      <w:pPr>
        <w:pStyle w:val="BTEMEASMCA"/>
      </w:pPr>
      <w:r>
        <w:t>Agranulocitozė gali pasireikšti bet kuriuo Analgin Sopharma vartojimo momentu ir netgi netrukus po to, kai nustojote vartoti metamizolo.</w:t>
      </w:r>
    </w:p>
    <w:p w14:paraId="4E608686" w14:textId="77777777" w:rsidR="009A74DC" w:rsidRDefault="009A74DC" w:rsidP="00634EE3">
      <w:pPr>
        <w:pStyle w:val="BTEMEASMCA"/>
      </w:pPr>
      <w:r>
        <w:t>Agranulocitozė gali pasireikšti net jei anksčiau vartojant metamizolo komplikacijų nebuvo.</w:t>
      </w:r>
    </w:p>
    <w:p w14:paraId="68B451E6" w14:textId="77777777" w:rsidR="00B90E25" w:rsidRPr="001406F1" w:rsidRDefault="00B90E25" w:rsidP="003C614E">
      <w:pPr>
        <w:rPr>
          <w:snapToGrid w:val="0"/>
          <w:sz w:val="22"/>
          <w:szCs w:val="22"/>
        </w:rPr>
      </w:pPr>
    </w:p>
    <w:p w14:paraId="4BE8F865" w14:textId="77777777" w:rsidR="002A1D66" w:rsidRPr="0082224B" w:rsidRDefault="002A1D66" w:rsidP="00ED1D0B">
      <w:pPr>
        <w:pStyle w:val="Sraopastraipa"/>
        <w:numPr>
          <w:ilvl w:val="0"/>
          <w:numId w:val="35"/>
        </w:numPr>
        <w:ind w:left="567" w:hanging="567"/>
      </w:pPr>
      <w:r w:rsidRPr="00B90E25">
        <w:rPr>
          <w:sz w:val="22"/>
        </w:rPr>
        <w:t>jei sergama pasunkėjusia opalige, didelio kraujospūdžio liga, cukriniu diabetu, sistemine raudonąja vilklige, burnos gleivinės uždegimu, sunkiomis infekcinėmis arba uždegimo sukeltomis virškinimo trakto ligomis, yra inkstų ar kepenų veiklos sutrikimas;</w:t>
      </w:r>
    </w:p>
    <w:p w14:paraId="438E0D6A" w14:textId="77777777" w:rsidR="002A1D66" w:rsidRPr="0082224B" w:rsidRDefault="002A1D66" w:rsidP="00ED1D0B">
      <w:pPr>
        <w:pStyle w:val="Sraopastraipa"/>
        <w:numPr>
          <w:ilvl w:val="0"/>
          <w:numId w:val="35"/>
        </w:numPr>
        <w:ind w:left="567" w:hanging="567"/>
      </w:pPr>
      <w:r w:rsidRPr="00B90E25">
        <w:rPr>
          <w:sz w:val="22"/>
        </w:rPr>
        <w:t>jei yra mažas kraujospūdis arba kraujotaka nestabili, pvz., ūminis kraujotakos nepakankamumas, kurį sukėlė miokardo infarktas, sunki trauma, ankstyva šoko fazė;</w:t>
      </w:r>
    </w:p>
    <w:p w14:paraId="3BA5635D" w14:textId="77777777" w:rsidR="002A1D66" w:rsidRPr="0082224B" w:rsidRDefault="002A1D66" w:rsidP="00ED1D0B">
      <w:pPr>
        <w:pStyle w:val="Sraopastraipa"/>
        <w:numPr>
          <w:ilvl w:val="0"/>
          <w:numId w:val="35"/>
        </w:numPr>
        <w:ind w:left="567" w:hanging="567"/>
      </w:pPr>
      <w:r w:rsidRPr="00B90E25">
        <w:rPr>
          <w:sz w:val="22"/>
        </w:rPr>
        <w:t xml:space="preserve">jei piktnaudžiaujama alkoholiniais gėrimais arba pacientas yra rūkalius. </w:t>
      </w:r>
    </w:p>
    <w:p w14:paraId="52E1C80B" w14:textId="77777777" w:rsidR="002A1D66" w:rsidRPr="0082224B" w:rsidRDefault="002A1D66" w:rsidP="003C614E"/>
    <w:p w14:paraId="3AC41EFF" w14:textId="77777777" w:rsidR="002A1D66" w:rsidRPr="0082224B" w:rsidRDefault="002A1D66" w:rsidP="003C614E">
      <w:r w:rsidRPr="003C614E">
        <w:rPr>
          <w:sz w:val="22"/>
        </w:rPr>
        <w:t xml:space="preserve">Vartojant Analgin Sopharma gali pasireikšti padidėjusi odos reakcija į šviesą. </w:t>
      </w:r>
    </w:p>
    <w:p w14:paraId="10E5DDAD" w14:textId="77777777" w:rsidR="002A1D66" w:rsidRPr="003C614E" w:rsidRDefault="002A1D66" w:rsidP="003C614E">
      <w:r w:rsidRPr="003C614E">
        <w:rPr>
          <w:sz w:val="22"/>
        </w:rPr>
        <w:t xml:space="preserve">Vartojant Analgin Sopharma gali parausti šlapimas. </w:t>
      </w:r>
      <w:r w:rsidRPr="003C614E">
        <w:rPr>
          <w:kern w:val="16"/>
          <w:sz w:val="22"/>
        </w:rPr>
        <w:t>Šis pokytis poveikio sveikatos būklei nesukelia.</w:t>
      </w:r>
    </w:p>
    <w:p w14:paraId="5D7602CC" w14:textId="77777777" w:rsidR="002A1D66" w:rsidRPr="001406F1" w:rsidRDefault="002A1D66" w:rsidP="003C614E">
      <w:pPr>
        <w:rPr>
          <w:sz w:val="22"/>
          <w:szCs w:val="22"/>
        </w:rPr>
      </w:pPr>
      <w:r w:rsidRPr="001406F1">
        <w:rPr>
          <w:sz w:val="22"/>
          <w:szCs w:val="22"/>
        </w:rPr>
        <w:t>Jei planuojama operacija, apie metamizolo vartojimą būtina pasakyti chirurgui.</w:t>
      </w:r>
    </w:p>
    <w:p w14:paraId="13563ADB" w14:textId="77777777" w:rsidR="002A1D66" w:rsidRPr="001406F1" w:rsidRDefault="002A1D66" w:rsidP="003C614E">
      <w:pPr>
        <w:rPr>
          <w:sz w:val="22"/>
          <w:szCs w:val="22"/>
          <w:u w:val="single"/>
        </w:rPr>
      </w:pPr>
    </w:p>
    <w:p w14:paraId="6E1CA8DD" w14:textId="77777777" w:rsidR="002A1D66" w:rsidRPr="001406F1" w:rsidRDefault="002A1D66" w:rsidP="001406F1">
      <w:pPr>
        <w:rPr>
          <w:sz w:val="22"/>
          <w:szCs w:val="22"/>
        </w:rPr>
      </w:pPr>
      <w:r w:rsidRPr="001406F1">
        <w:rPr>
          <w:sz w:val="22"/>
          <w:szCs w:val="22"/>
        </w:rPr>
        <w:t>Jei Analgin Sopharma vartojimo metu atsirado padidėjusio jautrumo požymių, pvz., odos išbėrimas, dilgėlinė, veido ar ryklės patinimas, švokštimas, būtina nedelsiant nutraukti vaisto vartojimą ir kreiptis į gydytoją.</w:t>
      </w:r>
    </w:p>
    <w:p w14:paraId="4C18C709" w14:textId="77777777" w:rsidR="002A1D66" w:rsidRPr="001406F1" w:rsidRDefault="002A1D66" w:rsidP="001406F1">
      <w:pPr>
        <w:rPr>
          <w:sz w:val="22"/>
          <w:szCs w:val="22"/>
        </w:rPr>
      </w:pPr>
    </w:p>
    <w:p w14:paraId="73823178" w14:textId="77777777" w:rsidR="00AE41A2" w:rsidRDefault="002A1D66" w:rsidP="001406F1">
      <w:pPr>
        <w:rPr>
          <w:sz w:val="22"/>
          <w:szCs w:val="22"/>
        </w:rPr>
      </w:pPr>
      <w:r w:rsidRPr="001406F1">
        <w:rPr>
          <w:sz w:val="22"/>
          <w:szCs w:val="22"/>
        </w:rPr>
        <w:t>Jei vartojant Analgin Sopharma atsiranda simptomų, panašių į gripo arba anginos, be aiškios priežasties pradeda kraujuoti dantenos arba atsiranda kraujosruvų, būtina nedelsiant nutraukti vaisto vartojimą ir kreiptis į gydytoją, nes tokie simptomai gali būti sunkaus kraujo sutrikimo, vadinamos agranulocitozės, požymis</w:t>
      </w:r>
      <w:r w:rsidR="00E53F85">
        <w:rPr>
          <w:sz w:val="22"/>
          <w:szCs w:val="22"/>
        </w:rPr>
        <w:t xml:space="preserve">. </w:t>
      </w:r>
    </w:p>
    <w:p w14:paraId="6D9875DD" w14:textId="4C73048B" w:rsidR="002A1D66" w:rsidRPr="001406F1" w:rsidRDefault="002A1D66" w:rsidP="001406F1">
      <w:pPr>
        <w:rPr>
          <w:sz w:val="22"/>
          <w:szCs w:val="22"/>
        </w:rPr>
      </w:pPr>
      <w:r w:rsidRPr="001406F1">
        <w:rPr>
          <w:sz w:val="22"/>
          <w:szCs w:val="22"/>
        </w:rPr>
        <w:t>Gydymo Analgin Sopharma metu gali pradėti kraujuoti dantenos ir pablogėti žaizdų gijimas. Burnos higienos metu būtina laikytis atsargumo (dantų šepetėlį, siūlus ir dantų krapštukus reikia naudoti atsargiai).</w:t>
      </w:r>
    </w:p>
    <w:p w14:paraId="66E012F9" w14:textId="3D44C0F6" w:rsidR="007123EA" w:rsidRPr="0082224B" w:rsidRDefault="007123EA" w:rsidP="003C614E"/>
    <w:p w14:paraId="11AB636E" w14:textId="78E17678" w:rsidR="007123EA" w:rsidRPr="003C614E" w:rsidRDefault="007123EA" w:rsidP="003C614E">
      <w:r w:rsidRPr="003C614E">
        <w:rPr>
          <w:sz w:val="22"/>
        </w:rPr>
        <w:t>Kepenų sutrikimai</w:t>
      </w:r>
    </w:p>
    <w:p w14:paraId="073C854C" w14:textId="77777777" w:rsidR="002A1D66" w:rsidRPr="0082224B" w:rsidRDefault="002A1D66" w:rsidP="003C614E">
      <w:r w:rsidRPr="003C614E">
        <w:rPr>
          <w:sz w:val="22"/>
        </w:rPr>
        <w:t xml:space="preserve">Gauta pranešimų apie kepenų uždegimą, nustatytą </w:t>
      </w:r>
      <w:proofErr w:type="spellStart"/>
      <w:r w:rsidRPr="003C614E">
        <w:rPr>
          <w:sz w:val="22"/>
        </w:rPr>
        <w:t>metamizolą</w:t>
      </w:r>
      <w:proofErr w:type="spellEnd"/>
      <w:r w:rsidRPr="003C614E">
        <w:rPr>
          <w:sz w:val="22"/>
        </w:rPr>
        <w:t xml:space="preserve"> vartojantiems pacientams, kuriems jo simptomai pasireiškė per kelias dienas arba kelis mėnesius nuo gydymo pradžios.</w:t>
      </w:r>
    </w:p>
    <w:p w14:paraId="37D267DC" w14:textId="77777777" w:rsidR="002A1D66" w:rsidRPr="0082224B" w:rsidRDefault="002A1D66" w:rsidP="003C614E">
      <w:r w:rsidRPr="003C614E">
        <w:rPr>
          <w:sz w:val="22"/>
        </w:rPr>
        <w:t>Nebevartokite Analgin Sopharma ir kreipkitės į gydytoją, jeigu Jums pasireikštų kepenų sutrikimų, pvz., pykinimas arba vėmimas, karščiavimas, nuovargis, apetito netekimas, patamsėjęs šlapimas, neįprastai šviesios (baltos) spalvos išmatos, odos arba akių baltymų pageltimas, niežėjimas, išbėrimas arba skausmas viršutinėje pilvo dalyje. Jūsų gydytojas patikrins, ar nesutrikusi Jūsų kepenų veikla.</w:t>
      </w:r>
    </w:p>
    <w:p w14:paraId="6D6F08E4" w14:textId="163A0E8D" w:rsidR="002B713E" w:rsidRPr="0082224B" w:rsidRDefault="002A1D66" w:rsidP="003C614E">
      <w:r w:rsidRPr="003C614E">
        <w:rPr>
          <w:sz w:val="22"/>
        </w:rPr>
        <w:t>Jums negalima vartoti Analgin Sopharma, jeigu Jūs anksčiau vartojote vaistą, kurio sudėtyje yra metamizolo, ir Jums pasireiškė kepenų sutrikimų.</w:t>
      </w:r>
    </w:p>
    <w:p w14:paraId="7B5684BF" w14:textId="77777777" w:rsidR="002B713E" w:rsidRPr="001406F1" w:rsidRDefault="002B713E" w:rsidP="001406F1">
      <w:pPr>
        <w:rPr>
          <w:sz w:val="22"/>
          <w:szCs w:val="22"/>
        </w:rPr>
      </w:pPr>
    </w:p>
    <w:p w14:paraId="1DE7460E" w14:textId="137B4670" w:rsidR="002A1D66" w:rsidRPr="001406F1" w:rsidRDefault="002B713E" w:rsidP="001406F1">
      <w:pPr>
        <w:rPr>
          <w:sz w:val="22"/>
          <w:szCs w:val="22"/>
        </w:rPr>
      </w:pPr>
      <w:r w:rsidRPr="001406F1">
        <w:rPr>
          <w:i/>
          <w:iCs/>
          <w:sz w:val="22"/>
          <w:szCs w:val="22"/>
        </w:rPr>
        <w:t>Sunkios odos reakcijos</w:t>
      </w:r>
      <w:r w:rsidR="002A1D66" w:rsidRPr="001406F1">
        <w:rPr>
          <w:i/>
          <w:iCs/>
          <w:sz w:val="22"/>
          <w:szCs w:val="22"/>
        </w:rPr>
        <w:t xml:space="preserve"> </w:t>
      </w:r>
    </w:p>
    <w:p w14:paraId="7BD930F9" w14:textId="4B510EB8" w:rsidR="002B713E" w:rsidRPr="001406F1" w:rsidRDefault="002B713E" w:rsidP="001406F1">
      <w:pPr>
        <w:rPr>
          <w:sz w:val="22"/>
          <w:szCs w:val="22"/>
        </w:rPr>
      </w:pPr>
      <w:r w:rsidRPr="001406F1">
        <w:rPr>
          <w:sz w:val="22"/>
          <w:szCs w:val="22"/>
        </w:rPr>
        <w:t xml:space="preserve">Gydant metamizolu gauta pranešimų apie sunkias odos reakcijas, įskaitant Stivenso-Džonsono sindromą, toksinę epidermio nekrolizę, reakciją į vaistą su eozinofilija ir sisteminiais simptomais (angl. </w:t>
      </w:r>
      <w:proofErr w:type="spellStart"/>
      <w:r w:rsidRPr="001406F1">
        <w:rPr>
          <w:i/>
          <w:iCs/>
          <w:sz w:val="22"/>
          <w:szCs w:val="22"/>
        </w:rPr>
        <w:t>drug</w:t>
      </w:r>
      <w:proofErr w:type="spellEnd"/>
      <w:r w:rsidRPr="001406F1">
        <w:rPr>
          <w:i/>
          <w:iCs/>
          <w:sz w:val="22"/>
          <w:szCs w:val="22"/>
        </w:rPr>
        <w:t xml:space="preserve"> </w:t>
      </w:r>
      <w:proofErr w:type="spellStart"/>
      <w:r w:rsidRPr="001406F1">
        <w:rPr>
          <w:i/>
          <w:iCs/>
          <w:sz w:val="22"/>
          <w:szCs w:val="22"/>
        </w:rPr>
        <w:t>reaction</w:t>
      </w:r>
      <w:proofErr w:type="spellEnd"/>
      <w:r w:rsidRPr="001406F1">
        <w:rPr>
          <w:i/>
          <w:iCs/>
          <w:sz w:val="22"/>
          <w:szCs w:val="22"/>
        </w:rPr>
        <w:t xml:space="preserve"> </w:t>
      </w:r>
      <w:proofErr w:type="spellStart"/>
      <w:r w:rsidRPr="001406F1">
        <w:rPr>
          <w:i/>
          <w:iCs/>
          <w:sz w:val="22"/>
          <w:szCs w:val="22"/>
        </w:rPr>
        <w:t>with</w:t>
      </w:r>
      <w:proofErr w:type="spellEnd"/>
      <w:r w:rsidRPr="001406F1">
        <w:rPr>
          <w:i/>
          <w:iCs/>
          <w:sz w:val="22"/>
          <w:szCs w:val="22"/>
        </w:rPr>
        <w:t xml:space="preserve"> </w:t>
      </w:r>
      <w:proofErr w:type="spellStart"/>
      <w:r w:rsidRPr="001406F1">
        <w:rPr>
          <w:i/>
          <w:iCs/>
          <w:sz w:val="22"/>
          <w:szCs w:val="22"/>
        </w:rPr>
        <w:t>eosinophilia</w:t>
      </w:r>
      <w:proofErr w:type="spellEnd"/>
      <w:r w:rsidRPr="001406F1">
        <w:rPr>
          <w:i/>
          <w:iCs/>
          <w:sz w:val="22"/>
          <w:szCs w:val="22"/>
        </w:rPr>
        <w:t xml:space="preserve"> </w:t>
      </w:r>
      <w:proofErr w:type="spellStart"/>
      <w:r w:rsidRPr="001406F1">
        <w:rPr>
          <w:i/>
          <w:iCs/>
          <w:sz w:val="22"/>
          <w:szCs w:val="22"/>
        </w:rPr>
        <w:t>and</w:t>
      </w:r>
      <w:proofErr w:type="spellEnd"/>
      <w:r w:rsidRPr="001406F1">
        <w:rPr>
          <w:i/>
          <w:iCs/>
          <w:sz w:val="22"/>
          <w:szCs w:val="22"/>
        </w:rPr>
        <w:t xml:space="preserve"> </w:t>
      </w:r>
      <w:proofErr w:type="spellStart"/>
      <w:r w:rsidRPr="001406F1">
        <w:rPr>
          <w:i/>
          <w:iCs/>
          <w:sz w:val="22"/>
          <w:szCs w:val="22"/>
        </w:rPr>
        <w:t>systemic</w:t>
      </w:r>
      <w:proofErr w:type="spellEnd"/>
      <w:r w:rsidRPr="001406F1">
        <w:rPr>
          <w:i/>
          <w:iCs/>
          <w:sz w:val="22"/>
          <w:szCs w:val="22"/>
        </w:rPr>
        <w:t xml:space="preserve"> </w:t>
      </w:r>
      <w:proofErr w:type="spellStart"/>
      <w:r w:rsidRPr="001406F1">
        <w:rPr>
          <w:i/>
          <w:iCs/>
          <w:sz w:val="22"/>
          <w:szCs w:val="22"/>
        </w:rPr>
        <w:t>symptoms</w:t>
      </w:r>
      <w:proofErr w:type="spellEnd"/>
      <w:r w:rsidRPr="001406F1">
        <w:rPr>
          <w:i/>
          <w:iCs/>
          <w:sz w:val="22"/>
          <w:szCs w:val="22"/>
        </w:rPr>
        <w:t>;</w:t>
      </w:r>
      <w:r w:rsidRPr="001406F1">
        <w:rPr>
          <w:sz w:val="22"/>
          <w:szCs w:val="22"/>
        </w:rPr>
        <w:t xml:space="preserve"> DRESS). Pastebėję bent vieną iš 4 skyriuje aprašytų simptomų, susijusių su šiomis sunkiomis odos reakcijomis, nebevartokite metamizolo ir nedelsdami kreipkitės medicininės pagalbos.</w:t>
      </w:r>
    </w:p>
    <w:p w14:paraId="0726DC48" w14:textId="77777777" w:rsidR="002B713E" w:rsidRPr="001406F1" w:rsidRDefault="002B713E" w:rsidP="001406F1">
      <w:pPr>
        <w:rPr>
          <w:sz w:val="22"/>
          <w:szCs w:val="22"/>
        </w:rPr>
      </w:pPr>
    </w:p>
    <w:p w14:paraId="7B49FC25" w14:textId="0B5495E4" w:rsidR="002B713E" w:rsidRPr="001406F1" w:rsidRDefault="002B713E" w:rsidP="001406F1">
      <w:pPr>
        <w:rPr>
          <w:sz w:val="22"/>
          <w:szCs w:val="22"/>
        </w:rPr>
      </w:pPr>
      <w:r w:rsidRPr="001406F1">
        <w:rPr>
          <w:sz w:val="22"/>
          <w:szCs w:val="22"/>
        </w:rPr>
        <w:t>Jeigu Jums kada nors yra pasireiškusi kokia nors sunki odos reakcija, gydymo Analgin Sopharma atnaujinti nebegalite (žr. 4 skyrių).</w:t>
      </w:r>
    </w:p>
    <w:p w14:paraId="5B351E48" w14:textId="77777777" w:rsidR="006A086F" w:rsidRPr="003C614E" w:rsidRDefault="006A086F" w:rsidP="003C614E">
      <w:pPr>
        <w:rPr>
          <w:b/>
        </w:rPr>
      </w:pPr>
    </w:p>
    <w:p w14:paraId="1FD788B9" w14:textId="53C9DE28" w:rsidR="006A086F" w:rsidRPr="0082224B" w:rsidRDefault="006A086F" w:rsidP="003C614E">
      <w:r w:rsidRPr="003C614E">
        <w:rPr>
          <w:b/>
          <w:sz w:val="22"/>
        </w:rPr>
        <w:t>Kiti vaistai ir Analgin Sopharma</w:t>
      </w:r>
    </w:p>
    <w:p w14:paraId="2AA4EF82" w14:textId="56836A88" w:rsidR="006A086F" w:rsidRPr="0082224B" w:rsidRDefault="006A086F" w:rsidP="003C614E">
      <w:pPr>
        <w:pStyle w:val="Sraopastraipa"/>
        <w:numPr>
          <w:ilvl w:val="0"/>
          <w:numId w:val="34"/>
        </w:numPr>
        <w:ind w:left="567" w:hanging="567"/>
      </w:pPr>
      <w:r w:rsidRPr="003C614E">
        <w:rPr>
          <w:sz w:val="22"/>
        </w:rPr>
        <w:lastRenderedPageBreak/>
        <w:t>Jeigu vartojate ar neseniai vartojote kitų vaistų arba dėl to nesate tikri, apie tai pasakykite gydytojui.</w:t>
      </w:r>
    </w:p>
    <w:p w14:paraId="2FE8B85F" w14:textId="77777777" w:rsidR="000717F4" w:rsidRPr="00A60F9E" w:rsidRDefault="00BE5D44" w:rsidP="003C614E">
      <w:pPr>
        <w:pStyle w:val="Sraopastraipa"/>
        <w:numPr>
          <w:ilvl w:val="0"/>
          <w:numId w:val="33"/>
        </w:numPr>
        <w:ind w:left="567" w:hanging="567"/>
        <w:rPr>
          <w:sz w:val="22"/>
          <w:szCs w:val="22"/>
        </w:rPr>
      </w:pPr>
      <w:r w:rsidRPr="00A60F9E">
        <w:rPr>
          <w:sz w:val="22"/>
          <w:szCs w:val="22"/>
        </w:rPr>
        <w:t xml:space="preserve">Metamizolo vartojant kartu su </w:t>
      </w:r>
      <w:r w:rsidRPr="00A60F9E">
        <w:rPr>
          <w:iCs/>
          <w:sz w:val="22"/>
          <w:szCs w:val="22"/>
        </w:rPr>
        <w:t xml:space="preserve">kitokiu </w:t>
      </w:r>
      <w:r w:rsidRPr="00A60F9E">
        <w:rPr>
          <w:sz w:val="22"/>
          <w:szCs w:val="22"/>
        </w:rPr>
        <w:t>NVNU, didėja nepageidaujamo bei toksinio abiejų vaistų poveikio rizika.</w:t>
      </w:r>
    </w:p>
    <w:p w14:paraId="0056578E" w14:textId="77777777" w:rsidR="000717F4" w:rsidRPr="0082224B" w:rsidRDefault="00BE5D44" w:rsidP="003C614E">
      <w:pPr>
        <w:pStyle w:val="Sraopastraipa"/>
        <w:numPr>
          <w:ilvl w:val="0"/>
          <w:numId w:val="33"/>
        </w:numPr>
        <w:ind w:left="567" w:hanging="567"/>
      </w:pPr>
      <w:proofErr w:type="spellStart"/>
      <w:r w:rsidRPr="003C614E">
        <w:rPr>
          <w:sz w:val="22"/>
        </w:rPr>
        <w:t>Tricikliai</w:t>
      </w:r>
      <w:proofErr w:type="spellEnd"/>
      <w:r w:rsidRPr="003C614E">
        <w:rPr>
          <w:sz w:val="22"/>
        </w:rPr>
        <w:t xml:space="preserve"> antidepresantai, geriamieji kontraceptikai ir </w:t>
      </w:r>
      <w:proofErr w:type="spellStart"/>
      <w:r w:rsidRPr="003C614E">
        <w:rPr>
          <w:sz w:val="22"/>
        </w:rPr>
        <w:t>alopurinolis</w:t>
      </w:r>
      <w:proofErr w:type="spellEnd"/>
      <w:r w:rsidRPr="003C614E">
        <w:rPr>
          <w:sz w:val="22"/>
        </w:rPr>
        <w:t xml:space="preserve"> gali slopinti </w:t>
      </w:r>
      <w:proofErr w:type="spellStart"/>
      <w:r w:rsidRPr="003C614E">
        <w:rPr>
          <w:sz w:val="22"/>
        </w:rPr>
        <w:t>metamizolo</w:t>
      </w:r>
      <w:proofErr w:type="spellEnd"/>
      <w:r w:rsidRPr="003C614E">
        <w:rPr>
          <w:sz w:val="22"/>
        </w:rPr>
        <w:t xml:space="preserve"> skaidymą kepenyse ir didinti toksinio poveikio riziką.</w:t>
      </w:r>
    </w:p>
    <w:p w14:paraId="3610B1FC" w14:textId="77777777" w:rsidR="000717F4" w:rsidRPr="0082224B" w:rsidRDefault="00BE5D44" w:rsidP="003C614E">
      <w:pPr>
        <w:pStyle w:val="Sraopastraipa"/>
        <w:numPr>
          <w:ilvl w:val="0"/>
          <w:numId w:val="33"/>
        </w:numPr>
        <w:ind w:left="567" w:hanging="567"/>
      </w:pPr>
      <w:r w:rsidRPr="003C614E">
        <w:rPr>
          <w:sz w:val="22"/>
        </w:rPr>
        <w:t xml:space="preserve">Barbitūratai ir </w:t>
      </w:r>
      <w:proofErr w:type="spellStart"/>
      <w:r w:rsidRPr="003C614E">
        <w:rPr>
          <w:sz w:val="22"/>
        </w:rPr>
        <w:t>fenilbutazonas</w:t>
      </w:r>
      <w:proofErr w:type="spellEnd"/>
      <w:r w:rsidRPr="003C614E">
        <w:rPr>
          <w:sz w:val="22"/>
        </w:rPr>
        <w:t xml:space="preserve"> didina </w:t>
      </w:r>
      <w:proofErr w:type="spellStart"/>
      <w:r w:rsidRPr="003C614E">
        <w:rPr>
          <w:sz w:val="22"/>
        </w:rPr>
        <w:t>metamizolo</w:t>
      </w:r>
      <w:proofErr w:type="spellEnd"/>
      <w:r w:rsidRPr="003C614E">
        <w:rPr>
          <w:sz w:val="22"/>
        </w:rPr>
        <w:t xml:space="preserve"> metabolizmą kepenyse, todėl mažėja jo koncentracija serume bei veiksmingumas.</w:t>
      </w:r>
    </w:p>
    <w:p w14:paraId="6EBA73BE" w14:textId="77777777" w:rsidR="000717F4" w:rsidRPr="0082224B" w:rsidRDefault="00BE5D44" w:rsidP="003C614E">
      <w:pPr>
        <w:pStyle w:val="Sraopastraipa"/>
        <w:numPr>
          <w:ilvl w:val="0"/>
          <w:numId w:val="33"/>
        </w:numPr>
        <w:ind w:left="567" w:hanging="567"/>
      </w:pPr>
      <w:r w:rsidRPr="003C614E">
        <w:rPr>
          <w:sz w:val="22"/>
        </w:rPr>
        <w:t xml:space="preserve">Metamizolas didina netiesioginio poveikio antikoaguliantų (vitamino K antagonistų, pvz. varfarino), antinksčių žievės hormonų, geriamųjų vaistų nuo cukrinio diabeto, </w:t>
      </w:r>
      <w:proofErr w:type="spellStart"/>
      <w:r w:rsidRPr="003C614E">
        <w:rPr>
          <w:sz w:val="22"/>
        </w:rPr>
        <w:t>ibuprofeno</w:t>
      </w:r>
      <w:proofErr w:type="spellEnd"/>
      <w:r w:rsidRPr="003C614E">
        <w:rPr>
          <w:sz w:val="22"/>
        </w:rPr>
        <w:t xml:space="preserve"> ir </w:t>
      </w:r>
      <w:proofErr w:type="spellStart"/>
      <w:r w:rsidRPr="003C614E">
        <w:rPr>
          <w:sz w:val="22"/>
        </w:rPr>
        <w:t>indometacino</w:t>
      </w:r>
      <w:proofErr w:type="spellEnd"/>
      <w:r w:rsidRPr="003C614E">
        <w:rPr>
          <w:sz w:val="22"/>
        </w:rPr>
        <w:t xml:space="preserve"> veiksmingumą, nes suardo jų ir kraujo serumo baltymų ryšį.</w:t>
      </w:r>
    </w:p>
    <w:p w14:paraId="28DE83A6" w14:textId="77777777" w:rsidR="000717F4" w:rsidRPr="0082224B" w:rsidRDefault="00BE5D44" w:rsidP="003C614E">
      <w:pPr>
        <w:pStyle w:val="Sraopastraipa"/>
        <w:numPr>
          <w:ilvl w:val="0"/>
          <w:numId w:val="33"/>
        </w:numPr>
        <w:ind w:left="567" w:hanging="567"/>
      </w:pPr>
      <w:proofErr w:type="spellStart"/>
      <w:r w:rsidRPr="003C614E">
        <w:rPr>
          <w:sz w:val="22"/>
        </w:rPr>
        <w:t>Metamizolą</w:t>
      </w:r>
      <w:proofErr w:type="spellEnd"/>
      <w:r w:rsidRPr="003C614E">
        <w:rPr>
          <w:sz w:val="22"/>
        </w:rPr>
        <w:t xml:space="preserve"> vartojant kartu su antikoaguliantais didėja kraujavimo, ypač iš virškinimo trakto, rizika.</w:t>
      </w:r>
    </w:p>
    <w:p w14:paraId="623677A7" w14:textId="77777777" w:rsidR="000717F4" w:rsidRPr="0082224B" w:rsidRDefault="00BE5D44" w:rsidP="003C614E">
      <w:pPr>
        <w:pStyle w:val="Sraopastraipa"/>
        <w:numPr>
          <w:ilvl w:val="0"/>
          <w:numId w:val="33"/>
        </w:numPr>
        <w:ind w:left="567" w:hanging="567"/>
      </w:pPr>
      <w:r w:rsidRPr="003C614E">
        <w:rPr>
          <w:sz w:val="22"/>
        </w:rPr>
        <w:t>Metamizolas mažina ciklosporino koncentraciją serume.</w:t>
      </w:r>
    </w:p>
    <w:p w14:paraId="2E171A9E" w14:textId="77777777" w:rsidR="000717F4" w:rsidRPr="0082224B" w:rsidRDefault="00BE5D44" w:rsidP="003C614E">
      <w:pPr>
        <w:pStyle w:val="Sraopastraipa"/>
        <w:numPr>
          <w:ilvl w:val="0"/>
          <w:numId w:val="33"/>
        </w:numPr>
        <w:ind w:left="567" w:hanging="567"/>
      </w:pPr>
      <w:r w:rsidRPr="003C614E">
        <w:rPr>
          <w:sz w:val="22"/>
        </w:rPr>
        <w:t xml:space="preserve">Kartu su </w:t>
      </w:r>
      <w:proofErr w:type="spellStart"/>
      <w:r w:rsidRPr="003C614E">
        <w:rPr>
          <w:sz w:val="22"/>
        </w:rPr>
        <w:t>metamizolu</w:t>
      </w:r>
      <w:proofErr w:type="spellEnd"/>
      <w:r w:rsidRPr="003C614E">
        <w:rPr>
          <w:sz w:val="22"/>
        </w:rPr>
        <w:t xml:space="preserve"> vartojami </w:t>
      </w:r>
      <w:proofErr w:type="spellStart"/>
      <w:r w:rsidRPr="003C614E">
        <w:rPr>
          <w:sz w:val="22"/>
        </w:rPr>
        <w:t>tiamazolas</w:t>
      </w:r>
      <w:proofErr w:type="spellEnd"/>
      <w:r w:rsidRPr="003C614E">
        <w:rPr>
          <w:sz w:val="22"/>
        </w:rPr>
        <w:t xml:space="preserve"> ir </w:t>
      </w:r>
      <w:proofErr w:type="spellStart"/>
      <w:r w:rsidRPr="003C614E">
        <w:rPr>
          <w:sz w:val="22"/>
        </w:rPr>
        <w:t>sarkolizinas</w:t>
      </w:r>
      <w:proofErr w:type="spellEnd"/>
      <w:r w:rsidRPr="003C614E">
        <w:rPr>
          <w:sz w:val="22"/>
        </w:rPr>
        <w:t xml:space="preserve"> didina </w:t>
      </w:r>
      <w:proofErr w:type="spellStart"/>
      <w:r w:rsidRPr="003C614E">
        <w:rPr>
          <w:sz w:val="22"/>
        </w:rPr>
        <w:t>leukopenijos</w:t>
      </w:r>
      <w:proofErr w:type="spellEnd"/>
      <w:r w:rsidRPr="003C614E">
        <w:rPr>
          <w:sz w:val="22"/>
        </w:rPr>
        <w:t xml:space="preserve"> atsiradimo riziką.</w:t>
      </w:r>
    </w:p>
    <w:p w14:paraId="562518C2" w14:textId="77777777" w:rsidR="000717F4" w:rsidRPr="0082224B" w:rsidRDefault="00BE5D44" w:rsidP="003C614E">
      <w:pPr>
        <w:pStyle w:val="Sraopastraipa"/>
        <w:numPr>
          <w:ilvl w:val="0"/>
          <w:numId w:val="33"/>
        </w:numPr>
        <w:ind w:left="567" w:hanging="567"/>
      </w:pPr>
      <w:r w:rsidRPr="003C614E">
        <w:rPr>
          <w:sz w:val="22"/>
        </w:rPr>
        <w:t xml:space="preserve">Vartojant </w:t>
      </w:r>
      <w:proofErr w:type="spellStart"/>
      <w:r w:rsidRPr="003C614E">
        <w:rPr>
          <w:sz w:val="22"/>
        </w:rPr>
        <w:t>metamizolą</w:t>
      </w:r>
      <w:proofErr w:type="spellEnd"/>
      <w:r w:rsidRPr="003C614E">
        <w:rPr>
          <w:sz w:val="22"/>
        </w:rPr>
        <w:t xml:space="preserve"> kartu su </w:t>
      </w:r>
      <w:proofErr w:type="spellStart"/>
      <w:r w:rsidRPr="003C614E">
        <w:rPr>
          <w:sz w:val="22"/>
        </w:rPr>
        <w:t>chlorpromazinu</w:t>
      </w:r>
      <w:proofErr w:type="spellEnd"/>
      <w:r w:rsidRPr="003C614E">
        <w:rPr>
          <w:sz w:val="22"/>
        </w:rPr>
        <w:t xml:space="preserve"> gali pasireikšti sunki hipotermija (žema kūno temperatūra).</w:t>
      </w:r>
    </w:p>
    <w:p w14:paraId="32DE0D76" w14:textId="77777777" w:rsidR="000717F4" w:rsidRPr="0082224B" w:rsidRDefault="00BE5D44" w:rsidP="003C614E">
      <w:pPr>
        <w:pStyle w:val="Sraopastraipa"/>
        <w:numPr>
          <w:ilvl w:val="0"/>
          <w:numId w:val="33"/>
        </w:numPr>
        <w:ind w:left="567" w:hanging="567"/>
      </w:pPr>
      <w:r w:rsidRPr="003C614E">
        <w:rPr>
          <w:sz w:val="22"/>
        </w:rPr>
        <w:t xml:space="preserve">Kartu vartojami </w:t>
      </w:r>
      <w:proofErr w:type="spellStart"/>
      <w:r w:rsidRPr="003C614E">
        <w:rPr>
          <w:sz w:val="22"/>
        </w:rPr>
        <w:t>trankviliantai</w:t>
      </w:r>
      <w:proofErr w:type="spellEnd"/>
      <w:r w:rsidRPr="003C614E">
        <w:rPr>
          <w:sz w:val="22"/>
        </w:rPr>
        <w:t xml:space="preserve"> didina </w:t>
      </w:r>
      <w:proofErr w:type="spellStart"/>
      <w:r w:rsidRPr="003C614E">
        <w:rPr>
          <w:sz w:val="22"/>
        </w:rPr>
        <w:t>metamizolo</w:t>
      </w:r>
      <w:proofErr w:type="spellEnd"/>
      <w:r w:rsidRPr="003C614E">
        <w:rPr>
          <w:sz w:val="22"/>
        </w:rPr>
        <w:t xml:space="preserve"> skausmą malšinantį poveikį.</w:t>
      </w:r>
    </w:p>
    <w:p w14:paraId="2DAF8CDE" w14:textId="77777777" w:rsidR="000717F4" w:rsidRPr="0082224B" w:rsidRDefault="00BE5D44" w:rsidP="003C614E">
      <w:pPr>
        <w:pStyle w:val="Sraopastraipa"/>
        <w:numPr>
          <w:ilvl w:val="0"/>
          <w:numId w:val="33"/>
        </w:numPr>
        <w:ind w:left="567" w:hanging="567"/>
      </w:pPr>
      <w:r w:rsidRPr="003C614E">
        <w:rPr>
          <w:sz w:val="22"/>
        </w:rPr>
        <w:t>Vartojant metamizolo ir geriant daug alkoholinių gėrimų, didėja nepageidaujamo poveikio virškinimo traktui pavojus.</w:t>
      </w:r>
    </w:p>
    <w:p w14:paraId="53AFE40A" w14:textId="77777777" w:rsidR="000717F4" w:rsidRPr="0082224B" w:rsidRDefault="00BE5D44" w:rsidP="003C614E">
      <w:pPr>
        <w:pStyle w:val="Sraopastraipa"/>
        <w:numPr>
          <w:ilvl w:val="0"/>
          <w:numId w:val="33"/>
        </w:numPr>
        <w:ind w:left="567" w:hanging="567"/>
      </w:pPr>
      <w:r w:rsidRPr="003C614E">
        <w:rPr>
          <w:sz w:val="22"/>
        </w:rPr>
        <w:t xml:space="preserve">Nustatyta, kad NVNU didina </w:t>
      </w:r>
      <w:proofErr w:type="spellStart"/>
      <w:r w:rsidRPr="003C614E">
        <w:rPr>
          <w:sz w:val="22"/>
        </w:rPr>
        <w:t>metotreksato</w:t>
      </w:r>
      <w:proofErr w:type="spellEnd"/>
      <w:r w:rsidRPr="003C614E">
        <w:rPr>
          <w:sz w:val="22"/>
        </w:rPr>
        <w:t xml:space="preserve"> ir ličio vaistų koncentraciją kraujo serume. Be to, galima NVNU sąveika su aukštam kraujospūdžiui mažinti vartojamais vaistais (beta adrenoblokatoriais, kalcio kanalų blokatoriais, AKF inhibitoriais), diuretikais (šlapimą varančiais vaistais). Nežinoma, ar metamizolo ir šių vaistų sąveika pasireiškia.</w:t>
      </w:r>
    </w:p>
    <w:p w14:paraId="2FA30FFD" w14:textId="77777777" w:rsidR="000717F4" w:rsidRPr="0082224B" w:rsidRDefault="00BE5D44" w:rsidP="003C614E">
      <w:pPr>
        <w:pStyle w:val="Sraopastraipa"/>
        <w:numPr>
          <w:ilvl w:val="0"/>
          <w:numId w:val="33"/>
        </w:numPr>
        <w:ind w:left="567" w:hanging="567"/>
      </w:pPr>
      <w:r w:rsidRPr="003C614E">
        <w:rPr>
          <w:sz w:val="22"/>
        </w:rPr>
        <w:t xml:space="preserve">Kartu vartojamas </w:t>
      </w:r>
      <w:proofErr w:type="spellStart"/>
      <w:r w:rsidRPr="003C614E">
        <w:rPr>
          <w:sz w:val="22"/>
        </w:rPr>
        <w:t>metamizolas</w:t>
      </w:r>
      <w:proofErr w:type="spellEnd"/>
      <w:r w:rsidRPr="003C614E">
        <w:rPr>
          <w:sz w:val="22"/>
        </w:rPr>
        <w:t xml:space="preserve"> (skausmą ir karščiavimą mažinanti medžiaga) gali sumažinti acetilsalicilo rūgšties poveikį trombocitų </w:t>
      </w:r>
      <w:proofErr w:type="spellStart"/>
      <w:r w:rsidRPr="003C614E">
        <w:rPr>
          <w:sz w:val="22"/>
        </w:rPr>
        <w:t>agregacijai</w:t>
      </w:r>
      <w:proofErr w:type="spellEnd"/>
      <w:r w:rsidRPr="003C614E">
        <w:rPr>
          <w:sz w:val="22"/>
        </w:rPr>
        <w:t xml:space="preserve"> (kraujo ląstelių sulipimui ir kraujo krešulio susidarymui). Todėl šį derinį reikia atsargiai vartoti pacientams, vartojantiems mažas aspirino (</w:t>
      </w:r>
      <w:proofErr w:type="spellStart"/>
      <w:r w:rsidRPr="003C614E">
        <w:rPr>
          <w:sz w:val="22"/>
        </w:rPr>
        <w:t>acetilsalicilo</w:t>
      </w:r>
      <w:proofErr w:type="spellEnd"/>
      <w:r w:rsidRPr="003C614E">
        <w:rPr>
          <w:sz w:val="22"/>
        </w:rPr>
        <w:t xml:space="preserve"> rūgšties) dozes </w:t>
      </w:r>
      <w:proofErr w:type="spellStart"/>
      <w:r w:rsidRPr="003C614E">
        <w:rPr>
          <w:sz w:val="22"/>
        </w:rPr>
        <w:t>kardioprotekcijai</w:t>
      </w:r>
      <w:proofErr w:type="spellEnd"/>
      <w:r w:rsidRPr="003C614E">
        <w:rPr>
          <w:sz w:val="22"/>
        </w:rPr>
        <w:t xml:space="preserve"> (širdies apsaugai).</w:t>
      </w:r>
    </w:p>
    <w:p w14:paraId="310300BD" w14:textId="2817AF0B" w:rsidR="00BE5D44" w:rsidRPr="0082224B" w:rsidRDefault="00BE5D44" w:rsidP="003C614E">
      <w:pPr>
        <w:pStyle w:val="Sraopastraipa"/>
        <w:numPr>
          <w:ilvl w:val="0"/>
          <w:numId w:val="33"/>
        </w:numPr>
        <w:ind w:left="567" w:hanging="567"/>
      </w:pPr>
      <w:r w:rsidRPr="003C614E">
        <w:rPr>
          <w:sz w:val="22"/>
        </w:rPr>
        <w:t>Metamizolas gali sumažinti šių vaistų klinikinį veiksmingumą:</w:t>
      </w:r>
    </w:p>
    <w:p w14:paraId="5B40217C" w14:textId="77777777" w:rsidR="00BE5D44" w:rsidRPr="0082224B" w:rsidRDefault="00BE5D44" w:rsidP="003C614E">
      <w:pPr>
        <w:pStyle w:val="Sraopastraipa"/>
        <w:numPr>
          <w:ilvl w:val="0"/>
          <w:numId w:val="33"/>
        </w:numPr>
        <w:ind w:left="851" w:hanging="284"/>
      </w:pPr>
      <w:proofErr w:type="spellStart"/>
      <w:r w:rsidRPr="003C614E">
        <w:rPr>
          <w:sz w:val="22"/>
        </w:rPr>
        <w:t>bupropiono</w:t>
      </w:r>
      <w:proofErr w:type="spellEnd"/>
      <w:r w:rsidRPr="003C614E">
        <w:rPr>
          <w:sz w:val="22"/>
        </w:rPr>
        <w:t xml:space="preserve"> – vaisto, kuriuo gydoma depresija arba kuris vartojamas kaip pagalbinė priemonė siekiant nustoti rūkyti;</w:t>
      </w:r>
    </w:p>
    <w:p w14:paraId="46516F2F" w14:textId="77777777" w:rsidR="00BE5D44" w:rsidRPr="0082224B" w:rsidRDefault="00BE5D44" w:rsidP="003C614E">
      <w:pPr>
        <w:pStyle w:val="Sraopastraipa"/>
        <w:numPr>
          <w:ilvl w:val="0"/>
          <w:numId w:val="33"/>
        </w:numPr>
        <w:ind w:left="851" w:hanging="284"/>
      </w:pPr>
      <w:proofErr w:type="spellStart"/>
      <w:r w:rsidRPr="003C614E">
        <w:rPr>
          <w:sz w:val="22"/>
        </w:rPr>
        <w:t>efavirenzo</w:t>
      </w:r>
      <w:proofErr w:type="spellEnd"/>
      <w:r w:rsidRPr="003C614E">
        <w:rPr>
          <w:sz w:val="22"/>
        </w:rPr>
        <w:t xml:space="preserve"> – vaisto, kuriuo gydoma nuo ŽIV (AIDS);</w:t>
      </w:r>
    </w:p>
    <w:p w14:paraId="3D232F72" w14:textId="77777777" w:rsidR="00BE5D44" w:rsidRPr="0082224B" w:rsidRDefault="00BE5D44" w:rsidP="003C614E">
      <w:pPr>
        <w:pStyle w:val="Sraopastraipa"/>
        <w:numPr>
          <w:ilvl w:val="0"/>
          <w:numId w:val="33"/>
        </w:numPr>
        <w:ind w:left="851" w:hanging="284"/>
      </w:pPr>
      <w:r w:rsidRPr="003C614E">
        <w:rPr>
          <w:sz w:val="22"/>
        </w:rPr>
        <w:t>metadono – vaisto, kuriuo gydoma priklausomybė nuo narkotikų (vadinamųjų opioidais);</w:t>
      </w:r>
    </w:p>
    <w:p w14:paraId="09E00C4C" w14:textId="77777777" w:rsidR="00BE5D44" w:rsidRPr="0082224B" w:rsidRDefault="00BE5D44" w:rsidP="003C614E">
      <w:pPr>
        <w:pStyle w:val="Sraopastraipa"/>
        <w:numPr>
          <w:ilvl w:val="0"/>
          <w:numId w:val="33"/>
        </w:numPr>
        <w:ind w:left="851" w:hanging="284"/>
      </w:pPr>
      <w:r w:rsidRPr="003C614E">
        <w:rPr>
          <w:sz w:val="22"/>
        </w:rPr>
        <w:t xml:space="preserve">valproato – vaisto, kuriuo gydoma epilepsija ir </w:t>
      </w:r>
      <w:proofErr w:type="spellStart"/>
      <w:r w:rsidRPr="003C614E">
        <w:rPr>
          <w:sz w:val="22"/>
        </w:rPr>
        <w:t>bipolinis</w:t>
      </w:r>
      <w:proofErr w:type="spellEnd"/>
      <w:r w:rsidRPr="003C614E">
        <w:rPr>
          <w:sz w:val="22"/>
        </w:rPr>
        <w:t xml:space="preserve"> sutrikimas;</w:t>
      </w:r>
    </w:p>
    <w:p w14:paraId="734477F4" w14:textId="77777777" w:rsidR="00BE5D44" w:rsidRPr="0082224B" w:rsidRDefault="00BE5D44" w:rsidP="003C614E">
      <w:pPr>
        <w:pStyle w:val="Sraopastraipa"/>
        <w:numPr>
          <w:ilvl w:val="0"/>
          <w:numId w:val="33"/>
        </w:numPr>
        <w:ind w:left="851" w:hanging="284"/>
      </w:pPr>
      <w:proofErr w:type="spellStart"/>
      <w:r w:rsidRPr="003C614E">
        <w:rPr>
          <w:sz w:val="22"/>
        </w:rPr>
        <w:t>takrolimuzo</w:t>
      </w:r>
      <w:proofErr w:type="spellEnd"/>
      <w:r w:rsidRPr="003C614E">
        <w:rPr>
          <w:sz w:val="22"/>
        </w:rPr>
        <w:t xml:space="preserve"> – vaisto, kuris skiriamas pacientams, kuriems atlikta transplantacija (organų persodinimo operacija), siekiant išvengti persodinto organo atmetimo;</w:t>
      </w:r>
    </w:p>
    <w:p w14:paraId="24BABC43" w14:textId="77777777" w:rsidR="00BE5D44" w:rsidRPr="0082224B" w:rsidRDefault="00BE5D44" w:rsidP="003C614E">
      <w:pPr>
        <w:pStyle w:val="Sraopastraipa"/>
        <w:numPr>
          <w:ilvl w:val="0"/>
          <w:numId w:val="33"/>
        </w:numPr>
        <w:ind w:left="851" w:hanging="284"/>
      </w:pPr>
      <w:r w:rsidRPr="003C614E">
        <w:rPr>
          <w:sz w:val="22"/>
        </w:rPr>
        <w:t>sertralino – vaisto, kuriuo gydoma depresija.</w:t>
      </w:r>
    </w:p>
    <w:p w14:paraId="1C859A50" w14:textId="77777777" w:rsidR="002A1D66" w:rsidRPr="0082224B" w:rsidRDefault="002A1D66" w:rsidP="003C614E">
      <w:pPr>
        <w:ind w:left="567" w:hanging="567"/>
      </w:pPr>
    </w:p>
    <w:p w14:paraId="76445EBE" w14:textId="7AE37745" w:rsidR="006A086F" w:rsidRPr="0082224B" w:rsidRDefault="006A086F" w:rsidP="003C614E">
      <w:pPr>
        <w:keepNext/>
        <w:tabs>
          <w:tab w:val="left" w:pos="567"/>
        </w:tabs>
        <w:spacing w:line="260" w:lineRule="exact"/>
        <w:jc w:val="both"/>
        <w:outlineLvl w:val="3"/>
      </w:pPr>
      <w:r w:rsidRPr="003C614E">
        <w:rPr>
          <w:b/>
          <w:sz w:val="22"/>
        </w:rPr>
        <w:t xml:space="preserve">Analgin Sopharma vartojimas su </w:t>
      </w:r>
      <w:r w:rsidRPr="005D554B">
        <w:rPr>
          <w:b/>
          <w:bCs/>
          <w:snapToGrid w:val="0"/>
          <w:sz w:val="22"/>
          <w:szCs w:val="28"/>
          <w:lang w:eastAsia="x-none"/>
        </w:rPr>
        <w:t>maistu</w:t>
      </w:r>
      <w:r>
        <w:rPr>
          <w:b/>
          <w:bCs/>
          <w:snapToGrid w:val="0"/>
          <w:sz w:val="22"/>
          <w:szCs w:val="28"/>
          <w:lang w:eastAsia="x-none"/>
        </w:rPr>
        <w:t xml:space="preserve"> ir </w:t>
      </w:r>
      <w:r w:rsidRPr="003C614E">
        <w:rPr>
          <w:b/>
          <w:sz w:val="22"/>
        </w:rPr>
        <w:t>gėrimais</w:t>
      </w:r>
    </w:p>
    <w:p w14:paraId="0B2D55AB" w14:textId="77777777" w:rsidR="002A1D66" w:rsidRPr="0082224B" w:rsidRDefault="002A1D66" w:rsidP="003C614E">
      <w:r w:rsidRPr="003C614E">
        <w:rPr>
          <w:sz w:val="22"/>
        </w:rPr>
        <w:t>Vartojant Analgin Sopharma nerekomenduojama gerti alkoholinių gėrimų, nes didėja šalutinio poveikio pavojus.</w:t>
      </w:r>
    </w:p>
    <w:p w14:paraId="079902C2" w14:textId="77777777" w:rsidR="006A086F" w:rsidRPr="0082224B" w:rsidRDefault="006A086F" w:rsidP="003C614E"/>
    <w:p w14:paraId="140B8F2A" w14:textId="5E4AB939" w:rsidR="006A086F" w:rsidRPr="0082224B" w:rsidRDefault="006A086F" w:rsidP="003C614E">
      <w:pPr>
        <w:keepNext/>
        <w:tabs>
          <w:tab w:val="left" w:pos="567"/>
        </w:tabs>
        <w:spacing w:line="260" w:lineRule="exact"/>
        <w:jc w:val="both"/>
        <w:outlineLvl w:val="3"/>
      </w:pPr>
      <w:r w:rsidRPr="003C614E">
        <w:rPr>
          <w:b/>
          <w:sz w:val="22"/>
        </w:rPr>
        <w:t>Nėštumas ir žindymo laikotarpis</w:t>
      </w:r>
    </w:p>
    <w:p w14:paraId="79A6732B" w14:textId="77777777" w:rsidR="002A1D66" w:rsidRPr="003C614E" w:rsidRDefault="002A1D66" w:rsidP="003C614E">
      <w:pPr>
        <w:rPr>
          <w:b/>
        </w:rPr>
      </w:pPr>
      <w:r w:rsidRPr="003C614E">
        <w:rPr>
          <w:sz w:val="22"/>
        </w:rPr>
        <w:t xml:space="preserve">Jeigu esate nėščia, žindote kūdikį, manote, kad galbūt esate nėščia, arba planuojate pastoti, tai prieš vartodama šį vaistą, pasitarkite su gydytoju arba vaistininku. </w:t>
      </w:r>
    </w:p>
    <w:p w14:paraId="019D23C6" w14:textId="77777777" w:rsidR="002A1D66" w:rsidRPr="003C614E" w:rsidRDefault="002A1D66" w:rsidP="003C614E">
      <w:pPr>
        <w:rPr>
          <w:b/>
        </w:rPr>
      </w:pPr>
    </w:p>
    <w:p w14:paraId="04720CD2" w14:textId="77777777" w:rsidR="002A1D66" w:rsidRPr="003C614E" w:rsidRDefault="002A1D66" w:rsidP="003C614E">
      <w:pPr>
        <w:rPr>
          <w:b/>
          <w:u w:val="single"/>
        </w:rPr>
      </w:pPr>
      <w:r w:rsidRPr="003C614E">
        <w:rPr>
          <w:sz w:val="22"/>
          <w:u w:val="single"/>
        </w:rPr>
        <w:t>Nėštumas</w:t>
      </w:r>
    </w:p>
    <w:p w14:paraId="26627603" w14:textId="77777777" w:rsidR="002A1D66" w:rsidRPr="003C614E" w:rsidRDefault="002A1D66" w:rsidP="003C614E">
      <w:pPr>
        <w:rPr>
          <w:b/>
        </w:rPr>
      </w:pPr>
      <w:r w:rsidRPr="003C614E">
        <w:rPr>
          <w:sz w:val="22"/>
        </w:rPr>
        <w:t>Duomenų apie metamizolo vartojimą pirmus tris nėštumo mėnesius yra nedaug, tačiau jie nerodo neigiamo poveikio embrionui. Tam tikrais pasirinktinais atvejais, kai nėra kitų gydymo galimybių, vienkartinės metamizolo dozės pirmą ir antrą nėštumo trimestrą yra priimtinos pasikonsultavus su gydytoju ar vaistininku ir atidžiai įvertinus metamizolo vartojimo naudą ir keliamą riziką. Tačiau paprastai pirmą ir antrą nėštumo trimestrą metamizolo vartoti nerekomenduojama.</w:t>
      </w:r>
    </w:p>
    <w:p w14:paraId="2A560606" w14:textId="77777777" w:rsidR="002A1D66" w:rsidRPr="003C614E" w:rsidRDefault="002A1D66" w:rsidP="003C614E">
      <w:pPr>
        <w:rPr>
          <w:b/>
        </w:rPr>
      </w:pPr>
    </w:p>
    <w:p w14:paraId="4131DFD2" w14:textId="77777777" w:rsidR="002A1D66" w:rsidRPr="003C614E" w:rsidRDefault="002A1D66" w:rsidP="003C614E">
      <w:pPr>
        <w:rPr>
          <w:b/>
        </w:rPr>
      </w:pPr>
      <w:r w:rsidRPr="003C614E">
        <w:rPr>
          <w:sz w:val="22"/>
        </w:rPr>
        <w:t xml:space="preserve">Paskutinius tris nėštumo mėnesius vartoti Analgin Sopharma draudžiama dėl padidėjusios motinos ir vaiko sveikatos būklės komplikacijų (kraujavimo, svarbios kraujagyslės, vadinamos </w:t>
      </w:r>
      <w:proofErr w:type="spellStart"/>
      <w:r w:rsidRPr="003C614E">
        <w:rPr>
          <w:sz w:val="22"/>
        </w:rPr>
        <w:t>Botalo</w:t>
      </w:r>
      <w:proofErr w:type="spellEnd"/>
      <w:r w:rsidRPr="003C614E">
        <w:rPr>
          <w:sz w:val="22"/>
        </w:rPr>
        <w:t xml:space="preserve"> lataku, </w:t>
      </w:r>
      <w:r w:rsidRPr="003C614E">
        <w:rPr>
          <w:sz w:val="22"/>
        </w:rPr>
        <w:lastRenderedPageBreak/>
        <w:t>priešlaikinio užsivėrimo dar negimusio kūdikio organizme; ji natūraliai užsiveria tik kūdikiui gimus) rizikos.</w:t>
      </w:r>
    </w:p>
    <w:p w14:paraId="31644FFF" w14:textId="77777777" w:rsidR="002A1D66" w:rsidRPr="003C614E" w:rsidRDefault="002A1D66" w:rsidP="003C614E">
      <w:pPr>
        <w:rPr>
          <w:b/>
        </w:rPr>
      </w:pPr>
    </w:p>
    <w:p w14:paraId="705DBD8E" w14:textId="77777777" w:rsidR="002A1D66" w:rsidRPr="003C614E" w:rsidRDefault="002A1D66" w:rsidP="003C614E">
      <w:pPr>
        <w:rPr>
          <w:b/>
          <w:u w:val="single"/>
        </w:rPr>
      </w:pPr>
      <w:r w:rsidRPr="003C614E">
        <w:rPr>
          <w:sz w:val="22"/>
          <w:u w:val="single"/>
        </w:rPr>
        <w:t>Žindymas</w:t>
      </w:r>
    </w:p>
    <w:p w14:paraId="573DDB35" w14:textId="77777777" w:rsidR="002A1D66" w:rsidRPr="0082224B" w:rsidRDefault="002A1D66" w:rsidP="003C614E">
      <w:r w:rsidRPr="003C614E">
        <w:rPr>
          <w:sz w:val="22"/>
        </w:rPr>
        <w:t>Didelis kiekis metamizolo skilimo produktų patenka į motinos pieną, todėl negalima atmesti pavojaus žindomam kūdikiui galimybės. Dėl šios priežasties žindymo laikotarpiu reikia vengti vartoti metamizolo, ypač pakartotinai. Pavartojus metamizolo vieną kartą, motinoms rekomenduojama 48 valandas po dozės pavartojimo nusitraukti ir išpilti pieną.</w:t>
      </w:r>
    </w:p>
    <w:p w14:paraId="7B0F6C5F" w14:textId="77777777" w:rsidR="002A1D66" w:rsidRPr="0082224B" w:rsidRDefault="002A1D66" w:rsidP="003C614E"/>
    <w:p w14:paraId="19BD7CD6" w14:textId="77777777" w:rsidR="002A1D66" w:rsidRPr="0082224B" w:rsidRDefault="002A1D66" w:rsidP="003C614E">
      <w:r w:rsidRPr="003C614E">
        <w:rPr>
          <w:b/>
          <w:sz w:val="22"/>
        </w:rPr>
        <w:t>Vairavimas ir mechanizmų valdymas</w:t>
      </w:r>
    </w:p>
    <w:p w14:paraId="156AEF31" w14:textId="77777777" w:rsidR="002A1D66" w:rsidRPr="0082224B" w:rsidRDefault="002A1D66" w:rsidP="003C614E">
      <w:r w:rsidRPr="003C614E">
        <w:rPr>
          <w:sz w:val="22"/>
        </w:rPr>
        <w:t xml:space="preserve">Vartojant Analgin Sopharma, gali atsirasti galvos svaigimas ir mieguistumas. Jeigu pasireiškia toks poveikis, vairuoti ir valdyti mechanizmų nerekomenduojama. </w:t>
      </w:r>
    </w:p>
    <w:p w14:paraId="4266EF49" w14:textId="77777777" w:rsidR="002A1D66" w:rsidRPr="0082224B" w:rsidRDefault="002A1D66" w:rsidP="003C614E"/>
    <w:p w14:paraId="01F69E1D" w14:textId="77777777" w:rsidR="002A1D66" w:rsidRPr="0082224B" w:rsidRDefault="002A1D66" w:rsidP="003C614E">
      <w:pPr>
        <w:rPr>
          <w:b/>
        </w:rPr>
      </w:pPr>
      <w:r w:rsidRPr="003C614E">
        <w:rPr>
          <w:b/>
          <w:sz w:val="22"/>
        </w:rPr>
        <w:t>Analgin Sopharma sudėtyje yra natrio</w:t>
      </w:r>
    </w:p>
    <w:p w14:paraId="6D1C62CC" w14:textId="77777777" w:rsidR="002A1D66" w:rsidRPr="00293BB5" w:rsidRDefault="002A1D66" w:rsidP="00293BB5">
      <w:pPr>
        <w:rPr>
          <w:sz w:val="22"/>
          <w:szCs w:val="22"/>
        </w:rPr>
      </w:pPr>
      <w:r w:rsidRPr="00293BB5">
        <w:rPr>
          <w:sz w:val="22"/>
          <w:szCs w:val="22"/>
        </w:rPr>
        <w:t>Kiekviename šio injekcinio tirpalo mililitre yra 32,7 mg natrio (valgomosios druskos sudedamosios dalies). Tai atitinka 1,6 % didžiausios rekomenduojamos natrio normos suaugusiesiems.</w:t>
      </w:r>
    </w:p>
    <w:p w14:paraId="1EC13A55" w14:textId="77777777" w:rsidR="00A052FA" w:rsidRPr="0082224B" w:rsidRDefault="00A052FA" w:rsidP="003C614E"/>
    <w:p w14:paraId="75E7A113" w14:textId="77777777" w:rsidR="00A052FA" w:rsidRPr="0082224B" w:rsidRDefault="00A052FA" w:rsidP="003C614E"/>
    <w:p w14:paraId="521B39B5" w14:textId="15A9B359" w:rsidR="00A052FA" w:rsidRPr="00BD03D8" w:rsidRDefault="00A052FA" w:rsidP="00A052FA">
      <w:pPr>
        <w:pStyle w:val="PI-1EMEASMCA"/>
      </w:pPr>
      <w:bookmarkStart w:id="82" w:name="_Toc129243141"/>
      <w:bookmarkStart w:id="83" w:name="_Toc129243266"/>
      <w:r w:rsidRPr="00BD03D8">
        <w:t>3.</w:t>
      </w:r>
      <w:r w:rsidRPr="00BD03D8">
        <w:tab/>
      </w:r>
      <w:bookmarkEnd w:id="82"/>
      <w:bookmarkEnd w:id="83"/>
      <w:r w:rsidRPr="00BD03D8">
        <w:t>Kaip vartoti Analgin Sopharma</w:t>
      </w:r>
    </w:p>
    <w:p w14:paraId="7981AC7E" w14:textId="77777777" w:rsidR="00A052FA" w:rsidRPr="00BD03D8" w:rsidRDefault="00A052FA" w:rsidP="00634EE3">
      <w:pPr>
        <w:pStyle w:val="BTEMEASMCA"/>
      </w:pPr>
    </w:p>
    <w:p w14:paraId="7EC35282" w14:textId="77777777" w:rsidR="00A052FA" w:rsidRPr="0072596A" w:rsidRDefault="00A052FA" w:rsidP="003C614E">
      <w:pPr>
        <w:rPr>
          <w:noProof/>
          <w:sz w:val="22"/>
          <w:szCs w:val="22"/>
        </w:rPr>
      </w:pPr>
      <w:r w:rsidRPr="0072596A">
        <w:rPr>
          <w:sz w:val="22"/>
          <w:szCs w:val="22"/>
        </w:rPr>
        <w:t xml:space="preserve">Visada vartokite šį vaistą tiksliai kaip nurodė gydytojas arba vaistininkas. Jeigu abejojate, kreipkitės į gydytoją arba vaistininką. </w:t>
      </w:r>
    </w:p>
    <w:p w14:paraId="2641456E" w14:textId="77777777" w:rsidR="00A052FA" w:rsidRPr="0082224B" w:rsidRDefault="00A052FA" w:rsidP="003C614E"/>
    <w:p w14:paraId="31115EB5" w14:textId="77777777" w:rsidR="00A052FA" w:rsidRPr="0082224B" w:rsidRDefault="00A052FA" w:rsidP="003C614E">
      <w:r w:rsidRPr="003C614E">
        <w:rPr>
          <w:sz w:val="22"/>
        </w:rPr>
        <w:t>Dozė priklauso nuo skausmo arba karščiavimo intensyvumo ir paciento organizmo reakcijos į Analgin Sopharma jautrumo. Analgin Sopharma Jums bus suleistas į veną arba į raumenis.</w:t>
      </w:r>
    </w:p>
    <w:p w14:paraId="026B261E" w14:textId="77777777" w:rsidR="00A052FA" w:rsidRPr="0082224B" w:rsidRDefault="00A052FA" w:rsidP="003C614E"/>
    <w:p w14:paraId="63A1F0A3" w14:textId="77777777" w:rsidR="00A052FA" w:rsidRPr="0082224B" w:rsidRDefault="00A052FA" w:rsidP="003C614E">
      <w:r w:rsidRPr="003C614E">
        <w:rPr>
          <w:sz w:val="22"/>
        </w:rPr>
        <w:t xml:space="preserve">Jeigu vienos dozės poveikis bus nepakankamas arba vėliau, nuslūgus </w:t>
      </w:r>
      <w:proofErr w:type="spellStart"/>
      <w:r w:rsidRPr="003C614E">
        <w:rPr>
          <w:sz w:val="22"/>
        </w:rPr>
        <w:t>analgeziniam</w:t>
      </w:r>
      <w:proofErr w:type="spellEnd"/>
      <w:r w:rsidRPr="003C614E">
        <w:rPr>
          <w:sz w:val="22"/>
        </w:rPr>
        <w:t xml:space="preserve"> poveikiui, Jūsų gydytojas gali suleisti kitą dozę, neviršydamas toliau nurodytos didžiausios paros dozės.</w:t>
      </w:r>
    </w:p>
    <w:p w14:paraId="56998FB5" w14:textId="77777777" w:rsidR="00A052FA" w:rsidRPr="0082224B" w:rsidRDefault="00A052FA" w:rsidP="003C614E"/>
    <w:p w14:paraId="5C2AF236" w14:textId="77777777" w:rsidR="00A052FA" w:rsidRPr="003C614E" w:rsidRDefault="00A052FA" w:rsidP="003C614E">
      <w:r w:rsidRPr="003C614E">
        <w:rPr>
          <w:sz w:val="22"/>
        </w:rPr>
        <w:t>Suaugusieji ir 15 metų ar vyresni paaugliai</w:t>
      </w:r>
    </w:p>
    <w:p w14:paraId="769AEB30" w14:textId="77777777" w:rsidR="00A052FA" w:rsidRPr="0082224B" w:rsidRDefault="00A052FA" w:rsidP="003C614E">
      <w:r w:rsidRPr="003C614E">
        <w:rPr>
          <w:sz w:val="22"/>
        </w:rPr>
        <w:t>Suaugusiesiems ir 15 metų ar vyresniems paaugliams (sveriantiems daugiau kaip 53 kg) galima į veną arba į raumenis suleisti 1–2 ml vienkartinę dozę; prireikus vienkartinę dozę galima padidinti iki 5 ml</w:t>
      </w:r>
    </w:p>
    <w:p w14:paraId="303D8E05" w14:textId="77777777" w:rsidR="00A052FA" w:rsidRPr="0082224B" w:rsidRDefault="00A052FA" w:rsidP="003C614E">
      <w:r w:rsidRPr="003C614E">
        <w:rPr>
          <w:sz w:val="22"/>
        </w:rPr>
        <w:t>(atitinka 2 500 mg Analgin Sopharma). Didžiausia paros dozė yra 8 ml; prireikus paros dozę galima padidinti iki 10 ml (atitinka 5 000 mg Analgin Sopharma).</w:t>
      </w:r>
    </w:p>
    <w:p w14:paraId="447E19C7" w14:textId="77777777" w:rsidR="00A052FA" w:rsidRPr="0082224B" w:rsidRDefault="00A052FA" w:rsidP="003C614E"/>
    <w:p w14:paraId="34AFB778" w14:textId="77777777" w:rsidR="00A052FA" w:rsidRPr="0082224B" w:rsidRDefault="00A052FA" w:rsidP="003C614E">
      <w:pPr>
        <w:rPr>
          <w:i/>
        </w:rPr>
      </w:pPr>
      <w:r w:rsidRPr="003C614E">
        <w:rPr>
          <w:i/>
          <w:sz w:val="22"/>
        </w:rPr>
        <w:t>Kūdikiai, vaikai ir paaugliai iki 15 metų</w:t>
      </w:r>
    </w:p>
    <w:p w14:paraId="541E37B5" w14:textId="77777777" w:rsidR="00A052FA" w:rsidRPr="0072596A" w:rsidRDefault="00A052FA" w:rsidP="0072596A">
      <w:pPr>
        <w:rPr>
          <w:sz w:val="22"/>
          <w:szCs w:val="22"/>
        </w:rPr>
      </w:pPr>
      <w:r w:rsidRPr="0072596A">
        <w:rPr>
          <w:sz w:val="22"/>
          <w:szCs w:val="22"/>
        </w:rPr>
        <w:t>Siekiant nustatyti vienkartinės dozės dydį, kai vaisto leidžiama į veną arba į raumenis, reikia vadovautis toliau pateikta dozavimo schema.</w:t>
      </w:r>
    </w:p>
    <w:p w14:paraId="264BEEAD" w14:textId="77777777" w:rsidR="00A052FA" w:rsidRPr="0082224B" w:rsidRDefault="00A052FA" w:rsidP="003C614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9"/>
        <w:gridCol w:w="2168"/>
        <w:gridCol w:w="2983"/>
      </w:tblGrid>
      <w:tr w:rsidR="00A052FA" w:rsidRPr="0072596A" w14:paraId="071DB0A5" w14:textId="77777777" w:rsidTr="00376088">
        <w:trPr>
          <w:trHeight w:val="370"/>
          <w:jc w:val="center"/>
        </w:trPr>
        <w:tc>
          <w:tcPr>
            <w:tcW w:w="3969" w:type="dxa"/>
          </w:tcPr>
          <w:p w14:paraId="4A10271B" w14:textId="77777777" w:rsidR="00A052FA" w:rsidRPr="0072596A" w:rsidRDefault="00A052FA" w:rsidP="003C614E">
            <w:pPr>
              <w:rPr>
                <w:rFonts w:eastAsia="SimSun"/>
                <w:sz w:val="22"/>
                <w:szCs w:val="22"/>
                <w:lang w:eastAsia="pl-PL"/>
              </w:rPr>
            </w:pPr>
            <w:r w:rsidRPr="0072596A">
              <w:rPr>
                <w:rFonts w:eastAsia="SimSun"/>
                <w:bCs/>
                <w:sz w:val="22"/>
                <w:szCs w:val="22"/>
                <w:lang w:eastAsia="pl-PL"/>
              </w:rPr>
              <w:t>Vaikų amžiaus intervalas (kūno svoris)</w:t>
            </w:r>
          </w:p>
        </w:tc>
        <w:tc>
          <w:tcPr>
            <w:tcW w:w="2187" w:type="dxa"/>
          </w:tcPr>
          <w:p w14:paraId="68B922DA" w14:textId="77777777" w:rsidR="00A052FA" w:rsidRPr="0072596A" w:rsidRDefault="00A052FA" w:rsidP="003C614E">
            <w:pPr>
              <w:rPr>
                <w:rFonts w:eastAsia="SimSun"/>
                <w:sz w:val="22"/>
                <w:szCs w:val="22"/>
                <w:lang w:eastAsia="pl-PL"/>
              </w:rPr>
            </w:pPr>
            <w:r w:rsidRPr="0072596A">
              <w:rPr>
                <w:rFonts w:eastAsia="SimSun"/>
                <w:sz w:val="22"/>
                <w:szCs w:val="22"/>
                <w:lang w:eastAsia="pl-PL"/>
              </w:rPr>
              <w:t>Vienkartinė dozė</w:t>
            </w:r>
          </w:p>
        </w:tc>
        <w:tc>
          <w:tcPr>
            <w:tcW w:w="3022" w:type="dxa"/>
          </w:tcPr>
          <w:p w14:paraId="217B028D" w14:textId="77777777" w:rsidR="00A052FA" w:rsidRPr="0072596A" w:rsidRDefault="00A052FA" w:rsidP="003C614E">
            <w:pPr>
              <w:rPr>
                <w:rFonts w:eastAsia="SimSun"/>
                <w:sz w:val="22"/>
                <w:szCs w:val="22"/>
                <w:lang w:eastAsia="pl-PL"/>
              </w:rPr>
            </w:pPr>
            <w:r w:rsidRPr="0072596A">
              <w:rPr>
                <w:rFonts w:eastAsia="SimSun"/>
                <w:sz w:val="22"/>
                <w:szCs w:val="22"/>
                <w:lang w:eastAsia="pl-PL"/>
              </w:rPr>
              <w:t>Didžiausia paros dozė</w:t>
            </w:r>
          </w:p>
        </w:tc>
      </w:tr>
      <w:tr w:rsidR="00A052FA" w:rsidRPr="0072596A" w14:paraId="065CEDFE" w14:textId="77777777" w:rsidTr="00376088">
        <w:trPr>
          <w:trHeight w:val="360"/>
          <w:jc w:val="center"/>
        </w:trPr>
        <w:tc>
          <w:tcPr>
            <w:tcW w:w="3969" w:type="dxa"/>
          </w:tcPr>
          <w:p w14:paraId="190E601E"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3 - 11 mėn. kūdikiai (maždaug 5 – 8 kg)</w:t>
            </w:r>
          </w:p>
        </w:tc>
        <w:tc>
          <w:tcPr>
            <w:tcW w:w="2187" w:type="dxa"/>
          </w:tcPr>
          <w:p w14:paraId="578A1EE3" w14:textId="2FBEAF58" w:rsidR="00A052FA" w:rsidRPr="0072596A" w:rsidRDefault="00A052FA" w:rsidP="003C614E">
            <w:pPr>
              <w:jc w:val="center"/>
              <w:rPr>
                <w:rFonts w:eastAsia="SimSun"/>
                <w:sz w:val="22"/>
                <w:szCs w:val="22"/>
                <w:lang w:eastAsia="pl-PL"/>
              </w:rPr>
            </w:pPr>
            <w:r w:rsidRPr="0072596A">
              <w:rPr>
                <w:rFonts w:eastAsia="SimSun"/>
                <w:sz w:val="22"/>
                <w:szCs w:val="22"/>
                <w:lang w:eastAsia="pl-PL"/>
              </w:rPr>
              <w:t>0,1 – 0,2 ml</w:t>
            </w:r>
          </w:p>
        </w:tc>
        <w:tc>
          <w:tcPr>
            <w:tcW w:w="3022" w:type="dxa"/>
          </w:tcPr>
          <w:p w14:paraId="68CFC8F2"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0,4 – 0,8 ml</w:t>
            </w:r>
          </w:p>
        </w:tc>
      </w:tr>
      <w:tr w:rsidR="00A052FA" w:rsidRPr="0072596A" w14:paraId="3DA62D7E" w14:textId="77777777" w:rsidTr="00376088">
        <w:trPr>
          <w:trHeight w:val="408"/>
          <w:jc w:val="center"/>
        </w:trPr>
        <w:tc>
          <w:tcPr>
            <w:tcW w:w="3969" w:type="dxa"/>
          </w:tcPr>
          <w:p w14:paraId="3622E957"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1 - 3 metai (maždaug 9 – 15 kg)</w:t>
            </w:r>
          </w:p>
        </w:tc>
        <w:tc>
          <w:tcPr>
            <w:tcW w:w="2187" w:type="dxa"/>
          </w:tcPr>
          <w:p w14:paraId="745E6DB1"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0,2 – 0,5 ml</w:t>
            </w:r>
          </w:p>
        </w:tc>
        <w:tc>
          <w:tcPr>
            <w:tcW w:w="3022" w:type="dxa"/>
          </w:tcPr>
          <w:p w14:paraId="65A31D41"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0,8 – 2,0 ml</w:t>
            </w:r>
          </w:p>
        </w:tc>
      </w:tr>
      <w:tr w:rsidR="00A052FA" w:rsidRPr="0072596A" w14:paraId="75D5DB9A" w14:textId="77777777" w:rsidTr="00376088">
        <w:trPr>
          <w:trHeight w:val="413"/>
          <w:jc w:val="center"/>
        </w:trPr>
        <w:tc>
          <w:tcPr>
            <w:tcW w:w="3969" w:type="dxa"/>
          </w:tcPr>
          <w:p w14:paraId="2B2BFD50"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4 - 6 metai (maždaug 16 – 23 kg)</w:t>
            </w:r>
          </w:p>
        </w:tc>
        <w:tc>
          <w:tcPr>
            <w:tcW w:w="2187" w:type="dxa"/>
          </w:tcPr>
          <w:p w14:paraId="51A1A4ED"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0,3 – 0,8 ml</w:t>
            </w:r>
          </w:p>
        </w:tc>
        <w:tc>
          <w:tcPr>
            <w:tcW w:w="3022" w:type="dxa"/>
          </w:tcPr>
          <w:p w14:paraId="41410126"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1,2 – 3,2 ml</w:t>
            </w:r>
          </w:p>
        </w:tc>
      </w:tr>
      <w:tr w:rsidR="00A052FA" w:rsidRPr="0072596A" w14:paraId="425F3E33" w14:textId="77777777" w:rsidTr="00376088">
        <w:trPr>
          <w:trHeight w:val="419"/>
          <w:jc w:val="center"/>
        </w:trPr>
        <w:tc>
          <w:tcPr>
            <w:tcW w:w="3969" w:type="dxa"/>
          </w:tcPr>
          <w:p w14:paraId="2856AA1E"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7 - 9 metai (maždaug 24 – 30 kg)</w:t>
            </w:r>
          </w:p>
        </w:tc>
        <w:tc>
          <w:tcPr>
            <w:tcW w:w="2187" w:type="dxa"/>
          </w:tcPr>
          <w:p w14:paraId="1FC90E74"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0,4 – 1,0 ml</w:t>
            </w:r>
          </w:p>
        </w:tc>
        <w:tc>
          <w:tcPr>
            <w:tcW w:w="3022" w:type="dxa"/>
          </w:tcPr>
          <w:p w14:paraId="7F3C2B8A"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1,6 – 4,0 ml</w:t>
            </w:r>
          </w:p>
        </w:tc>
      </w:tr>
      <w:tr w:rsidR="00A052FA" w:rsidRPr="0072596A" w14:paraId="56626B93" w14:textId="77777777" w:rsidTr="00376088">
        <w:trPr>
          <w:trHeight w:val="412"/>
          <w:jc w:val="center"/>
        </w:trPr>
        <w:tc>
          <w:tcPr>
            <w:tcW w:w="3969" w:type="dxa"/>
          </w:tcPr>
          <w:p w14:paraId="5AE2081D"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10 - 12 metų (maždaug 31 – 45 kg)</w:t>
            </w:r>
          </w:p>
        </w:tc>
        <w:tc>
          <w:tcPr>
            <w:tcW w:w="2187" w:type="dxa"/>
          </w:tcPr>
          <w:p w14:paraId="2C5E155B"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0,5 – 1,4 ml</w:t>
            </w:r>
          </w:p>
        </w:tc>
        <w:tc>
          <w:tcPr>
            <w:tcW w:w="3022" w:type="dxa"/>
          </w:tcPr>
          <w:p w14:paraId="30660F37"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2,0 – 5,6 ml</w:t>
            </w:r>
          </w:p>
        </w:tc>
      </w:tr>
      <w:tr w:rsidR="00A052FA" w:rsidRPr="0072596A" w14:paraId="73E35158" w14:textId="77777777" w:rsidTr="00376088">
        <w:trPr>
          <w:trHeight w:val="414"/>
          <w:jc w:val="center"/>
        </w:trPr>
        <w:tc>
          <w:tcPr>
            <w:tcW w:w="3969" w:type="dxa"/>
          </w:tcPr>
          <w:p w14:paraId="18C5C1E4"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13 - 14 metų (maždaug 46 – 53 kg)</w:t>
            </w:r>
          </w:p>
        </w:tc>
        <w:tc>
          <w:tcPr>
            <w:tcW w:w="2187" w:type="dxa"/>
          </w:tcPr>
          <w:p w14:paraId="75AC1959"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0,8 – 1,8 ml</w:t>
            </w:r>
          </w:p>
        </w:tc>
        <w:tc>
          <w:tcPr>
            <w:tcW w:w="3022" w:type="dxa"/>
          </w:tcPr>
          <w:p w14:paraId="66555D25" w14:textId="77777777" w:rsidR="00A052FA" w:rsidRPr="0072596A" w:rsidRDefault="00A052FA" w:rsidP="003C614E">
            <w:pPr>
              <w:jc w:val="center"/>
              <w:rPr>
                <w:rFonts w:eastAsia="SimSun"/>
                <w:sz w:val="22"/>
                <w:szCs w:val="22"/>
                <w:lang w:eastAsia="pl-PL"/>
              </w:rPr>
            </w:pPr>
            <w:r w:rsidRPr="0072596A">
              <w:rPr>
                <w:rFonts w:eastAsia="SimSun"/>
                <w:sz w:val="22"/>
                <w:szCs w:val="22"/>
                <w:lang w:eastAsia="pl-PL"/>
              </w:rPr>
              <w:t>3,2 – 7,2 ml</w:t>
            </w:r>
          </w:p>
        </w:tc>
      </w:tr>
    </w:tbl>
    <w:p w14:paraId="72B4954D" w14:textId="77777777" w:rsidR="00A052FA" w:rsidRPr="0082224B" w:rsidRDefault="00A052FA" w:rsidP="003C614E">
      <w:pPr>
        <w:jc w:val="center"/>
      </w:pPr>
    </w:p>
    <w:p w14:paraId="22A5C1B8" w14:textId="77777777" w:rsidR="00A052FA" w:rsidRPr="0072596A" w:rsidRDefault="00A052FA" w:rsidP="0072596A">
      <w:pPr>
        <w:rPr>
          <w:i/>
          <w:sz w:val="22"/>
          <w:szCs w:val="22"/>
        </w:rPr>
      </w:pPr>
      <w:r w:rsidRPr="0072596A">
        <w:rPr>
          <w:i/>
          <w:sz w:val="22"/>
          <w:szCs w:val="22"/>
        </w:rPr>
        <w:t>Senyvi pacientai ir pacientai, kurių prasta bendra sveikatos būklė ir (arba) sutrikusi inkstų veikla</w:t>
      </w:r>
    </w:p>
    <w:p w14:paraId="096C082D" w14:textId="77777777" w:rsidR="00A052FA" w:rsidRPr="0072596A" w:rsidRDefault="00A052FA" w:rsidP="0072596A">
      <w:pPr>
        <w:rPr>
          <w:sz w:val="22"/>
          <w:szCs w:val="22"/>
        </w:rPr>
      </w:pPr>
      <w:r w:rsidRPr="0072596A">
        <w:rPr>
          <w:sz w:val="22"/>
          <w:szCs w:val="22"/>
        </w:rPr>
        <w:t>Senyviems pacientams, taip pat nusilpusiems pacientams ir pacientams, kurių inkstų funkcija sutrikusi, dozė turi būti sumažinta, nes gali būti uždelstas metamizolo skilimo produktų šalinimas iš jų organizmo.</w:t>
      </w:r>
    </w:p>
    <w:p w14:paraId="10825482" w14:textId="77777777" w:rsidR="00A052FA" w:rsidRPr="0072596A" w:rsidRDefault="00A052FA" w:rsidP="0072596A">
      <w:pPr>
        <w:rPr>
          <w:sz w:val="22"/>
          <w:szCs w:val="22"/>
        </w:rPr>
      </w:pPr>
    </w:p>
    <w:p w14:paraId="72F0AE81" w14:textId="77777777" w:rsidR="00A052FA" w:rsidRPr="0072596A" w:rsidRDefault="00A052FA" w:rsidP="0072596A">
      <w:pPr>
        <w:rPr>
          <w:i/>
          <w:sz w:val="22"/>
          <w:szCs w:val="22"/>
        </w:rPr>
      </w:pPr>
      <w:r w:rsidRPr="0072596A">
        <w:rPr>
          <w:i/>
          <w:sz w:val="22"/>
          <w:szCs w:val="22"/>
        </w:rPr>
        <w:lastRenderedPageBreak/>
        <w:t>Pacientai, kurių inkstų arba kepenų veikla sutrikusi</w:t>
      </w:r>
    </w:p>
    <w:p w14:paraId="01A4967B" w14:textId="77777777" w:rsidR="00A052FA" w:rsidRPr="0072596A" w:rsidRDefault="00A052FA" w:rsidP="0072596A">
      <w:pPr>
        <w:rPr>
          <w:bCs/>
          <w:sz w:val="22"/>
          <w:szCs w:val="22"/>
        </w:rPr>
      </w:pPr>
      <w:r w:rsidRPr="0072596A">
        <w:rPr>
          <w:sz w:val="22"/>
          <w:szCs w:val="22"/>
        </w:rPr>
        <w:t>Kadangi vaisto eliminacija iš pacientų, kurių inkstų arba kepenų funkcija sutrikusi, organizmo yra lėtesnė, kartotinio vartojimo didelėmis dozėmis turi būti vengiama. Vartojant trumpai dozės mažinti nereikia. Ilgalaikio vartojimo patirties nėra.</w:t>
      </w:r>
    </w:p>
    <w:p w14:paraId="222D8D81" w14:textId="77777777" w:rsidR="00A052FA" w:rsidRPr="0072596A" w:rsidRDefault="00A052FA" w:rsidP="0072596A">
      <w:pPr>
        <w:rPr>
          <w:sz w:val="22"/>
          <w:szCs w:val="22"/>
        </w:rPr>
      </w:pPr>
    </w:p>
    <w:p w14:paraId="489A56C5" w14:textId="06593034" w:rsidR="00A052FA" w:rsidRPr="0082224B" w:rsidRDefault="00A052FA" w:rsidP="003C614E">
      <w:r w:rsidRPr="003C614E">
        <w:rPr>
          <w:b/>
          <w:sz w:val="22"/>
        </w:rPr>
        <w:t>Ką daryti pavartojus per didelę Analgin Sopharma dozę</w:t>
      </w:r>
    </w:p>
    <w:p w14:paraId="63FF9ECA" w14:textId="77777777" w:rsidR="00A052FA" w:rsidRPr="0082224B" w:rsidRDefault="00A052FA" w:rsidP="003C614E">
      <w:r w:rsidRPr="003C614E">
        <w:rPr>
          <w:rStyle w:val="hps"/>
          <w:sz w:val="22"/>
        </w:rPr>
        <w:t>Šis vaistas</w:t>
      </w:r>
      <w:r w:rsidRPr="003C614E">
        <w:rPr>
          <w:sz w:val="22"/>
        </w:rPr>
        <w:t xml:space="preserve"> </w:t>
      </w:r>
      <w:r w:rsidRPr="003C614E">
        <w:rPr>
          <w:rStyle w:val="hps"/>
          <w:sz w:val="22"/>
        </w:rPr>
        <w:t>vartojamas gydytojų priežiūroje, todėl galimybė</w:t>
      </w:r>
      <w:r w:rsidRPr="003C614E">
        <w:rPr>
          <w:sz w:val="22"/>
        </w:rPr>
        <w:t xml:space="preserve"> </w:t>
      </w:r>
      <w:r w:rsidRPr="003C614E">
        <w:rPr>
          <w:rStyle w:val="hps"/>
          <w:sz w:val="22"/>
        </w:rPr>
        <w:t>perdozuoti</w:t>
      </w:r>
      <w:r w:rsidRPr="003C614E">
        <w:rPr>
          <w:sz w:val="22"/>
        </w:rPr>
        <w:t xml:space="preserve"> </w:t>
      </w:r>
      <w:r w:rsidRPr="003C614E">
        <w:rPr>
          <w:rStyle w:val="hps"/>
          <w:sz w:val="22"/>
        </w:rPr>
        <w:t>yra</w:t>
      </w:r>
      <w:r w:rsidRPr="003C614E">
        <w:rPr>
          <w:sz w:val="22"/>
        </w:rPr>
        <w:t xml:space="preserve"> </w:t>
      </w:r>
      <w:r w:rsidRPr="003C614E">
        <w:rPr>
          <w:rStyle w:val="hps"/>
          <w:sz w:val="22"/>
        </w:rPr>
        <w:t>mažai tikėtina</w:t>
      </w:r>
      <w:r w:rsidRPr="003C614E">
        <w:rPr>
          <w:sz w:val="22"/>
        </w:rPr>
        <w:t xml:space="preserve">. </w:t>
      </w:r>
      <w:r w:rsidRPr="003C614E">
        <w:rPr>
          <w:rStyle w:val="hps"/>
          <w:sz w:val="22"/>
        </w:rPr>
        <w:t>Jei</w:t>
      </w:r>
      <w:r w:rsidRPr="003C614E">
        <w:rPr>
          <w:sz w:val="22"/>
        </w:rPr>
        <w:t xml:space="preserve"> </w:t>
      </w:r>
      <w:r w:rsidRPr="003C614E">
        <w:rPr>
          <w:rStyle w:val="hps"/>
          <w:sz w:val="22"/>
        </w:rPr>
        <w:t>turite kokių nors abejonių</w:t>
      </w:r>
      <w:r w:rsidRPr="003C614E">
        <w:rPr>
          <w:sz w:val="22"/>
        </w:rPr>
        <w:t>, kreipkitės į gydytoją.</w:t>
      </w:r>
    </w:p>
    <w:p w14:paraId="607B9E05" w14:textId="77777777" w:rsidR="00A052FA" w:rsidRPr="0082224B" w:rsidRDefault="00A052FA" w:rsidP="003C614E"/>
    <w:p w14:paraId="016A2293" w14:textId="77777777" w:rsidR="00A052FA" w:rsidRPr="0082224B" w:rsidRDefault="00A052FA" w:rsidP="003C614E">
      <w:r w:rsidRPr="003C614E">
        <w:rPr>
          <w:b/>
          <w:sz w:val="22"/>
        </w:rPr>
        <w:t>Pamiršus pavartoti Analgin Sopharma</w:t>
      </w:r>
    </w:p>
    <w:p w14:paraId="5FBD2570" w14:textId="77777777" w:rsidR="00A052FA" w:rsidRPr="0082224B" w:rsidRDefault="00A052FA" w:rsidP="003C614E">
      <w:r w:rsidRPr="003C614E">
        <w:rPr>
          <w:rStyle w:val="hps"/>
          <w:sz w:val="22"/>
        </w:rPr>
        <w:t>Šis vaistas</w:t>
      </w:r>
      <w:r w:rsidRPr="003C614E">
        <w:rPr>
          <w:sz w:val="22"/>
        </w:rPr>
        <w:t xml:space="preserve"> </w:t>
      </w:r>
      <w:r w:rsidRPr="003C614E">
        <w:rPr>
          <w:rStyle w:val="hps"/>
          <w:sz w:val="22"/>
        </w:rPr>
        <w:t>vartojamas gydytojų priežiūroje, todėl galimybė</w:t>
      </w:r>
      <w:r w:rsidRPr="003C614E">
        <w:rPr>
          <w:sz w:val="22"/>
        </w:rPr>
        <w:t xml:space="preserve"> </w:t>
      </w:r>
      <w:r w:rsidRPr="003C614E">
        <w:rPr>
          <w:rStyle w:val="hps"/>
          <w:sz w:val="22"/>
        </w:rPr>
        <w:t>pamiršti pavartoti dozę</w:t>
      </w:r>
      <w:r w:rsidRPr="003C614E">
        <w:rPr>
          <w:sz w:val="22"/>
        </w:rPr>
        <w:t xml:space="preserve"> </w:t>
      </w:r>
      <w:r w:rsidRPr="003C614E">
        <w:rPr>
          <w:rStyle w:val="hps"/>
          <w:sz w:val="22"/>
        </w:rPr>
        <w:t>mažai tikėtina</w:t>
      </w:r>
      <w:r w:rsidRPr="003C614E">
        <w:rPr>
          <w:sz w:val="22"/>
        </w:rPr>
        <w:t xml:space="preserve">. </w:t>
      </w:r>
      <w:r w:rsidRPr="003C614E">
        <w:rPr>
          <w:rStyle w:val="hps"/>
          <w:sz w:val="22"/>
        </w:rPr>
        <w:t>Jei</w:t>
      </w:r>
      <w:r w:rsidRPr="003C614E">
        <w:rPr>
          <w:sz w:val="22"/>
        </w:rPr>
        <w:t xml:space="preserve"> </w:t>
      </w:r>
      <w:r w:rsidRPr="003C614E">
        <w:rPr>
          <w:rStyle w:val="hps"/>
          <w:sz w:val="22"/>
        </w:rPr>
        <w:t>turite kokių nors abejonių</w:t>
      </w:r>
      <w:r w:rsidRPr="003C614E">
        <w:rPr>
          <w:sz w:val="22"/>
        </w:rPr>
        <w:t>, kreipkitės į gydytoją.</w:t>
      </w:r>
    </w:p>
    <w:p w14:paraId="765210D4" w14:textId="77777777" w:rsidR="00A052FA" w:rsidRPr="0082224B" w:rsidRDefault="00A052FA" w:rsidP="003C614E"/>
    <w:p w14:paraId="455C83D6" w14:textId="77777777" w:rsidR="00A052FA" w:rsidRPr="0082224B" w:rsidRDefault="00A052FA" w:rsidP="003C614E">
      <w:r w:rsidRPr="003C614E">
        <w:rPr>
          <w:sz w:val="22"/>
        </w:rPr>
        <w:t>Jeigu kiltų daugiau klausimų dėl šio vaisto vartojimo, kreipkitės į gydytoją arba vaistininką.</w:t>
      </w:r>
    </w:p>
    <w:p w14:paraId="54061D66" w14:textId="77777777" w:rsidR="006A086F" w:rsidRPr="0082224B" w:rsidRDefault="006A086F" w:rsidP="003C614E"/>
    <w:p w14:paraId="09A2BFAE" w14:textId="77777777" w:rsidR="006A086F" w:rsidRPr="0082224B" w:rsidRDefault="006A086F" w:rsidP="003C614E"/>
    <w:p w14:paraId="43A01FB9" w14:textId="77777777" w:rsidR="006A086F" w:rsidRPr="0082224B" w:rsidRDefault="006A086F" w:rsidP="003C614E">
      <w:pPr>
        <w:keepNext/>
        <w:keepLines/>
        <w:tabs>
          <w:tab w:val="left" w:pos="567"/>
        </w:tabs>
        <w:outlineLvl w:val="2"/>
      </w:pPr>
      <w:bookmarkStart w:id="84" w:name="_Toc129243142"/>
      <w:bookmarkStart w:id="85" w:name="_Toc129243267"/>
      <w:r w:rsidRPr="003C614E">
        <w:rPr>
          <w:b/>
          <w:sz w:val="22"/>
        </w:rPr>
        <w:t>4.</w:t>
      </w:r>
      <w:r w:rsidRPr="003C614E">
        <w:rPr>
          <w:b/>
          <w:sz w:val="22"/>
        </w:rPr>
        <w:tab/>
      </w:r>
      <w:bookmarkEnd w:id="84"/>
      <w:bookmarkEnd w:id="85"/>
      <w:r w:rsidRPr="003C614E">
        <w:rPr>
          <w:b/>
          <w:sz w:val="22"/>
        </w:rPr>
        <w:t>Galimas šalutinis poveikis</w:t>
      </w:r>
    </w:p>
    <w:p w14:paraId="70EDC7CF" w14:textId="77777777" w:rsidR="006A086F" w:rsidRPr="0082224B" w:rsidRDefault="006A086F" w:rsidP="003C614E"/>
    <w:p w14:paraId="6D17349A" w14:textId="77777777" w:rsidR="006A086F" w:rsidRPr="0082224B" w:rsidRDefault="006A086F" w:rsidP="003C614E">
      <w:r w:rsidRPr="003C614E">
        <w:rPr>
          <w:sz w:val="22"/>
        </w:rPr>
        <w:t>Šis vaistas, kaip ir visi kiti, gali sukelti šalutinį poveikį, nors jis pasireiškia ne visiems žmonėms.</w:t>
      </w:r>
    </w:p>
    <w:p w14:paraId="2E49E112" w14:textId="77777777" w:rsidR="006A086F" w:rsidRPr="0082224B" w:rsidRDefault="006A086F" w:rsidP="003C614E"/>
    <w:p w14:paraId="2574BCFF" w14:textId="77777777" w:rsidR="00A052FA" w:rsidRPr="003C614E" w:rsidRDefault="00A052FA" w:rsidP="003C614E">
      <w:pPr>
        <w:rPr>
          <w:b/>
        </w:rPr>
      </w:pPr>
      <w:r w:rsidRPr="003C614E">
        <w:rPr>
          <w:b/>
          <w:sz w:val="22"/>
        </w:rPr>
        <w:t>Nebevartokite Analgin Sopharma ir nedelsdami kreipkitės į gydytoją, jeigu Jums pasireikštų bent vienas iš toliau nurodytų simptomų:</w:t>
      </w:r>
    </w:p>
    <w:p w14:paraId="2186B615" w14:textId="3F3A4A9C" w:rsidR="00D74945" w:rsidRPr="00654C00" w:rsidRDefault="00A052FA">
      <w:pPr>
        <w:rPr>
          <w:sz w:val="22"/>
          <w:szCs w:val="22"/>
        </w:rPr>
      </w:pPr>
      <w:r w:rsidRPr="003C614E">
        <w:rPr>
          <w:sz w:val="22"/>
        </w:rPr>
        <w:t>pykinimas arba vėmimas, karščiavimas, nuovargis, apetito netekimas, patamsėjęs šlapimas, neįprastai šviesios (baltos) išmatos, odos arba akių baltymų pageltimas, niežėjimas, išbėrimas arba skausmas viršutinėje pilvo dalyje. Šie simptomai gali būti kepenų pažeidimo požymiai. Žr. 2 skyrių „Įspėjimai ir atsargumo priemonės“.</w:t>
      </w:r>
    </w:p>
    <w:p w14:paraId="69800885" w14:textId="77777777" w:rsidR="00A052FA" w:rsidRPr="00654C00" w:rsidRDefault="00A052FA" w:rsidP="00654C00">
      <w:pPr>
        <w:rPr>
          <w:sz w:val="22"/>
          <w:szCs w:val="22"/>
        </w:rPr>
      </w:pPr>
    </w:p>
    <w:p w14:paraId="6FD3C9DA" w14:textId="3A551A74" w:rsidR="00A052FA" w:rsidRPr="0082224B" w:rsidRDefault="00A052FA" w:rsidP="004B46BA">
      <w:r w:rsidRPr="00E829FA">
        <w:rPr>
          <w:b/>
          <w:bCs/>
          <w:noProof/>
          <w:snapToGrid w:val="0"/>
          <w:sz w:val="22"/>
          <w:szCs w:val="22"/>
        </w:rPr>
        <w:t>Nedažni šalutinio poveikio reiškiniai (gali pasireikšti</w:t>
      </w:r>
      <w:r w:rsidRPr="004B46BA">
        <w:rPr>
          <w:b/>
          <w:sz w:val="22"/>
        </w:rPr>
        <w:t xml:space="preserve"> rečiau kaip 1 iš 100 </w:t>
      </w:r>
      <w:r w:rsidRPr="00E829FA">
        <w:rPr>
          <w:b/>
          <w:bCs/>
          <w:noProof/>
          <w:snapToGrid w:val="0"/>
          <w:sz w:val="22"/>
          <w:szCs w:val="22"/>
        </w:rPr>
        <w:t>asmenų):</w:t>
      </w:r>
    </w:p>
    <w:p w14:paraId="054FC353" w14:textId="77777777" w:rsidR="0005441D" w:rsidRPr="0082224B" w:rsidRDefault="0005441D" w:rsidP="004B46BA">
      <w:pPr>
        <w:pStyle w:val="Sraopastraipa"/>
        <w:numPr>
          <w:ilvl w:val="0"/>
          <w:numId w:val="21"/>
        </w:numPr>
        <w:ind w:left="567" w:hanging="567"/>
      </w:pPr>
      <w:r w:rsidRPr="004B46BA">
        <w:rPr>
          <w:sz w:val="22"/>
        </w:rPr>
        <w:t xml:space="preserve">Kraujospūdžio sumažėjimas. </w:t>
      </w:r>
    </w:p>
    <w:p w14:paraId="6004EC9D" w14:textId="77777777" w:rsidR="0005441D" w:rsidRPr="0082224B" w:rsidRDefault="0005441D" w:rsidP="004B46BA">
      <w:pPr>
        <w:pStyle w:val="Sraopastraipa"/>
        <w:numPr>
          <w:ilvl w:val="0"/>
          <w:numId w:val="21"/>
        </w:numPr>
        <w:ind w:left="567" w:hanging="567"/>
      </w:pPr>
      <w:proofErr w:type="spellStart"/>
      <w:r w:rsidRPr="004B46BA">
        <w:rPr>
          <w:sz w:val="22"/>
        </w:rPr>
        <w:t>Egzantema</w:t>
      </w:r>
      <w:proofErr w:type="spellEnd"/>
      <w:r w:rsidRPr="004B46BA">
        <w:rPr>
          <w:sz w:val="22"/>
        </w:rPr>
        <w:t xml:space="preserve">. </w:t>
      </w:r>
    </w:p>
    <w:p w14:paraId="632941CD" w14:textId="77777777" w:rsidR="00A052FA" w:rsidRPr="0082224B" w:rsidRDefault="00A052FA" w:rsidP="004B46BA"/>
    <w:p w14:paraId="40CE30CF" w14:textId="22A4F887" w:rsidR="00A052FA" w:rsidRPr="0082224B" w:rsidRDefault="00A052FA" w:rsidP="004B46BA">
      <w:pPr>
        <w:rPr>
          <w:i/>
        </w:rPr>
      </w:pPr>
      <w:r w:rsidRPr="00E829FA">
        <w:rPr>
          <w:b/>
          <w:bCs/>
          <w:noProof/>
          <w:snapToGrid w:val="0"/>
          <w:sz w:val="22"/>
          <w:szCs w:val="22"/>
        </w:rPr>
        <w:t>Reti šalutinio poveikio reiškiniai (gali pasireikšti</w:t>
      </w:r>
      <w:r w:rsidRPr="004B46BA">
        <w:rPr>
          <w:b/>
          <w:sz w:val="22"/>
        </w:rPr>
        <w:t xml:space="preserve"> rečiau kaip 1 iš </w:t>
      </w:r>
      <w:r w:rsidRPr="00E829FA">
        <w:rPr>
          <w:b/>
          <w:bCs/>
          <w:noProof/>
          <w:snapToGrid w:val="0"/>
          <w:sz w:val="22"/>
          <w:szCs w:val="22"/>
        </w:rPr>
        <w:t>1 000 asmenų):</w:t>
      </w:r>
    </w:p>
    <w:p w14:paraId="4598D3CD" w14:textId="77777777" w:rsidR="0005441D" w:rsidRPr="0082224B" w:rsidRDefault="0005441D" w:rsidP="004B46BA">
      <w:pPr>
        <w:pStyle w:val="Sraopastraipa"/>
        <w:numPr>
          <w:ilvl w:val="0"/>
          <w:numId w:val="22"/>
        </w:numPr>
        <w:ind w:left="567" w:hanging="567"/>
      </w:pPr>
      <w:r w:rsidRPr="004B46BA">
        <w:rPr>
          <w:sz w:val="22"/>
        </w:rPr>
        <w:t xml:space="preserve">Gali sumažėti baltųjų kraujo kūnelių skaičius (pasireikšti leukopenija). </w:t>
      </w:r>
    </w:p>
    <w:p w14:paraId="13022875" w14:textId="77777777" w:rsidR="0005441D" w:rsidRPr="0082224B" w:rsidRDefault="0005441D" w:rsidP="004B46BA">
      <w:pPr>
        <w:pStyle w:val="Sraopastraipa"/>
        <w:numPr>
          <w:ilvl w:val="0"/>
          <w:numId w:val="22"/>
        </w:numPr>
        <w:ind w:left="567" w:hanging="567"/>
      </w:pPr>
      <w:r w:rsidRPr="004B46BA">
        <w:rPr>
          <w:sz w:val="22"/>
        </w:rPr>
        <w:t xml:space="preserve">Inkstų funkcijos sutrikimas, </w:t>
      </w:r>
      <w:proofErr w:type="spellStart"/>
      <w:r w:rsidRPr="004B46BA">
        <w:rPr>
          <w:sz w:val="22"/>
        </w:rPr>
        <w:t>oligurija</w:t>
      </w:r>
      <w:proofErr w:type="spellEnd"/>
      <w:r w:rsidRPr="004B46BA">
        <w:rPr>
          <w:sz w:val="22"/>
        </w:rPr>
        <w:t xml:space="preserve"> (sumažėjęs šlapimo kiekis), </w:t>
      </w:r>
      <w:proofErr w:type="spellStart"/>
      <w:r w:rsidRPr="004B46BA">
        <w:rPr>
          <w:sz w:val="22"/>
        </w:rPr>
        <w:t>anurija</w:t>
      </w:r>
      <w:proofErr w:type="spellEnd"/>
      <w:r w:rsidRPr="004B46BA">
        <w:rPr>
          <w:sz w:val="22"/>
        </w:rPr>
        <w:t xml:space="preserve"> (šlapimo neišsiskyrimas), </w:t>
      </w:r>
      <w:proofErr w:type="spellStart"/>
      <w:r w:rsidRPr="004B46BA">
        <w:rPr>
          <w:sz w:val="22"/>
        </w:rPr>
        <w:t>proteinurija</w:t>
      </w:r>
      <w:proofErr w:type="spellEnd"/>
      <w:r w:rsidRPr="004B46BA">
        <w:rPr>
          <w:sz w:val="22"/>
        </w:rPr>
        <w:t xml:space="preserve"> (baltymas šlapime), </w:t>
      </w:r>
      <w:proofErr w:type="spellStart"/>
      <w:r w:rsidRPr="004B46BA">
        <w:rPr>
          <w:sz w:val="22"/>
        </w:rPr>
        <w:t>intersticinis</w:t>
      </w:r>
      <w:proofErr w:type="spellEnd"/>
      <w:r w:rsidRPr="004B46BA">
        <w:rPr>
          <w:sz w:val="22"/>
        </w:rPr>
        <w:t xml:space="preserve"> nefritas (inkstų uždegimas). </w:t>
      </w:r>
    </w:p>
    <w:p w14:paraId="54D6C0D5" w14:textId="77777777" w:rsidR="0005441D" w:rsidRPr="0082224B" w:rsidRDefault="0005441D" w:rsidP="004B46BA">
      <w:pPr>
        <w:pStyle w:val="Sraopastraipa"/>
        <w:numPr>
          <w:ilvl w:val="0"/>
          <w:numId w:val="22"/>
        </w:numPr>
        <w:ind w:left="567" w:hanging="567"/>
      </w:pPr>
      <w:r w:rsidRPr="004B46BA">
        <w:rPr>
          <w:sz w:val="22"/>
        </w:rPr>
        <w:t>Padidėjusio jautrumo reakcija: anafilaksinis šokas (staigus kraujospūdžio sumažėjimas, pasireiškiantis silpnumu, šalto prakaito atsiradimu bei sąmonės pritemimu), dilgėlinė, odos išbėrimas, ryklės ar kitoks patinimas.</w:t>
      </w:r>
    </w:p>
    <w:p w14:paraId="4DB08B49" w14:textId="77777777" w:rsidR="0005441D" w:rsidRPr="00E829FA" w:rsidRDefault="0005441D" w:rsidP="004B46BA">
      <w:pPr>
        <w:rPr>
          <w:kern w:val="16"/>
          <w:sz w:val="22"/>
          <w:szCs w:val="22"/>
        </w:rPr>
      </w:pPr>
      <w:r w:rsidRPr="00E829FA">
        <w:rPr>
          <w:sz w:val="22"/>
          <w:szCs w:val="22"/>
        </w:rPr>
        <w:t>Tokios reakcijos gali būti sunkios ir pavojingos gyvybei.</w:t>
      </w:r>
      <w:r w:rsidRPr="00E829FA">
        <w:rPr>
          <w:kern w:val="16"/>
          <w:sz w:val="22"/>
          <w:szCs w:val="22"/>
        </w:rPr>
        <w:t xml:space="preserve"> Pasireiškus bet kuriam iš paminėtų požymių, būtina nedelsiant nutraukti vaisto vartojimą ir kreiptis į gydytoją.</w:t>
      </w:r>
    </w:p>
    <w:p w14:paraId="6759BC32" w14:textId="77777777" w:rsidR="00A052FA" w:rsidRPr="00E829FA" w:rsidRDefault="00A052FA" w:rsidP="004B46BA">
      <w:pPr>
        <w:rPr>
          <w:kern w:val="16"/>
          <w:sz w:val="22"/>
          <w:szCs w:val="22"/>
        </w:rPr>
      </w:pPr>
    </w:p>
    <w:p w14:paraId="7895AA25" w14:textId="63536D76" w:rsidR="00A052FA" w:rsidRPr="00E829FA" w:rsidRDefault="00A052FA" w:rsidP="004B46BA">
      <w:pPr>
        <w:rPr>
          <w:sz w:val="22"/>
          <w:szCs w:val="22"/>
        </w:rPr>
      </w:pPr>
      <w:r w:rsidRPr="004B46BA">
        <w:rPr>
          <w:b/>
          <w:sz w:val="22"/>
        </w:rPr>
        <w:t xml:space="preserve">Labai </w:t>
      </w:r>
      <w:r w:rsidRPr="00E829FA">
        <w:rPr>
          <w:b/>
          <w:bCs/>
          <w:noProof/>
          <w:snapToGrid w:val="0"/>
          <w:sz w:val="22"/>
          <w:szCs w:val="22"/>
        </w:rPr>
        <w:t>reti šalutinio poveikio reiškiniai (gali pasireikšti</w:t>
      </w:r>
      <w:r w:rsidRPr="004B46BA">
        <w:rPr>
          <w:b/>
        </w:rPr>
        <w:t xml:space="preserve"> rečiau kaip 1 iš 10</w:t>
      </w:r>
      <w:r w:rsidRPr="00E829FA">
        <w:rPr>
          <w:b/>
          <w:bCs/>
          <w:noProof/>
          <w:snapToGrid w:val="0"/>
          <w:sz w:val="22"/>
          <w:szCs w:val="22"/>
        </w:rPr>
        <w:t> </w:t>
      </w:r>
      <w:r w:rsidRPr="004B46BA">
        <w:rPr>
          <w:b/>
        </w:rPr>
        <w:t xml:space="preserve">000 </w:t>
      </w:r>
      <w:r w:rsidRPr="00E829FA">
        <w:rPr>
          <w:b/>
          <w:bCs/>
          <w:noProof/>
          <w:snapToGrid w:val="0"/>
          <w:sz w:val="22"/>
          <w:szCs w:val="22"/>
        </w:rPr>
        <w:t>asmenų</w:t>
      </w:r>
      <w:r w:rsidRPr="00E829FA">
        <w:rPr>
          <w:b/>
          <w:bCs/>
          <w:iCs/>
          <w:kern w:val="16"/>
          <w:sz w:val="22"/>
          <w:szCs w:val="22"/>
        </w:rPr>
        <w:t>):</w:t>
      </w:r>
    </w:p>
    <w:p w14:paraId="29DF7CCB" w14:textId="7E1E87BA" w:rsidR="0005441D" w:rsidRPr="0082224B" w:rsidRDefault="0005441D" w:rsidP="004B46BA">
      <w:pPr>
        <w:pStyle w:val="Sraopastraipa"/>
        <w:numPr>
          <w:ilvl w:val="0"/>
          <w:numId w:val="23"/>
        </w:numPr>
        <w:ind w:left="567" w:hanging="567"/>
      </w:pPr>
      <w:r w:rsidRPr="004B46BA">
        <w:rPr>
          <w:sz w:val="22"/>
        </w:rPr>
        <w:t>Gali išnykti tam tikri baltieji kraujo kūneliai (pasireikšti agranulocitozė).</w:t>
      </w:r>
    </w:p>
    <w:p w14:paraId="4976D528" w14:textId="77777777" w:rsidR="0005441D" w:rsidRPr="0082224B" w:rsidRDefault="0005441D" w:rsidP="004B46BA">
      <w:pPr>
        <w:pStyle w:val="Sraopastraipa"/>
        <w:numPr>
          <w:ilvl w:val="0"/>
          <w:numId w:val="23"/>
        </w:numPr>
        <w:ind w:left="567" w:hanging="567"/>
      </w:pPr>
      <w:r w:rsidRPr="004B46BA">
        <w:rPr>
          <w:sz w:val="22"/>
        </w:rPr>
        <w:t>Trombocitų skaičiaus sumažėjimas (gali atsirasti kraujosruvų odoje ir gleivinėse bei nenormalus kraujavimas), venų uždegimas.</w:t>
      </w:r>
    </w:p>
    <w:p w14:paraId="6EDC2C55" w14:textId="20B679F2" w:rsidR="0005441D" w:rsidRPr="0082224B" w:rsidRDefault="0005441D" w:rsidP="004B46BA">
      <w:pPr>
        <w:pStyle w:val="Sraopastraipa"/>
        <w:numPr>
          <w:ilvl w:val="0"/>
          <w:numId w:val="23"/>
        </w:numPr>
        <w:ind w:left="567" w:hanging="567"/>
      </w:pPr>
      <w:r w:rsidRPr="004B46BA">
        <w:rPr>
          <w:kern w:val="16"/>
          <w:sz w:val="22"/>
        </w:rPr>
        <w:t xml:space="preserve">Pūslių atsiradimas ant odos, </w:t>
      </w:r>
      <w:r w:rsidRPr="004B46BA">
        <w:rPr>
          <w:sz w:val="22"/>
        </w:rPr>
        <w:t>jautrumo šviesai padidėjimas.</w:t>
      </w:r>
    </w:p>
    <w:p w14:paraId="4EC4F442" w14:textId="77777777" w:rsidR="00A052FA" w:rsidRPr="00E829FA" w:rsidRDefault="00A052FA" w:rsidP="004B46BA">
      <w:pPr>
        <w:rPr>
          <w:kern w:val="16"/>
          <w:sz w:val="22"/>
          <w:szCs w:val="22"/>
        </w:rPr>
      </w:pPr>
    </w:p>
    <w:p w14:paraId="3ECDACAA" w14:textId="31A787C2" w:rsidR="007B6830" w:rsidRDefault="00A052FA" w:rsidP="004B46BA">
      <w:pPr>
        <w:rPr>
          <w:sz w:val="22"/>
          <w:szCs w:val="22"/>
        </w:rPr>
      </w:pPr>
      <w:r w:rsidRPr="00E829FA">
        <w:rPr>
          <w:b/>
          <w:bCs/>
          <w:noProof/>
          <w:snapToGrid w:val="0"/>
          <w:sz w:val="22"/>
          <w:szCs w:val="22"/>
        </w:rPr>
        <w:t>Šalutinio poveikio reiškiniai, kurių dažnis nežinomas (negali būti apskaičiuotas pagal turimus duomenis):</w:t>
      </w:r>
      <w:r w:rsidRPr="004B46BA">
        <w:rPr>
          <w:b/>
          <w:sz w:val="22"/>
        </w:rPr>
        <w:t xml:space="preserve"> </w:t>
      </w:r>
      <w:r w:rsidRPr="00E829FA">
        <w:rPr>
          <w:sz w:val="22"/>
          <w:szCs w:val="22"/>
        </w:rPr>
        <w:t>skausmingumas švirkštimo vietoje, apetito pablogėjimas,</w:t>
      </w:r>
      <w:r w:rsidRPr="00E829FA">
        <w:rPr>
          <w:sz w:val="22"/>
          <w:szCs w:val="22"/>
          <w:lang w:eastAsia="lt-LT"/>
        </w:rPr>
        <w:t xml:space="preserve"> atsirasti nemalonus pojūtis pilve, pykinimas, viduriavimas,</w:t>
      </w:r>
      <w:r w:rsidRPr="00E829FA">
        <w:rPr>
          <w:sz w:val="22"/>
          <w:szCs w:val="22"/>
        </w:rPr>
        <w:t xml:space="preserve"> kraujavimas iš virškinimo trakto, opa, žarnų uždegimas ar jo paūmėjimas, kepenų uždegimas, odos ir akių baltymų pageltimas, kepenų fermentų aktyvumo kraujyje padidėjimas, galimas tulžies sąstovis, gelta, kepenų fermentų aktyvumo padidėjimas, galvos skausmas, svaigimas, </w:t>
      </w:r>
      <w:r w:rsidRPr="00E829FA">
        <w:rPr>
          <w:sz w:val="22"/>
          <w:szCs w:val="22"/>
          <w:lang w:eastAsia="lt-LT"/>
        </w:rPr>
        <w:t>sąmonės pritemimas</w:t>
      </w:r>
      <w:r w:rsidRPr="00E829FA">
        <w:rPr>
          <w:sz w:val="22"/>
          <w:szCs w:val="22"/>
        </w:rPr>
        <w:t>, mieguistumas, traukuliai, regos sutrikimas, klausos sutrikimas (pvz., spengimas ir ūžimas ausyse), kitokios lokalios audinių reakcijos, širdis gali pradėti plakti dažnai ir stipriai, oda gali tapti melsva</w:t>
      </w:r>
      <w:r w:rsidR="007B6830">
        <w:rPr>
          <w:sz w:val="22"/>
          <w:szCs w:val="22"/>
        </w:rPr>
        <w:t>.</w:t>
      </w:r>
    </w:p>
    <w:p w14:paraId="69A5B438" w14:textId="4301BF16" w:rsidR="007B6830" w:rsidRDefault="007B6830" w:rsidP="004B46BA">
      <w:pPr>
        <w:rPr>
          <w:sz w:val="22"/>
          <w:szCs w:val="22"/>
        </w:rPr>
      </w:pPr>
      <w:r>
        <w:rPr>
          <w:sz w:val="22"/>
          <w:szCs w:val="22"/>
        </w:rPr>
        <w:t>S</w:t>
      </w:r>
      <w:r w:rsidR="00D74945">
        <w:rPr>
          <w:sz w:val="22"/>
          <w:szCs w:val="22"/>
        </w:rPr>
        <w:t>unkios odos reakcijos</w:t>
      </w:r>
    </w:p>
    <w:p w14:paraId="74DB6901" w14:textId="6F2BFDB7" w:rsidR="00A052FA" w:rsidRPr="00E829FA" w:rsidRDefault="007B6830" w:rsidP="004B46BA">
      <w:pPr>
        <w:rPr>
          <w:sz w:val="22"/>
          <w:szCs w:val="22"/>
        </w:rPr>
      </w:pPr>
      <w:r>
        <w:rPr>
          <w:sz w:val="22"/>
          <w:szCs w:val="22"/>
        </w:rPr>
        <w:lastRenderedPageBreak/>
        <w:t xml:space="preserve">Nebevartokite metamizolo ir nedelsdami kreipkitės medicininės pagalbos pastebėję bent vieną iš toliau nurodytų sunkaus šalutinio poveikio reiškinių: </w:t>
      </w:r>
    </w:p>
    <w:p w14:paraId="4F1EC47D" w14:textId="77777777" w:rsidR="007B6830" w:rsidRDefault="007B6830" w:rsidP="007B6830">
      <w:pPr>
        <w:rPr>
          <w:sz w:val="22"/>
          <w:szCs w:val="22"/>
        </w:rPr>
      </w:pPr>
      <w:r>
        <w:rPr>
          <w:sz w:val="22"/>
          <w:szCs w:val="22"/>
        </w:rPr>
        <w:t>R</w:t>
      </w:r>
      <w:r w:rsidRPr="00D74945">
        <w:rPr>
          <w:sz w:val="22"/>
          <w:szCs w:val="22"/>
        </w:rPr>
        <w:t>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(Stivenso-Džonsono sindromas, toksinė epidermio nekrolizė);</w:t>
      </w:r>
    </w:p>
    <w:p w14:paraId="6A64CD38" w14:textId="77777777" w:rsidR="007B6830" w:rsidRDefault="007B6830" w:rsidP="007B6830">
      <w:pPr>
        <w:rPr>
          <w:sz w:val="22"/>
          <w:szCs w:val="22"/>
        </w:rPr>
      </w:pPr>
    </w:p>
    <w:p w14:paraId="3821C712" w14:textId="77777777" w:rsidR="007B6830" w:rsidRPr="00654C00" w:rsidRDefault="007B6830" w:rsidP="007B6830">
      <w:pPr>
        <w:rPr>
          <w:sz w:val="22"/>
          <w:szCs w:val="22"/>
        </w:rPr>
      </w:pPr>
      <w:r>
        <w:rPr>
          <w:sz w:val="22"/>
          <w:szCs w:val="22"/>
        </w:rPr>
        <w:t>I</w:t>
      </w:r>
      <w:r w:rsidRPr="00D74945">
        <w:rPr>
          <w:sz w:val="22"/>
          <w:szCs w:val="22"/>
        </w:rPr>
        <w:t>šplitęs išbėrimas, pakilusi kūno temperatūra ir padidėję limfmazgiai (DRESS sindromas arba padidėjusio jautrumo vaistui sindromas).</w:t>
      </w:r>
    </w:p>
    <w:p w14:paraId="66161B47" w14:textId="77777777" w:rsidR="000717F4" w:rsidRPr="0082224B" w:rsidRDefault="000717F4" w:rsidP="004B46BA"/>
    <w:p w14:paraId="77A25C9F" w14:textId="77777777" w:rsidR="00A052FA" w:rsidRPr="00E829FA" w:rsidRDefault="00A052FA" w:rsidP="00A052FA">
      <w:pPr>
        <w:numPr>
          <w:ilvl w:val="12"/>
          <w:numId w:val="0"/>
        </w:numPr>
        <w:outlineLvl w:val="0"/>
        <w:rPr>
          <w:b/>
          <w:noProof/>
          <w:sz w:val="22"/>
          <w:szCs w:val="22"/>
        </w:rPr>
      </w:pPr>
      <w:r w:rsidRPr="00E829FA">
        <w:rPr>
          <w:b/>
          <w:noProof/>
          <w:sz w:val="22"/>
          <w:szCs w:val="22"/>
        </w:rPr>
        <w:t>Pranešimas apie šalutinį poveikį</w:t>
      </w:r>
    </w:p>
    <w:p w14:paraId="5F47D8AE" w14:textId="488B4487" w:rsidR="00A052FA" w:rsidRPr="00CA234B" w:rsidRDefault="00E7716C" w:rsidP="00ED1D0B">
      <w:pPr>
        <w:pStyle w:val="BTEMEASMCA"/>
      </w:pPr>
      <w:r w:rsidRPr="00CA234B">
        <w:t>Jeigu pasireiškė šalutinis poveikis, įskaitant šiame lapelyje nenurodytą, pasakykite gydytojui</w:t>
      </w:r>
      <w:r w:rsidRPr="00E7716C">
        <w:rPr>
          <w:snapToGrid w:val="0"/>
        </w:rPr>
        <w:t xml:space="preserve"> arba</w:t>
      </w:r>
      <w:r w:rsidRPr="00CA234B">
        <w:t xml:space="preserve"> vaistininkui</w:t>
      </w:r>
      <w:r w:rsidRPr="00E7716C">
        <w:rPr>
          <w:snapToGrid w:val="0"/>
        </w:rPr>
        <w:t>.</w:t>
      </w:r>
      <w:r w:rsidRPr="00CA234B">
        <w:t xml:space="preserve"> Pranešimą apie šalutinį poveikį galite </w:t>
      </w:r>
      <w:r w:rsidRPr="00E7716C">
        <w:rPr>
          <w:snapToGrid w:val="0"/>
        </w:rPr>
        <w:t xml:space="preserve">užpildyti ir </w:t>
      </w:r>
      <w:r w:rsidRPr="00CA234B">
        <w:t xml:space="preserve">pateikti Valstybinės vaistų kontrolės tarnybos prie Lietuvos Respublikos sveikatos apsaugos ministerijos </w:t>
      </w:r>
      <w:r w:rsidRPr="00E7716C">
        <w:rPr>
          <w:snapToGrid w:val="0"/>
        </w:rPr>
        <w:t>tinklalapyje</w:t>
      </w:r>
      <w:r w:rsidRPr="00CA234B">
        <w:t xml:space="preserve"> </w:t>
      </w:r>
      <w:hyperlink r:id="rId9" w:history="1">
        <w:r w:rsidRPr="00ED53EF">
          <w:rPr>
            <w:rStyle w:val="Hipersaitas"/>
            <w:snapToGrid w:val="0"/>
          </w:rPr>
          <w:t>https://vvkt.lrv.lt/lt/</w:t>
        </w:r>
      </w:hyperlink>
      <w:r w:rsidRPr="00E7716C">
        <w:rPr>
          <w:snapToGrid w:val="0"/>
        </w:rPr>
        <w:t xml:space="preserve"> nurodytais būdais</w:t>
      </w:r>
      <w:r w:rsidRPr="00CA234B">
        <w:t xml:space="preserve"> arba </w:t>
      </w:r>
      <w:r w:rsidRPr="00E7716C">
        <w:rPr>
          <w:snapToGrid w:val="0"/>
        </w:rPr>
        <w:t>paskambinti</w:t>
      </w:r>
      <w:r w:rsidRPr="00CA234B">
        <w:t xml:space="preserve"> nemokamu telefonu 8 800 73 568. Pranešdami apie šalutinį poveikį galite mums padėti gauti daugiau informacijos apie šio vaisto saugumą.</w:t>
      </w:r>
    </w:p>
    <w:p w14:paraId="625076A8" w14:textId="77777777" w:rsidR="00A052FA" w:rsidRDefault="00A052FA" w:rsidP="00634EE3">
      <w:pPr>
        <w:pStyle w:val="BTEMEASMCA"/>
      </w:pPr>
    </w:p>
    <w:p w14:paraId="2BDA0268" w14:textId="77777777" w:rsidR="00BB652C" w:rsidRPr="00BD03D8" w:rsidRDefault="00BB652C" w:rsidP="00634EE3">
      <w:pPr>
        <w:pStyle w:val="BTEMEASMCA"/>
      </w:pPr>
    </w:p>
    <w:p w14:paraId="43E4F701" w14:textId="059FD279" w:rsidR="00A052FA" w:rsidRPr="00BD03D8" w:rsidRDefault="00A052FA" w:rsidP="00A052FA">
      <w:pPr>
        <w:pStyle w:val="PI-1EMEASMCA"/>
      </w:pPr>
      <w:bookmarkStart w:id="86" w:name="_Toc129243143"/>
      <w:bookmarkStart w:id="87" w:name="_Toc129243268"/>
      <w:r w:rsidRPr="00BD03D8">
        <w:t>5.</w:t>
      </w:r>
      <w:r w:rsidRPr="00BD03D8">
        <w:tab/>
      </w:r>
      <w:bookmarkEnd w:id="86"/>
      <w:bookmarkEnd w:id="87"/>
      <w:r w:rsidRPr="00BD03D8">
        <w:t>Kaip laikyti Analgin Sopharma</w:t>
      </w:r>
    </w:p>
    <w:p w14:paraId="41E4B163" w14:textId="77777777" w:rsidR="00A052FA" w:rsidRPr="00BD03D8" w:rsidRDefault="00A052FA" w:rsidP="00634EE3">
      <w:pPr>
        <w:pStyle w:val="BTEMEASMCA"/>
      </w:pPr>
    </w:p>
    <w:p w14:paraId="7D75FC80" w14:textId="77777777" w:rsidR="00A052FA" w:rsidRPr="0082224B" w:rsidRDefault="00A052FA" w:rsidP="004B46BA">
      <w:r w:rsidRPr="004B46BA">
        <w:rPr>
          <w:sz w:val="22"/>
        </w:rPr>
        <w:t>Šį vaistą laikykite vaikams nepastebimoje ir nepasiekiamoje vietoje.</w:t>
      </w:r>
    </w:p>
    <w:p w14:paraId="3264BD07" w14:textId="77777777" w:rsidR="00A052FA" w:rsidRPr="0082224B" w:rsidRDefault="00A052FA" w:rsidP="004B46BA"/>
    <w:p w14:paraId="5DB47934" w14:textId="77777777" w:rsidR="00A052FA" w:rsidRPr="00E829FA" w:rsidRDefault="00A052FA" w:rsidP="00E829FA">
      <w:pPr>
        <w:rPr>
          <w:sz w:val="22"/>
          <w:szCs w:val="22"/>
        </w:rPr>
      </w:pPr>
      <w:r w:rsidRPr="00E829FA">
        <w:rPr>
          <w:sz w:val="22"/>
          <w:szCs w:val="22"/>
        </w:rPr>
        <w:t>Šiam vaistui specialių laikymo sąlygų nereikia. Negalima užšaldyti.</w:t>
      </w:r>
    </w:p>
    <w:p w14:paraId="6F9A9A8D" w14:textId="77777777" w:rsidR="00A052FA" w:rsidRPr="00E829FA" w:rsidRDefault="00A052FA" w:rsidP="00E829FA">
      <w:pPr>
        <w:rPr>
          <w:sz w:val="22"/>
          <w:szCs w:val="22"/>
        </w:rPr>
      </w:pPr>
    </w:p>
    <w:p w14:paraId="19280B30" w14:textId="77777777" w:rsidR="00A052FA" w:rsidRPr="0082224B" w:rsidRDefault="00A052FA" w:rsidP="004B46BA">
      <w:r w:rsidRPr="004B46BA">
        <w:rPr>
          <w:sz w:val="22"/>
        </w:rPr>
        <w:t>Ant ampulės etiketės ir dėžutės po „EXP“ nurodytam tinkamumo laikui pasibaigus, šio vaisto vartoti negalima. Vaistas tinkamas vartoti iki paskutinės nurodyto mėnesio dienos.</w:t>
      </w:r>
    </w:p>
    <w:p w14:paraId="3041DC92" w14:textId="77777777" w:rsidR="00A052FA" w:rsidRPr="0082224B" w:rsidRDefault="00A052FA" w:rsidP="004B46BA"/>
    <w:p w14:paraId="69B7A65A" w14:textId="77777777" w:rsidR="00A052FA" w:rsidRPr="0082224B" w:rsidRDefault="00A052FA" w:rsidP="004B46BA">
      <w:r w:rsidRPr="004B46BA">
        <w:rPr>
          <w:sz w:val="22"/>
        </w:rPr>
        <w:t>Vaistų negalima išmesti į kanalizaciją arba su buitinėmis atliekomis. Kaip išmesti nereikalingus vaistus, klauskite vaistininko. Šios priemonės padės apsaugoti aplinką.</w:t>
      </w:r>
    </w:p>
    <w:p w14:paraId="2D8E1D31" w14:textId="77777777" w:rsidR="000717F4" w:rsidRPr="0082224B" w:rsidRDefault="000717F4" w:rsidP="004B46BA"/>
    <w:p w14:paraId="4002A463" w14:textId="77777777" w:rsidR="000717F4" w:rsidRPr="0082224B" w:rsidRDefault="000717F4" w:rsidP="004B46BA"/>
    <w:p w14:paraId="40693DA9" w14:textId="77777777" w:rsidR="000717F4" w:rsidRPr="0082224B" w:rsidRDefault="000717F4" w:rsidP="004B46BA">
      <w:pPr>
        <w:keepNext/>
        <w:keepLines/>
        <w:tabs>
          <w:tab w:val="left" w:pos="567"/>
        </w:tabs>
        <w:outlineLvl w:val="2"/>
      </w:pPr>
      <w:bookmarkStart w:id="88" w:name="_Toc129243144"/>
      <w:bookmarkStart w:id="89" w:name="_Toc129243269"/>
      <w:r w:rsidRPr="004B46BA">
        <w:rPr>
          <w:b/>
          <w:sz w:val="22"/>
        </w:rPr>
        <w:t>6.</w:t>
      </w:r>
      <w:r w:rsidRPr="004B46BA">
        <w:rPr>
          <w:sz w:val="22"/>
        </w:rPr>
        <w:tab/>
      </w:r>
      <w:bookmarkEnd w:id="88"/>
      <w:bookmarkEnd w:id="89"/>
      <w:r w:rsidRPr="004B46BA">
        <w:rPr>
          <w:b/>
          <w:sz w:val="22"/>
        </w:rPr>
        <w:t>Pakuotės turinys ir kita informacija</w:t>
      </w:r>
    </w:p>
    <w:p w14:paraId="206F521D" w14:textId="77777777" w:rsidR="000717F4" w:rsidRPr="0082224B" w:rsidRDefault="000717F4" w:rsidP="004B46BA">
      <w:pPr>
        <w:numPr>
          <w:ilvl w:val="12"/>
          <w:numId w:val="0"/>
        </w:numPr>
      </w:pPr>
    </w:p>
    <w:p w14:paraId="69ADF494" w14:textId="1DD46336" w:rsidR="000717F4" w:rsidRPr="0082224B" w:rsidRDefault="000717F4" w:rsidP="004B46BA">
      <w:pPr>
        <w:keepNext/>
        <w:tabs>
          <w:tab w:val="left" w:pos="567"/>
        </w:tabs>
        <w:spacing w:line="260" w:lineRule="exact"/>
        <w:jc w:val="both"/>
        <w:outlineLvl w:val="3"/>
      </w:pPr>
      <w:r w:rsidRPr="004B46BA">
        <w:rPr>
          <w:b/>
          <w:sz w:val="22"/>
        </w:rPr>
        <w:t>Analgin Sopharma sudėtis</w:t>
      </w:r>
      <w:r w:rsidRPr="005D554B">
        <w:rPr>
          <w:b/>
          <w:bCs/>
          <w:snapToGrid w:val="0"/>
          <w:sz w:val="22"/>
          <w:szCs w:val="28"/>
          <w:lang w:eastAsia="x-none"/>
        </w:rPr>
        <w:t xml:space="preserve"> </w:t>
      </w:r>
    </w:p>
    <w:p w14:paraId="36D893C8" w14:textId="77777777" w:rsidR="00204705" w:rsidRPr="0082224B" w:rsidRDefault="00204705" w:rsidP="004B46BA">
      <w:pPr>
        <w:pStyle w:val="Sraopastraipa"/>
        <w:numPr>
          <w:ilvl w:val="0"/>
          <w:numId w:val="24"/>
        </w:numPr>
        <w:ind w:left="567" w:hanging="567"/>
      </w:pPr>
      <w:r w:rsidRPr="004B46BA">
        <w:rPr>
          <w:sz w:val="22"/>
        </w:rPr>
        <w:t>Veiklioji medžiaga yra metamizolo natrio druska monohidratas. Viename mililitre tirpalo yra 500 mg metamizolo natrio druskos monohidrato. Vienoje 2 ml ampulėje yra 1000 mg metamizolo natrio druskos.</w:t>
      </w:r>
    </w:p>
    <w:p w14:paraId="2DAA2C76" w14:textId="77777777" w:rsidR="00204705" w:rsidRPr="0082224B" w:rsidRDefault="00204705" w:rsidP="004B46BA">
      <w:pPr>
        <w:pStyle w:val="Sraopastraipa"/>
        <w:numPr>
          <w:ilvl w:val="0"/>
          <w:numId w:val="24"/>
        </w:numPr>
        <w:ind w:left="567" w:hanging="567"/>
      </w:pPr>
      <w:r w:rsidRPr="004B46BA">
        <w:rPr>
          <w:sz w:val="22"/>
        </w:rPr>
        <w:t>Pagalbinė medžiaga yra injekcinis vanduo.</w:t>
      </w:r>
    </w:p>
    <w:p w14:paraId="78074757" w14:textId="77777777" w:rsidR="00A052FA" w:rsidRPr="0082224B" w:rsidRDefault="00A052FA" w:rsidP="004B46BA"/>
    <w:p w14:paraId="4A48D136" w14:textId="77777777" w:rsidR="00A052FA" w:rsidRPr="0082224B" w:rsidRDefault="00A052FA" w:rsidP="004B46BA">
      <w:r w:rsidRPr="004B46BA">
        <w:rPr>
          <w:b/>
          <w:sz w:val="22"/>
        </w:rPr>
        <w:t>Analgin Sopharma išvaizda ir kiekis pakuotėje</w:t>
      </w:r>
    </w:p>
    <w:p w14:paraId="668EE127" w14:textId="77777777" w:rsidR="00A052FA" w:rsidRPr="0082224B" w:rsidRDefault="00A052FA" w:rsidP="004B46BA">
      <w:r w:rsidRPr="004B46BA">
        <w:rPr>
          <w:sz w:val="22"/>
        </w:rPr>
        <w:t>Analgin Sopharma yra skaidrus bespalvis ar gelsvos spalvos injekcinis tirpalas.</w:t>
      </w:r>
    </w:p>
    <w:p w14:paraId="12607B86" w14:textId="77777777" w:rsidR="00A052FA" w:rsidRPr="0082224B" w:rsidRDefault="00A052FA" w:rsidP="004B46BA">
      <w:r w:rsidRPr="004B46BA">
        <w:rPr>
          <w:sz w:val="22"/>
        </w:rPr>
        <w:t xml:space="preserve">2 ml rudos spalvos I tipo stiklo ampulė </w:t>
      </w:r>
      <w:r w:rsidRPr="004B46BA">
        <w:rPr>
          <w:rStyle w:val="st"/>
          <w:rFonts w:eastAsia="SimSun"/>
          <w:sz w:val="22"/>
        </w:rPr>
        <w:t xml:space="preserve">su pažymėtu </w:t>
      </w:r>
      <w:r w:rsidRPr="004B46BA">
        <w:rPr>
          <w:rStyle w:val="Emfaz"/>
          <w:b w:val="0"/>
          <w:sz w:val="22"/>
        </w:rPr>
        <w:t>spalvotu ampulės atidarymo tašku</w:t>
      </w:r>
      <w:r w:rsidRPr="004B46BA">
        <w:rPr>
          <w:sz w:val="22"/>
        </w:rPr>
        <w:t>.  PVC lizdinėje plokštelėje yra 10 ampulių. Kartono dėžutėje yra 1 arba 10 lizdinių plokštelių ir pakuotės lapelis.</w:t>
      </w:r>
    </w:p>
    <w:p w14:paraId="1A6F7BCE" w14:textId="77777777" w:rsidR="00A052FA" w:rsidRPr="0082224B" w:rsidRDefault="00A052FA" w:rsidP="004B46BA"/>
    <w:p w14:paraId="41ED432F" w14:textId="77777777" w:rsidR="00A052FA" w:rsidRPr="00BD03D8" w:rsidRDefault="00A052FA" w:rsidP="00A052FA">
      <w:pPr>
        <w:autoSpaceDE w:val="0"/>
        <w:autoSpaceDN w:val="0"/>
        <w:adjustRightInd w:val="0"/>
        <w:rPr>
          <w:b/>
          <w:sz w:val="22"/>
          <w:szCs w:val="22"/>
          <w:lang w:eastAsia="bg-BG"/>
        </w:rPr>
      </w:pPr>
      <w:r w:rsidRPr="00BD03D8">
        <w:rPr>
          <w:b/>
          <w:sz w:val="22"/>
          <w:szCs w:val="22"/>
          <w:lang w:eastAsia="bg-BG"/>
        </w:rPr>
        <w:t>Registruotojas ir gamintojas</w:t>
      </w:r>
    </w:p>
    <w:p w14:paraId="46374880" w14:textId="235E686B" w:rsidR="00A052FA" w:rsidRPr="00512881" w:rsidRDefault="00A052FA" w:rsidP="00512881">
      <w:pPr>
        <w:rPr>
          <w:sz w:val="22"/>
          <w:szCs w:val="22"/>
        </w:rPr>
      </w:pPr>
    </w:p>
    <w:p w14:paraId="51E53BF4" w14:textId="77777777" w:rsidR="00A052FA" w:rsidRPr="00512881" w:rsidRDefault="00A052FA" w:rsidP="00512881">
      <w:pPr>
        <w:rPr>
          <w:sz w:val="22"/>
          <w:szCs w:val="22"/>
        </w:rPr>
      </w:pPr>
      <w:r w:rsidRPr="00512881">
        <w:rPr>
          <w:sz w:val="22"/>
          <w:szCs w:val="22"/>
        </w:rPr>
        <w:t xml:space="preserve">SOPHARMA AD </w:t>
      </w:r>
    </w:p>
    <w:p w14:paraId="6239D73B" w14:textId="77777777" w:rsidR="00A052FA" w:rsidRPr="00512881" w:rsidRDefault="00A052FA" w:rsidP="00512881">
      <w:pPr>
        <w:rPr>
          <w:sz w:val="22"/>
          <w:szCs w:val="22"/>
        </w:rPr>
      </w:pPr>
      <w:r w:rsidRPr="00512881">
        <w:rPr>
          <w:sz w:val="22"/>
          <w:szCs w:val="22"/>
        </w:rPr>
        <w:t xml:space="preserve">16 </w:t>
      </w:r>
      <w:proofErr w:type="spellStart"/>
      <w:r w:rsidRPr="00512881">
        <w:rPr>
          <w:sz w:val="22"/>
          <w:szCs w:val="22"/>
        </w:rPr>
        <w:t>Iliensko</w:t>
      </w:r>
      <w:proofErr w:type="spellEnd"/>
      <w:r w:rsidRPr="00512881">
        <w:rPr>
          <w:sz w:val="22"/>
          <w:szCs w:val="22"/>
        </w:rPr>
        <w:t xml:space="preserve"> </w:t>
      </w:r>
      <w:proofErr w:type="spellStart"/>
      <w:r w:rsidRPr="00512881">
        <w:rPr>
          <w:sz w:val="22"/>
          <w:szCs w:val="22"/>
        </w:rPr>
        <w:t>Shosse</w:t>
      </w:r>
      <w:proofErr w:type="spellEnd"/>
      <w:r w:rsidRPr="00512881">
        <w:rPr>
          <w:sz w:val="22"/>
          <w:szCs w:val="22"/>
        </w:rPr>
        <w:t xml:space="preserve"> Str. </w:t>
      </w:r>
    </w:p>
    <w:p w14:paraId="6002D93C" w14:textId="77777777" w:rsidR="00A052FA" w:rsidRPr="00512881" w:rsidRDefault="00A052FA" w:rsidP="00512881">
      <w:pPr>
        <w:rPr>
          <w:sz w:val="22"/>
          <w:szCs w:val="22"/>
        </w:rPr>
      </w:pPr>
      <w:proofErr w:type="spellStart"/>
      <w:r w:rsidRPr="00512881">
        <w:rPr>
          <w:sz w:val="22"/>
          <w:szCs w:val="22"/>
        </w:rPr>
        <w:t>Sofia</w:t>
      </w:r>
      <w:proofErr w:type="spellEnd"/>
      <w:r w:rsidRPr="00512881">
        <w:rPr>
          <w:sz w:val="22"/>
          <w:szCs w:val="22"/>
        </w:rPr>
        <w:t xml:space="preserve"> 1220 </w:t>
      </w:r>
    </w:p>
    <w:p w14:paraId="6854B4BA" w14:textId="77777777" w:rsidR="00A052FA" w:rsidRPr="00512881" w:rsidRDefault="00A052FA" w:rsidP="00512881">
      <w:pPr>
        <w:rPr>
          <w:sz w:val="22"/>
          <w:szCs w:val="22"/>
        </w:rPr>
      </w:pPr>
      <w:r w:rsidRPr="00512881">
        <w:rPr>
          <w:sz w:val="22"/>
          <w:szCs w:val="22"/>
        </w:rPr>
        <w:t>Bulgarija</w:t>
      </w:r>
    </w:p>
    <w:p w14:paraId="14A62CEC" w14:textId="77777777" w:rsidR="00A052FA" w:rsidRPr="0082224B" w:rsidRDefault="00A052FA" w:rsidP="004B46BA"/>
    <w:p w14:paraId="46161C0C" w14:textId="69E4D8F2" w:rsidR="00A052FA" w:rsidRPr="00512881" w:rsidRDefault="00A052FA" w:rsidP="00512881">
      <w:pPr>
        <w:rPr>
          <w:b/>
          <w:sz w:val="22"/>
          <w:szCs w:val="22"/>
        </w:rPr>
      </w:pPr>
      <w:r w:rsidRPr="00512881">
        <w:rPr>
          <w:b/>
          <w:sz w:val="22"/>
          <w:szCs w:val="22"/>
        </w:rPr>
        <w:t>Šis pakuotės lapelis paskutinį kartą peržiūrėtas</w:t>
      </w:r>
      <w:r w:rsidR="00E53F85">
        <w:rPr>
          <w:b/>
          <w:sz w:val="22"/>
          <w:szCs w:val="22"/>
        </w:rPr>
        <w:t xml:space="preserve"> 2025-04-14.</w:t>
      </w:r>
    </w:p>
    <w:p w14:paraId="593EC8AE" w14:textId="77777777" w:rsidR="00A052FA" w:rsidRPr="00512881" w:rsidRDefault="00A052FA" w:rsidP="00512881">
      <w:pPr>
        <w:rPr>
          <w:sz w:val="22"/>
          <w:szCs w:val="22"/>
        </w:rPr>
      </w:pPr>
    </w:p>
    <w:p w14:paraId="6775B5CD" w14:textId="0ACF8161" w:rsidR="00A052FA" w:rsidRPr="004B46BA" w:rsidRDefault="00A052FA" w:rsidP="004B46BA">
      <w:pPr>
        <w:rPr>
          <w:sz w:val="22"/>
        </w:rPr>
      </w:pPr>
      <w:r w:rsidRPr="00512881">
        <w:rPr>
          <w:sz w:val="22"/>
          <w:szCs w:val="22"/>
        </w:rPr>
        <w:t>Išsami informacija apie šį vaistą pateikiama Valstybinės vaistų kontrolės tarnybos prie Lietuvos Respublikos sveikatos apsaugos ministerijos tinklalapyje</w:t>
      </w:r>
      <w:r w:rsidRPr="00512881">
        <w:rPr>
          <w:i/>
          <w:sz w:val="22"/>
          <w:szCs w:val="22"/>
        </w:rPr>
        <w:t xml:space="preserve"> </w:t>
      </w:r>
      <w:hyperlink r:id="rId10" w:history="1">
        <w:r w:rsidR="000D260C" w:rsidRPr="000D260C">
          <w:rPr>
            <w:rStyle w:val="Hipersaitas"/>
            <w:sz w:val="22"/>
            <w:szCs w:val="22"/>
          </w:rPr>
          <w:t>https://vvkt.lrv.lt/lt/</w:t>
        </w:r>
      </w:hyperlink>
      <w:r w:rsidR="000D260C" w:rsidRPr="000D260C">
        <w:rPr>
          <w:sz w:val="22"/>
          <w:szCs w:val="22"/>
        </w:rPr>
        <w:t>.</w:t>
      </w:r>
    </w:p>
    <w:p w14:paraId="5ECB63DF" w14:textId="77777777" w:rsidR="005D0F2F" w:rsidRPr="00BD03D8" w:rsidRDefault="005D0F2F">
      <w:bookmarkStart w:id="90" w:name="_GoBack"/>
      <w:bookmarkEnd w:id="90"/>
    </w:p>
    <w:sectPr w:rsidR="005D0F2F" w:rsidRPr="00BD03D8" w:rsidSect="00B03257">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74342" w14:textId="77777777" w:rsidR="009205F0" w:rsidRDefault="009205F0">
      <w:r>
        <w:separator/>
      </w:r>
    </w:p>
  </w:endnote>
  <w:endnote w:type="continuationSeparator" w:id="0">
    <w:p w14:paraId="0DEA30C4" w14:textId="77777777" w:rsidR="009205F0" w:rsidRDefault="009205F0">
      <w:r>
        <w:continuationSeparator/>
      </w:r>
    </w:p>
  </w:endnote>
  <w:endnote w:type="continuationNotice" w:id="1">
    <w:p w14:paraId="5CFA8165" w14:textId="77777777" w:rsidR="009205F0" w:rsidRDefault="00920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sig w:usb0="00000000"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0D11B" w14:textId="77777777" w:rsidR="00240DB9" w:rsidRDefault="00240DB9" w:rsidP="00B0325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F2AB9C" w14:textId="77777777" w:rsidR="00240DB9" w:rsidRDefault="00240DB9" w:rsidP="00B0325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CFE2D" w14:textId="69CACA25" w:rsidR="00240DB9" w:rsidRPr="002F1235" w:rsidRDefault="00240DB9" w:rsidP="00B03257">
    <w:pPr>
      <w:pStyle w:val="Porat"/>
      <w:framePr w:wrap="around" w:vAnchor="text" w:hAnchor="margin" w:xAlign="right" w:y="1"/>
      <w:rPr>
        <w:rStyle w:val="Puslapionumeris"/>
        <w:sz w:val="22"/>
        <w:szCs w:val="22"/>
      </w:rPr>
    </w:pPr>
    <w:r w:rsidRPr="002F1235">
      <w:rPr>
        <w:rStyle w:val="Puslapionumeris"/>
        <w:sz w:val="22"/>
        <w:szCs w:val="22"/>
      </w:rPr>
      <w:fldChar w:fldCharType="begin"/>
    </w:r>
    <w:r w:rsidRPr="002F1235">
      <w:rPr>
        <w:rStyle w:val="Puslapionumeris"/>
        <w:sz w:val="22"/>
        <w:szCs w:val="22"/>
      </w:rPr>
      <w:instrText xml:space="preserve">PAGE  </w:instrText>
    </w:r>
    <w:r w:rsidRPr="002F1235">
      <w:rPr>
        <w:rStyle w:val="Puslapionumeris"/>
        <w:sz w:val="22"/>
        <w:szCs w:val="22"/>
      </w:rPr>
      <w:fldChar w:fldCharType="separate"/>
    </w:r>
    <w:r w:rsidR="00B274F9">
      <w:rPr>
        <w:rStyle w:val="Puslapionumeris"/>
        <w:noProof/>
        <w:sz w:val="22"/>
        <w:szCs w:val="22"/>
      </w:rPr>
      <w:t>23</w:t>
    </w:r>
    <w:r w:rsidRPr="002F1235">
      <w:rPr>
        <w:rStyle w:val="Puslapionumeris"/>
        <w:sz w:val="22"/>
        <w:szCs w:val="22"/>
      </w:rPr>
      <w:fldChar w:fldCharType="end"/>
    </w:r>
  </w:p>
  <w:p w14:paraId="4DFFCF33" w14:textId="77777777" w:rsidR="00240DB9" w:rsidRDefault="00240DB9" w:rsidP="00B0325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E5A64" w14:textId="77777777" w:rsidR="009205F0" w:rsidRDefault="009205F0">
      <w:r>
        <w:separator/>
      </w:r>
    </w:p>
  </w:footnote>
  <w:footnote w:type="continuationSeparator" w:id="0">
    <w:p w14:paraId="661FF2FB" w14:textId="77777777" w:rsidR="009205F0" w:rsidRDefault="009205F0">
      <w:r>
        <w:continuationSeparator/>
      </w:r>
    </w:p>
  </w:footnote>
  <w:footnote w:type="continuationNotice" w:id="1">
    <w:p w14:paraId="4EB77EBC" w14:textId="77777777" w:rsidR="009205F0" w:rsidRDefault="009205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5AD5B" w14:textId="77777777" w:rsidR="00CA234B" w:rsidRDefault="00CA23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228FF18"/>
    <w:lvl w:ilvl="0">
      <w:numFmt w:val="decimal"/>
      <w:pStyle w:val="PI-3EMEASMCA"/>
      <w:lvlText w:val="*"/>
      <w:lvlJc w:val="left"/>
      <w:rPr>
        <w:rFonts w:cs="Times New Roman"/>
      </w:rPr>
    </w:lvl>
  </w:abstractNum>
  <w:abstractNum w:abstractNumId="1" w15:restartNumberingAfterBreak="0">
    <w:nsid w:val="05DB5B8B"/>
    <w:multiLevelType w:val="hybridMultilevel"/>
    <w:tmpl w:val="3FCA9CA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4569C1"/>
    <w:multiLevelType w:val="hybridMultilevel"/>
    <w:tmpl w:val="1DEC64F8"/>
    <w:lvl w:ilvl="0" w:tplc="F0B299F0">
      <w:start w:val="1"/>
      <w:numFmt w:val="bullet"/>
      <w:lvlText w:val="-"/>
      <w:lvlJc w:val="left"/>
      <w:pPr>
        <w:ind w:left="720" w:hanging="360"/>
      </w:pPr>
      <w:rPr>
        <w:rFonts w:ascii="TimesNewRomanPSMT" w:eastAsia="Times New Roman" w:hAnsi="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417885"/>
    <w:multiLevelType w:val="hybridMultilevel"/>
    <w:tmpl w:val="332A1F0C"/>
    <w:lvl w:ilvl="0" w:tplc="25685696">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5427D5"/>
    <w:multiLevelType w:val="hybridMultilevel"/>
    <w:tmpl w:val="A88228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95E49"/>
    <w:multiLevelType w:val="hybridMultilevel"/>
    <w:tmpl w:val="A16C4710"/>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8A09AF"/>
    <w:multiLevelType w:val="hybridMultilevel"/>
    <w:tmpl w:val="83EC95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D07D8"/>
    <w:multiLevelType w:val="hybridMultilevel"/>
    <w:tmpl w:val="1CA8D1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D556C"/>
    <w:multiLevelType w:val="hybridMultilevel"/>
    <w:tmpl w:val="99DE77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B3DE8"/>
    <w:multiLevelType w:val="hybridMultilevel"/>
    <w:tmpl w:val="3CC818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3680F"/>
    <w:multiLevelType w:val="hybridMultilevel"/>
    <w:tmpl w:val="BC50F4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7348B"/>
    <w:multiLevelType w:val="hybridMultilevel"/>
    <w:tmpl w:val="8D569E98"/>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F753F"/>
    <w:multiLevelType w:val="hybridMultilevel"/>
    <w:tmpl w:val="6526E540"/>
    <w:lvl w:ilvl="0" w:tplc="11EE2B7E">
      <w:start w:val="1"/>
      <w:numFmt w:val="bullet"/>
      <w:lvlText w:val=""/>
      <w:lvlJc w:val="left"/>
      <w:pPr>
        <w:tabs>
          <w:tab w:val="num" w:pos="567"/>
        </w:tabs>
        <w:ind w:left="567" w:hanging="567"/>
      </w:pPr>
      <w:rPr>
        <w:rFonts w:ascii="Symbol" w:hAnsi="Symbol" w:hint="default"/>
      </w:rPr>
    </w:lvl>
    <w:lvl w:ilvl="1" w:tplc="99EA4B58">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D6A8713A"/>
    <w:lvl w:ilvl="0" w:tplc="3168BBE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15FCD"/>
    <w:multiLevelType w:val="hybridMultilevel"/>
    <w:tmpl w:val="E72656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E2793"/>
    <w:multiLevelType w:val="hybridMultilevel"/>
    <w:tmpl w:val="58CE3ABE"/>
    <w:lvl w:ilvl="0" w:tplc="11EE2B7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D73EAE"/>
    <w:multiLevelType w:val="hybridMultilevel"/>
    <w:tmpl w:val="9CAAA212"/>
    <w:lvl w:ilvl="0" w:tplc="CD98E3BE">
      <w:start w:val="1"/>
      <w:numFmt w:val="bullet"/>
      <w:lvlText w:val="-"/>
      <w:lvlJc w:val="left"/>
      <w:pPr>
        <w:ind w:left="720" w:hanging="360"/>
      </w:pPr>
      <w:rPr>
        <w:rFonts w:ascii="TimesNewRomanPSMT" w:eastAsia="Times New Roman" w:hAnsi="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E61D16"/>
    <w:multiLevelType w:val="hybridMultilevel"/>
    <w:tmpl w:val="26725C12"/>
    <w:lvl w:ilvl="0" w:tplc="11EE2B7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041457"/>
    <w:multiLevelType w:val="hybridMultilevel"/>
    <w:tmpl w:val="20A81B2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30163"/>
    <w:multiLevelType w:val="hybridMultilevel"/>
    <w:tmpl w:val="A232D0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667A5"/>
    <w:multiLevelType w:val="hybridMultilevel"/>
    <w:tmpl w:val="22E6121E"/>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71992"/>
    <w:multiLevelType w:val="hybridMultilevel"/>
    <w:tmpl w:val="4A8A0E1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75626"/>
    <w:multiLevelType w:val="hybridMultilevel"/>
    <w:tmpl w:val="625CC6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D93DEF"/>
    <w:multiLevelType w:val="hybridMultilevel"/>
    <w:tmpl w:val="95E26DF4"/>
    <w:lvl w:ilvl="0" w:tplc="11EE2B7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036609"/>
    <w:multiLevelType w:val="hybridMultilevel"/>
    <w:tmpl w:val="77AA4A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D55F2"/>
    <w:multiLevelType w:val="hybridMultilevel"/>
    <w:tmpl w:val="9FBC9A7C"/>
    <w:lvl w:ilvl="0" w:tplc="F354A58A">
      <w:start w:val="1"/>
      <w:numFmt w:val="bullet"/>
      <w:lvlText w:val="-"/>
      <w:lvlJc w:val="left"/>
      <w:pPr>
        <w:ind w:left="720" w:hanging="360"/>
      </w:pPr>
      <w:rPr>
        <w:rFonts w:ascii="TimesNewRomanPSMT" w:eastAsia="Times New Roman" w:hAnsi="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FD2EDC"/>
    <w:multiLevelType w:val="multilevel"/>
    <w:tmpl w:val="8F0C6534"/>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DC78D1"/>
    <w:multiLevelType w:val="hybridMultilevel"/>
    <w:tmpl w:val="8D22CD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5678A"/>
    <w:multiLevelType w:val="hybridMultilevel"/>
    <w:tmpl w:val="D154284E"/>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12445"/>
    <w:multiLevelType w:val="hybridMultilevel"/>
    <w:tmpl w:val="2CB8F6C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34058"/>
    <w:multiLevelType w:val="hybridMultilevel"/>
    <w:tmpl w:val="7F3A58A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72A80"/>
    <w:multiLevelType w:val="hybridMultilevel"/>
    <w:tmpl w:val="1FB83784"/>
    <w:lvl w:ilvl="0" w:tplc="4342AFCE">
      <w:start w:val="1"/>
      <w:numFmt w:val="bullet"/>
      <w:lvlText w:val="-"/>
      <w:lvlJc w:val="left"/>
      <w:pPr>
        <w:ind w:left="720" w:hanging="360"/>
      </w:pPr>
      <w:rPr>
        <w:rFonts w:ascii="TimesNewRomanPSMT" w:eastAsia="Times New Roman" w:hAnsi="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72C2028"/>
    <w:multiLevelType w:val="hybridMultilevel"/>
    <w:tmpl w:val="D164A6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570999"/>
    <w:multiLevelType w:val="hybridMultilevel"/>
    <w:tmpl w:val="D7520DFE"/>
    <w:lvl w:ilvl="0" w:tplc="11EE2B7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EB6E87"/>
    <w:multiLevelType w:val="hybridMultilevel"/>
    <w:tmpl w:val="9A286A76"/>
    <w:lvl w:ilvl="0" w:tplc="AAAE4E4E">
      <w:start w:val="1"/>
      <w:numFmt w:val="bullet"/>
      <w:lvlText w:val="-"/>
      <w:lvlJc w:val="left"/>
      <w:pPr>
        <w:ind w:left="720" w:hanging="360"/>
      </w:pPr>
      <w:rPr>
        <w:rFonts w:ascii="TimesNewRomanPSMT" w:eastAsia="Times New Roman" w:hAnsi="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893BEE"/>
    <w:multiLevelType w:val="hybridMultilevel"/>
    <w:tmpl w:val="BADAD06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926780"/>
    <w:multiLevelType w:val="hybridMultilevel"/>
    <w:tmpl w:val="C7825A0E"/>
    <w:lvl w:ilvl="0" w:tplc="11EE2B7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num>
  <w:num w:numId="6">
    <w:abstractNumId w:val="23"/>
  </w:num>
  <w:num w:numId="7">
    <w:abstractNumId w:val="33"/>
  </w:num>
  <w:num w:numId="8">
    <w:abstractNumId w:val="17"/>
  </w:num>
  <w:num w:numId="9">
    <w:abstractNumId w:val="26"/>
  </w:num>
  <w:num w:numId="10">
    <w:abstractNumId w:val="7"/>
  </w:num>
  <w:num w:numId="11">
    <w:abstractNumId w:val="3"/>
  </w:num>
  <w:num w:numId="12">
    <w:abstractNumId w:val="13"/>
  </w:num>
  <w:num w:numId="13">
    <w:abstractNumId w:val="7"/>
  </w:num>
  <w:num w:numId="14">
    <w:abstractNumId w:val="18"/>
  </w:num>
  <w:num w:numId="15">
    <w:abstractNumId w:val="5"/>
  </w:num>
  <w:num w:numId="16">
    <w:abstractNumId w:val="0"/>
    <w:lvlOverride w:ilvl="0">
      <w:lvl w:ilvl="0">
        <w:start w:val="1"/>
        <w:numFmt w:val="bullet"/>
        <w:pStyle w:val="PI-3EMEASMCA"/>
        <w:lvlText w:val="-"/>
        <w:lvlJc w:val="left"/>
        <w:pPr>
          <w:ind w:left="720" w:hanging="360"/>
        </w:pPr>
      </w:lvl>
    </w:lvlOverride>
  </w:num>
  <w:num w:numId="17">
    <w:abstractNumId w:val="9"/>
  </w:num>
  <w:num w:numId="18">
    <w:abstractNumId w:val="35"/>
  </w:num>
  <w:num w:numId="19">
    <w:abstractNumId w:val="6"/>
  </w:num>
  <w:num w:numId="20">
    <w:abstractNumId w:val="28"/>
  </w:num>
  <w:num w:numId="21">
    <w:abstractNumId w:val="4"/>
  </w:num>
  <w:num w:numId="22">
    <w:abstractNumId w:val="8"/>
  </w:num>
  <w:num w:numId="23">
    <w:abstractNumId w:val="20"/>
  </w:num>
  <w:num w:numId="24">
    <w:abstractNumId w:val="11"/>
  </w:num>
  <w:num w:numId="25">
    <w:abstractNumId w:val="32"/>
  </w:num>
  <w:num w:numId="26">
    <w:abstractNumId w:val="19"/>
  </w:num>
  <w:num w:numId="27">
    <w:abstractNumId w:val="21"/>
  </w:num>
  <w:num w:numId="28">
    <w:abstractNumId w:val="27"/>
  </w:num>
  <w:num w:numId="29">
    <w:abstractNumId w:val="10"/>
  </w:num>
  <w:num w:numId="30">
    <w:abstractNumId w:val="24"/>
  </w:num>
  <w:num w:numId="31">
    <w:abstractNumId w:val="14"/>
  </w:num>
  <w:num w:numId="32">
    <w:abstractNumId w:val="22"/>
  </w:num>
  <w:num w:numId="33">
    <w:abstractNumId w:val="29"/>
  </w:num>
  <w:num w:numId="34">
    <w:abstractNumId w:val="30"/>
  </w:num>
  <w:num w:numId="35">
    <w:abstractNumId w:val="16"/>
  </w:num>
  <w:num w:numId="36">
    <w:abstractNumId w:val="25"/>
  </w:num>
  <w:num w:numId="37">
    <w:abstractNumId w:val="2"/>
  </w:num>
  <w:num w:numId="38">
    <w:abstractNumId w:val="31"/>
  </w:num>
  <w:num w:numId="39">
    <w:abstractNumId w:val="34"/>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2FA"/>
    <w:rsid w:val="0003566A"/>
    <w:rsid w:val="0005441D"/>
    <w:rsid w:val="000717F4"/>
    <w:rsid w:val="00087249"/>
    <w:rsid w:val="000C2824"/>
    <w:rsid w:val="000D260C"/>
    <w:rsid w:val="000D68EC"/>
    <w:rsid w:val="00107E39"/>
    <w:rsid w:val="001406F1"/>
    <w:rsid w:val="0014448D"/>
    <w:rsid w:val="00145787"/>
    <w:rsid w:val="00165C8A"/>
    <w:rsid w:val="00174581"/>
    <w:rsid w:val="0019401D"/>
    <w:rsid w:val="00195D01"/>
    <w:rsid w:val="001B64BB"/>
    <w:rsid w:val="001E1741"/>
    <w:rsid w:val="001F2B8E"/>
    <w:rsid w:val="001F4E36"/>
    <w:rsid w:val="00204705"/>
    <w:rsid w:val="00222AC1"/>
    <w:rsid w:val="00225CEE"/>
    <w:rsid w:val="00230FD3"/>
    <w:rsid w:val="00240DB9"/>
    <w:rsid w:val="00243DC6"/>
    <w:rsid w:val="00264973"/>
    <w:rsid w:val="00293BB5"/>
    <w:rsid w:val="002A1D66"/>
    <w:rsid w:val="002A5F87"/>
    <w:rsid w:val="002B6CD6"/>
    <w:rsid w:val="002B713E"/>
    <w:rsid w:val="002C0547"/>
    <w:rsid w:val="002C5069"/>
    <w:rsid w:val="002D4E52"/>
    <w:rsid w:val="002D6A34"/>
    <w:rsid w:val="0031029D"/>
    <w:rsid w:val="00311ACD"/>
    <w:rsid w:val="00316E8D"/>
    <w:rsid w:val="00351C61"/>
    <w:rsid w:val="00376088"/>
    <w:rsid w:val="003815AB"/>
    <w:rsid w:val="003839CB"/>
    <w:rsid w:val="003A1C7C"/>
    <w:rsid w:val="003B6E80"/>
    <w:rsid w:val="003C12B6"/>
    <w:rsid w:val="003C614E"/>
    <w:rsid w:val="003E6470"/>
    <w:rsid w:val="00410AF9"/>
    <w:rsid w:val="0042468D"/>
    <w:rsid w:val="004478FE"/>
    <w:rsid w:val="00456539"/>
    <w:rsid w:val="00466F50"/>
    <w:rsid w:val="00484C05"/>
    <w:rsid w:val="00484FF5"/>
    <w:rsid w:val="004A5F51"/>
    <w:rsid w:val="004B46BA"/>
    <w:rsid w:val="004C6F61"/>
    <w:rsid w:val="004E27B6"/>
    <w:rsid w:val="00501F11"/>
    <w:rsid w:val="005032DF"/>
    <w:rsid w:val="00510564"/>
    <w:rsid w:val="00511C4B"/>
    <w:rsid w:val="00512881"/>
    <w:rsid w:val="00521F58"/>
    <w:rsid w:val="0055772D"/>
    <w:rsid w:val="005720AB"/>
    <w:rsid w:val="0057283A"/>
    <w:rsid w:val="00586CD1"/>
    <w:rsid w:val="005D0F2F"/>
    <w:rsid w:val="00605DA1"/>
    <w:rsid w:val="00606F32"/>
    <w:rsid w:val="00615CE0"/>
    <w:rsid w:val="00624BBD"/>
    <w:rsid w:val="00630FC4"/>
    <w:rsid w:val="00634EE3"/>
    <w:rsid w:val="006500B3"/>
    <w:rsid w:val="00654C00"/>
    <w:rsid w:val="006574D6"/>
    <w:rsid w:val="00683FD7"/>
    <w:rsid w:val="006A086F"/>
    <w:rsid w:val="006C512F"/>
    <w:rsid w:val="007123EA"/>
    <w:rsid w:val="0072596A"/>
    <w:rsid w:val="00743A9A"/>
    <w:rsid w:val="007464AC"/>
    <w:rsid w:val="007465D7"/>
    <w:rsid w:val="00760113"/>
    <w:rsid w:val="00772049"/>
    <w:rsid w:val="00777463"/>
    <w:rsid w:val="007842B9"/>
    <w:rsid w:val="00796899"/>
    <w:rsid w:val="007A3946"/>
    <w:rsid w:val="007B6830"/>
    <w:rsid w:val="007D2696"/>
    <w:rsid w:val="007F23E8"/>
    <w:rsid w:val="007F4E73"/>
    <w:rsid w:val="0082224B"/>
    <w:rsid w:val="008523AA"/>
    <w:rsid w:val="00876C5A"/>
    <w:rsid w:val="008850DA"/>
    <w:rsid w:val="008A4B6E"/>
    <w:rsid w:val="008C4532"/>
    <w:rsid w:val="008D5549"/>
    <w:rsid w:val="008F3E4F"/>
    <w:rsid w:val="00902BB9"/>
    <w:rsid w:val="009205F0"/>
    <w:rsid w:val="00954B2E"/>
    <w:rsid w:val="009A0FD3"/>
    <w:rsid w:val="009A74DC"/>
    <w:rsid w:val="00A052FA"/>
    <w:rsid w:val="00A41465"/>
    <w:rsid w:val="00A53D23"/>
    <w:rsid w:val="00A60F9E"/>
    <w:rsid w:val="00A61BCD"/>
    <w:rsid w:val="00A61EE7"/>
    <w:rsid w:val="00A62AEC"/>
    <w:rsid w:val="00A6381F"/>
    <w:rsid w:val="00AB097D"/>
    <w:rsid w:val="00AB2E84"/>
    <w:rsid w:val="00AB6086"/>
    <w:rsid w:val="00AC3359"/>
    <w:rsid w:val="00AE41A2"/>
    <w:rsid w:val="00AE41BB"/>
    <w:rsid w:val="00AE65F3"/>
    <w:rsid w:val="00AF3AEF"/>
    <w:rsid w:val="00B03257"/>
    <w:rsid w:val="00B21BA2"/>
    <w:rsid w:val="00B274F9"/>
    <w:rsid w:val="00B5244C"/>
    <w:rsid w:val="00B75D6B"/>
    <w:rsid w:val="00B76483"/>
    <w:rsid w:val="00B90E25"/>
    <w:rsid w:val="00BB652C"/>
    <w:rsid w:val="00BD03D8"/>
    <w:rsid w:val="00BE2BC4"/>
    <w:rsid w:val="00BE5D44"/>
    <w:rsid w:val="00BF5B3E"/>
    <w:rsid w:val="00C15D59"/>
    <w:rsid w:val="00C9437E"/>
    <w:rsid w:val="00CA234B"/>
    <w:rsid w:val="00CD2ED7"/>
    <w:rsid w:val="00CD739E"/>
    <w:rsid w:val="00D020C3"/>
    <w:rsid w:val="00D15ECB"/>
    <w:rsid w:val="00D32568"/>
    <w:rsid w:val="00D35940"/>
    <w:rsid w:val="00D74945"/>
    <w:rsid w:val="00D86FE7"/>
    <w:rsid w:val="00DB4C67"/>
    <w:rsid w:val="00DB4FF1"/>
    <w:rsid w:val="00DD7232"/>
    <w:rsid w:val="00DF58D2"/>
    <w:rsid w:val="00DF655F"/>
    <w:rsid w:val="00E46904"/>
    <w:rsid w:val="00E53F85"/>
    <w:rsid w:val="00E71A1D"/>
    <w:rsid w:val="00E7716C"/>
    <w:rsid w:val="00E829FA"/>
    <w:rsid w:val="00EB7B49"/>
    <w:rsid w:val="00ED1D0B"/>
    <w:rsid w:val="00EE7886"/>
    <w:rsid w:val="00EF0623"/>
    <w:rsid w:val="00F00965"/>
    <w:rsid w:val="00F043E5"/>
    <w:rsid w:val="00F34B5F"/>
    <w:rsid w:val="00F45115"/>
    <w:rsid w:val="00F51081"/>
    <w:rsid w:val="00F64F0D"/>
    <w:rsid w:val="00FA40A9"/>
    <w:rsid w:val="00FA494C"/>
    <w:rsid w:val="00FB1A2A"/>
    <w:rsid w:val="00FD106F"/>
    <w:rsid w:val="00FF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843D"/>
  <w15:chartTrackingRefBased/>
  <w15:docId w15:val="{C9D35AC1-1DED-4132-B4FF-FA4191C4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1BA2"/>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A052F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052F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052F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A052FA"/>
    <w:pPr>
      <w:keepNext/>
      <w:keepLines/>
      <w:spacing w:before="200"/>
      <w:outlineLvl w:val="3"/>
    </w:pPr>
    <w:rPr>
      <w:rFonts w:ascii="Calibri Light" w:hAnsi="Calibri Light"/>
      <w:b/>
      <w:bCs/>
      <w:i/>
      <w:iCs/>
      <w:color w:val="4472C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052FA"/>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A052FA"/>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A052FA"/>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
    <w:semiHidden/>
    <w:rsid w:val="00A052FA"/>
    <w:rPr>
      <w:rFonts w:ascii="Calibri Light" w:eastAsia="Times New Roman" w:hAnsi="Calibri Light" w:cs="Times New Roman"/>
      <w:b/>
      <w:bCs/>
      <w:i/>
      <w:iCs/>
      <w:color w:val="4472C4"/>
      <w:sz w:val="24"/>
      <w:szCs w:val="24"/>
      <w:lang w:val="lt-LT"/>
    </w:rPr>
  </w:style>
  <w:style w:type="character" w:styleId="Hipersaitas">
    <w:name w:val="Hyperlink"/>
    <w:uiPriority w:val="99"/>
    <w:rsid w:val="00A052FA"/>
    <w:rPr>
      <w:color w:val="0000FF"/>
      <w:u w:val="single"/>
    </w:rPr>
  </w:style>
  <w:style w:type="paragraph" w:customStyle="1" w:styleId="PI-1EMEASMCA">
    <w:name w:val="PI-1 EMEA_SMCA"/>
    <w:basedOn w:val="Antrat2"/>
    <w:autoRedefine/>
    <w:rsid w:val="00A052FA"/>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A052FA"/>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A052FA"/>
    <w:rPr>
      <w:rFonts w:ascii="Times New Roman" w:eastAsia="Times New Roman" w:hAnsi="Times New Roman" w:cs="Times New Roman"/>
      <w:b/>
      <w:noProof/>
      <w:lang w:val="lt-LT"/>
    </w:rPr>
  </w:style>
  <w:style w:type="paragraph" w:customStyle="1" w:styleId="PI-2EMEASMCA">
    <w:name w:val="PI-2 EMEA_SMCA"/>
    <w:basedOn w:val="Antrat3"/>
    <w:autoRedefine/>
    <w:rsid w:val="00A052FA"/>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34EE3"/>
    <w:rPr>
      <w:sz w:val="22"/>
      <w:szCs w:val="22"/>
    </w:rPr>
  </w:style>
  <w:style w:type="character" w:customStyle="1" w:styleId="BTEMEASMCAChar">
    <w:name w:val="BT EMEA_SMCA Char"/>
    <w:link w:val="BTEMEASMCA"/>
    <w:rsid w:val="00634EE3"/>
    <w:rPr>
      <w:rFonts w:ascii="Times New Roman" w:eastAsia="Times New Roman" w:hAnsi="Times New Roman" w:cs="Times New Roman"/>
      <w:lang w:val="lt-LT"/>
    </w:rPr>
  </w:style>
  <w:style w:type="paragraph" w:customStyle="1" w:styleId="TTEMEASMCA">
    <w:name w:val="TT EMEA_SMCA"/>
    <w:basedOn w:val="Antrat1"/>
    <w:link w:val="TTEMEASMCAChar"/>
    <w:autoRedefine/>
    <w:rsid w:val="00A052FA"/>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A052FA"/>
    <w:rPr>
      <w:rFonts w:ascii="Times New Roman" w:eastAsia="Times New Roman" w:hAnsi="Times New Roman" w:cs="Times New Roman"/>
      <w:b/>
      <w:caps/>
    </w:rPr>
  </w:style>
  <w:style w:type="paragraph" w:customStyle="1" w:styleId="BTAnIIEMEASMCA">
    <w:name w:val="BT(AnII) EMEA_SMCA"/>
    <w:basedOn w:val="Debesliotekstas"/>
    <w:autoRedefine/>
    <w:rsid w:val="00A052FA"/>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A052F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052FA"/>
    <w:rPr>
      <w:rFonts w:ascii="Tahoma" w:eastAsia="Times New Roman" w:hAnsi="Tahoma" w:cs="Tahoma"/>
      <w:sz w:val="16"/>
      <w:szCs w:val="16"/>
      <w:lang w:val="lt-LT"/>
    </w:rPr>
  </w:style>
  <w:style w:type="paragraph" w:customStyle="1" w:styleId="BT-EMEASMCA">
    <w:name w:val="BT- EMEA_SMCA"/>
    <w:basedOn w:val="BTEMEASMCA"/>
    <w:autoRedefine/>
    <w:rsid w:val="00243DC6"/>
    <w:rPr>
      <w:b/>
      <w:bCs/>
      <w:lang w:val="en-US"/>
    </w:rPr>
  </w:style>
  <w:style w:type="paragraph" w:customStyle="1" w:styleId="PI-3EMEASMCA">
    <w:name w:val="PI-3 EMEA_SMCA"/>
    <w:basedOn w:val="prastasis"/>
    <w:autoRedefine/>
    <w:rsid w:val="00B21BA2"/>
    <w:pPr>
      <w:numPr>
        <w:numId w:val="16"/>
      </w:numPr>
      <w:spacing w:line="220" w:lineRule="exact"/>
      <w:ind w:left="567" w:hanging="567"/>
    </w:pPr>
    <w:rPr>
      <w:b/>
      <w:bCs/>
      <w:sz w:val="22"/>
      <w:szCs w:val="22"/>
    </w:rPr>
  </w:style>
  <w:style w:type="paragraph" w:customStyle="1" w:styleId="BTbEMEASMCA">
    <w:name w:val="BT(b) EMEA_SMCA"/>
    <w:basedOn w:val="BTEMEASMCA"/>
    <w:autoRedefine/>
    <w:rsid w:val="00A052FA"/>
    <w:rPr>
      <w:b/>
    </w:rPr>
  </w:style>
  <w:style w:type="paragraph" w:customStyle="1" w:styleId="BTbeEMEASMCA">
    <w:name w:val="BT(be) EMEA_SMCA"/>
    <w:basedOn w:val="BTEMEASMCA"/>
    <w:autoRedefine/>
    <w:rsid w:val="00A052FA"/>
    <w:pPr>
      <w:jc w:val="center"/>
    </w:pPr>
    <w:rPr>
      <w:b/>
    </w:rPr>
  </w:style>
  <w:style w:type="paragraph" w:customStyle="1" w:styleId="BTeEMEASMCA">
    <w:name w:val="BT(e) EMEA_SMCA"/>
    <w:basedOn w:val="BTEMEASMCA"/>
    <w:autoRedefine/>
    <w:rsid w:val="00A052FA"/>
    <w:pPr>
      <w:jc w:val="center"/>
    </w:pPr>
  </w:style>
  <w:style w:type="paragraph" w:customStyle="1" w:styleId="BTgEMEASMCA">
    <w:name w:val="BT(g) EMEA_SMCA"/>
    <w:basedOn w:val="BTEMEASMCA"/>
    <w:link w:val="BTgEMEASMCAChar"/>
    <w:autoRedefine/>
    <w:rsid w:val="00A052FA"/>
    <w:rPr>
      <w:i/>
      <w:color w:val="008000"/>
    </w:rPr>
  </w:style>
  <w:style w:type="character" w:customStyle="1" w:styleId="BTgEMEASMCAChar">
    <w:name w:val="BT(g) EMEA_SMCA Char"/>
    <w:link w:val="BTgEMEASMCA"/>
    <w:rsid w:val="00A052FA"/>
    <w:rPr>
      <w:rFonts w:ascii="Times New Roman" w:eastAsia="Times New Roman" w:hAnsi="Times New Roman" w:cs="Times New Roman"/>
      <w:i/>
      <w:color w:val="008000"/>
      <w:lang w:val="lt-LT"/>
    </w:rPr>
  </w:style>
  <w:style w:type="paragraph" w:customStyle="1" w:styleId="BTuEMEASMCA">
    <w:name w:val="BT(u) EMEA_SMCA"/>
    <w:basedOn w:val="BTEMEASMCA"/>
    <w:autoRedefine/>
    <w:rsid w:val="00A052FA"/>
    <w:rPr>
      <w:u w:val="single"/>
    </w:rPr>
  </w:style>
  <w:style w:type="character" w:customStyle="1" w:styleId="DokumentostruktraDiagrama">
    <w:name w:val="Dokumento struktūra Diagrama"/>
    <w:basedOn w:val="Numatytasispastraiposriftas"/>
    <w:link w:val="Dokumentostruktra"/>
    <w:semiHidden/>
    <w:rsid w:val="00A052FA"/>
    <w:rPr>
      <w:rFonts w:ascii="Tahoma" w:eastAsia="Times New Roman" w:hAnsi="Tahoma" w:cs="Tahoma"/>
      <w:sz w:val="20"/>
      <w:szCs w:val="20"/>
      <w:shd w:val="clear" w:color="auto" w:fill="000080"/>
      <w:lang w:val="lt-LT"/>
    </w:rPr>
  </w:style>
  <w:style w:type="paragraph" w:styleId="Dokumentostruktra">
    <w:name w:val="Document Map"/>
    <w:basedOn w:val="prastasis"/>
    <w:link w:val="DokumentostruktraDiagrama"/>
    <w:semiHidden/>
    <w:rsid w:val="00A052FA"/>
    <w:pPr>
      <w:shd w:val="clear" w:color="auto" w:fill="000080"/>
    </w:pPr>
    <w:rPr>
      <w:rFonts w:ascii="Tahoma" w:hAnsi="Tahoma" w:cs="Tahoma"/>
      <w:sz w:val="20"/>
      <w:szCs w:val="20"/>
    </w:rPr>
  </w:style>
  <w:style w:type="character" w:customStyle="1" w:styleId="DocumentMapChar1">
    <w:name w:val="Document Map Char1"/>
    <w:basedOn w:val="Numatytasispastraiposriftas"/>
    <w:uiPriority w:val="99"/>
    <w:semiHidden/>
    <w:rsid w:val="00B21BA2"/>
    <w:rPr>
      <w:rFonts w:ascii="Segoe UI" w:eastAsia="Times New Roman" w:hAnsi="Segoe UI" w:cs="Segoe UI"/>
      <w:sz w:val="16"/>
      <w:szCs w:val="16"/>
      <w:lang w:val="lt-LT"/>
    </w:rPr>
  </w:style>
  <w:style w:type="paragraph" w:styleId="Pagrindinistekstas">
    <w:name w:val="Body Text"/>
    <w:basedOn w:val="prastasis"/>
    <w:link w:val="PagrindinistekstasDiagrama"/>
    <w:rsid w:val="00A052FA"/>
    <w:pPr>
      <w:spacing w:line="360" w:lineRule="auto"/>
      <w:jc w:val="both"/>
    </w:pPr>
    <w:rPr>
      <w:rFonts w:ascii="Arial" w:hAnsi="Arial"/>
      <w:szCs w:val="20"/>
    </w:rPr>
  </w:style>
  <w:style w:type="character" w:customStyle="1" w:styleId="PagrindinistekstasDiagrama">
    <w:name w:val="Pagrindinis tekstas Diagrama"/>
    <w:basedOn w:val="Numatytasispastraiposriftas"/>
    <w:link w:val="Pagrindinistekstas"/>
    <w:rsid w:val="00A052FA"/>
    <w:rPr>
      <w:rFonts w:ascii="Arial" w:eastAsia="Times New Roman" w:hAnsi="Arial" w:cs="Times New Roman"/>
      <w:sz w:val="24"/>
      <w:szCs w:val="20"/>
      <w:lang w:val="lt-LT"/>
    </w:rPr>
  </w:style>
  <w:style w:type="paragraph" w:styleId="Pagrindinistekstas2">
    <w:name w:val="Body Text 2"/>
    <w:basedOn w:val="prastasis"/>
    <w:link w:val="Pagrindinistekstas2Diagrama"/>
    <w:rsid w:val="00A052FA"/>
    <w:pPr>
      <w:spacing w:after="120" w:line="480" w:lineRule="auto"/>
    </w:pPr>
  </w:style>
  <w:style w:type="character" w:customStyle="1" w:styleId="Pagrindinistekstas2Diagrama">
    <w:name w:val="Pagrindinis tekstas 2 Diagrama"/>
    <w:basedOn w:val="Numatytasispastraiposriftas"/>
    <w:link w:val="Pagrindinistekstas2"/>
    <w:rsid w:val="00A052FA"/>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rsid w:val="00A052FA"/>
    <w:pPr>
      <w:spacing w:after="120"/>
    </w:pPr>
    <w:rPr>
      <w:sz w:val="16"/>
      <w:szCs w:val="16"/>
    </w:rPr>
  </w:style>
  <w:style w:type="character" w:customStyle="1" w:styleId="Pagrindinistekstas3Diagrama">
    <w:name w:val="Pagrindinis tekstas 3 Diagrama"/>
    <w:basedOn w:val="Numatytasispastraiposriftas"/>
    <w:link w:val="Pagrindinistekstas3"/>
    <w:rsid w:val="00A052FA"/>
    <w:rPr>
      <w:rFonts w:ascii="Times New Roman" w:eastAsia="Times New Roman" w:hAnsi="Times New Roman" w:cs="Times New Roman"/>
      <w:sz w:val="16"/>
      <w:szCs w:val="16"/>
      <w:lang w:val="lt-LT"/>
    </w:rPr>
  </w:style>
  <w:style w:type="paragraph" w:styleId="Pavadinimas">
    <w:name w:val="Title"/>
    <w:basedOn w:val="prastasis"/>
    <w:link w:val="PavadinimasDiagrama"/>
    <w:qFormat/>
    <w:rsid w:val="00A052FA"/>
    <w:pPr>
      <w:ind w:right="10"/>
      <w:jc w:val="center"/>
      <w:outlineLvl w:val="0"/>
    </w:pPr>
    <w:rPr>
      <w:rFonts w:ascii="Times New Roman Bold" w:hAnsi="Times New Roman Bold"/>
      <w:b/>
      <w:sz w:val="28"/>
      <w:szCs w:val="20"/>
    </w:rPr>
  </w:style>
  <w:style w:type="character" w:customStyle="1" w:styleId="PavadinimasDiagrama">
    <w:name w:val="Pavadinimas Diagrama"/>
    <w:basedOn w:val="Numatytasispastraiposriftas"/>
    <w:link w:val="Pavadinimas"/>
    <w:rsid w:val="00A052FA"/>
    <w:rPr>
      <w:rFonts w:ascii="Times New Roman Bold" w:eastAsia="Times New Roman" w:hAnsi="Times New Roman Bold" w:cs="Times New Roman"/>
      <w:b/>
      <w:sz w:val="28"/>
      <w:szCs w:val="20"/>
      <w:lang w:val="lt-LT"/>
    </w:rPr>
  </w:style>
  <w:style w:type="character" w:customStyle="1" w:styleId="KomentarotekstasDiagrama">
    <w:name w:val="Komentaro tekstas Diagrama"/>
    <w:basedOn w:val="Numatytasispastraiposriftas"/>
    <w:link w:val="Komentarotekstas"/>
    <w:semiHidden/>
    <w:rsid w:val="00A052FA"/>
    <w:rPr>
      <w:rFonts w:ascii="Times New Roman" w:eastAsia="Times New Roman" w:hAnsi="Times New Roman" w:cs="Times New Roman"/>
      <w:sz w:val="20"/>
      <w:szCs w:val="20"/>
      <w:lang w:val="lt-LT"/>
    </w:rPr>
  </w:style>
  <w:style w:type="paragraph" w:styleId="Komentarotekstas">
    <w:name w:val="annotation text"/>
    <w:basedOn w:val="prastasis"/>
    <w:link w:val="KomentarotekstasDiagrama"/>
    <w:semiHidden/>
    <w:rsid w:val="00A052FA"/>
    <w:rPr>
      <w:sz w:val="20"/>
      <w:szCs w:val="20"/>
    </w:rPr>
  </w:style>
  <w:style w:type="character" w:customStyle="1" w:styleId="CommentTextChar1">
    <w:name w:val="Comment Text Char1"/>
    <w:basedOn w:val="Numatytasispastraiposriftas"/>
    <w:uiPriority w:val="99"/>
    <w:semiHidden/>
    <w:rsid w:val="00A052FA"/>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semiHidden/>
    <w:rsid w:val="00A052FA"/>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semiHidden/>
    <w:rsid w:val="00A052FA"/>
    <w:rPr>
      <w:b/>
      <w:bCs/>
    </w:rPr>
  </w:style>
  <w:style w:type="character" w:customStyle="1" w:styleId="CommentSubjectChar1">
    <w:name w:val="Comment Subject Char1"/>
    <w:basedOn w:val="CommentTextChar1"/>
    <w:uiPriority w:val="99"/>
    <w:semiHidden/>
    <w:rsid w:val="00A052FA"/>
    <w:rPr>
      <w:rFonts w:ascii="Times New Roman" w:eastAsia="Times New Roman" w:hAnsi="Times New Roman" w:cs="Times New Roman"/>
      <w:b/>
      <w:bCs/>
      <w:sz w:val="20"/>
      <w:szCs w:val="20"/>
      <w:lang w:val="lt-LT"/>
    </w:rPr>
  </w:style>
  <w:style w:type="paragraph" w:styleId="Porat">
    <w:name w:val="footer"/>
    <w:basedOn w:val="prastasis"/>
    <w:link w:val="PoratDiagrama"/>
    <w:rsid w:val="00A052FA"/>
    <w:pPr>
      <w:tabs>
        <w:tab w:val="center" w:pos="4819"/>
        <w:tab w:val="right" w:pos="9638"/>
      </w:tabs>
    </w:pPr>
  </w:style>
  <w:style w:type="character" w:customStyle="1" w:styleId="PoratDiagrama">
    <w:name w:val="Poraštė Diagrama"/>
    <w:basedOn w:val="Numatytasispastraiposriftas"/>
    <w:link w:val="Porat"/>
    <w:rsid w:val="00A052FA"/>
    <w:rPr>
      <w:rFonts w:ascii="Times New Roman" w:eastAsia="Times New Roman" w:hAnsi="Times New Roman" w:cs="Times New Roman"/>
      <w:sz w:val="24"/>
      <w:szCs w:val="24"/>
      <w:lang w:val="lt-LT"/>
    </w:rPr>
  </w:style>
  <w:style w:type="character" w:styleId="Puslapionumeris">
    <w:name w:val="page number"/>
    <w:basedOn w:val="Numatytasispastraiposriftas"/>
    <w:rsid w:val="00A052FA"/>
  </w:style>
  <w:style w:type="paragraph" w:styleId="Antrats">
    <w:name w:val="header"/>
    <w:basedOn w:val="prastasis"/>
    <w:link w:val="AntratsDiagrama"/>
    <w:rsid w:val="00A052FA"/>
    <w:pPr>
      <w:tabs>
        <w:tab w:val="center" w:pos="4819"/>
        <w:tab w:val="right" w:pos="9638"/>
      </w:tabs>
    </w:pPr>
  </w:style>
  <w:style w:type="character" w:customStyle="1" w:styleId="AntratsDiagrama">
    <w:name w:val="Antraštės Diagrama"/>
    <w:basedOn w:val="Numatytasispastraiposriftas"/>
    <w:link w:val="Antrats"/>
    <w:rsid w:val="00A052FA"/>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A052FA"/>
    <w:pPr>
      <w:ind w:left="720"/>
      <w:contextualSpacing/>
    </w:pPr>
  </w:style>
  <w:style w:type="paragraph" w:styleId="Paprastasistekstas">
    <w:name w:val="Plain Text"/>
    <w:basedOn w:val="prastasis"/>
    <w:link w:val="PaprastasistekstasDiagrama"/>
    <w:uiPriority w:val="99"/>
    <w:rsid w:val="00A052FA"/>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A052FA"/>
    <w:rPr>
      <w:rFonts w:ascii="Courier New" w:eastAsia="SimSun" w:hAnsi="Courier New" w:cs="Times New Roman"/>
      <w:sz w:val="20"/>
      <w:szCs w:val="20"/>
    </w:rPr>
  </w:style>
  <w:style w:type="character" w:customStyle="1" w:styleId="hps">
    <w:name w:val="hps"/>
    <w:basedOn w:val="Numatytasispastraiposriftas"/>
    <w:rsid w:val="00A052FA"/>
  </w:style>
  <w:style w:type="character" w:styleId="Emfaz">
    <w:name w:val="Emphasis"/>
    <w:uiPriority w:val="20"/>
    <w:qFormat/>
    <w:rsid w:val="00A052FA"/>
    <w:rPr>
      <w:b/>
      <w:bCs/>
      <w:i w:val="0"/>
      <w:iCs w:val="0"/>
    </w:rPr>
  </w:style>
  <w:style w:type="character" w:customStyle="1" w:styleId="st">
    <w:name w:val="st"/>
    <w:basedOn w:val="Numatytasispastraiposriftas"/>
    <w:rsid w:val="00A052FA"/>
  </w:style>
  <w:style w:type="character" w:customStyle="1" w:styleId="shorttext">
    <w:name w:val="short_text"/>
    <w:basedOn w:val="Numatytasispastraiposriftas"/>
    <w:rsid w:val="00A052FA"/>
  </w:style>
  <w:style w:type="paragraph" w:styleId="Pataisymai">
    <w:name w:val="Revision"/>
    <w:hidden/>
    <w:uiPriority w:val="99"/>
    <w:semiHidden/>
    <w:rsid w:val="00A052FA"/>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7B6830"/>
    <w:rPr>
      <w:sz w:val="16"/>
      <w:szCs w:val="16"/>
    </w:rPr>
  </w:style>
  <w:style w:type="character" w:customStyle="1" w:styleId="UnresolvedMention">
    <w:name w:val="Unresolved Mention"/>
    <w:basedOn w:val="Numatytasispastraiposriftas"/>
    <w:uiPriority w:val="99"/>
    <w:semiHidden/>
    <w:unhideWhenUsed/>
    <w:rsid w:val="00E77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4134">
      <w:bodyDiv w:val="1"/>
      <w:marLeft w:val="0"/>
      <w:marRight w:val="0"/>
      <w:marTop w:val="0"/>
      <w:marBottom w:val="0"/>
      <w:divBdr>
        <w:top w:val="none" w:sz="0" w:space="0" w:color="auto"/>
        <w:left w:val="none" w:sz="0" w:space="0" w:color="auto"/>
        <w:bottom w:val="none" w:sz="0" w:space="0" w:color="auto"/>
        <w:right w:val="none" w:sz="0" w:space="0" w:color="auto"/>
      </w:divBdr>
    </w:div>
    <w:div w:id="172233028">
      <w:bodyDiv w:val="1"/>
      <w:marLeft w:val="0"/>
      <w:marRight w:val="0"/>
      <w:marTop w:val="0"/>
      <w:marBottom w:val="0"/>
      <w:divBdr>
        <w:top w:val="none" w:sz="0" w:space="0" w:color="auto"/>
        <w:left w:val="none" w:sz="0" w:space="0" w:color="auto"/>
        <w:bottom w:val="none" w:sz="0" w:space="0" w:color="auto"/>
        <w:right w:val="none" w:sz="0" w:space="0" w:color="auto"/>
      </w:divBdr>
    </w:div>
    <w:div w:id="188757935">
      <w:bodyDiv w:val="1"/>
      <w:marLeft w:val="0"/>
      <w:marRight w:val="0"/>
      <w:marTop w:val="0"/>
      <w:marBottom w:val="0"/>
      <w:divBdr>
        <w:top w:val="none" w:sz="0" w:space="0" w:color="auto"/>
        <w:left w:val="none" w:sz="0" w:space="0" w:color="auto"/>
        <w:bottom w:val="none" w:sz="0" w:space="0" w:color="auto"/>
        <w:right w:val="none" w:sz="0" w:space="0" w:color="auto"/>
      </w:divBdr>
    </w:div>
    <w:div w:id="287708509">
      <w:bodyDiv w:val="1"/>
      <w:marLeft w:val="0"/>
      <w:marRight w:val="0"/>
      <w:marTop w:val="0"/>
      <w:marBottom w:val="0"/>
      <w:divBdr>
        <w:top w:val="none" w:sz="0" w:space="0" w:color="auto"/>
        <w:left w:val="none" w:sz="0" w:space="0" w:color="auto"/>
        <w:bottom w:val="none" w:sz="0" w:space="0" w:color="auto"/>
        <w:right w:val="none" w:sz="0" w:space="0" w:color="auto"/>
      </w:divBdr>
    </w:div>
    <w:div w:id="420176024">
      <w:bodyDiv w:val="1"/>
      <w:marLeft w:val="0"/>
      <w:marRight w:val="0"/>
      <w:marTop w:val="0"/>
      <w:marBottom w:val="0"/>
      <w:divBdr>
        <w:top w:val="none" w:sz="0" w:space="0" w:color="auto"/>
        <w:left w:val="none" w:sz="0" w:space="0" w:color="auto"/>
        <w:bottom w:val="none" w:sz="0" w:space="0" w:color="auto"/>
        <w:right w:val="none" w:sz="0" w:space="0" w:color="auto"/>
      </w:divBdr>
    </w:div>
    <w:div w:id="595210079">
      <w:bodyDiv w:val="1"/>
      <w:marLeft w:val="0"/>
      <w:marRight w:val="0"/>
      <w:marTop w:val="0"/>
      <w:marBottom w:val="0"/>
      <w:divBdr>
        <w:top w:val="none" w:sz="0" w:space="0" w:color="auto"/>
        <w:left w:val="none" w:sz="0" w:space="0" w:color="auto"/>
        <w:bottom w:val="none" w:sz="0" w:space="0" w:color="auto"/>
        <w:right w:val="none" w:sz="0" w:space="0" w:color="auto"/>
      </w:divBdr>
    </w:div>
    <w:div w:id="927273989">
      <w:bodyDiv w:val="1"/>
      <w:marLeft w:val="0"/>
      <w:marRight w:val="0"/>
      <w:marTop w:val="0"/>
      <w:marBottom w:val="0"/>
      <w:divBdr>
        <w:top w:val="none" w:sz="0" w:space="0" w:color="auto"/>
        <w:left w:val="none" w:sz="0" w:space="0" w:color="auto"/>
        <w:bottom w:val="none" w:sz="0" w:space="0" w:color="auto"/>
        <w:right w:val="none" w:sz="0" w:space="0" w:color="auto"/>
      </w:divBdr>
    </w:div>
    <w:div w:id="975141562">
      <w:bodyDiv w:val="1"/>
      <w:marLeft w:val="0"/>
      <w:marRight w:val="0"/>
      <w:marTop w:val="0"/>
      <w:marBottom w:val="0"/>
      <w:divBdr>
        <w:top w:val="none" w:sz="0" w:space="0" w:color="auto"/>
        <w:left w:val="none" w:sz="0" w:space="0" w:color="auto"/>
        <w:bottom w:val="none" w:sz="0" w:space="0" w:color="auto"/>
        <w:right w:val="none" w:sz="0" w:space="0" w:color="auto"/>
      </w:divBdr>
    </w:div>
    <w:div w:id="1248881022">
      <w:bodyDiv w:val="1"/>
      <w:marLeft w:val="0"/>
      <w:marRight w:val="0"/>
      <w:marTop w:val="0"/>
      <w:marBottom w:val="0"/>
      <w:divBdr>
        <w:top w:val="none" w:sz="0" w:space="0" w:color="auto"/>
        <w:left w:val="none" w:sz="0" w:space="0" w:color="auto"/>
        <w:bottom w:val="none" w:sz="0" w:space="0" w:color="auto"/>
        <w:right w:val="none" w:sz="0" w:space="0" w:color="auto"/>
      </w:divBdr>
    </w:div>
    <w:div w:id="1399207370">
      <w:bodyDiv w:val="1"/>
      <w:marLeft w:val="0"/>
      <w:marRight w:val="0"/>
      <w:marTop w:val="0"/>
      <w:marBottom w:val="0"/>
      <w:divBdr>
        <w:top w:val="none" w:sz="0" w:space="0" w:color="auto"/>
        <w:left w:val="none" w:sz="0" w:space="0" w:color="auto"/>
        <w:bottom w:val="none" w:sz="0" w:space="0" w:color="auto"/>
        <w:right w:val="none" w:sz="0" w:space="0" w:color="auto"/>
      </w:divBdr>
    </w:div>
    <w:div w:id="1796411508">
      <w:bodyDiv w:val="1"/>
      <w:marLeft w:val="0"/>
      <w:marRight w:val="0"/>
      <w:marTop w:val="0"/>
      <w:marBottom w:val="0"/>
      <w:divBdr>
        <w:top w:val="none" w:sz="0" w:space="0" w:color="auto"/>
        <w:left w:val="none" w:sz="0" w:space="0" w:color="auto"/>
        <w:bottom w:val="none" w:sz="0" w:space="0" w:color="auto"/>
        <w:right w:val="none" w:sz="0" w:space="0" w:color="auto"/>
      </w:divBdr>
    </w:div>
    <w:div w:id="2093041082">
      <w:bodyDiv w:val="1"/>
      <w:marLeft w:val="0"/>
      <w:marRight w:val="0"/>
      <w:marTop w:val="0"/>
      <w:marBottom w:val="0"/>
      <w:divBdr>
        <w:top w:val="none" w:sz="0" w:space="0" w:color="auto"/>
        <w:left w:val="none" w:sz="0" w:space="0" w:color="auto"/>
        <w:bottom w:val="none" w:sz="0" w:space="0" w:color="auto"/>
        <w:right w:val="none" w:sz="0" w:space="0" w:color="auto"/>
      </w:divBdr>
    </w:div>
    <w:div w:id="214410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29654</Words>
  <Characters>16904</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2025-04-15T11:53:00Z</dcterms:created>
  <dcterms:modified xsi:type="dcterms:W3CDTF">2025-04-15T11:58:00Z</dcterms:modified>
</cp:coreProperties>
</file>