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8000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I PRIEDAS</w:t>
      </w: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 xml:space="preserve">PREPARATO </w:t>
      </w:r>
      <w:smartTag w:uri="schemas-tilde-lt/tildestengine" w:element="templates">
        <w:smartTagPr>
          <w:attr w:name="baseform" w:val="charakteristik|a"/>
          <w:attr w:name="id" w:val="-1"/>
          <w:attr w:name="text" w:val="CHARAKTERISTIKŲ"/>
        </w:smartTagPr>
        <w:r w:rsidRPr="00ED41BB">
          <w:rPr>
            <w:rFonts w:ascii="Times New Roman" w:eastAsia="Times New Roman" w:hAnsi="Times New Roman" w:cs="Times New Roman"/>
            <w:b/>
            <w:lang w:val="lt-LT"/>
          </w:rPr>
          <w:t>CHARAKTERISTIKŲ</w:t>
        </w:r>
      </w:smartTag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SANTRAUKA</w:t>
      </w: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DF4AC6" w:rsidP="00DF4AC6">
      <w:pPr>
        <w:tabs>
          <w:tab w:val="left" w:pos="-144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br w:type="page"/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lastRenderedPageBreak/>
        <w:t>1.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VAISTINIO</w:t>
      </w:r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PREPARATO PAVADINIMAS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CARDIL 120 mg modifikuoto atpalaidavimo tabletės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2.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kokybinė ir kiekybinė sudėtis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Vienoje modifikuoto atpalaidavimo tabletėje yra 120</w:t>
      </w:r>
      <w:r w:rsidR="00A6536A"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mg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Pagalbinė (-s) medžiaga (-</w:t>
      </w:r>
      <w:proofErr w:type="spellStart"/>
      <w:r w:rsidRPr="00ED41BB">
        <w:rPr>
          <w:rFonts w:ascii="Times New Roman" w:eastAsia="Times New Roman" w:hAnsi="Times New Roman" w:cs="Times New Roman"/>
          <w:u w:val="single"/>
          <w:lang w:val="lt-LT"/>
        </w:rPr>
        <w:t>os</w:t>
      </w:r>
      <w:proofErr w:type="spellEnd"/>
      <w:r w:rsidRPr="00ED41BB">
        <w:rPr>
          <w:rFonts w:ascii="Times New Roman" w:eastAsia="Times New Roman" w:hAnsi="Times New Roman" w:cs="Times New Roman"/>
          <w:u w:val="single"/>
          <w:lang w:val="lt-LT"/>
        </w:rPr>
        <w:t>), kurios (-</w:t>
      </w:r>
      <w:proofErr w:type="spellStart"/>
      <w:r w:rsidRPr="00ED41BB">
        <w:rPr>
          <w:rFonts w:ascii="Times New Roman" w:eastAsia="Times New Roman" w:hAnsi="Times New Roman" w:cs="Times New Roman"/>
          <w:u w:val="single"/>
          <w:lang w:val="lt-LT"/>
        </w:rPr>
        <w:t>ių</w:t>
      </w:r>
      <w:proofErr w:type="spellEnd"/>
      <w:r w:rsidRPr="00ED41BB">
        <w:rPr>
          <w:rFonts w:ascii="Times New Roman" w:eastAsia="Times New Roman" w:hAnsi="Times New Roman" w:cs="Times New Roman"/>
          <w:u w:val="single"/>
          <w:lang w:val="lt-LT"/>
        </w:rPr>
        <w:t>) poveikis žinomas: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Kiekvienoje tabletėje yra 114 mg laktozės ir apie 0,6 mg sacharozės.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Visos pagalbinės medžiagos išvardytos 6.1 skyriuje.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3.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lang w:val="lt-LT"/>
        </w:rPr>
        <w:t>FARMACINĖ</w:t>
      </w:r>
      <w:r w:rsidRPr="00ED41BB" w:rsidDel="007C19FE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forma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Modifikuoto atpalaidavimo tabletė.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Baltos arba balkšvos, plėvele dengtos tabletės, su abipuse vagele, vienoje pusėje pažymėtas kodas DL/120, matmenys – 6 x 14 mm.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ED41BB">
        <w:rPr>
          <w:rFonts w:ascii="Times New Roman" w:eastAsia="Times New Roman" w:hAnsi="Times New Roman" w:cs="Times New Roman"/>
          <w:noProof/>
          <w:snapToGrid w:val="0"/>
          <w:lang w:val="lt-LT"/>
        </w:rPr>
        <w:lastRenderedPageBreak/>
        <w:t>Tabletę galima padalyti į lygias dozes.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klinikinĖ informacija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4.1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Terapinės indikacijos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Krūtinės anginos gydymas ir priepuolių profilaktika.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Arterinės hipertenzijos gydymas.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4.2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Dozavimas ir vartojimo metodas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Dozavimas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Dozė priklauso nuo gydomo sutrikimo, ją reikia koreguoti titruojant pagal kiekvieno paciento poreikius. Įprastinė dozė yra nuo 180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 xml:space="preserve">240 mg per parą. Didžiausia paros dozė yra 360 mg.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Krūtinės angina ir hipertenzija: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Pradinė dozė yra 180 mg per parą. Ją galima didinti kas 2–4 dienas atsižvelgiant į paciento reakciją į vaistą.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Senyviems žmonėms ar pacientams, kuriems sutrikusi kepenų ar inkstų funkcija, pradinė dozė turėtų būti mažesnė.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Nėra duomenų apie vaikų gydymą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Vartojimo metodas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CARDIL tabletes reikia nuryti nesmulkintas. Paros dozę reikia gerti lygiomis dalimis per 3 kartus.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4.3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Kontraindikacijos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Padidėjęs jautrumas veikliajai arba bet kuriai 6.1 skyriuje nurodytai pagalbinei medžiagai.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Sinusinio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mazgo silpnumo sindromas.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II ar III laipsnio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atrioventrikulinė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(AV) blokada, išskyrus pacientus su stimuliatoriai.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Hipotenzija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Sunki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bradikardija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(širdies susitraukimų dažnis &lt; 40 kartų per minutę).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Prieširdžių virpėjimas pacientams, sergantiems </w:t>
      </w:r>
      <w:proofErr w:type="spellStart"/>
      <w:r w:rsidRPr="00ED41BB">
        <w:rPr>
          <w:rFonts w:ascii="Times New Roman" w:eastAsia="Times New Roman" w:hAnsi="Times New Roman" w:cs="Times New Roman"/>
          <w:i/>
          <w:lang w:val="lt-LT"/>
        </w:rPr>
        <w:t>Wolff-Parkinson-White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sindromu.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Apsinuodijimas rusmenės preparatais.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Ligonis gydomas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dantroleno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natrio druskų infuziniais tirpalais (žr. 4.5 skyrių).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Nekompensuotas širdies nepakankamumas.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Ūminis komplikuotas miokardo infarktas.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Kardiogeninis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šokas.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Kairiojo skilvelio nepakankamumas, pasireiškiantis plaučių staze.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Žindymas (žr. 4.6 skyrių).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Vartojimas kartu su </w:t>
      </w:r>
      <w:proofErr w:type="spellStart"/>
      <w:r w:rsidRPr="00050BE1">
        <w:rPr>
          <w:rFonts w:ascii="Times New Roman" w:eastAsia="Times New Roman" w:hAnsi="Times New Roman" w:cs="Times New Roman"/>
          <w:lang w:val="lt-LT"/>
        </w:rPr>
        <w:t>ivabradinu</w:t>
      </w:r>
      <w:proofErr w:type="spellEnd"/>
      <w:r w:rsidRPr="00050BE1">
        <w:rPr>
          <w:rFonts w:ascii="Times New Roman" w:eastAsia="Times New Roman" w:hAnsi="Times New Roman" w:cs="Times New Roman"/>
          <w:lang w:val="lt-LT"/>
        </w:rPr>
        <w:t xml:space="preserve"> (</w:t>
      </w:r>
      <w:r w:rsidRPr="00ED41BB">
        <w:rPr>
          <w:rFonts w:ascii="Times New Roman" w:eastAsia="Times New Roman" w:hAnsi="Times New Roman" w:cs="Times New Roman"/>
          <w:lang w:val="lt-LT"/>
        </w:rPr>
        <w:t>žr. 4.5 skyrių).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lastRenderedPageBreak/>
        <w:t>4.4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Specialūs įspėjimai ir atsargumo priemonės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Pacientus, kuriems susilpnėjusi kairiojo skilvelio funkcija, yra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bradikardija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arba elektrokardiograma patvirtinta pirmo laipsnio AV blokada arba aortos stenozė reikia atidžiai stebėti. Taip pat atsargumo priemonių reikia tais atvejais, kai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vartojamas kartu su beta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adrenoreceptorių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blokatorių arba kitokiais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vaistiniais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preparatais veikiančiais širdies laidumą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kontraktiliškumą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Apie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vartojimą reikia pranešti gydytojui anesteziologui. Dėl anestetikų vartojimo pasireiškiantį širdies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kontraktiliškumo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, laidumo ir automatizmo slopinimą bei kraujagyslių išsiplėtimą gali sustiprinti kalcio kanalų blokatoriai.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Senyviems pacientams ir pacientams, sergantiems inkstų ar kepenų nepakankamumu, gali padidėti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 kraujo plazmoje. Gydymo pradžioje reikia įvertinti, ar šie pacientai neturi vartojimo kontraindikacijų ar reikia atsargumo priemonių, ypač reikia įvertinti širdies susitraukimų dažnį, ir gydymo metu atidžiai stebėti.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i/>
          <w:lang w:val="lt-LT"/>
        </w:rPr>
        <w:t>In</w:t>
      </w:r>
      <w:proofErr w:type="spellEnd"/>
      <w:r w:rsidRPr="00ED41BB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i/>
          <w:lang w:val="lt-LT"/>
        </w:rPr>
        <w:t>vitro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gyvūnų tyrimų metu buvo nustatyta, kad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didina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porfirinų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kiekį. Todėl pacientus, sergančius ūmine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porfirija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reikia gydyti atsargiai.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Kalcio kanalų blokatoriai, įskaitant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, gali būti susiję su nuotaikų pokyčiais, įskaitant depresiją.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kaip ir kitokie kalcio kanalų blokatoriai, pasižymi žarnyno motoriką slopinančiu poveikiu. Dėl šio priežasties, pacientai turintis didesnę žarnų nepraeinamumo pasireiškimo riziką, </w:t>
      </w:r>
      <w:r w:rsidR="00E67755">
        <w:rPr>
          <w:rFonts w:ascii="Times New Roman" w:eastAsia="Times New Roman" w:hAnsi="Times New Roman" w:cs="Times New Roman"/>
          <w:lang w:val="lt-LT"/>
        </w:rPr>
        <w:t xml:space="preserve">šio </w:t>
      </w:r>
      <w:r w:rsidRPr="00ED41BB">
        <w:rPr>
          <w:rFonts w:ascii="Times New Roman" w:eastAsia="Times New Roman" w:hAnsi="Times New Roman" w:cs="Times New Roman"/>
          <w:lang w:val="lt-LT"/>
        </w:rPr>
        <w:t>preparato turi vartoti atsargiai.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Kiekvienoje 120 mg tabletėje yra laktozės ir sacharozės. Pacientams, sergantiems retomis paveldimomis ligomis –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galaktozės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toleravimu,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Lapp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laktazės trūkumu, fruktozės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netoleravimu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, gliukozės-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galaktozės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malabsorbcija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sacharazės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izomaltazės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trūkumu, šio vaisto vartoti negalima.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4.5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Sąveika su kitais vaistiniais preparatais ir kitokia sąveika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Kartu vartoti negalima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Dantrolenas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(infuzija). Kartu vartojant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verapamilio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dantroleno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į veną, gyvūnams periodiškai nustatomas mirtimi pasibaigiantis skilvelių plazdėjimas. Dėl šios priežasties kalcio kanalų blokatorių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dantroleno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vartojimas yra potencialiai pavojingas (žr. 4.3 skyrių).</w:t>
      </w:r>
    </w:p>
    <w:p w:rsidR="00DF4AC6" w:rsidRPr="00050BE1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050BE1">
        <w:rPr>
          <w:rFonts w:ascii="Times New Roman" w:eastAsia="Times New Roman" w:hAnsi="Times New Roman" w:cs="Times New Roman"/>
          <w:iCs/>
          <w:lang w:val="lt-LT"/>
        </w:rPr>
        <w:t xml:space="preserve">Vartoti kartu su </w:t>
      </w:r>
      <w:proofErr w:type="spellStart"/>
      <w:r w:rsidRPr="00050BE1">
        <w:rPr>
          <w:rFonts w:ascii="Times New Roman" w:eastAsia="Times New Roman" w:hAnsi="Times New Roman" w:cs="Times New Roman"/>
          <w:iCs/>
          <w:lang w:val="lt-LT"/>
        </w:rPr>
        <w:t>ivadrabinu</w:t>
      </w:r>
      <w:proofErr w:type="spellEnd"/>
      <w:r w:rsidRPr="00050BE1">
        <w:rPr>
          <w:rFonts w:ascii="Times New Roman" w:eastAsia="Times New Roman" w:hAnsi="Times New Roman" w:cs="Times New Roman"/>
          <w:iCs/>
          <w:lang w:val="lt-LT"/>
        </w:rPr>
        <w:t xml:space="preserve"> draudžiama dėl papildomo </w:t>
      </w:r>
      <w:proofErr w:type="spellStart"/>
      <w:r w:rsidR="00D00273" w:rsidRPr="00050BE1">
        <w:rPr>
          <w:rFonts w:ascii="Times New Roman" w:eastAsia="Times New Roman" w:hAnsi="Times New Roman" w:cs="Times New Roman"/>
          <w:iCs/>
          <w:lang w:val="lt-LT"/>
        </w:rPr>
        <w:t>diltiazemo</w:t>
      </w:r>
      <w:proofErr w:type="spellEnd"/>
      <w:r w:rsidR="00D00273" w:rsidRPr="00050BE1">
        <w:rPr>
          <w:rFonts w:ascii="Times New Roman" w:eastAsia="Times New Roman" w:hAnsi="Times New Roman" w:cs="Times New Roman"/>
          <w:iCs/>
          <w:lang w:val="lt-LT"/>
        </w:rPr>
        <w:t xml:space="preserve"> </w:t>
      </w:r>
      <w:r w:rsidRPr="00050BE1">
        <w:rPr>
          <w:rFonts w:ascii="Times New Roman" w:eastAsia="Times New Roman" w:hAnsi="Times New Roman" w:cs="Times New Roman"/>
          <w:iCs/>
          <w:lang w:val="lt-LT"/>
        </w:rPr>
        <w:t xml:space="preserve">širdies ritmą lėtinančio </w:t>
      </w:r>
      <w:r w:rsidR="00D00273" w:rsidRPr="00ED41BB">
        <w:rPr>
          <w:rFonts w:ascii="Times New Roman" w:eastAsia="Times New Roman" w:hAnsi="Times New Roman" w:cs="Times New Roman"/>
          <w:iCs/>
          <w:lang w:val="lt-LT"/>
        </w:rPr>
        <w:t>poveikio</w:t>
      </w:r>
      <w:r w:rsidRPr="00050BE1">
        <w:rPr>
          <w:rFonts w:ascii="Times New Roman" w:eastAsia="Times New Roman" w:hAnsi="Times New Roman" w:cs="Times New Roman"/>
          <w:iCs/>
          <w:lang w:val="lt-LT"/>
        </w:rPr>
        <w:t xml:space="preserve"> (žr. 4.3 skyrių).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Kartu vartoti reikia atsargiai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Ličio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vaistiniai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preparatai. Vartojant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kartu su ličio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vaistiniais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preparatais, gali pasireikšti pastarojo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neurotoksinis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poveikis, todėl reikia stebėti ličio koncentracija kraujo serume.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Nitratų dariniai. Sustiprėja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hipotenzinis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poveikis ir alpimas (adityvus kraujagysles plečiantis poveikis). Visiems kalcio antagonistų vartojantiems pacientams, nitratų dariniai turi būti skiriami laipsniškai didinant dozę.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Teofilinas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Padidėja cirkuliuojančio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teofilino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Alfa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adrenoreceptorių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antagonistai. Padidėja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antihipertenzinis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poveikis. Kartu vartojant alfa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adrenoreceptorių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blokatorių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vaistinių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preparatų gali pasireikšti arba pasunkėti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hipotenzija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kartu su alfa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adrenoreceptorių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blokatorių preparatais tik griežtai kontroliuojant kraujospūdį.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Amjodaronas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digoksinas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Padidėja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bradikardijos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rizika. Ši</w:t>
      </w:r>
      <w:r w:rsidR="00E67755">
        <w:rPr>
          <w:rFonts w:ascii="Times New Roman" w:eastAsia="Times New Roman" w:hAnsi="Times New Roman" w:cs="Times New Roman"/>
          <w:lang w:val="lt-LT"/>
        </w:rPr>
        <w:t>u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os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vaistinius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preparatus vartoti kartu su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reikia atsargiai, ypač senyviems pacientams arba vartojant dideles dozes.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Beta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adrenoreceptorių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blokatoriai. Gali pasireikšti širdies ritmo sutrikimų (išreikšta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bradikardija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sinusinė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blokada),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sinoatrialinio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atrioventrikulinio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laidumo sutrikimai bei širdies nepakankamumas (sinerginis poveikis). Šį derinį galima vartoti tik atidžiai stebinti klinikinius požymius ir EKG, ypač gydymo pradžioje.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Kitokie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vaistiniai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preparatai nuo aritmijos.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pasižymi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antiaritminėmis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savybėmis, todėl jo nerekomenduojama vartoti kartu su kitokiais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vaistiniais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preparatais nuo aritmijos (dėl padidėjusios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adityvinės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nepageidaujamo poveikio širdžiai rizikos). Šį derinį galima vartoti tik atidžiai stebinti klinikinius požymius ir EKG.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Karbamazepinas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Padidėja cirkuliuojančio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karbamazepino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koncentracija. Rekomenduojama tirti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karbamazepino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koncentraciją kraujo plazmoje ir, jeigu reikia, koreguoti dozę.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lastRenderedPageBreak/>
        <w:t>Rifampicinas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Pradėjus vartoti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rifampicino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 kraujo plazmoje gali sumažėti. Pradedant vartoti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rifampicino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nutraukiant jo vartojamą pacientus, kartu vartojančius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, reikia atidžiai stebėti.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H</w:t>
      </w:r>
      <w:r w:rsidRPr="00ED41BB">
        <w:rPr>
          <w:rFonts w:ascii="Times New Roman" w:eastAsia="Times New Roman" w:hAnsi="Times New Roman" w:cs="Times New Roman"/>
          <w:vertAlign w:val="subscript"/>
          <w:lang w:val="lt-LT"/>
        </w:rPr>
        <w:t>2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-receptorių blokatorių </w:t>
      </w:r>
      <w:r w:rsidR="00E67755">
        <w:rPr>
          <w:rFonts w:ascii="Times New Roman" w:eastAsia="Times New Roman" w:hAnsi="Times New Roman" w:cs="Times New Roman"/>
          <w:lang w:val="lt-LT"/>
        </w:rPr>
        <w:t>vaistini</w:t>
      </w:r>
      <w:r w:rsidR="00BB625E">
        <w:rPr>
          <w:rFonts w:ascii="Times New Roman" w:eastAsia="Times New Roman" w:hAnsi="Times New Roman" w:cs="Times New Roman"/>
          <w:lang w:val="lt-LT"/>
        </w:rPr>
        <w:t xml:space="preserve">ai </w:t>
      </w:r>
      <w:r w:rsidRPr="00ED41BB">
        <w:rPr>
          <w:rFonts w:ascii="Times New Roman" w:eastAsia="Times New Roman" w:hAnsi="Times New Roman" w:cs="Times New Roman"/>
          <w:lang w:val="lt-LT"/>
        </w:rPr>
        <w:t>preparatai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cimetidinas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ranitidinas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). Padidėja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 kraujo plazmoje.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vartojančius pacientus, pradedančius kartu vartoti H</w:t>
      </w:r>
      <w:r w:rsidRPr="00ED41BB">
        <w:rPr>
          <w:rFonts w:ascii="Times New Roman" w:eastAsia="Times New Roman" w:hAnsi="Times New Roman" w:cs="Times New Roman"/>
          <w:vertAlign w:val="subscript"/>
          <w:lang w:val="lt-LT"/>
        </w:rPr>
        <w:t>2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-receptorių blokatorių </w:t>
      </w:r>
      <w:r w:rsidR="00E67755">
        <w:rPr>
          <w:rFonts w:ascii="Times New Roman" w:eastAsia="Times New Roman" w:hAnsi="Times New Roman" w:cs="Times New Roman"/>
          <w:lang w:val="lt-LT"/>
        </w:rPr>
        <w:t xml:space="preserve">vaistinius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preparatus arba jų vartojamą nutraukiančius, reikia atidžiai stebėti, nes gali prireikti keisti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paros dozę.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Ciklosporinas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Padidėja cirkuliuojančio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ciklosporino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koncentracija. </w:t>
      </w:r>
      <w:r w:rsidR="00E67755">
        <w:rPr>
          <w:rFonts w:ascii="Times New Roman" w:eastAsia="Times New Roman" w:hAnsi="Times New Roman" w:cs="Times New Roman"/>
          <w:lang w:val="lt-LT"/>
        </w:rPr>
        <w:t>Vaistinių p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reparatų vartojant kartu arba vartojimą kartu nutraukus, rekomenduojama sumažinti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ciklosporino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dozę, stebėti inkstų funkciją, tirti cirkuliuojančio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ciklosporino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koncentraciją.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gali sustiprinti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halotano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izoflurano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širdį slopinantį poveikį.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Bendroji informaciją, kurią reikia prisiminti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Dėl galimo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adityvinio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poveikio, pacientams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kartu su </w:t>
      </w:r>
      <w:r w:rsidR="0082256C">
        <w:rPr>
          <w:rFonts w:ascii="Times New Roman" w:eastAsia="Times New Roman" w:hAnsi="Times New Roman" w:cs="Times New Roman"/>
          <w:lang w:val="lt-LT"/>
        </w:rPr>
        <w:t xml:space="preserve">vaistiniais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preparatais, veikiančias širdies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kontraktiliškumą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(arba) laidumą, turėtų vartoti atsargiai ir atidžiai laipsniškai didinti dozę. Vartojant kartu su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kitokių vaistinių preparatų nuo hipertenzijos, pastarųjų poveikis gali sustiprėti.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metabolizuoja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CYP 3A4. Dokumentuose aprašytas atvejis, kai kartu vartojant stipresnio CYP 3A4 inhibitoriaus, nustatytas vidutinis (mažesnis nei 2 kartus)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koncentracijos kraujo plazmoje padidėjimas.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r w:rsidRPr="00ED41BB">
        <w:rPr>
          <w:rFonts w:ascii="Times New Roman" w:eastAsia="Times New Roman" w:hAnsi="Times New Roman" w:cs="Times New Roman"/>
          <w:lang w:val="lt-LT"/>
        </w:rPr>
        <w:lastRenderedPageBreak/>
        <w:t xml:space="preserve">taip pat slopina ir CYP 3A4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izoformas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Kartu vartojant kitų CYP 3A4 substratų (pvz.,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makrolidų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grupės antibiotikų,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fenitoino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buspirono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nifedipino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sirolimuzo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takrolimuzo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alfentanilio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cisaprido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ar ŽIV proteazės inhibitorių) gali padidėti visų kartu vartojamų preparatų koncentracija kraujo plazmoje.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vartojant kartu su CYP 3A4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induktoriais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 kraujo plazmoje gali sumažėti.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Benzodiazepinai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midazolamas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triazolamas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alprazolamas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).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reikšmingai padidina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midazolamo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triazolamo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koncentraciją kraujo plazmoje ir pailgina pusinės eliminacijos laiką. Ypatingų atsargumo priemonių reikia pacientams, vartojantiems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kartu skiriant trumpo veikimo benzodiazepinų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metabolizuojamų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CYP 3A4. Taip pat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gali sustiprinti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alprazolamo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poveikį.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Kortikosteroidai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metilprednizolonas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). Slopinamas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metilprednizolono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metabolizmas (CYP 3A4) ir slopinamas P-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glikoproteinas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Gydymo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metilprednizolonu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pradžioje pacientus reikia stebėti. Gali tekti keisti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metilprednizolono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dozę.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Statinai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slopina CYP 3A4, taip pat nustatyta, reikšmingai padidina kai kurių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statinų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(pvz.,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simvastatino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lovastatino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atorvastatino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) AUC. CYP 3A4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metabolizuojamų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statinų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sukeliamos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miopatijos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rabdomiolizės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rizika pacientams kartu vartojantiems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gali padidėti. Jeigu įmanoma, kartu su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reikia vartoti ne CYP 3A4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metabolizuojamų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statinų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priešingu atveju reikia atidžiai stebėti, ar nepasireiškia galimo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statinų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toksinio poveikių požymių ar simptomų.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4.6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Vaisingumas, nėštumo ir žindymo laikotarpis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 xml:space="preserve">Duomenų apie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vartojimą nėščiosioms yra labai mažai. Nustatyta, kad kai kurioms gyvūnų rūšims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didina vaisiaus mirštamumo ir apsigimimo dažnį. Dėl šios priežasties nėštumo metu bei vaisingoms moterims, nenaudojančioms veiksmingų kontracepcijos priemonių,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vartoti nerekomenduojama.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patenka į motinos pieną, todėl vartojančiosioms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žindyti negalima. Jeigu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vartojimas klinikiniu požiūriu yra būtinas, žindymą reikia nutraukti.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4.7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Poveikis gebėjimui vairuoti ir valdyti mechanizmus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Gydymo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pradžioje sumažėjęs kraujospūdis gali sukelti galvos svaigimą. Jeigu svaigsta galva, negalima vairuoti ar valdyti mechanizmų. Kai gydymasis poveikis tampa stabilus, mažai tikėtina, kad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veiktų šį gebėjimą.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4.8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Nepageidaujamas poveikis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Maždaug 5 % pacientų gali patirti nepageidaujamų reakcijų dėl to, kad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plečia kraujagysles. Tai galvos skausmas, pykinimas, galvos svaigimas ir čiurnų srities tinimas. Maždaug 2 % pacientų registruota odos alerginių reakcijų.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tabs>
          <w:tab w:val="left" w:pos="284"/>
        </w:tabs>
        <w:spacing w:after="0" w:line="260" w:lineRule="exact"/>
        <w:rPr>
          <w:rFonts w:ascii="Times New Roman" w:eastAsia="Calibri" w:hAnsi="Times New Roman" w:cs="Times New Roman"/>
          <w:lang w:val="lt-LT" w:eastAsia="lt-LT"/>
        </w:rPr>
      </w:pPr>
      <w:r w:rsidRPr="00ED41BB">
        <w:rPr>
          <w:rFonts w:ascii="Times New Roman" w:eastAsia="Calibri" w:hAnsi="Times New Roman" w:cs="Times New Roman"/>
          <w:lang w:val="lt-LT" w:eastAsia="lt-LT"/>
        </w:rPr>
        <w:lastRenderedPageBreak/>
        <w:t>Nepageidaujamo poveikio dažnis apibūdinamas taip: labai dažnas (≥ 1/10), dažnas (nuo ≥ 1/100 iki &lt; 1/10), nedažnas (nuo ≥ 1/1 000 iki &lt; 1/100), retas (nuo ≥ 1/10 000 iki &lt; 1/1000), labai retas (&lt; 1/10 000) ir nežinomas</w:t>
      </w:r>
      <w:r w:rsidRPr="00ED41BB">
        <w:rPr>
          <w:rFonts w:ascii="Times New Roman" w:eastAsia="Calibri" w:hAnsi="Times New Roman" w:cs="Times New Roman"/>
          <w:lang w:val="lt-LT" w:eastAsia="x-none"/>
        </w:rPr>
        <w:t xml:space="preserve"> (negali būti </w:t>
      </w:r>
      <w:r w:rsidRPr="00ED41BB">
        <w:rPr>
          <w:rFonts w:ascii="Times New Roman" w:eastAsia="Calibri" w:hAnsi="Times New Roman" w:cs="Times New Roman"/>
          <w:lang w:val="lt-LT" w:eastAsia="lt-LT"/>
        </w:rPr>
        <w:t xml:space="preserve">apskaičiuotas </w:t>
      </w:r>
      <w:r w:rsidRPr="00ED41BB">
        <w:rPr>
          <w:rFonts w:ascii="Times New Roman" w:eastAsia="Calibri" w:hAnsi="Times New Roman" w:cs="Times New Roman"/>
          <w:lang w:val="lt-LT" w:eastAsia="x-none"/>
        </w:rPr>
        <w:t>pagal turimus duomenis)</w:t>
      </w:r>
      <w:r w:rsidRPr="00ED41BB">
        <w:rPr>
          <w:rFonts w:ascii="Times New Roman" w:eastAsia="Calibri" w:hAnsi="Times New Roman" w:cs="Times New Roman"/>
          <w:lang w:val="lt-LT" w:eastAsia="lt-LT"/>
        </w:rPr>
        <w:t>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946"/>
        <w:gridCol w:w="3734"/>
      </w:tblGrid>
      <w:tr w:rsidR="00DF4AC6" w:rsidRPr="00ED41BB" w:rsidTr="00D00273">
        <w:trPr>
          <w:cantSplit/>
          <w:trHeight w:val="440"/>
        </w:trPr>
        <w:tc>
          <w:tcPr>
            <w:tcW w:w="2840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Kraujo ir limfinės sistemos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Trombocitopenija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leukopenija</w:t>
            </w:r>
            <w:proofErr w:type="spellEnd"/>
          </w:p>
        </w:tc>
      </w:tr>
      <w:tr w:rsidR="00DF4AC6" w:rsidRPr="00ED41BB" w:rsidTr="00D00273">
        <w:trPr>
          <w:cantSplit/>
          <w:trHeight w:val="404"/>
        </w:trPr>
        <w:tc>
          <w:tcPr>
            <w:tcW w:w="2840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Metabolizmo ir mitybos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Padidėjęs kūno svoris, anoreksija</w:t>
            </w:r>
          </w:p>
        </w:tc>
      </w:tr>
      <w:tr w:rsidR="00DF4AC6" w:rsidRPr="00ED41BB" w:rsidTr="00D00273">
        <w:trPr>
          <w:cantSplit/>
          <w:trHeight w:val="647"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Psichikos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Nedažni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Nervingumas, nemiga</w:t>
            </w:r>
          </w:p>
        </w:tc>
      </w:tr>
      <w:tr w:rsidR="00DF4AC6" w:rsidRPr="00ED41BB" w:rsidTr="00D00273">
        <w:trPr>
          <w:cantSplit/>
          <w:trHeight w:val="647"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Nuotaikų pokyčiai (įskaitant depresiją), konfūzija, sutrikęs miegas, haliucinacijos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Nervų sistemos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Galvos skausmas, galvos svaigimas,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astenija</w:t>
            </w:r>
            <w:proofErr w:type="spellEnd"/>
          </w:p>
        </w:tc>
      </w:tr>
      <w:tr w:rsidR="00DF4AC6" w:rsidRPr="00ED41BB" w:rsidTr="00D00273">
        <w:trPr>
          <w:cantSplit/>
          <w:trHeight w:val="690"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Ekstrapiramidiniai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simptomai,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parestezija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, uoslės ir skonio sutrikimas,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akatizija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parkinsonizmas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DF4AC6" w:rsidRPr="00ED41BB" w:rsidTr="00D00273">
        <w:trPr>
          <w:cantSplit/>
          <w:trHeight w:val="404"/>
        </w:trPr>
        <w:tc>
          <w:tcPr>
            <w:tcW w:w="2840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Ausies ir labirinto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Spengimas ausyse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Širdies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AV blokada (gali būti I, II arba III laipsnio; dešinės kojytės blokada),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palpitacija</w:t>
            </w:r>
            <w:proofErr w:type="spellEnd"/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Nedažni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Bradikardija</w:t>
            </w:r>
            <w:proofErr w:type="spellEnd"/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Sinusinio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mazgo blokada,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stazinis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širdies nepakankamumas, pasunkėjusi </w:t>
            </w:r>
            <w:r w:rsidRPr="00ED41BB">
              <w:rPr>
                <w:rFonts w:ascii="Times New Roman" w:eastAsia="Times New Roman" w:hAnsi="Times New Roman" w:cs="Times New Roman"/>
                <w:i/>
                <w:lang w:val="lt-LT"/>
              </w:rPr>
              <w:t>krūtinės angina</w:t>
            </w:r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, alpulys,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tachikardija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ekstrasistolija</w:t>
            </w:r>
            <w:proofErr w:type="spellEnd"/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Kraujagyslių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Veido ir kaklo paraudimas</w:t>
            </w:r>
          </w:p>
        </w:tc>
      </w:tr>
      <w:tr w:rsidR="00DF4AC6" w:rsidRPr="00ED41BB" w:rsidTr="00D00273">
        <w:trPr>
          <w:cantSplit/>
          <w:trHeight w:val="463"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Nedažni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Ortostatinė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hipotenzija</w:t>
            </w:r>
            <w:proofErr w:type="spellEnd"/>
          </w:p>
        </w:tc>
      </w:tr>
      <w:tr w:rsidR="00DF4AC6" w:rsidRPr="00ED41BB" w:rsidTr="00D00273">
        <w:trPr>
          <w:cantSplit/>
          <w:trHeight w:val="463"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Del="00DD07FE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Vaskulitas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(įskaitant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leukocitoklastinį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vaskulitą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Virškinimo trakto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Pykinimas, vidurių užkietėjimas, pilvo skausmas, dispepsija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Nedažni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Vėmimas, viduriavimas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Reti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Burnos ir gerklės džiūvimas</w:t>
            </w:r>
          </w:p>
        </w:tc>
      </w:tr>
      <w:tr w:rsidR="00DF4AC6" w:rsidRPr="00ED41BB" w:rsidTr="00D00273">
        <w:trPr>
          <w:cantSplit/>
          <w:trHeight w:val="377"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Dantenų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hiperplazija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paralyžinis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žarnų nepraeinamumas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Kepenų ir tulžies sistemos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Nedažni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Alaninaminotransferazės (ALT), aspartataminotransferazės (AST),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laktatdehidrogenazės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(LDH), šarminės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fosfatazės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aktyvumo padidėjimas </w:t>
            </w:r>
          </w:p>
        </w:tc>
      </w:tr>
      <w:tr w:rsidR="00DF4AC6" w:rsidRPr="00ED41BB" w:rsidTr="00D00273">
        <w:trPr>
          <w:cantSplit/>
          <w:trHeight w:val="463"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Granuliomatozinis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hepatitas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Odos ir poodinio audinio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Eritema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>, niežulys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Nedažni 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Dilgėlinė</w:t>
            </w:r>
          </w:p>
        </w:tc>
      </w:tr>
      <w:tr w:rsidR="00DF4AC6" w:rsidRPr="00ED41BB" w:rsidTr="00D00273">
        <w:trPr>
          <w:cantSplit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Fotosensibilizacijos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reakcijos (įskaitant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lichenoidinę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keratozę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saulės pažeistose odos vietose),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angioneurozinė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edema, bėrimas,</w:t>
            </w:r>
            <w:r w:rsidRPr="00ED41BB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daugiaformė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eritema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(įskaitant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i/>
                <w:lang w:val="lt-LT"/>
              </w:rPr>
              <w:t>Stevens-Johnson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sindromą ir toksinę epidermio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nekrolizę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),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eksfoliacinis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dermatitas, į raudonąją vilkligę panašus sindromas, ūminė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generalizuota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egzanteminė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pustuliozė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>, prakaitavimas</w:t>
            </w:r>
          </w:p>
        </w:tc>
      </w:tr>
      <w:tr w:rsidR="00DF4AC6" w:rsidRPr="00ED41BB" w:rsidTr="00D00273">
        <w:trPr>
          <w:cantSplit/>
          <w:trHeight w:val="332"/>
        </w:trPr>
        <w:tc>
          <w:tcPr>
            <w:tcW w:w="2840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Skeleto, raumenų ir jungiamojo audinio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Raumenų skausmas, sąnarių skausmas</w:t>
            </w:r>
          </w:p>
        </w:tc>
      </w:tr>
      <w:tr w:rsidR="00DF4AC6" w:rsidRPr="00ED41BB" w:rsidTr="00D00273">
        <w:trPr>
          <w:cantSplit/>
          <w:trHeight w:val="386"/>
        </w:trPr>
        <w:tc>
          <w:tcPr>
            <w:tcW w:w="2840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Inkstų ir šlapimo takų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Poliurija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intersticinis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 xml:space="preserve"> nefritas ir ūminis inkstų nepakankamumas</w:t>
            </w:r>
          </w:p>
        </w:tc>
      </w:tr>
      <w:tr w:rsidR="00DF4AC6" w:rsidRPr="00ED41BB" w:rsidTr="00D00273">
        <w:trPr>
          <w:cantSplit/>
          <w:trHeight w:val="700"/>
        </w:trPr>
        <w:tc>
          <w:tcPr>
            <w:tcW w:w="2840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Lytinės sistemos ir krūties sutrikimai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Dažnis nežinomas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41BB">
              <w:rPr>
                <w:rFonts w:ascii="Times New Roman" w:eastAsia="Times New Roman" w:hAnsi="Times New Roman" w:cs="Times New Roman"/>
                <w:lang w:val="lt-LT"/>
              </w:rPr>
              <w:t>Ginekomastija</w:t>
            </w:r>
            <w:proofErr w:type="spellEnd"/>
            <w:r w:rsidRPr="00ED41BB">
              <w:rPr>
                <w:rFonts w:ascii="Times New Roman" w:eastAsia="Times New Roman" w:hAnsi="Times New Roman" w:cs="Times New Roman"/>
                <w:lang w:val="lt-LT"/>
              </w:rPr>
              <w:t>, impotencija</w:t>
            </w:r>
          </w:p>
        </w:tc>
      </w:tr>
      <w:tr w:rsidR="00DF4AC6" w:rsidRPr="00ED41BB" w:rsidTr="00D00273">
        <w:trPr>
          <w:cantSplit/>
          <w:trHeight w:val="700"/>
        </w:trPr>
        <w:tc>
          <w:tcPr>
            <w:tcW w:w="2840" w:type="dxa"/>
            <w:vMerge w:val="restart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b/>
                <w:lang w:val="lt-LT"/>
              </w:rPr>
              <w:t>Bendrieji sutrikimai ir vartojimo vietos pažeidimai</w:t>
            </w: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Labai dažni</w:t>
            </w:r>
          </w:p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Periferinė edema</w:t>
            </w:r>
          </w:p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F4AC6" w:rsidRPr="00ED41BB" w:rsidTr="00D00273">
        <w:trPr>
          <w:cantSplit/>
          <w:trHeight w:val="700"/>
        </w:trPr>
        <w:tc>
          <w:tcPr>
            <w:tcW w:w="2840" w:type="dxa"/>
            <w:vMerge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946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Dažni</w:t>
            </w:r>
          </w:p>
        </w:tc>
        <w:tc>
          <w:tcPr>
            <w:tcW w:w="3734" w:type="dxa"/>
          </w:tcPr>
          <w:p w:rsidR="00DF4AC6" w:rsidRPr="00ED41BB" w:rsidRDefault="00DF4AC6" w:rsidP="00DF4A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41BB">
              <w:rPr>
                <w:rFonts w:ascii="Times New Roman" w:eastAsia="Times New Roman" w:hAnsi="Times New Roman" w:cs="Times New Roman"/>
                <w:lang w:val="lt-LT"/>
              </w:rPr>
              <w:t>Bendras negalavimas</w:t>
            </w:r>
          </w:p>
        </w:tc>
      </w:tr>
    </w:tbl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noProof/>
          <w:u w:val="single"/>
          <w:lang w:val="lt-LT"/>
        </w:rPr>
        <w:t>Pranešimas apie įtariamas nepageidaujamas reakcijas</w:t>
      </w:r>
    </w:p>
    <w:p w:rsidR="00A6536A" w:rsidRPr="004F28B7" w:rsidRDefault="00A6536A" w:rsidP="00A6536A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4F28B7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Sveikatos priežiūros specialistai turi pranešti apie bet kokias įtariamas nepageidaujamas reakcijas, užpildę interneto svetainėje </w:t>
      </w:r>
      <w:hyperlink r:id="rId7" w:history="1">
        <w:r w:rsidRPr="00ED41BB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http://www.vvkt.lt/</w:t>
        </w:r>
      </w:hyperlink>
      <w:r w:rsidRPr="00ED41BB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e</w:t>
      </w: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ED41BB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lt-LT"/>
          </w:rPr>
          <w:t>NepageidaujamaR</w:t>
        </w:r>
        <w:r w:rsidRPr="004F28B7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lt-LT"/>
          </w:rPr>
          <w:t>@vvkt.lt</w:t>
        </w:r>
      </w:hyperlink>
      <w:r w:rsidRPr="00ED41BB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), per interneto svetainę </w:t>
      </w: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>(adresu http://www.vvkt.lt).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4.9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Perdozavimas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ED41BB">
        <w:rPr>
          <w:rFonts w:ascii="Times New Roman" w:eastAsia="Times New Roman" w:hAnsi="Times New Roman" w:cs="Times New Roman"/>
          <w:i/>
          <w:lang w:val="lt-LT"/>
        </w:rPr>
        <w:t>Simptomai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Perdozavus gali pasireikšti išreikšta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hipotenzija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sukelianti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kolapsą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sinusinė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bradikardija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su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izoritmine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disociacija arba be jos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atrioventrikulinio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laidumo sutrikimus, nuovargis, irzlumas, mieguistumas, hipotermija, hiperglikemija ir pykinimas.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ED41BB">
        <w:rPr>
          <w:rFonts w:ascii="Times New Roman" w:eastAsia="Times New Roman" w:hAnsi="Times New Roman" w:cs="Times New Roman"/>
          <w:i/>
          <w:lang w:val="lt-LT"/>
        </w:rPr>
        <w:t>Gydymas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Specifinio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priešnuodžio nėra. Plauti skrandį, skirti sukelti osmosinių vidurių laisvinamųjų </w:t>
      </w:r>
      <w:r w:rsidR="0082256C">
        <w:rPr>
          <w:rFonts w:ascii="Times New Roman" w:eastAsia="Times New Roman" w:hAnsi="Times New Roman" w:cs="Times New Roman"/>
          <w:lang w:val="lt-LT"/>
        </w:rPr>
        <w:t xml:space="preserve">vaistinių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preparatų ir (arba) aktyvintosios anglies absorbcijai mažinti.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Hipotenzijai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gydyti į veną galima leisti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dopamino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arba kalcio chlorido.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Bradikardiją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sunkią AV blokadą galima gydyti atropinu arba širdies stimuliatoriumi. Galima vartoti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vazopresorių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inotropiškai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veikiančių </w:t>
      </w:r>
      <w:r w:rsidR="0082256C">
        <w:rPr>
          <w:rFonts w:ascii="Times New Roman" w:eastAsia="Times New Roman" w:hAnsi="Times New Roman" w:cs="Times New Roman"/>
          <w:lang w:val="lt-LT"/>
        </w:rPr>
        <w:t xml:space="preserve">vaistinių 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preparatų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gliukagono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Kitais atvejais taikomas simptominis gydymas.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lang w:val="lt-LT"/>
        </w:rPr>
        <w:t xml:space="preserve">FARMAKOLOGINĖS 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savybės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5.1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ED41BB">
        <w:rPr>
          <w:rFonts w:ascii="Times New Roman" w:eastAsia="Times New Roman" w:hAnsi="Times New Roman" w:cs="Times New Roman"/>
          <w:b/>
          <w:lang w:val="lt-LT"/>
        </w:rPr>
        <w:t>Farmakodinaminės</w:t>
      </w:r>
      <w:proofErr w:type="spellEnd"/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savybės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Farmakoterapinė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grupė –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benzotiazepino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dariniai, ATC kodas – C08D B01.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lastRenderedPageBreak/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yra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benzotiazepinų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darinys, efektyviai blokuojantis kraujagyslių lygiuosiuose raumenyse ir širdies raumens ląstelėse esančius lėtuosius kalcio kanalus (L kanalus). Lėtieji kalcio kanalai yra svarbūs, ypač reguliuojant SA ir AV mazgų funkciją širdies raumens ląstelėse.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plečia ir periferines, ir širdies vainikines kraujagysles. Tačiau po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sukelto kraujospūdžio sumažėjimo paprastai nebūna refleksinės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tachikardijos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galbūt todėl, kad </w:t>
      </w:r>
      <w:proofErr w:type="spellStart"/>
      <w:r w:rsidR="0082256C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neleidžia stimuliuoti SA mazgo funkcijos.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mažina AV mazgo laidumą, taip pat šiek tiek silpnina širdies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inotropinę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funkciją. </w:t>
      </w:r>
      <w:proofErr w:type="spellStart"/>
      <w:r w:rsidR="0082256C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gerina širdies raumens atsipalaidavimą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diastolinę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funkciją, mažina širdies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pokrūvį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todėl gerėja kairiojo skilvelio funkcija. Nors vainikinės kraujagyslės plečiasi, bendro sveikomis vainikinėmis kraujagyslėmis pratekančio kraujo tūris paprastai nekinta, tačiau, jeigu kraujagyslės susitraukusios, kraujotaką šiek tiek pagerina.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atpalaiduoja ir kitus organizmo lygiuosius raumenis, pvz.: apatinio stemplės rauko raumenį. Nepastebėta, kad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veiktų elektrolitų, lipidų ar gliukozės balansą sveikiems individams ar diabetu sergantiems pacientams.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5.2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ED41BB">
        <w:rPr>
          <w:rFonts w:ascii="Times New Roman" w:eastAsia="Times New Roman" w:hAnsi="Times New Roman" w:cs="Times New Roman"/>
          <w:b/>
          <w:lang w:val="lt-LT"/>
        </w:rPr>
        <w:t>Farmakokinetinės</w:t>
      </w:r>
      <w:proofErr w:type="spellEnd"/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savybės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Išgertas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absorbuojamas visas, bet dėl metabolizmo pirmojo praėjimo pro kepenis metu absoliutus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biologinis prieinamumas yra tik apie 40 % (svyruoja nuo 24 % iki 74 %). Biologinis prieinamumas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esti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pastovus, nepriklauso nuo vaisto formos ar dozės.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>Sveikų savanorių kraujo plazmoje didžiausia vaisto koncentracija atsirado praėjus 2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>3 valandoms po CARDIL tablečių ir 5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 xml:space="preserve">6 valandoms po CARDIL pailginto atpalaidavimo kapsulių išgėrimo.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Apie 80 %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jungiasi su baltymais, iš šios dalies apie 40 % – su plazmos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albuminu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plačiai pasiskirsto įvairiuose audiniuose. Numatomas pasiskirstymo tūris yra 5 l/kg, pasiskirstymo centriniame skyriuje tūris – 0,9 l/kg. Kraujyje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tolygiai pasiskirsto tarp plazmos ir kraujo ląstelių.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Pusiausvyrinė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koncentracija pasiekiama per 3 dienas, kai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vartojama po 60 mg 3 kartus per parą.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Tik nuo 0,1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 xml:space="preserve">4 % nepakitusio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išsiskiria su šlapimu, taigi preparatas pašalinamas jį intensyviai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metabolizuojant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Bendrasis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klirensas yra 0,7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 xml:space="preserve">1,3 l/kg/h. Šlapime nustatyti penki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nekonjuguoti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metabolitai, du iš jų – ir junginiuose.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metabolizuojamas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deacetilinant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, N-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demetilinant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O-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demetilinant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Deacetildiltiazemas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yra aktyvus metabolitas (turi 40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 xml:space="preserve">50 %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aktyvumo), jo koncentracija būna maždaug 15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 xml:space="preserve">35 %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koncentracijos.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daugiausiai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metabolizuoja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CYP 3A4, mažiau – CYP 2D6.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jo N-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demetilinti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metabolitai taip pat slopina CYP 3A4 fermentus.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Pagal 3 skyrių pasiskirstymo modelį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pusinės eliminacijos periodas svyruoja nuo 0,1 valandos pirmosios fazės metu iki 2,1 valandos vidurinės ir 9,8 valandų galutinės fazės metu. Pusinės eliminacijos periodas – 4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>7 valandos.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Kartotinai vartojamo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farmakokinetika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nekinta. Vaistas nesikaupia ir neskatina savo paties metabolizmo. Pacientams, sergantiems inkstų nepakankamumu ar krūtinės angina,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farmakokinetikos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skirtumų, lyginant su sveikais savanoriais, nenustatyta.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5.3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ED41BB">
        <w:rPr>
          <w:rFonts w:ascii="Times New Roman" w:eastAsia="Times New Roman" w:hAnsi="Times New Roman" w:cs="Times New Roman"/>
          <w:b/>
          <w:lang w:val="lt-LT"/>
        </w:rPr>
        <w:t>Ikiklinikinių</w:t>
      </w:r>
      <w:proofErr w:type="spellEnd"/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saugumo tyrimų duomenys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Toksiškumo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tyrimų metu graužikams ūminis toksinis poveikis buvo silpnas (išgerto preparato LD</w:t>
      </w:r>
      <w:r w:rsidRPr="00ED41BB">
        <w:rPr>
          <w:rFonts w:ascii="Times New Roman" w:eastAsia="Times New Roman" w:hAnsi="Times New Roman" w:cs="Times New Roman"/>
          <w:vertAlign w:val="subscript"/>
          <w:lang w:val="lt-LT"/>
        </w:rPr>
        <w:t>50 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&gt; 500 mg/kg). Daugiausiai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toksiškai veikė širdį (laikini EKG </w:t>
      </w:r>
      <w:smartTag w:uri="schemas-tilde-lt/tildestengine" w:element="templates">
        <w:smartTagPr>
          <w:attr w:name="baseform" w:val="pokyt|is"/>
          <w:attr w:name="id" w:val="-1"/>
          <w:attr w:name="text" w:val="pokyčiai"/>
        </w:smartTagPr>
        <w:r w:rsidRPr="00ED41BB">
          <w:rPr>
            <w:rFonts w:ascii="Times New Roman" w:eastAsia="Times New Roman" w:hAnsi="Times New Roman" w:cs="Times New Roman"/>
            <w:lang w:val="lt-LT"/>
          </w:rPr>
          <w:t>pokyčiai</w:t>
        </w:r>
      </w:smartTag>
      <w:r w:rsidRPr="00ED41BB">
        <w:rPr>
          <w:rFonts w:ascii="Times New Roman" w:eastAsia="Times New Roman" w:hAnsi="Times New Roman" w:cs="Times New Roman"/>
          <w:lang w:val="lt-LT"/>
        </w:rPr>
        <w:t xml:space="preserve">).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Teratogeniškumo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tyrimų metu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didino vaisiaus mirštamumo ir apsigimimų dažnį.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farmacinė informacija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6.1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Pagalbinių medžiagų sąrašas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Tabletės šerdis: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Laktozė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Hidrintas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ricinų aliejus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Sausasis aliuminio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hidroksido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gelis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Poliakrilato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dispersija 30 %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Talkas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Magnio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stearatas</w:t>
      </w:r>
      <w:proofErr w:type="spellEnd"/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Dangalas: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lastRenderedPageBreak/>
        <w:t>Hipromeliozė</w:t>
      </w:r>
      <w:proofErr w:type="spellEnd"/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Sacharozė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Glicerolis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(85 %)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Titano dioksidas (E 171)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Magnio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stearatas</w:t>
      </w:r>
      <w:proofErr w:type="spellEnd"/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Polisorbatas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80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6.2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Nesuderinamumas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Duomenys nebūtini.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6.3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Tinkamumo laikas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3 metai.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6.4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Specialios laikymo sąlygos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Laikyti ne aukštesnėje kaip 25 </w:t>
      </w:r>
      <w:r w:rsidRPr="00ED41BB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ED41BB">
        <w:rPr>
          <w:rFonts w:ascii="Times New Roman" w:eastAsia="Times New Roman" w:hAnsi="Times New Roman" w:cs="Times New Roman"/>
          <w:lang w:val="lt-LT"/>
        </w:rPr>
        <w:t>C temperatūroje.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6.5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ED41BB">
        <w:rPr>
          <w:rFonts w:ascii="Times New Roman" w:eastAsia="Times New Roman" w:hAnsi="Times New Roman" w:cs="Times New Roman"/>
          <w:b/>
          <w:lang w:val="lt-LT"/>
        </w:rPr>
        <w:t>Talpyklės</w:t>
      </w:r>
      <w:proofErr w:type="spellEnd"/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pobūdis ir jos turinys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>Baltas didelio tankio polipropileno (DTPE) buteliukas su baltu DTPE dangteliu.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30 tablečių.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6.6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 xml:space="preserve">Specialūs reikalavimai atliekoms tvarkyti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Specialių reikalavimų nėra.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A6536A" w:rsidRPr="004F28B7" w:rsidRDefault="00A6536A" w:rsidP="00A6536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4F28B7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7.</w:t>
      </w:r>
      <w:r w:rsidRPr="004F28B7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ab/>
        <w:t>REGISTRUOTOJAS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Corporation</w:t>
      </w:r>
      <w:proofErr w:type="spellEnd"/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Orionintie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1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FIN-02200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Espoo</w:t>
      </w:r>
      <w:proofErr w:type="spellEnd"/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Suomija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A6536A" w:rsidRPr="004F28B7" w:rsidRDefault="00A6536A" w:rsidP="00A6536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4F28B7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8.</w:t>
      </w:r>
      <w:r w:rsidRPr="004F28B7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ab/>
        <w:t xml:space="preserve">REGISTRACIJOS </w:t>
      </w:r>
      <w:r w:rsidRPr="00ED41BB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x-none"/>
        </w:rPr>
        <w:t>PAŽYMĖJIMO</w:t>
      </w:r>
      <w:r w:rsidRPr="004F28B7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 xml:space="preserve"> NUMERIS (-IAI)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LT/1/95/0702/001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A6536A" w:rsidRPr="004F28B7" w:rsidRDefault="00A6536A" w:rsidP="00A6536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4F28B7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lastRenderedPageBreak/>
        <w:t>9.</w:t>
      </w:r>
      <w:r w:rsidRPr="004F28B7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ab/>
        <w:t>REGISTRAVIMO / PERREGISTRAVIMO DATA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A6536A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Registravimo data </w:t>
      </w:r>
      <w:r w:rsidR="00DF4AC6" w:rsidRPr="00ED41BB">
        <w:rPr>
          <w:rFonts w:ascii="Times New Roman" w:eastAsia="Times New Roman" w:hAnsi="Times New Roman" w:cs="Times New Roman"/>
          <w:lang w:val="lt-LT"/>
        </w:rPr>
        <w:t>1995 m. sausio mėn. 11 d.</w:t>
      </w:r>
    </w:p>
    <w:p w:rsidR="00DF4AC6" w:rsidRPr="00ED41BB" w:rsidRDefault="00A6536A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Paskutinio perregistravimo data </w:t>
      </w:r>
      <w:r w:rsidR="00DF4AC6" w:rsidRPr="00ED41BB">
        <w:rPr>
          <w:rFonts w:ascii="Times New Roman" w:eastAsia="Times New Roman" w:hAnsi="Times New Roman" w:cs="Times New Roman"/>
          <w:lang w:val="lt-LT"/>
        </w:rPr>
        <w:t>2007 m. balandžio mėn. 05 d.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10.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 xml:space="preserve">teksto peržiūros </w:t>
      </w:r>
      <w:smartTag w:uri="urn:schemas-microsoft-com:office:smarttags" w:element="stockticker">
        <w:r w:rsidRPr="00ED41BB">
          <w:rPr>
            <w:rFonts w:ascii="Times New Roman" w:eastAsia="Times New Roman" w:hAnsi="Times New Roman" w:cs="Times New Roman"/>
            <w:b/>
            <w:caps/>
            <w:lang w:val="lt-LT"/>
          </w:rPr>
          <w:t>data</w:t>
        </w:r>
      </w:smartTag>
    </w:p>
    <w:p w:rsidR="00DF4AC6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D6FCF" w:rsidRPr="00ED41BB" w:rsidRDefault="00DD6FCF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2016-02-18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ED41BB">
        <w:rPr>
          <w:rFonts w:ascii="Times New Roman" w:eastAsia="SimSun" w:hAnsi="Times New Roman" w:cs="Times New Roman"/>
          <w:noProof/>
          <w:lang w:val="lt-LT"/>
        </w:rPr>
        <w:t>Išsami informacija apie šį vaistinį preparatą</w:t>
      </w:r>
      <w:r w:rsidRPr="00ED41BB">
        <w:rPr>
          <w:rFonts w:ascii="Times New Roman" w:eastAsia="SimSun" w:hAnsi="Times New Roman" w:cs="Times New Roman"/>
          <w:lang w:val="lt-LT"/>
        </w:rPr>
        <w:t xml:space="preserve"> pateikiama Valstybinės vaistų kontrolės tarnybos prie Lietuvos Respublikos sveikatos apsaugos ministerijos </w:t>
      </w:r>
      <w:r w:rsidRPr="00ED41BB">
        <w:rPr>
          <w:rFonts w:ascii="Times New Roman" w:eastAsia="SimSun" w:hAnsi="Times New Roman" w:cs="Times New Roman"/>
          <w:noProof/>
          <w:lang w:val="lt-LT"/>
        </w:rPr>
        <w:t>tinklalapyje</w:t>
      </w:r>
      <w:r w:rsidRPr="00ED41BB">
        <w:rPr>
          <w:rFonts w:ascii="Times New Roman" w:eastAsia="SimSun" w:hAnsi="Times New Roman" w:cs="Times New Roman"/>
          <w:i/>
          <w:lang w:val="lt-LT"/>
        </w:rPr>
        <w:t xml:space="preserve"> </w:t>
      </w:r>
      <w:hyperlink r:id="rId9" w:history="1">
        <w:r w:rsidRPr="00ED41BB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</w:t>
        </w:r>
      </w:hyperlink>
      <w:r w:rsidRPr="00ED41BB">
        <w:rPr>
          <w:rFonts w:ascii="Times New Roman" w:eastAsia="SimSun" w:hAnsi="Times New Roman" w:cs="Times New Roman"/>
          <w:lang w:val="lt-LT"/>
        </w:rPr>
        <w:t>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color w:val="0000FF"/>
          <w:lang w:val="lt-LT"/>
        </w:rPr>
        <w:br w:type="page"/>
      </w: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widowControl w:val="0"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widowControl w:val="0"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widowControl w:val="0"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widowControl w:val="0"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lastRenderedPageBreak/>
        <w:t>II PRIEDAS</w:t>
      </w:r>
    </w:p>
    <w:p w:rsidR="00DF4AC6" w:rsidRPr="00ED41BB" w:rsidRDefault="00DF4AC6" w:rsidP="00DF4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A6536A" w:rsidP="00DF4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 xml:space="preserve">REGISTRACIJOS </w:t>
      </w:r>
      <w:r w:rsidR="00DF4AC6" w:rsidRPr="00ED41BB">
        <w:rPr>
          <w:rFonts w:ascii="Times New Roman" w:eastAsia="Times New Roman" w:hAnsi="Times New Roman" w:cs="Times New Roman"/>
          <w:b/>
          <w:caps/>
          <w:lang w:val="lt-LT"/>
        </w:rPr>
        <w:t>sąlygos</w:t>
      </w:r>
    </w:p>
    <w:p w:rsidR="00DF4AC6" w:rsidRPr="00ED41BB" w:rsidRDefault="00DF4AC6" w:rsidP="00DF4AC6">
      <w:pPr>
        <w:spacing w:after="0" w:line="240" w:lineRule="auto"/>
        <w:ind w:right="1416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tabs>
          <w:tab w:val="left" w:pos="1701"/>
        </w:tabs>
        <w:spacing w:after="0" w:line="240" w:lineRule="auto"/>
        <w:ind w:left="2268" w:right="70" w:hanging="567"/>
        <w:rPr>
          <w:rFonts w:ascii="Times New Roman" w:eastAsia="Times New Roman" w:hAnsi="Times New Roman" w:cs="Times New Roman"/>
          <w:b/>
          <w:noProof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A.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noProof/>
          <w:lang w:val="lt-LT"/>
        </w:rPr>
        <w:t>GAMINTOJAS (-AI), ATSAKINGAS (-I) UŽ SERIJŲ IŠLEIDIMĄ</w:t>
      </w:r>
    </w:p>
    <w:p w:rsidR="00DF4AC6" w:rsidRPr="00ED41BB" w:rsidRDefault="00DF4AC6" w:rsidP="00DF4AC6">
      <w:pPr>
        <w:tabs>
          <w:tab w:val="left" w:pos="1701"/>
        </w:tabs>
        <w:spacing w:after="0" w:line="240" w:lineRule="auto"/>
        <w:ind w:left="2268" w:right="70" w:hanging="567"/>
        <w:rPr>
          <w:rFonts w:ascii="Times New Roman" w:eastAsia="Times New Roman" w:hAnsi="Times New Roman" w:cs="Times New Roman"/>
          <w:bCs/>
          <w:lang w:val="lt-LT"/>
        </w:rPr>
      </w:pPr>
    </w:p>
    <w:p w:rsidR="00DF4AC6" w:rsidRPr="00ED41BB" w:rsidRDefault="00DF4AC6" w:rsidP="00DF4AC6">
      <w:pPr>
        <w:tabs>
          <w:tab w:val="left" w:pos="1701"/>
        </w:tabs>
        <w:spacing w:after="0" w:line="240" w:lineRule="auto"/>
        <w:ind w:left="2268" w:right="-2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B.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TIEKIMO IR VARTOJIMO SĄLYGOS AR APRIBOJIMAI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br w:type="page"/>
      </w:r>
      <w:r w:rsidRPr="00ED41BB">
        <w:rPr>
          <w:rFonts w:ascii="Times New Roman" w:eastAsia="Times New Roman" w:hAnsi="Times New Roman" w:cs="Times New Roman"/>
          <w:b/>
          <w:lang w:val="lt-LT"/>
        </w:rPr>
        <w:lastRenderedPageBreak/>
        <w:t>A.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GAMINTOJAS (-AI), ATSAKINGAS (-I) UŽ SERIJŲ IŠLEIDIMĄ</w:t>
      </w:r>
    </w:p>
    <w:p w:rsidR="00DF4AC6" w:rsidRPr="00ED41BB" w:rsidRDefault="00DF4AC6" w:rsidP="00DF4AC6">
      <w:pPr>
        <w:spacing w:after="0" w:line="240" w:lineRule="auto"/>
        <w:ind w:right="1416"/>
        <w:jc w:val="both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Gamintojo, atsakingo už serijų išleidimą, pavadinimas ir adresas</w:t>
      </w:r>
    </w:p>
    <w:p w:rsidR="00DF4AC6" w:rsidRPr="00ED41BB" w:rsidRDefault="00DF4AC6" w:rsidP="00DF4AC6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Corporation</w:t>
      </w:r>
      <w:proofErr w:type="spellEnd"/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Orionintie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1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FIN-02200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Espoo</w:t>
      </w:r>
      <w:proofErr w:type="spellEnd"/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Suomija</w:t>
      </w:r>
    </w:p>
    <w:p w:rsidR="00DF4AC6" w:rsidRPr="00ED41BB" w:rsidRDefault="00DF4AC6" w:rsidP="00DF4AC6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B.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TIEKIMO IR VARTOJIMO SĄLYGOS AR APRIBOJIMAI</w:t>
      </w:r>
      <w:r w:rsidRPr="00ED41BB" w:rsidDel="00835ECB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DF4AC6" w:rsidRPr="00ED41BB" w:rsidRDefault="00DF4AC6" w:rsidP="00DF4AC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Receptinis vaistinis preparatas.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160" w:line="259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br w:type="page"/>
      </w: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050BE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DF4AC6" w:rsidRPr="00ED41BB" w:rsidRDefault="00DF4AC6" w:rsidP="00DF4AC6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val="lt-LT" w:eastAsia="x-none"/>
        </w:rPr>
      </w:pPr>
      <w:r w:rsidRPr="00ED41BB"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  <w:t>III PRIEDAS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val="lt-LT" w:eastAsia="x-none"/>
        </w:rPr>
      </w:pPr>
      <w:r w:rsidRPr="00ED41BB"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  <w:t>ŽENKLINIMAS IR PAKUOTĖS LAPELIS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br w:type="page"/>
      </w: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 xml:space="preserve">A. ŽENKLINIMAS </w:t>
      </w: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br w:type="page"/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 xml:space="preserve">Informacija ant </w:t>
      </w:r>
      <w:r w:rsidRPr="00ED41BB">
        <w:rPr>
          <w:rFonts w:ascii="Times New Roman" w:eastAsia="Times New Roman" w:hAnsi="Times New Roman" w:cs="Times New Roman"/>
          <w:b/>
          <w:bCs/>
          <w:lang w:val="lt-LT"/>
        </w:rPr>
        <w:t>IŠORINĖS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 xml:space="preserve">pakuotės </w:t>
      </w: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KARTONO dėžutė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vaistinio preparato pavadinimas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CARDIL 120 mg modifikuoto atpalaidavimo tabletės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2.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 xml:space="preserve">veikliOJI </w:t>
      </w:r>
      <w:r w:rsidRPr="00ED41BB">
        <w:rPr>
          <w:rFonts w:ascii="Times New Roman" w:eastAsia="Times New Roman" w:hAnsi="Times New Roman" w:cs="Times New Roman"/>
          <w:b/>
          <w:noProof/>
          <w:lang w:val="lt-LT"/>
        </w:rPr>
        <w:t xml:space="preserve">(-IOS) 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medžiagA (-OS) ir JOS (-Ų) kiekis (-IAI)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widowControl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ED41BB">
        <w:rPr>
          <w:rFonts w:ascii="Times New Roman" w:eastAsia="Calibri" w:hAnsi="Times New Roman" w:cs="Times New Roman"/>
          <w:lang w:val="lt-LT"/>
        </w:rPr>
        <w:t>Vienoje modifikuoto atpalaidavimo tabletėje yra 120</w:t>
      </w:r>
      <w:r w:rsidRPr="004F28B7">
        <w:rPr>
          <w:rFonts w:ascii="Times New Roman" w:eastAsia="Calibri" w:hAnsi="Times New Roman" w:cs="Times New Roman"/>
          <w:lang w:val="en-US"/>
        </w:rPr>
        <w:t> </w:t>
      </w:r>
      <w:r w:rsidRPr="00ED41BB">
        <w:rPr>
          <w:rFonts w:ascii="Times New Roman" w:eastAsia="Calibri" w:hAnsi="Times New Roman" w:cs="Times New Roman"/>
          <w:lang w:val="lt-LT"/>
        </w:rPr>
        <w:t xml:space="preserve">mg </w:t>
      </w:r>
      <w:proofErr w:type="spellStart"/>
      <w:r w:rsidRPr="00ED41BB">
        <w:rPr>
          <w:rFonts w:ascii="Times New Roman" w:eastAsia="Calibri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Calibri" w:hAnsi="Times New Roman" w:cs="Times New Roman"/>
          <w:lang w:val="lt-LT"/>
        </w:rPr>
        <w:t xml:space="preserve"> hidrochlorido.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3.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pagalbinių medžiagų sąrašas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Sudėtyje yra laktozės, sacharozės.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4.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FARMACINĖ forma ir KIEKIS PAKUOTĖJE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D41BB">
        <w:rPr>
          <w:rFonts w:ascii="Times New Roman" w:eastAsia="Calibri" w:hAnsi="Times New Roman" w:cs="Times New Roman"/>
          <w:lang w:val="lt-LT" w:eastAsia="lt-LT"/>
        </w:rPr>
        <w:t>30 modifikuoto atpalaidavimo tablečių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vartojimo METODAS IR būdas (-AI)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Vartoti per burną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caps/>
          <w:lang w:val="lt-LT"/>
        </w:rPr>
        <w:t>P</w:t>
      </w:r>
      <w:r w:rsidRPr="00ED41BB">
        <w:rPr>
          <w:rFonts w:ascii="Times New Roman" w:eastAsia="Times New Roman" w:hAnsi="Times New Roman" w:cs="Times New Roman"/>
          <w:lang w:val="lt-LT"/>
        </w:rPr>
        <w:t>rieš vartojimą perskaitykite pakuotės lapelį.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SPECIALUS Įspėjimas</w:t>
      </w:r>
      <w:r w:rsidRPr="00ED41BB">
        <w:rPr>
          <w:rFonts w:ascii="Times New Roman" w:eastAsia="Times New Roman" w:hAnsi="Times New Roman" w:cs="Times New Roman"/>
          <w:b/>
          <w:lang w:val="lt-LT"/>
        </w:rPr>
        <w:t>, KAD</w:t>
      </w:r>
      <w:r w:rsidRPr="00ED41BB">
        <w:rPr>
          <w:rFonts w:ascii="Times New Roman" w:eastAsia="Times New Roman" w:hAnsi="Times New Roman" w:cs="Times New Roman"/>
          <w:b/>
          <w:bCs/>
          <w:lang w:val="lt-LT"/>
        </w:rPr>
        <w:t xml:space="preserve"> VAISTINĮ PREPARATĄ BŪTINA LAIKYTI 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vaikams nepastebimoje ir nepasiekiamoje vietoje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kitas (-I) specialus (-ŪS) Įspėjimas (-AI) (jei reikia)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8.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tinkamumo laikas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Tinka iki {MMMM/mm} </w:t>
      </w:r>
      <w:r w:rsidRPr="00ED41BB">
        <w:rPr>
          <w:rFonts w:ascii="Times New Roman" w:eastAsia="Times New Roman" w:hAnsi="Times New Roman" w:cs="Times New Roman"/>
          <w:i/>
          <w:lang w:val="lt-LT"/>
        </w:rPr>
        <w:t>[metai, mėnuo]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9.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SPECIALIOS laikymo sąlygos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Laikyti ne aukštesnėje kaip 25 </w:t>
      </w:r>
      <w:r w:rsidRPr="00ED41BB">
        <w:rPr>
          <w:rFonts w:ascii="Times New Roman" w:eastAsia="Times New Roman" w:hAnsi="Times New Roman" w:cs="Times New Roman"/>
          <w:lang w:val="lt-LT"/>
        </w:rPr>
        <w:sym w:font="Symbol" w:char="00B0"/>
      </w:r>
      <w:r w:rsidRPr="00ED41BB">
        <w:rPr>
          <w:rFonts w:ascii="Times New Roman" w:eastAsia="Times New Roman" w:hAnsi="Times New Roman" w:cs="Times New Roman"/>
          <w:lang w:val="lt-LT"/>
        </w:rPr>
        <w:t>C temperatūroje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10.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specialios atsargumo priemonės</w:t>
      </w:r>
      <w:r w:rsidRPr="00ED41BB">
        <w:rPr>
          <w:rFonts w:ascii="Times New Roman" w:eastAsia="Times New Roman" w:hAnsi="Times New Roman" w:cs="Times New Roman"/>
          <w:b/>
          <w:bCs/>
          <w:lang w:val="lt-LT"/>
        </w:rPr>
        <w:t xml:space="preserve"> DĖL NESUVARTOTO</w:t>
      </w:r>
      <w:r w:rsidRPr="00ED41BB">
        <w:rPr>
          <w:rFonts w:ascii="Times New Roman" w:eastAsia="Times New Roman" w:hAnsi="Times New Roman" w:cs="Times New Roman"/>
          <w:b/>
          <w:bCs/>
          <w:caps/>
          <w:lang w:val="lt-LT"/>
        </w:rPr>
        <w:t xml:space="preserve"> VAISTINIO PREPARATO AR JO ATLIEKŲ TVARKYMO</w:t>
      </w:r>
      <w:r w:rsidRPr="00ED41BB">
        <w:rPr>
          <w:rFonts w:ascii="Times New Roman" w:eastAsia="Times New Roman" w:hAnsi="Times New Roman" w:cs="Times New Roman"/>
          <w:caps/>
          <w:lang w:val="lt-LT"/>
        </w:rPr>
        <w:t xml:space="preserve"> 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(jei reikia)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11.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r</w:t>
      </w:r>
      <w:r w:rsidR="0082256C">
        <w:rPr>
          <w:rFonts w:ascii="Times New Roman" w:eastAsia="Times New Roman" w:hAnsi="Times New Roman" w:cs="Times New Roman"/>
          <w:b/>
          <w:caps/>
          <w:lang w:val="lt-LT"/>
        </w:rPr>
        <w:t>EGISTRUOTOJO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 xml:space="preserve"> pavadinimas ir adresas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Corporation</w:t>
      </w:r>
      <w:proofErr w:type="spellEnd"/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Orionintie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1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FIN-02200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Espoo</w:t>
      </w:r>
      <w:proofErr w:type="spellEnd"/>
    </w:p>
    <w:p w:rsidR="00DF4AC6" w:rsidRPr="00ED41BB" w:rsidRDefault="00DF4AC6" w:rsidP="00DF4AC6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D41BB">
        <w:rPr>
          <w:rFonts w:ascii="Times New Roman" w:eastAsia="Calibri" w:hAnsi="Times New Roman" w:cs="Times New Roman"/>
          <w:lang w:val="lt-LT" w:eastAsia="lt-LT"/>
        </w:rPr>
        <w:t>Suomija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12.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r</w:t>
      </w:r>
      <w:r w:rsidR="0082256C">
        <w:rPr>
          <w:rFonts w:ascii="Times New Roman" w:eastAsia="Times New Roman" w:hAnsi="Times New Roman" w:cs="Times New Roman"/>
          <w:b/>
          <w:caps/>
          <w:lang w:val="lt-LT"/>
        </w:rPr>
        <w:t>EGISTRACIJOS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 xml:space="preserve"> PAŽYMĖJIMO numeris (-IAI)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LT/1/95/0702/001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Serija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14.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PARDAVIMO (IšDAVIMO) tvarka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Receptinis vaistinis preparatas.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OLE_LINK1"/>
      <w:r w:rsidRPr="00ED41BB">
        <w:rPr>
          <w:rFonts w:ascii="Times New Roman" w:eastAsia="Times New Roman" w:hAnsi="Times New Roman" w:cs="Times New Roman"/>
          <w:b/>
          <w:caps/>
          <w:lang w:val="lt-LT"/>
        </w:rPr>
        <w:t>15.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vartojimo instrukcijA</w:t>
      </w:r>
    </w:p>
    <w:bookmarkEnd w:id="0"/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16.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INFORMACIJA BRAILIO RAŠTU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cardil</w:t>
      </w:r>
      <w:proofErr w:type="spellEnd"/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br w:type="page"/>
      </w: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Minimali informacija ant mažų pirminių pakuočių</w:t>
      </w: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ButeliUKO ETIKETĖ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1.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Vaistinio preparato pavadinimas ir vartojimo būdas (-AI)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CARDIL 120 mg modifikuoto atpalaidavimo tabletės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Vartoti per burną.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2.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vartojimo metodas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3.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>tinkamumo laikas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Tinka iki {MMMM/mm} </w:t>
      </w:r>
      <w:r w:rsidRPr="00ED41BB">
        <w:rPr>
          <w:rFonts w:ascii="Times New Roman" w:eastAsia="Times New Roman" w:hAnsi="Times New Roman" w:cs="Times New Roman"/>
          <w:i/>
          <w:lang w:val="lt-LT"/>
        </w:rPr>
        <w:t>[metai, mėnuo]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Serija {numeris}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kiekis</w:t>
      </w:r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(MASĖ, TŪRIS ARBA VIENETAI)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ED41BB">
        <w:rPr>
          <w:rFonts w:ascii="Times New Roman" w:eastAsia="Calibri" w:hAnsi="Times New Roman" w:cs="Times New Roman"/>
          <w:lang w:val="lt-LT" w:eastAsia="lt-LT"/>
        </w:rPr>
        <w:t>30 modifikuoto atpalaidavimo tablečių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  <w:t>KITA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color w:val="0000FF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color w:val="0000FF"/>
          <w:lang w:val="lt-LT"/>
        </w:rPr>
      </w:pPr>
    </w:p>
    <w:p w:rsidR="00DF4AC6" w:rsidRPr="00ED41BB" w:rsidRDefault="00DF4AC6" w:rsidP="00DF4AC6">
      <w:pPr>
        <w:spacing w:after="160" w:line="259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br w:type="page"/>
      </w: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 xml:space="preserve">B.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ED41BB">
          <w:rPr>
            <w:rFonts w:ascii="Times New Roman" w:eastAsia="Times New Roman" w:hAnsi="Times New Roman" w:cs="Times New Roman"/>
            <w:b/>
            <w:caps/>
            <w:lang w:val="lt-LT"/>
          </w:rPr>
          <w:t>lapelis</w:t>
        </w:r>
      </w:smartTag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br w:type="page"/>
      </w:r>
    </w:p>
    <w:p w:rsidR="00DF4AC6" w:rsidRPr="00ED41BB" w:rsidRDefault="00DF4AC6" w:rsidP="00DF4AC6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val="lt-LT" w:eastAsia="x-none"/>
        </w:rPr>
      </w:pPr>
      <w:r w:rsidRPr="00ED41BB"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  <w:lastRenderedPageBreak/>
        <w:t>Pakuotės lapelis:</w:t>
      </w:r>
      <w:r w:rsidRPr="00ED41BB">
        <w:rPr>
          <w:rFonts w:ascii="Times New Roman" w:eastAsia="Times New Roman" w:hAnsi="Times New Roman" w:cs="Times New Roman"/>
          <w:b/>
          <w:snapToGrid w:val="0"/>
          <w:lang w:val="lt-LT" w:eastAsia="x-none"/>
        </w:rPr>
        <w:t xml:space="preserve"> </w:t>
      </w:r>
      <w:r w:rsidRPr="00ED41BB">
        <w:rPr>
          <w:rFonts w:ascii="Times New Roman" w:eastAsia="Times New Roman" w:hAnsi="Times New Roman" w:cs="Times New Roman"/>
          <w:b/>
          <w:bCs/>
          <w:iCs/>
          <w:snapToGrid w:val="0"/>
          <w:lang w:val="lt-LT" w:eastAsia="x-none"/>
        </w:rPr>
        <w:t>informacija vartotojui</w:t>
      </w:r>
    </w:p>
    <w:p w:rsidR="00DF4AC6" w:rsidRPr="00ED41BB" w:rsidRDefault="00DF4AC6" w:rsidP="00DF4AC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DF4AC6" w:rsidRPr="00ED41BB" w:rsidRDefault="00DF4AC6" w:rsidP="00DF4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CARDIL 120 mg modifikuoto atpalaidavimo tabletės</w:t>
      </w:r>
    </w:p>
    <w:p w:rsidR="00DF4AC6" w:rsidRPr="00ED41BB" w:rsidRDefault="00DF4AC6" w:rsidP="00DF4AC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050BE1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vaistą,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r w:rsidRPr="00ED41BB">
        <w:rPr>
          <w:rFonts w:ascii="Times New Roman" w:eastAsia="Times New Roman" w:hAnsi="Times New Roman" w:cs="Times New Roman"/>
          <w:b/>
          <w:lang w:val="lt-LT"/>
        </w:rPr>
        <w:t>nes jame pateikiama Jums svarbi informacija.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-</w:t>
      </w:r>
      <w:r w:rsidRPr="00ED41BB">
        <w:rPr>
          <w:rFonts w:ascii="Times New Roman" w:eastAsia="Times New Roman" w:hAnsi="Times New Roman" w:cs="Times New Roman"/>
          <w:lang w:val="lt-LT"/>
        </w:rPr>
        <w:tab/>
        <w:t xml:space="preserve">Neišmeskite šio </w:t>
      </w:r>
      <w:smartTag w:uri="schemas-tilde-lt/tildestengine" w:element="templates">
        <w:smartTagPr>
          <w:attr w:name="text" w:val="lapelio"/>
          <w:attr w:name="id" w:val="-1"/>
          <w:attr w:name="baseform" w:val="lapel|is"/>
        </w:smartTagPr>
        <w:r w:rsidRPr="00ED41BB">
          <w:rPr>
            <w:rFonts w:ascii="Times New Roman" w:eastAsia="Times New Roman" w:hAnsi="Times New Roman" w:cs="Times New Roman"/>
            <w:lang w:val="lt-LT"/>
          </w:rPr>
          <w:t>lapelio</w:t>
        </w:r>
      </w:smartTag>
      <w:r w:rsidRPr="00ED41BB">
        <w:rPr>
          <w:rFonts w:ascii="Times New Roman" w:eastAsia="Times New Roman" w:hAnsi="Times New Roman" w:cs="Times New Roman"/>
          <w:lang w:val="lt-LT"/>
        </w:rPr>
        <w:t>, nes vėl gali prireikti jį perskaityti.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-</w:t>
      </w:r>
      <w:r w:rsidRPr="00ED41BB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-</w:t>
      </w:r>
      <w:r w:rsidRPr="00ED41BB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-</w:t>
      </w:r>
      <w:r w:rsidRPr="00ED41BB">
        <w:rPr>
          <w:rFonts w:ascii="Times New Roman" w:eastAsia="Times New Roman" w:hAnsi="Times New Roman" w:cs="Times New Roman"/>
          <w:lang w:val="lt-LT"/>
        </w:rPr>
        <w:tab/>
        <w:t>Jeigu pasireiškė sunkus šalutinis poveikis (net jeigu jis šiame lapelyje nenurodytas), kreipkitės į gydytoją arba vaistininką. Žr. 4 skyrių.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050BE1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0BE1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1.</w:t>
      </w:r>
      <w:r w:rsidRPr="00ED41BB">
        <w:rPr>
          <w:rFonts w:ascii="Times New Roman" w:eastAsia="Times New Roman" w:hAnsi="Times New Roman" w:cs="Times New Roman"/>
          <w:lang w:val="lt-LT"/>
        </w:rPr>
        <w:tab/>
        <w:t>Kas yra CARDIL ir nuo ko jis vartojamas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2.</w:t>
      </w:r>
      <w:r w:rsidRPr="00ED41BB">
        <w:rPr>
          <w:rFonts w:ascii="Times New Roman" w:eastAsia="Times New Roman" w:hAnsi="Times New Roman" w:cs="Times New Roman"/>
          <w:lang w:val="lt-LT"/>
        </w:rPr>
        <w:tab/>
        <w:t>Kas žinotina prieš vartojant CARDIL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3.</w:t>
      </w:r>
      <w:r w:rsidRPr="00ED41BB">
        <w:rPr>
          <w:rFonts w:ascii="Times New Roman" w:eastAsia="Times New Roman" w:hAnsi="Times New Roman" w:cs="Times New Roman"/>
          <w:lang w:val="lt-LT"/>
        </w:rPr>
        <w:tab/>
        <w:t>Kaip vartoti CARDIL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4.</w:t>
      </w:r>
      <w:r w:rsidRPr="00ED41BB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>5.</w:t>
      </w:r>
      <w:r w:rsidRPr="00ED41BB">
        <w:rPr>
          <w:rFonts w:ascii="Times New Roman" w:eastAsia="Times New Roman" w:hAnsi="Times New Roman" w:cs="Times New Roman"/>
          <w:lang w:val="lt-LT"/>
        </w:rPr>
        <w:tab/>
        <w:t>Kaip laikyti CARDIL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6.</w:t>
      </w:r>
      <w:r w:rsidRPr="00ED41BB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1.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Kas yra CARDIL ir kam jis vartojamas</w:t>
      </w: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CARDIL priklauso vaistų grupei, vadinamai kalcio kanalų blokatoriais. CARDIL vartojama arterinės hipertenzijos gydymui, krūtinės anginos gydymui ir priepuolių profilaktikai.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2.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Kas žinotina prieš vartojant CARDIL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CARDIL vartoti negalima: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  <w:b/>
        </w:rPr>
      </w:pPr>
      <w:r w:rsidRPr="00050BE1">
        <w:rPr>
          <w:rFonts w:eastAsia="Calibri"/>
        </w:rPr>
        <w:t xml:space="preserve">jeigu yra alergija </w:t>
      </w:r>
      <w:proofErr w:type="spellStart"/>
      <w:r w:rsidRPr="00050BE1">
        <w:rPr>
          <w:rFonts w:eastAsia="Calibri"/>
        </w:rPr>
        <w:t>diltiazemo</w:t>
      </w:r>
      <w:proofErr w:type="spellEnd"/>
      <w:r w:rsidRPr="00050BE1">
        <w:rPr>
          <w:rFonts w:eastAsia="Calibri"/>
        </w:rPr>
        <w:t xml:space="preserve"> hidrochloridui arba bet kuriai pagalbinei šio vaisto medžiagai (jos išvardytos 6 skyriuje);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  <w:b/>
        </w:rPr>
      </w:pPr>
      <w:r w:rsidRPr="00050BE1">
        <w:rPr>
          <w:rFonts w:eastAsia="Calibri"/>
        </w:rPr>
        <w:t xml:space="preserve">jeigu vargina </w:t>
      </w:r>
      <w:proofErr w:type="spellStart"/>
      <w:r w:rsidRPr="00050BE1">
        <w:rPr>
          <w:rFonts w:eastAsia="Calibri"/>
        </w:rPr>
        <w:t>sinusinio</w:t>
      </w:r>
      <w:proofErr w:type="spellEnd"/>
      <w:r w:rsidRPr="00050BE1">
        <w:rPr>
          <w:rFonts w:eastAsia="Calibri"/>
        </w:rPr>
        <w:t xml:space="preserve"> mazgo silpnumo sindromas; 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  <w:b/>
        </w:rPr>
      </w:pPr>
      <w:r w:rsidRPr="00050BE1">
        <w:rPr>
          <w:rFonts w:eastAsia="Calibri"/>
        </w:rPr>
        <w:t xml:space="preserve">jeigu yra sutrikęs </w:t>
      </w:r>
      <w:proofErr w:type="spellStart"/>
      <w:r w:rsidRPr="00050BE1">
        <w:rPr>
          <w:rFonts w:eastAsia="Calibri"/>
        </w:rPr>
        <w:t>atrioventrikulinio</w:t>
      </w:r>
      <w:proofErr w:type="spellEnd"/>
      <w:r w:rsidRPr="00050BE1">
        <w:rPr>
          <w:rFonts w:eastAsia="Calibri"/>
        </w:rPr>
        <w:t xml:space="preserve"> mazgo laidumas ir nėra širdies stimuliatoriaus;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  <w:b/>
        </w:rPr>
      </w:pPr>
      <w:r w:rsidRPr="00050BE1">
        <w:rPr>
          <w:rFonts w:eastAsia="Calibri"/>
        </w:rPr>
        <w:t xml:space="preserve">jeigu yra nekompensuotas širdies nepakankamumas, kartu dusulys ir periferiniai tinimai; 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>jeigu yra mažas kraujospūdis;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>jeigu yra labai retas pulsas (širdies susitraukimų dažnis mažesnis kaip 40 kartų per minutę);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lastRenderedPageBreak/>
        <w:t xml:space="preserve">jeigu yra ūminis komplikuotas miokardo infarktas; 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 xml:space="preserve">jeigu sergate WPW sindromu ir būna prieširdžių virpėjimo priepuolių; 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>jeigu apsinuodijote rusmenės preparatais;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>jeigu gydytojas sakė, kad sergate kairiojo skilvelio nepakankamumu, pasireiškiančiu plaučių staze;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>jeigu žindote kūdikį;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 xml:space="preserve">jeigu kartu </w:t>
      </w:r>
      <w:proofErr w:type="spellStart"/>
      <w:r w:rsidRPr="00050BE1">
        <w:rPr>
          <w:rFonts w:eastAsia="Calibri"/>
        </w:rPr>
        <w:t>infuzuojama</w:t>
      </w:r>
      <w:proofErr w:type="spellEnd"/>
      <w:r w:rsidRPr="00050BE1">
        <w:rPr>
          <w:rFonts w:eastAsia="Calibri"/>
        </w:rPr>
        <w:t xml:space="preserve"> </w:t>
      </w:r>
      <w:proofErr w:type="spellStart"/>
      <w:r w:rsidRPr="00050BE1">
        <w:rPr>
          <w:rFonts w:eastAsia="Calibri"/>
        </w:rPr>
        <w:t>dantroleno</w:t>
      </w:r>
      <w:proofErr w:type="spellEnd"/>
      <w:r w:rsidRPr="00050BE1">
        <w:rPr>
          <w:rFonts w:eastAsia="Calibri"/>
        </w:rPr>
        <w:t xml:space="preserve"> (vaisto raumenims atpalaiduoti) preparato;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9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 xml:space="preserve">jeigu tam tikroms ligoms gydyti vartojate vaistų, kurių sudėtyje yra </w:t>
      </w:r>
      <w:proofErr w:type="spellStart"/>
      <w:r w:rsidRPr="00050BE1">
        <w:rPr>
          <w:rFonts w:eastAsia="Calibri"/>
        </w:rPr>
        <w:t>ivabradino</w:t>
      </w:r>
      <w:proofErr w:type="spellEnd"/>
      <w:r w:rsidRPr="00050BE1">
        <w:rPr>
          <w:rFonts w:eastAsia="Calibri"/>
        </w:rPr>
        <w:t>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DF4AC6" w:rsidP="00DF4AC6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b/>
          <w:iCs/>
          <w:lang w:val="lt-LT"/>
        </w:rPr>
      </w:pPr>
      <w:r w:rsidRPr="00ED41BB">
        <w:rPr>
          <w:rFonts w:ascii="Times New Roman" w:eastAsia="Times New Roman" w:hAnsi="Times New Roman" w:cs="Times New Roman"/>
          <w:b/>
          <w:iCs/>
          <w:lang w:val="lt-LT"/>
        </w:rPr>
        <w:t xml:space="preserve">Įspėjimai ir atsargumo priemonės 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10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>jeigu sutrikusi kepenų ar inkstų funkcija, senyviems pacientams;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10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 xml:space="preserve">jeigu yra kairiojo skilvelio funkcijos susilpnėjimas, aortos stenozė, mažas kraujospūdis ar </w:t>
      </w:r>
      <w:proofErr w:type="spellStart"/>
      <w:r w:rsidRPr="00050BE1">
        <w:rPr>
          <w:rFonts w:eastAsia="Calibri"/>
        </w:rPr>
        <w:t>bradikardija</w:t>
      </w:r>
      <w:proofErr w:type="spellEnd"/>
      <w:r w:rsidRPr="00050BE1">
        <w:rPr>
          <w:rFonts w:eastAsia="Calibri"/>
        </w:rPr>
        <w:t>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10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 xml:space="preserve">jeigu vartojate </w:t>
      </w:r>
      <w:proofErr w:type="spellStart"/>
      <w:r w:rsidRPr="00050BE1">
        <w:rPr>
          <w:rFonts w:eastAsia="Calibri"/>
        </w:rPr>
        <w:t>amjodaroną</w:t>
      </w:r>
      <w:proofErr w:type="spellEnd"/>
      <w:r w:rsidRPr="00050BE1">
        <w:rPr>
          <w:rFonts w:eastAsia="Calibri"/>
        </w:rPr>
        <w:t xml:space="preserve">, širdį veikiančius glikozidus ar beta </w:t>
      </w:r>
      <w:proofErr w:type="spellStart"/>
      <w:r w:rsidRPr="00050BE1">
        <w:rPr>
          <w:rFonts w:eastAsia="Calibri"/>
        </w:rPr>
        <w:t>adrenoblokatorius</w:t>
      </w:r>
      <w:proofErr w:type="spellEnd"/>
      <w:r w:rsidRPr="00050BE1">
        <w:rPr>
          <w:rFonts w:eastAsia="Calibri"/>
        </w:rPr>
        <w:t>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10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 xml:space="preserve">jeigu sergate </w:t>
      </w:r>
      <w:proofErr w:type="spellStart"/>
      <w:r w:rsidRPr="00050BE1">
        <w:rPr>
          <w:rFonts w:eastAsia="Calibri"/>
        </w:rPr>
        <w:t>porfirija</w:t>
      </w:r>
      <w:proofErr w:type="spellEnd"/>
      <w:r w:rsidRPr="00050BE1">
        <w:rPr>
          <w:rFonts w:eastAsia="Calibri"/>
        </w:rPr>
        <w:t>;</w:t>
      </w:r>
    </w:p>
    <w:p w:rsidR="00DF4AC6" w:rsidRPr="00050BE1" w:rsidRDefault="00DF4AC6" w:rsidP="00050BE1">
      <w:pPr>
        <w:pStyle w:val="Sraopastraipa"/>
        <w:widowControl w:val="0"/>
        <w:numPr>
          <w:ilvl w:val="0"/>
          <w:numId w:val="10"/>
        </w:numPr>
        <w:spacing w:line="260" w:lineRule="exact"/>
        <w:ind w:left="567" w:hanging="567"/>
        <w:rPr>
          <w:rFonts w:eastAsia="Calibri"/>
        </w:rPr>
      </w:pPr>
      <w:r w:rsidRPr="00050BE1">
        <w:rPr>
          <w:rFonts w:eastAsia="Calibri"/>
        </w:rPr>
        <w:t>jeigu turite virškinimo sutrikimų.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Praneškite gydytojui, jeigu Jums yra bent viena iš aukščiau išvardytų būklių.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Jeigu Jums planuojama operacija, pasakykite gydytojui, kad vartojate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Kiti vaistai ir CARDIL</w:t>
      </w: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noProof/>
          <w:lang w:val="lt-LT"/>
        </w:rPr>
        <w:lastRenderedPageBreak/>
        <w:t>Jeigu vartojate ar neseniai vartojote kitų vaistų arba dėl to nesate tikri, apie tai pasakykite gydytojui arba vaistininkui.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Dantroleno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r w:rsidR="0082256C">
        <w:rPr>
          <w:rFonts w:ascii="Times New Roman" w:eastAsia="Times New Roman" w:hAnsi="Times New Roman" w:cs="Times New Roman"/>
          <w:lang w:val="lt-LT"/>
        </w:rPr>
        <w:t>vaistų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kartu vartoti negalima.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Kai kurie vaistai ir </w:t>
      </w:r>
      <w:r w:rsidR="0082256C">
        <w:rPr>
          <w:rFonts w:ascii="Times New Roman" w:eastAsia="Times New Roman" w:hAnsi="Times New Roman" w:cs="Times New Roman"/>
          <w:lang w:val="lt-LT"/>
        </w:rPr>
        <w:t>augaliniai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r w:rsidR="0082256C">
        <w:rPr>
          <w:rFonts w:ascii="Times New Roman" w:eastAsia="Times New Roman" w:hAnsi="Times New Roman" w:cs="Times New Roman"/>
          <w:lang w:val="lt-LT"/>
        </w:rPr>
        <w:t>vaistai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, vartojami kartu su CARDIL, gali sukelti nepageidaujamų reakcijų arba gali pasikeisti jų poveikis. Tokiu atveju gydytojas gali keisti vaistus arba dozavimą.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Ypatingą dėmesį reikėtų atkreipti į žemiau išvardytus vaistus. Tai: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kiti kraujospūdį mažinantys </w:t>
      </w:r>
      <w:r w:rsidR="0082256C">
        <w:rPr>
          <w:rFonts w:ascii="Times New Roman" w:eastAsia="Times New Roman" w:hAnsi="Times New Roman" w:cs="Times New Roman"/>
          <w:lang w:val="lt-LT"/>
        </w:rPr>
        <w:t>vaistai</w:t>
      </w:r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antiaritminiai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r w:rsidR="0082256C">
        <w:rPr>
          <w:rFonts w:ascii="Times New Roman" w:eastAsia="Times New Roman" w:hAnsi="Times New Roman" w:cs="Times New Roman"/>
          <w:lang w:val="lt-LT"/>
        </w:rPr>
        <w:t>vaistai</w:t>
      </w:r>
      <w:r w:rsidRPr="00ED41BB">
        <w:rPr>
          <w:rFonts w:ascii="Times New Roman" w:eastAsia="Times New Roman" w:hAnsi="Times New Roman" w:cs="Times New Roman"/>
          <w:lang w:val="lt-LT"/>
        </w:rPr>
        <w:t xml:space="preserve">: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amjodaronas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beta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adrenoblokatoriai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digoksinas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digitoksinas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nifedipinas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chinidinas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moricizinas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alfa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adrenoreceptorių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blokatoriai;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prieštraukuliniai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: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karbamazepinas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fenitoinas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fenobarbitalis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rifampicinas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eritromicinas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klaritromicinas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priešgrybeliniai: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ketokonazolas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flukonazolas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itrakonazolas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antidepresantai: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imipraminas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nortriptilinas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fluoksetinas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antinavikiniai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preparatai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imunosupresantai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: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tamoksifenas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ciklosporinas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sirolimuzas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takrolimuzas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buspironas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midazolamas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triazolamas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alprazolamas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ar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diazepamas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teofilinas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kiti kalcio kanalų blokatoriai ir nitratų dariniai;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 xml:space="preserve">sisteminiai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gliukokortikoidai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vaistai kraujo lipidų koncentracijai mažinti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statinai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);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cimetidinas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ranitidinas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litis;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cisapridas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;</w:t>
      </w:r>
    </w:p>
    <w:p w:rsidR="00DF4AC6" w:rsidRPr="00ED41BB" w:rsidRDefault="00DF4AC6" w:rsidP="00DF4AC6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vaistai ŽIV gydyti (proteazių inhibitoriai ir nenukleozidiniai atvirkštinės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transkriptazės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inhibitoriai „NNATI”).</w:t>
      </w:r>
    </w:p>
    <w:p w:rsidR="00DF4AC6" w:rsidRPr="00ED41BB" w:rsidRDefault="00DF4AC6" w:rsidP="00DF4AC6">
      <w:pPr>
        <w:widowControl w:val="0"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lang w:val="lt-LT" w:eastAsia="x-none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Pasakykite gydytojui, jeigu esate alergiškas.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Kiekvieno kito apsilankymo pas gydytoją metu, nepamirškite pasakyti, kad vartojate CARDIL.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CARDIL vartojimas su maistu ir gėrimais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Maistas neturi įtakos CARDIL vartojimui. Tabletes galima gerti valgant arba tarp valgių.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Prieš vartojant bet kokį vaistą, būtina pasitarti su gydytoju arba vaistininku.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Nėštumo metu bei vaisingo amžiaus moterims, nenaudojančioms veiksmingų kontracepcijos priemonių,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vartoti nerekomenduojama.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patenka į motinos pieną, todėl vartojančiosioms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žindyti negalima. Jeigu gydytojas nuspręs, kad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diltiazemą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Jums būtina vartoti, žindymą reikės nutraukti.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Gydymo CARDIL pradžioje dėl sumažėjusio kraujospūdžio gali svaigti galva. Jeigu taip yra, negalima vairuoti ar valdyti mechanizmų. Kai gydomasis poveikis tampa stabilus, mažai tikėtina, kad CARDIL veiktų šį gebėjimą.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CARDIL sudėtyje yra laktozės ir sacharozės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3.</w:t>
      </w:r>
      <w:r w:rsidRPr="00ED41BB">
        <w:rPr>
          <w:rFonts w:ascii="Times New Roman" w:eastAsia="Times New Roman" w:hAnsi="Times New Roman" w:cs="Times New Roman"/>
          <w:b/>
          <w:lang w:val="lt-LT"/>
        </w:rPr>
        <w:tab/>
        <w:t>Kaip vartoti CARDIL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Visada vartokite šį vaistą tiksliai, kaip nurodė gydytojas. Jeigu abejojate, kreipkitės į gydytoją arba vaistininką. Patiems dozės keisti negalima.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Rekomenduojama dozė yra nuo 180</w:t>
      </w:r>
      <w:r w:rsidRPr="00ED41BB">
        <w:rPr>
          <w:rFonts w:ascii="Times New Roman" w:eastAsia="Times New Roman" w:hAnsi="Times New Roman" w:cs="Times New Roman"/>
          <w:lang w:val="lt-LT"/>
        </w:rPr>
        <w:noBreakHyphen/>
        <w:t>240 mg per parą. Paros dozę reikia gerti lygiomis dalimis per 3 kartus.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Tabletes reikia nuryti nesmulkintas. Jei būtina, tabletę galima padalyti pusiau per vagelę.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 xml:space="preserve">Kad CARDIL veiktų nuolat, gerkite jį visada tuo pačiu dienos metu.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Jei vaistą vartosite reguliariai, nepablogės gydoma būklė.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Ką daryti pavartojus per didelę CARDIL dozę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Nedelsdami kreipkitės į gydytoją, jei Jūs pats ar kas nors kitas išgėrė per didelę CARDIL dozę.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Pamiršus pavartoti CARDIL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highlight w:val="yellow"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snapToGrid w:val="0"/>
          <w:lang w:val="lt-LT"/>
        </w:rPr>
        <w:t>Galimas šalutinis poveikis</w:t>
      </w: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noProof/>
          <w:lang w:val="lt-LT"/>
        </w:rPr>
        <w:t>Šis vaistas, kaip ir visi kiti, gali sukelti šalutinį poveikį, nors jis pasireiškia ne visiems žmonėms.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Nedelsdami nustokite vartoti CARDIL ir kreipkitės į gydytoją, jeigu:</w:t>
      </w:r>
    </w:p>
    <w:p w:rsidR="00DF4AC6" w:rsidRPr="00ED41BB" w:rsidRDefault="00DF4AC6" w:rsidP="00DF4AC6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pasireiškė tokių padidėjusio jautrumo reakcijų kaip odos ar gleivinės paburkimas, liežuvio paburkimas ar pasidarė sunku kvėpuoti;</w:t>
      </w:r>
    </w:p>
    <w:p w:rsidR="00DF4AC6" w:rsidRPr="00ED41BB" w:rsidRDefault="00DF4AC6" w:rsidP="00DF4AC6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>neįprastai sulėtėjo širdies ritmas (&lt; 40 kartų per minutę) ar nualpote.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Kuo greičiau nustokite vartoti CARDIL ir kreipkitės į gydytoją, jeigu: </w:t>
      </w:r>
    </w:p>
    <w:p w:rsidR="00DF4AC6" w:rsidRPr="00ED41BB" w:rsidRDefault="00DF4AC6" w:rsidP="00DF4AC6">
      <w:pPr>
        <w:widowControl w:val="0"/>
        <w:numPr>
          <w:ilvl w:val="0"/>
          <w:numId w:val="5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staiga pasidarys labai silpna ar pradės suktis galva; </w:t>
      </w:r>
    </w:p>
    <w:p w:rsidR="00DF4AC6" w:rsidRPr="00ED41BB" w:rsidRDefault="00DF4AC6" w:rsidP="00DF4AC6">
      <w:pPr>
        <w:widowControl w:val="0"/>
        <w:numPr>
          <w:ilvl w:val="0"/>
          <w:numId w:val="5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padidės galūnių tinimai, atsiras krūtinės skausmas ar pradės pernelyg greitai, juntamai plakti širdis;</w:t>
      </w:r>
    </w:p>
    <w:p w:rsidR="00DF4AC6" w:rsidRPr="00ED41BB" w:rsidRDefault="00DF4AC6" w:rsidP="00DF4AC6">
      <w:pPr>
        <w:widowControl w:val="0"/>
        <w:numPr>
          <w:ilvl w:val="0"/>
          <w:numId w:val="5"/>
        </w:numPr>
        <w:tabs>
          <w:tab w:val="clear" w:pos="360"/>
          <w:tab w:val="num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atsiras kitų odos reakcijų.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Pasakykite gydytojui, jeigu atsirado toliau išvardytas poveikis. Tai gali būti nesunkios CARDIL sukeltos nepageidaujamos reakcijos.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Labai dažnai (apsireiškia daugiau nei 1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u w:val="single"/>
          <w:lang w:val="lt-LT"/>
        </w:rPr>
        <w:t>iš 10 žmonių):</w:t>
      </w:r>
    </w:p>
    <w:p w:rsidR="00DF4AC6" w:rsidRPr="00ED41BB" w:rsidRDefault="00DF4AC6" w:rsidP="00DF4AC6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apatinių galūnių patinimas (periferinė edema).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Dažnai (apsireiškia mažiau nei 1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u w:val="single"/>
          <w:lang w:val="lt-LT"/>
        </w:rPr>
        <w:t>iš 10 žmonių, bet dažniau nei 1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u w:val="single"/>
          <w:lang w:val="lt-LT"/>
        </w:rPr>
        <w:t>iš 100 žmonių):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galvos skausmas;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galvos svaigimas;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bendras silpnumas;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veido ir kaklo raudonis (šilumos pojūtis);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pykinimas, 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virškinimo sutrikimas, pilvo skausmas, vidurių užkietėjimas;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>bendras negalavimas;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pernelyg greitas, netolygus ar stiprus širdies plakimas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palpitacija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);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širdies laidumo sutrikimai, nustatomi elektrokardiograma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atrioventrikulinė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blokada)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raudonė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eritema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), niežulys.</w:t>
      </w:r>
    </w:p>
    <w:p w:rsidR="00DF4AC6" w:rsidRPr="00ED41BB" w:rsidRDefault="00DF4AC6" w:rsidP="00DF4AC6">
      <w:pPr>
        <w:widowControl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Nedažnai (pasireiškia mažiau nei 1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u w:val="single"/>
          <w:lang w:val="lt-LT"/>
        </w:rPr>
        <w:t>iš 100 žmonių, bet dažniau nei 1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u w:val="single"/>
          <w:lang w:val="lt-LT"/>
        </w:rPr>
        <w:t>iš 1000 žmonių):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bėrimas niežtinčiomis ruplėmis (dilgėlinė);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nervingumas, nemiga;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retas širdies plakimas;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vėmimas, viduriavimas;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kraujospūdžio sumažėjimas atsistojant;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kepenų fermentų aktyvumo padidėjimas.</w:t>
      </w:r>
    </w:p>
    <w:p w:rsidR="00DF4AC6" w:rsidRPr="00ED41BB" w:rsidRDefault="00DF4AC6" w:rsidP="00DF4AC6">
      <w:pPr>
        <w:widowControl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widowControl w:val="0"/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Retai (pasireiškia mažiau nei 1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u w:val="single"/>
          <w:lang w:val="lt-LT"/>
        </w:rPr>
        <w:t>iš 1000 žmonių, bet dažniau nei 1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u w:val="single"/>
          <w:lang w:val="lt-LT"/>
        </w:rPr>
        <w:t>iš 10 000 žmonių):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burnos ir gerklės džiūvimas.</w:t>
      </w:r>
    </w:p>
    <w:p w:rsidR="00DF4AC6" w:rsidRPr="00ED41BB" w:rsidRDefault="00DF4AC6" w:rsidP="00DF4AC6">
      <w:pPr>
        <w:widowControl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widowControl w:val="0"/>
        <w:spacing w:after="0" w:line="260" w:lineRule="exact"/>
        <w:rPr>
          <w:rFonts w:ascii="Times New Roman" w:eastAsia="Times New Roman" w:hAnsi="Times New Roman" w:cs="Times New Roman"/>
          <w:u w:val="single"/>
          <w:lang w:val="lt-LT"/>
        </w:rPr>
      </w:pPr>
      <w:r w:rsidRPr="00ED41BB">
        <w:rPr>
          <w:rFonts w:ascii="Times New Roman" w:eastAsia="Times New Roman" w:hAnsi="Times New Roman" w:cs="Times New Roman"/>
          <w:u w:val="single"/>
          <w:lang w:val="lt-LT"/>
        </w:rPr>
        <w:t>Dažnis nežinomas (negali būti įvertintas pagal turimus duomenis):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nuotaikų kaita, įskaitant prislėgtą nuotaiką;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greitai atsirandančios mėlynės;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>neįprasti liežuvio judesiai, raumenų spazmai, drebanti ir neaiški kalba;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aukšta temperatūra, nuovargis, apetito nebuvimas, pilvo skausmas, pykinimas. Tai gali būti kepenų uždegimo (hepatito) požymiai;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dantenų patinimas;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sąnarių skausmas;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raumenų skausmas,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daugiau nei įprasta padidėjęs jautrumas šviesai;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širdies sutrikimo simptomai, pavyzdžiui, dusulys ypač įsitempus, nuovargis kartu su čiurnų ir kojų patinimu;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sąmonės praradimas arba apalpimas;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padidėjęs prakaitavimas;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odos bėrimas atsiradęs dėl kraujagyslių susiaurėjimo ar užsikimšimo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vaskulitas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);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krūtų padidėjimas vyrams;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minčių susipainiojimas, sutrikęs miegas, haliucinacijos ar depresija;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padidėjęs kūno svoris ar anoreksija;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parestezija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(tariamasis skruzdžių rėpliojimo, tirpimo, niežėjimo, skausmo ar kitokių nesamų dirginimų jutimas), uoslės ir skonio sutrikimai, drebulys ar spengimas ausyse;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ekstrapiramidiniai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(raumenų tonuso) sutrikimai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parkinsonizmas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);</w:t>
      </w:r>
    </w:p>
    <w:p w:rsidR="00DF4AC6" w:rsidRPr="00ED41BB" w:rsidRDefault="00DF4AC6" w:rsidP="00DF4AC6">
      <w:pPr>
        <w:widowControl w:val="0"/>
        <w:numPr>
          <w:ilvl w:val="0"/>
          <w:numId w:val="6"/>
        </w:numPr>
        <w:tabs>
          <w:tab w:val="clear" w:pos="360"/>
          <w:tab w:val="num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gausus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šlapinimasis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poliurija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), inkstų pažeidimas ar nepakankamumas, impotencija.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lastRenderedPageBreak/>
        <w:t xml:space="preserve">Jeigu pasireiškė sunkus šalutinis poveikis arba pastebėjote šiame </w:t>
      </w:r>
      <w:smartTag w:uri="schemas-tilde-lt/tildestengine" w:element="templates">
        <w:smartTagPr>
          <w:attr w:name="text" w:val="lapelyje"/>
          <w:attr w:name="id" w:val="-1"/>
          <w:attr w:name="baseform" w:val="lapel|is"/>
        </w:smartTagPr>
        <w:r w:rsidRPr="00ED41BB">
          <w:rPr>
            <w:rFonts w:ascii="Times New Roman" w:eastAsia="Times New Roman" w:hAnsi="Times New Roman" w:cs="Times New Roman"/>
            <w:lang w:val="lt-LT"/>
          </w:rPr>
          <w:t>lapelyje</w:t>
        </w:r>
      </w:smartTag>
      <w:r w:rsidRPr="00ED41BB">
        <w:rPr>
          <w:rFonts w:ascii="Times New Roman" w:eastAsia="Times New Roman" w:hAnsi="Times New Roman" w:cs="Times New Roman"/>
          <w:lang w:val="lt-LT"/>
        </w:rPr>
        <w:t xml:space="preserve"> nenurodytą šalutinį poveikį, pasakykite gydytojui arba vaistininkui.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:rsidR="00A6536A" w:rsidRPr="00AF4BDE" w:rsidRDefault="00A6536A" w:rsidP="00A6536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>Jeigu pasireiškė šalutinis poveikis, įskaitant šiame lapelyje nenurodytą, pasakykite gydytojui arba vaistininkui</w:t>
      </w:r>
      <w:r w:rsidRPr="00ED41BB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Apie šalutinį poveikį taip pat galite pranešti tiesiogiai, užpildę interneto svetainėje </w:t>
      </w:r>
      <w:hyperlink r:id="rId10" w:history="1">
        <w:r w:rsidRPr="00ED41BB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lt-LT"/>
          </w:rPr>
          <w:t>www.vvkt.lt</w:t>
        </w:r>
      </w:hyperlink>
      <w:r w:rsidRPr="00ED41BB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esančią formą, ir pateikti ją</w:t>
      </w: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vienu iš šių būdų: raštu adresu (Valstybinei vaistų kontrolės tarnybai prie Lietuvos Respublikos sveikatos apsaugos ministerijos), Žirmūnų g. 139A, LT 09120 Vilnius; nemokamu fakso numeriu (8 800) 20 131; t</w:t>
      </w:r>
      <w:r w:rsidRPr="00ED41BB">
        <w:rPr>
          <w:rFonts w:ascii="Times New Roman" w:eastAsia="Calibri" w:hAnsi="Times New Roman" w:cs="Times New Roman"/>
          <w:noProof/>
          <w:snapToGrid w:val="0"/>
          <w:lang w:val="lt-LT" w:eastAsia="zh-CN"/>
        </w:rPr>
        <w:t xml:space="preserve">elefonu (8 6) 143 35 34; </w:t>
      </w: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el. paštu </w:t>
      </w:r>
      <w:hyperlink r:id="rId11" w:history="1">
        <w:r w:rsidRPr="00ED41BB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lt-LT"/>
          </w:rPr>
          <w:t>NepageidaujamaR</w:t>
        </w:r>
        <w:r w:rsidRPr="004F28B7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lt-LT"/>
          </w:rPr>
          <w:t>@vvkt.lt</w:t>
        </w:r>
      </w:hyperlink>
      <w:r w:rsidRPr="00ED41BB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, </w:t>
      </w:r>
      <w:r w:rsidRPr="004F28B7">
        <w:rPr>
          <w:rFonts w:ascii="Times New Roman" w:eastAsia="Times New Roman" w:hAnsi="Times New Roman" w:cs="Times New Roman"/>
          <w:noProof/>
          <w:snapToGrid w:val="0"/>
          <w:lang w:val="lt-LT"/>
        </w:rPr>
        <w:t>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i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ED41BB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ED41BB">
        <w:rPr>
          <w:rFonts w:ascii="Times New Roman" w:eastAsia="Times New Roman" w:hAnsi="Times New Roman" w:cs="Times New Roman"/>
          <w:b/>
          <w:lang w:val="lt-LT"/>
        </w:rPr>
        <w:t>Kaip laikyti CARDIL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Šį vaistą laikykite vaikams nepastebimoje ir nepasiekiamoje vietoje.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noProof/>
          <w:lang w:val="lt-LT"/>
        </w:rPr>
        <w:t>Laikyti ne aukštesnėje kaip 25</w:t>
      </w:r>
      <w:r w:rsidRPr="00ED41BB">
        <w:rPr>
          <w:rFonts w:ascii="Times New Roman" w:eastAsia="Times New Roman" w:hAnsi="Times New Roman" w:cs="Times New Roman"/>
          <w:lang w:val="lt-LT"/>
        </w:rPr>
        <w:t> </w:t>
      </w:r>
      <w:r w:rsidRPr="00ED41BB">
        <w:rPr>
          <w:rFonts w:ascii="Times New Roman" w:eastAsia="Times New Roman" w:hAnsi="Times New Roman" w:cs="Times New Roman"/>
          <w:noProof/>
          <w:lang w:val="lt-LT"/>
        </w:rPr>
        <w:sym w:font="Symbol" w:char="F0B0"/>
      </w:r>
      <w:r w:rsidRPr="00ED41BB">
        <w:rPr>
          <w:rFonts w:ascii="Times New Roman" w:eastAsia="Times New Roman" w:hAnsi="Times New Roman" w:cs="Times New Roman"/>
          <w:noProof/>
          <w:lang w:val="lt-LT"/>
        </w:rPr>
        <w:t>C temperatūroje.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Tinkamumo laikas nurodytas ant dėžutės ir buteliuko. Ant dėžutės ir buteliuko po „Tinka iki“ </w:t>
      </w:r>
      <w:r w:rsidRPr="00ED41BB">
        <w:rPr>
          <w:rFonts w:ascii="Times New Roman" w:eastAsia="Times New Roman" w:hAnsi="Times New Roman" w:cs="Times New Roman"/>
          <w:noProof/>
          <w:lang w:val="lt-LT"/>
        </w:rPr>
        <w:t>nurodytam tinkamumo laikui pasibaigus, šio vaisto vartoti negalima.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noProof/>
          <w:lang w:val="lt-LT"/>
        </w:rPr>
        <w:lastRenderedPageBreak/>
        <w:t xml:space="preserve">Vaistų negalima išmesti į kanalizaciją arba su buitinėmis atliekomis. Kaip išmesti nereikalingus vaistus, klauskite vaistininko. Šios priemonės padės apsaugoti aplinką. 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DF4AC6" w:rsidP="00DF4AC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aps/>
          <w:lang w:val="lt-LT"/>
        </w:rPr>
      </w:pPr>
      <w:r w:rsidRPr="00ED41BB">
        <w:rPr>
          <w:rFonts w:ascii="Times New Roman" w:eastAsia="Times New Roman" w:hAnsi="Times New Roman" w:cs="Times New Roman"/>
          <w:b/>
          <w:caps/>
          <w:lang w:val="lt-LT"/>
        </w:rPr>
        <w:t>P</w:t>
      </w:r>
      <w:r w:rsidRPr="00ED41BB">
        <w:rPr>
          <w:rFonts w:ascii="Times New Roman" w:eastAsia="Times New Roman" w:hAnsi="Times New Roman" w:cs="Times New Roman"/>
          <w:b/>
          <w:lang w:val="lt-LT"/>
        </w:rPr>
        <w:t>akuotės turinys ir kita informacija</w:t>
      </w:r>
    </w:p>
    <w:p w:rsidR="00DF4AC6" w:rsidRPr="00ED41BB" w:rsidRDefault="00DF4AC6" w:rsidP="00DF4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 xml:space="preserve">CARDIL sudėtis 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-</w:t>
      </w:r>
      <w:r w:rsidRPr="00ED41BB">
        <w:rPr>
          <w:rFonts w:ascii="Times New Roman" w:eastAsia="Times New Roman" w:hAnsi="Times New Roman" w:cs="Times New Roman"/>
          <w:lang w:val="lt-LT"/>
        </w:rPr>
        <w:tab/>
        <w:t xml:space="preserve">Veiklioji medžiaga yra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hidrochloridas. Vienoje modifikuoto atpalaidavimo tabletėje yra 120 mg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-</w:t>
      </w:r>
      <w:r w:rsidRPr="00ED41BB">
        <w:rPr>
          <w:rFonts w:ascii="Times New Roman" w:eastAsia="Times New Roman" w:hAnsi="Times New Roman" w:cs="Times New Roman"/>
          <w:lang w:val="lt-LT"/>
        </w:rPr>
        <w:tab/>
        <w:t xml:space="preserve">Pagalbinės medžiagos yra laktozė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hidrintas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ricinų aliejus, sausasis aliuminio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hidroksido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gelis, (30 %)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poliakrilato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dispersija, talkas, magnio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stearatas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hipromeliozė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, sacharozė,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glicerolis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(85 %), titano dioksidas (E 171) ir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polisorbatas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 80.</w:t>
      </w: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ED41BB">
        <w:rPr>
          <w:rFonts w:ascii="Times New Roman" w:eastAsia="Times New Roman" w:hAnsi="Times New Roman" w:cs="Times New Roman"/>
          <w:b/>
          <w:lang w:val="lt-LT"/>
        </w:rPr>
        <w:t>CARDIL išvaizda ir kiekis pakuotėje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 xml:space="preserve">Baltos arba balkšvos, plėvele dengtos tabletės, su abipuse vagele, vienoje pusėje pažymėtas kodas DL/120, matmenys – 6 x 14 mm. </w:t>
      </w:r>
    </w:p>
    <w:p w:rsidR="0082256C" w:rsidRPr="00ED41BB" w:rsidRDefault="0082256C" w:rsidP="0082256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ED41BB">
        <w:rPr>
          <w:rFonts w:ascii="Times New Roman" w:eastAsia="Times New Roman" w:hAnsi="Times New Roman" w:cs="Times New Roman"/>
          <w:noProof/>
          <w:snapToGrid w:val="0"/>
          <w:lang w:val="lt-LT"/>
        </w:rPr>
        <w:t>Tabletę galima padalyti į lygias dozes.</w:t>
      </w:r>
    </w:p>
    <w:p w:rsidR="00DF4AC6" w:rsidRPr="00ED41BB" w:rsidRDefault="00DF4AC6" w:rsidP="00050BE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Pakuotėje yra 30 tablečių.</w:t>
      </w:r>
    </w:p>
    <w:p w:rsidR="00BB625E" w:rsidRPr="00ED41BB" w:rsidRDefault="00BB625E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A6536A" w:rsidRPr="00ED41BB" w:rsidRDefault="00A6536A" w:rsidP="00A6536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ED41BB">
        <w:rPr>
          <w:rFonts w:ascii="Times New Roman" w:eastAsia="Times New Roman" w:hAnsi="Times New Roman" w:cs="Times New Roman"/>
          <w:b/>
          <w:bCs/>
          <w:lang w:val="lt-LT"/>
        </w:rPr>
        <w:t>Registruotojas ir gamintojas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lastRenderedPageBreak/>
        <w:t>Orion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Corporation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br/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Orionintie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1</w:t>
      </w:r>
      <w:r w:rsidRPr="00ED41BB">
        <w:rPr>
          <w:rFonts w:ascii="Times New Roman" w:eastAsia="Times New Roman" w:hAnsi="Times New Roman" w:cs="Times New Roman"/>
          <w:lang w:val="lt-LT"/>
        </w:rPr>
        <w:br/>
        <w:t xml:space="preserve">FIN-02200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Espoo</w:t>
      </w:r>
      <w:proofErr w:type="spellEnd"/>
    </w:p>
    <w:p w:rsidR="00DF4AC6" w:rsidRPr="00ED41BB" w:rsidRDefault="00DF4AC6" w:rsidP="00DF4AC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Suomija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A6536A" w:rsidRPr="00ED41BB" w:rsidRDefault="00A6536A" w:rsidP="00A6536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UAB “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Orion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ED41BB">
        <w:rPr>
          <w:rFonts w:ascii="Times New Roman" w:eastAsia="Times New Roman" w:hAnsi="Times New Roman" w:cs="Times New Roman"/>
          <w:lang w:val="lt-LT"/>
        </w:rPr>
        <w:t>Pharma</w:t>
      </w:r>
      <w:proofErr w:type="spellEnd"/>
      <w:r w:rsidRPr="00ED41BB">
        <w:rPr>
          <w:rFonts w:ascii="Times New Roman" w:eastAsia="Times New Roman" w:hAnsi="Times New Roman" w:cs="Times New Roman"/>
          <w:lang w:val="lt-LT"/>
        </w:rPr>
        <w:t>”</w:t>
      </w:r>
    </w:p>
    <w:p w:rsidR="00DF4AC6" w:rsidRPr="00ED41BB" w:rsidRDefault="00DF4AC6" w:rsidP="00DF4AC6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Kubiliaus g. 6</w:t>
      </w:r>
    </w:p>
    <w:p w:rsidR="00DF4AC6" w:rsidRPr="00ED41BB" w:rsidRDefault="00DF4AC6" w:rsidP="00DF4AC6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LT-08234 Vilnius</w:t>
      </w:r>
    </w:p>
    <w:p w:rsidR="00DF4AC6" w:rsidRPr="00ED41BB" w:rsidRDefault="00DF4AC6" w:rsidP="00DF4AC6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Tel. 8 5 276 9499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b/>
          <w:bCs/>
          <w:lang w:val="lt-LT"/>
        </w:rPr>
        <w:t>Šis pakuotės</w:t>
      </w:r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ED41BB">
          <w:rPr>
            <w:rFonts w:ascii="Times New Roman" w:eastAsia="Times New Roman" w:hAnsi="Times New Roman" w:cs="Times New Roman"/>
            <w:b/>
            <w:lang w:val="lt-LT"/>
          </w:rPr>
          <w:t>lapelis</w:t>
        </w:r>
      </w:smartTag>
      <w:r w:rsidRPr="00ED41BB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 </w:t>
      </w:r>
      <w:r w:rsidR="0028704B">
        <w:rPr>
          <w:rFonts w:ascii="Times New Roman" w:eastAsia="Times New Roman" w:hAnsi="Times New Roman" w:cs="Times New Roman"/>
          <w:b/>
          <w:lang w:val="lt-LT"/>
        </w:rPr>
        <w:t>2016-02-18</w:t>
      </w:r>
    </w:p>
    <w:p w:rsidR="00DF4AC6" w:rsidRPr="00ED41BB" w:rsidRDefault="00DF4AC6" w:rsidP="00DF4AC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3D1D5C" w:rsidRPr="00050BE1" w:rsidRDefault="00DF4AC6" w:rsidP="0028704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ED41BB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ED41BB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12" w:history="1">
        <w:r w:rsidRPr="00ED41BB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ED41BB">
        <w:rPr>
          <w:rFonts w:ascii="Times New Roman" w:eastAsia="Times New Roman" w:hAnsi="Times New Roman" w:cs="Times New Roman"/>
          <w:lang w:val="lt-LT"/>
        </w:rPr>
        <w:t>.</w:t>
      </w:r>
      <w:r w:rsidR="0028704B">
        <w:rPr>
          <w:rFonts w:ascii="Times New Roman" w:eastAsia="Times New Roman" w:hAnsi="Times New Roman" w:cs="Times New Roman"/>
          <w:lang w:val="lt-LT"/>
        </w:rPr>
        <w:t xml:space="preserve">     </w:t>
      </w:r>
      <w:bookmarkStart w:id="1" w:name="_GoBack"/>
      <w:bookmarkEnd w:id="1"/>
      <w:permStart w:id="987248090" w:edGrp="everyone"/>
      <w:permEnd w:id="987248090"/>
    </w:p>
    <w:sectPr w:rsidR="003D1D5C" w:rsidRPr="00050BE1" w:rsidSect="00D00273">
      <w:headerReference w:type="default" r:id="rId13"/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79" w:rsidRDefault="00716E79">
      <w:pPr>
        <w:spacing w:after="0" w:line="240" w:lineRule="auto"/>
      </w:pPr>
      <w:r>
        <w:separator/>
      </w:r>
    </w:p>
  </w:endnote>
  <w:endnote w:type="continuationSeparator" w:id="0">
    <w:p w:rsidR="00716E79" w:rsidRDefault="0071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55" w:rsidRDefault="00E67755">
    <w:pPr>
      <w:pStyle w:val="Porat"/>
      <w:framePr w:wrap="around" w:vAnchor="text" w:hAnchor="margin" w:xAlign="right" w:y="1"/>
      <w:rPr>
        <w:rStyle w:val="Puslapionumeris"/>
        <w:lang w:val="lt-LT" w:eastAsia="x-none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E67755" w:rsidRDefault="00E67755">
    <w:pPr>
      <w:pStyle w:val="Porat"/>
      <w:ind w:right="360"/>
      <w:rPr>
        <w:lang w:val="lt-LT" w:eastAsia="x-none"/>
      </w:rPr>
    </w:pPr>
  </w:p>
  <w:p w:rsidR="00E67755" w:rsidRDefault="00E677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55" w:rsidRDefault="00E67755">
    <w:pPr>
      <w:pStyle w:val="Porat"/>
      <w:framePr w:wrap="around" w:vAnchor="text" w:hAnchor="margin" w:xAlign="right" w:y="1"/>
      <w:rPr>
        <w:rStyle w:val="Puslapionumeris"/>
        <w:lang w:val="lt-LT" w:eastAsia="x-none"/>
      </w:rPr>
    </w:pPr>
  </w:p>
  <w:p w:rsidR="00E67755" w:rsidRDefault="00E67755">
    <w:pPr>
      <w:pStyle w:val="Porat"/>
      <w:ind w:right="360"/>
      <w:jc w:val="center"/>
      <w:rPr>
        <w:rStyle w:val="Puslapionumeris"/>
        <w:lang w:val="lt-LT" w:eastAsia="x-none"/>
      </w:rPr>
    </w:pPr>
    <w:r>
      <w:rPr>
        <w:rStyle w:val="Puslapionumeris"/>
        <w:lang w:val="lt-LT" w:eastAsia="x-none"/>
      </w:rPr>
      <w:fldChar w:fldCharType="begin"/>
    </w:r>
    <w:r>
      <w:rPr>
        <w:rStyle w:val="Puslapionumeris"/>
        <w:lang w:val="lt-LT" w:eastAsia="x-none"/>
      </w:rPr>
      <w:instrText xml:space="preserve"> PAGE </w:instrText>
    </w:r>
    <w:r>
      <w:rPr>
        <w:rStyle w:val="Puslapionumeris"/>
        <w:lang w:val="lt-LT" w:eastAsia="x-none"/>
      </w:rPr>
      <w:fldChar w:fldCharType="separate"/>
    </w:r>
    <w:r w:rsidR="0028704B">
      <w:rPr>
        <w:rStyle w:val="Puslapionumeris"/>
        <w:noProof/>
        <w:lang w:val="lt-LT" w:eastAsia="x-none"/>
      </w:rPr>
      <w:t>20</w:t>
    </w:r>
    <w:r>
      <w:rPr>
        <w:rStyle w:val="Puslapionumeris"/>
        <w:lang w:val="lt-LT" w:eastAsia="x-none"/>
      </w:rPr>
      <w:fldChar w:fldCharType="end"/>
    </w:r>
  </w:p>
  <w:p w:rsidR="00E67755" w:rsidRDefault="00E677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79" w:rsidRDefault="00716E79">
      <w:pPr>
        <w:spacing w:after="0" w:line="240" w:lineRule="auto"/>
      </w:pPr>
      <w:r>
        <w:separator/>
      </w:r>
    </w:p>
  </w:footnote>
  <w:footnote w:type="continuationSeparator" w:id="0">
    <w:p w:rsidR="00716E79" w:rsidRDefault="00716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55" w:rsidRDefault="00E67755">
    <w:pPr>
      <w:pStyle w:val="Antrats"/>
    </w:pPr>
  </w:p>
  <w:p w:rsidR="00E67755" w:rsidRDefault="00E677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864995"/>
    <w:multiLevelType w:val="hybridMultilevel"/>
    <w:tmpl w:val="350C7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30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395148"/>
    <w:multiLevelType w:val="hybridMultilevel"/>
    <w:tmpl w:val="799E1F7E"/>
    <w:lvl w:ilvl="0" w:tplc="8FB6D1EA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37E2BBF"/>
    <w:multiLevelType w:val="hybridMultilevel"/>
    <w:tmpl w:val="FAC62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02A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5C01C5"/>
    <w:multiLevelType w:val="hybridMultilevel"/>
    <w:tmpl w:val="3348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15A1F"/>
    <w:multiLevelType w:val="singleLevel"/>
    <w:tmpl w:val="231E90F6"/>
    <w:lvl w:ilvl="0">
      <w:start w:val="1"/>
      <w:numFmt w:val="bullet"/>
      <w:pStyle w:val="Sraassuenkleliai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</w:abstractNum>
  <w:abstractNum w:abstractNumId="8" w15:restartNumberingAfterBreak="0">
    <w:nsid w:val="7B3F79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7703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Bkx1LdhiXodASDamdr5xvEOfX8cR4v1fn7wj4XITevJu/rmjfXJTk2azv6+RHEk2e3pt2vC8W3NO6QKX9QZXw==" w:salt="LcY3q3t1mf9WuodYnnMBE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C6"/>
    <w:rsid w:val="00050BE1"/>
    <w:rsid w:val="00207CA9"/>
    <w:rsid w:val="0028704B"/>
    <w:rsid w:val="003B3A31"/>
    <w:rsid w:val="003D1D5C"/>
    <w:rsid w:val="004F28B7"/>
    <w:rsid w:val="00581F11"/>
    <w:rsid w:val="00596C07"/>
    <w:rsid w:val="00716E79"/>
    <w:rsid w:val="0082256C"/>
    <w:rsid w:val="00A6536A"/>
    <w:rsid w:val="00AF4BDE"/>
    <w:rsid w:val="00BB625E"/>
    <w:rsid w:val="00C3394D"/>
    <w:rsid w:val="00D00273"/>
    <w:rsid w:val="00D11E21"/>
    <w:rsid w:val="00DD6FCF"/>
    <w:rsid w:val="00DD7396"/>
    <w:rsid w:val="00DF4AC6"/>
    <w:rsid w:val="00E67755"/>
    <w:rsid w:val="00E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docId w15:val="{2C06BB7F-C40D-4ED7-B962-9C63377D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DF4AC6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53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4AC6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DF4AC6"/>
    <w:rPr>
      <w:rFonts w:ascii="Cambria" w:eastAsia="Times New Roman" w:hAnsi="Cambria" w:cs="Times New Roman"/>
      <w:b/>
      <w:bCs/>
      <w:i/>
      <w:iCs/>
      <w:snapToGrid w:val="0"/>
      <w:sz w:val="28"/>
      <w:szCs w:val="28"/>
      <w:lang w:eastAsia="x-none"/>
    </w:rPr>
  </w:style>
  <w:style w:type="paragraph" w:customStyle="1" w:styleId="Heading41">
    <w:name w:val="Heading 41"/>
    <w:basedOn w:val="prastasis"/>
    <w:next w:val="prastasis"/>
    <w:uiPriority w:val="9"/>
    <w:semiHidden/>
    <w:unhideWhenUsed/>
    <w:qFormat/>
    <w:rsid w:val="00DF4AC6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DF4AC6"/>
  </w:style>
  <w:style w:type="paragraph" w:styleId="Porat">
    <w:name w:val="footer"/>
    <w:basedOn w:val="prastasis"/>
    <w:link w:val="PoratDiagrama"/>
    <w:rsid w:val="00DF4AC6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Calibri" w:hAnsi="Helvetica" w:cs="Times New Roman"/>
      <w:sz w:val="16"/>
      <w:szCs w:val="20"/>
      <w:lang w:val="cs-CZ" w:eastAsia="lt-LT"/>
    </w:rPr>
  </w:style>
  <w:style w:type="character" w:customStyle="1" w:styleId="PoratDiagrama">
    <w:name w:val="Poraštė Diagrama"/>
    <w:basedOn w:val="Numatytasispastraiposriftas"/>
    <w:link w:val="Porat"/>
    <w:rsid w:val="00DF4AC6"/>
    <w:rPr>
      <w:rFonts w:ascii="Helvetica" w:eastAsia="Calibri" w:hAnsi="Helvetica" w:cs="Times New Roman"/>
      <w:sz w:val="16"/>
      <w:szCs w:val="20"/>
      <w:lang w:val="cs-CZ" w:eastAsia="lt-LT"/>
    </w:rPr>
  </w:style>
  <w:style w:type="character" w:styleId="Puslapionumeris">
    <w:name w:val="page number"/>
    <w:basedOn w:val="Numatytasispastraiposriftas"/>
    <w:rsid w:val="00DF4AC6"/>
    <w:rPr>
      <w:rFonts w:cs="Times New Roman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DF4AC6"/>
    <w:pPr>
      <w:tabs>
        <w:tab w:val="left" w:pos="567"/>
      </w:tabs>
      <w:spacing w:after="0" w:line="240" w:lineRule="auto"/>
    </w:pPr>
    <w:rPr>
      <w:rFonts w:ascii="Times New Roman" w:eastAsia="Calibri" w:hAnsi="Times New Roman" w:cs="Times New Roman"/>
      <w:szCs w:val="20"/>
      <w:lang w:val="cs-CZ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F4AC6"/>
    <w:rPr>
      <w:rFonts w:ascii="Times New Roman" w:eastAsia="Calibri" w:hAnsi="Times New Roman" w:cs="Times New Roman"/>
      <w:szCs w:val="20"/>
      <w:lang w:val="cs-CZ" w:eastAsia="lt-LT"/>
    </w:rPr>
  </w:style>
  <w:style w:type="paragraph" w:customStyle="1" w:styleId="Text">
    <w:name w:val="Text"/>
    <w:basedOn w:val="prastasis"/>
    <w:rsid w:val="00DF4AC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autoRedefine/>
    <w:rsid w:val="00DF4AC6"/>
    <w:pPr>
      <w:widowControl w:val="0"/>
      <w:numPr>
        <w:numId w:val="2"/>
      </w:numPr>
      <w:spacing w:after="0" w:line="260" w:lineRule="exact"/>
    </w:pPr>
    <w:rPr>
      <w:rFonts w:ascii="Times New Roman" w:eastAsia="Calibri" w:hAnsi="Times New Roman" w:cs="Times New Roman"/>
      <w:szCs w:val="20"/>
      <w:lang w:val="fi-FI"/>
    </w:rPr>
  </w:style>
  <w:style w:type="paragraph" w:styleId="Data">
    <w:name w:val="Date"/>
    <w:basedOn w:val="prastasis"/>
    <w:next w:val="prastasis"/>
    <w:link w:val="DataDiagrama"/>
    <w:rsid w:val="00DF4AC6"/>
    <w:pPr>
      <w:widowControl w:val="0"/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szCs w:val="20"/>
      <w:lang w:val="fi-FI" w:eastAsia="lt-LT"/>
    </w:rPr>
  </w:style>
  <w:style w:type="character" w:customStyle="1" w:styleId="DataDiagrama">
    <w:name w:val="Data Diagrama"/>
    <w:basedOn w:val="Numatytasispastraiposriftas"/>
    <w:link w:val="Data"/>
    <w:rsid w:val="00DF4AC6"/>
    <w:rPr>
      <w:rFonts w:ascii="Times New Roman" w:eastAsia="Calibri" w:hAnsi="Times New Roman" w:cs="Times New Roman"/>
      <w:szCs w:val="20"/>
      <w:lang w:val="fi-FI" w:eastAsia="lt-LT"/>
    </w:rPr>
  </w:style>
  <w:style w:type="paragraph" w:styleId="Antrats">
    <w:name w:val="header"/>
    <w:basedOn w:val="prastasis"/>
    <w:link w:val="AntratsDiagrama"/>
    <w:rsid w:val="00DF4AC6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DF4AC6"/>
    <w:rPr>
      <w:rFonts w:ascii="Times New Roman" w:eastAsia="Calibri" w:hAnsi="Times New Roman" w:cs="Times New Roman"/>
      <w:szCs w:val="20"/>
      <w:lang w:val="lt-LT" w:eastAsia="lt-LT"/>
    </w:rPr>
  </w:style>
  <w:style w:type="character" w:styleId="Hipersaitas">
    <w:name w:val="Hyperlink"/>
    <w:basedOn w:val="Numatytasispastraiposriftas"/>
    <w:rsid w:val="00DF4AC6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DF4AC6"/>
    <w:pPr>
      <w:spacing w:after="0" w:line="240" w:lineRule="auto"/>
    </w:pPr>
    <w:rPr>
      <w:rFonts w:ascii="Times New Roman" w:eastAsia="Calibri" w:hAnsi="Times New Roman" w:cs="Times New Roman"/>
      <w:noProof/>
      <w:lang w:val="lt-LT" w:eastAsia="lt-LT"/>
    </w:rPr>
  </w:style>
  <w:style w:type="character" w:customStyle="1" w:styleId="BTEMEASMCAChar">
    <w:name w:val="BT EMEA_SMCA Char"/>
    <w:link w:val="BTEMEASMCA"/>
    <w:locked/>
    <w:rsid w:val="00DF4AC6"/>
    <w:rPr>
      <w:rFonts w:ascii="Times New Roman" w:eastAsia="Calibri" w:hAnsi="Times New Roman" w:cs="Times New Roman"/>
      <w:noProof/>
      <w:lang w:val="lt-LT" w:eastAsia="lt-LT"/>
    </w:rPr>
  </w:style>
  <w:style w:type="paragraph" w:styleId="Sraopastraipa">
    <w:name w:val="List Paragraph"/>
    <w:basedOn w:val="prastasis"/>
    <w:qFormat/>
    <w:rsid w:val="00DF4A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4AC6"/>
    <w:pPr>
      <w:spacing w:after="0" w:line="240" w:lineRule="auto"/>
    </w:pPr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4AC6"/>
    <w:rPr>
      <w:rFonts w:ascii="Segoe UI" w:eastAsia="Times New Roman" w:hAnsi="Segoe UI" w:cs="Segoe UI"/>
      <w:sz w:val="18"/>
      <w:szCs w:val="18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DF4AC6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AC6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4AC6"/>
    <w:rPr>
      <w:rFonts w:ascii="Calibri Light" w:eastAsia="Times New Roman" w:hAnsi="Calibri Light" w:cs="Times New Roman"/>
      <w:i/>
      <w:iCs/>
      <w:color w:val="2E74B5"/>
      <w:lang w:val="lt-LT"/>
    </w:rPr>
  </w:style>
  <w:style w:type="paragraph" w:customStyle="1" w:styleId="Sraopastraipa1">
    <w:name w:val="Sąrašo pastraipa1"/>
    <w:basedOn w:val="prastasis"/>
    <w:rsid w:val="00DF4A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4A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4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4AC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4A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4AC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Heading4Char1">
    <w:name w:val="Heading 4 Char1"/>
    <w:basedOn w:val="Numatytasispastraiposriftas"/>
    <w:uiPriority w:val="9"/>
    <w:semiHidden/>
    <w:rsid w:val="00DF4A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53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vkt.lt/%20" TargetMode="External"/><Relationship Id="rId12" Type="http://schemas.openxmlformats.org/officeDocument/2006/relationships/hyperlink" Target="http://www.ema.europa.e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21503</Words>
  <Characters>12258</Characters>
  <Application>Microsoft Office Word</Application>
  <DocSecurity>8</DocSecurity>
  <Lines>102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150708</dc:creator>
  <cp:lastModifiedBy>Albina Burkauskaitė</cp:lastModifiedBy>
  <cp:revision>3</cp:revision>
  <dcterms:created xsi:type="dcterms:W3CDTF">2016-02-22T07:16:00Z</dcterms:created>
  <dcterms:modified xsi:type="dcterms:W3CDTF">2016-02-22T07:17:00Z</dcterms:modified>
</cp:coreProperties>
</file>