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lang w:val="lt-LT"/>
        </w:rPr>
      </w:pPr>
      <w:r w:rsidRPr="00DF5828">
        <w:rPr>
          <w:rFonts w:ascii="Times New Roman" w:hAnsi="Times New Roman"/>
          <w:b/>
          <w:lang w:val="lt-LT"/>
        </w:rPr>
        <w:t>I PRIEDAS</w:t>
      </w: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r w:rsidRPr="00DF5828">
        <w:rPr>
          <w:rFonts w:ascii="Times New Roman" w:hAnsi="Times New Roman"/>
          <w:b/>
          <w:lang w:val="lt-LT"/>
        </w:rPr>
        <w:t>PREPARATO CHARAKTERISTIKŲ SANTRAUKA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br w:type="page"/>
      </w:r>
      <w:r w:rsidRPr="00DF5828">
        <w:rPr>
          <w:rFonts w:ascii="Times New Roman" w:hAnsi="Times New Roman"/>
          <w:b/>
          <w:lang w:val="lt-LT"/>
        </w:rPr>
        <w:lastRenderedPageBreak/>
        <w:t>1.</w:t>
      </w:r>
      <w:r w:rsidRPr="00DF5828">
        <w:rPr>
          <w:rFonts w:ascii="Times New Roman" w:hAnsi="Times New Roman"/>
          <w:b/>
          <w:lang w:val="lt-LT"/>
        </w:rPr>
        <w:tab/>
      </w:r>
      <w:r w:rsidRPr="00DF5828">
        <w:rPr>
          <w:rFonts w:ascii="Times New Roman" w:hAnsi="Times New Roman"/>
          <w:b/>
          <w:caps/>
          <w:lang w:val="lt-LT"/>
        </w:rPr>
        <w:t>VAISTINIO</w:t>
      </w:r>
      <w:r w:rsidRPr="00DF5828">
        <w:rPr>
          <w:rFonts w:ascii="Times New Roman" w:hAnsi="Times New Roman"/>
          <w:b/>
          <w:lang w:val="lt-LT"/>
        </w:rPr>
        <w:t xml:space="preserve"> PREPARATO PAVADINIMAS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Ibandronic acid Actavis 50 mg plėvele dengtos tabletės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2.</w:t>
      </w:r>
      <w:r w:rsidRPr="00DF5828">
        <w:rPr>
          <w:rFonts w:ascii="Times New Roman" w:hAnsi="Times New Roman"/>
          <w:b/>
          <w:lang w:val="lt-LT"/>
        </w:rPr>
        <w:tab/>
      </w:r>
      <w:r w:rsidRPr="00DF5828">
        <w:rPr>
          <w:rFonts w:ascii="Times New Roman" w:hAnsi="Times New Roman"/>
          <w:b/>
          <w:caps/>
          <w:lang w:val="lt-LT"/>
        </w:rPr>
        <w:t>kokybinė ir kiekybinė sudėtis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Kiekvienoje plėvele dengtoje tabletėje yra 50 mg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w:t>
      </w:r>
      <w:proofErr w:type="spellStart"/>
      <w:r w:rsidRPr="00DF5828">
        <w:rPr>
          <w:rFonts w:ascii="Times New Roman" w:hAnsi="Times New Roman"/>
          <w:lang w:val="lt-LT"/>
        </w:rPr>
        <w:t>ibandronato</w:t>
      </w:r>
      <w:proofErr w:type="spellEnd"/>
      <w:r w:rsidRPr="00DF5828">
        <w:rPr>
          <w:rFonts w:ascii="Times New Roman" w:hAnsi="Times New Roman"/>
          <w:lang w:val="lt-LT"/>
        </w:rPr>
        <w:t xml:space="preserve"> natrio druskos monohidrato pavidalu).</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bCs/>
          <w:u w:val="single"/>
          <w:lang w:val="lt-LT"/>
        </w:rPr>
      </w:pPr>
      <w:r w:rsidRPr="00DF5828">
        <w:rPr>
          <w:rFonts w:ascii="Times New Roman" w:eastAsia="Times New Roman" w:hAnsi="Times New Roman"/>
          <w:bCs/>
          <w:u w:val="single"/>
          <w:lang w:val="lt-LT"/>
        </w:rPr>
        <w:t>Pagalbinės medžiagos, kurių poveikis žinomas: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Kiekvienoje plėvele dengtoje tabletėje yra 54 mg laktozės monohidrato.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Visos pagalbinės medžiagos išvardytos 6.1 skyriuje.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caps/>
          <w:lang w:val="lt-LT"/>
        </w:rPr>
      </w:pPr>
      <w:r w:rsidRPr="00DF5828">
        <w:rPr>
          <w:rFonts w:ascii="Times New Roman" w:hAnsi="Times New Roman"/>
          <w:b/>
          <w:lang w:val="lt-LT"/>
        </w:rPr>
        <w:t>3.</w:t>
      </w:r>
      <w:r w:rsidRPr="00DF5828">
        <w:rPr>
          <w:rFonts w:ascii="Times New Roman" w:hAnsi="Times New Roman"/>
          <w:b/>
          <w:lang w:val="lt-LT"/>
        </w:rPr>
        <w:tab/>
      </w:r>
      <w:r w:rsidRPr="00DF5828">
        <w:rPr>
          <w:rFonts w:ascii="Times New Roman" w:hAnsi="Times New Roman"/>
          <w:b/>
          <w:caps/>
          <w:lang w:val="lt-LT"/>
        </w:rPr>
        <w:t>FARMACINĖ forma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Plėvele dengta tabletė (tabletė).</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Tabletės yra baltos arba balkšvos, pailgos, abipusiai išgaubtos, dengtos plėvele, 9 mm ilgio, viena jų pusė ženklinta užrašu „I9BE‘, kita </w:t>
      </w:r>
      <w:r w:rsidRPr="00DF5828">
        <w:rPr>
          <w:rFonts w:ascii="Times New Roman" w:hAnsi="Times New Roman"/>
          <w:lang w:val="lt-LT"/>
        </w:rPr>
        <w:sym w:font="Symbol" w:char="F02D"/>
      </w:r>
      <w:r w:rsidRPr="00DF5828">
        <w:rPr>
          <w:rFonts w:ascii="Times New Roman" w:hAnsi="Times New Roman"/>
          <w:lang w:val="lt-LT"/>
        </w:rPr>
        <w:t xml:space="preserve"> skaitmeniu „50“.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caps/>
          <w:lang w:val="lt-LT"/>
        </w:rPr>
      </w:pPr>
      <w:r w:rsidRPr="00DF5828">
        <w:rPr>
          <w:rFonts w:ascii="Times New Roman" w:hAnsi="Times New Roman"/>
          <w:b/>
          <w:caps/>
          <w:lang w:val="lt-LT"/>
        </w:rPr>
        <w:t>4.</w:t>
      </w:r>
      <w:r w:rsidRPr="00DF5828">
        <w:rPr>
          <w:rFonts w:ascii="Times New Roman" w:hAnsi="Times New Roman"/>
          <w:b/>
          <w:caps/>
          <w:lang w:val="lt-LT"/>
        </w:rPr>
        <w:tab/>
        <w:t>klinikinĖ informacija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4.1</w:t>
      </w:r>
      <w:r w:rsidRPr="00DF5828">
        <w:rPr>
          <w:rFonts w:ascii="Times New Roman" w:hAnsi="Times New Roman"/>
          <w:b/>
          <w:lang w:val="lt-LT"/>
        </w:rPr>
        <w:tab/>
        <w:t>Terapinės indikacijos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Skeleto reiškinių (patologinių lūžių, kaulų komplikacijų, kurias reikia gydyti radioterapija ar chirurgine operacija) profilaktika krūties vėžiu sergantiems suaugusiems pacientams, kurių kauluose yra metastazių.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4.2</w:t>
      </w:r>
      <w:r w:rsidRPr="00DF5828">
        <w:rPr>
          <w:rFonts w:ascii="Times New Roman" w:hAnsi="Times New Roman"/>
          <w:b/>
          <w:lang w:val="lt-LT"/>
        </w:rPr>
        <w:tab/>
        <w:t>Dozavimas ir vartojimo metodas</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turi pradėti gydyti tik gydytojas, turintis vėžio gydymo patirties.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u w:val="single"/>
          <w:lang w:val="lt-LT"/>
        </w:rPr>
      </w:pPr>
      <w:r w:rsidRPr="00DF5828">
        <w:rPr>
          <w:rFonts w:ascii="Times New Roman" w:hAnsi="Times New Roman"/>
          <w:u w:val="single"/>
          <w:lang w:val="lt-LT"/>
        </w:rPr>
        <w:t>Dozavimas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Rekomenduojama dozė </w:t>
      </w:r>
      <w:r w:rsidRPr="00DF5828">
        <w:rPr>
          <w:rFonts w:ascii="Times New Roman" w:hAnsi="Times New Roman"/>
          <w:lang w:val="lt-LT"/>
        </w:rPr>
        <w:sym w:font="Symbol" w:char="F02D"/>
      </w:r>
      <w:r w:rsidRPr="00DF5828">
        <w:rPr>
          <w:rFonts w:ascii="Times New Roman" w:hAnsi="Times New Roman"/>
          <w:lang w:val="lt-LT"/>
        </w:rPr>
        <w:t xml:space="preserve"> viena 50 mg plėvele dengta tabletė per parą.</w:t>
      </w: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Pacientams, kurių kepenų funkcija sutrikusi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Jiems dozę keisti nebūtina (žr. 5.2 skyrių).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i/>
          <w:lang w:val="lt-LT"/>
        </w:rPr>
      </w:pPr>
      <w:r w:rsidRPr="00DF5828">
        <w:rPr>
          <w:rFonts w:ascii="Times New Roman" w:eastAsia="Times New Roman" w:hAnsi="Times New Roman"/>
          <w:i/>
          <w:lang w:val="lt-LT"/>
        </w:rPr>
        <w:t>Ypatingos populiacijos</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Pacientams, kurių inkstų funkcija sutrikusi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Pacientams, kuriems yra lengvas inkstų funkcijos sutrikimas (kreatinino klirensas </w:t>
      </w:r>
      <w:r w:rsidRPr="00DF5828">
        <w:rPr>
          <w:rFonts w:ascii="Times New Roman" w:hAnsi="Times New Roman"/>
          <w:lang w:val="lt-LT"/>
        </w:rPr>
        <w:sym w:font="Symbol" w:char="F0B3"/>
      </w:r>
      <w:r w:rsidRPr="00DF5828">
        <w:rPr>
          <w:rFonts w:ascii="Times New Roman" w:hAnsi="Times New Roman"/>
          <w:lang w:val="lt-LT"/>
        </w:rPr>
        <w:t xml:space="preserve"> 50 bet </w:t>
      </w:r>
      <w:r w:rsidRPr="00DF5828">
        <w:rPr>
          <w:rFonts w:ascii="Times New Roman" w:hAnsi="Times New Roman"/>
          <w:lang w:val="lt-LT"/>
        </w:rPr>
        <w:sym w:font="Symbol" w:char="F03C"/>
      </w:r>
      <w:r w:rsidRPr="00DF5828">
        <w:rPr>
          <w:rFonts w:ascii="Times New Roman" w:hAnsi="Times New Roman"/>
          <w:lang w:val="lt-LT"/>
        </w:rPr>
        <w:t> 80 ml/min.), dozę keisti nebūtina.</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Pacientams, kuriems yra vidutinio sunkumo inkstų funkcijos sutrikimas ((kreatinino klirensas </w:t>
      </w:r>
      <w:r w:rsidRPr="00DF5828">
        <w:rPr>
          <w:rFonts w:ascii="Times New Roman" w:hAnsi="Times New Roman"/>
          <w:lang w:val="lt-LT"/>
        </w:rPr>
        <w:sym w:font="Symbol" w:char="F0B3"/>
      </w:r>
      <w:r w:rsidRPr="00DF5828">
        <w:rPr>
          <w:rFonts w:ascii="Times New Roman" w:hAnsi="Times New Roman"/>
          <w:lang w:val="lt-LT"/>
        </w:rPr>
        <w:t xml:space="preserve"> 30 bet </w:t>
      </w:r>
      <w:r w:rsidRPr="00DF5828">
        <w:rPr>
          <w:rFonts w:ascii="Times New Roman" w:hAnsi="Times New Roman"/>
          <w:lang w:val="lt-LT"/>
        </w:rPr>
        <w:sym w:font="Symbol" w:char="F03C"/>
      </w:r>
      <w:r w:rsidRPr="00DF5828">
        <w:rPr>
          <w:rFonts w:ascii="Times New Roman" w:hAnsi="Times New Roman"/>
          <w:lang w:val="lt-LT"/>
        </w:rPr>
        <w:t> 50 ml/min.), dozę rekomenduojama mažinti iki vienos 50 mg plėvele dengtos tabletės, vartojamos kas antra para (žr. 5.2 skyrių).</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Pacientams, kuriems yra sunkus inkstų funkcijos sutrikimas (kreatinino klirensas </w:t>
      </w:r>
      <w:r w:rsidRPr="00DF5828">
        <w:rPr>
          <w:rFonts w:ascii="Times New Roman" w:hAnsi="Times New Roman"/>
          <w:lang w:val="lt-LT"/>
        </w:rPr>
        <w:sym w:font="Symbol" w:char="F03C"/>
      </w:r>
      <w:r w:rsidRPr="00DF5828">
        <w:rPr>
          <w:rFonts w:ascii="Times New Roman" w:hAnsi="Times New Roman"/>
          <w:lang w:val="lt-LT"/>
        </w:rPr>
        <w:t> 30 ml/min.), rekomenduojama dozė yra viena 50 mg tabletė kartą per savaitę (žr. aukščiau pateiktą dozavimo instrukciją)</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Senyviems </w:t>
      </w:r>
      <w:r w:rsidRPr="00DF5828">
        <w:rPr>
          <w:rFonts w:ascii="Times New Roman" w:eastAsia="Times New Roman" w:hAnsi="Times New Roman"/>
          <w:lang w:val="lt-LT"/>
        </w:rPr>
        <w:t>65 metų pacientams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Dozę keisti nebūtina.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i/>
          <w:lang w:val="lt-LT"/>
        </w:rPr>
      </w:pPr>
      <w:r w:rsidRPr="00DF5828">
        <w:rPr>
          <w:rFonts w:ascii="Times New Roman" w:eastAsia="Times New Roman" w:hAnsi="Times New Roman"/>
          <w:i/>
          <w:lang w:val="lt-LT"/>
        </w:rPr>
        <w:t>Vaikų populiacija</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Ar saugu ir veiksminga Ibandronic acid Actavis vartoti jaunesniems kaip 18 metų vaikams, nenustatyta. Duomenų nėra</w:t>
      </w:r>
      <w:r w:rsidRPr="00DF5828">
        <w:rPr>
          <w:rFonts w:ascii="Times New Roman" w:eastAsia="Times New Roman" w:hAnsi="Times New Roman"/>
          <w:lang w:val="lt-LT"/>
        </w:rPr>
        <w:t xml:space="preserve"> (Žr. 5.1 ir 5.2 skyrių).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u w:val="single"/>
          <w:lang w:val="lt-LT"/>
        </w:rPr>
      </w:pPr>
      <w:r w:rsidRPr="00DF5828">
        <w:rPr>
          <w:rFonts w:ascii="Times New Roman" w:hAnsi="Times New Roman"/>
          <w:u w:val="single"/>
          <w:lang w:val="lt-LT"/>
        </w:rPr>
        <w:t xml:space="preserve">Vartojimo </w:t>
      </w:r>
      <w:r w:rsidRPr="00DF5828">
        <w:rPr>
          <w:rFonts w:ascii="Times New Roman" w:eastAsia="Times New Roman" w:hAnsi="Times New Roman"/>
          <w:u w:val="single"/>
          <w:lang w:val="lt-LT"/>
        </w:rPr>
        <w:t>metodas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Vartoti per burną.</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tabletes reikia gerti nevalgius visą naktį (ne mažiau kaip 6 val.), prieš pirmą dienos valgį arba gėrimą. Vaisinių preparatų ir papildų (įskaitant kalcį) prieš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tabletes gerti negalima. Tabletę išgėrus, nevalgyti ne mažiau kaip 30 min. Gydymo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kurso metu paprasto vandens galima gerti bet kokiu laiku</w:t>
      </w:r>
      <w:r w:rsidRPr="00DF5828">
        <w:rPr>
          <w:rFonts w:ascii="Times New Roman" w:eastAsia="Times New Roman" w:hAnsi="Times New Roman"/>
          <w:lang w:val="lt-LT"/>
        </w:rPr>
        <w:t xml:space="preserve"> (žr. 4.5 skyrių). Negalima vartoti vandens su padidinta kalcio koncentracija. Jei manote, kad vandentiekio vandenyje yra didelis kalcio kiekis (kietas vanduo), patartina vartoti vandenį su sumažintu mineralų kiekiu iš butelių. </w:t>
      </w:r>
    </w:p>
    <w:p w:rsidR="00DF5828" w:rsidRPr="00DF5828" w:rsidRDefault="00DF5828" w:rsidP="00DF5828">
      <w:pPr>
        <w:tabs>
          <w:tab w:val="left" w:pos="567"/>
        </w:tabs>
        <w:spacing w:after="0" w:line="260" w:lineRule="exact"/>
        <w:ind w:left="357" w:hanging="357"/>
        <w:rPr>
          <w:rFonts w:ascii="Times New Roman" w:hAnsi="Times New Roman"/>
          <w:lang w:val="lt-LT"/>
        </w:rPr>
      </w:pPr>
    </w:p>
    <w:p w:rsidR="00DF5828" w:rsidRPr="00DF5828" w:rsidRDefault="00DF5828" w:rsidP="00DF5828">
      <w:pPr>
        <w:tabs>
          <w:tab w:val="left" w:pos="567"/>
        </w:tabs>
        <w:spacing w:after="0" w:line="260" w:lineRule="exact"/>
        <w:ind w:left="357" w:hanging="35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 xml:space="preserve">Būnant vertikalioje padėtyje (stovint ar sėdint) reikia nuryti visą tabletę, užgeriant pilna stikline paprasto vandens (180 – 240 ml). </w:t>
      </w:r>
    </w:p>
    <w:p w:rsidR="00DF5828" w:rsidRPr="00DF5828" w:rsidRDefault="00DF5828" w:rsidP="00DF5828">
      <w:pPr>
        <w:tabs>
          <w:tab w:val="left" w:pos="567"/>
        </w:tabs>
        <w:spacing w:after="0" w:line="260" w:lineRule="exact"/>
        <w:ind w:left="357" w:hanging="357"/>
        <w:rPr>
          <w:rFonts w:ascii="Times New Roman" w:hAnsi="Times New Roman"/>
          <w:lang w:val="lt-LT"/>
        </w:rPr>
      </w:pPr>
    </w:p>
    <w:p w:rsidR="00DF5828" w:rsidRPr="00DF5828" w:rsidRDefault="00DF5828" w:rsidP="00DF5828">
      <w:pPr>
        <w:tabs>
          <w:tab w:val="left" w:pos="567"/>
        </w:tabs>
        <w:spacing w:after="0" w:line="260" w:lineRule="exact"/>
        <w:ind w:left="357" w:hanging="35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išgėrus, atsigulti negalima 60 minučių.</w:t>
      </w:r>
    </w:p>
    <w:p w:rsidR="00DF5828" w:rsidRPr="00DF5828" w:rsidRDefault="00DF5828" w:rsidP="00DF5828">
      <w:pPr>
        <w:tabs>
          <w:tab w:val="left" w:pos="567"/>
        </w:tabs>
        <w:spacing w:after="0" w:line="260" w:lineRule="exact"/>
        <w:ind w:left="357" w:hanging="357"/>
        <w:rPr>
          <w:rFonts w:ascii="Times New Roman" w:hAnsi="Times New Roman"/>
          <w:lang w:val="lt-LT"/>
        </w:rPr>
      </w:pPr>
    </w:p>
    <w:p w:rsidR="00DF5828" w:rsidRPr="00DF5828" w:rsidRDefault="00DF5828" w:rsidP="00DF5828">
      <w:pPr>
        <w:tabs>
          <w:tab w:val="left" w:pos="567"/>
        </w:tabs>
        <w:spacing w:after="0" w:line="260" w:lineRule="exact"/>
        <w:ind w:left="357" w:hanging="35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Kramtyti čiulpti ar traiškyti tablečių negalima, kadangi gali išopėti burna ir ryklė.</w:t>
      </w:r>
    </w:p>
    <w:p w:rsidR="00DF5828" w:rsidRPr="00DF5828" w:rsidRDefault="00DF5828" w:rsidP="00DF5828">
      <w:pPr>
        <w:tabs>
          <w:tab w:val="left" w:pos="567"/>
        </w:tabs>
        <w:spacing w:after="0" w:line="260" w:lineRule="exact"/>
        <w:ind w:left="357" w:hanging="357"/>
        <w:rPr>
          <w:rFonts w:ascii="Times New Roman" w:hAnsi="Times New Roman"/>
          <w:lang w:val="lt-LT"/>
        </w:rPr>
      </w:pPr>
    </w:p>
    <w:p w:rsidR="00DF5828" w:rsidRPr="00DF5828" w:rsidRDefault="00DF5828" w:rsidP="00DF5828">
      <w:pPr>
        <w:tabs>
          <w:tab w:val="left" w:pos="567"/>
        </w:tabs>
        <w:spacing w:after="0" w:line="260" w:lineRule="exact"/>
        <w:ind w:left="357" w:hanging="35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 xml:space="preserve">Iš gėrimų, kurių galima vartoti kartu su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w:t>
      </w:r>
      <w:r w:rsidRPr="00DF5828">
        <w:rPr>
          <w:rFonts w:ascii="Times New Roman" w:eastAsia="Times New Roman" w:hAnsi="Times New Roman"/>
          <w:lang w:val="lt-LT"/>
        </w:rPr>
        <w:t>tinka</w:t>
      </w:r>
      <w:r w:rsidRPr="00DF5828">
        <w:rPr>
          <w:rFonts w:ascii="Times New Roman" w:hAnsi="Times New Roman"/>
          <w:lang w:val="lt-LT"/>
        </w:rPr>
        <w:t xml:space="preserve"> tik paprastas vanduo.</w:t>
      </w:r>
    </w:p>
    <w:p w:rsidR="00DF5828" w:rsidRPr="00DF5828" w:rsidRDefault="00DF5828" w:rsidP="00DF5828">
      <w:pPr>
        <w:tabs>
          <w:tab w:val="left" w:pos="567"/>
        </w:tabs>
        <w:spacing w:after="0" w:line="260" w:lineRule="exact"/>
        <w:ind w:left="357" w:hanging="357"/>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4.3</w:t>
      </w:r>
      <w:r w:rsidRPr="00DF5828">
        <w:rPr>
          <w:rFonts w:ascii="Times New Roman" w:hAnsi="Times New Roman"/>
          <w:b/>
          <w:lang w:val="lt-LT"/>
        </w:rPr>
        <w:tab/>
        <w:t>Kontraindikacijos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ind w:left="567" w:hanging="567"/>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 xml:space="preserve">Padidėjęs jautrumas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rūgščiai arba bet kuriai</w:t>
      </w:r>
      <w:r w:rsidRPr="00DF5828">
        <w:rPr>
          <w:rFonts w:ascii="Times New Roman" w:eastAsia="Times New Roman" w:hAnsi="Times New Roman"/>
          <w:lang w:val="lt-LT"/>
        </w:rPr>
        <w:t xml:space="preserve"> 6.1 skyriuje nurodytai</w:t>
      </w:r>
      <w:r w:rsidRPr="00DF5828">
        <w:rPr>
          <w:rFonts w:ascii="Times New Roman" w:hAnsi="Times New Roman"/>
          <w:lang w:val="lt-LT"/>
        </w:rPr>
        <w:t xml:space="preserve"> pagalbinei medžiagai.</w:t>
      </w:r>
    </w:p>
    <w:p w:rsidR="00DF5828" w:rsidRPr="00DF5828" w:rsidRDefault="00DF5828" w:rsidP="00DF5828">
      <w:pPr>
        <w:numPr>
          <w:ilvl w:val="0"/>
          <w:numId w:val="10"/>
        </w:numPr>
        <w:tabs>
          <w:tab w:val="left" w:pos="567"/>
        </w:tabs>
        <w:spacing w:after="0" w:line="260" w:lineRule="exact"/>
        <w:ind w:hanging="720"/>
        <w:contextualSpacing/>
        <w:rPr>
          <w:rFonts w:ascii="Times New Roman" w:hAnsi="Times New Roman"/>
          <w:lang w:val="lt-LT"/>
        </w:rPr>
      </w:pPr>
      <w:r w:rsidRPr="00DF5828">
        <w:rPr>
          <w:rFonts w:ascii="Times New Roman" w:hAnsi="Times New Roman"/>
          <w:lang w:val="lt-LT"/>
        </w:rPr>
        <w:t>Hipokalcemija</w:t>
      </w:r>
    </w:p>
    <w:p w:rsidR="00DF5828" w:rsidRPr="00DF5828" w:rsidRDefault="00DF5828" w:rsidP="00DF5828">
      <w:pPr>
        <w:numPr>
          <w:ilvl w:val="0"/>
          <w:numId w:val="10"/>
        </w:numPr>
        <w:tabs>
          <w:tab w:val="left" w:pos="567"/>
        </w:tabs>
        <w:spacing w:after="0" w:line="260" w:lineRule="exact"/>
        <w:ind w:hanging="720"/>
        <w:contextualSpacing/>
        <w:rPr>
          <w:rFonts w:ascii="Times New Roman" w:hAnsi="Times New Roman"/>
          <w:lang w:val="lt-LT"/>
        </w:rPr>
      </w:pPr>
      <w:r w:rsidRPr="00DF5828">
        <w:rPr>
          <w:rFonts w:ascii="Times New Roman" w:hAnsi="Times New Roman"/>
          <w:lang w:val="lt-LT"/>
        </w:rPr>
        <w:t xml:space="preserve">Stemplės sutrikimai, uždelsiantys jos ištuštinimą, tokie kaip susiaurėjimas arba </w:t>
      </w:r>
      <w:proofErr w:type="spellStart"/>
      <w:r w:rsidRPr="00DF5828">
        <w:rPr>
          <w:rFonts w:ascii="Times New Roman" w:hAnsi="Times New Roman"/>
          <w:lang w:val="lt-LT"/>
        </w:rPr>
        <w:t>achalazija</w:t>
      </w:r>
      <w:proofErr w:type="spellEnd"/>
      <w:r w:rsidRPr="00DF5828">
        <w:rPr>
          <w:rFonts w:ascii="Times New Roman" w:hAnsi="Times New Roman"/>
          <w:lang w:val="lt-LT"/>
        </w:rPr>
        <w:t>.</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Negalėjimas bent 60 minučių išbūti vertikalioje padėtyje stovint arba sėdint.</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4.4</w:t>
      </w:r>
      <w:r w:rsidRPr="00DF5828">
        <w:rPr>
          <w:rFonts w:ascii="Times New Roman" w:hAnsi="Times New Roman"/>
          <w:b/>
          <w:lang w:val="lt-LT"/>
        </w:rPr>
        <w:tab/>
        <w:t>Specialūs įspėjimai ir atsargumo priemonės</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hAnsi="Times New Roman"/>
          <w:u w:val="single"/>
          <w:lang w:val="lt-LT"/>
        </w:rPr>
      </w:pPr>
      <w:r w:rsidRPr="000F1EAC">
        <w:rPr>
          <w:rFonts w:ascii="Times New Roman" w:hAnsi="Times New Roman"/>
          <w:u w:val="single"/>
          <w:lang w:val="lt-LT"/>
        </w:rPr>
        <w:t>Pacientai su sutrikusiu kaulų ir mineralų metabolizmu</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Prieš pradedant gydyti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reikia veiksmingai koreguoti hipokalcemiją ir kitokius kaulų medžiagų bei mineralinių medžiagų apykaitos sutrikimus. Svarbu, kad visi pacientai vartotų pakankamą kiekį kalcio ir vitamino D. Jeigu pacientas su dieta jų gauna nepakankamai, reikia vartoti kalcio ir (arba) vitamino D papildų. </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hAnsi="Times New Roman"/>
          <w:u w:val="single"/>
          <w:lang w:val="lt-LT"/>
        </w:rPr>
      </w:pPr>
      <w:r w:rsidRPr="000F1EAC">
        <w:rPr>
          <w:rFonts w:ascii="Times New Roman" w:hAnsi="Times New Roman"/>
          <w:u w:val="single"/>
          <w:lang w:val="lt-LT"/>
        </w:rPr>
        <w:t>Virškinamojo trakto dirginimas</w:t>
      </w:r>
    </w:p>
    <w:p w:rsidR="00B43CE5"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Per burną vartojami bisfosfonatai gali sukelti lokalų viršutinės virškinimo trakto dalies gleivinės dirginimą. Dėl galimo šio dirginančio poveikio bei galimo sergamos ligos pasunkėjimo pacientus, kuriems yra aktyvus viršutinės virškinimo trakto dalies sutrikimas (pvz., </w:t>
      </w:r>
      <w:proofErr w:type="spellStart"/>
      <w:r w:rsidRPr="00DF5828">
        <w:rPr>
          <w:rFonts w:ascii="Times New Roman" w:hAnsi="Times New Roman"/>
          <w:lang w:val="lt-LT"/>
        </w:rPr>
        <w:t>Barrett‘o</w:t>
      </w:r>
      <w:proofErr w:type="spellEnd"/>
      <w:r w:rsidRPr="00DF5828">
        <w:rPr>
          <w:rFonts w:ascii="Times New Roman" w:hAnsi="Times New Roman"/>
          <w:lang w:val="lt-LT"/>
        </w:rPr>
        <w:t xml:space="preserve"> stemplė, </w:t>
      </w:r>
      <w:proofErr w:type="spellStart"/>
      <w:r w:rsidRPr="00DF5828">
        <w:rPr>
          <w:rFonts w:ascii="Times New Roman" w:hAnsi="Times New Roman"/>
          <w:lang w:val="lt-LT"/>
        </w:rPr>
        <w:t>disfagija</w:t>
      </w:r>
      <w:proofErr w:type="spellEnd"/>
      <w:r w:rsidRPr="00DF5828">
        <w:rPr>
          <w:rFonts w:ascii="Times New Roman" w:hAnsi="Times New Roman"/>
          <w:lang w:val="lt-LT"/>
        </w:rPr>
        <w:t xml:space="preserve">, kitokios stemplės ligos, gastritas, </w:t>
      </w:r>
      <w:proofErr w:type="spellStart"/>
      <w:r w:rsidRPr="00DF5828">
        <w:rPr>
          <w:rFonts w:ascii="Times New Roman" w:hAnsi="Times New Roman"/>
          <w:lang w:val="lt-LT"/>
        </w:rPr>
        <w:t>duodenitas</w:t>
      </w:r>
      <w:proofErr w:type="spellEnd"/>
      <w:r w:rsidRPr="00DF5828">
        <w:rPr>
          <w:rFonts w:ascii="Times New Roman" w:hAnsi="Times New Roman"/>
          <w:lang w:val="lt-LT"/>
        </w:rPr>
        <w:t xml:space="preserve"> ar opos)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reikia gydyti atsargiai. </w:t>
      </w:r>
    </w:p>
    <w:p w:rsidR="00B43CE5" w:rsidRDefault="00B43CE5"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Geriamaisiais bisfosfonatais gydomiems pacientams buvo nepageidaujamo poveikio, tokio kaip ezofagitas, stemplės išopėjimas bei stemplės erozija, atvejų, kurie kai kada buvo sunkūs ir reikalaujantys guldymo į ligoninę, retais atvejais </w:t>
      </w:r>
      <w:r w:rsidRPr="00DF5828">
        <w:rPr>
          <w:rFonts w:ascii="Times New Roman" w:hAnsi="Times New Roman"/>
          <w:lang w:val="lt-LT"/>
        </w:rPr>
        <w:sym w:font="Symbol" w:char="F02D"/>
      </w:r>
      <w:r w:rsidRPr="00DF5828">
        <w:rPr>
          <w:rFonts w:ascii="Times New Roman" w:hAnsi="Times New Roman"/>
          <w:lang w:val="lt-LT"/>
        </w:rPr>
        <w:t xml:space="preserve"> susiję su kraujavimu arba sąlygojantys stemplės susiaurėjimą ar prakiurimą. Atrodo, kad sunkaus nepageidaujamo poveikio stemplei rizika yra didesnė pacientams, kurie nesilaiko dozavimo nuorodų arba (ir) kurie </w:t>
      </w:r>
      <w:proofErr w:type="spellStart"/>
      <w:r w:rsidRPr="00DF5828">
        <w:rPr>
          <w:rFonts w:ascii="Times New Roman" w:hAnsi="Times New Roman"/>
          <w:lang w:val="lt-LT"/>
        </w:rPr>
        <w:t>bisfosfonatų</w:t>
      </w:r>
      <w:proofErr w:type="spellEnd"/>
      <w:r w:rsidRPr="00DF5828">
        <w:rPr>
          <w:rFonts w:ascii="Times New Roman" w:hAnsi="Times New Roman"/>
          <w:lang w:val="lt-LT"/>
        </w:rPr>
        <w:t xml:space="preserve"> vartojimą tęsia po to, kai atsiranda simptomų, rodančių stemplės dirginimą. Pacientai turi kreipti atidų dėmesį į dozavimo instrukciją ir gebėti jos laikytis (žr. 4.2 skyrių).</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Gydytojas turi būti pasirengęs bet kokiems požymiams ir simptomams, rodantiems galimą stemplės reakciją, ir pacientams nurodyti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vartojimą nutraukti ir kreiptis į gydytoją, jeigu atsiranda </w:t>
      </w:r>
      <w:proofErr w:type="spellStart"/>
      <w:r w:rsidRPr="00DF5828">
        <w:rPr>
          <w:rFonts w:ascii="Times New Roman" w:hAnsi="Times New Roman"/>
          <w:lang w:val="lt-LT"/>
        </w:rPr>
        <w:t>disfagija</w:t>
      </w:r>
      <w:proofErr w:type="spellEnd"/>
      <w:r w:rsidRPr="00DF5828">
        <w:rPr>
          <w:rFonts w:ascii="Times New Roman" w:hAnsi="Times New Roman"/>
          <w:lang w:val="lt-LT"/>
        </w:rPr>
        <w:t xml:space="preserve">, </w:t>
      </w:r>
      <w:proofErr w:type="spellStart"/>
      <w:r w:rsidRPr="00DF5828">
        <w:rPr>
          <w:rFonts w:ascii="Times New Roman" w:hAnsi="Times New Roman"/>
          <w:lang w:val="lt-LT"/>
        </w:rPr>
        <w:t>odinofagija</w:t>
      </w:r>
      <w:proofErr w:type="spellEnd"/>
      <w:r w:rsidRPr="00DF5828">
        <w:rPr>
          <w:rFonts w:ascii="Times New Roman" w:hAnsi="Times New Roman"/>
          <w:lang w:val="lt-LT"/>
        </w:rPr>
        <w:t xml:space="preserve">, </w:t>
      </w:r>
      <w:proofErr w:type="spellStart"/>
      <w:r w:rsidRPr="00DF5828">
        <w:rPr>
          <w:rFonts w:ascii="Times New Roman" w:hAnsi="Times New Roman"/>
          <w:lang w:val="lt-LT"/>
        </w:rPr>
        <w:t>užkrūtinkaulinis</w:t>
      </w:r>
      <w:proofErr w:type="spellEnd"/>
      <w:r w:rsidRPr="00DF5828">
        <w:rPr>
          <w:rFonts w:ascii="Times New Roman" w:hAnsi="Times New Roman"/>
          <w:lang w:val="lt-LT"/>
        </w:rPr>
        <w:t xml:space="preserve"> skausmas arba naujas ar sunkėjantis rėmuo.</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Nors kontroliuojamų klinikinių tyrimų metu rizikos padidėjimo nestebėta, tačiau pacientams, geriamųjų </w:t>
      </w:r>
      <w:proofErr w:type="spellStart"/>
      <w:r w:rsidRPr="00DF5828">
        <w:rPr>
          <w:rFonts w:ascii="Times New Roman" w:hAnsi="Times New Roman"/>
          <w:lang w:val="lt-LT"/>
        </w:rPr>
        <w:t>bisfosfonatų</w:t>
      </w:r>
      <w:proofErr w:type="spellEnd"/>
      <w:r w:rsidRPr="00DF5828">
        <w:rPr>
          <w:rFonts w:ascii="Times New Roman" w:hAnsi="Times New Roman"/>
          <w:lang w:val="lt-LT"/>
        </w:rPr>
        <w:t xml:space="preserve"> vartojusiems po to, kai jie pateko į rinką, buvo skrandžio ir dvylikapirštės žarnos išopėjimo atvejų, kai kurie jų buvo sunkūs ir susiję su komplikacijomis. </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eastAsia="Times New Roman" w:hAnsi="Times New Roman"/>
          <w:u w:val="single"/>
          <w:lang w:val="lt-LT"/>
        </w:rPr>
      </w:pPr>
      <w:r w:rsidRPr="000F1EAC">
        <w:rPr>
          <w:rFonts w:ascii="Times New Roman" w:eastAsia="Times New Roman" w:hAnsi="Times New Roman"/>
          <w:u w:val="single"/>
          <w:lang w:val="lt-LT"/>
        </w:rPr>
        <w:t>Acetilsalicilo rūgštis ir NVNU</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Kadangi </w:t>
      </w:r>
      <w:r w:rsidRPr="00DF5828">
        <w:rPr>
          <w:rFonts w:ascii="Times New Roman" w:eastAsia="Times New Roman" w:hAnsi="Times New Roman"/>
          <w:lang w:val="lt-LT"/>
        </w:rPr>
        <w:t xml:space="preserve">acetilsalicilo rūgšties, </w:t>
      </w:r>
      <w:r w:rsidRPr="00DF5828">
        <w:rPr>
          <w:rFonts w:ascii="Times New Roman" w:hAnsi="Times New Roman"/>
          <w:lang w:val="lt-LT"/>
        </w:rPr>
        <w:t xml:space="preserve">nesteroidinių vaistų nuo uždegimo (NVNU) </w:t>
      </w:r>
      <w:r w:rsidRPr="00DF5828">
        <w:rPr>
          <w:rFonts w:ascii="Times New Roman" w:eastAsia="Times New Roman" w:hAnsi="Times New Roman"/>
          <w:lang w:val="lt-LT"/>
        </w:rPr>
        <w:t xml:space="preserve">ir </w:t>
      </w:r>
      <w:proofErr w:type="spellStart"/>
      <w:r w:rsidRPr="00DF5828">
        <w:rPr>
          <w:rFonts w:ascii="Times New Roman" w:eastAsia="Times New Roman" w:hAnsi="Times New Roman"/>
          <w:lang w:val="lt-LT"/>
        </w:rPr>
        <w:t>bi</w:t>
      </w:r>
      <w:r w:rsidR="000F1EAC">
        <w:rPr>
          <w:rFonts w:ascii="Times New Roman" w:eastAsia="Times New Roman" w:hAnsi="Times New Roman"/>
          <w:lang w:val="lt-LT"/>
        </w:rPr>
        <w:t>s</w:t>
      </w:r>
      <w:r w:rsidRPr="00DF5828">
        <w:rPr>
          <w:rFonts w:ascii="Times New Roman" w:eastAsia="Times New Roman" w:hAnsi="Times New Roman"/>
          <w:lang w:val="lt-LT"/>
        </w:rPr>
        <w:t>fosfonatų</w:t>
      </w:r>
      <w:proofErr w:type="spellEnd"/>
      <w:r w:rsidRPr="00DF5828">
        <w:rPr>
          <w:rFonts w:ascii="Times New Roman" w:eastAsia="Times New Roman" w:hAnsi="Times New Roman"/>
          <w:lang w:val="lt-LT"/>
        </w:rPr>
        <w:t xml:space="preserve"> </w:t>
      </w:r>
      <w:r w:rsidRPr="00DF5828">
        <w:rPr>
          <w:rFonts w:ascii="Times New Roman" w:hAnsi="Times New Roman"/>
          <w:lang w:val="lt-LT"/>
        </w:rPr>
        <w:t xml:space="preserve">vartojimas yra susijęs su virškinimo trakto dirginimu, todėl jais kartu su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preparatais reikia gydyti atsargiai. </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eastAsia="Times New Roman" w:hAnsi="Times New Roman"/>
          <w:u w:val="single"/>
          <w:lang w:val="lt-LT"/>
        </w:rPr>
      </w:pPr>
      <w:r w:rsidRPr="000F1EAC">
        <w:rPr>
          <w:rFonts w:ascii="Times New Roman" w:hAnsi="Times New Roman"/>
          <w:u w:val="single"/>
          <w:lang w:val="lt-LT"/>
        </w:rPr>
        <w:t xml:space="preserve">Žandikaulio </w:t>
      </w:r>
      <w:r w:rsidRPr="000F1EAC">
        <w:rPr>
          <w:rFonts w:ascii="Times New Roman" w:eastAsia="Times New Roman" w:hAnsi="Times New Roman"/>
          <w:u w:val="single"/>
          <w:lang w:val="lt-LT"/>
        </w:rPr>
        <w:t>osteonekrozė</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eastAsia="pl-PL"/>
        </w:rPr>
        <w:t>Vėžiu</w:t>
      </w:r>
      <w:r w:rsidRPr="00DF5828">
        <w:rPr>
          <w:rFonts w:ascii="Times New Roman" w:hAnsi="Times New Roman"/>
          <w:lang w:val="lt-LT"/>
        </w:rPr>
        <w:t xml:space="preserve"> sergantiems pacientams, kuriems buvo taikomas gydymas, įskaitant iš pradžių į veną leidžiamus bisfosfonatus, stebėta žandikaulio osteonekrozė, paprastai susijusi su danties ištraukimu ir (arba) lokalia infekcija (įskaitant osteomielitą). Daugelis tokių pacientų buvo gydomi ir chemoterapija bei kortikosteroidais. Žandikaulio osteonekrozė stebėta ir osteoporoze sergantiems pacientams, gydomiems geriamaisiais bisfosfonatais.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Prieš pradedant gydyti bisfosfonatais, pacientams, turintiems rizikos veiksnių (pvz., vėžys, chemoterapija, radioterapija, kortikosteroidai, menka burnos higiena), reikia ištirti dantis ir skirti tinkamą profilaktinį jų gydymą.</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Gydymo metu tokie pacientai turi vengti, jeigu įmanoma, invazinių dantų procedūrų. Pacientams, kuriems gydymo bisfosfonatais metu pasireiškė žandikaulio osteonekrozė, chirurginė dantų operacija ją gali pasunkinti. Kas liečia pacientus, kuriems būtina dantų procedūra, tai duomenų, rodančių, kad gydymo </w:t>
      </w:r>
      <w:proofErr w:type="spellStart"/>
      <w:r w:rsidRPr="00DF5828">
        <w:rPr>
          <w:rFonts w:ascii="Times New Roman" w:hAnsi="Times New Roman"/>
          <w:lang w:val="lt-LT"/>
        </w:rPr>
        <w:t>bi</w:t>
      </w:r>
      <w:r w:rsidR="000F1EAC">
        <w:rPr>
          <w:rFonts w:ascii="Times New Roman" w:hAnsi="Times New Roman"/>
          <w:lang w:val="lt-LT"/>
        </w:rPr>
        <w:t>s</w:t>
      </w:r>
      <w:r w:rsidRPr="00DF5828">
        <w:rPr>
          <w:rFonts w:ascii="Times New Roman" w:hAnsi="Times New Roman"/>
          <w:lang w:val="lt-LT"/>
        </w:rPr>
        <w:t>fos</w:t>
      </w:r>
      <w:r w:rsidR="00C0050B">
        <w:rPr>
          <w:rFonts w:ascii="Times New Roman" w:hAnsi="Times New Roman"/>
          <w:lang w:val="lt-LT"/>
        </w:rPr>
        <w:t>f</w:t>
      </w:r>
      <w:r w:rsidRPr="00DF5828">
        <w:rPr>
          <w:rFonts w:ascii="Times New Roman" w:hAnsi="Times New Roman"/>
          <w:lang w:val="lt-LT"/>
        </w:rPr>
        <w:t>onatais</w:t>
      </w:r>
      <w:proofErr w:type="spellEnd"/>
      <w:r w:rsidRPr="00DF5828">
        <w:rPr>
          <w:rFonts w:ascii="Times New Roman" w:hAnsi="Times New Roman"/>
          <w:lang w:val="lt-LT"/>
        </w:rPr>
        <w:t xml:space="preserve"> nutraukimas mažina žandikaulio osteonekrozės riziką, nėra. Klinikiniu gydančio gydytojo sprendimu, kiekvieno paciento gydymo planas turi būti paremtas individualiu naudos ir rizikos vertinimu. </w:t>
      </w:r>
    </w:p>
    <w:p w:rsidR="00DF5828" w:rsidRDefault="00DF5828" w:rsidP="00DF5828">
      <w:pPr>
        <w:tabs>
          <w:tab w:val="left" w:pos="567"/>
        </w:tabs>
        <w:spacing w:after="0" w:line="260" w:lineRule="exact"/>
        <w:rPr>
          <w:rFonts w:ascii="Times New Roman" w:hAnsi="Times New Roman"/>
          <w:lang w:val="lt-LT"/>
        </w:rPr>
      </w:pPr>
    </w:p>
    <w:p w:rsidR="00B43CE5" w:rsidRPr="000F1EAC" w:rsidRDefault="00B43CE5" w:rsidP="00DF5828">
      <w:pPr>
        <w:tabs>
          <w:tab w:val="left" w:pos="567"/>
        </w:tabs>
        <w:spacing w:after="0" w:line="260" w:lineRule="exact"/>
        <w:rPr>
          <w:rFonts w:ascii="Times New Roman" w:hAnsi="Times New Roman"/>
          <w:u w:val="single"/>
          <w:lang w:val="lt-LT"/>
        </w:rPr>
      </w:pPr>
      <w:r>
        <w:rPr>
          <w:rFonts w:ascii="Times New Roman" w:hAnsi="Times New Roman"/>
          <w:u w:val="single"/>
          <w:lang w:val="lt-LT"/>
        </w:rPr>
        <w:t>Išorinio klausos kanalo osteonekrozė</w:t>
      </w:r>
    </w:p>
    <w:p w:rsidR="00D55794" w:rsidRDefault="00D55794" w:rsidP="00D55794">
      <w:pPr>
        <w:spacing w:after="0" w:line="240" w:lineRule="auto"/>
        <w:rPr>
          <w:rFonts w:ascii="Times New Roman" w:hAnsi="Times New Roman"/>
          <w:lang w:val="lt-LT"/>
        </w:rPr>
      </w:pPr>
      <w:r w:rsidRPr="00F16B18">
        <w:rPr>
          <w:rFonts w:ascii="Times New Roman" w:hAnsi="Times New Roman"/>
          <w:lang w:val="lt-LT"/>
        </w:rPr>
        <w:t xml:space="preserve">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w:t>
      </w:r>
      <w:proofErr w:type="spellStart"/>
      <w:r w:rsidRPr="00F16B18">
        <w:rPr>
          <w:rFonts w:ascii="Times New Roman" w:hAnsi="Times New Roman"/>
          <w:lang w:val="lt-LT"/>
        </w:rPr>
        <w:t>bifosfonatų</w:t>
      </w:r>
      <w:proofErr w:type="spellEnd"/>
      <w:r w:rsidRPr="00F16B18">
        <w:rPr>
          <w:rFonts w:ascii="Times New Roman" w:hAnsi="Times New Roman"/>
          <w:lang w:val="lt-LT"/>
        </w:rPr>
        <w:t xml:space="preserve"> vartojančius pacientus, kuriems pasireiškia su ausimi susijusių simptomų, įskaitant simptomus, kuriuos sukelia lėtinės ausų infekcijos.</w:t>
      </w:r>
    </w:p>
    <w:p w:rsidR="00D55794" w:rsidRPr="00DF5828" w:rsidRDefault="00D55794"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hAnsi="Times New Roman"/>
          <w:u w:val="single"/>
          <w:lang w:val="lt-LT"/>
        </w:rPr>
      </w:pPr>
      <w:r w:rsidRPr="000F1EAC">
        <w:rPr>
          <w:rFonts w:ascii="Times New Roman" w:hAnsi="Times New Roman"/>
          <w:u w:val="single"/>
          <w:lang w:val="lt-LT"/>
        </w:rPr>
        <w:t>Atipiniai šlaunikaulio lūžiai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Gydant bisfosfonatais buvo pastebėti atipiniai šlaunikaulio </w:t>
      </w:r>
      <w:proofErr w:type="spellStart"/>
      <w:r w:rsidRPr="00DF5828">
        <w:rPr>
          <w:rFonts w:ascii="Times New Roman" w:hAnsi="Times New Roman"/>
          <w:lang w:val="lt-LT"/>
        </w:rPr>
        <w:t>pogūbriniai</w:t>
      </w:r>
      <w:proofErr w:type="spellEnd"/>
      <w:r w:rsidRPr="00DF5828">
        <w:rPr>
          <w:rFonts w:ascii="Times New Roman" w:hAnsi="Times New Roman"/>
          <w:lang w:val="lt-LT"/>
        </w:rPr>
        <w:t xml:space="preserve"> ar </w:t>
      </w:r>
      <w:proofErr w:type="spellStart"/>
      <w:r w:rsidRPr="00DF5828">
        <w:rPr>
          <w:rFonts w:ascii="Times New Roman" w:hAnsi="Times New Roman"/>
          <w:lang w:val="lt-LT"/>
        </w:rPr>
        <w:t>diafizės</w:t>
      </w:r>
      <w:proofErr w:type="spellEnd"/>
      <w:r w:rsidRPr="00DF5828">
        <w:rPr>
          <w:rFonts w:ascii="Times New Roman" w:hAnsi="Times New Roman"/>
          <w:lang w:val="lt-LT"/>
        </w:rPr>
        <w:t xml:space="preserve"> lūžiai, visų pirma ilgai nuo osteoporozės gydytiems pacientams. Šie skersiniai ar trumpi  įstrižiniai lūžiai gali pasireikšti bet kurioje šlaunikaulio vietoje – nuo pat mažojo gūbrio iki pat </w:t>
      </w:r>
      <w:proofErr w:type="spellStart"/>
      <w:r w:rsidRPr="00DF5828">
        <w:rPr>
          <w:rFonts w:ascii="Times New Roman" w:hAnsi="Times New Roman"/>
          <w:lang w:val="lt-LT"/>
        </w:rPr>
        <w:t>virškrumplinės</w:t>
      </w:r>
      <w:proofErr w:type="spellEnd"/>
      <w:r w:rsidRPr="00DF5828">
        <w:rPr>
          <w:rFonts w:ascii="Times New Roman" w:hAnsi="Times New Roman"/>
          <w:lang w:val="lt-LT"/>
        </w:rPr>
        <w:t xml:space="preserve">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 </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Pacientams reikia patarti, kad </w:t>
      </w:r>
      <w:proofErr w:type="spellStart"/>
      <w:r w:rsidRPr="00DF5828">
        <w:rPr>
          <w:rFonts w:ascii="Times New Roman" w:hAnsi="Times New Roman"/>
          <w:lang w:val="lt-LT"/>
        </w:rPr>
        <w:t>bisfosfonatų</w:t>
      </w:r>
      <w:proofErr w:type="spellEnd"/>
      <w:r w:rsidRPr="00DF5828">
        <w:rPr>
          <w:rFonts w:ascii="Times New Roman" w:hAnsi="Times New Roman"/>
          <w:lang w:val="lt-LT"/>
        </w:rPr>
        <w:t xml:space="preserve"> vartojimo metu praneštų apie bet kokį šlaunies, klubo ar kirkšnies skausmą, o visus pacientus, kuriems pasireiškia tokie simptomai, reikia ištirti, ar jie nepatyrė nepilno šlaunikaulio lūžio.</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hAnsi="Times New Roman"/>
          <w:u w:val="single"/>
          <w:lang w:val="lt-LT"/>
        </w:rPr>
      </w:pPr>
      <w:r w:rsidRPr="000F1EAC">
        <w:rPr>
          <w:rFonts w:ascii="Times New Roman" w:hAnsi="Times New Roman"/>
          <w:u w:val="single"/>
          <w:lang w:val="lt-LT"/>
        </w:rPr>
        <w:t>Inkstų sutrikimai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Klinikiniai tyrimai inkstų funkcijos pablogėjimo ilgalaikio gydymo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metu nerodo. Vis dėlto remiantis atskirų pacientų klinikiniu tyrimu,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gydomiems pacientams rekomenduojama stebėti inkstų funkciją ir kalcio, fosfato bei magnio kiekį kraujo serume. </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hAnsi="Times New Roman"/>
          <w:u w:val="single"/>
          <w:lang w:val="lt-LT"/>
        </w:rPr>
      </w:pPr>
      <w:r w:rsidRPr="000F1EAC">
        <w:rPr>
          <w:rFonts w:ascii="Times New Roman" w:hAnsi="Times New Roman"/>
          <w:u w:val="single"/>
          <w:lang w:val="lt-LT"/>
        </w:rPr>
        <w:t>Reti paveldimi sutrikimai</w:t>
      </w:r>
    </w:p>
    <w:p w:rsidR="00DF5828" w:rsidRPr="00DF5828" w:rsidRDefault="00DF5828" w:rsidP="00DF5828">
      <w:pPr>
        <w:tabs>
          <w:tab w:val="left" w:pos="567"/>
        </w:tabs>
        <w:spacing w:after="0" w:line="240" w:lineRule="auto"/>
        <w:rPr>
          <w:rFonts w:ascii="Times New Roman" w:hAnsi="Times New Roman"/>
          <w:lang w:val="lt-LT"/>
        </w:rPr>
      </w:pPr>
      <w:r w:rsidRPr="00DF5828">
        <w:rPr>
          <w:rFonts w:ascii="Times New Roman" w:hAnsi="Times New Roman"/>
          <w:lang w:val="lt-LT"/>
        </w:rPr>
        <w:t xml:space="preserve">Ibandronic acid Actavis tablečių sudėtyje yra laktozės. Šio vaistinio preparato negalima vartoti pacientams, kuriems nustatytas retas paveldimas sutrikimas </w:t>
      </w:r>
      <w:r w:rsidRPr="00DF5828">
        <w:rPr>
          <w:rFonts w:ascii="Times New Roman" w:hAnsi="Times New Roman"/>
          <w:lang w:val="lt-LT"/>
        </w:rPr>
        <w:sym w:font="Symbol" w:char="F02D"/>
      </w:r>
      <w:r w:rsidRPr="00DF5828">
        <w:rPr>
          <w:rFonts w:ascii="Times New Roman" w:hAnsi="Times New Roman"/>
          <w:lang w:val="lt-LT"/>
        </w:rPr>
        <w:t xml:space="preserve"> </w:t>
      </w:r>
      <w:r w:rsidRPr="00DF5828">
        <w:rPr>
          <w:rFonts w:ascii="Times New Roman" w:hAnsi="Times New Roman"/>
          <w:i/>
          <w:lang w:val="lt-LT"/>
        </w:rPr>
        <w:t xml:space="preserve">Lapp </w:t>
      </w:r>
      <w:r w:rsidRPr="00DF5828">
        <w:rPr>
          <w:rFonts w:ascii="Times New Roman" w:hAnsi="Times New Roman"/>
          <w:lang w:val="lt-LT"/>
        </w:rPr>
        <w:t>laktazės stygius arba gliukozės ir galaktozės malabsorbcija.</w:t>
      </w:r>
    </w:p>
    <w:p w:rsidR="00DF5828" w:rsidRPr="00DF5828" w:rsidRDefault="00DF5828" w:rsidP="00DF5828">
      <w:pPr>
        <w:tabs>
          <w:tab w:val="left" w:pos="567"/>
        </w:tabs>
        <w:spacing w:after="0" w:line="240" w:lineRule="auto"/>
        <w:rPr>
          <w:rFonts w:ascii="Times New Roman" w:hAnsi="Times New Roman"/>
          <w:lang w:val="lt-LT"/>
        </w:rPr>
      </w:pPr>
    </w:p>
    <w:p w:rsidR="00DF5828" w:rsidRPr="000F1EAC" w:rsidRDefault="00DF5828" w:rsidP="00DF5828">
      <w:pPr>
        <w:tabs>
          <w:tab w:val="left" w:pos="567"/>
        </w:tabs>
        <w:spacing w:after="0" w:line="240" w:lineRule="auto"/>
        <w:rPr>
          <w:rFonts w:ascii="Times New Roman" w:eastAsia="Times New Roman" w:hAnsi="Times New Roman"/>
          <w:u w:val="single"/>
          <w:lang w:val="lt-LT"/>
        </w:rPr>
      </w:pPr>
      <w:r w:rsidRPr="000F1EAC">
        <w:rPr>
          <w:rFonts w:ascii="Times New Roman" w:eastAsia="Times New Roman" w:hAnsi="Times New Roman"/>
          <w:u w:val="single"/>
          <w:lang w:val="lt-LT"/>
        </w:rPr>
        <w:t xml:space="preserve">Pacientai, jautrūs kitiems </w:t>
      </w:r>
      <w:proofErr w:type="spellStart"/>
      <w:r w:rsidRPr="000F1EAC">
        <w:rPr>
          <w:rFonts w:ascii="Times New Roman" w:eastAsia="Times New Roman" w:hAnsi="Times New Roman"/>
          <w:u w:val="single"/>
          <w:lang w:val="lt-LT"/>
        </w:rPr>
        <w:t>bi</w:t>
      </w:r>
      <w:r w:rsidR="000F1EAC">
        <w:rPr>
          <w:rFonts w:ascii="Times New Roman" w:eastAsia="Times New Roman" w:hAnsi="Times New Roman"/>
          <w:u w:val="single"/>
          <w:lang w:val="lt-LT"/>
        </w:rPr>
        <w:t>s</w:t>
      </w:r>
      <w:r w:rsidRPr="000F1EAC">
        <w:rPr>
          <w:rFonts w:ascii="Times New Roman" w:eastAsia="Times New Roman" w:hAnsi="Times New Roman"/>
          <w:u w:val="single"/>
          <w:lang w:val="lt-LT"/>
        </w:rPr>
        <w:t>fosfonatams</w:t>
      </w:r>
      <w:proofErr w:type="spellEnd"/>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Pacientus, kurie yra jautrūs kitokiems </w:t>
      </w:r>
      <w:proofErr w:type="spellStart"/>
      <w:r w:rsidRPr="00DF5828">
        <w:rPr>
          <w:rFonts w:ascii="Times New Roman" w:hAnsi="Times New Roman"/>
          <w:lang w:val="lt-LT"/>
        </w:rPr>
        <w:t>bisfosfonatams</w:t>
      </w:r>
      <w:proofErr w:type="spellEnd"/>
      <w:r w:rsidRPr="00DF5828">
        <w:rPr>
          <w:rFonts w:ascii="Times New Roman" w:hAnsi="Times New Roman"/>
          <w:lang w:val="lt-LT"/>
        </w:rPr>
        <w:t>, reikia gydyti atsargiai.</w:t>
      </w:r>
    </w:p>
    <w:p w:rsidR="00DF5828" w:rsidRPr="00DF5828" w:rsidRDefault="00DF5828" w:rsidP="00DF5828">
      <w:pPr>
        <w:tabs>
          <w:tab w:val="left" w:pos="567"/>
        </w:tabs>
        <w:spacing w:after="0" w:line="240" w:lineRule="auto"/>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4.5</w:t>
      </w:r>
      <w:r w:rsidRPr="00DF5828">
        <w:rPr>
          <w:rFonts w:ascii="Times New Roman" w:hAnsi="Times New Roman"/>
          <w:b/>
          <w:lang w:val="lt-LT"/>
        </w:rPr>
        <w:tab/>
        <w:t>Sąveika su kitais vaistiniais preparatais ir kitokia sąveika</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hAnsi="Times New Roman"/>
          <w:i/>
          <w:u w:val="single"/>
          <w:lang w:val="lt-LT"/>
        </w:rPr>
      </w:pPr>
      <w:r w:rsidRPr="000F1EAC">
        <w:rPr>
          <w:rFonts w:ascii="Times New Roman" w:hAnsi="Times New Roman"/>
          <w:i/>
          <w:u w:val="single"/>
          <w:lang w:val="lt-LT"/>
        </w:rPr>
        <w:t>Vaistinio preparato ir maisto sąveika</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Tikėtina, kad preparatai, kuriuose yra kalcio ar kitokių </w:t>
      </w:r>
      <w:proofErr w:type="spellStart"/>
      <w:r w:rsidRPr="00DF5828">
        <w:rPr>
          <w:rFonts w:ascii="Times New Roman" w:hAnsi="Times New Roman"/>
          <w:lang w:val="lt-LT"/>
        </w:rPr>
        <w:t>polivalentinių</w:t>
      </w:r>
      <w:proofErr w:type="spellEnd"/>
      <w:r w:rsidRPr="00DF5828">
        <w:rPr>
          <w:rFonts w:ascii="Times New Roman" w:hAnsi="Times New Roman"/>
          <w:lang w:val="lt-LT"/>
        </w:rPr>
        <w:t xml:space="preserve"> </w:t>
      </w:r>
      <w:proofErr w:type="spellStart"/>
      <w:r w:rsidRPr="00DF5828">
        <w:rPr>
          <w:rFonts w:ascii="Times New Roman" w:hAnsi="Times New Roman"/>
          <w:lang w:val="lt-LT"/>
        </w:rPr>
        <w:t>katijonų</w:t>
      </w:r>
      <w:proofErr w:type="spellEnd"/>
      <w:r w:rsidRPr="00DF5828">
        <w:rPr>
          <w:rFonts w:ascii="Times New Roman" w:hAnsi="Times New Roman"/>
          <w:lang w:val="lt-LT"/>
        </w:rPr>
        <w:t xml:space="preserve"> (pvz., aliuminio, magnio, geležies), įskaitant pieną ir maisto produktus, trukdo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tablečių absorbciją. Vadinasi, po minėtų preparatų, įskaitant maisto produktus, pavartojimo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tablečių galima gerti ne anksčiau kaip po 30 min.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tablečių išgėrus praėjus 2 val. po įprastinio valgymo, biologinis prieinamumas sumažėjo maždaug 75</w:t>
      </w:r>
      <w:r w:rsidRPr="00DF5828">
        <w:rPr>
          <w:rFonts w:ascii="Times New Roman" w:hAnsi="Times New Roman"/>
          <w:lang w:val="lt-LT"/>
        </w:rPr>
        <w:sym w:font="Symbol" w:char="F025"/>
      </w:r>
      <w:r w:rsidRPr="00DF5828">
        <w:rPr>
          <w:rFonts w:ascii="Times New Roman" w:hAnsi="Times New Roman"/>
          <w:lang w:val="lt-LT"/>
        </w:rPr>
        <w:t>, todėl šias tabletes rekomenduojama gerti nevalgius visą naktį (ne trumpiau kaip 6 val.) ir nevalgyti ne mažiau kaip 30 min. po dozės pavartojimo (žr. 4.2 skyrių).</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eastAsia="Times New Roman" w:hAnsi="Times New Roman"/>
          <w:u w:val="single"/>
          <w:lang w:val="lt-LT"/>
        </w:rPr>
      </w:pPr>
      <w:r w:rsidRPr="000F1EAC">
        <w:rPr>
          <w:rFonts w:ascii="Times New Roman" w:eastAsia="Times New Roman" w:hAnsi="Times New Roman"/>
          <w:u w:val="single"/>
          <w:lang w:val="lt-LT"/>
        </w:rPr>
        <w:t>Sąveika</w:t>
      </w:r>
      <w:r w:rsidRPr="000F1EAC">
        <w:rPr>
          <w:rFonts w:ascii="Times New Roman" w:hAnsi="Times New Roman"/>
          <w:u w:val="single"/>
          <w:lang w:val="lt-LT"/>
        </w:rPr>
        <w:t xml:space="preserve"> su kitais vaistiniais preparatais</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Manoma, kad metabolinės sąveikos neturėtų būti, kadangi</w:t>
      </w:r>
      <w:r w:rsidRPr="00DF5828">
        <w:rPr>
          <w:rFonts w:ascii="Times New Roman" w:hAnsi="Times New Roman"/>
          <w:lang w:val="lt-LT"/>
        </w:rPr>
        <w:t xml:space="preserve">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neslopina </w:t>
      </w:r>
      <w:r w:rsidRPr="00DF5828">
        <w:rPr>
          <w:rFonts w:ascii="Times New Roman" w:eastAsia="Times New Roman" w:hAnsi="Times New Roman"/>
          <w:lang w:val="lt-LT"/>
        </w:rPr>
        <w:t>pagrindinių</w:t>
      </w:r>
      <w:r w:rsidRPr="00DF5828">
        <w:rPr>
          <w:rFonts w:ascii="Times New Roman" w:hAnsi="Times New Roman"/>
          <w:lang w:val="lt-LT"/>
        </w:rPr>
        <w:t xml:space="preserve"> žmogaus kepenų </w:t>
      </w:r>
      <w:r w:rsidRPr="00DF5828">
        <w:rPr>
          <w:rFonts w:ascii="Times New Roman" w:eastAsia="Times New Roman" w:hAnsi="Times New Roman"/>
          <w:lang w:val="lt-LT"/>
        </w:rPr>
        <w:t>P450</w:t>
      </w:r>
      <w:r w:rsidRPr="00DF5828">
        <w:rPr>
          <w:rFonts w:ascii="Times New Roman" w:hAnsi="Times New Roman"/>
          <w:lang w:val="lt-LT"/>
        </w:rPr>
        <w:t xml:space="preserve"> izofermentų ir </w:t>
      </w:r>
      <w:r w:rsidRPr="00DF5828">
        <w:rPr>
          <w:rFonts w:ascii="Times New Roman" w:eastAsia="Times New Roman" w:hAnsi="Times New Roman"/>
          <w:lang w:val="lt-LT"/>
        </w:rPr>
        <w:t>nesužadina žiurkių</w:t>
      </w:r>
      <w:r w:rsidRPr="00DF5828">
        <w:rPr>
          <w:rFonts w:ascii="Times New Roman" w:hAnsi="Times New Roman"/>
          <w:lang w:val="lt-LT"/>
        </w:rPr>
        <w:t xml:space="preserve"> kepenų citochromo </w:t>
      </w:r>
      <w:r w:rsidRPr="00DF5828">
        <w:rPr>
          <w:rFonts w:ascii="Times New Roman" w:eastAsia="Times New Roman" w:hAnsi="Times New Roman"/>
          <w:lang w:val="lt-LT"/>
        </w:rPr>
        <w:t>p450</w:t>
      </w:r>
      <w:r w:rsidRPr="00DF5828">
        <w:rPr>
          <w:rFonts w:ascii="Times New Roman" w:hAnsi="Times New Roman"/>
          <w:lang w:val="lt-LT"/>
        </w:rPr>
        <w:t xml:space="preserve"> sistemos</w:t>
      </w:r>
      <w:r w:rsidRPr="00DF5828">
        <w:rPr>
          <w:rFonts w:ascii="Times New Roman" w:eastAsia="Times New Roman" w:hAnsi="Times New Roman"/>
          <w:lang w:val="lt-LT"/>
        </w:rPr>
        <w:t xml:space="preserve"> fermentų (žr. 5.2 skyrių). </w:t>
      </w:r>
      <w:proofErr w:type="spellStart"/>
      <w:r w:rsidRPr="00DF5828">
        <w:rPr>
          <w:rFonts w:ascii="Times New Roman" w:eastAsia="Times New Roman" w:hAnsi="Times New Roman"/>
          <w:lang w:val="lt-LT"/>
        </w:rPr>
        <w:t>Ibandrono</w:t>
      </w:r>
      <w:proofErr w:type="spellEnd"/>
      <w:r w:rsidRPr="00DF5828">
        <w:rPr>
          <w:rFonts w:ascii="Times New Roman" w:eastAsia="Times New Roman" w:hAnsi="Times New Roman"/>
          <w:lang w:val="lt-LT"/>
        </w:rPr>
        <w:t xml:space="preserve"> rūgštis pašalinama tik ekskrecijos per inkstus būdu, jos biotransformacija nevyksta.</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0F1EAC" w:rsidRDefault="00DF5828" w:rsidP="00DF5828">
      <w:pPr>
        <w:tabs>
          <w:tab w:val="left" w:pos="567"/>
        </w:tabs>
        <w:spacing w:after="0" w:line="260" w:lineRule="exact"/>
        <w:rPr>
          <w:rFonts w:ascii="Times New Roman" w:eastAsia="Times New Roman" w:hAnsi="Times New Roman"/>
          <w:u w:val="single"/>
          <w:lang w:val="lt-LT"/>
        </w:rPr>
      </w:pPr>
      <w:r w:rsidRPr="000F1EAC">
        <w:rPr>
          <w:rFonts w:ascii="Times New Roman" w:eastAsia="Times New Roman" w:hAnsi="Times New Roman"/>
          <w:u w:val="single"/>
          <w:lang w:val="lt-LT"/>
        </w:rPr>
        <w:t>H</w:t>
      </w:r>
      <w:r w:rsidRPr="000F1EAC">
        <w:rPr>
          <w:rFonts w:ascii="Times New Roman" w:eastAsia="Times New Roman" w:hAnsi="Times New Roman"/>
          <w:u w:val="single"/>
          <w:vertAlign w:val="subscript"/>
          <w:lang w:val="lt-LT"/>
        </w:rPr>
        <w:t>2</w:t>
      </w:r>
      <w:r w:rsidRPr="000F1EAC">
        <w:rPr>
          <w:rFonts w:ascii="Times New Roman" w:eastAsia="Times New Roman" w:hAnsi="Times New Roman"/>
          <w:u w:val="single"/>
          <w:lang w:val="lt-LT"/>
        </w:rPr>
        <w:t xml:space="preserve"> receptorių blokatoriai ir kiti skrandžio pH didinantys vaistiniai preparatai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rPr>
        <w:t xml:space="preserve">Sušvirkštus ranitidino į veną sveikiems savanoriams vyrams ir moterims po menopauzės, biologinis </w:t>
      </w:r>
      <w:proofErr w:type="spellStart"/>
      <w:r w:rsidRPr="00DF5828">
        <w:rPr>
          <w:rFonts w:ascii="Times New Roman" w:eastAsia="Times New Roman" w:hAnsi="Times New Roman"/>
          <w:lang w:val="lt-LT"/>
        </w:rPr>
        <w:t>ibandrono</w:t>
      </w:r>
      <w:proofErr w:type="spellEnd"/>
      <w:r w:rsidRPr="00DF5828">
        <w:rPr>
          <w:rFonts w:ascii="Times New Roman" w:eastAsia="Times New Roman" w:hAnsi="Times New Roman"/>
          <w:lang w:val="lt-LT"/>
        </w:rPr>
        <w:t xml:space="preserve"> rūgšties prieinamumas padidėjo maždaug 20 %, tikriausia dėl sumažėjusio skrandžio sulčių rūgštingumo. Tačiau šis padidėjimas patenka į normalų biologinio </w:t>
      </w:r>
      <w:proofErr w:type="spellStart"/>
      <w:r w:rsidRPr="00DF5828">
        <w:rPr>
          <w:rFonts w:ascii="Times New Roman" w:eastAsia="Times New Roman" w:hAnsi="Times New Roman"/>
          <w:lang w:val="lt-LT"/>
        </w:rPr>
        <w:t>ibandrono</w:t>
      </w:r>
      <w:proofErr w:type="spellEnd"/>
      <w:r w:rsidRPr="00DF5828">
        <w:rPr>
          <w:rFonts w:ascii="Times New Roman" w:eastAsia="Times New Roman" w:hAnsi="Times New Roman"/>
          <w:lang w:val="lt-LT"/>
        </w:rPr>
        <w:t xml:space="preserve"> rūgšties prieinamumo reikšmių amplitudę</w:t>
      </w:r>
      <w:r w:rsidRPr="00DF5828">
        <w:rPr>
          <w:rFonts w:ascii="Times New Roman" w:hAnsi="Times New Roman"/>
          <w:lang w:val="lt-LT"/>
        </w:rPr>
        <w:t xml:space="preserve">, todėl </w:t>
      </w:r>
      <w:proofErr w:type="spellStart"/>
      <w:r w:rsidRPr="00DF5828">
        <w:rPr>
          <w:rFonts w:ascii="Times New Roman" w:eastAsia="Times New Roman" w:hAnsi="Times New Roman"/>
          <w:lang w:val="lt-LT"/>
        </w:rPr>
        <w:t>ibandrono</w:t>
      </w:r>
      <w:proofErr w:type="spellEnd"/>
      <w:r w:rsidRPr="00DF5828">
        <w:rPr>
          <w:rFonts w:ascii="Times New Roman" w:eastAsia="Times New Roman" w:hAnsi="Times New Roman"/>
          <w:lang w:val="lt-LT"/>
        </w:rPr>
        <w:t xml:space="preserve"> rūgšties skiriant kartu su H</w:t>
      </w:r>
      <w:r w:rsidRPr="00DF5828">
        <w:rPr>
          <w:rFonts w:ascii="Times New Roman" w:eastAsia="Times New Roman" w:hAnsi="Times New Roman"/>
          <w:vertAlign w:val="subscript"/>
          <w:lang w:val="lt-LT"/>
        </w:rPr>
        <w:t>2</w:t>
      </w:r>
      <w:r w:rsidRPr="00DF5828">
        <w:rPr>
          <w:rFonts w:ascii="Times New Roman" w:eastAsia="Times New Roman" w:hAnsi="Times New Roman"/>
          <w:lang w:val="lt-LT"/>
        </w:rPr>
        <w:t xml:space="preserve"> antagonistais ar su kitais skrandžio pH didinančiais vaistais, dozės koreguoti nereikia</w:t>
      </w:r>
      <w:r w:rsidRPr="00DF5828">
        <w:rPr>
          <w:rFonts w:ascii="Times New Roman" w:hAnsi="Times New Roman"/>
          <w:lang w:val="lt-LT"/>
        </w:rPr>
        <w:t>.</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0F1EAC" w:rsidRDefault="00DF5828" w:rsidP="00DF5828">
      <w:pPr>
        <w:tabs>
          <w:tab w:val="left" w:pos="567"/>
        </w:tabs>
        <w:spacing w:after="0" w:line="260" w:lineRule="exact"/>
        <w:rPr>
          <w:rFonts w:ascii="Times New Roman" w:eastAsia="Times New Roman" w:hAnsi="Times New Roman"/>
          <w:u w:val="single"/>
          <w:lang w:val="lt-LT"/>
        </w:rPr>
      </w:pPr>
      <w:r w:rsidRPr="000F1EAC">
        <w:rPr>
          <w:rFonts w:ascii="Times New Roman" w:eastAsia="Times New Roman" w:hAnsi="Times New Roman"/>
          <w:u w:val="single"/>
          <w:lang w:val="lt-LT"/>
        </w:rPr>
        <w:t>Acetilsalicilo rūgštis ir NVNU</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 xml:space="preserve">Kadangi acetilsalicilo rūgštis, nesteroidiniai vaistai nuo uždegimo ir </w:t>
      </w:r>
      <w:proofErr w:type="spellStart"/>
      <w:r w:rsidRPr="00DF5828">
        <w:rPr>
          <w:rFonts w:ascii="Times New Roman" w:eastAsia="Times New Roman" w:hAnsi="Times New Roman"/>
          <w:lang w:val="lt-LT"/>
        </w:rPr>
        <w:t>bi</w:t>
      </w:r>
      <w:r w:rsidR="000F1EAC">
        <w:rPr>
          <w:rFonts w:ascii="Times New Roman" w:eastAsia="Times New Roman" w:hAnsi="Times New Roman"/>
          <w:lang w:val="lt-LT"/>
        </w:rPr>
        <w:t>s</w:t>
      </w:r>
      <w:r w:rsidRPr="00DF5828">
        <w:rPr>
          <w:rFonts w:ascii="Times New Roman" w:eastAsia="Times New Roman" w:hAnsi="Times New Roman"/>
          <w:lang w:val="lt-LT"/>
        </w:rPr>
        <w:t>fosfonatai</w:t>
      </w:r>
      <w:proofErr w:type="spellEnd"/>
      <w:r w:rsidRPr="00DF5828">
        <w:rPr>
          <w:rFonts w:ascii="Times New Roman" w:eastAsia="Times New Roman" w:hAnsi="Times New Roman"/>
          <w:lang w:val="lt-LT"/>
        </w:rPr>
        <w:t xml:space="preserve"> susiję su virškinimo trakto dirginimu, reikia imtis atsargumo priemonių juos vartojant kartu (žr. 4.4 skyrių).</w:t>
      </w:r>
    </w:p>
    <w:p w:rsidR="00DF5828" w:rsidRPr="00DF5828" w:rsidRDefault="00DF5828" w:rsidP="00DF5828">
      <w:pPr>
        <w:tabs>
          <w:tab w:val="left" w:pos="567"/>
        </w:tabs>
        <w:spacing w:after="0" w:line="260" w:lineRule="exact"/>
        <w:rPr>
          <w:rFonts w:ascii="Times New Roman" w:eastAsia="Times New Roman" w:hAnsi="Times New Roman"/>
          <w:i/>
          <w:lang w:val="lt-LT"/>
        </w:rPr>
      </w:pPr>
    </w:p>
    <w:p w:rsidR="00DF5828" w:rsidRPr="000F1EAC" w:rsidRDefault="00DF5828" w:rsidP="00DF5828">
      <w:pPr>
        <w:tabs>
          <w:tab w:val="left" w:pos="567"/>
        </w:tabs>
        <w:spacing w:after="0" w:line="260" w:lineRule="exact"/>
        <w:rPr>
          <w:rFonts w:ascii="Times New Roman" w:eastAsia="Times New Roman" w:hAnsi="Times New Roman"/>
          <w:i/>
          <w:u w:val="single"/>
          <w:lang w:val="lt-LT"/>
        </w:rPr>
      </w:pPr>
      <w:proofErr w:type="spellStart"/>
      <w:r w:rsidRPr="00DF5828">
        <w:rPr>
          <w:rFonts w:ascii="Times New Roman" w:eastAsia="Times New Roman" w:hAnsi="Times New Roman"/>
          <w:i/>
          <w:lang w:val="lt-LT"/>
        </w:rPr>
        <w:t>Aminoglikozidai</w:t>
      </w:r>
      <w:proofErr w:type="spellEnd"/>
    </w:p>
    <w:p w:rsidR="00DF5828" w:rsidRPr="00DF5828" w:rsidRDefault="00DF5828" w:rsidP="00DF5828">
      <w:pPr>
        <w:tabs>
          <w:tab w:val="left" w:pos="567"/>
        </w:tabs>
        <w:spacing w:after="0" w:line="260" w:lineRule="exact"/>
        <w:rPr>
          <w:rFonts w:ascii="Times New Roman" w:hAnsi="Times New Roman"/>
          <w:lang w:val="lt-LT"/>
        </w:rPr>
      </w:pPr>
      <w:proofErr w:type="spellStart"/>
      <w:r w:rsidRPr="000F1EAC">
        <w:rPr>
          <w:rFonts w:ascii="Times New Roman" w:hAnsi="Times New Roman"/>
          <w:i/>
          <w:u w:val="single"/>
          <w:lang w:val="lt-LT"/>
        </w:rPr>
        <w:t>B</w:t>
      </w:r>
      <w:r w:rsidRPr="00DF5828">
        <w:rPr>
          <w:rFonts w:ascii="Times New Roman" w:hAnsi="Times New Roman"/>
          <w:lang w:val="lt-LT"/>
        </w:rPr>
        <w:t>isfosfonatais</w:t>
      </w:r>
      <w:proofErr w:type="spellEnd"/>
      <w:r w:rsidRPr="00DF5828">
        <w:rPr>
          <w:rFonts w:ascii="Times New Roman" w:hAnsi="Times New Roman"/>
          <w:lang w:val="lt-LT"/>
        </w:rPr>
        <w:t xml:space="preserve"> ir kartu </w:t>
      </w:r>
      <w:proofErr w:type="spellStart"/>
      <w:r w:rsidRPr="00DF5828">
        <w:rPr>
          <w:rFonts w:ascii="Times New Roman" w:hAnsi="Times New Roman"/>
          <w:lang w:val="lt-LT"/>
        </w:rPr>
        <w:t>aminoglikozidais</w:t>
      </w:r>
      <w:proofErr w:type="spellEnd"/>
      <w:r w:rsidRPr="00DF5828">
        <w:rPr>
          <w:rFonts w:ascii="Times New Roman" w:hAnsi="Times New Roman"/>
          <w:lang w:val="lt-LT"/>
        </w:rPr>
        <w:t xml:space="preserve"> reikia gydyti atsargiai, kadangi abi šios medžiagos ilgam gali sumažinti kalcio kiekį kraujo serume. Reikia kreipti dėmesį į tuo pat metu galimą </w:t>
      </w:r>
      <w:proofErr w:type="spellStart"/>
      <w:r w:rsidRPr="00DF5828">
        <w:rPr>
          <w:rFonts w:ascii="Times New Roman" w:hAnsi="Times New Roman"/>
          <w:lang w:val="lt-LT"/>
        </w:rPr>
        <w:t>hipomagnezemiją</w:t>
      </w:r>
      <w:proofErr w:type="spellEnd"/>
      <w:r w:rsidRPr="00DF5828">
        <w:rPr>
          <w:rFonts w:ascii="Times New Roman" w:hAnsi="Times New Roman"/>
          <w:lang w:val="lt-LT"/>
        </w:rPr>
        <w:t xml:space="preserve">.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4.6</w:t>
      </w:r>
      <w:r w:rsidRPr="00DF5828">
        <w:rPr>
          <w:rFonts w:ascii="Times New Roman" w:hAnsi="Times New Roman"/>
          <w:b/>
          <w:lang w:val="lt-LT"/>
        </w:rPr>
        <w:tab/>
        <w:t>Vaisingumas, nėštumo ir žindymo laikotarpis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u w:val="single"/>
          <w:lang w:val="lt-LT"/>
        </w:rPr>
      </w:pPr>
      <w:r w:rsidRPr="00DF5828">
        <w:rPr>
          <w:rFonts w:ascii="Times New Roman" w:hAnsi="Times New Roman"/>
          <w:u w:val="single"/>
          <w:lang w:val="lt-LT"/>
        </w:rPr>
        <w:t>Nėštumas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Reikiamų duomenų apie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vartojimą nėštumo metu nėra. Su žiurkėmis atlikti tyrimai parodė toksinį poveikį reprodukcijai (žr. 5.3 skyrių). Galimas pavojus žmogui nežinomas. Ibandronic acid Actavis nėštumo metu vartoti negalima.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u w:val="single"/>
          <w:lang w:val="lt-LT"/>
        </w:rPr>
      </w:pPr>
      <w:r w:rsidRPr="00DF5828">
        <w:rPr>
          <w:rFonts w:ascii="Times New Roman" w:hAnsi="Times New Roman"/>
          <w:u w:val="single"/>
          <w:lang w:val="lt-LT"/>
        </w:rPr>
        <w:t>Žindymo laikotarpis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Ar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išsiskiria su moters pienu, nežinoma. Tyrimai su žiurkėmis laktacijos laikotarpiu rodo, kad po injekcijos į veną piene atsiranda mažas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kiekis. Žindymo laikotarpiu Ibandronic acid Actavis vartoti negalima.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u w:val="single"/>
          <w:lang w:val="lt-LT"/>
        </w:rPr>
      </w:pPr>
      <w:r w:rsidRPr="00DF5828">
        <w:rPr>
          <w:rFonts w:ascii="Times New Roman" w:hAnsi="Times New Roman"/>
          <w:u w:val="single"/>
          <w:lang w:val="lt-LT"/>
        </w:rPr>
        <w:t>Vaisingumas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Duomenų apie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poveikius žmonėms nėra. Poveikio žiurkių reprodukcijai tyrimų metu geriamoji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vaisingumą sumažino. Tyrimų su žiurkėmis metu suleistos į veną didelės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paros dozės vaisingumą sumažino (žr. 5.3 skyrių).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4.7</w:t>
      </w:r>
      <w:r w:rsidRPr="00DF5828">
        <w:rPr>
          <w:rFonts w:ascii="Times New Roman" w:hAnsi="Times New Roman"/>
          <w:b/>
          <w:lang w:val="lt-LT"/>
        </w:rPr>
        <w:tab/>
        <w:t>Poveikis gebėjimui vairuoti ir valdyti mechanizmus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rPr>
        <w:t>Remiantis farmakodinamika ir farmakokinetika bei pastebėtomis nepageidaujamomis reakcijomis manome, kad Ibandronic acid Actavis gebėjimo</w:t>
      </w:r>
      <w:r w:rsidRPr="00DF5828">
        <w:rPr>
          <w:rFonts w:ascii="Times New Roman" w:hAnsi="Times New Roman"/>
          <w:lang w:val="lt-LT"/>
        </w:rPr>
        <w:t xml:space="preserve"> vairuoti ir valdyti mechanizmus </w:t>
      </w:r>
      <w:r w:rsidRPr="00DF5828">
        <w:rPr>
          <w:rFonts w:ascii="Times New Roman" w:eastAsia="Times New Roman" w:hAnsi="Times New Roman"/>
          <w:lang w:val="lt-LT"/>
        </w:rPr>
        <w:t>neveikia arba veikia nereikšmingai</w:t>
      </w:r>
      <w:r w:rsidRPr="00DF5828">
        <w:rPr>
          <w:rFonts w:ascii="Times New Roman" w:hAnsi="Times New Roman"/>
          <w:lang w:val="lt-LT"/>
        </w:rPr>
        <w:t>.</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4.8</w:t>
      </w:r>
      <w:r w:rsidRPr="00DF5828">
        <w:rPr>
          <w:rFonts w:ascii="Times New Roman" w:hAnsi="Times New Roman"/>
          <w:b/>
          <w:lang w:val="lt-LT"/>
        </w:rPr>
        <w:tab/>
        <w:t>Nepageidaujamas poveikis</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u w:val="single"/>
          <w:lang w:val="lt-LT"/>
        </w:rPr>
        <w:t xml:space="preserve">Saugumo pobūdžio santrauka </w:t>
      </w:r>
    </w:p>
    <w:p w:rsidR="00DF5828" w:rsidRPr="000F1EAC"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Sunkiausios nepageidaujamos reakcijos yra anafilaksinė reakcija ar šokas, atipiniai šlaunikaulio lūžiai, žandikaulio osteonekrozė, virškinimo trakto dirginimas, akių uždegimas (žiūrėkite paragrafą „</w:t>
      </w:r>
      <w:r w:rsidRPr="000F1EAC">
        <w:rPr>
          <w:rFonts w:ascii="Times New Roman" w:eastAsia="Times New Roman" w:hAnsi="Times New Roman"/>
          <w:lang w:val="lt-LT"/>
        </w:rPr>
        <w:t>Atrinktų nepageidaujamų reakcijų apibūdinimas” ir 4.4 skyrių). Gydymas buvo susijęs su serumo kalcio koncentracijos sumažėjimu iki žemutinės ligos (hipokalcemija) ir susijusia dispepsija.</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Nepageidaujamų reakcijų santrauka lentelėje</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rPr>
        <w:t>1 lentelėje išvardintos nepageidaujamos reakcijos, pastebėtos</w:t>
      </w:r>
      <w:r w:rsidRPr="00DF5828">
        <w:rPr>
          <w:rFonts w:ascii="Times New Roman" w:hAnsi="Times New Roman"/>
          <w:lang w:val="lt-LT"/>
        </w:rPr>
        <w:t xml:space="preserve"> dviejų pagrindžiamųjų III fazės tyrimų (286 pacientai buvo gydomi 50 mg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doze) </w:t>
      </w:r>
      <w:r w:rsidRPr="00DF5828">
        <w:rPr>
          <w:rFonts w:ascii="Times New Roman" w:eastAsia="Times New Roman" w:hAnsi="Times New Roman"/>
          <w:lang w:val="lt-LT"/>
        </w:rPr>
        <w:t>metu ir iš patirties vaistinį preparatą pateikus į rinką.</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Nepageidaujamos reakcijos </w:t>
      </w:r>
      <w:r w:rsidRPr="00DF5828">
        <w:rPr>
          <w:rFonts w:ascii="Times New Roman" w:eastAsia="Times New Roman" w:hAnsi="Times New Roman"/>
          <w:lang w:val="lt-LT"/>
        </w:rPr>
        <w:t xml:space="preserve">yra išvardytos </w:t>
      </w:r>
      <w:r w:rsidRPr="00DF5828">
        <w:rPr>
          <w:rFonts w:ascii="Times New Roman" w:hAnsi="Times New Roman"/>
          <w:lang w:val="lt-LT"/>
        </w:rPr>
        <w:t xml:space="preserve">pagal </w:t>
      </w:r>
      <w:r w:rsidRPr="00DF5828">
        <w:rPr>
          <w:rFonts w:ascii="Times New Roman" w:eastAsia="Times New Roman" w:hAnsi="Times New Roman"/>
          <w:lang w:val="lt-LT"/>
        </w:rPr>
        <w:t xml:space="preserve">MedDRA organų sistemų klases ir </w:t>
      </w:r>
      <w:r w:rsidRPr="00DF5828">
        <w:rPr>
          <w:rFonts w:ascii="Times New Roman" w:hAnsi="Times New Roman"/>
          <w:lang w:val="lt-LT"/>
        </w:rPr>
        <w:t>dažnį</w:t>
      </w:r>
      <w:r w:rsidRPr="00DF5828">
        <w:rPr>
          <w:rFonts w:ascii="Times New Roman" w:eastAsia="Times New Roman" w:hAnsi="Times New Roman"/>
          <w:lang w:val="lt-LT"/>
        </w:rPr>
        <w:t>. Dažnio kategorijos apibrėžiamos naudojant šį susitarimą:</w:t>
      </w:r>
      <w:r w:rsidRPr="00DF5828">
        <w:rPr>
          <w:rFonts w:ascii="Times New Roman" w:hAnsi="Times New Roman"/>
          <w:lang w:val="lt-LT"/>
        </w:rPr>
        <w:t xml:space="preserve"> labai dažni </w:t>
      </w:r>
      <w:r w:rsidRPr="00DF5828">
        <w:rPr>
          <w:rFonts w:ascii="Times New Roman" w:eastAsia="Times New Roman" w:hAnsi="Times New Roman"/>
          <w:u w:val="single"/>
          <w:lang w:val="lt-LT"/>
        </w:rPr>
        <w:t xml:space="preserve">(≥ </w:t>
      </w:r>
      <w:r w:rsidRPr="00DF5828">
        <w:rPr>
          <w:rFonts w:ascii="Times New Roman" w:hAnsi="Times New Roman"/>
          <w:u w:val="single"/>
          <w:lang w:val="lt-LT"/>
        </w:rPr>
        <w:t xml:space="preserve">1/10), dažni </w:t>
      </w:r>
      <w:r w:rsidRPr="00DF5828">
        <w:rPr>
          <w:rFonts w:ascii="Times New Roman" w:hAnsi="Times New Roman"/>
          <w:lang w:val="lt-LT"/>
        </w:rPr>
        <w:t xml:space="preserve">(nuo </w:t>
      </w:r>
      <w:r w:rsidRPr="00DF5828">
        <w:rPr>
          <w:rFonts w:ascii="Times New Roman" w:eastAsia="Times New Roman" w:hAnsi="Times New Roman"/>
          <w:lang w:val="lt-LT"/>
        </w:rPr>
        <w:t xml:space="preserve">≥ </w:t>
      </w:r>
      <w:r w:rsidRPr="00DF5828">
        <w:rPr>
          <w:rFonts w:ascii="Times New Roman" w:hAnsi="Times New Roman"/>
          <w:lang w:val="lt-LT"/>
        </w:rPr>
        <w:t>1/100 iki &lt;</w:t>
      </w:r>
      <w:r w:rsidRPr="00DF5828">
        <w:rPr>
          <w:rFonts w:ascii="Times New Roman" w:eastAsia="Times New Roman" w:hAnsi="Times New Roman"/>
          <w:lang w:val="lt-LT"/>
        </w:rPr>
        <w:t xml:space="preserve"> </w:t>
      </w:r>
      <w:r w:rsidRPr="00DF5828">
        <w:rPr>
          <w:rFonts w:ascii="Times New Roman" w:hAnsi="Times New Roman"/>
          <w:lang w:val="lt-LT"/>
        </w:rPr>
        <w:t xml:space="preserve">1/10), nedažni (nuo </w:t>
      </w:r>
      <w:r w:rsidRPr="00DF5828">
        <w:rPr>
          <w:rFonts w:ascii="Times New Roman" w:eastAsia="Times New Roman" w:hAnsi="Times New Roman"/>
          <w:lang w:val="lt-LT"/>
        </w:rPr>
        <w:t xml:space="preserve">≥ </w:t>
      </w:r>
      <w:r w:rsidRPr="00DF5828">
        <w:rPr>
          <w:rFonts w:ascii="Times New Roman" w:hAnsi="Times New Roman"/>
          <w:lang w:val="lt-LT"/>
        </w:rPr>
        <w:t>1</w:t>
      </w:r>
      <w:r w:rsidRPr="00DF5828">
        <w:rPr>
          <w:rFonts w:ascii="Times New Roman" w:eastAsia="Times New Roman" w:hAnsi="Times New Roman"/>
          <w:lang w:val="lt-LT"/>
        </w:rPr>
        <w:t xml:space="preserve">/1 </w:t>
      </w:r>
      <w:r w:rsidRPr="00DF5828">
        <w:rPr>
          <w:rFonts w:ascii="Times New Roman" w:hAnsi="Times New Roman"/>
          <w:lang w:val="lt-LT"/>
        </w:rPr>
        <w:t>000 iki &lt;</w:t>
      </w:r>
      <w:r w:rsidRPr="00DF5828">
        <w:rPr>
          <w:rFonts w:ascii="Times New Roman" w:eastAsia="Times New Roman" w:hAnsi="Times New Roman"/>
          <w:lang w:val="lt-LT"/>
        </w:rPr>
        <w:t xml:space="preserve"> </w:t>
      </w:r>
      <w:r w:rsidRPr="00DF5828">
        <w:rPr>
          <w:rFonts w:ascii="Times New Roman" w:hAnsi="Times New Roman"/>
          <w:lang w:val="lt-LT"/>
        </w:rPr>
        <w:t xml:space="preserve">1/100), reti (nuo </w:t>
      </w:r>
      <w:r w:rsidRPr="00DF5828">
        <w:rPr>
          <w:rFonts w:ascii="Times New Roman" w:eastAsia="Times New Roman" w:hAnsi="Times New Roman"/>
          <w:lang w:val="lt-LT"/>
        </w:rPr>
        <w:t xml:space="preserve">≥ </w:t>
      </w:r>
      <w:r w:rsidRPr="00DF5828">
        <w:rPr>
          <w:rFonts w:ascii="Times New Roman" w:hAnsi="Times New Roman"/>
          <w:lang w:val="lt-LT"/>
        </w:rPr>
        <w:t>1/10</w:t>
      </w:r>
      <w:r w:rsidRPr="00DF5828">
        <w:rPr>
          <w:rFonts w:ascii="Times New Roman" w:eastAsia="Times New Roman" w:hAnsi="Times New Roman"/>
          <w:lang w:val="lt-LT"/>
        </w:rPr>
        <w:t xml:space="preserve"> </w:t>
      </w:r>
      <w:r w:rsidRPr="00DF5828">
        <w:rPr>
          <w:rFonts w:ascii="Times New Roman" w:hAnsi="Times New Roman"/>
          <w:lang w:val="lt-LT"/>
        </w:rPr>
        <w:t>000 iki &lt;</w:t>
      </w:r>
      <w:r w:rsidRPr="00DF5828">
        <w:rPr>
          <w:rFonts w:ascii="Times New Roman" w:eastAsia="Times New Roman" w:hAnsi="Times New Roman"/>
          <w:lang w:val="lt-LT"/>
        </w:rPr>
        <w:t xml:space="preserve"> </w:t>
      </w:r>
      <w:r w:rsidRPr="00DF5828">
        <w:rPr>
          <w:rFonts w:ascii="Times New Roman" w:hAnsi="Times New Roman"/>
          <w:lang w:val="lt-LT"/>
        </w:rPr>
        <w:t>1</w:t>
      </w:r>
      <w:r w:rsidRPr="00DF5828">
        <w:rPr>
          <w:rFonts w:ascii="Times New Roman" w:eastAsia="Times New Roman" w:hAnsi="Times New Roman"/>
          <w:lang w:val="lt-LT"/>
        </w:rPr>
        <w:t xml:space="preserve">/1 </w:t>
      </w:r>
      <w:r w:rsidRPr="00DF5828">
        <w:rPr>
          <w:rFonts w:ascii="Times New Roman" w:hAnsi="Times New Roman"/>
          <w:lang w:val="lt-LT"/>
        </w:rPr>
        <w:t>000), labai reti (&lt;</w:t>
      </w:r>
      <w:r w:rsidRPr="00DF5828">
        <w:rPr>
          <w:rFonts w:ascii="Times New Roman" w:eastAsia="Times New Roman" w:hAnsi="Times New Roman"/>
          <w:lang w:val="lt-LT"/>
        </w:rPr>
        <w:t xml:space="preserve"> </w:t>
      </w:r>
      <w:r w:rsidRPr="00DF5828">
        <w:rPr>
          <w:rFonts w:ascii="Times New Roman" w:hAnsi="Times New Roman"/>
          <w:lang w:val="lt-LT"/>
        </w:rPr>
        <w:t>1/10</w:t>
      </w:r>
      <w:r w:rsidRPr="00DF5828">
        <w:rPr>
          <w:rFonts w:ascii="Times New Roman" w:eastAsia="Times New Roman" w:hAnsi="Times New Roman"/>
          <w:lang w:val="lt-LT"/>
        </w:rPr>
        <w:t xml:space="preserve"> </w:t>
      </w:r>
      <w:r w:rsidRPr="00DF5828">
        <w:rPr>
          <w:rFonts w:ascii="Times New Roman" w:hAnsi="Times New Roman"/>
          <w:lang w:val="lt-LT"/>
        </w:rPr>
        <w:t>000</w:t>
      </w:r>
      <w:r w:rsidRPr="00DF5828">
        <w:rPr>
          <w:rFonts w:ascii="Times New Roman" w:eastAsia="Times New Roman" w:hAnsi="Times New Roman"/>
          <w:lang w:val="lt-LT"/>
        </w:rPr>
        <w:t xml:space="preserve">), </w:t>
      </w:r>
      <w:r w:rsidRPr="00DF5828">
        <w:rPr>
          <w:rFonts w:ascii="Times New Roman" w:eastAsia="Times New Roman" w:hAnsi="Times New Roman"/>
          <w:u w:val="single"/>
          <w:lang w:val="lt-LT"/>
        </w:rPr>
        <w:t>dažnis nežinomas (negali būti įvertintas pagal turimus duomenis)</w:t>
      </w:r>
      <w:r w:rsidRPr="00DF5828">
        <w:rPr>
          <w:rFonts w:ascii="Times New Roman" w:eastAsia="Times New Roman" w:hAnsi="Times New Roman"/>
          <w:lang w:val="lt-LT"/>
        </w:rPr>
        <w:t>. Kiekvienoje dažnio grupėje</w:t>
      </w:r>
      <w:r w:rsidRPr="00DF5828">
        <w:rPr>
          <w:rFonts w:ascii="Times New Roman" w:hAnsi="Times New Roman"/>
          <w:lang w:val="lt-LT"/>
        </w:rPr>
        <w:t xml:space="preserve"> nepageidaujamos reakcijos</w:t>
      </w:r>
      <w:r w:rsidRPr="00DF5828">
        <w:rPr>
          <w:rFonts w:ascii="Times New Roman" w:eastAsia="Times New Roman" w:hAnsi="Times New Roman"/>
          <w:lang w:val="lt-LT"/>
        </w:rPr>
        <w:t xml:space="preserve"> išdėstytos mažėjančio sunkumo tvarka</w:t>
      </w:r>
      <w:r w:rsidRPr="00DF5828">
        <w:rPr>
          <w:rFonts w:ascii="Times New Roman" w:hAnsi="Times New Roman"/>
          <w:lang w:val="lt-LT"/>
        </w:rPr>
        <w:t xml:space="preserve">. </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 xml:space="preserve">1 lentelė. Nepageidaujami poveikiai, kuriuos sukėlė </w:t>
      </w:r>
      <w:proofErr w:type="spellStart"/>
      <w:r w:rsidRPr="00DF5828">
        <w:rPr>
          <w:rFonts w:ascii="Times New Roman" w:hAnsi="Times New Roman"/>
          <w:b/>
          <w:lang w:val="lt-LT"/>
        </w:rPr>
        <w:t>ibandrono</w:t>
      </w:r>
      <w:proofErr w:type="spellEnd"/>
      <w:r w:rsidRPr="00DF5828">
        <w:rPr>
          <w:rFonts w:ascii="Times New Roman" w:hAnsi="Times New Roman"/>
          <w:b/>
          <w:lang w:val="lt-LT"/>
        </w:rPr>
        <w:t xml:space="preserve"> rūgštis, vartota per burną</w:t>
      </w:r>
    </w:p>
    <w:p w:rsidR="00DF5828" w:rsidRPr="00DF5828" w:rsidRDefault="00DF5828" w:rsidP="00DF5828">
      <w:pPr>
        <w:tabs>
          <w:tab w:val="left" w:pos="567"/>
        </w:tabs>
        <w:spacing w:after="0" w:line="260" w:lineRule="exact"/>
        <w:rPr>
          <w:rFonts w:ascii="Times New Roman" w:hAnsi="Times New Roman"/>
          <w:b/>
          <w:lang w:val="lt-L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1437"/>
        <w:gridCol w:w="1559"/>
        <w:gridCol w:w="1417"/>
        <w:gridCol w:w="1560"/>
        <w:gridCol w:w="1559"/>
      </w:tblGrid>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Organų</w:t>
            </w:r>
            <w:proofErr w:type="spellEnd"/>
            <w:r w:rsidRPr="000F1EAC">
              <w:rPr>
                <w:rFonts w:ascii="Times New Roman" w:hAnsi="Times New Roman"/>
                <w:lang w:val="en-GB"/>
              </w:rPr>
              <w:t xml:space="preserve"> </w:t>
            </w:r>
            <w:proofErr w:type="spellStart"/>
            <w:r w:rsidRPr="000F1EAC">
              <w:rPr>
                <w:rFonts w:ascii="Times New Roman" w:hAnsi="Times New Roman"/>
                <w:lang w:val="en-GB"/>
              </w:rPr>
              <w:t>sistemų</w:t>
            </w:r>
            <w:proofErr w:type="spellEnd"/>
            <w:r w:rsidRPr="000F1EAC">
              <w:rPr>
                <w:rFonts w:ascii="Times New Roman" w:hAnsi="Times New Roman"/>
                <w:lang w:val="en-GB"/>
              </w:rPr>
              <w:t xml:space="preserve"> </w:t>
            </w:r>
            <w:proofErr w:type="spellStart"/>
            <w:r w:rsidRPr="000F1EAC">
              <w:rPr>
                <w:rFonts w:ascii="Times New Roman" w:hAnsi="Times New Roman"/>
                <w:lang w:val="en-GB"/>
              </w:rPr>
              <w:t>klasė</w:t>
            </w:r>
            <w:proofErr w:type="spellEnd"/>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Dažni</w:t>
            </w:r>
            <w:proofErr w:type="spellEnd"/>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Nedažni</w:t>
            </w:r>
            <w:proofErr w:type="spellEnd"/>
          </w:p>
        </w:tc>
        <w:tc>
          <w:tcPr>
            <w:tcW w:w="1417"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Reti</w:t>
            </w:r>
            <w:proofErr w:type="spellEnd"/>
          </w:p>
        </w:tc>
        <w:tc>
          <w:tcPr>
            <w:tcW w:w="1560"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DF5828">
              <w:rPr>
                <w:rFonts w:ascii="Times New Roman" w:eastAsia="Times New Roman" w:hAnsi="Times New Roman"/>
                <w:lang w:val="en-GB"/>
              </w:rPr>
              <w:t>Labai</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reti</w:t>
            </w:r>
            <w:proofErr w:type="spellEnd"/>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DF5828">
              <w:rPr>
                <w:rFonts w:ascii="Times New Roman" w:eastAsia="Times New Roman" w:hAnsi="Times New Roman"/>
                <w:lang w:val="en-GB"/>
              </w:rPr>
              <w:t>Dažnis</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nežinomas</w:t>
            </w:r>
            <w:proofErr w:type="spellEnd"/>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fr-FR"/>
              </w:rPr>
            </w:pPr>
            <w:r w:rsidRPr="000F1EAC">
              <w:rPr>
                <w:rFonts w:ascii="Times New Roman" w:hAnsi="Times New Roman"/>
                <w:lang w:val="it-IT"/>
              </w:rPr>
              <w:t>Kraujo ir limfinės sistemos sutrikimai</w:t>
            </w:r>
          </w:p>
        </w:tc>
        <w:tc>
          <w:tcPr>
            <w:tcW w:w="1437" w:type="dxa"/>
          </w:tcPr>
          <w:p w:rsidR="00DF5828" w:rsidRPr="000F1EAC" w:rsidRDefault="00DF5828" w:rsidP="00DF5828">
            <w:pPr>
              <w:tabs>
                <w:tab w:val="left" w:pos="567"/>
              </w:tabs>
              <w:spacing w:after="0" w:line="260" w:lineRule="exact"/>
              <w:rPr>
                <w:rFonts w:ascii="Times New Roman" w:hAnsi="Times New Roman"/>
                <w:lang w:val="fr-FR"/>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Anemija</w:t>
            </w:r>
            <w:proofErr w:type="spellEnd"/>
          </w:p>
        </w:tc>
        <w:tc>
          <w:tcPr>
            <w:tcW w:w="1417" w:type="dxa"/>
          </w:tcPr>
          <w:p w:rsidR="00DF5828" w:rsidRPr="000F1EAC" w:rsidRDefault="00DF5828" w:rsidP="00DF5828">
            <w:pPr>
              <w:tabs>
                <w:tab w:val="left" w:pos="567"/>
              </w:tabs>
              <w:spacing w:after="0" w:line="260" w:lineRule="exact"/>
              <w:rPr>
                <w:rFonts w:ascii="Times New Roman" w:hAnsi="Times New Roman"/>
                <w:lang w:val="en-GB"/>
              </w:rPr>
            </w:pPr>
          </w:p>
        </w:tc>
        <w:tc>
          <w:tcPr>
            <w:tcW w:w="1560"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r>
      <w:tr w:rsidR="00DF5828" w:rsidRPr="000F1EAC" w:rsidTr="006C2504">
        <w:tc>
          <w:tcPr>
            <w:tcW w:w="1437" w:type="dxa"/>
          </w:tcPr>
          <w:p w:rsidR="00DF5828" w:rsidRPr="00DF5828" w:rsidRDefault="00DF5828" w:rsidP="00DF5828">
            <w:pPr>
              <w:tabs>
                <w:tab w:val="left" w:pos="567"/>
              </w:tabs>
              <w:spacing w:after="0" w:line="260" w:lineRule="exact"/>
              <w:rPr>
                <w:rFonts w:ascii="Times New Roman" w:eastAsia="Times New Roman" w:hAnsi="Times New Roman"/>
                <w:lang w:val="it-IT"/>
              </w:rPr>
            </w:pPr>
            <w:r w:rsidRPr="00DF5828">
              <w:rPr>
                <w:rFonts w:ascii="Times New Roman" w:eastAsia="Times New Roman" w:hAnsi="Times New Roman"/>
                <w:lang w:val="it-IT"/>
              </w:rPr>
              <w:t>Imuminės sistemos sutrikimai</w:t>
            </w:r>
          </w:p>
        </w:tc>
        <w:tc>
          <w:tcPr>
            <w:tcW w:w="1437" w:type="dxa"/>
          </w:tcPr>
          <w:p w:rsidR="00DF5828" w:rsidRPr="00DF5828" w:rsidRDefault="00DF5828" w:rsidP="00DF5828">
            <w:pPr>
              <w:tabs>
                <w:tab w:val="left" w:pos="567"/>
              </w:tabs>
              <w:spacing w:after="0" w:line="260" w:lineRule="exact"/>
              <w:rPr>
                <w:rFonts w:ascii="Times New Roman" w:eastAsia="Times New Roman" w:hAnsi="Times New Roman"/>
                <w:lang w:val="en-GB"/>
              </w:rPr>
            </w:pPr>
          </w:p>
        </w:tc>
        <w:tc>
          <w:tcPr>
            <w:tcW w:w="1559" w:type="dxa"/>
          </w:tcPr>
          <w:p w:rsidR="00DF5828" w:rsidRPr="00DF5828" w:rsidRDefault="00DF5828" w:rsidP="00DF5828">
            <w:pPr>
              <w:tabs>
                <w:tab w:val="left" w:pos="567"/>
              </w:tabs>
              <w:spacing w:after="0" w:line="260" w:lineRule="exact"/>
              <w:rPr>
                <w:rFonts w:ascii="Times New Roman" w:eastAsia="Times New Roman" w:hAnsi="Times New Roman"/>
                <w:lang w:val="en-GB"/>
              </w:rPr>
            </w:pPr>
          </w:p>
        </w:tc>
        <w:tc>
          <w:tcPr>
            <w:tcW w:w="1417" w:type="dxa"/>
          </w:tcPr>
          <w:p w:rsidR="00DF5828" w:rsidRPr="00DF5828" w:rsidRDefault="00DF5828" w:rsidP="00DF5828">
            <w:pPr>
              <w:tabs>
                <w:tab w:val="left" w:pos="567"/>
              </w:tabs>
              <w:spacing w:after="0" w:line="260" w:lineRule="exact"/>
              <w:rPr>
                <w:rFonts w:ascii="Times New Roman" w:eastAsia="Times New Roman" w:hAnsi="Times New Roman"/>
                <w:lang w:val="en-GB"/>
              </w:rPr>
            </w:pPr>
          </w:p>
        </w:tc>
        <w:tc>
          <w:tcPr>
            <w:tcW w:w="1560" w:type="dxa"/>
          </w:tcPr>
          <w:p w:rsidR="00DF5828" w:rsidRPr="00DF5828" w:rsidRDefault="00DF5828" w:rsidP="00DF5828">
            <w:pPr>
              <w:tabs>
                <w:tab w:val="left" w:pos="567"/>
              </w:tabs>
              <w:spacing w:after="0" w:line="260" w:lineRule="exact"/>
              <w:rPr>
                <w:rFonts w:ascii="Times New Roman" w:eastAsia="Times New Roman" w:hAnsi="Times New Roman"/>
                <w:lang w:val="en-GB"/>
              </w:rPr>
            </w:pPr>
            <w:proofErr w:type="spellStart"/>
            <w:r w:rsidRPr="00DF5828">
              <w:rPr>
                <w:rFonts w:ascii="Times New Roman" w:eastAsia="Times New Roman" w:hAnsi="Times New Roman"/>
                <w:lang w:val="en-GB"/>
              </w:rPr>
              <w:t>Padidėjusio</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jautrumo</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reakcija</w:t>
            </w:r>
            <w:proofErr w:type="spellEnd"/>
            <w:r w:rsidRPr="00DF5828">
              <w:rPr>
                <w:rFonts w:ascii="Times New Roman" w:hAnsi="Times New Roman"/>
                <w:color w:val="000000"/>
                <w:lang w:val="hu-HU"/>
              </w:rPr>
              <w:t>†</w:t>
            </w:r>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bronchospazmas</w:t>
            </w:r>
            <w:proofErr w:type="spellEnd"/>
            <w:r w:rsidRPr="00DF5828">
              <w:rPr>
                <w:rFonts w:ascii="Times New Roman" w:hAnsi="Times New Roman"/>
                <w:color w:val="000000"/>
                <w:lang w:val="hu-HU"/>
              </w:rPr>
              <w:t>†</w:t>
            </w:r>
            <w:r w:rsidRPr="00DF5828">
              <w:rPr>
                <w:rFonts w:ascii="Times New Roman" w:eastAsia="Times New Roman" w:hAnsi="Times New Roman"/>
                <w:lang w:val="en-GB"/>
              </w:rPr>
              <w:t>, angioedema</w:t>
            </w:r>
            <w:r w:rsidRPr="00DF5828">
              <w:rPr>
                <w:rFonts w:ascii="Times New Roman" w:hAnsi="Times New Roman"/>
                <w:color w:val="000000"/>
                <w:lang w:val="hu-HU"/>
              </w:rPr>
              <w:t>†</w:t>
            </w:r>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anafilaksinė</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reakcija</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ar</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šokas</w:t>
            </w:r>
            <w:proofErr w:type="spellEnd"/>
            <w:r w:rsidRPr="00DF5828">
              <w:rPr>
                <w:rFonts w:ascii="Times New Roman" w:hAnsi="Times New Roman"/>
                <w:color w:val="000000"/>
                <w:lang w:val="hu-HU"/>
              </w:rPr>
              <w:t>†</w:t>
            </w:r>
            <w:r w:rsidRPr="000F1EAC">
              <w:rPr>
                <w:rFonts w:ascii="Times New Roman" w:hAnsi="Times New Roman"/>
              </w:rPr>
              <w:t>**</w:t>
            </w:r>
          </w:p>
        </w:tc>
        <w:tc>
          <w:tcPr>
            <w:tcW w:w="1559" w:type="dxa"/>
          </w:tcPr>
          <w:p w:rsidR="00DF5828" w:rsidRPr="00DF5828" w:rsidRDefault="00DF5828" w:rsidP="00DF5828">
            <w:pPr>
              <w:tabs>
                <w:tab w:val="left" w:pos="567"/>
              </w:tabs>
              <w:spacing w:after="0" w:line="260" w:lineRule="exact"/>
              <w:rPr>
                <w:rFonts w:ascii="Times New Roman" w:eastAsia="Times New Roman" w:hAnsi="Times New Roman"/>
                <w:lang w:val="en-GB"/>
              </w:rPr>
            </w:pPr>
            <w:proofErr w:type="spellStart"/>
            <w:r w:rsidRPr="00DF5828">
              <w:rPr>
                <w:rFonts w:ascii="Times New Roman" w:eastAsia="Times New Roman" w:hAnsi="Times New Roman"/>
                <w:lang w:val="en-GB"/>
              </w:rPr>
              <w:t>Astmos</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paūmėjimas</w:t>
            </w:r>
            <w:proofErr w:type="spellEnd"/>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r w:rsidRPr="000F1EAC">
              <w:rPr>
                <w:rFonts w:ascii="Times New Roman" w:hAnsi="Times New Roman"/>
                <w:lang w:val="it-IT"/>
              </w:rPr>
              <w:t>Metabolizmo ir mitybos sutrikimai</w:t>
            </w:r>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DF5828">
              <w:rPr>
                <w:rFonts w:ascii="Times New Roman" w:eastAsia="Times New Roman" w:hAnsi="Times New Roman"/>
                <w:lang w:val="en-GB"/>
              </w:rPr>
              <w:t>Hipokalcemija</w:t>
            </w:r>
            <w:proofErr w:type="spellEnd"/>
            <w:r w:rsidRPr="00DF5828">
              <w:rPr>
                <w:rFonts w:ascii="Times New Roman" w:eastAsia="Times New Roman" w:hAnsi="Times New Roman"/>
                <w:lang w:val="en-GB"/>
              </w:rPr>
              <w:t>**</w:t>
            </w: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c>
          <w:tcPr>
            <w:tcW w:w="1417" w:type="dxa"/>
          </w:tcPr>
          <w:p w:rsidR="00DF5828" w:rsidRPr="000F1EAC" w:rsidRDefault="00DF5828" w:rsidP="00DF5828">
            <w:pPr>
              <w:tabs>
                <w:tab w:val="left" w:pos="567"/>
              </w:tabs>
              <w:spacing w:after="0" w:line="260" w:lineRule="exact"/>
              <w:rPr>
                <w:rFonts w:ascii="Times New Roman" w:hAnsi="Times New Roman"/>
                <w:lang w:val="en-GB"/>
              </w:rPr>
            </w:pPr>
          </w:p>
        </w:tc>
        <w:tc>
          <w:tcPr>
            <w:tcW w:w="1560"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r w:rsidRPr="000F1EAC">
              <w:rPr>
                <w:rFonts w:ascii="Times New Roman" w:hAnsi="Times New Roman"/>
                <w:lang w:val="it-IT"/>
              </w:rPr>
              <w:t>Nervų sistemos sutrikimai</w:t>
            </w:r>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pl-PL"/>
              </w:rPr>
            </w:pPr>
            <w:r w:rsidRPr="000F1EAC">
              <w:rPr>
                <w:rFonts w:ascii="Times New Roman" w:hAnsi="Times New Roman"/>
                <w:lang w:val="pl-PL"/>
              </w:rPr>
              <w:t>Parestezija, disgeuzija (skonio jutimo sutrikimas)</w:t>
            </w:r>
          </w:p>
        </w:tc>
        <w:tc>
          <w:tcPr>
            <w:tcW w:w="1417" w:type="dxa"/>
          </w:tcPr>
          <w:p w:rsidR="00DF5828" w:rsidRPr="000F1EAC" w:rsidRDefault="00DF5828" w:rsidP="00DF5828">
            <w:pPr>
              <w:tabs>
                <w:tab w:val="left" w:pos="567"/>
              </w:tabs>
              <w:spacing w:after="0" w:line="260" w:lineRule="exact"/>
              <w:rPr>
                <w:rFonts w:ascii="Times New Roman" w:hAnsi="Times New Roman"/>
                <w:lang w:val="pl-PL"/>
              </w:rPr>
            </w:pPr>
          </w:p>
        </w:tc>
        <w:tc>
          <w:tcPr>
            <w:tcW w:w="1560" w:type="dxa"/>
          </w:tcPr>
          <w:p w:rsidR="00DF5828" w:rsidRPr="000F1EAC" w:rsidRDefault="00DF5828" w:rsidP="00DF5828">
            <w:pPr>
              <w:tabs>
                <w:tab w:val="left" w:pos="567"/>
              </w:tabs>
              <w:spacing w:after="0" w:line="260" w:lineRule="exact"/>
              <w:rPr>
                <w:rFonts w:ascii="Times New Roman" w:hAnsi="Times New Roman"/>
                <w:lang w:val="pl-PL"/>
              </w:rPr>
            </w:pPr>
          </w:p>
        </w:tc>
        <w:tc>
          <w:tcPr>
            <w:tcW w:w="1559" w:type="dxa"/>
          </w:tcPr>
          <w:p w:rsidR="00DF5828" w:rsidRPr="000F1EAC" w:rsidRDefault="00DF5828" w:rsidP="00DF5828">
            <w:pPr>
              <w:tabs>
                <w:tab w:val="left" w:pos="567"/>
              </w:tabs>
              <w:spacing w:after="0" w:line="260" w:lineRule="exact"/>
              <w:rPr>
                <w:rFonts w:ascii="Times New Roman" w:hAnsi="Times New Roman"/>
                <w:lang w:val="pl-PL"/>
              </w:rPr>
            </w:pPr>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Akių</w:t>
            </w:r>
            <w:proofErr w:type="spellEnd"/>
            <w:r w:rsidRPr="000F1EAC">
              <w:rPr>
                <w:rFonts w:ascii="Times New Roman" w:hAnsi="Times New Roman"/>
                <w:lang w:val="en-GB"/>
              </w:rPr>
              <w:t xml:space="preserve"> </w:t>
            </w:r>
            <w:proofErr w:type="spellStart"/>
            <w:r w:rsidRPr="000F1EAC">
              <w:rPr>
                <w:rFonts w:ascii="Times New Roman" w:hAnsi="Times New Roman"/>
                <w:lang w:val="en-GB"/>
              </w:rPr>
              <w:t>sutrikimai</w:t>
            </w:r>
            <w:proofErr w:type="spellEnd"/>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c>
          <w:tcPr>
            <w:tcW w:w="1417" w:type="dxa"/>
          </w:tcPr>
          <w:p w:rsidR="00DF5828" w:rsidRPr="000F1EAC" w:rsidRDefault="00DF5828" w:rsidP="00DF5828">
            <w:pPr>
              <w:autoSpaceDE w:val="0"/>
              <w:autoSpaceDN w:val="0"/>
              <w:adjustRightInd w:val="0"/>
              <w:spacing w:after="0" w:line="240" w:lineRule="auto"/>
              <w:rPr>
                <w:rFonts w:ascii="Times New Roman" w:hAnsi="Times New Roman"/>
                <w:color w:val="000000"/>
                <w:lang w:val="hu-HU"/>
              </w:rPr>
            </w:pPr>
            <w:r w:rsidRPr="000F1EAC">
              <w:rPr>
                <w:rFonts w:ascii="Times New Roman" w:hAnsi="Times New Roman"/>
                <w:color w:val="000000"/>
                <w:lang w:val="hu-HU"/>
              </w:rPr>
              <w:t xml:space="preserve">Akių uždegimas**† </w:t>
            </w:r>
          </w:p>
          <w:p w:rsidR="00DF5828" w:rsidRPr="000F1EAC" w:rsidRDefault="00DF5828" w:rsidP="00DF5828">
            <w:pPr>
              <w:tabs>
                <w:tab w:val="left" w:pos="567"/>
              </w:tabs>
              <w:spacing w:after="0" w:line="260" w:lineRule="exact"/>
              <w:rPr>
                <w:rFonts w:ascii="Times New Roman" w:hAnsi="Times New Roman"/>
                <w:lang w:val="en-GB"/>
              </w:rPr>
            </w:pPr>
          </w:p>
        </w:tc>
        <w:tc>
          <w:tcPr>
            <w:tcW w:w="1560"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r w:rsidRPr="000F1EAC">
              <w:rPr>
                <w:rFonts w:ascii="Times New Roman" w:hAnsi="Times New Roman"/>
                <w:lang w:val="it-IT"/>
              </w:rPr>
              <w:t>Virškinimo trakto sutrikimai</w:t>
            </w:r>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Ezofagitas</w:t>
            </w:r>
            <w:proofErr w:type="spellEnd"/>
            <w:r w:rsidRPr="000F1EAC">
              <w:rPr>
                <w:rFonts w:ascii="Times New Roman" w:hAnsi="Times New Roman"/>
                <w:lang w:val="en-GB"/>
              </w:rPr>
              <w:t xml:space="preserve">, </w:t>
            </w:r>
            <w:proofErr w:type="spellStart"/>
            <w:r w:rsidRPr="000F1EAC">
              <w:rPr>
                <w:rFonts w:ascii="Times New Roman" w:hAnsi="Times New Roman"/>
                <w:lang w:val="en-GB"/>
              </w:rPr>
              <w:t>pilvo</w:t>
            </w:r>
            <w:proofErr w:type="spellEnd"/>
            <w:r w:rsidRPr="000F1EAC">
              <w:rPr>
                <w:rFonts w:ascii="Times New Roman" w:hAnsi="Times New Roman"/>
                <w:lang w:val="en-GB"/>
              </w:rPr>
              <w:t xml:space="preserve"> </w:t>
            </w:r>
            <w:proofErr w:type="spellStart"/>
            <w:r w:rsidRPr="000F1EAC">
              <w:rPr>
                <w:rFonts w:ascii="Times New Roman" w:hAnsi="Times New Roman"/>
                <w:lang w:val="en-GB"/>
              </w:rPr>
              <w:t>skausmas</w:t>
            </w:r>
            <w:proofErr w:type="spellEnd"/>
            <w:r w:rsidRPr="000F1EAC">
              <w:rPr>
                <w:rFonts w:ascii="Times New Roman" w:hAnsi="Times New Roman"/>
                <w:lang w:val="en-GB"/>
              </w:rPr>
              <w:t xml:space="preserve">, </w:t>
            </w:r>
            <w:proofErr w:type="spellStart"/>
            <w:r w:rsidRPr="000F1EAC">
              <w:rPr>
                <w:rFonts w:ascii="Times New Roman" w:hAnsi="Times New Roman"/>
                <w:lang w:val="en-GB"/>
              </w:rPr>
              <w:t>dispepsija</w:t>
            </w:r>
            <w:proofErr w:type="spellEnd"/>
            <w:r w:rsidRPr="000F1EAC">
              <w:rPr>
                <w:rFonts w:ascii="Times New Roman" w:hAnsi="Times New Roman"/>
                <w:lang w:val="en-GB"/>
              </w:rPr>
              <w:t xml:space="preserve">, </w:t>
            </w:r>
            <w:proofErr w:type="spellStart"/>
            <w:r w:rsidRPr="000F1EAC">
              <w:rPr>
                <w:rFonts w:ascii="Times New Roman" w:hAnsi="Times New Roman"/>
                <w:lang w:val="en-GB"/>
              </w:rPr>
              <w:t>pykinimas</w:t>
            </w:r>
            <w:proofErr w:type="spellEnd"/>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DF5828">
              <w:rPr>
                <w:rFonts w:ascii="Times New Roman" w:eastAsia="Times New Roman" w:hAnsi="Times New Roman"/>
                <w:lang w:val="en-GB"/>
              </w:rPr>
              <w:t>Hemoragijos</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dvylikapirštės</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žarnos</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opa</w:t>
            </w:r>
            <w:proofErr w:type="spellEnd"/>
            <w:r w:rsidRPr="00DF5828">
              <w:rPr>
                <w:rFonts w:ascii="Times New Roman" w:eastAsia="Times New Roman" w:hAnsi="Times New Roman"/>
                <w:lang w:val="en-GB"/>
              </w:rPr>
              <w:t xml:space="preserve">, gastritis, </w:t>
            </w:r>
            <w:proofErr w:type="spellStart"/>
            <w:r w:rsidRPr="00DF5828">
              <w:rPr>
                <w:rFonts w:ascii="Times New Roman" w:eastAsia="Times New Roman" w:hAnsi="Times New Roman"/>
                <w:lang w:val="en-GB"/>
              </w:rPr>
              <w:t>disfagija</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burnos</w:t>
            </w:r>
            <w:proofErr w:type="spellEnd"/>
            <w:r w:rsidRPr="00DF5828">
              <w:rPr>
                <w:rFonts w:ascii="Times New Roman" w:eastAsia="Times New Roman" w:hAnsi="Times New Roman"/>
                <w:lang w:val="en-GB"/>
              </w:rPr>
              <w:t xml:space="preserve"> </w:t>
            </w:r>
            <w:proofErr w:type="spellStart"/>
            <w:r w:rsidRPr="00DF5828">
              <w:rPr>
                <w:rFonts w:ascii="Times New Roman" w:eastAsia="Times New Roman" w:hAnsi="Times New Roman"/>
                <w:lang w:val="en-GB"/>
              </w:rPr>
              <w:t>džiūvimas</w:t>
            </w:r>
            <w:proofErr w:type="spellEnd"/>
          </w:p>
        </w:tc>
        <w:tc>
          <w:tcPr>
            <w:tcW w:w="1417" w:type="dxa"/>
          </w:tcPr>
          <w:p w:rsidR="00DF5828" w:rsidRPr="000F1EAC" w:rsidRDefault="00DF5828" w:rsidP="00DF5828">
            <w:pPr>
              <w:tabs>
                <w:tab w:val="left" w:pos="567"/>
              </w:tabs>
              <w:spacing w:after="0" w:line="260" w:lineRule="exact"/>
              <w:rPr>
                <w:rFonts w:ascii="Times New Roman" w:hAnsi="Times New Roman"/>
                <w:lang w:val="en-GB"/>
              </w:rPr>
            </w:pPr>
          </w:p>
        </w:tc>
        <w:tc>
          <w:tcPr>
            <w:tcW w:w="1560"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r w:rsidRPr="000F1EAC">
              <w:rPr>
                <w:rFonts w:ascii="Times New Roman" w:hAnsi="Times New Roman"/>
                <w:lang w:val="it-IT"/>
              </w:rPr>
              <w:t>Odos ir poodinio audinio sutrikimai</w:t>
            </w:r>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Niež</w:t>
            </w:r>
            <w:r w:rsidR="00B43CE5" w:rsidRPr="000F1EAC">
              <w:rPr>
                <w:rFonts w:ascii="Times New Roman" w:hAnsi="Times New Roman"/>
                <w:lang w:val="en-GB"/>
              </w:rPr>
              <w:t>ėjimas</w:t>
            </w:r>
            <w:proofErr w:type="spellEnd"/>
          </w:p>
        </w:tc>
        <w:tc>
          <w:tcPr>
            <w:tcW w:w="1417" w:type="dxa"/>
          </w:tcPr>
          <w:p w:rsidR="00DF5828" w:rsidRPr="000F1EAC" w:rsidRDefault="00DF5828" w:rsidP="00DF5828">
            <w:pPr>
              <w:tabs>
                <w:tab w:val="left" w:pos="567"/>
              </w:tabs>
              <w:spacing w:after="0" w:line="260" w:lineRule="exact"/>
              <w:rPr>
                <w:rFonts w:ascii="Times New Roman" w:hAnsi="Times New Roman"/>
                <w:lang w:val="en-GB"/>
              </w:rPr>
            </w:pPr>
          </w:p>
        </w:tc>
        <w:tc>
          <w:tcPr>
            <w:tcW w:w="1560" w:type="dxa"/>
          </w:tcPr>
          <w:p w:rsidR="00DF5828" w:rsidRPr="000F1EAC" w:rsidRDefault="00DF78D7" w:rsidP="00DF5828">
            <w:pPr>
              <w:tabs>
                <w:tab w:val="left" w:pos="567"/>
              </w:tabs>
              <w:spacing w:after="0" w:line="260" w:lineRule="exact"/>
              <w:rPr>
                <w:rFonts w:ascii="Times New Roman" w:hAnsi="Times New Roman"/>
              </w:rPr>
            </w:pPr>
            <w:proofErr w:type="spellStart"/>
            <w:r w:rsidRPr="000F1EAC">
              <w:rPr>
                <w:rFonts w:ascii="Times New Roman" w:hAnsi="Times New Roman"/>
                <w:lang w:val="en-GB"/>
              </w:rPr>
              <w:t>Stivenso</w:t>
            </w:r>
            <w:proofErr w:type="spellEnd"/>
            <w:r w:rsidRPr="000F1EAC">
              <w:rPr>
                <w:rFonts w:ascii="Times New Roman" w:hAnsi="Times New Roman"/>
                <w:lang w:val="en-GB"/>
              </w:rPr>
              <w:t>-D</w:t>
            </w:r>
            <w:r w:rsidRPr="000F1EAC">
              <w:rPr>
                <w:rFonts w:ascii="Times New Roman" w:hAnsi="Times New Roman"/>
                <w:lang w:val="lt-LT"/>
              </w:rPr>
              <w:t>ž</w:t>
            </w:r>
            <w:proofErr w:type="spellStart"/>
            <w:r w:rsidRPr="000F1EAC">
              <w:rPr>
                <w:rFonts w:ascii="Times New Roman" w:hAnsi="Times New Roman"/>
              </w:rPr>
              <w:t>onsono</w:t>
            </w:r>
            <w:proofErr w:type="spellEnd"/>
            <w:r w:rsidRPr="000F1EAC">
              <w:rPr>
                <w:rFonts w:ascii="Times New Roman" w:hAnsi="Times New Roman"/>
              </w:rPr>
              <w:t xml:space="preserve"> (</w:t>
            </w:r>
            <w:proofErr w:type="spellStart"/>
            <w:r w:rsidRPr="000F1EAC">
              <w:rPr>
                <w:rFonts w:ascii="Times New Roman" w:hAnsi="Times New Roman"/>
                <w:i/>
              </w:rPr>
              <w:t>Stivens</w:t>
            </w:r>
            <w:proofErr w:type="spellEnd"/>
            <w:r w:rsidRPr="000F1EAC">
              <w:rPr>
                <w:rFonts w:ascii="Times New Roman" w:hAnsi="Times New Roman"/>
                <w:i/>
              </w:rPr>
              <w:t xml:space="preserve">-Johnson) </w:t>
            </w:r>
            <w:proofErr w:type="spellStart"/>
            <w:r w:rsidRPr="000F1EAC">
              <w:rPr>
                <w:rFonts w:ascii="Times New Roman" w:hAnsi="Times New Roman"/>
                <w:i/>
              </w:rPr>
              <w:t>sindromas</w:t>
            </w:r>
            <w:proofErr w:type="spellEnd"/>
            <w:r w:rsidRPr="000F1EAC">
              <w:rPr>
                <w:rFonts w:ascii="Times New Roman" w:hAnsi="Times New Roman"/>
                <w:color w:val="000000"/>
                <w:lang w:val="hu-HU"/>
              </w:rPr>
              <w:t>†</w:t>
            </w:r>
            <w:r w:rsidRPr="000F1EAC">
              <w:rPr>
                <w:rFonts w:ascii="Times New Roman" w:hAnsi="Times New Roman"/>
                <w:i/>
              </w:rPr>
              <w:t xml:space="preserve">, </w:t>
            </w:r>
            <w:r w:rsidRPr="000F1EAC">
              <w:rPr>
                <w:rFonts w:ascii="Times New Roman" w:hAnsi="Times New Roman"/>
              </w:rPr>
              <w:t>multiform</w:t>
            </w:r>
            <w:r w:rsidRPr="000F1EAC">
              <w:rPr>
                <w:rFonts w:ascii="Times New Roman" w:hAnsi="Times New Roman"/>
                <w:lang w:val="lt-LT"/>
              </w:rPr>
              <w:t xml:space="preserve">ė </w:t>
            </w:r>
            <w:proofErr w:type="spellStart"/>
            <w:r w:rsidRPr="000F1EAC">
              <w:rPr>
                <w:rFonts w:ascii="Times New Roman" w:hAnsi="Times New Roman"/>
                <w:lang w:val="lt-LT"/>
              </w:rPr>
              <w:t>eritema</w:t>
            </w:r>
            <w:proofErr w:type="spellEnd"/>
            <w:r w:rsidRPr="000F1EAC">
              <w:rPr>
                <w:rFonts w:ascii="Times New Roman" w:hAnsi="Times New Roman"/>
                <w:color w:val="000000"/>
                <w:lang w:val="hu-HU"/>
              </w:rPr>
              <w:t>†</w:t>
            </w:r>
            <w:r w:rsidRPr="000F1EAC">
              <w:rPr>
                <w:rFonts w:ascii="Times New Roman" w:hAnsi="Times New Roman"/>
                <w:lang w:val="lt-LT"/>
              </w:rPr>
              <w:t>,</w:t>
            </w:r>
            <w:r w:rsidRPr="000F1EAC">
              <w:rPr>
                <w:rFonts w:ascii="Times New Roman" w:hAnsi="Times New Roman"/>
                <w:i/>
              </w:rPr>
              <w:t xml:space="preserve"> </w:t>
            </w:r>
            <w:proofErr w:type="spellStart"/>
            <w:r w:rsidRPr="000F1EAC">
              <w:rPr>
                <w:rFonts w:ascii="Times New Roman" w:hAnsi="Times New Roman"/>
              </w:rPr>
              <w:t>pūslinis</w:t>
            </w:r>
            <w:proofErr w:type="spellEnd"/>
            <w:r w:rsidRPr="000F1EAC">
              <w:rPr>
                <w:rFonts w:ascii="Times New Roman" w:hAnsi="Times New Roman"/>
              </w:rPr>
              <w:t xml:space="preserve"> </w:t>
            </w:r>
            <w:proofErr w:type="spellStart"/>
            <w:r w:rsidRPr="000F1EAC">
              <w:rPr>
                <w:rFonts w:ascii="Times New Roman" w:hAnsi="Times New Roman"/>
              </w:rPr>
              <w:t>dermatitas</w:t>
            </w:r>
            <w:proofErr w:type="spellEnd"/>
            <w:r w:rsidRPr="000F1EAC">
              <w:rPr>
                <w:rFonts w:ascii="Times New Roman" w:hAnsi="Times New Roman"/>
                <w:color w:val="000000"/>
                <w:lang w:val="hu-HU"/>
              </w:rPr>
              <w:t>†</w:t>
            </w: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r w:rsidRPr="000F1EAC">
              <w:rPr>
                <w:rFonts w:ascii="Times New Roman" w:hAnsi="Times New Roman"/>
                <w:lang w:val="it-IT"/>
              </w:rPr>
              <w:t>Skeleto, raumenų ir jungiamojo audinio sutrikimai</w:t>
            </w:r>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c>
          <w:tcPr>
            <w:tcW w:w="1417" w:type="dxa"/>
          </w:tcPr>
          <w:p w:rsidR="00DF5828" w:rsidRPr="000F1EAC" w:rsidRDefault="00DF5828" w:rsidP="00DF5828">
            <w:pPr>
              <w:autoSpaceDE w:val="0"/>
              <w:autoSpaceDN w:val="0"/>
              <w:adjustRightInd w:val="0"/>
              <w:spacing w:after="0" w:line="240" w:lineRule="auto"/>
              <w:rPr>
                <w:rFonts w:ascii="Times New Roman" w:hAnsi="Times New Roman"/>
                <w:lang w:val="en-GB"/>
              </w:rPr>
            </w:pPr>
            <w:r w:rsidRPr="000F1EAC">
              <w:rPr>
                <w:rFonts w:ascii="Times New Roman" w:hAnsi="Times New Roman"/>
                <w:color w:val="000000"/>
                <w:lang w:val="hu-HU"/>
              </w:rPr>
              <w:t xml:space="preserve">Atipiniai šlaunikaulio pogūbriniai ir diafizės lūžiai † </w:t>
            </w:r>
          </w:p>
        </w:tc>
        <w:tc>
          <w:tcPr>
            <w:tcW w:w="1560" w:type="dxa"/>
          </w:tcPr>
          <w:p w:rsidR="00DF5828" w:rsidRPr="000F1EAC" w:rsidRDefault="00DF5828" w:rsidP="00DF5828">
            <w:pPr>
              <w:autoSpaceDE w:val="0"/>
              <w:autoSpaceDN w:val="0"/>
              <w:adjustRightInd w:val="0"/>
              <w:spacing w:after="0" w:line="240" w:lineRule="auto"/>
              <w:rPr>
                <w:rFonts w:ascii="Times New Roman" w:hAnsi="Times New Roman"/>
                <w:color w:val="000000"/>
                <w:lang w:val="hu-HU"/>
              </w:rPr>
            </w:pPr>
            <w:r w:rsidRPr="000F1EAC">
              <w:rPr>
                <w:rFonts w:ascii="Times New Roman" w:hAnsi="Times New Roman"/>
                <w:color w:val="000000"/>
                <w:lang w:val="hu-HU"/>
              </w:rPr>
              <w:t xml:space="preserve">Žandikaulio osteonekrozė**† </w:t>
            </w:r>
          </w:p>
          <w:p w:rsidR="00DF5828" w:rsidRPr="000F1EAC" w:rsidRDefault="00E700F7" w:rsidP="00DF5828">
            <w:pPr>
              <w:tabs>
                <w:tab w:val="left" w:pos="567"/>
              </w:tabs>
              <w:spacing w:after="0" w:line="260" w:lineRule="exact"/>
              <w:rPr>
                <w:rFonts w:ascii="Times New Roman" w:hAnsi="Times New Roman"/>
                <w:lang w:val="en-GB"/>
              </w:rPr>
            </w:pPr>
            <w:r>
              <w:rPr>
                <w:rFonts w:ascii="Times New Roman" w:hAnsi="Times New Roman"/>
                <w:lang w:val="lt-LT"/>
              </w:rPr>
              <w:t>I</w:t>
            </w:r>
            <w:r w:rsidR="00D55794" w:rsidRPr="001312AB">
              <w:rPr>
                <w:rFonts w:ascii="Times New Roman" w:hAnsi="Times New Roman"/>
                <w:lang w:val="lt-LT"/>
              </w:rPr>
              <w:t>šorinio ausies k</w:t>
            </w:r>
            <w:r w:rsidR="00D55794">
              <w:rPr>
                <w:rFonts w:ascii="Times New Roman" w:hAnsi="Times New Roman"/>
                <w:lang w:val="lt-LT"/>
              </w:rPr>
              <w:t xml:space="preserve">analo </w:t>
            </w:r>
            <w:proofErr w:type="spellStart"/>
            <w:r w:rsidR="00D55794">
              <w:rPr>
                <w:rFonts w:ascii="Times New Roman" w:hAnsi="Times New Roman"/>
                <w:lang w:val="lt-LT"/>
              </w:rPr>
              <w:t>osteonekrozė</w:t>
            </w:r>
            <w:proofErr w:type="spellEnd"/>
            <w:r w:rsidR="00D55794">
              <w:rPr>
                <w:rFonts w:ascii="Times New Roman" w:hAnsi="Times New Roman"/>
                <w:lang w:val="lt-LT"/>
              </w:rPr>
              <w:t xml:space="preserve"> (</w:t>
            </w:r>
            <w:proofErr w:type="spellStart"/>
            <w:r w:rsidR="00D55794">
              <w:rPr>
                <w:rFonts w:ascii="Times New Roman" w:hAnsi="Times New Roman"/>
                <w:lang w:val="lt-LT"/>
              </w:rPr>
              <w:t>bisfosfonatų</w:t>
            </w:r>
            <w:proofErr w:type="spellEnd"/>
            <w:r w:rsidR="00D55794" w:rsidRPr="001312AB">
              <w:rPr>
                <w:rFonts w:ascii="Times New Roman" w:hAnsi="Times New Roman"/>
                <w:lang w:val="lt-LT"/>
              </w:rPr>
              <w:t xml:space="preserve"> grupės vaistams būdinga nepageidaujama reakcija)</w:t>
            </w:r>
          </w:p>
        </w:tc>
        <w:tc>
          <w:tcPr>
            <w:tcW w:w="1559" w:type="dxa"/>
          </w:tcPr>
          <w:p w:rsidR="00DF5828" w:rsidRPr="000F1EAC" w:rsidRDefault="00DF5828" w:rsidP="00DF5828">
            <w:pPr>
              <w:autoSpaceDE w:val="0"/>
              <w:autoSpaceDN w:val="0"/>
              <w:adjustRightInd w:val="0"/>
              <w:spacing w:after="0" w:line="240" w:lineRule="auto"/>
              <w:rPr>
                <w:rFonts w:ascii="Times New Roman" w:hAnsi="Times New Roman"/>
                <w:color w:val="000000"/>
                <w:lang w:val="hu-HU"/>
              </w:rPr>
            </w:pPr>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r w:rsidRPr="000F1EAC">
              <w:rPr>
                <w:rFonts w:ascii="Times New Roman" w:hAnsi="Times New Roman"/>
                <w:lang w:val="it-IT"/>
              </w:rPr>
              <w:t>Inkstų ir šlapimo takų sutrikimai</w:t>
            </w:r>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Azotemija</w:t>
            </w:r>
            <w:proofErr w:type="spellEnd"/>
            <w:r w:rsidRPr="000F1EAC">
              <w:rPr>
                <w:rFonts w:ascii="Times New Roman" w:hAnsi="Times New Roman"/>
                <w:lang w:val="en-GB"/>
              </w:rPr>
              <w:t xml:space="preserve"> (</w:t>
            </w:r>
            <w:proofErr w:type="spellStart"/>
            <w:r w:rsidRPr="000F1EAC">
              <w:rPr>
                <w:rFonts w:ascii="Times New Roman" w:hAnsi="Times New Roman"/>
                <w:lang w:val="en-GB"/>
              </w:rPr>
              <w:t>uremija</w:t>
            </w:r>
            <w:proofErr w:type="spellEnd"/>
            <w:r w:rsidRPr="000F1EAC">
              <w:rPr>
                <w:rFonts w:ascii="Times New Roman" w:hAnsi="Times New Roman"/>
                <w:lang w:val="en-GB"/>
              </w:rPr>
              <w:t>)</w:t>
            </w:r>
          </w:p>
        </w:tc>
        <w:tc>
          <w:tcPr>
            <w:tcW w:w="1417" w:type="dxa"/>
          </w:tcPr>
          <w:p w:rsidR="00DF5828" w:rsidRPr="000F1EAC" w:rsidRDefault="00DF5828" w:rsidP="00DF5828">
            <w:pPr>
              <w:tabs>
                <w:tab w:val="left" w:pos="567"/>
              </w:tabs>
              <w:spacing w:after="0" w:line="260" w:lineRule="exact"/>
              <w:rPr>
                <w:rFonts w:ascii="Times New Roman" w:hAnsi="Times New Roman"/>
                <w:lang w:val="en-GB"/>
              </w:rPr>
            </w:pPr>
          </w:p>
        </w:tc>
        <w:tc>
          <w:tcPr>
            <w:tcW w:w="1560"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r w:rsidRPr="000F1EAC">
              <w:rPr>
                <w:rFonts w:ascii="Times New Roman" w:hAnsi="Times New Roman"/>
                <w:lang w:val="it-IT"/>
              </w:rPr>
              <w:t>Bendrieji sutrikimai ir vartojimo vietos pažeidimai</w:t>
            </w:r>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Astenija</w:t>
            </w:r>
            <w:proofErr w:type="spellEnd"/>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Krūtinės</w:t>
            </w:r>
            <w:proofErr w:type="spellEnd"/>
            <w:r w:rsidRPr="000F1EAC">
              <w:rPr>
                <w:rFonts w:ascii="Times New Roman" w:hAnsi="Times New Roman"/>
                <w:lang w:val="en-GB"/>
              </w:rPr>
              <w:t xml:space="preserve"> </w:t>
            </w:r>
            <w:proofErr w:type="spellStart"/>
            <w:r w:rsidRPr="000F1EAC">
              <w:rPr>
                <w:rFonts w:ascii="Times New Roman" w:hAnsi="Times New Roman"/>
                <w:lang w:val="en-GB"/>
              </w:rPr>
              <w:t>skausmas</w:t>
            </w:r>
            <w:proofErr w:type="spellEnd"/>
            <w:r w:rsidRPr="000F1EAC">
              <w:rPr>
                <w:rFonts w:ascii="Times New Roman" w:hAnsi="Times New Roman"/>
                <w:lang w:val="en-GB"/>
              </w:rPr>
              <w:t xml:space="preserve">, į </w:t>
            </w:r>
            <w:proofErr w:type="spellStart"/>
            <w:r w:rsidRPr="000F1EAC">
              <w:rPr>
                <w:rFonts w:ascii="Times New Roman" w:hAnsi="Times New Roman"/>
                <w:lang w:val="en-GB"/>
              </w:rPr>
              <w:t>gripą</w:t>
            </w:r>
            <w:proofErr w:type="spellEnd"/>
            <w:r w:rsidRPr="000F1EAC">
              <w:rPr>
                <w:rFonts w:ascii="Times New Roman" w:hAnsi="Times New Roman"/>
                <w:lang w:val="en-GB"/>
              </w:rPr>
              <w:t xml:space="preserve"> </w:t>
            </w:r>
            <w:proofErr w:type="spellStart"/>
            <w:r w:rsidRPr="000F1EAC">
              <w:rPr>
                <w:rFonts w:ascii="Times New Roman" w:hAnsi="Times New Roman"/>
                <w:lang w:val="en-GB"/>
              </w:rPr>
              <w:t>panaši</w:t>
            </w:r>
            <w:proofErr w:type="spellEnd"/>
            <w:r w:rsidRPr="000F1EAC">
              <w:rPr>
                <w:rFonts w:ascii="Times New Roman" w:hAnsi="Times New Roman"/>
                <w:lang w:val="en-GB"/>
              </w:rPr>
              <w:t xml:space="preserve"> </w:t>
            </w:r>
            <w:proofErr w:type="spellStart"/>
            <w:r w:rsidRPr="000F1EAC">
              <w:rPr>
                <w:rFonts w:ascii="Times New Roman" w:hAnsi="Times New Roman"/>
                <w:lang w:val="en-GB"/>
              </w:rPr>
              <w:t>liga</w:t>
            </w:r>
            <w:proofErr w:type="spellEnd"/>
            <w:r w:rsidRPr="000F1EAC">
              <w:rPr>
                <w:rFonts w:ascii="Times New Roman" w:hAnsi="Times New Roman"/>
                <w:lang w:val="en-GB"/>
              </w:rPr>
              <w:t xml:space="preserve">, </w:t>
            </w:r>
            <w:proofErr w:type="spellStart"/>
            <w:r w:rsidRPr="000F1EAC">
              <w:rPr>
                <w:rFonts w:ascii="Times New Roman" w:hAnsi="Times New Roman"/>
                <w:lang w:val="en-GB"/>
              </w:rPr>
              <w:t>negalavimas</w:t>
            </w:r>
            <w:proofErr w:type="spellEnd"/>
            <w:r w:rsidRPr="000F1EAC">
              <w:rPr>
                <w:rFonts w:ascii="Times New Roman" w:hAnsi="Times New Roman"/>
                <w:lang w:val="en-GB"/>
              </w:rPr>
              <w:t xml:space="preserve">, </w:t>
            </w:r>
            <w:proofErr w:type="spellStart"/>
            <w:r w:rsidRPr="000F1EAC">
              <w:rPr>
                <w:rFonts w:ascii="Times New Roman" w:hAnsi="Times New Roman"/>
                <w:lang w:val="en-GB"/>
              </w:rPr>
              <w:t>skausmas</w:t>
            </w:r>
            <w:proofErr w:type="spellEnd"/>
          </w:p>
        </w:tc>
        <w:tc>
          <w:tcPr>
            <w:tcW w:w="1417" w:type="dxa"/>
          </w:tcPr>
          <w:p w:rsidR="00DF5828" w:rsidRPr="000F1EAC" w:rsidRDefault="00DF5828" w:rsidP="00DF5828">
            <w:pPr>
              <w:tabs>
                <w:tab w:val="left" w:pos="567"/>
              </w:tabs>
              <w:spacing w:after="0" w:line="260" w:lineRule="exact"/>
              <w:rPr>
                <w:rFonts w:ascii="Times New Roman" w:hAnsi="Times New Roman"/>
                <w:lang w:val="en-GB"/>
              </w:rPr>
            </w:pPr>
          </w:p>
        </w:tc>
        <w:tc>
          <w:tcPr>
            <w:tcW w:w="1560"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r>
      <w:tr w:rsidR="00DF5828" w:rsidRPr="000F1EAC" w:rsidTr="006C2504">
        <w:tc>
          <w:tcPr>
            <w:tcW w:w="1437"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Tyrimai</w:t>
            </w:r>
            <w:proofErr w:type="spellEnd"/>
          </w:p>
        </w:tc>
        <w:tc>
          <w:tcPr>
            <w:tcW w:w="1437"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roofErr w:type="spellStart"/>
            <w:r w:rsidRPr="000F1EAC">
              <w:rPr>
                <w:rFonts w:ascii="Times New Roman" w:hAnsi="Times New Roman"/>
                <w:lang w:val="en-GB"/>
              </w:rPr>
              <w:t>Paratiroidinio</w:t>
            </w:r>
            <w:proofErr w:type="spellEnd"/>
            <w:r w:rsidRPr="000F1EAC">
              <w:rPr>
                <w:rFonts w:ascii="Times New Roman" w:hAnsi="Times New Roman"/>
                <w:lang w:val="en-GB"/>
              </w:rPr>
              <w:t xml:space="preserve"> </w:t>
            </w:r>
            <w:proofErr w:type="spellStart"/>
            <w:r w:rsidRPr="000F1EAC">
              <w:rPr>
                <w:rFonts w:ascii="Times New Roman" w:hAnsi="Times New Roman"/>
                <w:lang w:val="en-GB"/>
              </w:rPr>
              <w:t>hormono</w:t>
            </w:r>
            <w:proofErr w:type="spellEnd"/>
            <w:r w:rsidRPr="000F1EAC">
              <w:rPr>
                <w:rFonts w:ascii="Times New Roman" w:hAnsi="Times New Roman"/>
                <w:lang w:val="en-GB"/>
              </w:rPr>
              <w:t xml:space="preserve"> </w:t>
            </w:r>
            <w:proofErr w:type="spellStart"/>
            <w:r w:rsidRPr="000F1EAC">
              <w:rPr>
                <w:rFonts w:ascii="Times New Roman" w:hAnsi="Times New Roman"/>
                <w:lang w:val="en-GB"/>
              </w:rPr>
              <w:t>koncentracijos</w:t>
            </w:r>
            <w:proofErr w:type="spellEnd"/>
            <w:r w:rsidRPr="000F1EAC">
              <w:rPr>
                <w:rFonts w:ascii="Times New Roman" w:hAnsi="Times New Roman"/>
                <w:lang w:val="en-GB"/>
              </w:rPr>
              <w:t xml:space="preserve"> </w:t>
            </w:r>
            <w:proofErr w:type="spellStart"/>
            <w:r w:rsidRPr="000F1EAC">
              <w:rPr>
                <w:rFonts w:ascii="Times New Roman" w:hAnsi="Times New Roman"/>
                <w:lang w:val="en-GB"/>
              </w:rPr>
              <w:t>padidėjimas</w:t>
            </w:r>
            <w:proofErr w:type="spellEnd"/>
            <w:r w:rsidRPr="000F1EAC">
              <w:rPr>
                <w:rFonts w:ascii="Times New Roman" w:hAnsi="Times New Roman"/>
                <w:lang w:val="en-GB"/>
              </w:rPr>
              <w:t xml:space="preserve"> </w:t>
            </w:r>
            <w:proofErr w:type="spellStart"/>
            <w:r w:rsidRPr="000F1EAC">
              <w:rPr>
                <w:rFonts w:ascii="Times New Roman" w:hAnsi="Times New Roman"/>
                <w:lang w:val="en-GB"/>
              </w:rPr>
              <w:t>kraujyje</w:t>
            </w:r>
            <w:proofErr w:type="spellEnd"/>
          </w:p>
        </w:tc>
        <w:tc>
          <w:tcPr>
            <w:tcW w:w="1417" w:type="dxa"/>
          </w:tcPr>
          <w:p w:rsidR="00DF5828" w:rsidRPr="000F1EAC" w:rsidRDefault="00DF5828" w:rsidP="00DF5828">
            <w:pPr>
              <w:tabs>
                <w:tab w:val="left" w:pos="567"/>
              </w:tabs>
              <w:spacing w:after="0" w:line="260" w:lineRule="exact"/>
              <w:rPr>
                <w:rFonts w:ascii="Times New Roman" w:hAnsi="Times New Roman"/>
                <w:lang w:val="en-GB"/>
              </w:rPr>
            </w:pPr>
          </w:p>
        </w:tc>
        <w:tc>
          <w:tcPr>
            <w:tcW w:w="1560" w:type="dxa"/>
          </w:tcPr>
          <w:p w:rsidR="00DF5828" w:rsidRPr="000F1EAC" w:rsidRDefault="00DF5828" w:rsidP="00DF5828">
            <w:pPr>
              <w:tabs>
                <w:tab w:val="left" w:pos="567"/>
              </w:tabs>
              <w:spacing w:after="0" w:line="260" w:lineRule="exact"/>
              <w:rPr>
                <w:rFonts w:ascii="Times New Roman" w:hAnsi="Times New Roman"/>
                <w:lang w:val="en-GB"/>
              </w:rPr>
            </w:pPr>
          </w:p>
        </w:tc>
        <w:tc>
          <w:tcPr>
            <w:tcW w:w="1559" w:type="dxa"/>
          </w:tcPr>
          <w:p w:rsidR="00DF5828" w:rsidRPr="000F1EAC" w:rsidRDefault="00DF5828" w:rsidP="00DF5828">
            <w:pPr>
              <w:tabs>
                <w:tab w:val="left" w:pos="567"/>
              </w:tabs>
              <w:spacing w:after="0" w:line="260" w:lineRule="exact"/>
              <w:rPr>
                <w:rFonts w:ascii="Times New Roman" w:hAnsi="Times New Roman"/>
                <w:lang w:val="en-GB"/>
              </w:rPr>
            </w:pPr>
          </w:p>
        </w:tc>
      </w:tr>
    </w:tbl>
    <w:p w:rsidR="00DF5828" w:rsidRPr="00DF5828" w:rsidRDefault="00DF5828" w:rsidP="00DF5828">
      <w:pPr>
        <w:tabs>
          <w:tab w:val="left" w:pos="567"/>
        </w:tabs>
        <w:autoSpaceDE w:val="0"/>
        <w:autoSpaceDN w:val="0"/>
        <w:adjustRightInd w:val="0"/>
        <w:spacing w:after="0" w:line="260" w:lineRule="exact"/>
        <w:rPr>
          <w:rFonts w:ascii="Times New Roman" w:hAnsi="Times New Roman"/>
          <w:color w:val="000000"/>
        </w:rPr>
      </w:pPr>
      <w:r w:rsidRPr="00DF5828">
        <w:rPr>
          <w:rFonts w:ascii="Times New Roman" w:hAnsi="Times New Roman"/>
          <w:color w:val="000000"/>
        </w:rPr>
        <w:t>**</w:t>
      </w:r>
      <w:proofErr w:type="spellStart"/>
      <w:r w:rsidRPr="00DF5828">
        <w:rPr>
          <w:rFonts w:ascii="Times New Roman" w:hAnsi="Times New Roman"/>
          <w:color w:val="000000"/>
        </w:rPr>
        <w:t>Žiūrėti</w:t>
      </w:r>
      <w:proofErr w:type="spellEnd"/>
      <w:r w:rsidRPr="00DF5828">
        <w:rPr>
          <w:rFonts w:ascii="Times New Roman" w:hAnsi="Times New Roman"/>
          <w:color w:val="000000"/>
        </w:rPr>
        <w:t xml:space="preserve"> </w:t>
      </w:r>
      <w:proofErr w:type="spellStart"/>
      <w:r w:rsidRPr="00DF5828">
        <w:rPr>
          <w:rFonts w:ascii="Times New Roman" w:hAnsi="Times New Roman"/>
          <w:color w:val="000000"/>
        </w:rPr>
        <w:t>informaciją</w:t>
      </w:r>
      <w:proofErr w:type="spellEnd"/>
      <w:r w:rsidRPr="00DF5828">
        <w:rPr>
          <w:rFonts w:ascii="Times New Roman" w:hAnsi="Times New Roman"/>
          <w:color w:val="000000"/>
        </w:rPr>
        <w:t xml:space="preserve"> </w:t>
      </w:r>
      <w:proofErr w:type="spellStart"/>
      <w:r w:rsidRPr="00DF5828">
        <w:rPr>
          <w:rFonts w:ascii="Times New Roman" w:hAnsi="Times New Roman"/>
          <w:color w:val="000000"/>
        </w:rPr>
        <w:t>žemiau</w:t>
      </w:r>
      <w:proofErr w:type="spellEnd"/>
      <w:r w:rsidRPr="00DF5828">
        <w:rPr>
          <w:rFonts w:ascii="Times New Roman" w:hAnsi="Times New Roman"/>
          <w:color w:val="000000"/>
        </w:rPr>
        <w:t xml:space="preserve"> </w:t>
      </w:r>
    </w:p>
    <w:p w:rsidR="00DF5828" w:rsidRPr="00DF5828" w:rsidRDefault="00DF5828" w:rsidP="00DF5828">
      <w:pPr>
        <w:tabs>
          <w:tab w:val="left" w:pos="567"/>
        </w:tabs>
        <w:autoSpaceDE w:val="0"/>
        <w:autoSpaceDN w:val="0"/>
        <w:adjustRightInd w:val="0"/>
        <w:spacing w:after="0" w:line="260" w:lineRule="exact"/>
        <w:rPr>
          <w:rFonts w:ascii="Times New Roman" w:hAnsi="Times New Roman"/>
          <w:color w:val="000000"/>
        </w:rPr>
      </w:pPr>
      <w:r w:rsidRPr="00DF5828">
        <w:rPr>
          <w:rFonts w:ascii="Times New Roman" w:hAnsi="Times New Roman"/>
          <w:color w:val="000000"/>
        </w:rPr>
        <w:t>†</w:t>
      </w:r>
      <w:proofErr w:type="spellStart"/>
      <w:r w:rsidRPr="00DF5828">
        <w:rPr>
          <w:rFonts w:ascii="Times New Roman" w:hAnsi="Times New Roman"/>
          <w:color w:val="000000"/>
        </w:rPr>
        <w:t>Nustatyta</w:t>
      </w:r>
      <w:proofErr w:type="spellEnd"/>
      <w:r w:rsidRPr="00DF5828">
        <w:rPr>
          <w:rFonts w:ascii="Times New Roman" w:hAnsi="Times New Roman"/>
          <w:color w:val="000000"/>
        </w:rPr>
        <w:t xml:space="preserve"> </w:t>
      </w:r>
      <w:proofErr w:type="spellStart"/>
      <w:r w:rsidRPr="00DF5828">
        <w:rPr>
          <w:rFonts w:ascii="Times New Roman" w:hAnsi="Times New Roman"/>
          <w:color w:val="000000"/>
        </w:rPr>
        <w:t>vaistui</w:t>
      </w:r>
      <w:proofErr w:type="spellEnd"/>
      <w:r w:rsidRPr="00DF5828">
        <w:rPr>
          <w:rFonts w:ascii="Times New Roman" w:hAnsi="Times New Roman"/>
          <w:color w:val="000000"/>
        </w:rPr>
        <w:t xml:space="preserve"> </w:t>
      </w:r>
      <w:proofErr w:type="spellStart"/>
      <w:r w:rsidRPr="00DF5828">
        <w:rPr>
          <w:rFonts w:ascii="Times New Roman" w:hAnsi="Times New Roman"/>
          <w:color w:val="000000"/>
        </w:rPr>
        <w:t>esant</w:t>
      </w:r>
      <w:proofErr w:type="spellEnd"/>
      <w:r w:rsidRPr="00DF5828">
        <w:rPr>
          <w:rFonts w:ascii="Times New Roman" w:hAnsi="Times New Roman"/>
          <w:color w:val="000000"/>
        </w:rPr>
        <w:t xml:space="preserve"> </w:t>
      </w:r>
      <w:proofErr w:type="spellStart"/>
      <w:r w:rsidRPr="00DF5828">
        <w:rPr>
          <w:rFonts w:ascii="Times New Roman" w:hAnsi="Times New Roman"/>
          <w:color w:val="000000"/>
        </w:rPr>
        <w:t>rinkoje</w:t>
      </w:r>
      <w:proofErr w:type="spellEnd"/>
      <w:r w:rsidRPr="00DF5828">
        <w:rPr>
          <w:rFonts w:ascii="Times New Roman" w:hAnsi="Times New Roman"/>
          <w:color w:val="000000"/>
        </w:rPr>
        <w:t xml:space="preserve">. </w:t>
      </w:r>
    </w:p>
    <w:p w:rsidR="00DF5828" w:rsidRPr="00DF5828" w:rsidRDefault="00DF5828" w:rsidP="00DF5828">
      <w:pPr>
        <w:tabs>
          <w:tab w:val="left" w:pos="567"/>
        </w:tabs>
        <w:autoSpaceDE w:val="0"/>
        <w:autoSpaceDN w:val="0"/>
        <w:adjustRightInd w:val="0"/>
        <w:spacing w:after="0" w:line="260" w:lineRule="exact"/>
        <w:rPr>
          <w:rFonts w:ascii="Times New Roman" w:hAnsi="Times New Roman"/>
          <w:color w:val="000000"/>
          <w:lang w:val="lt-LT"/>
        </w:rPr>
      </w:pPr>
    </w:p>
    <w:p w:rsidR="00DF5828" w:rsidRPr="00DF5828" w:rsidRDefault="00DF5828" w:rsidP="00DF5828">
      <w:pPr>
        <w:tabs>
          <w:tab w:val="left" w:pos="567"/>
        </w:tabs>
        <w:autoSpaceDE w:val="0"/>
        <w:autoSpaceDN w:val="0"/>
        <w:adjustRightInd w:val="0"/>
        <w:spacing w:after="0" w:line="260" w:lineRule="exact"/>
        <w:rPr>
          <w:rFonts w:ascii="Times New Roman" w:eastAsia="Times New Roman" w:hAnsi="Times New Roman"/>
          <w:color w:val="000000"/>
          <w:u w:val="single"/>
          <w:lang w:val="lt-LT"/>
        </w:rPr>
      </w:pPr>
      <w:r w:rsidRPr="00DF5828">
        <w:rPr>
          <w:rFonts w:ascii="Times New Roman" w:eastAsia="Times New Roman" w:hAnsi="Times New Roman"/>
          <w:color w:val="000000"/>
          <w:u w:val="single"/>
          <w:lang w:val="lt-LT"/>
        </w:rPr>
        <w:t>Atrinktų nepageidaujamų reakcijų apibūdinimas</w:t>
      </w:r>
    </w:p>
    <w:p w:rsidR="00DF5828" w:rsidRPr="00DF5828" w:rsidRDefault="00DF5828" w:rsidP="00DF5828">
      <w:pPr>
        <w:tabs>
          <w:tab w:val="left" w:pos="567"/>
        </w:tabs>
        <w:autoSpaceDE w:val="0"/>
        <w:autoSpaceDN w:val="0"/>
        <w:adjustRightInd w:val="0"/>
        <w:spacing w:after="0" w:line="260" w:lineRule="exact"/>
        <w:rPr>
          <w:rFonts w:ascii="Times New Roman" w:eastAsia="Times New Roman" w:hAnsi="Times New Roman"/>
          <w:color w:val="000000"/>
          <w:u w:val="single"/>
          <w:lang w:val="lt-LT"/>
        </w:rPr>
      </w:pPr>
    </w:p>
    <w:p w:rsidR="00DF5828" w:rsidRPr="000F1EAC" w:rsidRDefault="00DF5828" w:rsidP="00DF5828">
      <w:pPr>
        <w:tabs>
          <w:tab w:val="left" w:pos="567"/>
        </w:tabs>
        <w:autoSpaceDE w:val="0"/>
        <w:autoSpaceDN w:val="0"/>
        <w:adjustRightInd w:val="0"/>
        <w:spacing w:after="0" w:line="260" w:lineRule="exact"/>
        <w:rPr>
          <w:rFonts w:ascii="Times New Roman" w:eastAsia="Times New Roman" w:hAnsi="Times New Roman"/>
          <w:i/>
          <w:color w:val="000000"/>
          <w:u w:val="single"/>
          <w:lang w:val="lt-LT"/>
        </w:rPr>
      </w:pPr>
      <w:r w:rsidRPr="000F1EAC">
        <w:rPr>
          <w:rFonts w:ascii="Times New Roman" w:eastAsia="Times New Roman" w:hAnsi="Times New Roman"/>
          <w:i/>
          <w:color w:val="000000"/>
          <w:u w:val="single"/>
          <w:lang w:val="lt-LT"/>
        </w:rPr>
        <w:t>Hipokalcemija</w:t>
      </w:r>
    </w:p>
    <w:p w:rsidR="00DF5828" w:rsidRPr="00DF5828" w:rsidRDefault="00DF5828" w:rsidP="00DF5828">
      <w:pPr>
        <w:tabs>
          <w:tab w:val="left" w:pos="567"/>
        </w:tabs>
        <w:autoSpaceDE w:val="0"/>
        <w:autoSpaceDN w:val="0"/>
        <w:adjustRightInd w:val="0"/>
        <w:spacing w:after="0" w:line="260" w:lineRule="exact"/>
        <w:rPr>
          <w:rFonts w:ascii="Times New Roman" w:eastAsia="Times New Roman" w:hAnsi="Times New Roman"/>
          <w:color w:val="000000"/>
          <w:lang w:val="lt-LT"/>
        </w:rPr>
      </w:pPr>
      <w:r w:rsidRPr="00DF5828">
        <w:rPr>
          <w:rFonts w:ascii="Times New Roman" w:eastAsia="Times New Roman" w:hAnsi="Times New Roman"/>
          <w:color w:val="000000"/>
          <w:lang w:val="lt-LT"/>
        </w:rPr>
        <w:t xml:space="preserve">Sumažėjusi inkstų kalcio ekskrecija gali būti susijusi su serumo fosfatų kiekio sumažėjimu, kurio nereikia gydyti. Kalcio kiekis serume gali sumažėti iki </w:t>
      </w:r>
      <w:proofErr w:type="spellStart"/>
      <w:r w:rsidRPr="00DF5828">
        <w:rPr>
          <w:rFonts w:ascii="Times New Roman" w:eastAsia="Times New Roman" w:hAnsi="Times New Roman"/>
          <w:color w:val="000000"/>
          <w:lang w:val="lt-LT"/>
        </w:rPr>
        <w:t>hipokeleminių</w:t>
      </w:r>
      <w:proofErr w:type="spellEnd"/>
      <w:r w:rsidRPr="00DF5828">
        <w:rPr>
          <w:rFonts w:ascii="Times New Roman" w:eastAsia="Times New Roman" w:hAnsi="Times New Roman"/>
          <w:color w:val="000000"/>
          <w:lang w:val="lt-LT"/>
        </w:rPr>
        <w:t xml:space="preserve"> reikšmių.</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hAnsi="Times New Roman"/>
          <w:i/>
          <w:u w:val="single"/>
          <w:lang w:val="lt-LT"/>
        </w:rPr>
      </w:pPr>
      <w:r w:rsidRPr="000F1EAC">
        <w:rPr>
          <w:rFonts w:ascii="Times New Roman" w:hAnsi="Times New Roman"/>
          <w:i/>
          <w:u w:val="single"/>
          <w:lang w:val="lt-LT"/>
        </w:rPr>
        <w:t>Žandikaulio osteonekrozė</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Bisfosfonatais gydomiems pacientams buvo žandikaulio osteonekrozės atvejų. Dauguma atvejų priklausė vėžiu sergantiems pacientams, tačiau jų pasitaikė ir pacientams, gydomiems nuo osteoporozės. Žandikaulio osteonekrozė paprastai yra susijusi su danties ištraukimu ir (arba) lokalia infekcija (įskaitant osteomielitą). Manoma, kad rizikos veiksniai yra ir vėžys, chemoterapija, radioterapija, kortikosteroidai ir menka burnos higiena.</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autoSpaceDE w:val="0"/>
        <w:autoSpaceDN w:val="0"/>
        <w:adjustRightInd w:val="0"/>
        <w:spacing w:after="0" w:line="260" w:lineRule="exact"/>
        <w:rPr>
          <w:rFonts w:ascii="Times New Roman" w:hAnsi="Times New Roman"/>
          <w:i/>
          <w:color w:val="000000"/>
          <w:u w:val="single"/>
          <w:lang w:val="lt-LT"/>
        </w:rPr>
      </w:pPr>
      <w:r w:rsidRPr="000F1EAC">
        <w:rPr>
          <w:rFonts w:ascii="Times New Roman" w:hAnsi="Times New Roman"/>
          <w:i/>
          <w:color w:val="000000"/>
          <w:u w:val="single"/>
          <w:lang w:val="lt-LT"/>
        </w:rPr>
        <w:t xml:space="preserve">Akių uždegimas </w:t>
      </w:r>
    </w:p>
    <w:p w:rsidR="00DF5828" w:rsidRPr="00DF5828" w:rsidRDefault="00DF5828" w:rsidP="00DF5828">
      <w:pPr>
        <w:tabs>
          <w:tab w:val="left" w:pos="567"/>
        </w:tabs>
        <w:autoSpaceDE w:val="0"/>
        <w:autoSpaceDN w:val="0"/>
        <w:adjustRightInd w:val="0"/>
        <w:spacing w:after="0" w:line="260" w:lineRule="exact"/>
        <w:rPr>
          <w:rFonts w:ascii="Times New Roman" w:hAnsi="Times New Roman"/>
          <w:color w:val="000000"/>
          <w:lang w:val="lt-LT"/>
        </w:rPr>
      </w:pPr>
      <w:r w:rsidRPr="00DF5828">
        <w:rPr>
          <w:rFonts w:ascii="Times New Roman" w:hAnsi="Times New Roman"/>
          <w:color w:val="000000"/>
          <w:lang w:val="lt-LT"/>
        </w:rPr>
        <w:t xml:space="preserve">Vartojusiesiems </w:t>
      </w:r>
      <w:proofErr w:type="spellStart"/>
      <w:r w:rsidRPr="00DF5828">
        <w:rPr>
          <w:rFonts w:ascii="Times New Roman" w:hAnsi="Times New Roman"/>
          <w:color w:val="000000"/>
          <w:lang w:val="lt-LT"/>
        </w:rPr>
        <w:t>ibandrono</w:t>
      </w:r>
      <w:proofErr w:type="spellEnd"/>
      <w:r w:rsidRPr="00DF5828">
        <w:rPr>
          <w:rFonts w:ascii="Times New Roman" w:hAnsi="Times New Roman"/>
          <w:color w:val="000000"/>
          <w:lang w:val="lt-LT"/>
        </w:rPr>
        <w:t xml:space="preserve"> rūgštį buvo pastebėti akių uždegimo reiškiniai, tokie kaip </w:t>
      </w:r>
      <w:proofErr w:type="spellStart"/>
      <w:r w:rsidRPr="00DF5828">
        <w:rPr>
          <w:rFonts w:ascii="Times New Roman" w:hAnsi="Times New Roman"/>
          <w:color w:val="000000"/>
          <w:lang w:val="lt-LT"/>
        </w:rPr>
        <w:t>uveitas</w:t>
      </w:r>
      <w:proofErr w:type="spellEnd"/>
      <w:r w:rsidRPr="00DF5828">
        <w:rPr>
          <w:rFonts w:ascii="Times New Roman" w:hAnsi="Times New Roman"/>
          <w:color w:val="000000"/>
          <w:lang w:val="lt-LT"/>
        </w:rPr>
        <w:t xml:space="preserve">, </w:t>
      </w:r>
      <w:proofErr w:type="spellStart"/>
      <w:r w:rsidRPr="00DF5828">
        <w:rPr>
          <w:rFonts w:ascii="Times New Roman" w:hAnsi="Times New Roman"/>
          <w:color w:val="000000"/>
          <w:lang w:val="lt-LT"/>
        </w:rPr>
        <w:t>episkleritas</w:t>
      </w:r>
      <w:proofErr w:type="spellEnd"/>
      <w:r w:rsidRPr="00DF5828">
        <w:rPr>
          <w:rFonts w:ascii="Times New Roman" w:hAnsi="Times New Roman"/>
          <w:color w:val="000000"/>
          <w:lang w:val="lt-LT"/>
        </w:rPr>
        <w:t xml:space="preserve"> ir </w:t>
      </w:r>
      <w:proofErr w:type="spellStart"/>
      <w:r w:rsidRPr="00DF5828">
        <w:rPr>
          <w:rFonts w:ascii="Times New Roman" w:hAnsi="Times New Roman"/>
          <w:color w:val="000000"/>
          <w:lang w:val="lt-LT"/>
        </w:rPr>
        <w:t>skleritas</w:t>
      </w:r>
      <w:proofErr w:type="spellEnd"/>
      <w:r w:rsidRPr="00DF5828">
        <w:rPr>
          <w:rFonts w:ascii="Times New Roman" w:hAnsi="Times New Roman"/>
          <w:color w:val="000000"/>
          <w:lang w:val="lt-LT"/>
        </w:rPr>
        <w:t xml:space="preserve">. Kai kuriais atvejais šie reiškiniai išnykdavo tik nutraukus </w:t>
      </w:r>
      <w:proofErr w:type="spellStart"/>
      <w:r w:rsidRPr="00DF5828">
        <w:rPr>
          <w:rFonts w:ascii="Times New Roman" w:hAnsi="Times New Roman"/>
          <w:color w:val="000000"/>
          <w:lang w:val="lt-LT"/>
        </w:rPr>
        <w:t>ibandrono</w:t>
      </w:r>
      <w:proofErr w:type="spellEnd"/>
      <w:r w:rsidRPr="00DF5828">
        <w:rPr>
          <w:rFonts w:ascii="Times New Roman" w:hAnsi="Times New Roman"/>
          <w:color w:val="000000"/>
          <w:lang w:val="lt-LT"/>
        </w:rPr>
        <w:t xml:space="preserve"> rūgšties vartojimą. </w:t>
      </w: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tabs>
          <w:tab w:val="left" w:pos="567"/>
        </w:tabs>
        <w:spacing w:after="0" w:line="260" w:lineRule="exact"/>
        <w:rPr>
          <w:rFonts w:ascii="Times New Roman" w:eastAsia="Times New Roman" w:hAnsi="Times New Roman"/>
          <w:i/>
          <w:u w:val="single"/>
          <w:lang w:val="lt-LT"/>
        </w:rPr>
      </w:pPr>
      <w:r w:rsidRPr="000F1EAC">
        <w:rPr>
          <w:rFonts w:ascii="Times New Roman" w:eastAsia="Times New Roman" w:hAnsi="Times New Roman"/>
          <w:i/>
          <w:u w:val="single"/>
          <w:lang w:val="lt-LT"/>
        </w:rPr>
        <w:t>Anafilaksinė reakcija ar šokas</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 xml:space="preserve">Pacientams, gydytiems į veną leidžiama </w:t>
      </w:r>
      <w:proofErr w:type="spellStart"/>
      <w:r w:rsidRPr="00DF5828">
        <w:rPr>
          <w:rFonts w:ascii="Times New Roman" w:eastAsia="Times New Roman" w:hAnsi="Times New Roman"/>
          <w:lang w:val="lt-LT"/>
        </w:rPr>
        <w:t>ibandronine</w:t>
      </w:r>
      <w:proofErr w:type="spellEnd"/>
      <w:r w:rsidRPr="00DF5828">
        <w:rPr>
          <w:rFonts w:ascii="Times New Roman" w:eastAsia="Times New Roman" w:hAnsi="Times New Roman"/>
          <w:lang w:val="lt-LT"/>
        </w:rPr>
        <w:t xml:space="preserve"> rūgštimi, pasitaikė anafilaksinės reakcijos/šoko atvejų, buvo ir mirtimi pasibaigusių įvykių.</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55794" w:rsidRPr="00D55794" w:rsidRDefault="00D55794" w:rsidP="00D55794">
      <w:pPr>
        <w:tabs>
          <w:tab w:val="left" w:pos="567"/>
        </w:tabs>
        <w:autoSpaceDE w:val="0"/>
        <w:autoSpaceDN w:val="0"/>
        <w:adjustRightInd w:val="0"/>
        <w:spacing w:after="0" w:line="260" w:lineRule="exact"/>
        <w:rPr>
          <w:rFonts w:ascii="Times New Roman" w:hAnsi="Times New Roman"/>
          <w:snapToGrid w:val="0"/>
          <w:szCs w:val="24"/>
          <w:u w:val="single"/>
          <w:lang w:val="lt-LT"/>
        </w:rPr>
      </w:pPr>
      <w:r w:rsidRPr="00D55794">
        <w:rPr>
          <w:rFonts w:ascii="Times New Roman" w:hAnsi="Times New Roman"/>
          <w:noProof/>
          <w:snapToGrid w:val="0"/>
          <w:szCs w:val="24"/>
          <w:u w:val="single"/>
          <w:lang w:val="lt-LT"/>
        </w:rPr>
        <w:t>Pranešimas apie įtariamas nepageidaujamas reakcijas</w:t>
      </w:r>
    </w:p>
    <w:p w:rsidR="00DF5828" w:rsidRPr="00DF5828" w:rsidRDefault="00D55794" w:rsidP="00DF5828">
      <w:pPr>
        <w:tabs>
          <w:tab w:val="left" w:pos="567"/>
        </w:tabs>
        <w:spacing w:after="0" w:line="260" w:lineRule="exact"/>
        <w:rPr>
          <w:rFonts w:ascii="Times New Roman" w:eastAsia="Times New Roman" w:hAnsi="Times New Roman"/>
          <w:lang w:val="lt-LT"/>
        </w:rPr>
      </w:pPr>
      <w:r w:rsidRPr="00D55794">
        <w:rPr>
          <w:rFonts w:ascii="Times New Roman" w:hAnsi="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D55794">
          <w:rPr>
            <w:rFonts w:ascii="Times New Roman" w:hAnsi="Times New Roman"/>
            <w:noProof/>
            <w:snapToGrid w:val="0"/>
            <w:color w:val="0000FF"/>
            <w:szCs w:val="24"/>
            <w:u w:val="single"/>
            <w:lang w:val="lt-LT"/>
          </w:rPr>
          <w:t>http://www.vvkt.lt</w:t>
        </w:r>
      </w:hyperlink>
      <w:r w:rsidRPr="00D55794">
        <w:rPr>
          <w:rFonts w:ascii="Times New Roman" w:hAnsi="Times New Roman"/>
          <w:noProof/>
          <w:snapToGrid w:val="0"/>
          <w:szCs w:val="24"/>
          <w:lang w:val="lt-LT"/>
        </w:rPr>
        <w:t>).</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4.9</w:t>
      </w:r>
      <w:r w:rsidRPr="00DF5828">
        <w:rPr>
          <w:rFonts w:ascii="Times New Roman" w:hAnsi="Times New Roman"/>
          <w:b/>
          <w:lang w:val="lt-LT"/>
        </w:rPr>
        <w:tab/>
        <w:t>Perdozavimas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Specifinės informacijos apie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perdozavimo gydymą nėra. Geriamųjų šios rūgšties preparatų perdozavimas gali sąlygoti viršutinės virškinimo trakto dalies reiškinius, tokius kaip skrandžio sutrikimą, rėmenį, ezofagitą, gastritą ar opą.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rūgščiai surišti reikia duoti gerti pieno arba antacidinių preparatų. Turint omenyje stemplės dirginimą, vėmimo sukelti nereikia, pacientas turi laikytis visiškai vertikalioje padėtyje.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5.</w:t>
      </w:r>
      <w:r w:rsidRPr="00DF5828">
        <w:rPr>
          <w:rFonts w:ascii="Times New Roman" w:hAnsi="Times New Roman"/>
          <w:b/>
          <w:lang w:val="lt-LT"/>
        </w:rPr>
        <w:tab/>
        <w:t xml:space="preserve">FARMAKOLOGINĖS </w:t>
      </w:r>
      <w:r w:rsidRPr="00DF5828">
        <w:rPr>
          <w:rFonts w:ascii="Times New Roman" w:hAnsi="Times New Roman"/>
          <w:b/>
          <w:caps/>
          <w:lang w:val="lt-LT"/>
        </w:rPr>
        <w:t>savybės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5.1</w:t>
      </w:r>
      <w:r w:rsidRPr="00DF5828">
        <w:rPr>
          <w:rFonts w:ascii="Times New Roman" w:hAnsi="Times New Roman"/>
          <w:b/>
          <w:lang w:val="lt-LT"/>
        </w:rPr>
        <w:tab/>
        <w:t>Farmakodinaminės savybės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Farmakoterapinė grupė – </w:t>
      </w:r>
      <w:r w:rsidRPr="00DF5828">
        <w:rPr>
          <w:rFonts w:ascii="Times New Roman" w:hAnsi="Times New Roman"/>
          <w:lang w:val="pt-BR"/>
        </w:rPr>
        <w:t>vaistai kaulų ligų gydymui,</w:t>
      </w:r>
      <w:r w:rsidRPr="00DF5828">
        <w:rPr>
          <w:rFonts w:ascii="Times New Roman" w:hAnsi="Times New Roman"/>
          <w:lang w:val="lt-LT"/>
        </w:rPr>
        <w:t xml:space="preserve"> bisfosfonatai, ATC kodas – M05B A06.</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priklauso </w:t>
      </w:r>
      <w:proofErr w:type="spellStart"/>
      <w:r w:rsidRPr="00DF5828">
        <w:rPr>
          <w:rFonts w:ascii="Times New Roman" w:hAnsi="Times New Roman"/>
          <w:lang w:val="lt-LT"/>
        </w:rPr>
        <w:t>bisfosfonatų</w:t>
      </w:r>
      <w:proofErr w:type="spellEnd"/>
      <w:r w:rsidRPr="00DF5828">
        <w:rPr>
          <w:rFonts w:ascii="Times New Roman" w:hAnsi="Times New Roman"/>
          <w:lang w:val="lt-LT"/>
        </w:rPr>
        <w:t xml:space="preserve"> grupės junginiams, specifiškai veikiantiems kaulus. Selektyvus poveikis kauliniam audiniui priklauso nuo didelio </w:t>
      </w:r>
      <w:proofErr w:type="spellStart"/>
      <w:r w:rsidRPr="00DF5828">
        <w:rPr>
          <w:rFonts w:ascii="Times New Roman" w:hAnsi="Times New Roman"/>
          <w:lang w:val="lt-LT"/>
        </w:rPr>
        <w:t>bisfosfonatų</w:t>
      </w:r>
      <w:proofErr w:type="spellEnd"/>
      <w:r w:rsidRPr="00DF5828">
        <w:rPr>
          <w:rFonts w:ascii="Times New Roman" w:hAnsi="Times New Roman"/>
          <w:lang w:val="lt-LT"/>
        </w:rPr>
        <w:t xml:space="preserve"> </w:t>
      </w:r>
      <w:proofErr w:type="spellStart"/>
      <w:r w:rsidRPr="00DF5828">
        <w:rPr>
          <w:rFonts w:ascii="Times New Roman" w:hAnsi="Times New Roman"/>
          <w:lang w:val="lt-LT"/>
        </w:rPr>
        <w:t>afiniteto</w:t>
      </w:r>
      <w:proofErr w:type="spellEnd"/>
      <w:r w:rsidRPr="00DF5828">
        <w:rPr>
          <w:rFonts w:ascii="Times New Roman" w:hAnsi="Times New Roman"/>
          <w:lang w:val="lt-LT"/>
        </w:rPr>
        <w:t xml:space="preserve"> kaulų mineralams. Bisfosfonatai veikia slopindami osteoklastų aktyvumą, nors tikslus veikimo mechanizmas dar nėra aiškus. </w:t>
      </w:r>
    </w:p>
    <w:p w:rsidR="00DF5828" w:rsidRPr="00DF5828" w:rsidRDefault="00DF5828" w:rsidP="00DF5828">
      <w:pPr>
        <w:tabs>
          <w:tab w:val="left" w:pos="567"/>
        </w:tabs>
        <w:spacing w:after="0" w:line="260" w:lineRule="exact"/>
        <w:rPr>
          <w:rFonts w:ascii="Times New Roman" w:hAnsi="Times New Roman"/>
          <w:i/>
          <w:lang w:val="lt-LT"/>
        </w:rPr>
      </w:pP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i/>
          <w:lang w:val="lt-LT"/>
        </w:rPr>
        <w:t>In</w:t>
      </w:r>
      <w:proofErr w:type="spellEnd"/>
      <w:r w:rsidRPr="00DF5828">
        <w:rPr>
          <w:rFonts w:ascii="Times New Roman" w:hAnsi="Times New Roman"/>
          <w:i/>
          <w:lang w:val="lt-LT"/>
        </w:rPr>
        <w:t xml:space="preserve"> </w:t>
      </w:r>
      <w:proofErr w:type="spellStart"/>
      <w:r w:rsidRPr="00DF5828">
        <w:rPr>
          <w:rFonts w:ascii="Times New Roman" w:hAnsi="Times New Roman"/>
          <w:i/>
          <w:lang w:val="lt-LT"/>
        </w:rPr>
        <w:t>vitro</w:t>
      </w:r>
      <w:proofErr w:type="spellEnd"/>
      <w:r w:rsidRPr="00DF5828">
        <w:rPr>
          <w:rFonts w:ascii="Times New Roman" w:hAnsi="Times New Roman"/>
          <w:i/>
          <w:lang w:val="lt-LT"/>
        </w:rPr>
        <w:t xml:space="preserve">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stabdo eksperimentiniu būdu sužadintą kaulų irimą, sukeltą lytinių liaukų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funkcijos nutraukimu, </w:t>
      </w:r>
      <w:proofErr w:type="spellStart"/>
      <w:r w:rsidRPr="00DF5828">
        <w:rPr>
          <w:rFonts w:ascii="Times New Roman" w:hAnsi="Times New Roman"/>
          <w:lang w:val="lt-LT"/>
        </w:rPr>
        <w:t>retinoidais</w:t>
      </w:r>
      <w:proofErr w:type="spellEnd"/>
      <w:r w:rsidRPr="00DF5828">
        <w:rPr>
          <w:rFonts w:ascii="Times New Roman" w:hAnsi="Times New Roman"/>
          <w:lang w:val="lt-LT"/>
        </w:rPr>
        <w:t xml:space="preserve">, navikais ar navikų ekstraktais. Endogeninės kaulų rezorbcijos slopinimas buvo patvirtintas ir 45Ca kinetikos tyrimais bei iš anksto į kaulus inkorporuoto radioaktyvaus tetraciklino išsiskyrimu.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dozės, kurios yra gerokai didesnės už farmakologiškai veiksmingas dozes, kaulų mineralizacijai poveikio nedarė.</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Piktybinės ligos sukelta kaulų rezorbcija pasižymi perdėta kaulų rezorbcija, neišlaikančia pusiausvyros su atitinkamu kaulo formavimusi.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selektyviai slopina osteoklastų aktyvumą, todėl mažina kaulų rezorbciją ir piktybinės ligos sukeliamas skeleto komplikacijas.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Klinikiniai krūties vėžiu sergančių pacientų, kurių kauluose buvo metastazių, tyrimai parodė, kad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sukelia nuo dozės dydžio priklausomą slopinamąjį poveikį kaulų </w:t>
      </w:r>
      <w:proofErr w:type="spellStart"/>
      <w:r w:rsidRPr="00DF5828">
        <w:rPr>
          <w:rFonts w:ascii="Times New Roman" w:hAnsi="Times New Roman"/>
          <w:lang w:val="lt-LT"/>
        </w:rPr>
        <w:t>osteolizei</w:t>
      </w:r>
      <w:proofErr w:type="spellEnd"/>
      <w:r w:rsidRPr="00DF5828">
        <w:rPr>
          <w:rFonts w:ascii="Times New Roman" w:hAnsi="Times New Roman"/>
          <w:lang w:val="lt-LT"/>
        </w:rPr>
        <w:t xml:space="preserve">, kurios raiška yra kaulų rezorbcijos žymenys, ir nuo dozės dydžio priklausomą poveikį skeleto pokyčiams.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Skeleto reiškinių profilaktika 50 mg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tabletėmis krūties vėžiu sergančioms pacientėms, kurių kauluose buvo metastazių, buvo nustatinėta dviem atsitiktinių imčių placebu kontroliuojamais III fazės tyrimais, trukusiais 96 savaites. Krūties vėžiu sergančios moterys, kurioms kaulų metastazės buvo patvirtintos rentgenu, atsitiktinių imčių būdu buvo suskirstytos į grupes ir gydomos placebu (277 pacientės) arba 50 mg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doze (287 pacientės). Šių tyrimų rezultatai pateikti toliau.</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Pirmaeilės vertinamosios baigtys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Tyrimų metu pirmaeilė vertinamoji baigtis buvo skeleto patologijos periodo dažnis (angl. SMPR). Tai sudėtinė baigtis, kurios sudedamosios dalys buvo šie su skeletu susiję reiškiniai (angl. </w:t>
      </w:r>
      <w:proofErr w:type="spellStart"/>
      <w:r w:rsidRPr="00DF5828">
        <w:rPr>
          <w:rFonts w:ascii="Times New Roman" w:hAnsi="Times New Roman"/>
          <w:lang w:val="lt-LT"/>
        </w:rPr>
        <w:t>SREs</w:t>
      </w:r>
      <w:proofErr w:type="spellEnd"/>
      <w:r w:rsidRPr="00DF5828">
        <w:rPr>
          <w:rFonts w:ascii="Times New Roman" w:hAnsi="Times New Roman"/>
          <w:lang w:val="lt-LT"/>
        </w:rPr>
        <w:t>):</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kaulų lūžių (gręsiančių lūžių) gydymas radioterapija;</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kaulų lūžių gydymas chirurgine operacija;</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stuburo slankstelių lūžiai;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ne stuburo slankstelių lūžiai.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SMPR analizė buvo priderinta laikui, manant kad susiję galėtų būti vienas arba daugiau reiškinių, įvykusių per vieną 12 savaičių laikotarpį. Analizės tikslais dauginiai reiškiniai buvo suskaičiuoti tik kartą per bet kurį 12 savaičių laikotarpį. Bendri šių tyrimų duomenys rodo reikšmingą 50 mg per burną vartojamos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dozės pranašumą, palyginti su </w:t>
      </w:r>
      <w:proofErr w:type="spellStart"/>
      <w:r w:rsidRPr="00DF5828">
        <w:rPr>
          <w:rFonts w:ascii="Times New Roman" w:hAnsi="Times New Roman"/>
          <w:lang w:val="lt-LT"/>
        </w:rPr>
        <w:t>placebu</w:t>
      </w:r>
      <w:proofErr w:type="spellEnd"/>
      <w:r w:rsidRPr="00DF5828">
        <w:rPr>
          <w:rFonts w:ascii="Times New Roman" w:hAnsi="Times New Roman"/>
          <w:lang w:val="lt-LT"/>
        </w:rPr>
        <w:t xml:space="preserve">, mažinant </w:t>
      </w:r>
      <w:proofErr w:type="spellStart"/>
      <w:r w:rsidRPr="00DF5828">
        <w:rPr>
          <w:rFonts w:ascii="Times New Roman" w:hAnsi="Times New Roman"/>
          <w:lang w:val="lt-LT"/>
        </w:rPr>
        <w:t>SREs</w:t>
      </w:r>
      <w:proofErr w:type="spellEnd"/>
      <w:r w:rsidRPr="00DF5828">
        <w:rPr>
          <w:rFonts w:ascii="Times New Roman" w:hAnsi="Times New Roman"/>
          <w:lang w:val="lt-LT"/>
        </w:rPr>
        <w:t>, nustatytus atsižvelgiant į SMPR (p </w:t>
      </w:r>
      <w:r w:rsidRPr="00DF5828">
        <w:rPr>
          <w:rFonts w:ascii="Times New Roman" w:hAnsi="Times New Roman"/>
          <w:lang w:val="lt-LT"/>
        </w:rPr>
        <w:sym w:font="Symbol" w:char="F03D"/>
      </w:r>
      <w:r w:rsidRPr="00DF5828">
        <w:rPr>
          <w:rFonts w:ascii="Times New Roman" w:hAnsi="Times New Roman"/>
          <w:lang w:val="lt-LT"/>
        </w:rPr>
        <w:t xml:space="preserve"> 0,041). Be to,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gydytoms pacientėms, palyginti su vartojusiomis placebo, 38</w:t>
      </w:r>
      <w:r w:rsidRPr="00DF5828">
        <w:rPr>
          <w:rFonts w:ascii="Times New Roman" w:hAnsi="Times New Roman"/>
          <w:lang w:val="lt-LT"/>
        </w:rPr>
        <w:sym w:font="Symbol" w:char="F025"/>
      </w:r>
      <w:r w:rsidRPr="00DF5828">
        <w:rPr>
          <w:rFonts w:ascii="Times New Roman" w:hAnsi="Times New Roman"/>
          <w:lang w:val="lt-LT"/>
        </w:rPr>
        <w:t xml:space="preserve"> sumažėjo SRE pasireiškimo rizika (santykinė rizika: 0,62; p </w:t>
      </w:r>
      <w:r w:rsidRPr="00DF5828">
        <w:rPr>
          <w:rFonts w:ascii="Times New Roman" w:hAnsi="Times New Roman"/>
          <w:lang w:val="lt-LT"/>
        </w:rPr>
        <w:sym w:font="Symbol" w:char="F03D"/>
      </w:r>
      <w:r w:rsidRPr="00DF5828">
        <w:rPr>
          <w:rFonts w:ascii="Times New Roman" w:hAnsi="Times New Roman"/>
          <w:lang w:val="lt-LT"/>
        </w:rPr>
        <w:t> 0,003). Veiksmingumo rezultatai pateikti 2-oje lentelėje.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2 lentelė. Veiksmingumo rezultatai (pacientės, sergančios į kaulus metastazavusiu krūties vėžiu)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926"/>
        <w:gridCol w:w="1926"/>
        <w:gridCol w:w="1926"/>
      </w:tblGrid>
      <w:tr w:rsidR="00DF5828" w:rsidRPr="000F1EAC" w:rsidTr="006C2504">
        <w:tc>
          <w:tcPr>
            <w:tcW w:w="1925" w:type="dxa"/>
            <w:vMerge w:val="restart"/>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lang w:val="lt-LT"/>
              </w:rPr>
            </w:pPr>
          </w:p>
        </w:tc>
        <w:tc>
          <w:tcPr>
            <w:tcW w:w="5778" w:type="dxa"/>
            <w:gridSpan w:val="3"/>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lang w:val="lt-LT"/>
              </w:rPr>
            </w:pPr>
            <w:r w:rsidRPr="000F1EAC">
              <w:rPr>
                <w:rFonts w:ascii="Times New Roman" w:hAnsi="Times New Roman"/>
                <w:color w:val="000000"/>
                <w:lang w:val="lt-LT"/>
              </w:rPr>
              <w:t>Visi su skeletu susiję reiškiniai (</w:t>
            </w:r>
            <w:proofErr w:type="spellStart"/>
            <w:r w:rsidRPr="000F1EAC">
              <w:rPr>
                <w:rFonts w:ascii="Times New Roman" w:hAnsi="Times New Roman"/>
                <w:color w:val="000000"/>
                <w:lang w:val="lt-LT"/>
              </w:rPr>
              <w:t>SREs</w:t>
            </w:r>
            <w:proofErr w:type="spellEnd"/>
            <w:r w:rsidRPr="000F1EAC">
              <w:rPr>
                <w:rFonts w:ascii="Times New Roman" w:hAnsi="Times New Roman"/>
                <w:color w:val="000000"/>
                <w:lang w:val="lt-LT"/>
              </w:rPr>
              <w:t>)</w:t>
            </w:r>
          </w:p>
        </w:tc>
      </w:tr>
      <w:tr w:rsidR="00DF5828" w:rsidRPr="000F1EAC" w:rsidTr="006C2504">
        <w:tc>
          <w:tcPr>
            <w:tcW w:w="1925" w:type="dxa"/>
            <w:vMerge/>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lang w:val="lt-LT"/>
              </w:rPr>
            </w:pP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roofErr w:type="spellStart"/>
            <w:r w:rsidRPr="000F1EAC">
              <w:rPr>
                <w:rFonts w:ascii="Times New Roman" w:hAnsi="Times New Roman"/>
                <w:color w:val="000000"/>
              </w:rPr>
              <w:t>Placebas</w:t>
            </w:r>
            <w:proofErr w:type="spellEnd"/>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n = 277</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roofErr w:type="spellStart"/>
            <w:r w:rsidRPr="000F1EAC">
              <w:rPr>
                <w:rFonts w:ascii="Times New Roman" w:hAnsi="Times New Roman"/>
                <w:color w:val="000000"/>
              </w:rPr>
              <w:t>Ibandrono</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rūgštis</w:t>
            </w:r>
            <w:proofErr w:type="spellEnd"/>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50 mg; n = 287</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 xml:space="preserve">p </w:t>
            </w:r>
            <w:proofErr w:type="spellStart"/>
            <w:r w:rsidRPr="000F1EAC">
              <w:rPr>
                <w:rFonts w:ascii="Times New Roman" w:hAnsi="Times New Roman"/>
                <w:color w:val="000000"/>
              </w:rPr>
              <w:t>reikšmė</w:t>
            </w:r>
            <w:proofErr w:type="spellEnd"/>
          </w:p>
        </w:tc>
      </w:tr>
      <w:tr w:rsidR="00DF5828" w:rsidRPr="000F1EAC" w:rsidTr="006C2504">
        <w:tc>
          <w:tcPr>
            <w:tcW w:w="1925" w:type="dxa"/>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rPr>
            </w:pPr>
            <w:r w:rsidRPr="000F1EAC">
              <w:rPr>
                <w:rFonts w:ascii="Times New Roman" w:hAnsi="Times New Roman"/>
                <w:color w:val="000000"/>
              </w:rPr>
              <w:t>SMPR (</w:t>
            </w:r>
            <w:proofErr w:type="spellStart"/>
            <w:r w:rsidRPr="000F1EAC">
              <w:rPr>
                <w:rFonts w:ascii="Times New Roman" w:hAnsi="Times New Roman"/>
                <w:color w:val="000000"/>
              </w:rPr>
              <w:t>paciento</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metams</w:t>
            </w:r>
            <w:proofErr w:type="spellEnd"/>
            <w:r w:rsidRPr="000F1EAC">
              <w:rPr>
                <w:rFonts w:ascii="Times New Roman" w:hAnsi="Times New Roman"/>
                <w:color w:val="000000"/>
              </w:rPr>
              <w:t>)</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1,15</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0,99</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p = 0,041</w:t>
            </w:r>
          </w:p>
        </w:tc>
      </w:tr>
      <w:tr w:rsidR="00DF5828" w:rsidRPr="000F1EAC" w:rsidTr="006C2504">
        <w:tc>
          <w:tcPr>
            <w:tcW w:w="1925" w:type="dxa"/>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rPr>
            </w:pPr>
            <w:r w:rsidRPr="000F1EAC">
              <w:rPr>
                <w:rFonts w:ascii="Times New Roman" w:hAnsi="Times New Roman"/>
                <w:color w:val="000000"/>
              </w:rPr>
              <w:t xml:space="preserve">SRE </w:t>
            </w:r>
            <w:proofErr w:type="spellStart"/>
            <w:r w:rsidRPr="000F1EAC">
              <w:rPr>
                <w:rFonts w:ascii="Times New Roman" w:hAnsi="Times New Roman"/>
                <w:color w:val="000000"/>
              </w:rPr>
              <w:t>santykinė</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rizika</w:t>
            </w:r>
            <w:proofErr w:type="spellEnd"/>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0,62</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p = 0,003</w:t>
            </w:r>
          </w:p>
        </w:tc>
      </w:tr>
    </w:tbl>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Antraeilės vertinamosios baigtys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50 mg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doze, palyginti su placebu, gydytoms pacientėms statistikai reikšmingai pagerėjo kaulų skausmo balas. Viso tyrimo metu skausmas, palyginti su pradiniu, nuolat buvo mažėjantis, daugiau ir reikšmingai sumažėjo analgetikų vartojimas, palyginti su placebo vartojusių grupe.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gydomų pacienčių gyvenimo kokybė ir PSO pajėgumo būklė pablogėjo reikšmingai mažiau, palyginti su </w:t>
      </w:r>
      <w:proofErr w:type="spellStart"/>
      <w:r w:rsidRPr="00DF5828">
        <w:rPr>
          <w:rFonts w:ascii="Times New Roman" w:hAnsi="Times New Roman"/>
          <w:lang w:val="lt-LT"/>
        </w:rPr>
        <w:t>placeno</w:t>
      </w:r>
      <w:proofErr w:type="spellEnd"/>
      <w:r w:rsidRPr="00DF5828">
        <w:rPr>
          <w:rFonts w:ascii="Times New Roman" w:hAnsi="Times New Roman"/>
          <w:lang w:val="lt-LT"/>
        </w:rPr>
        <w:t xml:space="preserve"> vartojusiomis pacientėmis.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rūgštimi, palyginti su placebu, gydomos grupės pacienčių šlapime kaulų </w:t>
      </w:r>
      <w:proofErr w:type="spellStart"/>
      <w:r w:rsidRPr="00DF5828">
        <w:rPr>
          <w:rFonts w:ascii="Times New Roman" w:hAnsi="Times New Roman"/>
          <w:lang w:val="lt-LT"/>
        </w:rPr>
        <w:t>rezorbcijos</w:t>
      </w:r>
      <w:proofErr w:type="spellEnd"/>
      <w:r w:rsidRPr="00DF5828">
        <w:rPr>
          <w:rFonts w:ascii="Times New Roman" w:hAnsi="Times New Roman"/>
          <w:lang w:val="lt-LT"/>
        </w:rPr>
        <w:t xml:space="preserve"> žymens </w:t>
      </w:r>
      <w:proofErr w:type="spellStart"/>
      <w:r w:rsidRPr="00DF5828">
        <w:rPr>
          <w:rFonts w:ascii="Times New Roman" w:hAnsi="Times New Roman"/>
          <w:lang w:val="lt-LT"/>
        </w:rPr>
        <w:t>CTx</w:t>
      </w:r>
      <w:proofErr w:type="spellEnd"/>
      <w:r w:rsidRPr="00DF5828">
        <w:rPr>
          <w:rFonts w:ascii="Times New Roman" w:hAnsi="Times New Roman"/>
          <w:lang w:val="lt-LT"/>
        </w:rPr>
        <w:t xml:space="preserve"> (iš I tipo kolageno išsiskyręs C-galinis </w:t>
      </w:r>
      <w:proofErr w:type="spellStart"/>
      <w:r w:rsidRPr="00DF5828">
        <w:rPr>
          <w:rFonts w:ascii="Times New Roman" w:hAnsi="Times New Roman"/>
          <w:lang w:val="lt-LT"/>
        </w:rPr>
        <w:t>telopeptidas</w:t>
      </w:r>
      <w:proofErr w:type="spellEnd"/>
      <w:r w:rsidRPr="00DF5828">
        <w:rPr>
          <w:rFonts w:ascii="Times New Roman" w:hAnsi="Times New Roman"/>
          <w:lang w:val="lt-LT"/>
        </w:rPr>
        <w:t xml:space="preserve">) koncentracija buvo reikšmingai mažesnė. Šis </w:t>
      </w:r>
      <w:proofErr w:type="spellStart"/>
      <w:r w:rsidRPr="00DF5828">
        <w:rPr>
          <w:rFonts w:ascii="Times New Roman" w:hAnsi="Times New Roman"/>
          <w:lang w:val="lt-LT"/>
        </w:rPr>
        <w:t>CTx</w:t>
      </w:r>
      <w:proofErr w:type="spellEnd"/>
      <w:r w:rsidRPr="00DF5828">
        <w:rPr>
          <w:rFonts w:ascii="Times New Roman" w:hAnsi="Times New Roman"/>
          <w:lang w:val="lt-LT"/>
        </w:rPr>
        <w:t xml:space="preserve"> kiekio šlapime </w:t>
      </w:r>
      <w:proofErr w:type="spellStart"/>
      <w:r w:rsidRPr="00DF5828">
        <w:rPr>
          <w:rFonts w:ascii="Times New Roman" w:hAnsi="Times New Roman"/>
          <w:lang w:val="lt-LT"/>
        </w:rPr>
        <w:t>sumažėjimasreikšmingai</w:t>
      </w:r>
      <w:proofErr w:type="spellEnd"/>
      <w:r w:rsidRPr="00DF5828">
        <w:rPr>
          <w:rFonts w:ascii="Times New Roman" w:hAnsi="Times New Roman"/>
          <w:lang w:val="lt-LT"/>
        </w:rPr>
        <w:t xml:space="preserve"> koreliavo su pirmaeile veiksmingumo vertinamąją baigtimi SMPR (</w:t>
      </w:r>
      <w:proofErr w:type="spellStart"/>
      <w:r w:rsidRPr="00DF5828">
        <w:rPr>
          <w:rFonts w:ascii="Times New Roman" w:hAnsi="Times New Roman"/>
          <w:lang w:val="lt-LT"/>
        </w:rPr>
        <w:t>Kendall</w:t>
      </w:r>
      <w:proofErr w:type="spellEnd"/>
      <w:r w:rsidRPr="00DF5828">
        <w:rPr>
          <w:rFonts w:ascii="Times New Roman" w:hAnsi="Times New Roman"/>
          <w:lang w:val="lt-LT"/>
        </w:rPr>
        <w:t xml:space="preserve">-tau-b [p </w:t>
      </w:r>
      <w:r w:rsidRPr="00DF5828">
        <w:rPr>
          <w:rFonts w:ascii="Times New Roman" w:hAnsi="Times New Roman"/>
          <w:lang w:val="lt-LT"/>
        </w:rPr>
        <w:sym w:font="Symbol" w:char="F03C"/>
      </w:r>
      <w:r w:rsidRPr="00DF5828">
        <w:rPr>
          <w:rFonts w:ascii="Times New Roman" w:hAnsi="Times New Roman"/>
          <w:lang w:val="lt-LT"/>
        </w:rPr>
        <w:t> 0,001]). Antraeilių veiksmingumo vertinamųjų baigčių rezultatų santrauka pateikta 3-ojoje lentelėje.</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3 lentelė. Antraeilių veiksmingumo vertinamųjų baigčių rezultatai (pacientės, sergančios į kaulus metastazavusiu krūties vėžiu)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583"/>
        <w:gridCol w:w="1926"/>
        <w:gridCol w:w="1926"/>
      </w:tblGrid>
      <w:tr w:rsidR="00DF5828" w:rsidRPr="000F1EAC" w:rsidTr="006C2504">
        <w:tc>
          <w:tcPr>
            <w:tcW w:w="2268" w:type="dxa"/>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lang w:val="lt-LT"/>
              </w:rPr>
            </w:pPr>
          </w:p>
        </w:tc>
        <w:tc>
          <w:tcPr>
            <w:tcW w:w="1583"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roofErr w:type="spellStart"/>
            <w:r w:rsidRPr="000F1EAC">
              <w:rPr>
                <w:rFonts w:ascii="Times New Roman" w:hAnsi="Times New Roman"/>
                <w:color w:val="000000"/>
              </w:rPr>
              <w:t>Placebas</w:t>
            </w:r>
            <w:proofErr w:type="spellEnd"/>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n = 277</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roofErr w:type="spellStart"/>
            <w:r w:rsidRPr="000F1EAC">
              <w:rPr>
                <w:rFonts w:ascii="Times New Roman" w:hAnsi="Times New Roman"/>
                <w:color w:val="000000"/>
              </w:rPr>
              <w:t>Ibandrono</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rūgštis</w:t>
            </w:r>
            <w:proofErr w:type="spellEnd"/>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n = 287</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 xml:space="preserve">p </w:t>
            </w:r>
            <w:proofErr w:type="spellStart"/>
            <w:r w:rsidRPr="000F1EAC">
              <w:rPr>
                <w:rFonts w:ascii="Times New Roman" w:hAnsi="Times New Roman"/>
                <w:color w:val="000000"/>
              </w:rPr>
              <w:t>reikšmė</w:t>
            </w:r>
            <w:proofErr w:type="spellEnd"/>
          </w:p>
        </w:tc>
      </w:tr>
      <w:tr w:rsidR="00DF5828" w:rsidRPr="000F1EAC" w:rsidTr="006C2504">
        <w:tc>
          <w:tcPr>
            <w:tcW w:w="2268" w:type="dxa"/>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rPr>
            </w:pPr>
            <w:proofErr w:type="spellStart"/>
            <w:r w:rsidRPr="000F1EAC">
              <w:rPr>
                <w:rFonts w:ascii="Times New Roman" w:hAnsi="Times New Roman"/>
                <w:color w:val="000000"/>
              </w:rPr>
              <w:t>Kaulų</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skausmas</w:t>
            </w:r>
            <w:proofErr w:type="spellEnd"/>
            <w:r w:rsidRPr="000F1EAC">
              <w:rPr>
                <w:rFonts w:ascii="Times New Roman" w:hAnsi="Times New Roman"/>
                <w:color w:val="000000"/>
              </w:rPr>
              <w:t>*</w:t>
            </w:r>
          </w:p>
        </w:tc>
        <w:tc>
          <w:tcPr>
            <w:tcW w:w="1583"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0,2</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-0,1</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p = 0,001</w:t>
            </w:r>
          </w:p>
        </w:tc>
      </w:tr>
      <w:tr w:rsidR="00DF5828" w:rsidRPr="000F1EAC" w:rsidTr="006C2504">
        <w:tc>
          <w:tcPr>
            <w:tcW w:w="2268" w:type="dxa"/>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rPr>
            </w:pPr>
            <w:proofErr w:type="spellStart"/>
            <w:r w:rsidRPr="000F1EAC">
              <w:rPr>
                <w:rFonts w:ascii="Times New Roman" w:hAnsi="Times New Roman"/>
                <w:color w:val="000000"/>
              </w:rPr>
              <w:t>Analgetikų</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vartojimas</w:t>
            </w:r>
            <w:proofErr w:type="spellEnd"/>
            <w:r w:rsidRPr="000F1EAC">
              <w:rPr>
                <w:rFonts w:ascii="Times New Roman" w:hAnsi="Times New Roman"/>
                <w:color w:val="000000"/>
              </w:rPr>
              <w:t>*</w:t>
            </w:r>
          </w:p>
        </w:tc>
        <w:tc>
          <w:tcPr>
            <w:tcW w:w="1583"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0,85</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0,6</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p = 0,019</w:t>
            </w:r>
          </w:p>
        </w:tc>
      </w:tr>
      <w:tr w:rsidR="00DF5828" w:rsidRPr="000F1EAC" w:rsidTr="006C2504">
        <w:tc>
          <w:tcPr>
            <w:tcW w:w="2268" w:type="dxa"/>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rPr>
            </w:pPr>
            <w:proofErr w:type="spellStart"/>
            <w:r w:rsidRPr="000F1EAC">
              <w:rPr>
                <w:rFonts w:ascii="Times New Roman" w:hAnsi="Times New Roman"/>
                <w:color w:val="000000"/>
              </w:rPr>
              <w:t>Gyvenimo</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kokybė</w:t>
            </w:r>
            <w:proofErr w:type="spellEnd"/>
            <w:r w:rsidRPr="000F1EAC">
              <w:rPr>
                <w:rFonts w:ascii="Times New Roman" w:hAnsi="Times New Roman"/>
                <w:color w:val="000000"/>
              </w:rPr>
              <w:t>*</w:t>
            </w:r>
          </w:p>
        </w:tc>
        <w:tc>
          <w:tcPr>
            <w:tcW w:w="1583"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-26,8</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-8,3</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p = 0,032</w:t>
            </w:r>
          </w:p>
        </w:tc>
      </w:tr>
      <w:tr w:rsidR="00DF5828" w:rsidRPr="000F1EAC" w:rsidTr="006C2504">
        <w:tc>
          <w:tcPr>
            <w:tcW w:w="2268" w:type="dxa"/>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rPr>
            </w:pPr>
            <w:r w:rsidRPr="000F1EAC">
              <w:rPr>
                <w:rFonts w:ascii="Times New Roman" w:hAnsi="Times New Roman"/>
                <w:color w:val="000000"/>
              </w:rPr>
              <w:t xml:space="preserve">PSO </w:t>
            </w:r>
            <w:proofErr w:type="spellStart"/>
            <w:r w:rsidRPr="000F1EAC">
              <w:rPr>
                <w:rFonts w:ascii="Times New Roman" w:hAnsi="Times New Roman"/>
                <w:color w:val="000000"/>
              </w:rPr>
              <w:t>pajėgumo</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būklės</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balas</w:t>
            </w:r>
            <w:proofErr w:type="spellEnd"/>
            <w:r w:rsidRPr="000F1EAC">
              <w:rPr>
                <w:rFonts w:ascii="Times New Roman" w:hAnsi="Times New Roman"/>
                <w:color w:val="000000"/>
              </w:rPr>
              <w:t>*</w:t>
            </w:r>
          </w:p>
        </w:tc>
        <w:tc>
          <w:tcPr>
            <w:tcW w:w="1583"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0,54</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0,33</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p>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p = 0,008</w:t>
            </w:r>
          </w:p>
        </w:tc>
      </w:tr>
      <w:tr w:rsidR="00DF5828" w:rsidRPr="000F1EAC" w:rsidTr="006C2504">
        <w:tc>
          <w:tcPr>
            <w:tcW w:w="2268" w:type="dxa"/>
          </w:tcPr>
          <w:p w:rsidR="00DF5828" w:rsidRPr="000F1EAC" w:rsidRDefault="00DF5828" w:rsidP="00DF5828">
            <w:pPr>
              <w:tabs>
                <w:tab w:val="left" w:pos="567"/>
              </w:tabs>
              <w:autoSpaceDE w:val="0"/>
              <w:autoSpaceDN w:val="0"/>
              <w:adjustRightInd w:val="0"/>
              <w:spacing w:after="0" w:line="240" w:lineRule="auto"/>
              <w:rPr>
                <w:rFonts w:ascii="Times New Roman" w:hAnsi="Times New Roman"/>
                <w:color w:val="000000"/>
              </w:rPr>
            </w:pPr>
            <w:proofErr w:type="spellStart"/>
            <w:r w:rsidRPr="000F1EAC">
              <w:rPr>
                <w:rFonts w:ascii="Times New Roman" w:hAnsi="Times New Roman"/>
                <w:color w:val="000000"/>
              </w:rPr>
              <w:t>CTx</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kiekis</w:t>
            </w:r>
            <w:proofErr w:type="spellEnd"/>
            <w:r w:rsidRPr="000F1EAC">
              <w:rPr>
                <w:rFonts w:ascii="Times New Roman" w:hAnsi="Times New Roman"/>
                <w:color w:val="000000"/>
              </w:rPr>
              <w:t xml:space="preserve"> </w:t>
            </w:r>
            <w:proofErr w:type="spellStart"/>
            <w:r w:rsidRPr="000F1EAC">
              <w:rPr>
                <w:rFonts w:ascii="Times New Roman" w:hAnsi="Times New Roman"/>
                <w:color w:val="000000"/>
              </w:rPr>
              <w:t>šlapime</w:t>
            </w:r>
            <w:proofErr w:type="spellEnd"/>
            <w:r w:rsidRPr="000F1EAC">
              <w:rPr>
                <w:rFonts w:ascii="Times New Roman" w:hAnsi="Times New Roman"/>
                <w:color w:val="000000"/>
              </w:rPr>
              <w:t>**</w:t>
            </w:r>
          </w:p>
        </w:tc>
        <w:tc>
          <w:tcPr>
            <w:tcW w:w="1583"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10,95</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-77,32</w:t>
            </w:r>
          </w:p>
        </w:tc>
        <w:tc>
          <w:tcPr>
            <w:tcW w:w="1926" w:type="dxa"/>
          </w:tcPr>
          <w:p w:rsidR="00DF5828" w:rsidRPr="000F1EAC" w:rsidRDefault="00DF5828" w:rsidP="00DF5828">
            <w:pPr>
              <w:tabs>
                <w:tab w:val="left" w:pos="567"/>
              </w:tabs>
              <w:autoSpaceDE w:val="0"/>
              <w:autoSpaceDN w:val="0"/>
              <w:adjustRightInd w:val="0"/>
              <w:spacing w:after="0" w:line="240" w:lineRule="auto"/>
              <w:jc w:val="center"/>
              <w:rPr>
                <w:rFonts w:ascii="Times New Roman" w:hAnsi="Times New Roman"/>
                <w:color w:val="000000"/>
              </w:rPr>
            </w:pPr>
            <w:r w:rsidRPr="000F1EAC">
              <w:rPr>
                <w:rFonts w:ascii="Times New Roman" w:hAnsi="Times New Roman"/>
                <w:color w:val="000000"/>
              </w:rPr>
              <w:t>p = 0,001</w:t>
            </w:r>
          </w:p>
        </w:tc>
      </w:tr>
    </w:tbl>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color w:val="000000"/>
        </w:rPr>
        <w:t>*</w:t>
      </w:r>
      <w:r w:rsidRPr="00DF5828">
        <w:rPr>
          <w:rFonts w:ascii="Times New Roman" w:hAnsi="Times New Roman"/>
          <w:lang w:val="lt-LT"/>
        </w:rPr>
        <w:t xml:space="preserve"> Vidurkio pokytis nuo pradžios iki paskutinio tyrimo</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color w:val="000000"/>
          <w:lang w:val="lt-LT"/>
        </w:rPr>
        <w:t>**</w:t>
      </w:r>
      <w:r w:rsidRPr="00DF5828">
        <w:rPr>
          <w:rFonts w:ascii="Times New Roman" w:hAnsi="Times New Roman"/>
          <w:lang w:val="lt-LT"/>
        </w:rPr>
        <w:t xml:space="preserve"> Medianos pokytis nuo pradžios iki paskutinio tyrimo</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Vaikų populiacija</w:t>
      </w:r>
      <w:r w:rsidRPr="00DF5828">
        <w:rPr>
          <w:rFonts w:ascii="Times New Roman" w:eastAsia="Times New Roman" w:hAnsi="Times New Roman"/>
          <w:i/>
          <w:lang w:val="lt-LT"/>
        </w:rPr>
        <w:t xml:space="preserve"> (žr. 4.2 ir 5.2 skyrius)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50 mg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vartojimo saugumas ir veiksmingumas vaikams ir paaugliams, jaunesniems kaip 18 metų, nenustatytas. Neturima duomenų.</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5.2</w:t>
      </w:r>
      <w:r w:rsidRPr="00DF5828">
        <w:rPr>
          <w:rFonts w:ascii="Times New Roman" w:hAnsi="Times New Roman"/>
          <w:b/>
          <w:lang w:val="lt-LT"/>
        </w:rPr>
        <w:tab/>
        <w:t>Farmakokinetinės savybės</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Absorbcija</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Išgerta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greitai absorbuojama viršutinėje virškinimo trakto dalyje. Jos išgėrus nevalgius, didžiausia koncentracija kraujo plazmoje atsirado po 0,5 – 1 val. (mediana: 1 val.), absoliutus biologinis prieinamumas buvo maždaug 0,6</w:t>
      </w:r>
      <w:r w:rsidRPr="00DF5828">
        <w:rPr>
          <w:rFonts w:ascii="Times New Roman" w:hAnsi="Times New Roman"/>
          <w:lang w:val="lt-LT"/>
        </w:rPr>
        <w:sym w:font="Symbol" w:char="F025"/>
      </w:r>
      <w:r w:rsidRPr="00DF5828">
        <w:rPr>
          <w:rFonts w:ascii="Times New Roman" w:hAnsi="Times New Roman"/>
          <w:lang w:val="lt-LT"/>
        </w:rPr>
        <w:t xml:space="preserve">. Išgėrus kartu su maistu arba gėrimais (kitokiais negu paprastas vanduo), absorbcijos apimtis sumažėja.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išgertos valgant įprastinius pusryčius metu, biologinis prieinamumas yra maždaug 90</w:t>
      </w:r>
      <w:r w:rsidRPr="00DF5828">
        <w:rPr>
          <w:rFonts w:ascii="Times New Roman" w:hAnsi="Times New Roman"/>
          <w:lang w:val="lt-LT"/>
        </w:rPr>
        <w:sym w:font="Symbol" w:char="F025"/>
      </w:r>
      <w:r w:rsidRPr="00DF5828">
        <w:rPr>
          <w:rFonts w:ascii="Times New Roman" w:hAnsi="Times New Roman"/>
          <w:lang w:val="lt-LT"/>
        </w:rPr>
        <w:t xml:space="preserve"> mažesnis, palyginti su išgertos nevalgius. Jeigu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geriama likus 30 min. iki valgio, biologinis prieinamumas sumažėja apie 30</w:t>
      </w:r>
      <w:r w:rsidRPr="00DF5828">
        <w:rPr>
          <w:rFonts w:ascii="Times New Roman" w:hAnsi="Times New Roman"/>
          <w:lang w:val="lt-LT"/>
        </w:rPr>
        <w:sym w:font="Symbol" w:char="F025"/>
      </w:r>
      <w:r w:rsidRPr="00DF5828">
        <w:rPr>
          <w:rFonts w:ascii="Times New Roman" w:hAnsi="Times New Roman"/>
          <w:lang w:val="lt-LT"/>
        </w:rPr>
        <w:t xml:space="preserve">. Jeigu ji geriama likus 60 min. iki valgio, reikšmingai biologinis prieinamumas nesumažėja.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išgėrus praėjus 2 val. po įprasto valgio, biologinis prieinamumas sumažėjo maždaug 75</w:t>
      </w:r>
      <w:r w:rsidRPr="00DF5828">
        <w:rPr>
          <w:rFonts w:ascii="Times New Roman" w:hAnsi="Times New Roman"/>
          <w:lang w:val="lt-LT"/>
        </w:rPr>
        <w:sym w:font="Symbol" w:char="F025"/>
      </w:r>
      <w:r w:rsidRPr="00DF5828">
        <w:rPr>
          <w:rFonts w:ascii="Times New Roman" w:hAnsi="Times New Roman"/>
          <w:lang w:val="lt-LT"/>
        </w:rPr>
        <w:t xml:space="preserve">, todėl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tabletes rekomenduojama gerti nevalgius visą naktį (ne mažiau kaip 6 val.) ir nevalgyti ne mažiau kaip 30 min. po tabletės pavartojimo (žr. 4.2 skyrių).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Pasiskirstymas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Po pradinės sisteminės ekspozicijos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greitai prisijungia prie kaulų arba išsiskiria su šlapimu. Žmogaus organizme tariamas galutinis pasiskirstymo tūris yra ne mažesnis kaip 90 l, į kaulus patenka 40</w:t>
      </w:r>
      <w:r w:rsidRPr="00DF5828">
        <w:rPr>
          <w:rFonts w:ascii="Times New Roman" w:hAnsi="Times New Roman"/>
          <w:lang w:val="lt-LT"/>
        </w:rPr>
        <w:sym w:font="Symbol" w:char="F025"/>
      </w:r>
      <w:r w:rsidRPr="00DF5828">
        <w:rPr>
          <w:rFonts w:ascii="Times New Roman" w:hAnsi="Times New Roman"/>
          <w:lang w:val="lt-LT"/>
        </w:rPr>
        <w:t> </w:t>
      </w:r>
      <w:r w:rsidRPr="00DF5828">
        <w:rPr>
          <w:rFonts w:ascii="Times New Roman" w:hAnsi="Times New Roman"/>
          <w:lang w:val="lt-LT"/>
        </w:rPr>
        <w:sym w:font="Symbol" w:char="F02D"/>
      </w:r>
      <w:r w:rsidRPr="00DF5828">
        <w:rPr>
          <w:rFonts w:ascii="Times New Roman" w:hAnsi="Times New Roman"/>
          <w:lang w:val="lt-LT"/>
        </w:rPr>
        <w:t> 50</w:t>
      </w:r>
      <w:r w:rsidRPr="00DF5828">
        <w:rPr>
          <w:rFonts w:ascii="Times New Roman" w:hAnsi="Times New Roman"/>
          <w:lang w:val="lt-LT"/>
        </w:rPr>
        <w:sym w:font="Symbol" w:char="F025"/>
      </w:r>
      <w:r w:rsidRPr="00DF5828">
        <w:rPr>
          <w:rFonts w:ascii="Times New Roman" w:hAnsi="Times New Roman"/>
          <w:lang w:val="lt-LT"/>
        </w:rPr>
        <w:t xml:space="preserve"> kraujyje esančio kiekio. Kai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koncentracija kraujyje yra terapinė, prie žmogaus kraujo plazmos baltymų jos prisijungia maždaug 87</w:t>
      </w:r>
      <w:r w:rsidRPr="00DF5828">
        <w:rPr>
          <w:rFonts w:ascii="Times New Roman" w:hAnsi="Times New Roman"/>
          <w:lang w:val="lt-LT"/>
        </w:rPr>
        <w:sym w:font="Symbol" w:char="F025"/>
      </w:r>
      <w:r w:rsidRPr="00DF5828">
        <w:rPr>
          <w:rFonts w:ascii="Times New Roman" w:hAnsi="Times New Roman"/>
          <w:lang w:val="lt-LT"/>
        </w:rPr>
        <w:t xml:space="preserve">, todėl sąveika su kitais vaistiniais preparatais dėl išstūmimo iš junginių su baltymais nėra tikėtina.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Biotransformacija</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Kad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būtų </w:t>
      </w:r>
      <w:proofErr w:type="spellStart"/>
      <w:r w:rsidRPr="00DF5828">
        <w:rPr>
          <w:rFonts w:ascii="Times New Roman" w:hAnsi="Times New Roman"/>
          <w:lang w:val="lt-LT"/>
        </w:rPr>
        <w:t>metabolizuojama</w:t>
      </w:r>
      <w:proofErr w:type="spellEnd"/>
      <w:r w:rsidRPr="00DF5828">
        <w:rPr>
          <w:rFonts w:ascii="Times New Roman" w:hAnsi="Times New Roman"/>
          <w:lang w:val="lt-LT"/>
        </w:rPr>
        <w:t xml:space="preserve"> gyvūnų ar žmogaus organizme, įrodymų nėra.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Eliminacija</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Absorbuota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dalis iš kraujotakos pašalinama absorbcija į kaulus (40</w:t>
      </w:r>
      <w:r w:rsidRPr="00DF5828">
        <w:rPr>
          <w:rFonts w:ascii="Times New Roman" w:hAnsi="Times New Roman"/>
          <w:lang w:val="lt-LT"/>
        </w:rPr>
        <w:sym w:font="Symbol" w:char="F025"/>
      </w:r>
      <w:r w:rsidRPr="00DF5828">
        <w:rPr>
          <w:rFonts w:ascii="Times New Roman" w:hAnsi="Times New Roman"/>
          <w:lang w:val="lt-LT"/>
        </w:rPr>
        <w:t> </w:t>
      </w:r>
      <w:r w:rsidRPr="00DF5828">
        <w:rPr>
          <w:rFonts w:ascii="Times New Roman" w:hAnsi="Times New Roman"/>
          <w:lang w:val="lt-LT"/>
        </w:rPr>
        <w:sym w:font="Symbol" w:char="F02D"/>
      </w:r>
      <w:r w:rsidRPr="00DF5828">
        <w:rPr>
          <w:rFonts w:ascii="Times New Roman" w:hAnsi="Times New Roman"/>
          <w:lang w:val="lt-LT"/>
        </w:rPr>
        <w:t> 50</w:t>
      </w:r>
      <w:r w:rsidRPr="00DF5828">
        <w:rPr>
          <w:rFonts w:ascii="Times New Roman" w:hAnsi="Times New Roman"/>
          <w:lang w:val="lt-LT"/>
        </w:rPr>
        <w:sym w:font="Symbol" w:char="F025"/>
      </w:r>
      <w:r w:rsidRPr="00DF5828">
        <w:rPr>
          <w:rFonts w:ascii="Times New Roman" w:hAnsi="Times New Roman"/>
          <w:lang w:val="lt-LT"/>
        </w:rPr>
        <w:t xml:space="preserve">), likęs kiekis </w:t>
      </w:r>
      <w:r w:rsidRPr="00DF5828">
        <w:rPr>
          <w:rFonts w:ascii="Times New Roman" w:hAnsi="Times New Roman"/>
          <w:lang w:val="lt-LT"/>
        </w:rPr>
        <w:sym w:font="Symbol" w:char="F02D"/>
      </w:r>
      <w:r w:rsidRPr="00DF5828">
        <w:rPr>
          <w:rFonts w:ascii="Times New Roman" w:hAnsi="Times New Roman"/>
          <w:lang w:val="lt-LT"/>
        </w:rPr>
        <w:t xml:space="preserve"> eliminuojamas pro inkstus nepakitusio preparato pavidalu. Neabsorbuota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dalis eliminuojama su išmatomis nepakitusio preparato pavidalu.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Nustatyto tariamo pusinės eliminacijos laiko ribos yra plačios ir priklauso nuo dozės dydžio ir tyrimo jautrumo, tačiau paprastai tariamas galutinės pusinės eliminacijos laikas yra 10 – 60 val., tačiau pradinis kiekis kraujo plazmoje mažėja greitai. Vaistinio preparato suleidus į veną arba išgėrus, jo kiekis kraujo plazmoje iki 10</w:t>
      </w:r>
      <w:r w:rsidRPr="00DF5828">
        <w:rPr>
          <w:rFonts w:ascii="Times New Roman" w:hAnsi="Times New Roman"/>
          <w:lang w:val="lt-LT"/>
        </w:rPr>
        <w:sym w:font="Symbol" w:char="F025"/>
      </w:r>
      <w:r w:rsidRPr="00DF5828">
        <w:rPr>
          <w:rFonts w:ascii="Times New Roman" w:hAnsi="Times New Roman"/>
          <w:lang w:val="lt-LT"/>
        </w:rPr>
        <w:t xml:space="preserve"> didžiausio sumažėja atitinkamai per 3 val. ir 8 val.</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Bendras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klirensas yra mažas, maždaug 84 – 160 ml/min. Klirensas inkstuose (sveikų moterų po menopauzės organizme </w:t>
      </w:r>
      <w:r w:rsidRPr="00DF5828">
        <w:rPr>
          <w:rFonts w:ascii="Times New Roman" w:hAnsi="Times New Roman"/>
          <w:lang w:val="lt-LT"/>
        </w:rPr>
        <w:sym w:font="Symbol" w:char="F02D"/>
      </w:r>
      <w:r w:rsidRPr="00DF5828">
        <w:rPr>
          <w:rFonts w:ascii="Times New Roman" w:hAnsi="Times New Roman"/>
          <w:lang w:val="lt-LT"/>
        </w:rPr>
        <w:t xml:space="preserve"> apie 60 ml/min.) sudaro 50 - 60</w:t>
      </w:r>
      <w:r w:rsidRPr="00DF5828">
        <w:rPr>
          <w:rFonts w:ascii="Times New Roman" w:hAnsi="Times New Roman"/>
          <w:lang w:val="lt-LT"/>
        </w:rPr>
        <w:sym w:font="Symbol" w:char="F025"/>
      </w:r>
      <w:r w:rsidRPr="00DF5828">
        <w:rPr>
          <w:rFonts w:ascii="Times New Roman" w:hAnsi="Times New Roman"/>
          <w:lang w:val="lt-LT"/>
        </w:rPr>
        <w:t xml:space="preserve"> bendro klirenso ir yra susijęs su kreatinino klirensu. Manoma, kad skirtumas tarp tariamo bendro klirenso ir klirenso inkstuose atspindi vaistinio preparato patekimą į kaulus.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 xml:space="preserve">Atrodo, kad sekrecijoje nedalyvauja žinomos rūgščių ar šarmų transporto sistemos, dalyvaujančios šalinant kitas veikliąsias medžiagas. Be to, </w:t>
      </w:r>
      <w:proofErr w:type="spellStart"/>
      <w:r w:rsidRPr="00DF5828">
        <w:rPr>
          <w:rFonts w:ascii="Times New Roman" w:eastAsia="Times New Roman" w:hAnsi="Times New Roman"/>
          <w:lang w:val="lt-LT"/>
        </w:rPr>
        <w:t>ibandrono</w:t>
      </w:r>
      <w:proofErr w:type="spellEnd"/>
      <w:r w:rsidRPr="00DF5828">
        <w:rPr>
          <w:rFonts w:ascii="Times New Roman" w:eastAsia="Times New Roman" w:hAnsi="Times New Roman"/>
          <w:lang w:val="lt-LT"/>
        </w:rPr>
        <w:t xml:space="preserve"> rūgštis neslopina daugumos žmogaus kepenų P450 izofermentų bei neindukuoja žiurkių kepenų citochromų P450.</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i/>
          <w:u w:val="single"/>
          <w:lang w:val="lt-LT"/>
        </w:rPr>
      </w:pPr>
      <w:r w:rsidRPr="00DF5828">
        <w:rPr>
          <w:rFonts w:ascii="Times New Roman" w:hAnsi="Times New Roman"/>
          <w:i/>
          <w:u w:val="single"/>
          <w:lang w:val="lt-LT"/>
        </w:rPr>
        <w:t>Farmakokinetika specialių grupių pacientų organizme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Lytis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Vyrų ir moterų organizme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biologinis prieinamumas ir farmakokinetika yra panašūs.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Rasė</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Kad Azijos mongolidų ar europidų rasės asmenų organizme būtų kliniškai reikšmingų etninių farmakokinetikos skirtumų, įrodymų nėra. Apie farmakokinetiką negridų rasės pacientų organizme duomenų yra tik labai mažai.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Pacientai, kurių inkstų funkcija sutrikusi</w:t>
      </w:r>
    </w:p>
    <w:p w:rsidR="00DF5828" w:rsidRPr="00DF5828" w:rsidRDefault="00DF5828" w:rsidP="00DF5828">
      <w:pPr>
        <w:tabs>
          <w:tab w:val="left" w:pos="567"/>
        </w:tabs>
        <w:spacing w:after="0" w:line="240" w:lineRule="exact"/>
        <w:rPr>
          <w:rFonts w:ascii="Times New Roman" w:hAnsi="Times New Roman"/>
          <w:lang w:val="lt-LT"/>
        </w:rPr>
      </w:pPr>
      <w:proofErr w:type="spellStart"/>
      <w:r w:rsidRPr="00DF5828">
        <w:rPr>
          <w:rFonts w:ascii="Times New Roman" w:hAnsi="Times New Roman"/>
          <w:spacing w:val="-3"/>
          <w:lang w:val="lt-LT"/>
        </w:rPr>
        <w:t>Ibandrono</w:t>
      </w:r>
      <w:proofErr w:type="spellEnd"/>
      <w:r w:rsidRPr="00DF5828">
        <w:rPr>
          <w:rFonts w:ascii="Times New Roman" w:hAnsi="Times New Roman"/>
          <w:spacing w:val="-3"/>
          <w:lang w:val="lt-LT"/>
        </w:rPr>
        <w:t xml:space="preserve"> rūgšties ekspozicija pacientams, kuriems yra įvairaus laipsnio inkstų pažeidimas, yra </w:t>
      </w:r>
      <w:r w:rsidRPr="00DF5828">
        <w:rPr>
          <w:rFonts w:ascii="Times New Roman" w:hAnsi="Times New Roman"/>
          <w:spacing w:val="-4"/>
          <w:lang w:val="lt-LT"/>
        </w:rPr>
        <w:t>proporcingas kreatinino klirensui (KK).</w:t>
      </w:r>
      <w:r w:rsidRPr="00DF5828">
        <w:rPr>
          <w:rFonts w:ascii="Times New Roman" w:hAnsi="Times New Roman"/>
          <w:lang w:val="lt-LT"/>
        </w:rPr>
        <w:t xml:space="preserve"> </w:t>
      </w:r>
      <w:r w:rsidRPr="00DF5828">
        <w:rPr>
          <w:rFonts w:ascii="Times New Roman" w:hAnsi="Times New Roman"/>
          <w:spacing w:val="-3"/>
          <w:lang w:val="lt-LT"/>
        </w:rPr>
        <w:t xml:space="preserve">Tiriamiesiems, kuriems buvo sunkus inkstų pažeidimas (kreatinino klirensas mažesnis kaip 30 ml/min.), 21 dieną geriant po 10 mg </w:t>
      </w:r>
      <w:proofErr w:type="spellStart"/>
      <w:r w:rsidRPr="00DF5828">
        <w:rPr>
          <w:rFonts w:ascii="Times New Roman" w:hAnsi="Times New Roman"/>
          <w:spacing w:val="-3"/>
          <w:lang w:val="lt-LT"/>
        </w:rPr>
        <w:t>ibandrono</w:t>
      </w:r>
      <w:proofErr w:type="spellEnd"/>
      <w:r w:rsidRPr="00DF5828">
        <w:rPr>
          <w:rFonts w:ascii="Times New Roman" w:hAnsi="Times New Roman"/>
          <w:spacing w:val="-3"/>
          <w:lang w:val="lt-LT"/>
        </w:rPr>
        <w:t xml:space="preserve"> rūgšties, buvo nustatyta 2–3 kartus didesnė preparato koncentracija plazmoje negu tiriamiesiems, kurių inkstų funkcija normali (kreatinino klirensas didesnis kaip 80 ml/min.),</w:t>
      </w:r>
      <w:r w:rsidRPr="00DF5828">
        <w:rPr>
          <w:rFonts w:ascii="Times New Roman" w:hAnsi="Times New Roman"/>
          <w:lang w:val="lt-LT"/>
        </w:rPr>
        <w:t xml:space="preserve"> </w:t>
      </w:r>
      <w:r w:rsidRPr="00DF5828">
        <w:rPr>
          <w:rFonts w:ascii="Times New Roman" w:hAnsi="Times New Roman"/>
          <w:spacing w:val="-3"/>
          <w:lang w:val="lt-LT"/>
        </w:rPr>
        <w:t xml:space="preserve">o bendrasis </w:t>
      </w:r>
      <w:proofErr w:type="spellStart"/>
      <w:r w:rsidRPr="00DF5828">
        <w:rPr>
          <w:rFonts w:ascii="Times New Roman" w:hAnsi="Times New Roman"/>
          <w:spacing w:val="-3"/>
          <w:lang w:val="lt-LT"/>
        </w:rPr>
        <w:t>ibandrono</w:t>
      </w:r>
      <w:proofErr w:type="spellEnd"/>
      <w:r w:rsidRPr="00DF5828">
        <w:rPr>
          <w:rFonts w:ascii="Times New Roman" w:hAnsi="Times New Roman"/>
          <w:spacing w:val="-3"/>
          <w:lang w:val="lt-LT"/>
        </w:rPr>
        <w:t xml:space="preserve"> rūgšties klirensas buvo 44 ml/min., o palyginti su 129 ml/min. </w:t>
      </w:r>
      <w:proofErr w:type="spellStart"/>
      <w:r w:rsidRPr="00DF5828">
        <w:rPr>
          <w:rFonts w:ascii="Times New Roman" w:hAnsi="Times New Roman"/>
          <w:spacing w:val="-3"/>
          <w:lang w:val="lt-LT"/>
        </w:rPr>
        <w:t>pacietams</w:t>
      </w:r>
      <w:proofErr w:type="spellEnd"/>
      <w:r w:rsidRPr="00DF5828">
        <w:rPr>
          <w:rFonts w:ascii="Times New Roman" w:hAnsi="Times New Roman"/>
          <w:spacing w:val="-3"/>
          <w:lang w:val="lt-LT"/>
        </w:rPr>
        <w:t>, kurių inkstų funkcija normali.</w:t>
      </w:r>
      <w:r w:rsidRPr="00DF5828">
        <w:rPr>
          <w:rFonts w:ascii="Times New Roman" w:hAnsi="Times New Roman"/>
          <w:lang w:val="lt-LT"/>
        </w:rPr>
        <w:t xml:space="preserve"> </w:t>
      </w:r>
    </w:p>
    <w:p w:rsidR="00DF5828" w:rsidRPr="00DF5828" w:rsidRDefault="00DF5828" w:rsidP="00DF5828">
      <w:pPr>
        <w:tabs>
          <w:tab w:val="left" w:pos="567"/>
        </w:tabs>
        <w:spacing w:after="0" w:line="24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Pacientams, kurių inkstų funkcija lengvai ir kreatinino klirensas lygus ar didesnis negu 50 ml/min., bet mažesnis negu 80 ml/min., dozės koreguoti nereikia.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Pacientams, kurių inkstų funkcija vidutiniškai sutrikusi ir kreatinino klirensas lygus ar didesnis negu 30 ml/min., bet mažesnis negu 50 ml/min., ir pacientams, kurių inkstų funkcija labai sutrikusi ir kreatinino klirensas mažesnis negu 30 ml/min., rekomenduojama  koreguoti dozę (žr. 4.2 skyrių).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Pacientai, kurių kepenų funkcija sutrikusi</w:t>
      </w:r>
      <w:r w:rsidRPr="00DF5828">
        <w:rPr>
          <w:rFonts w:ascii="Times New Roman" w:eastAsia="Times New Roman" w:hAnsi="Times New Roman"/>
          <w:i/>
          <w:lang w:val="lt-LT"/>
        </w:rPr>
        <w:t xml:space="preserve"> (žr. 4.2 skyrių)</w:t>
      </w: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w:t>
      </w:r>
      <w:proofErr w:type="spellStart"/>
      <w:r w:rsidRPr="00DF5828">
        <w:rPr>
          <w:rFonts w:ascii="Times New Roman" w:hAnsi="Times New Roman"/>
          <w:lang w:val="lt-LT"/>
        </w:rPr>
        <w:t>farmakokinetikos</w:t>
      </w:r>
      <w:proofErr w:type="spellEnd"/>
      <w:r w:rsidRPr="00DF5828">
        <w:rPr>
          <w:rFonts w:ascii="Times New Roman" w:hAnsi="Times New Roman"/>
          <w:lang w:val="lt-LT"/>
        </w:rPr>
        <w:t xml:space="preserve"> pacientų, kurių kepenų funkcija sutrikusi, organizme duomenų nėra. Kepenys reikšmingos įtakos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klirensui neturi, kadangi ši rūgštis nemetabolizuojama ir iš kraujo pašalinama išskiriant pro inkstus ir patenkant į kaulus. Vadinasi, pacientams, kurių kepenų funkcija sutrikusi, dozavimą keisti nebūtina. Nors esant terapinei koncentracijai kraujyje 87</w:t>
      </w:r>
      <w:r w:rsidRPr="00DF5828">
        <w:rPr>
          <w:rFonts w:ascii="Times New Roman" w:hAnsi="Times New Roman"/>
          <w:lang w:val="lt-LT"/>
        </w:rPr>
        <w:sym w:font="Symbol" w:char="F025"/>
      </w:r>
      <w:r w:rsidRPr="00DF5828">
        <w:rPr>
          <w:rFonts w:ascii="Times New Roman" w:hAnsi="Times New Roman"/>
          <w:lang w:val="lt-LT"/>
        </w:rPr>
        <w:t xml:space="preserve">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prisijungia prie plazmos baltymų, mažai tikėtina, kad sunkia kepenų liga sergančių pacientų </w:t>
      </w:r>
      <w:proofErr w:type="spellStart"/>
      <w:r w:rsidRPr="00DF5828">
        <w:rPr>
          <w:rFonts w:ascii="Times New Roman" w:hAnsi="Times New Roman"/>
          <w:lang w:val="lt-LT"/>
        </w:rPr>
        <w:t>hipoproteinemija</w:t>
      </w:r>
      <w:proofErr w:type="spellEnd"/>
      <w:r w:rsidRPr="00DF5828">
        <w:rPr>
          <w:rFonts w:ascii="Times New Roman" w:hAnsi="Times New Roman"/>
          <w:lang w:val="lt-LT"/>
        </w:rPr>
        <w:t xml:space="preserve"> galėtų lemti kliniškai reikšmingą laisvos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koncentracijos padidėjimą kraujo plazmoje.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Senyvi žmonės</w:t>
      </w:r>
      <w:r w:rsidRPr="00DF5828">
        <w:rPr>
          <w:rFonts w:ascii="Times New Roman" w:eastAsia="Times New Roman" w:hAnsi="Times New Roman"/>
          <w:i/>
          <w:lang w:val="lt-LT"/>
        </w:rPr>
        <w:t xml:space="preserve"> (žr. 4.2 skyrių)</w:t>
      </w:r>
    </w:p>
    <w:p w:rsidR="00DF5828" w:rsidRPr="00DF5828" w:rsidRDefault="00DF5828" w:rsidP="00DF5828">
      <w:pPr>
        <w:tabs>
          <w:tab w:val="left" w:pos="567"/>
        </w:tabs>
        <w:spacing w:after="0" w:line="260" w:lineRule="exact"/>
        <w:rPr>
          <w:rFonts w:ascii="Times New Roman" w:hAnsi="Times New Roman"/>
          <w:i/>
          <w:lang w:val="lt-LT"/>
        </w:rPr>
      </w:pPr>
      <w:proofErr w:type="spellStart"/>
      <w:r w:rsidRPr="00DF5828">
        <w:rPr>
          <w:rFonts w:ascii="Times New Roman" w:hAnsi="Times New Roman"/>
          <w:lang w:val="lt-LT"/>
        </w:rPr>
        <w:t>Disersinės</w:t>
      </w:r>
      <w:proofErr w:type="spellEnd"/>
      <w:r w:rsidRPr="00DF5828">
        <w:rPr>
          <w:rFonts w:ascii="Times New Roman" w:hAnsi="Times New Roman"/>
          <w:lang w:val="lt-LT"/>
        </w:rPr>
        <w:t xml:space="preserve"> analizės duomenimis, amžius nėra nė vieno tirto farmakokinetikos parametro nepriklausomas veiksnys. Kadangi inkstų funkcija su amžiumi silpnėja, reikia atsižvelgti tik į šį veiksnį (žr. poskyrį „Pacientai, kurių inkstų funkcija sutrikusi“).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Vaikų populiacija</w:t>
      </w:r>
      <w:r w:rsidRPr="00DF5828">
        <w:rPr>
          <w:rFonts w:ascii="Times New Roman" w:eastAsia="Times New Roman" w:hAnsi="Times New Roman"/>
          <w:i/>
          <w:lang w:val="lt-LT"/>
        </w:rPr>
        <w:t xml:space="preserve"> (žr. 4.2 ir 5.1 skyrių)</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Apie jaunesnių kaip 18 metų pacientų gydymą </w:t>
      </w:r>
      <w:proofErr w:type="spellStart"/>
      <w:r w:rsidRPr="00DF5828">
        <w:rPr>
          <w:rFonts w:ascii="Times New Roman" w:hAnsi="Times New Roman"/>
          <w:lang w:val="lt-LT"/>
        </w:rPr>
        <w:t>ibandronato</w:t>
      </w:r>
      <w:proofErr w:type="spellEnd"/>
      <w:r w:rsidRPr="00DF5828">
        <w:rPr>
          <w:rFonts w:ascii="Times New Roman" w:hAnsi="Times New Roman"/>
          <w:lang w:val="lt-LT"/>
        </w:rPr>
        <w:t xml:space="preserve"> rūgštimi duomenų nėra. </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5.3</w:t>
      </w:r>
      <w:r w:rsidRPr="00DF5828">
        <w:rPr>
          <w:rFonts w:ascii="Times New Roman" w:hAnsi="Times New Roman"/>
          <w:b/>
          <w:lang w:val="lt-LT"/>
        </w:rPr>
        <w:tab/>
        <w:t>Ikiklinikinių saugumo tyrimų duomenys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Ikiklinikinių tyrimų metu poveikis pastebėtas tik kai ekspozicija buvo tokia, kuri laikoma pakankamai viršijančia maksimalią žmogui, todėl jo klinikinė reikšmė yra maža. Kaip ir kitų </w:t>
      </w:r>
      <w:proofErr w:type="spellStart"/>
      <w:r w:rsidRPr="00DF5828">
        <w:rPr>
          <w:rFonts w:ascii="Times New Roman" w:hAnsi="Times New Roman"/>
          <w:lang w:val="lt-LT"/>
        </w:rPr>
        <w:t>bisfosfonatų</w:t>
      </w:r>
      <w:proofErr w:type="spellEnd"/>
      <w:r w:rsidRPr="00DF5828">
        <w:rPr>
          <w:rFonts w:ascii="Times New Roman" w:hAnsi="Times New Roman"/>
          <w:lang w:val="lt-LT"/>
        </w:rPr>
        <w:t>, svarbiausias sisteminio toksinio poveikio organas-taikinys yra inkstai.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Mutageninis ir kancerogeninis aktyvumas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Kancerogeninio aktyvumo įrodymų negauta. Genotoksinio poveikio tyrimų metu genetinio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aktyvumo įrodymų negauta.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Toksinis poveikis reprodukcijai</w:t>
      </w: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lang w:val="lt-LT"/>
        </w:rPr>
        <w:t xml:space="preserve">Vartojant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rūgštį į veną ir girdant ja žiurkes ir triušius, nepastebėta teratogeninio ir toksinio poveikio vaisiui. </w:t>
      </w:r>
      <w:r w:rsidRPr="00DF5828">
        <w:rPr>
          <w:rFonts w:ascii="Times New Roman" w:hAnsi="Times New Roman"/>
          <w:spacing w:val="-3"/>
          <w:lang w:val="lt-LT"/>
        </w:rPr>
        <w:t xml:space="preserve">Tiriant toksiškumą reprodukcijai, žiurkėms sugirdžius 1 mg/kg kūno svorio ir didesnes paros dozes, poveikis vaikingumui pasireiškė padidėjusia embrionų žūtimi prieš implantaciją, Tiriant toksiškumą reprodukcijai, žiurkių patinams į veną sušvirkštus 0,3 mg/kg kūno svorio per parą, sumažėjo spermos kiekis, o patinų ir patelių vaikingumas sumažėjo sušvirkštus atitinkamai 1 mg/kg kūno svorio ir 1,2 mg/kg kūno svorio per parą. Tiriant toksiškumą žiurkių reprodukcijai, nustatyta nepageidaujamų reiškinių, būdingų </w:t>
      </w:r>
      <w:proofErr w:type="spellStart"/>
      <w:r w:rsidRPr="00DF5828">
        <w:rPr>
          <w:rFonts w:ascii="Times New Roman" w:hAnsi="Times New Roman"/>
          <w:spacing w:val="-3"/>
          <w:lang w:val="lt-LT"/>
        </w:rPr>
        <w:t>bisfosfonatų</w:t>
      </w:r>
      <w:proofErr w:type="spellEnd"/>
      <w:r w:rsidRPr="00DF5828">
        <w:rPr>
          <w:rFonts w:ascii="Times New Roman" w:hAnsi="Times New Roman"/>
          <w:spacing w:val="-3"/>
          <w:lang w:val="lt-LT"/>
        </w:rPr>
        <w:t xml:space="preserve"> klasės vaistams.</w:t>
      </w:r>
      <w:r w:rsidRPr="00DF5828">
        <w:rPr>
          <w:rFonts w:ascii="Times New Roman" w:hAnsi="Times New Roman"/>
          <w:lang w:val="lt-LT"/>
        </w:rPr>
        <w:t xml:space="preserve"> </w:t>
      </w:r>
      <w:r w:rsidRPr="00DF5828">
        <w:rPr>
          <w:rFonts w:ascii="Times New Roman" w:hAnsi="Times New Roman"/>
          <w:spacing w:val="-3"/>
          <w:lang w:val="lt-LT"/>
        </w:rPr>
        <w:t>Tai sumažėjęs implantacijos vietų skaičius, pasunkėjęs natūralus jauniklių atsivedimas (</w:t>
      </w:r>
      <w:proofErr w:type="spellStart"/>
      <w:r w:rsidRPr="00DF5828">
        <w:rPr>
          <w:rFonts w:ascii="Times New Roman" w:hAnsi="Times New Roman"/>
          <w:spacing w:val="-3"/>
          <w:lang w:val="lt-LT"/>
        </w:rPr>
        <w:t>distocija</w:t>
      </w:r>
      <w:proofErr w:type="spellEnd"/>
      <w:r w:rsidRPr="00DF5828">
        <w:rPr>
          <w:rFonts w:ascii="Times New Roman" w:hAnsi="Times New Roman"/>
          <w:spacing w:val="-3"/>
          <w:lang w:val="lt-LT"/>
        </w:rPr>
        <w:t xml:space="preserve">), padažnėję vidaus organų pokyčiai (inkstų geldelių ir </w:t>
      </w:r>
      <w:r w:rsidRPr="00DF5828">
        <w:rPr>
          <w:rFonts w:ascii="Times New Roman" w:hAnsi="Times New Roman"/>
          <w:spacing w:val="-4"/>
          <w:lang w:val="lt-LT"/>
        </w:rPr>
        <w:t>šlapimtakių sindromas) ir dantų anomalijos F1 kartos žiurkių jaunikliams.</w:t>
      </w:r>
      <w:r w:rsidRPr="00DF5828">
        <w:rPr>
          <w:rFonts w:ascii="Times New Roman" w:hAnsi="Times New Roman"/>
          <w:lang w:val="lt-LT"/>
        </w:rPr>
        <w:t xml:space="preserve">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6.</w:t>
      </w:r>
      <w:r w:rsidRPr="00DF5828">
        <w:rPr>
          <w:rFonts w:ascii="Times New Roman" w:hAnsi="Times New Roman"/>
          <w:b/>
          <w:lang w:val="lt-LT"/>
        </w:rPr>
        <w:tab/>
      </w:r>
      <w:r w:rsidRPr="00DF5828">
        <w:rPr>
          <w:rFonts w:ascii="Times New Roman" w:hAnsi="Times New Roman"/>
          <w:b/>
          <w:caps/>
          <w:lang w:val="lt-LT"/>
        </w:rPr>
        <w:t>farmacinė informacija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6.1</w:t>
      </w:r>
      <w:r w:rsidRPr="00DF5828">
        <w:rPr>
          <w:rFonts w:ascii="Times New Roman" w:hAnsi="Times New Roman"/>
          <w:b/>
          <w:lang w:val="lt-LT"/>
        </w:rPr>
        <w:tab/>
        <w:t>Pagalbinių medžiagų sąrašas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Tabletės branduolys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Laktozė monohidratas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Krospovidonas (E 1202)</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Mikrokristalinė celiuliozė (E 460)</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Bevandenis koloidinis silicio dioksidas (E 551)</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Natrio stearilfumaratas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Tabletės plėvelė</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Polivinilo alkoholis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Makrogolis 3350</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Talkas (E 553b)</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Titano dioksidas (E 171)</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6.2</w:t>
      </w:r>
      <w:r w:rsidRPr="00DF5828">
        <w:rPr>
          <w:rFonts w:ascii="Times New Roman" w:hAnsi="Times New Roman"/>
          <w:b/>
          <w:lang w:val="lt-LT"/>
        </w:rPr>
        <w:tab/>
        <w:t>Nesuderinamumas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Duomenys nebūtini.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6.3</w:t>
      </w:r>
      <w:r w:rsidRPr="00DF5828">
        <w:rPr>
          <w:rFonts w:ascii="Times New Roman" w:hAnsi="Times New Roman"/>
          <w:b/>
          <w:lang w:val="lt-LT"/>
        </w:rPr>
        <w:tab/>
        <w:t>Tinkamumo laikas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3 metai (PVC/PVDC:Aliuminio lizdinės plokštelės)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2 metai (OPA/Aliuminio/PVC:Aliuminio lizdinės plokštelės)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6.4</w:t>
      </w:r>
      <w:r w:rsidRPr="00DF5828">
        <w:rPr>
          <w:rFonts w:ascii="Times New Roman" w:hAnsi="Times New Roman"/>
          <w:b/>
          <w:lang w:val="lt-LT"/>
        </w:rPr>
        <w:tab/>
        <w:t>Specialios laikymo sąlygos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Šiam vaistiniam preparatui specialių laikymo sąlygų nereikia.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6.5</w:t>
      </w:r>
      <w:r w:rsidRPr="00DF5828">
        <w:rPr>
          <w:rFonts w:ascii="Times New Roman" w:hAnsi="Times New Roman"/>
          <w:b/>
          <w:lang w:val="lt-LT"/>
        </w:rPr>
        <w:tab/>
      </w:r>
      <w:proofErr w:type="spellStart"/>
      <w:r w:rsidR="006C2504">
        <w:rPr>
          <w:rFonts w:ascii="Times New Roman" w:eastAsia="Times New Roman" w:hAnsi="Times New Roman"/>
          <w:b/>
          <w:bCs/>
          <w:lang w:val="lt-LT"/>
        </w:rPr>
        <w:t>T</w:t>
      </w:r>
      <w:r w:rsidRPr="00DF5828">
        <w:rPr>
          <w:rFonts w:ascii="Times New Roman" w:eastAsia="Times New Roman" w:hAnsi="Times New Roman"/>
          <w:b/>
          <w:bCs/>
          <w:lang w:val="lt-LT"/>
        </w:rPr>
        <w:t>alpyklės</w:t>
      </w:r>
      <w:proofErr w:type="spellEnd"/>
      <w:r w:rsidRPr="00DF5828">
        <w:rPr>
          <w:rFonts w:ascii="Times New Roman" w:eastAsia="Times New Roman" w:hAnsi="Times New Roman"/>
          <w:b/>
          <w:bCs/>
          <w:lang w:val="lt-LT"/>
        </w:rPr>
        <w:t xml:space="preserve"> pobūdis</w:t>
      </w:r>
      <w:r w:rsidRPr="00DF5828">
        <w:rPr>
          <w:rFonts w:ascii="Times New Roman" w:hAnsi="Times New Roman"/>
          <w:b/>
          <w:lang w:val="lt-LT"/>
        </w:rPr>
        <w:t xml:space="preserve"> ir jos turinys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OPA/Aliuminio/PVC: Aliuminio lizdinių plokštelių kartono dėžutė, kurioje yra 1, 3, 7, 10, 14, 20, 21, 28, 30, 42, 50, 56, 60, 84, 90, 100, 126, 168 arba 210 tablečių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PVC/PVDC: Aliuminio lizdinių plokštelių kartono dėžutė, kurioje yra 1, 3, 7, 10, 14, 20, 21, 28, 30, 42, 50, 56, 60, 84, 90, 100, 126, 168 arba 210 tablečių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Gali būti tiekiamos ne visų dydžių pakuotės.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6.6</w:t>
      </w:r>
      <w:r w:rsidRPr="00DF5828">
        <w:rPr>
          <w:rFonts w:ascii="Times New Roman" w:hAnsi="Times New Roman"/>
          <w:b/>
          <w:lang w:val="lt-LT"/>
        </w:rPr>
        <w:tab/>
      </w:r>
      <w:r w:rsidRPr="00DF5828">
        <w:rPr>
          <w:rFonts w:ascii="Times New Roman" w:hAnsi="Times New Roman"/>
          <w:b/>
          <w:color w:val="000000"/>
          <w:lang w:val="lt-LT"/>
        </w:rPr>
        <w:t>Specialūs reikalavimai atliekoms tvarkyti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Nesuvartotą vaistinį preparatą ir atliekas reikia tvarkyti laikantis vietinių reikalavimų. Vaistinio preparato patekimą į aplinką būtina kiek įmanoma sumažinti.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7.</w:t>
      </w:r>
      <w:r w:rsidRPr="00DF5828">
        <w:rPr>
          <w:rFonts w:ascii="Times New Roman" w:hAnsi="Times New Roman"/>
          <w:b/>
          <w:lang w:val="lt-LT"/>
        </w:rPr>
        <w:tab/>
      </w:r>
      <w:r w:rsidRPr="00DF5828">
        <w:rPr>
          <w:rFonts w:ascii="Times New Roman" w:hAnsi="Times New Roman"/>
          <w:b/>
          <w:caps/>
          <w:lang w:val="lt-LT"/>
        </w:rPr>
        <w:t>R</w:t>
      </w:r>
      <w:r w:rsidR="006C2504">
        <w:rPr>
          <w:rFonts w:ascii="Times New Roman" w:hAnsi="Times New Roman"/>
          <w:b/>
          <w:caps/>
          <w:lang w:val="lt-LT"/>
        </w:rPr>
        <w:t>EGISTRUOTOJAS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Actavis Group PTC ehf</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Reykjavíkurvegi 76-78, 220 Hafnarfjörður</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Islandija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8.</w:t>
      </w:r>
      <w:r w:rsidRPr="00DF5828">
        <w:rPr>
          <w:rFonts w:ascii="Times New Roman" w:hAnsi="Times New Roman"/>
          <w:b/>
          <w:lang w:val="lt-LT"/>
        </w:rPr>
        <w:tab/>
      </w:r>
      <w:r w:rsidR="006C2504">
        <w:rPr>
          <w:rFonts w:ascii="Times New Roman" w:hAnsi="Times New Roman"/>
          <w:b/>
          <w:caps/>
          <w:lang w:val="lt-LT"/>
        </w:rPr>
        <w:t>REGISTRACIJOS</w:t>
      </w:r>
      <w:r w:rsidR="006C2504" w:rsidRPr="00DF5828">
        <w:rPr>
          <w:rFonts w:ascii="Times New Roman" w:hAnsi="Times New Roman"/>
          <w:b/>
          <w:caps/>
          <w:lang w:val="lt-LT"/>
        </w:rPr>
        <w:t xml:space="preserve"> </w:t>
      </w:r>
      <w:r w:rsidRPr="00DF5828">
        <w:rPr>
          <w:rFonts w:ascii="Times New Roman" w:eastAsia="Times New Roman" w:hAnsi="Times New Roman"/>
          <w:b/>
          <w:caps/>
          <w:lang w:val="lt-LT"/>
        </w:rPr>
        <w:t>PAŽYMĖJIMO</w:t>
      </w:r>
      <w:r w:rsidRPr="00DF5828">
        <w:rPr>
          <w:rFonts w:ascii="Times New Roman" w:hAnsi="Times New Roman"/>
          <w:b/>
          <w:caps/>
          <w:lang w:val="lt-LT"/>
        </w:rPr>
        <w:t xml:space="preserve"> numeris</w:t>
      </w:r>
      <w:r w:rsidRPr="00DF5828">
        <w:rPr>
          <w:rFonts w:ascii="Times New Roman" w:hAnsi="Times New Roman"/>
          <w:b/>
          <w:lang w:val="lt-LT"/>
        </w:rPr>
        <w:t xml:space="preserve"> </w:t>
      </w:r>
      <w:r w:rsidRPr="00DF5828">
        <w:rPr>
          <w:rFonts w:ascii="Times New Roman" w:hAnsi="Times New Roman"/>
          <w:b/>
          <w:caps/>
          <w:lang w:val="lt-LT"/>
        </w:rPr>
        <w:t>(-IAI)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N1 - LT/1/10/2310/001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N3 - LT/1/10/2310/002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N7 - LT/1/10/2310/003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N10 - LT/1/10/2310/004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N14 - LT/1/10/2310/005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N20 - LT/1/10/2310/006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N21 - LT/1/10/2310/007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N28 - LT/1/10/2310/008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N30 - LT/1/10/2310/009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N42 - LT/1/10/2310/010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N50 - LT/1/10/2310/011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N56 - LT/1/10/2310/012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N60 - LT/1/10/2310/013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N84 - LT/1/10/2310/014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N90 - LT/1/10/2310/015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N100 - LT/1/10/2310/016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N126 - LT/1/10/2310/017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N168 - LT/1/10/2310/018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N210 - LT/1/10/2310/019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9.</w:t>
      </w:r>
      <w:r w:rsidRPr="00DF5828">
        <w:rPr>
          <w:rFonts w:ascii="Times New Roman" w:hAnsi="Times New Roman"/>
          <w:b/>
          <w:lang w:val="lt-LT"/>
        </w:rPr>
        <w:tab/>
      </w:r>
      <w:r w:rsidRPr="00DF5828">
        <w:rPr>
          <w:rFonts w:ascii="Times New Roman" w:hAnsi="Times New Roman"/>
          <w:b/>
          <w:caps/>
          <w:lang w:val="lt-LT"/>
        </w:rPr>
        <w:t>r</w:t>
      </w:r>
      <w:r w:rsidR="00B42B32">
        <w:rPr>
          <w:rFonts w:ascii="Times New Roman" w:hAnsi="Times New Roman"/>
          <w:b/>
          <w:caps/>
          <w:lang w:val="lt-LT"/>
        </w:rPr>
        <w:t>EGISTRAVIMO / PERREGISTRAVIMO</w:t>
      </w:r>
      <w:r w:rsidRPr="00DF5828">
        <w:rPr>
          <w:rFonts w:ascii="Times New Roman" w:hAnsi="Times New Roman"/>
          <w:b/>
          <w:caps/>
          <w:lang w:val="lt-LT"/>
        </w:rPr>
        <w:t xml:space="preserve"> data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B42B32" w:rsidP="00DF5828">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Registravimo data</w:t>
      </w:r>
      <w:r w:rsidR="00DF5828" w:rsidRPr="00DF5828">
        <w:rPr>
          <w:rFonts w:ascii="Times New Roman" w:eastAsia="Times New Roman" w:hAnsi="Times New Roman"/>
          <w:lang w:val="lt-LT"/>
        </w:rPr>
        <w:t xml:space="preserve"> 2011 m. sausio mėn. 26 d.</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10.</w:t>
      </w:r>
      <w:r w:rsidRPr="00DF5828">
        <w:rPr>
          <w:rFonts w:ascii="Times New Roman" w:hAnsi="Times New Roman"/>
          <w:b/>
          <w:lang w:val="lt-LT"/>
        </w:rPr>
        <w:tab/>
      </w:r>
      <w:r w:rsidRPr="00DF5828">
        <w:rPr>
          <w:rFonts w:ascii="Times New Roman" w:hAnsi="Times New Roman"/>
          <w:b/>
          <w:caps/>
          <w:lang w:val="lt-LT"/>
        </w:rPr>
        <w:t>teksto peržiūros data</w:t>
      </w:r>
    </w:p>
    <w:p w:rsidR="00DF5828" w:rsidRPr="00DF5828" w:rsidRDefault="00DF5828" w:rsidP="00DF5828">
      <w:pPr>
        <w:tabs>
          <w:tab w:val="left" w:pos="567"/>
        </w:tabs>
        <w:spacing w:after="0" w:line="260" w:lineRule="exact"/>
        <w:rPr>
          <w:rFonts w:ascii="Times New Roman" w:hAnsi="Times New Roman"/>
          <w:lang w:val="lt-LT"/>
        </w:rPr>
      </w:pPr>
    </w:p>
    <w:p w:rsidR="000F1EAC" w:rsidRDefault="000F1EAC" w:rsidP="00DF5828">
      <w:pPr>
        <w:tabs>
          <w:tab w:val="left" w:pos="567"/>
        </w:tabs>
        <w:spacing w:after="0" w:line="260" w:lineRule="exact"/>
        <w:rPr>
          <w:rFonts w:ascii="Times New Roman" w:hAnsi="Times New Roman"/>
          <w:lang w:val="lt-LT"/>
        </w:rPr>
      </w:pPr>
      <w:r>
        <w:rPr>
          <w:rFonts w:ascii="Times New Roman" w:hAnsi="Times New Roman"/>
          <w:lang w:val="lt-LT"/>
        </w:rPr>
        <w:t>2016 m. vasario mėn. 23 d.</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40" w:lineRule="auto"/>
        <w:rPr>
          <w:rFonts w:ascii="Times New Roman" w:hAnsi="Times New Roman"/>
          <w:color w:val="0000FF"/>
          <w:u w:val="single"/>
          <w:lang w:val="lt-LT"/>
        </w:rPr>
      </w:pPr>
      <w:r w:rsidRPr="00DF5828">
        <w:rPr>
          <w:rFonts w:ascii="Times New Roman" w:eastAsia="SimSun" w:hAnsi="Times New Roman"/>
          <w:lang w:val="lt-LT"/>
        </w:rPr>
        <w:t>Išsami informacija apie šį vaistinį preparatą</w:t>
      </w:r>
      <w:r w:rsidRPr="00DF5828">
        <w:rPr>
          <w:rFonts w:ascii="Times New Roman" w:hAnsi="Times New Roman"/>
          <w:lang w:val="lt-LT"/>
        </w:rPr>
        <w:t xml:space="preserve"> pateikiama Valstybinės vaistų kontrolės tarnybos prie Lietuvos Respublikos </w:t>
      </w:r>
      <w:r w:rsidRPr="00DF5828">
        <w:rPr>
          <w:rFonts w:ascii="Times New Roman" w:eastAsia="SimSun" w:hAnsi="Times New Roman"/>
          <w:lang w:val="lt-LT"/>
        </w:rPr>
        <w:t xml:space="preserve"> </w:t>
      </w:r>
      <w:r w:rsidRPr="00DF5828">
        <w:rPr>
          <w:rFonts w:ascii="Times New Roman" w:hAnsi="Times New Roman"/>
          <w:lang w:val="lt-LT"/>
        </w:rPr>
        <w:t xml:space="preserve">sveikatos apsaugos ministerijos </w:t>
      </w:r>
      <w:r w:rsidRPr="00DF5828">
        <w:rPr>
          <w:rFonts w:ascii="Times New Roman" w:eastAsia="SimSun" w:hAnsi="Times New Roman"/>
          <w:lang w:val="lt-LT"/>
        </w:rPr>
        <w:t>tinklalapyje</w:t>
      </w:r>
      <w:r w:rsidRPr="00DF5828">
        <w:rPr>
          <w:rFonts w:ascii="Times New Roman" w:hAnsi="Times New Roman"/>
          <w:i/>
          <w:lang w:val="lt-LT"/>
        </w:rPr>
        <w:t xml:space="preserve"> </w:t>
      </w:r>
      <w:r w:rsidRPr="00DF5828">
        <w:rPr>
          <w:rFonts w:ascii="Times New Roman" w:hAnsi="Times New Roman"/>
          <w:color w:val="0000FF"/>
          <w:u w:val="single"/>
          <w:lang w:val="lt-LT"/>
        </w:rPr>
        <w:t>http://www.vvkt.lt/</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spacing w:after="0" w:line="240" w:lineRule="auto"/>
        <w:rPr>
          <w:rFonts w:ascii="Times New Roman" w:hAnsi="Times New Roman"/>
          <w:lang w:val="lt-LT"/>
        </w:rPr>
      </w:pPr>
      <w:r w:rsidRPr="00DF5828">
        <w:rPr>
          <w:rFonts w:ascii="Times New Roman" w:hAnsi="Times New Roman"/>
          <w:b/>
          <w:lang w:val="lt-LT"/>
        </w:rPr>
        <w:br w:type="page"/>
      </w: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tabs>
          <w:tab w:val="left" w:pos="567"/>
        </w:tabs>
        <w:spacing w:after="0" w:line="240" w:lineRule="auto"/>
        <w:ind w:left="567" w:hanging="567"/>
        <w:jc w:val="center"/>
        <w:outlineLvl w:val="0"/>
        <w:rPr>
          <w:rFonts w:ascii="Times New Roman" w:hAnsi="Times New Roman"/>
          <w:b/>
          <w:caps/>
          <w:lang w:val="lt-LT"/>
        </w:rPr>
      </w:pPr>
      <w:bookmarkStart w:id="0" w:name="_Toc129243128"/>
      <w:bookmarkStart w:id="1" w:name="_Toc129243253"/>
      <w:r w:rsidRPr="00DF5828">
        <w:rPr>
          <w:rFonts w:ascii="Times New Roman" w:hAnsi="Times New Roman"/>
          <w:b/>
          <w:caps/>
          <w:lang w:val="lt-LT"/>
        </w:rPr>
        <w:t>II PRIEDAS</w:t>
      </w:r>
      <w:bookmarkEnd w:id="0"/>
      <w:bookmarkEnd w:id="1"/>
    </w:p>
    <w:p w:rsidR="00DF5828" w:rsidRPr="00DF5828" w:rsidRDefault="00DF5828" w:rsidP="00DF5828">
      <w:pPr>
        <w:tabs>
          <w:tab w:val="left" w:pos="567"/>
        </w:tabs>
        <w:spacing w:after="0" w:line="240" w:lineRule="auto"/>
        <w:ind w:left="567" w:hanging="567"/>
        <w:jc w:val="center"/>
        <w:outlineLvl w:val="0"/>
        <w:rPr>
          <w:rFonts w:ascii="Times New Roman" w:hAnsi="Times New Roman"/>
          <w:b/>
          <w:caps/>
          <w:lang w:val="lt-LT"/>
        </w:rPr>
      </w:pPr>
    </w:p>
    <w:p w:rsidR="00DF5828" w:rsidRPr="00DF5828" w:rsidRDefault="00DF5828" w:rsidP="00DF5828">
      <w:pPr>
        <w:tabs>
          <w:tab w:val="left" w:pos="567"/>
        </w:tabs>
        <w:spacing w:after="0" w:line="240" w:lineRule="auto"/>
        <w:ind w:left="567" w:hanging="567"/>
        <w:jc w:val="center"/>
        <w:outlineLvl w:val="0"/>
        <w:rPr>
          <w:rFonts w:ascii="Times New Roman" w:hAnsi="Times New Roman"/>
          <w:b/>
          <w:caps/>
          <w:lang w:val="lt-LT"/>
        </w:rPr>
      </w:pPr>
      <w:r w:rsidRPr="00DF5828">
        <w:rPr>
          <w:rFonts w:ascii="Times New Roman" w:hAnsi="Times New Roman"/>
          <w:b/>
          <w:caps/>
          <w:lang w:val="lt-LT"/>
        </w:rPr>
        <w:t>R</w:t>
      </w:r>
      <w:r w:rsidR="00B42B32">
        <w:rPr>
          <w:rFonts w:ascii="Times New Roman" w:hAnsi="Times New Roman"/>
          <w:b/>
          <w:caps/>
          <w:lang w:val="lt-LT"/>
        </w:rPr>
        <w:t>EGISTRACIJOS</w:t>
      </w:r>
      <w:r w:rsidRPr="00DF5828">
        <w:rPr>
          <w:rFonts w:ascii="Times New Roman" w:hAnsi="Times New Roman"/>
          <w:b/>
          <w:caps/>
          <w:lang w:val="lt-LT"/>
        </w:rPr>
        <w:t xml:space="preserve"> SĄLYGOS</w:t>
      </w:r>
    </w:p>
    <w:p w:rsidR="00DF5828" w:rsidRPr="00DF5828" w:rsidRDefault="00DF5828" w:rsidP="00DF5828">
      <w:pPr>
        <w:spacing w:after="0" w:line="240" w:lineRule="auto"/>
        <w:rPr>
          <w:rFonts w:ascii="Times New Roman" w:hAnsi="Times New Roman"/>
          <w:lang w:val="lt-LT"/>
        </w:rPr>
      </w:pPr>
    </w:p>
    <w:p w:rsidR="00DF5828" w:rsidRPr="00DF5828" w:rsidRDefault="00DF5828" w:rsidP="00DF5828">
      <w:pPr>
        <w:tabs>
          <w:tab w:val="left" w:pos="1701"/>
        </w:tabs>
        <w:spacing w:after="0" w:line="240" w:lineRule="auto"/>
        <w:ind w:left="1701" w:hanging="567"/>
        <w:rPr>
          <w:rFonts w:ascii="Times New Roman" w:hAnsi="Times New Roman"/>
          <w:b/>
          <w:highlight w:val="yellow"/>
          <w:lang w:val="lt-LT"/>
        </w:rPr>
      </w:pPr>
      <w:r w:rsidRPr="00DF5828">
        <w:rPr>
          <w:rFonts w:ascii="Times New Roman" w:hAnsi="Times New Roman"/>
          <w:b/>
          <w:lang w:val="lt-LT"/>
        </w:rPr>
        <w:t>A.</w:t>
      </w:r>
      <w:r w:rsidRPr="00DF5828">
        <w:rPr>
          <w:rFonts w:ascii="Times New Roman" w:hAnsi="Times New Roman"/>
          <w:b/>
          <w:lang w:val="lt-LT"/>
        </w:rPr>
        <w:tab/>
      </w:r>
      <w:r w:rsidRPr="00DF5828">
        <w:rPr>
          <w:rFonts w:ascii="Times New Roman" w:eastAsia="Times New Roman" w:hAnsi="Times New Roman"/>
          <w:b/>
          <w:lang w:val="lt-LT"/>
        </w:rPr>
        <w:t>GAMINTOJAS</w:t>
      </w:r>
      <w:r w:rsidRPr="00DF5828">
        <w:rPr>
          <w:rFonts w:ascii="Times New Roman" w:hAnsi="Times New Roman"/>
          <w:b/>
          <w:lang w:val="lt-LT"/>
        </w:rPr>
        <w:t xml:space="preserve"> (-AI), ATSAKINGAS (-I) UŽ SERIJŲ IŠLEIDIMĄ</w:t>
      </w:r>
    </w:p>
    <w:p w:rsidR="00DF5828" w:rsidRPr="00DF5828" w:rsidRDefault="00DF5828" w:rsidP="00DF5828">
      <w:pPr>
        <w:spacing w:after="0" w:line="240" w:lineRule="auto"/>
        <w:rPr>
          <w:rFonts w:ascii="Times New Roman" w:hAnsi="Times New Roman"/>
          <w:highlight w:val="yellow"/>
          <w:lang w:val="lt-LT"/>
        </w:rPr>
      </w:pPr>
    </w:p>
    <w:p w:rsidR="00DF5828" w:rsidRPr="00DF5828" w:rsidRDefault="00DF5828" w:rsidP="00DF5828">
      <w:pPr>
        <w:tabs>
          <w:tab w:val="left" w:pos="1701"/>
        </w:tabs>
        <w:spacing w:after="0" w:line="240" w:lineRule="auto"/>
        <w:ind w:left="1701" w:hanging="567"/>
        <w:rPr>
          <w:rFonts w:ascii="Times New Roman" w:hAnsi="Times New Roman"/>
          <w:b/>
          <w:lang w:val="lt-LT"/>
        </w:rPr>
      </w:pPr>
      <w:r w:rsidRPr="00DF5828">
        <w:rPr>
          <w:rFonts w:ascii="Times New Roman" w:hAnsi="Times New Roman"/>
          <w:b/>
          <w:lang w:val="lt-LT"/>
        </w:rPr>
        <w:t>B.</w:t>
      </w:r>
      <w:r w:rsidRPr="00DF5828">
        <w:rPr>
          <w:rFonts w:ascii="Times New Roman" w:hAnsi="Times New Roman"/>
          <w:b/>
          <w:lang w:val="lt-LT"/>
        </w:rPr>
        <w:tab/>
      </w:r>
      <w:r w:rsidRPr="00DF5828">
        <w:rPr>
          <w:rFonts w:ascii="Times New Roman" w:eastAsia="Times New Roman" w:hAnsi="Times New Roman"/>
          <w:b/>
          <w:lang w:val="lt-LT"/>
        </w:rPr>
        <w:t>TIEKIMO IR VARTOJIMO</w:t>
      </w:r>
      <w:r w:rsidRPr="00DF5828">
        <w:rPr>
          <w:rFonts w:ascii="Times New Roman" w:hAnsi="Times New Roman"/>
          <w:b/>
          <w:lang w:val="lt-LT"/>
        </w:rPr>
        <w:t xml:space="preserve"> SĄLYGOS</w:t>
      </w:r>
      <w:r w:rsidRPr="00DF5828">
        <w:rPr>
          <w:rFonts w:ascii="Times New Roman" w:eastAsia="Times New Roman" w:hAnsi="Times New Roman"/>
          <w:b/>
          <w:lang w:val="lt-LT"/>
        </w:rPr>
        <w:t xml:space="preserve"> IR APRIBOJIMAI</w:t>
      </w: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lang w:val="lt-LT"/>
        </w:rPr>
        <w:br w:type="page"/>
      </w:r>
      <w:r w:rsidRPr="00DF5828">
        <w:rPr>
          <w:rFonts w:ascii="Times New Roman" w:hAnsi="Times New Roman"/>
          <w:b/>
          <w:lang w:val="lt-LT"/>
        </w:rPr>
        <w:t>A.</w:t>
      </w:r>
      <w:r w:rsidRPr="00DF5828">
        <w:rPr>
          <w:rFonts w:ascii="Times New Roman" w:hAnsi="Times New Roman"/>
          <w:b/>
          <w:lang w:val="lt-LT"/>
        </w:rPr>
        <w:tab/>
      </w:r>
      <w:r w:rsidRPr="00DF5828">
        <w:rPr>
          <w:rFonts w:ascii="Times New Roman" w:eastAsia="Times New Roman" w:hAnsi="Times New Roman"/>
          <w:b/>
          <w:lang w:val="lt-LT" w:eastAsia="pl-PL"/>
        </w:rPr>
        <w:t>GAMINTOJAS</w:t>
      </w:r>
      <w:r w:rsidRPr="00DF5828">
        <w:rPr>
          <w:rFonts w:ascii="Times New Roman" w:hAnsi="Times New Roman"/>
          <w:b/>
          <w:lang w:val="lt-LT"/>
        </w:rPr>
        <w:t xml:space="preserve"> (-AI), ATSAKINGAS (-I) UŽ SERIJŲ IŠLEIDIMĄ</w:t>
      </w:r>
    </w:p>
    <w:p w:rsidR="00DF5828" w:rsidRPr="00DF5828" w:rsidRDefault="00DF5828" w:rsidP="00DF5828">
      <w:pPr>
        <w:tabs>
          <w:tab w:val="left" w:pos="567"/>
        </w:tabs>
        <w:spacing w:after="0" w:line="260" w:lineRule="exact"/>
        <w:rPr>
          <w:rFonts w:ascii="Times New Roman" w:eastAsia="Times New Roman" w:hAnsi="Times New Roman"/>
          <w:b/>
          <w:lang w:val="lt-LT" w:eastAsia="pl-PL"/>
        </w:rPr>
      </w:pPr>
    </w:p>
    <w:p w:rsidR="00DF5828" w:rsidRPr="00DF5828" w:rsidRDefault="00DF5828" w:rsidP="00DF5828">
      <w:pPr>
        <w:tabs>
          <w:tab w:val="left" w:pos="567"/>
        </w:tabs>
        <w:spacing w:after="0" w:line="260" w:lineRule="exact"/>
        <w:rPr>
          <w:rFonts w:ascii="Times New Roman" w:eastAsia="Times New Roman" w:hAnsi="Times New Roman"/>
          <w:u w:val="single"/>
          <w:lang w:val="lt-LT" w:eastAsia="pl-PL"/>
        </w:rPr>
      </w:pPr>
      <w:r w:rsidRPr="00DF5828">
        <w:rPr>
          <w:rFonts w:ascii="Times New Roman" w:eastAsia="Times New Roman" w:hAnsi="Times New Roman"/>
          <w:u w:val="single"/>
          <w:lang w:val="lt-LT" w:eastAsia="pl-PL"/>
        </w:rPr>
        <w:t>Gamintojo (-ų), atsakingo (-ų) už serijų išleidimą, pavadinimas (-ai) ir adresas (-ai)</w:t>
      </w:r>
    </w:p>
    <w:p w:rsidR="00DF5828" w:rsidRPr="00DF5828" w:rsidRDefault="00DF5828" w:rsidP="00DF5828">
      <w:pPr>
        <w:tabs>
          <w:tab w:val="left" w:pos="567"/>
        </w:tabs>
        <w:spacing w:after="0" w:line="260" w:lineRule="exact"/>
        <w:rPr>
          <w:rFonts w:ascii="Times New Roman" w:eastAsia="Times New Roman" w:hAnsi="Times New Roman"/>
          <w:lang w:val="lt-LT" w:eastAsia="pl-PL"/>
        </w:rPr>
      </w:pPr>
    </w:p>
    <w:p w:rsidR="00DF5828" w:rsidRPr="00DF5828" w:rsidRDefault="00DF5828" w:rsidP="00DF5828">
      <w:pPr>
        <w:tabs>
          <w:tab w:val="left" w:pos="567"/>
        </w:tabs>
        <w:spacing w:after="0" w:line="260" w:lineRule="exact"/>
        <w:rPr>
          <w:rFonts w:ascii="Times New Roman" w:eastAsia="Times New Roman" w:hAnsi="Times New Roman"/>
          <w:lang w:val="lt-LT" w:eastAsia="pl-PL"/>
        </w:rPr>
      </w:pPr>
      <w:proofErr w:type="spellStart"/>
      <w:r w:rsidRPr="00DF5828">
        <w:rPr>
          <w:rFonts w:ascii="Times New Roman" w:eastAsia="Times New Roman" w:hAnsi="Times New Roman"/>
          <w:lang w:val="lt-LT" w:eastAsia="pl-PL"/>
        </w:rPr>
        <w:t>Synthon</w:t>
      </w:r>
      <w:proofErr w:type="spellEnd"/>
      <w:r w:rsidRPr="00DF5828">
        <w:rPr>
          <w:rFonts w:ascii="Times New Roman" w:eastAsia="Times New Roman" w:hAnsi="Times New Roman"/>
          <w:lang w:val="lt-LT" w:eastAsia="pl-PL"/>
        </w:rPr>
        <w:t xml:space="preserve"> BV</w:t>
      </w:r>
    </w:p>
    <w:p w:rsidR="00DF5828" w:rsidRPr="00DF5828" w:rsidRDefault="00DF5828" w:rsidP="00DF5828">
      <w:pPr>
        <w:tabs>
          <w:tab w:val="left" w:pos="567"/>
        </w:tabs>
        <w:spacing w:after="0" w:line="260" w:lineRule="exact"/>
        <w:rPr>
          <w:rFonts w:ascii="Times New Roman" w:eastAsia="Times New Roman" w:hAnsi="Times New Roman"/>
          <w:lang w:val="lt-LT" w:eastAsia="pl-PL"/>
        </w:rPr>
      </w:pPr>
      <w:proofErr w:type="spellStart"/>
      <w:r w:rsidRPr="00DF5828">
        <w:rPr>
          <w:rFonts w:ascii="Times New Roman" w:eastAsia="Times New Roman" w:hAnsi="Times New Roman"/>
          <w:lang w:val="lt-LT" w:eastAsia="pl-PL"/>
        </w:rPr>
        <w:t>Microweg</w:t>
      </w:r>
      <w:proofErr w:type="spellEnd"/>
      <w:r w:rsidRPr="00DF5828">
        <w:rPr>
          <w:rFonts w:ascii="Times New Roman" w:eastAsia="Times New Roman" w:hAnsi="Times New Roman"/>
          <w:lang w:val="lt-LT" w:eastAsia="pl-PL"/>
        </w:rPr>
        <w:t xml:space="preserve"> 22, 6545CM </w:t>
      </w:r>
      <w:proofErr w:type="spellStart"/>
      <w:r w:rsidRPr="00DF5828">
        <w:rPr>
          <w:rFonts w:ascii="Times New Roman" w:eastAsia="Times New Roman" w:hAnsi="Times New Roman"/>
          <w:lang w:val="lt-LT" w:eastAsia="pl-PL"/>
        </w:rPr>
        <w:t>Nijmegen</w:t>
      </w:r>
      <w:proofErr w:type="spellEnd"/>
    </w:p>
    <w:p w:rsidR="00DF5828" w:rsidRPr="00DF5828" w:rsidRDefault="00DF5828" w:rsidP="00DF5828">
      <w:pPr>
        <w:tabs>
          <w:tab w:val="left" w:pos="567"/>
        </w:tabs>
        <w:spacing w:after="0" w:line="260" w:lineRule="exact"/>
        <w:rPr>
          <w:rFonts w:ascii="Times New Roman" w:eastAsia="Times New Roman" w:hAnsi="Times New Roman"/>
          <w:lang w:val="lt-LT" w:eastAsia="pl-PL"/>
        </w:rPr>
      </w:pPr>
      <w:r w:rsidRPr="00DF5828">
        <w:rPr>
          <w:rFonts w:ascii="Times New Roman" w:eastAsia="Times New Roman" w:hAnsi="Times New Roman"/>
          <w:lang w:val="lt-LT" w:eastAsia="pl-PL"/>
        </w:rPr>
        <w:t>Nyderlandai</w:t>
      </w:r>
    </w:p>
    <w:p w:rsidR="00DF5828" w:rsidRPr="00DF5828" w:rsidRDefault="00DF5828" w:rsidP="00DF5828">
      <w:pPr>
        <w:tabs>
          <w:tab w:val="left" w:pos="567"/>
        </w:tabs>
        <w:spacing w:after="0" w:line="260" w:lineRule="exact"/>
        <w:rPr>
          <w:rFonts w:ascii="Times New Roman" w:eastAsia="Times New Roman" w:hAnsi="Times New Roman"/>
          <w:lang w:val="lt-LT" w:eastAsia="pl-PL"/>
        </w:rPr>
      </w:pPr>
    </w:p>
    <w:p w:rsidR="00DF5828" w:rsidRPr="00DF5828" w:rsidRDefault="00DF5828" w:rsidP="00DF5828">
      <w:pPr>
        <w:tabs>
          <w:tab w:val="left" w:pos="567"/>
        </w:tabs>
        <w:spacing w:after="0" w:line="260" w:lineRule="exact"/>
        <w:rPr>
          <w:rFonts w:ascii="Times New Roman" w:eastAsia="Times New Roman" w:hAnsi="Times New Roman"/>
          <w:lang w:val="lt-LT" w:eastAsia="pl-PL"/>
        </w:rPr>
      </w:pPr>
      <w:r w:rsidRPr="00DF5828">
        <w:rPr>
          <w:rFonts w:ascii="Times New Roman" w:eastAsia="Times New Roman" w:hAnsi="Times New Roman"/>
          <w:lang w:val="lt-LT" w:eastAsia="pl-PL"/>
        </w:rPr>
        <w:t>arba</w:t>
      </w:r>
    </w:p>
    <w:p w:rsidR="00DF5828" w:rsidRPr="00DF5828" w:rsidRDefault="00DF5828" w:rsidP="00DF5828">
      <w:pPr>
        <w:tabs>
          <w:tab w:val="left" w:pos="567"/>
        </w:tabs>
        <w:spacing w:after="0" w:line="260" w:lineRule="exact"/>
        <w:rPr>
          <w:rFonts w:ascii="Times New Roman" w:eastAsia="Times New Roman" w:hAnsi="Times New Roman"/>
          <w:lang w:val="lt-LT" w:eastAsia="pl-PL"/>
        </w:rPr>
      </w:pPr>
    </w:p>
    <w:p w:rsidR="00DF5828" w:rsidRPr="00DF5828" w:rsidRDefault="00DF5828" w:rsidP="00DF5828">
      <w:pPr>
        <w:tabs>
          <w:tab w:val="left" w:pos="567"/>
        </w:tabs>
        <w:spacing w:after="0" w:line="260" w:lineRule="exact"/>
        <w:rPr>
          <w:rFonts w:ascii="Times New Roman" w:eastAsia="Times New Roman" w:hAnsi="Times New Roman"/>
          <w:lang w:val="lt-LT" w:eastAsia="pl-PL"/>
        </w:rPr>
      </w:pPr>
      <w:proofErr w:type="spellStart"/>
      <w:r w:rsidRPr="00DF5828">
        <w:rPr>
          <w:rFonts w:ascii="Times New Roman" w:eastAsia="Times New Roman" w:hAnsi="Times New Roman"/>
          <w:lang w:val="lt-LT" w:eastAsia="pl-PL"/>
        </w:rPr>
        <w:t>Synthon</w:t>
      </w:r>
      <w:proofErr w:type="spellEnd"/>
      <w:r w:rsidRPr="00DF5828">
        <w:rPr>
          <w:rFonts w:ascii="Times New Roman" w:eastAsia="Times New Roman" w:hAnsi="Times New Roman"/>
          <w:lang w:val="lt-LT" w:eastAsia="pl-PL"/>
        </w:rPr>
        <w:t xml:space="preserve"> </w:t>
      </w:r>
      <w:proofErr w:type="spellStart"/>
      <w:r w:rsidRPr="00DF5828">
        <w:rPr>
          <w:rFonts w:ascii="Times New Roman" w:eastAsia="Times New Roman" w:hAnsi="Times New Roman"/>
          <w:lang w:val="lt-LT" w:eastAsia="pl-PL"/>
        </w:rPr>
        <w:t>Hispania</w:t>
      </w:r>
      <w:proofErr w:type="spellEnd"/>
      <w:r w:rsidRPr="00DF5828">
        <w:rPr>
          <w:rFonts w:ascii="Times New Roman" w:eastAsia="Times New Roman" w:hAnsi="Times New Roman"/>
          <w:lang w:val="lt-LT" w:eastAsia="pl-PL"/>
        </w:rPr>
        <w:t xml:space="preserve"> SL</w:t>
      </w: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Castelló 1, Polígono Las Salinas, 08830 Sant Boi de Llobregat</w:t>
      </w: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Ispanija</w:t>
      </w:r>
    </w:p>
    <w:p w:rsidR="00DF5828" w:rsidRPr="00DF5828" w:rsidRDefault="00DF5828" w:rsidP="00DF5828">
      <w:pPr>
        <w:tabs>
          <w:tab w:val="left" w:pos="567"/>
        </w:tabs>
        <w:spacing w:after="0" w:line="260" w:lineRule="exact"/>
        <w:rPr>
          <w:rFonts w:ascii="Times New Roman" w:hAnsi="Times New Roman"/>
          <w:lang w:val="es-ES"/>
        </w:rPr>
      </w:pPr>
    </w:p>
    <w:p w:rsidR="00DF5828" w:rsidRPr="00DF5828" w:rsidRDefault="00DF5828" w:rsidP="00DF5828">
      <w:pPr>
        <w:tabs>
          <w:tab w:val="left" w:pos="567"/>
        </w:tabs>
        <w:spacing w:after="0" w:line="260" w:lineRule="exact"/>
        <w:rPr>
          <w:rFonts w:ascii="Times New Roman" w:hAnsi="Times New Roman"/>
          <w:lang w:val="es-ES"/>
        </w:rPr>
      </w:pPr>
      <w:proofErr w:type="gramStart"/>
      <w:r w:rsidRPr="00DF5828">
        <w:rPr>
          <w:rFonts w:ascii="Times New Roman" w:hAnsi="Times New Roman"/>
          <w:lang w:val="es-ES"/>
        </w:rPr>
        <w:t>arba</w:t>
      </w:r>
      <w:proofErr w:type="gramEnd"/>
    </w:p>
    <w:p w:rsidR="00DF5828" w:rsidRPr="00DF5828" w:rsidRDefault="00DF5828" w:rsidP="00DF5828">
      <w:pPr>
        <w:tabs>
          <w:tab w:val="left" w:pos="567"/>
        </w:tabs>
        <w:spacing w:after="0" w:line="260" w:lineRule="exact"/>
        <w:rPr>
          <w:rFonts w:ascii="Times New Roman" w:hAnsi="Times New Roman"/>
          <w:lang w:val="es-ES"/>
        </w:rPr>
      </w:pP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MPF B.V.</w:t>
      </w: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Appelhof 13, 8465 RX Oudehaske</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Nyderlandai</w:t>
      </w:r>
    </w:p>
    <w:p w:rsidR="00DF5828" w:rsidRPr="00DF5828" w:rsidRDefault="00DF5828" w:rsidP="00DF5828">
      <w:pPr>
        <w:tabs>
          <w:tab w:val="left" w:pos="567"/>
        </w:tabs>
        <w:spacing w:after="0" w:line="260" w:lineRule="exact"/>
        <w:rPr>
          <w:rFonts w:ascii="Times New Roman" w:hAnsi="Times New Roman"/>
          <w:lang w:val="nb-NO"/>
        </w:rPr>
      </w:pP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arba</w:t>
      </w:r>
    </w:p>
    <w:p w:rsidR="00DF5828" w:rsidRPr="00DF5828" w:rsidRDefault="00DF5828" w:rsidP="00DF5828">
      <w:pPr>
        <w:tabs>
          <w:tab w:val="left" w:pos="567"/>
        </w:tabs>
        <w:spacing w:after="0" w:line="260" w:lineRule="exact"/>
        <w:rPr>
          <w:rFonts w:ascii="Times New Roman" w:hAnsi="Times New Roman"/>
          <w:lang w:val="nb-NO"/>
        </w:rPr>
      </w:pP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Dragenopharm Apotheker Püschl GmbH</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Goellstrasse 1, 84529 Tittmoning</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Vokietija</w:t>
      </w:r>
    </w:p>
    <w:p w:rsidR="00DF5828" w:rsidRPr="00DF5828" w:rsidRDefault="00DF5828" w:rsidP="00DF5828">
      <w:pPr>
        <w:tabs>
          <w:tab w:val="left" w:pos="567"/>
        </w:tabs>
        <w:spacing w:after="0" w:line="260" w:lineRule="exact"/>
        <w:rPr>
          <w:rFonts w:ascii="Times New Roman" w:hAnsi="Times New Roman"/>
          <w:lang w:val="nb-NO"/>
        </w:rPr>
      </w:pP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arba</w:t>
      </w:r>
    </w:p>
    <w:p w:rsidR="00DF5828" w:rsidRPr="00DF5828" w:rsidRDefault="00DF5828" w:rsidP="00DF5828">
      <w:pPr>
        <w:tabs>
          <w:tab w:val="left" w:pos="567"/>
        </w:tabs>
        <w:spacing w:after="0" w:line="260" w:lineRule="exact"/>
        <w:rPr>
          <w:rFonts w:ascii="Times New Roman" w:hAnsi="Times New Roman"/>
          <w:lang w:val="nb-NO"/>
        </w:rPr>
      </w:pP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Rottendorf Pharma GmbH</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Ostenfelder StraBe, 51-61 - 59320 Ennigerloh</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Vokietija</w:t>
      </w:r>
    </w:p>
    <w:p w:rsidR="00DF5828" w:rsidRPr="00DF5828" w:rsidRDefault="00DF5828" w:rsidP="00DF5828">
      <w:pPr>
        <w:tabs>
          <w:tab w:val="left" w:pos="567"/>
        </w:tabs>
        <w:spacing w:after="0" w:line="260" w:lineRule="exact"/>
        <w:rPr>
          <w:rFonts w:ascii="Times New Roman" w:eastAsia="Times New Roman" w:hAnsi="Times New Roman"/>
          <w:lang w:val="nb-NO" w:eastAsia="pl-PL"/>
        </w:rPr>
      </w:pPr>
    </w:p>
    <w:p w:rsidR="00DF5828" w:rsidRPr="00DF5828" w:rsidRDefault="00DF5828" w:rsidP="00DF5828">
      <w:pPr>
        <w:tabs>
          <w:tab w:val="left" w:pos="567"/>
        </w:tabs>
        <w:spacing w:after="0" w:line="260" w:lineRule="exact"/>
        <w:rPr>
          <w:rFonts w:ascii="Times New Roman" w:eastAsia="Times New Roman" w:hAnsi="Times New Roman"/>
          <w:lang w:val="nb-NO" w:eastAsia="pl-PL"/>
        </w:rPr>
      </w:pPr>
    </w:p>
    <w:p w:rsidR="00DF5828" w:rsidRPr="00DF5828" w:rsidRDefault="00DF5828" w:rsidP="00DF5828">
      <w:pPr>
        <w:tabs>
          <w:tab w:val="left" w:pos="567"/>
        </w:tabs>
        <w:spacing w:after="0" w:line="260" w:lineRule="exact"/>
        <w:rPr>
          <w:rFonts w:ascii="Times New Roman" w:eastAsia="Times New Roman" w:hAnsi="Times New Roman"/>
          <w:lang w:val="nb-NO" w:eastAsia="pl-PL"/>
        </w:rPr>
      </w:pPr>
      <w:r w:rsidRPr="00DF5828">
        <w:rPr>
          <w:rFonts w:ascii="Times New Roman" w:eastAsia="Times New Roman" w:hAnsi="Times New Roman"/>
          <w:lang w:val="nb-NO" w:eastAsia="pl-PL"/>
        </w:rPr>
        <w:t>Su pakuote pateikiamame lapelyje nurodomas gamintojo, atsakingo už konkrečios serijos išleidimą, pavadinimas ir adresas.</w:t>
      </w:r>
    </w:p>
    <w:p w:rsidR="00DF5828" w:rsidRPr="00DF5828" w:rsidRDefault="00DF5828" w:rsidP="00DF5828">
      <w:pPr>
        <w:tabs>
          <w:tab w:val="left" w:pos="567"/>
        </w:tabs>
        <w:spacing w:after="0" w:line="260" w:lineRule="exact"/>
        <w:rPr>
          <w:rFonts w:ascii="Times New Roman" w:eastAsia="Times New Roman" w:hAnsi="Times New Roman"/>
          <w:lang w:val="nb-NO" w:eastAsia="pl-PL"/>
        </w:rPr>
      </w:pPr>
    </w:p>
    <w:p w:rsidR="00DF5828" w:rsidRPr="00DF5828" w:rsidRDefault="00DF5828" w:rsidP="00DF5828">
      <w:pPr>
        <w:tabs>
          <w:tab w:val="left" w:pos="567"/>
        </w:tabs>
        <w:spacing w:after="0" w:line="260" w:lineRule="exact"/>
        <w:rPr>
          <w:rFonts w:ascii="Times New Roman" w:eastAsia="Times New Roman" w:hAnsi="Times New Roman"/>
          <w:lang w:val="nb-NO" w:eastAsia="pl-PL"/>
        </w:rPr>
      </w:pPr>
    </w:p>
    <w:p w:rsidR="00DF5828" w:rsidRPr="00DF5828" w:rsidRDefault="00DF5828" w:rsidP="00DF5828">
      <w:pPr>
        <w:tabs>
          <w:tab w:val="left" w:pos="567"/>
        </w:tabs>
        <w:spacing w:after="0" w:line="260" w:lineRule="exact"/>
        <w:rPr>
          <w:rFonts w:ascii="Times New Roman" w:eastAsia="Times New Roman" w:hAnsi="Times New Roman"/>
          <w:b/>
          <w:lang w:val="nb-NO" w:eastAsia="pl-PL"/>
        </w:rPr>
      </w:pPr>
      <w:r w:rsidRPr="00DF5828">
        <w:rPr>
          <w:rFonts w:ascii="Times New Roman" w:eastAsia="Times New Roman" w:hAnsi="Times New Roman"/>
          <w:b/>
          <w:lang w:val="nb-NO" w:eastAsia="pl-PL"/>
        </w:rPr>
        <w:t>B.</w:t>
      </w:r>
      <w:r w:rsidRPr="00DF5828">
        <w:rPr>
          <w:rFonts w:ascii="Times New Roman" w:eastAsia="Times New Roman" w:hAnsi="Times New Roman"/>
          <w:b/>
          <w:lang w:val="nb-NO" w:eastAsia="pl-PL"/>
        </w:rPr>
        <w:tab/>
        <w:t xml:space="preserve">TIEKIMO IR VARTOJIMO SĄLYGOS AR APRIBOJIMAI </w:t>
      </w:r>
    </w:p>
    <w:p w:rsidR="00DF5828" w:rsidRPr="00DF5828" w:rsidRDefault="00DF5828" w:rsidP="00DF5828">
      <w:pPr>
        <w:tabs>
          <w:tab w:val="left" w:pos="567"/>
        </w:tabs>
        <w:spacing w:after="0" w:line="260" w:lineRule="exact"/>
        <w:rPr>
          <w:rFonts w:ascii="Times New Roman" w:eastAsia="Times New Roman" w:hAnsi="Times New Roman"/>
          <w:b/>
          <w:lang w:val="nb-NO" w:eastAsia="pl-PL"/>
        </w:rPr>
      </w:pPr>
    </w:p>
    <w:p w:rsidR="00DF5828" w:rsidRPr="00DF5828" w:rsidRDefault="00DF5828" w:rsidP="00DF5828">
      <w:pPr>
        <w:numPr>
          <w:ilvl w:val="12"/>
          <w:numId w:val="0"/>
        </w:numPr>
        <w:tabs>
          <w:tab w:val="left" w:pos="567"/>
        </w:tabs>
        <w:spacing w:after="0" w:line="260" w:lineRule="exact"/>
        <w:rPr>
          <w:rFonts w:ascii="Times New Roman" w:hAnsi="Times New Roman"/>
          <w:lang w:val="en-GB"/>
        </w:rPr>
      </w:pPr>
      <w:proofErr w:type="spellStart"/>
      <w:r w:rsidRPr="00DF5828">
        <w:rPr>
          <w:rFonts w:ascii="Times New Roman" w:hAnsi="Times New Roman"/>
          <w:lang w:val="en-GB"/>
        </w:rPr>
        <w:t>Receptinis</w:t>
      </w:r>
      <w:proofErr w:type="spellEnd"/>
      <w:r w:rsidRPr="00DF5828">
        <w:rPr>
          <w:rFonts w:ascii="Times New Roman" w:hAnsi="Times New Roman"/>
          <w:lang w:val="en-GB"/>
        </w:rPr>
        <w:t xml:space="preserve"> </w:t>
      </w:r>
      <w:proofErr w:type="spellStart"/>
      <w:r w:rsidRPr="00DF5828">
        <w:rPr>
          <w:rFonts w:ascii="Times New Roman" w:hAnsi="Times New Roman"/>
          <w:lang w:val="en-GB"/>
        </w:rPr>
        <w:t>vaistinis</w:t>
      </w:r>
      <w:proofErr w:type="spellEnd"/>
      <w:r w:rsidRPr="00DF5828">
        <w:rPr>
          <w:rFonts w:ascii="Times New Roman" w:hAnsi="Times New Roman"/>
          <w:lang w:val="en-GB"/>
        </w:rPr>
        <w:t xml:space="preserve"> </w:t>
      </w:r>
      <w:proofErr w:type="spellStart"/>
      <w:r w:rsidRPr="00DF5828">
        <w:rPr>
          <w:rFonts w:ascii="Times New Roman" w:hAnsi="Times New Roman"/>
          <w:lang w:val="en-GB"/>
        </w:rPr>
        <w:t>preparatas</w:t>
      </w:r>
      <w:proofErr w:type="spellEnd"/>
      <w:r w:rsidRPr="00DF5828">
        <w:rPr>
          <w:rFonts w:ascii="Times New Roman" w:hAnsi="Times New Roman"/>
          <w:lang w:val="en-GB"/>
        </w:rPr>
        <w:t>.</w:t>
      </w: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r w:rsidRPr="00DF5828">
        <w:rPr>
          <w:rFonts w:ascii="Times New Roman" w:hAnsi="Times New Roman"/>
          <w:b/>
          <w:lang w:val="en-GB"/>
        </w:rPr>
        <w:br w:type="page"/>
      </w: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jc w:val="center"/>
        <w:rPr>
          <w:rFonts w:ascii="Times New Roman" w:hAnsi="Times New Roman"/>
          <w:b/>
          <w:lang w:val="en-GB"/>
        </w:rPr>
      </w:pPr>
      <w:r w:rsidRPr="00DF5828">
        <w:rPr>
          <w:rFonts w:ascii="Times New Roman" w:hAnsi="Times New Roman"/>
          <w:b/>
          <w:lang w:val="en-GB"/>
        </w:rPr>
        <w:t>III PRIEDAS</w:t>
      </w:r>
    </w:p>
    <w:p w:rsidR="00DF5828" w:rsidRPr="00DF5828" w:rsidRDefault="00DF5828" w:rsidP="00DF5828">
      <w:pPr>
        <w:tabs>
          <w:tab w:val="left" w:pos="567"/>
        </w:tabs>
        <w:spacing w:after="0" w:line="260" w:lineRule="exact"/>
        <w:jc w:val="center"/>
        <w:rPr>
          <w:rFonts w:ascii="Times New Roman" w:hAnsi="Times New Roman"/>
          <w:b/>
          <w:lang w:val="en-GB"/>
        </w:rPr>
      </w:pPr>
    </w:p>
    <w:p w:rsidR="00DF5828" w:rsidRPr="00DF5828" w:rsidRDefault="00DF5828" w:rsidP="00DF5828">
      <w:pPr>
        <w:tabs>
          <w:tab w:val="left" w:pos="567"/>
        </w:tabs>
        <w:spacing w:after="0" w:line="260" w:lineRule="exact"/>
        <w:jc w:val="center"/>
        <w:rPr>
          <w:rFonts w:ascii="Times New Roman" w:hAnsi="Times New Roman"/>
          <w:lang w:val="en-GB"/>
        </w:rPr>
      </w:pPr>
      <w:r w:rsidRPr="00DF5828">
        <w:rPr>
          <w:rFonts w:ascii="Times New Roman" w:hAnsi="Times New Roman"/>
          <w:b/>
          <w:lang w:val="en-GB"/>
        </w:rPr>
        <w:t>ŽENKLINIMAS IR PAKUOTĖS LAPELIS</w:t>
      </w: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r w:rsidRPr="00DF5828">
        <w:rPr>
          <w:rFonts w:ascii="Times New Roman" w:hAnsi="Times New Roman"/>
          <w:b/>
          <w:lang w:val="en-GB"/>
        </w:rPr>
        <w:br w:type="page"/>
      </w: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rPr>
          <w:rFonts w:ascii="Times New Roman" w:hAnsi="Times New Roman"/>
          <w:b/>
          <w:lang w:val="en-GB"/>
        </w:rPr>
      </w:pPr>
    </w:p>
    <w:p w:rsidR="00DF5828" w:rsidRPr="00DF5828" w:rsidRDefault="00DF5828" w:rsidP="00DF5828">
      <w:pPr>
        <w:tabs>
          <w:tab w:val="left" w:pos="567"/>
        </w:tabs>
        <w:spacing w:after="0" w:line="260" w:lineRule="exact"/>
        <w:jc w:val="center"/>
        <w:rPr>
          <w:rFonts w:ascii="Times New Roman" w:hAnsi="Times New Roman"/>
          <w:lang w:val="en-GB"/>
        </w:rPr>
      </w:pPr>
      <w:r w:rsidRPr="00DF5828">
        <w:rPr>
          <w:rFonts w:ascii="Times New Roman" w:hAnsi="Times New Roman"/>
          <w:b/>
          <w:lang w:val="en-GB"/>
        </w:rPr>
        <w:t>A. ŽENKLINIMAS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en-GB"/>
        </w:rPr>
        <w:br w:type="page"/>
      </w: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lang w:val="lt-LT"/>
        </w:rPr>
      </w:pPr>
      <w:r w:rsidRPr="00DF5828">
        <w:rPr>
          <w:rFonts w:ascii="Times New Roman" w:hAnsi="Times New Roman"/>
          <w:b/>
          <w:lang w:val="lt-LT"/>
        </w:rPr>
        <w:t>INFORMACIJA ANT IŠORINĖS PAKUOTĖS</w:t>
      </w: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KARTONO DĖŽUTĖ</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1.</w:t>
      </w:r>
      <w:r w:rsidRPr="00DF5828">
        <w:rPr>
          <w:rFonts w:ascii="Times New Roman" w:hAnsi="Times New Roman"/>
          <w:b/>
          <w:lang w:val="lt-LT"/>
        </w:rPr>
        <w:tab/>
        <w:t>VAISTINIO PREPARATO PAVADINIMAS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Ibandronic acid Actavis 50 mg plėvele dengtos tabletės</w:t>
      </w: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Acidum</w:t>
      </w:r>
      <w:proofErr w:type="spellEnd"/>
      <w:r w:rsidRPr="00DF5828">
        <w:rPr>
          <w:rFonts w:ascii="Times New Roman" w:hAnsi="Times New Roman"/>
          <w:lang w:val="lt-LT"/>
        </w:rPr>
        <w:t xml:space="preserve"> </w:t>
      </w:r>
      <w:proofErr w:type="spellStart"/>
      <w:r w:rsidRPr="00DF5828">
        <w:rPr>
          <w:rFonts w:ascii="Times New Roman" w:hAnsi="Times New Roman"/>
          <w:lang w:val="lt-LT"/>
        </w:rPr>
        <w:t>ibandronicum</w:t>
      </w:r>
      <w:proofErr w:type="spellEnd"/>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lang w:val="lt-LT"/>
        </w:rPr>
      </w:pPr>
      <w:r w:rsidRPr="00DF5828">
        <w:rPr>
          <w:rFonts w:ascii="Times New Roman" w:hAnsi="Times New Roman"/>
          <w:b/>
          <w:lang w:val="lt-LT"/>
        </w:rPr>
        <w:t>2.</w:t>
      </w:r>
      <w:r w:rsidRPr="00DF5828">
        <w:rPr>
          <w:rFonts w:ascii="Times New Roman" w:hAnsi="Times New Roman"/>
          <w:b/>
          <w:lang w:val="lt-LT"/>
        </w:rPr>
        <w:tab/>
        <w:t>VEIKLIOJI MEDŽIAGA IR JOS KIEKIS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Kiekvienoje plėvele dengtoje tabletėje yra 50 mg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w:t>
      </w:r>
      <w:proofErr w:type="spellStart"/>
      <w:r w:rsidRPr="00DF5828">
        <w:rPr>
          <w:rFonts w:ascii="Times New Roman" w:hAnsi="Times New Roman"/>
          <w:lang w:val="lt-LT"/>
        </w:rPr>
        <w:t>ibandronato</w:t>
      </w:r>
      <w:proofErr w:type="spellEnd"/>
      <w:r w:rsidRPr="00DF5828">
        <w:rPr>
          <w:rFonts w:ascii="Times New Roman" w:hAnsi="Times New Roman"/>
          <w:lang w:val="lt-LT"/>
        </w:rPr>
        <w:t xml:space="preserve"> natrio druskos monohidrato pavidalu).</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DF5828">
        <w:rPr>
          <w:rFonts w:ascii="Times New Roman" w:hAnsi="Times New Roman"/>
          <w:b/>
          <w:lang w:val="lt-LT"/>
        </w:rPr>
        <w:t>3.</w:t>
      </w:r>
      <w:r w:rsidRPr="00DF5828">
        <w:rPr>
          <w:rFonts w:ascii="Times New Roman" w:hAnsi="Times New Roman"/>
          <w:b/>
          <w:lang w:val="lt-LT"/>
        </w:rPr>
        <w:tab/>
        <w:t>PAGALBINIŲ MEDŽIAGŲ SĄRAŠAS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Sudėtyje yra laktozės. Daugiau informacijos pateikta pakuotės lapelyje.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4.</w:t>
      </w:r>
      <w:r w:rsidRPr="00DF5828">
        <w:rPr>
          <w:rFonts w:ascii="Times New Roman" w:hAnsi="Times New Roman"/>
          <w:b/>
          <w:lang w:val="lt-LT"/>
        </w:rPr>
        <w:tab/>
        <w:t>FARMACINĖ FORMA IR KIEKIS PAKUOTĖJE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1 </w:t>
      </w:r>
      <w:r w:rsidRPr="000F1EAC">
        <w:rPr>
          <w:rFonts w:ascii="Times New Roman" w:hAnsi="Times New Roman"/>
          <w:highlight w:val="lightGray"/>
          <w:lang w:val="lt-LT"/>
        </w:rPr>
        <w:t>plėvele dengta</w:t>
      </w:r>
      <w:r w:rsidRPr="00DF5828">
        <w:rPr>
          <w:rFonts w:ascii="Times New Roman" w:hAnsi="Times New Roman"/>
          <w:lang w:val="lt-LT"/>
        </w:rPr>
        <w:t xml:space="preserve"> tabletė</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3 plėvele dengtos tabletės</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7 plėvele dengtos tabletės</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10 plėvele dengtų tablečių</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14 plėvele dengtų tablečių</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20 plėvele dengtų tablečių</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21 plėvele dengta tabletė</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28 plėvele dengtos tabletės</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30 plėvele dengtų tablečių</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42 plėvele dengtos tabletės</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50 plėvele dengtų tablečių</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56 plėvele dengtos tabletės</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60 plėvele dengtų tablečių</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84 plėvele dengtos tabletės</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90 plėvele dengtų tablečių</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100 plėvele dengtų tablečių</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126 plėvele dengtos tabletės</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168 plėvele dengtos tabletės</w:t>
      </w:r>
    </w:p>
    <w:p w:rsidR="00DF5828" w:rsidRPr="000F1EAC" w:rsidRDefault="00DF5828" w:rsidP="00DF5828">
      <w:pPr>
        <w:tabs>
          <w:tab w:val="left" w:pos="567"/>
        </w:tabs>
        <w:spacing w:after="0" w:line="260" w:lineRule="exact"/>
        <w:rPr>
          <w:rFonts w:ascii="Times New Roman" w:hAnsi="Times New Roman"/>
          <w:highlight w:val="lightGray"/>
          <w:lang w:val="lt-LT"/>
        </w:rPr>
      </w:pPr>
      <w:r w:rsidRPr="000F1EAC">
        <w:rPr>
          <w:rFonts w:ascii="Times New Roman" w:hAnsi="Times New Roman"/>
          <w:highlight w:val="lightGray"/>
          <w:lang w:val="lt-LT"/>
        </w:rPr>
        <w:t>210 plėvele dengtų tablečių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DF5828">
        <w:rPr>
          <w:rFonts w:ascii="Times New Roman" w:hAnsi="Times New Roman"/>
          <w:b/>
          <w:lang w:val="lt-LT"/>
        </w:rPr>
        <w:t>5.</w:t>
      </w:r>
      <w:r w:rsidRPr="00DF5828">
        <w:rPr>
          <w:rFonts w:ascii="Times New Roman" w:hAnsi="Times New Roman"/>
          <w:b/>
          <w:lang w:val="lt-LT"/>
        </w:rPr>
        <w:tab/>
        <w:t>VARTOJIMO METODAS IR BŪDAS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Prieš vartojimą perskaitykite pakuotės lapelį.</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Vartoti per burną</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lang w:val="lt-LT"/>
        </w:rPr>
      </w:pPr>
      <w:r w:rsidRPr="00DF5828">
        <w:rPr>
          <w:rFonts w:ascii="Times New Roman" w:hAnsi="Times New Roman"/>
          <w:b/>
          <w:lang w:val="lt-LT"/>
        </w:rPr>
        <w:t>6.</w:t>
      </w:r>
      <w:r w:rsidRPr="00DF5828">
        <w:rPr>
          <w:rFonts w:ascii="Times New Roman" w:hAnsi="Times New Roman"/>
          <w:b/>
          <w:lang w:val="lt-LT"/>
        </w:rPr>
        <w:tab/>
        <w:t xml:space="preserve">SPECIALUS ĮSPĖJIMAS, KAD VAISTINĮ PREPARATĄ BŪTINA LAIKYTI VAIKAMS </w:t>
      </w:r>
      <w:r w:rsidRPr="00DF5828">
        <w:rPr>
          <w:rFonts w:ascii="Times New Roman" w:eastAsia="Times New Roman" w:hAnsi="Times New Roman"/>
          <w:b/>
          <w:bCs/>
          <w:lang w:val="lt-LT"/>
        </w:rPr>
        <w:t xml:space="preserve">NEPASTEBIMOJE IR </w:t>
      </w:r>
      <w:r w:rsidRPr="00DF5828">
        <w:rPr>
          <w:rFonts w:ascii="Times New Roman" w:hAnsi="Times New Roman"/>
          <w:b/>
          <w:lang w:val="lt-LT"/>
        </w:rPr>
        <w:t>NEPASIEKIAMOJE VIETOJE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Laikyti vaikams </w:t>
      </w:r>
      <w:r w:rsidRPr="00DF5828">
        <w:rPr>
          <w:rFonts w:ascii="Times New Roman" w:eastAsia="Times New Roman" w:hAnsi="Times New Roman"/>
          <w:iCs/>
          <w:lang w:val="lt-LT"/>
        </w:rPr>
        <w:t xml:space="preserve">nepastebimoje ir </w:t>
      </w:r>
      <w:r w:rsidRPr="00DF5828">
        <w:rPr>
          <w:rFonts w:ascii="Times New Roman" w:hAnsi="Times New Roman"/>
          <w:lang w:val="lt-LT"/>
        </w:rPr>
        <w:t>nepasiekiamoje vietoje.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DF5828">
        <w:rPr>
          <w:rFonts w:ascii="Times New Roman" w:hAnsi="Times New Roman"/>
          <w:b/>
          <w:lang w:val="lt-LT"/>
        </w:rPr>
        <w:t>7.</w:t>
      </w:r>
      <w:r w:rsidRPr="00DF5828">
        <w:rPr>
          <w:rFonts w:ascii="Times New Roman" w:hAnsi="Times New Roman"/>
          <w:b/>
          <w:lang w:val="lt-LT"/>
        </w:rPr>
        <w:tab/>
        <w:t>KITAS (-I) SPECIALUS (-ŪS) ĮSPĖJIMAS (-AI) (JEI REIKIA)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0F1EAC"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DF5828">
        <w:rPr>
          <w:rFonts w:ascii="Times New Roman" w:hAnsi="Times New Roman"/>
          <w:b/>
          <w:lang w:val="lt-LT"/>
        </w:rPr>
        <w:t>8.</w:t>
      </w:r>
      <w:r w:rsidRPr="00DF5828">
        <w:rPr>
          <w:rFonts w:ascii="Times New Roman" w:hAnsi="Times New Roman"/>
          <w:b/>
          <w:lang w:val="lt-LT"/>
        </w:rPr>
        <w:tab/>
        <w:t>TINKAMUMO LAIKAS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Tinka iki {mm.MMMM}</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9.</w:t>
      </w:r>
      <w:r w:rsidRPr="00DF5828">
        <w:rPr>
          <w:rFonts w:ascii="Times New Roman" w:hAnsi="Times New Roman"/>
          <w:b/>
          <w:lang w:val="lt-LT"/>
        </w:rPr>
        <w:tab/>
      </w:r>
      <w:r w:rsidRPr="00DF5828">
        <w:rPr>
          <w:rFonts w:ascii="Times New Roman" w:hAnsi="Times New Roman"/>
          <w:b/>
          <w:caps/>
          <w:lang w:val="lt-LT"/>
        </w:rPr>
        <w:t>SPECIALIOS laikymo sąlygos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lang w:val="lt-LT"/>
        </w:rPr>
      </w:pPr>
      <w:r w:rsidRPr="00DF5828">
        <w:rPr>
          <w:rFonts w:ascii="Times New Roman" w:hAnsi="Times New Roman"/>
          <w:b/>
          <w:lang w:val="lt-LT"/>
        </w:rPr>
        <w:t>10.</w:t>
      </w:r>
      <w:r w:rsidRPr="00DF5828">
        <w:rPr>
          <w:rFonts w:ascii="Times New Roman" w:hAnsi="Times New Roman"/>
          <w:b/>
          <w:lang w:val="lt-LT"/>
        </w:rPr>
        <w:tab/>
      </w:r>
      <w:r w:rsidRPr="00DF5828">
        <w:rPr>
          <w:rFonts w:ascii="Times New Roman" w:hAnsi="Times New Roman"/>
          <w:b/>
          <w:caps/>
          <w:lang w:val="lt-LT"/>
        </w:rPr>
        <w:t>specialios atsargumo priemonės DĖL NESUVARTOTO VAISTINIO PREPARATO AR JO ATLIEK</w:t>
      </w:r>
      <w:r w:rsidRPr="00DF5828">
        <w:rPr>
          <w:rFonts w:ascii="Times New Roman" w:hAnsi="Times New Roman"/>
          <w:b/>
          <w:lang w:val="lt-LT"/>
        </w:rPr>
        <w:t>Ų</w:t>
      </w:r>
      <w:r w:rsidRPr="00DF5828">
        <w:rPr>
          <w:rFonts w:ascii="Times New Roman" w:hAnsi="Times New Roman"/>
          <w:caps/>
          <w:lang w:val="lt-LT"/>
        </w:rPr>
        <w:t xml:space="preserve"> </w:t>
      </w:r>
      <w:r w:rsidRPr="00DF5828">
        <w:rPr>
          <w:rFonts w:ascii="Times New Roman" w:hAnsi="Times New Roman"/>
          <w:b/>
          <w:caps/>
          <w:lang w:val="lt-LT"/>
        </w:rPr>
        <w:t>TVARKYMO (jei reikia)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lang w:val="lt-LT"/>
        </w:rPr>
      </w:pPr>
      <w:r w:rsidRPr="00DF5828">
        <w:rPr>
          <w:rFonts w:ascii="Times New Roman" w:hAnsi="Times New Roman"/>
          <w:b/>
          <w:lang w:val="lt-LT"/>
        </w:rPr>
        <w:t>11.</w:t>
      </w:r>
      <w:r w:rsidRPr="00DF5828">
        <w:rPr>
          <w:rFonts w:ascii="Times New Roman" w:hAnsi="Times New Roman"/>
          <w:b/>
          <w:lang w:val="lt-LT"/>
        </w:rPr>
        <w:tab/>
      </w:r>
      <w:r w:rsidRPr="00DF5828">
        <w:rPr>
          <w:rFonts w:ascii="Times New Roman" w:hAnsi="Times New Roman"/>
          <w:b/>
          <w:caps/>
          <w:lang w:val="lt-LT"/>
        </w:rPr>
        <w:t>R</w:t>
      </w:r>
      <w:r w:rsidR="00B42B32">
        <w:rPr>
          <w:rFonts w:ascii="Times New Roman" w:hAnsi="Times New Roman"/>
          <w:b/>
          <w:caps/>
          <w:lang w:val="lt-LT"/>
        </w:rPr>
        <w:t>EGISTRUOTOJO</w:t>
      </w:r>
      <w:r w:rsidRPr="00DF5828">
        <w:rPr>
          <w:rFonts w:ascii="Times New Roman" w:hAnsi="Times New Roman"/>
          <w:b/>
          <w:caps/>
          <w:lang w:val="lt-LT"/>
        </w:rPr>
        <w:t xml:space="preserve"> </w:t>
      </w:r>
      <w:r w:rsidR="00B42B32">
        <w:rPr>
          <w:rFonts w:ascii="Times New Roman" w:hAnsi="Times New Roman"/>
          <w:b/>
          <w:caps/>
          <w:lang w:val="lt-LT"/>
        </w:rPr>
        <w:t xml:space="preserve">PAVADINIMAS </w:t>
      </w:r>
      <w:r w:rsidRPr="00DF5828">
        <w:rPr>
          <w:rFonts w:ascii="Times New Roman" w:hAnsi="Times New Roman"/>
          <w:b/>
          <w:caps/>
          <w:lang w:val="lt-LT"/>
        </w:rPr>
        <w:t>ir adresas</w:t>
      </w:r>
      <w:r w:rsidR="00B42B32">
        <w:rPr>
          <w:rFonts w:ascii="Times New Roman" w:hAnsi="Times New Roman"/>
          <w:b/>
          <w:caps/>
          <w:lang w:val="lt-LT"/>
        </w:rPr>
        <w:t xml:space="preserve">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Actavis Group PTC ehf</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Reykjavíkurvegi 76-78, 220 Hafnarfjörður</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Islandija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12.</w:t>
      </w:r>
      <w:r w:rsidRPr="00DF5828">
        <w:rPr>
          <w:rFonts w:ascii="Times New Roman" w:hAnsi="Times New Roman"/>
          <w:b/>
          <w:lang w:val="lt-LT"/>
        </w:rPr>
        <w:tab/>
      </w:r>
      <w:r w:rsidRPr="00DF5828">
        <w:rPr>
          <w:rFonts w:ascii="Times New Roman" w:hAnsi="Times New Roman"/>
          <w:b/>
          <w:caps/>
          <w:lang w:val="lt-LT"/>
        </w:rPr>
        <w:t>R</w:t>
      </w:r>
      <w:r w:rsidR="00B42B32">
        <w:rPr>
          <w:rFonts w:ascii="Times New Roman" w:hAnsi="Times New Roman"/>
          <w:b/>
          <w:caps/>
          <w:lang w:val="lt-LT"/>
        </w:rPr>
        <w:t>EGISTRACIJOS</w:t>
      </w:r>
      <w:r w:rsidRPr="00DF5828">
        <w:rPr>
          <w:rFonts w:ascii="Times New Roman" w:hAnsi="Times New Roman"/>
          <w:b/>
          <w:caps/>
          <w:lang w:val="lt-LT"/>
        </w:rPr>
        <w:t xml:space="preserve"> </w:t>
      </w:r>
      <w:r w:rsidRPr="00DF5828">
        <w:rPr>
          <w:rFonts w:ascii="Times New Roman" w:eastAsia="Times New Roman" w:hAnsi="Times New Roman"/>
          <w:b/>
          <w:caps/>
          <w:lang w:val="lt-LT"/>
        </w:rPr>
        <w:t>PAŽYMĖJIMO</w:t>
      </w:r>
      <w:r w:rsidRPr="00DF5828">
        <w:rPr>
          <w:rFonts w:ascii="Times New Roman" w:hAnsi="Times New Roman"/>
          <w:b/>
          <w:caps/>
          <w:lang w:val="lt-LT"/>
        </w:rPr>
        <w:t xml:space="preserve"> numeris</w:t>
      </w:r>
      <w:r w:rsidRPr="00DF5828">
        <w:rPr>
          <w:rFonts w:ascii="Times New Roman" w:hAnsi="Times New Roman"/>
          <w:b/>
          <w:lang w:val="lt-LT"/>
        </w:rPr>
        <w:t xml:space="preserve">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N1 - LT/1/10/2310/001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N3 - LT/1/10/2310/002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N7 - LT/1/10/2310/003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N10 - LT/1/10/2310/004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N14 - LT/1/10/2310/005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N20 - LT/1/10/2310/006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N21 - LT/1/10/2310/007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N28 - LT/1/10/2310/008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N30 - LT/1/10/2310/009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N42 - LT/1/10/2310/010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N50 - LT/1/10/2310/011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N56 - LT/1/10/2310/012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N60 - LT/1/10/2310/013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N84 - LT/1/10/2310/014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N90 - LT/1/10/2310/015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N100 - LT/1/10/2310/016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N126 - LT/1/10/2310/017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N168 - LT/1/10/2310/018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N210 - LT/1/10/2310/019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13.</w:t>
      </w:r>
      <w:r w:rsidRPr="00DF5828">
        <w:rPr>
          <w:rFonts w:ascii="Times New Roman" w:hAnsi="Times New Roman"/>
          <w:b/>
          <w:lang w:val="lt-LT"/>
        </w:rPr>
        <w:tab/>
        <w:t>SERIJOS NUMERIS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Serija</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14.</w:t>
      </w:r>
      <w:r w:rsidRPr="00DF5828">
        <w:rPr>
          <w:rFonts w:ascii="Times New Roman" w:hAnsi="Times New Roman"/>
          <w:b/>
          <w:lang w:val="lt-LT"/>
        </w:rPr>
        <w:tab/>
        <w:t>PARDAVIMO (IŠDAVIMO)</w:t>
      </w:r>
      <w:r w:rsidRPr="00DF5828">
        <w:rPr>
          <w:rFonts w:ascii="Times New Roman" w:hAnsi="Times New Roman"/>
          <w:b/>
          <w:caps/>
          <w:lang w:val="lt-LT"/>
        </w:rPr>
        <w:t xml:space="preserve"> tvarka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Receptinis vaistinis preparatas.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15.</w:t>
      </w:r>
      <w:r w:rsidRPr="00DF5828">
        <w:rPr>
          <w:rFonts w:ascii="Times New Roman" w:hAnsi="Times New Roman"/>
          <w:b/>
          <w:lang w:val="lt-LT"/>
        </w:rPr>
        <w:tab/>
      </w:r>
      <w:r w:rsidRPr="00DF5828">
        <w:rPr>
          <w:rFonts w:ascii="Times New Roman" w:hAnsi="Times New Roman"/>
          <w:b/>
          <w:caps/>
          <w:lang w:val="lt-LT"/>
        </w:rPr>
        <w:t>vartojimo instrukcijA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lang w:val="lt-LT"/>
        </w:rPr>
      </w:pPr>
      <w:r w:rsidRPr="00DF5828">
        <w:rPr>
          <w:rFonts w:ascii="Times New Roman" w:hAnsi="Times New Roman"/>
          <w:b/>
          <w:lang w:val="lt-LT"/>
        </w:rPr>
        <w:t>16.</w:t>
      </w:r>
      <w:r w:rsidRPr="00DF5828">
        <w:rPr>
          <w:rFonts w:ascii="Times New Roman" w:hAnsi="Times New Roman"/>
          <w:b/>
          <w:lang w:val="lt-LT"/>
        </w:rPr>
        <w:tab/>
        <w:t>INFORMACIJA BRAILIO RAŠTU</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lang w:val="lt-LT"/>
        </w:rPr>
        <w:t xml:space="preserve">Ibandronic acid Actavis 50 mg </w:t>
      </w:r>
      <w:r w:rsidRPr="00DF5828">
        <w:rPr>
          <w:rFonts w:ascii="Times New Roman" w:hAnsi="Times New Roman"/>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5828" w:rsidRPr="000F1EAC" w:rsidTr="006C2504">
        <w:trPr>
          <w:trHeight w:val="785"/>
        </w:trPr>
        <w:tc>
          <w:tcPr>
            <w:tcW w:w="9287" w:type="dxa"/>
            <w:tcBorders>
              <w:bottom w:val="single" w:sz="4" w:space="0" w:color="auto"/>
            </w:tcBorders>
          </w:tcPr>
          <w:p w:rsidR="00DF5828" w:rsidRPr="000F1EAC" w:rsidRDefault="00DF5828" w:rsidP="00DF5828">
            <w:pPr>
              <w:tabs>
                <w:tab w:val="left" w:pos="567"/>
              </w:tabs>
              <w:spacing w:after="0" w:line="260" w:lineRule="exact"/>
              <w:rPr>
                <w:rFonts w:ascii="Times New Roman" w:hAnsi="Times New Roman"/>
                <w:b/>
                <w:lang w:val="lt-LT"/>
              </w:rPr>
            </w:pPr>
            <w:r w:rsidRPr="000F1EAC">
              <w:rPr>
                <w:rFonts w:ascii="Times New Roman" w:hAnsi="Times New Roman"/>
                <w:b/>
                <w:lang w:val="lt-LT"/>
              </w:rPr>
              <w:t>MINIMALI INFORMACIJA ANT LIZDINIŲ PLOKŠTELIŲ ARBA DVISLUOKSNIŲ JUOSTELIŲ</w:t>
            </w:r>
          </w:p>
          <w:p w:rsidR="00DF5828" w:rsidRPr="000F1EAC" w:rsidRDefault="00DF5828" w:rsidP="00DF5828">
            <w:pPr>
              <w:tabs>
                <w:tab w:val="left" w:pos="567"/>
              </w:tabs>
              <w:spacing w:after="0" w:line="260" w:lineRule="exact"/>
              <w:rPr>
                <w:rFonts w:ascii="Times New Roman" w:hAnsi="Times New Roman"/>
                <w:b/>
                <w:lang w:val="lt-LT"/>
              </w:rPr>
            </w:pPr>
          </w:p>
          <w:p w:rsidR="00DF5828" w:rsidRPr="000F1EAC" w:rsidRDefault="00DF5828" w:rsidP="00DF5828">
            <w:pPr>
              <w:tabs>
                <w:tab w:val="left" w:pos="567"/>
              </w:tabs>
              <w:spacing w:after="0" w:line="260" w:lineRule="exact"/>
              <w:rPr>
                <w:rFonts w:ascii="Times New Roman" w:hAnsi="Times New Roman"/>
                <w:b/>
                <w:lang w:val="lt-LT"/>
              </w:rPr>
            </w:pPr>
            <w:r w:rsidRPr="000F1EAC">
              <w:rPr>
                <w:rFonts w:ascii="Times New Roman" w:hAnsi="Times New Roman"/>
                <w:b/>
                <w:lang w:val="lt-LT"/>
              </w:rPr>
              <w:t>LIZDINĖ PLOKŠTELĖ</w:t>
            </w:r>
          </w:p>
        </w:tc>
      </w:tr>
    </w:tbl>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5828" w:rsidRPr="000F1EAC" w:rsidTr="006C2504">
        <w:tc>
          <w:tcPr>
            <w:tcW w:w="9287" w:type="dxa"/>
          </w:tcPr>
          <w:p w:rsidR="00DF5828" w:rsidRPr="000F1EAC" w:rsidRDefault="00DF5828" w:rsidP="00DF5828">
            <w:pPr>
              <w:tabs>
                <w:tab w:val="left" w:pos="567"/>
              </w:tabs>
              <w:spacing w:after="0" w:line="260" w:lineRule="exact"/>
              <w:rPr>
                <w:rFonts w:ascii="Times New Roman" w:hAnsi="Times New Roman"/>
                <w:b/>
                <w:lang w:val="lt-LT"/>
              </w:rPr>
            </w:pPr>
            <w:r w:rsidRPr="000F1EAC">
              <w:rPr>
                <w:rFonts w:ascii="Times New Roman" w:hAnsi="Times New Roman"/>
                <w:b/>
                <w:lang w:val="lt-LT"/>
              </w:rPr>
              <w:t>1.</w:t>
            </w:r>
            <w:r w:rsidRPr="000F1EAC">
              <w:rPr>
                <w:rFonts w:ascii="Times New Roman" w:hAnsi="Times New Roman"/>
                <w:b/>
                <w:lang w:val="lt-LT"/>
              </w:rPr>
              <w:tab/>
            </w:r>
            <w:r w:rsidRPr="000F1EAC">
              <w:rPr>
                <w:rFonts w:ascii="Times New Roman" w:hAnsi="Times New Roman"/>
                <w:b/>
                <w:caps/>
                <w:lang w:val="lt-LT"/>
              </w:rPr>
              <w:t>Vaistinio preparato pavadinimas</w:t>
            </w:r>
          </w:p>
        </w:tc>
      </w:tr>
    </w:tbl>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Ibandronic acid Actavis 50 mg </w:t>
      </w:r>
      <w:r w:rsidRPr="000F1EAC">
        <w:rPr>
          <w:rFonts w:ascii="Times New Roman" w:hAnsi="Times New Roman"/>
          <w:highlight w:val="lightGray"/>
          <w:lang w:val="lt-LT"/>
        </w:rPr>
        <w:t>plėvele dengtos</w:t>
      </w:r>
      <w:r w:rsidRPr="00DF5828">
        <w:rPr>
          <w:rFonts w:ascii="Times New Roman" w:hAnsi="Times New Roman"/>
          <w:lang w:val="lt-LT"/>
        </w:rPr>
        <w:t xml:space="preserve"> tabletės</w:t>
      </w: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hAnsi="Times New Roman"/>
          <w:lang w:val="lt-LT"/>
        </w:rPr>
        <w:t>Acidum</w:t>
      </w:r>
      <w:proofErr w:type="spellEnd"/>
      <w:r w:rsidRPr="00DF5828">
        <w:rPr>
          <w:rFonts w:ascii="Times New Roman" w:hAnsi="Times New Roman"/>
          <w:lang w:val="lt-LT"/>
        </w:rPr>
        <w:t xml:space="preserve"> </w:t>
      </w:r>
      <w:proofErr w:type="spellStart"/>
      <w:r w:rsidRPr="00DF5828">
        <w:rPr>
          <w:rFonts w:ascii="Times New Roman" w:hAnsi="Times New Roman"/>
          <w:lang w:val="lt-LT"/>
        </w:rPr>
        <w:t>ibandronicum</w:t>
      </w:r>
      <w:proofErr w:type="spellEnd"/>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5828" w:rsidRPr="000F1EAC" w:rsidTr="006C2504">
        <w:tc>
          <w:tcPr>
            <w:tcW w:w="9287" w:type="dxa"/>
          </w:tcPr>
          <w:p w:rsidR="00DF5828" w:rsidRPr="000F1EAC" w:rsidRDefault="00DF5828" w:rsidP="00DF5828">
            <w:pPr>
              <w:tabs>
                <w:tab w:val="left" w:pos="567"/>
              </w:tabs>
              <w:spacing w:after="0" w:line="260" w:lineRule="exact"/>
              <w:rPr>
                <w:rFonts w:ascii="Times New Roman" w:hAnsi="Times New Roman"/>
                <w:b/>
                <w:lang w:val="lt-LT"/>
              </w:rPr>
            </w:pPr>
            <w:r w:rsidRPr="000F1EAC">
              <w:rPr>
                <w:rFonts w:ascii="Times New Roman" w:hAnsi="Times New Roman"/>
                <w:b/>
                <w:lang w:val="lt-LT"/>
              </w:rPr>
              <w:t>2.</w:t>
            </w:r>
            <w:r w:rsidRPr="000F1EAC">
              <w:rPr>
                <w:rFonts w:ascii="Times New Roman" w:hAnsi="Times New Roman"/>
                <w:b/>
                <w:lang w:val="lt-LT"/>
              </w:rPr>
              <w:tab/>
            </w:r>
            <w:r w:rsidRPr="000F1EAC">
              <w:rPr>
                <w:rFonts w:ascii="Times New Roman" w:hAnsi="Times New Roman"/>
                <w:b/>
                <w:caps/>
                <w:lang w:val="lt-LT"/>
              </w:rPr>
              <w:t>r</w:t>
            </w:r>
            <w:r w:rsidR="00B42B32" w:rsidRPr="000F1EAC">
              <w:rPr>
                <w:rFonts w:ascii="Times New Roman" w:hAnsi="Times New Roman"/>
                <w:b/>
                <w:caps/>
                <w:lang w:val="lt-LT"/>
              </w:rPr>
              <w:t>EGISTRUOTOJO</w:t>
            </w:r>
            <w:r w:rsidRPr="000F1EAC">
              <w:rPr>
                <w:rFonts w:ascii="Times New Roman" w:hAnsi="Times New Roman"/>
                <w:b/>
                <w:caps/>
                <w:lang w:val="lt-LT"/>
              </w:rPr>
              <w:t xml:space="preserve"> pavadinimas</w:t>
            </w:r>
          </w:p>
        </w:tc>
      </w:tr>
    </w:tbl>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Actavis (logo)</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5828" w:rsidRPr="000F1EAC" w:rsidTr="006C2504">
        <w:tc>
          <w:tcPr>
            <w:tcW w:w="9287" w:type="dxa"/>
          </w:tcPr>
          <w:p w:rsidR="00DF5828" w:rsidRPr="000F1EAC" w:rsidRDefault="00DF5828" w:rsidP="00DF5828">
            <w:pPr>
              <w:tabs>
                <w:tab w:val="left" w:pos="567"/>
              </w:tabs>
              <w:spacing w:after="0" w:line="260" w:lineRule="exact"/>
              <w:rPr>
                <w:rFonts w:ascii="Times New Roman" w:hAnsi="Times New Roman"/>
                <w:b/>
                <w:lang w:val="lt-LT"/>
              </w:rPr>
            </w:pPr>
            <w:r w:rsidRPr="000F1EAC">
              <w:rPr>
                <w:rFonts w:ascii="Times New Roman" w:hAnsi="Times New Roman"/>
                <w:b/>
                <w:lang w:val="lt-LT"/>
              </w:rPr>
              <w:t>3.</w:t>
            </w:r>
            <w:r w:rsidRPr="000F1EAC">
              <w:rPr>
                <w:rFonts w:ascii="Times New Roman" w:hAnsi="Times New Roman"/>
                <w:b/>
                <w:lang w:val="lt-LT"/>
              </w:rPr>
              <w:tab/>
            </w:r>
            <w:r w:rsidRPr="000F1EAC">
              <w:rPr>
                <w:rFonts w:ascii="Times New Roman" w:hAnsi="Times New Roman"/>
                <w:b/>
                <w:caps/>
                <w:lang w:val="lt-LT"/>
              </w:rPr>
              <w:t>tinkamumo laikas</w:t>
            </w:r>
          </w:p>
        </w:tc>
      </w:tr>
    </w:tbl>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lang w:val="lt-LT"/>
        </w:rPr>
      </w:pPr>
      <w:r w:rsidRPr="000F1EAC">
        <w:rPr>
          <w:rFonts w:ascii="Times New Roman" w:hAnsi="Times New Roman"/>
          <w:highlight w:val="lightGray"/>
          <w:lang w:val="lt-LT"/>
        </w:rPr>
        <w:t>EXP</w:t>
      </w:r>
      <w:r w:rsidRPr="00DF5828">
        <w:rPr>
          <w:rFonts w:ascii="Times New Roman" w:hAnsi="Times New Roman"/>
          <w:lang w:val="lt-LT"/>
        </w:rPr>
        <w:t xml:space="preserve"> {mm.MMMM}</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5828" w:rsidRPr="000F1EAC" w:rsidTr="006C2504">
        <w:tc>
          <w:tcPr>
            <w:tcW w:w="9287" w:type="dxa"/>
          </w:tcPr>
          <w:p w:rsidR="00DF5828" w:rsidRPr="000F1EAC" w:rsidRDefault="00DF5828" w:rsidP="00DF5828">
            <w:pPr>
              <w:tabs>
                <w:tab w:val="left" w:pos="567"/>
              </w:tabs>
              <w:spacing w:after="0" w:line="260" w:lineRule="exact"/>
              <w:rPr>
                <w:rFonts w:ascii="Times New Roman" w:hAnsi="Times New Roman"/>
                <w:b/>
                <w:lang w:val="lt-LT"/>
              </w:rPr>
            </w:pPr>
            <w:r w:rsidRPr="000F1EAC">
              <w:rPr>
                <w:rFonts w:ascii="Times New Roman" w:hAnsi="Times New Roman"/>
                <w:b/>
                <w:lang w:val="lt-LT"/>
              </w:rPr>
              <w:t>4.</w:t>
            </w:r>
            <w:r w:rsidRPr="000F1EAC">
              <w:rPr>
                <w:rFonts w:ascii="Times New Roman" w:hAnsi="Times New Roman"/>
                <w:b/>
                <w:lang w:val="lt-LT"/>
              </w:rPr>
              <w:tab/>
            </w:r>
            <w:r w:rsidRPr="000F1EAC">
              <w:rPr>
                <w:rFonts w:ascii="Times New Roman" w:hAnsi="Times New Roman"/>
                <w:b/>
                <w:caps/>
                <w:lang w:val="lt-LT"/>
              </w:rPr>
              <w:t>serijos numeris</w:t>
            </w:r>
          </w:p>
        </w:tc>
      </w:tr>
    </w:tbl>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0F1EAC">
        <w:rPr>
          <w:rFonts w:ascii="Times New Roman" w:hAnsi="Times New Roman"/>
          <w:highlight w:val="lightGray"/>
          <w:lang w:val="lt-LT"/>
        </w:rPr>
        <w:t>Lot</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5828" w:rsidRPr="000F1EAC" w:rsidTr="006C2504">
        <w:tc>
          <w:tcPr>
            <w:tcW w:w="9287" w:type="dxa"/>
          </w:tcPr>
          <w:p w:rsidR="00DF5828" w:rsidRPr="000F1EAC" w:rsidRDefault="00DF5828" w:rsidP="00DF5828">
            <w:pPr>
              <w:tabs>
                <w:tab w:val="left" w:pos="567"/>
              </w:tabs>
              <w:spacing w:after="0" w:line="260" w:lineRule="exact"/>
              <w:rPr>
                <w:rFonts w:ascii="Times New Roman" w:hAnsi="Times New Roman"/>
                <w:b/>
                <w:lang w:val="lt-LT"/>
              </w:rPr>
            </w:pPr>
            <w:r w:rsidRPr="000F1EAC">
              <w:rPr>
                <w:rFonts w:ascii="Times New Roman" w:hAnsi="Times New Roman"/>
                <w:b/>
                <w:lang w:val="lt-LT"/>
              </w:rPr>
              <w:t>5.</w:t>
            </w:r>
            <w:r w:rsidRPr="000F1EAC">
              <w:rPr>
                <w:rFonts w:ascii="Times New Roman" w:hAnsi="Times New Roman"/>
                <w:b/>
                <w:lang w:val="lt-LT"/>
              </w:rPr>
              <w:tab/>
              <w:t>KITA</w:t>
            </w:r>
          </w:p>
        </w:tc>
      </w:tr>
    </w:tbl>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rPr>
          <w:rFonts w:ascii="Times New Roman" w:eastAsia="Times New Roman" w:hAnsi="Times New Roman"/>
          <w:lang w:val="lt-LT"/>
        </w:rPr>
      </w:pPr>
      <w:r w:rsidRPr="00DF5828">
        <w:rPr>
          <w:rFonts w:ascii="Times New Roman" w:eastAsia="Times New Roman" w:hAnsi="Times New Roman"/>
          <w:lang w:val="lt-LT"/>
        </w:rPr>
        <w:br w:type="page"/>
      </w: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lang w:val="lt-LT"/>
        </w:rPr>
      </w:pPr>
      <w:r w:rsidRPr="00DF5828">
        <w:rPr>
          <w:rFonts w:ascii="Times New Roman" w:hAnsi="Times New Roman"/>
          <w:b/>
          <w:lang w:val="lt-LT"/>
        </w:rPr>
        <w:t>B. PAKUOTĖS LAPELIS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jc w:val="center"/>
        <w:rPr>
          <w:rFonts w:ascii="Times New Roman" w:eastAsia="Times New Roman" w:hAnsi="Times New Roman"/>
          <w:b/>
          <w:lang w:val="lt-LT"/>
        </w:rPr>
      </w:pPr>
      <w:r w:rsidRPr="00DF5828">
        <w:rPr>
          <w:rFonts w:ascii="Times New Roman" w:eastAsia="Times New Roman" w:hAnsi="Times New Roman"/>
          <w:b/>
          <w:lang w:val="lt-LT"/>
        </w:rPr>
        <w:br w:type="page"/>
        <w:t>Pakuotės lapelis: informacija pacientui</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jc w:val="center"/>
        <w:rPr>
          <w:rFonts w:ascii="Times New Roman" w:hAnsi="Times New Roman"/>
          <w:b/>
          <w:lang w:val="lt-LT"/>
        </w:rPr>
      </w:pPr>
      <w:r w:rsidRPr="00DF5828">
        <w:rPr>
          <w:rFonts w:ascii="Times New Roman" w:hAnsi="Times New Roman"/>
          <w:b/>
          <w:lang w:val="lt-LT"/>
        </w:rPr>
        <w:t>Ibandronic acid Actavis 50 mg plėvele dengtos tabletės</w:t>
      </w:r>
    </w:p>
    <w:p w:rsidR="00DF5828" w:rsidRPr="00DF5828" w:rsidRDefault="00DF5828" w:rsidP="00DF5828">
      <w:pPr>
        <w:tabs>
          <w:tab w:val="left" w:pos="567"/>
        </w:tabs>
        <w:spacing w:after="0" w:line="260" w:lineRule="exact"/>
        <w:jc w:val="center"/>
        <w:rPr>
          <w:rFonts w:ascii="Times New Roman" w:hAnsi="Times New Roman"/>
          <w:lang w:val="lt-LT"/>
        </w:rPr>
      </w:pP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Atidžiai perskaitykite visą šį lapelį, prieš pradėdami vartoti vaistą</w:t>
      </w:r>
      <w:r w:rsidRPr="00DF5828">
        <w:rPr>
          <w:rFonts w:ascii="Times New Roman" w:eastAsia="Times New Roman" w:hAnsi="Times New Roman"/>
          <w:b/>
          <w:lang w:val="lt-LT"/>
        </w:rPr>
        <w:t>, nes jame pateikiama Jums svarbi informacija</w:t>
      </w:r>
      <w:r w:rsidRPr="00DF5828">
        <w:rPr>
          <w:rFonts w:ascii="Times New Roman" w:hAnsi="Times New Roman"/>
          <w:b/>
          <w:lang w:val="lt-LT"/>
        </w:rPr>
        <w:t>.</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Neišmeskite šio lapelio, nes vėl gali prireikti jį perskaityti.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Jeigu kiltų daugiau klausimų, kreipkitės į gydytoją arba vaistininką.</w:t>
      </w:r>
    </w:p>
    <w:p w:rsidR="00DF5828" w:rsidRPr="00DF5828" w:rsidRDefault="00DF5828" w:rsidP="00DF5828">
      <w:pPr>
        <w:tabs>
          <w:tab w:val="left" w:pos="567"/>
        </w:tabs>
        <w:spacing w:after="0" w:line="260" w:lineRule="exact"/>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 xml:space="preserve">Šis vaistas skirtas </w:t>
      </w:r>
      <w:r w:rsidRPr="00DF5828">
        <w:rPr>
          <w:rFonts w:ascii="Times New Roman" w:eastAsia="Times New Roman" w:hAnsi="Times New Roman"/>
          <w:lang w:val="lt-LT"/>
        </w:rPr>
        <w:t xml:space="preserve">tik </w:t>
      </w:r>
      <w:r w:rsidRPr="00DF5828">
        <w:rPr>
          <w:rFonts w:ascii="Times New Roman" w:hAnsi="Times New Roman"/>
          <w:lang w:val="lt-LT"/>
        </w:rPr>
        <w:t xml:space="preserve">Jums, todėl kitiems žmonėms jo duoti negalima. Vaistas gali jiems pakenkti (net tiems, kurių ligos </w:t>
      </w:r>
      <w:r w:rsidRPr="00DF5828">
        <w:rPr>
          <w:rFonts w:ascii="Times New Roman" w:eastAsia="Times New Roman" w:hAnsi="Times New Roman"/>
          <w:lang w:val="lt-LT"/>
        </w:rPr>
        <w:t>požymiai</w:t>
      </w:r>
      <w:r w:rsidRPr="00DF5828">
        <w:rPr>
          <w:rFonts w:ascii="Times New Roman" w:hAnsi="Times New Roman"/>
          <w:lang w:val="lt-LT"/>
        </w:rPr>
        <w:t xml:space="preserve"> yra tokie patys kaip Jūsų).</w:t>
      </w:r>
    </w:p>
    <w:p w:rsidR="00DF5828" w:rsidRPr="00DF5828" w:rsidRDefault="00DF5828" w:rsidP="00DF5828">
      <w:pPr>
        <w:tabs>
          <w:tab w:val="left" w:pos="567"/>
        </w:tabs>
        <w:spacing w:after="0" w:line="260" w:lineRule="exact"/>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 xml:space="preserve">Jeigu pasireiškė šalutinis poveikis </w:t>
      </w:r>
      <w:r w:rsidRPr="00DF5828">
        <w:rPr>
          <w:rFonts w:ascii="Times New Roman" w:eastAsia="Times New Roman" w:hAnsi="Times New Roman"/>
          <w:lang w:val="lt-LT"/>
        </w:rPr>
        <w:t>(net jeigu jis</w:t>
      </w:r>
      <w:r w:rsidRPr="00DF5828">
        <w:rPr>
          <w:rFonts w:ascii="Times New Roman" w:hAnsi="Times New Roman"/>
          <w:lang w:val="lt-LT"/>
        </w:rPr>
        <w:t xml:space="preserve"> šiame lapelyje </w:t>
      </w:r>
      <w:r w:rsidRPr="00DF5828">
        <w:rPr>
          <w:rFonts w:ascii="Times New Roman" w:eastAsia="Times New Roman" w:hAnsi="Times New Roman"/>
          <w:lang w:val="lt-LT"/>
        </w:rPr>
        <w:t>nenurodytas) kreipkitės į gydytoją arba vaistininką</w:t>
      </w:r>
      <w:r w:rsidRPr="00DF5828">
        <w:rPr>
          <w:rFonts w:ascii="Times New Roman" w:hAnsi="Times New Roman"/>
          <w:lang w:val="lt-LT"/>
        </w:rPr>
        <w:t>.</w:t>
      </w:r>
      <w:r w:rsidR="00B42B32">
        <w:rPr>
          <w:rFonts w:ascii="Times New Roman" w:hAnsi="Times New Roman"/>
          <w:lang w:val="lt-LT"/>
        </w:rPr>
        <w:t xml:space="preserve"> Žr. 4 skyrių.</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eastAsia="Times New Roman" w:hAnsi="Times New Roman"/>
          <w:b/>
          <w:lang w:val="lt-LT"/>
        </w:rPr>
      </w:pPr>
      <w:r w:rsidRPr="00DF5828">
        <w:rPr>
          <w:rFonts w:ascii="Times New Roman" w:eastAsia="Times New Roman" w:hAnsi="Times New Roman"/>
          <w:b/>
          <w:lang w:val="lt-LT"/>
        </w:rPr>
        <w:t>Apie ką rašoma šiame lapelyje?</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1.</w:t>
      </w:r>
      <w:r w:rsidRPr="00DF5828">
        <w:rPr>
          <w:rFonts w:ascii="Times New Roman" w:hAnsi="Times New Roman"/>
          <w:lang w:val="lt-LT"/>
        </w:rPr>
        <w:tab/>
        <w:t>Kas yra Ibandronic acid Actavis ir kam jis vartojamas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2.</w:t>
      </w:r>
      <w:r w:rsidRPr="00DF5828">
        <w:rPr>
          <w:rFonts w:ascii="Times New Roman" w:hAnsi="Times New Roman"/>
          <w:lang w:val="lt-LT"/>
        </w:rPr>
        <w:tab/>
        <w:t>Kas žinotina prieš vartojant Ibandronic acid Actavis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3.</w:t>
      </w:r>
      <w:r w:rsidRPr="00DF5828">
        <w:rPr>
          <w:rFonts w:ascii="Times New Roman" w:hAnsi="Times New Roman"/>
          <w:lang w:val="lt-LT"/>
        </w:rPr>
        <w:tab/>
        <w:t>Kaip vartoti Ibandronic acid Actavis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4.</w:t>
      </w:r>
      <w:r w:rsidRPr="00DF5828">
        <w:rPr>
          <w:rFonts w:ascii="Times New Roman" w:hAnsi="Times New Roman"/>
          <w:lang w:val="lt-LT"/>
        </w:rPr>
        <w:tab/>
        <w:t>Galimas šalutinis poveikis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5.</w:t>
      </w:r>
      <w:r w:rsidRPr="00DF5828">
        <w:rPr>
          <w:rFonts w:ascii="Times New Roman" w:hAnsi="Times New Roman"/>
          <w:lang w:val="lt-LT"/>
        </w:rPr>
        <w:tab/>
        <w:t>Kaip laikyti Ibandronic acid Actavis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6.</w:t>
      </w:r>
      <w:r w:rsidRPr="00DF5828">
        <w:rPr>
          <w:rFonts w:ascii="Times New Roman" w:hAnsi="Times New Roman"/>
          <w:lang w:val="lt-LT"/>
        </w:rPr>
        <w:tab/>
      </w:r>
      <w:r w:rsidRPr="00DF5828">
        <w:rPr>
          <w:rFonts w:ascii="Times New Roman" w:eastAsia="Times New Roman" w:hAnsi="Times New Roman"/>
          <w:lang w:val="lt-LT"/>
        </w:rPr>
        <w:t>Pakuotės turinys ir kita</w:t>
      </w:r>
      <w:r w:rsidRPr="00DF5828">
        <w:rPr>
          <w:rFonts w:ascii="Times New Roman" w:hAnsi="Times New Roman"/>
          <w:lang w:val="lt-LT"/>
        </w:rPr>
        <w:t xml:space="preserve"> informacija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b/>
          <w:caps/>
          <w:lang w:val="lt-LT"/>
        </w:rPr>
      </w:pPr>
      <w:r w:rsidRPr="00DF5828">
        <w:rPr>
          <w:rFonts w:ascii="Times New Roman" w:eastAsia="Times New Roman" w:hAnsi="Times New Roman"/>
          <w:b/>
          <w:lang w:val="lt-LT"/>
        </w:rPr>
        <w:t>1.</w:t>
      </w:r>
      <w:r w:rsidRPr="00DF5828">
        <w:rPr>
          <w:rFonts w:ascii="Times New Roman" w:eastAsia="Times New Roman" w:hAnsi="Times New Roman"/>
          <w:b/>
          <w:lang w:val="lt-LT"/>
        </w:rPr>
        <w:tab/>
        <w:t>Kas yra Ibandronic acid Actavis ir kam jis vartojamas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Ibandronic acid Actavis veiklioji medžiaga yra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rūgštis, kuri </w:t>
      </w:r>
      <w:r w:rsidRPr="00DF5828">
        <w:rPr>
          <w:rFonts w:ascii="Times New Roman" w:hAnsi="Times New Roman"/>
          <w:spacing w:val="-3"/>
          <w:lang w:val="lt-LT"/>
        </w:rPr>
        <w:t>priklauso vaistų, vadinamų bisfosfonatais, grupei.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Ibandronic acid Actavis skiriamas suaugusiesiems, sergantiems į kaulus išplitusiu krūties vėžiu (vadinamu „metastazėmis“ kauluose).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numPr>
          <w:ilvl w:val="0"/>
          <w:numId w:val="11"/>
        </w:numPr>
        <w:tabs>
          <w:tab w:val="left" w:pos="567"/>
        </w:tabs>
        <w:spacing w:after="0" w:line="260" w:lineRule="exact"/>
        <w:ind w:left="567" w:hanging="567"/>
        <w:contextualSpacing/>
        <w:rPr>
          <w:rFonts w:ascii="Times New Roman" w:hAnsi="Times New Roman"/>
          <w:lang w:val="lt-LT"/>
        </w:rPr>
      </w:pPr>
      <w:r w:rsidRPr="00DF5828">
        <w:rPr>
          <w:rFonts w:ascii="Times New Roman" w:hAnsi="Times New Roman"/>
          <w:lang w:val="lt-LT"/>
        </w:rPr>
        <w:t>Vaistas apsaugo Jūsų kaulus nuo lūžių.</w:t>
      </w:r>
    </w:p>
    <w:p w:rsidR="00DF5828" w:rsidRPr="00DF5828" w:rsidRDefault="00DF5828" w:rsidP="00DF5828">
      <w:pPr>
        <w:numPr>
          <w:ilvl w:val="0"/>
          <w:numId w:val="11"/>
        </w:numPr>
        <w:tabs>
          <w:tab w:val="left" w:pos="567"/>
        </w:tabs>
        <w:spacing w:after="0" w:line="260" w:lineRule="exact"/>
        <w:ind w:left="567" w:hanging="567"/>
        <w:contextualSpacing/>
        <w:rPr>
          <w:rFonts w:ascii="Times New Roman" w:hAnsi="Times New Roman"/>
          <w:lang w:val="lt-LT"/>
        </w:rPr>
      </w:pPr>
      <w:r w:rsidRPr="00DF5828">
        <w:rPr>
          <w:rFonts w:ascii="Times New Roman" w:hAnsi="Times New Roman"/>
          <w:lang w:val="lt-LT"/>
        </w:rPr>
        <w:t>Vaistas taip pat apsaugo nuo kitų kaulų problemų, kurias tektų gydyti chirurginiu būdu ar radioterapija.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Ibandronic acid Actavis mažina Jūsų kaulų prarandamą kalcio kiekį. Tai apsaugo nuo kaulų susilpnėjimo.</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caps/>
          <w:lang w:val="lt-LT"/>
        </w:rPr>
      </w:pPr>
      <w:r w:rsidRPr="00DF5828">
        <w:rPr>
          <w:rFonts w:ascii="Times New Roman" w:hAnsi="Times New Roman"/>
          <w:b/>
          <w:lang w:val="lt-LT"/>
        </w:rPr>
        <w:t>2.</w:t>
      </w:r>
      <w:r w:rsidRPr="00DF5828">
        <w:rPr>
          <w:rFonts w:ascii="Times New Roman" w:hAnsi="Times New Roman"/>
          <w:b/>
          <w:lang w:val="lt-LT"/>
        </w:rPr>
        <w:tab/>
      </w:r>
      <w:r w:rsidRPr="00DF5828">
        <w:rPr>
          <w:rFonts w:ascii="Times New Roman" w:eastAsia="Times New Roman" w:hAnsi="Times New Roman"/>
          <w:b/>
          <w:lang w:val="lt-LT"/>
        </w:rPr>
        <w:t>Kas žinotina prieš vartojant</w:t>
      </w:r>
      <w:r w:rsidRPr="00DF5828">
        <w:rPr>
          <w:rFonts w:ascii="Times New Roman" w:hAnsi="Times New Roman"/>
          <w:b/>
          <w:lang w:val="lt-LT"/>
        </w:rPr>
        <w:t xml:space="preserve"> Ibandronic acid Actavis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caps/>
          <w:lang w:val="lt-LT"/>
        </w:rPr>
      </w:pPr>
      <w:r w:rsidRPr="00DF5828">
        <w:rPr>
          <w:rFonts w:ascii="Times New Roman" w:hAnsi="Times New Roman"/>
          <w:b/>
          <w:lang w:val="lt-LT"/>
        </w:rPr>
        <w:t>Ibandronic acid Actavis vartoti negalima:</w:t>
      </w:r>
    </w:p>
    <w:p w:rsidR="00DF5828" w:rsidRPr="00DF5828" w:rsidRDefault="00DF5828" w:rsidP="00DF5828">
      <w:pPr>
        <w:tabs>
          <w:tab w:val="left" w:pos="567"/>
        </w:tabs>
        <w:spacing w:after="0" w:line="260" w:lineRule="exact"/>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 xml:space="preserve">jeigu yra alergija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rūgščiai arba bet kuriai pagalbinei šio vaisto medžiagai, </w:t>
      </w:r>
      <w:r w:rsidRPr="00DF5828">
        <w:rPr>
          <w:rFonts w:ascii="Times New Roman" w:eastAsia="Times New Roman" w:hAnsi="Times New Roman"/>
          <w:lang w:val="lt-LT"/>
        </w:rPr>
        <w:t>(jos išvardytos</w:t>
      </w:r>
      <w:r w:rsidRPr="00DF5828">
        <w:rPr>
          <w:rFonts w:ascii="Times New Roman" w:hAnsi="Times New Roman"/>
          <w:lang w:val="lt-LT"/>
        </w:rPr>
        <w:t xml:space="preserve"> 6 skyriuje</w:t>
      </w:r>
      <w:r w:rsidRPr="00DF5828">
        <w:rPr>
          <w:rFonts w:ascii="Times New Roman" w:eastAsia="Times New Roman" w:hAnsi="Times New Roman"/>
          <w:lang w:val="lt-LT"/>
        </w:rPr>
        <w:t>).</w:t>
      </w:r>
    </w:p>
    <w:p w:rsidR="00DF5828" w:rsidRPr="00DF5828" w:rsidRDefault="00DF5828" w:rsidP="00DF5828">
      <w:pPr>
        <w:tabs>
          <w:tab w:val="left" w:pos="567"/>
        </w:tabs>
        <w:spacing w:after="0" w:line="260" w:lineRule="exact"/>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 xml:space="preserve">jeigu vargina tam tikri vamzdelio, </w:t>
      </w:r>
      <w:r w:rsidRPr="00DF5828">
        <w:rPr>
          <w:rFonts w:ascii="Times New Roman" w:eastAsia="Times New Roman" w:hAnsi="Times New Roman"/>
          <w:lang w:val="lt-LT"/>
        </w:rPr>
        <w:t>jungiančio</w:t>
      </w:r>
      <w:r w:rsidRPr="00DF5828">
        <w:rPr>
          <w:rFonts w:ascii="Times New Roman" w:hAnsi="Times New Roman"/>
          <w:lang w:val="lt-LT"/>
        </w:rPr>
        <w:t xml:space="preserve"> Jūsų burną su skrandžiu (stemplės) sutrikimai, pvz., stemplės susiaurėjimas arba apsunkintas rijimas;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jeigu negalite bent vieną valandą (60 min.) pastovėti ar pasėdėti vertikalioje padėtyje;</w:t>
      </w:r>
    </w:p>
    <w:p w:rsidR="00DF5828" w:rsidRPr="00DF5828" w:rsidRDefault="00DF5828" w:rsidP="00DF5828">
      <w:pPr>
        <w:tabs>
          <w:tab w:val="left" w:pos="567"/>
        </w:tabs>
        <w:spacing w:after="0" w:line="260" w:lineRule="exact"/>
        <w:ind w:left="567" w:hanging="567"/>
        <w:rPr>
          <w:rFonts w:ascii="Times New Roman" w:hAnsi="Times New Roman"/>
          <w:b/>
          <w:lang w:val="lt-LT"/>
        </w:rPr>
      </w:pPr>
      <w:r w:rsidRPr="00DF5828">
        <w:rPr>
          <w:rFonts w:ascii="Times New Roman" w:hAnsi="Times New Roman"/>
          <w:lang w:val="lt-LT"/>
        </w:rPr>
        <w:t>-</w:t>
      </w:r>
      <w:r w:rsidRPr="00DF5828">
        <w:rPr>
          <w:rFonts w:ascii="Times New Roman" w:hAnsi="Times New Roman"/>
          <w:lang w:val="lt-LT"/>
        </w:rPr>
        <w:tab/>
        <w:t>jeigu Jūsų kraujyje yra arba anksčiau buvo mažas kalcio kiekis.</w:t>
      </w:r>
      <w:r w:rsidRPr="00DF5828">
        <w:rPr>
          <w:rFonts w:ascii="Times New Roman" w:hAnsi="Times New Roman"/>
          <w:b/>
          <w:lang w:val="lt-LT"/>
        </w:rPr>
        <w:t xml:space="preserve"> </w:t>
      </w:r>
    </w:p>
    <w:p w:rsidR="00DF5828" w:rsidRPr="00DF5828" w:rsidRDefault="00DF5828" w:rsidP="00DF5828">
      <w:pPr>
        <w:tabs>
          <w:tab w:val="left" w:pos="567"/>
        </w:tabs>
        <w:spacing w:after="0" w:line="260" w:lineRule="exact"/>
        <w:ind w:left="567" w:hanging="567"/>
        <w:rPr>
          <w:rFonts w:ascii="Times New Roman" w:hAnsi="Times New Roman"/>
          <w:b/>
          <w:lang w:val="lt-LT"/>
        </w:rPr>
      </w:pPr>
    </w:p>
    <w:p w:rsidR="00DF5828" w:rsidRPr="00DF5828" w:rsidRDefault="00DF5828" w:rsidP="00DF5828">
      <w:pPr>
        <w:tabs>
          <w:tab w:val="left" w:pos="0"/>
        </w:tabs>
        <w:spacing w:after="0" w:line="260" w:lineRule="exact"/>
        <w:rPr>
          <w:rFonts w:ascii="Times New Roman" w:hAnsi="Times New Roman"/>
          <w:lang w:val="lt-LT"/>
        </w:rPr>
      </w:pPr>
      <w:r w:rsidRPr="00DF5828">
        <w:rPr>
          <w:rFonts w:ascii="Times New Roman" w:hAnsi="Times New Roman"/>
          <w:lang w:val="lt-LT"/>
        </w:rPr>
        <w:t xml:space="preserve">Nevartokite šio vaisto, jei kas nors iš išvardyto aukščiau Jums tinka. Jei abejojate, prašom kreiptis patarimo į gydytoją arba vaistininką prieš pradedant vartoti Ibandronic acid Actavis. </w:t>
      </w:r>
    </w:p>
    <w:p w:rsidR="00DF5828" w:rsidRPr="00DF5828" w:rsidRDefault="00DF5828" w:rsidP="00DF5828">
      <w:pPr>
        <w:tabs>
          <w:tab w:val="left" w:pos="567"/>
        </w:tabs>
        <w:spacing w:after="0" w:line="260" w:lineRule="exact"/>
        <w:ind w:left="567" w:hanging="567"/>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eastAsia="Times New Roman" w:hAnsi="Times New Roman"/>
          <w:b/>
          <w:lang w:val="lt-LT"/>
        </w:rPr>
        <w:t>Įspėjimai ir</w:t>
      </w:r>
      <w:r w:rsidRPr="00DF5828">
        <w:rPr>
          <w:rFonts w:ascii="Times New Roman" w:hAnsi="Times New Roman"/>
          <w:b/>
          <w:lang w:val="lt-LT"/>
        </w:rPr>
        <w:t xml:space="preserve"> atsargumo </w:t>
      </w:r>
      <w:r w:rsidRPr="00DF5828">
        <w:rPr>
          <w:rFonts w:ascii="Times New Roman" w:eastAsia="Times New Roman" w:hAnsi="Times New Roman"/>
          <w:b/>
          <w:lang w:val="lt-LT"/>
        </w:rPr>
        <w:t>priemonės</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Pasitarkite su gydytoju ar vaistininku, prieš pradėdami vartoti Ibandronic acid Actavis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 xml:space="preserve">jeigu padidėjęs Jūsų jautrumas kitokiems </w:t>
      </w:r>
      <w:proofErr w:type="spellStart"/>
      <w:r w:rsidRPr="00DF5828">
        <w:rPr>
          <w:rFonts w:ascii="Times New Roman" w:hAnsi="Times New Roman"/>
          <w:lang w:val="lt-LT"/>
        </w:rPr>
        <w:t>bisfosfonatams</w:t>
      </w:r>
      <w:proofErr w:type="spellEnd"/>
      <w:r w:rsidRPr="00DF5828">
        <w:rPr>
          <w:rFonts w:ascii="Times New Roman" w:hAnsi="Times New Roman"/>
          <w:lang w:val="lt-LT"/>
        </w:rPr>
        <w:t xml:space="preserve">;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jeigu turite bet kokių rijimo ar virškinimo sutrikimų;</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jeigu Jūsų kraujyje per didelis ar per mažas vitamino D ir kitų mineralų kiekis;</w:t>
      </w:r>
    </w:p>
    <w:p w:rsidR="00DF5828" w:rsidRPr="00DF5828" w:rsidRDefault="00DF5828" w:rsidP="00DF5828">
      <w:pPr>
        <w:tabs>
          <w:tab w:val="left" w:pos="567"/>
        </w:tabs>
        <w:spacing w:after="0" w:line="260" w:lineRule="exact"/>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jeigu turite inkstų problemų;</w:t>
      </w:r>
    </w:p>
    <w:p w:rsidR="00DF5828" w:rsidRPr="00DF5828" w:rsidRDefault="00DF5828" w:rsidP="00DF5828">
      <w:pPr>
        <w:tabs>
          <w:tab w:val="left" w:pos="567"/>
        </w:tabs>
        <w:spacing w:after="0" w:line="260" w:lineRule="exact"/>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jeigu J</w:t>
      </w:r>
      <w:r w:rsidR="00065D50">
        <w:rPr>
          <w:rFonts w:ascii="Times New Roman" w:hAnsi="Times New Roman"/>
          <w:lang w:val="lt-LT"/>
        </w:rPr>
        <w:t>u</w:t>
      </w:r>
      <w:r w:rsidRPr="00DF5828">
        <w:rPr>
          <w:rFonts w:ascii="Times New Roman" w:hAnsi="Times New Roman"/>
          <w:lang w:val="lt-LT"/>
        </w:rPr>
        <w:t xml:space="preserve">ms yra  </w:t>
      </w:r>
      <w:proofErr w:type="spellStart"/>
      <w:r w:rsidRPr="00DF5828">
        <w:rPr>
          <w:rFonts w:ascii="Times New Roman" w:hAnsi="Times New Roman"/>
          <w:lang w:val="lt-LT"/>
        </w:rPr>
        <w:t>galaktozės</w:t>
      </w:r>
      <w:proofErr w:type="spellEnd"/>
      <w:r w:rsidRPr="00DF5828">
        <w:rPr>
          <w:rFonts w:ascii="Times New Roman" w:hAnsi="Times New Roman"/>
          <w:lang w:val="lt-LT"/>
        </w:rPr>
        <w:t xml:space="preserve"> netoleravimas, Lapp laktozės trūkumas ar turite problemų su gliukozės/galaktozės pasisavinimu. </w:t>
      </w:r>
    </w:p>
    <w:p w:rsidR="00DF5828" w:rsidRPr="00DF5828" w:rsidRDefault="00DF5828" w:rsidP="00DF5828">
      <w:pPr>
        <w:tabs>
          <w:tab w:val="left" w:pos="567"/>
        </w:tabs>
        <w:spacing w:after="0" w:line="260" w:lineRule="exact"/>
        <w:ind w:left="567" w:hanging="567"/>
        <w:rPr>
          <w:rFonts w:ascii="Times New Roman" w:eastAsia="Times New Roman" w:hAnsi="Times New Roman"/>
          <w:lang w:val="lt-LT"/>
        </w:rPr>
      </w:pPr>
      <w:r w:rsidRPr="00DF5828">
        <w:rPr>
          <w:rFonts w:ascii="Times New Roman" w:eastAsia="Times New Roman" w:hAnsi="Times New Roman"/>
          <w:lang w:val="lt-LT"/>
        </w:rPr>
        <w:t>-</w:t>
      </w:r>
      <w:r w:rsidRPr="00DF5828">
        <w:rPr>
          <w:rFonts w:ascii="Times New Roman" w:eastAsia="Times New Roman" w:hAnsi="Times New Roman"/>
          <w:lang w:val="lt-LT"/>
        </w:rPr>
        <w:tab/>
      </w:r>
      <w:proofErr w:type="spellStart"/>
      <w:r w:rsidRPr="00DF5828">
        <w:rPr>
          <w:rFonts w:ascii="Times New Roman" w:eastAsia="Times New Roman" w:hAnsi="Times New Roman"/>
        </w:rPr>
        <w:t>Jeigu</w:t>
      </w:r>
      <w:proofErr w:type="spellEnd"/>
      <w:r w:rsidRPr="00DF5828">
        <w:rPr>
          <w:rFonts w:ascii="Times New Roman" w:hAnsi="Times New Roman"/>
        </w:rPr>
        <w:t xml:space="preserve"> </w:t>
      </w:r>
      <w:proofErr w:type="spellStart"/>
      <w:r w:rsidRPr="00DF5828">
        <w:rPr>
          <w:rFonts w:ascii="Times New Roman" w:hAnsi="Times New Roman"/>
        </w:rPr>
        <w:t>Jums</w:t>
      </w:r>
      <w:proofErr w:type="spellEnd"/>
      <w:r w:rsidRPr="00DF5828">
        <w:rPr>
          <w:rFonts w:ascii="Times New Roman" w:hAnsi="Times New Roman"/>
        </w:rPr>
        <w:t xml:space="preserve"> </w:t>
      </w:r>
      <w:proofErr w:type="spellStart"/>
      <w:r w:rsidRPr="00DF5828">
        <w:rPr>
          <w:rFonts w:ascii="Times New Roman" w:eastAsia="Times New Roman" w:hAnsi="Times New Roman"/>
        </w:rPr>
        <w:t>reikia</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gydytis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dantis</w:t>
      </w:r>
      <w:proofErr w:type="spellEnd"/>
      <w:r w:rsidRPr="00DF5828">
        <w:rPr>
          <w:rFonts w:ascii="Times New Roman" w:eastAsia="Times New Roman" w:hAnsi="Times New Roman"/>
        </w:rPr>
        <w:t xml:space="preserve"> </w:t>
      </w:r>
      <w:proofErr w:type="spellStart"/>
      <w:r w:rsidRPr="00DF5828">
        <w:rPr>
          <w:rFonts w:ascii="Times New Roman" w:hAnsi="Times New Roman"/>
        </w:rPr>
        <w:t>ar</w:t>
      </w:r>
      <w:proofErr w:type="spellEnd"/>
      <w:r w:rsidRPr="00DF5828">
        <w:rPr>
          <w:rFonts w:ascii="Times New Roman" w:hAnsi="Times New Roman"/>
        </w:rPr>
        <w:t xml:space="preserve"> </w:t>
      </w:r>
      <w:proofErr w:type="spellStart"/>
      <w:r w:rsidRPr="00DF5828">
        <w:rPr>
          <w:rFonts w:ascii="Times New Roman" w:eastAsia="Times New Roman" w:hAnsi="Times New Roman"/>
        </w:rPr>
        <w:t>atlikti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odontologinę</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operaciją</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pasakykite</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odontologui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kad</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vartojate</w:t>
      </w:r>
      <w:proofErr w:type="spellEnd"/>
      <w:r w:rsidRPr="00DF5828">
        <w:rPr>
          <w:rFonts w:ascii="Times New Roman" w:hAnsi="Times New Roman"/>
        </w:rPr>
        <w:t xml:space="preserve"> </w:t>
      </w:r>
      <w:r w:rsidRPr="00DF5828">
        <w:rPr>
          <w:rFonts w:ascii="Times New Roman" w:hAnsi="Times New Roman"/>
          <w:lang w:val="lt-LT"/>
        </w:rPr>
        <w:t>Ibandronic acid Actavis</w:t>
      </w:r>
      <w:r w:rsidRPr="00DF5828">
        <w:rPr>
          <w:rFonts w:ascii="Times New Roman" w:eastAsia="Times New Roman" w:hAnsi="Times New Roman"/>
        </w:rPr>
        <w:t xml:space="preserve">. </w:t>
      </w:r>
      <w:proofErr w:type="spellStart"/>
      <w:r w:rsidRPr="00DF5828">
        <w:rPr>
          <w:rFonts w:ascii="Times New Roman" w:eastAsia="Times New Roman" w:hAnsi="Times New Roman"/>
        </w:rPr>
        <w:t>Jei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sergate</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vėžiu</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taip</w:t>
      </w:r>
      <w:proofErr w:type="spellEnd"/>
      <w:r w:rsidRPr="00DF5828">
        <w:rPr>
          <w:rFonts w:ascii="Times New Roman" w:eastAsia="Times New Roman" w:hAnsi="Times New Roman"/>
        </w:rPr>
        <w:t xml:space="preserve"> pat </w:t>
      </w:r>
      <w:proofErr w:type="spellStart"/>
      <w:r w:rsidRPr="00DF5828">
        <w:rPr>
          <w:rFonts w:ascii="Times New Roman" w:eastAsia="Times New Roman" w:hAnsi="Times New Roman"/>
        </w:rPr>
        <w:t>pasakykite</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odontologui</w:t>
      </w:r>
      <w:proofErr w:type="spellEnd"/>
      <w:r w:rsidRPr="00DF5828">
        <w:rPr>
          <w:rFonts w:ascii="Times New Roman" w:eastAsia="Times New Roman" w:hAnsi="Times New Roman"/>
        </w:rPr>
        <w:t>.</w:t>
      </w:r>
    </w:p>
    <w:p w:rsidR="00DF5828" w:rsidRPr="00DF5828" w:rsidRDefault="00DF5828" w:rsidP="00DF5828">
      <w:pPr>
        <w:tabs>
          <w:tab w:val="left" w:pos="567"/>
        </w:tabs>
        <w:spacing w:after="0" w:line="260" w:lineRule="exact"/>
        <w:ind w:left="567" w:hanging="567"/>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rPr>
        <w:t>Gali pasireikšti stemplės (burną</w:t>
      </w:r>
      <w:r w:rsidRPr="00DF5828">
        <w:rPr>
          <w:rFonts w:ascii="Times New Roman" w:hAnsi="Times New Roman"/>
          <w:lang w:val="lt-LT"/>
        </w:rPr>
        <w:t xml:space="preserve"> su </w:t>
      </w:r>
      <w:r w:rsidRPr="00DF5828">
        <w:rPr>
          <w:rFonts w:ascii="Times New Roman" w:eastAsia="Times New Roman" w:hAnsi="Times New Roman"/>
          <w:lang w:val="lt-LT"/>
        </w:rPr>
        <w:t>skrandžiu jungiančio organo) dirginimas, uždegimas ar išopėjimas, dažnai pasižymintys tokiais simptomais kaip stiprus skausmas krūtinėje, stiprus skausmas ryjant maistą ir (</w:t>
      </w:r>
      <w:r w:rsidRPr="00DF5828">
        <w:rPr>
          <w:rFonts w:ascii="Times New Roman" w:hAnsi="Times New Roman"/>
          <w:lang w:val="lt-LT"/>
        </w:rPr>
        <w:t>arba</w:t>
      </w:r>
      <w:r w:rsidRPr="00DF5828">
        <w:rPr>
          <w:rFonts w:ascii="Times New Roman" w:eastAsia="Times New Roman" w:hAnsi="Times New Roman"/>
          <w:lang w:val="lt-LT"/>
        </w:rPr>
        <w:t>) geriant, stiprus pykinimas ar vėmimas, ypač jeigu Jūs neužgeriate tabletės pilna stikline geriamojo vandens ir (arba) jeigu Jūs atsigulate nepraėjus vienai valandai po Ibandronic acid Actavis tabletės nurijimo. Jei pajusite šiuos simptomus, nebevartokite Ibandronic acid Actavis ir nedelsdami kreipkitės į gydytoją (žr. 3 skyrių).</w:t>
      </w:r>
    </w:p>
    <w:p w:rsidR="00DF5828" w:rsidRPr="00DF5828" w:rsidRDefault="00DF5828" w:rsidP="00DF5828">
      <w:pPr>
        <w:tabs>
          <w:tab w:val="left" w:pos="567"/>
        </w:tabs>
        <w:spacing w:after="0" w:line="260" w:lineRule="exact"/>
        <w:ind w:left="567" w:hanging="567"/>
        <w:rPr>
          <w:rFonts w:ascii="Times New Roman" w:hAnsi="Times New Roman"/>
          <w:lang w:val="lt-LT"/>
        </w:rPr>
      </w:pPr>
    </w:p>
    <w:p w:rsidR="00DF5828" w:rsidRPr="00DF5828" w:rsidRDefault="00DF5828" w:rsidP="00DF5828">
      <w:pPr>
        <w:tabs>
          <w:tab w:val="left" w:pos="0"/>
        </w:tabs>
        <w:spacing w:after="0" w:line="260" w:lineRule="exact"/>
        <w:rPr>
          <w:rFonts w:ascii="Times New Roman" w:hAnsi="Times New Roman"/>
          <w:b/>
          <w:lang w:val="lt-LT"/>
        </w:rPr>
      </w:pPr>
      <w:r w:rsidRPr="00DF5828">
        <w:rPr>
          <w:rFonts w:ascii="Times New Roman" w:hAnsi="Times New Roman"/>
          <w:b/>
          <w:lang w:val="lt-LT"/>
        </w:rPr>
        <w:t>Vaikai ir paaugliai</w:t>
      </w:r>
    </w:p>
    <w:p w:rsidR="00DF5828" w:rsidRPr="00DF5828" w:rsidRDefault="00DF5828" w:rsidP="00DF5828">
      <w:pPr>
        <w:tabs>
          <w:tab w:val="left" w:pos="0"/>
        </w:tabs>
        <w:spacing w:after="0" w:line="260" w:lineRule="exact"/>
        <w:rPr>
          <w:rFonts w:ascii="Times New Roman" w:hAnsi="Times New Roman"/>
          <w:b/>
          <w:lang w:val="lt-LT"/>
        </w:rPr>
      </w:pPr>
      <w:r w:rsidRPr="00DF5828">
        <w:rPr>
          <w:rFonts w:ascii="Times New Roman" w:hAnsi="Times New Roman"/>
          <w:lang w:val="lt-LT"/>
        </w:rPr>
        <w:t>Ibandronic acid Actavis</w:t>
      </w:r>
      <w:r w:rsidR="00065D50">
        <w:rPr>
          <w:rFonts w:ascii="Times New Roman" w:hAnsi="Times New Roman"/>
          <w:lang w:val="lt-LT"/>
        </w:rPr>
        <w:t xml:space="preserve"> </w:t>
      </w:r>
      <w:r w:rsidRPr="00DF5828">
        <w:rPr>
          <w:rFonts w:ascii="Times New Roman" w:hAnsi="Times New Roman"/>
          <w:lang w:val="lt-LT"/>
        </w:rPr>
        <w:t>negalima vartoti vaikams ir paaugliams, jaunesniems nei 18 metų.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40" w:lineRule="auto"/>
        <w:ind w:left="567" w:hanging="567"/>
        <w:rPr>
          <w:rFonts w:ascii="Times New Roman" w:eastAsia="Times New Roman" w:hAnsi="Times New Roman"/>
          <w:b/>
          <w:noProof/>
          <w:lang w:val="lt-LT"/>
        </w:rPr>
      </w:pPr>
      <w:r w:rsidRPr="00DF5828">
        <w:rPr>
          <w:rFonts w:ascii="Times New Roman" w:eastAsia="Times New Roman" w:hAnsi="Times New Roman"/>
          <w:b/>
          <w:noProof/>
          <w:lang w:val="lt-LT"/>
        </w:rPr>
        <w:t>Kiti vaistai ir Ibandronic acid Actavis</w:t>
      </w:r>
      <w:r w:rsidRPr="00DF5828" w:rsidDel="00C762D5">
        <w:rPr>
          <w:rFonts w:ascii="Times New Roman" w:eastAsia="Times New Roman" w:hAnsi="Times New Roman"/>
          <w:b/>
          <w:noProof/>
          <w:lang w:val="lt-LT"/>
        </w:rPr>
        <w:t xml:space="preserve"> </w:t>
      </w:r>
    </w:p>
    <w:p w:rsidR="00DF5828" w:rsidRPr="00DF5828" w:rsidRDefault="00DF5828" w:rsidP="00DF5828">
      <w:pPr>
        <w:tabs>
          <w:tab w:val="left" w:pos="567"/>
        </w:tabs>
        <w:spacing w:after="0" w:line="240" w:lineRule="auto"/>
        <w:rPr>
          <w:rFonts w:ascii="Times New Roman" w:hAnsi="Times New Roman"/>
          <w:lang w:val="lt-LT"/>
        </w:rPr>
      </w:pPr>
      <w:r w:rsidRPr="00DF5828">
        <w:rPr>
          <w:rFonts w:ascii="Times New Roman" w:hAnsi="Times New Roman"/>
          <w:lang w:val="lt-LT"/>
        </w:rPr>
        <w:t>Jeigu vartojate arba neseniai vartojote kitų vaistų</w:t>
      </w:r>
      <w:r w:rsidRPr="00DF5828">
        <w:rPr>
          <w:rFonts w:ascii="Times New Roman" w:eastAsia="Times New Roman" w:hAnsi="Times New Roman"/>
          <w:noProof/>
          <w:lang w:val="lt-LT"/>
        </w:rPr>
        <w:t xml:space="preserve"> arba dėl to nesate tikri, apie tai</w:t>
      </w:r>
      <w:r w:rsidRPr="00DF5828">
        <w:rPr>
          <w:rFonts w:ascii="Times New Roman" w:hAnsi="Times New Roman"/>
          <w:lang w:val="lt-LT"/>
        </w:rPr>
        <w:t xml:space="preserve"> pasakykite gydytojui arba vaistininkui. Ibandronic acid Actavis gali daryti įtaką kitų vaistų poveikiui, o kiti vaistai </w:t>
      </w:r>
      <w:r w:rsidRPr="00DF5828">
        <w:rPr>
          <w:rFonts w:ascii="Times New Roman" w:hAnsi="Times New Roman"/>
          <w:lang w:val="lt-LT"/>
        </w:rPr>
        <w:sym w:font="Symbol" w:char="F02D"/>
      </w:r>
      <w:r w:rsidRPr="00DF5828">
        <w:rPr>
          <w:rFonts w:ascii="Times New Roman" w:hAnsi="Times New Roman"/>
          <w:lang w:val="lt-LT"/>
        </w:rPr>
        <w:t xml:space="preserve"> veikti Ibandronic acid Actavis poveikį.</w:t>
      </w:r>
    </w:p>
    <w:p w:rsidR="00DF5828" w:rsidRPr="00DF5828" w:rsidRDefault="00DF5828" w:rsidP="00DF5828">
      <w:pPr>
        <w:tabs>
          <w:tab w:val="left" w:pos="567"/>
        </w:tabs>
        <w:spacing w:after="0" w:line="240" w:lineRule="auto"/>
        <w:rPr>
          <w:rFonts w:ascii="Times New Roman" w:hAnsi="Times New Roman"/>
          <w:lang w:val="lt-LT"/>
        </w:rPr>
      </w:pPr>
    </w:p>
    <w:p w:rsidR="00DF5828" w:rsidRPr="00DF5828" w:rsidRDefault="00DF5828" w:rsidP="00DF5828">
      <w:pPr>
        <w:tabs>
          <w:tab w:val="left" w:pos="567"/>
        </w:tabs>
        <w:spacing w:after="0" w:line="240" w:lineRule="auto"/>
        <w:rPr>
          <w:rFonts w:ascii="Times New Roman" w:hAnsi="Times New Roman"/>
          <w:lang w:val="lt-LT"/>
        </w:rPr>
      </w:pPr>
      <w:r w:rsidRPr="00DF5828">
        <w:rPr>
          <w:rFonts w:ascii="Times New Roman" w:hAnsi="Times New Roman"/>
          <w:b/>
          <w:lang w:val="lt-LT"/>
        </w:rPr>
        <w:t xml:space="preserve">Ypač svarbu pasakyti gydytojui ar vaistininkui, </w:t>
      </w:r>
      <w:r w:rsidRPr="00DF5828">
        <w:rPr>
          <w:rFonts w:ascii="Times New Roman" w:hAnsi="Times New Roman"/>
          <w:lang w:val="lt-LT"/>
        </w:rPr>
        <w:t>jei vartojate toliau išvardytų vaistų:</w:t>
      </w:r>
    </w:p>
    <w:p w:rsidR="00DF5828" w:rsidRPr="00DF5828" w:rsidRDefault="00DF5828" w:rsidP="00DF5828">
      <w:pPr>
        <w:tabs>
          <w:tab w:val="left" w:pos="567"/>
        </w:tabs>
        <w:spacing w:after="0" w:line="240" w:lineRule="auto"/>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 xml:space="preserve">maisto papildų, kurių sudėtyje yra kalcio, magnio, geležies ar aliuminio. </w:t>
      </w:r>
    </w:p>
    <w:p w:rsidR="00DF5828" w:rsidRPr="00DF5828" w:rsidRDefault="00DF5828" w:rsidP="00DF5828">
      <w:pPr>
        <w:tabs>
          <w:tab w:val="left" w:pos="567"/>
        </w:tabs>
        <w:spacing w:after="0" w:line="240" w:lineRule="auto"/>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r>
      <w:r w:rsidRPr="00DF5828">
        <w:rPr>
          <w:rFonts w:ascii="Times New Roman" w:eastAsia="Times New Roman" w:hAnsi="Times New Roman"/>
          <w:noProof/>
          <w:lang w:val="lt-LT"/>
        </w:rPr>
        <w:t xml:space="preserve">acetilsalicilo rūgšties ir </w:t>
      </w:r>
      <w:r w:rsidRPr="00DF5828">
        <w:rPr>
          <w:rFonts w:ascii="Times New Roman" w:hAnsi="Times New Roman"/>
          <w:lang w:val="lt-LT"/>
        </w:rPr>
        <w:t xml:space="preserve">nesteroidinių vaistų nuo uždegimo (NVNU), pvz., </w:t>
      </w:r>
      <w:proofErr w:type="spellStart"/>
      <w:r w:rsidRPr="00DF5828">
        <w:rPr>
          <w:rFonts w:ascii="Times New Roman" w:hAnsi="Times New Roman"/>
          <w:lang w:val="lt-LT"/>
        </w:rPr>
        <w:t>ibuprofeno</w:t>
      </w:r>
      <w:proofErr w:type="spellEnd"/>
      <w:r w:rsidRPr="00DF5828">
        <w:rPr>
          <w:rFonts w:ascii="Times New Roman" w:hAnsi="Times New Roman"/>
          <w:lang w:val="lt-LT"/>
        </w:rPr>
        <w:t xml:space="preserve"> ar </w:t>
      </w:r>
      <w:proofErr w:type="spellStart"/>
      <w:r w:rsidRPr="00DF5828">
        <w:rPr>
          <w:rFonts w:ascii="Times New Roman" w:hAnsi="Times New Roman"/>
          <w:lang w:val="lt-LT"/>
        </w:rPr>
        <w:t>naprokseno</w:t>
      </w:r>
      <w:proofErr w:type="spellEnd"/>
      <w:r w:rsidRPr="00DF5828">
        <w:rPr>
          <w:rFonts w:ascii="Times New Roman" w:hAnsi="Times New Roman"/>
          <w:lang w:val="lt-LT"/>
        </w:rPr>
        <w:t>. Tiek NVNU, tiek Ibandronic acid Actavis gali dirginti Jūsų skrandį ir žarnyną.</w:t>
      </w:r>
    </w:p>
    <w:p w:rsidR="00DF5828" w:rsidRPr="00DF5828" w:rsidRDefault="00DF5828" w:rsidP="00DF5828">
      <w:pPr>
        <w:tabs>
          <w:tab w:val="left" w:pos="567"/>
        </w:tabs>
        <w:spacing w:after="0" w:line="240" w:lineRule="auto"/>
        <w:ind w:left="567" w:hanging="567"/>
        <w:rPr>
          <w:rFonts w:ascii="Times New Roman" w:hAnsi="Times New Roman"/>
          <w:lang w:val="lt-LT"/>
        </w:rPr>
      </w:pPr>
      <w:r w:rsidRPr="00DF5828">
        <w:rPr>
          <w:rFonts w:ascii="Times New Roman" w:hAnsi="Times New Roman"/>
          <w:lang w:val="lt-LT"/>
        </w:rPr>
        <w:t>-</w:t>
      </w:r>
      <w:r w:rsidRPr="00DF5828">
        <w:rPr>
          <w:rFonts w:ascii="Times New Roman" w:hAnsi="Times New Roman"/>
          <w:lang w:val="lt-LT"/>
        </w:rPr>
        <w:tab/>
        <w:t>antibiotikai, kurie vadinami „</w:t>
      </w:r>
      <w:proofErr w:type="spellStart"/>
      <w:r w:rsidRPr="00DF5828">
        <w:rPr>
          <w:rFonts w:ascii="Times New Roman" w:hAnsi="Times New Roman"/>
          <w:lang w:val="lt-LT"/>
        </w:rPr>
        <w:t>aminoglikozidais</w:t>
      </w:r>
      <w:proofErr w:type="spellEnd"/>
      <w:r w:rsidRPr="00DF5828">
        <w:rPr>
          <w:rFonts w:ascii="Times New Roman" w:hAnsi="Times New Roman"/>
          <w:lang w:val="lt-LT"/>
        </w:rPr>
        <w:t xml:space="preserve">“, pvz., gentamicinas. Tiek </w:t>
      </w:r>
      <w:proofErr w:type="spellStart"/>
      <w:r w:rsidRPr="00DF5828">
        <w:rPr>
          <w:rFonts w:ascii="Times New Roman" w:hAnsi="Times New Roman"/>
          <w:lang w:val="lt-LT"/>
        </w:rPr>
        <w:t>aminoglikozidai</w:t>
      </w:r>
      <w:proofErr w:type="spellEnd"/>
      <w:r w:rsidRPr="00DF5828">
        <w:rPr>
          <w:rFonts w:ascii="Times New Roman" w:hAnsi="Times New Roman"/>
          <w:lang w:val="lt-LT"/>
        </w:rPr>
        <w:t xml:space="preserve">, tiek  </w:t>
      </w:r>
      <w:proofErr w:type="spellStart"/>
      <w:r w:rsidRPr="00DF5828">
        <w:rPr>
          <w:rFonts w:ascii="Times New Roman" w:hAnsi="Times New Roman"/>
          <w:lang w:val="lt-LT"/>
        </w:rPr>
        <w:t>Ibandronic</w:t>
      </w:r>
      <w:proofErr w:type="spellEnd"/>
      <w:r w:rsidRPr="00DF5828">
        <w:rPr>
          <w:rFonts w:ascii="Times New Roman" w:hAnsi="Times New Roman"/>
          <w:lang w:val="lt-LT"/>
        </w:rPr>
        <w:t xml:space="preserve"> </w:t>
      </w:r>
      <w:proofErr w:type="spellStart"/>
      <w:r w:rsidRPr="00DF5828">
        <w:rPr>
          <w:rFonts w:ascii="Times New Roman" w:hAnsi="Times New Roman"/>
          <w:lang w:val="lt-LT"/>
        </w:rPr>
        <w:t>acid</w:t>
      </w:r>
      <w:proofErr w:type="spellEnd"/>
      <w:r w:rsidRPr="00DF5828">
        <w:rPr>
          <w:rFonts w:ascii="Times New Roman" w:hAnsi="Times New Roman"/>
          <w:lang w:val="lt-LT"/>
        </w:rPr>
        <w:t xml:space="preserve"> Actavis gali sumažinti kalcio kiekį Jūsų kraujyje.</w:t>
      </w:r>
    </w:p>
    <w:p w:rsidR="00DF5828" w:rsidRPr="00DF5828" w:rsidRDefault="00DF5828" w:rsidP="00DF5828">
      <w:pPr>
        <w:tabs>
          <w:tab w:val="left" w:pos="567"/>
        </w:tabs>
        <w:spacing w:after="0" w:line="240" w:lineRule="auto"/>
        <w:rPr>
          <w:rFonts w:ascii="Times New Roman" w:hAnsi="Times New Roman"/>
          <w:lang w:val="lt-LT"/>
        </w:rPr>
      </w:pPr>
    </w:p>
    <w:p w:rsidR="00DF5828" w:rsidRPr="00DF5828" w:rsidRDefault="00DF5828" w:rsidP="00DF5828">
      <w:pPr>
        <w:tabs>
          <w:tab w:val="left" w:pos="567"/>
        </w:tabs>
        <w:spacing w:after="0" w:line="240" w:lineRule="auto"/>
        <w:rPr>
          <w:rFonts w:ascii="Times New Roman" w:hAnsi="Times New Roman"/>
          <w:lang w:val="lt-LT"/>
        </w:rPr>
      </w:pPr>
      <w:r w:rsidRPr="00DF5828">
        <w:rPr>
          <w:rFonts w:ascii="Times New Roman" w:hAnsi="Times New Roman"/>
          <w:lang w:val="lt-LT"/>
        </w:rPr>
        <w:t>Kartu su Ibandronic acid Actavis vartojami skrandžio rūgštingumą mažinantys vaistai cimetidinas ir ranitidinas gali šiek tiek stiprinti Ibandronic acid Actavis poveikį.</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Ibandronic acid Actavis vartojimas su maistu ir gėrimais</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Nevartokite</w:t>
      </w:r>
      <w:r w:rsidRPr="00DF5828">
        <w:rPr>
          <w:rFonts w:ascii="Times New Roman" w:hAnsi="Times New Roman"/>
          <w:lang w:val="lt-LT"/>
        </w:rPr>
        <w:t xml:space="preserve"> Ibandronic acid Actavis </w:t>
      </w:r>
      <w:r w:rsidRPr="00DF5828">
        <w:rPr>
          <w:rFonts w:ascii="Times New Roman" w:eastAsia="Times New Roman" w:hAnsi="Times New Roman"/>
          <w:lang w:val="lt-LT"/>
        </w:rPr>
        <w:t>kartu su maistu ar gėrimais, išskyrus vandenį, nes vartojant su maistu ar gėrimu mažėja</w:t>
      </w:r>
      <w:r w:rsidRPr="00DF5828">
        <w:rPr>
          <w:rFonts w:ascii="Times New Roman" w:hAnsi="Times New Roman"/>
          <w:lang w:val="lt-LT"/>
        </w:rPr>
        <w:t xml:space="preserve"> Ibandronic acid Actavis</w:t>
      </w:r>
      <w:r w:rsidRPr="00DF5828">
        <w:rPr>
          <w:rFonts w:ascii="Times New Roman" w:eastAsia="Times New Roman" w:hAnsi="Times New Roman"/>
          <w:lang w:val="lt-LT"/>
        </w:rPr>
        <w:t xml:space="preserve"> veiksmingumas.</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Vartokite Ibandronic acid Actavis tik praėjus 6 valandoms po paskutinio valgymo, gėrimo ar kitų vaistų ar maisto papildų (pvz., kalcio turinčių produktų (pienas), aliuminio, magnio ir geležies), išskyrus vandenį, vartojimo. Išgėrę tabletę, palaukite bent 30 minučių. Tada galite pavalgyti ar atsigerti ar naudoti kitus vaistus ir maisto papildus (žr. 3 s</w:t>
      </w:r>
      <w:r w:rsidR="00120DE0">
        <w:rPr>
          <w:rFonts w:ascii="Times New Roman" w:eastAsia="Times New Roman" w:hAnsi="Times New Roman"/>
          <w:lang w:val="lt-LT"/>
        </w:rPr>
        <w:t>k</w:t>
      </w:r>
      <w:r w:rsidRPr="00DF5828">
        <w:rPr>
          <w:rFonts w:ascii="Times New Roman" w:eastAsia="Times New Roman" w:hAnsi="Times New Roman"/>
          <w:lang w:val="lt-LT"/>
        </w:rPr>
        <w:t>yrių).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Nėštumas ir žindymo laikotarpis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Jeigu esate nėščia, planuojate pastoti arba krūtimi maitinate kūdikį, Ibandronic acid Actavis vartoti negalima. Prieš vartojant bet kokį vaistą, būtina pasitarti su gydytoju arba vaistininku.</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Vairavimas ir mechanizmų valdymas</w:t>
      </w:r>
    </w:p>
    <w:p w:rsidR="00DF5828" w:rsidRPr="00DF5828" w:rsidRDefault="00DF5828" w:rsidP="00DF5828">
      <w:pPr>
        <w:tabs>
          <w:tab w:val="left" w:pos="567"/>
        </w:tabs>
        <w:spacing w:after="0" w:line="260" w:lineRule="exact"/>
        <w:rPr>
          <w:rFonts w:ascii="Times New Roman" w:hAnsi="Times New Roman"/>
          <w:lang w:val="lt-LT"/>
        </w:rPr>
      </w:pPr>
      <w:proofErr w:type="spellStart"/>
      <w:r w:rsidRPr="00DF5828">
        <w:rPr>
          <w:rFonts w:ascii="Times New Roman" w:eastAsia="Times New Roman" w:hAnsi="Times New Roman"/>
        </w:rPr>
        <w:t>Jūs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galite</w:t>
      </w:r>
      <w:proofErr w:type="spellEnd"/>
      <w:r w:rsidRPr="00DF5828">
        <w:rPr>
          <w:rFonts w:ascii="Times New Roman" w:hAnsi="Times New Roman"/>
        </w:rPr>
        <w:t xml:space="preserve"> </w:t>
      </w:r>
      <w:proofErr w:type="spellStart"/>
      <w:r w:rsidRPr="00DF5828">
        <w:rPr>
          <w:rFonts w:ascii="Times New Roman" w:hAnsi="Times New Roman"/>
        </w:rPr>
        <w:t>vairuoti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ir</w:t>
      </w:r>
      <w:proofErr w:type="spellEnd"/>
      <w:r w:rsidRPr="00DF5828">
        <w:rPr>
          <w:rFonts w:ascii="Times New Roman" w:hAnsi="Times New Roman"/>
        </w:rPr>
        <w:t xml:space="preserve"> </w:t>
      </w:r>
      <w:proofErr w:type="spellStart"/>
      <w:r w:rsidRPr="00DF5828">
        <w:rPr>
          <w:rFonts w:ascii="Times New Roman" w:hAnsi="Times New Roman"/>
        </w:rPr>
        <w:t>valdyti</w:t>
      </w:r>
      <w:proofErr w:type="spellEnd"/>
      <w:r w:rsidRPr="00DF5828">
        <w:rPr>
          <w:rFonts w:ascii="Times New Roman" w:hAnsi="Times New Roman"/>
        </w:rPr>
        <w:t xml:space="preserve"> </w:t>
      </w:r>
      <w:proofErr w:type="spellStart"/>
      <w:r w:rsidRPr="00DF5828">
        <w:rPr>
          <w:rFonts w:ascii="Times New Roman" w:hAnsi="Times New Roman"/>
        </w:rPr>
        <w:t>mechanizmus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nes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manoma</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kad</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lang w:val="lt-LT"/>
        </w:rPr>
        <w:t>Ibandronic</w:t>
      </w:r>
      <w:proofErr w:type="spellEnd"/>
      <w:r w:rsidRPr="00DF5828">
        <w:rPr>
          <w:rFonts w:ascii="Times New Roman" w:eastAsia="Times New Roman" w:hAnsi="Times New Roman"/>
          <w:lang w:val="lt-LT"/>
        </w:rPr>
        <w:t xml:space="preserve"> </w:t>
      </w:r>
      <w:proofErr w:type="spellStart"/>
      <w:r w:rsidRPr="00DF5828">
        <w:rPr>
          <w:rFonts w:ascii="Times New Roman" w:eastAsia="Times New Roman" w:hAnsi="Times New Roman"/>
          <w:lang w:val="lt-LT"/>
        </w:rPr>
        <w:t>acid</w:t>
      </w:r>
      <w:proofErr w:type="spellEnd"/>
      <w:r w:rsidRPr="00DF5828">
        <w:rPr>
          <w:rFonts w:ascii="Times New Roman" w:eastAsia="Times New Roman" w:hAnsi="Times New Roman"/>
          <w:lang w:val="lt-LT"/>
        </w:rPr>
        <w:t xml:space="preserve"> </w:t>
      </w:r>
      <w:proofErr w:type="spellStart"/>
      <w:r w:rsidRPr="00DF5828">
        <w:rPr>
          <w:rFonts w:ascii="Times New Roman" w:eastAsia="Times New Roman" w:hAnsi="Times New Roman"/>
          <w:lang w:val="lt-LT"/>
        </w:rPr>
        <w:t>Actavis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gebėjimo</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vairuoti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ir</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valdyti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mechanizmus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neveikia</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arba</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veikia</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nereikšmingai</w:t>
      </w:r>
      <w:proofErr w:type="spellEnd"/>
      <w:r w:rsidRPr="00DF5828">
        <w:rPr>
          <w:rFonts w:ascii="Times New Roman" w:eastAsia="Times New Roman" w:hAnsi="Times New Roman"/>
        </w:rPr>
        <w:t>.</w:t>
      </w:r>
      <w:r w:rsidRPr="00DF5828">
        <w:rPr>
          <w:rFonts w:ascii="Times New Roman" w:hAnsi="Times New Roman"/>
        </w:rPr>
        <w:t xml:space="preserve"> </w:t>
      </w:r>
      <w:r w:rsidRPr="00DF5828">
        <w:rPr>
          <w:rFonts w:ascii="Times New Roman" w:hAnsi="Times New Roman"/>
          <w:lang w:val="lt-LT"/>
        </w:rPr>
        <w:t>Prieš vairuodami, valdydami mechanizmus ar naudodami įrankius pasitarkite su gydytoju.</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40" w:lineRule="auto"/>
        <w:rPr>
          <w:rFonts w:ascii="Times New Roman" w:hAnsi="Times New Roman"/>
          <w:b/>
          <w:lang w:val="lt-LT"/>
        </w:rPr>
      </w:pPr>
      <w:r w:rsidRPr="00DF5828">
        <w:rPr>
          <w:rFonts w:ascii="Times New Roman" w:hAnsi="Times New Roman"/>
          <w:b/>
          <w:lang w:val="lt-LT"/>
        </w:rPr>
        <w:t xml:space="preserve">Ibandronic acid Actavis </w:t>
      </w:r>
      <w:r w:rsidRPr="00DF5828">
        <w:rPr>
          <w:rFonts w:ascii="Times New Roman" w:eastAsia="Times New Roman" w:hAnsi="Times New Roman"/>
          <w:b/>
          <w:lang w:val="lt-LT"/>
        </w:rPr>
        <w:t>tablečių sudėtyje yra laktozės</w:t>
      </w:r>
    </w:p>
    <w:p w:rsidR="00DF5828" w:rsidRPr="00DF5828" w:rsidRDefault="00DF5828" w:rsidP="00DF5828">
      <w:pPr>
        <w:tabs>
          <w:tab w:val="left" w:pos="567"/>
        </w:tabs>
        <w:spacing w:after="0" w:line="240" w:lineRule="auto"/>
        <w:rPr>
          <w:rFonts w:ascii="Times New Roman" w:hAnsi="Times New Roman"/>
          <w:lang w:val="lt-LT"/>
        </w:rPr>
      </w:pPr>
      <w:r w:rsidRPr="00DF5828">
        <w:rPr>
          <w:rFonts w:ascii="Times New Roman" w:hAnsi="Times New Roman"/>
          <w:lang w:val="lt-LT"/>
        </w:rPr>
        <w:t>Ibandronic acid Actavis tablečių sudėtyje yra tam tikro cukraus, vadinamo laktoze Jeigu gydytojas Jums yra sakęs, kad netoleruojate ar nevirškinate kokių nors angliavandenių</w:t>
      </w:r>
      <w:r w:rsidRPr="00DF5828">
        <w:rPr>
          <w:rFonts w:ascii="Times New Roman" w:hAnsi="Times New Roman"/>
          <w:color w:val="000000"/>
          <w:lang w:val="lt-LT"/>
        </w:rPr>
        <w:t xml:space="preserve"> </w:t>
      </w:r>
      <w:r w:rsidRPr="00DF5828">
        <w:rPr>
          <w:rFonts w:ascii="Times New Roman" w:eastAsia="Times New Roman" w:hAnsi="Times New Roman"/>
          <w:lang w:val="lt-LT"/>
        </w:rPr>
        <w:t>(pvz., jeigu Jums yra galaktozės netolerancija, Lapp laktazės stoka arba gliukozės-galaktozės absorbcijos sutrikimas)</w:t>
      </w:r>
      <w:r w:rsidRPr="00DF5828">
        <w:rPr>
          <w:rFonts w:ascii="Times New Roman" w:eastAsia="Times New Roman" w:hAnsi="Times New Roman"/>
          <w:noProof/>
          <w:lang w:val="lt-LT"/>
        </w:rPr>
        <w:t>,</w:t>
      </w:r>
      <w:r w:rsidRPr="00DF5828">
        <w:rPr>
          <w:rFonts w:ascii="Times New Roman" w:hAnsi="Times New Roman"/>
          <w:lang w:val="lt-LT"/>
        </w:rPr>
        <w:t xml:space="preserve"> kreipkitės į jį prieš pradėdami vartoti šį vaistą</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b/>
          <w:caps/>
          <w:lang w:val="lt-LT"/>
        </w:rPr>
      </w:pPr>
      <w:r w:rsidRPr="00DF5828">
        <w:rPr>
          <w:rFonts w:ascii="Times New Roman" w:hAnsi="Times New Roman"/>
          <w:b/>
          <w:lang w:val="lt-LT"/>
        </w:rPr>
        <w:t>3.</w:t>
      </w:r>
      <w:r w:rsidRPr="00DF5828">
        <w:rPr>
          <w:rFonts w:ascii="Times New Roman" w:hAnsi="Times New Roman"/>
          <w:b/>
          <w:lang w:val="lt-LT"/>
        </w:rPr>
        <w:tab/>
      </w:r>
      <w:r w:rsidRPr="00DF5828">
        <w:rPr>
          <w:rFonts w:ascii="Times New Roman" w:eastAsia="Times New Roman" w:hAnsi="Times New Roman"/>
          <w:b/>
          <w:lang w:val="lt-LT"/>
        </w:rPr>
        <w:t xml:space="preserve">Kaip vartoti </w:t>
      </w:r>
      <w:r w:rsidRPr="00DF5828">
        <w:rPr>
          <w:rFonts w:ascii="Times New Roman" w:hAnsi="Times New Roman"/>
          <w:b/>
          <w:lang w:val="lt-LT"/>
        </w:rPr>
        <w:t>Ibandronic acid Actavis</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rPr>
        <w:t>Visada</w:t>
      </w:r>
      <w:r w:rsidRPr="00DF5828">
        <w:rPr>
          <w:rFonts w:ascii="Times New Roman" w:hAnsi="Times New Roman"/>
          <w:lang w:val="lt-LT"/>
        </w:rPr>
        <w:t xml:space="preserve"> vartokite </w:t>
      </w:r>
      <w:r w:rsidRPr="00DF5828">
        <w:rPr>
          <w:rFonts w:ascii="Times New Roman" w:eastAsia="Times New Roman" w:hAnsi="Times New Roman"/>
          <w:lang w:val="lt-LT"/>
        </w:rPr>
        <w:t xml:space="preserve">šį vaistą </w:t>
      </w:r>
      <w:r w:rsidRPr="00DF5828">
        <w:rPr>
          <w:rFonts w:ascii="Times New Roman" w:hAnsi="Times New Roman"/>
          <w:lang w:val="lt-LT"/>
        </w:rPr>
        <w:t>tiksliai, kaip nurodė gydytojas. Jeigu abejojate, kreipkitės į gydytoją arba vaistininką.</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 xml:space="preserve">Vartokite </w:t>
      </w:r>
      <w:proofErr w:type="spellStart"/>
      <w:r w:rsidRPr="00DF5828">
        <w:rPr>
          <w:rFonts w:ascii="Times New Roman" w:eastAsia="Times New Roman" w:hAnsi="Times New Roman"/>
          <w:lang w:val="lt-LT"/>
        </w:rPr>
        <w:t>Ibandronic</w:t>
      </w:r>
      <w:proofErr w:type="spellEnd"/>
      <w:r w:rsidRPr="00DF5828">
        <w:rPr>
          <w:rFonts w:ascii="Times New Roman" w:eastAsia="Times New Roman" w:hAnsi="Times New Roman"/>
          <w:lang w:val="lt-LT"/>
        </w:rPr>
        <w:t xml:space="preserve"> </w:t>
      </w:r>
      <w:proofErr w:type="spellStart"/>
      <w:r w:rsidRPr="00DF5828">
        <w:rPr>
          <w:rFonts w:ascii="Times New Roman" w:eastAsia="Times New Roman" w:hAnsi="Times New Roman"/>
          <w:lang w:val="lt-LT"/>
        </w:rPr>
        <w:t>acid</w:t>
      </w:r>
      <w:proofErr w:type="spellEnd"/>
      <w:r w:rsidRPr="00DF5828">
        <w:rPr>
          <w:rFonts w:ascii="Times New Roman" w:eastAsia="Times New Roman" w:hAnsi="Times New Roman"/>
          <w:lang w:val="lt-LT"/>
        </w:rPr>
        <w:t xml:space="preserve"> </w:t>
      </w:r>
      <w:proofErr w:type="spellStart"/>
      <w:r w:rsidRPr="00DF5828">
        <w:rPr>
          <w:rFonts w:ascii="Times New Roman" w:eastAsia="Times New Roman" w:hAnsi="Times New Roman"/>
          <w:lang w:val="lt-LT"/>
        </w:rPr>
        <w:t>Actavis</w:t>
      </w:r>
      <w:proofErr w:type="spellEnd"/>
      <w:r w:rsidRPr="00DF5828">
        <w:rPr>
          <w:rFonts w:ascii="Times New Roman" w:eastAsia="Times New Roman" w:hAnsi="Times New Roman"/>
          <w:lang w:val="lt-LT"/>
        </w:rPr>
        <w:t xml:space="preserve"> tik praėjus 6 valandoms po paskutinio valgymo, gėrimo ar kitų vaistų ar maisto papildų, išskyrus vandenį, vartojimo. Negalima vartoti vandens su padidinta kalcio koncentracija. Jei manote, kad vandentiekio vandenyje yra didelis kalcio kiekis (kietas vanduo), patartina vartoti vandenį su sumažintu mineralų kiekiu iš butelių.</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Ibandronic acid Actavis vartojimo metu gydytojas gali reguliariai tikrinti Jūsų kraują. Tai jis </w:t>
      </w:r>
      <w:proofErr w:type="spellStart"/>
      <w:r w:rsidRPr="00DF5828">
        <w:rPr>
          <w:rFonts w:ascii="Times New Roman" w:hAnsi="Times New Roman"/>
          <w:lang w:val="lt-LT"/>
        </w:rPr>
        <w:t>tikrinns</w:t>
      </w:r>
      <w:proofErr w:type="spellEnd"/>
      <w:r w:rsidRPr="00DF5828">
        <w:rPr>
          <w:rFonts w:ascii="Times New Roman" w:hAnsi="Times New Roman"/>
          <w:lang w:val="lt-LT"/>
        </w:rPr>
        <w:t>, kad vartojate tinkamą vaisto kiekį.</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Kaip vartoti šio vaisto</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Svarbu, kad </w:t>
      </w:r>
      <w:proofErr w:type="spellStart"/>
      <w:r w:rsidRPr="00DF5828">
        <w:rPr>
          <w:rFonts w:ascii="Times New Roman" w:hAnsi="Times New Roman"/>
          <w:lang w:val="lt-LT"/>
        </w:rPr>
        <w:t>Ibandronic</w:t>
      </w:r>
      <w:proofErr w:type="spellEnd"/>
      <w:r w:rsidRPr="00DF5828">
        <w:rPr>
          <w:rFonts w:ascii="Times New Roman" w:hAnsi="Times New Roman"/>
          <w:lang w:val="lt-LT"/>
        </w:rPr>
        <w:t xml:space="preserve"> </w:t>
      </w:r>
      <w:proofErr w:type="spellStart"/>
      <w:r w:rsidRPr="00DF5828">
        <w:rPr>
          <w:rFonts w:ascii="Times New Roman" w:hAnsi="Times New Roman"/>
          <w:lang w:val="lt-LT"/>
        </w:rPr>
        <w:t>acid</w:t>
      </w:r>
      <w:proofErr w:type="spellEnd"/>
      <w:r w:rsidRPr="00DF5828">
        <w:rPr>
          <w:rFonts w:ascii="Times New Roman" w:hAnsi="Times New Roman"/>
          <w:lang w:val="lt-LT"/>
        </w:rPr>
        <w:t xml:space="preserve"> Actavis vartotumėte tinkamu laiku ir tinkamu būdu. Taip yra todėl, kad jis gali sukelti vamzdelio, jungiančio Jūsų burną ir skrandį (stemplės) sudirginimą, uždegimus ar opas.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Kad šito išvengti, reikia elgtis sekančiai:</w:t>
      </w:r>
    </w:p>
    <w:p w:rsidR="00DF5828" w:rsidRPr="00DF5828" w:rsidRDefault="00DF5828" w:rsidP="00DF5828">
      <w:pPr>
        <w:numPr>
          <w:ilvl w:val="0"/>
          <w:numId w:val="11"/>
        </w:numPr>
        <w:tabs>
          <w:tab w:val="left" w:pos="567"/>
        </w:tabs>
        <w:spacing w:after="0" w:line="260" w:lineRule="exact"/>
        <w:ind w:hanging="720"/>
        <w:contextualSpacing/>
        <w:rPr>
          <w:rFonts w:ascii="Times New Roman" w:hAnsi="Times New Roman"/>
          <w:lang w:val="lt-LT"/>
        </w:rPr>
      </w:pPr>
      <w:r w:rsidRPr="00DF5828">
        <w:rPr>
          <w:rFonts w:ascii="Times New Roman" w:hAnsi="Times New Roman"/>
          <w:lang w:val="lt-LT"/>
        </w:rPr>
        <w:t>Gerkite tabletę tik atsikėlę ryte prieš pirmą valgį, gėrimą, visus kitus vaistus ir papildus.</w:t>
      </w:r>
    </w:p>
    <w:p w:rsidR="00DF5828" w:rsidRPr="00DF5828" w:rsidRDefault="00DF5828" w:rsidP="00DF5828">
      <w:pPr>
        <w:tabs>
          <w:tab w:val="left" w:pos="567"/>
        </w:tabs>
        <w:spacing w:after="0" w:line="260" w:lineRule="exact"/>
        <w:ind w:left="720"/>
        <w:contextualSpacing/>
        <w:rPr>
          <w:rFonts w:ascii="Times New Roman" w:eastAsia="Times New Roman" w:hAnsi="Times New Roman"/>
          <w:noProof/>
          <w:lang w:val="lt-LT"/>
        </w:rPr>
      </w:pPr>
    </w:p>
    <w:p w:rsidR="00DF5828" w:rsidRPr="00DF5828" w:rsidRDefault="00DF5828" w:rsidP="00DF5828">
      <w:pPr>
        <w:numPr>
          <w:ilvl w:val="0"/>
          <w:numId w:val="11"/>
        </w:numPr>
        <w:tabs>
          <w:tab w:val="left" w:pos="567"/>
        </w:tabs>
        <w:spacing w:after="0" w:line="260" w:lineRule="exact"/>
        <w:ind w:left="567" w:hanging="567"/>
        <w:contextualSpacing/>
        <w:rPr>
          <w:rFonts w:ascii="Times New Roman" w:hAnsi="Times New Roman"/>
          <w:lang w:val="lt-LT"/>
        </w:rPr>
      </w:pPr>
      <w:r w:rsidRPr="00DF5828">
        <w:rPr>
          <w:rFonts w:ascii="Times New Roman" w:hAnsi="Times New Roman"/>
          <w:lang w:val="lt-LT"/>
        </w:rPr>
        <w:t>Užgerkite tabletę stikline (200 ml) paprasto vandens. Neužgerkite tabletės niekuo kitu, išskyrus paprastą vandenį.</w:t>
      </w:r>
    </w:p>
    <w:p w:rsidR="00DF5828" w:rsidRPr="00DF5828" w:rsidRDefault="00DF5828" w:rsidP="00DF5828">
      <w:pPr>
        <w:tabs>
          <w:tab w:val="left" w:pos="567"/>
        </w:tabs>
        <w:spacing w:after="0" w:line="260" w:lineRule="exact"/>
        <w:ind w:left="567"/>
        <w:contextualSpacing/>
        <w:rPr>
          <w:rFonts w:ascii="Times New Roman" w:eastAsia="Times New Roman" w:hAnsi="Times New Roman"/>
          <w:noProof/>
          <w:lang w:val="lt-LT"/>
        </w:rPr>
      </w:pPr>
    </w:p>
    <w:p w:rsidR="00DF5828" w:rsidRPr="00DF5828" w:rsidRDefault="00DF5828" w:rsidP="00DF5828">
      <w:pPr>
        <w:numPr>
          <w:ilvl w:val="0"/>
          <w:numId w:val="11"/>
        </w:numPr>
        <w:tabs>
          <w:tab w:val="left" w:pos="567"/>
        </w:tabs>
        <w:spacing w:after="0" w:line="260" w:lineRule="exact"/>
        <w:ind w:left="567" w:hanging="567"/>
        <w:contextualSpacing/>
        <w:rPr>
          <w:rFonts w:ascii="Times New Roman" w:hAnsi="Times New Roman"/>
          <w:lang w:val="lt-LT"/>
        </w:rPr>
      </w:pPr>
      <w:r w:rsidRPr="00DF5828">
        <w:rPr>
          <w:rFonts w:ascii="Times New Roman" w:hAnsi="Times New Roman"/>
          <w:lang w:val="lt-LT"/>
        </w:rPr>
        <w:t xml:space="preserve">Prarykite visą </w:t>
      </w:r>
      <w:r w:rsidR="00E53097">
        <w:rPr>
          <w:rFonts w:ascii="Times New Roman" w:hAnsi="Times New Roman"/>
          <w:lang w:val="lt-LT"/>
        </w:rPr>
        <w:t>t</w:t>
      </w:r>
      <w:r w:rsidRPr="00DF5828">
        <w:rPr>
          <w:rFonts w:ascii="Times New Roman" w:hAnsi="Times New Roman"/>
          <w:lang w:val="lt-LT"/>
        </w:rPr>
        <w:t>abletę. Nekramtykite, nečiulpkite ir netraiškykite. Neleiskite tabletei ištirpti burnoje.</w:t>
      </w:r>
    </w:p>
    <w:p w:rsidR="00DF5828" w:rsidRPr="00DF5828" w:rsidRDefault="00DF5828" w:rsidP="00DF5828">
      <w:pPr>
        <w:tabs>
          <w:tab w:val="left" w:pos="567"/>
        </w:tabs>
        <w:spacing w:after="0" w:line="260" w:lineRule="exact"/>
        <w:ind w:left="567"/>
        <w:contextualSpacing/>
        <w:rPr>
          <w:rFonts w:ascii="Times New Roman" w:eastAsia="Times New Roman" w:hAnsi="Times New Roman"/>
          <w:noProof/>
          <w:lang w:val="lt-LT"/>
        </w:rPr>
      </w:pPr>
    </w:p>
    <w:p w:rsidR="00DF5828" w:rsidRPr="00DF5828" w:rsidRDefault="00DF5828" w:rsidP="00DF5828">
      <w:pPr>
        <w:numPr>
          <w:ilvl w:val="0"/>
          <w:numId w:val="11"/>
        </w:numPr>
        <w:tabs>
          <w:tab w:val="left" w:pos="567"/>
        </w:tabs>
        <w:spacing w:after="0" w:line="260" w:lineRule="exact"/>
        <w:ind w:left="567" w:hanging="567"/>
        <w:contextualSpacing/>
        <w:rPr>
          <w:rFonts w:ascii="Times New Roman" w:hAnsi="Times New Roman"/>
          <w:lang w:val="lt-LT"/>
        </w:rPr>
      </w:pPr>
      <w:r w:rsidRPr="00DF5828">
        <w:rPr>
          <w:rFonts w:ascii="Times New Roman" w:hAnsi="Times New Roman"/>
          <w:lang w:val="lt-LT"/>
        </w:rPr>
        <w:t>Išgėrę tabletę, palaukite apie 30 minučių. Po to jau galite pavalgyti ar atsigerti, ir vartoti kitus vaistus ar papildus.</w:t>
      </w:r>
    </w:p>
    <w:p w:rsidR="00DF5828" w:rsidRPr="00DF5828" w:rsidRDefault="00DF5828" w:rsidP="00DF5828">
      <w:pPr>
        <w:tabs>
          <w:tab w:val="left" w:pos="567"/>
        </w:tabs>
        <w:spacing w:after="0" w:line="260" w:lineRule="exact"/>
        <w:ind w:left="567"/>
        <w:contextualSpacing/>
        <w:rPr>
          <w:rFonts w:ascii="Times New Roman" w:eastAsia="Times New Roman" w:hAnsi="Times New Roman"/>
          <w:noProof/>
          <w:lang w:val="lt-LT"/>
        </w:rPr>
      </w:pPr>
    </w:p>
    <w:p w:rsidR="00DF5828" w:rsidRPr="00DF5828" w:rsidRDefault="00DF5828" w:rsidP="00DF5828">
      <w:pPr>
        <w:numPr>
          <w:ilvl w:val="0"/>
          <w:numId w:val="11"/>
        </w:numPr>
        <w:tabs>
          <w:tab w:val="left" w:pos="567"/>
        </w:tabs>
        <w:spacing w:after="0" w:line="260" w:lineRule="exact"/>
        <w:ind w:left="567" w:hanging="567"/>
        <w:contextualSpacing/>
        <w:rPr>
          <w:rFonts w:ascii="Times New Roman" w:hAnsi="Times New Roman"/>
          <w:lang w:val="lt-LT"/>
        </w:rPr>
      </w:pPr>
      <w:r w:rsidRPr="00DF5828">
        <w:rPr>
          <w:rFonts w:ascii="Times New Roman" w:hAnsi="Times New Roman"/>
          <w:lang w:val="lt-LT"/>
        </w:rPr>
        <w:t>Išgėrę tabletę valandą (60 minučių) laikykitės tiesiai (sėdėdami ar stovėdami), nes kitaip dalis vaisto gali prasisunkti į Jūsų maisto vamzdį (stemplę).</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Kiek vartoti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rPr>
        <w:t>Rekomenduojama</w:t>
      </w:r>
      <w:r w:rsidRPr="00DF5828">
        <w:rPr>
          <w:rFonts w:ascii="Times New Roman" w:hAnsi="Times New Roman"/>
          <w:lang w:val="lt-LT"/>
        </w:rPr>
        <w:t xml:space="preserve"> dozė yra viena Ibandronic acid Actavis tabletė per dieną. Jei turite vidutinio sunkumo inkstų sutrikimų, gydytojas gali sumažinti vaisto dozę iki vienos tabletės kas antrą dieną. Jei turite sunkių inkstų sutrikimų, gydytojas gali sumažinti dozę iki vienos tabletės per savaitę.</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eastAsia="Times New Roman" w:hAnsi="Times New Roman"/>
          <w:b/>
          <w:lang w:val="lt-LT"/>
        </w:rPr>
        <w:t>Ką daryti pavartojus</w:t>
      </w:r>
      <w:r w:rsidRPr="00DF5828">
        <w:rPr>
          <w:rFonts w:ascii="Times New Roman" w:hAnsi="Times New Roman"/>
          <w:b/>
          <w:lang w:val="lt-LT"/>
        </w:rPr>
        <w:t xml:space="preserve"> per didelę </w:t>
      </w:r>
      <w:proofErr w:type="spellStart"/>
      <w:r w:rsidRPr="00DF5828">
        <w:rPr>
          <w:rFonts w:ascii="Times New Roman" w:hAnsi="Times New Roman"/>
          <w:b/>
        </w:rPr>
        <w:t>Ibandronic</w:t>
      </w:r>
      <w:proofErr w:type="spellEnd"/>
      <w:r w:rsidRPr="00DF5828">
        <w:rPr>
          <w:rFonts w:ascii="Times New Roman" w:hAnsi="Times New Roman"/>
          <w:b/>
        </w:rPr>
        <w:t xml:space="preserve"> acid Actavis</w:t>
      </w:r>
      <w:r w:rsidRPr="00DF5828">
        <w:rPr>
          <w:rFonts w:ascii="Times New Roman" w:hAnsi="Times New Roman"/>
          <w:b/>
          <w:lang w:val="lt-LT"/>
        </w:rPr>
        <w:t xml:space="preserve"> dozę</w:t>
      </w:r>
      <w:r w:rsidRPr="00DF5828">
        <w:rPr>
          <w:rFonts w:ascii="Times New Roman" w:eastAsia="Times New Roman" w:hAnsi="Times New Roman"/>
          <w:b/>
          <w:lang w:val="lt-LT"/>
        </w:rPr>
        <w:t>?</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Jeigu per apsirikimą pavartojote per daug tablečių, pasit</w:t>
      </w:r>
      <w:r w:rsidR="00065D50">
        <w:rPr>
          <w:rFonts w:ascii="Times New Roman" w:hAnsi="Times New Roman"/>
          <w:lang w:val="lt-LT"/>
        </w:rPr>
        <w:t>a</w:t>
      </w:r>
      <w:r w:rsidRPr="00DF5828">
        <w:rPr>
          <w:rFonts w:ascii="Times New Roman" w:hAnsi="Times New Roman"/>
          <w:lang w:val="lt-LT"/>
        </w:rPr>
        <w:t>rkite su gydytoju arba iš karto vykite į ligoninę. Prieš vykdami išgerkite pilną stiklinę pieno. Sau vėmimo nesukelkite. Neatsigulkite.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Pamiršus pavartoti Ibandronic acid Actavis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Negalima vartoti dvigubos dozės norint kompensuoti praleistą dozę. Jei geriate po vieną tabletę per dieną, praleiskite pamirštą dozę. Toliau vaisto vartokite kaip įprasta. Jei geriate po vieną tabletę kas antrą dieną ar kartą per savaitę, kreipkitės patarimo į gydytoją ir vaistininką.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Nustojus vartoti</w:t>
      </w:r>
      <w:r w:rsidRPr="00DF5828">
        <w:rPr>
          <w:rFonts w:ascii="Times New Roman" w:hAnsi="Times New Roman"/>
          <w:lang w:val="lt-LT"/>
        </w:rPr>
        <w:t xml:space="preserve"> </w:t>
      </w:r>
      <w:r w:rsidRPr="00DF5828">
        <w:rPr>
          <w:rFonts w:ascii="Times New Roman" w:hAnsi="Times New Roman"/>
          <w:b/>
          <w:lang w:val="lt-LT"/>
        </w:rPr>
        <w:t>Ibandronic acid Actavis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Ibandronic acid Actavis vartokite tol, kol liepia gydytojas. Vaistas bus veiksmingas tik tada, jei jis geriamas nuolat.</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Jeigu kiltų daugiau klausimų dėl šio vaisto vartojimo, kreipkitės į savo gydytoją arba vaistininką.</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b/>
          <w:caps/>
          <w:lang w:val="lt-LT"/>
        </w:rPr>
      </w:pPr>
      <w:r w:rsidRPr="00DF5828">
        <w:rPr>
          <w:rFonts w:ascii="Times New Roman" w:eastAsia="Times New Roman" w:hAnsi="Times New Roman"/>
          <w:b/>
          <w:caps/>
          <w:lang w:val="lt-LT"/>
        </w:rPr>
        <w:t>4.</w:t>
      </w:r>
      <w:r w:rsidRPr="00DF5828">
        <w:rPr>
          <w:rFonts w:ascii="Times New Roman" w:eastAsia="Times New Roman" w:hAnsi="Times New Roman"/>
          <w:b/>
          <w:caps/>
          <w:lang w:val="lt-LT"/>
        </w:rPr>
        <w:tab/>
      </w:r>
      <w:r w:rsidRPr="00DF5828">
        <w:rPr>
          <w:rFonts w:ascii="Times New Roman" w:hAnsi="Times New Roman"/>
          <w:b/>
          <w:snapToGrid w:val="0"/>
          <w:lang w:val="lt-LT"/>
        </w:rPr>
        <w:t>Galimas šalutinis poveikis</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eastAsia="zh-CN"/>
        </w:rPr>
        <w:t>Šis vaistas</w:t>
      </w:r>
      <w:r w:rsidRPr="00DF5828">
        <w:rPr>
          <w:rFonts w:ascii="Times New Roman" w:hAnsi="Times New Roman"/>
          <w:lang w:val="lt-LT"/>
        </w:rPr>
        <w:t xml:space="preserve">, kaip ir </w:t>
      </w:r>
      <w:r w:rsidRPr="00DF5828">
        <w:rPr>
          <w:rFonts w:ascii="Times New Roman" w:eastAsia="Times New Roman" w:hAnsi="Times New Roman"/>
          <w:lang w:val="lt-LT"/>
        </w:rPr>
        <w:t xml:space="preserve">visi </w:t>
      </w:r>
      <w:r w:rsidRPr="00DF5828">
        <w:rPr>
          <w:rFonts w:ascii="Times New Roman" w:hAnsi="Times New Roman"/>
          <w:lang w:val="lt-LT"/>
        </w:rPr>
        <w:t>kiti, gali sukelti šalutinį poveikį, nors jis pasireiškia ne visiems žmonėms.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eastAsia="Times New Roman" w:hAnsi="Times New Roman"/>
          <w:b/>
          <w:lang w:val="lt-LT"/>
        </w:rPr>
        <w:t>Nedelsiant</w:t>
      </w:r>
      <w:r w:rsidRPr="00DF5828">
        <w:rPr>
          <w:rFonts w:ascii="Times New Roman" w:hAnsi="Times New Roman"/>
          <w:b/>
          <w:lang w:val="lt-LT"/>
        </w:rPr>
        <w:t xml:space="preserve"> kreipkitės į </w:t>
      </w:r>
      <w:r w:rsidRPr="00DF5828">
        <w:rPr>
          <w:rFonts w:ascii="Times New Roman" w:eastAsia="Times New Roman" w:hAnsi="Times New Roman"/>
          <w:b/>
          <w:lang w:val="lt-LT"/>
        </w:rPr>
        <w:t xml:space="preserve">slaugytoją ar </w:t>
      </w:r>
      <w:r w:rsidRPr="00DF5828">
        <w:rPr>
          <w:rFonts w:ascii="Times New Roman" w:hAnsi="Times New Roman"/>
          <w:b/>
          <w:lang w:val="lt-LT"/>
        </w:rPr>
        <w:t>gydytoją, jei pastebėsite kurį nors toliau išvardytą sunkų šalutinį poveikį</w:t>
      </w:r>
      <w:r w:rsidRPr="00DF5828">
        <w:rPr>
          <w:rFonts w:ascii="Times New Roman" w:eastAsia="Times New Roman" w:hAnsi="Times New Roman"/>
          <w:b/>
          <w:lang w:val="lt-LT"/>
        </w:rPr>
        <w:t>,</w:t>
      </w:r>
      <w:r w:rsidRPr="00DF5828">
        <w:rPr>
          <w:rFonts w:ascii="Times New Roman" w:hAnsi="Times New Roman"/>
          <w:b/>
          <w:lang w:val="lt-LT"/>
        </w:rPr>
        <w:t xml:space="preserve"> Jums gali prireikti skubios medicininės pagalbos.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b/>
          <w:lang w:val="lt-LT"/>
        </w:rPr>
      </w:pPr>
      <w:r w:rsidRPr="00DF5828">
        <w:rPr>
          <w:rFonts w:ascii="Times New Roman" w:eastAsia="Times New Roman" w:hAnsi="Times New Roman"/>
          <w:b/>
          <w:lang w:val="lt-LT"/>
        </w:rPr>
        <w:t xml:space="preserve">Dažni </w:t>
      </w:r>
      <w:r w:rsidRPr="00DF5828">
        <w:rPr>
          <w:rFonts w:ascii="Times New Roman" w:eastAsia="Times New Roman" w:hAnsi="Times New Roman"/>
          <w:lang w:val="lt-LT"/>
        </w:rPr>
        <w:t>(gali pasireikšti iki 1 iš 10 žmonių):</w:t>
      </w:r>
    </w:p>
    <w:p w:rsidR="00DF5828" w:rsidRPr="00DF5828" w:rsidRDefault="00DF5828" w:rsidP="00DF5828">
      <w:pPr>
        <w:numPr>
          <w:ilvl w:val="0"/>
          <w:numId w:val="11"/>
        </w:numPr>
        <w:tabs>
          <w:tab w:val="left" w:pos="567"/>
        </w:tabs>
        <w:spacing w:after="0" w:line="260" w:lineRule="exact"/>
        <w:ind w:left="567" w:hanging="567"/>
        <w:contextualSpacing/>
        <w:rPr>
          <w:rFonts w:ascii="Times New Roman" w:eastAsia="Times New Roman" w:hAnsi="Times New Roman"/>
          <w:b/>
          <w:lang w:val="lt-LT"/>
        </w:rPr>
      </w:pPr>
      <w:r w:rsidRPr="00DF5828">
        <w:rPr>
          <w:rFonts w:ascii="Times New Roman" w:eastAsia="Times New Roman" w:hAnsi="Times New Roman"/>
          <w:lang w:val="lt-LT"/>
        </w:rPr>
        <w:t>silpnumas, rėmuo ir apsunkintas rijimas (stemplės uždegimas)</w:t>
      </w:r>
    </w:p>
    <w:p w:rsidR="00DF5828" w:rsidRPr="00DF5828" w:rsidRDefault="00DF5828" w:rsidP="00DF5828">
      <w:pPr>
        <w:tabs>
          <w:tab w:val="left" w:pos="567"/>
        </w:tabs>
        <w:spacing w:after="0" w:line="260" w:lineRule="exact"/>
        <w:rPr>
          <w:rFonts w:ascii="Times New Roman" w:eastAsia="Times New Roman" w:hAnsi="Times New Roman"/>
          <w:b/>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b/>
          <w:lang w:val="lt-LT"/>
        </w:rPr>
        <w:t>Nedažni</w:t>
      </w:r>
      <w:r w:rsidRPr="00DF5828">
        <w:rPr>
          <w:rFonts w:ascii="Times New Roman" w:eastAsia="Times New Roman" w:hAnsi="Times New Roman"/>
          <w:lang w:val="lt-LT"/>
        </w:rPr>
        <w:t xml:space="preserve"> (gali pasireikšti iki 1 iš 100 žmonių):</w:t>
      </w:r>
    </w:p>
    <w:p w:rsidR="00DF5828" w:rsidRPr="00DF5828" w:rsidRDefault="00DF5828" w:rsidP="00DF5828">
      <w:pPr>
        <w:numPr>
          <w:ilvl w:val="0"/>
          <w:numId w:val="11"/>
        </w:numPr>
        <w:tabs>
          <w:tab w:val="left" w:pos="567"/>
        </w:tabs>
        <w:spacing w:after="0" w:line="260" w:lineRule="exact"/>
        <w:ind w:left="567" w:hanging="567"/>
        <w:contextualSpacing/>
        <w:rPr>
          <w:rFonts w:ascii="Times New Roman" w:hAnsi="Times New Roman"/>
          <w:lang w:val="lt-LT"/>
        </w:rPr>
      </w:pPr>
      <w:r w:rsidRPr="00DF5828">
        <w:rPr>
          <w:rFonts w:ascii="Times New Roman" w:hAnsi="Times New Roman"/>
          <w:lang w:val="lt-LT"/>
        </w:rPr>
        <w:t>stiprus skrandžio skausmas</w:t>
      </w:r>
      <w:r w:rsidRPr="00DF5828">
        <w:rPr>
          <w:rFonts w:ascii="Times New Roman" w:eastAsia="Times New Roman" w:hAnsi="Times New Roman"/>
          <w:lang w:val="lt-LT"/>
        </w:rPr>
        <w:t>.</w:t>
      </w:r>
      <w:r w:rsidRPr="00DF5828">
        <w:rPr>
          <w:rFonts w:ascii="Times New Roman" w:hAnsi="Times New Roman"/>
          <w:lang w:val="lt-LT"/>
        </w:rPr>
        <w:t xml:space="preserve"> Tai gali būti </w:t>
      </w:r>
      <w:r w:rsidRPr="00DF5828">
        <w:rPr>
          <w:rFonts w:ascii="Times New Roman" w:eastAsia="Times New Roman" w:hAnsi="Times New Roman"/>
          <w:lang w:val="lt-LT"/>
        </w:rPr>
        <w:t xml:space="preserve">pirmos dvylikapirštės žarnos sekcijos </w:t>
      </w:r>
      <w:r w:rsidRPr="00DF5828">
        <w:rPr>
          <w:rFonts w:ascii="Times New Roman" w:hAnsi="Times New Roman"/>
          <w:lang w:val="lt-LT"/>
        </w:rPr>
        <w:t xml:space="preserve">kraujuojančios opos požymis ar skrandžio </w:t>
      </w:r>
      <w:r w:rsidRPr="00DF5828">
        <w:rPr>
          <w:rFonts w:ascii="Times New Roman" w:eastAsia="Times New Roman" w:hAnsi="Times New Roman"/>
          <w:lang w:val="lt-LT"/>
        </w:rPr>
        <w:t>uždegimo (gastrito) požymis.</w:t>
      </w:r>
    </w:p>
    <w:p w:rsidR="00DF5828" w:rsidRPr="00DF5828" w:rsidRDefault="00DF5828" w:rsidP="00DF5828">
      <w:pPr>
        <w:tabs>
          <w:tab w:val="left" w:pos="567"/>
        </w:tabs>
        <w:spacing w:after="0" w:line="260" w:lineRule="exact"/>
        <w:rPr>
          <w:rFonts w:ascii="Times New Roman" w:eastAsia="Times New Roman" w:hAnsi="Times New Roman"/>
          <w:b/>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b/>
          <w:lang w:val="lt-LT"/>
        </w:rPr>
        <w:t xml:space="preserve">Reti </w:t>
      </w:r>
      <w:r w:rsidRPr="00DF5828">
        <w:rPr>
          <w:rFonts w:ascii="Times New Roman" w:eastAsia="Times New Roman" w:hAnsi="Times New Roman"/>
          <w:lang w:val="lt-LT"/>
        </w:rPr>
        <w:t>(gali pasireikšti iki 1 iš 1000 žmonių):</w:t>
      </w:r>
    </w:p>
    <w:p w:rsidR="00DF5828" w:rsidRPr="00DF5828" w:rsidRDefault="00DF5828" w:rsidP="00DF5828">
      <w:pPr>
        <w:numPr>
          <w:ilvl w:val="0"/>
          <w:numId w:val="11"/>
        </w:numPr>
        <w:tabs>
          <w:tab w:val="left" w:pos="567"/>
        </w:tabs>
        <w:spacing w:after="0" w:line="260" w:lineRule="exact"/>
        <w:ind w:left="567" w:hanging="567"/>
        <w:contextualSpacing/>
        <w:rPr>
          <w:rFonts w:ascii="Times New Roman" w:hAnsi="Times New Roman"/>
          <w:lang w:val="lt-LT"/>
        </w:rPr>
      </w:pPr>
      <w:r w:rsidRPr="00DF5828">
        <w:rPr>
          <w:rFonts w:ascii="Times New Roman" w:eastAsia="Times New Roman" w:hAnsi="Times New Roman"/>
          <w:lang w:val="lt-LT"/>
        </w:rPr>
        <w:t xml:space="preserve">užsitęsęs </w:t>
      </w:r>
      <w:r w:rsidRPr="00DF5828">
        <w:rPr>
          <w:rFonts w:ascii="Times New Roman" w:hAnsi="Times New Roman"/>
          <w:lang w:val="lt-LT"/>
        </w:rPr>
        <w:t xml:space="preserve">akių skausmas </w:t>
      </w:r>
      <w:r w:rsidRPr="00DF5828">
        <w:rPr>
          <w:rFonts w:ascii="Times New Roman" w:eastAsia="Times New Roman" w:hAnsi="Times New Roman"/>
          <w:lang w:val="lt-LT"/>
        </w:rPr>
        <w:t>ar</w:t>
      </w:r>
      <w:r w:rsidRPr="00DF5828">
        <w:rPr>
          <w:rFonts w:ascii="Times New Roman" w:hAnsi="Times New Roman"/>
          <w:lang w:val="lt-LT"/>
        </w:rPr>
        <w:t xml:space="preserve"> uždegimas</w:t>
      </w:r>
    </w:p>
    <w:p w:rsidR="00DF5828" w:rsidRPr="00DF5828" w:rsidRDefault="00DF5828" w:rsidP="00DF5828">
      <w:pPr>
        <w:numPr>
          <w:ilvl w:val="0"/>
          <w:numId w:val="11"/>
        </w:numPr>
        <w:tabs>
          <w:tab w:val="left" w:pos="567"/>
        </w:tabs>
        <w:spacing w:after="0" w:line="260" w:lineRule="exact"/>
        <w:ind w:left="567" w:hanging="567"/>
        <w:contextualSpacing/>
        <w:rPr>
          <w:rFonts w:ascii="Times New Roman" w:eastAsia="Times New Roman" w:hAnsi="Times New Roman"/>
          <w:lang w:val="lt-LT"/>
        </w:rPr>
      </w:pPr>
      <w:r w:rsidRPr="00DF5828">
        <w:rPr>
          <w:rFonts w:ascii="Times New Roman" w:hAnsi="Times New Roman"/>
          <w:lang w:val="lt-LT"/>
        </w:rPr>
        <w:t>naujai atsiradęs skausmas, silpnumas ar nemalonus pojūtis šlaunies, klubo ar kirkšnies srityje Tai gali būti ankstyvieji galimo neįprasto šlaunikaulio lūžio požymiai.</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hAnsi="Times New Roman"/>
          <w:b/>
          <w:lang w:val="lt-LT"/>
        </w:rPr>
        <w:t xml:space="preserve">Labai reti </w:t>
      </w:r>
      <w:r w:rsidRPr="00DF5828">
        <w:rPr>
          <w:rFonts w:ascii="Times New Roman" w:hAnsi="Times New Roman"/>
          <w:lang w:val="lt-LT"/>
        </w:rPr>
        <w:t>(</w:t>
      </w:r>
      <w:r w:rsidRPr="00DF5828">
        <w:rPr>
          <w:rFonts w:ascii="Times New Roman" w:eastAsia="Times New Roman" w:hAnsi="Times New Roman"/>
          <w:lang w:val="lt-LT"/>
        </w:rPr>
        <w:t>gali pasireikšti iki 1 iš 10 000 žmonių):</w:t>
      </w:r>
    </w:p>
    <w:p w:rsidR="00DF5828" w:rsidRPr="00DF5828" w:rsidRDefault="00DF5828" w:rsidP="00DF5828">
      <w:pPr>
        <w:numPr>
          <w:ilvl w:val="0"/>
          <w:numId w:val="11"/>
        </w:numPr>
        <w:tabs>
          <w:tab w:val="left" w:pos="567"/>
        </w:tabs>
        <w:spacing w:after="0" w:line="260" w:lineRule="exact"/>
        <w:ind w:left="567" w:hanging="567"/>
        <w:contextualSpacing/>
        <w:rPr>
          <w:rFonts w:ascii="Times New Roman" w:eastAsia="Times New Roman" w:hAnsi="Times New Roman"/>
          <w:lang w:val="lt-LT"/>
        </w:rPr>
      </w:pPr>
      <w:proofErr w:type="spellStart"/>
      <w:proofErr w:type="gramStart"/>
      <w:r w:rsidRPr="00DF5828">
        <w:rPr>
          <w:rFonts w:ascii="Times New Roman" w:hAnsi="Times New Roman"/>
        </w:rPr>
        <w:t>skausmas</w:t>
      </w:r>
      <w:proofErr w:type="spellEnd"/>
      <w:proofErr w:type="gramEnd"/>
      <w:r w:rsidRPr="00DF5828">
        <w:rPr>
          <w:rFonts w:ascii="Times New Roman" w:hAnsi="Times New Roman"/>
        </w:rPr>
        <w:t xml:space="preserve"> </w:t>
      </w:r>
      <w:proofErr w:type="spellStart"/>
      <w:r w:rsidRPr="00DF5828">
        <w:rPr>
          <w:rFonts w:ascii="Times New Roman" w:hAnsi="Times New Roman"/>
        </w:rPr>
        <w:t>ar</w:t>
      </w:r>
      <w:proofErr w:type="spellEnd"/>
      <w:r w:rsidRPr="00DF5828">
        <w:rPr>
          <w:rFonts w:ascii="Times New Roman" w:hAnsi="Times New Roman"/>
        </w:rPr>
        <w:t xml:space="preserve"> </w:t>
      </w:r>
      <w:proofErr w:type="spellStart"/>
      <w:r w:rsidRPr="00DF5828">
        <w:rPr>
          <w:rFonts w:ascii="Times New Roman" w:hAnsi="Times New Roman"/>
        </w:rPr>
        <w:t>žaizda</w:t>
      </w:r>
      <w:proofErr w:type="spellEnd"/>
      <w:r w:rsidRPr="00DF5828">
        <w:rPr>
          <w:rFonts w:ascii="Times New Roman" w:hAnsi="Times New Roman"/>
        </w:rPr>
        <w:t xml:space="preserve"> </w:t>
      </w:r>
      <w:proofErr w:type="spellStart"/>
      <w:r w:rsidRPr="00DF5828">
        <w:rPr>
          <w:rFonts w:ascii="Times New Roman" w:hAnsi="Times New Roman"/>
        </w:rPr>
        <w:t>burnoje</w:t>
      </w:r>
      <w:proofErr w:type="spellEnd"/>
      <w:r w:rsidRPr="00DF5828">
        <w:rPr>
          <w:rFonts w:ascii="Times New Roman" w:hAnsi="Times New Roman"/>
        </w:rPr>
        <w:t xml:space="preserve"> </w:t>
      </w:r>
      <w:proofErr w:type="spellStart"/>
      <w:r w:rsidRPr="00DF5828">
        <w:rPr>
          <w:rFonts w:ascii="Times New Roman" w:hAnsi="Times New Roman"/>
        </w:rPr>
        <w:t>ar</w:t>
      </w:r>
      <w:proofErr w:type="spellEnd"/>
      <w:r w:rsidRPr="00DF5828">
        <w:rPr>
          <w:rFonts w:ascii="Times New Roman" w:hAnsi="Times New Roman"/>
        </w:rPr>
        <w:t xml:space="preserve"> </w:t>
      </w:r>
      <w:proofErr w:type="spellStart"/>
      <w:r w:rsidRPr="00DF5828">
        <w:rPr>
          <w:rFonts w:ascii="Times New Roman" w:hAnsi="Times New Roman"/>
        </w:rPr>
        <w:t>žandikaulyje</w:t>
      </w:r>
      <w:proofErr w:type="spellEnd"/>
      <w:r w:rsidRPr="00DF5828">
        <w:rPr>
          <w:rFonts w:ascii="Times New Roman" w:hAnsi="Times New Roman"/>
        </w:rPr>
        <w:t xml:space="preserve">. Tai </w:t>
      </w:r>
      <w:proofErr w:type="spellStart"/>
      <w:r w:rsidRPr="00DF5828">
        <w:rPr>
          <w:rFonts w:ascii="Times New Roman" w:hAnsi="Times New Roman"/>
        </w:rPr>
        <w:t>gali</w:t>
      </w:r>
      <w:proofErr w:type="spellEnd"/>
      <w:r w:rsidRPr="00DF5828">
        <w:rPr>
          <w:rFonts w:ascii="Times New Roman" w:hAnsi="Times New Roman"/>
        </w:rPr>
        <w:t xml:space="preserve"> </w:t>
      </w:r>
      <w:proofErr w:type="spellStart"/>
      <w:r w:rsidRPr="00DF5828">
        <w:rPr>
          <w:rFonts w:ascii="Times New Roman" w:hAnsi="Times New Roman"/>
        </w:rPr>
        <w:t>būti</w:t>
      </w:r>
      <w:proofErr w:type="spellEnd"/>
      <w:r w:rsidRPr="00DF5828">
        <w:rPr>
          <w:rFonts w:ascii="Times New Roman" w:hAnsi="Times New Roman"/>
        </w:rPr>
        <w:t xml:space="preserve"> </w:t>
      </w:r>
      <w:proofErr w:type="spellStart"/>
      <w:r w:rsidRPr="00DF5828">
        <w:rPr>
          <w:rFonts w:ascii="Times New Roman" w:hAnsi="Times New Roman"/>
        </w:rPr>
        <w:t>ankstyvieji</w:t>
      </w:r>
      <w:proofErr w:type="spellEnd"/>
      <w:r w:rsidRPr="00DF5828">
        <w:rPr>
          <w:rFonts w:ascii="Times New Roman" w:hAnsi="Times New Roman"/>
        </w:rPr>
        <w:t xml:space="preserve"> </w:t>
      </w:r>
      <w:proofErr w:type="spellStart"/>
      <w:r w:rsidRPr="00DF5828">
        <w:rPr>
          <w:rFonts w:ascii="Times New Roman" w:hAnsi="Times New Roman"/>
        </w:rPr>
        <w:t>sunkios</w:t>
      </w:r>
      <w:proofErr w:type="spellEnd"/>
      <w:r w:rsidRPr="00DF5828">
        <w:rPr>
          <w:rFonts w:ascii="Times New Roman" w:hAnsi="Times New Roman"/>
        </w:rPr>
        <w:t xml:space="preserve"> </w:t>
      </w:r>
      <w:proofErr w:type="spellStart"/>
      <w:r w:rsidRPr="00DF5828">
        <w:rPr>
          <w:rFonts w:ascii="Times New Roman" w:hAnsi="Times New Roman"/>
        </w:rPr>
        <w:t>žandikaulio</w:t>
      </w:r>
      <w:proofErr w:type="spellEnd"/>
      <w:r w:rsidRPr="00DF5828">
        <w:rPr>
          <w:rFonts w:ascii="Times New Roman" w:hAnsi="Times New Roman"/>
        </w:rPr>
        <w:t xml:space="preserve"> </w:t>
      </w:r>
      <w:proofErr w:type="spellStart"/>
      <w:r w:rsidRPr="00DF5828">
        <w:rPr>
          <w:rFonts w:ascii="Times New Roman" w:hAnsi="Times New Roman"/>
        </w:rPr>
        <w:t>ligos</w:t>
      </w:r>
      <w:proofErr w:type="spellEnd"/>
      <w:r w:rsidRPr="00DF5828">
        <w:rPr>
          <w:rFonts w:ascii="Times New Roman" w:hAnsi="Times New Roman"/>
        </w:rPr>
        <w:t xml:space="preserve"> (</w:t>
      </w:r>
      <w:proofErr w:type="spellStart"/>
      <w:r w:rsidRPr="00DF5828">
        <w:rPr>
          <w:rFonts w:ascii="Times New Roman" w:hAnsi="Times New Roman"/>
        </w:rPr>
        <w:t>nekrozės</w:t>
      </w:r>
      <w:proofErr w:type="spellEnd"/>
      <w:r w:rsidRPr="00DF5828">
        <w:rPr>
          <w:rFonts w:ascii="Times New Roman" w:hAnsi="Times New Roman"/>
        </w:rPr>
        <w:t xml:space="preserve"> (</w:t>
      </w:r>
      <w:proofErr w:type="spellStart"/>
      <w:r w:rsidRPr="00DF5828">
        <w:rPr>
          <w:rFonts w:ascii="Times New Roman" w:hAnsi="Times New Roman"/>
        </w:rPr>
        <w:t>žuvusio</w:t>
      </w:r>
      <w:proofErr w:type="spellEnd"/>
      <w:r w:rsidRPr="00DF5828">
        <w:rPr>
          <w:rFonts w:ascii="Times New Roman" w:hAnsi="Times New Roman"/>
        </w:rPr>
        <w:t xml:space="preserve"> </w:t>
      </w:r>
      <w:proofErr w:type="spellStart"/>
      <w:r w:rsidRPr="00DF5828">
        <w:rPr>
          <w:rFonts w:ascii="Times New Roman" w:hAnsi="Times New Roman"/>
        </w:rPr>
        <w:t>kaulinio</w:t>
      </w:r>
      <w:proofErr w:type="spellEnd"/>
      <w:r w:rsidRPr="00DF5828">
        <w:rPr>
          <w:rFonts w:ascii="Times New Roman" w:hAnsi="Times New Roman"/>
        </w:rPr>
        <w:t xml:space="preserve"> </w:t>
      </w:r>
      <w:proofErr w:type="spellStart"/>
      <w:r w:rsidRPr="00DF5828">
        <w:rPr>
          <w:rFonts w:ascii="Times New Roman" w:hAnsi="Times New Roman"/>
        </w:rPr>
        <w:t>audinio</w:t>
      </w:r>
      <w:proofErr w:type="spellEnd"/>
      <w:r w:rsidRPr="00DF5828">
        <w:rPr>
          <w:rFonts w:ascii="Times New Roman" w:hAnsi="Times New Roman"/>
        </w:rPr>
        <w:t xml:space="preserve">) </w:t>
      </w:r>
      <w:proofErr w:type="spellStart"/>
      <w:r w:rsidRPr="00DF5828">
        <w:rPr>
          <w:rFonts w:ascii="Times New Roman" w:hAnsi="Times New Roman"/>
        </w:rPr>
        <w:t>žandikaulyje</w:t>
      </w:r>
      <w:proofErr w:type="spellEnd"/>
      <w:r w:rsidRPr="00DF5828">
        <w:rPr>
          <w:rFonts w:ascii="Times New Roman" w:hAnsi="Times New Roman"/>
        </w:rPr>
        <w:t xml:space="preserve"> </w:t>
      </w:r>
      <w:proofErr w:type="spellStart"/>
      <w:r w:rsidRPr="00DF5828">
        <w:rPr>
          <w:rFonts w:ascii="Times New Roman" w:hAnsi="Times New Roman"/>
        </w:rPr>
        <w:t>požymiai</w:t>
      </w:r>
      <w:proofErr w:type="spellEnd"/>
      <w:r w:rsidRPr="00DF5828">
        <w:rPr>
          <w:rFonts w:ascii="Times New Roman" w:hAnsi="Times New Roman"/>
        </w:rPr>
        <w:t>).</w:t>
      </w:r>
    </w:p>
    <w:p w:rsidR="00DF5828" w:rsidRPr="000F1EAC" w:rsidRDefault="00DF5828" w:rsidP="00DF5828">
      <w:pPr>
        <w:numPr>
          <w:ilvl w:val="0"/>
          <w:numId w:val="11"/>
        </w:numPr>
        <w:tabs>
          <w:tab w:val="left" w:pos="567"/>
        </w:tabs>
        <w:spacing w:after="0" w:line="260" w:lineRule="exact"/>
        <w:ind w:left="567" w:hanging="567"/>
        <w:contextualSpacing/>
        <w:rPr>
          <w:rFonts w:ascii="Times New Roman" w:eastAsia="Times New Roman" w:hAnsi="Times New Roman"/>
          <w:lang w:val="lt-LT"/>
        </w:rPr>
      </w:pPr>
      <w:proofErr w:type="spellStart"/>
      <w:proofErr w:type="gramStart"/>
      <w:r w:rsidRPr="00DF5828">
        <w:rPr>
          <w:rFonts w:ascii="Times New Roman" w:eastAsia="Times New Roman" w:hAnsi="Times New Roman"/>
        </w:rPr>
        <w:t>niežėjimas</w:t>
      </w:r>
      <w:proofErr w:type="spellEnd"/>
      <w:proofErr w:type="gramEnd"/>
      <w:r w:rsidRPr="00DF5828">
        <w:rPr>
          <w:rFonts w:ascii="Times New Roman" w:eastAsia="Times New Roman" w:hAnsi="Times New Roman"/>
        </w:rPr>
        <w:t xml:space="preserve">, </w:t>
      </w:r>
      <w:proofErr w:type="spellStart"/>
      <w:r w:rsidRPr="00DF5828">
        <w:rPr>
          <w:rFonts w:ascii="Times New Roman" w:eastAsia="Times New Roman" w:hAnsi="Times New Roman"/>
        </w:rPr>
        <w:t>veido</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lūpų</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liežuvio</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ar</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gerklės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patinimas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sunkinantis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kvėpavimą</w:t>
      </w:r>
      <w:proofErr w:type="spellEnd"/>
      <w:r w:rsidRPr="00DF5828">
        <w:rPr>
          <w:rFonts w:ascii="Times New Roman" w:eastAsia="Times New Roman" w:hAnsi="Times New Roman"/>
        </w:rPr>
        <w:t xml:space="preserve">. Tai </w:t>
      </w:r>
      <w:proofErr w:type="spellStart"/>
      <w:r w:rsidRPr="00DF5828">
        <w:rPr>
          <w:rFonts w:ascii="Times New Roman" w:eastAsia="Times New Roman" w:hAnsi="Times New Roman"/>
        </w:rPr>
        <w:t>gali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būti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sunkios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galinčios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sukelti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grėsmę</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gyvybei</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alerginės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reakcijos</w:t>
      </w:r>
      <w:proofErr w:type="spellEnd"/>
      <w:r w:rsidRPr="00DF5828">
        <w:rPr>
          <w:rFonts w:ascii="Times New Roman" w:eastAsia="Times New Roman" w:hAnsi="Times New Roman"/>
        </w:rPr>
        <w:t xml:space="preserve">, </w:t>
      </w:r>
      <w:proofErr w:type="spellStart"/>
      <w:r w:rsidRPr="00DF5828">
        <w:rPr>
          <w:rFonts w:ascii="Times New Roman" w:eastAsia="Times New Roman" w:hAnsi="Times New Roman"/>
        </w:rPr>
        <w:t>požymis</w:t>
      </w:r>
      <w:proofErr w:type="spellEnd"/>
      <w:r w:rsidRPr="00DF5828">
        <w:rPr>
          <w:rFonts w:ascii="Times New Roman" w:eastAsia="Times New Roman" w:hAnsi="Times New Roman"/>
        </w:rPr>
        <w:t>.</w:t>
      </w:r>
    </w:p>
    <w:p w:rsidR="00252542" w:rsidRPr="000F1EAC" w:rsidRDefault="002C294C" w:rsidP="00DF5828">
      <w:pPr>
        <w:numPr>
          <w:ilvl w:val="0"/>
          <w:numId w:val="11"/>
        </w:numPr>
        <w:tabs>
          <w:tab w:val="left" w:pos="567"/>
        </w:tabs>
        <w:spacing w:after="0" w:line="260" w:lineRule="exact"/>
        <w:ind w:left="567" w:hanging="567"/>
        <w:contextualSpacing/>
        <w:rPr>
          <w:rFonts w:ascii="Times New Roman" w:eastAsia="Times New Roman" w:hAnsi="Times New Roman"/>
          <w:lang w:val="lt-LT"/>
        </w:rPr>
      </w:pPr>
      <w:r>
        <w:rPr>
          <w:rFonts w:ascii="Times New Roman" w:eastAsia="Times New Roman" w:hAnsi="Times New Roman"/>
          <w:lang w:val="lt-LT"/>
        </w:rPr>
        <w:t>s</w:t>
      </w:r>
      <w:r w:rsidR="00252542">
        <w:rPr>
          <w:rFonts w:ascii="Times New Roman" w:eastAsia="Times New Roman" w:hAnsi="Times New Roman"/>
          <w:lang w:val="lt-LT"/>
        </w:rPr>
        <w:t xml:space="preserve">unkios </w:t>
      </w:r>
      <w:r>
        <w:rPr>
          <w:rFonts w:ascii="Times New Roman" w:eastAsia="Times New Roman" w:hAnsi="Times New Roman"/>
          <w:lang w:val="lt-LT"/>
        </w:rPr>
        <w:t>pašalinio poveikio odai</w:t>
      </w:r>
      <w:r w:rsidR="00252542">
        <w:rPr>
          <w:rFonts w:ascii="Times New Roman" w:eastAsia="Times New Roman" w:hAnsi="Times New Roman"/>
          <w:lang w:val="lt-LT"/>
        </w:rPr>
        <w:t xml:space="preserve"> reakcijos.</w:t>
      </w:r>
    </w:p>
    <w:p w:rsidR="00DF5828" w:rsidRDefault="002C294C" w:rsidP="000F1EAC">
      <w:pPr>
        <w:pStyle w:val="Sraopastraipa"/>
        <w:numPr>
          <w:ilvl w:val="0"/>
          <w:numId w:val="11"/>
        </w:numPr>
        <w:ind w:left="567" w:hanging="567"/>
        <w:rPr>
          <w:lang w:val="lt-LT"/>
        </w:rPr>
      </w:pPr>
      <w:r w:rsidRPr="000F1EAC">
        <w:rPr>
          <w:rFonts w:ascii="Times New Roman" w:eastAsia="Times New Roman" w:hAnsi="Times New Roman"/>
          <w:lang w:val="lt-LT"/>
        </w:rPr>
        <w:t>p</w:t>
      </w:r>
      <w:r w:rsidR="00B42B32" w:rsidRPr="000F1EAC">
        <w:rPr>
          <w:rFonts w:ascii="Times New Roman" w:eastAsia="Times New Roman" w:hAnsi="Times New Roman"/>
          <w:lang w:val="lt-LT"/>
        </w:rPr>
        <w:t>asikalbėkite su savo gydytoju, jeigu Jums skauda ausį, iš ausies teka išskyros ir (arba) Jums prasidėjęs ausies uždegimas. Tai gali būtų ausyje esančio kaulo pažeidimo požymiai.</w:t>
      </w:r>
    </w:p>
    <w:p w:rsidR="002C294C" w:rsidRPr="000F1EAC" w:rsidRDefault="002C294C" w:rsidP="002C294C">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b/>
          <w:lang w:val="lt-LT"/>
        </w:rPr>
      </w:pPr>
      <w:r w:rsidRPr="00DF5828">
        <w:rPr>
          <w:rFonts w:ascii="Times New Roman" w:eastAsia="Times New Roman" w:hAnsi="Times New Roman"/>
          <w:b/>
          <w:lang w:val="lt-LT"/>
        </w:rPr>
        <w:t>Dažnis nežinomas</w:t>
      </w:r>
    </w:p>
    <w:p w:rsidR="00DF5828" w:rsidRPr="00DF5828" w:rsidRDefault="00DF5828" w:rsidP="00DF5828">
      <w:pPr>
        <w:numPr>
          <w:ilvl w:val="0"/>
          <w:numId w:val="11"/>
        </w:numPr>
        <w:tabs>
          <w:tab w:val="left" w:pos="567"/>
        </w:tabs>
        <w:spacing w:after="0" w:line="260" w:lineRule="exact"/>
        <w:ind w:left="567" w:hanging="567"/>
        <w:contextualSpacing/>
        <w:rPr>
          <w:rFonts w:ascii="Times New Roman" w:eastAsia="Times New Roman" w:hAnsi="Times New Roman"/>
          <w:lang w:val="lt-LT"/>
        </w:rPr>
      </w:pPr>
      <w:r w:rsidRPr="00DF5828">
        <w:rPr>
          <w:rFonts w:ascii="Times New Roman" w:eastAsia="Times New Roman" w:hAnsi="Times New Roman"/>
          <w:lang w:val="lt-LT"/>
        </w:rPr>
        <w:t>astmos priepuolis.</w:t>
      </w:r>
    </w:p>
    <w:p w:rsidR="00DF5828" w:rsidRPr="00DF5828" w:rsidRDefault="00DF5828" w:rsidP="000F1EAC">
      <w:pPr>
        <w:tabs>
          <w:tab w:val="left" w:pos="567"/>
        </w:tabs>
        <w:spacing w:after="0" w:line="260" w:lineRule="exact"/>
        <w:contextualSpacing/>
        <w:rPr>
          <w:rFonts w:ascii="Times New Roman" w:hAnsi="Times New Roman"/>
          <w:lang w:val="lt-LT"/>
        </w:rPr>
      </w:pPr>
    </w:p>
    <w:p w:rsidR="00DF5828" w:rsidRPr="00DF5828" w:rsidRDefault="00DF5828" w:rsidP="00DF5828">
      <w:pPr>
        <w:tabs>
          <w:tab w:val="left" w:pos="567"/>
        </w:tabs>
        <w:spacing w:after="0" w:line="260" w:lineRule="exact"/>
        <w:ind w:left="567" w:hanging="567"/>
        <w:rPr>
          <w:rFonts w:ascii="Times New Roman" w:hAnsi="Times New Roman"/>
          <w:b/>
          <w:lang w:val="lt-LT"/>
        </w:rPr>
      </w:pPr>
      <w:r w:rsidRPr="00DF5828">
        <w:rPr>
          <w:rFonts w:ascii="Times New Roman" w:hAnsi="Times New Roman"/>
          <w:b/>
          <w:lang w:val="lt-LT"/>
        </w:rPr>
        <w:t>Kiti galimi šalutiniai poveikiai</w:t>
      </w:r>
    </w:p>
    <w:p w:rsidR="00DF5828" w:rsidRPr="00DF5828" w:rsidRDefault="00DF5828" w:rsidP="00DF5828">
      <w:pPr>
        <w:tabs>
          <w:tab w:val="left" w:pos="567"/>
        </w:tabs>
        <w:spacing w:after="0" w:line="260" w:lineRule="exact"/>
        <w:ind w:left="567" w:hanging="567"/>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 xml:space="preserve">Dažni </w:t>
      </w:r>
      <w:r w:rsidRPr="00DF5828">
        <w:rPr>
          <w:rFonts w:ascii="Times New Roman" w:hAnsi="Times New Roman"/>
          <w:lang w:val="lt-LT"/>
        </w:rPr>
        <w:t>(</w:t>
      </w:r>
      <w:r w:rsidRPr="00DF5828">
        <w:rPr>
          <w:rFonts w:ascii="Times New Roman" w:eastAsia="Times New Roman" w:hAnsi="Times New Roman"/>
          <w:lang w:val="lt-LT"/>
        </w:rPr>
        <w:t>gali pasireikšti iki</w:t>
      </w:r>
      <w:r w:rsidRPr="00DF5828">
        <w:rPr>
          <w:rFonts w:ascii="Times New Roman" w:hAnsi="Times New Roman"/>
          <w:lang w:val="lt-LT"/>
        </w:rPr>
        <w:t xml:space="preserve"> 1 iš</w:t>
      </w:r>
      <w:r w:rsidRPr="00DF5828">
        <w:rPr>
          <w:rFonts w:ascii="Times New Roman" w:eastAsia="Times New Roman" w:hAnsi="Times New Roman"/>
          <w:lang w:val="lt-LT"/>
        </w:rPr>
        <w:t xml:space="preserve"> </w:t>
      </w:r>
      <w:r w:rsidRPr="00DF5828">
        <w:rPr>
          <w:rFonts w:ascii="Times New Roman" w:hAnsi="Times New Roman"/>
          <w:lang w:val="lt-LT"/>
        </w:rPr>
        <w:t xml:space="preserve">10 </w:t>
      </w:r>
      <w:r w:rsidRPr="00DF5828">
        <w:rPr>
          <w:rFonts w:ascii="Times New Roman" w:eastAsia="Times New Roman" w:hAnsi="Times New Roman"/>
          <w:lang w:val="lt-LT"/>
        </w:rPr>
        <w:t>žmonių</w:t>
      </w:r>
      <w:r w:rsidRPr="00DF5828">
        <w:rPr>
          <w:rFonts w:ascii="Times New Roman" w:hAnsi="Times New Roman"/>
          <w:lang w:val="lt-LT"/>
        </w:rPr>
        <w:t>)</w:t>
      </w:r>
      <w:r w:rsidRPr="00DF5828">
        <w:rPr>
          <w:rFonts w:ascii="Times New Roman" w:hAnsi="Times New Roman"/>
          <w:b/>
          <w:lang w:val="lt-LT"/>
        </w:rPr>
        <w:t xml:space="preserve">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nuovargis.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pilvo skausmas, nevirškinimas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mažas kalcio kiekis kraujyje.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 xml:space="preserve">Nedažni </w:t>
      </w:r>
      <w:r w:rsidRPr="00DF5828">
        <w:rPr>
          <w:rFonts w:ascii="Times New Roman" w:hAnsi="Times New Roman"/>
          <w:lang w:val="lt-LT"/>
        </w:rPr>
        <w:t>(</w:t>
      </w:r>
      <w:r w:rsidRPr="00DF5828">
        <w:rPr>
          <w:rFonts w:ascii="Times New Roman" w:eastAsia="Times New Roman" w:hAnsi="Times New Roman"/>
          <w:lang w:val="lt-LT"/>
        </w:rPr>
        <w:t>gali pasireikšti iki</w:t>
      </w:r>
      <w:r w:rsidRPr="00DF5828">
        <w:rPr>
          <w:rFonts w:ascii="Times New Roman" w:hAnsi="Times New Roman"/>
          <w:lang w:val="lt-LT"/>
        </w:rPr>
        <w:t xml:space="preserve"> 1</w:t>
      </w:r>
      <w:r w:rsidRPr="00DF5828">
        <w:rPr>
          <w:rFonts w:ascii="Times New Roman" w:eastAsia="Times New Roman" w:hAnsi="Times New Roman"/>
          <w:lang w:val="lt-LT"/>
        </w:rPr>
        <w:t xml:space="preserve"> </w:t>
      </w:r>
      <w:r w:rsidRPr="00DF5828">
        <w:rPr>
          <w:rFonts w:ascii="Times New Roman" w:hAnsi="Times New Roman"/>
          <w:lang w:val="lt-LT"/>
        </w:rPr>
        <w:t xml:space="preserve">iš </w:t>
      </w:r>
      <w:r w:rsidRPr="00DF5828">
        <w:rPr>
          <w:rFonts w:ascii="Times New Roman" w:eastAsia="Times New Roman" w:hAnsi="Times New Roman"/>
          <w:lang w:val="lt-LT"/>
        </w:rPr>
        <w:t>100 žmonių</w:t>
      </w:r>
      <w:r w:rsidRPr="00DF5828">
        <w:rPr>
          <w:rFonts w:ascii="Times New Roman" w:hAnsi="Times New Roman"/>
          <w:lang w:val="lt-LT"/>
        </w:rPr>
        <w:t>)</w:t>
      </w:r>
      <w:r w:rsidRPr="00DF5828">
        <w:rPr>
          <w:rFonts w:ascii="Times New Roman" w:hAnsi="Times New Roman"/>
          <w:b/>
          <w:lang w:val="lt-LT"/>
        </w:rPr>
        <w:t xml:space="preserve">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krūtinės skausmas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odos niežėjimo ar dygčiojimo pojūtis (parestezija)</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panašūs į gripo simptomai, bloga bendra savijauta ar skausmai</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burnos džiūvimas, keistas skonis burnoje ar apsunkintas rijimas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anemija</w:t>
      </w:r>
      <w:r w:rsidRPr="00DF5828">
        <w:rPr>
          <w:rFonts w:ascii="Times New Roman" w:eastAsia="Times New Roman" w:hAnsi="Times New Roman"/>
          <w:lang w:val="lt-LT"/>
        </w:rPr>
        <w:t xml:space="preserve"> (mažakraujystė)</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sym w:font="Symbol" w:char="F0B7"/>
      </w:r>
      <w:r w:rsidRPr="00DF5828">
        <w:rPr>
          <w:rFonts w:ascii="Times New Roman" w:hAnsi="Times New Roman"/>
          <w:lang w:val="lt-LT"/>
        </w:rPr>
        <w:tab/>
        <w:t xml:space="preserve">didelis urėjos  ar hormono </w:t>
      </w:r>
      <w:proofErr w:type="spellStart"/>
      <w:r w:rsidRPr="00DF5828">
        <w:rPr>
          <w:rFonts w:ascii="Times New Roman" w:hAnsi="Times New Roman"/>
          <w:lang w:val="lt-LT"/>
        </w:rPr>
        <w:t>paratiroidino</w:t>
      </w:r>
      <w:proofErr w:type="spellEnd"/>
      <w:r w:rsidRPr="00DF5828">
        <w:rPr>
          <w:rFonts w:ascii="Times New Roman" w:hAnsi="Times New Roman"/>
          <w:lang w:val="lt-LT"/>
        </w:rPr>
        <w:t xml:space="preserve"> kiekis kraujyje.</w:t>
      </w:r>
    </w:p>
    <w:p w:rsidR="00DF5828" w:rsidRPr="00DF5828" w:rsidRDefault="00DF5828" w:rsidP="00DF5828">
      <w:pPr>
        <w:tabs>
          <w:tab w:val="left" w:pos="567"/>
        </w:tabs>
        <w:spacing w:after="0" w:line="260" w:lineRule="exact"/>
        <w:rPr>
          <w:rFonts w:ascii="Times New Roman" w:hAnsi="Times New Roman"/>
          <w:lang w:val="lt-LT"/>
        </w:rPr>
      </w:pPr>
    </w:p>
    <w:p w:rsidR="00DF6115" w:rsidRPr="00905C9A" w:rsidRDefault="00DF6115" w:rsidP="00DF6115">
      <w:pPr>
        <w:spacing w:after="0" w:line="240" w:lineRule="auto"/>
        <w:rPr>
          <w:rFonts w:ascii="Times New Roman" w:hAnsi="Times New Roman"/>
          <w:b/>
          <w:lang w:val="lt-LT"/>
        </w:rPr>
      </w:pPr>
      <w:r w:rsidRPr="00905C9A">
        <w:rPr>
          <w:rFonts w:ascii="Times New Roman" w:hAnsi="Times New Roman"/>
          <w:b/>
          <w:lang w:val="lt-LT"/>
        </w:rPr>
        <w:t>Pranešimas apie šalutinį poveikį</w:t>
      </w:r>
    </w:p>
    <w:p w:rsidR="00DF6115" w:rsidRPr="00905C9A" w:rsidRDefault="00DF6115" w:rsidP="00DF6115">
      <w:pPr>
        <w:spacing w:after="0" w:line="240" w:lineRule="auto"/>
        <w:rPr>
          <w:rFonts w:ascii="Times New Roman" w:hAnsi="Times New Roman"/>
          <w:lang w:val="lt-LT"/>
        </w:rPr>
      </w:pPr>
      <w:r w:rsidRPr="00905C9A">
        <w:rPr>
          <w:rFonts w:ascii="Times New Roman" w:hAnsi="Times New Roman"/>
          <w:lang w:val="lt-LT"/>
        </w:rPr>
        <w:t xml:space="preserve">Jeigu pasireiškė šalutinis poveikis, įskaitant šiame lapelyje nenurodytą, pasakykite gydytojui arba vaistininkui.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905C9A">
        <w:rPr>
          <w:rFonts w:ascii="Times New Roman" w:hAnsi="Times New Roman"/>
          <w:lang w:val="lt-LT"/>
        </w:rPr>
        <w:t>NepageidaujamaR@vvkt.lt</w:t>
      </w:r>
      <w:proofErr w:type="spellEnd"/>
      <w:r w:rsidRPr="00905C9A">
        <w:rPr>
          <w:rFonts w:ascii="Times New Roman" w:hAnsi="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DF5828" w:rsidRPr="00DF5828" w:rsidRDefault="00DF5828" w:rsidP="000F1EAC">
      <w:pPr>
        <w:tabs>
          <w:tab w:val="left" w:pos="3690"/>
        </w:tabs>
        <w:spacing w:after="0" w:line="260" w:lineRule="exact"/>
        <w:rPr>
          <w:rFonts w:ascii="Times New Roman" w:eastAsia="Times New Roman" w:hAnsi="Times New Roman"/>
          <w:b/>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b/>
          <w:lang w:val="lt-LT"/>
        </w:rPr>
        <w:t>5.</w:t>
      </w:r>
      <w:r w:rsidRPr="00DF5828">
        <w:rPr>
          <w:rFonts w:ascii="Times New Roman" w:eastAsia="Times New Roman" w:hAnsi="Times New Roman"/>
          <w:b/>
          <w:lang w:val="lt-LT"/>
        </w:rPr>
        <w:tab/>
        <w:t>Kaip laikyti Ibandronic acid Actavis</w:t>
      </w:r>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rPr>
        <w:t>Šį vaistą laikykite</w:t>
      </w:r>
      <w:r w:rsidRPr="00DF5828">
        <w:rPr>
          <w:rFonts w:ascii="Times New Roman" w:hAnsi="Times New Roman"/>
          <w:lang w:val="lt-LT"/>
        </w:rPr>
        <w:t xml:space="preserve"> vaikams </w:t>
      </w:r>
      <w:r w:rsidRPr="00DF5828">
        <w:rPr>
          <w:rFonts w:ascii="Times New Roman" w:eastAsia="Times New Roman" w:hAnsi="Times New Roman"/>
          <w:lang w:val="lt-LT"/>
        </w:rPr>
        <w:t xml:space="preserve">nepastebimoje ir </w:t>
      </w:r>
      <w:r w:rsidRPr="00DF5828">
        <w:rPr>
          <w:rFonts w:ascii="Times New Roman" w:hAnsi="Times New Roman"/>
          <w:lang w:val="lt-LT"/>
        </w:rPr>
        <w:t>nepasiekiamoje vietoje.</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Ant kartono dėžutės ir lizdinės plokštelės po „Tinka iki/EXP“ nurodytam tinkamumo laikui pasibaigus, </w:t>
      </w:r>
      <w:r w:rsidRPr="00DF5828">
        <w:rPr>
          <w:rFonts w:ascii="Times New Roman" w:eastAsia="Times New Roman" w:hAnsi="Times New Roman"/>
          <w:iCs/>
          <w:lang w:val="lt-LT"/>
        </w:rPr>
        <w:t>šio vaisto</w:t>
      </w:r>
      <w:r w:rsidRPr="00DF5828">
        <w:rPr>
          <w:rFonts w:ascii="Times New Roman" w:hAnsi="Times New Roman"/>
          <w:lang w:val="lt-LT"/>
        </w:rPr>
        <w:t xml:space="preserve"> vartoti negalima. Pirmieji du skaitmenys nurodo mėnesį, o keturi paskutinieji – metus.Vaistas </w:t>
      </w:r>
      <w:r w:rsidRPr="00DF5828">
        <w:rPr>
          <w:rFonts w:ascii="Times New Roman" w:eastAsia="Times New Roman" w:hAnsi="Times New Roman"/>
          <w:iCs/>
          <w:lang w:val="lt-LT"/>
        </w:rPr>
        <w:t>tinkamas</w:t>
      </w:r>
      <w:r w:rsidRPr="00DF5828">
        <w:rPr>
          <w:rFonts w:ascii="Times New Roman" w:hAnsi="Times New Roman"/>
          <w:lang w:val="lt-LT"/>
        </w:rPr>
        <w:t xml:space="preserve"> vartoti iki paskutinės nurodyto mėnesio dienos.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Šiam vaistiniam preparatui specialių laikymo sąlygų nereikia.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Vaistų negalima </w:t>
      </w:r>
      <w:r w:rsidRPr="00DF5828">
        <w:rPr>
          <w:rFonts w:ascii="Times New Roman" w:eastAsia="Times New Roman" w:hAnsi="Times New Roman"/>
          <w:lang w:val="lt-LT"/>
        </w:rPr>
        <w:t>išmesti</w:t>
      </w:r>
      <w:r w:rsidRPr="00DF5828">
        <w:rPr>
          <w:rFonts w:ascii="Times New Roman" w:hAnsi="Times New Roman"/>
          <w:lang w:val="lt-LT"/>
        </w:rPr>
        <w:t xml:space="preserve"> į kanalizaciją arba kartu su buitinėmis</w:t>
      </w:r>
      <w:r w:rsidRPr="00DF5828">
        <w:rPr>
          <w:rFonts w:ascii="Times New Roman" w:hAnsi="Times New Roman"/>
          <w:color w:val="993366"/>
          <w:lang w:val="lt-LT"/>
        </w:rPr>
        <w:t xml:space="preserve"> </w:t>
      </w:r>
      <w:r w:rsidRPr="00DF5828">
        <w:rPr>
          <w:rFonts w:ascii="Times New Roman" w:hAnsi="Times New Roman"/>
          <w:lang w:val="lt-LT"/>
        </w:rPr>
        <w:t xml:space="preserve">atliekomis. Kaip </w:t>
      </w:r>
      <w:r w:rsidRPr="00DF5828">
        <w:rPr>
          <w:rFonts w:ascii="Times New Roman" w:eastAsia="Times New Roman" w:hAnsi="Times New Roman"/>
          <w:lang w:val="lt-LT"/>
        </w:rPr>
        <w:t>išmesti</w:t>
      </w:r>
      <w:r w:rsidRPr="00DF5828">
        <w:rPr>
          <w:rFonts w:ascii="Times New Roman" w:hAnsi="Times New Roman"/>
          <w:lang w:val="lt-LT"/>
        </w:rPr>
        <w:t xml:space="preserve"> nereikalingus vaistus, klauskite vaistininko. Šios priemonės padės apsaugoti aplinką.</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eastAsia="Times New Roman" w:hAnsi="Times New Roman"/>
          <w:b/>
          <w:lang w:val="lt-LT"/>
        </w:rPr>
      </w:pPr>
      <w:r w:rsidRPr="00DF5828">
        <w:rPr>
          <w:rFonts w:ascii="Times New Roman" w:eastAsia="Times New Roman" w:hAnsi="Times New Roman"/>
          <w:b/>
          <w:lang w:val="lt-LT"/>
        </w:rPr>
        <w:t>6.</w:t>
      </w:r>
      <w:r w:rsidRPr="00DF5828">
        <w:rPr>
          <w:rFonts w:ascii="Times New Roman" w:eastAsia="Times New Roman" w:hAnsi="Times New Roman"/>
          <w:b/>
          <w:lang w:val="lt-LT"/>
        </w:rPr>
        <w:tab/>
        <w:t>Pakuotės turinys ir kita informacija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u w:val="single"/>
          <w:lang w:val="lt-LT"/>
        </w:rPr>
      </w:pPr>
      <w:r w:rsidRPr="00DF5828">
        <w:rPr>
          <w:rFonts w:ascii="Times New Roman" w:hAnsi="Times New Roman"/>
          <w:b/>
          <w:lang w:val="lt-LT"/>
        </w:rPr>
        <w:t xml:space="preserve">Ibandronic acid Actavis sudėtis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Veiklioji medžiaga yra 56,25 mg </w:t>
      </w:r>
      <w:proofErr w:type="spellStart"/>
      <w:r w:rsidRPr="00DF5828">
        <w:rPr>
          <w:rFonts w:ascii="Times New Roman" w:hAnsi="Times New Roman"/>
          <w:lang w:val="lt-LT"/>
        </w:rPr>
        <w:t>ibandronato</w:t>
      </w:r>
      <w:proofErr w:type="spellEnd"/>
      <w:r w:rsidRPr="00DF5828">
        <w:rPr>
          <w:rFonts w:ascii="Times New Roman" w:hAnsi="Times New Roman"/>
          <w:lang w:val="lt-LT"/>
        </w:rPr>
        <w:t xml:space="preserve"> natrio druskos </w:t>
      </w:r>
      <w:proofErr w:type="spellStart"/>
      <w:r w:rsidRPr="00DF5828">
        <w:rPr>
          <w:rFonts w:ascii="Times New Roman" w:hAnsi="Times New Roman"/>
          <w:lang w:val="lt-LT"/>
        </w:rPr>
        <w:t>monohidrato</w:t>
      </w:r>
      <w:proofErr w:type="spellEnd"/>
      <w:r w:rsidRPr="00DF5828">
        <w:rPr>
          <w:rFonts w:ascii="Times New Roman" w:hAnsi="Times New Roman"/>
          <w:lang w:val="lt-LT"/>
        </w:rPr>
        <w:t xml:space="preserve">, atitinkančio 50 mg </w:t>
      </w:r>
      <w:proofErr w:type="spellStart"/>
      <w:r w:rsidRPr="00DF5828">
        <w:rPr>
          <w:rFonts w:ascii="Times New Roman" w:hAnsi="Times New Roman"/>
          <w:lang w:val="lt-LT"/>
        </w:rPr>
        <w:t>ibandrono</w:t>
      </w:r>
      <w:proofErr w:type="spellEnd"/>
      <w:r w:rsidRPr="00DF5828">
        <w:rPr>
          <w:rFonts w:ascii="Times New Roman" w:hAnsi="Times New Roman"/>
          <w:lang w:val="lt-LT"/>
        </w:rPr>
        <w:t xml:space="preserve"> rūgšties.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Pagalbinės medžiagos. Tabletės branduolys: laktozė monohidratas, krospovidonas (E 1202), mikrokristalinė celiuliozė (E 460), bevandenis koloidinis silicio dioksidas (E 551) ir natrio stearilfumaratas. Tabletės plėvelė: polivinilo alkoholis, makrogolis 3350, talkas (E 553b) ir titano dioksidas (E 171).</w:t>
      </w:r>
      <w:r w:rsidRPr="00DF5828">
        <w:rPr>
          <w:rFonts w:ascii="Times New Roman" w:hAnsi="Times New Roman"/>
          <w:color w:val="008000"/>
          <w:lang w:val="lt-LT"/>
        </w:rPr>
        <w:t xml:space="preserve"> </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Ibandronic acid Actavis išvaizda ir kiekis pakuotėje</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Ibandronic acid Actavis tabletės yra baltos arba balkšvos, pailgos, viena jų pusė ženklinta užrašu „I9BE‘, kita </w:t>
      </w:r>
      <w:r w:rsidRPr="00DF5828">
        <w:rPr>
          <w:rFonts w:ascii="Times New Roman" w:hAnsi="Times New Roman"/>
          <w:lang w:val="lt-LT"/>
        </w:rPr>
        <w:sym w:font="Symbol" w:char="F02D"/>
      </w:r>
      <w:r w:rsidRPr="00DF5828">
        <w:rPr>
          <w:rFonts w:ascii="Times New Roman" w:hAnsi="Times New Roman"/>
          <w:lang w:val="lt-LT"/>
        </w:rPr>
        <w:t xml:space="preserve"> skaitmeniu „50“. Jos tiekiamos supakuotos į lizdines plokšteles. </w:t>
      </w:r>
    </w:p>
    <w:p w:rsidR="00DF5828" w:rsidRPr="00DF5828" w:rsidRDefault="00DF5828" w:rsidP="00DF5828">
      <w:pPr>
        <w:tabs>
          <w:tab w:val="left" w:pos="567"/>
        </w:tabs>
        <w:spacing w:after="0" w:line="260" w:lineRule="exact"/>
        <w:rPr>
          <w:rFonts w:ascii="Times New Roman" w:hAnsi="Times New Roman"/>
          <w:i/>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Pakuotės dydis: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 xml:space="preserve">1, 3, 7, 10, 14, 20, 21, 28, 30, 42, 50, 56, 60, 84, 90, 100, 126, 168 arba 210 tablečių. </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Gali būti tiekiamos ne visų dydžių pakuotės.</w:t>
      </w:r>
    </w:p>
    <w:p w:rsidR="00DF5828" w:rsidRPr="00DF5828" w:rsidRDefault="00DF5828" w:rsidP="00DF5828">
      <w:pPr>
        <w:tabs>
          <w:tab w:val="left" w:pos="567"/>
        </w:tabs>
        <w:spacing w:after="0" w:line="260" w:lineRule="exact"/>
        <w:rPr>
          <w:rFonts w:ascii="Times New Roman" w:hAnsi="Times New Roman"/>
          <w:b/>
          <w:i/>
          <w:lang w:val="lt-LT"/>
        </w:rPr>
      </w:pPr>
    </w:p>
    <w:p w:rsidR="00DF5828" w:rsidRPr="00DF5828" w:rsidRDefault="00DF5828" w:rsidP="00DF5828">
      <w:pPr>
        <w:tabs>
          <w:tab w:val="left" w:pos="567"/>
        </w:tabs>
        <w:spacing w:after="0" w:line="260" w:lineRule="exact"/>
        <w:rPr>
          <w:rFonts w:ascii="Times New Roman" w:hAnsi="Times New Roman"/>
          <w:b/>
          <w:lang w:val="lt-LT"/>
        </w:rPr>
      </w:pPr>
      <w:r w:rsidRPr="00DF5828">
        <w:rPr>
          <w:rFonts w:ascii="Times New Roman" w:hAnsi="Times New Roman"/>
          <w:b/>
          <w:lang w:val="lt-LT"/>
        </w:rPr>
        <w:t>R</w:t>
      </w:r>
      <w:r w:rsidR="00E6037E">
        <w:rPr>
          <w:rFonts w:ascii="Times New Roman" w:hAnsi="Times New Roman"/>
          <w:b/>
          <w:lang w:val="lt-LT"/>
        </w:rPr>
        <w:t>egistruotojas</w:t>
      </w:r>
      <w:r w:rsidRPr="00DF5828">
        <w:rPr>
          <w:rFonts w:ascii="Times New Roman" w:hAnsi="Times New Roman"/>
          <w:b/>
          <w:lang w:val="lt-LT"/>
        </w:rPr>
        <w:t xml:space="preserve"> ir gamintojas</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R</w:t>
      </w:r>
      <w:r w:rsidR="00E6037E">
        <w:rPr>
          <w:rFonts w:ascii="Times New Roman" w:hAnsi="Times New Roman"/>
          <w:i/>
          <w:lang w:val="lt-LT"/>
        </w:rPr>
        <w:t>egistruotojas</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Actavis Group PTC ehf</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Reykjavíkurvegi 76-78, 220 Hafnarfjörður</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Islandija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i/>
          <w:lang w:val="lt-LT"/>
        </w:rPr>
      </w:pPr>
      <w:r w:rsidRPr="00DF5828">
        <w:rPr>
          <w:rFonts w:ascii="Times New Roman" w:hAnsi="Times New Roman"/>
          <w:i/>
          <w:lang w:val="lt-LT"/>
        </w:rPr>
        <w:t>Gamintojas</w:t>
      </w:r>
    </w:p>
    <w:p w:rsidR="00DF5828" w:rsidRPr="00DF5828" w:rsidRDefault="00DF5828" w:rsidP="00DF5828">
      <w:pPr>
        <w:tabs>
          <w:tab w:val="left" w:pos="567"/>
        </w:tabs>
        <w:spacing w:after="0" w:line="260" w:lineRule="exact"/>
        <w:rPr>
          <w:rFonts w:ascii="Times New Roman" w:eastAsia="Times New Roman" w:hAnsi="Times New Roman"/>
          <w:lang w:val="lt-LT" w:eastAsia="pl-PL"/>
        </w:rPr>
      </w:pPr>
      <w:proofErr w:type="spellStart"/>
      <w:r w:rsidRPr="00DF5828">
        <w:rPr>
          <w:rFonts w:ascii="Times New Roman" w:eastAsia="Times New Roman" w:hAnsi="Times New Roman"/>
          <w:lang w:val="lt-LT" w:eastAsia="pl-PL"/>
        </w:rPr>
        <w:t>Synthon</w:t>
      </w:r>
      <w:proofErr w:type="spellEnd"/>
      <w:r w:rsidRPr="00DF5828">
        <w:rPr>
          <w:rFonts w:ascii="Times New Roman" w:eastAsia="Times New Roman" w:hAnsi="Times New Roman"/>
          <w:lang w:val="lt-LT" w:eastAsia="pl-PL"/>
        </w:rPr>
        <w:t xml:space="preserve"> BV</w:t>
      </w:r>
    </w:p>
    <w:p w:rsidR="00DF5828" w:rsidRPr="00DF5828" w:rsidRDefault="00DF5828" w:rsidP="00DF5828">
      <w:pPr>
        <w:tabs>
          <w:tab w:val="left" w:pos="567"/>
        </w:tabs>
        <w:spacing w:after="0" w:line="260" w:lineRule="exact"/>
        <w:rPr>
          <w:rFonts w:ascii="Times New Roman" w:eastAsia="Times New Roman" w:hAnsi="Times New Roman"/>
          <w:lang w:val="lt-LT" w:eastAsia="pl-PL"/>
        </w:rPr>
      </w:pPr>
      <w:proofErr w:type="spellStart"/>
      <w:r w:rsidRPr="00DF5828">
        <w:rPr>
          <w:rFonts w:ascii="Times New Roman" w:eastAsia="Times New Roman" w:hAnsi="Times New Roman"/>
          <w:lang w:val="lt-LT" w:eastAsia="pl-PL"/>
        </w:rPr>
        <w:t>Microweg</w:t>
      </w:r>
      <w:proofErr w:type="spellEnd"/>
      <w:r w:rsidRPr="00DF5828">
        <w:rPr>
          <w:rFonts w:ascii="Times New Roman" w:eastAsia="Times New Roman" w:hAnsi="Times New Roman"/>
          <w:lang w:val="lt-LT" w:eastAsia="pl-PL"/>
        </w:rPr>
        <w:t xml:space="preserve"> 22, 6545CM </w:t>
      </w:r>
      <w:proofErr w:type="spellStart"/>
      <w:r w:rsidRPr="00DF5828">
        <w:rPr>
          <w:rFonts w:ascii="Times New Roman" w:eastAsia="Times New Roman" w:hAnsi="Times New Roman"/>
          <w:lang w:val="lt-LT" w:eastAsia="pl-PL"/>
        </w:rPr>
        <w:t>Nijmegen</w:t>
      </w:r>
      <w:proofErr w:type="spellEnd"/>
    </w:p>
    <w:p w:rsidR="00DF5828" w:rsidRPr="00DF5828" w:rsidRDefault="00DF5828" w:rsidP="00DF5828">
      <w:pPr>
        <w:tabs>
          <w:tab w:val="left" w:pos="567"/>
        </w:tabs>
        <w:spacing w:after="0" w:line="260" w:lineRule="exact"/>
        <w:rPr>
          <w:rFonts w:ascii="Times New Roman" w:eastAsia="Times New Roman" w:hAnsi="Times New Roman"/>
          <w:lang w:val="nb-NO" w:eastAsia="pl-PL"/>
        </w:rPr>
      </w:pPr>
      <w:r w:rsidRPr="00DF5828">
        <w:rPr>
          <w:rFonts w:ascii="Times New Roman" w:eastAsia="Times New Roman" w:hAnsi="Times New Roman"/>
          <w:lang w:val="nb-NO" w:eastAsia="pl-PL"/>
        </w:rPr>
        <w:t>Nyderlandai</w:t>
      </w:r>
    </w:p>
    <w:p w:rsidR="00DF5828" w:rsidRPr="00DF5828" w:rsidRDefault="00DF5828" w:rsidP="00DF5828">
      <w:pPr>
        <w:tabs>
          <w:tab w:val="left" w:pos="567"/>
        </w:tabs>
        <w:spacing w:after="0" w:line="260" w:lineRule="exact"/>
        <w:rPr>
          <w:rFonts w:ascii="Times New Roman" w:eastAsia="Times New Roman" w:hAnsi="Times New Roman"/>
          <w:lang w:val="nb-NO" w:eastAsia="pl-PL"/>
        </w:rPr>
      </w:pPr>
    </w:p>
    <w:p w:rsidR="00DF5828" w:rsidRPr="00DF5828" w:rsidRDefault="00DF5828" w:rsidP="00DF5828">
      <w:pPr>
        <w:tabs>
          <w:tab w:val="left" w:pos="567"/>
        </w:tabs>
        <w:spacing w:after="0" w:line="260" w:lineRule="exact"/>
        <w:rPr>
          <w:rFonts w:ascii="Times New Roman" w:eastAsia="Times New Roman" w:hAnsi="Times New Roman"/>
          <w:lang w:val="nb-NO" w:eastAsia="pl-PL"/>
        </w:rPr>
      </w:pPr>
      <w:r w:rsidRPr="00DF5828">
        <w:rPr>
          <w:rFonts w:ascii="Times New Roman" w:eastAsia="Times New Roman" w:hAnsi="Times New Roman"/>
          <w:lang w:val="nb-NO" w:eastAsia="pl-PL"/>
        </w:rPr>
        <w:t>arba</w:t>
      </w:r>
    </w:p>
    <w:p w:rsidR="00DF5828" w:rsidRPr="00DF5828" w:rsidRDefault="00DF5828" w:rsidP="00DF5828">
      <w:pPr>
        <w:tabs>
          <w:tab w:val="left" w:pos="567"/>
        </w:tabs>
        <w:spacing w:after="0" w:line="260" w:lineRule="exact"/>
        <w:rPr>
          <w:rFonts w:ascii="Times New Roman" w:eastAsia="Times New Roman" w:hAnsi="Times New Roman"/>
          <w:lang w:val="nb-NO" w:eastAsia="pl-PL"/>
        </w:rPr>
      </w:pPr>
    </w:p>
    <w:p w:rsidR="00DF5828" w:rsidRPr="00DF5828" w:rsidRDefault="00DF5828" w:rsidP="00DF5828">
      <w:pPr>
        <w:tabs>
          <w:tab w:val="left" w:pos="567"/>
        </w:tabs>
        <w:spacing w:after="0" w:line="260" w:lineRule="exact"/>
        <w:rPr>
          <w:rFonts w:ascii="Times New Roman" w:eastAsia="Times New Roman" w:hAnsi="Times New Roman"/>
          <w:lang w:val="nb-NO" w:eastAsia="pl-PL"/>
        </w:rPr>
      </w:pPr>
      <w:r w:rsidRPr="00DF5828">
        <w:rPr>
          <w:rFonts w:ascii="Times New Roman" w:eastAsia="Times New Roman" w:hAnsi="Times New Roman"/>
          <w:lang w:val="nb-NO" w:eastAsia="pl-PL"/>
        </w:rPr>
        <w:t>Synthon Hispania SL</w:t>
      </w: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Castelló 1, Polígono Las Salinas, 08830 Sant Boi de Llobregat</w:t>
      </w: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Ispanija</w:t>
      </w:r>
    </w:p>
    <w:p w:rsidR="00DF5828" w:rsidRPr="00DF5828" w:rsidRDefault="00DF5828" w:rsidP="00DF5828">
      <w:pPr>
        <w:tabs>
          <w:tab w:val="left" w:pos="567"/>
        </w:tabs>
        <w:spacing w:after="0" w:line="260" w:lineRule="exact"/>
        <w:rPr>
          <w:rFonts w:ascii="Times New Roman" w:hAnsi="Times New Roman"/>
          <w:lang w:val="es-ES"/>
        </w:rPr>
      </w:pPr>
    </w:p>
    <w:p w:rsidR="00DF5828" w:rsidRPr="00DF5828" w:rsidRDefault="00DF5828" w:rsidP="00DF5828">
      <w:pPr>
        <w:tabs>
          <w:tab w:val="left" w:pos="567"/>
        </w:tabs>
        <w:spacing w:after="0" w:line="260" w:lineRule="exact"/>
        <w:rPr>
          <w:rFonts w:ascii="Times New Roman" w:hAnsi="Times New Roman"/>
          <w:lang w:val="es-ES"/>
        </w:rPr>
      </w:pPr>
      <w:proofErr w:type="gramStart"/>
      <w:r w:rsidRPr="00DF5828">
        <w:rPr>
          <w:rFonts w:ascii="Times New Roman" w:hAnsi="Times New Roman"/>
          <w:lang w:val="es-ES"/>
        </w:rPr>
        <w:t>arba</w:t>
      </w:r>
      <w:proofErr w:type="gramEnd"/>
    </w:p>
    <w:p w:rsidR="00DF5828" w:rsidRPr="00DF5828" w:rsidRDefault="00DF5828" w:rsidP="00DF5828">
      <w:pPr>
        <w:tabs>
          <w:tab w:val="left" w:pos="567"/>
        </w:tabs>
        <w:spacing w:after="0" w:line="260" w:lineRule="exact"/>
        <w:rPr>
          <w:rFonts w:ascii="Times New Roman" w:hAnsi="Times New Roman"/>
          <w:lang w:val="es-ES"/>
        </w:rPr>
      </w:pP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MPF B.V.</w:t>
      </w: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Appelhof 13, 8465 RX Oudehaske</w:t>
      </w: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Nyderlandai</w:t>
      </w:r>
    </w:p>
    <w:p w:rsidR="00DF5828" w:rsidRPr="00DF5828" w:rsidRDefault="00DF5828" w:rsidP="00DF5828">
      <w:pPr>
        <w:tabs>
          <w:tab w:val="left" w:pos="567"/>
        </w:tabs>
        <w:spacing w:after="0" w:line="260" w:lineRule="exact"/>
        <w:rPr>
          <w:rFonts w:ascii="Times New Roman" w:hAnsi="Times New Roman"/>
          <w:lang w:val="es-ES"/>
        </w:rPr>
      </w:pPr>
    </w:p>
    <w:p w:rsidR="00DF5828" w:rsidRPr="00DF5828" w:rsidRDefault="00DF5828" w:rsidP="00DF5828">
      <w:pPr>
        <w:tabs>
          <w:tab w:val="left" w:pos="567"/>
        </w:tabs>
        <w:spacing w:after="0" w:line="260" w:lineRule="exact"/>
        <w:rPr>
          <w:rFonts w:ascii="Times New Roman" w:hAnsi="Times New Roman"/>
          <w:lang w:val="es-ES"/>
        </w:rPr>
      </w:pPr>
      <w:proofErr w:type="gramStart"/>
      <w:r w:rsidRPr="00DF5828">
        <w:rPr>
          <w:rFonts w:ascii="Times New Roman" w:hAnsi="Times New Roman"/>
          <w:lang w:val="es-ES"/>
        </w:rPr>
        <w:t>arba</w:t>
      </w:r>
      <w:proofErr w:type="gramEnd"/>
    </w:p>
    <w:p w:rsidR="00DF5828" w:rsidRPr="00DF5828" w:rsidRDefault="00DF5828" w:rsidP="00DF5828">
      <w:pPr>
        <w:tabs>
          <w:tab w:val="left" w:pos="567"/>
        </w:tabs>
        <w:spacing w:after="0" w:line="260" w:lineRule="exact"/>
        <w:rPr>
          <w:rFonts w:ascii="Times New Roman" w:hAnsi="Times New Roman"/>
          <w:lang w:val="es-ES"/>
        </w:rPr>
      </w:pPr>
    </w:p>
    <w:p w:rsidR="00DF5828" w:rsidRPr="00DF5828" w:rsidRDefault="00DF5828" w:rsidP="00DF5828">
      <w:pPr>
        <w:tabs>
          <w:tab w:val="left" w:pos="567"/>
        </w:tabs>
        <w:spacing w:after="0" w:line="260" w:lineRule="exact"/>
        <w:rPr>
          <w:rFonts w:ascii="Times New Roman" w:hAnsi="Times New Roman"/>
          <w:lang w:val="es-ES"/>
        </w:rPr>
      </w:pPr>
      <w:r w:rsidRPr="00DF5828">
        <w:rPr>
          <w:rFonts w:ascii="Times New Roman" w:hAnsi="Times New Roman"/>
          <w:lang w:val="es-ES"/>
        </w:rPr>
        <w:t>Dragenopharm Apotheker Püschl GmbH</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Goellstrasse 1, 84529 Tittmoning</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Vokietija</w:t>
      </w:r>
    </w:p>
    <w:p w:rsidR="00DF5828" w:rsidRPr="00DF5828" w:rsidRDefault="00DF5828" w:rsidP="00DF5828">
      <w:pPr>
        <w:tabs>
          <w:tab w:val="left" w:pos="567"/>
        </w:tabs>
        <w:spacing w:after="0" w:line="260" w:lineRule="exact"/>
        <w:rPr>
          <w:rFonts w:ascii="Times New Roman" w:hAnsi="Times New Roman"/>
          <w:lang w:val="nb-NO"/>
        </w:rPr>
      </w:pP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arba</w:t>
      </w:r>
    </w:p>
    <w:p w:rsidR="00DF5828" w:rsidRPr="00DF5828" w:rsidRDefault="00DF5828" w:rsidP="00DF5828">
      <w:pPr>
        <w:tabs>
          <w:tab w:val="left" w:pos="567"/>
        </w:tabs>
        <w:spacing w:after="0" w:line="260" w:lineRule="exact"/>
        <w:rPr>
          <w:rFonts w:ascii="Times New Roman" w:hAnsi="Times New Roman"/>
          <w:lang w:val="nb-NO"/>
        </w:rPr>
      </w:pP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Rottendorf Pharma GmbH</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Ostenfelder StraBe, 51-61 - 59320 Ennigerloh</w:t>
      </w:r>
    </w:p>
    <w:p w:rsidR="00DF5828" w:rsidRPr="00DF5828" w:rsidRDefault="00DF5828" w:rsidP="00DF5828">
      <w:pPr>
        <w:tabs>
          <w:tab w:val="left" w:pos="567"/>
        </w:tabs>
        <w:spacing w:after="0" w:line="260" w:lineRule="exact"/>
        <w:rPr>
          <w:rFonts w:ascii="Times New Roman" w:hAnsi="Times New Roman"/>
          <w:lang w:val="nb-NO"/>
        </w:rPr>
      </w:pPr>
      <w:r w:rsidRPr="00DF5828">
        <w:rPr>
          <w:rFonts w:ascii="Times New Roman" w:hAnsi="Times New Roman"/>
          <w:lang w:val="nb-NO"/>
        </w:rPr>
        <w:t>Vokietija</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Jeigu apie šį vaistą norite sužinoti daugiau, kreipkitės į vietinį r</w:t>
      </w:r>
      <w:r w:rsidR="00E6037E">
        <w:rPr>
          <w:rFonts w:ascii="Times New Roman" w:hAnsi="Times New Roman"/>
          <w:lang w:val="lt-LT"/>
        </w:rPr>
        <w:t>egistruotojo</w:t>
      </w:r>
      <w:r w:rsidRPr="00DF5828">
        <w:rPr>
          <w:rFonts w:ascii="Times New Roman" w:hAnsi="Times New Roman"/>
          <w:lang w:val="lt-LT"/>
        </w:rPr>
        <w:t xml:space="preserve"> atstovą.</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UAB „Actavis Baltics“</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Senasis Ukmergės kelias 4</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Užubalių k., Avižienių sen.</w:t>
      </w:r>
    </w:p>
    <w:p w:rsidR="00DF5828" w:rsidRPr="00DF5828" w:rsidRDefault="00DF5828" w:rsidP="00DF5828">
      <w:pPr>
        <w:tabs>
          <w:tab w:val="left" w:pos="567"/>
        </w:tabs>
        <w:spacing w:after="0" w:line="260" w:lineRule="exact"/>
        <w:rPr>
          <w:rFonts w:ascii="Times New Roman" w:eastAsia="Times New Roman" w:hAnsi="Times New Roman"/>
          <w:lang w:val="lt-LT"/>
        </w:rPr>
      </w:pPr>
      <w:r w:rsidRPr="00DF5828">
        <w:rPr>
          <w:rFonts w:ascii="Times New Roman" w:eastAsia="Times New Roman" w:hAnsi="Times New Roman"/>
          <w:lang w:val="lt-LT"/>
        </w:rPr>
        <w:t>LT-14130 Vilniaus raj.</w:t>
      </w: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lang w:val="lt-LT"/>
        </w:rPr>
        <w:t>Tel.: +370 5 260 9615</w:t>
      </w:r>
    </w:p>
    <w:p w:rsidR="00DF5828" w:rsidRPr="00DF5828" w:rsidRDefault="00DF5828" w:rsidP="00DF5828">
      <w:pPr>
        <w:tabs>
          <w:tab w:val="left" w:pos="567"/>
        </w:tabs>
        <w:spacing w:after="0" w:line="260" w:lineRule="exact"/>
        <w:rPr>
          <w:rFonts w:ascii="Times New Roman" w:hAnsi="Times New Roman"/>
          <w:b/>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hAnsi="Times New Roman"/>
          <w:b/>
          <w:lang w:val="lt-LT"/>
        </w:rPr>
        <w:t xml:space="preserve">Šis pakuotės lapelis paskutinį kartą </w:t>
      </w:r>
      <w:r w:rsidRPr="00DF5828">
        <w:rPr>
          <w:rFonts w:ascii="Times New Roman" w:eastAsia="Times New Roman" w:hAnsi="Times New Roman"/>
          <w:b/>
          <w:lang w:val="lt-LT"/>
        </w:rPr>
        <w:t xml:space="preserve">peržiūrėtas </w:t>
      </w:r>
      <w:r w:rsidR="000F1EAC">
        <w:rPr>
          <w:rFonts w:ascii="Times New Roman" w:eastAsia="Times New Roman" w:hAnsi="Times New Roman"/>
          <w:b/>
          <w:lang w:val="lt-LT"/>
        </w:rPr>
        <w:t>2016-02-23</w:t>
      </w:r>
    </w:p>
    <w:p w:rsidR="00DF5828" w:rsidRPr="00DF5828" w:rsidRDefault="00DF5828" w:rsidP="00DF5828">
      <w:pPr>
        <w:tabs>
          <w:tab w:val="left" w:pos="567"/>
        </w:tabs>
        <w:spacing w:after="0" w:line="260" w:lineRule="exact"/>
        <w:rPr>
          <w:rFonts w:ascii="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r w:rsidRPr="00DF5828">
        <w:rPr>
          <w:rFonts w:ascii="Times New Roman" w:eastAsia="Times New Roman" w:hAnsi="Times New Roman"/>
          <w:lang w:val="lt-LT"/>
        </w:rPr>
        <w:t>Išsami informacija apie šį vaistą</w:t>
      </w:r>
      <w:r w:rsidRPr="00DF5828">
        <w:rPr>
          <w:rFonts w:ascii="Times New Roman" w:hAnsi="Times New Roman"/>
          <w:lang w:val="lt-LT"/>
        </w:rPr>
        <w:t xml:space="preserve"> pateikiama Valstybinės vaistų kontrolės tarnybos prie Lietuvos Respublikos sveikatos apsaugos ministerijos </w:t>
      </w:r>
      <w:r w:rsidRPr="00DF5828">
        <w:rPr>
          <w:rFonts w:ascii="Times New Roman" w:eastAsia="Times New Roman" w:hAnsi="Times New Roman"/>
          <w:lang w:val="lt-LT"/>
        </w:rPr>
        <w:t>tinklalapyje</w:t>
      </w:r>
      <w:r w:rsidRPr="00DF5828">
        <w:rPr>
          <w:rFonts w:ascii="Times New Roman" w:hAnsi="Times New Roman"/>
          <w:i/>
          <w:lang w:val="lt-LT"/>
        </w:rPr>
        <w:t xml:space="preserve"> </w:t>
      </w:r>
      <w:hyperlink r:id="rId8" w:history="1">
        <w:r w:rsidRPr="00DF5828">
          <w:rPr>
            <w:rFonts w:ascii="Times New Roman" w:eastAsia="Times New Roman" w:hAnsi="Times New Roman"/>
            <w:color w:val="0000FF"/>
            <w:u w:val="single"/>
            <w:lang w:val="lt-LT"/>
          </w:rPr>
          <w:t>http://www.vvkt.lt/</w:t>
        </w:r>
      </w:hyperlink>
    </w:p>
    <w:p w:rsidR="00DF5828" w:rsidRPr="00DF5828" w:rsidRDefault="00DF5828" w:rsidP="00DF5828">
      <w:pPr>
        <w:tabs>
          <w:tab w:val="left" w:pos="567"/>
        </w:tabs>
        <w:spacing w:after="0" w:line="260" w:lineRule="exact"/>
        <w:rPr>
          <w:rFonts w:ascii="Times New Roman" w:eastAsia="Times New Roman" w:hAnsi="Times New Roman"/>
          <w:lang w:val="lt-LT"/>
        </w:rPr>
      </w:pPr>
    </w:p>
    <w:p w:rsidR="00DF5828" w:rsidRPr="00DF5828" w:rsidRDefault="00DF5828" w:rsidP="00DF5828">
      <w:pPr>
        <w:tabs>
          <w:tab w:val="left" w:pos="567"/>
        </w:tabs>
        <w:spacing w:after="0" w:line="260" w:lineRule="exact"/>
        <w:rPr>
          <w:rFonts w:ascii="Times New Roman" w:hAnsi="Times New Roman"/>
          <w:lang w:val="lt-LT"/>
        </w:rPr>
      </w:pPr>
      <w:bookmarkStart w:id="2" w:name="_GoBack"/>
      <w:bookmarkEnd w:id="2"/>
      <w:permStart w:id="1442064378" w:edGrp="everyone"/>
      <w:permEnd w:id="1442064378"/>
    </w:p>
    <w:p w:rsidR="00DF5828" w:rsidRPr="00DF5828" w:rsidRDefault="00DF5828" w:rsidP="00DF5828">
      <w:pPr>
        <w:rPr>
          <w:rFonts w:ascii="Times New Roman" w:hAnsi="Times New Roman"/>
          <w:lang w:val="lt-LT"/>
        </w:rPr>
      </w:pPr>
    </w:p>
    <w:p w:rsidR="006C2504" w:rsidRDefault="006C2504"/>
    <w:sectPr w:rsidR="006C2504" w:rsidSect="006C2504">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E67" w:rsidRDefault="00785E67">
      <w:pPr>
        <w:spacing w:after="0" w:line="240" w:lineRule="auto"/>
      </w:pPr>
      <w:r>
        <w:separator/>
      </w:r>
    </w:p>
  </w:endnote>
  <w:endnote w:type="continuationSeparator" w:id="0">
    <w:p w:rsidR="00785E67" w:rsidRDefault="0078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0B" w:rsidRDefault="00C0050B">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831A0A">
      <w:rPr>
        <w:rStyle w:val="Puslapionumeris"/>
        <w:rFonts w:ascii="Arial" w:hAnsi="Arial" w:cs="Arial"/>
        <w:noProof/>
      </w:rPr>
      <w:t>26</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0B" w:rsidRDefault="00C0050B">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831A0A">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E67" w:rsidRDefault="00785E67">
      <w:pPr>
        <w:spacing w:after="0" w:line="240" w:lineRule="auto"/>
      </w:pPr>
      <w:r>
        <w:separator/>
      </w:r>
    </w:p>
  </w:footnote>
  <w:footnote w:type="continuationSeparator" w:id="0">
    <w:p w:rsidR="00785E67" w:rsidRDefault="00785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D97E26"/>
    <w:multiLevelType w:val="hybridMultilevel"/>
    <w:tmpl w:val="8D26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4B8D"/>
    <w:multiLevelType w:val="hybridMultilevel"/>
    <w:tmpl w:val="31E0EB3C"/>
    <w:lvl w:ilvl="0" w:tplc="09A2C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C4118"/>
    <w:multiLevelType w:val="hybridMultilevel"/>
    <w:tmpl w:val="079E9BC8"/>
    <w:lvl w:ilvl="0" w:tplc="A252D0F6">
      <w:start w:val="5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E5468E"/>
    <w:multiLevelType w:val="hybridMultilevel"/>
    <w:tmpl w:val="F60A8FB0"/>
    <w:lvl w:ilvl="0" w:tplc="75745F1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ECA1862"/>
    <w:multiLevelType w:val="hybridMultilevel"/>
    <w:tmpl w:val="00FAC87A"/>
    <w:lvl w:ilvl="0" w:tplc="09A2C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47CD7"/>
    <w:multiLevelType w:val="hybridMultilevel"/>
    <w:tmpl w:val="32F09314"/>
    <w:lvl w:ilvl="0" w:tplc="09A2C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E5EF4"/>
    <w:multiLevelType w:val="hybridMultilevel"/>
    <w:tmpl w:val="73842926"/>
    <w:lvl w:ilvl="0" w:tplc="75745F1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33C20BC"/>
    <w:multiLevelType w:val="hybridMultilevel"/>
    <w:tmpl w:val="BCC20CF0"/>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num>
  <w:num w:numId="4">
    <w:abstractNumId w:val="6"/>
  </w:num>
  <w:num w:numId="5">
    <w:abstractNumId w:val="4"/>
  </w:num>
  <w:num w:numId="6">
    <w:abstractNumId w:val="9"/>
  </w:num>
  <w:num w:numId="7">
    <w:abstractNumId w:val="3"/>
  </w:num>
  <w:num w:numId="8">
    <w:abstractNumId w:val="5"/>
  </w:num>
  <w:num w:numId="9">
    <w:abstractNumId w:val="11"/>
  </w:num>
  <w:num w:numId="10">
    <w:abstractNumId w:val="1"/>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kU8FDBnO/7iu8x8yU98TI42TDP/jiXiknPgq7Tb0W1vc//wwj7sz26Cu865gTpT8zsVQBNGbSCwKw2bfVnGUw==" w:salt="VfX3ZU00avZImMErP8iwUA=="/>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28"/>
    <w:rsid w:val="00062F84"/>
    <w:rsid w:val="00065D50"/>
    <w:rsid w:val="000F1EAC"/>
    <w:rsid w:val="00120DE0"/>
    <w:rsid w:val="00252542"/>
    <w:rsid w:val="002C294C"/>
    <w:rsid w:val="003F52E7"/>
    <w:rsid w:val="004D6EC6"/>
    <w:rsid w:val="00536920"/>
    <w:rsid w:val="006C2504"/>
    <w:rsid w:val="00785E67"/>
    <w:rsid w:val="00831A0A"/>
    <w:rsid w:val="009B71F3"/>
    <w:rsid w:val="00A67465"/>
    <w:rsid w:val="00B42B32"/>
    <w:rsid w:val="00B43CE5"/>
    <w:rsid w:val="00C0050B"/>
    <w:rsid w:val="00C14F43"/>
    <w:rsid w:val="00D55794"/>
    <w:rsid w:val="00DF5828"/>
    <w:rsid w:val="00DF6115"/>
    <w:rsid w:val="00DF78D7"/>
    <w:rsid w:val="00E0360E"/>
    <w:rsid w:val="00E53097"/>
    <w:rsid w:val="00E6037E"/>
    <w:rsid w:val="00E700F7"/>
    <w:rsid w:val="00F41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35BC25B-E511-48AD-8179-4552E6FA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qFormat/>
    <w:rsid w:val="00DF5828"/>
    <w:pPr>
      <w:keepNext/>
      <w:tabs>
        <w:tab w:val="left" w:pos="567"/>
      </w:tabs>
      <w:spacing w:before="240" w:after="60" w:line="260" w:lineRule="exact"/>
      <w:outlineLvl w:val="0"/>
    </w:pPr>
    <w:rPr>
      <w:rFonts w:ascii="Cambria" w:eastAsia="Times New Roman" w:hAnsi="Cambria"/>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F5828"/>
    <w:rPr>
      <w:rFonts w:ascii="Cambria" w:eastAsia="Times New Roman" w:hAnsi="Cambria" w:cs="Times New Roman"/>
      <w:b/>
      <w:bCs/>
      <w:kern w:val="32"/>
      <w:sz w:val="32"/>
      <w:szCs w:val="32"/>
      <w:lang w:val="en-GB"/>
    </w:rPr>
  </w:style>
  <w:style w:type="numbering" w:customStyle="1" w:styleId="NoList1">
    <w:name w:val="No List1"/>
    <w:next w:val="Sraonra"/>
    <w:semiHidden/>
    <w:unhideWhenUsed/>
    <w:rsid w:val="00DF5828"/>
  </w:style>
  <w:style w:type="paragraph" w:styleId="Porat">
    <w:name w:val="footer"/>
    <w:basedOn w:val="prastasis"/>
    <w:link w:val="PoratDiagrama"/>
    <w:rsid w:val="00DF5828"/>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link w:val="Porat"/>
    <w:rsid w:val="00DF5828"/>
    <w:rPr>
      <w:rFonts w:ascii="Helvetica" w:eastAsia="Times New Roman" w:hAnsi="Helvetica" w:cs="Times New Roman"/>
      <w:sz w:val="16"/>
      <w:szCs w:val="20"/>
      <w:lang w:val="en-GB"/>
    </w:rPr>
  </w:style>
  <w:style w:type="character" w:styleId="Puslapionumeris">
    <w:name w:val="page number"/>
    <w:basedOn w:val="Numatytasispastraiposriftas"/>
    <w:rsid w:val="00DF5828"/>
  </w:style>
  <w:style w:type="paragraph" w:styleId="Pagrindinistekstas">
    <w:name w:val="Body Text"/>
    <w:basedOn w:val="prastasis"/>
    <w:link w:val="PagrindinistekstasDiagrama"/>
    <w:rsid w:val="00DF5828"/>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rsid w:val="00DF5828"/>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DF5828"/>
    <w:pPr>
      <w:spacing w:before="120" w:after="120" w:line="240" w:lineRule="auto"/>
      <w:jc w:val="both"/>
    </w:pPr>
    <w:rPr>
      <w:rFonts w:ascii="Times New Roman" w:eastAsia="Times New Roman" w:hAnsi="Times New Roman"/>
      <w:szCs w:val="20"/>
    </w:rPr>
  </w:style>
  <w:style w:type="character" w:styleId="Hipersaitas">
    <w:name w:val="Hyperlink"/>
    <w:rsid w:val="00DF5828"/>
    <w:rPr>
      <w:color w:val="0000FF"/>
      <w:u w:val="single"/>
    </w:rPr>
  </w:style>
  <w:style w:type="character" w:styleId="Grietas">
    <w:name w:val="Strong"/>
    <w:qFormat/>
    <w:rsid w:val="00DF5828"/>
    <w:rPr>
      <w:b/>
      <w:bCs/>
    </w:rPr>
  </w:style>
  <w:style w:type="table" w:styleId="Lentelstinklelis">
    <w:name w:val="Table Grid"/>
    <w:basedOn w:val="prastojilentel"/>
    <w:rsid w:val="00DF5828"/>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DF5828"/>
    <w:pPr>
      <w:tabs>
        <w:tab w:val="center" w:pos="4153"/>
        <w:tab w:val="right" w:pos="8306"/>
      </w:tabs>
      <w:spacing w:after="0" w:line="240" w:lineRule="auto"/>
    </w:pPr>
    <w:rPr>
      <w:rFonts w:ascii="Times New Roman" w:eastAsia="SimSun" w:hAnsi="Times New Roman"/>
      <w:szCs w:val="20"/>
      <w:lang w:val="lt-LT"/>
    </w:rPr>
  </w:style>
  <w:style w:type="character" w:customStyle="1" w:styleId="AntratsDiagrama">
    <w:name w:val="Antraštės Diagrama"/>
    <w:link w:val="Antrats"/>
    <w:rsid w:val="00DF5828"/>
    <w:rPr>
      <w:rFonts w:ascii="Times New Roman" w:eastAsia="SimSun" w:hAnsi="Times New Roman" w:cs="Times New Roman"/>
      <w:szCs w:val="20"/>
      <w:lang w:val="lt-LT"/>
    </w:rPr>
  </w:style>
  <w:style w:type="paragraph" w:customStyle="1" w:styleId="BTEMEASMCA">
    <w:name w:val="BT EMEA_SMCA"/>
    <w:basedOn w:val="prastasis"/>
    <w:link w:val="BTEMEASMCAChar"/>
    <w:autoRedefine/>
    <w:rsid w:val="00DF5828"/>
    <w:pPr>
      <w:spacing w:after="0" w:line="240" w:lineRule="auto"/>
    </w:pPr>
    <w:rPr>
      <w:rFonts w:ascii="Times New Roman" w:eastAsia="Times New Roman" w:hAnsi="Times New Roman"/>
      <w:noProof/>
      <w:lang w:val="lt-LT"/>
    </w:rPr>
  </w:style>
  <w:style w:type="character" w:customStyle="1" w:styleId="BTEMEASMCAChar">
    <w:name w:val="BT EMEA_SMCA Char"/>
    <w:link w:val="BTEMEASMCA"/>
    <w:rsid w:val="00DF5828"/>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DF5828"/>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DF5828"/>
    <w:rPr>
      <w:rFonts w:ascii="Times New Roman" w:eastAsia="Times New Roman" w:hAnsi="Times New Roman" w:cs="Times New Roman"/>
      <w:b/>
      <w:caps/>
    </w:rPr>
  </w:style>
  <w:style w:type="paragraph" w:customStyle="1" w:styleId="BTAnIIEMEASMCA">
    <w:name w:val="BT(AnII) EMEA_SMCA"/>
    <w:basedOn w:val="Debesliotekstas"/>
    <w:autoRedefine/>
    <w:rsid w:val="00DF5828"/>
    <w:pPr>
      <w:tabs>
        <w:tab w:val="clear" w:pos="567"/>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rsid w:val="00DF5828"/>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link w:val="Debesliotekstas"/>
    <w:rsid w:val="00DF5828"/>
    <w:rPr>
      <w:rFonts w:ascii="Tahoma" w:eastAsia="Times New Roman" w:hAnsi="Tahoma" w:cs="Tahoma"/>
      <w:sz w:val="16"/>
      <w:szCs w:val="16"/>
      <w:lang w:val="en-GB"/>
    </w:rPr>
  </w:style>
  <w:style w:type="paragraph" w:styleId="Komentarotekstas">
    <w:name w:val="annotation text"/>
    <w:basedOn w:val="prastasis"/>
    <w:link w:val="KomentarotekstasDiagrama"/>
    <w:semiHidden/>
    <w:rsid w:val="00DF5828"/>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semiHidden/>
    <w:rsid w:val="00DF582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DF5828"/>
    <w:rPr>
      <w:b/>
      <w:bCs/>
    </w:rPr>
  </w:style>
  <w:style w:type="character" w:customStyle="1" w:styleId="KomentarotemaDiagrama">
    <w:name w:val="Komentaro tema Diagrama"/>
    <w:link w:val="Komentarotema"/>
    <w:semiHidden/>
    <w:rsid w:val="00DF5828"/>
    <w:rPr>
      <w:rFonts w:ascii="Times New Roman" w:eastAsia="Times New Roman" w:hAnsi="Times New Roman" w:cs="Times New Roman"/>
      <w:b/>
      <w:bCs/>
      <w:sz w:val="20"/>
      <w:szCs w:val="20"/>
      <w:lang w:val="en-GB"/>
    </w:rPr>
  </w:style>
  <w:style w:type="paragraph" w:customStyle="1" w:styleId="Sraopastraipa1">
    <w:name w:val="Sąrašo pastraipa1"/>
    <w:basedOn w:val="prastasis"/>
    <w:uiPriority w:val="34"/>
    <w:qFormat/>
    <w:rsid w:val="00DF5828"/>
    <w:pPr>
      <w:tabs>
        <w:tab w:val="left" w:pos="567"/>
      </w:tabs>
      <w:spacing w:after="0" w:line="260" w:lineRule="exact"/>
      <w:ind w:left="720"/>
      <w:contextualSpacing/>
    </w:pPr>
    <w:rPr>
      <w:rFonts w:ascii="Times New Roman" w:eastAsia="Times New Roman" w:hAnsi="Times New Roman"/>
      <w:szCs w:val="20"/>
      <w:lang w:val="en-GB"/>
    </w:rPr>
  </w:style>
  <w:style w:type="paragraph" w:customStyle="1" w:styleId="Default">
    <w:name w:val="Default"/>
    <w:rsid w:val="00DF5828"/>
    <w:pPr>
      <w:autoSpaceDE w:val="0"/>
      <w:autoSpaceDN w:val="0"/>
      <w:adjustRightInd w:val="0"/>
    </w:pPr>
    <w:rPr>
      <w:rFonts w:ascii="Times New Roman" w:hAnsi="Times New Roman"/>
      <w:color w:val="000000"/>
      <w:sz w:val="24"/>
      <w:szCs w:val="24"/>
      <w:lang w:val="hu-HU" w:eastAsia="en-US"/>
    </w:rPr>
  </w:style>
  <w:style w:type="character" w:styleId="Komentaronuoroda">
    <w:name w:val="annotation reference"/>
    <w:semiHidden/>
    <w:rsid w:val="00DF5828"/>
    <w:rPr>
      <w:sz w:val="16"/>
      <w:szCs w:val="16"/>
    </w:rPr>
  </w:style>
  <w:style w:type="paragraph" w:styleId="Sraopastraipa">
    <w:name w:val="List Paragraph"/>
    <w:basedOn w:val="prastasis"/>
    <w:uiPriority w:val="34"/>
    <w:qFormat/>
    <w:rsid w:val="00DF5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31282</Words>
  <Characters>17831</Characters>
  <Application>Microsoft Office Word</Application>
  <DocSecurity>8</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49015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3</cp:revision>
  <dcterms:created xsi:type="dcterms:W3CDTF">2016-02-24T06:44:00Z</dcterms:created>
  <dcterms:modified xsi:type="dcterms:W3CDTF">2016-02-24T06:45:00Z</dcterms:modified>
</cp:coreProperties>
</file>