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AE" w:rsidRPr="003C6B8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szCs w:val="22"/>
          <w:lang w:val="lt-LT"/>
        </w:rPr>
      </w:pPr>
    </w:p>
    <w:p w:rsidR="00ED67AE" w:rsidRPr="00CD6267" w:rsidRDefault="00ED67AE" w:rsidP="00ED67AE">
      <w:pPr>
        <w:rPr>
          <w:b/>
          <w:szCs w:val="22"/>
          <w:lang w:val="lt-LT"/>
        </w:rPr>
      </w:pPr>
    </w:p>
    <w:p w:rsidR="00ED67AE" w:rsidRDefault="00ED67AE" w:rsidP="00ED67AE">
      <w:pPr>
        <w:jc w:val="center"/>
        <w:rPr>
          <w:b/>
          <w:szCs w:val="22"/>
          <w:lang w:val="lt-LT"/>
        </w:rPr>
      </w:pPr>
    </w:p>
    <w:p w:rsidR="00ED67AE" w:rsidRPr="00CD6267" w:rsidRDefault="00ED67AE" w:rsidP="00ED67AE">
      <w:pPr>
        <w:jc w:val="center"/>
        <w:rPr>
          <w:szCs w:val="22"/>
          <w:lang w:val="lt-LT"/>
        </w:rPr>
      </w:pPr>
      <w:r w:rsidRPr="00CD6267">
        <w:rPr>
          <w:b/>
          <w:szCs w:val="22"/>
          <w:lang w:val="lt-LT"/>
        </w:rPr>
        <w:t>I PRIEDAS</w:t>
      </w:r>
    </w:p>
    <w:p w:rsidR="00ED67AE" w:rsidRPr="00CD6267" w:rsidRDefault="00ED67AE" w:rsidP="00ED67AE">
      <w:pPr>
        <w:jc w:val="center"/>
        <w:rPr>
          <w:b/>
          <w:szCs w:val="22"/>
          <w:lang w:val="lt-LT"/>
        </w:rPr>
      </w:pPr>
    </w:p>
    <w:p w:rsidR="00ED67AE" w:rsidRPr="00CD6267" w:rsidRDefault="00ED67AE" w:rsidP="00ED67AE">
      <w:pPr>
        <w:jc w:val="center"/>
        <w:rPr>
          <w:b/>
          <w:szCs w:val="22"/>
          <w:lang w:val="lt-LT"/>
        </w:rPr>
      </w:pPr>
      <w:r w:rsidRPr="00CD6267">
        <w:rPr>
          <w:b/>
          <w:szCs w:val="22"/>
          <w:lang w:val="lt-LT"/>
        </w:rPr>
        <w:t>PREPARATO CHARAKTERISTIKŲ SANTRAUKA</w:t>
      </w:r>
    </w:p>
    <w:p w:rsidR="00ED67AE" w:rsidRPr="00CD6267" w:rsidRDefault="00ED67AE" w:rsidP="00ED67AE">
      <w:pPr>
        <w:rPr>
          <w:szCs w:val="22"/>
          <w:lang w:val="lt-LT"/>
        </w:rPr>
      </w:pPr>
    </w:p>
    <w:p w:rsidR="00ED67AE" w:rsidRPr="00CD6267" w:rsidRDefault="00ED67AE" w:rsidP="00ED67AE">
      <w:pPr>
        <w:rPr>
          <w:szCs w:val="22"/>
          <w:lang w:val="lt-LT"/>
        </w:rPr>
      </w:pPr>
      <w:r w:rsidRPr="00CD6267">
        <w:rPr>
          <w:bCs/>
          <w:iCs/>
          <w:szCs w:val="22"/>
          <w:lang w:val="lt-LT"/>
        </w:rPr>
        <w:br w:type="page"/>
      </w:r>
      <w:r w:rsidRPr="00CD6267">
        <w:rPr>
          <w:b/>
          <w:szCs w:val="22"/>
          <w:lang w:val="lt-LT"/>
        </w:rPr>
        <w:lastRenderedPageBreak/>
        <w:t>1.</w:t>
      </w:r>
      <w:r w:rsidRPr="00CD6267">
        <w:rPr>
          <w:b/>
          <w:szCs w:val="22"/>
          <w:lang w:val="lt-LT"/>
        </w:rPr>
        <w:tab/>
      </w:r>
      <w:r w:rsidRPr="00CD6267">
        <w:rPr>
          <w:b/>
          <w:caps/>
          <w:szCs w:val="22"/>
          <w:lang w:val="lt-LT"/>
        </w:rPr>
        <w:t>VAISTINIO</w:t>
      </w:r>
      <w:r w:rsidRPr="00CD6267">
        <w:rPr>
          <w:b/>
          <w:szCs w:val="22"/>
          <w:lang w:val="lt-LT"/>
        </w:rPr>
        <w:t xml:space="preserve"> PREPARATO PAVADINIMAS</w:t>
      </w:r>
    </w:p>
    <w:p w:rsidR="00ED67AE" w:rsidRPr="00CD6267" w:rsidRDefault="00ED67AE" w:rsidP="00ED67AE">
      <w:pPr>
        <w:rPr>
          <w:iCs/>
          <w:szCs w:val="22"/>
          <w:lang w:val="lt-LT"/>
        </w:rPr>
      </w:pPr>
    </w:p>
    <w:p w:rsidR="00ED67AE" w:rsidRPr="00CD6267" w:rsidRDefault="00ED67AE" w:rsidP="00ED67AE">
      <w:pPr>
        <w:rPr>
          <w:szCs w:val="22"/>
          <w:lang w:val="lt-LT"/>
        </w:rPr>
      </w:pPr>
      <w:r>
        <w:rPr>
          <w:szCs w:val="22"/>
          <w:lang w:val="lt-LT"/>
        </w:rPr>
        <w:t>Ibandronic acid Actavis 150 mg</w:t>
      </w:r>
      <w:r w:rsidRPr="00CD6267">
        <w:rPr>
          <w:szCs w:val="22"/>
          <w:lang w:val="lt-LT"/>
        </w:rPr>
        <w:t xml:space="preserve"> plėvele dengtos tabletės</w:t>
      </w:r>
    </w:p>
    <w:p w:rsidR="00ED67AE" w:rsidRPr="00CD6267" w:rsidRDefault="00ED67AE" w:rsidP="00ED67AE">
      <w:pPr>
        <w:rPr>
          <w:szCs w:val="22"/>
          <w:lang w:val="lt-LT"/>
        </w:rPr>
      </w:pPr>
    </w:p>
    <w:p w:rsidR="00ED67AE" w:rsidRPr="00CD6267" w:rsidRDefault="00ED67AE" w:rsidP="00ED67AE">
      <w:pPr>
        <w:rPr>
          <w:bCs/>
          <w:szCs w:val="22"/>
          <w:lang w:val="lt-LT"/>
        </w:rPr>
      </w:pPr>
    </w:p>
    <w:p w:rsidR="00ED67AE" w:rsidRPr="00CD6267" w:rsidRDefault="00ED67AE" w:rsidP="00ED67AE">
      <w:pPr>
        <w:rPr>
          <w:szCs w:val="22"/>
          <w:lang w:val="lt-LT"/>
        </w:rPr>
      </w:pPr>
      <w:r w:rsidRPr="00CD6267">
        <w:rPr>
          <w:b/>
          <w:szCs w:val="22"/>
          <w:lang w:val="lt-LT"/>
        </w:rPr>
        <w:t>2.</w:t>
      </w:r>
      <w:r w:rsidRPr="00CD6267">
        <w:rPr>
          <w:b/>
          <w:szCs w:val="22"/>
          <w:lang w:val="lt-LT"/>
        </w:rPr>
        <w:tab/>
      </w:r>
      <w:r w:rsidRPr="00CD6267">
        <w:rPr>
          <w:b/>
          <w:caps/>
          <w:szCs w:val="22"/>
          <w:lang w:val="lt-LT"/>
        </w:rPr>
        <w:t>kokybinė ir kiekybinė sudėtis</w:t>
      </w:r>
    </w:p>
    <w:p w:rsidR="00ED67AE" w:rsidRPr="00CD6267" w:rsidRDefault="00ED67AE" w:rsidP="00ED67AE">
      <w:pPr>
        <w:rPr>
          <w:bCs/>
          <w:szCs w:val="22"/>
          <w:lang w:val="lt-LT"/>
        </w:rPr>
      </w:pPr>
    </w:p>
    <w:p w:rsidR="00ED67AE" w:rsidRPr="00CD6267" w:rsidRDefault="00ED67AE" w:rsidP="00ED67AE">
      <w:pPr>
        <w:rPr>
          <w:bCs/>
          <w:szCs w:val="22"/>
          <w:lang w:val="lt-LT"/>
        </w:rPr>
      </w:pPr>
      <w:r w:rsidRPr="00CD6267">
        <w:rPr>
          <w:bCs/>
          <w:szCs w:val="22"/>
          <w:lang w:val="lt-LT"/>
        </w:rPr>
        <w:t xml:space="preserve">Kiekvienoje plėvele dengtoje tabletėje yra </w:t>
      </w:r>
      <w:r>
        <w:rPr>
          <w:bCs/>
          <w:szCs w:val="22"/>
          <w:lang w:val="lt-LT"/>
        </w:rPr>
        <w:t>1</w:t>
      </w:r>
      <w:r w:rsidRPr="00CD6267">
        <w:rPr>
          <w:bCs/>
          <w:szCs w:val="22"/>
          <w:lang w:val="lt-LT"/>
        </w:rPr>
        <w:t>50 mg ibandrono rūgšties (ibandron</w:t>
      </w:r>
      <w:r>
        <w:rPr>
          <w:bCs/>
          <w:szCs w:val="22"/>
          <w:lang w:val="lt-LT"/>
        </w:rPr>
        <w:t xml:space="preserve">ato </w:t>
      </w:r>
      <w:r w:rsidRPr="00CD6267">
        <w:rPr>
          <w:bCs/>
          <w:szCs w:val="22"/>
          <w:lang w:val="lt-LT"/>
        </w:rPr>
        <w:t xml:space="preserve">natrio </w:t>
      </w:r>
      <w:r>
        <w:rPr>
          <w:bCs/>
          <w:szCs w:val="22"/>
          <w:lang w:val="lt-LT"/>
        </w:rPr>
        <w:t xml:space="preserve">druskos </w:t>
      </w:r>
      <w:r w:rsidRPr="00CD6267">
        <w:rPr>
          <w:bCs/>
          <w:szCs w:val="22"/>
          <w:lang w:val="lt-LT"/>
        </w:rPr>
        <w:t>monohidrato pavidalu).</w:t>
      </w:r>
    </w:p>
    <w:p w:rsidR="00ED67AE" w:rsidRPr="00CD6267" w:rsidRDefault="00ED67AE" w:rsidP="00ED67AE">
      <w:pPr>
        <w:rPr>
          <w:bCs/>
          <w:szCs w:val="22"/>
          <w:lang w:val="lt-LT"/>
        </w:rPr>
      </w:pPr>
    </w:p>
    <w:p w:rsidR="00ED67AE" w:rsidRPr="00383225" w:rsidRDefault="00ED67AE" w:rsidP="00ED67AE">
      <w:pPr>
        <w:rPr>
          <w:bCs/>
          <w:szCs w:val="22"/>
          <w:u w:val="single"/>
          <w:lang w:val="lt-LT"/>
        </w:rPr>
      </w:pPr>
      <w:r w:rsidRPr="00383225">
        <w:rPr>
          <w:bCs/>
          <w:szCs w:val="22"/>
          <w:u w:val="single"/>
          <w:lang w:val="lt-LT"/>
        </w:rPr>
        <w:t>Pagalbinė medžiaga</w:t>
      </w:r>
      <w:r w:rsidR="00E81D7F" w:rsidRPr="00E81D7F">
        <w:rPr>
          <w:bCs/>
          <w:szCs w:val="22"/>
          <w:u w:val="single"/>
          <w:lang w:val="lt-LT"/>
        </w:rPr>
        <w:t>, kurios poveikis žinomas</w:t>
      </w:r>
      <w:r w:rsidRPr="00383225">
        <w:rPr>
          <w:bCs/>
          <w:szCs w:val="22"/>
          <w:u w:val="single"/>
          <w:lang w:val="lt-LT"/>
        </w:rPr>
        <w:t>:</w:t>
      </w:r>
    </w:p>
    <w:p w:rsidR="00ED67AE" w:rsidRDefault="00ED67AE" w:rsidP="00ED67AE">
      <w:pPr>
        <w:rPr>
          <w:szCs w:val="22"/>
          <w:lang w:val="lt-LT"/>
        </w:rPr>
      </w:pPr>
      <w:r w:rsidRPr="00CD6267">
        <w:rPr>
          <w:szCs w:val="22"/>
          <w:lang w:val="lt-LT"/>
        </w:rPr>
        <w:t xml:space="preserve">Kiekvienoje plėvele dengtoje tabletėje yra </w:t>
      </w:r>
      <w:r>
        <w:rPr>
          <w:szCs w:val="22"/>
          <w:lang w:val="lt-LT"/>
        </w:rPr>
        <w:t>163</w:t>
      </w:r>
      <w:r w:rsidRPr="00CD6267">
        <w:rPr>
          <w:szCs w:val="22"/>
          <w:lang w:val="lt-LT"/>
        </w:rPr>
        <w:t xml:space="preserve"> mg laktozės monohidrato. </w:t>
      </w:r>
    </w:p>
    <w:p w:rsidR="00ED67AE" w:rsidRDefault="00ED67AE" w:rsidP="00ED67AE">
      <w:pPr>
        <w:rPr>
          <w:szCs w:val="22"/>
          <w:lang w:val="lt-LT"/>
        </w:rPr>
      </w:pPr>
    </w:p>
    <w:p w:rsidR="00ED67AE" w:rsidRPr="00CD6267" w:rsidRDefault="00ED67AE" w:rsidP="00ED67AE">
      <w:pPr>
        <w:rPr>
          <w:szCs w:val="22"/>
          <w:lang w:val="lt-LT"/>
        </w:rPr>
      </w:pPr>
      <w:r w:rsidRPr="00CD6267">
        <w:rPr>
          <w:szCs w:val="22"/>
          <w:lang w:val="lt-LT"/>
        </w:rPr>
        <w:t>Visos pagalbinės medžiagos išvardytos 6.1 skyriuje.</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caps/>
          <w:szCs w:val="22"/>
          <w:lang w:val="lt-LT"/>
        </w:rPr>
      </w:pPr>
      <w:r w:rsidRPr="00CD6267">
        <w:rPr>
          <w:b/>
          <w:szCs w:val="22"/>
          <w:lang w:val="lt-LT"/>
        </w:rPr>
        <w:t>3.</w:t>
      </w:r>
      <w:r w:rsidRPr="00CD6267">
        <w:rPr>
          <w:b/>
          <w:szCs w:val="22"/>
          <w:lang w:val="lt-LT"/>
        </w:rPr>
        <w:tab/>
      </w:r>
      <w:r w:rsidRPr="00CD6267">
        <w:rPr>
          <w:b/>
          <w:caps/>
          <w:szCs w:val="22"/>
          <w:lang w:val="lt-LT"/>
        </w:rPr>
        <w:t>FARMACINĖ forma</w:t>
      </w:r>
    </w:p>
    <w:p w:rsidR="00ED67AE" w:rsidRPr="00CD6267" w:rsidRDefault="00ED67AE" w:rsidP="00ED67AE">
      <w:pPr>
        <w:rPr>
          <w:szCs w:val="22"/>
          <w:lang w:val="lt-LT"/>
        </w:rPr>
      </w:pPr>
    </w:p>
    <w:p w:rsidR="00ED67AE" w:rsidRPr="00CD6267" w:rsidRDefault="00ED67AE" w:rsidP="00ED67AE">
      <w:pPr>
        <w:rPr>
          <w:szCs w:val="22"/>
          <w:lang w:val="lt-LT"/>
        </w:rPr>
      </w:pPr>
      <w:r w:rsidRPr="00CD6267">
        <w:rPr>
          <w:szCs w:val="22"/>
          <w:lang w:val="lt-LT"/>
        </w:rPr>
        <w:t>Plėvele dengt</w:t>
      </w:r>
      <w:r>
        <w:rPr>
          <w:szCs w:val="22"/>
          <w:lang w:val="lt-LT"/>
        </w:rPr>
        <w:t>a</w:t>
      </w:r>
      <w:r w:rsidRPr="00CD6267">
        <w:rPr>
          <w:szCs w:val="22"/>
          <w:lang w:val="lt-LT"/>
        </w:rPr>
        <w:t xml:space="preserve"> tabletė</w:t>
      </w:r>
      <w:r>
        <w:rPr>
          <w:szCs w:val="22"/>
          <w:lang w:val="lt-LT"/>
        </w:rPr>
        <w:t xml:space="preserve"> (tabletė)</w:t>
      </w:r>
      <w:r w:rsidRPr="00CD6267">
        <w:rPr>
          <w:szCs w:val="22"/>
          <w:lang w:val="lt-LT"/>
        </w:rPr>
        <w:t>.</w:t>
      </w:r>
    </w:p>
    <w:p w:rsidR="00ED67AE" w:rsidRPr="00CD6267" w:rsidRDefault="00ED67AE" w:rsidP="00ED67AE">
      <w:pPr>
        <w:rPr>
          <w:szCs w:val="22"/>
          <w:lang w:val="lt-LT"/>
        </w:rPr>
      </w:pPr>
      <w:r w:rsidRPr="00CD6267">
        <w:rPr>
          <w:szCs w:val="22"/>
          <w:lang w:val="lt-LT"/>
        </w:rPr>
        <w:t xml:space="preserve">Tabletės yra baltos arba balkšvos, pailgos, abipusiai išgaubtos, dengtos plėvele, </w:t>
      </w:r>
      <w:r>
        <w:rPr>
          <w:szCs w:val="22"/>
          <w:lang w:val="lt-LT"/>
        </w:rPr>
        <w:t>14</w:t>
      </w:r>
      <w:r w:rsidRPr="00CD6267">
        <w:rPr>
          <w:szCs w:val="22"/>
          <w:lang w:val="lt-LT"/>
        </w:rPr>
        <w:t> mm ilgio, viena jų pusė ženklinta užrašu „</w:t>
      </w:r>
      <w:r>
        <w:rPr>
          <w:szCs w:val="22"/>
          <w:lang w:val="lt-LT"/>
        </w:rPr>
        <w:t>I</w:t>
      </w:r>
      <w:r w:rsidRPr="00CD6267">
        <w:rPr>
          <w:szCs w:val="22"/>
          <w:lang w:val="lt-LT"/>
        </w:rPr>
        <w:t xml:space="preserve">9BE‘, kita </w:t>
      </w:r>
      <w:r w:rsidRPr="00CD6267">
        <w:rPr>
          <w:szCs w:val="22"/>
          <w:lang w:val="lt-LT"/>
        </w:rPr>
        <w:sym w:font="Symbol" w:char="F02D"/>
      </w:r>
      <w:r w:rsidRPr="00CD6267">
        <w:rPr>
          <w:szCs w:val="22"/>
          <w:lang w:val="lt-LT"/>
        </w:rPr>
        <w:t xml:space="preserve"> skaitmeniu „</w:t>
      </w:r>
      <w:r>
        <w:rPr>
          <w:szCs w:val="22"/>
          <w:lang w:val="lt-LT"/>
        </w:rPr>
        <w:t>1</w:t>
      </w:r>
      <w:r w:rsidRPr="00CD6267">
        <w:rPr>
          <w:szCs w:val="22"/>
          <w:lang w:val="lt-LT"/>
        </w:rPr>
        <w:t xml:space="preserve">50“. </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caps/>
          <w:szCs w:val="22"/>
          <w:lang w:val="lt-LT"/>
        </w:rPr>
      </w:pPr>
      <w:r w:rsidRPr="00CD6267">
        <w:rPr>
          <w:b/>
          <w:caps/>
          <w:szCs w:val="22"/>
          <w:lang w:val="lt-LT"/>
        </w:rPr>
        <w:t>4.</w:t>
      </w:r>
      <w:r w:rsidRPr="00CD6267">
        <w:rPr>
          <w:b/>
          <w:caps/>
          <w:szCs w:val="22"/>
          <w:lang w:val="lt-LT"/>
        </w:rPr>
        <w:tab/>
        <w:t>klinikinĖ informacija</w:t>
      </w: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4.1</w:t>
      </w:r>
      <w:r w:rsidRPr="00CD6267">
        <w:rPr>
          <w:b/>
          <w:szCs w:val="22"/>
          <w:lang w:val="lt-LT"/>
        </w:rPr>
        <w:tab/>
        <w:t>Terapinės indikacijos</w:t>
      </w:r>
    </w:p>
    <w:p w:rsidR="00ED67AE" w:rsidRPr="00CD6267" w:rsidRDefault="00ED67AE" w:rsidP="00ED67AE">
      <w:pPr>
        <w:rPr>
          <w:szCs w:val="22"/>
          <w:lang w:val="lt-LT"/>
        </w:rPr>
      </w:pPr>
    </w:p>
    <w:p w:rsidR="00ED67AE" w:rsidRDefault="00ED67AE" w:rsidP="00ED67AE">
      <w:pPr>
        <w:rPr>
          <w:color w:val="000000"/>
          <w:spacing w:val="-4"/>
          <w:szCs w:val="22"/>
          <w:lang w:val="lt-LT"/>
        </w:rPr>
      </w:pPr>
      <w:r w:rsidRPr="00080394">
        <w:rPr>
          <w:color w:val="000000"/>
          <w:spacing w:val="-3"/>
          <w:szCs w:val="22"/>
          <w:lang w:val="lt-LT"/>
        </w:rPr>
        <w:t xml:space="preserve">Moterų po menopauzės, kurioms padidėjusi kaulų lūžių rizika (žr. 5.1 skyrių), osteoporozės gydymas. Įrodytas veiksmingumas mažinant stuburo slankstelių lūžių riziką; veiksmingumas mažinant šlaunikaulio </w:t>
      </w:r>
      <w:r w:rsidRPr="00080394">
        <w:rPr>
          <w:color w:val="000000"/>
          <w:spacing w:val="-4"/>
          <w:szCs w:val="22"/>
          <w:lang w:val="lt-LT"/>
        </w:rPr>
        <w:t>kaklelio lūžių riziką nenustatytas</w:t>
      </w:r>
      <w:r>
        <w:rPr>
          <w:color w:val="000000"/>
          <w:spacing w:val="-4"/>
          <w:szCs w:val="22"/>
          <w:lang w:val="lt-LT"/>
        </w:rPr>
        <w:t>.</w:t>
      </w: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4.2</w:t>
      </w:r>
      <w:r w:rsidRPr="00CD6267">
        <w:rPr>
          <w:b/>
          <w:szCs w:val="22"/>
          <w:lang w:val="lt-LT"/>
        </w:rPr>
        <w:tab/>
        <w:t>Dozavimas ir vartojimo metodas</w:t>
      </w:r>
    </w:p>
    <w:p w:rsidR="00ED67AE" w:rsidRPr="00CD6267" w:rsidRDefault="00ED67AE" w:rsidP="00ED67AE">
      <w:pPr>
        <w:rPr>
          <w:b/>
          <w:szCs w:val="22"/>
          <w:lang w:val="lt-LT"/>
        </w:rPr>
      </w:pPr>
    </w:p>
    <w:p w:rsidR="00ED67AE" w:rsidRPr="009347D2" w:rsidRDefault="00ED67AE" w:rsidP="00ED67AE">
      <w:pPr>
        <w:rPr>
          <w:lang w:val="lt-LT"/>
        </w:rPr>
      </w:pPr>
      <w:r w:rsidRPr="009347D2">
        <w:rPr>
          <w:u w:val="single"/>
          <w:lang w:val="lt-LT"/>
        </w:rPr>
        <w:t>Dozavimas</w:t>
      </w:r>
      <w:r w:rsidRPr="009347D2">
        <w:rPr>
          <w:lang w:val="lt-LT"/>
        </w:rPr>
        <w:t xml:space="preserve"> </w:t>
      </w:r>
    </w:p>
    <w:p w:rsidR="00ED67AE" w:rsidRPr="009347D2" w:rsidRDefault="00ED67AE" w:rsidP="00ED67AE">
      <w:pPr>
        <w:rPr>
          <w:lang w:val="lt-LT"/>
        </w:rPr>
      </w:pPr>
      <w:r w:rsidRPr="009347D2">
        <w:rPr>
          <w:lang w:val="lt-LT"/>
        </w:rPr>
        <w:t xml:space="preserve">Rekomenduojama dozė yra viena 150 mg plėvele dengta tabletė vieną kartą per mėnesį. </w:t>
      </w:r>
    </w:p>
    <w:p w:rsidR="00ED67AE" w:rsidRDefault="00ED67AE" w:rsidP="00ED67AE">
      <w:pPr>
        <w:rPr>
          <w:szCs w:val="22"/>
          <w:lang w:val="lt-LT"/>
        </w:rPr>
      </w:pPr>
      <w:r w:rsidRPr="009347D2">
        <w:rPr>
          <w:color w:val="000000"/>
          <w:spacing w:val="-3"/>
          <w:lang w:val="lt-LT"/>
        </w:rPr>
        <w:t xml:space="preserve">Rekomenduojama tabletę </w:t>
      </w:r>
      <w:r w:rsidRPr="009347D2">
        <w:rPr>
          <w:color w:val="000000"/>
          <w:spacing w:val="-4"/>
          <w:lang w:val="lt-LT"/>
        </w:rPr>
        <w:t>išgerti tą pačią kiekvieno mėnesio dieną</w:t>
      </w:r>
      <w:r>
        <w:rPr>
          <w:szCs w:val="22"/>
          <w:lang w:val="lt-LT"/>
        </w:rPr>
        <w:t xml:space="preserve">. </w:t>
      </w:r>
    </w:p>
    <w:p w:rsidR="00ED67AE" w:rsidRDefault="00ED67AE" w:rsidP="00ED67AE">
      <w:pPr>
        <w:rPr>
          <w:szCs w:val="22"/>
          <w:lang w:val="lt-LT"/>
        </w:rPr>
      </w:pPr>
    </w:p>
    <w:p w:rsidR="00ED67AE" w:rsidRPr="00CD6267" w:rsidRDefault="00ED67AE" w:rsidP="00ED67AE">
      <w:pPr>
        <w:rPr>
          <w:szCs w:val="22"/>
          <w:lang w:val="lt-LT"/>
        </w:rPr>
      </w:pPr>
      <w:r>
        <w:rPr>
          <w:szCs w:val="22"/>
          <w:lang w:val="lt-LT"/>
        </w:rPr>
        <w:t>I</w:t>
      </w:r>
      <w:r w:rsidRPr="00CD6267">
        <w:rPr>
          <w:szCs w:val="22"/>
          <w:lang w:val="lt-LT"/>
        </w:rPr>
        <w:t xml:space="preserve">bandrono rūgšties tabletes reikia gerti </w:t>
      </w:r>
      <w:r>
        <w:rPr>
          <w:szCs w:val="22"/>
          <w:lang w:val="lt-LT"/>
        </w:rPr>
        <w:t xml:space="preserve">nevalgius </w:t>
      </w:r>
      <w:r w:rsidRPr="00CD6267">
        <w:rPr>
          <w:szCs w:val="22"/>
          <w:lang w:val="lt-LT"/>
        </w:rPr>
        <w:t>visą naktį (ne mažiau kaip 6 val.), prieš pirmą dienos valgį arba gėrimą. Vais</w:t>
      </w:r>
      <w:r>
        <w:rPr>
          <w:szCs w:val="22"/>
          <w:lang w:val="lt-LT"/>
        </w:rPr>
        <w:t>t</w:t>
      </w:r>
      <w:r w:rsidRPr="00CD6267">
        <w:rPr>
          <w:szCs w:val="22"/>
          <w:lang w:val="lt-LT"/>
        </w:rPr>
        <w:t xml:space="preserve">inių preparatų ir papildų (įskaitant kalcį) prieš ibandrono rūgšties tabletes gerti negalima. </w:t>
      </w:r>
    </w:p>
    <w:p w:rsidR="00ED67AE" w:rsidRDefault="00ED67AE" w:rsidP="00ED67AE">
      <w:pPr>
        <w:ind w:left="357" w:hanging="357"/>
        <w:rPr>
          <w:szCs w:val="22"/>
          <w:lang w:val="lt-LT"/>
        </w:rPr>
      </w:pPr>
    </w:p>
    <w:p w:rsidR="00ED67AE" w:rsidRPr="00D63C9C" w:rsidRDefault="00ED67AE" w:rsidP="00ED67AE">
      <w:pPr>
        <w:rPr>
          <w:szCs w:val="22"/>
          <w:lang w:val="lt-LT"/>
        </w:rPr>
      </w:pPr>
      <w:r w:rsidRPr="00D63C9C">
        <w:rPr>
          <w:color w:val="000000"/>
          <w:spacing w:val="-3"/>
          <w:szCs w:val="22"/>
          <w:lang w:val="lt-LT"/>
        </w:rPr>
        <w:t xml:space="preserve">Praleidę vaisto dozę pacientai turėtų išgerti vieną </w:t>
      </w:r>
      <w:r>
        <w:rPr>
          <w:color w:val="000000"/>
          <w:spacing w:val="-3"/>
          <w:szCs w:val="22"/>
          <w:lang w:val="lt-LT"/>
        </w:rPr>
        <w:t>Ibandronic acid Actavis</w:t>
      </w:r>
      <w:r w:rsidRPr="00D63C9C">
        <w:rPr>
          <w:color w:val="000000"/>
          <w:spacing w:val="-3"/>
          <w:szCs w:val="22"/>
          <w:lang w:val="lt-LT"/>
        </w:rPr>
        <w:t xml:space="preserve"> 150 mg tabletę kitos dienos ryte po to, kai prisiminė, išskyrus, tuos atvejus, kai iki kitos dozės pagal planą liko mažiau nei 7 dienos.</w:t>
      </w:r>
      <w:r w:rsidRPr="00D63C9C">
        <w:rPr>
          <w:szCs w:val="22"/>
          <w:lang w:val="lt-LT"/>
        </w:rPr>
        <w:t xml:space="preserve"> </w:t>
      </w:r>
      <w:r w:rsidRPr="00D63C9C">
        <w:rPr>
          <w:color w:val="000000"/>
          <w:spacing w:val="-3"/>
          <w:szCs w:val="22"/>
          <w:lang w:val="lt-LT"/>
        </w:rPr>
        <w:t xml:space="preserve">Tada pacientai turėtų toliau vartoti vaistą vieną kartą per mėnesį, tomis dienomis, kurios buvo numatytos iš </w:t>
      </w:r>
      <w:r w:rsidRPr="00D63C9C">
        <w:rPr>
          <w:color w:val="000000"/>
          <w:spacing w:val="-4"/>
          <w:szCs w:val="22"/>
          <w:lang w:val="lt-LT"/>
        </w:rPr>
        <w:t>pradžių.</w:t>
      </w:r>
      <w:r w:rsidRPr="00D63C9C">
        <w:rPr>
          <w:szCs w:val="22"/>
          <w:lang w:val="lt-LT"/>
        </w:rPr>
        <w:t xml:space="preserve"> </w:t>
      </w:r>
    </w:p>
    <w:p w:rsidR="00ED67AE" w:rsidRPr="00D63C9C" w:rsidRDefault="00ED67AE" w:rsidP="00ED67AE">
      <w:pPr>
        <w:rPr>
          <w:szCs w:val="22"/>
          <w:lang w:val="lt-LT"/>
        </w:rPr>
      </w:pPr>
      <w:r w:rsidRPr="00D63C9C">
        <w:rPr>
          <w:color w:val="000000"/>
          <w:spacing w:val="-3"/>
          <w:szCs w:val="22"/>
          <w:lang w:val="lt-LT"/>
        </w:rPr>
        <w:t>Jeigu iki kitos dozės pagal planą liko mažiau nei 7 dienos, pacientai turėtų palaukti iki ateis laikas kitai dozei ir toliau vartoti po vieną tabletę kas mėnesį, taip, kaip buvo numatyta iš pradžių.</w:t>
      </w:r>
      <w:r w:rsidRPr="00D63C9C">
        <w:rPr>
          <w:szCs w:val="22"/>
          <w:lang w:val="lt-LT"/>
        </w:rPr>
        <w:t xml:space="preserve"> </w:t>
      </w:r>
    </w:p>
    <w:p w:rsidR="00ED67AE" w:rsidRPr="00077F56" w:rsidRDefault="00ED67AE" w:rsidP="00ED67AE">
      <w:pPr>
        <w:rPr>
          <w:szCs w:val="22"/>
          <w:lang w:val="lt-LT"/>
        </w:rPr>
      </w:pPr>
      <w:r w:rsidRPr="00077F56">
        <w:rPr>
          <w:color w:val="000000"/>
          <w:spacing w:val="-4"/>
          <w:szCs w:val="22"/>
          <w:lang w:val="lt-LT"/>
        </w:rPr>
        <w:t>Negalima vartoti dviejų tablečių per vieną savaitę.</w:t>
      </w:r>
      <w:r w:rsidRPr="00077F56">
        <w:rPr>
          <w:szCs w:val="22"/>
          <w:lang w:val="lt-LT"/>
        </w:rPr>
        <w:t xml:space="preserve"> </w:t>
      </w:r>
    </w:p>
    <w:p w:rsidR="00ED67AE" w:rsidRPr="00077F56" w:rsidRDefault="00ED67AE" w:rsidP="00ED67AE">
      <w:pPr>
        <w:rPr>
          <w:szCs w:val="22"/>
          <w:lang w:val="lt-LT"/>
        </w:rPr>
      </w:pPr>
    </w:p>
    <w:p w:rsidR="00ED67AE" w:rsidRPr="00077F56" w:rsidRDefault="00ED67AE" w:rsidP="00ED67AE">
      <w:pPr>
        <w:rPr>
          <w:szCs w:val="22"/>
          <w:lang w:val="lt-LT"/>
        </w:rPr>
      </w:pPr>
      <w:r w:rsidRPr="00077F56">
        <w:rPr>
          <w:color w:val="000000"/>
          <w:spacing w:val="-3"/>
          <w:szCs w:val="22"/>
          <w:lang w:val="lt-LT"/>
        </w:rPr>
        <w:t xml:space="preserve">Pacientams, kurie negauna pakankamai kalcio ir (ar) vitamino D su maistu, šių medžiagų skirti </w:t>
      </w:r>
      <w:r w:rsidRPr="00077F56">
        <w:rPr>
          <w:color w:val="000000"/>
          <w:spacing w:val="-4"/>
          <w:szCs w:val="22"/>
          <w:lang w:val="lt-LT"/>
        </w:rPr>
        <w:t>papildomai (žr. 4.4 ir 4.5 skyrius).</w:t>
      </w:r>
      <w:r w:rsidRPr="00077F56">
        <w:rPr>
          <w:szCs w:val="22"/>
          <w:lang w:val="lt-LT"/>
        </w:rPr>
        <w:t xml:space="preserve"> </w:t>
      </w:r>
    </w:p>
    <w:p w:rsidR="00ED67AE" w:rsidRPr="00077F56" w:rsidRDefault="00ED67AE" w:rsidP="00ED67AE">
      <w:pPr>
        <w:rPr>
          <w:szCs w:val="22"/>
          <w:lang w:val="lt-LT"/>
        </w:rPr>
      </w:pPr>
    </w:p>
    <w:p w:rsidR="00ED67AE" w:rsidRPr="00077F56" w:rsidRDefault="00ED67AE" w:rsidP="00ED67AE">
      <w:pPr>
        <w:rPr>
          <w:szCs w:val="22"/>
          <w:lang w:val="lt-LT"/>
        </w:rPr>
      </w:pPr>
      <w:r w:rsidRPr="00077F56">
        <w:rPr>
          <w:szCs w:val="22"/>
          <w:lang w:val="lt-LT"/>
        </w:rPr>
        <w:t>Optimali osteoporozės gydymo bifisfonatais trukmė nėra nustatyta. Gydymo pratęsimo būtinybę, remianti ibandrono rūgšties gydymo nauda ir galima rizika konkrečiam pacientui, reikia vertinti periodiškai, ypač prėjus 5 ar daugiau gydymo metų.</w:t>
      </w:r>
    </w:p>
    <w:p w:rsidR="00ED67AE" w:rsidRPr="00A9381A" w:rsidRDefault="00ED67AE" w:rsidP="00ED67AE">
      <w:pPr>
        <w:rPr>
          <w:szCs w:val="22"/>
          <w:lang w:val="lt-LT"/>
        </w:rPr>
      </w:pPr>
    </w:p>
    <w:p w:rsidR="00ED67AE" w:rsidRDefault="00ED67AE" w:rsidP="00ED67AE">
      <w:pPr>
        <w:rPr>
          <w:u w:val="single"/>
          <w:lang w:val="lt-LT"/>
        </w:rPr>
      </w:pPr>
      <w:r w:rsidRPr="00383225">
        <w:rPr>
          <w:i/>
          <w:u w:val="single"/>
          <w:lang w:val="lt-LT"/>
        </w:rPr>
        <w:lastRenderedPageBreak/>
        <w:t>Ypatingos p</w:t>
      </w:r>
      <w:r w:rsidR="00E81D7F" w:rsidRPr="00383225">
        <w:rPr>
          <w:i/>
          <w:u w:val="single"/>
          <w:lang w:val="lt-LT"/>
        </w:rPr>
        <w:t>opuliacijos</w:t>
      </w:r>
      <w:r w:rsidRPr="00383225">
        <w:rPr>
          <w:i/>
          <w:u w:val="single"/>
          <w:lang w:val="lt-LT"/>
        </w:rPr>
        <w:t xml:space="preserve"> </w:t>
      </w:r>
    </w:p>
    <w:p w:rsidR="00E81D7F" w:rsidRPr="006B0B40" w:rsidRDefault="00E81D7F" w:rsidP="00ED67AE">
      <w:pPr>
        <w:rPr>
          <w:lang w:val="lt-LT"/>
        </w:rPr>
      </w:pPr>
    </w:p>
    <w:p w:rsidR="00ED67AE" w:rsidRPr="006B0B40" w:rsidRDefault="00ED67AE" w:rsidP="00ED67AE">
      <w:pPr>
        <w:rPr>
          <w:lang w:val="lt-LT"/>
        </w:rPr>
      </w:pPr>
      <w:r w:rsidRPr="00713AEB">
        <w:rPr>
          <w:i/>
          <w:lang w:val="lt-LT"/>
        </w:rPr>
        <w:t>Pacienta</w:t>
      </w:r>
      <w:r w:rsidR="00E81D7F">
        <w:rPr>
          <w:i/>
          <w:lang w:val="lt-LT"/>
        </w:rPr>
        <w:t>ms</w:t>
      </w:r>
      <w:r w:rsidRPr="00713AEB">
        <w:rPr>
          <w:i/>
          <w:lang w:val="lt-LT"/>
        </w:rPr>
        <w:t>, kurių inkstų funkcija sutrikusi</w:t>
      </w:r>
    </w:p>
    <w:p w:rsidR="00ED67AE" w:rsidRPr="00077F56" w:rsidRDefault="00ED67AE" w:rsidP="00ED67AE">
      <w:pPr>
        <w:rPr>
          <w:szCs w:val="22"/>
          <w:lang w:val="lt-LT"/>
        </w:rPr>
      </w:pPr>
      <w:r w:rsidRPr="00077F56">
        <w:rPr>
          <w:color w:val="000000"/>
          <w:spacing w:val="-3"/>
          <w:szCs w:val="22"/>
          <w:lang w:val="lt-LT"/>
        </w:rPr>
        <w:t xml:space="preserve">Ibandronic acid Actavis nerekomenduojama pacientams, kurių kreatinino klirensas mažesnis kaip 30 ml/min., nes </w:t>
      </w:r>
      <w:r w:rsidRPr="00077F56">
        <w:rPr>
          <w:color w:val="000000"/>
          <w:spacing w:val="-4"/>
          <w:szCs w:val="22"/>
          <w:lang w:val="lt-LT"/>
        </w:rPr>
        <w:t>nepakanka klinikinės patirties (žr. 4.4 ir 5.2 skyrius).</w:t>
      </w:r>
      <w:r w:rsidRPr="00077F56">
        <w:rPr>
          <w:szCs w:val="22"/>
          <w:lang w:val="lt-LT"/>
        </w:rPr>
        <w:t xml:space="preserve"> </w:t>
      </w:r>
    </w:p>
    <w:p w:rsidR="00ED67AE" w:rsidRPr="00077F56" w:rsidRDefault="00BC192F" w:rsidP="00ED67AE">
      <w:pPr>
        <w:rPr>
          <w:szCs w:val="22"/>
          <w:lang w:val="lt-LT"/>
        </w:rPr>
      </w:pPr>
      <w:r w:rsidRPr="00077F56">
        <w:rPr>
          <w:szCs w:val="22"/>
          <w:lang w:val="lt-LT"/>
        </w:rPr>
        <w:t xml:space="preserve">Pacientams, kurių inkstų funkcija sutrikusi lengvai ar vidutiniškai ir kreatinino klirensas lygus ar didesnis negu 30 ml/min., dozės koreguoti nereikia. </w:t>
      </w:r>
    </w:p>
    <w:p w:rsidR="00ED67AE" w:rsidRPr="00CD6267" w:rsidRDefault="00ED67AE" w:rsidP="00ED67AE">
      <w:pPr>
        <w:rPr>
          <w:szCs w:val="22"/>
          <w:lang w:val="lt-LT"/>
        </w:rPr>
      </w:pPr>
    </w:p>
    <w:p w:rsidR="00ED67AE" w:rsidRPr="00CD6267" w:rsidRDefault="00ED67AE" w:rsidP="00ED67AE">
      <w:pPr>
        <w:rPr>
          <w:i/>
          <w:szCs w:val="22"/>
          <w:lang w:val="lt-LT"/>
        </w:rPr>
      </w:pPr>
      <w:r w:rsidRPr="00CD6267">
        <w:rPr>
          <w:i/>
          <w:szCs w:val="22"/>
          <w:lang w:val="lt-LT"/>
        </w:rPr>
        <w:t>Pacientams, kurių kepenų funkcija sutrikusi</w:t>
      </w:r>
    </w:p>
    <w:p w:rsidR="00ED67AE" w:rsidRPr="00CD6267" w:rsidRDefault="00ED67AE" w:rsidP="00ED67AE">
      <w:pPr>
        <w:rPr>
          <w:szCs w:val="22"/>
          <w:lang w:val="lt-LT"/>
        </w:rPr>
      </w:pPr>
      <w:r w:rsidRPr="00CD6267">
        <w:rPr>
          <w:szCs w:val="22"/>
          <w:lang w:val="lt-LT"/>
        </w:rPr>
        <w:t>Jiems dozę keisti nebūtina (žr. 5.2 skyrių).</w:t>
      </w:r>
    </w:p>
    <w:p w:rsidR="00ED67AE" w:rsidRPr="00CD6267" w:rsidRDefault="00ED67AE" w:rsidP="00ED67AE">
      <w:pPr>
        <w:rPr>
          <w:szCs w:val="22"/>
          <w:lang w:val="lt-LT"/>
        </w:rPr>
      </w:pPr>
    </w:p>
    <w:p w:rsidR="00ED67AE" w:rsidRPr="00CD6267" w:rsidRDefault="00ED67AE" w:rsidP="00ED67AE">
      <w:pPr>
        <w:rPr>
          <w:i/>
          <w:szCs w:val="22"/>
          <w:lang w:val="lt-LT"/>
        </w:rPr>
      </w:pPr>
      <w:r w:rsidRPr="00CD6267">
        <w:rPr>
          <w:i/>
          <w:szCs w:val="22"/>
          <w:lang w:val="lt-LT"/>
        </w:rPr>
        <w:t xml:space="preserve">Senyviems </w:t>
      </w:r>
      <w:r w:rsidR="00E81D7F">
        <w:rPr>
          <w:i/>
          <w:szCs w:val="22"/>
          <w:lang w:val="lt-LT"/>
        </w:rPr>
        <w:t>pacientams</w:t>
      </w:r>
      <w:r w:rsidR="00E81D7F" w:rsidRPr="00CD6267">
        <w:rPr>
          <w:i/>
          <w:szCs w:val="22"/>
          <w:lang w:val="lt-LT"/>
        </w:rPr>
        <w:t xml:space="preserve"> </w:t>
      </w:r>
    </w:p>
    <w:p w:rsidR="00ED67AE" w:rsidRPr="00CD6267" w:rsidRDefault="00ED67AE" w:rsidP="00ED67AE">
      <w:pPr>
        <w:rPr>
          <w:szCs w:val="22"/>
          <w:lang w:val="lt-LT"/>
        </w:rPr>
      </w:pPr>
      <w:r w:rsidRPr="00CD6267">
        <w:rPr>
          <w:szCs w:val="22"/>
          <w:lang w:val="lt-LT"/>
        </w:rPr>
        <w:t>Dozę keisti nebūtina.</w:t>
      </w:r>
    </w:p>
    <w:p w:rsidR="00ED67AE" w:rsidRPr="00CD6267" w:rsidRDefault="00ED67AE" w:rsidP="00ED67AE">
      <w:pPr>
        <w:rPr>
          <w:szCs w:val="22"/>
          <w:lang w:val="lt-LT"/>
        </w:rPr>
      </w:pPr>
    </w:p>
    <w:p w:rsidR="00ED67AE" w:rsidRPr="00CD6267" w:rsidRDefault="00ED67AE" w:rsidP="00ED67AE">
      <w:pPr>
        <w:rPr>
          <w:i/>
          <w:szCs w:val="22"/>
          <w:lang w:val="lt-LT"/>
        </w:rPr>
      </w:pPr>
      <w:r w:rsidRPr="00CD6267">
        <w:rPr>
          <w:i/>
          <w:szCs w:val="22"/>
          <w:lang w:val="lt-LT"/>
        </w:rPr>
        <w:t>Vaik</w:t>
      </w:r>
      <w:r w:rsidR="00E81D7F">
        <w:rPr>
          <w:i/>
          <w:szCs w:val="22"/>
          <w:lang w:val="lt-LT"/>
        </w:rPr>
        <w:t>ų populiacija</w:t>
      </w:r>
    </w:p>
    <w:p w:rsidR="00ED67AE" w:rsidRDefault="00ED67AE" w:rsidP="00ED67AE">
      <w:pPr>
        <w:rPr>
          <w:szCs w:val="22"/>
          <w:lang w:val="lt-LT"/>
        </w:rPr>
      </w:pPr>
      <w:r>
        <w:rPr>
          <w:szCs w:val="22"/>
          <w:lang w:val="lt-LT"/>
        </w:rPr>
        <w:t>Ibandronic acid Actavis</w:t>
      </w:r>
      <w:r w:rsidRPr="00CD6267">
        <w:rPr>
          <w:szCs w:val="22"/>
          <w:lang w:val="lt-LT"/>
        </w:rPr>
        <w:t xml:space="preserve"> nerekomenduojama vartoti jaunesniems kaip 18 metų vaikams, nes duomenų apie saugumą ir veiksmingumą nepakanka.</w:t>
      </w:r>
    </w:p>
    <w:p w:rsidR="00ED67AE" w:rsidRDefault="00ED67AE" w:rsidP="00ED67AE">
      <w:pPr>
        <w:rPr>
          <w:szCs w:val="22"/>
          <w:lang w:val="lt-LT"/>
        </w:rPr>
      </w:pPr>
    </w:p>
    <w:p w:rsidR="00ED67AE" w:rsidRDefault="00ED67AE" w:rsidP="00ED67AE">
      <w:pPr>
        <w:rPr>
          <w:szCs w:val="22"/>
          <w:u w:val="single"/>
          <w:lang w:val="lt-LT"/>
        </w:rPr>
      </w:pPr>
      <w:r w:rsidRPr="00D63C9C">
        <w:rPr>
          <w:szCs w:val="22"/>
          <w:u w:val="single"/>
          <w:lang w:val="lt-LT"/>
        </w:rPr>
        <w:t>Vartojimo būdas</w:t>
      </w:r>
    </w:p>
    <w:p w:rsidR="00ED67AE" w:rsidRPr="00D63C9C" w:rsidRDefault="00ED67AE" w:rsidP="00ED67AE">
      <w:pPr>
        <w:rPr>
          <w:szCs w:val="22"/>
          <w:lang w:val="lt-LT"/>
        </w:rPr>
      </w:pPr>
      <w:r w:rsidRPr="00D63C9C">
        <w:rPr>
          <w:szCs w:val="22"/>
          <w:lang w:val="lt-LT"/>
        </w:rPr>
        <w:t>Vartoti per burną.</w:t>
      </w:r>
    </w:p>
    <w:p w:rsidR="00E81D7F" w:rsidRDefault="00E81D7F" w:rsidP="00ED67AE">
      <w:pPr>
        <w:rPr>
          <w:szCs w:val="22"/>
          <w:lang w:val="lt-LT"/>
        </w:rPr>
      </w:pPr>
    </w:p>
    <w:p w:rsidR="00E81D7F" w:rsidRPr="00E81D7F" w:rsidRDefault="00ED67AE" w:rsidP="00383225">
      <w:pPr>
        <w:pStyle w:val="Sraopastraipa"/>
        <w:numPr>
          <w:ilvl w:val="0"/>
          <w:numId w:val="13"/>
        </w:numPr>
        <w:ind w:left="567" w:hanging="567"/>
        <w:rPr>
          <w:lang w:val="lt-LT"/>
        </w:rPr>
      </w:pPr>
      <w:r w:rsidRPr="00E81D7F">
        <w:rPr>
          <w:szCs w:val="22"/>
          <w:lang w:val="lt-LT"/>
        </w:rPr>
        <w:t xml:space="preserve">Būnant vertikalioje padėtyje (stovint ar sėdint) reikia nuryti visą tabletę, užgeriant pilna stikline paprasto vandens (180 – 240 ml). </w:t>
      </w:r>
      <w:r w:rsidR="00E81D7F" w:rsidRPr="00E81D7F">
        <w:rPr>
          <w:lang w:val="lt-LT"/>
        </w:rPr>
        <w:t xml:space="preserve">Negalima vartoti vandens su padidinta kalcio koncentracija. Jei manote, kad vandentiekio vandenyje yra didelis kalcio kiekis (kietas vanduo), patartina vartoti vandenį su sumažintu mineralų kiekiu iš butelių. </w:t>
      </w:r>
    </w:p>
    <w:p w:rsidR="00ED67AE" w:rsidRPr="00E81D7F" w:rsidRDefault="00ED67AE" w:rsidP="00383225">
      <w:pPr>
        <w:pStyle w:val="Sraopastraipa"/>
        <w:numPr>
          <w:ilvl w:val="0"/>
          <w:numId w:val="13"/>
        </w:numPr>
        <w:ind w:left="567" w:hanging="567"/>
        <w:rPr>
          <w:szCs w:val="22"/>
          <w:lang w:val="lt-LT"/>
        </w:rPr>
      </w:pPr>
      <w:r w:rsidRPr="00E81D7F">
        <w:rPr>
          <w:szCs w:val="22"/>
          <w:lang w:val="lt-LT"/>
        </w:rPr>
        <w:t xml:space="preserve">Ibandrono rūgšties išgėrus, atsigulti negalima </w:t>
      </w:r>
      <w:r w:rsidR="00E81D7F" w:rsidRPr="00E81D7F">
        <w:rPr>
          <w:szCs w:val="22"/>
          <w:lang w:val="lt-LT"/>
        </w:rPr>
        <w:t>vieną valandą.</w:t>
      </w:r>
      <w:r w:rsidRPr="00E81D7F">
        <w:rPr>
          <w:szCs w:val="22"/>
          <w:lang w:val="lt-LT"/>
        </w:rPr>
        <w:t>.</w:t>
      </w:r>
    </w:p>
    <w:p w:rsidR="00ED67AE" w:rsidRPr="00E81D7F" w:rsidRDefault="00ED67AE" w:rsidP="00383225">
      <w:pPr>
        <w:pStyle w:val="Sraopastraipa"/>
        <w:numPr>
          <w:ilvl w:val="0"/>
          <w:numId w:val="13"/>
        </w:numPr>
        <w:ind w:left="567" w:hanging="567"/>
        <w:rPr>
          <w:szCs w:val="22"/>
          <w:lang w:val="lt-LT"/>
        </w:rPr>
      </w:pPr>
      <w:r w:rsidRPr="00E81D7F">
        <w:rPr>
          <w:szCs w:val="22"/>
          <w:lang w:val="lt-LT"/>
        </w:rPr>
        <w:t>Iš gėrimų, kurių galima vartoti kartu su ibandrono rūgštimi, yra tik paprastas vanduo.</w:t>
      </w:r>
    </w:p>
    <w:p w:rsidR="00ED67AE" w:rsidRPr="00E81D7F" w:rsidRDefault="00ED67AE" w:rsidP="00383225">
      <w:pPr>
        <w:pStyle w:val="Sraopastraipa"/>
        <w:numPr>
          <w:ilvl w:val="0"/>
          <w:numId w:val="13"/>
        </w:numPr>
        <w:ind w:left="567" w:hanging="567"/>
        <w:rPr>
          <w:szCs w:val="22"/>
          <w:lang w:val="lt-LT"/>
        </w:rPr>
      </w:pPr>
      <w:r w:rsidRPr="00E81D7F">
        <w:rPr>
          <w:szCs w:val="22"/>
          <w:lang w:val="lt-LT"/>
        </w:rPr>
        <w:t>Kramtyti ar čiulpti tablečių negalima, kadangi gali išopėti burna ir ryklė.</w:t>
      </w:r>
    </w:p>
    <w:p w:rsidR="00ED67AE" w:rsidRPr="00CD6267" w:rsidRDefault="00ED67AE" w:rsidP="00ED67AE">
      <w:pPr>
        <w:rPr>
          <w:b/>
          <w:szCs w:val="22"/>
          <w:lang w:val="lt-LT"/>
        </w:rPr>
      </w:pPr>
    </w:p>
    <w:p w:rsidR="00ED67AE" w:rsidRPr="00CD6267" w:rsidRDefault="00ED67AE" w:rsidP="00ED67AE">
      <w:pPr>
        <w:rPr>
          <w:szCs w:val="22"/>
          <w:lang w:val="lt-LT"/>
        </w:rPr>
      </w:pPr>
      <w:r w:rsidRPr="00CD6267">
        <w:rPr>
          <w:b/>
          <w:szCs w:val="22"/>
          <w:lang w:val="lt-LT"/>
        </w:rPr>
        <w:t>4.3</w:t>
      </w:r>
      <w:r w:rsidRPr="00CD6267">
        <w:rPr>
          <w:b/>
          <w:szCs w:val="22"/>
          <w:lang w:val="lt-LT"/>
        </w:rPr>
        <w:tab/>
        <w:t>Kontraindikacijos</w:t>
      </w:r>
    </w:p>
    <w:p w:rsidR="00ED67AE" w:rsidRPr="00CD6267" w:rsidRDefault="00ED67AE" w:rsidP="00ED67AE">
      <w:pPr>
        <w:rPr>
          <w:szCs w:val="22"/>
          <w:lang w:val="lt-LT"/>
        </w:rPr>
      </w:pPr>
    </w:p>
    <w:p w:rsidR="00ED67AE" w:rsidRDefault="00ED67AE" w:rsidP="00ED67AE">
      <w:pPr>
        <w:ind w:left="567" w:hanging="567"/>
        <w:rPr>
          <w:szCs w:val="22"/>
          <w:lang w:val="lt-LT"/>
        </w:rPr>
      </w:pPr>
      <w:r w:rsidRPr="00CD6267">
        <w:rPr>
          <w:szCs w:val="22"/>
          <w:lang w:val="lt-LT"/>
        </w:rPr>
        <w:sym w:font="Symbol" w:char="F0B7"/>
      </w:r>
      <w:r w:rsidRPr="00CD6267">
        <w:rPr>
          <w:szCs w:val="22"/>
          <w:lang w:val="lt-LT"/>
        </w:rPr>
        <w:tab/>
        <w:t>Padidėjęs jautrumas ibandrono rūgščiai arba bet kuriai</w:t>
      </w:r>
      <w:r w:rsidR="00E81D7F">
        <w:rPr>
          <w:szCs w:val="22"/>
          <w:lang w:val="lt-LT"/>
        </w:rPr>
        <w:t xml:space="preserve"> </w:t>
      </w:r>
      <w:r w:rsidR="00E81D7F" w:rsidRPr="00DF5828">
        <w:rPr>
          <w:lang w:val="lt-LT"/>
        </w:rPr>
        <w:t>6.1 skyriuje nurodytai</w:t>
      </w:r>
      <w:r w:rsidRPr="00CD6267">
        <w:rPr>
          <w:szCs w:val="22"/>
          <w:lang w:val="lt-LT"/>
        </w:rPr>
        <w:t xml:space="preserve"> pagalbinei</w:t>
      </w:r>
      <w:r w:rsidR="00E81D7F">
        <w:rPr>
          <w:szCs w:val="22"/>
          <w:lang w:val="lt-LT"/>
        </w:rPr>
        <w:t xml:space="preserve"> </w:t>
      </w:r>
      <w:r w:rsidRPr="00CD6267">
        <w:rPr>
          <w:szCs w:val="22"/>
          <w:lang w:val="lt-LT"/>
        </w:rPr>
        <w:t xml:space="preserve"> medžiagai.</w:t>
      </w:r>
    </w:p>
    <w:p w:rsidR="00ED67AE" w:rsidRPr="00CD6267" w:rsidRDefault="00ED67AE" w:rsidP="00ED67AE">
      <w:pPr>
        <w:rPr>
          <w:szCs w:val="22"/>
          <w:lang w:val="lt-LT"/>
        </w:rPr>
      </w:pPr>
      <w:r w:rsidRPr="00CD6267">
        <w:rPr>
          <w:szCs w:val="22"/>
          <w:lang w:val="lt-LT"/>
        </w:rPr>
        <w:sym w:font="Symbol" w:char="F0B7"/>
      </w:r>
      <w:r w:rsidRPr="00CD6267">
        <w:rPr>
          <w:szCs w:val="22"/>
          <w:lang w:val="lt-LT"/>
        </w:rPr>
        <w:tab/>
        <w:t>Hipokalcemija</w:t>
      </w:r>
      <w:r>
        <w:rPr>
          <w:szCs w:val="22"/>
          <w:lang w:val="lt-LT"/>
        </w:rPr>
        <w:t xml:space="preserve"> (žr. 4.4 skyrių)</w:t>
      </w:r>
    </w:p>
    <w:p w:rsidR="00E81D7F" w:rsidRPr="00CD6267" w:rsidRDefault="00ED67AE" w:rsidP="00ED67AE">
      <w:pPr>
        <w:rPr>
          <w:szCs w:val="22"/>
          <w:lang w:val="lt-LT"/>
        </w:rPr>
      </w:pPr>
      <w:r w:rsidRPr="00CD6267">
        <w:rPr>
          <w:szCs w:val="22"/>
          <w:lang w:val="lt-LT"/>
        </w:rPr>
        <w:sym w:font="Symbol" w:char="F0B7"/>
      </w:r>
      <w:r w:rsidRPr="00CD6267">
        <w:rPr>
          <w:szCs w:val="22"/>
          <w:lang w:val="lt-LT"/>
        </w:rPr>
        <w:tab/>
        <w:t xml:space="preserve">Stemplės sutrikimai, uždelsiantys </w:t>
      </w:r>
      <w:r>
        <w:rPr>
          <w:szCs w:val="22"/>
          <w:lang w:val="lt-LT"/>
        </w:rPr>
        <w:t>jos</w:t>
      </w:r>
      <w:r w:rsidRPr="00CD6267">
        <w:rPr>
          <w:szCs w:val="22"/>
          <w:lang w:val="lt-LT"/>
        </w:rPr>
        <w:t xml:space="preserve"> ištuštinimą, tokie kaip susiaurėjimas arba achalazija.</w:t>
      </w:r>
    </w:p>
    <w:p w:rsidR="00ED67AE" w:rsidRPr="00E81D7F" w:rsidRDefault="00E81D7F" w:rsidP="00383225">
      <w:pPr>
        <w:pStyle w:val="Sraopastraipa"/>
        <w:numPr>
          <w:ilvl w:val="0"/>
          <w:numId w:val="13"/>
        </w:numPr>
        <w:ind w:left="567" w:hanging="567"/>
        <w:rPr>
          <w:szCs w:val="22"/>
          <w:lang w:val="lt-LT"/>
        </w:rPr>
      </w:pPr>
      <w:r w:rsidRPr="00E81D7F">
        <w:rPr>
          <w:szCs w:val="22"/>
          <w:lang w:val="lt-LT"/>
        </w:rPr>
        <w:t>Negalėjimas bent 60 minučių išbūti vertikalioje padėtyje stovint arba sėdint.</w:t>
      </w:r>
    </w:p>
    <w:p w:rsidR="00ED67AE" w:rsidRDefault="00ED67AE" w:rsidP="00ED67AE">
      <w:pPr>
        <w:rPr>
          <w:szCs w:val="22"/>
          <w:lang w:val="lt-LT"/>
        </w:rPr>
      </w:pPr>
    </w:p>
    <w:p w:rsidR="00ED67AE" w:rsidRPr="00CD6267" w:rsidRDefault="00ED67AE" w:rsidP="00ED67AE">
      <w:pPr>
        <w:rPr>
          <w:szCs w:val="22"/>
          <w:lang w:val="lt-LT"/>
        </w:rPr>
      </w:pPr>
      <w:r w:rsidRPr="00CD6267">
        <w:rPr>
          <w:b/>
          <w:szCs w:val="22"/>
          <w:lang w:val="lt-LT"/>
        </w:rPr>
        <w:t>4.4</w:t>
      </w:r>
      <w:r w:rsidRPr="00CD6267">
        <w:rPr>
          <w:b/>
          <w:szCs w:val="22"/>
          <w:lang w:val="lt-LT"/>
        </w:rPr>
        <w:tab/>
        <w:t>Specialūs įspėjimai ir atsargumo priemonės</w:t>
      </w:r>
    </w:p>
    <w:p w:rsidR="00ED67AE" w:rsidRDefault="00ED67AE" w:rsidP="00ED67AE">
      <w:pPr>
        <w:rPr>
          <w:szCs w:val="22"/>
          <w:lang w:val="lt-LT"/>
        </w:rPr>
      </w:pPr>
    </w:p>
    <w:p w:rsidR="00ED67AE" w:rsidRPr="00383225" w:rsidRDefault="00ED67AE" w:rsidP="00ED67AE">
      <w:pPr>
        <w:rPr>
          <w:szCs w:val="22"/>
          <w:u w:val="single"/>
          <w:lang w:val="lt-LT"/>
        </w:rPr>
      </w:pPr>
      <w:r w:rsidRPr="00383225">
        <w:rPr>
          <w:szCs w:val="22"/>
          <w:u w:val="single"/>
          <w:lang w:val="lt-LT"/>
        </w:rPr>
        <w:t>Hipokalcemija</w:t>
      </w:r>
    </w:p>
    <w:p w:rsidR="00ED67AE" w:rsidRPr="00A9381A" w:rsidRDefault="00ED67AE" w:rsidP="00ED67AE">
      <w:pPr>
        <w:rPr>
          <w:szCs w:val="22"/>
          <w:lang w:val="lt-LT"/>
        </w:rPr>
      </w:pPr>
      <w:r>
        <w:rPr>
          <w:lang w:val="lt-LT"/>
        </w:rPr>
        <w:t>Jei yra hipokalcemija, ją reikia koreguoti prieš pradedant gydymą ibandrono rūgštimi.</w:t>
      </w:r>
      <w:r>
        <w:rPr>
          <w:szCs w:val="22"/>
          <w:lang w:val="lt-LT"/>
        </w:rPr>
        <w:t xml:space="preserve"> </w:t>
      </w:r>
      <w:r>
        <w:rPr>
          <w:lang w:val="lt-LT"/>
        </w:rPr>
        <w:t xml:space="preserve">Kiti kaulų ir mineralų metabolizmo sutrikimai turi būti </w:t>
      </w:r>
      <w:r>
        <w:rPr>
          <w:szCs w:val="22"/>
          <w:lang w:val="lt-LT"/>
        </w:rPr>
        <w:t>vaiksmingai gydomi. Svarbu, kad visi pacientai vartotų tinkamą kalcio ir vitamino D kiekį.</w:t>
      </w:r>
    </w:p>
    <w:p w:rsidR="00ED67AE" w:rsidRDefault="00ED67AE" w:rsidP="00ED67AE">
      <w:pPr>
        <w:rPr>
          <w:i/>
          <w:szCs w:val="22"/>
          <w:lang w:val="lt-LT"/>
        </w:rPr>
      </w:pPr>
    </w:p>
    <w:p w:rsidR="00567EBC" w:rsidRPr="00383225" w:rsidRDefault="00567EBC" w:rsidP="00ED67AE">
      <w:pPr>
        <w:rPr>
          <w:szCs w:val="22"/>
          <w:u w:val="single"/>
          <w:lang w:val="lt-LT"/>
        </w:rPr>
      </w:pPr>
      <w:r>
        <w:rPr>
          <w:szCs w:val="22"/>
          <w:u w:val="single"/>
          <w:lang w:val="lt-LT"/>
        </w:rPr>
        <w:t>Virškinamojo trakto dirginimas</w:t>
      </w:r>
    </w:p>
    <w:p w:rsidR="00ED67AE" w:rsidRPr="00CD6267" w:rsidRDefault="00ED67AE" w:rsidP="00ED67AE">
      <w:pPr>
        <w:rPr>
          <w:szCs w:val="22"/>
          <w:lang w:val="lt-LT"/>
        </w:rPr>
      </w:pPr>
      <w:r w:rsidRPr="00CD6267">
        <w:rPr>
          <w:szCs w:val="22"/>
          <w:lang w:val="lt-LT"/>
        </w:rPr>
        <w:t xml:space="preserve">Per burną vartojami </w:t>
      </w:r>
      <w:r>
        <w:rPr>
          <w:szCs w:val="22"/>
          <w:lang w:val="lt-LT"/>
        </w:rPr>
        <w:t>bisfosfonat</w:t>
      </w:r>
      <w:r w:rsidRPr="00CD6267">
        <w:rPr>
          <w:szCs w:val="22"/>
          <w:lang w:val="lt-LT"/>
        </w:rPr>
        <w:t>ai</w:t>
      </w:r>
      <w:r>
        <w:rPr>
          <w:szCs w:val="22"/>
          <w:lang w:val="lt-LT"/>
        </w:rPr>
        <w:t xml:space="preserve"> </w:t>
      </w:r>
      <w:r w:rsidRPr="00CD6267">
        <w:rPr>
          <w:szCs w:val="22"/>
          <w:lang w:val="lt-LT"/>
        </w:rPr>
        <w:t xml:space="preserve">gali sukelti lokalų viršutinės virškinimo trakto dalies gleivinės dirginimą. Dėl galimo </w:t>
      </w:r>
      <w:r>
        <w:rPr>
          <w:szCs w:val="22"/>
          <w:lang w:val="lt-LT"/>
        </w:rPr>
        <w:t xml:space="preserve">šio </w:t>
      </w:r>
      <w:r w:rsidRPr="00CD6267">
        <w:rPr>
          <w:szCs w:val="22"/>
          <w:lang w:val="lt-LT"/>
        </w:rPr>
        <w:t xml:space="preserve">dirginančio poveikio </w:t>
      </w:r>
      <w:r>
        <w:rPr>
          <w:szCs w:val="22"/>
          <w:lang w:val="lt-LT"/>
        </w:rPr>
        <w:t xml:space="preserve">bei </w:t>
      </w:r>
      <w:r w:rsidRPr="00CD6267">
        <w:rPr>
          <w:szCs w:val="22"/>
          <w:lang w:val="lt-LT"/>
        </w:rPr>
        <w:t xml:space="preserve">galimo </w:t>
      </w:r>
      <w:r>
        <w:rPr>
          <w:szCs w:val="22"/>
          <w:lang w:val="lt-LT"/>
        </w:rPr>
        <w:t xml:space="preserve">sergamos </w:t>
      </w:r>
      <w:r w:rsidRPr="00CD6267">
        <w:rPr>
          <w:szCs w:val="22"/>
          <w:lang w:val="lt-LT"/>
        </w:rPr>
        <w:t>lig</w:t>
      </w:r>
      <w:r>
        <w:rPr>
          <w:szCs w:val="22"/>
          <w:lang w:val="lt-LT"/>
        </w:rPr>
        <w:t>os</w:t>
      </w:r>
      <w:r w:rsidRPr="00CD6267">
        <w:rPr>
          <w:szCs w:val="22"/>
          <w:lang w:val="lt-LT"/>
        </w:rPr>
        <w:t xml:space="preserve"> pasunkėjimo pacientus, kuriems yra aktyvus viršutinės virškinimo trakto dalies sutrikimas (pvz., Barrett‘o stemplė, disfagija, kitokios stemplės ligos, gastritas, duodenitas ar opos) ibandrono rūgštimi reikia gydyti atsargiai. Geriamaisiais </w:t>
      </w:r>
      <w:r>
        <w:rPr>
          <w:szCs w:val="22"/>
          <w:lang w:val="lt-LT"/>
        </w:rPr>
        <w:t>bisfosfonat</w:t>
      </w:r>
      <w:r w:rsidRPr="00CD6267">
        <w:rPr>
          <w:szCs w:val="22"/>
          <w:lang w:val="lt-LT"/>
        </w:rPr>
        <w:t>ais gydomiems pacientams buvo nepageidaujamo poveikio, tokio kaip ezofagit</w:t>
      </w:r>
      <w:r>
        <w:rPr>
          <w:szCs w:val="22"/>
          <w:lang w:val="lt-LT"/>
        </w:rPr>
        <w:t>as</w:t>
      </w:r>
      <w:r w:rsidRPr="00CD6267">
        <w:rPr>
          <w:szCs w:val="22"/>
          <w:lang w:val="lt-LT"/>
        </w:rPr>
        <w:t>, stemplės išopėjim</w:t>
      </w:r>
      <w:r>
        <w:rPr>
          <w:szCs w:val="22"/>
          <w:lang w:val="lt-LT"/>
        </w:rPr>
        <w:t>as</w:t>
      </w:r>
      <w:r w:rsidRPr="00CD6267">
        <w:rPr>
          <w:szCs w:val="22"/>
          <w:lang w:val="lt-LT"/>
        </w:rPr>
        <w:t xml:space="preserve"> bei stemplės erozij</w:t>
      </w:r>
      <w:r>
        <w:rPr>
          <w:szCs w:val="22"/>
          <w:lang w:val="lt-LT"/>
        </w:rPr>
        <w:t xml:space="preserve">a, </w:t>
      </w:r>
      <w:r w:rsidRPr="00CD6267">
        <w:rPr>
          <w:szCs w:val="22"/>
          <w:lang w:val="lt-LT"/>
        </w:rPr>
        <w:t xml:space="preserve">atvejų, kurie kai kada buvo sunkūs ir reikalaujantys guldymo į ligoninę, retais atvejais </w:t>
      </w:r>
      <w:r w:rsidRPr="00CD6267">
        <w:rPr>
          <w:szCs w:val="22"/>
          <w:lang w:val="lt-LT"/>
        </w:rPr>
        <w:sym w:font="Symbol" w:char="F02D"/>
      </w:r>
      <w:r w:rsidRPr="00CD6267">
        <w:rPr>
          <w:szCs w:val="22"/>
          <w:lang w:val="lt-LT"/>
        </w:rPr>
        <w:t xml:space="preserve"> susiję su kraujavimu arba sąlygojantys stemplės susiaurėjimą ar prakiurimą. Atrodo, kad sunkaus nepageidaujamo poveikio stemplei rizika yra didesnė pacientams, kurie nesilaiko dozavimo nuorodų arba (ir) kurie </w:t>
      </w:r>
      <w:r>
        <w:rPr>
          <w:szCs w:val="22"/>
          <w:lang w:val="lt-LT"/>
        </w:rPr>
        <w:t>bisfosfonat</w:t>
      </w:r>
      <w:r w:rsidRPr="00CD6267">
        <w:rPr>
          <w:szCs w:val="22"/>
          <w:lang w:val="lt-LT"/>
        </w:rPr>
        <w:t>ų vartojimą tęsia po to, kai atsiranda simptomų, rodančių stemplės dirginimą. Pacientai turi kreipti atidų dėmesį į dozavimo instrukciją ir gebėti jos laikytis (žr. 4.2 skyrių).</w:t>
      </w:r>
      <w:r>
        <w:rPr>
          <w:szCs w:val="22"/>
          <w:lang w:val="lt-LT"/>
        </w:rPr>
        <w:t xml:space="preserve"> </w:t>
      </w:r>
      <w:r w:rsidRPr="00CD6267">
        <w:rPr>
          <w:szCs w:val="22"/>
          <w:lang w:val="lt-LT"/>
        </w:rPr>
        <w:t xml:space="preserve">Gydytojas turi būti pasirengęs </w:t>
      </w:r>
      <w:r>
        <w:rPr>
          <w:szCs w:val="22"/>
          <w:lang w:val="lt-LT"/>
        </w:rPr>
        <w:t xml:space="preserve">bet kokiems </w:t>
      </w:r>
      <w:r w:rsidRPr="00CD6267">
        <w:rPr>
          <w:szCs w:val="22"/>
          <w:lang w:val="lt-LT"/>
        </w:rPr>
        <w:t>požymiams ir simptomams, rodantiems galimą stemplės reakciją, ir pacientams nurodyti ibandrono rūgšties vartojimą nutraukti ir kreiptis į gydytoją, jeigu atsiranda disfagija, odinofagija, užkrūtinkaulinis skausmas arba naujas ar sunkėjantis rėmuo.</w:t>
      </w:r>
    </w:p>
    <w:p w:rsidR="00ED67AE" w:rsidRPr="00CD6267" w:rsidRDefault="00ED67AE" w:rsidP="00ED67AE">
      <w:pPr>
        <w:rPr>
          <w:szCs w:val="22"/>
          <w:lang w:val="lt-LT"/>
        </w:rPr>
      </w:pPr>
      <w:r w:rsidRPr="00CD6267">
        <w:rPr>
          <w:szCs w:val="22"/>
          <w:lang w:val="lt-LT"/>
        </w:rPr>
        <w:t xml:space="preserve">Nors kontroliuojamų klinikinių tyrimų metu rizikos padidėjimo nestebėta, tačiau pacientams, geriamųjų </w:t>
      </w:r>
      <w:r>
        <w:rPr>
          <w:szCs w:val="22"/>
          <w:lang w:val="lt-LT"/>
        </w:rPr>
        <w:t>bisfosfonat</w:t>
      </w:r>
      <w:r w:rsidRPr="00CD6267">
        <w:rPr>
          <w:szCs w:val="22"/>
          <w:lang w:val="lt-LT"/>
        </w:rPr>
        <w:t xml:space="preserve">ų vartojusiems po to, kai jie pateko į rinką, buvo skrandžio ir dvylikapirštės žarnos išopėjimo atvejų, kai kurie jų buvo sunkūs ir susiję su komplikacijomis. </w:t>
      </w:r>
    </w:p>
    <w:p w:rsidR="00ED67AE" w:rsidRPr="00CD6267" w:rsidRDefault="00ED67AE" w:rsidP="00ED67AE">
      <w:pPr>
        <w:rPr>
          <w:szCs w:val="22"/>
          <w:lang w:val="lt-LT"/>
        </w:rPr>
      </w:pPr>
    </w:p>
    <w:p w:rsidR="00ED67AE" w:rsidRPr="00CD6267" w:rsidRDefault="00ED67AE" w:rsidP="00ED67AE">
      <w:pPr>
        <w:rPr>
          <w:szCs w:val="22"/>
          <w:lang w:val="lt-LT"/>
        </w:rPr>
      </w:pPr>
      <w:r w:rsidRPr="00CD6267">
        <w:rPr>
          <w:szCs w:val="22"/>
          <w:lang w:val="lt-LT"/>
        </w:rPr>
        <w:t>Kadangi nesteroidinių vaist</w:t>
      </w:r>
      <w:r>
        <w:rPr>
          <w:szCs w:val="22"/>
          <w:lang w:val="lt-LT"/>
        </w:rPr>
        <w:t>ų</w:t>
      </w:r>
      <w:r w:rsidRPr="00CD6267">
        <w:rPr>
          <w:szCs w:val="22"/>
          <w:lang w:val="lt-LT"/>
        </w:rPr>
        <w:t xml:space="preserve"> nuo uždegimo (NVNU) vartojimas yra susijęs su virškinimo trakto dirginimu, todėl jais kartu su geriamaisiais ibandrono rūgšties preparatais reikia gydyti atsargiai. </w:t>
      </w:r>
    </w:p>
    <w:p w:rsidR="00ED67AE" w:rsidRDefault="00ED67AE" w:rsidP="00ED67AE">
      <w:pPr>
        <w:rPr>
          <w:szCs w:val="22"/>
          <w:lang w:val="lt-LT"/>
        </w:rPr>
      </w:pPr>
    </w:p>
    <w:p w:rsidR="00ED67AE" w:rsidRPr="00383225" w:rsidRDefault="00ED67AE" w:rsidP="00ED67AE">
      <w:pPr>
        <w:rPr>
          <w:szCs w:val="22"/>
          <w:u w:val="single"/>
          <w:lang w:val="lt-LT"/>
        </w:rPr>
      </w:pPr>
      <w:r w:rsidRPr="00383225">
        <w:rPr>
          <w:color w:val="000000"/>
          <w:spacing w:val="-4"/>
          <w:szCs w:val="22"/>
          <w:u w:val="single"/>
          <w:lang w:val="lt-LT"/>
        </w:rPr>
        <w:t>Žandikaulio osteonekrozė</w:t>
      </w:r>
      <w:r w:rsidRPr="00383225">
        <w:rPr>
          <w:szCs w:val="22"/>
          <w:u w:val="single"/>
          <w:lang w:val="lt-LT"/>
        </w:rPr>
        <w:t xml:space="preserve"> </w:t>
      </w:r>
    </w:p>
    <w:p w:rsidR="00ED67AE" w:rsidRPr="004B7B0B" w:rsidRDefault="00ED67AE" w:rsidP="00ED67AE">
      <w:pPr>
        <w:rPr>
          <w:szCs w:val="22"/>
          <w:lang w:val="lt-LT"/>
        </w:rPr>
      </w:pPr>
      <w:r w:rsidRPr="004B7B0B">
        <w:rPr>
          <w:szCs w:val="22"/>
          <w:lang w:val="lt-LT"/>
        </w:rPr>
        <w:t xml:space="preserve">Vėžiu sirgusiems pacientams, kurie gydant pagal schemą pirmiausia vartojo bisfosfonatų į veną, registruota žandikaulio osteonekrozės atvejų, kurių metu paprastai iškrisdavo dantis ir (ar) pasireikšdavo vietinė infekcija (taip pat ir osteomielitas). Dauguma šių pacientų taip pat buvo gydomi chemoterapija ir kortikosteroidais. Žandikaulio osteonekrozė taip pat registruota osteoporoze sirgusiems pacientams, vartojusiems geriamuosius bisfosfonatus. </w:t>
      </w:r>
    </w:p>
    <w:p w:rsidR="00ED67AE" w:rsidRPr="004B7B0B" w:rsidRDefault="00ED67AE" w:rsidP="00ED67AE">
      <w:pPr>
        <w:rPr>
          <w:szCs w:val="22"/>
          <w:lang w:val="lt-LT"/>
        </w:rPr>
      </w:pPr>
      <w:r w:rsidRPr="004B7B0B">
        <w:rPr>
          <w:szCs w:val="22"/>
          <w:lang w:val="lt-LT"/>
        </w:rPr>
        <w:t xml:space="preserve">Prieš pradedant gydyti bisfosfonatais pacientus, kuriems yra papildomų rizikos faktorių (pvz., vėžys, chemoterapija, radioterapija, kortikosteroidų vartojimas, bloga burnos higiena), reikia profilaktinės odontologo apžiūros ir gydymo. </w:t>
      </w:r>
    </w:p>
    <w:p w:rsidR="00ED67AE" w:rsidRPr="004B7B0B" w:rsidRDefault="00ED67AE" w:rsidP="00ED67AE">
      <w:pPr>
        <w:rPr>
          <w:szCs w:val="22"/>
          <w:lang w:val="lt-LT"/>
        </w:rPr>
      </w:pPr>
    </w:p>
    <w:p w:rsidR="00ED67AE" w:rsidRPr="004B7B0B" w:rsidRDefault="00ED67AE" w:rsidP="00ED67AE">
      <w:pPr>
        <w:rPr>
          <w:szCs w:val="22"/>
          <w:lang w:val="lt-LT"/>
        </w:rPr>
      </w:pPr>
      <w:r w:rsidRPr="004B7B0B">
        <w:rPr>
          <w:szCs w:val="22"/>
          <w:lang w:val="lt-LT"/>
        </w:rPr>
        <w:t xml:space="preserve">Gydymo metu, jei įmanoma, tokie pacientai turi vengti invazinių odontologinių procedūrų. Pacientams, kuriems gydymo bisfosfonatais metu pasireiškė žandikaulio osteonekrozė, odontologinės operacijos gali pasunkinti būklę. Nėra duomenų rodančių, ar pacientui, kuriam reikia atlikti odontologinę procedūrą, bisfosfonatų vartojimo nutraukimas sumažina žandikaulio osteonekrozės riziką. Gydymo strategiją gydytojas turi parinkti kiekvienam pacientui individuliai pagal klinikinę situaciją, atsižvelgdamas į naudos ir rizikos santykį. </w:t>
      </w:r>
    </w:p>
    <w:p w:rsidR="00ED67AE" w:rsidRDefault="00ED67AE" w:rsidP="00ED67AE">
      <w:pPr>
        <w:rPr>
          <w:i/>
          <w:lang w:val="lt-LT"/>
        </w:rPr>
      </w:pPr>
    </w:p>
    <w:p w:rsidR="00567EBC" w:rsidRPr="00383225" w:rsidRDefault="00567EBC" w:rsidP="00ED67AE">
      <w:pPr>
        <w:rPr>
          <w:u w:val="single"/>
          <w:lang w:val="lt-LT"/>
        </w:rPr>
      </w:pPr>
      <w:r>
        <w:rPr>
          <w:u w:val="single"/>
          <w:lang w:val="lt-LT"/>
        </w:rPr>
        <w:t>Išorinio ausies kanalo osteonekrozė</w:t>
      </w:r>
    </w:p>
    <w:p w:rsidR="00BC192F" w:rsidRPr="00383225" w:rsidRDefault="00BC192F" w:rsidP="00BC192F">
      <w:pPr>
        <w:tabs>
          <w:tab w:val="clear" w:pos="567"/>
        </w:tabs>
        <w:spacing w:line="240" w:lineRule="auto"/>
        <w:rPr>
          <w:rFonts w:eastAsia="Calibri"/>
          <w:szCs w:val="22"/>
          <w:lang w:val="lt-LT"/>
        </w:rPr>
      </w:pPr>
      <w:r w:rsidRPr="00BC192F">
        <w:rPr>
          <w:rFonts w:eastAsia="Calibri"/>
          <w:szCs w:val="22"/>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rsidR="00BC192F" w:rsidRDefault="00BC192F" w:rsidP="00ED67AE">
      <w:pPr>
        <w:rPr>
          <w:i/>
          <w:lang w:val="lt-LT"/>
        </w:rPr>
      </w:pPr>
    </w:p>
    <w:p w:rsidR="00ED67AE" w:rsidRPr="00383225" w:rsidRDefault="00ED67AE" w:rsidP="00ED67AE">
      <w:pPr>
        <w:rPr>
          <w:u w:val="single"/>
          <w:lang w:val="lt-LT"/>
        </w:rPr>
      </w:pPr>
      <w:r w:rsidRPr="00383225">
        <w:rPr>
          <w:u w:val="single"/>
          <w:lang w:val="lt-LT"/>
        </w:rPr>
        <w:t>Atipiniai šlaunikaulio lūžiai</w:t>
      </w:r>
    </w:p>
    <w:p w:rsidR="00ED67AE" w:rsidRPr="00EA54D9" w:rsidRDefault="00ED67AE" w:rsidP="00ED67AE">
      <w:pPr>
        <w:rPr>
          <w:szCs w:val="22"/>
          <w:lang w:val="lt-LT"/>
        </w:rPr>
      </w:pPr>
      <w:r w:rsidRPr="00DD35EB">
        <w:rPr>
          <w:szCs w:val="22"/>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 </w:t>
      </w:r>
    </w:p>
    <w:p w:rsidR="00ED67AE" w:rsidRPr="00EA54D9" w:rsidRDefault="00ED67AE" w:rsidP="00ED67AE">
      <w:pPr>
        <w:rPr>
          <w:szCs w:val="22"/>
          <w:lang w:val="lt-LT"/>
        </w:rPr>
      </w:pPr>
      <w:r w:rsidRPr="00DD35EB">
        <w:rPr>
          <w:szCs w:val="22"/>
          <w:lang w:val="lt-LT"/>
        </w:rPr>
        <w:t>Pacientams reikia patarti, kad bisfosfonatų vartojimo metu praneštų apie bet kokį šlaunies, klubo ar kirkšnies skausmą, o visus pacientus, kuriems pasireiškia tokie simptomai, reikia ištirti, ar jie nepatyrė nepilno šlaunikaulio lūžio.</w:t>
      </w:r>
    </w:p>
    <w:p w:rsidR="00ED67AE" w:rsidRDefault="00ED67AE" w:rsidP="00ED67AE">
      <w:pPr>
        <w:rPr>
          <w:i/>
          <w:szCs w:val="22"/>
          <w:lang w:val="lt-LT"/>
        </w:rPr>
      </w:pPr>
    </w:p>
    <w:p w:rsidR="00ED67AE" w:rsidRPr="00383225" w:rsidRDefault="00ED67AE" w:rsidP="00ED67AE">
      <w:pPr>
        <w:rPr>
          <w:szCs w:val="22"/>
          <w:u w:val="single"/>
          <w:lang w:val="lt-LT"/>
        </w:rPr>
      </w:pPr>
      <w:r w:rsidRPr="00383225">
        <w:rPr>
          <w:szCs w:val="22"/>
          <w:u w:val="single"/>
          <w:lang w:val="lt-LT"/>
        </w:rPr>
        <w:t xml:space="preserve">Inkstų </w:t>
      </w:r>
      <w:r w:rsidR="00567EBC">
        <w:rPr>
          <w:szCs w:val="22"/>
          <w:u w:val="single"/>
          <w:lang w:val="lt-LT"/>
        </w:rPr>
        <w:t>pakenkimai</w:t>
      </w:r>
    </w:p>
    <w:p w:rsidR="00ED67AE" w:rsidRPr="004B7B0B" w:rsidRDefault="00ED67AE" w:rsidP="00ED67AE">
      <w:pPr>
        <w:rPr>
          <w:szCs w:val="22"/>
          <w:lang w:val="lt-LT"/>
        </w:rPr>
      </w:pPr>
      <w:r>
        <w:rPr>
          <w:szCs w:val="22"/>
          <w:lang w:val="lt-LT"/>
        </w:rPr>
        <w:t xml:space="preserve">Ibandrono rūgštis </w:t>
      </w:r>
      <w:r w:rsidRPr="004B7B0B">
        <w:rPr>
          <w:szCs w:val="22"/>
          <w:lang w:val="lt-LT"/>
        </w:rPr>
        <w:t>nerekomenduojama pacientams, kurių kreatinino klirensas mažesnis kaip 30 ml/min., nes nepakanka klinikinės patirties (žr. 5.2 skyrių).</w:t>
      </w:r>
    </w:p>
    <w:p w:rsidR="00ED67AE" w:rsidRPr="00CD6267" w:rsidRDefault="00ED67AE" w:rsidP="00ED67AE">
      <w:pPr>
        <w:rPr>
          <w:szCs w:val="22"/>
          <w:lang w:val="lt-LT"/>
        </w:rPr>
      </w:pPr>
    </w:p>
    <w:p w:rsidR="00ED67AE" w:rsidRPr="00383225" w:rsidRDefault="00ED67AE" w:rsidP="00ED67AE">
      <w:pPr>
        <w:rPr>
          <w:szCs w:val="22"/>
          <w:u w:val="single"/>
          <w:lang w:val="lt-LT"/>
        </w:rPr>
      </w:pPr>
      <w:r w:rsidRPr="00383225">
        <w:rPr>
          <w:szCs w:val="22"/>
          <w:u w:val="single"/>
          <w:lang w:val="lt-LT"/>
        </w:rPr>
        <w:t xml:space="preserve">Galaktozės netoleravimas </w:t>
      </w:r>
    </w:p>
    <w:p w:rsidR="00ED67AE" w:rsidRPr="003C6B8E" w:rsidRDefault="00BC192F" w:rsidP="00ED67AE">
      <w:pPr>
        <w:rPr>
          <w:color w:val="000000"/>
          <w:spacing w:val="-3"/>
          <w:szCs w:val="22"/>
          <w:lang w:val="lt-LT"/>
        </w:rPr>
      </w:pPr>
      <w:r>
        <w:rPr>
          <w:color w:val="000000"/>
          <w:spacing w:val="-3"/>
          <w:szCs w:val="22"/>
          <w:lang w:val="lt-LT"/>
        </w:rPr>
        <w:t xml:space="preserve">Šio vaistinio preparato sudėtyje yra laktozės. </w:t>
      </w:r>
      <w:r w:rsidR="00ED67AE" w:rsidRPr="003C6B8E">
        <w:rPr>
          <w:color w:val="000000"/>
          <w:spacing w:val="-3"/>
          <w:szCs w:val="22"/>
          <w:lang w:val="lt-LT"/>
        </w:rPr>
        <w:t xml:space="preserve">Pacientams, kuriems yra retų paveldimų sutrikimų: galaktozės netoleravimas, </w:t>
      </w:r>
      <w:r w:rsidR="00ED67AE" w:rsidRPr="003C6B8E">
        <w:rPr>
          <w:i/>
          <w:color w:val="000000"/>
          <w:spacing w:val="-3"/>
          <w:szCs w:val="22"/>
          <w:lang w:val="lt-LT"/>
        </w:rPr>
        <w:t>Lapp</w:t>
      </w:r>
      <w:r w:rsidR="00ED67AE" w:rsidRPr="003C6B8E">
        <w:rPr>
          <w:color w:val="000000"/>
          <w:spacing w:val="-3"/>
          <w:szCs w:val="22"/>
          <w:lang w:val="lt-LT"/>
        </w:rPr>
        <w:t xml:space="preserve"> laktazės stygius ar gliukozės ir galaktozės malabsorbcija, šio vaistinio preparato vartoti negalima.</w:t>
      </w:r>
    </w:p>
    <w:p w:rsidR="00ED67AE" w:rsidRPr="003C6B8E" w:rsidRDefault="00ED67AE" w:rsidP="00ED67AE">
      <w:pPr>
        <w:rPr>
          <w:color w:val="000000"/>
          <w:spacing w:val="-3"/>
          <w:szCs w:val="22"/>
          <w:lang w:val="lt-LT"/>
        </w:rPr>
      </w:pPr>
    </w:p>
    <w:p w:rsidR="00ED67AE" w:rsidRPr="00CD6267" w:rsidRDefault="00ED67AE" w:rsidP="00ED67AE">
      <w:pPr>
        <w:rPr>
          <w:szCs w:val="22"/>
          <w:lang w:val="lt-LT"/>
        </w:rPr>
      </w:pPr>
      <w:r w:rsidRPr="00CD6267">
        <w:rPr>
          <w:b/>
          <w:szCs w:val="22"/>
          <w:lang w:val="lt-LT"/>
        </w:rPr>
        <w:t>4.5</w:t>
      </w:r>
      <w:r w:rsidRPr="00CD6267">
        <w:rPr>
          <w:b/>
          <w:szCs w:val="22"/>
          <w:lang w:val="lt-LT"/>
        </w:rPr>
        <w:tab/>
        <w:t>Sąveika su kitais vaistiniais preparatais ir kitokia sąveika</w:t>
      </w:r>
    </w:p>
    <w:p w:rsidR="00ED67AE" w:rsidRDefault="00ED67AE" w:rsidP="00ED67AE">
      <w:pPr>
        <w:rPr>
          <w:szCs w:val="22"/>
          <w:lang w:val="lt-LT"/>
        </w:rPr>
      </w:pPr>
    </w:p>
    <w:p w:rsidR="00567EBC" w:rsidRPr="00CD6267" w:rsidRDefault="00567EBC" w:rsidP="00ED67AE">
      <w:pPr>
        <w:rPr>
          <w:szCs w:val="22"/>
          <w:lang w:val="lt-LT"/>
        </w:rPr>
      </w:pPr>
      <w:r>
        <w:rPr>
          <w:szCs w:val="22"/>
          <w:lang w:val="lt-LT"/>
        </w:rPr>
        <w:t>Vaistinio preparato- maisto sąveika</w:t>
      </w:r>
    </w:p>
    <w:p w:rsidR="00ED67AE" w:rsidRPr="00077F56" w:rsidRDefault="00ED67AE" w:rsidP="00ED67AE">
      <w:pPr>
        <w:rPr>
          <w:szCs w:val="22"/>
          <w:lang w:val="lt-LT"/>
        </w:rPr>
      </w:pPr>
      <w:r w:rsidRPr="00E53EF9">
        <w:rPr>
          <w:color w:val="000000"/>
          <w:spacing w:val="-3"/>
          <w:szCs w:val="22"/>
          <w:lang w:val="lt-LT"/>
        </w:rPr>
        <w:t>Maistas dažniausiai sumažina biologinį geriamosios ibandrono rūgšties prieinamumą.</w:t>
      </w:r>
      <w:r w:rsidRPr="00077F56">
        <w:rPr>
          <w:szCs w:val="22"/>
          <w:lang w:val="lt-LT"/>
        </w:rPr>
        <w:t xml:space="preserve"> </w:t>
      </w:r>
      <w:r w:rsidRPr="00077F56">
        <w:rPr>
          <w:color w:val="000000"/>
          <w:spacing w:val="-3"/>
          <w:szCs w:val="22"/>
          <w:lang w:val="lt-LT"/>
        </w:rPr>
        <w:t>Panašu, kad produktai, kuriuose yra kalcio ir kitų daugiavalenčių katijonų (aliuminio, magnio, geležies), taip pat pienas, blogina ibandrono rūgšties absorbciją. Tai patvirtina tyrimų su gyvūnais duomenys.</w:t>
      </w:r>
      <w:r w:rsidRPr="00077F56">
        <w:rPr>
          <w:szCs w:val="22"/>
          <w:lang w:val="lt-LT"/>
        </w:rPr>
        <w:t xml:space="preserve"> </w:t>
      </w:r>
      <w:r w:rsidRPr="00077F56">
        <w:rPr>
          <w:color w:val="000000"/>
          <w:spacing w:val="-3"/>
          <w:szCs w:val="22"/>
          <w:lang w:val="lt-LT"/>
        </w:rPr>
        <w:t xml:space="preserve">Todėl pacientai turi gerti ibandrono ryte nevalgę (bent 6 valandas), o išgėrę vaisto dozę, nevalgyti dar 1 valandą (žr. 4.2 </w:t>
      </w:r>
      <w:r w:rsidRPr="00077F56">
        <w:rPr>
          <w:color w:val="000000"/>
          <w:spacing w:val="-4"/>
          <w:szCs w:val="22"/>
          <w:lang w:val="lt-LT"/>
        </w:rPr>
        <w:t>skyrių).</w:t>
      </w:r>
      <w:r w:rsidRPr="00077F56">
        <w:rPr>
          <w:szCs w:val="22"/>
          <w:lang w:val="lt-LT"/>
        </w:rPr>
        <w:t xml:space="preserve"> </w:t>
      </w:r>
    </w:p>
    <w:p w:rsidR="00ED67AE" w:rsidRDefault="00ED67AE" w:rsidP="00ED67AE">
      <w:pPr>
        <w:rPr>
          <w:szCs w:val="22"/>
          <w:lang w:val="lt-LT"/>
        </w:rPr>
      </w:pPr>
    </w:p>
    <w:p w:rsidR="00567EBC" w:rsidRPr="00567EBC" w:rsidRDefault="00567EBC" w:rsidP="00567EBC">
      <w:pPr>
        <w:rPr>
          <w:i/>
          <w:szCs w:val="22"/>
          <w:lang w:val="lt-LT"/>
        </w:rPr>
      </w:pPr>
      <w:r w:rsidRPr="00567EBC">
        <w:rPr>
          <w:i/>
          <w:szCs w:val="22"/>
          <w:lang w:val="lt-LT"/>
        </w:rPr>
        <w:t>Sąveika</w:t>
      </w:r>
      <w:r w:rsidRPr="00383225">
        <w:rPr>
          <w:rFonts w:eastAsia="Calibri"/>
          <w:i/>
          <w:szCs w:val="22"/>
          <w:lang w:val="lt-LT"/>
        </w:rPr>
        <w:t xml:space="preserve"> su kitais vaistiniais preparatais</w:t>
      </w:r>
    </w:p>
    <w:p w:rsidR="00567EBC" w:rsidRPr="00567EBC" w:rsidRDefault="00567EBC" w:rsidP="00567EBC">
      <w:pPr>
        <w:rPr>
          <w:szCs w:val="22"/>
          <w:lang w:val="lt-LT"/>
        </w:rPr>
      </w:pPr>
      <w:r w:rsidRPr="00567EBC">
        <w:rPr>
          <w:szCs w:val="22"/>
          <w:lang w:val="lt-LT"/>
        </w:rPr>
        <w:t>Manoma, kad metabolinės sąveikos neturėtų būti, kadangi</w:t>
      </w:r>
      <w:r w:rsidRPr="00383225">
        <w:rPr>
          <w:rFonts w:eastAsia="Calibri"/>
          <w:szCs w:val="22"/>
          <w:lang w:val="lt-LT"/>
        </w:rPr>
        <w:t xml:space="preserve"> ibandrono rūgštis neslopina </w:t>
      </w:r>
      <w:r w:rsidRPr="00567EBC">
        <w:rPr>
          <w:szCs w:val="22"/>
          <w:lang w:val="lt-LT"/>
        </w:rPr>
        <w:t>pagrindinių</w:t>
      </w:r>
      <w:r w:rsidRPr="00383225">
        <w:rPr>
          <w:rFonts w:eastAsia="Calibri"/>
          <w:szCs w:val="22"/>
          <w:lang w:val="lt-LT"/>
        </w:rPr>
        <w:t xml:space="preserve"> žmogaus kepenų </w:t>
      </w:r>
      <w:r w:rsidRPr="00567EBC">
        <w:rPr>
          <w:szCs w:val="22"/>
          <w:lang w:val="lt-LT"/>
        </w:rPr>
        <w:t>P450</w:t>
      </w:r>
      <w:r w:rsidRPr="00383225">
        <w:rPr>
          <w:rFonts w:eastAsia="Calibri"/>
          <w:szCs w:val="22"/>
          <w:lang w:val="lt-LT"/>
        </w:rPr>
        <w:t xml:space="preserve"> izofermentų ir </w:t>
      </w:r>
      <w:r w:rsidRPr="00567EBC">
        <w:rPr>
          <w:szCs w:val="22"/>
          <w:lang w:val="lt-LT"/>
        </w:rPr>
        <w:t>nesužadina žiurkių</w:t>
      </w:r>
      <w:r w:rsidRPr="00383225">
        <w:rPr>
          <w:rFonts w:eastAsia="Calibri"/>
          <w:szCs w:val="22"/>
          <w:lang w:val="lt-LT"/>
        </w:rPr>
        <w:t xml:space="preserve"> kepenų citochromo </w:t>
      </w:r>
      <w:r w:rsidRPr="00567EBC">
        <w:rPr>
          <w:szCs w:val="22"/>
          <w:lang w:val="lt-LT"/>
        </w:rPr>
        <w:t>p450</w:t>
      </w:r>
      <w:r w:rsidRPr="00383225">
        <w:rPr>
          <w:rFonts w:eastAsia="Calibri"/>
          <w:szCs w:val="22"/>
          <w:lang w:val="lt-LT"/>
        </w:rPr>
        <w:t xml:space="preserve"> sistemos</w:t>
      </w:r>
      <w:r w:rsidRPr="00567EBC">
        <w:rPr>
          <w:szCs w:val="22"/>
          <w:lang w:val="lt-LT"/>
        </w:rPr>
        <w:t xml:space="preserve"> fermentų (žr. 5.2 skyrių). Ibandrono rūgštis pašalinama tik ekskrecijos per inkstus būdu, jos biotransformacija nevyksta.</w:t>
      </w:r>
    </w:p>
    <w:p w:rsidR="00567EBC" w:rsidRDefault="00567EBC" w:rsidP="00ED67AE">
      <w:pPr>
        <w:rPr>
          <w:szCs w:val="22"/>
          <w:lang w:val="lt-LT"/>
        </w:rPr>
      </w:pPr>
    </w:p>
    <w:p w:rsidR="00BC192F" w:rsidRPr="00383225" w:rsidRDefault="00BC192F" w:rsidP="00ED67AE">
      <w:pPr>
        <w:rPr>
          <w:szCs w:val="22"/>
          <w:u w:val="single"/>
          <w:lang w:val="lt-LT"/>
        </w:rPr>
      </w:pPr>
      <w:r w:rsidRPr="00383225">
        <w:rPr>
          <w:szCs w:val="22"/>
          <w:u w:val="single"/>
          <w:lang w:val="lt-LT"/>
        </w:rPr>
        <w:t>Kalcio papildai, antacidiniai ir kiti daugiavalenčių katijonų turintys vaistiniai preparatai</w:t>
      </w:r>
    </w:p>
    <w:p w:rsidR="00ED67AE" w:rsidRPr="00077F56" w:rsidRDefault="00ED67AE" w:rsidP="00ED67AE">
      <w:pPr>
        <w:rPr>
          <w:szCs w:val="22"/>
          <w:lang w:val="lt-LT"/>
        </w:rPr>
      </w:pPr>
      <w:r w:rsidRPr="00077F56">
        <w:rPr>
          <w:color w:val="000000"/>
          <w:spacing w:val="-3"/>
          <w:szCs w:val="22"/>
          <w:lang w:val="lt-LT"/>
        </w:rPr>
        <w:t>Panašu, kad kalcio papildai, antacidiniai va</w:t>
      </w:r>
      <w:r w:rsidR="00BC192F">
        <w:rPr>
          <w:color w:val="000000"/>
          <w:spacing w:val="-3"/>
          <w:szCs w:val="22"/>
          <w:lang w:val="lt-LT"/>
        </w:rPr>
        <w:t>istiniai preparati</w:t>
      </w:r>
      <w:r w:rsidRPr="00077F56">
        <w:rPr>
          <w:color w:val="000000"/>
          <w:spacing w:val="-3"/>
          <w:szCs w:val="22"/>
          <w:lang w:val="lt-LT"/>
        </w:rPr>
        <w:t xml:space="preserve"> ir kai kurie geriamieji medicininiai produktai, kuriuose yra daugiavalenčių katijonų (aliuminio, magnio, geležies), blogina ibandrono rūgšties absorbciją.</w:t>
      </w:r>
      <w:r w:rsidRPr="00077F56">
        <w:rPr>
          <w:szCs w:val="22"/>
          <w:lang w:val="lt-LT"/>
        </w:rPr>
        <w:t xml:space="preserve"> </w:t>
      </w:r>
      <w:r w:rsidRPr="00077F56">
        <w:rPr>
          <w:color w:val="000000"/>
          <w:spacing w:val="-3"/>
          <w:szCs w:val="22"/>
          <w:lang w:val="lt-LT"/>
        </w:rPr>
        <w:t xml:space="preserve">Todėl pacientai neturėtų vartoti kitų geriamųjų medicininių produktų bent 6 valandas iki ibandrono rūgšties vartojimo </w:t>
      </w:r>
      <w:r w:rsidRPr="00077F56">
        <w:rPr>
          <w:color w:val="000000"/>
          <w:spacing w:val="-4"/>
          <w:szCs w:val="22"/>
          <w:lang w:val="lt-LT"/>
        </w:rPr>
        <w:t xml:space="preserve">ir dar 1 valandą pavartojus </w:t>
      </w:r>
      <w:r w:rsidRPr="00077F56">
        <w:rPr>
          <w:color w:val="000000"/>
          <w:spacing w:val="-3"/>
          <w:szCs w:val="22"/>
          <w:lang w:val="lt-LT"/>
        </w:rPr>
        <w:t>ibandrono rūgšties</w:t>
      </w:r>
      <w:r w:rsidRPr="00077F56">
        <w:rPr>
          <w:color w:val="000000"/>
          <w:spacing w:val="-4"/>
          <w:szCs w:val="22"/>
          <w:lang w:val="lt-LT"/>
        </w:rPr>
        <w:t>.</w:t>
      </w:r>
      <w:r w:rsidRPr="00077F56">
        <w:rPr>
          <w:szCs w:val="22"/>
          <w:lang w:val="lt-LT"/>
        </w:rPr>
        <w:t xml:space="preserve"> </w:t>
      </w:r>
    </w:p>
    <w:p w:rsidR="00ED67AE" w:rsidRDefault="00ED67AE" w:rsidP="00ED67AE">
      <w:pPr>
        <w:rPr>
          <w:szCs w:val="22"/>
          <w:lang w:val="lt-LT"/>
        </w:rPr>
      </w:pPr>
    </w:p>
    <w:p w:rsidR="004B6502" w:rsidRPr="00383225" w:rsidRDefault="004B6502" w:rsidP="004B6502">
      <w:pPr>
        <w:rPr>
          <w:szCs w:val="22"/>
          <w:u w:val="single"/>
          <w:lang w:val="lt-LT"/>
        </w:rPr>
      </w:pPr>
      <w:r w:rsidRPr="00383225">
        <w:rPr>
          <w:szCs w:val="22"/>
          <w:u w:val="single"/>
          <w:lang w:val="lt-LT"/>
        </w:rPr>
        <w:t>Acetilsalicilo rūgštis ir NVNU</w:t>
      </w:r>
    </w:p>
    <w:p w:rsidR="004B6502" w:rsidRPr="004B6502" w:rsidRDefault="004B6502" w:rsidP="004B6502">
      <w:pPr>
        <w:rPr>
          <w:szCs w:val="22"/>
          <w:lang w:val="lt-LT"/>
        </w:rPr>
      </w:pPr>
      <w:r w:rsidRPr="004B6502">
        <w:rPr>
          <w:szCs w:val="22"/>
          <w:lang w:val="lt-LT"/>
        </w:rPr>
        <w:t>Kadangi acetilsalicilo rūgštis, nesteroidiniai vaistai nuo uždegimo ir bi</w:t>
      </w:r>
      <w:r w:rsidR="00383225">
        <w:rPr>
          <w:szCs w:val="22"/>
          <w:lang w:val="lt-LT"/>
        </w:rPr>
        <w:t>s</w:t>
      </w:r>
      <w:r w:rsidRPr="004B6502">
        <w:rPr>
          <w:szCs w:val="22"/>
          <w:lang w:val="lt-LT"/>
        </w:rPr>
        <w:t>fosfonatai susiję su virškinimo trakto dirginimu, reikia imtis atsargumo priemonių juos vartojant kartu (žr. 4.4 skyrių).</w:t>
      </w:r>
    </w:p>
    <w:p w:rsidR="004B6502" w:rsidRDefault="004B6502" w:rsidP="00ED67AE">
      <w:pPr>
        <w:rPr>
          <w:szCs w:val="22"/>
          <w:lang w:val="lt-LT"/>
        </w:rPr>
      </w:pPr>
    </w:p>
    <w:p w:rsidR="004B6502" w:rsidRPr="00077F56" w:rsidRDefault="004B6502" w:rsidP="00ED67AE">
      <w:pPr>
        <w:rPr>
          <w:szCs w:val="22"/>
          <w:lang w:val="lt-LT"/>
        </w:rPr>
      </w:pPr>
      <w:r w:rsidRPr="00383225">
        <w:rPr>
          <w:szCs w:val="22"/>
          <w:u w:val="single"/>
          <w:lang w:val="lt-LT"/>
        </w:rPr>
        <w:t>H</w:t>
      </w:r>
      <w:r w:rsidRPr="00383225">
        <w:rPr>
          <w:szCs w:val="22"/>
          <w:u w:val="single"/>
          <w:vertAlign w:val="subscript"/>
          <w:lang w:val="lt-LT"/>
        </w:rPr>
        <w:t>2</w:t>
      </w:r>
      <w:r w:rsidRPr="00383225">
        <w:rPr>
          <w:szCs w:val="22"/>
          <w:u w:val="single"/>
          <w:lang w:val="lt-LT"/>
        </w:rPr>
        <w:t xml:space="preserve"> receptorių blokatoriai ir kiti skrandžio pH didinantys vaistiniai preparatai</w:t>
      </w:r>
    </w:p>
    <w:p w:rsidR="00ED67AE" w:rsidRPr="00077F56" w:rsidRDefault="00ED67AE" w:rsidP="00ED67AE">
      <w:pPr>
        <w:rPr>
          <w:lang w:val="lt-LT"/>
        </w:rPr>
      </w:pPr>
      <w:r w:rsidRPr="00077F56">
        <w:rPr>
          <w:color w:val="000000"/>
          <w:spacing w:val="-3"/>
          <w:lang w:val="lt-LT"/>
        </w:rPr>
        <w:t>Iš 1500 pacienčių, dalyvavusių BM 16549 tyrime, kurio metu buvo lyginamas ibandrono rūgšties dozavimas kartą per mėnesį ir kartą per parą, 14% ir 18% vartojo histamino (H2), blokatorius ar protonų siurblio inhibitorius atitinkamai po vienerių ir dvejų metų.</w:t>
      </w:r>
      <w:r w:rsidRPr="00077F56">
        <w:rPr>
          <w:lang w:val="lt-LT"/>
        </w:rPr>
        <w:t xml:space="preserve"> </w:t>
      </w:r>
      <w:r w:rsidRPr="00077F56">
        <w:rPr>
          <w:color w:val="000000"/>
          <w:spacing w:val="-3"/>
          <w:lang w:val="lt-LT"/>
        </w:rPr>
        <w:t>Šioms pacientėms viršutinio virškinimo trakto aukšto sutrikimų dažnis buvo panašus tarp tų, kurios vartojo 150 mg ibandrono rūgšties kartą per mėnesį, ir tų, kurios ibandrono rūgšties 2,5 mg vartojo kartą per parą.</w:t>
      </w:r>
    </w:p>
    <w:p w:rsidR="00ED67AE" w:rsidRPr="00077F56" w:rsidRDefault="00ED67AE" w:rsidP="00ED67AE">
      <w:pPr>
        <w:rPr>
          <w:lang w:val="lt-LT"/>
        </w:rPr>
      </w:pPr>
    </w:p>
    <w:p w:rsidR="00ED67AE" w:rsidRPr="00077F56" w:rsidRDefault="00ED67AE" w:rsidP="00ED67AE">
      <w:pPr>
        <w:rPr>
          <w:lang w:val="lt-LT"/>
        </w:rPr>
      </w:pPr>
      <w:r w:rsidRPr="00077F56">
        <w:rPr>
          <w:lang w:val="lt-LT"/>
        </w:rPr>
        <w:t xml:space="preserve">Sušvirkštus ranitidino į veną sveikiems savanoriams vyrams ir moterims po menopauzės, biologinis ibandrono rūgšties prieinamumas padidėjo maždaug 20%, tikriausiai dėl sumažėjusio skrandžio sulčių rūgštingumo. </w:t>
      </w:r>
      <w:r w:rsidRPr="00077F56">
        <w:rPr>
          <w:color w:val="000000"/>
          <w:spacing w:val="-3"/>
          <w:lang w:val="lt-LT"/>
        </w:rPr>
        <w:t xml:space="preserve">Tačiau šis padidėjimas patenka į normalių biologinio ibandrono rūgšties prieinamumo reikšmių amplitudę, todėl </w:t>
      </w:r>
      <w:r w:rsidRPr="00077F56">
        <w:rPr>
          <w:color w:val="000000"/>
          <w:spacing w:val="-3"/>
          <w:szCs w:val="22"/>
          <w:lang w:val="lt-LT"/>
        </w:rPr>
        <w:t>ibandrono rūgšties</w:t>
      </w:r>
      <w:r w:rsidRPr="00077F56">
        <w:rPr>
          <w:color w:val="000000"/>
          <w:spacing w:val="-3"/>
          <w:lang w:val="lt-LT"/>
        </w:rPr>
        <w:t xml:space="preserve"> skiriant kartu su H</w:t>
      </w:r>
      <w:r w:rsidRPr="00077F56">
        <w:rPr>
          <w:color w:val="000000"/>
          <w:spacing w:val="-3"/>
          <w:vertAlign w:val="subscript"/>
          <w:lang w:val="lt-LT"/>
        </w:rPr>
        <w:t>2</w:t>
      </w:r>
      <w:r w:rsidRPr="00077F56">
        <w:rPr>
          <w:color w:val="000000"/>
          <w:spacing w:val="-3"/>
          <w:lang w:val="lt-LT"/>
        </w:rPr>
        <w:t xml:space="preserve"> antagonistais ar su kitais skrandžio pH </w:t>
      </w:r>
      <w:r w:rsidRPr="00077F56">
        <w:rPr>
          <w:color w:val="000000"/>
          <w:spacing w:val="-4"/>
          <w:lang w:val="lt-LT"/>
        </w:rPr>
        <w:t>didinančiais vaistais dozės koreguoti nereikia.</w:t>
      </w:r>
      <w:r w:rsidRPr="00077F56">
        <w:rPr>
          <w:lang w:val="lt-LT"/>
        </w:rPr>
        <w:t xml:space="preserve"> </w:t>
      </w:r>
    </w:p>
    <w:p w:rsidR="00ED67AE" w:rsidRPr="00077F56" w:rsidRDefault="00ED67AE" w:rsidP="00ED67AE">
      <w:pPr>
        <w:rPr>
          <w:lang w:val="lt-LT"/>
        </w:rPr>
      </w:pPr>
    </w:p>
    <w:p w:rsidR="00ED67AE" w:rsidRPr="00077F56" w:rsidRDefault="00ED67AE" w:rsidP="00ED67AE">
      <w:pPr>
        <w:rPr>
          <w:lang w:val="lt-LT"/>
        </w:rPr>
      </w:pPr>
    </w:p>
    <w:p w:rsidR="00ED67AE" w:rsidRPr="00A65E8B" w:rsidRDefault="00ED67AE" w:rsidP="00ED67AE">
      <w:pPr>
        <w:rPr>
          <w:szCs w:val="22"/>
          <w:lang w:val="lt-LT"/>
        </w:rPr>
      </w:pPr>
      <w:r w:rsidRPr="00A65E8B">
        <w:rPr>
          <w:b/>
          <w:szCs w:val="22"/>
          <w:lang w:val="lt-LT"/>
        </w:rPr>
        <w:t>4.6</w:t>
      </w:r>
      <w:r w:rsidRPr="00A65E8B">
        <w:rPr>
          <w:b/>
          <w:szCs w:val="22"/>
          <w:lang w:val="lt-LT"/>
        </w:rPr>
        <w:tab/>
      </w:r>
      <w:r>
        <w:rPr>
          <w:b/>
          <w:szCs w:val="22"/>
          <w:lang w:val="lt-LT"/>
        </w:rPr>
        <w:t>Vaisingumas, n</w:t>
      </w:r>
      <w:r w:rsidRPr="00A65E8B">
        <w:rPr>
          <w:b/>
          <w:bCs/>
          <w:szCs w:val="22"/>
          <w:lang w:val="lt-LT"/>
        </w:rPr>
        <w:t>ėštumo ir žindymo laikotarpis</w:t>
      </w:r>
    </w:p>
    <w:p w:rsidR="00ED67AE" w:rsidRPr="00A65E8B" w:rsidRDefault="00ED67AE" w:rsidP="00ED67AE">
      <w:pPr>
        <w:rPr>
          <w:szCs w:val="22"/>
          <w:lang w:val="lt-LT"/>
        </w:rPr>
      </w:pPr>
    </w:p>
    <w:p w:rsidR="00ED67AE" w:rsidRPr="00383225" w:rsidRDefault="00097378" w:rsidP="00ED67AE">
      <w:pPr>
        <w:rPr>
          <w:szCs w:val="22"/>
          <w:u w:val="single"/>
          <w:lang w:val="lt-LT"/>
        </w:rPr>
      </w:pPr>
      <w:r w:rsidRPr="00383225">
        <w:rPr>
          <w:color w:val="000000"/>
          <w:spacing w:val="-4"/>
          <w:szCs w:val="22"/>
          <w:u w:val="single"/>
          <w:lang w:val="lt-LT"/>
        </w:rPr>
        <w:t>Nėštumas</w:t>
      </w:r>
    </w:p>
    <w:p w:rsidR="00ED67AE" w:rsidRPr="00F32374" w:rsidRDefault="00ED67AE" w:rsidP="00ED67AE">
      <w:pPr>
        <w:rPr>
          <w:szCs w:val="22"/>
          <w:lang w:val="lt-LT"/>
        </w:rPr>
      </w:pPr>
      <w:r w:rsidRPr="00F32374">
        <w:rPr>
          <w:szCs w:val="22"/>
          <w:lang w:val="lt-LT"/>
        </w:rPr>
        <w:t xml:space="preserve">Dar nepakanka duomenų apie ibandrono rūgšties skyrimą nėščioms moterims. Tiriant žiurkes nustatytas toksinis poveikis reprodukcinei sistemai (žr. 5.3 skyrių). Galimas pavojus žmogui nežinomas. </w:t>
      </w:r>
    </w:p>
    <w:p w:rsidR="00ED67AE" w:rsidRPr="007E2511" w:rsidRDefault="00ED67AE" w:rsidP="00ED67AE">
      <w:pPr>
        <w:rPr>
          <w:szCs w:val="22"/>
          <w:lang w:val="es-ES_tradnl"/>
        </w:rPr>
      </w:pPr>
      <w:r w:rsidRPr="009347D2">
        <w:rPr>
          <w:lang w:val="lt-LT"/>
        </w:rPr>
        <w:t>Ibandrono rūgšties negalima vartoti nėštumo metu.</w:t>
      </w:r>
    </w:p>
    <w:p w:rsidR="00ED67AE" w:rsidRPr="009347D2" w:rsidRDefault="00ED67AE" w:rsidP="00ED67AE">
      <w:pPr>
        <w:rPr>
          <w:lang w:val="lt-LT"/>
        </w:rPr>
      </w:pPr>
    </w:p>
    <w:p w:rsidR="00ED67AE" w:rsidRPr="00383225" w:rsidRDefault="00ED67AE" w:rsidP="00ED67AE">
      <w:pPr>
        <w:rPr>
          <w:u w:val="single"/>
          <w:lang w:val="lt-LT"/>
        </w:rPr>
      </w:pPr>
      <w:r w:rsidRPr="00383225">
        <w:rPr>
          <w:color w:val="000000"/>
          <w:spacing w:val="-4"/>
          <w:u w:val="single"/>
          <w:lang w:val="lt-LT"/>
        </w:rPr>
        <w:t>Žindymo laikotarpis</w:t>
      </w:r>
      <w:r w:rsidRPr="00383225">
        <w:rPr>
          <w:u w:val="single"/>
          <w:lang w:val="lt-LT"/>
        </w:rPr>
        <w:t xml:space="preserve"> </w:t>
      </w:r>
    </w:p>
    <w:p w:rsidR="00ED67AE" w:rsidRPr="009347D2" w:rsidRDefault="00ED67AE" w:rsidP="00ED67AE">
      <w:pPr>
        <w:rPr>
          <w:lang w:val="lt-LT"/>
        </w:rPr>
      </w:pPr>
      <w:r w:rsidRPr="009347D2">
        <w:rPr>
          <w:lang w:val="lt-LT"/>
        </w:rPr>
        <w:t xml:space="preserve">Nėra žinoma, ar ibandrono rūgštis išskiriama į motinos pieną. Tiriant nustatyta, kad, vaisto sušvirkštus į veną, žindančių žiurkių piene buvo nedaug ibandrono rūgšties. </w:t>
      </w:r>
    </w:p>
    <w:p w:rsidR="00ED67AE" w:rsidRPr="007E2511" w:rsidRDefault="00ED67AE" w:rsidP="00ED67AE">
      <w:pPr>
        <w:rPr>
          <w:szCs w:val="22"/>
          <w:lang w:val="es-ES_tradnl"/>
        </w:rPr>
      </w:pPr>
      <w:r w:rsidRPr="009347D2">
        <w:rPr>
          <w:lang w:val="lt-LT"/>
        </w:rPr>
        <w:t>Ibandrono rūgšties žindymo metu vartoti negalima.</w:t>
      </w:r>
    </w:p>
    <w:p w:rsidR="00ED67AE" w:rsidRDefault="00ED67AE" w:rsidP="00ED67AE">
      <w:pPr>
        <w:rPr>
          <w:szCs w:val="22"/>
          <w:lang w:val="es-ES_tradnl"/>
        </w:rPr>
      </w:pPr>
    </w:p>
    <w:p w:rsidR="00ED67AE" w:rsidRPr="00097378" w:rsidRDefault="00ED67AE" w:rsidP="00ED67AE">
      <w:pPr>
        <w:rPr>
          <w:u w:val="single"/>
          <w:lang w:val="es-ES_tradnl"/>
        </w:rPr>
      </w:pPr>
      <w:r w:rsidRPr="00097378">
        <w:rPr>
          <w:u w:val="single"/>
          <w:lang w:val="es-ES_tradnl"/>
        </w:rPr>
        <w:t>Vaisingumas</w:t>
      </w:r>
    </w:p>
    <w:p w:rsidR="00ED67AE" w:rsidRPr="00077F56" w:rsidRDefault="00ED67AE" w:rsidP="00ED67AE">
      <w:pPr>
        <w:rPr>
          <w:szCs w:val="22"/>
          <w:lang w:val="es-ES_tradnl"/>
        </w:rPr>
      </w:pPr>
      <w:r w:rsidRPr="00077F56">
        <w:rPr>
          <w:szCs w:val="22"/>
          <w:lang w:val="es-ES_tradnl"/>
        </w:rPr>
        <w:t>Duomenų apie ibandrono rūgšties poveikius žmonėms nėra. Poveikio žiurkių reprodukcijai tyrimų metu geriamoji ibandrono rūgštis vaisingumą sumažino. Tyrimų su žiurkėmis metu suleistos į veną didelės ibandrono rūgšties paros dozės vaisingumą sumažino (žr. 5.3 skyrių).</w:t>
      </w:r>
    </w:p>
    <w:p w:rsidR="00ED67AE" w:rsidRPr="00F32374" w:rsidRDefault="00ED67AE" w:rsidP="00ED67AE">
      <w:pPr>
        <w:rPr>
          <w:szCs w:val="22"/>
          <w:lang w:val="es-ES_tradnl"/>
        </w:rPr>
      </w:pPr>
    </w:p>
    <w:p w:rsidR="00ED67AE" w:rsidRPr="00CD6267" w:rsidRDefault="00ED67AE" w:rsidP="00ED67AE">
      <w:pPr>
        <w:rPr>
          <w:szCs w:val="22"/>
          <w:lang w:val="lt-LT"/>
        </w:rPr>
      </w:pPr>
      <w:r w:rsidRPr="00CD6267">
        <w:rPr>
          <w:b/>
          <w:szCs w:val="22"/>
          <w:lang w:val="lt-LT"/>
        </w:rPr>
        <w:t>4.7</w:t>
      </w:r>
      <w:r w:rsidRPr="00CD6267">
        <w:rPr>
          <w:b/>
          <w:szCs w:val="22"/>
          <w:lang w:val="lt-LT"/>
        </w:rPr>
        <w:tab/>
        <w:t>Poveikis gebėjimui vairuoti ir valdyti mechanizmus</w:t>
      </w:r>
    </w:p>
    <w:p w:rsidR="00ED67AE" w:rsidRPr="00CD6267" w:rsidRDefault="00ED67AE" w:rsidP="00ED67AE">
      <w:pPr>
        <w:rPr>
          <w:szCs w:val="22"/>
          <w:lang w:val="lt-LT"/>
        </w:rPr>
      </w:pPr>
    </w:p>
    <w:p w:rsidR="00ED67AE" w:rsidRPr="00CD6267" w:rsidRDefault="00ED67AE" w:rsidP="00ED67AE">
      <w:pPr>
        <w:rPr>
          <w:szCs w:val="22"/>
          <w:lang w:val="lt-LT"/>
        </w:rPr>
      </w:pPr>
      <w:r>
        <w:rPr>
          <w:szCs w:val="22"/>
          <w:lang w:val="lt-LT"/>
        </w:rPr>
        <w:t>Poveikio gebėjimui vairuoti ir valdyti mechanizmus tyrimų neatlikta.</w:t>
      </w:r>
    </w:p>
    <w:p w:rsidR="00ED67AE" w:rsidRPr="00CD6267" w:rsidRDefault="00ED67AE" w:rsidP="00ED67AE">
      <w:pPr>
        <w:rPr>
          <w:szCs w:val="22"/>
          <w:lang w:val="lt-LT"/>
        </w:rPr>
      </w:pPr>
    </w:p>
    <w:p w:rsidR="00ED67AE" w:rsidRPr="00CD6267" w:rsidRDefault="00ED67AE" w:rsidP="00ED67AE">
      <w:pPr>
        <w:rPr>
          <w:b/>
          <w:szCs w:val="22"/>
          <w:lang w:val="lt-LT"/>
        </w:rPr>
      </w:pPr>
      <w:r>
        <w:rPr>
          <w:b/>
          <w:szCs w:val="22"/>
          <w:lang w:val="lt-LT"/>
        </w:rPr>
        <w:t>4.8</w:t>
      </w:r>
      <w:r>
        <w:rPr>
          <w:b/>
          <w:szCs w:val="22"/>
          <w:lang w:val="lt-LT"/>
        </w:rPr>
        <w:tab/>
      </w:r>
      <w:r w:rsidRPr="00CD6267">
        <w:rPr>
          <w:b/>
          <w:szCs w:val="22"/>
          <w:lang w:val="lt-LT"/>
        </w:rPr>
        <w:t>Nepageidaujamas poveikis</w:t>
      </w:r>
    </w:p>
    <w:p w:rsidR="00ED67AE" w:rsidRDefault="00ED67AE" w:rsidP="00ED67AE">
      <w:pPr>
        <w:rPr>
          <w:b/>
          <w:szCs w:val="22"/>
          <w:lang w:val="lt-LT"/>
        </w:rPr>
      </w:pPr>
    </w:p>
    <w:p w:rsidR="0072001F" w:rsidRPr="0072001F" w:rsidRDefault="0072001F" w:rsidP="0072001F">
      <w:pPr>
        <w:rPr>
          <w:szCs w:val="22"/>
          <w:lang w:val="lt-LT"/>
        </w:rPr>
      </w:pPr>
      <w:r>
        <w:rPr>
          <w:szCs w:val="22"/>
          <w:u w:val="single"/>
          <w:lang w:val="lt-LT"/>
        </w:rPr>
        <w:t>Saugumo duomenų</w:t>
      </w:r>
      <w:r w:rsidRPr="0072001F">
        <w:rPr>
          <w:szCs w:val="22"/>
          <w:u w:val="single"/>
          <w:lang w:val="lt-LT"/>
        </w:rPr>
        <w:t xml:space="preserve"> santrauka </w:t>
      </w:r>
    </w:p>
    <w:p w:rsidR="0072001F" w:rsidRPr="0072001F" w:rsidRDefault="0072001F" w:rsidP="0072001F">
      <w:pPr>
        <w:rPr>
          <w:szCs w:val="22"/>
          <w:lang w:val="lt-LT"/>
        </w:rPr>
      </w:pPr>
      <w:r w:rsidRPr="0072001F">
        <w:rPr>
          <w:szCs w:val="22"/>
          <w:lang w:val="lt-LT"/>
        </w:rPr>
        <w:t xml:space="preserve">Sunkiausios nepageidaujamos reakcijos yra anafilaksinė reakcija ar šokas, atipiniai šlaunikaulio lūžiai, žandikaulio osteonekrozė, virškinimo trakto dirginimas, akių uždegimas (žiūrėkite paragrafą „Atrinktų nepageidaujamų reakcijų apibūdinimas” ir 4.4 skyrių). </w:t>
      </w:r>
    </w:p>
    <w:p w:rsidR="0002542A" w:rsidRPr="00C40154" w:rsidRDefault="0002542A" w:rsidP="0002542A">
      <w:pPr>
        <w:rPr>
          <w:noProof/>
          <w:szCs w:val="22"/>
          <w:lang w:val="lt-LT"/>
        </w:rPr>
      </w:pPr>
      <w:r w:rsidRPr="00C40154">
        <w:rPr>
          <w:noProof/>
          <w:szCs w:val="22"/>
          <w:lang w:val="lt-LT"/>
        </w:rPr>
        <w:t>Dažniausia pranešimuose aprašoma nepageidaujama reakcija buvo artralgija</w:t>
      </w:r>
      <w:r>
        <w:rPr>
          <w:noProof/>
          <w:szCs w:val="22"/>
          <w:lang w:val="lt-LT"/>
        </w:rPr>
        <w:t xml:space="preserve"> ir panašūs į gripo simptomai. Dažniausiai šie simptomai susiję su pirma doze, pagrinde trumpalaikiai, nesunkūs ar vidutinio sunkumo, tęsiant gydymą dažniausiai praeina be papildomo gydymo (žr. skyrių „Į gripą panaši liga“).</w:t>
      </w:r>
    </w:p>
    <w:p w:rsidR="00CE0CA7" w:rsidRDefault="00CE0CA7" w:rsidP="00ED67AE">
      <w:pPr>
        <w:rPr>
          <w:color w:val="000000"/>
          <w:spacing w:val="-3"/>
          <w:szCs w:val="22"/>
          <w:lang w:val="lt-LT"/>
        </w:rPr>
      </w:pPr>
    </w:p>
    <w:p w:rsidR="0002542A" w:rsidRDefault="0002542A" w:rsidP="00ED67AE">
      <w:pPr>
        <w:rPr>
          <w:color w:val="000000"/>
          <w:spacing w:val="-3"/>
          <w:szCs w:val="22"/>
          <w:lang w:val="lt-LT"/>
        </w:rPr>
      </w:pPr>
      <w:r>
        <w:rPr>
          <w:color w:val="000000"/>
          <w:spacing w:val="-3"/>
          <w:szCs w:val="22"/>
          <w:lang w:val="lt-LT"/>
        </w:rPr>
        <w:t>Nepageidaujamų reakcijų santrauka lentelėje</w:t>
      </w:r>
    </w:p>
    <w:p w:rsidR="00ED67AE" w:rsidRPr="00C40154" w:rsidRDefault="0002542A" w:rsidP="00ED67AE">
      <w:pPr>
        <w:rPr>
          <w:color w:val="000000"/>
          <w:spacing w:val="-3"/>
          <w:szCs w:val="22"/>
          <w:lang w:val="lt-LT"/>
        </w:rPr>
      </w:pPr>
      <w:r>
        <w:rPr>
          <w:color w:val="000000"/>
          <w:spacing w:val="-3"/>
          <w:szCs w:val="22"/>
          <w:lang w:val="lt-LT"/>
        </w:rPr>
        <w:t xml:space="preserve">Ą lentelėje pateikiamos pilnas žinomų pašalinių reakcijų sąrašas. </w:t>
      </w:r>
      <w:r w:rsidR="00ED67AE" w:rsidRPr="00C40154">
        <w:rPr>
          <w:color w:val="000000"/>
          <w:spacing w:val="-3"/>
          <w:szCs w:val="22"/>
          <w:lang w:val="lt-LT"/>
        </w:rPr>
        <w:t>Geriamosios ibandrono rūgšties 2,5 mg per parą saugumas buvo vertinamas pagal 1251 pacientės, vartojusios preparatą keturių placebu kontroliuojamų klinikinių tyrimų, metu, duomenis; didžioji dauguma pacienčių dalyvavo pagrindiniame trejų metų gydymo tyrime (MF 4411). Bendrieji visų šių ibandrono rūgšties 2,5 mg per parą ir placebo saugumo tyrimų duomenys buvo panašūs.</w:t>
      </w:r>
    </w:p>
    <w:p w:rsidR="00ED67AE" w:rsidRPr="00C40154" w:rsidRDefault="00ED67AE" w:rsidP="00ED67AE">
      <w:pPr>
        <w:rPr>
          <w:noProof/>
          <w:szCs w:val="22"/>
          <w:lang w:val="lt-LT"/>
        </w:rPr>
      </w:pPr>
      <w:r w:rsidRPr="00C40154">
        <w:rPr>
          <w:noProof/>
          <w:szCs w:val="22"/>
          <w:lang w:val="lt-LT"/>
        </w:rPr>
        <w:t xml:space="preserve"> </w:t>
      </w:r>
    </w:p>
    <w:p w:rsidR="00ED67AE" w:rsidRPr="00C40154" w:rsidRDefault="00ED67AE" w:rsidP="00ED67AE">
      <w:pPr>
        <w:rPr>
          <w:noProof/>
          <w:szCs w:val="22"/>
          <w:lang w:val="lt-LT"/>
        </w:rPr>
      </w:pPr>
      <w:r w:rsidRPr="00C40154">
        <w:rPr>
          <w:color w:val="000000"/>
          <w:spacing w:val="-3"/>
          <w:szCs w:val="22"/>
          <w:lang w:val="lt-LT"/>
        </w:rPr>
        <w:t>Dvejų metų trukmės osteoporoze sergančių moterų po menopauzės tyrimo (BM 16549) metu bendrieji 150 mg ibandrono rūgšties, vartojamos kartą per mėnesį, ir 2,5 mg ibandrono rūgšties per parą saugumo duomenys buvo panašūs.</w:t>
      </w:r>
      <w:r w:rsidRPr="00C40154">
        <w:rPr>
          <w:noProof/>
          <w:szCs w:val="22"/>
          <w:lang w:val="lt-LT"/>
        </w:rPr>
        <w:t xml:space="preserve"> </w:t>
      </w:r>
      <w:r w:rsidRPr="00C40154">
        <w:rPr>
          <w:color w:val="000000"/>
          <w:spacing w:val="-3"/>
          <w:szCs w:val="22"/>
          <w:lang w:val="lt-LT"/>
        </w:rPr>
        <w:t>Bendra pacienčių, kurioms pasireiškė nepageidaujama reakcija, proporcija vartojant ibandrono rūgštį po 150 mg vieną kartą per mėnesį grupėje atitinkamai po vienerių ir dvejų metų buvo 22,7 % ir 25 %.</w:t>
      </w:r>
      <w:r w:rsidRPr="00C40154">
        <w:rPr>
          <w:noProof/>
          <w:szCs w:val="22"/>
          <w:lang w:val="lt-LT"/>
        </w:rPr>
        <w:t xml:space="preserve"> </w:t>
      </w:r>
      <w:r w:rsidRPr="00C40154">
        <w:rPr>
          <w:color w:val="000000"/>
          <w:spacing w:val="-3"/>
          <w:szCs w:val="22"/>
          <w:lang w:val="lt-LT"/>
        </w:rPr>
        <w:t>Dauguma nepageidaujamų reakcijų buvo nesunkios ar vidutinio sunkumo.</w:t>
      </w:r>
      <w:r w:rsidRPr="00C40154">
        <w:rPr>
          <w:noProof/>
          <w:szCs w:val="22"/>
          <w:lang w:val="lt-LT"/>
        </w:rPr>
        <w:t xml:space="preserve"> </w:t>
      </w:r>
      <w:r w:rsidRPr="00C40154">
        <w:rPr>
          <w:color w:val="000000"/>
          <w:spacing w:val="-3"/>
          <w:szCs w:val="22"/>
          <w:lang w:val="lt-LT"/>
        </w:rPr>
        <w:t xml:space="preserve">Daugeliu atvejų </w:t>
      </w:r>
      <w:r w:rsidRPr="00C40154">
        <w:rPr>
          <w:color w:val="000000"/>
          <w:spacing w:val="-4"/>
          <w:szCs w:val="22"/>
          <w:lang w:val="lt-LT"/>
        </w:rPr>
        <w:t>gydymo nutraukti nereikėjo.</w:t>
      </w:r>
      <w:r w:rsidRPr="00C40154">
        <w:rPr>
          <w:noProof/>
          <w:szCs w:val="22"/>
          <w:lang w:val="lt-LT"/>
        </w:rPr>
        <w:t xml:space="preserve"> </w:t>
      </w:r>
    </w:p>
    <w:p w:rsidR="00ED67AE" w:rsidRDefault="00ED67AE" w:rsidP="00ED67AE">
      <w:pPr>
        <w:rPr>
          <w:szCs w:val="22"/>
          <w:lang w:val="lt-LT"/>
        </w:rPr>
      </w:pPr>
    </w:p>
    <w:p w:rsidR="00ED67AE" w:rsidRPr="007E2511" w:rsidRDefault="0002542A" w:rsidP="0002542A">
      <w:pPr>
        <w:pStyle w:val="Dokumentoinaostekstas"/>
        <w:spacing w:line="260" w:lineRule="exact"/>
        <w:rPr>
          <w:szCs w:val="22"/>
          <w:lang w:val="lt-LT"/>
        </w:rPr>
      </w:pPr>
      <w:r w:rsidRPr="00DF5828">
        <w:rPr>
          <w:lang w:val="lt-LT"/>
        </w:rPr>
        <w:t>Nepageidaujamos reakcijos yra išvardytos pagal MedDRA organų sistemų klases ir dažnį. Dažnio kategorijos apibrėžiamos naudojant šį susitarimą</w:t>
      </w:r>
      <w:r>
        <w:rPr>
          <w:lang w:val="lt-LT"/>
        </w:rPr>
        <w:t>:</w:t>
      </w:r>
      <w:r w:rsidRPr="00C40154" w:rsidDel="0002542A">
        <w:rPr>
          <w:noProof/>
          <w:szCs w:val="22"/>
          <w:lang w:val="lt-LT"/>
        </w:rPr>
        <w:t xml:space="preserve"> </w:t>
      </w:r>
      <w:r w:rsidR="00ED67AE" w:rsidRPr="007E2511">
        <w:rPr>
          <w:szCs w:val="22"/>
          <w:lang w:val="lt-LT"/>
        </w:rPr>
        <w:t>dažn</w:t>
      </w:r>
      <w:r>
        <w:rPr>
          <w:szCs w:val="22"/>
          <w:lang w:val="lt-LT"/>
        </w:rPr>
        <w:t>o</w:t>
      </w:r>
      <w:r w:rsidR="00ED67AE" w:rsidRPr="007E2511">
        <w:rPr>
          <w:szCs w:val="22"/>
          <w:lang w:val="lt-LT"/>
        </w:rPr>
        <w:t>s (≥1/100 iki &lt;1/10), nedažn</w:t>
      </w:r>
      <w:r>
        <w:rPr>
          <w:szCs w:val="22"/>
          <w:lang w:val="lt-LT"/>
        </w:rPr>
        <w:t>o</w:t>
      </w:r>
      <w:r w:rsidR="00ED67AE" w:rsidRPr="007E2511">
        <w:rPr>
          <w:szCs w:val="22"/>
          <w:lang w:val="lt-LT"/>
        </w:rPr>
        <w:t>s (≥1/1 000 iki &lt;1/100)</w:t>
      </w:r>
      <w:r w:rsidR="00ED67AE">
        <w:rPr>
          <w:szCs w:val="22"/>
          <w:lang w:val="lt-LT"/>
        </w:rPr>
        <w:t>,</w:t>
      </w:r>
      <w:r w:rsidR="00ED67AE" w:rsidRPr="007E2511">
        <w:rPr>
          <w:szCs w:val="22"/>
          <w:lang w:val="lt-LT"/>
        </w:rPr>
        <w:t xml:space="preserve"> ret</w:t>
      </w:r>
      <w:r>
        <w:rPr>
          <w:szCs w:val="22"/>
          <w:lang w:val="lt-LT"/>
        </w:rPr>
        <w:t>o</w:t>
      </w:r>
      <w:r w:rsidR="00ED67AE" w:rsidRPr="007E2511">
        <w:rPr>
          <w:szCs w:val="22"/>
          <w:lang w:val="lt-LT"/>
        </w:rPr>
        <w:t>s (≥1/10 000 iki &lt;1/1 000)</w:t>
      </w:r>
      <w:r w:rsidR="00ED67AE">
        <w:rPr>
          <w:szCs w:val="22"/>
          <w:lang w:val="lt-LT"/>
        </w:rPr>
        <w:t xml:space="preserve"> ir labai ret</w:t>
      </w:r>
      <w:r>
        <w:rPr>
          <w:szCs w:val="22"/>
          <w:lang w:val="lt-LT"/>
        </w:rPr>
        <w:t>o</w:t>
      </w:r>
      <w:r w:rsidR="00ED67AE">
        <w:rPr>
          <w:szCs w:val="22"/>
          <w:lang w:val="lt-LT"/>
        </w:rPr>
        <w:t>s (&lt;1/10 000)</w:t>
      </w:r>
      <w:r w:rsidR="00ED67AE" w:rsidRPr="007E2511">
        <w:rPr>
          <w:szCs w:val="22"/>
          <w:lang w:val="lt-LT"/>
        </w:rPr>
        <w:t>. Kiekvienoje dažnio grupėje nepageidaujamos reakcijos pateikiamos mažėjančio sunkumo tvarka.</w:t>
      </w:r>
    </w:p>
    <w:p w:rsidR="00ED67AE" w:rsidRDefault="00ED67AE" w:rsidP="00ED67AE">
      <w:pPr>
        <w:rPr>
          <w:szCs w:val="22"/>
          <w:lang w:val="lt-LT"/>
        </w:rPr>
      </w:pPr>
    </w:p>
    <w:p w:rsidR="00ED67AE" w:rsidRPr="00C40154" w:rsidRDefault="00ED67AE" w:rsidP="00ED67AE">
      <w:pPr>
        <w:rPr>
          <w:szCs w:val="22"/>
          <w:lang w:val="lt-LT"/>
        </w:rPr>
      </w:pPr>
      <w:r w:rsidRPr="00C40154">
        <w:rPr>
          <w:szCs w:val="22"/>
          <w:lang w:val="lt-LT"/>
        </w:rPr>
        <w:t>1 lentelė.Nepageidaujamos</w:t>
      </w:r>
      <w:r w:rsidRPr="00C40154" w:rsidDel="00B43F2B">
        <w:rPr>
          <w:szCs w:val="22"/>
          <w:lang w:val="lt-LT"/>
        </w:rPr>
        <w:t xml:space="preserve"> reakcijos</w:t>
      </w:r>
      <w:r w:rsidRPr="00C40154">
        <w:rPr>
          <w:szCs w:val="22"/>
          <w:lang w:val="lt-LT"/>
        </w:rPr>
        <w:t xml:space="preserve">, </w:t>
      </w:r>
      <w:r>
        <w:rPr>
          <w:szCs w:val="22"/>
          <w:lang w:val="lt-LT"/>
        </w:rPr>
        <w:t>pasitaikiusios</w:t>
      </w:r>
      <w:r w:rsidRPr="00C40154">
        <w:rPr>
          <w:szCs w:val="22"/>
          <w:lang w:val="lt-LT"/>
        </w:rPr>
        <w:t xml:space="preserve"> III fazės BM 16549 ir MF 4411 tyrimų metu </w:t>
      </w:r>
      <w:r>
        <w:rPr>
          <w:szCs w:val="22"/>
          <w:lang w:val="lt-LT"/>
        </w:rPr>
        <w:t xml:space="preserve">ir vaistui esant rinkoje </w:t>
      </w:r>
      <w:r w:rsidRPr="00C40154">
        <w:rPr>
          <w:szCs w:val="22"/>
          <w:lang w:val="lt-LT"/>
        </w:rPr>
        <w:t>po</w:t>
      </w:r>
      <w:r>
        <w:rPr>
          <w:szCs w:val="22"/>
          <w:lang w:val="lt-LT"/>
        </w:rPr>
        <w:t xml:space="preserve"> </w:t>
      </w:r>
      <w:r w:rsidRPr="00C40154">
        <w:rPr>
          <w:szCs w:val="22"/>
          <w:lang w:val="lt-LT"/>
        </w:rPr>
        <w:t xml:space="preserve">menopauzės moterims, kurios vartojo </w:t>
      </w:r>
      <w:r>
        <w:rPr>
          <w:szCs w:val="22"/>
          <w:lang w:val="lt-LT"/>
        </w:rPr>
        <w:t>ibandrono rūgšties</w:t>
      </w:r>
      <w:r w:rsidRPr="00C40154">
        <w:rPr>
          <w:szCs w:val="22"/>
          <w:lang w:val="lt-LT"/>
        </w:rPr>
        <w:t xml:space="preserve"> po 150 mg kartą per mėnesį arba gėrė ibandrono rūgštį po 2,5 mg kasdien. </w:t>
      </w:r>
    </w:p>
    <w:p w:rsidR="00ED67AE" w:rsidRDefault="00ED67AE" w:rsidP="00ED67A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720"/>
        <w:gridCol w:w="1378"/>
        <w:gridCol w:w="1685"/>
        <w:gridCol w:w="1787"/>
      </w:tblGrid>
      <w:tr w:rsidR="0002542A" w:rsidRPr="0026112F" w:rsidTr="00383225">
        <w:tc>
          <w:tcPr>
            <w:tcW w:w="1536" w:type="dxa"/>
          </w:tcPr>
          <w:p w:rsidR="0002542A" w:rsidRPr="0018493E" w:rsidRDefault="0002542A" w:rsidP="005A5ACB">
            <w:pPr>
              <w:pStyle w:val="Betarp"/>
              <w:tabs>
                <w:tab w:val="left" w:pos="567"/>
              </w:tabs>
              <w:spacing w:line="260" w:lineRule="exact"/>
              <w:contextualSpacing/>
              <w:rPr>
                <w:b/>
                <w:sz w:val="22"/>
              </w:rPr>
            </w:pPr>
            <w:r w:rsidRPr="0018493E">
              <w:rPr>
                <w:rFonts w:ascii="TimesNewRoman,Bold" w:hAnsi="TimesNewRoman,Bold"/>
                <w:b/>
                <w:sz w:val="22"/>
                <w:lang w:val="en-US"/>
              </w:rPr>
              <w:t xml:space="preserve">Organų sistemų klasė </w:t>
            </w:r>
          </w:p>
        </w:tc>
        <w:tc>
          <w:tcPr>
            <w:tcW w:w="1720" w:type="dxa"/>
          </w:tcPr>
          <w:p w:rsidR="0002542A" w:rsidRPr="0018493E" w:rsidRDefault="0002542A" w:rsidP="005A5ACB">
            <w:pPr>
              <w:pStyle w:val="Betarp"/>
              <w:tabs>
                <w:tab w:val="left" w:pos="567"/>
              </w:tabs>
              <w:spacing w:line="260" w:lineRule="exact"/>
              <w:contextualSpacing/>
              <w:rPr>
                <w:b/>
                <w:sz w:val="22"/>
              </w:rPr>
            </w:pPr>
            <w:r w:rsidRPr="0018493E">
              <w:rPr>
                <w:rFonts w:ascii="TimesNewRoman,Bold" w:hAnsi="TimesNewRoman,Bold" w:cs="TimesNewRoman,Bold"/>
                <w:b/>
                <w:bCs/>
                <w:sz w:val="22"/>
                <w:szCs w:val="22"/>
                <w:lang w:val="en-US" w:eastAsia="en-US"/>
              </w:rPr>
              <w:t xml:space="preserve">Dažni </w:t>
            </w:r>
          </w:p>
        </w:tc>
        <w:tc>
          <w:tcPr>
            <w:tcW w:w="1378" w:type="dxa"/>
          </w:tcPr>
          <w:p w:rsidR="0002542A" w:rsidRPr="0018493E" w:rsidRDefault="0002542A" w:rsidP="005A5ACB">
            <w:pPr>
              <w:pStyle w:val="Betarp"/>
              <w:tabs>
                <w:tab w:val="left" w:pos="567"/>
              </w:tabs>
              <w:spacing w:line="260" w:lineRule="exact"/>
              <w:contextualSpacing/>
              <w:rPr>
                <w:b/>
                <w:sz w:val="22"/>
                <w:szCs w:val="22"/>
              </w:rPr>
            </w:pPr>
            <w:r w:rsidRPr="0018493E">
              <w:rPr>
                <w:rFonts w:ascii="TimesNewRoman,Bold" w:hAnsi="TimesNewRoman,Bold" w:cs="TimesNewRoman,Bold"/>
                <w:b/>
                <w:bCs/>
                <w:sz w:val="22"/>
                <w:szCs w:val="22"/>
                <w:lang w:val="en-US" w:eastAsia="en-US"/>
              </w:rPr>
              <w:t>Nedažni</w:t>
            </w:r>
          </w:p>
        </w:tc>
        <w:tc>
          <w:tcPr>
            <w:tcW w:w="1685" w:type="dxa"/>
          </w:tcPr>
          <w:p w:rsidR="0002542A" w:rsidRPr="0018493E" w:rsidRDefault="0002542A" w:rsidP="005A5ACB">
            <w:pPr>
              <w:pStyle w:val="Betarp"/>
              <w:tabs>
                <w:tab w:val="left" w:pos="567"/>
              </w:tabs>
              <w:spacing w:line="260" w:lineRule="exact"/>
              <w:contextualSpacing/>
              <w:rPr>
                <w:b/>
                <w:sz w:val="22"/>
                <w:szCs w:val="22"/>
              </w:rPr>
            </w:pPr>
            <w:r w:rsidRPr="0018493E">
              <w:rPr>
                <w:rFonts w:ascii="TimesNewRoman,Bold" w:hAnsi="TimesNewRoman,Bold" w:cs="TimesNewRoman,Bold"/>
                <w:b/>
                <w:bCs/>
                <w:sz w:val="22"/>
                <w:szCs w:val="22"/>
                <w:lang w:val="en-US" w:eastAsia="en-US"/>
              </w:rPr>
              <w:t xml:space="preserve">Reti </w:t>
            </w:r>
          </w:p>
        </w:tc>
        <w:tc>
          <w:tcPr>
            <w:tcW w:w="1787" w:type="dxa"/>
          </w:tcPr>
          <w:p w:rsidR="0002542A" w:rsidRPr="0018493E" w:rsidRDefault="0002542A" w:rsidP="005A5ACB">
            <w:pPr>
              <w:pStyle w:val="Betarp"/>
              <w:tabs>
                <w:tab w:val="left" w:pos="567"/>
              </w:tabs>
              <w:spacing w:line="260" w:lineRule="exact"/>
              <w:contextualSpacing/>
              <w:rPr>
                <w:b/>
                <w:sz w:val="22"/>
                <w:szCs w:val="22"/>
              </w:rPr>
            </w:pPr>
            <w:r w:rsidRPr="0018493E">
              <w:rPr>
                <w:rFonts w:ascii="TimesNewRoman,Bold" w:hAnsi="TimesNewRoman,Bold" w:cs="TimesNewRoman,Bold"/>
                <w:b/>
                <w:bCs/>
                <w:sz w:val="22"/>
                <w:szCs w:val="22"/>
                <w:lang w:val="en-US" w:eastAsia="en-US"/>
              </w:rPr>
              <w:t>Labai reti</w:t>
            </w:r>
          </w:p>
        </w:tc>
      </w:tr>
      <w:tr w:rsidR="0002542A" w:rsidRPr="0026112F" w:rsidTr="00383225">
        <w:tc>
          <w:tcPr>
            <w:tcW w:w="1536" w:type="dxa"/>
          </w:tcPr>
          <w:p w:rsidR="0002542A" w:rsidRPr="0018493E" w:rsidRDefault="0002542A" w:rsidP="005A5ACB">
            <w:pPr>
              <w:pStyle w:val="Betarp"/>
              <w:tabs>
                <w:tab w:val="left" w:pos="567"/>
              </w:tabs>
              <w:spacing w:line="260" w:lineRule="exact"/>
              <w:contextualSpacing/>
              <w:rPr>
                <w:sz w:val="22"/>
                <w:lang w:val="en-US"/>
              </w:rPr>
            </w:pPr>
            <w:r w:rsidRPr="0018493E">
              <w:rPr>
                <w:sz w:val="22"/>
                <w:lang w:val="en-US"/>
              </w:rPr>
              <w:t>Imuninės sistemos sutrikimai</w:t>
            </w:r>
          </w:p>
        </w:tc>
        <w:tc>
          <w:tcPr>
            <w:tcW w:w="1720" w:type="dxa"/>
          </w:tcPr>
          <w:p w:rsidR="0002542A" w:rsidRPr="0018493E" w:rsidRDefault="0002542A" w:rsidP="005A5ACB">
            <w:pPr>
              <w:rPr>
                <w:b/>
              </w:rPr>
            </w:pPr>
          </w:p>
        </w:tc>
        <w:tc>
          <w:tcPr>
            <w:tcW w:w="1378" w:type="dxa"/>
          </w:tcPr>
          <w:p w:rsidR="0002542A" w:rsidRPr="00383225" w:rsidRDefault="00BF3FCB" w:rsidP="005A5ACB">
            <w:pPr>
              <w:pStyle w:val="Betarp"/>
              <w:tabs>
                <w:tab w:val="left" w:pos="567"/>
              </w:tabs>
              <w:spacing w:line="260" w:lineRule="exact"/>
              <w:contextualSpacing/>
              <w:rPr>
                <w:sz w:val="22"/>
                <w:szCs w:val="22"/>
              </w:rPr>
            </w:pPr>
            <w:r w:rsidRPr="00383225">
              <w:rPr>
                <w:sz w:val="22"/>
                <w:szCs w:val="22"/>
              </w:rPr>
              <w:t>Astmos paūmėjimas</w:t>
            </w:r>
          </w:p>
        </w:tc>
        <w:tc>
          <w:tcPr>
            <w:tcW w:w="1685" w:type="dxa"/>
          </w:tcPr>
          <w:p w:rsidR="0002542A" w:rsidRPr="0018493E" w:rsidRDefault="0002542A" w:rsidP="005A5ACB">
            <w:pPr>
              <w:pStyle w:val="Betarp"/>
              <w:tabs>
                <w:tab w:val="left" w:pos="567"/>
              </w:tabs>
              <w:spacing w:line="260" w:lineRule="exact"/>
              <w:contextualSpacing/>
              <w:rPr>
                <w:b/>
                <w:sz w:val="22"/>
                <w:szCs w:val="22"/>
              </w:rPr>
            </w:pPr>
            <w:r w:rsidRPr="0018493E">
              <w:rPr>
                <w:sz w:val="22"/>
                <w:szCs w:val="22"/>
                <w:lang w:val="en-US"/>
              </w:rPr>
              <w:t>Padidėjusio jautrumo reakcija</w:t>
            </w:r>
          </w:p>
        </w:tc>
        <w:tc>
          <w:tcPr>
            <w:tcW w:w="1787" w:type="dxa"/>
          </w:tcPr>
          <w:p w:rsidR="0002542A" w:rsidRPr="00383225" w:rsidRDefault="00BF3FCB" w:rsidP="005A5ACB">
            <w:pPr>
              <w:pStyle w:val="Betarp"/>
              <w:tabs>
                <w:tab w:val="left" w:pos="567"/>
              </w:tabs>
              <w:spacing w:line="260" w:lineRule="exact"/>
              <w:contextualSpacing/>
              <w:rPr>
                <w:sz w:val="22"/>
                <w:szCs w:val="22"/>
              </w:rPr>
            </w:pPr>
            <w:r>
              <w:rPr>
                <w:sz w:val="22"/>
                <w:szCs w:val="22"/>
              </w:rPr>
              <w:t>Anafilaksinė reakcija/šokas</w:t>
            </w:r>
            <w:r>
              <w:rPr>
                <w:sz w:val="22"/>
                <w:szCs w:val="22"/>
                <w:lang w:val="is-IS"/>
              </w:rPr>
              <w:t>*</w:t>
            </w:r>
            <w:r w:rsidRPr="00C76BF2">
              <w:rPr>
                <w:sz w:val="22"/>
                <w:szCs w:val="22"/>
                <w:lang w:val="en-US"/>
              </w:rPr>
              <w:t>†</w:t>
            </w:r>
          </w:p>
        </w:tc>
      </w:tr>
      <w:tr w:rsidR="0002542A" w:rsidRPr="0026112F" w:rsidTr="00383225">
        <w:tc>
          <w:tcPr>
            <w:tcW w:w="1536" w:type="dxa"/>
          </w:tcPr>
          <w:p w:rsidR="0002542A" w:rsidRPr="0018493E" w:rsidRDefault="0002542A" w:rsidP="005A5ACB">
            <w:pPr>
              <w:pStyle w:val="Betarp"/>
              <w:tabs>
                <w:tab w:val="left" w:pos="567"/>
              </w:tabs>
              <w:spacing w:line="260" w:lineRule="exact"/>
              <w:contextualSpacing/>
              <w:rPr>
                <w:sz w:val="22"/>
                <w:lang w:val="en-US"/>
              </w:rPr>
            </w:pPr>
            <w:r w:rsidRPr="0018493E">
              <w:rPr>
                <w:sz w:val="22"/>
                <w:lang w:val="en-US"/>
              </w:rPr>
              <w:t>Nervų sistemos sutrikimai</w:t>
            </w:r>
          </w:p>
        </w:tc>
        <w:tc>
          <w:tcPr>
            <w:tcW w:w="1720" w:type="dxa"/>
          </w:tcPr>
          <w:p w:rsidR="0002542A" w:rsidRPr="0018493E" w:rsidRDefault="0002542A" w:rsidP="005A5ACB">
            <w:pPr>
              <w:pStyle w:val="Betarp"/>
              <w:tabs>
                <w:tab w:val="left" w:pos="567"/>
              </w:tabs>
              <w:spacing w:line="260" w:lineRule="exact"/>
              <w:contextualSpacing/>
              <w:rPr>
                <w:b/>
                <w:sz w:val="22"/>
              </w:rPr>
            </w:pPr>
            <w:r w:rsidRPr="0018493E">
              <w:rPr>
                <w:sz w:val="22"/>
                <w:lang w:val="en-US"/>
              </w:rPr>
              <w:t>Galvos skausmas</w:t>
            </w:r>
          </w:p>
        </w:tc>
        <w:tc>
          <w:tcPr>
            <w:tcW w:w="1378" w:type="dxa"/>
          </w:tcPr>
          <w:p w:rsidR="0002542A" w:rsidRPr="0018493E" w:rsidRDefault="0002542A" w:rsidP="005A5ACB">
            <w:pPr>
              <w:pStyle w:val="Betarp"/>
              <w:tabs>
                <w:tab w:val="left" w:pos="567"/>
              </w:tabs>
              <w:spacing w:line="260" w:lineRule="exact"/>
              <w:contextualSpacing/>
              <w:rPr>
                <w:b/>
                <w:sz w:val="22"/>
                <w:szCs w:val="22"/>
              </w:rPr>
            </w:pPr>
            <w:r w:rsidRPr="0018493E">
              <w:rPr>
                <w:sz w:val="22"/>
                <w:szCs w:val="22"/>
                <w:lang w:val="en-US"/>
              </w:rPr>
              <w:t>Svaigulys</w:t>
            </w:r>
          </w:p>
        </w:tc>
        <w:tc>
          <w:tcPr>
            <w:tcW w:w="1685" w:type="dxa"/>
          </w:tcPr>
          <w:p w:rsidR="0002542A" w:rsidRPr="0018493E" w:rsidRDefault="0002542A" w:rsidP="005A5ACB">
            <w:pPr>
              <w:pStyle w:val="Betarp"/>
              <w:tabs>
                <w:tab w:val="left" w:pos="567"/>
              </w:tabs>
              <w:spacing w:line="260" w:lineRule="exact"/>
              <w:contextualSpacing/>
              <w:rPr>
                <w:b/>
                <w:sz w:val="22"/>
                <w:szCs w:val="22"/>
              </w:rPr>
            </w:pPr>
          </w:p>
        </w:tc>
        <w:tc>
          <w:tcPr>
            <w:tcW w:w="1787" w:type="dxa"/>
          </w:tcPr>
          <w:p w:rsidR="0002542A" w:rsidRPr="0018493E" w:rsidRDefault="0002542A" w:rsidP="005A5ACB">
            <w:pPr>
              <w:pStyle w:val="Betarp"/>
              <w:tabs>
                <w:tab w:val="left" w:pos="567"/>
              </w:tabs>
              <w:spacing w:line="260" w:lineRule="exact"/>
              <w:contextualSpacing/>
              <w:rPr>
                <w:b/>
                <w:sz w:val="22"/>
                <w:szCs w:val="22"/>
              </w:rPr>
            </w:pPr>
          </w:p>
        </w:tc>
      </w:tr>
      <w:tr w:rsidR="0002542A" w:rsidRPr="0026112F" w:rsidTr="00383225">
        <w:tc>
          <w:tcPr>
            <w:tcW w:w="1536" w:type="dxa"/>
          </w:tcPr>
          <w:p w:rsidR="0002542A" w:rsidRPr="0018493E" w:rsidRDefault="0002542A" w:rsidP="005A5ACB">
            <w:pPr>
              <w:pStyle w:val="Betarp"/>
              <w:tabs>
                <w:tab w:val="left" w:pos="567"/>
              </w:tabs>
              <w:spacing w:line="260" w:lineRule="exact"/>
              <w:contextualSpacing/>
              <w:rPr>
                <w:sz w:val="22"/>
              </w:rPr>
            </w:pPr>
            <w:r w:rsidRPr="0018493E">
              <w:rPr>
                <w:sz w:val="22"/>
                <w:szCs w:val="22"/>
                <w:lang w:val="en-US"/>
              </w:rPr>
              <w:t>Alies</w:t>
            </w:r>
            <w:r w:rsidRPr="0018493E">
              <w:rPr>
                <w:sz w:val="22"/>
                <w:lang w:val="en-US"/>
              </w:rPr>
              <w:t xml:space="preserve"> sutrikimai </w:t>
            </w:r>
          </w:p>
        </w:tc>
        <w:tc>
          <w:tcPr>
            <w:tcW w:w="1720" w:type="dxa"/>
          </w:tcPr>
          <w:p w:rsidR="0002542A" w:rsidRPr="0026112F" w:rsidRDefault="0002542A" w:rsidP="005A5ACB"/>
        </w:tc>
        <w:tc>
          <w:tcPr>
            <w:tcW w:w="1378" w:type="dxa"/>
          </w:tcPr>
          <w:p w:rsidR="0002542A" w:rsidRPr="0018493E" w:rsidRDefault="0002542A" w:rsidP="005A5ACB">
            <w:pPr>
              <w:pStyle w:val="Betarp"/>
              <w:tabs>
                <w:tab w:val="left" w:pos="567"/>
              </w:tabs>
              <w:spacing w:line="260" w:lineRule="exact"/>
              <w:contextualSpacing/>
              <w:rPr>
                <w:sz w:val="22"/>
                <w:szCs w:val="22"/>
              </w:rPr>
            </w:pPr>
          </w:p>
        </w:tc>
        <w:tc>
          <w:tcPr>
            <w:tcW w:w="1685" w:type="dxa"/>
          </w:tcPr>
          <w:p w:rsidR="0002542A" w:rsidRPr="0018493E" w:rsidRDefault="0002542A" w:rsidP="005A5ACB">
            <w:pPr>
              <w:pStyle w:val="Betarp"/>
              <w:tabs>
                <w:tab w:val="left" w:pos="567"/>
              </w:tabs>
              <w:spacing w:line="260" w:lineRule="exact"/>
              <w:contextualSpacing/>
              <w:rPr>
                <w:sz w:val="22"/>
                <w:szCs w:val="22"/>
              </w:rPr>
            </w:pPr>
            <w:r w:rsidRPr="0018493E">
              <w:rPr>
                <w:sz w:val="22"/>
                <w:szCs w:val="22"/>
                <w:lang w:val="en-US"/>
              </w:rPr>
              <w:t>Akių uždegimas*†</w:t>
            </w:r>
          </w:p>
        </w:tc>
        <w:tc>
          <w:tcPr>
            <w:tcW w:w="1787" w:type="dxa"/>
          </w:tcPr>
          <w:p w:rsidR="0002542A" w:rsidRPr="0018493E" w:rsidRDefault="0002542A" w:rsidP="005A5ACB">
            <w:pPr>
              <w:pStyle w:val="Betarp"/>
              <w:tabs>
                <w:tab w:val="left" w:pos="567"/>
              </w:tabs>
              <w:spacing w:line="260" w:lineRule="exact"/>
              <w:contextualSpacing/>
              <w:rPr>
                <w:sz w:val="22"/>
                <w:szCs w:val="22"/>
              </w:rPr>
            </w:pPr>
          </w:p>
        </w:tc>
      </w:tr>
      <w:tr w:rsidR="0002542A" w:rsidRPr="0026112F" w:rsidTr="00383225">
        <w:tc>
          <w:tcPr>
            <w:tcW w:w="1536" w:type="dxa"/>
          </w:tcPr>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Virškinamojo trakto sutrikimai*</w:t>
            </w:r>
          </w:p>
          <w:p w:rsidR="0002542A" w:rsidRPr="0018493E" w:rsidRDefault="0002542A" w:rsidP="005A5ACB">
            <w:pPr>
              <w:pStyle w:val="Betarp"/>
              <w:tabs>
                <w:tab w:val="left" w:pos="567"/>
              </w:tabs>
              <w:spacing w:line="260" w:lineRule="exact"/>
              <w:contextualSpacing/>
              <w:rPr>
                <w:sz w:val="22"/>
              </w:rPr>
            </w:pPr>
          </w:p>
        </w:tc>
        <w:tc>
          <w:tcPr>
            <w:tcW w:w="1720" w:type="dxa"/>
          </w:tcPr>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Ezofagitas,</w:t>
            </w:r>
          </w:p>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gastritas, gastroezofaginio refliukso liga, dispepsija,</w:t>
            </w:r>
          </w:p>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diarėja,</w:t>
            </w:r>
          </w:p>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pilvo skausmas,</w:t>
            </w:r>
          </w:p>
          <w:p w:rsidR="0002542A" w:rsidRPr="0018493E" w:rsidRDefault="0002542A" w:rsidP="005A5ACB">
            <w:pPr>
              <w:pStyle w:val="Betarp"/>
              <w:tabs>
                <w:tab w:val="left" w:pos="567"/>
              </w:tabs>
              <w:spacing w:line="260" w:lineRule="exact"/>
              <w:contextualSpacing/>
              <w:rPr>
                <w:sz w:val="22"/>
                <w:lang w:val="en-US"/>
              </w:rPr>
            </w:pPr>
            <w:r w:rsidRPr="0018493E">
              <w:rPr>
                <w:sz w:val="22"/>
                <w:szCs w:val="22"/>
                <w:lang w:val="en-US"/>
              </w:rPr>
              <w:t>pykinimas</w:t>
            </w:r>
          </w:p>
        </w:tc>
        <w:tc>
          <w:tcPr>
            <w:tcW w:w="1378" w:type="dxa"/>
          </w:tcPr>
          <w:p w:rsidR="0002542A" w:rsidRPr="0018493E" w:rsidRDefault="0002542A" w:rsidP="005A5ACB">
            <w:pPr>
              <w:pStyle w:val="Betarp"/>
              <w:tabs>
                <w:tab w:val="left" w:pos="567"/>
              </w:tabs>
              <w:spacing w:line="260" w:lineRule="exact"/>
              <w:contextualSpacing/>
              <w:rPr>
                <w:sz w:val="22"/>
                <w:szCs w:val="22"/>
              </w:rPr>
            </w:pPr>
            <w:r w:rsidRPr="0018493E">
              <w:rPr>
                <w:sz w:val="22"/>
                <w:szCs w:val="22"/>
              </w:rPr>
              <w:t>Ezofagitas, įskaitant stemplės opėjimą arba striktūras ir rijimo sutrikimą, vėmimas, dujų kaupimasis virškinimo trakte</w:t>
            </w:r>
          </w:p>
        </w:tc>
        <w:tc>
          <w:tcPr>
            <w:tcW w:w="1685" w:type="dxa"/>
          </w:tcPr>
          <w:p w:rsidR="0002542A" w:rsidRPr="0018493E" w:rsidRDefault="0002542A" w:rsidP="005A5ACB">
            <w:pPr>
              <w:pStyle w:val="Betarp"/>
              <w:tabs>
                <w:tab w:val="left" w:pos="567"/>
              </w:tabs>
              <w:spacing w:line="260" w:lineRule="exact"/>
              <w:contextualSpacing/>
              <w:rPr>
                <w:sz w:val="22"/>
                <w:szCs w:val="22"/>
              </w:rPr>
            </w:pPr>
            <w:r w:rsidRPr="0018493E">
              <w:rPr>
                <w:sz w:val="22"/>
                <w:szCs w:val="22"/>
                <w:lang w:val="en-US"/>
              </w:rPr>
              <w:t>Duodenitas</w:t>
            </w:r>
          </w:p>
        </w:tc>
        <w:tc>
          <w:tcPr>
            <w:tcW w:w="1787" w:type="dxa"/>
          </w:tcPr>
          <w:p w:rsidR="0002542A" w:rsidRPr="0018493E" w:rsidRDefault="0002542A" w:rsidP="005A5ACB">
            <w:pPr>
              <w:pStyle w:val="Betarp"/>
              <w:tabs>
                <w:tab w:val="left" w:pos="567"/>
              </w:tabs>
              <w:spacing w:line="260" w:lineRule="exact"/>
              <w:contextualSpacing/>
              <w:rPr>
                <w:sz w:val="22"/>
                <w:szCs w:val="22"/>
              </w:rPr>
            </w:pPr>
          </w:p>
        </w:tc>
      </w:tr>
      <w:tr w:rsidR="0002542A" w:rsidRPr="00077F56" w:rsidTr="00383225">
        <w:tc>
          <w:tcPr>
            <w:tcW w:w="1536" w:type="dxa"/>
          </w:tcPr>
          <w:p w:rsidR="0002542A" w:rsidRPr="0018493E" w:rsidRDefault="0002542A" w:rsidP="005A5ACB">
            <w:pPr>
              <w:pStyle w:val="Betarp"/>
              <w:tabs>
                <w:tab w:val="left" w:pos="567"/>
              </w:tabs>
              <w:spacing w:line="260" w:lineRule="exact"/>
              <w:contextualSpacing/>
              <w:rPr>
                <w:sz w:val="22"/>
                <w:lang w:val="en-US"/>
              </w:rPr>
            </w:pPr>
            <w:r w:rsidRPr="0018493E">
              <w:rPr>
                <w:sz w:val="22"/>
                <w:szCs w:val="22"/>
                <w:lang w:val="en-US"/>
              </w:rPr>
              <w:t>Odos ir poodinio audinio sutrikimai</w:t>
            </w:r>
          </w:p>
        </w:tc>
        <w:tc>
          <w:tcPr>
            <w:tcW w:w="1720" w:type="dxa"/>
          </w:tcPr>
          <w:p w:rsidR="0002542A" w:rsidRPr="0018493E" w:rsidRDefault="0002542A" w:rsidP="005A5ACB">
            <w:pPr>
              <w:pStyle w:val="Betarp"/>
              <w:tabs>
                <w:tab w:val="left" w:pos="567"/>
              </w:tabs>
              <w:spacing w:line="260" w:lineRule="exact"/>
              <w:contextualSpacing/>
              <w:rPr>
                <w:sz w:val="22"/>
              </w:rPr>
            </w:pPr>
            <w:r w:rsidRPr="0018493E">
              <w:rPr>
                <w:sz w:val="22"/>
                <w:szCs w:val="22"/>
                <w:lang w:val="en-US"/>
              </w:rPr>
              <w:t>Bėrimas</w:t>
            </w:r>
          </w:p>
        </w:tc>
        <w:tc>
          <w:tcPr>
            <w:tcW w:w="1378" w:type="dxa"/>
          </w:tcPr>
          <w:p w:rsidR="0002542A" w:rsidRPr="0018493E" w:rsidRDefault="0002542A" w:rsidP="005A5ACB">
            <w:pPr>
              <w:pStyle w:val="Betarp"/>
              <w:tabs>
                <w:tab w:val="left" w:pos="567"/>
              </w:tabs>
              <w:spacing w:line="260" w:lineRule="exact"/>
              <w:contextualSpacing/>
              <w:rPr>
                <w:sz w:val="22"/>
                <w:szCs w:val="22"/>
              </w:rPr>
            </w:pPr>
          </w:p>
        </w:tc>
        <w:tc>
          <w:tcPr>
            <w:tcW w:w="1685" w:type="dxa"/>
          </w:tcPr>
          <w:p w:rsidR="0002542A" w:rsidRPr="00077F56" w:rsidRDefault="0002542A" w:rsidP="005A5ACB">
            <w:pPr>
              <w:pStyle w:val="Betarp"/>
              <w:tabs>
                <w:tab w:val="left" w:pos="567"/>
              </w:tabs>
              <w:spacing w:line="260" w:lineRule="exact"/>
              <w:contextualSpacing/>
              <w:rPr>
                <w:sz w:val="22"/>
                <w:szCs w:val="22"/>
                <w:lang w:val="de-DE"/>
              </w:rPr>
            </w:pPr>
            <w:r w:rsidRPr="0018493E">
              <w:rPr>
                <w:sz w:val="22"/>
                <w:szCs w:val="22"/>
                <w:lang w:val="de-DE"/>
              </w:rPr>
              <w:t>Angioneurozinė edema, veido edema, dilgėlinė</w:t>
            </w:r>
          </w:p>
        </w:tc>
        <w:tc>
          <w:tcPr>
            <w:tcW w:w="1787" w:type="dxa"/>
          </w:tcPr>
          <w:p w:rsidR="0002542A" w:rsidRPr="00077F56" w:rsidRDefault="0002542A" w:rsidP="005A5ACB">
            <w:pPr>
              <w:pStyle w:val="Betarp"/>
              <w:tabs>
                <w:tab w:val="left" w:pos="567"/>
              </w:tabs>
              <w:spacing w:line="260" w:lineRule="exact"/>
              <w:contextualSpacing/>
              <w:rPr>
                <w:sz w:val="22"/>
                <w:szCs w:val="22"/>
                <w:lang w:val="de-DE"/>
              </w:rPr>
            </w:pPr>
            <w:r>
              <w:t>Stivenso-D</w:t>
            </w:r>
            <w:r>
              <w:rPr>
                <w:lang w:val="lt-LT"/>
              </w:rPr>
              <w:t>ž</w:t>
            </w:r>
            <w:r>
              <w:t>onsono (</w:t>
            </w:r>
            <w:r>
              <w:rPr>
                <w:i/>
              </w:rPr>
              <w:t>Stivens-Johnson) sindromas</w:t>
            </w:r>
            <w:r w:rsidRPr="00DF5828">
              <w:rPr>
                <w:color w:val="000000"/>
                <w:lang w:val="hu-HU"/>
              </w:rPr>
              <w:t>†</w:t>
            </w:r>
            <w:r>
              <w:rPr>
                <w:i/>
              </w:rPr>
              <w:t xml:space="preserve">, </w:t>
            </w:r>
            <w:r>
              <w:t>multiform</w:t>
            </w:r>
            <w:r>
              <w:rPr>
                <w:lang w:val="lt-LT"/>
              </w:rPr>
              <w:t>ė eritema</w:t>
            </w:r>
            <w:r w:rsidRPr="00DF5828">
              <w:rPr>
                <w:color w:val="000000"/>
                <w:lang w:val="hu-HU"/>
              </w:rPr>
              <w:t>†</w:t>
            </w:r>
            <w:r>
              <w:rPr>
                <w:lang w:val="lt-LT"/>
              </w:rPr>
              <w:t>,</w:t>
            </w:r>
            <w:r>
              <w:rPr>
                <w:i/>
              </w:rPr>
              <w:t xml:space="preserve"> </w:t>
            </w:r>
            <w:r>
              <w:t>pūslinis dermatitas</w:t>
            </w:r>
            <w:r w:rsidRPr="00DF5828">
              <w:rPr>
                <w:color w:val="000000"/>
                <w:lang w:val="hu-HU"/>
              </w:rPr>
              <w:t>†</w:t>
            </w:r>
          </w:p>
        </w:tc>
      </w:tr>
      <w:tr w:rsidR="0002542A" w:rsidRPr="0026112F" w:rsidTr="00383225">
        <w:tc>
          <w:tcPr>
            <w:tcW w:w="1536" w:type="dxa"/>
          </w:tcPr>
          <w:p w:rsidR="0002542A" w:rsidRPr="00077F56" w:rsidRDefault="0002542A" w:rsidP="005A5ACB">
            <w:pPr>
              <w:pStyle w:val="Betarp"/>
              <w:tabs>
                <w:tab w:val="left" w:pos="567"/>
              </w:tabs>
              <w:spacing w:line="260" w:lineRule="exact"/>
              <w:contextualSpacing/>
              <w:rPr>
                <w:sz w:val="22"/>
                <w:lang w:val="de-DE"/>
              </w:rPr>
            </w:pPr>
            <w:r w:rsidRPr="00077F56">
              <w:rPr>
                <w:sz w:val="22"/>
                <w:lang w:val="de-DE"/>
              </w:rPr>
              <w:t xml:space="preserve">Raumenų, kaulų ir jungiamojo audinio sutrikimai </w:t>
            </w:r>
          </w:p>
        </w:tc>
        <w:tc>
          <w:tcPr>
            <w:tcW w:w="1720" w:type="dxa"/>
          </w:tcPr>
          <w:p w:rsidR="0002542A" w:rsidRPr="00077F56" w:rsidRDefault="0002542A" w:rsidP="005A5ACB">
            <w:pPr>
              <w:pStyle w:val="Betarp"/>
              <w:tabs>
                <w:tab w:val="left" w:pos="567"/>
              </w:tabs>
              <w:spacing w:line="260" w:lineRule="exact"/>
              <w:contextualSpacing/>
              <w:rPr>
                <w:sz w:val="22"/>
                <w:lang w:val="de-DE"/>
              </w:rPr>
            </w:pPr>
            <w:r w:rsidRPr="00077F56">
              <w:rPr>
                <w:sz w:val="22"/>
                <w:lang w:val="de-DE"/>
              </w:rPr>
              <w:t>Artralgija, mialgija, skeleto raumenų skausmas, mėšlungis, skeleto raumenų sustingimas</w:t>
            </w:r>
            <w:r w:rsidRPr="00077F56">
              <w:rPr>
                <w:sz w:val="22"/>
                <w:szCs w:val="22"/>
                <w:lang w:val="de-DE"/>
              </w:rPr>
              <w:t xml:space="preserve"> </w:t>
            </w:r>
          </w:p>
        </w:tc>
        <w:tc>
          <w:tcPr>
            <w:tcW w:w="1378" w:type="dxa"/>
          </w:tcPr>
          <w:p w:rsidR="0002542A" w:rsidRPr="0018493E" w:rsidRDefault="0002542A" w:rsidP="005A5ACB">
            <w:pPr>
              <w:pStyle w:val="Betarp"/>
              <w:tabs>
                <w:tab w:val="left" w:pos="567"/>
              </w:tabs>
              <w:spacing w:line="260" w:lineRule="exact"/>
              <w:contextualSpacing/>
              <w:rPr>
                <w:sz w:val="22"/>
                <w:szCs w:val="22"/>
              </w:rPr>
            </w:pPr>
            <w:r w:rsidRPr="0018493E">
              <w:rPr>
                <w:sz w:val="22"/>
                <w:szCs w:val="22"/>
                <w:lang w:val="en-US"/>
              </w:rPr>
              <w:t>Nugaros skausmas</w:t>
            </w:r>
          </w:p>
        </w:tc>
        <w:tc>
          <w:tcPr>
            <w:tcW w:w="1685" w:type="dxa"/>
          </w:tcPr>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lt-LT"/>
              </w:rPr>
              <w:t>Atipiniai šlaunikaulio pogūbriniai ar diafizės lūžiai</w:t>
            </w:r>
            <w:r w:rsidRPr="0018493E">
              <w:rPr>
                <w:sz w:val="22"/>
                <w:szCs w:val="22"/>
                <w:lang w:val="en-US"/>
              </w:rPr>
              <w:t xml:space="preserve"> †</w:t>
            </w:r>
          </w:p>
          <w:p w:rsidR="0002542A" w:rsidRPr="0018493E" w:rsidRDefault="0002542A" w:rsidP="005A5ACB">
            <w:pPr>
              <w:pStyle w:val="Betarp"/>
              <w:tabs>
                <w:tab w:val="left" w:pos="567"/>
              </w:tabs>
              <w:spacing w:line="260" w:lineRule="exact"/>
              <w:contextualSpacing/>
              <w:rPr>
                <w:sz w:val="22"/>
                <w:szCs w:val="22"/>
                <w:lang w:val="en-US"/>
              </w:rPr>
            </w:pPr>
            <w:r w:rsidRPr="0018493E">
              <w:rPr>
                <w:sz w:val="22"/>
                <w:szCs w:val="22"/>
                <w:lang w:val="en-US"/>
              </w:rPr>
              <w:t>(bifisfomatų klasei būdingas šalutinis poveikis)</w:t>
            </w:r>
          </w:p>
        </w:tc>
        <w:tc>
          <w:tcPr>
            <w:tcW w:w="1787" w:type="dxa"/>
          </w:tcPr>
          <w:p w:rsidR="0002542A" w:rsidRDefault="0002542A" w:rsidP="005A5ACB">
            <w:pPr>
              <w:pStyle w:val="Betarp"/>
              <w:tabs>
                <w:tab w:val="left" w:pos="567"/>
              </w:tabs>
              <w:spacing w:line="260" w:lineRule="exact"/>
              <w:contextualSpacing/>
              <w:rPr>
                <w:sz w:val="22"/>
                <w:szCs w:val="22"/>
                <w:lang w:val="en-US"/>
              </w:rPr>
            </w:pPr>
            <w:r w:rsidRPr="0018493E">
              <w:rPr>
                <w:sz w:val="22"/>
                <w:szCs w:val="22"/>
                <w:lang w:val="en-US"/>
              </w:rPr>
              <w:t>Žandikaulio osteonekrozė*†</w:t>
            </w:r>
          </w:p>
          <w:p w:rsidR="0002542A" w:rsidRPr="0018493E" w:rsidRDefault="0002542A" w:rsidP="005A5ACB">
            <w:pPr>
              <w:pStyle w:val="Betarp"/>
              <w:tabs>
                <w:tab w:val="left" w:pos="567"/>
              </w:tabs>
              <w:spacing w:line="260" w:lineRule="exact"/>
              <w:contextualSpacing/>
              <w:rPr>
                <w:sz w:val="22"/>
                <w:szCs w:val="22"/>
              </w:rPr>
            </w:pPr>
            <w:r>
              <w:rPr>
                <w:rFonts w:eastAsia="Calibri"/>
                <w:lang w:val="lt-LT"/>
              </w:rPr>
              <w:t>I</w:t>
            </w:r>
            <w:r w:rsidRPr="001312AB">
              <w:rPr>
                <w:rFonts w:eastAsia="Calibri"/>
                <w:lang w:val="lt-LT"/>
              </w:rPr>
              <w:t>šorinio ausies k</w:t>
            </w:r>
            <w:r>
              <w:rPr>
                <w:rFonts w:eastAsia="Calibri"/>
                <w:lang w:val="lt-LT"/>
              </w:rPr>
              <w:t>analo osteonekrozė (bisfosfonatų</w:t>
            </w:r>
            <w:r w:rsidRPr="001312AB">
              <w:rPr>
                <w:rFonts w:eastAsia="Calibri"/>
                <w:lang w:val="lt-LT"/>
              </w:rPr>
              <w:t xml:space="preserve"> grupės vaistams būdinga nepageidaujama reakcija)</w:t>
            </w:r>
          </w:p>
        </w:tc>
      </w:tr>
      <w:tr w:rsidR="0002542A" w:rsidRPr="0026112F" w:rsidTr="00383225">
        <w:tc>
          <w:tcPr>
            <w:tcW w:w="1536" w:type="dxa"/>
          </w:tcPr>
          <w:p w:rsidR="0002542A" w:rsidRPr="00790DB1" w:rsidRDefault="0002542A" w:rsidP="005A5ACB">
            <w:r w:rsidRPr="00790DB1">
              <w:t xml:space="preserve">Bendrieji sutrikimai ir vartojimo vietos </w:t>
            </w:r>
          </w:p>
          <w:p w:rsidR="0002542A" w:rsidRPr="0018493E" w:rsidRDefault="0002542A" w:rsidP="005A5ACB">
            <w:pPr>
              <w:pStyle w:val="Betarp"/>
              <w:tabs>
                <w:tab w:val="left" w:pos="567"/>
              </w:tabs>
              <w:spacing w:line="260" w:lineRule="exact"/>
              <w:contextualSpacing/>
              <w:rPr>
                <w:sz w:val="22"/>
                <w:lang w:val="en-US"/>
              </w:rPr>
            </w:pPr>
            <w:r w:rsidRPr="0018493E">
              <w:rPr>
                <w:sz w:val="22"/>
              </w:rPr>
              <w:t>pažeidimai</w:t>
            </w:r>
          </w:p>
        </w:tc>
        <w:tc>
          <w:tcPr>
            <w:tcW w:w="1720" w:type="dxa"/>
          </w:tcPr>
          <w:p w:rsidR="0002542A" w:rsidRPr="0018493E" w:rsidRDefault="0002542A" w:rsidP="005A5ACB">
            <w:pPr>
              <w:pStyle w:val="Betarp"/>
              <w:tabs>
                <w:tab w:val="left" w:pos="567"/>
              </w:tabs>
              <w:spacing w:line="260" w:lineRule="exact"/>
              <w:contextualSpacing/>
              <w:jc w:val="left"/>
              <w:rPr>
                <w:sz w:val="22"/>
              </w:rPr>
            </w:pPr>
            <w:r w:rsidRPr="0018493E">
              <w:rPr>
                <w:sz w:val="22"/>
                <w:lang w:val="en-US"/>
              </w:rPr>
              <w:t>Į gripą panaši liga*</w:t>
            </w:r>
          </w:p>
        </w:tc>
        <w:tc>
          <w:tcPr>
            <w:tcW w:w="1378" w:type="dxa"/>
          </w:tcPr>
          <w:p w:rsidR="0002542A" w:rsidRPr="0018493E" w:rsidRDefault="0002542A" w:rsidP="005A5ACB">
            <w:pPr>
              <w:pStyle w:val="Betarp"/>
              <w:tabs>
                <w:tab w:val="left" w:pos="567"/>
              </w:tabs>
              <w:spacing w:line="260" w:lineRule="exact"/>
              <w:contextualSpacing/>
              <w:rPr>
                <w:sz w:val="22"/>
                <w:szCs w:val="22"/>
              </w:rPr>
            </w:pPr>
            <w:r w:rsidRPr="0018493E">
              <w:rPr>
                <w:sz w:val="22"/>
                <w:szCs w:val="22"/>
                <w:lang w:val="en-US"/>
              </w:rPr>
              <w:t>Nuovargis</w:t>
            </w:r>
          </w:p>
        </w:tc>
        <w:tc>
          <w:tcPr>
            <w:tcW w:w="1685" w:type="dxa"/>
          </w:tcPr>
          <w:p w:rsidR="0002542A" w:rsidRPr="0018493E" w:rsidRDefault="0002542A" w:rsidP="005A5ACB">
            <w:pPr>
              <w:pStyle w:val="Betarp"/>
              <w:tabs>
                <w:tab w:val="left" w:pos="567"/>
              </w:tabs>
              <w:spacing w:line="260" w:lineRule="exact"/>
              <w:contextualSpacing/>
              <w:rPr>
                <w:sz w:val="22"/>
                <w:szCs w:val="22"/>
              </w:rPr>
            </w:pPr>
          </w:p>
        </w:tc>
        <w:tc>
          <w:tcPr>
            <w:tcW w:w="1787" w:type="dxa"/>
          </w:tcPr>
          <w:p w:rsidR="0002542A" w:rsidRPr="0018493E" w:rsidRDefault="0002542A" w:rsidP="005A5ACB">
            <w:pPr>
              <w:pStyle w:val="Betarp"/>
              <w:tabs>
                <w:tab w:val="left" w:pos="567"/>
              </w:tabs>
              <w:spacing w:line="260" w:lineRule="exact"/>
              <w:contextualSpacing/>
              <w:rPr>
                <w:sz w:val="22"/>
                <w:szCs w:val="22"/>
              </w:rPr>
            </w:pPr>
          </w:p>
        </w:tc>
      </w:tr>
    </w:tbl>
    <w:p w:rsidR="00ED67AE" w:rsidRDefault="00ED67AE" w:rsidP="00ED67AE">
      <w:pPr>
        <w:rPr>
          <w:szCs w:val="22"/>
        </w:rPr>
      </w:pPr>
      <w:r>
        <w:rPr>
          <w:szCs w:val="22"/>
        </w:rPr>
        <w:t>*Žiūrėkite toliau pateiktą informaciją</w:t>
      </w:r>
    </w:p>
    <w:p w:rsidR="00ED67AE" w:rsidRPr="007E2511" w:rsidRDefault="00ED67AE" w:rsidP="00ED67AE">
      <w:pPr>
        <w:rPr>
          <w:noProof/>
          <w:szCs w:val="22"/>
        </w:rPr>
      </w:pPr>
      <w:r>
        <w:rPr>
          <w:szCs w:val="22"/>
          <w:lang w:val="en-US"/>
        </w:rPr>
        <w:t>†pastebėta vaistiniam preparatui patekus į rinką</w:t>
      </w:r>
    </w:p>
    <w:p w:rsidR="00ED67AE" w:rsidRDefault="00ED67AE" w:rsidP="00ED67AE">
      <w:pPr>
        <w:rPr>
          <w:noProof/>
          <w:szCs w:val="22"/>
        </w:rPr>
      </w:pPr>
    </w:p>
    <w:p w:rsidR="00BF3FCB" w:rsidRPr="00383225" w:rsidRDefault="00BF3FCB" w:rsidP="00ED67AE">
      <w:pPr>
        <w:rPr>
          <w:noProof/>
          <w:szCs w:val="22"/>
          <w:u w:val="single"/>
        </w:rPr>
      </w:pPr>
      <w:r w:rsidRPr="00383225">
        <w:rPr>
          <w:noProof/>
          <w:szCs w:val="22"/>
          <w:u w:val="single"/>
        </w:rPr>
        <w:t>Atrinktų nepageidaujamų reakcijų apibūdinimas</w:t>
      </w:r>
    </w:p>
    <w:p w:rsidR="00BF3FCB" w:rsidRDefault="00BF3FCB" w:rsidP="00ED67AE">
      <w:pPr>
        <w:rPr>
          <w:noProof/>
          <w:szCs w:val="22"/>
        </w:rPr>
      </w:pPr>
    </w:p>
    <w:p w:rsidR="00ED67AE" w:rsidRPr="00383225" w:rsidRDefault="00ED67AE" w:rsidP="00ED67AE">
      <w:pPr>
        <w:rPr>
          <w:i/>
          <w:noProof/>
          <w:szCs w:val="22"/>
          <w:u w:val="single"/>
        </w:rPr>
      </w:pPr>
      <w:r w:rsidRPr="00383225">
        <w:rPr>
          <w:i/>
          <w:noProof/>
          <w:szCs w:val="22"/>
          <w:u w:val="single"/>
        </w:rPr>
        <w:t>Šalutinis poveikis virškinamąjam traktui</w:t>
      </w:r>
    </w:p>
    <w:p w:rsidR="00ED67AE" w:rsidRDefault="00ED67AE" w:rsidP="00ED67AE">
      <w:pPr>
        <w:rPr>
          <w:noProof/>
          <w:szCs w:val="22"/>
        </w:rPr>
      </w:pPr>
      <w:r w:rsidRPr="007E2511">
        <w:rPr>
          <w:color w:val="000000"/>
          <w:spacing w:val="-3"/>
          <w:szCs w:val="22"/>
        </w:rPr>
        <w:t xml:space="preserve">Kartą per mėnesį dozavimo tyrime dalyvavo anksčiau sirgusios virškinimo trakto ligomis pacientės, </w:t>
      </w:r>
      <w:proofErr w:type="gramStart"/>
      <w:r w:rsidRPr="007E2511">
        <w:rPr>
          <w:color w:val="000000"/>
          <w:spacing w:val="-3"/>
          <w:szCs w:val="22"/>
        </w:rPr>
        <w:t>tai</w:t>
      </w:r>
      <w:proofErr w:type="gramEnd"/>
      <w:r w:rsidRPr="007E2511">
        <w:rPr>
          <w:color w:val="000000"/>
          <w:spacing w:val="-3"/>
          <w:szCs w:val="22"/>
        </w:rPr>
        <w:t xml:space="preserve"> pat ir sirgusios pepsine opa, iš kurios nekraujavo, ar </w:t>
      </w:r>
      <w:smartTag w:uri="urn:schemas-microsoft-com:office:smarttags" w:element="place">
        <w:smartTag w:uri="urn:schemas-microsoft-com:office:smarttags" w:element="State">
          <w:r w:rsidRPr="007E2511">
            <w:rPr>
              <w:color w:val="000000"/>
              <w:spacing w:val="-3"/>
              <w:szCs w:val="22"/>
            </w:rPr>
            <w:t>dėl</w:t>
          </w:r>
        </w:smartTag>
      </w:smartTag>
      <w:r w:rsidRPr="007E2511">
        <w:rPr>
          <w:color w:val="000000"/>
          <w:spacing w:val="-3"/>
          <w:szCs w:val="22"/>
        </w:rPr>
        <w:t xml:space="preserve"> kurios nereikėjo gydytis ligoninėje, taip pat pacientės, kurioms buvo vaistais išgydyta dispepsija ar refliuksas.</w:t>
      </w:r>
      <w:r w:rsidRPr="007E2511">
        <w:rPr>
          <w:noProof/>
          <w:szCs w:val="22"/>
        </w:rPr>
        <w:t xml:space="preserve"> </w:t>
      </w:r>
      <w:r w:rsidRPr="007E2511">
        <w:rPr>
          <w:color w:val="000000"/>
          <w:spacing w:val="-3"/>
          <w:szCs w:val="22"/>
        </w:rPr>
        <w:t xml:space="preserve">Šioms pacientėms viršutinės virškinimo trakto dalies sutrikimų dažnis buvo vienodas vartojant 150 mg kartą per mėnesį ar po </w:t>
      </w:r>
      <w:r w:rsidRPr="007E2511">
        <w:rPr>
          <w:color w:val="000000"/>
          <w:spacing w:val="-4"/>
          <w:szCs w:val="22"/>
        </w:rPr>
        <w:t>2</w:t>
      </w:r>
      <w:proofErr w:type="gramStart"/>
      <w:r w:rsidRPr="007E2511">
        <w:rPr>
          <w:color w:val="000000"/>
          <w:spacing w:val="-4"/>
          <w:szCs w:val="22"/>
        </w:rPr>
        <w:t>,5</w:t>
      </w:r>
      <w:proofErr w:type="gramEnd"/>
      <w:r w:rsidRPr="007E2511">
        <w:rPr>
          <w:color w:val="000000"/>
          <w:spacing w:val="-4"/>
          <w:szCs w:val="22"/>
        </w:rPr>
        <w:t xml:space="preserve"> mg per parą.</w:t>
      </w:r>
      <w:r w:rsidRPr="007E2511">
        <w:rPr>
          <w:noProof/>
          <w:szCs w:val="22"/>
        </w:rPr>
        <w:t xml:space="preserve"> </w:t>
      </w:r>
    </w:p>
    <w:p w:rsidR="00ED67AE" w:rsidRPr="007E2511" w:rsidRDefault="00ED67AE" w:rsidP="00ED67AE"/>
    <w:p w:rsidR="00ED67AE" w:rsidRPr="00383225" w:rsidRDefault="00ED67AE" w:rsidP="00ED67AE">
      <w:pPr>
        <w:rPr>
          <w:i/>
          <w:color w:val="000000"/>
          <w:spacing w:val="-2"/>
          <w:szCs w:val="22"/>
          <w:u w:val="single"/>
        </w:rPr>
      </w:pPr>
      <w:r w:rsidRPr="00383225">
        <w:rPr>
          <w:i/>
          <w:color w:val="000000"/>
          <w:spacing w:val="-2"/>
          <w:szCs w:val="22"/>
          <w:u w:val="single"/>
        </w:rPr>
        <w:t>Į gripą panaši liga</w:t>
      </w:r>
    </w:p>
    <w:p w:rsidR="00ED67AE" w:rsidRPr="007E2511" w:rsidRDefault="00ED67AE" w:rsidP="00ED67AE">
      <w:pPr>
        <w:rPr>
          <w:noProof/>
          <w:szCs w:val="22"/>
        </w:rPr>
      </w:pPr>
      <w:r w:rsidRPr="007E2511">
        <w:rPr>
          <w:color w:val="000000"/>
          <w:spacing w:val="-2"/>
          <w:szCs w:val="22"/>
        </w:rPr>
        <w:t xml:space="preserve">Vartojant </w:t>
      </w:r>
      <w:r w:rsidRPr="007E2511">
        <w:rPr>
          <w:szCs w:val="22"/>
        </w:rPr>
        <w:t>ibandrono rūgštį 150 mg</w:t>
      </w:r>
      <w:r w:rsidRPr="007E2511">
        <w:rPr>
          <w:color w:val="000000"/>
          <w:spacing w:val="-2"/>
          <w:szCs w:val="22"/>
        </w:rPr>
        <w:t xml:space="preserve"> vieną kartą per mėnesį registruoti laikini, į gripo panašūs simptomai, paprastai pasireiškiantys po pirmosios dozės.</w:t>
      </w:r>
      <w:r w:rsidRPr="007E2511">
        <w:rPr>
          <w:noProof/>
          <w:szCs w:val="22"/>
        </w:rPr>
        <w:t xml:space="preserve"> </w:t>
      </w:r>
      <w:r w:rsidRPr="007E2511">
        <w:rPr>
          <w:color w:val="000000"/>
          <w:spacing w:val="-2"/>
          <w:szCs w:val="22"/>
        </w:rPr>
        <w:t>Tokie simptomai dažniausiai trunka neilgai, būna nesunkūs ar vidutinio sunkumo, toliau vartojant preparatą praeina savaime, gydymo vaistais nereikia.</w:t>
      </w:r>
      <w:r w:rsidRPr="007E2511">
        <w:rPr>
          <w:noProof/>
          <w:szCs w:val="22"/>
        </w:rPr>
        <w:t xml:space="preserve"> </w:t>
      </w:r>
      <w:r w:rsidRPr="007E2511">
        <w:rPr>
          <w:color w:val="000000"/>
          <w:spacing w:val="-2"/>
          <w:szCs w:val="22"/>
        </w:rPr>
        <w:t>Į gripą panašus sindromas pasireiškia kaip ūminės fazės reakcija arba tokiais simptomais kaip raumenų, sąnarių skausmas, karščiavimas, šaltkrėtis, nuovargis, pykinimas, apetito sumažėjimas ar kaulų skausmas.</w:t>
      </w:r>
      <w:r w:rsidRPr="007E2511">
        <w:rPr>
          <w:noProof/>
          <w:szCs w:val="22"/>
        </w:rPr>
        <w:t xml:space="preserve"> </w:t>
      </w:r>
    </w:p>
    <w:p w:rsidR="00ED67AE" w:rsidRDefault="00ED67AE" w:rsidP="00ED67AE">
      <w:pPr>
        <w:rPr>
          <w:noProof/>
          <w:szCs w:val="22"/>
          <w:u w:val="single"/>
        </w:rPr>
      </w:pPr>
    </w:p>
    <w:p w:rsidR="00ED67AE" w:rsidRPr="00383225" w:rsidRDefault="00ED67AE" w:rsidP="00ED67AE">
      <w:pPr>
        <w:rPr>
          <w:i/>
          <w:noProof/>
          <w:szCs w:val="22"/>
          <w:u w:val="single"/>
        </w:rPr>
      </w:pPr>
      <w:r w:rsidRPr="00383225">
        <w:rPr>
          <w:i/>
          <w:noProof/>
          <w:szCs w:val="22"/>
          <w:u w:val="single"/>
        </w:rPr>
        <w:t>Žandikaulio osteonekrozė</w:t>
      </w:r>
    </w:p>
    <w:p w:rsidR="00ED67AE" w:rsidRDefault="00ED67AE" w:rsidP="00ED67AE">
      <w:pPr>
        <w:rPr>
          <w:szCs w:val="22"/>
          <w:lang w:val="lt-LT"/>
        </w:rPr>
      </w:pPr>
      <w:r>
        <w:rPr>
          <w:szCs w:val="22"/>
          <w:lang w:val="lt-LT"/>
        </w:rPr>
        <w:t>Bisfosfonatais gydomiems pacientams buvo žandikaulio osteonekrozės atvejų. Dauguma atvejų priklausė vėžiu sergantiems pacientams, tačiau jų pasitaikė ir pacientams, gydomiems nuo osteoporozės. Žandikaulio osteonekrozė paprastai yra susijusi su danties ištraukimu ir (arba) lokalia infekcija (įskaitant osteomielitą). Manoma, kad rizikos veiksniai yra ir vėžys, chemoterapija, radioterapija, kortikosteroidai ir menka burnos higiena.</w:t>
      </w:r>
    </w:p>
    <w:p w:rsidR="00BF3FCB" w:rsidRDefault="00BF3FCB" w:rsidP="00BF3FCB">
      <w:pPr>
        <w:rPr>
          <w:i/>
          <w:szCs w:val="22"/>
          <w:u w:val="single"/>
          <w:lang w:val="lt-LT"/>
        </w:rPr>
      </w:pPr>
    </w:p>
    <w:p w:rsidR="00BF3FCB" w:rsidRPr="00077F56" w:rsidRDefault="00BF3FCB" w:rsidP="00BF3FCB">
      <w:pPr>
        <w:rPr>
          <w:i/>
          <w:noProof/>
          <w:szCs w:val="22"/>
          <w:lang w:val="lt-LT"/>
        </w:rPr>
      </w:pPr>
      <w:r w:rsidRPr="00077F56">
        <w:rPr>
          <w:i/>
          <w:szCs w:val="22"/>
          <w:u w:val="single"/>
          <w:lang w:val="lt-LT"/>
        </w:rPr>
        <w:t>Akių uždegimas</w:t>
      </w:r>
    </w:p>
    <w:p w:rsidR="00BF3FCB" w:rsidRPr="00563769" w:rsidRDefault="00BF3FCB" w:rsidP="00BF3FCB">
      <w:pPr>
        <w:autoSpaceDE w:val="0"/>
        <w:autoSpaceDN w:val="0"/>
        <w:adjustRightInd w:val="0"/>
        <w:rPr>
          <w:color w:val="000000"/>
          <w:szCs w:val="22"/>
          <w:lang w:val="lt-LT"/>
        </w:rPr>
      </w:pPr>
      <w:r w:rsidRPr="00563769">
        <w:rPr>
          <w:color w:val="000000"/>
          <w:szCs w:val="22"/>
          <w:lang w:val="lt-LT"/>
        </w:rPr>
        <w:t xml:space="preserve">Vartojusiesiems ibandrono rūgštį buvo pastebėti akių uždegimo reiškiniai, tokie kaip uveitas, episkleritas ir skleritas. Kai kuriais atvejais šie reiškiniai išnykdavo tik nutraukus ibandrono rūgšties vartojimą. </w:t>
      </w:r>
    </w:p>
    <w:p w:rsidR="00ED67AE" w:rsidRPr="00502EE7" w:rsidRDefault="00ED67AE" w:rsidP="00ED67AE">
      <w:pPr>
        <w:rPr>
          <w:noProof/>
          <w:szCs w:val="22"/>
          <w:u w:val="single"/>
          <w:lang w:val="lt-LT"/>
        </w:rPr>
      </w:pPr>
    </w:p>
    <w:p w:rsidR="00BF3FCB" w:rsidRPr="00BF3FCB" w:rsidRDefault="00BF3FCB" w:rsidP="00BF3FCB">
      <w:pPr>
        <w:rPr>
          <w:i/>
          <w:szCs w:val="22"/>
          <w:lang w:val="lt-LT"/>
        </w:rPr>
      </w:pPr>
      <w:r w:rsidRPr="00BF3FCB">
        <w:rPr>
          <w:i/>
          <w:szCs w:val="22"/>
          <w:lang w:val="lt-LT"/>
        </w:rPr>
        <w:t>Anafilaksinė reakcija ar šokas</w:t>
      </w:r>
    </w:p>
    <w:p w:rsidR="00BF3FCB" w:rsidRPr="00BF3FCB" w:rsidRDefault="00BF3FCB" w:rsidP="00BF3FCB">
      <w:pPr>
        <w:rPr>
          <w:szCs w:val="22"/>
          <w:lang w:val="lt-LT"/>
        </w:rPr>
      </w:pPr>
      <w:r w:rsidRPr="00BF3FCB">
        <w:rPr>
          <w:szCs w:val="22"/>
          <w:lang w:val="lt-LT"/>
        </w:rPr>
        <w:t>Pacientams, gydytiems į veną leidžiama ibandronine rūgštimi, pasitaikė anafilaksinės reakcijos/šoko atvejų, buvo ir mirtimi pasibaigusių įvykių.</w:t>
      </w:r>
    </w:p>
    <w:p w:rsidR="00ED67AE" w:rsidRDefault="00ED67AE" w:rsidP="00ED67AE">
      <w:pPr>
        <w:rPr>
          <w:szCs w:val="22"/>
          <w:lang w:val="lt-LT"/>
        </w:rPr>
      </w:pPr>
    </w:p>
    <w:p w:rsidR="00137EE2" w:rsidRPr="00137EE2" w:rsidRDefault="00137EE2" w:rsidP="00137EE2">
      <w:pPr>
        <w:autoSpaceDE w:val="0"/>
        <w:autoSpaceDN w:val="0"/>
        <w:adjustRightInd w:val="0"/>
        <w:rPr>
          <w:rFonts w:eastAsia="Calibri"/>
          <w:snapToGrid w:val="0"/>
          <w:szCs w:val="24"/>
          <w:u w:val="single"/>
          <w:lang w:val="lt-LT"/>
        </w:rPr>
      </w:pPr>
      <w:r w:rsidRPr="00137EE2">
        <w:rPr>
          <w:rFonts w:eastAsia="Calibri"/>
          <w:noProof/>
          <w:snapToGrid w:val="0"/>
          <w:szCs w:val="24"/>
          <w:u w:val="single"/>
          <w:lang w:val="lt-LT"/>
        </w:rPr>
        <w:t>Pranešimas apie įtariamas nepageidaujamas reakcijas</w:t>
      </w:r>
    </w:p>
    <w:p w:rsidR="00137EE2" w:rsidRDefault="00137EE2" w:rsidP="00137EE2">
      <w:pPr>
        <w:rPr>
          <w:szCs w:val="22"/>
          <w:lang w:val="lt-LT"/>
        </w:rPr>
      </w:pPr>
      <w:r w:rsidRPr="00137EE2">
        <w:rPr>
          <w:rFonts w:eastAsia="Calibri"/>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137EE2">
          <w:rPr>
            <w:rFonts w:eastAsia="Calibri"/>
            <w:noProof/>
            <w:snapToGrid w:val="0"/>
            <w:color w:val="0000FF"/>
            <w:szCs w:val="24"/>
            <w:u w:val="single"/>
            <w:lang w:val="lt-LT"/>
          </w:rPr>
          <w:t>http://www.vvkt.lt</w:t>
        </w:r>
      </w:hyperlink>
      <w:r w:rsidRPr="00137EE2">
        <w:rPr>
          <w:rFonts w:eastAsia="Calibri"/>
          <w:noProof/>
          <w:snapToGrid w:val="0"/>
          <w:szCs w:val="24"/>
          <w:lang w:val="lt-LT"/>
        </w:rPr>
        <w:t>).</w:t>
      </w:r>
    </w:p>
    <w:p w:rsidR="00137EE2" w:rsidRPr="00502EE7" w:rsidRDefault="00137EE2" w:rsidP="00ED67AE">
      <w:pPr>
        <w:rPr>
          <w:szCs w:val="22"/>
          <w:lang w:val="lt-LT"/>
        </w:rPr>
      </w:pPr>
    </w:p>
    <w:p w:rsidR="00ED67AE" w:rsidRPr="00CD6267" w:rsidRDefault="00ED67AE" w:rsidP="00ED67AE">
      <w:pPr>
        <w:rPr>
          <w:szCs w:val="22"/>
          <w:lang w:val="lt-LT"/>
        </w:rPr>
      </w:pPr>
      <w:r w:rsidRPr="00CD6267">
        <w:rPr>
          <w:b/>
          <w:szCs w:val="22"/>
          <w:lang w:val="lt-LT"/>
        </w:rPr>
        <w:t>4.9</w:t>
      </w:r>
      <w:r w:rsidRPr="00CD6267">
        <w:rPr>
          <w:b/>
          <w:szCs w:val="22"/>
          <w:lang w:val="lt-LT"/>
        </w:rPr>
        <w:tab/>
        <w:t>Perdozavimas</w:t>
      </w:r>
    </w:p>
    <w:p w:rsidR="00ED67AE" w:rsidRDefault="00ED67AE" w:rsidP="00ED67AE">
      <w:pPr>
        <w:rPr>
          <w:szCs w:val="22"/>
          <w:lang w:val="lt-LT"/>
        </w:rPr>
      </w:pPr>
    </w:p>
    <w:p w:rsidR="00ED67AE" w:rsidRPr="006535E0" w:rsidRDefault="00ED67AE" w:rsidP="00ED67AE">
      <w:pPr>
        <w:rPr>
          <w:szCs w:val="22"/>
          <w:lang w:val="lt-LT"/>
        </w:rPr>
      </w:pPr>
      <w:r w:rsidRPr="006535E0">
        <w:rPr>
          <w:color w:val="000000"/>
          <w:spacing w:val="-3"/>
          <w:szCs w:val="22"/>
          <w:lang w:val="lt-LT"/>
        </w:rPr>
        <w:t xml:space="preserve">Specifinės informacijos apie </w:t>
      </w:r>
      <w:r>
        <w:rPr>
          <w:color w:val="000000"/>
          <w:spacing w:val="-3"/>
          <w:szCs w:val="22"/>
          <w:lang w:val="lt-LT"/>
        </w:rPr>
        <w:t>ibandrono rūgšties</w:t>
      </w:r>
      <w:r w:rsidRPr="006535E0">
        <w:rPr>
          <w:color w:val="000000"/>
          <w:spacing w:val="-3"/>
          <w:szCs w:val="22"/>
          <w:lang w:val="lt-LT"/>
        </w:rPr>
        <w:t xml:space="preserve"> perdozavimo reiškinių gydymą nėra.</w:t>
      </w:r>
      <w:r w:rsidRPr="006535E0">
        <w:rPr>
          <w:szCs w:val="22"/>
          <w:lang w:val="lt-LT"/>
        </w:rPr>
        <w:t xml:space="preserve"> </w:t>
      </w:r>
    </w:p>
    <w:p w:rsidR="00ED67AE" w:rsidRPr="009347D2" w:rsidRDefault="00ED67AE" w:rsidP="00ED67AE">
      <w:pPr>
        <w:rPr>
          <w:color w:val="000000"/>
          <w:spacing w:val="-3"/>
          <w:lang w:val="lt-LT"/>
        </w:rPr>
      </w:pPr>
      <w:r w:rsidRPr="009347D2">
        <w:rPr>
          <w:color w:val="000000"/>
          <w:spacing w:val="-3"/>
          <w:lang w:val="lt-LT"/>
        </w:rPr>
        <w:t>Tačiau, remiantis duomenimis apie šios klasės junginius, geriamosios vaisto formos perdozavimas gali sukelti nepageidaujamas viršutinės virškinimo trakto dalies reakcijas (pavyzdžiui, virškinimo sutrikimą, rėmenį, ezofagitą, gastritą ar opą) arba hipokalcemiją.</w:t>
      </w:r>
      <w:r w:rsidRPr="009347D2">
        <w:rPr>
          <w:lang w:val="lt-LT"/>
        </w:rPr>
        <w:t xml:space="preserve"> </w:t>
      </w:r>
      <w:r w:rsidRPr="009347D2">
        <w:rPr>
          <w:color w:val="000000"/>
          <w:spacing w:val="-3"/>
          <w:lang w:val="lt-LT"/>
        </w:rPr>
        <w:t>Ibandrono rūgščiai neutralizuoti duodama pieno ar antacidinių preparatų, bet kokios nepageidaujamos reakcijos gydomos simptomiškai.</w:t>
      </w:r>
      <w:r w:rsidRPr="009347D2">
        <w:rPr>
          <w:lang w:val="lt-LT"/>
        </w:rPr>
        <w:t xml:space="preserve"> </w:t>
      </w:r>
      <w:r w:rsidRPr="009347D2">
        <w:rPr>
          <w:color w:val="000000"/>
          <w:spacing w:val="-3"/>
          <w:lang w:val="lt-LT"/>
        </w:rPr>
        <w:t>Kadangi yra stemplės sudirginimo rizika, pacientui negalima sukelti vėmimo, jis turi būti vertikalioje padėtyje.</w:t>
      </w:r>
    </w:p>
    <w:p w:rsidR="00ED67AE" w:rsidRPr="009347D2" w:rsidRDefault="00ED67AE" w:rsidP="00ED67AE">
      <w:pPr>
        <w:rPr>
          <w:color w:val="000000"/>
          <w:spacing w:val="-3"/>
          <w:lang w:val="lt-LT"/>
        </w:rPr>
      </w:pPr>
    </w:p>
    <w:p w:rsidR="00ED67AE" w:rsidRDefault="00ED67AE" w:rsidP="00ED67AE">
      <w:pPr>
        <w:rPr>
          <w:szCs w:val="22"/>
          <w:lang w:val="lt-LT"/>
        </w:rPr>
      </w:pPr>
    </w:p>
    <w:p w:rsidR="00ED67AE" w:rsidRPr="00CD6267" w:rsidRDefault="00ED67AE" w:rsidP="00ED67AE">
      <w:pPr>
        <w:rPr>
          <w:szCs w:val="22"/>
          <w:lang w:val="lt-LT"/>
        </w:rPr>
      </w:pPr>
      <w:r w:rsidRPr="00CD6267">
        <w:rPr>
          <w:b/>
          <w:szCs w:val="22"/>
          <w:lang w:val="lt-LT"/>
        </w:rPr>
        <w:t>5.</w:t>
      </w:r>
      <w:r w:rsidRPr="00CD6267">
        <w:rPr>
          <w:b/>
          <w:szCs w:val="22"/>
          <w:lang w:val="lt-LT"/>
        </w:rPr>
        <w:tab/>
        <w:t xml:space="preserve">FARMAKOLOGINĖS </w:t>
      </w:r>
      <w:r w:rsidRPr="00CD6267">
        <w:rPr>
          <w:b/>
          <w:caps/>
          <w:szCs w:val="22"/>
          <w:lang w:val="lt-LT"/>
        </w:rPr>
        <w:t>savybės</w:t>
      </w: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5.1</w:t>
      </w:r>
      <w:r w:rsidRPr="00CD6267">
        <w:rPr>
          <w:b/>
          <w:szCs w:val="22"/>
          <w:lang w:val="lt-LT"/>
        </w:rPr>
        <w:tab/>
        <w:t>Farmakodinaminės savybės</w:t>
      </w:r>
    </w:p>
    <w:p w:rsidR="00ED67AE" w:rsidRPr="00CD6267" w:rsidRDefault="00ED67AE" w:rsidP="00ED67AE">
      <w:pPr>
        <w:rPr>
          <w:szCs w:val="22"/>
          <w:lang w:val="lt-LT"/>
        </w:rPr>
      </w:pPr>
    </w:p>
    <w:p w:rsidR="00ED67AE" w:rsidRPr="00CD6267" w:rsidRDefault="00ED67AE" w:rsidP="00ED67AE">
      <w:pPr>
        <w:rPr>
          <w:szCs w:val="22"/>
          <w:lang w:val="lt-LT"/>
        </w:rPr>
      </w:pPr>
      <w:r w:rsidRPr="00CD6267">
        <w:rPr>
          <w:szCs w:val="22"/>
          <w:lang w:val="lt-LT"/>
        </w:rPr>
        <w:t xml:space="preserve">Farmakoterapinė grupė – </w:t>
      </w:r>
      <w:r w:rsidRPr="00886478">
        <w:rPr>
          <w:szCs w:val="22"/>
          <w:lang w:val="pt-BR"/>
        </w:rPr>
        <w:t>vaistai kaulų ligų gydymui</w:t>
      </w:r>
      <w:r>
        <w:rPr>
          <w:szCs w:val="22"/>
          <w:lang w:val="pt-BR"/>
        </w:rPr>
        <w:t>,</w:t>
      </w:r>
      <w:r>
        <w:rPr>
          <w:szCs w:val="22"/>
          <w:lang w:val="lt-LT"/>
        </w:rPr>
        <w:t xml:space="preserve"> bisfosfonatai</w:t>
      </w:r>
      <w:r w:rsidRPr="00CD6267">
        <w:rPr>
          <w:szCs w:val="22"/>
          <w:lang w:val="lt-LT"/>
        </w:rPr>
        <w:t xml:space="preserve">, ATC kodas – </w:t>
      </w:r>
      <w:r>
        <w:rPr>
          <w:szCs w:val="22"/>
          <w:lang w:val="lt-LT"/>
        </w:rPr>
        <w:t>M05B A06.</w:t>
      </w:r>
    </w:p>
    <w:p w:rsidR="00ED67AE" w:rsidRPr="00CD6267" w:rsidRDefault="00ED67AE" w:rsidP="00ED67AE">
      <w:pPr>
        <w:rPr>
          <w:szCs w:val="22"/>
          <w:lang w:val="lt-LT"/>
        </w:rPr>
      </w:pPr>
    </w:p>
    <w:p w:rsidR="00ED67AE" w:rsidRPr="00A93783" w:rsidRDefault="00ED67AE" w:rsidP="00ED67AE">
      <w:pPr>
        <w:rPr>
          <w:szCs w:val="22"/>
          <w:lang w:val="lt-LT"/>
        </w:rPr>
      </w:pPr>
      <w:r w:rsidRPr="00A93783">
        <w:rPr>
          <w:i/>
          <w:szCs w:val="22"/>
          <w:lang w:val="lt-LT"/>
        </w:rPr>
        <w:t>Veikimo mechanizmas</w:t>
      </w:r>
    </w:p>
    <w:p w:rsidR="00ED67AE" w:rsidRPr="00A93783" w:rsidRDefault="00ED67AE" w:rsidP="00ED67AE">
      <w:pPr>
        <w:rPr>
          <w:szCs w:val="22"/>
          <w:lang w:val="lt-LT"/>
        </w:rPr>
      </w:pPr>
      <w:r w:rsidRPr="00A93783">
        <w:rPr>
          <w:color w:val="000000"/>
          <w:spacing w:val="-3"/>
          <w:szCs w:val="22"/>
          <w:lang w:val="lt-LT"/>
        </w:rPr>
        <w:t>Ibandrono rūgštis yra stipriai veikiantis bisfosfonatas, priklausantis azoto molekulę turinčiai bisfosfonatų grupei, kuri selektyviai veikia kaulinį audinį ir specifiškai slopina osteoklastų aktyvumą, tiesiogiai neveikdama kaulų formavimosi.</w:t>
      </w:r>
      <w:r w:rsidRPr="00A93783">
        <w:rPr>
          <w:szCs w:val="22"/>
          <w:lang w:val="lt-LT"/>
        </w:rPr>
        <w:t xml:space="preserve"> </w:t>
      </w:r>
      <w:r w:rsidRPr="00A93783">
        <w:rPr>
          <w:color w:val="000000"/>
          <w:spacing w:val="-3"/>
          <w:szCs w:val="22"/>
          <w:lang w:val="lt-LT"/>
        </w:rPr>
        <w:t>Ji neslopina osteoklastų proliferacijos.</w:t>
      </w:r>
      <w:r w:rsidRPr="00A93783">
        <w:rPr>
          <w:szCs w:val="22"/>
          <w:lang w:val="lt-LT"/>
        </w:rPr>
        <w:t xml:space="preserve"> </w:t>
      </w:r>
      <w:r w:rsidRPr="00A93783">
        <w:rPr>
          <w:color w:val="000000"/>
          <w:spacing w:val="-3"/>
          <w:szCs w:val="22"/>
          <w:lang w:val="lt-LT"/>
        </w:rPr>
        <w:t xml:space="preserve">Ibandrono rūgštis laipsniškai didina kaulų masę ir mažina lūžių dažnį, slopindama moterų po menopauzės suaktyvėjusią </w:t>
      </w:r>
      <w:r w:rsidRPr="00A93783">
        <w:rPr>
          <w:color w:val="000000"/>
          <w:spacing w:val="-4"/>
          <w:szCs w:val="22"/>
          <w:lang w:val="lt-LT"/>
        </w:rPr>
        <w:t>kaulų apykaitą iki to lygio, kuris buvo prieš menopauzę.</w:t>
      </w:r>
      <w:r w:rsidRPr="00A93783">
        <w:rPr>
          <w:szCs w:val="22"/>
          <w:lang w:val="lt-LT"/>
        </w:rPr>
        <w:t xml:space="preserve"> </w:t>
      </w:r>
    </w:p>
    <w:p w:rsidR="00ED67AE" w:rsidRPr="00A93783" w:rsidRDefault="00ED67AE" w:rsidP="00ED67AE">
      <w:pPr>
        <w:rPr>
          <w:i/>
          <w:szCs w:val="22"/>
          <w:lang w:val="lt-LT"/>
        </w:rPr>
      </w:pPr>
    </w:p>
    <w:p w:rsidR="00ED67AE" w:rsidRPr="00A93783" w:rsidRDefault="00ED67AE" w:rsidP="00ED67AE">
      <w:pPr>
        <w:rPr>
          <w:szCs w:val="22"/>
          <w:lang w:val="lt-LT"/>
        </w:rPr>
      </w:pPr>
      <w:r w:rsidRPr="00A93783">
        <w:rPr>
          <w:i/>
          <w:szCs w:val="22"/>
          <w:lang w:val="lt-LT"/>
        </w:rPr>
        <w:t>Farmakodinaminis poveikis</w:t>
      </w:r>
    </w:p>
    <w:p w:rsidR="00ED67AE" w:rsidRPr="00A93783" w:rsidRDefault="00ED67AE" w:rsidP="00ED67AE">
      <w:pPr>
        <w:rPr>
          <w:szCs w:val="22"/>
          <w:lang w:val="lt-LT"/>
        </w:rPr>
      </w:pPr>
      <w:r w:rsidRPr="00A93783">
        <w:rPr>
          <w:color w:val="000000"/>
          <w:spacing w:val="-3"/>
          <w:szCs w:val="22"/>
          <w:lang w:val="lt-LT"/>
        </w:rPr>
        <w:t>Farmakodinaminis ibandrono rūgšties poveikis yra kaulų rezorbcijos slopinimas.</w:t>
      </w:r>
      <w:r w:rsidRPr="00A93783">
        <w:rPr>
          <w:szCs w:val="22"/>
          <w:lang w:val="lt-LT"/>
        </w:rPr>
        <w:t xml:space="preserve"> </w:t>
      </w:r>
      <w:r w:rsidRPr="00A93783">
        <w:rPr>
          <w:i/>
          <w:color w:val="000000"/>
          <w:spacing w:val="-3"/>
          <w:szCs w:val="22"/>
          <w:lang w:val="lt-LT"/>
        </w:rPr>
        <w:t>In vivo</w:t>
      </w:r>
      <w:r w:rsidRPr="00A93783">
        <w:rPr>
          <w:color w:val="000000"/>
          <w:spacing w:val="-3"/>
          <w:szCs w:val="22"/>
          <w:lang w:val="lt-LT"/>
        </w:rPr>
        <w:t xml:space="preserve"> ibandrono rūgštis stabdo eksperimentiškai sužadintą kaulų destrukciją, sukeltą slopinamos lytinių liaukų funkcijos, retinoidų, navikų ar navikų ekstraktų.</w:t>
      </w:r>
      <w:r w:rsidRPr="00A93783">
        <w:rPr>
          <w:szCs w:val="22"/>
          <w:lang w:val="lt-LT"/>
        </w:rPr>
        <w:t xml:space="preserve"> </w:t>
      </w:r>
      <w:r w:rsidRPr="00A93783">
        <w:rPr>
          <w:color w:val="000000"/>
          <w:spacing w:val="-3"/>
          <w:szCs w:val="22"/>
          <w:lang w:val="lt-LT"/>
        </w:rPr>
        <w:t xml:space="preserve">Jaunoms (greitai augančioms) žiurkėms taip pat slopinama endogeninė kaulų rezorbcija, dėl to padidėja normali kaulų masė lyginant su gyvūnų, </w:t>
      </w:r>
      <w:r w:rsidRPr="00A93783">
        <w:rPr>
          <w:color w:val="000000"/>
          <w:spacing w:val="-4"/>
          <w:szCs w:val="22"/>
          <w:lang w:val="lt-LT"/>
        </w:rPr>
        <w:t>negavusių preparato.</w:t>
      </w:r>
      <w:r w:rsidRPr="00A93783">
        <w:rPr>
          <w:szCs w:val="22"/>
          <w:lang w:val="lt-LT"/>
        </w:rPr>
        <w:t xml:space="preserve"> </w:t>
      </w:r>
    </w:p>
    <w:p w:rsidR="00ED67AE" w:rsidRPr="00A93783" w:rsidRDefault="00ED67AE" w:rsidP="00ED67AE">
      <w:pPr>
        <w:rPr>
          <w:szCs w:val="22"/>
          <w:lang w:val="lt-LT"/>
        </w:rPr>
      </w:pPr>
      <w:r w:rsidRPr="00A93783">
        <w:rPr>
          <w:color w:val="000000"/>
          <w:spacing w:val="-3"/>
          <w:szCs w:val="22"/>
          <w:lang w:val="lt-LT"/>
        </w:rPr>
        <w:t>Gyvūnų modeliai patvirtino, kad ibandrono rūgštis stipriai slopina osteoklastų aktyvumą.</w:t>
      </w:r>
      <w:r w:rsidRPr="00A93783">
        <w:rPr>
          <w:szCs w:val="22"/>
          <w:lang w:val="lt-LT"/>
        </w:rPr>
        <w:t xml:space="preserve"> </w:t>
      </w:r>
      <w:r w:rsidRPr="00A93783">
        <w:rPr>
          <w:color w:val="000000"/>
          <w:spacing w:val="-3"/>
          <w:szCs w:val="22"/>
          <w:lang w:val="lt-LT"/>
        </w:rPr>
        <w:t xml:space="preserve">Jokie duomenys nerodo, kad augančioms žiurkėms būtų slopinama mineralizacija, net kai vartojama </w:t>
      </w:r>
      <w:r w:rsidRPr="00A93783">
        <w:rPr>
          <w:color w:val="000000"/>
          <w:spacing w:val="-4"/>
          <w:szCs w:val="22"/>
          <w:lang w:val="lt-LT"/>
        </w:rPr>
        <w:t>5000 kartų didesnė negu osteoporozei gydyti dozė.</w:t>
      </w:r>
      <w:r w:rsidRPr="00A93783">
        <w:rPr>
          <w:szCs w:val="22"/>
          <w:lang w:val="lt-LT"/>
        </w:rPr>
        <w:t xml:space="preserve"> </w:t>
      </w:r>
    </w:p>
    <w:p w:rsidR="00ED67AE" w:rsidRPr="00A93783" w:rsidRDefault="00ED67AE" w:rsidP="00ED67AE">
      <w:pPr>
        <w:rPr>
          <w:szCs w:val="22"/>
          <w:lang w:val="lt-LT"/>
        </w:rPr>
      </w:pPr>
      <w:r w:rsidRPr="00A93783">
        <w:rPr>
          <w:color w:val="000000"/>
          <w:spacing w:val="-3"/>
          <w:szCs w:val="22"/>
          <w:lang w:val="lt-LT"/>
        </w:rPr>
        <w:t>Ilgai kasdien ar su pertraukomis (ilgi intervalai tarp dozių) preparatą gavusioms žiurkėms, šunims ir beždžionėms formavosi naujas, normalus kaulinis audinys, kurio mechaninis atsparumas išliko toks pat arba padidėjo net skiriant toksines dozes.</w:t>
      </w:r>
      <w:r w:rsidRPr="00A93783">
        <w:rPr>
          <w:szCs w:val="22"/>
          <w:lang w:val="lt-LT"/>
        </w:rPr>
        <w:t xml:space="preserve"> </w:t>
      </w:r>
      <w:r w:rsidRPr="00A93783">
        <w:rPr>
          <w:color w:val="000000"/>
          <w:spacing w:val="-3"/>
          <w:szCs w:val="22"/>
          <w:lang w:val="lt-LT"/>
        </w:rPr>
        <w:t>Žmonėms ibandrono rūgšties efektyvumas, jos vartojant kasdien ar su pertraukomis, kai intervalas tarp dozių yra 9–10 savaičių, įrodytas klinikiniame tyrime (MF 4411), šio tyrimo metu buvo patvirtintas ibandrono rūgšties efektyvumas lūžių prevencijai.</w:t>
      </w:r>
      <w:r w:rsidRPr="00A93783">
        <w:rPr>
          <w:szCs w:val="22"/>
          <w:lang w:val="lt-LT"/>
        </w:rPr>
        <w:t xml:space="preserve"> </w:t>
      </w:r>
    </w:p>
    <w:p w:rsidR="00ED67AE" w:rsidRPr="00A93783" w:rsidRDefault="00ED67AE" w:rsidP="00ED67AE">
      <w:pPr>
        <w:rPr>
          <w:szCs w:val="22"/>
          <w:lang w:val="lt-LT"/>
        </w:rPr>
      </w:pPr>
    </w:p>
    <w:p w:rsidR="00ED67AE" w:rsidRPr="00A93783" w:rsidRDefault="00ED67AE" w:rsidP="00ED67AE">
      <w:pPr>
        <w:rPr>
          <w:szCs w:val="22"/>
          <w:lang w:val="lt-LT"/>
        </w:rPr>
      </w:pPr>
      <w:r w:rsidRPr="00A93783">
        <w:rPr>
          <w:color w:val="000000"/>
          <w:spacing w:val="-3"/>
          <w:szCs w:val="22"/>
          <w:lang w:val="lt-LT"/>
        </w:rPr>
        <w:t xml:space="preserve">Modeliuose su gyvūnais ibandrono rūgštis sukėlė biocheminių rodiklių </w:t>
      </w:r>
      <w:smartTag w:uri="schemas-tilde-lt/tildestengine" w:element="templates">
        <w:smartTagPr>
          <w:attr w:name="baseform" w:val="pokyt|is"/>
          <w:attr w:name="id" w:val="-1"/>
          <w:attr w:name="text" w:val="pokyčius"/>
        </w:smartTagPr>
        <w:r w:rsidRPr="00A93783">
          <w:rPr>
            <w:color w:val="000000"/>
            <w:spacing w:val="-3"/>
            <w:szCs w:val="22"/>
            <w:lang w:val="lt-LT"/>
          </w:rPr>
          <w:t>pokyčius</w:t>
        </w:r>
      </w:smartTag>
      <w:r w:rsidRPr="00A93783">
        <w:rPr>
          <w:color w:val="000000"/>
          <w:spacing w:val="-3"/>
          <w:szCs w:val="22"/>
          <w:lang w:val="lt-LT"/>
        </w:rPr>
        <w:t>, kurie rodė nuo dozės priklausomą kaulų rezorbcijos slopinimą, iš jų ir sumažėjusį biocheminių kolageno irimo žymenų (pavyzdžiui, deoksipiridinolino ir kryžminių I tipo kolageno N-telopeptidų (NTX) kiekį šlapime.</w:t>
      </w:r>
      <w:r w:rsidRPr="00A93783">
        <w:rPr>
          <w:szCs w:val="22"/>
          <w:lang w:val="lt-LT"/>
        </w:rPr>
        <w:t xml:space="preserve"> </w:t>
      </w:r>
    </w:p>
    <w:p w:rsidR="00ED67AE" w:rsidRDefault="00ED67AE" w:rsidP="00ED67AE">
      <w:pPr>
        <w:rPr>
          <w:szCs w:val="22"/>
          <w:lang w:val="lt-LT"/>
        </w:rPr>
      </w:pPr>
    </w:p>
    <w:p w:rsidR="00ED67AE" w:rsidRPr="00A93783" w:rsidRDefault="00ED67AE" w:rsidP="00ED67AE">
      <w:pPr>
        <w:rPr>
          <w:szCs w:val="22"/>
          <w:lang w:val="lt-LT"/>
        </w:rPr>
      </w:pPr>
      <w:r w:rsidRPr="00A93783">
        <w:rPr>
          <w:color w:val="000000"/>
          <w:spacing w:val="-3"/>
          <w:szCs w:val="22"/>
          <w:lang w:val="lt-LT"/>
        </w:rPr>
        <w:t>I fazės bioekvivalentiškumo tyrime dalyvavo 72 moterys po menopauzės, kurios gėrė po 150 mg kas 28 dienas, iš viso keturias dozes, CTX slopinimas serume po pirmosios dozės nustatytas po 24 valandų (vidutinis slopinimas 28%), vidutinis didžiausias slopinimas (69%) nustatytas po 6 dienų.</w:t>
      </w:r>
      <w:r w:rsidRPr="00A93783">
        <w:rPr>
          <w:szCs w:val="22"/>
          <w:lang w:val="lt-LT"/>
        </w:rPr>
        <w:t xml:space="preserve"> </w:t>
      </w:r>
      <w:r w:rsidRPr="00A93783">
        <w:rPr>
          <w:color w:val="000000"/>
          <w:spacing w:val="-3"/>
          <w:szCs w:val="22"/>
          <w:lang w:val="lt-LT"/>
        </w:rPr>
        <w:t>Praėjus 6 dienoms po trečiosios ir ketvirtosios dozių, didžiausio slopinimo mediana buvo 74%, praėjus 28 dienoms po ketvirtosios dozės slopinimo mediana sumažėjo iki 56%.</w:t>
      </w:r>
      <w:r w:rsidRPr="00A93783">
        <w:rPr>
          <w:szCs w:val="22"/>
          <w:lang w:val="lt-LT"/>
        </w:rPr>
        <w:t xml:space="preserve"> </w:t>
      </w:r>
      <w:r w:rsidRPr="00A93783">
        <w:rPr>
          <w:color w:val="000000"/>
          <w:spacing w:val="-3"/>
          <w:szCs w:val="22"/>
          <w:lang w:val="lt-LT"/>
        </w:rPr>
        <w:t xml:space="preserve">Jeigu vėliau vaisto </w:t>
      </w:r>
      <w:r w:rsidRPr="00A93783">
        <w:rPr>
          <w:color w:val="000000"/>
          <w:spacing w:val="-4"/>
          <w:szCs w:val="22"/>
          <w:lang w:val="lt-LT"/>
        </w:rPr>
        <w:t>nebevartojama, biocheminiai kaulų rezorbcijos žymenys nebeslopinami.</w:t>
      </w:r>
      <w:r w:rsidRPr="00A93783">
        <w:rPr>
          <w:szCs w:val="22"/>
          <w:lang w:val="lt-LT"/>
        </w:rPr>
        <w:t xml:space="preserve"> </w:t>
      </w:r>
    </w:p>
    <w:p w:rsidR="00ED67AE" w:rsidRPr="00A93783" w:rsidRDefault="00ED67AE" w:rsidP="00ED67AE">
      <w:pPr>
        <w:rPr>
          <w:i/>
          <w:szCs w:val="22"/>
          <w:lang w:val="lt-LT"/>
        </w:rPr>
      </w:pPr>
    </w:p>
    <w:p w:rsidR="00ED67AE" w:rsidRPr="00A93783" w:rsidRDefault="00ED67AE" w:rsidP="00ED67AE">
      <w:pPr>
        <w:rPr>
          <w:szCs w:val="22"/>
          <w:lang w:val="lt-LT"/>
        </w:rPr>
      </w:pPr>
      <w:r w:rsidRPr="00A93783">
        <w:rPr>
          <w:i/>
          <w:szCs w:val="22"/>
          <w:lang w:val="lt-LT"/>
        </w:rPr>
        <w:t>Klinikinis veiksmingumas</w:t>
      </w:r>
    </w:p>
    <w:p w:rsidR="00ED67AE" w:rsidRPr="00A93783" w:rsidRDefault="00ED67AE" w:rsidP="00ED67AE">
      <w:pPr>
        <w:rPr>
          <w:szCs w:val="22"/>
          <w:lang w:val="lt-LT"/>
        </w:rPr>
      </w:pPr>
      <w:r w:rsidRPr="00A93783">
        <w:rPr>
          <w:color w:val="000000"/>
          <w:spacing w:val="-3"/>
          <w:szCs w:val="22"/>
          <w:lang w:val="lt-LT"/>
        </w:rPr>
        <w:t>Norint nustatyti, kurioms moterims kaulų lūžių dėl osteoporozės rizika yra padidėjusi, reikia atsižvelgti į nepriklausomus rizikos veiksnius, pvz., mažą KMT, amžių, anksčiau buvusius kaulų lūžius, kaulų lūžius šeimos anamnezėje, greitą kaulų apykaitą ir mažą kūno masės indeksą.</w:t>
      </w:r>
      <w:r w:rsidRPr="00A93783">
        <w:rPr>
          <w:szCs w:val="22"/>
          <w:lang w:val="lt-LT"/>
        </w:rPr>
        <w:t xml:space="preserve"> </w:t>
      </w:r>
    </w:p>
    <w:p w:rsidR="00ED67AE" w:rsidRPr="00A93783" w:rsidRDefault="00ED67AE" w:rsidP="00ED67AE">
      <w:pPr>
        <w:rPr>
          <w:b/>
          <w:szCs w:val="22"/>
          <w:u w:val="single"/>
          <w:lang w:val="lt-LT"/>
        </w:rPr>
      </w:pPr>
    </w:p>
    <w:p w:rsidR="00ED67AE" w:rsidRPr="00A93783" w:rsidRDefault="00ED67AE" w:rsidP="00ED67AE">
      <w:pPr>
        <w:rPr>
          <w:szCs w:val="22"/>
          <w:u w:val="single"/>
          <w:lang w:val="lt-LT"/>
        </w:rPr>
      </w:pPr>
      <w:r w:rsidRPr="00A93783">
        <w:rPr>
          <w:szCs w:val="22"/>
          <w:u w:val="single"/>
          <w:lang w:val="lt-LT"/>
        </w:rPr>
        <w:t>Ibandrono rūgštis 150 mg kartą per mėnesį</w:t>
      </w:r>
    </w:p>
    <w:p w:rsidR="00ED67AE" w:rsidRPr="00A93783" w:rsidRDefault="00ED67AE" w:rsidP="00ED67AE">
      <w:pPr>
        <w:rPr>
          <w:i/>
          <w:szCs w:val="22"/>
          <w:lang w:val="lt-LT"/>
        </w:rPr>
      </w:pPr>
    </w:p>
    <w:p w:rsidR="00ED67AE" w:rsidRPr="00A93783" w:rsidRDefault="00ED67AE" w:rsidP="00ED67AE">
      <w:pPr>
        <w:rPr>
          <w:szCs w:val="22"/>
          <w:lang w:val="lt-LT"/>
        </w:rPr>
      </w:pPr>
      <w:r w:rsidRPr="00A93783">
        <w:rPr>
          <w:color w:val="000000"/>
          <w:spacing w:val="-4"/>
          <w:szCs w:val="22"/>
          <w:u w:val="single"/>
          <w:lang w:val="lt-LT"/>
        </w:rPr>
        <w:t>Kaulų mineralų tankis (KMT)</w:t>
      </w:r>
    </w:p>
    <w:p w:rsidR="00ED67AE" w:rsidRPr="00A93783" w:rsidRDefault="00ED67AE" w:rsidP="00ED67AE">
      <w:pPr>
        <w:rPr>
          <w:szCs w:val="22"/>
          <w:lang w:val="lt-LT"/>
        </w:rPr>
      </w:pPr>
      <w:r w:rsidRPr="00A93783">
        <w:rPr>
          <w:color w:val="000000"/>
          <w:spacing w:val="-3"/>
          <w:szCs w:val="22"/>
          <w:lang w:val="lt-LT"/>
        </w:rPr>
        <w:t>Dvejų metų trukmės dvigubai aklo daugiacentrio BM 16549 tyrimo, kuriame dalyvavo osteoporoze sergančios moterys po menopauzės (pradinis juosmeninių slankstelių KMT T lygmuo mažesnis nei -2,5 SD), metu įrodyta, kad ibandrono rūgštis 150 mg kartą per mėnesį yra bent jau tokia pat efektyvi didinant KMT kaip ibandrono rūgštis 2,5 mg per parą.</w:t>
      </w:r>
      <w:r w:rsidRPr="00A93783">
        <w:rPr>
          <w:szCs w:val="22"/>
          <w:lang w:val="lt-LT"/>
        </w:rPr>
        <w:t xml:space="preserve"> </w:t>
      </w:r>
      <w:r w:rsidRPr="00A93783">
        <w:rPr>
          <w:color w:val="000000"/>
          <w:spacing w:val="-3"/>
          <w:szCs w:val="22"/>
          <w:lang w:val="lt-LT"/>
        </w:rPr>
        <w:t xml:space="preserve">Tai parodė ir pirminė analizė po vienerių metų, ir </w:t>
      </w:r>
      <w:r w:rsidRPr="00A93783">
        <w:rPr>
          <w:color w:val="000000"/>
          <w:spacing w:val="-4"/>
          <w:szCs w:val="22"/>
          <w:lang w:val="lt-LT"/>
        </w:rPr>
        <w:t>patvirtinančioji tikslų analizė po dvejų metų (3 lentelė).</w:t>
      </w:r>
    </w:p>
    <w:p w:rsidR="00ED67AE" w:rsidRDefault="00ED67AE" w:rsidP="00ED67AE">
      <w:pPr>
        <w:rPr>
          <w:szCs w:val="22"/>
          <w:lang w:val="lt-LT"/>
        </w:rPr>
      </w:pPr>
    </w:p>
    <w:p w:rsidR="00ED67AE" w:rsidRPr="00A93783" w:rsidRDefault="00ED67AE" w:rsidP="00ED67AE">
      <w:pPr>
        <w:rPr>
          <w:szCs w:val="22"/>
          <w:lang w:val="lt-LT"/>
        </w:rPr>
      </w:pPr>
      <w:r w:rsidRPr="00A93783">
        <w:rPr>
          <w:color w:val="000000"/>
          <w:spacing w:val="-3"/>
          <w:szCs w:val="22"/>
          <w:lang w:val="lt-LT"/>
        </w:rPr>
        <w:t xml:space="preserve">2 lentelė: Vidutinis santykinis juosmeninių slankstelių, bendro klubo kaulų, šlaunikaulio kaklelio ir gumburo srities KMT </w:t>
      </w:r>
      <w:smartTag w:uri="schemas-tilde-lt/tildestengine" w:element="templates">
        <w:smartTagPr>
          <w:attr w:name="baseform" w:val="pokyt|is"/>
          <w:attr w:name="id" w:val="-1"/>
          <w:attr w:name="text" w:val="pokytis"/>
        </w:smartTagPr>
        <w:r w:rsidRPr="00A93783">
          <w:rPr>
            <w:color w:val="000000"/>
            <w:spacing w:val="-3"/>
            <w:szCs w:val="22"/>
            <w:lang w:val="lt-LT"/>
          </w:rPr>
          <w:t>pokytis</w:t>
        </w:r>
      </w:smartTag>
      <w:r w:rsidRPr="00A93783">
        <w:rPr>
          <w:color w:val="000000"/>
          <w:spacing w:val="-3"/>
          <w:szCs w:val="22"/>
          <w:lang w:val="lt-LT"/>
        </w:rPr>
        <w:t xml:space="preserve"> lyginant su pradine verte po vienerių (pirminė analizė) ir po dvejų </w:t>
      </w:r>
      <w:r w:rsidRPr="00A93783">
        <w:rPr>
          <w:color w:val="000000"/>
          <w:spacing w:val="-4"/>
          <w:szCs w:val="22"/>
          <w:lang w:val="lt-LT"/>
        </w:rPr>
        <w:t>(</w:t>
      </w:r>
      <w:smartTag w:uri="schemas-tilde-lt/tildestengine" w:element="templates">
        <w:smartTagPr>
          <w:attr w:name="baseform" w:val="protokol|as"/>
          <w:attr w:name="id" w:val="-1"/>
          <w:attr w:name="text" w:val="protokolo"/>
        </w:smartTagPr>
        <w:r w:rsidRPr="00A93783">
          <w:rPr>
            <w:color w:val="000000"/>
            <w:spacing w:val="-4"/>
            <w:szCs w:val="22"/>
            <w:lang w:val="lt-LT"/>
          </w:rPr>
          <w:t>protokolo</w:t>
        </w:r>
      </w:smartTag>
      <w:r w:rsidRPr="00A93783">
        <w:rPr>
          <w:color w:val="000000"/>
          <w:spacing w:val="-4"/>
          <w:szCs w:val="22"/>
          <w:lang w:val="lt-LT"/>
        </w:rPr>
        <w:t xml:space="preserve"> populiacijos) BM 16549 tyrimo metų.</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00"/>
        <w:gridCol w:w="1620"/>
        <w:gridCol w:w="1440"/>
        <w:gridCol w:w="1662"/>
        <w:gridCol w:w="1578"/>
      </w:tblGrid>
      <w:tr w:rsidR="00ED67AE" w:rsidRPr="00077F56" w:rsidTr="005A5ACB">
        <w:tc>
          <w:tcPr>
            <w:tcW w:w="2700" w:type="dxa"/>
          </w:tcPr>
          <w:p w:rsidR="00ED67AE" w:rsidRPr="00A93783" w:rsidRDefault="00ED67AE" w:rsidP="005A5ACB">
            <w:pPr>
              <w:rPr>
                <w:szCs w:val="22"/>
                <w:lang w:val="lt-LT"/>
              </w:rPr>
            </w:pPr>
          </w:p>
        </w:tc>
        <w:tc>
          <w:tcPr>
            <w:tcW w:w="3060" w:type="dxa"/>
            <w:gridSpan w:val="2"/>
          </w:tcPr>
          <w:p w:rsidR="00ED67AE" w:rsidRPr="00A93783" w:rsidRDefault="00ED67AE" w:rsidP="005A5ACB">
            <w:pPr>
              <w:rPr>
                <w:szCs w:val="22"/>
                <w:lang w:val="lt-LT"/>
              </w:rPr>
            </w:pPr>
            <w:r w:rsidRPr="00A93783">
              <w:rPr>
                <w:szCs w:val="22"/>
                <w:lang w:val="lt-LT"/>
              </w:rPr>
              <w:t>Vienų metų BM 16549 tyrimo duomenys</w:t>
            </w:r>
          </w:p>
        </w:tc>
        <w:tc>
          <w:tcPr>
            <w:tcW w:w="3240" w:type="dxa"/>
            <w:gridSpan w:val="2"/>
          </w:tcPr>
          <w:p w:rsidR="00ED67AE" w:rsidRPr="00A93783" w:rsidRDefault="00ED67AE" w:rsidP="005A5ACB">
            <w:pPr>
              <w:rPr>
                <w:szCs w:val="22"/>
                <w:lang w:val="lt-LT"/>
              </w:rPr>
            </w:pPr>
            <w:r w:rsidRPr="00A93783">
              <w:rPr>
                <w:szCs w:val="22"/>
                <w:lang w:val="lt-LT"/>
              </w:rPr>
              <w:t>Dvejų metų BM 16549 tyrimo duomenys</w:t>
            </w:r>
          </w:p>
        </w:tc>
      </w:tr>
      <w:tr w:rsidR="00ED67AE" w:rsidRPr="007E2511" w:rsidTr="005A5ACB">
        <w:tc>
          <w:tcPr>
            <w:tcW w:w="2700" w:type="dxa"/>
          </w:tcPr>
          <w:p w:rsidR="00ED67AE" w:rsidRPr="007E2511" w:rsidRDefault="00ED67AE" w:rsidP="005A5ACB">
            <w:pPr>
              <w:rPr>
                <w:szCs w:val="22"/>
                <w:lang w:val="fr-FR"/>
              </w:rPr>
            </w:pPr>
            <w:r w:rsidRPr="00077F56">
              <w:rPr>
                <w:color w:val="000000"/>
                <w:spacing w:val="-3"/>
                <w:position w:val="-4"/>
                <w:szCs w:val="22"/>
                <w:lang w:val="fr-FR"/>
              </w:rPr>
              <w:t xml:space="preserve">Vidutinis santykinis </w:t>
            </w:r>
            <w:smartTag w:uri="schemas-tilde-lt/tildestengine" w:element="templates">
              <w:smartTagPr>
                <w:attr w:name="baseform" w:val="pokyt|is"/>
                <w:attr w:name="id" w:val="-1"/>
                <w:attr w:name="text" w:val="pokytis"/>
              </w:smartTagPr>
              <w:r w:rsidRPr="00077F56">
                <w:rPr>
                  <w:color w:val="000000"/>
                  <w:spacing w:val="-3"/>
                  <w:position w:val="-4"/>
                  <w:szCs w:val="22"/>
                  <w:lang w:val="fr-FR"/>
                </w:rPr>
                <w:t>pokytis</w:t>
              </w:r>
            </w:smartTag>
            <w:r w:rsidRPr="00077F56">
              <w:rPr>
                <w:color w:val="000000"/>
                <w:spacing w:val="-3"/>
                <w:position w:val="-4"/>
                <w:szCs w:val="22"/>
                <w:lang w:val="fr-FR"/>
              </w:rPr>
              <w:t xml:space="preserve"> lyginant su pradine verte </w:t>
            </w:r>
            <w:r w:rsidRPr="00077F56">
              <w:rPr>
                <w:szCs w:val="22"/>
                <w:lang w:val="fr-FR"/>
              </w:rPr>
              <w:t xml:space="preserve">% [95 % PI] </w:t>
            </w:r>
          </w:p>
        </w:tc>
        <w:tc>
          <w:tcPr>
            <w:tcW w:w="1620" w:type="dxa"/>
          </w:tcPr>
          <w:p w:rsidR="00ED67AE" w:rsidRPr="007E2511" w:rsidRDefault="00ED67AE" w:rsidP="005A5ACB">
            <w:pPr>
              <w:pStyle w:val="Default"/>
              <w:tabs>
                <w:tab w:val="left" w:pos="567"/>
              </w:tabs>
              <w:rPr>
                <w:sz w:val="22"/>
                <w:szCs w:val="22"/>
              </w:rPr>
            </w:pPr>
            <w:r w:rsidRPr="007E2511">
              <w:rPr>
                <w:sz w:val="22"/>
                <w:szCs w:val="22"/>
                <w:lang w:val="lt-LT"/>
              </w:rPr>
              <w:t>Ibandrono rūgštis 2,5 mg kartą per parą</w:t>
            </w:r>
            <w:r w:rsidRPr="007E2511">
              <w:rPr>
                <w:sz w:val="22"/>
                <w:szCs w:val="22"/>
              </w:rPr>
              <w:t xml:space="preserve"> </w:t>
            </w:r>
          </w:p>
          <w:p w:rsidR="00ED67AE" w:rsidRPr="007E2511" w:rsidRDefault="00ED67AE" w:rsidP="005A5ACB">
            <w:pPr>
              <w:rPr>
                <w:szCs w:val="22"/>
              </w:rPr>
            </w:pPr>
            <w:r w:rsidRPr="007E2511">
              <w:rPr>
                <w:szCs w:val="22"/>
              </w:rPr>
              <w:t xml:space="preserve">(N=318) </w:t>
            </w:r>
          </w:p>
        </w:tc>
        <w:tc>
          <w:tcPr>
            <w:tcW w:w="1440" w:type="dxa"/>
          </w:tcPr>
          <w:p w:rsidR="00ED67AE" w:rsidRPr="007E2511" w:rsidRDefault="00ED67AE" w:rsidP="005A5ACB">
            <w:pPr>
              <w:pStyle w:val="Default"/>
              <w:tabs>
                <w:tab w:val="left" w:pos="567"/>
              </w:tabs>
              <w:rPr>
                <w:sz w:val="22"/>
                <w:szCs w:val="22"/>
              </w:rPr>
            </w:pPr>
            <w:r w:rsidRPr="007E2511">
              <w:rPr>
                <w:sz w:val="22"/>
                <w:szCs w:val="22"/>
                <w:lang w:val="lt-LT"/>
              </w:rPr>
              <w:t>Ibandrono rūgštis 150 mg kartą per mėnesį</w:t>
            </w:r>
            <w:r w:rsidRPr="007E2511">
              <w:rPr>
                <w:sz w:val="22"/>
                <w:szCs w:val="22"/>
              </w:rPr>
              <w:t xml:space="preserve"> </w:t>
            </w:r>
          </w:p>
          <w:p w:rsidR="00ED67AE" w:rsidRPr="007E2511" w:rsidRDefault="00ED67AE" w:rsidP="005A5ACB">
            <w:pPr>
              <w:rPr>
                <w:szCs w:val="22"/>
              </w:rPr>
            </w:pPr>
            <w:r w:rsidRPr="007E2511">
              <w:rPr>
                <w:szCs w:val="22"/>
              </w:rPr>
              <w:t xml:space="preserve">(N=320) </w:t>
            </w:r>
          </w:p>
        </w:tc>
        <w:tc>
          <w:tcPr>
            <w:tcW w:w="1662" w:type="dxa"/>
          </w:tcPr>
          <w:p w:rsidR="00ED67AE" w:rsidRPr="007E2511" w:rsidRDefault="00ED67AE" w:rsidP="005A5ACB">
            <w:pPr>
              <w:pStyle w:val="Debesliotekstas"/>
              <w:rPr>
                <w:rFonts w:ascii="Times New Roman" w:hAnsi="Times New Roman" w:cs="Times New Roman"/>
                <w:sz w:val="22"/>
                <w:szCs w:val="22"/>
              </w:rPr>
            </w:pPr>
            <w:r w:rsidRPr="007E2511">
              <w:rPr>
                <w:rFonts w:ascii="Times New Roman" w:hAnsi="Times New Roman" w:cs="Times New Roman"/>
                <w:sz w:val="22"/>
                <w:szCs w:val="22"/>
                <w:lang w:val="lt-LT"/>
              </w:rPr>
              <w:t>Ibandrono rūgštis 2,5 mg kartą per parą</w:t>
            </w:r>
            <w:r w:rsidRPr="007E2511">
              <w:rPr>
                <w:rFonts w:ascii="Times New Roman" w:hAnsi="Times New Roman" w:cs="Times New Roman"/>
                <w:sz w:val="22"/>
                <w:szCs w:val="22"/>
              </w:rPr>
              <w:t xml:space="preserve"> </w:t>
            </w:r>
          </w:p>
          <w:p w:rsidR="00ED67AE" w:rsidRPr="007E2511" w:rsidRDefault="00ED67AE" w:rsidP="005A5ACB">
            <w:pPr>
              <w:pStyle w:val="Debesliotekstas"/>
              <w:autoSpaceDE w:val="0"/>
              <w:autoSpaceDN w:val="0"/>
              <w:adjustRightInd w:val="0"/>
              <w:rPr>
                <w:rFonts w:ascii="Times New Roman" w:eastAsia="Calibri" w:hAnsi="Times New Roman" w:cs="Times New Roman"/>
                <w:color w:val="000000"/>
                <w:sz w:val="22"/>
                <w:szCs w:val="22"/>
              </w:rPr>
            </w:pPr>
            <w:r w:rsidRPr="007E2511">
              <w:rPr>
                <w:rFonts w:ascii="Times New Roman" w:hAnsi="Times New Roman" w:cs="Times New Roman"/>
                <w:sz w:val="22"/>
                <w:szCs w:val="22"/>
                <w:lang w:val="lt-LT"/>
              </w:rPr>
              <w:t xml:space="preserve">(N=294) </w:t>
            </w:r>
          </w:p>
        </w:tc>
        <w:tc>
          <w:tcPr>
            <w:tcW w:w="1578" w:type="dxa"/>
          </w:tcPr>
          <w:p w:rsidR="00ED67AE" w:rsidRPr="007E2511" w:rsidRDefault="00ED67AE" w:rsidP="005A5ACB">
            <w:pPr>
              <w:pStyle w:val="Debesliotekstas"/>
              <w:rPr>
                <w:rFonts w:ascii="Times New Roman" w:hAnsi="Times New Roman" w:cs="Times New Roman"/>
                <w:sz w:val="22"/>
                <w:szCs w:val="22"/>
              </w:rPr>
            </w:pPr>
            <w:r w:rsidRPr="007E2511">
              <w:rPr>
                <w:rFonts w:ascii="Times New Roman" w:hAnsi="Times New Roman" w:cs="Times New Roman"/>
                <w:sz w:val="22"/>
                <w:szCs w:val="22"/>
                <w:lang w:val="lt-LT"/>
              </w:rPr>
              <w:t>Ibandrono rūgštis 150 mg kartą per mėnesį</w:t>
            </w:r>
            <w:r w:rsidRPr="007E2511">
              <w:rPr>
                <w:rFonts w:ascii="Times New Roman" w:hAnsi="Times New Roman" w:cs="Times New Roman"/>
                <w:sz w:val="22"/>
                <w:szCs w:val="22"/>
              </w:rPr>
              <w:t xml:space="preserve"> </w:t>
            </w:r>
          </w:p>
          <w:p w:rsidR="00ED67AE" w:rsidRPr="007E2511" w:rsidRDefault="00ED67AE" w:rsidP="005A5ACB">
            <w:pPr>
              <w:pStyle w:val="Debesliotekstas"/>
              <w:autoSpaceDE w:val="0"/>
              <w:autoSpaceDN w:val="0"/>
              <w:adjustRightInd w:val="0"/>
              <w:rPr>
                <w:rFonts w:ascii="Times New Roman" w:eastAsia="Calibri" w:hAnsi="Times New Roman" w:cs="Times New Roman"/>
                <w:color w:val="000000"/>
                <w:sz w:val="22"/>
                <w:szCs w:val="22"/>
              </w:rPr>
            </w:pPr>
            <w:r w:rsidRPr="007E2511">
              <w:rPr>
                <w:rFonts w:ascii="Times New Roman" w:hAnsi="Times New Roman" w:cs="Times New Roman"/>
                <w:sz w:val="22"/>
                <w:szCs w:val="22"/>
                <w:lang w:val="lt-LT"/>
              </w:rPr>
              <w:t xml:space="preserve">(N=291) </w:t>
            </w:r>
          </w:p>
        </w:tc>
      </w:tr>
      <w:tr w:rsidR="00ED67AE" w:rsidRPr="007E2511" w:rsidTr="005A5ACB">
        <w:tc>
          <w:tcPr>
            <w:tcW w:w="2700" w:type="dxa"/>
          </w:tcPr>
          <w:p w:rsidR="00ED67AE" w:rsidRPr="00A93783" w:rsidRDefault="00ED67AE" w:rsidP="005A5ACB">
            <w:pPr>
              <w:rPr>
                <w:szCs w:val="22"/>
                <w:lang w:val="nb-NO"/>
              </w:rPr>
            </w:pPr>
            <w:r w:rsidRPr="00A93783">
              <w:rPr>
                <w:color w:val="000000"/>
                <w:spacing w:val="-3"/>
                <w:szCs w:val="22"/>
                <w:lang w:val="nb-NO"/>
              </w:rPr>
              <w:t>Juosmeninių slankstelių L2-L4 KMT</w:t>
            </w:r>
          </w:p>
        </w:tc>
        <w:tc>
          <w:tcPr>
            <w:tcW w:w="1620" w:type="dxa"/>
          </w:tcPr>
          <w:p w:rsidR="00ED67AE" w:rsidRPr="007E2511" w:rsidRDefault="00ED67AE" w:rsidP="005A5ACB">
            <w:pPr>
              <w:rPr>
                <w:szCs w:val="22"/>
              </w:rPr>
            </w:pPr>
            <w:r w:rsidRPr="007E2511">
              <w:rPr>
                <w:szCs w:val="22"/>
              </w:rPr>
              <w:t xml:space="preserve">3,9 [3,4, 4,3] </w:t>
            </w:r>
          </w:p>
        </w:tc>
        <w:tc>
          <w:tcPr>
            <w:tcW w:w="1440" w:type="dxa"/>
          </w:tcPr>
          <w:p w:rsidR="00ED67AE" w:rsidRPr="007E2511" w:rsidRDefault="00ED67AE" w:rsidP="005A5ACB">
            <w:pPr>
              <w:rPr>
                <w:szCs w:val="22"/>
              </w:rPr>
            </w:pPr>
            <w:r w:rsidRPr="007E2511">
              <w:rPr>
                <w:szCs w:val="22"/>
              </w:rPr>
              <w:t xml:space="preserve">4,9 [4,4, 5,3] </w:t>
            </w:r>
          </w:p>
        </w:tc>
        <w:tc>
          <w:tcPr>
            <w:tcW w:w="1662" w:type="dxa"/>
          </w:tcPr>
          <w:p w:rsidR="00ED67AE" w:rsidRPr="007E2511" w:rsidRDefault="00ED67AE" w:rsidP="005A5ACB">
            <w:pPr>
              <w:rPr>
                <w:szCs w:val="22"/>
              </w:rPr>
            </w:pPr>
            <w:r w:rsidRPr="007E2511">
              <w:rPr>
                <w:szCs w:val="22"/>
              </w:rPr>
              <w:t xml:space="preserve">5 [4,4, 5,5] </w:t>
            </w:r>
          </w:p>
        </w:tc>
        <w:tc>
          <w:tcPr>
            <w:tcW w:w="1578" w:type="dxa"/>
          </w:tcPr>
          <w:p w:rsidR="00ED67AE" w:rsidRPr="007E2511" w:rsidRDefault="00ED67AE" w:rsidP="005A5ACB">
            <w:pPr>
              <w:rPr>
                <w:szCs w:val="22"/>
              </w:rPr>
            </w:pPr>
            <w:r w:rsidRPr="007E2511">
              <w:rPr>
                <w:szCs w:val="22"/>
              </w:rPr>
              <w:t xml:space="preserve">6,6 [6, 7,1] </w:t>
            </w:r>
          </w:p>
        </w:tc>
      </w:tr>
      <w:tr w:rsidR="00ED67AE" w:rsidRPr="007E2511" w:rsidTr="005A5ACB">
        <w:tc>
          <w:tcPr>
            <w:tcW w:w="2700" w:type="dxa"/>
          </w:tcPr>
          <w:p w:rsidR="00ED67AE" w:rsidRPr="007E2511" w:rsidRDefault="00ED67AE" w:rsidP="005A5ACB">
            <w:pPr>
              <w:rPr>
                <w:szCs w:val="22"/>
              </w:rPr>
            </w:pPr>
            <w:r w:rsidRPr="007E2511">
              <w:rPr>
                <w:color w:val="000000"/>
                <w:spacing w:val="-3"/>
                <w:szCs w:val="22"/>
              </w:rPr>
              <w:t>Bendras klubo kaulų KMT</w:t>
            </w:r>
          </w:p>
        </w:tc>
        <w:tc>
          <w:tcPr>
            <w:tcW w:w="1620" w:type="dxa"/>
          </w:tcPr>
          <w:p w:rsidR="00ED67AE" w:rsidRPr="007E2511" w:rsidRDefault="00ED67AE" w:rsidP="005A5ACB">
            <w:pPr>
              <w:rPr>
                <w:szCs w:val="22"/>
              </w:rPr>
            </w:pPr>
            <w:r w:rsidRPr="007E2511">
              <w:rPr>
                <w:szCs w:val="22"/>
              </w:rPr>
              <w:t xml:space="preserve">2 [1,7, 2,3] </w:t>
            </w:r>
          </w:p>
        </w:tc>
        <w:tc>
          <w:tcPr>
            <w:tcW w:w="1440" w:type="dxa"/>
          </w:tcPr>
          <w:p w:rsidR="00ED67AE" w:rsidRPr="007E2511" w:rsidRDefault="00ED67AE" w:rsidP="005A5ACB">
            <w:pPr>
              <w:rPr>
                <w:szCs w:val="22"/>
              </w:rPr>
            </w:pPr>
            <w:r w:rsidRPr="007E2511">
              <w:rPr>
                <w:szCs w:val="22"/>
              </w:rPr>
              <w:t xml:space="preserve">3,1 [2,8, 3,4] </w:t>
            </w:r>
          </w:p>
        </w:tc>
        <w:tc>
          <w:tcPr>
            <w:tcW w:w="1662" w:type="dxa"/>
          </w:tcPr>
          <w:p w:rsidR="00ED67AE" w:rsidRPr="007E2511" w:rsidRDefault="00ED67AE" w:rsidP="005A5ACB">
            <w:pPr>
              <w:rPr>
                <w:szCs w:val="22"/>
              </w:rPr>
            </w:pPr>
            <w:r w:rsidRPr="007E2511">
              <w:rPr>
                <w:szCs w:val="22"/>
              </w:rPr>
              <w:t xml:space="preserve">2,5 [2,1, 2,9] </w:t>
            </w:r>
          </w:p>
        </w:tc>
        <w:tc>
          <w:tcPr>
            <w:tcW w:w="1578" w:type="dxa"/>
          </w:tcPr>
          <w:p w:rsidR="00ED67AE" w:rsidRPr="007E2511" w:rsidRDefault="00ED67AE" w:rsidP="005A5ACB">
            <w:pPr>
              <w:rPr>
                <w:szCs w:val="22"/>
              </w:rPr>
            </w:pPr>
            <w:r w:rsidRPr="007E2511">
              <w:rPr>
                <w:szCs w:val="22"/>
              </w:rPr>
              <w:t xml:space="preserve">4,2 [3,8, 4,5] </w:t>
            </w:r>
          </w:p>
        </w:tc>
      </w:tr>
      <w:tr w:rsidR="00ED67AE" w:rsidRPr="007E2511" w:rsidTr="005A5ACB">
        <w:tc>
          <w:tcPr>
            <w:tcW w:w="2700" w:type="dxa"/>
          </w:tcPr>
          <w:p w:rsidR="00ED67AE" w:rsidRPr="007E2511" w:rsidRDefault="00ED67AE" w:rsidP="005A5ACB">
            <w:pPr>
              <w:rPr>
                <w:szCs w:val="22"/>
              </w:rPr>
            </w:pPr>
            <w:r w:rsidRPr="007E2511">
              <w:rPr>
                <w:color w:val="000000"/>
                <w:spacing w:val="-3"/>
                <w:szCs w:val="22"/>
              </w:rPr>
              <w:t>Šlaunikaulio kaklelio KMT</w:t>
            </w:r>
          </w:p>
        </w:tc>
        <w:tc>
          <w:tcPr>
            <w:tcW w:w="1620" w:type="dxa"/>
          </w:tcPr>
          <w:p w:rsidR="00ED67AE" w:rsidRPr="007E2511" w:rsidRDefault="00ED67AE" w:rsidP="005A5ACB">
            <w:pPr>
              <w:rPr>
                <w:szCs w:val="22"/>
              </w:rPr>
            </w:pPr>
            <w:r w:rsidRPr="007E2511">
              <w:rPr>
                <w:szCs w:val="22"/>
              </w:rPr>
              <w:t xml:space="preserve">1,7 [1,3, 2,1] </w:t>
            </w:r>
          </w:p>
        </w:tc>
        <w:tc>
          <w:tcPr>
            <w:tcW w:w="1440" w:type="dxa"/>
          </w:tcPr>
          <w:p w:rsidR="00ED67AE" w:rsidRPr="007E2511" w:rsidRDefault="00ED67AE" w:rsidP="005A5ACB">
            <w:pPr>
              <w:rPr>
                <w:szCs w:val="22"/>
              </w:rPr>
            </w:pPr>
            <w:r w:rsidRPr="007E2511">
              <w:rPr>
                <w:szCs w:val="22"/>
              </w:rPr>
              <w:t xml:space="preserve">2,2 [1,9, 2,6] </w:t>
            </w:r>
          </w:p>
        </w:tc>
        <w:tc>
          <w:tcPr>
            <w:tcW w:w="1662" w:type="dxa"/>
          </w:tcPr>
          <w:p w:rsidR="00ED67AE" w:rsidRPr="007E2511" w:rsidRDefault="00ED67AE" w:rsidP="005A5ACB">
            <w:pPr>
              <w:rPr>
                <w:szCs w:val="22"/>
              </w:rPr>
            </w:pPr>
            <w:r w:rsidRPr="007E2511">
              <w:rPr>
                <w:szCs w:val="22"/>
              </w:rPr>
              <w:t>1,9 [1</w:t>
            </w:r>
            <w:r>
              <w:rPr>
                <w:szCs w:val="22"/>
              </w:rPr>
              <w:t>,</w:t>
            </w:r>
            <w:r w:rsidRPr="007E2511">
              <w:rPr>
                <w:szCs w:val="22"/>
              </w:rPr>
              <w:t>4, 2</w:t>
            </w:r>
            <w:r>
              <w:rPr>
                <w:szCs w:val="22"/>
              </w:rPr>
              <w:t>,</w:t>
            </w:r>
            <w:r w:rsidRPr="007E2511">
              <w:rPr>
                <w:szCs w:val="22"/>
              </w:rPr>
              <w:t xml:space="preserve">4] </w:t>
            </w:r>
          </w:p>
        </w:tc>
        <w:tc>
          <w:tcPr>
            <w:tcW w:w="1578" w:type="dxa"/>
          </w:tcPr>
          <w:p w:rsidR="00ED67AE" w:rsidRPr="007E2511" w:rsidRDefault="00ED67AE" w:rsidP="005A5ACB">
            <w:pPr>
              <w:rPr>
                <w:szCs w:val="22"/>
              </w:rPr>
            </w:pPr>
            <w:r w:rsidRPr="007E2511">
              <w:rPr>
                <w:szCs w:val="22"/>
              </w:rPr>
              <w:t xml:space="preserve">3,1 [2,7, 3,6] </w:t>
            </w:r>
          </w:p>
        </w:tc>
      </w:tr>
      <w:tr w:rsidR="00ED67AE" w:rsidRPr="007E2511" w:rsidTr="005A5ACB">
        <w:tc>
          <w:tcPr>
            <w:tcW w:w="2700" w:type="dxa"/>
          </w:tcPr>
          <w:p w:rsidR="00ED67AE" w:rsidRPr="007E2511" w:rsidRDefault="00ED67AE" w:rsidP="005A5ACB">
            <w:pPr>
              <w:rPr>
                <w:szCs w:val="22"/>
                <w:lang w:val="de-DE"/>
              </w:rPr>
            </w:pPr>
            <w:r w:rsidRPr="007E2511">
              <w:rPr>
                <w:color w:val="000000"/>
                <w:spacing w:val="-3"/>
                <w:szCs w:val="22"/>
              </w:rPr>
              <w:t>Gumburo srities KMT</w:t>
            </w:r>
          </w:p>
        </w:tc>
        <w:tc>
          <w:tcPr>
            <w:tcW w:w="1620" w:type="dxa"/>
          </w:tcPr>
          <w:p w:rsidR="00ED67AE" w:rsidRPr="007E2511" w:rsidRDefault="00ED67AE" w:rsidP="005A5ACB">
            <w:pPr>
              <w:rPr>
                <w:szCs w:val="22"/>
              </w:rPr>
            </w:pPr>
            <w:r w:rsidRPr="007E2511">
              <w:rPr>
                <w:szCs w:val="22"/>
              </w:rPr>
              <w:t xml:space="preserve">3,2 [2,8, 3,7] </w:t>
            </w:r>
          </w:p>
        </w:tc>
        <w:tc>
          <w:tcPr>
            <w:tcW w:w="1440" w:type="dxa"/>
          </w:tcPr>
          <w:p w:rsidR="00ED67AE" w:rsidRPr="007E2511" w:rsidRDefault="00ED67AE" w:rsidP="005A5ACB">
            <w:pPr>
              <w:rPr>
                <w:szCs w:val="22"/>
              </w:rPr>
            </w:pPr>
            <w:r w:rsidRPr="007E2511">
              <w:rPr>
                <w:szCs w:val="22"/>
              </w:rPr>
              <w:t xml:space="preserve">4,6 [4,2, 5,1] </w:t>
            </w:r>
          </w:p>
        </w:tc>
        <w:tc>
          <w:tcPr>
            <w:tcW w:w="1662" w:type="dxa"/>
          </w:tcPr>
          <w:p w:rsidR="00ED67AE" w:rsidRPr="007E2511" w:rsidRDefault="00ED67AE" w:rsidP="005A5ACB">
            <w:pPr>
              <w:rPr>
                <w:szCs w:val="22"/>
              </w:rPr>
            </w:pPr>
            <w:r w:rsidRPr="007E2511">
              <w:rPr>
                <w:szCs w:val="22"/>
              </w:rPr>
              <w:t>4 [3</w:t>
            </w:r>
            <w:r>
              <w:rPr>
                <w:szCs w:val="22"/>
              </w:rPr>
              <w:t>,</w:t>
            </w:r>
            <w:r w:rsidRPr="007E2511">
              <w:rPr>
                <w:szCs w:val="22"/>
              </w:rPr>
              <w:t>5, 4</w:t>
            </w:r>
            <w:r>
              <w:rPr>
                <w:szCs w:val="22"/>
              </w:rPr>
              <w:t>,</w:t>
            </w:r>
            <w:r w:rsidRPr="007E2511">
              <w:rPr>
                <w:szCs w:val="22"/>
              </w:rPr>
              <w:t xml:space="preserve">5] </w:t>
            </w:r>
          </w:p>
        </w:tc>
        <w:tc>
          <w:tcPr>
            <w:tcW w:w="1578" w:type="dxa"/>
          </w:tcPr>
          <w:p w:rsidR="00ED67AE" w:rsidRPr="007E2511" w:rsidRDefault="00ED67AE" w:rsidP="005A5ACB">
            <w:pPr>
              <w:rPr>
                <w:szCs w:val="22"/>
              </w:rPr>
            </w:pPr>
            <w:r w:rsidRPr="007E2511">
              <w:rPr>
                <w:szCs w:val="22"/>
              </w:rPr>
              <w:t xml:space="preserve">6,2 [5,7, 6,7] </w:t>
            </w:r>
          </w:p>
        </w:tc>
      </w:tr>
    </w:tbl>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 xml:space="preserve">Dar daugiau, perspektyvinės analizės metu įrodyta, kad ibandrono rūgšties 150 mg kartą per mėnesį poveikis didinant juosmeninių slankstelių KMT buvo stipresnis už ibandrono rūgšties 2,5 mg kartą per parą po </w:t>
      </w:r>
      <w:r w:rsidRPr="007E2511">
        <w:rPr>
          <w:color w:val="000000"/>
          <w:spacing w:val="-4"/>
          <w:szCs w:val="22"/>
        </w:rPr>
        <w:t>vienerių metų (p=0,002) ir po dvejų metų, p &lt; 0,001.</w:t>
      </w:r>
      <w:r w:rsidRPr="007E2511">
        <w:rPr>
          <w:szCs w:val="22"/>
        </w:rPr>
        <w:t xml:space="preserve"> </w:t>
      </w:r>
    </w:p>
    <w:p w:rsidR="00ED67AE" w:rsidRDefault="00ED67AE" w:rsidP="00ED67AE">
      <w:pPr>
        <w:rPr>
          <w:b/>
          <w:szCs w:val="22"/>
        </w:rPr>
      </w:pPr>
    </w:p>
    <w:p w:rsidR="00ED67AE" w:rsidRPr="007E2511" w:rsidRDefault="00ED67AE" w:rsidP="00ED67AE">
      <w:pPr>
        <w:rPr>
          <w:szCs w:val="22"/>
        </w:rPr>
      </w:pPr>
      <w:r w:rsidRPr="007E2511">
        <w:rPr>
          <w:color w:val="000000"/>
          <w:spacing w:val="-3"/>
          <w:szCs w:val="22"/>
        </w:rPr>
        <w:t>Po vienerių metų (pirminė analizė) juosmeninių slankstelių KMT padidėjo ar nepakito lyginant su pradine reikšme (gautas KMT atsakas) 91,3% (p=0,005) pacienčių, vartojusių ibandrono rūgštį 150 mg kartą per mėnesį, lyginant su 84% pacienčių, vartojusių ibandrono rūgšties 2,5 mg kartą per parą.</w:t>
      </w:r>
      <w:r w:rsidRPr="007E2511">
        <w:rPr>
          <w:szCs w:val="22"/>
        </w:rPr>
        <w:t xml:space="preserve"> </w:t>
      </w:r>
      <w:r w:rsidRPr="007E2511">
        <w:rPr>
          <w:color w:val="000000"/>
          <w:spacing w:val="-3"/>
          <w:szCs w:val="22"/>
        </w:rPr>
        <w:t xml:space="preserve">Po dvejų metų atsakas gautas atitinkamai 93,5% (p=0,004) ir 86,4% pacienčių vartojusių ibandrono rūgštį 150 mg </w:t>
      </w:r>
      <w:r w:rsidRPr="007E2511">
        <w:rPr>
          <w:color w:val="000000"/>
          <w:spacing w:val="-4"/>
          <w:szCs w:val="22"/>
        </w:rPr>
        <w:t>kartą per mėnesį ar ibandrono rūgšties 2,5 mg kartą per parą.</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Po vienerių metų bendras klubo kaulų KMT padidėjo ar nepakito lyginant su pradine reikšme 90 % pacienčių, vartojusių ibandrono rūgštį 150 mg kartą per mėnesį, lyginant su 76,7 % pacienčių, vartojusių ibandrono rūgšties 2,5 mg kartą per parą (p &lt;0,001).</w:t>
      </w:r>
      <w:r w:rsidRPr="007E2511">
        <w:rPr>
          <w:szCs w:val="22"/>
        </w:rPr>
        <w:t xml:space="preserve"> </w:t>
      </w:r>
      <w:r w:rsidRPr="007E2511">
        <w:rPr>
          <w:color w:val="000000"/>
          <w:spacing w:val="-3"/>
          <w:szCs w:val="22"/>
        </w:rPr>
        <w:t>Po dvejų metų bendras klubo kaulų KMT padidėjo ar nepakito lyginant su pradine reikšme 93,4% (p &lt;0,001) pacienčių, vartojusių ibandrono rūgštį 150 mg kartą per mėnesį ir 78,4% pacienčių, vartojusių ibandrono rūgšties 2,5 mg per parą.</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Taikant griežtesnius kriterijus bei atsižvelgiant ir į juosmeninių slankstelių, ir į bendrą klubo kaulų KMT, per vienerius metus atsakas buvo gautas 83,9% pacienčių, vartojusių ibandrono rūgštį 150 mg kartą per mėnesį, lyginant su 65,7% pacienčių, vartojusių ibandrono rūgšties 2,5 mg kartą per parą (p &lt;0,001).</w:t>
      </w:r>
      <w:r w:rsidRPr="007E2511">
        <w:rPr>
          <w:szCs w:val="22"/>
        </w:rPr>
        <w:t xml:space="preserve"> </w:t>
      </w:r>
      <w:r w:rsidRPr="007E2511">
        <w:rPr>
          <w:color w:val="000000"/>
          <w:spacing w:val="-3"/>
          <w:szCs w:val="22"/>
        </w:rPr>
        <w:t xml:space="preserve">Po dvejų metų šį kriterijų atitiko 87,1% ir 70,5% pacienčių atitinkamai 150 mg kartą per mėnesį ir </w:t>
      </w:r>
      <w:r w:rsidRPr="007E2511">
        <w:rPr>
          <w:color w:val="000000"/>
          <w:spacing w:val="-4"/>
          <w:szCs w:val="22"/>
        </w:rPr>
        <w:t>2,5 mg kartą per parą grupėse (p &lt;0,001).</w:t>
      </w:r>
      <w:r w:rsidRPr="007E2511">
        <w:rPr>
          <w:szCs w:val="22"/>
        </w:rPr>
        <w:t xml:space="preserve"> </w:t>
      </w:r>
    </w:p>
    <w:p w:rsidR="00ED67AE" w:rsidRPr="00A93783" w:rsidRDefault="00ED67AE" w:rsidP="00ED67AE">
      <w:pPr>
        <w:rPr>
          <w:b/>
          <w:szCs w:val="22"/>
        </w:rPr>
      </w:pPr>
    </w:p>
    <w:p w:rsidR="00ED67AE" w:rsidRPr="007E2511" w:rsidRDefault="00ED67AE" w:rsidP="00ED67AE">
      <w:pPr>
        <w:rPr>
          <w:szCs w:val="22"/>
        </w:rPr>
      </w:pPr>
      <w:r w:rsidRPr="007E2511">
        <w:rPr>
          <w:color w:val="000000"/>
          <w:spacing w:val="-4"/>
          <w:szCs w:val="22"/>
          <w:u w:val="single"/>
        </w:rPr>
        <w:t>Biocheminiai kaulų apykaitos žymenys</w:t>
      </w:r>
    </w:p>
    <w:p w:rsidR="00ED67AE" w:rsidRPr="007E2511" w:rsidRDefault="00ED67AE" w:rsidP="00ED67AE">
      <w:pPr>
        <w:rPr>
          <w:szCs w:val="22"/>
        </w:rPr>
      </w:pPr>
      <w:r w:rsidRPr="007E2511">
        <w:rPr>
          <w:color w:val="000000"/>
          <w:spacing w:val="-3"/>
          <w:szCs w:val="22"/>
        </w:rPr>
        <w:t xml:space="preserve">Kliniškai reikšmingas CTX kiekio sumažėjimas serume stebėtas kaskart, kai jis buvo tiriamas, t.y. 3-ą, 6-ą, 12-ą ir 24-ą mėnesį. Po vienerių metų (pirminė analizė) vidutinis reliatyvus </w:t>
      </w:r>
      <w:smartTag w:uri="schemas-tilde-lt/tildestengine" w:element="templates">
        <w:smartTagPr>
          <w:attr w:name="baseform" w:val="pokyt|is"/>
          <w:attr w:name="id" w:val="-1"/>
          <w:attr w:name="text" w:val="pokytis"/>
        </w:smartTagPr>
        <w:r w:rsidRPr="007E2511">
          <w:rPr>
            <w:color w:val="000000"/>
            <w:spacing w:val="-3"/>
            <w:szCs w:val="22"/>
          </w:rPr>
          <w:t>pokytis</w:t>
        </w:r>
      </w:smartTag>
      <w:r w:rsidRPr="007E2511">
        <w:rPr>
          <w:color w:val="000000"/>
          <w:spacing w:val="-3"/>
          <w:szCs w:val="22"/>
        </w:rPr>
        <w:t xml:space="preserve"> lyginant su pradine reikšme buvo – 76 % tais atvejais, kai buvo vartojama ibandrono rūgšties 150 mg kartą per mėnesį, ir –67 %, kai buvo vartojama ibandrono rūgšties 2,5 mg per parą.</w:t>
      </w:r>
      <w:r w:rsidRPr="007E2511">
        <w:rPr>
          <w:szCs w:val="22"/>
        </w:rPr>
        <w:t xml:space="preserve"> </w:t>
      </w:r>
      <w:r w:rsidRPr="007E2511">
        <w:rPr>
          <w:color w:val="000000"/>
          <w:spacing w:val="-3"/>
          <w:szCs w:val="22"/>
        </w:rPr>
        <w:t xml:space="preserve">Po dvejų metų vidutinis reliatyvus </w:t>
      </w:r>
      <w:smartTag w:uri="schemas-tilde-lt/tildestengine" w:element="templates">
        <w:smartTagPr>
          <w:attr w:name="baseform" w:val="pokyt|is"/>
          <w:attr w:name="id" w:val="-1"/>
          <w:attr w:name="text" w:val="pokytis"/>
        </w:smartTagPr>
        <w:r w:rsidRPr="007E2511">
          <w:rPr>
            <w:color w:val="000000"/>
            <w:spacing w:val="-3"/>
            <w:szCs w:val="22"/>
          </w:rPr>
          <w:t>pokytis</w:t>
        </w:r>
      </w:smartTag>
      <w:r w:rsidRPr="007E2511">
        <w:rPr>
          <w:color w:val="000000"/>
          <w:spacing w:val="-3"/>
          <w:szCs w:val="22"/>
        </w:rPr>
        <w:t xml:space="preserve"> buvo –68 % ir -62 % atitinkamai 150 mg kartą per mėnesį ir 2,5 mg kartą per parą grupėse.</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Po vienerių metų buvo manoma, kad atsakas (registruotas, kai pradinė reikšmė sumažėjo ≥50 % ) buvo gautas 83,5 % ibandrono rūgšties 150 mg per mėnesį vartojusių pacienčių, lyginant su 73,9% ibandrono rūgšties 2,5 mg per parą vartojusiųjų (p=0,006).</w:t>
      </w:r>
      <w:r w:rsidRPr="007E2511">
        <w:rPr>
          <w:szCs w:val="22"/>
        </w:rPr>
        <w:t xml:space="preserve"> </w:t>
      </w:r>
      <w:r w:rsidRPr="007E2511">
        <w:rPr>
          <w:color w:val="000000"/>
          <w:spacing w:val="-3"/>
          <w:szCs w:val="22"/>
        </w:rPr>
        <w:t>Po dvejų metų atsakas buvo gautas 78,7% ir 65,6 % pacienčių, vartojusių atitinkamai 150 mg kartą per mėnesį ir 2,5 mg kartą per parą (p=0,002).</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Remiantis BM 16549 tyrimo duomenimis, manoma, kad ibandrono rūgšties 150 mg dozė kartą per mėnesį yra bent jau tokia pat efektyvi lūžių profilaktikai kaip ir ibandrono rūgšties 2,5 mg per parą.</w:t>
      </w:r>
      <w:r w:rsidRPr="007E2511">
        <w:rPr>
          <w:szCs w:val="22"/>
        </w:rPr>
        <w:t xml:space="preserve"> </w:t>
      </w:r>
    </w:p>
    <w:p w:rsidR="00137EE2" w:rsidRDefault="00137EE2" w:rsidP="00ED67AE">
      <w:pPr>
        <w:rPr>
          <w:szCs w:val="22"/>
          <w:u w:val="single"/>
        </w:rPr>
      </w:pPr>
    </w:p>
    <w:p w:rsidR="00ED67AE" w:rsidRPr="007E2511" w:rsidRDefault="00ED67AE" w:rsidP="00ED67AE">
      <w:pPr>
        <w:rPr>
          <w:szCs w:val="22"/>
          <w:u w:val="single"/>
        </w:rPr>
      </w:pPr>
      <w:r w:rsidRPr="007E2511">
        <w:rPr>
          <w:szCs w:val="22"/>
          <w:u w:val="single"/>
        </w:rPr>
        <w:t>Ibandrono rūgštis 2</w:t>
      </w:r>
      <w:proofErr w:type="gramStart"/>
      <w:r w:rsidRPr="007E2511">
        <w:rPr>
          <w:szCs w:val="22"/>
          <w:u w:val="single"/>
        </w:rPr>
        <w:t>,5</w:t>
      </w:r>
      <w:proofErr w:type="gramEnd"/>
      <w:r w:rsidRPr="007E2511">
        <w:rPr>
          <w:szCs w:val="22"/>
          <w:u w:val="single"/>
        </w:rPr>
        <w:t> mg kartą per parą</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Pradinio trejų metų trukmės randomizuoto, dvigubai aklo, placebu kontroliuojamo kaulų lūžių tyrimo (MF 4411) metu statistiškai patikimai ir kliniškai reikšmingai sumažėjo naujų radiografinių morfometrinių ir simptominių stuburo slankstelių lūžių dažnis (4 lentelė). Šio tyrimo metu ibandrono rūgšties buvo geriama po 2</w:t>
      </w:r>
      <w:proofErr w:type="gramStart"/>
      <w:r w:rsidRPr="007E2511">
        <w:rPr>
          <w:color w:val="000000"/>
          <w:spacing w:val="-3"/>
          <w:szCs w:val="22"/>
        </w:rPr>
        <w:t>,5</w:t>
      </w:r>
      <w:proofErr w:type="gramEnd"/>
      <w:r w:rsidRPr="007E2511">
        <w:rPr>
          <w:color w:val="000000"/>
          <w:spacing w:val="-3"/>
          <w:szCs w:val="22"/>
        </w:rPr>
        <w:t xml:space="preserve"> mg per parą kasdien arba po 20 mg su pertraukomis (tiriamasis dozavimas).</w:t>
      </w:r>
      <w:r w:rsidRPr="007E2511">
        <w:rPr>
          <w:szCs w:val="22"/>
        </w:rPr>
        <w:t xml:space="preserve"> </w:t>
      </w:r>
      <w:r w:rsidRPr="007E2511">
        <w:rPr>
          <w:color w:val="000000"/>
          <w:spacing w:val="-3"/>
          <w:szCs w:val="22"/>
        </w:rPr>
        <w:t>Ibandrono rūgšties pacientės gėrė ryte nevalgiusios, išgėrusios vaistą nevalgė ir negėrė dar 60 minučių (badavimo laikas išgėrus dozę).</w:t>
      </w:r>
      <w:r w:rsidRPr="007E2511">
        <w:rPr>
          <w:szCs w:val="22"/>
        </w:rPr>
        <w:t xml:space="preserve"> </w:t>
      </w:r>
      <w:r w:rsidRPr="007E2511">
        <w:rPr>
          <w:color w:val="000000"/>
          <w:spacing w:val="-3"/>
          <w:szCs w:val="22"/>
        </w:rPr>
        <w:t>Tyrime dalyvavo moterys nuo 55 metų iki 80 metų, kurioms menopauzė prasidėjo mažiausiai prieš 5 metus, kurių juosmeninių slankstelių KMT bent viename slankstelyje [L1-L4] buvo nuo 2 iki 5 SN mažesnis už vidurkį prieš menopauzę (T lygmuo) ir kurioms buvo nuo vieno iki keturių slankstelinių lūžių.</w:t>
      </w:r>
      <w:r w:rsidRPr="007E2511">
        <w:rPr>
          <w:szCs w:val="22"/>
        </w:rPr>
        <w:t xml:space="preserve"> </w:t>
      </w:r>
      <w:r w:rsidRPr="007E2511">
        <w:rPr>
          <w:color w:val="000000"/>
          <w:spacing w:val="-3"/>
          <w:szCs w:val="22"/>
        </w:rPr>
        <w:t>Visos pacientės gavo po 500 mg kalcio ir 400 TV vitamino D per parą.</w:t>
      </w:r>
      <w:r w:rsidRPr="007E2511">
        <w:rPr>
          <w:szCs w:val="22"/>
        </w:rPr>
        <w:t xml:space="preserve"> </w:t>
      </w:r>
      <w:r w:rsidRPr="007E2511">
        <w:rPr>
          <w:color w:val="000000"/>
          <w:spacing w:val="-3"/>
          <w:szCs w:val="22"/>
        </w:rPr>
        <w:t>Efektyvumas buvo vertinamas tiriant 2928 pacientes.</w:t>
      </w:r>
      <w:r w:rsidRPr="007E2511">
        <w:rPr>
          <w:szCs w:val="22"/>
        </w:rPr>
        <w:t xml:space="preserve"> </w:t>
      </w:r>
      <w:r w:rsidRPr="007E2511">
        <w:rPr>
          <w:color w:val="000000"/>
          <w:spacing w:val="-3"/>
          <w:szCs w:val="22"/>
        </w:rPr>
        <w:t>Vartojant po 2</w:t>
      </w:r>
      <w:proofErr w:type="gramStart"/>
      <w:r w:rsidRPr="007E2511">
        <w:rPr>
          <w:color w:val="000000"/>
          <w:spacing w:val="-3"/>
          <w:szCs w:val="22"/>
        </w:rPr>
        <w:t>,5</w:t>
      </w:r>
      <w:proofErr w:type="gramEnd"/>
      <w:r w:rsidRPr="007E2511">
        <w:rPr>
          <w:color w:val="000000"/>
          <w:spacing w:val="-3"/>
          <w:szCs w:val="22"/>
        </w:rPr>
        <w:t xml:space="preserve"> mg ibandrono rūgšties kasdien, statistiškai patikimai ir kliniškai reikšmingai sumažėjo naujų slankstelių lūžių dažnis.</w:t>
      </w:r>
      <w:r w:rsidRPr="007E2511">
        <w:rPr>
          <w:szCs w:val="22"/>
        </w:rPr>
        <w:t xml:space="preserve"> </w:t>
      </w:r>
      <w:r w:rsidRPr="007E2511">
        <w:rPr>
          <w:color w:val="000000"/>
          <w:spacing w:val="-3"/>
          <w:szCs w:val="22"/>
        </w:rPr>
        <w:t>Per trejus tyrimo metus gydant 62% (p=0</w:t>
      </w:r>
      <w:proofErr w:type="gramStart"/>
      <w:r w:rsidRPr="007E2511">
        <w:rPr>
          <w:color w:val="000000"/>
          <w:spacing w:val="-3"/>
          <w:szCs w:val="22"/>
        </w:rPr>
        <w:t>,0001</w:t>
      </w:r>
      <w:proofErr w:type="gramEnd"/>
      <w:r w:rsidRPr="007E2511">
        <w:rPr>
          <w:color w:val="000000"/>
          <w:spacing w:val="-3"/>
          <w:szCs w:val="22"/>
        </w:rPr>
        <w:t xml:space="preserve"> ) sumažėjo naujų radiografinių slankstelinių lūžių dažnis.</w:t>
      </w:r>
      <w:r w:rsidRPr="007E2511">
        <w:rPr>
          <w:szCs w:val="22"/>
        </w:rPr>
        <w:t xml:space="preserve"> </w:t>
      </w:r>
      <w:smartTag w:uri="urn:schemas-microsoft-com:office:smarttags" w:element="place">
        <w:r w:rsidRPr="007E2511">
          <w:rPr>
            <w:color w:val="000000"/>
            <w:spacing w:val="-3"/>
            <w:szCs w:val="22"/>
          </w:rPr>
          <w:t>Po</w:t>
        </w:r>
      </w:smartTag>
      <w:r w:rsidRPr="007E2511">
        <w:rPr>
          <w:color w:val="000000"/>
          <w:spacing w:val="-3"/>
          <w:szCs w:val="22"/>
        </w:rPr>
        <w:t xml:space="preserve"> 2 metų reliatyvi rizika sumažėjo 61% (p=0</w:t>
      </w:r>
      <w:proofErr w:type="gramStart"/>
      <w:r w:rsidRPr="007E2511">
        <w:rPr>
          <w:color w:val="000000"/>
          <w:spacing w:val="-3"/>
          <w:szCs w:val="22"/>
        </w:rPr>
        <w:t>,0006</w:t>
      </w:r>
      <w:proofErr w:type="gramEnd"/>
      <w:r w:rsidRPr="007E2511">
        <w:rPr>
          <w:color w:val="000000"/>
          <w:spacing w:val="-3"/>
          <w:szCs w:val="22"/>
        </w:rPr>
        <w:t xml:space="preserve">). </w:t>
      </w:r>
      <w:smartTag w:uri="urn:schemas-microsoft-com:office:smarttags" w:element="place">
        <w:r w:rsidRPr="007E2511">
          <w:rPr>
            <w:color w:val="000000"/>
            <w:spacing w:val="-3"/>
            <w:szCs w:val="22"/>
          </w:rPr>
          <w:t>Po</w:t>
        </w:r>
      </w:smartTag>
      <w:r w:rsidRPr="007E2511">
        <w:rPr>
          <w:color w:val="000000"/>
          <w:spacing w:val="-3"/>
          <w:szCs w:val="22"/>
        </w:rPr>
        <w:t xml:space="preserve"> vienerių gydymo metų statistiškai patikimo skirtumo nebuvo nustatyta (p=0,056). Lūžių dažnį mažinantis poveikis nekito per visą tyrimą, ilgainiui nesumažėjo ir efektyvumas.</w:t>
      </w:r>
      <w:r w:rsidRPr="007E2511">
        <w:rPr>
          <w:i/>
          <w:szCs w:val="22"/>
        </w:rPr>
        <w:t xml:space="preserve"> </w:t>
      </w:r>
    </w:p>
    <w:p w:rsidR="00ED67AE" w:rsidRPr="007E2511" w:rsidRDefault="00ED67AE" w:rsidP="00ED67AE">
      <w:pPr>
        <w:rPr>
          <w:szCs w:val="22"/>
        </w:rPr>
      </w:pPr>
      <w:r w:rsidRPr="007E2511">
        <w:rPr>
          <w:color w:val="000000"/>
          <w:spacing w:val="-3"/>
          <w:szCs w:val="22"/>
        </w:rPr>
        <w:t xml:space="preserve">Simptominių stuburo slankstelių lūžių dažnis taip pat sumažėjo reikšmingai – 49 % (p=0,011). Stiprų vaisto poveikį slankstelių lūžiams atspindi ir statistiškai patikimai sulėtėjęs ūgio mažėjimas </w:t>
      </w:r>
      <w:r w:rsidRPr="007E2511">
        <w:rPr>
          <w:color w:val="000000"/>
          <w:spacing w:val="-4"/>
          <w:szCs w:val="22"/>
        </w:rPr>
        <w:t>pacientėms lyginant su placebo gavusiųjų grupe (p&lt;0</w:t>
      </w:r>
      <w:proofErr w:type="gramStart"/>
      <w:r w:rsidRPr="007E2511">
        <w:rPr>
          <w:color w:val="000000"/>
          <w:spacing w:val="-4"/>
          <w:szCs w:val="22"/>
        </w:rPr>
        <w:t>,0001</w:t>
      </w:r>
      <w:proofErr w:type="gramEnd"/>
      <w:r w:rsidRPr="007E2511">
        <w:rPr>
          <w:color w:val="000000"/>
          <w:spacing w:val="-4"/>
          <w:szCs w:val="22"/>
        </w:rPr>
        <w:t>).</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3 lentelė: Trejų metų trukmės lūžių tyrimo MF 4411 rezultatai (%, 95% PI)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520"/>
        <w:gridCol w:w="2880"/>
      </w:tblGrid>
      <w:tr w:rsidR="00ED67AE" w:rsidRPr="007E2511" w:rsidTr="005A5ACB">
        <w:tc>
          <w:tcPr>
            <w:tcW w:w="3600" w:type="dxa"/>
          </w:tcPr>
          <w:p w:rsidR="00ED67AE" w:rsidRPr="007E2511" w:rsidRDefault="00ED67AE" w:rsidP="005A5ACB">
            <w:pPr>
              <w:rPr>
                <w:szCs w:val="22"/>
              </w:rPr>
            </w:pPr>
          </w:p>
        </w:tc>
        <w:tc>
          <w:tcPr>
            <w:tcW w:w="2520" w:type="dxa"/>
          </w:tcPr>
          <w:p w:rsidR="00ED67AE" w:rsidRPr="007E2511" w:rsidRDefault="00ED67AE" w:rsidP="005A5ACB">
            <w:pPr>
              <w:pStyle w:val="Default"/>
              <w:tabs>
                <w:tab w:val="left" w:pos="567"/>
              </w:tabs>
              <w:rPr>
                <w:sz w:val="22"/>
                <w:szCs w:val="22"/>
              </w:rPr>
            </w:pPr>
            <w:r w:rsidRPr="007E2511">
              <w:rPr>
                <w:sz w:val="22"/>
                <w:szCs w:val="22"/>
                <w:lang w:val="lt-LT"/>
              </w:rPr>
              <w:t>Placebas</w:t>
            </w:r>
            <w:r w:rsidRPr="007E2511">
              <w:rPr>
                <w:sz w:val="22"/>
                <w:szCs w:val="22"/>
              </w:rPr>
              <w:t xml:space="preserve"> </w:t>
            </w:r>
          </w:p>
          <w:p w:rsidR="00ED67AE" w:rsidRPr="007E2511" w:rsidRDefault="00ED67AE" w:rsidP="005A5ACB">
            <w:pPr>
              <w:rPr>
                <w:szCs w:val="22"/>
              </w:rPr>
            </w:pPr>
            <w:r w:rsidRPr="007E2511">
              <w:rPr>
                <w:szCs w:val="22"/>
              </w:rPr>
              <w:t xml:space="preserve">(N=974) </w:t>
            </w:r>
          </w:p>
        </w:tc>
        <w:tc>
          <w:tcPr>
            <w:tcW w:w="2880" w:type="dxa"/>
          </w:tcPr>
          <w:p w:rsidR="00ED67AE" w:rsidRPr="007E2511" w:rsidRDefault="00ED67AE" w:rsidP="005A5ACB">
            <w:pPr>
              <w:pStyle w:val="Debesliotekstas"/>
              <w:rPr>
                <w:rFonts w:ascii="Times New Roman" w:hAnsi="Times New Roman" w:cs="Times New Roman"/>
                <w:sz w:val="22"/>
                <w:szCs w:val="22"/>
              </w:rPr>
            </w:pPr>
            <w:r w:rsidRPr="007E2511">
              <w:rPr>
                <w:rFonts w:ascii="Times New Roman" w:hAnsi="Times New Roman" w:cs="Times New Roman"/>
                <w:sz w:val="22"/>
                <w:szCs w:val="22"/>
                <w:lang w:val="lt-LT"/>
              </w:rPr>
              <w:t>Ibandrono rūgštis 2,5 mg kartą per parą</w:t>
            </w:r>
            <w:r w:rsidRPr="007E2511">
              <w:rPr>
                <w:rFonts w:ascii="Times New Roman" w:hAnsi="Times New Roman" w:cs="Times New Roman"/>
                <w:sz w:val="22"/>
                <w:szCs w:val="22"/>
              </w:rPr>
              <w:t xml:space="preserve"> </w:t>
            </w:r>
          </w:p>
          <w:p w:rsidR="00ED67AE" w:rsidRPr="007E2511" w:rsidRDefault="00ED67AE" w:rsidP="005A5ACB">
            <w:pPr>
              <w:pStyle w:val="Debesliotekstas"/>
              <w:autoSpaceDE w:val="0"/>
              <w:autoSpaceDN w:val="0"/>
              <w:adjustRightInd w:val="0"/>
              <w:rPr>
                <w:rFonts w:ascii="Times New Roman" w:eastAsia="Calibri" w:hAnsi="Times New Roman" w:cs="Times New Roman"/>
                <w:color w:val="000000"/>
                <w:sz w:val="22"/>
                <w:szCs w:val="22"/>
              </w:rPr>
            </w:pPr>
            <w:r w:rsidRPr="007E2511">
              <w:rPr>
                <w:rFonts w:ascii="Times New Roman" w:hAnsi="Times New Roman" w:cs="Times New Roman"/>
                <w:sz w:val="22"/>
                <w:szCs w:val="22"/>
                <w:lang w:val="lt-LT"/>
              </w:rPr>
              <w:t>(N=977)</w:t>
            </w:r>
          </w:p>
        </w:tc>
      </w:tr>
      <w:tr w:rsidR="00ED67AE" w:rsidRPr="007E2511" w:rsidTr="005A5ACB">
        <w:tc>
          <w:tcPr>
            <w:tcW w:w="3600" w:type="dxa"/>
          </w:tcPr>
          <w:p w:rsidR="00ED67AE" w:rsidRPr="007E2511" w:rsidRDefault="00ED67AE" w:rsidP="005A5ACB">
            <w:pPr>
              <w:rPr>
                <w:szCs w:val="22"/>
              </w:rPr>
            </w:pPr>
            <w:r w:rsidRPr="007E2511">
              <w:rPr>
                <w:color w:val="000000"/>
                <w:spacing w:val="-3"/>
                <w:szCs w:val="22"/>
              </w:rPr>
              <w:t>Sumažėjusi santykinė rizika</w:t>
            </w:r>
            <w:r w:rsidRPr="007E2511">
              <w:rPr>
                <w:szCs w:val="22"/>
              </w:rPr>
              <w:t xml:space="preserve"> </w:t>
            </w:r>
          </w:p>
          <w:p w:rsidR="00ED67AE" w:rsidRPr="007E2511" w:rsidRDefault="00ED67AE" w:rsidP="005A5ACB">
            <w:pPr>
              <w:rPr>
                <w:szCs w:val="22"/>
              </w:rPr>
            </w:pPr>
            <w:r w:rsidRPr="007E2511">
              <w:rPr>
                <w:color w:val="000000"/>
                <w:spacing w:val="-3"/>
                <w:szCs w:val="22"/>
              </w:rPr>
              <w:t>Nauji morfometriniai slankstelių lūžiai</w:t>
            </w:r>
          </w:p>
        </w:tc>
        <w:tc>
          <w:tcPr>
            <w:tcW w:w="2520" w:type="dxa"/>
          </w:tcPr>
          <w:p w:rsidR="00ED67AE" w:rsidRPr="007E2511" w:rsidRDefault="00ED67AE" w:rsidP="005A5ACB">
            <w:pPr>
              <w:rPr>
                <w:szCs w:val="22"/>
              </w:rPr>
            </w:pPr>
          </w:p>
        </w:tc>
        <w:tc>
          <w:tcPr>
            <w:tcW w:w="2880" w:type="dxa"/>
          </w:tcPr>
          <w:p w:rsidR="00ED67AE" w:rsidRPr="007E2511" w:rsidRDefault="00ED67AE" w:rsidP="005A5ACB">
            <w:pPr>
              <w:rPr>
                <w:szCs w:val="22"/>
              </w:rPr>
            </w:pPr>
            <w:r w:rsidRPr="007E2511">
              <w:rPr>
                <w:szCs w:val="22"/>
              </w:rPr>
              <w:t>62% (40,9, 75,1)</w:t>
            </w:r>
          </w:p>
        </w:tc>
      </w:tr>
      <w:tr w:rsidR="00ED67AE" w:rsidRPr="007E2511" w:rsidTr="005A5ACB">
        <w:tc>
          <w:tcPr>
            <w:tcW w:w="3600" w:type="dxa"/>
          </w:tcPr>
          <w:p w:rsidR="00ED67AE" w:rsidRPr="007E2511" w:rsidRDefault="00ED67AE" w:rsidP="005A5ACB">
            <w:pPr>
              <w:rPr>
                <w:szCs w:val="22"/>
              </w:rPr>
            </w:pPr>
            <w:r w:rsidRPr="007E2511">
              <w:rPr>
                <w:szCs w:val="22"/>
              </w:rPr>
              <w:t>Naujų morfometrinių slankstelių lūžių dažnis</w:t>
            </w:r>
          </w:p>
        </w:tc>
        <w:tc>
          <w:tcPr>
            <w:tcW w:w="2520" w:type="dxa"/>
          </w:tcPr>
          <w:p w:rsidR="00ED67AE" w:rsidRPr="007E2511" w:rsidRDefault="00ED67AE" w:rsidP="005A5ACB">
            <w:pPr>
              <w:rPr>
                <w:szCs w:val="22"/>
              </w:rPr>
            </w:pPr>
            <w:r w:rsidRPr="007E2511">
              <w:rPr>
                <w:szCs w:val="22"/>
              </w:rPr>
              <w:t xml:space="preserve">9,56% (7,5, 11,7) </w:t>
            </w:r>
          </w:p>
        </w:tc>
        <w:tc>
          <w:tcPr>
            <w:tcW w:w="2880" w:type="dxa"/>
          </w:tcPr>
          <w:p w:rsidR="00ED67AE" w:rsidRPr="007E2511" w:rsidRDefault="00ED67AE" w:rsidP="005A5ACB">
            <w:pPr>
              <w:rPr>
                <w:szCs w:val="22"/>
              </w:rPr>
            </w:pPr>
            <w:r w:rsidRPr="007E2511">
              <w:rPr>
                <w:szCs w:val="22"/>
              </w:rPr>
              <w:t xml:space="preserve">4,68% (3,2, 6,2) </w:t>
            </w:r>
          </w:p>
        </w:tc>
      </w:tr>
      <w:tr w:rsidR="00ED67AE" w:rsidRPr="007E2511" w:rsidTr="005A5ACB">
        <w:tc>
          <w:tcPr>
            <w:tcW w:w="3600" w:type="dxa"/>
          </w:tcPr>
          <w:p w:rsidR="00ED67AE" w:rsidRPr="007E2511" w:rsidRDefault="00ED67AE" w:rsidP="005A5ACB">
            <w:pPr>
              <w:rPr>
                <w:szCs w:val="22"/>
              </w:rPr>
            </w:pPr>
            <w:r w:rsidRPr="007E2511">
              <w:rPr>
                <w:color w:val="000000"/>
                <w:spacing w:val="-3"/>
                <w:szCs w:val="22"/>
              </w:rPr>
              <w:t>Sumažėjusi simptominių slankstelių lūžių santykinė rizika</w:t>
            </w:r>
          </w:p>
        </w:tc>
        <w:tc>
          <w:tcPr>
            <w:tcW w:w="2520" w:type="dxa"/>
          </w:tcPr>
          <w:p w:rsidR="00ED67AE" w:rsidRPr="007E2511" w:rsidRDefault="00ED67AE" w:rsidP="005A5ACB">
            <w:pPr>
              <w:rPr>
                <w:szCs w:val="22"/>
              </w:rPr>
            </w:pPr>
          </w:p>
        </w:tc>
        <w:tc>
          <w:tcPr>
            <w:tcW w:w="2880" w:type="dxa"/>
          </w:tcPr>
          <w:p w:rsidR="00ED67AE" w:rsidRPr="007E2511" w:rsidRDefault="00ED67AE" w:rsidP="005A5ACB">
            <w:pPr>
              <w:rPr>
                <w:szCs w:val="22"/>
              </w:rPr>
            </w:pPr>
            <w:r w:rsidRPr="007E2511">
              <w:rPr>
                <w:szCs w:val="22"/>
              </w:rPr>
              <w:t>49 % (14,03, 69,49)</w:t>
            </w:r>
          </w:p>
        </w:tc>
      </w:tr>
      <w:tr w:rsidR="00ED67AE" w:rsidRPr="007E2511" w:rsidTr="005A5ACB">
        <w:tc>
          <w:tcPr>
            <w:tcW w:w="3600" w:type="dxa"/>
          </w:tcPr>
          <w:p w:rsidR="00ED67AE" w:rsidRPr="007E2511" w:rsidRDefault="00ED67AE" w:rsidP="005A5ACB">
            <w:pPr>
              <w:rPr>
                <w:szCs w:val="22"/>
              </w:rPr>
            </w:pPr>
            <w:r w:rsidRPr="007E2511">
              <w:rPr>
                <w:color w:val="000000"/>
                <w:spacing w:val="-3"/>
                <w:szCs w:val="22"/>
              </w:rPr>
              <w:t>Simptominių slankstelinių lūžių dažnis</w:t>
            </w:r>
          </w:p>
        </w:tc>
        <w:tc>
          <w:tcPr>
            <w:tcW w:w="2520" w:type="dxa"/>
          </w:tcPr>
          <w:p w:rsidR="00ED67AE" w:rsidRPr="007E2511" w:rsidRDefault="00ED67AE" w:rsidP="005A5ACB">
            <w:pPr>
              <w:rPr>
                <w:szCs w:val="22"/>
              </w:rPr>
            </w:pPr>
            <w:r w:rsidRPr="007E2511">
              <w:rPr>
                <w:szCs w:val="22"/>
              </w:rPr>
              <w:t xml:space="preserve">5,33% (3,73, 6,92) </w:t>
            </w:r>
          </w:p>
        </w:tc>
        <w:tc>
          <w:tcPr>
            <w:tcW w:w="2880" w:type="dxa"/>
          </w:tcPr>
          <w:p w:rsidR="00ED67AE" w:rsidRPr="007E2511" w:rsidRDefault="00ED67AE" w:rsidP="005A5ACB">
            <w:pPr>
              <w:rPr>
                <w:szCs w:val="22"/>
              </w:rPr>
            </w:pPr>
            <w:r w:rsidRPr="007E2511">
              <w:rPr>
                <w:szCs w:val="22"/>
              </w:rPr>
              <w:t xml:space="preserve">2,75% (1,61, 3,89) </w:t>
            </w:r>
          </w:p>
        </w:tc>
      </w:tr>
      <w:tr w:rsidR="00ED67AE" w:rsidRPr="007E2511" w:rsidTr="005A5ACB">
        <w:tc>
          <w:tcPr>
            <w:tcW w:w="3600" w:type="dxa"/>
          </w:tcPr>
          <w:p w:rsidR="00ED67AE" w:rsidRPr="00A93783" w:rsidRDefault="00ED67AE" w:rsidP="005A5ACB">
            <w:pPr>
              <w:rPr>
                <w:szCs w:val="22"/>
                <w:lang w:val="nb-NO"/>
              </w:rPr>
            </w:pPr>
            <w:r w:rsidRPr="00A93783">
              <w:rPr>
                <w:color w:val="000000"/>
                <w:spacing w:val="-1"/>
                <w:szCs w:val="22"/>
                <w:lang w:val="nb-NO"/>
              </w:rPr>
              <w:t xml:space="preserve">KMT – vidutinis juosmeninių </w:t>
            </w:r>
            <w:r w:rsidRPr="00A93783">
              <w:rPr>
                <w:color w:val="000000"/>
                <w:spacing w:val="-3"/>
                <w:szCs w:val="22"/>
                <w:lang w:val="nb-NO"/>
              </w:rPr>
              <w:t xml:space="preserve">slankstelių </w:t>
            </w:r>
            <w:smartTag w:uri="schemas-tilde-lt/tildestengine" w:element="templates">
              <w:smartTagPr>
                <w:attr w:name="baseform" w:val="pokyt|is"/>
                <w:attr w:name="id" w:val="-1"/>
                <w:attr w:name="text" w:val="pokytis"/>
              </w:smartTagPr>
              <w:r w:rsidRPr="00A93783">
                <w:rPr>
                  <w:color w:val="000000"/>
                  <w:spacing w:val="-3"/>
                  <w:szCs w:val="22"/>
                  <w:lang w:val="nb-NO"/>
                </w:rPr>
                <w:t>pokytis</w:t>
              </w:r>
            </w:smartTag>
            <w:r w:rsidRPr="00A93783">
              <w:rPr>
                <w:color w:val="000000"/>
                <w:spacing w:val="-3"/>
                <w:szCs w:val="22"/>
                <w:lang w:val="nb-NO"/>
              </w:rPr>
              <w:t xml:space="preserve"> per 3 metus lyginant su pradine verte</w:t>
            </w:r>
          </w:p>
        </w:tc>
        <w:tc>
          <w:tcPr>
            <w:tcW w:w="2520" w:type="dxa"/>
          </w:tcPr>
          <w:p w:rsidR="00ED67AE" w:rsidRPr="007E2511" w:rsidRDefault="00ED67AE" w:rsidP="005A5ACB">
            <w:pPr>
              <w:rPr>
                <w:szCs w:val="22"/>
              </w:rPr>
            </w:pPr>
            <w:r w:rsidRPr="007E2511">
              <w:rPr>
                <w:szCs w:val="22"/>
              </w:rPr>
              <w:t xml:space="preserve">1,26% (0,8, 1,7) </w:t>
            </w:r>
          </w:p>
        </w:tc>
        <w:tc>
          <w:tcPr>
            <w:tcW w:w="2880" w:type="dxa"/>
          </w:tcPr>
          <w:p w:rsidR="00ED67AE" w:rsidRPr="007E2511" w:rsidRDefault="00ED67AE" w:rsidP="005A5ACB">
            <w:pPr>
              <w:rPr>
                <w:szCs w:val="22"/>
              </w:rPr>
            </w:pPr>
            <w:r w:rsidRPr="007E2511">
              <w:rPr>
                <w:szCs w:val="22"/>
              </w:rPr>
              <w:t xml:space="preserve">6,54% (6,1, 7) </w:t>
            </w:r>
          </w:p>
        </w:tc>
      </w:tr>
      <w:tr w:rsidR="00ED67AE" w:rsidRPr="007E2511" w:rsidTr="005A5ACB">
        <w:tc>
          <w:tcPr>
            <w:tcW w:w="3600" w:type="dxa"/>
          </w:tcPr>
          <w:p w:rsidR="00ED67AE" w:rsidRPr="007E2511" w:rsidRDefault="00ED67AE" w:rsidP="005A5ACB">
            <w:pPr>
              <w:rPr>
                <w:szCs w:val="22"/>
                <w:lang w:val="fr-FR"/>
              </w:rPr>
            </w:pPr>
            <w:r w:rsidRPr="00A93783">
              <w:rPr>
                <w:color w:val="000000"/>
                <w:spacing w:val="-2"/>
                <w:szCs w:val="22"/>
                <w:lang w:val="nb-NO"/>
              </w:rPr>
              <w:t xml:space="preserve">KMT – vidutinis bendras klubo kaulų </w:t>
            </w:r>
            <w:smartTag w:uri="schemas-tilde-lt/tildestengine" w:element="templates">
              <w:smartTagPr>
                <w:attr w:name="baseform" w:val="pokyt|is"/>
                <w:attr w:name="id" w:val="-1"/>
                <w:attr w:name="text" w:val="pokytis"/>
              </w:smartTagPr>
              <w:r w:rsidRPr="00A93783">
                <w:rPr>
                  <w:color w:val="000000"/>
                  <w:spacing w:val="-3"/>
                  <w:szCs w:val="22"/>
                  <w:lang w:val="nb-NO"/>
                </w:rPr>
                <w:t>pokytis</w:t>
              </w:r>
            </w:smartTag>
            <w:r w:rsidRPr="00A93783">
              <w:rPr>
                <w:color w:val="000000"/>
                <w:spacing w:val="-3"/>
                <w:szCs w:val="22"/>
                <w:lang w:val="nb-NO"/>
              </w:rPr>
              <w:t xml:space="preserve"> per 3 metus lyginant su pradine verte</w:t>
            </w:r>
          </w:p>
        </w:tc>
        <w:tc>
          <w:tcPr>
            <w:tcW w:w="2520" w:type="dxa"/>
          </w:tcPr>
          <w:p w:rsidR="00ED67AE" w:rsidRPr="007E2511" w:rsidRDefault="00ED67AE" w:rsidP="005A5ACB">
            <w:pPr>
              <w:pStyle w:val="Default"/>
              <w:tabs>
                <w:tab w:val="left" w:pos="567"/>
              </w:tabs>
              <w:rPr>
                <w:sz w:val="22"/>
                <w:szCs w:val="22"/>
              </w:rPr>
            </w:pPr>
            <w:r w:rsidRPr="007E2511">
              <w:rPr>
                <w:sz w:val="22"/>
                <w:szCs w:val="22"/>
              </w:rPr>
              <w:t xml:space="preserve">-0,69% (-1, -0,4) </w:t>
            </w:r>
          </w:p>
        </w:tc>
        <w:tc>
          <w:tcPr>
            <w:tcW w:w="2880" w:type="dxa"/>
          </w:tcPr>
          <w:p w:rsidR="00ED67AE" w:rsidRPr="007E2511" w:rsidRDefault="00ED67AE" w:rsidP="005A5ACB">
            <w:pPr>
              <w:pStyle w:val="Default"/>
              <w:tabs>
                <w:tab w:val="left" w:pos="567"/>
              </w:tabs>
              <w:rPr>
                <w:sz w:val="22"/>
                <w:szCs w:val="22"/>
              </w:rPr>
            </w:pPr>
            <w:r w:rsidRPr="007E2511">
              <w:rPr>
                <w:sz w:val="22"/>
                <w:szCs w:val="22"/>
              </w:rPr>
              <w:t xml:space="preserve">3,36% (3, 3,7) </w:t>
            </w:r>
          </w:p>
        </w:tc>
      </w:tr>
    </w:tbl>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Toliau gydymo ibandrono rūgštimi efektas buvo vertinamas analizuojant pogrupį pacienčių, kurių pradinis juosmeninių slankstelių KMT T lygmuo buvo mažesnis kaip -2</w:t>
      </w:r>
      <w:proofErr w:type="gramStart"/>
      <w:r w:rsidRPr="007E2511">
        <w:rPr>
          <w:color w:val="000000"/>
          <w:spacing w:val="-3"/>
          <w:szCs w:val="22"/>
        </w:rPr>
        <w:t>,5</w:t>
      </w:r>
      <w:proofErr w:type="gramEnd"/>
      <w:r w:rsidRPr="007E2511">
        <w:rPr>
          <w:color w:val="000000"/>
          <w:spacing w:val="-3"/>
          <w:szCs w:val="22"/>
        </w:rPr>
        <w:t xml:space="preserve">. Slankstelių lūžių rizikos </w:t>
      </w:r>
      <w:r w:rsidRPr="007E2511">
        <w:rPr>
          <w:color w:val="000000"/>
          <w:spacing w:val="-4"/>
          <w:szCs w:val="22"/>
        </w:rPr>
        <w:t>sumažėjimas buvo panašus į visos grupės vertę.</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 xml:space="preserve">4 lentelė: Trejų metų trukmės lūžių tyrimo MF 4411 rezultatai (%, 95 % PI) pacienčių, kurių </w:t>
      </w:r>
      <w:r w:rsidRPr="007E2511">
        <w:rPr>
          <w:color w:val="000000"/>
          <w:spacing w:val="-4"/>
          <w:szCs w:val="22"/>
        </w:rPr>
        <w:t>pradinis juosmeninių slankstelių KMT T lygmuo buvo mažesnis kaip –2,5</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00"/>
        <w:gridCol w:w="2520"/>
        <w:gridCol w:w="2880"/>
      </w:tblGrid>
      <w:tr w:rsidR="00ED67AE" w:rsidRPr="007E2511" w:rsidTr="005A5ACB">
        <w:tc>
          <w:tcPr>
            <w:tcW w:w="3600" w:type="dxa"/>
          </w:tcPr>
          <w:p w:rsidR="00ED67AE" w:rsidRPr="007E2511" w:rsidRDefault="00ED67AE" w:rsidP="005A5ACB">
            <w:pPr>
              <w:rPr>
                <w:szCs w:val="22"/>
              </w:rPr>
            </w:pPr>
          </w:p>
        </w:tc>
        <w:tc>
          <w:tcPr>
            <w:tcW w:w="2520" w:type="dxa"/>
          </w:tcPr>
          <w:p w:rsidR="00ED67AE" w:rsidRDefault="00ED67AE" w:rsidP="005A5ACB">
            <w:pPr>
              <w:pStyle w:val="Default"/>
              <w:tabs>
                <w:tab w:val="left" w:pos="567"/>
              </w:tabs>
              <w:jc w:val="both"/>
              <w:rPr>
                <w:szCs w:val="22"/>
              </w:rPr>
            </w:pPr>
            <w:r w:rsidRPr="007E2511">
              <w:rPr>
                <w:sz w:val="22"/>
                <w:szCs w:val="22"/>
                <w:lang w:val="lt-LT"/>
              </w:rPr>
              <w:t>Placebas</w:t>
            </w:r>
            <w:r w:rsidRPr="007E2511">
              <w:rPr>
                <w:sz w:val="22"/>
                <w:szCs w:val="22"/>
              </w:rPr>
              <w:t xml:space="preserve"> </w:t>
            </w:r>
            <w:r w:rsidRPr="007E2511">
              <w:rPr>
                <w:szCs w:val="22"/>
              </w:rPr>
              <w:t xml:space="preserve">(N=587) </w:t>
            </w:r>
          </w:p>
        </w:tc>
        <w:tc>
          <w:tcPr>
            <w:tcW w:w="2880" w:type="dxa"/>
          </w:tcPr>
          <w:p w:rsidR="00ED67AE" w:rsidRPr="00077F56" w:rsidRDefault="00ED67AE" w:rsidP="005A5ACB">
            <w:pPr>
              <w:pStyle w:val="Debesliotekstas"/>
              <w:jc w:val="both"/>
              <w:rPr>
                <w:rFonts w:ascii="Times New Roman" w:hAnsi="Times New Roman" w:cs="Times New Roman"/>
                <w:sz w:val="22"/>
                <w:szCs w:val="22"/>
                <w:lang w:val="hu-HU"/>
              </w:rPr>
            </w:pPr>
            <w:r w:rsidRPr="007E2511">
              <w:rPr>
                <w:rFonts w:ascii="Times New Roman" w:hAnsi="Times New Roman" w:cs="Times New Roman"/>
                <w:sz w:val="22"/>
                <w:szCs w:val="22"/>
                <w:lang w:val="lt-LT"/>
              </w:rPr>
              <w:t>Ibandrono rūgštis 2,5 mg kartą per parą</w:t>
            </w:r>
            <w:r w:rsidRPr="00077F56">
              <w:rPr>
                <w:rFonts w:ascii="Times New Roman" w:hAnsi="Times New Roman" w:cs="Times New Roman"/>
                <w:sz w:val="22"/>
                <w:szCs w:val="22"/>
                <w:lang w:val="hu-HU"/>
              </w:rPr>
              <w:t xml:space="preserve"> </w:t>
            </w:r>
          </w:p>
          <w:p w:rsidR="00ED67AE" w:rsidRPr="007E2511" w:rsidRDefault="00ED67AE" w:rsidP="005A5ACB">
            <w:pPr>
              <w:rPr>
                <w:szCs w:val="22"/>
              </w:rPr>
            </w:pPr>
            <w:r w:rsidRPr="007E2511">
              <w:rPr>
                <w:szCs w:val="22"/>
              </w:rPr>
              <w:t>(N=575)</w:t>
            </w:r>
          </w:p>
        </w:tc>
      </w:tr>
      <w:tr w:rsidR="00ED67AE" w:rsidRPr="007E2511" w:rsidTr="005A5ACB">
        <w:tc>
          <w:tcPr>
            <w:tcW w:w="3600" w:type="dxa"/>
          </w:tcPr>
          <w:p w:rsidR="00ED67AE" w:rsidRPr="007E2511" w:rsidRDefault="00ED67AE" w:rsidP="005A5ACB">
            <w:pPr>
              <w:pStyle w:val="Default"/>
              <w:tabs>
                <w:tab w:val="left" w:pos="567"/>
              </w:tabs>
              <w:rPr>
                <w:sz w:val="22"/>
                <w:szCs w:val="22"/>
              </w:rPr>
            </w:pPr>
            <w:r w:rsidRPr="007E2511">
              <w:rPr>
                <w:sz w:val="22"/>
                <w:szCs w:val="22"/>
                <w:lang w:val="lt-LT"/>
              </w:rPr>
              <w:t>Sumažėjusi santykinė rizika</w:t>
            </w:r>
            <w:r w:rsidRPr="007E2511">
              <w:rPr>
                <w:sz w:val="22"/>
                <w:szCs w:val="22"/>
              </w:rPr>
              <w:t xml:space="preserve"> </w:t>
            </w:r>
          </w:p>
          <w:p w:rsidR="00ED67AE" w:rsidRPr="007E2511" w:rsidRDefault="00ED67AE" w:rsidP="005A5ACB">
            <w:pPr>
              <w:rPr>
                <w:szCs w:val="22"/>
              </w:rPr>
            </w:pPr>
            <w:r w:rsidRPr="007E2511">
              <w:rPr>
                <w:szCs w:val="22"/>
              </w:rPr>
              <w:t>Nauji morfometriniai slankstelių lūžiai</w:t>
            </w:r>
          </w:p>
        </w:tc>
        <w:tc>
          <w:tcPr>
            <w:tcW w:w="2520" w:type="dxa"/>
          </w:tcPr>
          <w:p w:rsidR="00ED67AE" w:rsidRPr="007E2511" w:rsidRDefault="00ED67AE" w:rsidP="005A5ACB">
            <w:pPr>
              <w:rPr>
                <w:szCs w:val="22"/>
              </w:rPr>
            </w:pPr>
          </w:p>
        </w:tc>
        <w:tc>
          <w:tcPr>
            <w:tcW w:w="2880" w:type="dxa"/>
          </w:tcPr>
          <w:p w:rsidR="00ED67AE" w:rsidRPr="007E2511" w:rsidRDefault="00ED67AE" w:rsidP="005A5ACB">
            <w:pPr>
              <w:rPr>
                <w:szCs w:val="22"/>
              </w:rPr>
            </w:pPr>
            <w:r w:rsidRPr="007E2511">
              <w:rPr>
                <w:szCs w:val="22"/>
              </w:rPr>
              <w:t>59% (34,5, 74,3)</w:t>
            </w:r>
          </w:p>
        </w:tc>
      </w:tr>
      <w:tr w:rsidR="00ED67AE" w:rsidRPr="007E2511" w:rsidTr="005A5ACB">
        <w:tc>
          <w:tcPr>
            <w:tcW w:w="3600" w:type="dxa"/>
          </w:tcPr>
          <w:p w:rsidR="00ED67AE" w:rsidRPr="007E2511" w:rsidRDefault="00ED67AE" w:rsidP="005A5ACB">
            <w:pPr>
              <w:rPr>
                <w:szCs w:val="22"/>
              </w:rPr>
            </w:pPr>
            <w:r w:rsidRPr="007E2511">
              <w:rPr>
                <w:szCs w:val="22"/>
              </w:rPr>
              <w:t>Naujų morfometrinių slankstelių lūžių dažnis</w:t>
            </w:r>
          </w:p>
        </w:tc>
        <w:tc>
          <w:tcPr>
            <w:tcW w:w="2520" w:type="dxa"/>
          </w:tcPr>
          <w:p w:rsidR="00ED67AE" w:rsidRPr="007E2511" w:rsidRDefault="00ED67AE" w:rsidP="005A5ACB">
            <w:pPr>
              <w:rPr>
                <w:szCs w:val="22"/>
              </w:rPr>
            </w:pPr>
            <w:r w:rsidRPr="007E2511">
              <w:rPr>
                <w:szCs w:val="22"/>
              </w:rPr>
              <w:t xml:space="preserve">12,54% (9,53, 15,55) </w:t>
            </w:r>
          </w:p>
        </w:tc>
        <w:tc>
          <w:tcPr>
            <w:tcW w:w="2880" w:type="dxa"/>
          </w:tcPr>
          <w:p w:rsidR="00ED67AE" w:rsidRPr="007E2511" w:rsidRDefault="00ED67AE" w:rsidP="005A5ACB">
            <w:pPr>
              <w:rPr>
                <w:szCs w:val="22"/>
              </w:rPr>
            </w:pPr>
            <w:r w:rsidRPr="007E2511">
              <w:rPr>
                <w:szCs w:val="22"/>
              </w:rPr>
              <w:t xml:space="preserve">5,36% (3,31, 7,41) </w:t>
            </w:r>
          </w:p>
        </w:tc>
      </w:tr>
      <w:tr w:rsidR="00ED67AE" w:rsidRPr="007E2511" w:rsidTr="005A5ACB">
        <w:tc>
          <w:tcPr>
            <w:tcW w:w="3600" w:type="dxa"/>
          </w:tcPr>
          <w:p w:rsidR="00ED67AE" w:rsidRPr="007E2511" w:rsidRDefault="00ED67AE" w:rsidP="005A5ACB">
            <w:pPr>
              <w:rPr>
                <w:szCs w:val="22"/>
              </w:rPr>
            </w:pPr>
            <w:r w:rsidRPr="007E2511">
              <w:rPr>
                <w:szCs w:val="22"/>
              </w:rPr>
              <w:t>Sumažėjusi simptominių slankstelių lūžių santykinė rizika</w:t>
            </w:r>
          </w:p>
        </w:tc>
        <w:tc>
          <w:tcPr>
            <w:tcW w:w="2520" w:type="dxa"/>
          </w:tcPr>
          <w:p w:rsidR="00ED67AE" w:rsidRPr="007E2511" w:rsidRDefault="00ED67AE" w:rsidP="005A5ACB">
            <w:pPr>
              <w:rPr>
                <w:szCs w:val="22"/>
              </w:rPr>
            </w:pPr>
          </w:p>
        </w:tc>
        <w:tc>
          <w:tcPr>
            <w:tcW w:w="2880" w:type="dxa"/>
          </w:tcPr>
          <w:p w:rsidR="00ED67AE" w:rsidRPr="007E2511" w:rsidRDefault="00ED67AE" w:rsidP="005A5ACB">
            <w:pPr>
              <w:rPr>
                <w:szCs w:val="22"/>
              </w:rPr>
            </w:pPr>
            <w:r w:rsidRPr="007E2511">
              <w:rPr>
                <w:szCs w:val="22"/>
              </w:rPr>
              <w:t>50% (9.49, 71,91)</w:t>
            </w:r>
          </w:p>
        </w:tc>
      </w:tr>
      <w:tr w:rsidR="00ED67AE" w:rsidRPr="007E2511" w:rsidTr="005A5ACB">
        <w:tc>
          <w:tcPr>
            <w:tcW w:w="3600" w:type="dxa"/>
          </w:tcPr>
          <w:p w:rsidR="00ED67AE" w:rsidRPr="007E2511" w:rsidRDefault="00ED67AE" w:rsidP="005A5ACB">
            <w:pPr>
              <w:rPr>
                <w:szCs w:val="22"/>
              </w:rPr>
            </w:pPr>
            <w:r w:rsidRPr="007E2511">
              <w:rPr>
                <w:szCs w:val="22"/>
              </w:rPr>
              <w:t>Simptominių slankstelinių lūžių dažnis</w:t>
            </w:r>
          </w:p>
        </w:tc>
        <w:tc>
          <w:tcPr>
            <w:tcW w:w="2520" w:type="dxa"/>
          </w:tcPr>
          <w:p w:rsidR="00ED67AE" w:rsidRPr="007E2511" w:rsidRDefault="00ED67AE" w:rsidP="005A5ACB">
            <w:pPr>
              <w:rPr>
                <w:szCs w:val="22"/>
              </w:rPr>
            </w:pPr>
            <w:r w:rsidRPr="007E2511">
              <w:rPr>
                <w:szCs w:val="22"/>
              </w:rPr>
              <w:t xml:space="preserve">6,97% (4,67, 9,27) </w:t>
            </w:r>
          </w:p>
        </w:tc>
        <w:tc>
          <w:tcPr>
            <w:tcW w:w="2880" w:type="dxa"/>
          </w:tcPr>
          <w:p w:rsidR="00ED67AE" w:rsidRPr="007E2511" w:rsidRDefault="00ED67AE" w:rsidP="005A5ACB">
            <w:pPr>
              <w:rPr>
                <w:szCs w:val="22"/>
              </w:rPr>
            </w:pPr>
            <w:r w:rsidRPr="007E2511">
              <w:rPr>
                <w:szCs w:val="22"/>
              </w:rPr>
              <w:t xml:space="preserve">3,57% (1,89, 5,24) </w:t>
            </w:r>
          </w:p>
        </w:tc>
      </w:tr>
      <w:tr w:rsidR="00ED67AE" w:rsidRPr="007E2511" w:rsidTr="005A5ACB">
        <w:tc>
          <w:tcPr>
            <w:tcW w:w="3600" w:type="dxa"/>
          </w:tcPr>
          <w:p w:rsidR="00ED67AE" w:rsidRPr="007E2511" w:rsidRDefault="00ED67AE" w:rsidP="005A5ACB">
            <w:pPr>
              <w:rPr>
                <w:szCs w:val="22"/>
                <w:lang w:val="fr-FR"/>
              </w:rPr>
            </w:pPr>
            <w:r w:rsidRPr="00A93783">
              <w:rPr>
                <w:szCs w:val="22"/>
                <w:lang w:val="nb-NO"/>
              </w:rPr>
              <w:t xml:space="preserve">KMT – vidutinis juosmeninių slankstelių </w:t>
            </w:r>
            <w:smartTag w:uri="schemas-tilde-lt/tildestengine" w:element="templates">
              <w:smartTagPr>
                <w:attr w:name="baseform" w:val="pokyt|is"/>
                <w:attr w:name="id" w:val="-1"/>
                <w:attr w:name="text" w:val="pokytis"/>
              </w:smartTagPr>
              <w:r w:rsidRPr="00A93783">
                <w:rPr>
                  <w:szCs w:val="22"/>
                  <w:lang w:val="nb-NO"/>
                </w:rPr>
                <w:t>pokytis</w:t>
              </w:r>
            </w:smartTag>
            <w:r w:rsidRPr="00A93783">
              <w:rPr>
                <w:szCs w:val="22"/>
                <w:lang w:val="nb-NO"/>
              </w:rPr>
              <w:t xml:space="preserve"> per 3 metus lyginant su pradine verte</w:t>
            </w:r>
          </w:p>
        </w:tc>
        <w:tc>
          <w:tcPr>
            <w:tcW w:w="2520" w:type="dxa"/>
          </w:tcPr>
          <w:p w:rsidR="00ED67AE" w:rsidRPr="007E2511" w:rsidRDefault="00ED67AE" w:rsidP="005A5ACB">
            <w:pPr>
              <w:rPr>
                <w:szCs w:val="22"/>
              </w:rPr>
            </w:pPr>
            <w:r w:rsidRPr="007E2511">
              <w:rPr>
                <w:szCs w:val="22"/>
              </w:rPr>
              <w:t xml:space="preserve">1,13% (0,6, 1,7) </w:t>
            </w:r>
          </w:p>
        </w:tc>
        <w:tc>
          <w:tcPr>
            <w:tcW w:w="2880" w:type="dxa"/>
          </w:tcPr>
          <w:p w:rsidR="00ED67AE" w:rsidRPr="007E2511" w:rsidRDefault="00ED67AE" w:rsidP="005A5ACB">
            <w:pPr>
              <w:rPr>
                <w:szCs w:val="22"/>
              </w:rPr>
            </w:pPr>
            <w:r w:rsidRPr="007E2511">
              <w:rPr>
                <w:szCs w:val="22"/>
              </w:rPr>
              <w:t xml:space="preserve">7,01% (6,5, 7,6) </w:t>
            </w:r>
          </w:p>
        </w:tc>
      </w:tr>
      <w:tr w:rsidR="00ED67AE" w:rsidRPr="007E2511" w:rsidTr="005A5ACB">
        <w:tc>
          <w:tcPr>
            <w:tcW w:w="3600" w:type="dxa"/>
          </w:tcPr>
          <w:p w:rsidR="00ED67AE" w:rsidRPr="007E2511" w:rsidRDefault="00ED67AE" w:rsidP="005A5ACB">
            <w:pPr>
              <w:rPr>
                <w:szCs w:val="22"/>
                <w:lang w:val="fr-FR"/>
              </w:rPr>
            </w:pPr>
            <w:r w:rsidRPr="00A93783">
              <w:rPr>
                <w:szCs w:val="22"/>
                <w:lang w:val="nb-NO"/>
              </w:rPr>
              <w:t xml:space="preserve">KMT – vidutinis bendras klubo kaulų </w:t>
            </w:r>
            <w:smartTag w:uri="schemas-tilde-lt/tildestengine" w:element="templates">
              <w:smartTagPr>
                <w:attr w:name="baseform" w:val="pokyt|is"/>
                <w:attr w:name="id" w:val="-1"/>
                <w:attr w:name="text" w:val="pokytis"/>
              </w:smartTagPr>
              <w:r w:rsidRPr="00A93783">
                <w:rPr>
                  <w:szCs w:val="22"/>
                  <w:lang w:val="nb-NO"/>
                </w:rPr>
                <w:t>pokytis</w:t>
              </w:r>
            </w:smartTag>
            <w:r w:rsidRPr="00A93783">
              <w:rPr>
                <w:szCs w:val="22"/>
                <w:lang w:val="nb-NO"/>
              </w:rPr>
              <w:t xml:space="preserve"> per 3 metus lyginant su pradine verte</w:t>
            </w:r>
          </w:p>
        </w:tc>
        <w:tc>
          <w:tcPr>
            <w:tcW w:w="2520" w:type="dxa"/>
          </w:tcPr>
          <w:p w:rsidR="00ED67AE" w:rsidRPr="007E2511" w:rsidRDefault="00ED67AE" w:rsidP="005A5ACB">
            <w:pPr>
              <w:rPr>
                <w:szCs w:val="22"/>
              </w:rPr>
            </w:pPr>
            <w:r w:rsidRPr="007E2511">
              <w:rPr>
                <w:szCs w:val="22"/>
              </w:rPr>
              <w:t xml:space="preserve">-0,7% (-1,1, -0,2) </w:t>
            </w:r>
          </w:p>
        </w:tc>
        <w:tc>
          <w:tcPr>
            <w:tcW w:w="2880" w:type="dxa"/>
          </w:tcPr>
          <w:p w:rsidR="00ED67AE" w:rsidRPr="007E2511" w:rsidRDefault="00ED67AE" w:rsidP="005A5ACB">
            <w:pPr>
              <w:rPr>
                <w:szCs w:val="22"/>
              </w:rPr>
            </w:pPr>
            <w:r w:rsidRPr="007E2511">
              <w:rPr>
                <w:szCs w:val="22"/>
              </w:rPr>
              <w:t xml:space="preserve">3,59% (3,1, 4,1) </w:t>
            </w:r>
          </w:p>
        </w:tc>
      </w:tr>
    </w:tbl>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Visoje MF4411 tyrimo pacientų populiacijoje neslankstelinių lūžių dažnis nesumažėjo, tačiau kasdien vartojamas ibandronatas buvo efektyvus didelės rizikos subpopuliacijoje (šlaunikaulio kaklelio KMT T lygmuo mažesnis kaip -3), kurioje neslankstelinių lūžių rizika sumažėjo 69 %.</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Kasdien vartojant 2</w:t>
      </w:r>
      <w:proofErr w:type="gramStart"/>
      <w:r w:rsidRPr="007E2511">
        <w:rPr>
          <w:color w:val="000000"/>
          <w:spacing w:val="-3"/>
          <w:szCs w:val="22"/>
        </w:rPr>
        <w:t>,5</w:t>
      </w:r>
      <w:proofErr w:type="gramEnd"/>
      <w:r w:rsidRPr="007E2511">
        <w:rPr>
          <w:color w:val="000000"/>
          <w:spacing w:val="-3"/>
          <w:szCs w:val="22"/>
        </w:rPr>
        <w:t xml:space="preserve"> mg vaisto, nuolat didėjo stuburo slankstelių ir kitų kaulų KMT.</w:t>
      </w:r>
      <w:r w:rsidRPr="007E2511">
        <w:rPr>
          <w:szCs w:val="22"/>
        </w:rPr>
        <w:t xml:space="preserve"> </w:t>
      </w:r>
    </w:p>
    <w:p w:rsidR="00ED67AE" w:rsidRPr="007E2511" w:rsidRDefault="00ED67AE" w:rsidP="00ED67AE">
      <w:pPr>
        <w:rPr>
          <w:szCs w:val="22"/>
        </w:rPr>
      </w:pPr>
    </w:p>
    <w:p w:rsidR="00ED67AE" w:rsidRPr="007E2511" w:rsidRDefault="00ED67AE" w:rsidP="00ED67AE">
      <w:pPr>
        <w:rPr>
          <w:szCs w:val="22"/>
        </w:rPr>
      </w:pPr>
      <w:r w:rsidRPr="007E2511">
        <w:rPr>
          <w:color w:val="000000"/>
          <w:spacing w:val="-3"/>
          <w:szCs w:val="22"/>
        </w:rPr>
        <w:t>Per trejus metus juosmeninių slankstelių KMT padidėjo 5</w:t>
      </w:r>
      <w:proofErr w:type="gramStart"/>
      <w:r w:rsidRPr="007E2511">
        <w:rPr>
          <w:color w:val="000000"/>
          <w:spacing w:val="-3"/>
          <w:szCs w:val="22"/>
        </w:rPr>
        <w:t>,3</w:t>
      </w:r>
      <w:proofErr w:type="gramEnd"/>
      <w:r w:rsidRPr="007E2511">
        <w:rPr>
          <w:color w:val="000000"/>
          <w:spacing w:val="-3"/>
          <w:szCs w:val="22"/>
        </w:rPr>
        <w:t>% lyginant su placebo gavusiųjų grupe ir 6,5 % lyginant su pradine verte.</w:t>
      </w:r>
      <w:r w:rsidRPr="007E2511">
        <w:rPr>
          <w:szCs w:val="22"/>
        </w:rPr>
        <w:t xml:space="preserve"> </w:t>
      </w:r>
      <w:r w:rsidRPr="007E2511">
        <w:rPr>
          <w:color w:val="000000"/>
          <w:spacing w:val="-3"/>
          <w:szCs w:val="22"/>
        </w:rPr>
        <w:t xml:space="preserve">Klubo kaulų </w:t>
      </w:r>
      <w:smartTag w:uri="schemas-tilde-lt/tildestengine" w:element="templates">
        <w:smartTagPr>
          <w:attr w:name="baseform" w:val="pokyt|is"/>
          <w:attr w:name="id" w:val="-1"/>
          <w:attr w:name="text" w:val="pokytis"/>
        </w:smartTagPr>
        <w:r w:rsidRPr="007E2511">
          <w:rPr>
            <w:color w:val="000000"/>
            <w:spacing w:val="-3"/>
            <w:szCs w:val="22"/>
          </w:rPr>
          <w:t>pokytis</w:t>
        </w:r>
      </w:smartTag>
      <w:r w:rsidRPr="007E2511">
        <w:rPr>
          <w:color w:val="000000"/>
          <w:spacing w:val="-3"/>
          <w:szCs w:val="22"/>
        </w:rPr>
        <w:t>, lyginant su pradine verte, buvo toks: 2</w:t>
      </w:r>
      <w:proofErr w:type="gramStart"/>
      <w:r w:rsidRPr="007E2511">
        <w:rPr>
          <w:color w:val="000000"/>
          <w:spacing w:val="-3"/>
          <w:szCs w:val="22"/>
        </w:rPr>
        <w:t>,8</w:t>
      </w:r>
      <w:proofErr w:type="gramEnd"/>
      <w:r w:rsidRPr="007E2511">
        <w:rPr>
          <w:color w:val="000000"/>
          <w:spacing w:val="-3"/>
          <w:szCs w:val="22"/>
        </w:rPr>
        <w:t> % –šlaunikaulio kaklelio, 3,4% – bendras klubo kaulų ir 5,5% – gumburo srities.</w:t>
      </w:r>
      <w:r w:rsidRPr="007E2511">
        <w:rPr>
          <w:szCs w:val="22"/>
        </w:rPr>
        <w:t xml:space="preserve"> </w:t>
      </w:r>
    </w:p>
    <w:p w:rsidR="00ED67AE" w:rsidRPr="007E2511" w:rsidRDefault="00ED67AE" w:rsidP="00ED67AE">
      <w:pPr>
        <w:rPr>
          <w:szCs w:val="22"/>
        </w:rPr>
      </w:pPr>
      <w:r w:rsidRPr="007E2511">
        <w:rPr>
          <w:color w:val="000000"/>
          <w:spacing w:val="-3"/>
          <w:szCs w:val="22"/>
        </w:rPr>
        <w:t xml:space="preserve">Kaip tikėtasi, biocheminiai kaulų apykaitos žymenys (pavyzdžiui, šlapimo CTX ir serumo osteokalcinas) rodė sulėtėjusią apykaitą iki lygio, buvusio prieš menopauzę, </w:t>
      </w:r>
      <w:proofErr w:type="gramStart"/>
      <w:r w:rsidRPr="007E2511">
        <w:rPr>
          <w:color w:val="000000"/>
          <w:spacing w:val="-3"/>
          <w:szCs w:val="22"/>
        </w:rPr>
        <w:t>ir</w:t>
      </w:r>
      <w:proofErr w:type="gramEnd"/>
      <w:r w:rsidRPr="007E2511">
        <w:rPr>
          <w:color w:val="000000"/>
          <w:spacing w:val="-3"/>
          <w:szCs w:val="22"/>
        </w:rPr>
        <w:t xml:space="preserve"> stipriausias veikimas </w:t>
      </w:r>
      <w:r w:rsidRPr="007E2511">
        <w:rPr>
          <w:color w:val="000000"/>
          <w:spacing w:val="-4"/>
          <w:szCs w:val="22"/>
        </w:rPr>
        <w:t>pasiektas per 3–6 mėnesius.</w:t>
      </w:r>
      <w:r w:rsidRPr="007E2511">
        <w:rPr>
          <w:szCs w:val="22"/>
        </w:rPr>
        <w:t xml:space="preserve"> </w:t>
      </w:r>
    </w:p>
    <w:p w:rsidR="00ED67AE" w:rsidRPr="007E2511" w:rsidRDefault="00ED67AE" w:rsidP="00ED67AE">
      <w:pPr>
        <w:rPr>
          <w:szCs w:val="22"/>
        </w:rPr>
      </w:pPr>
      <w:r w:rsidRPr="007E2511">
        <w:rPr>
          <w:color w:val="000000"/>
          <w:spacing w:val="-3"/>
          <w:szCs w:val="22"/>
        </w:rPr>
        <w:t xml:space="preserve">Kliniškai reikšmingai 50% sumažėjo biocheminių kaulų rezorbcijos žymenų praėjus vienam mėnesiui </w:t>
      </w:r>
      <w:r w:rsidRPr="007E2511">
        <w:rPr>
          <w:color w:val="000000"/>
          <w:spacing w:val="-4"/>
          <w:szCs w:val="22"/>
        </w:rPr>
        <w:t>nuo gydymo ibandrono rūgštimi 2</w:t>
      </w:r>
      <w:proofErr w:type="gramStart"/>
      <w:r w:rsidRPr="007E2511">
        <w:rPr>
          <w:color w:val="000000"/>
          <w:spacing w:val="-4"/>
          <w:szCs w:val="22"/>
        </w:rPr>
        <w:t>,5</w:t>
      </w:r>
      <w:proofErr w:type="gramEnd"/>
      <w:r w:rsidRPr="007E2511">
        <w:rPr>
          <w:color w:val="000000"/>
          <w:spacing w:val="-4"/>
          <w:szCs w:val="22"/>
        </w:rPr>
        <w:t xml:space="preserve"> mg pradžios.</w:t>
      </w:r>
      <w:r w:rsidRPr="007E2511">
        <w:rPr>
          <w:szCs w:val="22"/>
        </w:rPr>
        <w:t xml:space="preserve"> </w:t>
      </w:r>
    </w:p>
    <w:p w:rsidR="00ED67AE" w:rsidRPr="007E2511" w:rsidRDefault="00ED67AE" w:rsidP="00ED67AE">
      <w:pPr>
        <w:rPr>
          <w:szCs w:val="22"/>
        </w:rPr>
      </w:pPr>
      <w:r w:rsidRPr="007E2511">
        <w:rPr>
          <w:color w:val="000000"/>
          <w:spacing w:val="-3"/>
          <w:szCs w:val="22"/>
        </w:rPr>
        <w:t xml:space="preserve">Nutraukus gydymą, kaulų reabsorbcija vėl padidėjo iki prieš gydymą buvusio patologiškai </w:t>
      </w:r>
      <w:r w:rsidRPr="007E2511">
        <w:rPr>
          <w:color w:val="000000"/>
          <w:spacing w:val="-4"/>
          <w:szCs w:val="22"/>
        </w:rPr>
        <w:t>suintensyvėjusio lygio, susijusio su osteoporoze po menopauzės.</w:t>
      </w:r>
      <w:r w:rsidRPr="007E2511">
        <w:rPr>
          <w:szCs w:val="22"/>
        </w:rPr>
        <w:t xml:space="preserve"> </w:t>
      </w:r>
    </w:p>
    <w:p w:rsidR="00ED67AE" w:rsidRPr="007E2511" w:rsidRDefault="00ED67AE" w:rsidP="00ED67AE">
      <w:pPr>
        <w:numPr>
          <w:ilvl w:val="12"/>
          <w:numId w:val="0"/>
        </w:numPr>
        <w:ind w:right="-2"/>
        <w:rPr>
          <w:szCs w:val="22"/>
        </w:rPr>
      </w:pPr>
      <w:r w:rsidRPr="007E2511">
        <w:rPr>
          <w:color w:val="000000"/>
          <w:spacing w:val="-3"/>
          <w:szCs w:val="22"/>
        </w:rPr>
        <w:t>Atliekant histologinius moterų po menopauzės, kurios buvo gydytos dvejus ir trejus metus, kaulų biopsijų tyrimus, nustatyta, kad kaulinis audinys yra normalus, be mineralizacijos defektų.</w:t>
      </w:r>
    </w:p>
    <w:p w:rsidR="00ED67AE" w:rsidRDefault="00ED67AE" w:rsidP="00ED67AE">
      <w:pPr>
        <w:rPr>
          <w:b/>
          <w:szCs w:val="22"/>
        </w:rPr>
      </w:pPr>
    </w:p>
    <w:p w:rsidR="00ED67AE" w:rsidRPr="00077F56" w:rsidRDefault="00ED67AE" w:rsidP="00ED67AE">
      <w:pPr>
        <w:rPr>
          <w:i/>
        </w:rPr>
      </w:pPr>
      <w:r w:rsidRPr="00077F56">
        <w:rPr>
          <w:i/>
        </w:rPr>
        <w:t>Vaikų populiacija</w:t>
      </w:r>
    </w:p>
    <w:p w:rsidR="00ED67AE" w:rsidRPr="00077F56" w:rsidRDefault="00ED67AE" w:rsidP="00ED67AE">
      <w:r w:rsidRPr="00077F56">
        <w:t>Ibandrono rūgšties vartojimo saugumas ir veiksmingumas vaikams ir paaugliams, jaunesniems kaip 18 metų, nenustatytas. Neturima duomenų.</w:t>
      </w:r>
    </w:p>
    <w:p w:rsidR="00ED67AE" w:rsidRPr="00077F56" w:rsidRDefault="00ED67AE" w:rsidP="00ED67AE">
      <w:pPr>
        <w:rPr>
          <w:b/>
          <w:szCs w:val="22"/>
        </w:rPr>
      </w:pPr>
    </w:p>
    <w:p w:rsidR="00ED67AE" w:rsidRPr="00CD6267" w:rsidRDefault="00ED67AE" w:rsidP="00ED67AE">
      <w:pPr>
        <w:rPr>
          <w:szCs w:val="22"/>
          <w:lang w:val="lt-LT"/>
        </w:rPr>
      </w:pPr>
      <w:r w:rsidRPr="00CD6267">
        <w:rPr>
          <w:b/>
          <w:szCs w:val="22"/>
          <w:lang w:val="lt-LT"/>
        </w:rPr>
        <w:t>5.2</w:t>
      </w:r>
      <w:r w:rsidRPr="00CD6267">
        <w:rPr>
          <w:b/>
          <w:szCs w:val="22"/>
          <w:lang w:val="lt-LT"/>
        </w:rPr>
        <w:tab/>
        <w:t>Farmakokinetinės savybės</w:t>
      </w:r>
    </w:p>
    <w:p w:rsidR="00ED67AE" w:rsidRDefault="00ED67AE" w:rsidP="00ED67AE">
      <w:pPr>
        <w:rPr>
          <w:b/>
          <w:szCs w:val="22"/>
          <w:lang w:val="lt-LT"/>
        </w:rPr>
      </w:pPr>
    </w:p>
    <w:p w:rsidR="00ED67AE" w:rsidRPr="00A93783" w:rsidRDefault="00ED67AE" w:rsidP="00ED67AE">
      <w:pPr>
        <w:rPr>
          <w:szCs w:val="22"/>
          <w:lang w:val="lt-LT"/>
        </w:rPr>
      </w:pPr>
      <w:r w:rsidRPr="00A93783">
        <w:rPr>
          <w:color w:val="000000"/>
          <w:spacing w:val="-3"/>
          <w:szCs w:val="22"/>
          <w:lang w:val="lt-LT"/>
        </w:rPr>
        <w:t>Įvairių gyvūnų ir žmonių tyrimų duomenimis, pirminis farmakologinis ibandrono rūgšties poveikis kauliniam audiniui nėra tiesiogiai proporcingas koncentracijai plazmoje.</w:t>
      </w:r>
      <w:r w:rsidRPr="00A93783">
        <w:rPr>
          <w:szCs w:val="22"/>
          <w:lang w:val="lt-LT"/>
        </w:rPr>
        <w:t xml:space="preserve"> </w:t>
      </w:r>
    </w:p>
    <w:p w:rsidR="00ED67AE" w:rsidRPr="00A93783" w:rsidRDefault="00ED67AE" w:rsidP="00ED67AE">
      <w:pPr>
        <w:rPr>
          <w:i/>
          <w:szCs w:val="22"/>
          <w:lang w:val="lt-LT"/>
        </w:rPr>
      </w:pPr>
    </w:p>
    <w:p w:rsidR="00ED67AE" w:rsidRPr="00A93783" w:rsidRDefault="00ED67AE" w:rsidP="00ED67AE">
      <w:pPr>
        <w:rPr>
          <w:szCs w:val="22"/>
          <w:lang w:val="lt-LT"/>
        </w:rPr>
      </w:pPr>
      <w:r w:rsidRPr="00A93783">
        <w:rPr>
          <w:i/>
          <w:szCs w:val="22"/>
          <w:lang w:val="lt-LT"/>
        </w:rPr>
        <w:t xml:space="preserve">Absorbcija </w:t>
      </w:r>
    </w:p>
    <w:p w:rsidR="00ED67AE" w:rsidRPr="00A93783" w:rsidRDefault="00ED67AE" w:rsidP="00ED67AE">
      <w:pPr>
        <w:rPr>
          <w:szCs w:val="22"/>
          <w:lang w:val="lt-LT"/>
        </w:rPr>
      </w:pPr>
      <w:r w:rsidRPr="00A93783">
        <w:rPr>
          <w:color w:val="000000"/>
          <w:spacing w:val="-3"/>
          <w:szCs w:val="22"/>
          <w:lang w:val="lt-LT"/>
        </w:rPr>
        <w:t>Išgerta ibandrono rūgštis greitai absorbuojama viršutinėje virškinimo trakto dalyje ir koncentracija plazmoje didėja proporcingai dozei, jei ši yra iki 50 mg, jei dozė didesnė – koncentracija padidėja labiau, nei būtų proporcinga dozei.</w:t>
      </w:r>
      <w:r w:rsidRPr="00A93783">
        <w:rPr>
          <w:szCs w:val="22"/>
          <w:lang w:val="lt-LT"/>
        </w:rPr>
        <w:t xml:space="preserve"> </w:t>
      </w:r>
      <w:r w:rsidRPr="00A93783">
        <w:rPr>
          <w:color w:val="000000"/>
          <w:spacing w:val="-3"/>
          <w:szCs w:val="22"/>
          <w:lang w:val="lt-LT"/>
        </w:rPr>
        <w:t>Didžiausia koncentracija plazmoje pasiekiama per 0,5–2 valandas (vidutiniškai per 1 valandą), jei pacientas nevalgęs, absoliutus biologinis prieinamumas yra maždaug 0,6 %.</w:t>
      </w:r>
      <w:r w:rsidRPr="00A93783">
        <w:rPr>
          <w:szCs w:val="22"/>
          <w:lang w:val="lt-LT"/>
        </w:rPr>
        <w:t xml:space="preserve"> </w:t>
      </w:r>
      <w:r w:rsidRPr="00A93783">
        <w:rPr>
          <w:color w:val="000000"/>
          <w:spacing w:val="-3"/>
          <w:szCs w:val="22"/>
          <w:lang w:val="lt-LT"/>
        </w:rPr>
        <w:t>Absorbcija blogėja, jei vaisto vartojama kartu su maistu ar gėrimais (išskyrus paprastą vandenį).</w:t>
      </w:r>
      <w:r w:rsidRPr="00A93783">
        <w:rPr>
          <w:szCs w:val="22"/>
          <w:lang w:val="lt-LT"/>
        </w:rPr>
        <w:t xml:space="preserve"> </w:t>
      </w:r>
      <w:r w:rsidRPr="00A93783">
        <w:rPr>
          <w:color w:val="000000"/>
          <w:spacing w:val="-3"/>
          <w:szCs w:val="22"/>
          <w:lang w:val="lt-LT"/>
        </w:rPr>
        <w:t>Ibandrono rūgšties, išgertos standartinių pusryčių metu, biologinis prieinamumas sumažėja beveik 90 % lyginant su biologiniu prieinamumu, kai vaisto vartojama nevalgius.</w:t>
      </w:r>
      <w:r w:rsidRPr="00A93783">
        <w:rPr>
          <w:szCs w:val="22"/>
          <w:lang w:val="lt-LT"/>
        </w:rPr>
        <w:t xml:space="preserve"> </w:t>
      </w:r>
      <w:r w:rsidRPr="00A93783">
        <w:rPr>
          <w:color w:val="000000"/>
          <w:spacing w:val="-3"/>
          <w:szCs w:val="22"/>
          <w:lang w:val="lt-LT"/>
        </w:rPr>
        <w:t>Biologinis prieinamumas reikšmingai nesumažėja, jei ibandrono rūgšties geriama 60 minučių prieš pirmąjį dienos valgį.</w:t>
      </w:r>
      <w:r w:rsidRPr="00A93783">
        <w:rPr>
          <w:szCs w:val="22"/>
          <w:lang w:val="lt-LT"/>
        </w:rPr>
        <w:t xml:space="preserve"> </w:t>
      </w:r>
      <w:r w:rsidRPr="00A93783">
        <w:rPr>
          <w:color w:val="000000"/>
          <w:spacing w:val="-3"/>
          <w:szCs w:val="22"/>
          <w:lang w:val="lt-LT"/>
        </w:rPr>
        <w:t xml:space="preserve">Biologinis prieinamumas mažėja, KMT didėja lėčiau, jeigu valgoma ar geriama nepraėjus </w:t>
      </w:r>
      <w:r w:rsidRPr="00A93783">
        <w:rPr>
          <w:color w:val="000000"/>
          <w:spacing w:val="-4"/>
          <w:szCs w:val="22"/>
          <w:lang w:val="lt-LT"/>
        </w:rPr>
        <w:t>60 minučių po ibandrono rūgšties vartojimo.</w:t>
      </w:r>
      <w:r w:rsidRPr="00A93783">
        <w:rPr>
          <w:szCs w:val="22"/>
          <w:lang w:val="lt-LT"/>
        </w:rPr>
        <w:t xml:space="preserve"> </w:t>
      </w:r>
    </w:p>
    <w:p w:rsidR="00ED67AE" w:rsidRPr="00A93783" w:rsidRDefault="00ED67AE" w:rsidP="00ED67AE">
      <w:pPr>
        <w:rPr>
          <w:i/>
          <w:szCs w:val="22"/>
          <w:lang w:val="lt-LT"/>
        </w:rPr>
      </w:pPr>
    </w:p>
    <w:p w:rsidR="00ED67AE" w:rsidRPr="00A93783" w:rsidRDefault="00ED67AE" w:rsidP="00ED67AE">
      <w:pPr>
        <w:rPr>
          <w:szCs w:val="22"/>
          <w:lang w:val="lt-LT"/>
        </w:rPr>
      </w:pPr>
      <w:r w:rsidRPr="00A93783">
        <w:rPr>
          <w:i/>
          <w:szCs w:val="22"/>
          <w:lang w:val="lt-LT"/>
        </w:rPr>
        <w:t>Pasiskirstymas</w:t>
      </w:r>
    </w:p>
    <w:p w:rsidR="00ED67AE" w:rsidRPr="00A93783" w:rsidRDefault="00ED67AE" w:rsidP="00ED67AE">
      <w:pPr>
        <w:rPr>
          <w:szCs w:val="22"/>
          <w:lang w:val="lt-LT"/>
        </w:rPr>
      </w:pPr>
      <w:r w:rsidRPr="00A93783">
        <w:rPr>
          <w:color w:val="000000"/>
          <w:spacing w:val="-3"/>
          <w:szCs w:val="22"/>
          <w:lang w:val="lt-LT"/>
        </w:rPr>
        <w:t>Iš pradžių patekusi į sisteminę kraujotaką ibandrono rūgštis greitai jungiasi su kauliniu audiniu arba išsiskiria su šlapimu.</w:t>
      </w:r>
      <w:r w:rsidRPr="00A93783">
        <w:rPr>
          <w:szCs w:val="22"/>
          <w:lang w:val="lt-LT"/>
        </w:rPr>
        <w:t xml:space="preserve"> </w:t>
      </w:r>
      <w:r w:rsidRPr="00A93783">
        <w:rPr>
          <w:color w:val="000000"/>
          <w:spacing w:val="-3"/>
          <w:szCs w:val="22"/>
          <w:lang w:val="lt-LT"/>
        </w:rPr>
        <w:t xml:space="preserve">Žmonėms nustatytas galutinis pasiskirstymo tūris yra mažiausiai </w:t>
      </w:r>
      <w:smartTag w:uri="urn:schemas-microsoft-com:office:smarttags" w:element="metricconverter">
        <w:smartTagPr>
          <w:attr w:name="ProductID" w:val="90 l"/>
        </w:smartTagPr>
        <w:r w:rsidRPr="00A93783">
          <w:rPr>
            <w:color w:val="000000"/>
            <w:spacing w:val="-3"/>
            <w:szCs w:val="22"/>
            <w:lang w:val="lt-LT"/>
          </w:rPr>
          <w:t>90 l</w:t>
        </w:r>
      </w:smartTag>
      <w:r w:rsidRPr="00A93783">
        <w:rPr>
          <w:color w:val="000000"/>
          <w:spacing w:val="-3"/>
          <w:szCs w:val="22"/>
          <w:lang w:val="lt-LT"/>
        </w:rPr>
        <w:t>, o į kaulus patenka 40–50 % cirkuliuojančios vaisto dozės.</w:t>
      </w:r>
      <w:r w:rsidRPr="00A93783">
        <w:rPr>
          <w:szCs w:val="22"/>
          <w:lang w:val="lt-LT"/>
        </w:rPr>
        <w:t xml:space="preserve"> </w:t>
      </w:r>
      <w:r w:rsidRPr="00A93783">
        <w:rPr>
          <w:color w:val="000000"/>
          <w:spacing w:val="-3"/>
          <w:szCs w:val="22"/>
          <w:lang w:val="lt-LT"/>
        </w:rPr>
        <w:t xml:space="preserve">Su žmogaus plazmos baltymais susijungia maždaug 85–87 % vaisto(nustatyta </w:t>
      </w:r>
      <w:r w:rsidRPr="00A93783">
        <w:rPr>
          <w:i/>
          <w:color w:val="000000"/>
          <w:spacing w:val="-3"/>
          <w:szCs w:val="22"/>
          <w:lang w:val="lt-LT"/>
        </w:rPr>
        <w:t>in vitro</w:t>
      </w:r>
      <w:r w:rsidRPr="00A93783">
        <w:rPr>
          <w:color w:val="000000"/>
          <w:spacing w:val="-3"/>
          <w:szCs w:val="22"/>
          <w:lang w:val="lt-LT"/>
        </w:rPr>
        <w:t xml:space="preserve">, kai susidaro gydomoji koncentracija), todėl sąveika su kitais </w:t>
      </w:r>
      <w:r w:rsidRPr="00A93783">
        <w:rPr>
          <w:color w:val="000000"/>
          <w:spacing w:val="-4"/>
          <w:szCs w:val="22"/>
          <w:lang w:val="lt-LT"/>
        </w:rPr>
        <w:t>vaistiniais preparatais dėl išstūmimo mažai tikėtina.</w:t>
      </w:r>
      <w:r w:rsidRPr="00A93783">
        <w:rPr>
          <w:szCs w:val="22"/>
          <w:lang w:val="lt-LT"/>
        </w:rPr>
        <w:t xml:space="preserve"> </w:t>
      </w:r>
    </w:p>
    <w:p w:rsidR="00ED67AE" w:rsidRPr="00A93783" w:rsidRDefault="00ED67AE" w:rsidP="00ED67AE">
      <w:pPr>
        <w:rPr>
          <w:i/>
          <w:szCs w:val="22"/>
          <w:lang w:val="lt-LT"/>
        </w:rPr>
      </w:pPr>
    </w:p>
    <w:p w:rsidR="00ED67AE" w:rsidRPr="00A93783" w:rsidRDefault="00ED67AE" w:rsidP="00ED67AE">
      <w:pPr>
        <w:rPr>
          <w:szCs w:val="22"/>
          <w:lang w:val="lt-LT"/>
        </w:rPr>
      </w:pPr>
      <w:r>
        <w:rPr>
          <w:i/>
          <w:szCs w:val="22"/>
          <w:lang w:val="lt-LT"/>
        </w:rPr>
        <w:t>Biotransformacija</w:t>
      </w:r>
    </w:p>
    <w:p w:rsidR="00ED67AE" w:rsidRPr="00A93783" w:rsidRDefault="00ED67AE" w:rsidP="00ED67AE">
      <w:pPr>
        <w:rPr>
          <w:szCs w:val="22"/>
          <w:lang w:val="lt-LT"/>
        </w:rPr>
      </w:pPr>
      <w:r w:rsidRPr="00A93783">
        <w:rPr>
          <w:color w:val="000000"/>
          <w:spacing w:val="-3"/>
          <w:szCs w:val="22"/>
          <w:lang w:val="lt-LT"/>
        </w:rPr>
        <w:t>Nėra duomenų, kad ibandrono rūgštis būtų metabolizuojama gyvūnų ar žmonių organizme.</w:t>
      </w:r>
      <w:r w:rsidRPr="00A93783">
        <w:rPr>
          <w:szCs w:val="22"/>
          <w:lang w:val="lt-LT"/>
        </w:rPr>
        <w:t xml:space="preserve"> </w:t>
      </w:r>
    </w:p>
    <w:p w:rsidR="00ED67AE" w:rsidRPr="00A93783" w:rsidRDefault="00ED67AE" w:rsidP="00ED67AE">
      <w:pPr>
        <w:rPr>
          <w:i/>
          <w:szCs w:val="22"/>
          <w:lang w:val="lt-LT"/>
        </w:rPr>
      </w:pPr>
    </w:p>
    <w:p w:rsidR="00ED67AE" w:rsidRPr="00A9381A" w:rsidRDefault="00ED67AE" w:rsidP="00ED67AE">
      <w:pPr>
        <w:rPr>
          <w:lang w:val="lt-LT"/>
        </w:rPr>
      </w:pPr>
      <w:r w:rsidRPr="00A9381A">
        <w:rPr>
          <w:i/>
          <w:lang w:val="lt-LT"/>
        </w:rPr>
        <w:t>Eliminacija</w:t>
      </w:r>
    </w:p>
    <w:p w:rsidR="00ED67AE" w:rsidRPr="00A9381A" w:rsidRDefault="00ED67AE" w:rsidP="00ED67AE">
      <w:pPr>
        <w:rPr>
          <w:lang w:val="lt-LT"/>
        </w:rPr>
      </w:pPr>
      <w:r w:rsidRPr="00A9381A">
        <w:rPr>
          <w:color w:val="000000"/>
          <w:spacing w:val="-3"/>
          <w:lang w:val="lt-LT"/>
        </w:rPr>
        <w:t>Dalis absorbuotos ibandrono rūgšties pasišalina iš kraujotakos ir pateka į kaulus (moterų po menopauzės organizme maždaug 40–50%), kita dalis nepakitusi pasišalina pro inkstus.</w:t>
      </w:r>
      <w:r w:rsidRPr="00A9381A">
        <w:rPr>
          <w:lang w:val="lt-LT"/>
        </w:rPr>
        <w:t xml:space="preserve"> </w:t>
      </w:r>
      <w:r w:rsidRPr="00A9381A">
        <w:rPr>
          <w:color w:val="000000"/>
          <w:spacing w:val="-3"/>
          <w:lang w:val="lt-LT"/>
        </w:rPr>
        <w:t xml:space="preserve">Neabsorbuota </w:t>
      </w:r>
      <w:r w:rsidRPr="00A9381A">
        <w:rPr>
          <w:color w:val="000000"/>
          <w:spacing w:val="-4"/>
          <w:lang w:val="lt-LT"/>
        </w:rPr>
        <w:t>ibandrono rūgštis nepakitusi pasišalina su išmatomis.</w:t>
      </w:r>
      <w:r w:rsidRPr="00A9381A">
        <w:rPr>
          <w:lang w:val="lt-LT"/>
        </w:rPr>
        <w:t xml:space="preserve"> </w:t>
      </w:r>
    </w:p>
    <w:p w:rsidR="00ED67AE" w:rsidRPr="00A9381A" w:rsidRDefault="00ED67AE" w:rsidP="00ED67AE">
      <w:pPr>
        <w:rPr>
          <w:lang w:val="lt-LT"/>
        </w:rPr>
      </w:pPr>
    </w:p>
    <w:p w:rsidR="00ED67AE" w:rsidRPr="00A9381A" w:rsidRDefault="00ED67AE" w:rsidP="00ED67AE">
      <w:pPr>
        <w:rPr>
          <w:lang w:val="lt-LT"/>
        </w:rPr>
      </w:pPr>
      <w:r w:rsidRPr="00A9381A">
        <w:rPr>
          <w:color w:val="000000"/>
          <w:spacing w:val="-3"/>
          <w:lang w:val="lt-LT"/>
        </w:rPr>
        <w:t>Nustatytų pusinės eliminacijos periodų reikšmių amplitudė buvo plati, dažniausiai nustatytas galutinis pusinės eliminacijos periodas truko 10 – 72 valandas.</w:t>
      </w:r>
      <w:r w:rsidRPr="00A9381A">
        <w:rPr>
          <w:lang w:val="lt-LT"/>
        </w:rPr>
        <w:t xml:space="preserve"> </w:t>
      </w:r>
      <w:r w:rsidRPr="00A9381A">
        <w:rPr>
          <w:color w:val="000000"/>
          <w:spacing w:val="-3"/>
          <w:lang w:val="lt-LT"/>
        </w:rPr>
        <w:t>Kadangi apskaičiuotos reikšmės dažniausiai yra tyrimo trukmės, vartotos dozės ir tyrimo metodo jautrumo funkcija, manoma, kad tikrasis galutinis pusinės eliminacijos periodas yra gerokai ilgesnis, taip pat, kaip ir kitų bisfosfonatų.</w:t>
      </w:r>
      <w:r w:rsidRPr="00A9381A">
        <w:rPr>
          <w:lang w:val="lt-LT"/>
        </w:rPr>
        <w:t xml:space="preserve"> </w:t>
      </w:r>
      <w:r w:rsidRPr="00A9381A">
        <w:rPr>
          <w:color w:val="000000"/>
          <w:spacing w:val="-3"/>
          <w:lang w:val="lt-LT"/>
        </w:rPr>
        <w:t xml:space="preserve">Ankstyvoji plazmos koncentracija mažėja greitai, vaisto suleidus į veną ar išgėrus iki 10% didžiausios vertės </w:t>
      </w:r>
      <w:r w:rsidRPr="00A9381A">
        <w:rPr>
          <w:color w:val="000000"/>
          <w:spacing w:val="-4"/>
          <w:lang w:val="lt-LT"/>
        </w:rPr>
        <w:t>sumažėja atitinkamai per 3 ir per 8 valandas.</w:t>
      </w:r>
      <w:r w:rsidRPr="00A9381A">
        <w:rPr>
          <w:lang w:val="lt-LT"/>
        </w:rPr>
        <w:t xml:space="preserve"> </w:t>
      </w:r>
    </w:p>
    <w:p w:rsidR="00ED67AE" w:rsidRPr="00A9381A" w:rsidRDefault="00ED67AE" w:rsidP="00ED67AE">
      <w:pPr>
        <w:rPr>
          <w:lang w:val="lt-LT"/>
        </w:rPr>
      </w:pPr>
      <w:r w:rsidRPr="00A9381A">
        <w:rPr>
          <w:color w:val="000000"/>
          <w:spacing w:val="-3"/>
          <w:lang w:val="lt-LT"/>
        </w:rPr>
        <w:t>Bendrasis ibandrono rūgšties klirensas yra mažas, vidutinė vertė svyruoja tarp 84–160 ml/min.</w:t>
      </w:r>
      <w:r w:rsidRPr="00A9381A">
        <w:rPr>
          <w:lang w:val="lt-LT"/>
        </w:rPr>
        <w:t xml:space="preserve"> </w:t>
      </w:r>
      <w:r w:rsidRPr="00A9381A">
        <w:rPr>
          <w:color w:val="000000"/>
          <w:spacing w:val="-3"/>
          <w:lang w:val="lt-LT"/>
        </w:rPr>
        <w:t>Inkstų klirensas (sveikų moterų po menopauzės apie 60 ml/min.) sudaro 50–60 % bendrojo klirenso ir yra susijęs su kreatinino klirensu.</w:t>
      </w:r>
      <w:r w:rsidRPr="00A9381A">
        <w:rPr>
          <w:lang w:val="lt-LT"/>
        </w:rPr>
        <w:t xml:space="preserve"> </w:t>
      </w:r>
      <w:r w:rsidRPr="00A9381A">
        <w:rPr>
          <w:color w:val="000000"/>
          <w:spacing w:val="-3"/>
          <w:lang w:val="lt-LT"/>
        </w:rPr>
        <w:t xml:space="preserve">Manoma, kad skirtumas tarp bendrojo ir inkstų klirenso atspindi vaisto </w:t>
      </w:r>
      <w:r w:rsidRPr="00A9381A">
        <w:rPr>
          <w:color w:val="000000"/>
          <w:spacing w:val="-4"/>
          <w:lang w:val="lt-LT"/>
        </w:rPr>
        <w:t>patekimą į kaulus.</w:t>
      </w:r>
      <w:r w:rsidRPr="00A9381A">
        <w:rPr>
          <w:lang w:val="lt-LT"/>
        </w:rPr>
        <w:t xml:space="preserve"> </w:t>
      </w:r>
    </w:p>
    <w:p w:rsidR="00ED67AE" w:rsidRPr="00A9381A" w:rsidRDefault="00ED67AE" w:rsidP="00ED67AE">
      <w:pPr>
        <w:rPr>
          <w:b/>
          <w:lang w:val="lt-LT"/>
        </w:rPr>
      </w:pPr>
    </w:p>
    <w:p w:rsidR="00ED67AE" w:rsidRPr="00A9381A" w:rsidRDefault="00ED67AE" w:rsidP="00ED67AE">
      <w:pPr>
        <w:rPr>
          <w:i/>
          <w:u w:val="single"/>
          <w:lang w:val="lt-LT"/>
        </w:rPr>
      </w:pPr>
      <w:r w:rsidRPr="00A9381A">
        <w:rPr>
          <w:color w:val="000000"/>
          <w:spacing w:val="-4"/>
          <w:u w:val="single"/>
          <w:lang w:val="lt-LT"/>
        </w:rPr>
        <w:t>Specialiųjų klinikinių situacijų farmakokinetika</w:t>
      </w:r>
    </w:p>
    <w:p w:rsidR="00ED67AE" w:rsidRPr="00A9381A" w:rsidRDefault="00ED67AE" w:rsidP="00ED67AE">
      <w:pPr>
        <w:rPr>
          <w:i/>
          <w:lang w:val="lt-LT"/>
        </w:rPr>
      </w:pPr>
    </w:p>
    <w:p w:rsidR="00ED67AE" w:rsidRPr="00A9381A" w:rsidRDefault="00ED67AE" w:rsidP="00ED67AE">
      <w:pPr>
        <w:rPr>
          <w:lang w:val="lt-LT"/>
        </w:rPr>
      </w:pPr>
      <w:r w:rsidRPr="00A9381A">
        <w:rPr>
          <w:i/>
          <w:lang w:val="lt-LT"/>
        </w:rPr>
        <w:t>Lytis</w:t>
      </w:r>
    </w:p>
    <w:p w:rsidR="00ED67AE" w:rsidRPr="00A9381A" w:rsidRDefault="00ED67AE" w:rsidP="00ED67AE">
      <w:pPr>
        <w:rPr>
          <w:lang w:val="lt-LT"/>
        </w:rPr>
      </w:pPr>
      <w:r w:rsidRPr="00A9381A">
        <w:rPr>
          <w:color w:val="000000"/>
          <w:spacing w:val="-3"/>
          <w:lang w:val="lt-LT"/>
        </w:rPr>
        <w:t>Moterų ir vyrų biologinis ibandrono rūgšties prieinamumas ir farmakokinetika yra panašūs.</w:t>
      </w:r>
      <w:r w:rsidRPr="00A9381A">
        <w:rPr>
          <w:lang w:val="lt-LT"/>
        </w:rPr>
        <w:t xml:space="preserve"> </w:t>
      </w:r>
    </w:p>
    <w:p w:rsidR="00ED67AE" w:rsidRPr="00A9381A" w:rsidRDefault="00ED67AE" w:rsidP="00ED67AE">
      <w:pPr>
        <w:rPr>
          <w:i/>
          <w:lang w:val="lt-LT"/>
        </w:rPr>
      </w:pPr>
    </w:p>
    <w:p w:rsidR="00ED67AE" w:rsidRPr="00A9381A" w:rsidRDefault="00ED67AE" w:rsidP="00ED67AE">
      <w:pPr>
        <w:rPr>
          <w:lang w:val="lt-LT"/>
        </w:rPr>
      </w:pPr>
      <w:r w:rsidRPr="00A9381A">
        <w:rPr>
          <w:i/>
          <w:lang w:val="lt-LT"/>
        </w:rPr>
        <w:t>Rasė</w:t>
      </w:r>
    </w:p>
    <w:p w:rsidR="00ED67AE" w:rsidRPr="00A9381A" w:rsidRDefault="00ED67AE" w:rsidP="00ED67AE">
      <w:pPr>
        <w:rPr>
          <w:lang w:val="lt-LT"/>
        </w:rPr>
      </w:pPr>
      <w:r w:rsidRPr="00A9381A">
        <w:rPr>
          <w:color w:val="000000"/>
          <w:spacing w:val="-3"/>
          <w:lang w:val="lt-LT"/>
        </w:rPr>
        <w:t>Nėra duomenų apie kliniškai svarbius etninius mongolidų ir europidų rasės ibandrono rūgšties kinetikos skirtumus.</w:t>
      </w:r>
      <w:r w:rsidRPr="00A9381A">
        <w:rPr>
          <w:lang w:val="lt-LT"/>
        </w:rPr>
        <w:t xml:space="preserve"> </w:t>
      </w:r>
      <w:r w:rsidRPr="00A9381A">
        <w:rPr>
          <w:color w:val="000000"/>
          <w:spacing w:val="-3"/>
          <w:lang w:val="lt-LT"/>
        </w:rPr>
        <w:t>Apie negridų rasės pacientus turima labai nedaug duomenų.</w:t>
      </w:r>
      <w:r w:rsidRPr="00A9381A">
        <w:rPr>
          <w:lang w:val="lt-LT"/>
        </w:rPr>
        <w:t xml:space="preserve"> </w:t>
      </w:r>
    </w:p>
    <w:p w:rsidR="00ED67AE" w:rsidRPr="00A9381A" w:rsidRDefault="00ED67AE" w:rsidP="00ED67AE">
      <w:pPr>
        <w:rPr>
          <w:i/>
          <w:lang w:val="lt-LT"/>
        </w:rPr>
      </w:pPr>
    </w:p>
    <w:p w:rsidR="00ED67AE" w:rsidRPr="00A9381A" w:rsidRDefault="00ED67AE" w:rsidP="00ED67AE">
      <w:pPr>
        <w:rPr>
          <w:lang w:val="lt-LT"/>
        </w:rPr>
      </w:pPr>
      <w:r w:rsidRPr="00A9381A">
        <w:rPr>
          <w:i/>
          <w:lang w:val="lt-LT"/>
        </w:rPr>
        <w:t xml:space="preserve">Pacientai, kurių sutrikusi inkstų funkcija </w:t>
      </w:r>
    </w:p>
    <w:p w:rsidR="00ED67AE" w:rsidRPr="00A9381A" w:rsidRDefault="00ED67AE" w:rsidP="00ED67AE">
      <w:pPr>
        <w:rPr>
          <w:lang w:val="lt-LT"/>
        </w:rPr>
      </w:pPr>
      <w:r w:rsidRPr="00A9381A">
        <w:rPr>
          <w:color w:val="000000"/>
          <w:spacing w:val="-3"/>
          <w:lang w:val="lt-LT"/>
        </w:rPr>
        <w:t xml:space="preserve">Ibandrono rūgšties inkstų klirensas pacientams, kuriems yra įvairaus laipsnio inkstų pažeidimas, yra </w:t>
      </w:r>
      <w:r w:rsidRPr="00A9381A">
        <w:rPr>
          <w:color w:val="000000"/>
          <w:spacing w:val="-4"/>
          <w:lang w:val="lt-LT"/>
        </w:rPr>
        <w:t>tiesiogiai proporcingas kreatinino klirensui (KK).</w:t>
      </w:r>
      <w:r w:rsidRPr="00A9381A">
        <w:rPr>
          <w:lang w:val="lt-LT"/>
        </w:rPr>
        <w:t xml:space="preserve"> </w:t>
      </w:r>
    </w:p>
    <w:p w:rsidR="00ED67AE" w:rsidRPr="00A9381A" w:rsidRDefault="00ED67AE" w:rsidP="00ED67AE">
      <w:pPr>
        <w:rPr>
          <w:lang w:val="lt-LT"/>
        </w:rPr>
      </w:pPr>
      <w:r w:rsidRPr="00A9381A">
        <w:rPr>
          <w:color w:val="000000"/>
          <w:spacing w:val="-3"/>
          <w:lang w:val="lt-LT"/>
        </w:rPr>
        <w:t>Dozės koreguoti nereikia, kai inkstų pažeidimas nedidelio ar vidutinio laipsnio (kreatinino klirensas yra lygus ar didesnis kaip 30 ml/min.), tai nustatyta BM 16549 tyrime, kuriame dalyvavo pacientės, kurioms buvo nedidelio ar vidutinio laipsnio inkstų pažeidimas.</w:t>
      </w:r>
      <w:r w:rsidRPr="00A9381A">
        <w:rPr>
          <w:lang w:val="lt-LT"/>
        </w:rPr>
        <w:t xml:space="preserve"> </w:t>
      </w:r>
    </w:p>
    <w:p w:rsidR="00ED67AE" w:rsidRPr="00A9381A" w:rsidRDefault="00ED67AE" w:rsidP="00ED67AE">
      <w:pPr>
        <w:rPr>
          <w:lang w:val="lt-LT"/>
        </w:rPr>
      </w:pPr>
      <w:r w:rsidRPr="00A9381A">
        <w:rPr>
          <w:color w:val="000000"/>
          <w:spacing w:val="-3"/>
          <w:lang w:val="lt-LT"/>
        </w:rPr>
        <w:t>Tiriamiesiems, kuriems buvo sunkus inkstų pažeidimas (kreatinino klirensas mažesnis kaip 30 ml/min.), 21 dieną geriant po 10 mg ibandrono rūgšties, buvo nustatyta 2–3 kartus didesnė preparato koncentracija plazmoje negu tiriamiesiems, kurių inkstų funkcija normali, o bendrasis ibandrono rūgšties klirensas buvo 44 ml/min.</w:t>
      </w:r>
      <w:r w:rsidRPr="00A9381A">
        <w:rPr>
          <w:lang w:val="lt-LT"/>
        </w:rPr>
        <w:t xml:space="preserve"> </w:t>
      </w:r>
      <w:r w:rsidRPr="00A9381A">
        <w:rPr>
          <w:color w:val="000000"/>
          <w:spacing w:val="-3"/>
          <w:lang w:val="lt-LT"/>
        </w:rPr>
        <w:t>Tiriamųjų, kuriems buvo sunkus inkstų pažeidimas ir kurie gavo 0,5 mg vaisto į veną, bendrasis, inkstų ir neinkstinis klirensas sumažėjo atitinkamai 67 %, 77 % ir 50 %, tačiau nebuvo nustatyta sumažėjusios tolerancijos, susijusios su padidėjusia ekspozicija.</w:t>
      </w:r>
      <w:r w:rsidRPr="00A9381A">
        <w:rPr>
          <w:lang w:val="lt-LT"/>
        </w:rPr>
        <w:t xml:space="preserve"> </w:t>
      </w:r>
      <w:r w:rsidRPr="00A9381A">
        <w:rPr>
          <w:color w:val="000000"/>
          <w:spacing w:val="-3"/>
          <w:lang w:val="lt-LT"/>
        </w:rPr>
        <w:t>Kadangi nepakanka klinikinės patirties, Ibandrono rūgštis nerekomenduojama pacientėms, kurioms yra sunkus inkstų pažeidimas (žr. 4.2 ir 4.4 skyrius). Ibandrono rūgšties farmakokinetika nevertinta pacientams, kuriems yra paskutiniosios stadijos inkstų pažeidimas, koreguojamas kitu būdu negu hemodializė.</w:t>
      </w:r>
      <w:r w:rsidRPr="00A9381A">
        <w:rPr>
          <w:lang w:val="lt-LT"/>
        </w:rPr>
        <w:t xml:space="preserve"> </w:t>
      </w:r>
      <w:r w:rsidRPr="00A9381A">
        <w:rPr>
          <w:color w:val="000000"/>
          <w:spacing w:val="-3"/>
          <w:lang w:val="lt-LT"/>
        </w:rPr>
        <w:t>Tokių pacientų ibandrono rūgšties farmakokinetika nežinoma, todėl ibandrono rūgšties jiems nereikėtų skirti.</w:t>
      </w:r>
      <w:r w:rsidRPr="00A9381A">
        <w:rPr>
          <w:lang w:val="lt-LT"/>
        </w:rPr>
        <w:t xml:space="preserve"> </w:t>
      </w:r>
    </w:p>
    <w:p w:rsidR="00ED67AE" w:rsidRPr="00A9381A" w:rsidRDefault="00ED67AE" w:rsidP="00ED67AE">
      <w:pPr>
        <w:rPr>
          <w:lang w:val="lt-LT"/>
        </w:rPr>
      </w:pPr>
    </w:p>
    <w:p w:rsidR="00ED67AE" w:rsidRPr="00A9381A" w:rsidRDefault="00ED67AE" w:rsidP="00ED67AE">
      <w:pPr>
        <w:rPr>
          <w:lang w:val="lt-LT"/>
        </w:rPr>
      </w:pPr>
      <w:r w:rsidRPr="00A9381A">
        <w:rPr>
          <w:i/>
          <w:lang w:val="lt-LT"/>
        </w:rPr>
        <w:t>Pacientai, kurių sutrikusi kepenų funkcija</w:t>
      </w:r>
    </w:p>
    <w:p w:rsidR="00ED67AE" w:rsidRPr="00A9381A" w:rsidRDefault="00ED67AE" w:rsidP="00ED67AE">
      <w:pPr>
        <w:rPr>
          <w:lang w:val="lt-LT"/>
        </w:rPr>
      </w:pPr>
      <w:r w:rsidRPr="00A9381A">
        <w:rPr>
          <w:color w:val="000000"/>
          <w:spacing w:val="-3"/>
          <w:lang w:val="lt-LT"/>
        </w:rPr>
        <w:t>Nėra informacijos apie pacientų, kurių pažeistos kepenys, ibandrono rūgšties farmakokinetiką.</w:t>
      </w:r>
      <w:r w:rsidRPr="00A9381A">
        <w:rPr>
          <w:lang w:val="lt-LT"/>
        </w:rPr>
        <w:t xml:space="preserve"> </w:t>
      </w:r>
      <w:r w:rsidRPr="00A9381A">
        <w:rPr>
          <w:color w:val="000000"/>
          <w:spacing w:val="-3"/>
          <w:lang w:val="lt-LT"/>
        </w:rPr>
        <w:t>Kepenys neturi įtakos ibandrono rūgšties klirensui, nes preparatas nemetabolizuojamas, o išsiskiria per inkstus ekskrecijos būdu arba patenka į kaulus.</w:t>
      </w:r>
      <w:r w:rsidRPr="00A9381A">
        <w:rPr>
          <w:lang w:val="lt-LT"/>
        </w:rPr>
        <w:t xml:space="preserve"> </w:t>
      </w:r>
      <w:r w:rsidRPr="00A9381A">
        <w:rPr>
          <w:color w:val="000000"/>
          <w:spacing w:val="-3"/>
          <w:lang w:val="lt-LT"/>
        </w:rPr>
        <w:t xml:space="preserve">Todėl pacientams, kuriems pažeistos kepenys, dozės </w:t>
      </w:r>
      <w:r w:rsidRPr="00A9381A">
        <w:rPr>
          <w:color w:val="000000"/>
          <w:spacing w:val="-4"/>
          <w:lang w:val="lt-LT"/>
        </w:rPr>
        <w:t>koreguoti nereikia.</w:t>
      </w:r>
      <w:r w:rsidRPr="00A9381A">
        <w:rPr>
          <w:lang w:val="lt-LT"/>
        </w:rPr>
        <w:t xml:space="preserve"> </w:t>
      </w:r>
    </w:p>
    <w:p w:rsidR="00ED67AE" w:rsidRDefault="00ED67AE" w:rsidP="00ED67AE">
      <w:pPr>
        <w:rPr>
          <w:szCs w:val="22"/>
          <w:lang w:val="lt-LT"/>
        </w:rPr>
      </w:pPr>
    </w:p>
    <w:p w:rsidR="00ED67AE" w:rsidRDefault="00ED67AE" w:rsidP="00ED67AE">
      <w:pPr>
        <w:rPr>
          <w:i/>
          <w:szCs w:val="22"/>
          <w:lang w:val="lt-LT"/>
        </w:rPr>
      </w:pPr>
      <w:r>
        <w:rPr>
          <w:i/>
          <w:szCs w:val="22"/>
          <w:lang w:val="lt-LT"/>
        </w:rPr>
        <w:t>Senyvi žmonės</w:t>
      </w:r>
    </w:p>
    <w:p w:rsidR="00ED67AE" w:rsidRDefault="00ED67AE" w:rsidP="00ED67AE">
      <w:pPr>
        <w:rPr>
          <w:i/>
          <w:szCs w:val="22"/>
          <w:lang w:val="lt-LT"/>
        </w:rPr>
      </w:pPr>
      <w:r>
        <w:rPr>
          <w:szCs w:val="22"/>
          <w:lang w:val="lt-LT"/>
        </w:rPr>
        <w:t>Disersinės analizės duomenimis, amžius nėra nė vieno tirto farmakokinetikos parametro nepriklausomas veiksnys. Kadangi inkstų funkcija su amžiumi silpnėja, reikia atsižvelgti tik į šį veiksnį (žr. poskyrį „</w:t>
      </w:r>
      <w:r w:rsidRPr="0056107D">
        <w:rPr>
          <w:szCs w:val="22"/>
          <w:lang w:val="lt-LT"/>
        </w:rPr>
        <w:t>Pacientai, kurių inkstų funkcija sutrikusi“</w:t>
      </w:r>
      <w:r>
        <w:rPr>
          <w:szCs w:val="22"/>
          <w:lang w:val="lt-LT"/>
        </w:rPr>
        <w:t>).</w:t>
      </w:r>
    </w:p>
    <w:p w:rsidR="00ED67AE" w:rsidRPr="00C90F74" w:rsidRDefault="00ED67AE" w:rsidP="00ED67AE">
      <w:pPr>
        <w:rPr>
          <w:szCs w:val="22"/>
          <w:lang w:val="lt-LT"/>
        </w:rPr>
      </w:pPr>
    </w:p>
    <w:p w:rsidR="00ED67AE" w:rsidRPr="0056107D" w:rsidRDefault="00ED67AE" w:rsidP="00ED67AE">
      <w:pPr>
        <w:rPr>
          <w:i/>
          <w:szCs w:val="22"/>
          <w:lang w:val="lt-LT"/>
        </w:rPr>
      </w:pPr>
      <w:r w:rsidRPr="0056107D">
        <w:rPr>
          <w:i/>
          <w:szCs w:val="22"/>
          <w:lang w:val="lt-LT"/>
        </w:rPr>
        <w:t>Vaikai ir paaugliai</w:t>
      </w:r>
    </w:p>
    <w:p w:rsidR="00ED67AE" w:rsidRDefault="00ED67AE" w:rsidP="00ED67AE">
      <w:pPr>
        <w:rPr>
          <w:color w:val="000000"/>
          <w:spacing w:val="-4"/>
          <w:szCs w:val="22"/>
          <w:lang w:val="lt-LT"/>
        </w:rPr>
      </w:pPr>
      <w:r w:rsidRPr="00384FBB">
        <w:rPr>
          <w:color w:val="000000"/>
          <w:spacing w:val="-4"/>
          <w:szCs w:val="22"/>
          <w:lang w:val="lt-LT"/>
        </w:rPr>
        <w:t xml:space="preserve">Nėra informacijos apie </w:t>
      </w:r>
      <w:r>
        <w:rPr>
          <w:color w:val="000000"/>
          <w:spacing w:val="-4"/>
          <w:szCs w:val="22"/>
          <w:lang w:val="lt-LT"/>
        </w:rPr>
        <w:t>ibandrono rūgšties</w:t>
      </w:r>
      <w:r w:rsidRPr="00384FBB">
        <w:rPr>
          <w:color w:val="000000"/>
          <w:spacing w:val="-4"/>
          <w:szCs w:val="22"/>
          <w:lang w:val="lt-LT"/>
        </w:rPr>
        <w:t xml:space="preserve"> skyrimą šių amžiaus grupių pacientams</w:t>
      </w:r>
      <w:r>
        <w:rPr>
          <w:color w:val="000000"/>
          <w:spacing w:val="-4"/>
          <w:szCs w:val="22"/>
          <w:lang w:val="lt-LT"/>
        </w:rPr>
        <w:t>.</w:t>
      </w:r>
    </w:p>
    <w:p w:rsidR="00ED67AE" w:rsidRPr="00384FBB" w:rsidRDefault="00ED67AE" w:rsidP="00ED67AE">
      <w:pPr>
        <w:rPr>
          <w:b/>
          <w:szCs w:val="22"/>
          <w:lang w:val="lt-LT"/>
        </w:rPr>
      </w:pPr>
    </w:p>
    <w:p w:rsidR="00ED67AE" w:rsidRPr="00CD6267" w:rsidRDefault="00ED67AE" w:rsidP="00ED67AE">
      <w:pPr>
        <w:rPr>
          <w:szCs w:val="22"/>
          <w:lang w:val="lt-LT"/>
        </w:rPr>
      </w:pPr>
      <w:r w:rsidRPr="00CD6267">
        <w:rPr>
          <w:b/>
          <w:szCs w:val="22"/>
          <w:lang w:val="lt-LT"/>
        </w:rPr>
        <w:t>5.3</w:t>
      </w:r>
      <w:r w:rsidRPr="00CD6267">
        <w:rPr>
          <w:b/>
          <w:szCs w:val="22"/>
          <w:lang w:val="lt-LT"/>
        </w:rPr>
        <w:tab/>
        <w:t>Ikiklinikinių saugumo tyrimų duomenys</w:t>
      </w:r>
    </w:p>
    <w:p w:rsidR="00ED67AE" w:rsidRPr="00CD6267" w:rsidRDefault="00ED67AE" w:rsidP="00ED67AE">
      <w:pPr>
        <w:rPr>
          <w:szCs w:val="22"/>
          <w:lang w:val="lt-LT"/>
        </w:rPr>
      </w:pPr>
    </w:p>
    <w:p w:rsidR="00ED67AE" w:rsidRPr="00384FBB" w:rsidRDefault="00ED67AE" w:rsidP="00ED67AE">
      <w:pPr>
        <w:ind w:hanging="27"/>
        <w:outlineLvl w:val="0"/>
        <w:rPr>
          <w:noProof/>
          <w:szCs w:val="22"/>
          <w:lang w:val="lt-LT"/>
        </w:rPr>
      </w:pPr>
      <w:r w:rsidRPr="00384FBB">
        <w:rPr>
          <w:szCs w:val="22"/>
          <w:lang w:val="lt-LT"/>
        </w:rPr>
        <w:t>Ikiklinikinių tyrimų metu poveikis pastebėtas tik kai ekspozicija buvo tokia, kuri laikoma pakankamai viršijančia maksimalią žmogui, todėl jo klinikinė reikšmė yra maža.</w:t>
      </w:r>
      <w:r w:rsidRPr="00384FBB">
        <w:rPr>
          <w:noProof/>
          <w:szCs w:val="22"/>
          <w:lang w:val="lt-LT"/>
        </w:rPr>
        <w:t xml:space="preserve"> </w:t>
      </w:r>
    </w:p>
    <w:p w:rsidR="00ED67AE" w:rsidRPr="00384FBB" w:rsidRDefault="00ED67AE" w:rsidP="00ED67AE">
      <w:pPr>
        <w:ind w:hanging="27"/>
        <w:outlineLvl w:val="0"/>
        <w:rPr>
          <w:i/>
          <w:noProof/>
          <w:szCs w:val="22"/>
          <w:lang w:val="lt-LT"/>
        </w:rPr>
      </w:pPr>
    </w:p>
    <w:p w:rsidR="00ED67AE" w:rsidRPr="00384FBB" w:rsidRDefault="00ED67AE" w:rsidP="00ED67AE">
      <w:pPr>
        <w:ind w:hanging="27"/>
        <w:outlineLvl w:val="0"/>
        <w:rPr>
          <w:noProof/>
          <w:szCs w:val="22"/>
          <w:lang w:val="lt-LT"/>
        </w:rPr>
      </w:pPr>
      <w:r w:rsidRPr="00384FBB">
        <w:rPr>
          <w:color w:val="000000"/>
          <w:spacing w:val="-4"/>
          <w:szCs w:val="22"/>
          <w:lang w:val="lt-LT"/>
        </w:rPr>
        <w:t>Mutageniškumas / kancerogeniškumas:</w:t>
      </w:r>
    </w:p>
    <w:p w:rsidR="00ED67AE" w:rsidRPr="00384FBB" w:rsidRDefault="00ED67AE" w:rsidP="00ED67AE">
      <w:pPr>
        <w:ind w:hanging="27"/>
        <w:outlineLvl w:val="0"/>
        <w:rPr>
          <w:noProof/>
          <w:szCs w:val="22"/>
          <w:lang w:val="lt-LT"/>
        </w:rPr>
      </w:pPr>
      <w:r w:rsidRPr="00384FBB">
        <w:rPr>
          <w:color w:val="000000"/>
          <w:spacing w:val="-3"/>
          <w:szCs w:val="22"/>
          <w:lang w:val="lt-LT"/>
        </w:rPr>
        <w:t>Galimo kancerogeniškumo pavojaus nenustatyta.</w:t>
      </w:r>
      <w:r w:rsidRPr="00384FBB">
        <w:rPr>
          <w:noProof/>
          <w:szCs w:val="22"/>
          <w:lang w:val="lt-LT"/>
        </w:rPr>
        <w:t xml:space="preserve"> </w:t>
      </w:r>
      <w:r w:rsidRPr="00384FBB">
        <w:rPr>
          <w:color w:val="000000"/>
          <w:spacing w:val="-3"/>
          <w:szCs w:val="22"/>
          <w:lang w:val="lt-LT"/>
        </w:rPr>
        <w:t xml:space="preserve">Genotoksiškumo tyrimų metu nenustatyta ibandrono </w:t>
      </w:r>
      <w:r w:rsidRPr="00384FBB">
        <w:rPr>
          <w:color w:val="000000"/>
          <w:spacing w:val="-4"/>
          <w:szCs w:val="22"/>
          <w:lang w:val="lt-LT"/>
        </w:rPr>
        <w:t>rūgšties poveikio genų aktyvumui.</w:t>
      </w:r>
      <w:r w:rsidRPr="00384FBB">
        <w:rPr>
          <w:noProof/>
          <w:szCs w:val="22"/>
          <w:lang w:val="lt-LT"/>
        </w:rPr>
        <w:t xml:space="preserve"> </w:t>
      </w:r>
    </w:p>
    <w:p w:rsidR="00ED67AE" w:rsidRPr="00384FBB" w:rsidRDefault="00ED67AE" w:rsidP="00ED67AE">
      <w:pPr>
        <w:ind w:hanging="27"/>
        <w:outlineLvl w:val="0"/>
        <w:rPr>
          <w:i/>
          <w:noProof/>
          <w:szCs w:val="22"/>
          <w:lang w:val="lt-LT"/>
        </w:rPr>
      </w:pPr>
    </w:p>
    <w:p w:rsidR="00ED67AE" w:rsidRPr="00502EE7" w:rsidRDefault="00ED67AE" w:rsidP="00ED67AE">
      <w:pPr>
        <w:ind w:hanging="27"/>
        <w:outlineLvl w:val="0"/>
        <w:rPr>
          <w:i/>
          <w:lang w:val="lt-LT"/>
        </w:rPr>
      </w:pPr>
      <w:r>
        <w:rPr>
          <w:i/>
          <w:color w:val="000000"/>
          <w:spacing w:val="-4"/>
          <w:szCs w:val="22"/>
          <w:lang w:val="lt-LT"/>
        </w:rPr>
        <w:t>Toksinis poveikis</w:t>
      </w:r>
      <w:r>
        <w:rPr>
          <w:i/>
          <w:color w:val="000000"/>
          <w:spacing w:val="-4"/>
          <w:lang w:val="lt-LT"/>
        </w:rPr>
        <w:t xml:space="preserve"> reprodukcijai</w:t>
      </w:r>
    </w:p>
    <w:p w:rsidR="00ED67AE" w:rsidRPr="00384FBB" w:rsidRDefault="00ED67AE" w:rsidP="00ED67AE">
      <w:pPr>
        <w:ind w:hanging="27"/>
        <w:outlineLvl w:val="0"/>
        <w:rPr>
          <w:b/>
          <w:noProof/>
          <w:szCs w:val="22"/>
          <w:lang w:val="lt-LT"/>
        </w:rPr>
      </w:pPr>
      <w:r w:rsidRPr="00384FBB">
        <w:rPr>
          <w:color w:val="000000"/>
          <w:spacing w:val="-3"/>
          <w:szCs w:val="22"/>
          <w:lang w:val="lt-LT"/>
        </w:rPr>
        <w:t>Tiriant žiurkes ir triušius, kuriems buvo skirta ibandrono rūgšties per os, tiesioginio toksinio ar teratogeninio poveikio vaisiui nenustatyta, taip pat nepastebėta nepageidaujamų reiškinių F</w:t>
      </w:r>
      <w:r w:rsidRPr="00384FBB">
        <w:rPr>
          <w:color w:val="000000"/>
          <w:spacing w:val="-3"/>
          <w:szCs w:val="22"/>
          <w:vertAlign w:val="subscript"/>
          <w:lang w:val="lt-LT"/>
        </w:rPr>
        <w:t xml:space="preserve">1 </w:t>
      </w:r>
      <w:r w:rsidRPr="00384FBB">
        <w:rPr>
          <w:color w:val="000000"/>
          <w:spacing w:val="-3"/>
          <w:szCs w:val="22"/>
          <w:lang w:val="lt-LT"/>
        </w:rPr>
        <w:t>kartos žiurkių palikuonių raidai, kai numanoma vaisto koncentracija buvo bent 35 kartus didesnė negu žmogaus organizme.</w:t>
      </w:r>
      <w:r w:rsidRPr="00077F56">
        <w:rPr>
          <w:spacing w:val="-3"/>
          <w:lang w:val="lt-LT"/>
        </w:rPr>
        <w:t xml:space="preserve"> Tiriant toksiškumą reprodukcijai, žiurkių patinams į veną sušvirkštus 0,3 mg/kg kūno svorio per parą, sumažėjo spermos kiekis, o patinų ir patelių vaikingumas sumažėjo sušvirkštus atitinkamai 1 mg/kg kūno svorio ir 1,2 mg/kg kūno svorio per parą. T</w:t>
      </w:r>
      <w:r w:rsidRPr="00384FBB">
        <w:rPr>
          <w:color w:val="000000"/>
          <w:spacing w:val="-3"/>
          <w:szCs w:val="22"/>
          <w:lang w:val="lt-LT"/>
        </w:rPr>
        <w:t>iriant toksiškumą žiurkių reprodukcijai, nustatyta nepageidaujamų reiškinių, būdingų bisfosfonatų klasės vaistams.</w:t>
      </w:r>
      <w:r w:rsidRPr="00384FBB">
        <w:rPr>
          <w:noProof/>
          <w:szCs w:val="22"/>
          <w:lang w:val="lt-LT"/>
        </w:rPr>
        <w:t xml:space="preserve"> </w:t>
      </w:r>
      <w:r w:rsidRPr="00384FBB">
        <w:rPr>
          <w:color w:val="000000"/>
          <w:spacing w:val="-3"/>
          <w:szCs w:val="22"/>
          <w:lang w:val="lt-LT"/>
        </w:rPr>
        <w:t xml:space="preserve">Tai sumažėjęs implantacijos vietų skaičius, pasunkėjęs natūralus jauniklių atsivedimas (distocija) ir padažnėję vidaus organų </w:t>
      </w:r>
      <w:smartTag w:uri="schemas-tilde-lt/tildestengine" w:element="templates">
        <w:smartTagPr>
          <w:attr w:name="baseform" w:val="pokyt|is"/>
          <w:attr w:name="id" w:val="-1"/>
          <w:attr w:name="text" w:val="pokyčiai"/>
        </w:smartTagPr>
        <w:r w:rsidRPr="00384FBB">
          <w:rPr>
            <w:color w:val="000000"/>
            <w:spacing w:val="-3"/>
            <w:szCs w:val="22"/>
            <w:lang w:val="lt-LT"/>
          </w:rPr>
          <w:t>pokyčiai</w:t>
        </w:r>
      </w:smartTag>
      <w:r w:rsidRPr="00384FBB">
        <w:rPr>
          <w:color w:val="000000"/>
          <w:spacing w:val="-3"/>
          <w:szCs w:val="22"/>
          <w:lang w:val="lt-LT"/>
        </w:rPr>
        <w:t xml:space="preserve"> (inkstų geldelių ir </w:t>
      </w:r>
      <w:r w:rsidRPr="00384FBB">
        <w:rPr>
          <w:color w:val="000000"/>
          <w:spacing w:val="-4"/>
          <w:szCs w:val="22"/>
          <w:lang w:val="lt-LT"/>
        </w:rPr>
        <w:t>šlapimtakių sindromas).</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6.</w:t>
      </w:r>
      <w:r w:rsidRPr="00CD6267">
        <w:rPr>
          <w:b/>
          <w:szCs w:val="22"/>
          <w:lang w:val="lt-LT"/>
        </w:rPr>
        <w:tab/>
      </w:r>
      <w:r w:rsidRPr="00CD6267">
        <w:rPr>
          <w:b/>
          <w:caps/>
          <w:szCs w:val="22"/>
          <w:lang w:val="lt-LT"/>
        </w:rPr>
        <w:t>farmacinė informacija</w:t>
      </w: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6.1</w:t>
      </w:r>
      <w:r w:rsidRPr="00CD6267">
        <w:rPr>
          <w:b/>
          <w:szCs w:val="22"/>
          <w:lang w:val="lt-LT"/>
        </w:rPr>
        <w:tab/>
        <w:t>Pagalbinių medžiagų sąrašas</w:t>
      </w:r>
    </w:p>
    <w:p w:rsidR="00ED67AE" w:rsidRDefault="00ED67AE" w:rsidP="00ED67AE">
      <w:pPr>
        <w:rPr>
          <w:iCs/>
          <w:szCs w:val="22"/>
          <w:lang w:val="lt-LT"/>
        </w:rPr>
      </w:pPr>
    </w:p>
    <w:p w:rsidR="00ED67AE" w:rsidRDefault="00ED67AE" w:rsidP="00ED67AE">
      <w:pPr>
        <w:rPr>
          <w:i/>
          <w:iCs/>
          <w:szCs w:val="22"/>
          <w:lang w:val="lt-LT"/>
        </w:rPr>
      </w:pPr>
      <w:r w:rsidRPr="0086480D">
        <w:rPr>
          <w:i/>
          <w:iCs/>
          <w:szCs w:val="22"/>
          <w:lang w:val="lt-LT"/>
        </w:rPr>
        <w:t>Table</w:t>
      </w:r>
      <w:r>
        <w:rPr>
          <w:i/>
          <w:iCs/>
          <w:szCs w:val="22"/>
          <w:lang w:val="lt-LT"/>
        </w:rPr>
        <w:t>tės</w:t>
      </w:r>
      <w:r w:rsidRPr="0086480D">
        <w:rPr>
          <w:i/>
          <w:iCs/>
          <w:szCs w:val="22"/>
          <w:lang w:val="lt-LT"/>
        </w:rPr>
        <w:t xml:space="preserve"> branduolys</w:t>
      </w:r>
    </w:p>
    <w:p w:rsidR="00ED67AE" w:rsidRDefault="00ED67AE" w:rsidP="00ED67AE">
      <w:pPr>
        <w:rPr>
          <w:iCs/>
          <w:szCs w:val="22"/>
          <w:lang w:val="lt-LT"/>
        </w:rPr>
      </w:pPr>
      <w:r>
        <w:rPr>
          <w:iCs/>
          <w:szCs w:val="22"/>
          <w:lang w:val="lt-LT"/>
        </w:rPr>
        <w:t>Laktozė monohidratas</w:t>
      </w:r>
    </w:p>
    <w:p w:rsidR="00ED67AE" w:rsidRDefault="00ED67AE" w:rsidP="00ED67AE">
      <w:pPr>
        <w:rPr>
          <w:iCs/>
          <w:szCs w:val="22"/>
          <w:lang w:val="lt-LT"/>
        </w:rPr>
      </w:pPr>
      <w:r>
        <w:rPr>
          <w:iCs/>
          <w:szCs w:val="22"/>
          <w:lang w:val="lt-LT"/>
        </w:rPr>
        <w:t>Krospovidonas (E 1202)</w:t>
      </w:r>
    </w:p>
    <w:p w:rsidR="00ED67AE" w:rsidRDefault="00ED67AE" w:rsidP="00ED67AE">
      <w:pPr>
        <w:rPr>
          <w:iCs/>
          <w:szCs w:val="22"/>
          <w:lang w:val="lt-LT"/>
        </w:rPr>
      </w:pPr>
      <w:r>
        <w:rPr>
          <w:iCs/>
          <w:szCs w:val="22"/>
          <w:lang w:val="lt-LT"/>
        </w:rPr>
        <w:t>Mikrokristalinė celiuliozė (E 460)</w:t>
      </w:r>
    </w:p>
    <w:p w:rsidR="00ED67AE" w:rsidRDefault="00ED67AE" w:rsidP="00ED67AE">
      <w:pPr>
        <w:rPr>
          <w:iCs/>
          <w:szCs w:val="22"/>
          <w:lang w:val="lt-LT"/>
        </w:rPr>
      </w:pPr>
      <w:r>
        <w:rPr>
          <w:iCs/>
          <w:szCs w:val="22"/>
          <w:lang w:val="lt-LT"/>
        </w:rPr>
        <w:t>Bevandenis koloidinis silicio dioksidas (E 551)</w:t>
      </w:r>
    </w:p>
    <w:p w:rsidR="00ED67AE" w:rsidRDefault="00ED67AE" w:rsidP="00ED67AE">
      <w:pPr>
        <w:rPr>
          <w:iCs/>
          <w:szCs w:val="22"/>
          <w:lang w:val="lt-LT"/>
        </w:rPr>
      </w:pPr>
      <w:r>
        <w:rPr>
          <w:iCs/>
          <w:szCs w:val="22"/>
          <w:lang w:val="lt-LT"/>
        </w:rPr>
        <w:t>Natrio stearilfumaratas</w:t>
      </w:r>
    </w:p>
    <w:p w:rsidR="00ED67AE" w:rsidRDefault="00ED67AE" w:rsidP="00ED67AE">
      <w:pPr>
        <w:rPr>
          <w:iCs/>
          <w:szCs w:val="22"/>
          <w:lang w:val="lt-LT"/>
        </w:rPr>
      </w:pPr>
    </w:p>
    <w:p w:rsidR="00ED67AE" w:rsidRDefault="00ED67AE" w:rsidP="00ED67AE">
      <w:pPr>
        <w:rPr>
          <w:i/>
          <w:iCs/>
          <w:szCs w:val="22"/>
          <w:lang w:val="lt-LT"/>
        </w:rPr>
      </w:pPr>
      <w:r>
        <w:rPr>
          <w:i/>
          <w:iCs/>
          <w:szCs w:val="22"/>
          <w:lang w:val="lt-LT"/>
        </w:rPr>
        <w:t>Tabletės plėvelė</w:t>
      </w:r>
    </w:p>
    <w:p w:rsidR="00ED67AE" w:rsidRDefault="00ED67AE" w:rsidP="00ED67AE">
      <w:pPr>
        <w:rPr>
          <w:iCs/>
          <w:szCs w:val="22"/>
          <w:lang w:val="lt-LT"/>
        </w:rPr>
      </w:pPr>
      <w:r>
        <w:rPr>
          <w:iCs/>
          <w:szCs w:val="22"/>
          <w:lang w:val="lt-LT"/>
        </w:rPr>
        <w:t>Polivinilo alkoholis</w:t>
      </w:r>
    </w:p>
    <w:p w:rsidR="00ED67AE" w:rsidRDefault="00ED67AE" w:rsidP="00ED67AE">
      <w:pPr>
        <w:rPr>
          <w:iCs/>
          <w:szCs w:val="22"/>
          <w:lang w:val="lt-LT"/>
        </w:rPr>
      </w:pPr>
      <w:r>
        <w:rPr>
          <w:iCs/>
          <w:szCs w:val="22"/>
          <w:lang w:val="lt-LT"/>
        </w:rPr>
        <w:t>Makrogolis 3350</w:t>
      </w:r>
    </w:p>
    <w:p w:rsidR="00ED67AE" w:rsidRDefault="00ED67AE" w:rsidP="00ED67AE">
      <w:pPr>
        <w:rPr>
          <w:iCs/>
          <w:szCs w:val="22"/>
          <w:lang w:val="lt-LT"/>
        </w:rPr>
      </w:pPr>
      <w:r>
        <w:rPr>
          <w:iCs/>
          <w:szCs w:val="22"/>
          <w:lang w:val="lt-LT"/>
        </w:rPr>
        <w:t>Talkas (E 553b)</w:t>
      </w:r>
    </w:p>
    <w:p w:rsidR="00ED67AE" w:rsidRDefault="00ED67AE" w:rsidP="00ED67AE">
      <w:pPr>
        <w:rPr>
          <w:iCs/>
          <w:szCs w:val="22"/>
          <w:lang w:val="lt-LT"/>
        </w:rPr>
      </w:pPr>
      <w:r>
        <w:rPr>
          <w:iCs/>
          <w:szCs w:val="22"/>
          <w:lang w:val="lt-LT"/>
        </w:rPr>
        <w:t>Titano dioksidas (E 171)</w:t>
      </w:r>
    </w:p>
    <w:p w:rsidR="00ED67AE" w:rsidRPr="0086480D" w:rsidRDefault="00ED67AE" w:rsidP="00ED67AE">
      <w:pPr>
        <w:rPr>
          <w:iCs/>
          <w:szCs w:val="22"/>
          <w:lang w:val="lt-LT"/>
        </w:rPr>
      </w:pPr>
    </w:p>
    <w:p w:rsidR="00ED67AE" w:rsidRPr="00CD6267" w:rsidRDefault="00ED67AE" w:rsidP="00ED67AE">
      <w:pPr>
        <w:rPr>
          <w:szCs w:val="22"/>
          <w:lang w:val="lt-LT"/>
        </w:rPr>
      </w:pPr>
      <w:r w:rsidRPr="00CD6267">
        <w:rPr>
          <w:b/>
          <w:szCs w:val="22"/>
          <w:lang w:val="lt-LT"/>
        </w:rPr>
        <w:t>6.2</w:t>
      </w:r>
      <w:r w:rsidRPr="00CD6267">
        <w:rPr>
          <w:b/>
          <w:szCs w:val="22"/>
          <w:lang w:val="lt-LT"/>
        </w:rPr>
        <w:tab/>
        <w:t>Nesuderinamumas</w:t>
      </w:r>
    </w:p>
    <w:p w:rsidR="00ED67AE" w:rsidRPr="00CD6267" w:rsidRDefault="00ED67AE" w:rsidP="00ED67AE">
      <w:pPr>
        <w:rPr>
          <w:szCs w:val="22"/>
          <w:lang w:val="lt-LT"/>
        </w:rPr>
      </w:pPr>
    </w:p>
    <w:p w:rsidR="00ED67AE" w:rsidRDefault="00ED67AE" w:rsidP="00ED67AE">
      <w:pPr>
        <w:rPr>
          <w:szCs w:val="22"/>
          <w:lang w:val="lt-LT"/>
        </w:rPr>
      </w:pPr>
      <w:r w:rsidRPr="00CD6267">
        <w:rPr>
          <w:szCs w:val="22"/>
          <w:lang w:val="lt-LT"/>
        </w:rPr>
        <w:t>Duomenys nebūtini.</w:t>
      </w:r>
    </w:p>
    <w:p w:rsidR="00ED67AE" w:rsidRDefault="00ED67AE" w:rsidP="00ED67AE">
      <w:pPr>
        <w:rPr>
          <w:szCs w:val="22"/>
          <w:lang w:val="lt-LT"/>
        </w:rPr>
      </w:pPr>
    </w:p>
    <w:p w:rsidR="00ED67AE" w:rsidRPr="00CD6267" w:rsidRDefault="00ED67AE" w:rsidP="00ED67AE">
      <w:pPr>
        <w:rPr>
          <w:szCs w:val="22"/>
          <w:lang w:val="lt-LT"/>
        </w:rPr>
      </w:pPr>
      <w:r w:rsidRPr="00CD6267">
        <w:rPr>
          <w:b/>
          <w:szCs w:val="22"/>
          <w:lang w:val="lt-LT"/>
        </w:rPr>
        <w:t>6.3</w:t>
      </w:r>
      <w:r w:rsidRPr="00CD6267">
        <w:rPr>
          <w:b/>
          <w:szCs w:val="22"/>
          <w:lang w:val="lt-LT"/>
        </w:rPr>
        <w:tab/>
        <w:t>Tinkamumo laikas</w:t>
      </w:r>
    </w:p>
    <w:p w:rsidR="00ED67AE" w:rsidRPr="00CD6267" w:rsidRDefault="00ED67AE" w:rsidP="00ED67AE">
      <w:pPr>
        <w:rPr>
          <w:szCs w:val="22"/>
          <w:lang w:val="lt-LT"/>
        </w:rPr>
      </w:pPr>
    </w:p>
    <w:p w:rsidR="00ED67AE" w:rsidRPr="009E1D39" w:rsidRDefault="00ED67AE" w:rsidP="00ED67AE">
      <w:pPr>
        <w:rPr>
          <w:iCs/>
          <w:szCs w:val="22"/>
          <w:lang w:val="lt-LT"/>
        </w:rPr>
      </w:pPr>
      <w:r w:rsidRPr="009E1D39">
        <w:rPr>
          <w:szCs w:val="22"/>
          <w:lang w:val="lt-LT"/>
        </w:rPr>
        <w:t>3 metai (</w:t>
      </w:r>
      <w:r w:rsidRPr="009E1D39">
        <w:rPr>
          <w:iCs/>
          <w:szCs w:val="22"/>
          <w:lang w:val="lt-LT"/>
        </w:rPr>
        <w:t>PVC/PVDC:Aliuminio lizdinės plokštelės)</w:t>
      </w:r>
    </w:p>
    <w:p w:rsidR="00ED67AE" w:rsidRPr="009E1D39" w:rsidRDefault="00ED67AE" w:rsidP="00ED67AE">
      <w:pPr>
        <w:rPr>
          <w:iCs/>
          <w:szCs w:val="22"/>
          <w:lang w:val="lt-LT"/>
        </w:rPr>
      </w:pPr>
      <w:r w:rsidRPr="009E1D39">
        <w:rPr>
          <w:iCs/>
          <w:szCs w:val="22"/>
          <w:lang w:val="lt-LT"/>
        </w:rPr>
        <w:t>2 metai (OPA/Aliuminio/PVC:Aliuminio lizdinės plokštelės)</w:t>
      </w: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6.4</w:t>
      </w:r>
      <w:r w:rsidRPr="00CD6267">
        <w:rPr>
          <w:b/>
          <w:szCs w:val="22"/>
          <w:lang w:val="lt-LT"/>
        </w:rPr>
        <w:tab/>
        <w:t>Specialios laikymo sąlygos</w:t>
      </w:r>
    </w:p>
    <w:p w:rsidR="00ED67AE" w:rsidRDefault="00ED67AE" w:rsidP="00ED67AE">
      <w:pPr>
        <w:rPr>
          <w:szCs w:val="22"/>
          <w:lang w:val="lt-LT"/>
        </w:rPr>
      </w:pPr>
    </w:p>
    <w:p w:rsidR="00ED67AE" w:rsidRDefault="00ED67AE" w:rsidP="00ED67AE">
      <w:pPr>
        <w:rPr>
          <w:szCs w:val="22"/>
          <w:lang w:val="lt-LT"/>
        </w:rPr>
      </w:pPr>
      <w:r>
        <w:rPr>
          <w:szCs w:val="22"/>
          <w:lang w:val="lt-LT"/>
        </w:rPr>
        <w:t>Šiam vaistiniam preparatui specialių laikymo sąlygų nereikia.</w:t>
      </w:r>
    </w:p>
    <w:p w:rsidR="00ED67AE" w:rsidRPr="00CD6267" w:rsidRDefault="00ED67AE" w:rsidP="00ED67AE">
      <w:pPr>
        <w:rPr>
          <w:szCs w:val="22"/>
          <w:lang w:val="lt-LT"/>
        </w:rPr>
      </w:pPr>
    </w:p>
    <w:p w:rsidR="00ED67AE" w:rsidRPr="00CD6267" w:rsidRDefault="00ED67AE" w:rsidP="00ED67AE">
      <w:pPr>
        <w:rPr>
          <w:b/>
          <w:szCs w:val="22"/>
          <w:lang w:val="lt-LT"/>
        </w:rPr>
      </w:pPr>
      <w:r>
        <w:rPr>
          <w:b/>
          <w:bCs/>
          <w:szCs w:val="22"/>
          <w:lang w:val="lt-LT"/>
        </w:rPr>
        <w:t>6.5</w:t>
      </w:r>
      <w:r>
        <w:rPr>
          <w:b/>
          <w:bCs/>
          <w:szCs w:val="22"/>
          <w:lang w:val="lt-LT"/>
        </w:rPr>
        <w:tab/>
      </w:r>
      <w:r w:rsidR="00137EE2">
        <w:rPr>
          <w:b/>
          <w:bCs/>
          <w:szCs w:val="22"/>
          <w:lang w:val="lt-LT"/>
        </w:rPr>
        <w:t>Talpyklėe pobūdis</w:t>
      </w:r>
      <w:r>
        <w:rPr>
          <w:b/>
          <w:bCs/>
          <w:szCs w:val="22"/>
          <w:lang w:val="lt-LT"/>
        </w:rPr>
        <w:t xml:space="preserve"> ir jos</w:t>
      </w:r>
      <w:r w:rsidRPr="00CD6267">
        <w:rPr>
          <w:b/>
          <w:bCs/>
          <w:szCs w:val="22"/>
          <w:lang w:val="lt-LT"/>
        </w:rPr>
        <w:t xml:space="preserve"> turinys</w:t>
      </w:r>
    </w:p>
    <w:p w:rsidR="00ED67AE" w:rsidRDefault="00ED67AE" w:rsidP="00ED67AE">
      <w:pPr>
        <w:rPr>
          <w:iCs/>
          <w:szCs w:val="22"/>
          <w:lang w:val="lt-LT"/>
        </w:rPr>
      </w:pPr>
    </w:p>
    <w:p w:rsidR="00ED67AE" w:rsidRDefault="00ED67AE" w:rsidP="00ED67AE">
      <w:pPr>
        <w:rPr>
          <w:iCs/>
          <w:szCs w:val="22"/>
          <w:lang w:val="lt-LT"/>
        </w:rPr>
      </w:pPr>
      <w:r>
        <w:rPr>
          <w:iCs/>
          <w:szCs w:val="22"/>
          <w:lang w:val="lt-LT"/>
        </w:rPr>
        <w:t>OPA/Aliuminio/PVC:Aliuminio lizdinių plokštelių kartono dėžutė, kurioje yra 1, 3, 7, 10, 14, 20, 21, 28 arba</w:t>
      </w:r>
      <w:r w:rsidRPr="00384FBB">
        <w:rPr>
          <w:iCs/>
          <w:szCs w:val="22"/>
          <w:lang w:val="lt-LT"/>
        </w:rPr>
        <w:t xml:space="preserve"> 30</w:t>
      </w:r>
      <w:r>
        <w:rPr>
          <w:iCs/>
          <w:szCs w:val="22"/>
          <w:lang w:val="lt-LT"/>
        </w:rPr>
        <w:t xml:space="preserve"> </w:t>
      </w:r>
      <w:r w:rsidRPr="00384FBB">
        <w:rPr>
          <w:iCs/>
          <w:szCs w:val="22"/>
          <w:lang w:val="lt-LT"/>
        </w:rPr>
        <w:t xml:space="preserve">tablečių </w:t>
      </w:r>
    </w:p>
    <w:p w:rsidR="00ED67AE" w:rsidRDefault="00ED67AE" w:rsidP="00ED67AE">
      <w:pPr>
        <w:rPr>
          <w:iCs/>
          <w:szCs w:val="22"/>
          <w:lang w:val="lt-LT"/>
        </w:rPr>
      </w:pPr>
    </w:p>
    <w:p w:rsidR="00ED67AE" w:rsidRPr="00CD6267" w:rsidRDefault="00ED67AE" w:rsidP="00ED67AE">
      <w:pPr>
        <w:rPr>
          <w:iCs/>
          <w:szCs w:val="22"/>
          <w:lang w:val="lt-LT"/>
        </w:rPr>
      </w:pPr>
      <w:r>
        <w:rPr>
          <w:iCs/>
          <w:szCs w:val="22"/>
          <w:lang w:val="lt-LT"/>
        </w:rPr>
        <w:t xml:space="preserve">PVC/PVDC:Aliuminio lizdinių plokštelių kartono dėžutė, kurioje yra </w:t>
      </w:r>
      <w:r w:rsidRPr="00384FBB">
        <w:rPr>
          <w:iCs/>
          <w:szCs w:val="22"/>
          <w:lang w:val="lt-LT"/>
        </w:rPr>
        <w:t xml:space="preserve">1, 3, 7, 10, 14, 20, 21, </w:t>
      </w:r>
      <w:r>
        <w:rPr>
          <w:iCs/>
          <w:szCs w:val="22"/>
          <w:lang w:val="lt-LT"/>
        </w:rPr>
        <w:t>28 arba</w:t>
      </w:r>
      <w:r w:rsidRPr="00384FBB">
        <w:rPr>
          <w:iCs/>
          <w:szCs w:val="22"/>
          <w:lang w:val="lt-LT"/>
        </w:rPr>
        <w:t xml:space="preserve"> 30</w:t>
      </w:r>
      <w:r>
        <w:rPr>
          <w:iCs/>
          <w:szCs w:val="22"/>
          <w:lang w:val="lt-LT"/>
        </w:rPr>
        <w:t xml:space="preserve"> </w:t>
      </w:r>
      <w:r w:rsidRPr="00384FBB">
        <w:rPr>
          <w:iCs/>
          <w:szCs w:val="22"/>
          <w:lang w:val="lt-LT"/>
        </w:rPr>
        <w:t xml:space="preserve">tablečių </w:t>
      </w:r>
    </w:p>
    <w:p w:rsidR="00ED67AE" w:rsidRDefault="00ED67AE" w:rsidP="00ED67AE">
      <w:pPr>
        <w:rPr>
          <w:szCs w:val="22"/>
          <w:lang w:val="lt-LT"/>
        </w:rPr>
      </w:pPr>
    </w:p>
    <w:p w:rsidR="00ED67AE" w:rsidRPr="00CD6267" w:rsidRDefault="00ED67AE" w:rsidP="00ED67AE">
      <w:pPr>
        <w:rPr>
          <w:szCs w:val="22"/>
          <w:lang w:val="lt-LT"/>
        </w:rPr>
      </w:pPr>
      <w:r w:rsidRPr="00CD6267">
        <w:rPr>
          <w:szCs w:val="22"/>
          <w:lang w:val="lt-LT"/>
        </w:rPr>
        <w:t>Gali būti tiekiamos ne visų dydžių pakuotės.</w:t>
      </w: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6.6</w:t>
      </w:r>
      <w:r w:rsidRPr="00CD6267">
        <w:rPr>
          <w:b/>
          <w:szCs w:val="22"/>
          <w:lang w:val="lt-LT"/>
        </w:rPr>
        <w:tab/>
      </w:r>
      <w:r w:rsidRPr="00CD6267">
        <w:rPr>
          <w:rStyle w:val="Grietas"/>
          <w:color w:val="000000"/>
          <w:szCs w:val="22"/>
          <w:lang w:val="lt-LT"/>
        </w:rPr>
        <w:t>Specialūs reikalavimai atliekoms tvarkyti</w:t>
      </w:r>
    </w:p>
    <w:p w:rsidR="00ED67AE" w:rsidRPr="00CD6267" w:rsidRDefault="00ED67AE" w:rsidP="00ED67AE">
      <w:pPr>
        <w:rPr>
          <w:szCs w:val="22"/>
          <w:lang w:val="lt-LT"/>
        </w:rPr>
      </w:pPr>
    </w:p>
    <w:p w:rsidR="00ED67AE" w:rsidRPr="00CD6267" w:rsidRDefault="00ED67AE" w:rsidP="00ED67AE">
      <w:pPr>
        <w:rPr>
          <w:szCs w:val="22"/>
          <w:lang w:val="lt-LT"/>
        </w:rPr>
      </w:pPr>
      <w:r>
        <w:rPr>
          <w:szCs w:val="22"/>
          <w:lang w:val="lt-LT"/>
        </w:rPr>
        <w:t>Nesuvartotą vaistinį preparatą ir atliekas reikia tvarkyti laikantis vietinių reikalavimų. Vaistinio preparato patekimą į aplinką būtina kiek įmanoma sumažinti.</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7.</w:t>
      </w:r>
      <w:r w:rsidRPr="00CD6267">
        <w:rPr>
          <w:b/>
          <w:szCs w:val="22"/>
          <w:lang w:val="lt-LT"/>
        </w:rPr>
        <w:tab/>
      </w:r>
      <w:r w:rsidR="00137EE2">
        <w:rPr>
          <w:b/>
          <w:caps/>
          <w:szCs w:val="22"/>
          <w:lang w:val="lt-LT"/>
        </w:rPr>
        <w:t>REGISTRUOTOJAS</w:t>
      </w:r>
    </w:p>
    <w:p w:rsidR="00ED67AE" w:rsidRPr="00CD6267" w:rsidRDefault="00ED67AE" w:rsidP="00ED67AE">
      <w:pPr>
        <w:rPr>
          <w:szCs w:val="22"/>
          <w:lang w:val="lt-LT"/>
        </w:rPr>
      </w:pPr>
    </w:p>
    <w:p w:rsidR="00ED67AE" w:rsidRDefault="00ED67AE" w:rsidP="00ED67AE">
      <w:pPr>
        <w:rPr>
          <w:szCs w:val="22"/>
          <w:lang w:val="lt-LT"/>
        </w:rPr>
      </w:pPr>
      <w:r>
        <w:rPr>
          <w:szCs w:val="22"/>
          <w:lang w:val="lt-LT"/>
        </w:rPr>
        <w:t>Actavis Group PTC ehf</w:t>
      </w:r>
    </w:p>
    <w:p w:rsidR="00ED67AE" w:rsidRDefault="00ED67AE" w:rsidP="00ED67AE">
      <w:pPr>
        <w:rPr>
          <w:szCs w:val="22"/>
          <w:lang w:val="lt-LT"/>
        </w:rPr>
      </w:pPr>
      <w:r>
        <w:rPr>
          <w:szCs w:val="22"/>
          <w:lang w:val="lt-LT"/>
        </w:rPr>
        <w:t>Reykjavíkurvegi 76-78, 220 Hafnarfjörður</w:t>
      </w:r>
    </w:p>
    <w:p w:rsidR="00ED67AE" w:rsidRDefault="00ED67AE" w:rsidP="00ED67AE">
      <w:pPr>
        <w:rPr>
          <w:szCs w:val="22"/>
          <w:lang w:val="lt-LT"/>
        </w:rPr>
      </w:pPr>
      <w:r>
        <w:rPr>
          <w:szCs w:val="22"/>
          <w:lang w:val="lt-LT"/>
        </w:rPr>
        <w:t>Islandija</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8.</w:t>
      </w:r>
      <w:r w:rsidRPr="00CD6267">
        <w:rPr>
          <w:b/>
          <w:szCs w:val="22"/>
          <w:lang w:val="lt-LT"/>
        </w:rPr>
        <w:tab/>
      </w:r>
      <w:r w:rsidRPr="00CD6267">
        <w:rPr>
          <w:b/>
          <w:caps/>
          <w:szCs w:val="22"/>
          <w:lang w:val="lt-LT"/>
        </w:rPr>
        <w:t>R</w:t>
      </w:r>
      <w:r w:rsidR="00137EE2">
        <w:rPr>
          <w:b/>
          <w:caps/>
          <w:szCs w:val="22"/>
          <w:lang w:val="lt-LT"/>
        </w:rPr>
        <w:t>EGISTRACIJOS PAŽYMĖJIMO</w:t>
      </w:r>
      <w:r w:rsidRPr="00CD6267">
        <w:rPr>
          <w:b/>
          <w:caps/>
          <w:szCs w:val="22"/>
          <w:lang w:val="lt-LT"/>
        </w:rPr>
        <w:t xml:space="preserve"> numeris</w:t>
      </w:r>
      <w:r w:rsidRPr="00CD6267">
        <w:rPr>
          <w:b/>
          <w:szCs w:val="22"/>
          <w:lang w:val="lt-LT"/>
        </w:rPr>
        <w:t xml:space="preserve"> </w:t>
      </w:r>
      <w:r w:rsidRPr="00CD6267">
        <w:rPr>
          <w:b/>
          <w:caps/>
          <w:szCs w:val="22"/>
          <w:lang w:val="lt-LT"/>
        </w:rPr>
        <w:t>(-IAI)</w:t>
      </w:r>
    </w:p>
    <w:p w:rsidR="00ED67AE" w:rsidRDefault="00ED67AE" w:rsidP="00ED67AE">
      <w:pPr>
        <w:rPr>
          <w:szCs w:val="22"/>
          <w:lang w:val="lt-LT"/>
        </w:rPr>
      </w:pPr>
    </w:p>
    <w:p w:rsidR="00ED67AE" w:rsidRDefault="00ED67AE" w:rsidP="00ED67AE">
      <w:pPr>
        <w:rPr>
          <w:bCs/>
          <w:szCs w:val="22"/>
          <w:lang w:val="lt-LT"/>
        </w:rPr>
      </w:pPr>
      <w:r>
        <w:rPr>
          <w:bCs/>
          <w:szCs w:val="22"/>
          <w:lang w:val="lt-LT"/>
        </w:rPr>
        <w:t xml:space="preserve">N1 - LT/1/10/2310/020 </w:t>
      </w:r>
    </w:p>
    <w:p w:rsidR="00ED67AE" w:rsidRDefault="00ED67AE" w:rsidP="00ED67AE">
      <w:pPr>
        <w:rPr>
          <w:bCs/>
          <w:szCs w:val="22"/>
          <w:lang w:val="lt-LT"/>
        </w:rPr>
      </w:pPr>
      <w:r>
        <w:rPr>
          <w:bCs/>
          <w:szCs w:val="22"/>
          <w:lang w:val="lt-LT"/>
        </w:rPr>
        <w:t xml:space="preserve">N3 - LT/1/10/2310/021 </w:t>
      </w:r>
    </w:p>
    <w:p w:rsidR="00ED67AE" w:rsidRDefault="00ED67AE" w:rsidP="00ED67AE">
      <w:pPr>
        <w:rPr>
          <w:bCs/>
          <w:szCs w:val="22"/>
          <w:lang w:val="lt-LT"/>
        </w:rPr>
      </w:pPr>
      <w:r>
        <w:rPr>
          <w:bCs/>
          <w:szCs w:val="22"/>
          <w:lang w:val="lt-LT"/>
        </w:rPr>
        <w:t xml:space="preserve">N7 - LT/1/10/2310/022 </w:t>
      </w:r>
    </w:p>
    <w:p w:rsidR="00ED67AE" w:rsidRDefault="00ED67AE" w:rsidP="00ED67AE">
      <w:pPr>
        <w:rPr>
          <w:bCs/>
          <w:szCs w:val="22"/>
          <w:lang w:val="lt-LT"/>
        </w:rPr>
      </w:pPr>
      <w:r>
        <w:rPr>
          <w:bCs/>
          <w:szCs w:val="22"/>
          <w:lang w:val="lt-LT"/>
        </w:rPr>
        <w:t xml:space="preserve">N10 - LT/1/10/2310/023 </w:t>
      </w:r>
    </w:p>
    <w:p w:rsidR="00ED67AE" w:rsidRDefault="00ED67AE" w:rsidP="00ED67AE">
      <w:pPr>
        <w:rPr>
          <w:bCs/>
          <w:szCs w:val="22"/>
          <w:lang w:val="lt-LT"/>
        </w:rPr>
      </w:pPr>
      <w:r>
        <w:rPr>
          <w:bCs/>
          <w:szCs w:val="22"/>
          <w:lang w:val="lt-LT"/>
        </w:rPr>
        <w:t xml:space="preserve">N14 - LT/1/10/2310/024 </w:t>
      </w:r>
    </w:p>
    <w:p w:rsidR="00ED67AE" w:rsidRDefault="00ED67AE" w:rsidP="00ED67AE">
      <w:pPr>
        <w:rPr>
          <w:bCs/>
          <w:szCs w:val="22"/>
          <w:lang w:val="lt-LT"/>
        </w:rPr>
      </w:pPr>
      <w:r>
        <w:rPr>
          <w:bCs/>
          <w:szCs w:val="22"/>
          <w:lang w:val="lt-LT"/>
        </w:rPr>
        <w:t xml:space="preserve">N20 - LT/1/10/2310/025 </w:t>
      </w:r>
    </w:p>
    <w:p w:rsidR="00ED67AE" w:rsidRDefault="00ED67AE" w:rsidP="00ED67AE">
      <w:pPr>
        <w:rPr>
          <w:bCs/>
          <w:szCs w:val="22"/>
          <w:lang w:val="lt-LT"/>
        </w:rPr>
      </w:pPr>
      <w:r>
        <w:rPr>
          <w:bCs/>
          <w:szCs w:val="22"/>
          <w:lang w:val="lt-LT"/>
        </w:rPr>
        <w:t xml:space="preserve">N21 - LT/1/10/2310/026 </w:t>
      </w:r>
    </w:p>
    <w:p w:rsidR="00ED67AE" w:rsidRDefault="00ED67AE" w:rsidP="00ED67AE">
      <w:pPr>
        <w:rPr>
          <w:bCs/>
          <w:szCs w:val="22"/>
          <w:lang w:val="lt-LT"/>
        </w:rPr>
      </w:pPr>
      <w:r>
        <w:rPr>
          <w:bCs/>
          <w:szCs w:val="22"/>
          <w:lang w:val="lt-LT"/>
        </w:rPr>
        <w:t xml:space="preserve">N28 - LT/1/10/2310/027 </w:t>
      </w:r>
    </w:p>
    <w:p w:rsidR="00ED67AE" w:rsidRDefault="00ED67AE" w:rsidP="00ED67AE">
      <w:pPr>
        <w:rPr>
          <w:bCs/>
          <w:szCs w:val="22"/>
          <w:lang w:val="lt-LT"/>
        </w:rPr>
      </w:pPr>
      <w:r>
        <w:rPr>
          <w:bCs/>
          <w:szCs w:val="22"/>
          <w:lang w:val="lt-LT"/>
        </w:rPr>
        <w:t xml:space="preserve">N30 - LT/1/10/2310/028 </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9.</w:t>
      </w:r>
      <w:r w:rsidRPr="00CD6267">
        <w:rPr>
          <w:b/>
          <w:szCs w:val="22"/>
          <w:lang w:val="lt-LT"/>
        </w:rPr>
        <w:tab/>
      </w:r>
      <w:r w:rsidRPr="00CD6267">
        <w:rPr>
          <w:b/>
          <w:caps/>
          <w:szCs w:val="22"/>
          <w:lang w:val="lt-LT"/>
        </w:rPr>
        <w:t>r</w:t>
      </w:r>
      <w:r w:rsidR="00137EE2">
        <w:rPr>
          <w:b/>
          <w:caps/>
          <w:szCs w:val="22"/>
          <w:lang w:val="lt-LT"/>
        </w:rPr>
        <w:t>EGISTRAVIMO / PERREGISTRAVIMO</w:t>
      </w:r>
      <w:r w:rsidRPr="00CD6267">
        <w:rPr>
          <w:b/>
          <w:caps/>
          <w:szCs w:val="22"/>
          <w:lang w:val="lt-LT"/>
        </w:rPr>
        <w:t xml:space="preserve"> data</w:t>
      </w:r>
    </w:p>
    <w:p w:rsidR="00ED67AE" w:rsidRPr="00CD6267" w:rsidRDefault="00ED67AE" w:rsidP="00ED67AE">
      <w:pPr>
        <w:rPr>
          <w:szCs w:val="22"/>
          <w:lang w:val="lt-LT"/>
        </w:rPr>
      </w:pPr>
    </w:p>
    <w:p w:rsidR="00ED67AE" w:rsidRPr="00CD6267" w:rsidRDefault="00137EE2" w:rsidP="00ED67AE">
      <w:pPr>
        <w:rPr>
          <w:szCs w:val="22"/>
          <w:lang w:val="lt-LT"/>
        </w:rPr>
      </w:pPr>
      <w:r>
        <w:rPr>
          <w:szCs w:val="22"/>
          <w:lang w:val="lt-LT"/>
        </w:rPr>
        <w:t xml:space="preserve">Registravimo data </w:t>
      </w:r>
      <w:r w:rsidR="00ED67AE">
        <w:rPr>
          <w:szCs w:val="22"/>
          <w:lang w:val="lt-LT"/>
        </w:rPr>
        <w:t>2011</w:t>
      </w:r>
      <w:r>
        <w:rPr>
          <w:szCs w:val="22"/>
          <w:lang w:val="lt-LT"/>
        </w:rPr>
        <w:t xml:space="preserve"> m. sausio mėn. </w:t>
      </w:r>
      <w:r w:rsidR="00ED67AE">
        <w:rPr>
          <w:szCs w:val="22"/>
          <w:lang w:val="lt-LT"/>
        </w:rPr>
        <w:t>26</w:t>
      </w:r>
      <w:r>
        <w:rPr>
          <w:szCs w:val="22"/>
          <w:lang w:val="lt-LT"/>
        </w:rPr>
        <w:t> d.</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10.</w:t>
      </w:r>
      <w:r w:rsidRPr="00CD6267">
        <w:rPr>
          <w:b/>
          <w:szCs w:val="22"/>
          <w:lang w:val="lt-LT"/>
        </w:rPr>
        <w:tab/>
      </w:r>
      <w:r w:rsidRPr="00CD6267">
        <w:rPr>
          <w:b/>
          <w:caps/>
          <w:szCs w:val="22"/>
          <w:lang w:val="lt-LT"/>
        </w:rPr>
        <w:t>teksto peržiūros data</w:t>
      </w:r>
    </w:p>
    <w:p w:rsidR="00ED67AE" w:rsidRDefault="00ED67AE" w:rsidP="00ED67AE">
      <w:pPr>
        <w:rPr>
          <w:szCs w:val="22"/>
          <w:lang w:val="lt-LT"/>
        </w:rPr>
      </w:pPr>
    </w:p>
    <w:p w:rsidR="00383225" w:rsidRDefault="00383225" w:rsidP="00ED67AE">
      <w:pPr>
        <w:rPr>
          <w:szCs w:val="22"/>
          <w:lang w:val="lt-LT"/>
        </w:rPr>
      </w:pPr>
      <w:r>
        <w:rPr>
          <w:szCs w:val="22"/>
          <w:lang w:val="lt-LT"/>
        </w:rPr>
        <w:t>2016 m. vasario mėn. 23 d.</w:t>
      </w:r>
    </w:p>
    <w:p w:rsidR="00ED67AE" w:rsidRPr="00CD6267" w:rsidRDefault="00ED67AE" w:rsidP="00ED67AE">
      <w:pPr>
        <w:rPr>
          <w:szCs w:val="22"/>
          <w:lang w:val="lt-LT"/>
        </w:rPr>
      </w:pPr>
    </w:p>
    <w:p w:rsidR="00ED67AE" w:rsidRPr="002567EC" w:rsidRDefault="00137EE2" w:rsidP="00ED67AE">
      <w:pPr>
        <w:pStyle w:val="Antrats"/>
        <w:tabs>
          <w:tab w:val="clear" w:pos="4153"/>
          <w:tab w:val="clear" w:pos="8306"/>
          <w:tab w:val="left" w:pos="567"/>
        </w:tabs>
        <w:rPr>
          <w:szCs w:val="22"/>
          <w:u w:val="single"/>
        </w:rPr>
      </w:pPr>
      <w:r w:rsidRPr="00DF5828">
        <w:t>Išsami informacija apie šį vaistinį preparatą pateikiama Valstybinės vaistų kontrolės tarnybos prie Lietuvos Respublikos  sveikatos apsaugos ministerijos tinklalapyje</w:t>
      </w:r>
      <w:r w:rsidRPr="00DF5828">
        <w:rPr>
          <w:i/>
        </w:rPr>
        <w:t xml:space="preserve"> </w:t>
      </w:r>
      <w:r w:rsidR="00ED67AE" w:rsidRPr="008A0D9F">
        <w:rPr>
          <w:color w:val="0000FF"/>
          <w:szCs w:val="22"/>
          <w:u w:val="single"/>
        </w:rPr>
        <w:t>http://www.vvkt.lt/</w:t>
      </w:r>
    </w:p>
    <w:p w:rsidR="00ED67AE" w:rsidRPr="00CD6267" w:rsidRDefault="00ED67AE" w:rsidP="00ED67AE">
      <w:pPr>
        <w:rPr>
          <w:b/>
          <w:szCs w:val="22"/>
          <w:lang w:val="lt-LT"/>
        </w:rPr>
      </w:pPr>
    </w:p>
    <w:p w:rsidR="00ED67AE" w:rsidRDefault="00ED67AE" w:rsidP="00ED67AE">
      <w:pPr>
        <w:pStyle w:val="BTEMEASMCA"/>
        <w:rPr>
          <w:noProof w:val="0"/>
        </w:rPr>
      </w:pPr>
      <w:r w:rsidRPr="00CD6267">
        <w:rPr>
          <w:b/>
        </w:rPr>
        <w:br w:type="page"/>
      </w:r>
    </w:p>
    <w:p w:rsidR="00ED67AE" w:rsidRDefault="00ED67AE" w:rsidP="00ED67AE">
      <w:pPr>
        <w:pStyle w:val="BTEMEASMCA"/>
        <w:rPr>
          <w:noProof w:val="0"/>
        </w:rPr>
      </w:pPr>
    </w:p>
    <w:p w:rsidR="00ED67AE" w:rsidRDefault="00ED67AE" w:rsidP="00ED67AE">
      <w:pPr>
        <w:pStyle w:val="BTEMEASMCA"/>
        <w:rPr>
          <w:noProof w:val="0"/>
        </w:rPr>
      </w:pPr>
    </w:p>
    <w:p w:rsidR="00ED67AE" w:rsidRDefault="00ED67AE" w:rsidP="00ED67AE">
      <w:pPr>
        <w:pStyle w:val="BTEMEASMCA"/>
        <w:rPr>
          <w:noProof w:val="0"/>
        </w:rPr>
      </w:pPr>
    </w:p>
    <w:p w:rsidR="00ED67AE" w:rsidRDefault="00ED67AE" w:rsidP="00ED67AE">
      <w:pPr>
        <w:pStyle w:val="BTEMEASMCA"/>
        <w:rPr>
          <w:noProof w:val="0"/>
        </w:rPr>
      </w:pPr>
    </w:p>
    <w:p w:rsidR="00ED67AE"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Pr="00DF4173" w:rsidRDefault="00ED67AE" w:rsidP="00ED67AE">
      <w:pPr>
        <w:pStyle w:val="BTEMEASMCA"/>
        <w:rPr>
          <w:noProof w:val="0"/>
        </w:rPr>
      </w:pPr>
    </w:p>
    <w:p w:rsidR="00ED67AE" w:rsidRDefault="00ED67AE" w:rsidP="00ED67AE">
      <w:pPr>
        <w:pStyle w:val="TTEMEASMCA"/>
        <w:rPr>
          <w:lang w:val="lt-LT"/>
        </w:rPr>
      </w:pPr>
      <w:bookmarkStart w:id="0" w:name="_Toc129243128"/>
      <w:bookmarkStart w:id="1" w:name="_Toc129243253"/>
      <w:r w:rsidRPr="00CE7AF1">
        <w:rPr>
          <w:lang w:val="lt-LT"/>
        </w:rPr>
        <w:t>II PRIEDAS</w:t>
      </w:r>
      <w:bookmarkEnd w:id="0"/>
      <w:bookmarkEnd w:id="1"/>
    </w:p>
    <w:p w:rsidR="00ED67AE" w:rsidRDefault="00ED67AE" w:rsidP="00ED67AE">
      <w:pPr>
        <w:pStyle w:val="TTEMEASMCA"/>
        <w:rPr>
          <w:lang w:val="lt-LT"/>
        </w:rPr>
      </w:pPr>
    </w:p>
    <w:p w:rsidR="00ED67AE" w:rsidRPr="008430A5" w:rsidRDefault="00ED67AE" w:rsidP="00ED67AE">
      <w:pPr>
        <w:pStyle w:val="TTEMEASMCA"/>
        <w:rPr>
          <w:lang w:val="lt-LT"/>
        </w:rPr>
      </w:pPr>
      <w:r w:rsidRPr="008430A5">
        <w:rPr>
          <w:lang w:val="lt-LT"/>
        </w:rPr>
        <w:t>R</w:t>
      </w:r>
      <w:r w:rsidR="005A5ACB">
        <w:rPr>
          <w:lang w:val="lt-LT"/>
        </w:rPr>
        <w:t>EGISTRACIJOS</w:t>
      </w:r>
      <w:r w:rsidRPr="008430A5">
        <w:rPr>
          <w:lang w:val="lt-LT"/>
        </w:rPr>
        <w:t xml:space="preserve"> SĄLYGOS</w:t>
      </w:r>
    </w:p>
    <w:p w:rsidR="00ED67AE" w:rsidRPr="00CE7AF1" w:rsidRDefault="00ED67AE" w:rsidP="00ED67AE">
      <w:pPr>
        <w:pStyle w:val="BTEMEASMCA"/>
        <w:rPr>
          <w:noProof w:val="0"/>
        </w:rPr>
      </w:pPr>
    </w:p>
    <w:p w:rsidR="00ED67AE" w:rsidRPr="00DF4173" w:rsidRDefault="00ED67AE" w:rsidP="00ED67AE">
      <w:pPr>
        <w:pStyle w:val="BTAnIIEMEASMCA"/>
        <w:rPr>
          <w:highlight w:val="yellow"/>
          <w:lang w:val="lt-LT"/>
        </w:rPr>
      </w:pPr>
      <w:r w:rsidRPr="00CE7AF1">
        <w:rPr>
          <w:lang w:val="lt-LT"/>
        </w:rPr>
        <w:t>A.</w:t>
      </w:r>
      <w:r w:rsidRPr="00CE7AF1">
        <w:rPr>
          <w:lang w:val="lt-LT"/>
        </w:rPr>
        <w:tab/>
      </w:r>
      <w:r w:rsidRPr="00DF4173">
        <w:rPr>
          <w:lang w:val="lt-LT"/>
        </w:rPr>
        <w:t>GAMYBOS LICENCIJOS TURĖTOJAS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ED67AE" w:rsidRPr="00DF4173" w:rsidRDefault="00ED67AE" w:rsidP="00ED67AE">
      <w:pPr>
        <w:pStyle w:val="BTEMEASMCA"/>
        <w:rPr>
          <w:noProof w:val="0"/>
          <w:highlight w:val="yellow"/>
        </w:rPr>
      </w:pPr>
    </w:p>
    <w:p w:rsidR="00ED67AE" w:rsidRPr="00DF4173" w:rsidRDefault="00ED67AE" w:rsidP="00ED67AE">
      <w:pPr>
        <w:pStyle w:val="BTAnIIEMEASMCA"/>
        <w:rPr>
          <w:lang w:val="lt-LT"/>
        </w:rPr>
      </w:pPr>
      <w:r w:rsidRPr="00DF4173">
        <w:rPr>
          <w:lang w:val="lt-LT"/>
        </w:rPr>
        <w:t>B.</w:t>
      </w:r>
      <w:r w:rsidRPr="00DF4173">
        <w:rPr>
          <w:lang w:val="lt-LT"/>
        </w:rPr>
        <w:tab/>
      </w:r>
      <w:r w:rsidR="005A5ACB">
        <w:rPr>
          <w:lang w:val="lt-LT"/>
        </w:rPr>
        <w:t>TIEKIMO IR VARTOJIMO</w:t>
      </w:r>
      <w:r w:rsidRPr="00DF4173">
        <w:rPr>
          <w:lang w:val="lt-LT"/>
        </w:rPr>
        <w:t xml:space="preserve"> SĄLYGOS</w:t>
      </w:r>
      <w:r w:rsidR="005A5ACB">
        <w:rPr>
          <w:lang w:val="lt-LT"/>
        </w:rPr>
        <w:t xml:space="preserve"> IR APRIBOJIMAI</w:t>
      </w:r>
    </w:p>
    <w:p w:rsidR="00ED67AE" w:rsidRDefault="00ED67AE" w:rsidP="00ED67AE">
      <w:pPr>
        <w:rPr>
          <w:noProof/>
          <w:lang w:val="lt-LT"/>
        </w:rPr>
      </w:pPr>
    </w:p>
    <w:p w:rsidR="00ED67AE" w:rsidRPr="004532B2" w:rsidRDefault="00ED67AE" w:rsidP="00ED67AE">
      <w:pPr>
        <w:rPr>
          <w:rFonts w:cs="TimesNewRoman,Bold"/>
          <w:b/>
          <w:lang w:val="lt-LT" w:eastAsia="pl-PL"/>
        </w:rPr>
      </w:pPr>
      <w:r w:rsidRPr="004532B2">
        <w:rPr>
          <w:noProof/>
          <w:lang w:val="lt-LT"/>
        </w:rPr>
        <w:br w:type="page"/>
      </w:r>
      <w:r w:rsidRPr="004532B2">
        <w:rPr>
          <w:b/>
          <w:noProof/>
          <w:lang w:val="lt-LT"/>
        </w:rPr>
        <w:t>A.</w:t>
      </w:r>
      <w:r w:rsidRPr="004532B2">
        <w:rPr>
          <w:b/>
          <w:noProof/>
          <w:lang w:val="lt-LT"/>
        </w:rPr>
        <w:tab/>
      </w:r>
      <w:r w:rsidRPr="004532B2">
        <w:rPr>
          <w:rFonts w:cs="TimesNewRoman,Bold"/>
          <w:b/>
          <w:lang w:val="lt-LT" w:eastAsia="pl-PL"/>
        </w:rPr>
        <w:t>GAM</w:t>
      </w:r>
      <w:r w:rsidR="005A5ACB">
        <w:rPr>
          <w:rFonts w:cs="TimesNewRoman,Bold"/>
          <w:b/>
          <w:lang w:val="lt-LT" w:eastAsia="pl-PL"/>
        </w:rPr>
        <w:t>IN</w:t>
      </w:r>
      <w:r w:rsidRPr="004532B2">
        <w:rPr>
          <w:rFonts w:cs="TimesNewRoman,Bold"/>
          <w:b/>
          <w:lang w:val="lt-LT" w:eastAsia="pl-PL"/>
        </w:rPr>
        <w:t>TOJAS (-AI), ATSAKINGAS (-I) UŽ SERIJŲ IŠLEIDIMĄ</w:t>
      </w:r>
    </w:p>
    <w:p w:rsidR="00ED67AE" w:rsidRPr="004532B2" w:rsidRDefault="00ED67AE" w:rsidP="00ED67AE">
      <w:pPr>
        <w:rPr>
          <w:rFonts w:ascii="TimesNewRoman,Bold" w:hAnsi="TimesNewRoman,Bold" w:cs="TimesNewRoman,Bold"/>
          <w:b/>
          <w:lang w:val="lt-LT" w:eastAsia="pl-PL"/>
        </w:rPr>
      </w:pPr>
    </w:p>
    <w:p w:rsidR="00ED67AE" w:rsidRPr="002C4E8D" w:rsidRDefault="00ED67AE" w:rsidP="00ED67AE">
      <w:pPr>
        <w:rPr>
          <w:rFonts w:ascii="TimesNewRoman,Bold" w:hAnsi="TimesNewRoman,Bold" w:cs="TimesNewRoman,Bold"/>
          <w:u w:val="single"/>
          <w:lang w:val="lt-LT" w:eastAsia="pl-PL"/>
        </w:rPr>
      </w:pPr>
      <w:r w:rsidRPr="002C4E8D">
        <w:rPr>
          <w:rFonts w:ascii="TimesNewRoman,Bold" w:hAnsi="TimesNewRoman,Bold" w:cs="TimesNewRoman,Bold"/>
          <w:u w:val="single"/>
          <w:lang w:val="lt-LT" w:eastAsia="pl-PL"/>
        </w:rPr>
        <w:t>Gamintojo (-ų), atsakingo (-ų) už serijų išleidimą, pavadinimas (-ai) ir adresas (-ai)</w:t>
      </w:r>
    </w:p>
    <w:p w:rsidR="00ED67AE" w:rsidRPr="002C4E8D" w:rsidRDefault="00ED67AE" w:rsidP="00ED67AE">
      <w:pPr>
        <w:rPr>
          <w:rFonts w:ascii="TimesNewRoman,Bold" w:hAnsi="TimesNewRoman,Bold" w:cs="TimesNewRoman,Bold"/>
          <w:lang w:val="lt-LT" w:eastAsia="pl-PL"/>
        </w:rPr>
      </w:pPr>
    </w:p>
    <w:p w:rsidR="00ED67AE" w:rsidRPr="00931C4F" w:rsidRDefault="00ED67AE" w:rsidP="00ED67AE">
      <w:pPr>
        <w:rPr>
          <w:rFonts w:ascii="TimesNewRoman,Bold" w:hAnsi="TimesNewRoman,Bold" w:cs="TimesNewRoman,Bold"/>
          <w:lang w:val="lt-LT" w:eastAsia="pl-PL"/>
        </w:rPr>
      </w:pPr>
      <w:r w:rsidRPr="00931C4F">
        <w:rPr>
          <w:rFonts w:ascii="TimesNewRoman,Bold" w:hAnsi="TimesNewRoman,Bold" w:cs="TimesNewRoman,Bold"/>
          <w:lang w:val="lt-LT" w:eastAsia="pl-PL"/>
        </w:rPr>
        <w:t>Synthon BV</w:t>
      </w:r>
    </w:p>
    <w:p w:rsidR="00ED67AE" w:rsidRPr="00931C4F" w:rsidRDefault="00ED67AE" w:rsidP="00ED67AE">
      <w:pPr>
        <w:rPr>
          <w:rFonts w:ascii="TimesNewRoman,Bold" w:hAnsi="TimesNewRoman,Bold" w:cs="TimesNewRoman,Bold"/>
          <w:lang w:val="lt-LT" w:eastAsia="pl-PL"/>
        </w:rPr>
      </w:pPr>
      <w:r w:rsidRPr="00931C4F">
        <w:rPr>
          <w:rFonts w:ascii="TimesNewRoman,Bold" w:hAnsi="TimesNewRoman,Bold" w:cs="TimesNewRoman,Bold"/>
          <w:lang w:val="lt-LT" w:eastAsia="pl-PL"/>
        </w:rPr>
        <w:t>Microweg 22, 6545CM Nijmegen</w:t>
      </w: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Nyderlandai</w:t>
      </w:r>
    </w:p>
    <w:p w:rsidR="00ED67AE" w:rsidRPr="00931C4F" w:rsidRDefault="00ED67AE" w:rsidP="00ED67AE">
      <w:pPr>
        <w:rPr>
          <w:rFonts w:ascii="TimesNewRoman,Bold" w:hAnsi="TimesNewRoman,Bold" w:cs="TimesNewRoman,Bold"/>
          <w:lang w:val="nb-NO" w:eastAsia="pl-PL"/>
        </w:rPr>
      </w:pP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arba</w:t>
      </w:r>
    </w:p>
    <w:p w:rsidR="00ED67AE" w:rsidRPr="00931C4F" w:rsidRDefault="00ED67AE" w:rsidP="00ED67AE">
      <w:pPr>
        <w:rPr>
          <w:rFonts w:ascii="TimesNewRoman,Bold" w:hAnsi="TimesNewRoman,Bold" w:cs="TimesNewRoman,Bold"/>
          <w:lang w:val="nb-NO" w:eastAsia="pl-PL"/>
        </w:rPr>
      </w:pP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Synthon Hispania SL</w:t>
      </w:r>
    </w:p>
    <w:p w:rsidR="00ED67AE" w:rsidRDefault="00ED67AE" w:rsidP="00ED67AE">
      <w:pPr>
        <w:rPr>
          <w:lang w:val="es-ES"/>
        </w:rPr>
      </w:pPr>
      <w:r w:rsidRPr="00931C4F">
        <w:rPr>
          <w:lang w:val="es-ES"/>
        </w:rPr>
        <w:t>Castelló 1, Polígono Las Salinas, 08830 Sant Boi de Llobregat</w:t>
      </w:r>
    </w:p>
    <w:p w:rsidR="00ED67AE" w:rsidRDefault="00ED67AE" w:rsidP="00ED67AE">
      <w:pPr>
        <w:rPr>
          <w:lang w:val="es-ES"/>
        </w:rPr>
      </w:pPr>
      <w:r>
        <w:rPr>
          <w:lang w:val="es-ES"/>
        </w:rPr>
        <w:t>Ispanija</w:t>
      </w:r>
    </w:p>
    <w:p w:rsidR="00ED67AE" w:rsidRPr="00914FA0" w:rsidRDefault="00ED67AE" w:rsidP="00ED67AE">
      <w:pPr>
        <w:rPr>
          <w:rFonts w:ascii="TimesNewRoman,Bold" w:hAnsi="TimesNewRoman,Bold" w:cs="TimesNewRoman,Bold"/>
          <w:lang w:eastAsia="pl-PL"/>
        </w:rPr>
      </w:pPr>
    </w:p>
    <w:p w:rsidR="00ED67AE" w:rsidRPr="000F46CA" w:rsidRDefault="00ED67AE" w:rsidP="00ED67AE">
      <w:pPr>
        <w:rPr>
          <w:lang w:val="es-ES"/>
        </w:rPr>
      </w:pPr>
      <w:proofErr w:type="gramStart"/>
      <w:r w:rsidRPr="000F46CA">
        <w:rPr>
          <w:lang w:val="es-ES"/>
        </w:rPr>
        <w:t>arba</w:t>
      </w:r>
      <w:proofErr w:type="gramEnd"/>
    </w:p>
    <w:p w:rsidR="00ED67AE" w:rsidRPr="000F46CA" w:rsidRDefault="00ED67AE" w:rsidP="00ED67AE">
      <w:pPr>
        <w:rPr>
          <w:lang w:val="es-ES"/>
        </w:rPr>
      </w:pPr>
    </w:p>
    <w:p w:rsidR="00ED67AE" w:rsidRPr="000F46CA" w:rsidRDefault="00ED67AE" w:rsidP="00ED67AE">
      <w:pPr>
        <w:rPr>
          <w:lang w:val="es-ES"/>
        </w:rPr>
      </w:pPr>
      <w:r w:rsidRPr="000F46CA">
        <w:rPr>
          <w:lang w:val="es-ES"/>
        </w:rPr>
        <w:t>MPF B.V.</w:t>
      </w:r>
    </w:p>
    <w:p w:rsidR="00ED67AE" w:rsidRPr="000F46CA" w:rsidRDefault="00ED67AE" w:rsidP="00ED67AE">
      <w:pPr>
        <w:rPr>
          <w:lang w:val="es-ES"/>
        </w:rPr>
      </w:pPr>
      <w:r w:rsidRPr="000F46CA">
        <w:rPr>
          <w:lang w:val="es-ES"/>
        </w:rPr>
        <w:t>Appelhof 13, 8465 RX Oudehaske</w:t>
      </w:r>
    </w:p>
    <w:p w:rsidR="00ED67AE" w:rsidRPr="00EC6AAF" w:rsidRDefault="00ED67AE" w:rsidP="00ED67AE">
      <w:pPr>
        <w:rPr>
          <w:lang w:val="nb-NO"/>
        </w:rPr>
      </w:pPr>
      <w:r w:rsidRPr="00EC6AAF">
        <w:rPr>
          <w:lang w:val="nb-NO"/>
        </w:rPr>
        <w:t>Nyderlandai</w:t>
      </w:r>
    </w:p>
    <w:p w:rsidR="00ED67AE" w:rsidRDefault="00ED67AE" w:rsidP="00ED67AE">
      <w:pPr>
        <w:rPr>
          <w:lang w:val="nb-NO"/>
        </w:rPr>
      </w:pPr>
    </w:p>
    <w:p w:rsidR="00ED67AE" w:rsidRDefault="00ED67AE" w:rsidP="00ED67AE">
      <w:pPr>
        <w:rPr>
          <w:lang w:val="nb-NO"/>
        </w:rPr>
      </w:pPr>
      <w:r>
        <w:rPr>
          <w:lang w:val="nb-NO"/>
        </w:rPr>
        <w:t>arba</w:t>
      </w:r>
    </w:p>
    <w:p w:rsidR="00ED67AE" w:rsidRPr="00EC6AAF" w:rsidRDefault="00ED67AE" w:rsidP="00ED67AE">
      <w:pPr>
        <w:rPr>
          <w:lang w:val="nb-NO"/>
        </w:rPr>
      </w:pPr>
    </w:p>
    <w:p w:rsidR="00ED67AE" w:rsidRPr="00EC6AAF" w:rsidRDefault="00ED67AE" w:rsidP="00ED67AE">
      <w:pPr>
        <w:rPr>
          <w:lang w:val="nb-NO"/>
        </w:rPr>
      </w:pPr>
      <w:r w:rsidRPr="00EC6AAF">
        <w:rPr>
          <w:lang w:val="nb-NO"/>
        </w:rPr>
        <w:t>Dragenopharm Apotheker Püschl GmbH</w:t>
      </w:r>
    </w:p>
    <w:p w:rsidR="00ED67AE" w:rsidRPr="00EC6AAF" w:rsidRDefault="00ED67AE" w:rsidP="00ED67AE">
      <w:pPr>
        <w:rPr>
          <w:lang w:val="nb-NO"/>
        </w:rPr>
      </w:pPr>
      <w:r w:rsidRPr="00EC6AAF">
        <w:rPr>
          <w:lang w:val="nb-NO"/>
        </w:rPr>
        <w:t>Goellstrasse 1, 84529 Tittmoning</w:t>
      </w:r>
    </w:p>
    <w:p w:rsidR="00ED67AE" w:rsidRPr="00EC6AAF" w:rsidRDefault="00ED67AE" w:rsidP="00ED67AE">
      <w:pPr>
        <w:rPr>
          <w:lang w:val="nb-NO"/>
        </w:rPr>
      </w:pPr>
      <w:r w:rsidRPr="00EC6AAF">
        <w:rPr>
          <w:lang w:val="nb-NO"/>
        </w:rPr>
        <w:t>Vokietija</w:t>
      </w:r>
    </w:p>
    <w:p w:rsidR="00ED67AE" w:rsidRDefault="00ED67AE" w:rsidP="00ED67AE">
      <w:pPr>
        <w:rPr>
          <w:lang w:val="nb-NO"/>
        </w:rPr>
      </w:pPr>
    </w:p>
    <w:p w:rsidR="00ED67AE" w:rsidRDefault="00ED67AE" w:rsidP="00ED67AE">
      <w:pPr>
        <w:rPr>
          <w:lang w:val="nb-NO"/>
        </w:rPr>
      </w:pPr>
      <w:r>
        <w:rPr>
          <w:lang w:val="nb-NO"/>
        </w:rPr>
        <w:t>arba</w:t>
      </w:r>
    </w:p>
    <w:p w:rsidR="00ED67AE" w:rsidRPr="00EC6AAF" w:rsidRDefault="00ED67AE" w:rsidP="00ED67AE">
      <w:pPr>
        <w:rPr>
          <w:lang w:val="nb-NO"/>
        </w:rPr>
      </w:pPr>
    </w:p>
    <w:p w:rsidR="00ED67AE" w:rsidRPr="00EC6AAF" w:rsidRDefault="00ED67AE" w:rsidP="00ED67AE">
      <w:pPr>
        <w:rPr>
          <w:lang w:val="nb-NO"/>
        </w:rPr>
      </w:pPr>
      <w:r w:rsidRPr="00EC6AAF">
        <w:rPr>
          <w:lang w:val="nb-NO"/>
        </w:rPr>
        <w:t>Rottendorf Pharma GmbH</w:t>
      </w:r>
    </w:p>
    <w:p w:rsidR="00ED67AE" w:rsidRPr="00EC6AAF" w:rsidRDefault="00ED67AE" w:rsidP="00ED67AE">
      <w:pPr>
        <w:rPr>
          <w:lang w:val="nb-NO"/>
        </w:rPr>
      </w:pPr>
      <w:r w:rsidRPr="00EC6AAF">
        <w:rPr>
          <w:lang w:val="nb-NO"/>
        </w:rPr>
        <w:t>Ostenfelder StraBe, 51-61 - 59320 Ennigerloh</w:t>
      </w:r>
    </w:p>
    <w:p w:rsidR="00ED67AE" w:rsidRPr="002C4E8D" w:rsidRDefault="00ED67AE" w:rsidP="00ED67AE">
      <w:pPr>
        <w:rPr>
          <w:lang w:val="nb-NO"/>
        </w:rPr>
      </w:pPr>
      <w:r w:rsidRPr="002C4E8D">
        <w:rPr>
          <w:lang w:val="nb-NO"/>
        </w:rPr>
        <w:t>Vokietija</w:t>
      </w:r>
    </w:p>
    <w:p w:rsidR="00ED67AE" w:rsidRDefault="00ED67AE" w:rsidP="00ED67AE">
      <w:pPr>
        <w:rPr>
          <w:rFonts w:ascii="TimesNewRoman,Bold" w:hAnsi="TimesNewRoman,Bold" w:cs="TimesNewRoman,Bold"/>
          <w:lang w:val="nb-NO" w:eastAsia="pl-PL"/>
        </w:rPr>
      </w:pPr>
    </w:p>
    <w:p w:rsidR="00ED67AE" w:rsidRPr="002C4E8D" w:rsidRDefault="00ED67AE" w:rsidP="00ED67AE">
      <w:pPr>
        <w:rPr>
          <w:rFonts w:ascii="TimesNewRoman,Bold" w:hAnsi="TimesNewRoman,Bold" w:cs="TimesNewRoman,Bold"/>
          <w:lang w:val="nb-NO" w:eastAsia="pl-PL"/>
        </w:rPr>
      </w:pPr>
    </w:p>
    <w:p w:rsidR="00ED67AE" w:rsidRPr="002C4E8D" w:rsidRDefault="00ED67AE" w:rsidP="00ED67AE">
      <w:pPr>
        <w:rPr>
          <w:rFonts w:ascii="TimesNewRoman,Bold" w:hAnsi="TimesNewRoman,Bold" w:cs="TimesNewRoman,Bold"/>
          <w:lang w:val="nb-NO" w:eastAsia="pl-PL"/>
        </w:rPr>
      </w:pPr>
      <w:r w:rsidRPr="002C4E8D">
        <w:rPr>
          <w:rFonts w:ascii="TimesNewRoman,Bold" w:hAnsi="TimesNewRoman,Bold" w:cs="TimesNewRoman,Bold"/>
          <w:lang w:val="nb-NO" w:eastAsia="pl-PL"/>
        </w:rPr>
        <w:t>Su pakuote pateikiamame lapelyje nurodomas gamintojo, atsakingo už konkrečios serijos išleidimą, pavadinimas ir adresas.</w:t>
      </w:r>
    </w:p>
    <w:p w:rsidR="00ED67AE" w:rsidRPr="002C4E8D" w:rsidRDefault="00ED67AE" w:rsidP="00ED67AE">
      <w:pPr>
        <w:rPr>
          <w:rFonts w:ascii="TimesNewRoman,Bold" w:hAnsi="TimesNewRoman,Bold" w:cs="TimesNewRoman,Bold"/>
          <w:lang w:val="nb-NO" w:eastAsia="pl-PL"/>
        </w:rPr>
      </w:pPr>
    </w:p>
    <w:p w:rsidR="00ED67AE" w:rsidRPr="002C4E8D" w:rsidRDefault="00ED67AE" w:rsidP="00ED67AE">
      <w:pPr>
        <w:rPr>
          <w:rFonts w:ascii="TimesNewRoman,Bold" w:hAnsi="TimesNewRoman,Bold" w:cs="TimesNewRoman,Bold"/>
          <w:lang w:val="nb-NO" w:eastAsia="pl-PL"/>
        </w:rPr>
      </w:pPr>
    </w:p>
    <w:p w:rsidR="00ED67AE" w:rsidRPr="002C4E8D" w:rsidRDefault="00ED67AE" w:rsidP="00383225">
      <w:pPr>
        <w:rPr>
          <w:rFonts w:ascii="TimesNewRoman,Bold" w:hAnsi="TimesNewRoman,Bold" w:cs="TimesNewRoman,Bold"/>
          <w:b/>
          <w:lang w:val="nb-NO" w:eastAsia="pl-PL"/>
        </w:rPr>
      </w:pPr>
      <w:r w:rsidRPr="002C4E8D">
        <w:rPr>
          <w:rFonts w:ascii="TimesNewRoman,Bold" w:hAnsi="TimesNewRoman,Bold" w:cs="TimesNewRoman,Bold"/>
          <w:b/>
          <w:lang w:val="nb-NO" w:eastAsia="pl-PL"/>
        </w:rPr>
        <w:t>B.</w:t>
      </w:r>
      <w:r w:rsidRPr="002C4E8D">
        <w:rPr>
          <w:rFonts w:ascii="TimesNewRoman,Bold" w:hAnsi="TimesNewRoman,Bold" w:cs="TimesNewRoman,Bold"/>
          <w:b/>
          <w:lang w:val="nb-NO" w:eastAsia="pl-PL"/>
        </w:rPr>
        <w:tab/>
        <w:t>TIEKIMO IR VARTOJIMO SĄLYGOS AR APRIBOJIMA</w:t>
      </w:r>
      <w:r w:rsidR="005A5ACB">
        <w:rPr>
          <w:rFonts w:ascii="TimesNewRoman,Bold" w:hAnsi="TimesNewRoman,Bold" w:cs="TimesNewRoman,Bold"/>
          <w:b/>
          <w:lang w:val="nb-NO" w:eastAsia="pl-PL"/>
        </w:rPr>
        <w:t xml:space="preserve"> </w:t>
      </w:r>
    </w:p>
    <w:p w:rsidR="00ED67AE" w:rsidRPr="002C4E8D" w:rsidRDefault="00ED67AE" w:rsidP="00ED67AE">
      <w:pPr>
        <w:rPr>
          <w:rFonts w:ascii="TimesNewRoman,Bold" w:hAnsi="TimesNewRoman,Bold" w:cs="TimesNewRoman,Bold"/>
          <w:b/>
          <w:lang w:val="nb-NO" w:eastAsia="pl-PL"/>
        </w:rPr>
      </w:pPr>
    </w:p>
    <w:p w:rsidR="00ED67AE" w:rsidRPr="00914FA0" w:rsidRDefault="00ED67AE" w:rsidP="00ED67AE">
      <w:pPr>
        <w:numPr>
          <w:ilvl w:val="12"/>
          <w:numId w:val="0"/>
        </w:numPr>
        <w:rPr>
          <w:noProof/>
          <w:szCs w:val="22"/>
        </w:rPr>
      </w:pPr>
      <w:r w:rsidRPr="00914FA0">
        <w:rPr>
          <w:noProof/>
          <w:szCs w:val="22"/>
        </w:rPr>
        <w:t>Receptinis vaistinis preparatas.</w:t>
      </w:r>
    </w:p>
    <w:p w:rsidR="00ED67AE" w:rsidRPr="00914FA0" w:rsidRDefault="00ED67AE" w:rsidP="00ED67AE">
      <w:pPr>
        <w:numPr>
          <w:ilvl w:val="12"/>
          <w:numId w:val="0"/>
        </w:numPr>
        <w:rPr>
          <w:noProof/>
          <w:szCs w:val="22"/>
        </w:rPr>
      </w:pPr>
    </w:p>
    <w:p w:rsidR="00ED67AE" w:rsidRPr="00914FA0" w:rsidRDefault="00ED67AE" w:rsidP="00ED67AE">
      <w:pPr>
        <w:rPr>
          <w:b/>
        </w:rPr>
      </w:pPr>
      <w:r w:rsidRPr="00914FA0">
        <w:rPr>
          <w:b/>
          <w:noProof/>
        </w:rPr>
        <w:br w:type="page"/>
      </w: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jc w:val="center"/>
        <w:rPr>
          <w:rFonts w:ascii="TimesNewRoman,Bold" w:hAnsi="TimesNewRoman,Bold" w:cs="TimesNewRoman,Bold"/>
          <w:b/>
          <w:lang w:eastAsia="pl-PL"/>
        </w:rPr>
      </w:pPr>
      <w:r w:rsidRPr="00914FA0">
        <w:rPr>
          <w:rFonts w:ascii="TimesNewRoman,Bold" w:hAnsi="TimesNewRoman,Bold" w:cs="TimesNewRoman,Bold"/>
          <w:b/>
          <w:lang w:eastAsia="pl-PL"/>
        </w:rPr>
        <w:t>III PRIEDAS</w:t>
      </w:r>
    </w:p>
    <w:p w:rsidR="00ED67AE" w:rsidRPr="00914FA0" w:rsidRDefault="00ED67AE" w:rsidP="00ED67AE">
      <w:pPr>
        <w:jc w:val="center"/>
        <w:rPr>
          <w:rFonts w:ascii="TimesNewRoman,Bold" w:hAnsi="TimesNewRoman,Bold" w:cs="TimesNewRoman,Bold"/>
          <w:b/>
          <w:lang w:eastAsia="pl-PL"/>
        </w:rPr>
      </w:pPr>
    </w:p>
    <w:p w:rsidR="00ED67AE" w:rsidRPr="00914FA0" w:rsidRDefault="00ED67AE" w:rsidP="00ED67AE">
      <w:pPr>
        <w:jc w:val="center"/>
        <w:rPr>
          <w:rFonts w:ascii="TimesNewRoman,Bold" w:hAnsi="TimesNewRoman,Bold" w:cs="TimesNewRoman,Bold"/>
          <w:lang w:eastAsia="pl-PL"/>
        </w:rPr>
      </w:pPr>
      <w:r w:rsidRPr="00914FA0">
        <w:rPr>
          <w:rFonts w:ascii="TimesNewRoman,Bold" w:hAnsi="TimesNewRoman,Bold" w:cs="TimesNewRoman,Bold"/>
          <w:b/>
          <w:lang w:eastAsia="pl-PL"/>
        </w:rPr>
        <w:t>ŽENKLINIMAS IR PAKUOTĖS LAPELIS</w:t>
      </w:r>
    </w:p>
    <w:p w:rsidR="00ED67AE" w:rsidRPr="00914FA0" w:rsidRDefault="00ED67AE" w:rsidP="00ED67AE">
      <w:pPr>
        <w:rPr>
          <w:b/>
          <w:noProof/>
        </w:rPr>
      </w:pPr>
    </w:p>
    <w:p w:rsidR="00ED67AE" w:rsidRPr="00914FA0" w:rsidRDefault="00ED67AE" w:rsidP="00ED67AE">
      <w:pPr>
        <w:rPr>
          <w:b/>
          <w:noProof/>
        </w:rPr>
      </w:pPr>
      <w:r w:rsidRPr="00914FA0">
        <w:rPr>
          <w:b/>
          <w:noProof/>
        </w:rPr>
        <w:br w:type="page"/>
      </w: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rPr>
          <w:b/>
          <w:noProof/>
        </w:rPr>
      </w:pPr>
    </w:p>
    <w:p w:rsidR="00ED67AE" w:rsidRPr="00914FA0" w:rsidRDefault="00ED67AE" w:rsidP="00ED67AE">
      <w:pPr>
        <w:jc w:val="center"/>
        <w:rPr>
          <w:noProof/>
        </w:rPr>
      </w:pPr>
      <w:r w:rsidRPr="00914FA0">
        <w:rPr>
          <w:b/>
          <w:noProof/>
        </w:rPr>
        <w:t>A. ŽENKLINIMAS</w:t>
      </w:r>
    </w:p>
    <w:p w:rsidR="00ED67AE" w:rsidRPr="00CD6267" w:rsidRDefault="00ED67AE" w:rsidP="00ED67AE">
      <w:pPr>
        <w:rPr>
          <w:szCs w:val="22"/>
          <w:lang w:val="lt-LT"/>
        </w:rPr>
      </w:pPr>
      <w:r w:rsidRPr="00914FA0">
        <w:rPr>
          <w:noProof/>
        </w:rPr>
        <w:br w:type="page"/>
      </w:r>
    </w:p>
    <w:p w:rsidR="00ED67AE" w:rsidRPr="00CD6267" w:rsidRDefault="00ED67AE" w:rsidP="00ED67AE">
      <w:pPr>
        <w:pBdr>
          <w:top w:val="single" w:sz="4" w:space="1" w:color="auto"/>
          <w:left w:val="single" w:sz="4" w:space="4" w:color="auto"/>
          <w:bottom w:val="single" w:sz="4" w:space="1" w:color="auto"/>
          <w:right w:val="single" w:sz="4" w:space="4" w:color="auto"/>
        </w:pBdr>
        <w:rPr>
          <w:b/>
          <w:szCs w:val="22"/>
          <w:lang w:val="lt-LT"/>
        </w:rPr>
      </w:pPr>
      <w:r w:rsidRPr="00CD6267">
        <w:rPr>
          <w:b/>
          <w:szCs w:val="22"/>
          <w:lang w:val="lt-LT"/>
        </w:rPr>
        <w:t>INFORMACIJA ANT IŠORINĖS PAKUOTĖS</w:t>
      </w:r>
    </w:p>
    <w:p w:rsidR="00ED67AE" w:rsidRPr="00CD6267" w:rsidRDefault="00ED67AE" w:rsidP="00ED67AE">
      <w:pPr>
        <w:pBdr>
          <w:top w:val="single" w:sz="4" w:space="1" w:color="auto"/>
          <w:left w:val="single" w:sz="4" w:space="4" w:color="auto"/>
          <w:bottom w:val="single" w:sz="4" w:space="1" w:color="auto"/>
          <w:right w:val="single" w:sz="4" w:space="4" w:color="auto"/>
        </w:pBdr>
        <w:rPr>
          <w:bCs/>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bCs/>
          <w:szCs w:val="22"/>
          <w:lang w:val="lt-LT"/>
        </w:rPr>
      </w:pPr>
      <w:r>
        <w:rPr>
          <w:b/>
          <w:szCs w:val="22"/>
          <w:lang w:val="lt-LT"/>
        </w:rPr>
        <w:t>KARTONO DĖŽUTĖ</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w:t>
      </w:r>
      <w:r w:rsidRPr="00CD6267">
        <w:rPr>
          <w:b/>
          <w:szCs w:val="22"/>
          <w:lang w:val="lt-LT"/>
        </w:rPr>
        <w:tab/>
        <w:t>VAISTINIO PREPARATO PAVADINIMAS</w:t>
      </w:r>
    </w:p>
    <w:p w:rsidR="00ED67AE" w:rsidRPr="00CD6267" w:rsidRDefault="00ED67AE" w:rsidP="00ED67AE">
      <w:pPr>
        <w:rPr>
          <w:szCs w:val="22"/>
          <w:lang w:val="lt-LT"/>
        </w:rPr>
      </w:pPr>
    </w:p>
    <w:p w:rsidR="00ED67AE" w:rsidRPr="00CD6267" w:rsidRDefault="00ED67AE" w:rsidP="00ED67AE">
      <w:pPr>
        <w:rPr>
          <w:szCs w:val="22"/>
          <w:lang w:val="lt-LT"/>
        </w:rPr>
      </w:pPr>
      <w:r>
        <w:rPr>
          <w:szCs w:val="22"/>
          <w:lang w:val="lt-LT"/>
        </w:rPr>
        <w:t>Ibandronic acid Actavis 150 mg plėvele dengtos tabletės</w:t>
      </w:r>
    </w:p>
    <w:p w:rsidR="00ED67AE" w:rsidRPr="00CD6267" w:rsidRDefault="00ED67AE" w:rsidP="00ED67AE">
      <w:pPr>
        <w:rPr>
          <w:szCs w:val="22"/>
          <w:lang w:val="lt-LT"/>
        </w:rPr>
      </w:pPr>
      <w:r>
        <w:rPr>
          <w:szCs w:val="22"/>
          <w:lang w:val="lt-LT"/>
        </w:rPr>
        <w:t>Acidum ibandronicum</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b/>
          <w:szCs w:val="22"/>
          <w:lang w:val="lt-LT"/>
        </w:rPr>
      </w:pPr>
      <w:r w:rsidRPr="00CD6267">
        <w:rPr>
          <w:b/>
          <w:szCs w:val="22"/>
          <w:lang w:val="lt-LT"/>
        </w:rPr>
        <w:t>2.</w:t>
      </w:r>
      <w:r w:rsidRPr="00CD6267">
        <w:rPr>
          <w:b/>
          <w:szCs w:val="22"/>
          <w:lang w:val="lt-LT"/>
        </w:rPr>
        <w:tab/>
        <w:t>VEIKLIOJI MEDŽIAGA IR JOS KIEKIS</w:t>
      </w:r>
    </w:p>
    <w:p w:rsidR="00ED67AE" w:rsidRPr="00CD6267" w:rsidRDefault="00ED67AE" w:rsidP="00ED67AE">
      <w:pPr>
        <w:rPr>
          <w:szCs w:val="22"/>
          <w:lang w:val="lt-LT"/>
        </w:rPr>
      </w:pPr>
    </w:p>
    <w:p w:rsidR="00ED67AE" w:rsidRPr="00CD6267" w:rsidRDefault="00ED67AE" w:rsidP="00ED67AE">
      <w:pPr>
        <w:rPr>
          <w:szCs w:val="22"/>
          <w:lang w:val="lt-LT"/>
        </w:rPr>
      </w:pPr>
      <w:r>
        <w:rPr>
          <w:szCs w:val="22"/>
          <w:lang w:val="lt-LT"/>
        </w:rPr>
        <w:t>Kiekvienoje plėvele dengtoje tabletėje yra 150 mg ibandrono rūgšties (ibandronato natrio druskos monohidrato pavidalu).</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383225" w:rsidRDefault="00ED67AE" w:rsidP="00ED67AE">
      <w:pPr>
        <w:pBdr>
          <w:top w:val="single" w:sz="4" w:space="1" w:color="auto"/>
          <w:left w:val="single" w:sz="4" w:space="4" w:color="auto"/>
          <w:bottom w:val="single" w:sz="4" w:space="1" w:color="auto"/>
          <w:right w:val="single" w:sz="4" w:space="4" w:color="auto"/>
        </w:pBdr>
        <w:rPr>
          <w:szCs w:val="22"/>
          <w:highlight w:val="lightGray"/>
          <w:lang w:val="lt-LT"/>
        </w:rPr>
      </w:pPr>
      <w:r w:rsidRPr="00CD6267">
        <w:rPr>
          <w:b/>
          <w:szCs w:val="22"/>
          <w:lang w:val="lt-LT"/>
        </w:rPr>
        <w:t>3.</w:t>
      </w:r>
      <w:r w:rsidRPr="00CD6267">
        <w:rPr>
          <w:b/>
          <w:szCs w:val="22"/>
          <w:lang w:val="lt-LT"/>
        </w:rPr>
        <w:tab/>
        <w:t>PAGALBINIŲ MEDŽIAGŲ SĄRAŠAS</w:t>
      </w:r>
    </w:p>
    <w:p w:rsidR="00ED67AE" w:rsidRPr="00CD6267" w:rsidRDefault="00ED67AE" w:rsidP="00ED67AE">
      <w:pPr>
        <w:rPr>
          <w:szCs w:val="22"/>
          <w:lang w:val="lt-LT"/>
        </w:rPr>
      </w:pPr>
    </w:p>
    <w:p w:rsidR="00ED67AE" w:rsidRDefault="00ED67AE" w:rsidP="00ED67AE">
      <w:pPr>
        <w:rPr>
          <w:szCs w:val="22"/>
          <w:lang w:val="lt-LT"/>
        </w:rPr>
      </w:pPr>
      <w:r>
        <w:rPr>
          <w:szCs w:val="22"/>
          <w:lang w:val="lt-LT"/>
        </w:rPr>
        <w:t>Sudėtyje yra laktozės. Daugiau informacijos pateikta pakuotės lapelyje.</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4.</w:t>
      </w:r>
      <w:r w:rsidRPr="00CD6267">
        <w:rPr>
          <w:b/>
          <w:szCs w:val="22"/>
          <w:lang w:val="lt-LT"/>
        </w:rPr>
        <w:tab/>
        <w:t>FARMACINĖ FORMA IR KIEKIS PAKUOTĖJE</w:t>
      </w:r>
    </w:p>
    <w:p w:rsidR="00ED67AE" w:rsidRDefault="00ED67AE" w:rsidP="00ED67AE">
      <w:pPr>
        <w:rPr>
          <w:szCs w:val="22"/>
          <w:lang w:val="lt-LT"/>
        </w:rPr>
      </w:pPr>
    </w:p>
    <w:p w:rsidR="00ED67AE" w:rsidRDefault="00ED67AE" w:rsidP="00ED67AE">
      <w:pPr>
        <w:rPr>
          <w:szCs w:val="22"/>
          <w:lang w:val="lt-LT"/>
        </w:rPr>
      </w:pPr>
      <w:r>
        <w:rPr>
          <w:szCs w:val="22"/>
          <w:lang w:val="lt-LT"/>
        </w:rPr>
        <w:t xml:space="preserve">1 </w:t>
      </w:r>
      <w:r w:rsidRPr="00383225">
        <w:rPr>
          <w:szCs w:val="22"/>
          <w:highlight w:val="lightGray"/>
          <w:lang w:val="lt-LT"/>
        </w:rPr>
        <w:t>plėvele dengta</w:t>
      </w:r>
      <w:r>
        <w:rPr>
          <w:szCs w:val="22"/>
          <w:lang w:val="lt-LT"/>
        </w:rPr>
        <w:t xml:space="preserve"> tabletė</w:t>
      </w:r>
    </w:p>
    <w:p w:rsidR="00ED67AE" w:rsidRPr="00383225" w:rsidRDefault="00ED67AE" w:rsidP="00ED67AE">
      <w:pPr>
        <w:rPr>
          <w:szCs w:val="22"/>
          <w:highlight w:val="lightGray"/>
          <w:lang w:val="lt-LT"/>
        </w:rPr>
      </w:pPr>
      <w:r w:rsidRPr="00383225">
        <w:rPr>
          <w:szCs w:val="22"/>
          <w:highlight w:val="lightGray"/>
          <w:lang w:val="lt-LT"/>
        </w:rPr>
        <w:t>3 plėvele dengtos tabletės</w:t>
      </w:r>
    </w:p>
    <w:p w:rsidR="00ED67AE" w:rsidRPr="00383225" w:rsidRDefault="00ED67AE" w:rsidP="00ED67AE">
      <w:pPr>
        <w:rPr>
          <w:szCs w:val="22"/>
          <w:highlight w:val="lightGray"/>
          <w:lang w:val="lt-LT"/>
        </w:rPr>
      </w:pPr>
      <w:r w:rsidRPr="00383225">
        <w:rPr>
          <w:szCs w:val="22"/>
          <w:highlight w:val="lightGray"/>
          <w:lang w:val="lt-LT"/>
        </w:rPr>
        <w:t>7 plėvele dengtos tabletės</w:t>
      </w:r>
    </w:p>
    <w:p w:rsidR="00ED67AE" w:rsidRPr="00383225" w:rsidRDefault="00ED67AE" w:rsidP="00ED67AE">
      <w:pPr>
        <w:rPr>
          <w:szCs w:val="22"/>
          <w:highlight w:val="lightGray"/>
          <w:lang w:val="lt-LT"/>
        </w:rPr>
      </w:pPr>
      <w:r w:rsidRPr="00383225">
        <w:rPr>
          <w:szCs w:val="22"/>
          <w:highlight w:val="lightGray"/>
          <w:lang w:val="lt-LT"/>
        </w:rPr>
        <w:t>10 plėvele dengtų tablečių</w:t>
      </w:r>
    </w:p>
    <w:p w:rsidR="00ED67AE" w:rsidRPr="00383225" w:rsidRDefault="00ED67AE" w:rsidP="00ED67AE">
      <w:pPr>
        <w:rPr>
          <w:szCs w:val="22"/>
          <w:highlight w:val="lightGray"/>
          <w:lang w:val="lt-LT"/>
        </w:rPr>
      </w:pPr>
      <w:r w:rsidRPr="00383225">
        <w:rPr>
          <w:szCs w:val="22"/>
          <w:highlight w:val="lightGray"/>
          <w:lang w:val="lt-LT"/>
        </w:rPr>
        <w:t>14 plėvele dengtų tablečių</w:t>
      </w:r>
    </w:p>
    <w:p w:rsidR="00ED67AE" w:rsidRPr="00383225" w:rsidRDefault="00ED67AE" w:rsidP="00ED67AE">
      <w:pPr>
        <w:rPr>
          <w:szCs w:val="22"/>
          <w:highlight w:val="lightGray"/>
          <w:lang w:val="lt-LT"/>
        </w:rPr>
      </w:pPr>
      <w:r w:rsidRPr="00383225">
        <w:rPr>
          <w:szCs w:val="22"/>
          <w:highlight w:val="lightGray"/>
          <w:lang w:val="lt-LT"/>
        </w:rPr>
        <w:t>20 plėvele dengtų tablečių</w:t>
      </w:r>
    </w:p>
    <w:p w:rsidR="00ED67AE" w:rsidRPr="00383225" w:rsidRDefault="00ED67AE" w:rsidP="00ED67AE">
      <w:pPr>
        <w:rPr>
          <w:szCs w:val="22"/>
          <w:highlight w:val="lightGray"/>
          <w:lang w:val="lt-LT"/>
        </w:rPr>
      </w:pPr>
      <w:r w:rsidRPr="00383225">
        <w:rPr>
          <w:szCs w:val="22"/>
          <w:highlight w:val="lightGray"/>
          <w:lang w:val="lt-LT"/>
        </w:rPr>
        <w:t>21 plėvele dengta tabletė</w:t>
      </w:r>
    </w:p>
    <w:p w:rsidR="00ED67AE" w:rsidRPr="00383225" w:rsidRDefault="00ED67AE" w:rsidP="00ED67AE">
      <w:pPr>
        <w:rPr>
          <w:szCs w:val="22"/>
          <w:highlight w:val="lightGray"/>
          <w:lang w:val="lt-LT"/>
        </w:rPr>
      </w:pPr>
      <w:r w:rsidRPr="00383225">
        <w:rPr>
          <w:szCs w:val="22"/>
          <w:highlight w:val="lightGray"/>
          <w:lang w:val="lt-LT"/>
        </w:rPr>
        <w:t>28 plėvele dengtos tabletės</w:t>
      </w:r>
    </w:p>
    <w:p w:rsidR="00ED67AE" w:rsidRPr="00383225" w:rsidRDefault="00ED67AE" w:rsidP="00ED67AE">
      <w:pPr>
        <w:rPr>
          <w:szCs w:val="22"/>
          <w:highlight w:val="lightGray"/>
          <w:lang w:val="lt-LT"/>
        </w:rPr>
      </w:pPr>
      <w:r w:rsidRPr="00383225">
        <w:rPr>
          <w:szCs w:val="22"/>
          <w:highlight w:val="lightGray"/>
          <w:lang w:val="lt-LT"/>
        </w:rPr>
        <w:t>30 plėvele dengtų tablečių</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383225" w:rsidRDefault="00ED67AE" w:rsidP="00ED67AE">
      <w:pPr>
        <w:pBdr>
          <w:top w:val="single" w:sz="4" w:space="1" w:color="auto"/>
          <w:left w:val="single" w:sz="4" w:space="4" w:color="auto"/>
          <w:bottom w:val="single" w:sz="4" w:space="1" w:color="auto"/>
          <w:right w:val="single" w:sz="4" w:space="4" w:color="auto"/>
        </w:pBdr>
        <w:rPr>
          <w:szCs w:val="22"/>
          <w:highlight w:val="lightGray"/>
          <w:lang w:val="lt-LT"/>
        </w:rPr>
      </w:pPr>
      <w:r w:rsidRPr="00CD6267">
        <w:rPr>
          <w:b/>
          <w:szCs w:val="22"/>
          <w:lang w:val="lt-LT"/>
        </w:rPr>
        <w:t>5.</w:t>
      </w:r>
      <w:r w:rsidRPr="00CD6267">
        <w:rPr>
          <w:b/>
          <w:szCs w:val="22"/>
          <w:lang w:val="lt-LT"/>
        </w:rPr>
        <w:tab/>
        <w:t>VARTOJIMO METODAS IR BŪDAS</w:t>
      </w:r>
    </w:p>
    <w:p w:rsidR="00ED67AE" w:rsidRPr="00CD6267" w:rsidRDefault="00ED67AE" w:rsidP="00ED67AE">
      <w:pPr>
        <w:rPr>
          <w:szCs w:val="22"/>
          <w:lang w:val="lt-LT"/>
        </w:rPr>
      </w:pPr>
    </w:p>
    <w:p w:rsidR="00ED67AE" w:rsidRPr="00CD6267" w:rsidRDefault="00ED67AE" w:rsidP="00ED67AE">
      <w:pPr>
        <w:rPr>
          <w:szCs w:val="22"/>
          <w:lang w:val="lt-LT"/>
        </w:rPr>
      </w:pPr>
      <w:r w:rsidRPr="00CD6267">
        <w:rPr>
          <w:szCs w:val="22"/>
          <w:lang w:val="lt-LT"/>
        </w:rPr>
        <w:t>Prieš vartojimą perskaitykite pakuotės lapelį.</w:t>
      </w:r>
    </w:p>
    <w:p w:rsidR="00ED67AE" w:rsidRPr="00CD6267" w:rsidRDefault="00ED67AE" w:rsidP="00ED67AE">
      <w:pPr>
        <w:rPr>
          <w:szCs w:val="22"/>
          <w:lang w:val="lt-LT"/>
        </w:rPr>
      </w:pPr>
      <w:r>
        <w:rPr>
          <w:szCs w:val="22"/>
          <w:lang w:val="lt-LT"/>
        </w:rPr>
        <w:t>Vartoti per burną.</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ind w:left="567" w:hanging="567"/>
        <w:rPr>
          <w:szCs w:val="22"/>
          <w:lang w:val="lt-LT"/>
        </w:rPr>
      </w:pPr>
      <w:r w:rsidRPr="00CD6267">
        <w:rPr>
          <w:b/>
          <w:szCs w:val="22"/>
          <w:lang w:val="lt-LT"/>
        </w:rPr>
        <w:t>6.</w:t>
      </w:r>
      <w:r w:rsidRPr="00CD6267">
        <w:rPr>
          <w:b/>
          <w:szCs w:val="22"/>
          <w:lang w:val="lt-LT"/>
        </w:rPr>
        <w:tab/>
      </w:r>
      <w:r w:rsidRPr="00CD6267">
        <w:rPr>
          <w:b/>
          <w:bCs/>
          <w:szCs w:val="22"/>
          <w:lang w:val="lt-LT"/>
        </w:rPr>
        <w:t xml:space="preserve">SPECIALUS ĮSPĖJIMAS, KAD VAISTINĮ PREPARATĄ BŪTINA LAIKYTI VAIKAMS </w:t>
      </w:r>
      <w:r w:rsidR="003110A1" w:rsidRPr="00CD6267">
        <w:rPr>
          <w:b/>
          <w:bCs/>
          <w:szCs w:val="22"/>
          <w:lang w:val="lt-LT"/>
        </w:rPr>
        <w:t xml:space="preserve">NEPASTEBIMOJE </w:t>
      </w:r>
      <w:r w:rsidR="003110A1">
        <w:rPr>
          <w:b/>
          <w:bCs/>
          <w:szCs w:val="22"/>
          <w:lang w:val="lt-LT"/>
        </w:rPr>
        <w:t xml:space="preserve">IR </w:t>
      </w:r>
      <w:r w:rsidRPr="00CD6267">
        <w:rPr>
          <w:b/>
          <w:bCs/>
          <w:szCs w:val="22"/>
          <w:lang w:val="lt-LT"/>
        </w:rPr>
        <w:t>NEPASIEKIAMOJE VIETOJE</w:t>
      </w:r>
    </w:p>
    <w:p w:rsidR="00ED67AE" w:rsidRPr="00CD6267" w:rsidRDefault="00ED67AE" w:rsidP="00ED67AE">
      <w:pPr>
        <w:rPr>
          <w:szCs w:val="22"/>
          <w:lang w:val="lt-LT"/>
        </w:rPr>
      </w:pPr>
    </w:p>
    <w:p w:rsidR="00ED67AE" w:rsidRPr="00CD6267" w:rsidRDefault="00ED67AE" w:rsidP="00ED67AE">
      <w:pPr>
        <w:rPr>
          <w:iCs/>
          <w:szCs w:val="22"/>
          <w:lang w:val="lt-LT"/>
        </w:rPr>
      </w:pPr>
      <w:r w:rsidRPr="00CD6267">
        <w:rPr>
          <w:iCs/>
          <w:szCs w:val="22"/>
          <w:lang w:val="lt-LT"/>
        </w:rPr>
        <w:t xml:space="preserve">Laikyti vaikams </w:t>
      </w:r>
      <w:r w:rsidR="003110A1" w:rsidRPr="00CD6267">
        <w:rPr>
          <w:iCs/>
          <w:szCs w:val="22"/>
          <w:lang w:val="lt-LT"/>
        </w:rPr>
        <w:t xml:space="preserve">nepastebimoje </w:t>
      </w:r>
      <w:r w:rsidR="003110A1">
        <w:rPr>
          <w:iCs/>
          <w:szCs w:val="22"/>
          <w:lang w:val="lt-LT"/>
        </w:rPr>
        <w:t xml:space="preserve">ir </w:t>
      </w:r>
      <w:r w:rsidRPr="00CD6267">
        <w:rPr>
          <w:iCs/>
          <w:szCs w:val="22"/>
          <w:lang w:val="lt-LT"/>
        </w:rPr>
        <w:t>nepasiekiamoje vietoje.</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383225" w:rsidRDefault="00ED67AE" w:rsidP="00ED67AE">
      <w:pPr>
        <w:pBdr>
          <w:top w:val="single" w:sz="4" w:space="1" w:color="auto"/>
          <w:left w:val="single" w:sz="4" w:space="4" w:color="auto"/>
          <w:bottom w:val="single" w:sz="4" w:space="1" w:color="auto"/>
          <w:right w:val="single" w:sz="4" w:space="4" w:color="auto"/>
        </w:pBdr>
        <w:rPr>
          <w:szCs w:val="22"/>
          <w:highlight w:val="lightGray"/>
          <w:lang w:val="lt-LT"/>
        </w:rPr>
      </w:pPr>
      <w:r w:rsidRPr="00CD6267">
        <w:rPr>
          <w:b/>
          <w:szCs w:val="22"/>
          <w:lang w:val="lt-LT"/>
        </w:rPr>
        <w:t>7.</w:t>
      </w:r>
      <w:r w:rsidRPr="00CD6267">
        <w:rPr>
          <w:b/>
          <w:szCs w:val="22"/>
          <w:lang w:val="lt-LT"/>
        </w:rPr>
        <w:tab/>
      </w:r>
      <w:r w:rsidRPr="00CD6267">
        <w:rPr>
          <w:b/>
          <w:bCs/>
          <w:szCs w:val="22"/>
          <w:lang w:val="lt-LT"/>
        </w:rPr>
        <w:t>KITAS (-I) SPECIALUS (-ŪS) ĮSPĖJIMAS (-AI) (JEI REIKIA)</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383225" w:rsidRDefault="00ED67AE" w:rsidP="00ED67AE">
      <w:pPr>
        <w:pBdr>
          <w:top w:val="single" w:sz="4" w:space="1" w:color="auto"/>
          <w:left w:val="single" w:sz="4" w:space="4" w:color="auto"/>
          <w:bottom w:val="single" w:sz="4" w:space="1" w:color="auto"/>
          <w:right w:val="single" w:sz="4" w:space="4" w:color="auto"/>
        </w:pBdr>
        <w:rPr>
          <w:szCs w:val="22"/>
          <w:highlight w:val="lightGray"/>
          <w:lang w:val="lt-LT"/>
        </w:rPr>
      </w:pPr>
      <w:r w:rsidRPr="00CD6267">
        <w:rPr>
          <w:b/>
          <w:szCs w:val="22"/>
          <w:lang w:val="lt-LT"/>
        </w:rPr>
        <w:t>8.</w:t>
      </w:r>
      <w:r w:rsidRPr="00CD6267">
        <w:rPr>
          <w:b/>
          <w:szCs w:val="22"/>
          <w:lang w:val="lt-LT"/>
        </w:rPr>
        <w:tab/>
      </w:r>
      <w:r w:rsidRPr="00CD6267">
        <w:rPr>
          <w:b/>
          <w:bCs/>
          <w:szCs w:val="22"/>
          <w:lang w:val="lt-LT"/>
        </w:rPr>
        <w:t>TINKAMUMO LAIKAS</w:t>
      </w:r>
    </w:p>
    <w:p w:rsidR="00ED67AE" w:rsidRDefault="00ED67AE" w:rsidP="00ED67AE">
      <w:pPr>
        <w:rPr>
          <w:szCs w:val="22"/>
          <w:lang w:val="lt-LT"/>
        </w:rPr>
      </w:pPr>
    </w:p>
    <w:p w:rsidR="00ED67AE" w:rsidRPr="00CD6267" w:rsidRDefault="00ED67AE" w:rsidP="00ED67AE">
      <w:pPr>
        <w:rPr>
          <w:szCs w:val="22"/>
          <w:lang w:val="lt-LT"/>
        </w:rPr>
      </w:pPr>
      <w:r>
        <w:rPr>
          <w:szCs w:val="22"/>
          <w:lang w:val="lt-LT"/>
        </w:rPr>
        <w:t>Tinka iki {mm.MMMM}</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9.</w:t>
      </w:r>
      <w:r w:rsidRPr="00CD6267">
        <w:rPr>
          <w:b/>
          <w:szCs w:val="22"/>
          <w:lang w:val="lt-LT"/>
        </w:rPr>
        <w:tab/>
      </w:r>
      <w:r w:rsidRPr="00CD6267">
        <w:rPr>
          <w:b/>
          <w:caps/>
          <w:szCs w:val="22"/>
          <w:lang w:val="lt-LT"/>
        </w:rPr>
        <w:t>SPECIALIOS laikymo sąlygos</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ind w:left="567" w:hanging="567"/>
        <w:rPr>
          <w:b/>
          <w:szCs w:val="22"/>
          <w:lang w:val="lt-LT"/>
        </w:rPr>
      </w:pPr>
      <w:r w:rsidRPr="00CD6267">
        <w:rPr>
          <w:b/>
          <w:szCs w:val="22"/>
          <w:lang w:val="lt-LT"/>
        </w:rPr>
        <w:t>10.</w:t>
      </w:r>
      <w:r w:rsidRPr="00CD6267">
        <w:rPr>
          <w:b/>
          <w:szCs w:val="22"/>
          <w:lang w:val="lt-LT"/>
        </w:rPr>
        <w:tab/>
      </w:r>
      <w:r w:rsidRPr="00CD6267">
        <w:rPr>
          <w:b/>
          <w:caps/>
          <w:szCs w:val="22"/>
          <w:lang w:val="lt-LT"/>
        </w:rPr>
        <w:t xml:space="preserve">specialios atsargumo priemonės DĖL NESUVARTOTO </w:t>
      </w:r>
      <w:r w:rsidRPr="00CD6267">
        <w:rPr>
          <w:b/>
          <w:bCs/>
          <w:caps/>
          <w:szCs w:val="22"/>
          <w:lang w:val="lt-LT"/>
        </w:rPr>
        <w:t>VAISTINIO PREPARATO AR JO ATLIEK</w:t>
      </w:r>
      <w:r w:rsidRPr="00CD6267">
        <w:rPr>
          <w:b/>
          <w:szCs w:val="22"/>
          <w:lang w:val="lt-LT"/>
        </w:rPr>
        <w:t>Ų</w:t>
      </w:r>
      <w:r w:rsidRPr="00CD6267">
        <w:rPr>
          <w:caps/>
          <w:szCs w:val="22"/>
          <w:lang w:val="lt-LT"/>
        </w:rPr>
        <w:t xml:space="preserve"> </w:t>
      </w:r>
      <w:r w:rsidRPr="00CD6267">
        <w:rPr>
          <w:b/>
          <w:bCs/>
          <w:caps/>
          <w:szCs w:val="22"/>
          <w:lang w:val="lt-LT"/>
        </w:rPr>
        <w:t>TVARKYMO</w:t>
      </w:r>
      <w:r w:rsidRPr="00CD6267">
        <w:rPr>
          <w:b/>
          <w:caps/>
          <w:szCs w:val="22"/>
          <w:lang w:val="lt-LT"/>
        </w:rPr>
        <w:t xml:space="preserve"> (jei reikia)</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b/>
          <w:szCs w:val="22"/>
          <w:lang w:val="lt-LT"/>
        </w:rPr>
      </w:pPr>
      <w:r w:rsidRPr="00CD6267">
        <w:rPr>
          <w:b/>
          <w:szCs w:val="22"/>
          <w:lang w:val="lt-LT"/>
        </w:rPr>
        <w:t>11.</w:t>
      </w:r>
      <w:r w:rsidRPr="00CD6267">
        <w:rPr>
          <w:b/>
          <w:szCs w:val="22"/>
          <w:lang w:val="lt-LT"/>
        </w:rPr>
        <w:tab/>
      </w:r>
      <w:r w:rsidRPr="00CD6267">
        <w:rPr>
          <w:b/>
          <w:caps/>
          <w:szCs w:val="22"/>
          <w:lang w:val="lt-LT"/>
        </w:rPr>
        <w:t>R</w:t>
      </w:r>
      <w:r w:rsidR="005A5ACB">
        <w:rPr>
          <w:b/>
          <w:caps/>
          <w:szCs w:val="22"/>
          <w:lang w:val="lt-LT"/>
        </w:rPr>
        <w:t>EGISTRUOTOJO</w:t>
      </w:r>
      <w:r w:rsidRPr="00CD6267">
        <w:rPr>
          <w:b/>
          <w:caps/>
          <w:szCs w:val="22"/>
          <w:lang w:val="lt-LT"/>
        </w:rPr>
        <w:t xml:space="preserve"> pavadinimas ir adresas</w:t>
      </w:r>
    </w:p>
    <w:p w:rsidR="00ED67AE" w:rsidRPr="00CD6267" w:rsidRDefault="00ED67AE" w:rsidP="00ED67AE">
      <w:pPr>
        <w:rPr>
          <w:szCs w:val="22"/>
          <w:lang w:val="lt-LT"/>
        </w:rPr>
      </w:pPr>
    </w:p>
    <w:p w:rsidR="00ED67AE" w:rsidRDefault="00ED67AE" w:rsidP="00ED67AE">
      <w:pPr>
        <w:rPr>
          <w:szCs w:val="22"/>
          <w:lang w:val="lt-LT"/>
        </w:rPr>
      </w:pPr>
      <w:r>
        <w:rPr>
          <w:szCs w:val="22"/>
          <w:lang w:val="lt-LT"/>
        </w:rPr>
        <w:t>Actavis Group PTC ehf</w:t>
      </w:r>
    </w:p>
    <w:p w:rsidR="00ED67AE" w:rsidRDefault="00ED67AE" w:rsidP="00ED67AE">
      <w:pPr>
        <w:rPr>
          <w:szCs w:val="22"/>
          <w:lang w:val="lt-LT"/>
        </w:rPr>
      </w:pPr>
      <w:r>
        <w:rPr>
          <w:szCs w:val="22"/>
          <w:lang w:val="lt-LT"/>
        </w:rPr>
        <w:t>Reykjavíkurvegi 76-78, 220 Hafnarfjörður</w:t>
      </w:r>
    </w:p>
    <w:p w:rsidR="00ED67AE" w:rsidRDefault="00ED67AE" w:rsidP="00ED67AE">
      <w:pPr>
        <w:rPr>
          <w:szCs w:val="22"/>
          <w:lang w:val="lt-LT"/>
        </w:rPr>
      </w:pPr>
      <w:r>
        <w:rPr>
          <w:szCs w:val="22"/>
          <w:lang w:val="lt-LT"/>
        </w:rPr>
        <w:t>Islandija</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12.</w:t>
      </w:r>
      <w:r w:rsidRPr="00CD6267">
        <w:rPr>
          <w:b/>
          <w:szCs w:val="22"/>
          <w:lang w:val="lt-LT"/>
        </w:rPr>
        <w:tab/>
      </w:r>
      <w:r w:rsidRPr="00CD6267">
        <w:rPr>
          <w:b/>
          <w:caps/>
          <w:szCs w:val="22"/>
          <w:lang w:val="lt-LT"/>
        </w:rPr>
        <w:t>R</w:t>
      </w:r>
      <w:r w:rsidR="005A5ACB">
        <w:rPr>
          <w:b/>
          <w:caps/>
          <w:szCs w:val="22"/>
          <w:lang w:val="lt-LT"/>
        </w:rPr>
        <w:t>EGISTRACIJOS PAŽYMĖJIMO</w:t>
      </w:r>
      <w:r w:rsidRPr="00CD6267">
        <w:rPr>
          <w:b/>
          <w:caps/>
          <w:szCs w:val="22"/>
          <w:lang w:val="lt-LT"/>
        </w:rPr>
        <w:t xml:space="preserve"> numeris</w:t>
      </w:r>
      <w:r w:rsidRPr="00CD6267">
        <w:rPr>
          <w:b/>
          <w:szCs w:val="22"/>
          <w:lang w:val="lt-LT"/>
        </w:rPr>
        <w:t xml:space="preserve"> </w:t>
      </w:r>
    </w:p>
    <w:p w:rsidR="00ED67AE" w:rsidRDefault="00ED67AE" w:rsidP="00ED67AE">
      <w:pPr>
        <w:rPr>
          <w:szCs w:val="22"/>
          <w:lang w:val="lt-LT"/>
        </w:rPr>
      </w:pPr>
    </w:p>
    <w:p w:rsidR="00ED67AE" w:rsidRDefault="00ED67AE" w:rsidP="00ED67AE">
      <w:pPr>
        <w:rPr>
          <w:bCs/>
          <w:szCs w:val="22"/>
          <w:lang w:val="lt-LT"/>
        </w:rPr>
      </w:pPr>
      <w:r>
        <w:rPr>
          <w:bCs/>
          <w:szCs w:val="22"/>
          <w:lang w:val="lt-LT"/>
        </w:rPr>
        <w:t xml:space="preserve">N1 - LT/1/10/2310/020 </w:t>
      </w:r>
    </w:p>
    <w:p w:rsidR="00ED67AE" w:rsidRDefault="00ED67AE" w:rsidP="00ED67AE">
      <w:pPr>
        <w:rPr>
          <w:bCs/>
          <w:szCs w:val="22"/>
          <w:lang w:val="lt-LT"/>
        </w:rPr>
      </w:pPr>
      <w:r>
        <w:rPr>
          <w:bCs/>
          <w:szCs w:val="22"/>
          <w:lang w:val="lt-LT"/>
        </w:rPr>
        <w:t xml:space="preserve">N3 - LT/1/10/2310/021 </w:t>
      </w:r>
    </w:p>
    <w:p w:rsidR="00ED67AE" w:rsidRDefault="00ED67AE" w:rsidP="00ED67AE">
      <w:pPr>
        <w:rPr>
          <w:bCs/>
          <w:szCs w:val="22"/>
          <w:lang w:val="lt-LT"/>
        </w:rPr>
      </w:pPr>
      <w:r>
        <w:rPr>
          <w:bCs/>
          <w:szCs w:val="22"/>
          <w:lang w:val="lt-LT"/>
        </w:rPr>
        <w:t xml:space="preserve">N7 - LT/1/10/2310/022 </w:t>
      </w:r>
    </w:p>
    <w:p w:rsidR="00ED67AE" w:rsidRDefault="00ED67AE" w:rsidP="00ED67AE">
      <w:pPr>
        <w:rPr>
          <w:bCs/>
          <w:szCs w:val="22"/>
          <w:lang w:val="lt-LT"/>
        </w:rPr>
      </w:pPr>
      <w:r>
        <w:rPr>
          <w:bCs/>
          <w:szCs w:val="22"/>
          <w:lang w:val="lt-LT"/>
        </w:rPr>
        <w:t xml:space="preserve">N10 - LT/1/10/2310/023 </w:t>
      </w:r>
    </w:p>
    <w:p w:rsidR="00ED67AE" w:rsidRDefault="00ED67AE" w:rsidP="00ED67AE">
      <w:pPr>
        <w:rPr>
          <w:bCs/>
          <w:szCs w:val="22"/>
          <w:lang w:val="lt-LT"/>
        </w:rPr>
      </w:pPr>
      <w:r>
        <w:rPr>
          <w:bCs/>
          <w:szCs w:val="22"/>
          <w:lang w:val="lt-LT"/>
        </w:rPr>
        <w:t xml:space="preserve">N14 - LT/1/10/2310/024 </w:t>
      </w:r>
    </w:p>
    <w:p w:rsidR="00ED67AE" w:rsidRDefault="00ED67AE" w:rsidP="00ED67AE">
      <w:pPr>
        <w:rPr>
          <w:bCs/>
          <w:szCs w:val="22"/>
          <w:lang w:val="lt-LT"/>
        </w:rPr>
      </w:pPr>
      <w:r>
        <w:rPr>
          <w:bCs/>
          <w:szCs w:val="22"/>
          <w:lang w:val="lt-LT"/>
        </w:rPr>
        <w:t xml:space="preserve">N20 - LT/1/10/2310/025 </w:t>
      </w:r>
    </w:p>
    <w:p w:rsidR="00ED67AE" w:rsidRDefault="00ED67AE" w:rsidP="00ED67AE">
      <w:pPr>
        <w:rPr>
          <w:bCs/>
          <w:szCs w:val="22"/>
          <w:lang w:val="lt-LT"/>
        </w:rPr>
      </w:pPr>
      <w:r>
        <w:rPr>
          <w:bCs/>
          <w:szCs w:val="22"/>
          <w:lang w:val="lt-LT"/>
        </w:rPr>
        <w:t xml:space="preserve">N21 - LT/1/10/2310/026 </w:t>
      </w:r>
    </w:p>
    <w:p w:rsidR="00ED67AE" w:rsidRDefault="00ED67AE" w:rsidP="00ED67AE">
      <w:pPr>
        <w:rPr>
          <w:bCs/>
          <w:szCs w:val="22"/>
          <w:lang w:val="lt-LT"/>
        </w:rPr>
      </w:pPr>
      <w:r>
        <w:rPr>
          <w:bCs/>
          <w:szCs w:val="22"/>
          <w:lang w:val="lt-LT"/>
        </w:rPr>
        <w:t xml:space="preserve">N28 - LT/1/10/2310/027 </w:t>
      </w:r>
    </w:p>
    <w:p w:rsidR="00ED67AE" w:rsidRDefault="00ED67AE" w:rsidP="00ED67AE">
      <w:pPr>
        <w:rPr>
          <w:bCs/>
          <w:szCs w:val="22"/>
          <w:lang w:val="lt-LT"/>
        </w:rPr>
      </w:pPr>
      <w:r>
        <w:rPr>
          <w:bCs/>
          <w:szCs w:val="22"/>
          <w:lang w:val="lt-LT"/>
        </w:rPr>
        <w:t xml:space="preserve">N30 - LT/1/10/2310/028 </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13.</w:t>
      </w:r>
      <w:r w:rsidRPr="00CD6267">
        <w:rPr>
          <w:b/>
          <w:szCs w:val="22"/>
          <w:lang w:val="lt-LT"/>
        </w:rPr>
        <w:tab/>
        <w:t>SERIJOS NUMERIS</w:t>
      </w:r>
    </w:p>
    <w:p w:rsidR="00ED67AE" w:rsidRDefault="00ED67AE" w:rsidP="00ED67AE">
      <w:pPr>
        <w:rPr>
          <w:szCs w:val="22"/>
          <w:lang w:val="lt-LT"/>
        </w:rPr>
      </w:pPr>
    </w:p>
    <w:p w:rsidR="00ED67AE" w:rsidRPr="00CD6267" w:rsidRDefault="00ED67AE" w:rsidP="00ED67AE">
      <w:pPr>
        <w:rPr>
          <w:szCs w:val="22"/>
          <w:lang w:val="lt-LT"/>
        </w:rPr>
      </w:pPr>
      <w:r>
        <w:rPr>
          <w:szCs w:val="22"/>
          <w:lang w:val="lt-LT"/>
        </w:rPr>
        <w:t>Serija</w:t>
      </w:r>
    </w:p>
    <w:p w:rsidR="00ED67AE" w:rsidRDefault="00ED67AE" w:rsidP="00ED67AE">
      <w:pPr>
        <w:rPr>
          <w:b/>
          <w:szCs w:val="22"/>
          <w:lang w:val="lt-LT"/>
        </w:rPr>
      </w:pPr>
    </w:p>
    <w:p w:rsidR="00ED67AE" w:rsidRDefault="00ED67AE" w:rsidP="00ED67AE">
      <w:pPr>
        <w:rPr>
          <w:b/>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14.</w:t>
      </w:r>
      <w:r w:rsidRPr="00CD6267">
        <w:rPr>
          <w:b/>
          <w:szCs w:val="22"/>
          <w:lang w:val="lt-LT"/>
        </w:rPr>
        <w:tab/>
        <w:t>PARDAVIMO (IŠDAVIMO)</w:t>
      </w:r>
      <w:r w:rsidRPr="00CD6267">
        <w:rPr>
          <w:b/>
          <w:caps/>
          <w:szCs w:val="22"/>
          <w:lang w:val="lt-LT"/>
        </w:rPr>
        <w:t xml:space="preserve"> tvarka</w:t>
      </w:r>
    </w:p>
    <w:p w:rsidR="00ED67AE" w:rsidRPr="00CD6267" w:rsidRDefault="00ED67AE" w:rsidP="00ED67AE">
      <w:pPr>
        <w:rPr>
          <w:szCs w:val="22"/>
          <w:lang w:val="lt-LT"/>
        </w:rPr>
      </w:pPr>
    </w:p>
    <w:p w:rsidR="00ED67AE" w:rsidRDefault="00ED67AE" w:rsidP="00ED67AE">
      <w:pPr>
        <w:rPr>
          <w:szCs w:val="22"/>
          <w:lang w:val="lt-LT"/>
        </w:rPr>
      </w:pPr>
      <w:r w:rsidRPr="00CD6267">
        <w:rPr>
          <w:szCs w:val="22"/>
          <w:lang w:val="lt-LT"/>
        </w:rPr>
        <w:t>Receptinis vaistinis preparatas.</w:t>
      </w:r>
    </w:p>
    <w:p w:rsidR="00ED67AE"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15.</w:t>
      </w:r>
      <w:r w:rsidRPr="00CD6267">
        <w:rPr>
          <w:b/>
          <w:szCs w:val="22"/>
          <w:lang w:val="lt-LT"/>
        </w:rPr>
        <w:tab/>
      </w:r>
      <w:r w:rsidRPr="00CD6267">
        <w:rPr>
          <w:b/>
          <w:caps/>
          <w:szCs w:val="22"/>
          <w:lang w:val="lt-LT"/>
        </w:rPr>
        <w:t>vartojimo instrukcijA</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Bdr>
          <w:top w:val="single" w:sz="4" w:space="1" w:color="auto"/>
          <w:left w:val="single" w:sz="4" w:space="4" w:color="auto"/>
          <w:bottom w:val="single" w:sz="4" w:space="1" w:color="auto"/>
          <w:right w:val="single" w:sz="4" w:space="4" w:color="auto"/>
        </w:pBdr>
        <w:rPr>
          <w:szCs w:val="22"/>
          <w:lang w:val="lt-LT"/>
        </w:rPr>
      </w:pPr>
      <w:r w:rsidRPr="00CD6267">
        <w:rPr>
          <w:b/>
          <w:szCs w:val="22"/>
          <w:lang w:val="lt-LT"/>
        </w:rPr>
        <w:t>16.</w:t>
      </w:r>
      <w:r w:rsidRPr="00CD6267">
        <w:rPr>
          <w:b/>
          <w:szCs w:val="22"/>
          <w:lang w:val="lt-LT"/>
        </w:rPr>
        <w:tab/>
        <w:t>INFORMACIJA BRAILIO RAŠTU</w:t>
      </w:r>
    </w:p>
    <w:p w:rsidR="00ED67AE" w:rsidRPr="00CD6267" w:rsidRDefault="00ED67AE" w:rsidP="00ED67AE">
      <w:pPr>
        <w:rPr>
          <w:szCs w:val="22"/>
          <w:lang w:val="lt-LT"/>
        </w:rPr>
      </w:pPr>
    </w:p>
    <w:p w:rsidR="00ED67AE" w:rsidRPr="00CD6267" w:rsidRDefault="00ED67AE" w:rsidP="00ED67AE">
      <w:pPr>
        <w:rPr>
          <w:b/>
          <w:szCs w:val="22"/>
          <w:lang w:val="lt-LT"/>
        </w:rPr>
      </w:pPr>
      <w:r>
        <w:rPr>
          <w:szCs w:val="22"/>
          <w:lang w:val="lt-LT"/>
        </w:rPr>
        <w:t xml:space="preserve">Ibandronic acid Actavis 150 mg </w:t>
      </w:r>
      <w:r w:rsidRPr="00CD6267">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rPr>
          <w:trHeight w:val="785"/>
        </w:trPr>
        <w:tc>
          <w:tcPr>
            <w:tcW w:w="9287" w:type="dxa"/>
            <w:tcBorders>
              <w:bottom w:val="single" w:sz="4" w:space="0" w:color="auto"/>
            </w:tcBorders>
          </w:tcPr>
          <w:p w:rsidR="00ED67AE" w:rsidRPr="00CD6267" w:rsidRDefault="00ED67AE" w:rsidP="005A5ACB">
            <w:pPr>
              <w:rPr>
                <w:b/>
                <w:szCs w:val="22"/>
                <w:lang w:val="lt-LT"/>
              </w:rPr>
            </w:pPr>
            <w:r w:rsidRPr="00CD6267">
              <w:rPr>
                <w:b/>
                <w:szCs w:val="22"/>
                <w:lang w:val="lt-LT"/>
              </w:rPr>
              <w:t>MINIMALI INFORMACIJA ANT LIZDINIŲ PLOKŠTELIŲ ARBA DVISLUOKSNIŲ JUOSTELIŲ</w:t>
            </w:r>
          </w:p>
          <w:p w:rsidR="00ED67AE" w:rsidRPr="00CD6267" w:rsidRDefault="00ED67AE" w:rsidP="005A5ACB">
            <w:pPr>
              <w:rPr>
                <w:b/>
                <w:szCs w:val="22"/>
                <w:lang w:val="lt-LT"/>
              </w:rPr>
            </w:pPr>
          </w:p>
          <w:p w:rsidR="00ED67AE" w:rsidRPr="00CD6267" w:rsidRDefault="00ED67AE" w:rsidP="005A5ACB">
            <w:pPr>
              <w:rPr>
                <w:b/>
                <w:szCs w:val="22"/>
                <w:lang w:val="lt-LT"/>
              </w:rPr>
            </w:pPr>
            <w:r>
              <w:rPr>
                <w:b/>
                <w:szCs w:val="22"/>
                <w:lang w:val="lt-LT"/>
              </w:rPr>
              <w:t>LIZDINĖ PLOKŠTELĖ</w:t>
            </w:r>
          </w:p>
        </w:tc>
      </w:tr>
    </w:tbl>
    <w:p w:rsidR="00ED67AE" w:rsidRPr="00CD6267" w:rsidRDefault="00ED67AE" w:rsidP="00ED67AE">
      <w:pPr>
        <w:rPr>
          <w:b/>
          <w:szCs w:val="22"/>
          <w:lang w:val="lt-LT"/>
        </w:rPr>
      </w:pPr>
    </w:p>
    <w:p w:rsidR="00ED67AE" w:rsidRPr="00CD6267" w:rsidRDefault="00ED67AE" w:rsidP="00ED67AE">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c>
          <w:tcPr>
            <w:tcW w:w="9287" w:type="dxa"/>
          </w:tcPr>
          <w:p w:rsidR="00ED67AE" w:rsidRPr="00CD6267" w:rsidRDefault="00ED67AE" w:rsidP="005A5ACB">
            <w:pPr>
              <w:rPr>
                <w:b/>
                <w:szCs w:val="22"/>
                <w:lang w:val="lt-LT"/>
              </w:rPr>
            </w:pPr>
            <w:r w:rsidRPr="00CD6267">
              <w:rPr>
                <w:b/>
                <w:szCs w:val="22"/>
                <w:lang w:val="lt-LT"/>
              </w:rPr>
              <w:t>1.</w:t>
            </w:r>
            <w:r w:rsidRPr="00CD6267">
              <w:rPr>
                <w:b/>
                <w:szCs w:val="22"/>
                <w:lang w:val="lt-LT"/>
              </w:rPr>
              <w:tab/>
            </w:r>
            <w:r w:rsidRPr="00CD6267">
              <w:rPr>
                <w:b/>
                <w:caps/>
                <w:szCs w:val="22"/>
                <w:lang w:val="lt-LT"/>
              </w:rPr>
              <w:t>Vaistinio preparato pavadinimas</w:t>
            </w:r>
          </w:p>
        </w:tc>
      </w:tr>
    </w:tbl>
    <w:p w:rsidR="00ED67AE" w:rsidRPr="00CD6267" w:rsidRDefault="00ED67AE" w:rsidP="00ED67AE">
      <w:pPr>
        <w:rPr>
          <w:szCs w:val="22"/>
          <w:lang w:val="lt-LT"/>
        </w:rPr>
      </w:pPr>
    </w:p>
    <w:p w:rsidR="00ED67AE" w:rsidRPr="00CD6267" w:rsidRDefault="00ED67AE" w:rsidP="00ED67AE">
      <w:pPr>
        <w:tabs>
          <w:tab w:val="left" w:pos="7020"/>
        </w:tabs>
        <w:rPr>
          <w:szCs w:val="22"/>
          <w:lang w:val="lt-LT"/>
        </w:rPr>
      </w:pPr>
      <w:r>
        <w:rPr>
          <w:szCs w:val="22"/>
          <w:lang w:val="lt-LT"/>
        </w:rPr>
        <w:t xml:space="preserve">Ibandronic acid Actavis 150 mg </w:t>
      </w:r>
      <w:r w:rsidRPr="00383225">
        <w:rPr>
          <w:szCs w:val="22"/>
          <w:highlight w:val="lightGray"/>
          <w:lang w:val="lt-LT"/>
        </w:rPr>
        <w:t>plėvele dengtos</w:t>
      </w:r>
      <w:r>
        <w:rPr>
          <w:szCs w:val="22"/>
          <w:lang w:val="lt-LT"/>
        </w:rPr>
        <w:t xml:space="preserve"> tabletės</w:t>
      </w:r>
    </w:p>
    <w:p w:rsidR="00ED67AE" w:rsidRPr="00CD6267" w:rsidRDefault="00ED67AE" w:rsidP="00ED67AE">
      <w:pPr>
        <w:rPr>
          <w:szCs w:val="22"/>
          <w:lang w:val="lt-LT"/>
        </w:rPr>
      </w:pPr>
      <w:r>
        <w:rPr>
          <w:szCs w:val="22"/>
          <w:lang w:val="lt-LT"/>
        </w:rPr>
        <w:t>Acidum ibandronicum</w:t>
      </w:r>
    </w:p>
    <w:p w:rsidR="00ED67AE" w:rsidRPr="00CD6267" w:rsidRDefault="00ED67AE" w:rsidP="00ED67AE">
      <w:pPr>
        <w:rPr>
          <w:b/>
          <w:szCs w:val="22"/>
          <w:lang w:val="lt-LT"/>
        </w:rPr>
      </w:pPr>
    </w:p>
    <w:p w:rsidR="00ED67AE" w:rsidRPr="00CD6267" w:rsidRDefault="00ED67AE" w:rsidP="00ED67AE">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c>
          <w:tcPr>
            <w:tcW w:w="9287" w:type="dxa"/>
          </w:tcPr>
          <w:p w:rsidR="00ED67AE" w:rsidRPr="00CD6267" w:rsidRDefault="00ED67AE" w:rsidP="005A5ACB">
            <w:pPr>
              <w:rPr>
                <w:b/>
                <w:szCs w:val="22"/>
                <w:lang w:val="lt-LT"/>
              </w:rPr>
            </w:pPr>
            <w:r w:rsidRPr="00CD6267">
              <w:rPr>
                <w:b/>
                <w:szCs w:val="22"/>
                <w:lang w:val="lt-LT"/>
              </w:rPr>
              <w:t>2.</w:t>
            </w:r>
            <w:r w:rsidRPr="00CD6267">
              <w:rPr>
                <w:b/>
                <w:szCs w:val="22"/>
                <w:lang w:val="lt-LT"/>
              </w:rPr>
              <w:tab/>
            </w:r>
            <w:r w:rsidRPr="00CD6267">
              <w:rPr>
                <w:b/>
                <w:caps/>
                <w:szCs w:val="22"/>
                <w:lang w:val="lt-LT"/>
              </w:rPr>
              <w:t>r</w:t>
            </w:r>
            <w:r w:rsidR="000A0DA1">
              <w:rPr>
                <w:b/>
                <w:caps/>
                <w:szCs w:val="22"/>
                <w:lang w:val="lt-LT"/>
              </w:rPr>
              <w:t>EGISTRUO</w:t>
            </w:r>
            <w:r w:rsidRPr="00CD6267">
              <w:rPr>
                <w:b/>
                <w:caps/>
                <w:szCs w:val="22"/>
                <w:lang w:val="lt-LT"/>
              </w:rPr>
              <w:t>tojo pavadinimas</w:t>
            </w:r>
          </w:p>
        </w:tc>
      </w:tr>
    </w:tbl>
    <w:p w:rsidR="00ED67AE" w:rsidRPr="00BE7CA9" w:rsidRDefault="00ED67AE" w:rsidP="00ED67AE">
      <w:pPr>
        <w:rPr>
          <w:szCs w:val="22"/>
          <w:lang w:val="lt-LT"/>
        </w:rPr>
      </w:pPr>
    </w:p>
    <w:p w:rsidR="00ED67AE" w:rsidRPr="00BE7CA9" w:rsidRDefault="00ED67AE" w:rsidP="00ED67AE">
      <w:pPr>
        <w:rPr>
          <w:szCs w:val="22"/>
          <w:lang w:val="lt-LT"/>
        </w:rPr>
      </w:pPr>
      <w:r>
        <w:rPr>
          <w:szCs w:val="22"/>
          <w:lang w:val="lt-LT"/>
        </w:rPr>
        <w:t>Actavis (logo)</w:t>
      </w:r>
    </w:p>
    <w:p w:rsidR="00ED67AE" w:rsidRPr="00BE7CA9" w:rsidRDefault="00ED67AE" w:rsidP="00ED67AE">
      <w:pPr>
        <w:rPr>
          <w:szCs w:val="22"/>
          <w:lang w:val="lt-LT"/>
        </w:rPr>
      </w:pPr>
    </w:p>
    <w:p w:rsidR="00ED67AE" w:rsidRPr="00BE7CA9" w:rsidRDefault="00ED67AE" w:rsidP="00ED67A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c>
          <w:tcPr>
            <w:tcW w:w="9287" w:type="dxa"/>
          </w:tcPr>
          <w:p w:rsidR="00ED67AE" w:rsidRPr="00CD6267" w:rsidRDefault="00ED67AE" w:rsidP="005A5ACB">
            <w:pPr>
              <w:rPr>
                <w:b/>
                <w:szCs w:val="22"/>
                <w:lang w:val="lt-LT"/>
              </w:rPr>
            </w:pPr>
            <w:r w:rsidRPr="00CD6267">
              <w:rPr>
                <w:b/>
                <w:szCs w:val="22"/>
                <w:lang w:val="lt-LT"/>
              </w:rPr>
              <w:t>3.</w:t>
            </w:r>
            <w:r w:rsidRPr="00CD6267">
              <w:rPr>
                <w:b/>
                <w:szCs w:val="22"/>
                <w:lang w:val="lt-LT"/>
              </w:rPr>
              <w:tab/>
            </w:r>
            <w:r w:rsidRPr="00CD6267">
              <w:rPr>
                <w:b/>
                <w:caps/>
                <w:szCs w:val="22"/>
                <w:lang w:val="lt-LT"/>
              </w:rPr>
              <w:t>tinkamumo laikas</w:t>
            </w:r>
          </w:p>
        </w:tc>
      </w:tr>
    </w:tbl>
    <w:p w:rsidR="00ED67AE" w:rsidRDefault="00ED67AE" w:rsidP="00ED67AE">
      <w:pPr>
        <w:rPr>
          <w:b/>
          <w:szCs w:val="22"/>
          <w:lang w:val="lt-LT"/>
        </w:rPr>
      </w:pPr>
    </w:p>
    <w:p w:rsidR="00ED67AE" w:rsidRPr="00625BE3" w:rsidRDefault="00ED67AE" w:rsidP="00ED67AE">
      <w:pPr>
        <w:rPr>
          <w:szCs w:val="22"/>
          <w:lang w:val="lt-LT"/>
        </w:rPr>
      </w:pPr>
      <w:r w:rsidRPr="00625BE3">
        <w:rPr>
          <w:szCs w:val="22"/>
          <w:lang w:val="lt-LT"/>
        </w:rPr>
        <w:t>EXP</w:t>
      </w:r>
      <w:r>
        <w:rPr>
          <w:szCs w:val="22"/>
          <w:lang w:val="lt-LT"/>
        </w:rPr>
        <w:t xml:space="preserve"> {mm.MMMM}</w:t>
      </w:r>
    </w:p>
    <w:p w:rsidR="00ED67AE" w:rsidRDefault="00ED67AE" w:rsidP="00ED67AE">
      <w:pPr>
        <w:rPr>
          <w:szCs w:val="22"/>
          <w:lang w:val="lt-LT"/>
        </w:rPr>
      </w:pPr>
    </w:p>
    <w:p w:rsidR="00ED67AE" w:rsidRPr="00CD6267" w:rsidRDefault="00ED67AE" w:rsidP="00ED67A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c>
          <w:tcPr>
            <w:tcW w:w="9287" w:type="dxa"/>
          </w:tcPr>
          <w:p w:rsidR="00ED67AE" w:rsidRPr="00CD6267" w:rsidRDefault="00ED67AE" w:rsidP="005A5ACB">
            <w:pPr>
              <w:rPr>
                <w:b/>
                <w:szCs w:val="22"/>
                <w:lang w:val="lt-LT"/>
              </w:rPr>
            </w:pPr>
            <w:r w:rsidRPr="00CD6267">
              <w:rPr>
                <w:b/>
                <w:szCs w:val="22"/>
                <w:lang w:val="lt-LT"/>
              </w:rPr>
              <w:t>4.</w:t>
            </w:r>
            <w:r w:rsidRPr="00CD6267">
              <w:rPr>
                <w:b/>
                <w:szCs w:val="22"/>
                <w:lang w:val="lt-LT"/>
              </w:rPr>
              <w:tab/>
            </w:r>
            <w:r w:rsidRPr="00CD6267">
              <w:rPr>
                <w:b/>
                <w:caps/>
                <w:szCs w:val="22"/>
                <w:lang w:val="lt-LT"/>
              </w:rPr>
              <w:t>serijos numeris</w:t>
            </w:r>
          </w:p>
        </w:tc>
      </w:tr>
    </w:tbl>
    <w:p w:rsidR="00ED67AE" w:rsidRDefault="00ED67AE" w:rsidP="00ED67AE">
      <w:pPr>
        <w:rPr>
          <w:szCs w:val="22"/>
          <w:lang w:val="lt-LT"/>
        </w:rPr>
      </w:pPr>
    </w:p>
    <w:p w:rsidR="00ED67AE" w:rsidRDefault="00ED67AE" w:rsidP="00ED67AE">
      <w:pPr>
        <w:rPr>
          <w:szCs w:val="22"/>
          <w:lang w:val="lt-LT"/>
        </w:rPr>
      </w:pPr>
      <w:r>
        <w:rPr>
          <w:szCs w:val="22"/>
          <w:lang w:val="lt-LT"/>
        </w:rPr>
        <w:t>Lot</w:t>
      </w:r>
    </w:p>
    <w:p w:rsidR="00ED67AE" w:rsidRPr="00CD6267" w:rsidRDefault="00ED67AE" w:rsidP="00ED67AE">
      <w:pPr>
        <w:rPr>
          <w:szCs w:val="22"/>
          <w:lang w:val="lt-LT"/>
        </w:rPr>
      </w:pPr>
    </w:p>
    <w:p w:rsidR="00ED67AE" w:rsidRPr="00CD6267" w:rsidRDefault="00ED67AE" w:rsidP="00ED67AE">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D67AE" w:rsidRPr="00CD6267" w:rsidTr="005A5ACB">
        <w:tc>
          <w:tcPr>
            <w:tcW w:w="9287" w:type="dxa"/>
          </w:tcPr>
          <w:p w:rsidR="00ED67AE" w:rsidRPr="00CD6267" w:rsidRDefault="00ED67AE" w:rsidP="005A5ACB">
            <w:pPr>
              <w:rPr>
                <w:b/>
                <w:szCs w:val="22"/>
                <w:lang w:val="lt-LT"/>
              </w:rPr>
            </w:pPr>
            <w:r w:rsidRPr="00CD6267">
              <w:rPr>
                <w:b/>
                <w:szCs w:val="22"/>
                <w:lang w:val="lt-LT"/>
              </w:rPr>
              <w:t>5.</w:t>
            </w:r>
            <w:r w:rsidRPr="00CD6267">
              <w:rPr>
                <w:b/>
                <w:szCs w:val="22"/>
                <w:lang w:val="lt-LT"/>
              </w:rPr>
              <w:tab/>
              <w:t>KITA</w:t>
            </w:r>
          </w:p>
        </w:tc>
      </w:tr>
    </w:tbl>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pStyle w:val="BTEMEASMCA"/>
      </w:pP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szCs w:val="22"/>
          <w:lang w:val="lt-LT"/>
        </w:rPr>
      </w:pPr>
    </w:p>
    <w:p w:rsidR="003169DB" w:rsidRDefault="003169DB">
      <w:pPr>
        <w:tabs>
          <w:tab w:val="clear" w:pos="567"/>
        </w:tabs>
        <w:spacing w:after="200" w:line="276" w:lineRule="auto"/>
        <w:rPr>
          <w:szCs w:val="22"/>
          <w:lang w:val="lt-LT"/>
        </w:rPr>
      </w:pPr>
      <w:r>
        <w:rPr>
          <w:szCs w:val="22"/>
          <w:lang w:val="lt-LT"/>
        </w:rPr>
        <w:br w:type="page"/>
      </w: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Default="00ED67AE" w:rsidP="00ED67AE">
      <w:pPr>
        <w:jc w:val="center"/>
        <w:rPr>
          <w:b/>
          <w:szCs w:val="22"/>
          <w:lang w:val="lt-LT"/>
        </w:rPr>
      </w:pPr>
    </w:p>
    <w:p w:rsidR="00ED67AE" w:rsidRPr="00CD6267" w:rsidRDefault="00ED67AE" w:rsidP="00ED67AE">
      <w:pPr>
        <w:jc w:val="center"/>
        <w:rPr>
          <w:szCs w:val="22"/>
          <w:lang w:val="lt-LT"/>
        </w:rPr>
      </w:pPr>
      <w:r w:rsidRPr="00CD6267">
        <w:rPr>
          <w:b/>
          <w:szCs w:val="22"/>
          <w:lang w:val="lt-LT"/>
        </w:rPr>
        <w:t>B. PAKUOTĖS LAPELIS</w:t>
      </w:r>
    </w:p>
    <w:p w:rsidR="00ED67AE" w:rsidRPr="00CD6267" w:rsidRDefault="00ED67AE" w:rsidP="00ED67AE">
      <w:pPr>
        <w:rPr>
          <w:szCs w:val="22"/>
          <w:lang w:val="lt-LT"/>
        </w:rPr>
      </w:pPr>
    </w:p>
    <w:p w:rsidR="00ED67AE" w:rsidRPr="00CD6267" w:rsidRDefault="00ED67AE" w:rsidP="00ED67AE">
      <w:pPr>
        <w:jc w:val="center"/>
        <w:rPr>
          <w:b/>
          <w:szCs w:val="22"/>
          <w:lang w:val="lt-LT"/>
        </w:rPr>
      </w:pPr>
      <w:r w:rsidRPr="00CD6267">
        <w:rPr>
          <w:b/>
          <w:szCs w:val="22"/>
          <w:lang w:val="lt-LT"/>
        </w:rPr>
        <w:br w:type="page"/>
      </w:r>
      <w:r w:rsidR="003169DB">
        <w:rPr>
          <w:b/>
          <w:szCs w:val="22"/>
          <w:lang w:val="lt-LT"/>
        </w:rPr>
        <w:t xml:space="preserve">Pakuotės lapelis – informacija </w:t>
      </w:r>
      <w:r w:rsidR="00BF3FCB">
        <w:rPr>
          <w:b/>
          <w:szCs w:val="22"/>
          <w:lang w:val="lt-LT"/>
        </w:rPr>
        <w:t>pacientui</w:t>
      </w:r>
    </w:p>
    <w:p w:rsidR="00ED67AE" w:rsidRPr="00CD6267" w:rsidRDefault="00ED67AE" w:rsidP="00ED67AE">
      <w:pPr>
        <w:rPr>
          <w:b/>
          <w:szCs w:val="22"/>
          <w:lang w:val="lt-LT"/>
        </w:rPr>
      </w:pPr>
    </w:p>
    <w:p w:rsidR="00ED67AE" w:rsidRPr="00625BE3" w:rsidRDefault="00ED67AE" w:rsidP="00ED67AE">
      <w:pPr>
        <w:jc w:val="center"/>
        <w:rPr>
          <w:b/>
          <w:szCs w:val="22"/>
          <w:lang w:val="lt-LT"/>
        </w:rPr>
      </w:pPr>
      <w:r>
        <w:rPr>
          <w:b/>
          <w:szCs w:val="22"/>
          <w:lang w:val="lt-LT"/>
        </w:rPr>
        <w:t>Ibandronic acid Actavis 150 mg</w:t>
      </w:r>
      <w:r w:rsidRPr="00625BE3">
        <w:rPr>
          <w:b/>
          <w:szCs w:val="22"/>
          <w:lang w:val="lt-LT"/>
        </w:rPr>
        <w:t xml:space="preserve"> plėvele dengtos tabletės</w:t>
      </w:r>
    </w:p>
    <w:p w:rsidR="00ED67AE" w:rsidRPr="00CD6267" w:rsidRDefault="00ED67AE" w:rsidP="00ED67AE">
      <w:pPr>
        <w:jc w:val="center"/>
        <w:rPr>
          <w:szCs w:val="22"/>
          <w:lang w:val="lt-LT"/>
        </w:rPr>
      </w:pPr>
      <w:r>
        <w:rPr>
          <w:szCs w:val="22"/>
          <w:lang w:val="lt-LT"/>
        </w:rPr>
        <w:t>Ibandrono rūgštis</w:t>
      </w: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Atidžiai perskaitykite visą šį lapelį, prieš pradėdami vartoti vaistą</w:t>
      </w:r>
      <w:r w:rsidR="003169DB">
        <w:rPr>
          <w:b/>
          <w:szCs w:val="22"/>
          <w:lang w:val="lt-LT"/>
        </w:rPr>
        <w:t>, nes jame pateikiama Jums svarbi informacija.</w:t>
      </w:r>
    </w:p>
    <w:p w:rsidR="00ED67AE" w:rsidRPr="00CD6267" w:rsidRDefault="00ED67AE" w:rsidP="00ED67AE">
      <w:pPr>
        <w:rPr>
          <w:szCs w:val="22"/>
          <w:lang w:val="lt-LT"/>
        </w:rPr>
      </w:pPr>
      <w:r w:rsidRPr="00CD6267">
        <w:rPr>
          <w:szCs w:val="22"/>
          <w:lang w:val="lt-LT"/>
        </w:rPr>
        <w:t>-</w:t>
      </w:r>
      <w:r w:rsidRPr="00CD6267">
        <w:rPr>
          <w:szCs w:val="22"/>
          <w:lang w:val="lt-LT"/>
        </w:rPr>
        <w:tab/>
        <w:t>Neišmeskite šio lapelio, nes vėl gali prireikti jį perskaityti.</w:t>
      </w:r>
    </w:p>
    <w:p w:rsidR="00ED67AE" w:rsidRPr="00CD6267" w:rsidRDefault="00ED67AE" w:rsidP="00ED67AE">
      <w:pPr>
        <w:rPr>
          <w:szCs w:val="22"/>
          <w:lang w:val="lt-LT"/>
        </w:rPr>
      </w:pPr>
      <w:r w:rsidRPr="00CD6267">
        <w:rPr>
          <w:szCs w:val="22"/>
          <w:lang w:val="lt-LT"/>
        </w:rPr>
        <w:t>-</w:t>
      </w:r>
      <w:r w:rsidRPr="00CD6267">
        <w:rPr>
          <w:szCs w:val="22"/>
          <w:lang w:val="lt-LT"/>
        </w:rPr>
        <w:tab/>
        <w:t>Jeigu kiltų daugiau klausimų, kreipkitės į gydytoją</w:t>
      </w:r>
      <w:r>
        <w:rPr>
          <w:szCs w:val="22"/>
          <w:lang w:val="lt-LT"/>
        </w:rPr>
        <w:t xml:space="preserve"> </w:t>
      </w:r>
      <w:r w:rsidRPr="00CD6267">
        <w:rPr>
          <w:szCs w:val="22"/>
          <w:lang w:val="lt-LT"/>
        </w:rPr>
        <w:t>arba</w:t>
      </w:r>
      <w:r>
        <w:rPr>
          <w:szCs w:val="22"/>
          <w:lang w:val="lt-LT"/>
        </w:rPr>
        <w:t xml:space="preserve"> </w:t>
      </w:r>
      <w:r w:rsidRPr="00CD6267">
        <w:rPr>
          <w:szCs w:val="22"/>
          <w:lang w:val="lt-LT"/>
        </w:rPr>
        <w:t>vaistininką.</w:t>
      </w:r>
    </w:p>
    <w:p w:rsidR="00ED67AE" w:rsidRPr="00CD6267" w:rsidRDefault="00ED67AE" w:rsidP="00ED67AE">
      <w:pPr>
        <w:ind w:left="567" w:hanging="567"/>
        <w:rPr>
          <w:szCs w:val="22"/>
          <w:lang w:val="lt-LT"/>
        </w:rPr>
      </w:pPr>
      <w:r>
        <w:rPr>
          <w:szCs w:val="22"/>
          <w:lang w:val="lt-LT"/>
        </w:rPr>
        <w:t>-</w:t>
      </w:r>
      <w:r>
        <w:rPr>
          <w:szCs w:val="22"/>
          <w:lang w:val="lt-LT"/>
        </w:rPr>
        <w:tab/>
      </w:r>
      <w:r w:rsidRPr="00CD6267">
        <w:rPr>
          <w:szCs w:val="22"/>
          <w:lang w:val="lt-LT"/>
        </w:rPr>
        <w:t>Šis vaistas skirtas</w:t>
      </w:r>
      <w:r w:rsidR="003169DB">
        <w:rPr>
          <w:szCs w:val="22"/>
          <w:lang w:val="lt-LT"/>
        </w:rPr>
        <w:t xml:space="preserve"> tik</w:t>
      </w:r>
      <w:r w:rsidRPr="00CD6267">
        <w:rPr>
          <w:szCs w:val="22"/>
          <w:lang w:val="lt-LT"/>
        </w:rPr>
        <w:t xml:space="preserve"> Jums, todėl kitiems žmonėms jo duoti negalima. Vaistas gali jiems pakenkti (net tiems, kurių ligos </w:t>
      </w:r>
      <w:r w:rsidR="003169DB">
        <w:rPr>
          <w:szCs w:val="22"/>
          <w:lang w:val="lt-LT"/>
        </w:rPr>
        <w:t>požymiai</w:t>
      </w:r>
      <w:r w:rsidRPr="00CD6267">
        <w:rPr>
          <w:szCs w:val="22"/>
          <w:lang w:val="lt-LT"/>
        </w:rPr>
        <w:t xml:space="preserve"> yra tokie patys kaip Jūsų).</w:t>
      </w:r>
    </w:p>
    <w:p w:rsidR="00ED67AE" w:rsidRPr="00CD6267" w:rsidRDefault="00ED67AE" w:rsidP="00ED67AE">
      <w:pPr>
        <w:ind w:left="567" w:hanging="567"/>
        <w:rPr>
          <w:szCs w:val="22"/>
          <w:lang w:val="lt-LT"/>
        </w:rPr>
      </w:pPr>
      <w:r>
        <w:rPr>
          <w:szCs w:val="22"/>
          <w:lang w:val="lt-LT"/>
        </w:rPr>
        <w:t>-</w:t>
      </w:r>
      <w:r>
        <w:rPr>
          <w:szCs w:val="22"/>
          <w:lang w:val="lt-LT"/>
        </w:rPr>
        <w:tab/>
      </w:r>
      <w:r w:rsidRPr="00CD6267">
        <w:rPr>
          <w:szCs w:val="22"/>
          <w:lang w:val="lt-LT"/>
        </w:rPr>
        <w:t xml:space="preserve">Jeigu pasireiškė šalutinis poveikis </w:t>
      </w:r>
      <w:r w:rsidR="003169DB">
        <w:rPr>
          <w:szCs w:val="22"/>
          <w:lang w:val="lt-LT"/>
        </w:rPr>
        <w:t>(net jeigu jis</w:t>
      </w:r>
      <w:r w:rsidRPr="00CD6267">
        <w:rPr>
          <w:szCs w:val="22"/>
          <w:lang w:val="lt-LT"/>
        </w:rPr>
        <w:t xml:space="preserve"> šiame lapelyje nenurodyt</w:t>
      </w:r>
      <w:r w:rsidR="003169DB">
        <w:rPr>
          <w:szCs w:val="22"/>
          <w:lang w:val="lt-LT"/>
        </w:rPr>
        <w:t>as), kreipkitės į</w:t>
      </w:r>
      <w:r w:rsidRPr="00CD6267">
        <w:rPr>
          <w:szCs w:val="22"/>
          <w:lang w:val="lt-LT"/>
        </w:rPr>
        <w:t xml:space="preserve"> gydytoj</w:t>
      </w:r>
      <w:r w:rsidR="003169DB">
        <w:rPr>
          <w:szCs w:val="22"/>
          <w:lang w:val="lt-LT"/>
        </w:rPr>
        <w:t>ą</w:t>
      </w:r>
      <w:r>
        <w:rPr>
          <w:szCs w:val="22"/>
          <w:lang w:val="lt-LT"/>
        </w:rPr>
        <w:t xml:space="preserve"> </w:t>
      </w:r>
      <w:r w:rsidRPr="00CD6267">
        <w:rPr>
          <w:szCs w:val="22"/>
          <w:lang w:val="lt-LT"/>
        </w:rPr>
        <w:t>arba</w:t>
      </w:r>
      <w:r>
        <w:rPr>
          <w:szCs w:val="22"/>
          <w:lang w:val="lt-LT"/>
        </w:rPr>
        <w:t xml:space="preserve"> </w:t>
      </w:r>
      <w:r w:rsidRPr="00CD6267">
        <w:rPr>
          <w:szCs w:val="22"/>
          <w:lang w:val="lt-LT"/>
        </w:rPr>
        <w:t>vaistinink</w:t>
      </w:r>
      <w:r w:rsidR="003169DB">
        <w:rPr>
          <w:szCs w:val="22"/>
          <w:lang w:val="lt-LT"/>
        </w:rPr>
        <w:t>ą</w:t>
      </w:r>
      <w:r>
        <w:rPr>
          <w:szCs w:val="22"/>
          <w:lang w:val="lt-LT"/>
        </w:rPr>
        <w:t>.</w:t>
      </w:r>
      <w:r w:rsidR="003169DB">
        <w:rPr>
          <w:szCs w:val="22"/>
          <w:lang w:val="lt-LT"/>
        </w:rPr>
        <w:t xml:space="preserve"> Žr. </w:t>
      </w:r>
      <w:r w:rsidR="003169DB">
        <w:rPr>
          <w:szCs w:val="22"/>
          <w:lang w:val="en-US"/>
        </w:rPr>
        <w:t>4</w:t>
      </w:r>
      <w:r w:rsidR="003169DB">
        <w:rPr>
          <w:szCs w:val="22"/>
          <w:lang w:val="lt-LT"/>
        </w:rPr>
        <w:t xml:space="preserve"> skyrių.</w:t>
      </w:r>
    </w:p>
    <w:p w:rsidR="00ED67AE" w:rsidRPr="00CD6267" w:rsidRDefault="00ED67AE" w:rsidP="00ED67AE">
      <w:pPr>
        <w:rPr>
          <w:szCs w:val="22"/>
          <w:lang w:val="lt-LT"/>
        </w:rPr>
      </w:pPr>
    </w:p>
    <w:p w:rsidR="00ED67AE" w:rsidRDefault="003169DB" w:rsidP="00ED67AE">
      <w:pPr>
        <w:rPr>
          <w:b/>
          <w:szCs w:val="22"/>
          <w:lang w:val="lt-LT"/>
        </w:rPr>
      </w:pPr>
      <w:r>
        <w:rPr>
          <w:b/>
          <w:szCs w:val="22"/>
          <w:lang w:val="lt-LT"/>
        </w:rPr>
        <w:t>Apie ką rašoma šiame lapelyje?</w:t>
      </w:r>
    </w:p>
    <w:p w:rsidR="003169DB" w:rsidRPr="00CD6267" w:rsidRDefault="003169DB" w:rsidP="00ED67AE">
      <w:pPr>
        <w:rPr>
          <w:b/>
          <w:szCs w:val="22"/>
          <w:lang w:val="lt-LT"/>
        </w:rPr>
      </w:pPr>
    </w:p>
    <w:p w:rsidR="00ED67AE" w:rsidRPr="00CD6267" w:rsidRDefault="00ED67AE" w:rsidP="00ED67AE">
      <w:pPr>
        <w:rPr>
          <w:szCs w:val="22"/>
          <w:lang w:val="lt-LT"/>
        </w:rPr>
      </w:pPr>
      <w:r w:rsidRPr="00CD6267">
        <w:rPr>
          <w:szCs w:val="22"/>
          <w:lang w:val="lt-LT"/>
        </w:rPr>
        <w:t>1.</w:t>
      </w:r>
      <w:r w:rsidRPr="00CD6267">
        <w:rPr>
          <w:szCs w:val="22"/>
          <w:lang w:val="lt-LT"/>
        </w:rPr>
        <w:tab/>
        <w:t xml:space="preserve">Kas yra </w:t>
      </w:r>
      <w:r>
        <w:rPr>
          <w:szCs w:val="22"/>
          <w:lang w:val="lt-LT"/>
        </w:rPr>
        <w:t>Ibandronic acid Actavis</w:t>
      </w:r>
      <w:r w:rsidRPr="00CD6267">
        <w:rPr>
          <w:szCs w:val="22"/>
          <w:lang w:val="lt-LT"/>
        </w:rPr>
        <w:t xml:space="preserve"> </w:t>
      </w:r>
      <w:r>
        <w:rPr>
          <w:szCs w:val="22"/>
          <w:lang w:val="lt-LT"/>
        </w:rPr>
        <w:t xml:space="preserve">150 mg </w:t>
      </w:r>
      <w:r w:rsidRPr="00CD6267">
        <w:rPr>
          <w:szCs w:val="22"/>
          <w:lang w:val="lt-LT"/>
        </w:rPr>
        <w:t>ir kam jis vartojamas</w:t>
      </w:r>
    </w:p>
    <w:p w:rsidR="00ED67AE" w:rsidRPr="00CD6267" w:rsidRDefault="00ED67AE" w:rsidP="00ED67AE">
      <w:pPr>
        <w:rPr>
          <w:szCs w:val="22"/>
          <w:lang w:val="lt-LT"/>
        </w:rPr>
      </w:pPr>
      <w:r w:rsidRPr="00CD6267">
        <w:rPr>
          <w:szCs w:val="22"/>
          <w:lang w:val="lt-LT"/>
        </w:rPr>
        <w:t>2.</w:t>
      </w:r>
      <w:r w:rsidRPr="00CD6267">
        <w:rPr>
          <w:szCs w:val="22"/>
          <w:lang w:val="lt-LT"/>
        </w:rPr>
        <w:tab/>
        <w:t xml:space="preserve">Kas žinotina prieš vartojant </w:t>
      </w:r>
      <w:r>
        <w:rPr>
          <w:szCs w:val="22"/>
          <w:lang w:val="lt-LT"/>
        </w:rPr>
        <w:t>Ibandronic acid Actavis 150 mg</w:t>
      </w:r>
    </w:p>
    <w:p w:rsidR="00ED67AE" w:rsidRPr="00CD6267" w:rsidRDefault="00ED67AE" w:rsidP="00ED67AE">
      <w:pPr>
        <w:rPr>
          <w:szCs w:val="22"/>
          <w:lang w:val="lt-LT"/>
        </w:rPr>
      </w:pPr>
      <w:r w:rsidRPr="00CD6267">
        <w:rPr>
          <w:szCs w:val="22"/>
          <w:lang w:val="lt-LT"/>
        </w:rPr>
        <w:t>3.</w:t>
      </w:r>
      <w:r w:rsidRPr="00CD6267">
        <w:rPr>
          <w:szCs w:val="22"/>
          <w:lang w:val="lt-LT"/>
        </w:rPr>
        <w:tab/>
        <w:t xml:space="preserve">Kaip vartoti </w:t>
      </w:r>
      <w:r>
        <w:rPr>
          <w:szCs w:val="22"/>
          <w:lang w:val="lt-LT"/>
        </w:rPr>
        <w:t>Ibandronic acid Actavis 150 mg</w:t>
      </w:r>
    </w:p>
    <w:p w:rsidR="00ED67AE" w:rsidRPr="00CD6267" w:rsidRDefault="00ED67AE" w:rsidP="00ED67AE">
      <w:pPr>
        <w:rPr>
          <w:szCs w:val="22"/>
          <w:lang w:val="lt-LT"/>
        </w:rPr>
      </w:pPr>
      <w:r w:rsidRPr="00CD6267">
        <w:rPr>
          <w:szCs w:val="22"/>
          <w:lang w:val="lt-LT"/>
        </w:rPr>
        <w:t>4.</w:t>
      </w:r>
      <w:r w:rsidRPr="00CD6267">
        <w:rPr>
          <w:szCs w:val="22"/>
          <w:lang w:val="lt-LT"/>
        </w:rPr>
        <w:tab/>
        <w:t>Galimas šalutinis poveikis</w:t>
      </w:r>
    </w:p>
    <w:p w:rsidR="00ED67AE" w:rsidRPr="00CD6267" w:rsidRDefault="00ED67AE" w:rsidP="00ED67AE">
      <w:pPr>
        <w:rPr>
          <w:szCs w:val="22"/>
          <w:lang w:val="lt-LT"/>
        </w:rPr>
      </w:pPr>
      <w:r w:rsidRPr="00CD6267">
        <w:rPr>
          <w:szCs w:val="22"/>
          <w:lang w:val="lt-LT"/>
        </w:rPr>
        <w:t>5.</w:t>
      </w:r>
      <w:r w:rsidRPr="00CD6267">
        <w:rPr>
          <w:szCs w:val="22"/>
          <w:lang w:val="lt-LT"/>
        </w:rPr>
        <w:tab/>
        <w:t xml:space="preserve">Kaip laikyti </w:t>
      </w:r>
      <w:r>
        <w:rPr>
          <w:szCs w:val="22"/>
          <w:lang w:val="lt-LT"/>
        </w:rPr>
        <w:t>Ibandronic acid Actavis 150 mg</w:t>
      </w:r>
    </w:p>
    <w:p w:rsidR="00ED67AE" w:rsidRPr="00CD6267" w:rsidRDefault="00ED67AE" w:rsidP="00ED67AE">
      <w:pPr>
        <w:rPr>
          <w:szCs w:val="22"/>
          <w:lang w:val="lt-LT"/>
        </w:rPr>
      </w:pPr>
      <w:r w:rsidRPr="00CD6267">
        <w:rPr>
          <w:szCs w:val="22"/>
          <w:lang w:val="lt-LT"/>
        </w:rPr>
        <w:t>6.</w:t>
      </w:r>
      <w:r w:rsidRPr="00CD6267">
        <w:rPr>
          <w:szCs w:val="22"/>
          <w:lang w:val="lt-LT"/>
        </w:rPr>
        <w:tab/>
      </w:r>
      <w:r w:rsidR="003169DB">
        <w:rPr>
          <w:szCs w:val="22"/>
          <w:lang w:val="lt-LT"/>
        </w:rPr>
        <w:t>Pakuotės turinys ir k</w:t>
      </w:r>
      <w:r w:rsidRPr="00CD6267">
        <w:rPr>
          <w:szCs w:val="22"/>
          <w:lang w:val="lt-LT"/>
        </w:rPr>
        <w:t>ita informacija</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caps/>
          <w:szCs w:val="22"/>
          <w:lang w:val="lt-LT"/>
        </w:rPr>
      </w:pPr>
      <w:r w:rsidRPr="00CD6267">
        <w:rPr>
          <w:b/>
          <w:szCs w:val="22"/>
          <w:lang w:val="lt-LT"/>
        </w:rPr>
        <w:t>1.</w:t>
      </w:r>
      <w:r w:rsidRPr="00CD6267">
        <w:rPr>
          <w:b/>
          <w:szCs w:val="22"/>
          <w:lang w:val="lt-LT"/>
        </w:rPr>
        <w:tab/>
      </w:r>
      <w:r w:rsidR="007C08E0">
        <w:rPr>
          <w:b/>
          <w:szCs w:val="22"/>
          <w:lang w:val="lt-LT"/>
        </w:rPr>
        <w:t>Kas yra Ibandronic acid Actavis</w:t>
      </w:r>
      <w:r w:rsidR="00A81691">
        <w:rPr>
          <w:b/>
          <w:szCs w:val="22"/>
          <w:lang w:val="lt-LT"/>
        </w:rPr>
        <w:t xml:space="preserve"> </w:t>
      </w:r>
      <w:r w:rsidR="007C08E0" w:rsidRPr="007C08E0">
        <w:rPr>
          <w:b/>
          <w:szCs w:val="22"/>
          <w:lang w:val="lt-LT"/>
        </w:rPr>
        <w:t xml:space="preserve">150 mg </w:t>
      </w:r>
      <w:r w:rsidR="007C08E0">
        <w:rPr>
          <w:b/>
          <w:szCs w:val="22"/>
          <w:lang w:val="lt-LT"/>
        </w:rPr>
        <w:t>ir kam jis vartojamas</w:t>
      </w:r>
    </w:p>
    <w:p w:rsidR="00ED67AE" w:rsidRPr="00CD6267" w:rsidRDefault="00ED67AE" w:rsidP="00ED67AE">
      <w:pPr>
        <w:rPr>
          <w:szCs w:val="22"/>
          <w:lang w:val="lt-LT"/>
        </w:rPr>
      </w:pPr>
    </w:p>
    <w:p w:rsidR="00ED67AE" w:rsidRPr="007E2511" w:rsidRDefault="00ED67AE" w:rsidP="00ED67AE">
      <w:pPr>
        <w:pStyle w:val="Default"/>
        <w:tabs>
          <w:tab w:val="left" w:pos="567"/>
        </w:tabs>
        <w:rPr>
          <w:sz w:val="22"/>
          <w:szCs w:val="22"/>
        </w:rPr>
      </w:pPr>
      <w:r>
        <w:rPr>
          <w:spacing w:val="-3"/>
          <w:sz w:val="22"/>
          <w:szCs w:val="22"/>
          <w:lang w:val="lt-LT"/>
        </w:rPr>
        <w:t>Ibandronic acid Actavis 150 mg</w:t>
      </w:r>
      <w:r w:rsidRPr="007E2511">
        <w:rPr>
          <w:spacing w:val="-3"/>
          <w:sz w:val="22"/>
          <w:szCs w:val="22"/>
          <w:lang w:val="lt-LT"/>
        </w:rPr>
        <w:t xml:space="preserve"> priklauso vaistų grupei, vadinamai </w:t>
      </w:r>
      <w:r w:rsidRPr="007E2511">
        <w:rPr>
          <w:b/>
          <w:spacing w:val="-3"/>
          <w:sz w:val="22"/>
          <w:szCs w:val="22"/>
          <w:lang w:val="lt-LT"/>
        </w:rPr>
        <w:t>bisfosfonatais</w:t>
      </w:r>
      <w:r w:rsidRPr="007E2511">
        <w:rPr>
          <w:spacing w:val="-3"/>
          <w:sz w:val="22"/>
          <w:szCs w:val="22"/>
          <w:lang w:val="lt-LT"/>
        </w:rPr>
        <w:t>.</w:t>
      </w:r>
      <w:r w:rsidRPr="007E2511">
        <w:rPr>
          <w:color w:val="auto"/>
          <w:sz w:val="22"/>
          <w:szCs w:val="22"/>
          <w:lang w:val="es-ES_tradnl"/>
        </w:rPr>
        <w:t xml:space="preserve"> </w:t>
      </w:r>
      <w:r>
        <w:rPr>
          <w:spacing w:val="-3"/>
          <w:sz w:val="22"/>
          <w:szCs w:val="22"/>
          <w:lang w:val="lt-LT"/>
        </w:rPr>
        <w:t>Jo</w:t>
      </w:r>
      <w:r w:rsidRPr="007E2511">
        <w:rPr>
          <w:spacing w:val="-3"/>
          <w:sz w:val="22"/>
          <w:szCs w:val="22"/>
          <w:lang w:val="lt-LT"/>
        </w:rPr>
        <w:t xml:space="preserve"> </w:t>
      </w:r>
      <w:r w:rsidRPr="007E2511">
        <w:rPr>
          <w:spacing w:val="-4"/>
          <w:sz w:val="22"/>
          <w:szCs w:val="22"/>
          <w:lang w:val="lt-LT"/>
        </w:rPr>
        <w:t xml:space="preserve">sudėtyje </w:t>
      </w:r>
      <w:r w:rsidR="007C08E0">
        <w:rPr>
          <w:spacing w:val="-4"/>
          <w:sz w:val="22"/>
          <w:szCs w:val="22"/>
          <w:lang w:val="lt-LT"/>
        </w:rPr>
        <w:t xml:space="preserve">yra ibandrono rūgšties. </w:t>
      </w:r>
      <w:r>
        <w:rPr>
          <w:spacing w:val="-3"/>
          <w:sz w:val="22"/>
          <w:szCs w:val="22"/>
          <w:lang w:val="lt-LT"/>
        </w:rPr>
        <w:t>Ibandronic acid Actavis 150 mg</w:t>
      </w:r>
      <w:r w:rsidRPr="007E2511">
        <w:rPr>
          <w:spacing w:val="-3"/>
          <w:sz w:val="22"/>
          <w:szCs w:val="22"/>
          <w:lang w:val="lt-LT"/>
        </w:rPr>
        <w:t xml:space="preserve"> gali panaikinti kaulų retėjimą sustabdydama kaulinio audinio nykimą ir didindama kaulų masę </w:t>
      </w:r>
      <w:r>
        <w:rPr>
          <w:spacing w:val="-3"/>
          <w:sz w:val="22"/>
          <w:szCs w:val="22"/>
          <w:lang w:val="lt-LT"/>
        </w:rPr>
        <w:t xml:space="preserve">po menopauzės </w:t>
      </w:r>
      <w:r w:rsidRPr="007E2511">
        <w:rPr>
          <w:spacing w:val="-3"/>
          <w:sz w:val="22"/>
          <w:szCs w:val="22"/>
          <w:lang w:val="lt-LT"/>
        </w:rPr>
        <w:t>moterims, kurios vartoja šį preparatą, nors jos ir negalės pastebėti ar pajusti skirtumo.</w:t>
      </w:r>
      <w:r w:rsidRPr="007E2511">
        <w:rPr>
          <w:sz w:val="22"/>
          <w:szCs w:val="22"/>
        </w:rPr>
        <w:t xml:space="preserve"> </w:t>
      </w:r>
      <w:r>
        <w:rPr>
          <w:spacing w:val="-3"/>
          <w:sz w:val="22"/>
          <w:szCs w:val="22"/>
          <w:lang w:val="lt-LT"/>
        </w:rPr>
        <w:t>Ibandronic acid Actavis 150 mg</w:t>
      </w:r>
      <w:r w:rsidRPr="007E2511">
        <w:rPr>
          <w:spacing w:val="-3"/>
          <w:sz w:val="22"/>
          <w:szCs w:val="22"/>
          <w:lang w:val="lt-LT"/>
        </w:rPr>
        <w:t xml:space="preserve"> gali sumažinti kaulų lūžių tikimybę.</w:t>
      </w:r>
      <w:r w:rsidRPr="007E2511">
        <w:rPr>
          <w:sz w:val="22"/>
          <w:szCs w:val="22"/>
        </w:rPr>
        <w:t xml:space="preserve"> </w:t>
      </w:r>
      <w:r w:rsidRPr="007E2511">
        <w:rPr>
          <w:spacing w:val="-3"/>
          <w:sz w:val="22"/>
          <w:szCs w:val="22"/>
          <w:lang w:val="lt-LT"/>
        </w:rPr>
        <w:t xml:space="preserve">Įrodyta, kad vaistas sumažina stuburo slankstelių, bet ne klubo </w:t>
      </w:r>
      <w:r w:rsidRPr="007E2511">
        <w:rPr>
          <w:spacing w:val="-4"/>
          <w:sz w:val="22"/>
          <w:szCs w:val="22"/>
          <w:lang w:val="lt-LT"/>
        </w:rPr>
        <w:t>kaulų, lūžių riziką.</w:t>
      </w:r>
    </w:p>
    <w:p w:rsidR="00ED67AE" w:rsidRDefault="00ED67AE" w:rsidP="00ED67AE">
      <w:pPr>
        <w:rPr>
          <w:szCs w:val="22"/>
          <w:lang w:val="hu-HU"/>
        </w:rPr>
      </w:pPr>
    </w:p>
    <w:p w:rsidR="00ED67AE" w:rsidRPr="007E2511" w:rsidRDefault="00FA282D" w:rsidP="00ED67AE">
      <w:pPr>
        <w:pStyle w:val="Default"/>
        <w:tabs>
          <w:tab w:val="left" w:pos="567"/>
        </w:tabs>
        <w:rPr>
          <w:color w:val="auto"/>
          <w:sz w:val="22"/>
          <w:szCs w:val="22"/>
        </w:rPr>
      </w:pPr>
      <w:r>
        <w:rPr>
          <w:b/>
          <w:spacing w:val="-3"/>
          <w:sz w:val="22"/>
          <w:szCs w:val="22"/>
          <w:lang w:val="lt-LT"/>
        </w:rPr>
        <w:t>Jums skyrė i</w:t>
      </w:r>
      <w:r w:rsidR="00ED67AE" w:rsidRPr="00383225">
        <w:rPr>
          <w:b/>
          <w:spacing w:val="-3"/>
          <w:sz w:val="22"/>
          <w:szCs w:val="22"/>
          <w:lang w:val="lt-LT"/>
        </w:rPr>
        <w:t>bandro</w:t>
      </w:r>
      <w:r>
        <w:rPr>
          <w:b/>
          <w:spacing w:val="-3"/>
          <w:sz w:val="22"/>
          <w:szCs w:val="22"/>
          <w:lang w:val="lt-LT"/>
        </w:rPr>
        <w:t>no</w:t>
      </w:r>
      <w:r w:rsidR="00ED67AE" w:rsidRPr="00383225">
        <w:rPr>
          <w:b/>
          <w:spacing w:val="-3"/>
          <w:sz w:val="22"/>
          <w:szCs w:val="22"/>
          <w:lang w:val="lt-LT"/>
        </w:rPr>
        <w:t xml:space="preserve"> </w:t>
      </w:r>
      <w:r>
        <w:rPr>
          <w:b/>
          <w:spacing w:val="-3"/>
          <w:sz w:val="22"/>
          <w:szCs w:val="22"/>
          <w:lang w:val="lt-LT"/>
        </w:rPr>
        <w:t>rūgšties,</w:t>
      </w:r>
      <w:r w:rsidR="00ED67AE" w:rsidRPr="00383225">
        <w:rPr>
          <w:b/>
          <w:spacing w:val="-3"/>
          <w:sz w:val="22"/>
          <w:szCs w:val="22"/>
          <w:lang w:val="lt-LT"/>
        </w:rPr>
        <w:t xml:space="preserve"> osteoporozės gydymui</w:t>
      </w:r>
      <w:r>
        <w:rPr>
          <w:b/>
          <w:spacing w:val="-3"/>
          <w:sz w:val="22"/>
          <w:szCs w:val="22"/>
          <w:lang w:val="lt-LT"/>
        </w:rPr>
        <w:t xml:space="preserve"> po menopauzės</w:t>
      </w:r>
      <w:r w:rsidR="00ED67AE" w:rsidRPr="00383225">
        <w:rPr>
          <w:b/>
          <w:spacing w:val="-3"/>
          <w:sz w:val="22"/>
          <w:szCs w:val="22"/>
          <w:lang w:val="lt-LT"/>
        </w:rPr>
        <w:t xml:space="preserve">, </w:t>
      </w:r>
      <w:r>
        <w:rPr>
          <w:b/>
          <w:spacing w:val="-3"/>
          <w:sz w:val="22"/>
          <w:szCs w:val="22"/>
          <w:lang w:val="lt-LT"/>
        </w:rPr>
        <w:t>nes</w:t>
      </w:r>
      <w:r w:rsidR="00ED67AE" w:rsidRPr="00383225">
        <w:rPr>
          <w:b/>
          <w:spacing w:val="-3"/>
          <w:sz w:val="22"/>
          <w:szCs w:val="22"/>
          <w:lang w:val="lt-LT"/>
        </w:rPr>
        <w:t xml:space="preserve"> kaulų lūžių rizika </w:t>
      </w:r>
      <w:r>
        <w:rPr>
          <w:b/>
          <w:spacing w:val="-3"/>
          <w:sz w:val="22"/>
          <w:szCs w:val="22"/>
          <w:lang w:val="lt-LT"/>
        </w:rPr>
        <w:t xml:space="preserve">Jums </w:t>
      </w:r>
      <w:r w:rsidR="00ED67AE" w:rsidRPr="00383225">
        <w:rPr>
          <w:b/>
          <w:spacing w:val="-3"/>
          <w:sz w:val="22"/>
          <w:szCs w:val="22"/>
          <w:lang w:val="lt-LT"/>
        </w:rPr>
        <w:t>yra padidėjusi.</w:t>
      </w:r>
      <w:r w:rsidR="00ED67AE" w:rsidRPr="007E2511">
        <w:rPr>
          <w:color w:val="auto"/>
          <w:sz w:val="22"/>
          <w:szCs w:val="22"/>
        </w:rPr>
        <w:t xml:space="preserve"> </w:t>
      </w:r>
      <w:r w:rsidR="00ED67AE" w:rsidRPr="007E2511">
        <w:rPr>
          <w:spacing w:val="-3"/>
          <w:sz w:val="22"/>
          <w:szCs w:val="22"/>
          <w:lang w:val="lt-LT"/>
        </w:rPr>
        <w:t>Osteoporozė – tai kaulų išretėjimas ir susilpnėjimas. Ji būdinga moterims po menopauzės.</w:t>
      </w:r>
      <w:r w:rsidR="00ED67AE" w:rsidRPr="007E2511">
        <w:rPr>
          <w:color w:val="auto"/>
          <w:sz w:val="22"/>
          <w:szCs w:val="22"/>
        </w:rPr>
        <w:t xml:space="preserve"> </w:t>
      </w:r>
      <w:r w:rsidR="00ED67AE" w:rsidRPr="007E2511">
        <w:rPr>
          <w:spacing w:val="-3"/>
          <w:sz w:val="22"/>
          <w:szCs w:val="22"/>
          <w:lang w:val="lt-LT"/>
        </w:rPr>
        <w:t>Menopauzės metu moters kiaušidės nustoja gaminti estrogeną, moteriškąjį lytinį hormoną, kuris padeda išsaugoti sveikus kaulus.</w:t>
      </w:r>
    </w:p>
    <w:p w:rsidR="00ED67AE" w:rsidRPr="007E2511" w:rsidRDefault="00ED67AE" w:rsidP="00ED67AE">
      <w:pPr>
        <w:pStyle w:val="Default"/>
        <w:tabs>
          <w:tab w:val="left" w:pos="567"/>
        </w:tabs>
        <w:ind w:left="560" w:hanging="560"/>
        <w:rPr>
          <w:color w:val="auto"/>
          <w:sz w:val="22"/>
          <w:szCs w:val="22"/>
        </w:rPr>
      </w:pPr>
    </w:p>
    <w:p w:rsidR="00FA282D" w:rsidRDefault="00ED67AE" w:rsidP="00ED67AE">
      <w:pPr>
        <w:pStyle w:val="Default"/>
        <w:tabs>
          <w:tab w:val="left" w:pos="567"/>
        </w:tabs>
        <w:rPr>
          <w:color w:val="auto"/>
          <w:sz w:val="22"/>
          <w:szCs w:val="22"/>
        </w:rPr>
      </w:pPr>
      <w:r w:rsidRPr="007E2511">
        <w:rPr>
          <w:spacing w:val="-3"/>
          <w:sz w:val="22"/>
          <w:szCs w:val="22"/>
          <w:lang w:val="lt-LT"/>
        </w:rPr>
        <w:t>Kuo anksčiau moteriai prasideda menopauzė, tuo didesnė osteoporozės sąlygotų kaulų lūžių rizika.</w:t>
      </w:r>
      <w:r w:rsidRPr="007E2511">
        <w:rPr>
          <w:color w:val="auto"/>
          <w:sz w:val="22"/>
          <w:szCs w:val="22"/>
        </w:rPr>
        <w:t xml:space="preserve"> </w:t>
      </w:r>
    </w:p>
    <w:p w:rsidR="00FA282D" w:rsidRDefault="00FA282D" w:rsidP="00ED67AE">
      <w:pPr>
        <w:pStyle w:val="Default"/>
        <w:tabs>
          <w:tab w:val="left" w:pos="567"/>
        </w:tabs>
        <w:rPr>
          <w:color w:val="auto"/>
          <w:sz w:val="22"/>
          <w:szCs w:val="22"/>
        </w:rPr>
      </w:pPr>
    </w:p>
    <w:p w:rsidR="00ED67AE" w:rsidRPr="007E2511" w:rsidRDefault="00ED67AE" w:rsidP="00ED67AE">
      <w:pPr>
        <w:pStyle w:val="Default"/>
        <w:tabs>
          <w:tab w:val="left" w:pos="567"/>
        </w:tabs>
        <w:rPr>
          <w:color w:val="auto"/>
          <w:sz w:val="22"/>
          <w:szCs w:val="22"/>
          <w:lang w:val="en-GB"/>
        </w:rPr>
      </w:pPr>
      <w:r w:rsidRPr="007E2511">
        <w:rPr>
          <w:spacing w:val="-4"/>
          <w:sz w:val="22"/>
          <w:szCs w:val="22"/>
          <w:lang w:val="lt-LT"/>
        </w:rPr>
        <w:t>Kiti kaulų lūžių riziką didinantys veiksniai:</w:t>
      </w:r>
      <w:r w:rsidRPr="007E2511">
        <w:rPr>
          <w:color w:val="auto"/>
          <w:sz w:val="22"/>
          <w:szCs w:val="22"/>
          <w:lang w:val="en-GB"/>
        </w:rPr>
        <w:t xml:space="preserve"> </w:t>
      </w:r>
    </w:p>
    <w:p w:rsidR="00ED67AE" w:rsidRPr="007E2511" w:rsidRDefault="00ED67AE" w:rsidP="00ED67AE">
      <w:pPr>
        <w:pStyle w:val="Default"/>
        <w:widowControl w:val="0"/>
        <w:numPr>
          <w:ilvl w:val="0"/>
          <w:numId w:val="10"/>
        </w:numPr>
        <w:tabs>
          <w:tab w:val="clear" w:pos="360"/>
          <w:tab w:val="left" w:pos="567"/>
        </w:tabs>
        <w:ind w:left="540" w:hanging="540"/>
        <w:rPr>
          <w:color w:val="auto"/>
          <w:sz w:val="22"/>
          <w:szCs w:val="22"/>
          <w:lang w:val="en-GB"/>
        </w:rPr>
      </w:pPr>
      <w:r w:rsidRPr="007E2511">
        <w:rPr>
          <w:spacing w:val="-3"/>
          <w:sz w:val="22"/>
          <w:szCs w:val="22"/>
          <w:lang w:val="lt-LT"/>
        </w:rPr>
        <w:t>nepakankamas kalcio ir vitamino D kiekis maiste;</w:t>
      </w:r>
      <w:r w:rsidRPr="007E2511">
        <w:rPr>
          <w:color w:val="auto"/>
          <w:sz w:val="22"/>
          <w:szCs w:val="22"/>
          <w:lang w:val="en-GB"/>
        </w:rPr>
        <w:t xml:space="preserve"> </w:t>
      </w:r>
    </w:p>
    <w:p w:rsidR="00ED67AE" w:rsidRPr="007E2511" w:rsidRDefault="00ED67AE" w:rsidP="00ED67AE">
      <w:pPr>
        <w:pStyle w:val="Default"/>
        <w:widowControl w:val="0"/>
        <w:numPr>
          <w:ilvl w:val="0"/>
          <w:numId w:val="10"/>
        </w:numPr>
        <w:tabs>
          <w:tab w:val="clear" w:pos="360"/>
          <w:tab w:val="left" w:pos="567"/>
        </w:tabs>
        <w:ind w:left="540" w:hanging="540"/>
        <w:rPr>
          <w:color w:val="auto"/>
          <w:sz w:val="22"/>
          <w:szCs w:val="22"/>
          <w:lang w:val="en-GB"/>
        </w:rPr>
      </w:pPr>
      <w:r w:rsidRPr="007E2511">
        <w:rPr>
          <w:spacing w:val="-3"/>
          <w:sz w:val="22"/>
          <w:szCs w:val="22"/>
          <w:lang w:val="lt-LT"/>
        </w:rPr>
        <w:t>rūkymas ar per gausus alkoholio vartojimas;</w:t>
      </w:r>
      <w:r w:rsidRPr="007E2511">
        <w:rPr>
          <w:color w:val="auto"/>
          <w:sz w:val="22"/>
          <w:szCs w:val="22"/>
          <w:lang w:val="en-GB"/>
        </w:rPr>
        <w:t xml:space="preserve"> </w:t>
      </w:r>
    </w:p>
    <w:p w:rsidR="00ED67AE" w:rsidRPr="007E2511" w:rsidRDefault="00ED67AE" w:rsidP="00ED67AE">
      <w:pPr>
        <w:pStyle w:val="Default"/>
        <w:widowControl w:val="0"/>
        <w:numPr>
          <w:ilvl w:val="0"/>
          <w:numId w:val="10"/>
        </w:numPr>
        <w:tabs>
          <w:tab w:val="clear" w:pos="360"/>
          <w:tab w:val="left" w:pos="567"/>
        </w:tabs>
        <w:ind w:left="540" w:hanging="540"/>
        <w:rPr>
          <w:color w:val="auto"/>
          <w:sz w:val="22"/>
          <w:szCs w:val="22"/>
          <w:lang w:val="en-GB"/>
        </w:rPr>
      </w:pPr>
      <w:r w:rsidRPr="007E2511">
        <w:rPr>
          <w:spacing w:val="-3"/>
          <w:sz w:val="22"/>
          <w:szCs w:val="22"/>
          <w:lang w:val="lt-LT"/>
        </w:rPr>
        <w:t>vaikščiojimo ar kitų kūno svorį reguliuojančių pratimų trūkumas;</w:t>
      </w:r>
      <w:r w:rsidRPr="007E2511">
        <w:rPr>
          <w:color w:val="auto"/>
          <w:sz w:val="22"/>
          <w:szCs w:val="22"/>
          <w:lang w:val="en-GB"/>
        </w:rPr>
        <w:t xml:space="preserve"> </w:t>
      </w:r>
    </w:p>
    <w:p w:rsidR="00ED67AE" w:rsidRPr="007E2511" w:rsidRDefault="00ED67AE" w:rsidP="00ED67AE">
      <w:pPr>
        <w:pStyle w:val="Default"/>
        <w:widowControl w:val="0"/>
        <w:numPr>
          <w:ilvl w:val="0"/>
          <w:numId w:val="10"/>
        </w:numPr>
        <w:tabs>
          <w:tab w:val="clear" w:pos="360"/>
          <w:tab w:val="left" w:pos="567"/>
        </w:tabs>
        <w:ind w:left="540" w:hanging="540"/>
        <w:rPr>
          <w:color w:val="auto"/>
          <w:sz w:val="22"/>
          <w:szCs w:val="22"/>
          <w:lang w:val="en-GB"/>
        </w:rPr>
      </w:pPr>
      <w:r w:rsidRPr="007E2511">
        <w:rPr>
          <w:spacing w:val="-3"/>
          <w:sz w:val="22"/>
          <w:szCs w:val="22"/>
          <w:lang w:val="lt-LT"/>
        </w:rPr>
        <w:t>osteoporozės atvejai šeimoje.</w:t>
      </w:r>
      <w:r w:rsidRPr="007E2511">
        <w:rPr>
          <w:color w:val="auto"/>
          <w:sz w:val="22"/>
          <w:szCs w:val="22"/>
          <w:lang w:val="en-GB"/>
        </w:rPr>
        <w:t xml:space="preserve"> </w:t>
      </w:r>
    </w:p>
    <w:p w:rsidR="00ED67AE" w:rsidRPr="007E2511" w:rsidRDefault="00ED67AE" w:rsidP="00ED67AE">
      <w:pPr>
        <w:pStyle w:val="Default"/>
        <w:tabs>
          <w:tab w:val="left" w:pos="567"/>
        </w:tabs>
        <w:ind w:left="560" w:hanging="560"/>
        <w:rPr>
          <w:color w:val="auto"/>
          <w:sz w:val="22"/>
          <w:szCs w:val="22"/>
          <w:lang w:val="en-GB"/>
        </w:rPr>
      </w:pPr>
    </w:p>
    <w:p w:rsidR="00FA282D" w:rsidRDefault="00ED67AE" w:rsidP="00ED67AE">
      <w:pPr>
        <w:pStyle w:val="Default"/>
        <w:tabs>
          <w:tab w:val="left" w:pos="567"/>
        </w:tabs>
        <w:rPr>
          <w:spacing w:val="-3"/>
          <w:sz w:val="22"/>
          <w:szCs w:val="22"/>
          <w:lang w:val="lt-LT"/>
        </w:rPr>
      </w:pPr>
      <w:r w:rsidRPr="00383225">
        <w:rPr>
          <w:b/>
          <w:spacing w:val="-3"/>
          <w:sz w:val="22"/>
          <w:szCs w:val="22"/>
          <w:lang w:val="lt-LT"/>
        </w:rPr>
        <w:t>Sveikas gyvenimo būdas</w:t>
      </w:r>
      <w:r w:rsidRPr="007E2511">
        <w:rPr>
          <w:spacing w:val="-3"/>
          <w:sz w:val="22"/>
          <w:szCs w:val="22"/>
          <w:lang w:val="lt-LT"/>
        </w:rPr>
        <w:t xml:space="preserve"> padidins gydymo naudą.</w:t>
      </w:r>
      <w:r w:rsidRPr="007E2511">
        <w:rPr>
          <w:color w:val="auto"/>
          <w:sz w:val="22"/>
          <w:szCs w:val="22"/>
          <w:lang w:val="en-GB"/>
        </w:rPr>
        <w:t xml:space="preserve"> </w:t>
      </w:r>
      <w:r w:rsidRPr="007E2511">
        <w:rPr>
          <w:spacing w:val="-3"/>
          <w:sz w:val="22"/>
          <w:szCs w:val="22"/>
          <w:lang w:val="lt-LT"/>
        </w:rPr>
        <w:t>Vadinasi, reikia</w:t>
      </w:r>
      <w:r w:rsidR="00FA282D">
        <w:rPr>
          <w:spacing w:val="-3"/>
          <w:sz w:val="22"/>
          <w:szCs w:val="22"/>
          <w:lang w:val="lt-LT"/>
        </w:rPr>
        <w:t>:</w:t>
      </w:r>
    </w:p>
    <w:p w:rsidR="00FA282D" w:rsidRPr="00383225" w:rsidRDefault="00ED67AE" w:rsidP="00383225">
      <w:pPr>
        <w:pStyle w:val="Default"/>
        <w:numPr>
          <w:ilvl w:val="0"/>
          <w:numId w:val="10"/>
        </w:numPr>
        <w:tabs>
          <w:tab w:val="left" w:pos="567"/>
        </w:tabs>
        <w:rPr>
          <w:color w:val="auto"/>
          <w:sz w:val="22"/>
          <w:szCs w:val="22"/>
          <w:lang w:val="en-GB"/>
        </w:rPr>
      </w:pPr>
      <w:r w:rsidRPr="007E2511">
        <w:rPr>
          <w:spacing w:val="-3"/>
          <w:sz w:val="22"/>
          <w:szCs w:val="22"/>
          <w:lang w:val="lt-LT"/>
        </w:rPr>
        <w:t xml:space="preserve">vartoti įvairų maistą, kuriame gausu kalcio ir vitamino D, </w:t>
      </w:r>
    </w:p>
    <w:p w:rsidR="00FA282D" w:rsidRPr="00383225" w:rsidRDefault="00ED67AE" w:rsidP="00383225">
      <w:pPr>
        <w:pStyle w:val="Default"/>
        <w:numPr>
          <w:ilvl w:val="0"/>
          <w:numId w:val="10"/>
        </w:numPr>
        <w:tabs>
          <w:tab w:val="left" w:pos="567"/>
        </w:tabs>
        <w:rPr>
          <w:color w:val="auto"/>
          <w:sz w:val="22"/>
          <w:szCs w:val="22"/>
          <w:lang w:val="en-GB"/>
        </w:rPr>
      </w:pPr>
      <w:r w:rsidRPr="007E2511">
        <w:rPr>
          <w:spacing w:val="-3"/>
          <w:sz w:val="22"/>
          <w:szCs w:val="22"/>
          <w:lang w:val="lt-LT"/>
        </w:rPr>
        <w:t xml:space="preserve">vaikščioti ar daryti kitus kūno svorį reguliuojančius pratimus, </w:t>
      </w:r>
    </w:p>
    <w:p w:rsidR="00ED67AE" w:rsidRPr="007E2511" w:rsidRDefault="00ED67AE" w:rsidP="00383225">
      <w:pPr>
        <w:pStyle w:val="Default"/>
        <w:numPr>
          <w:ilvl w:val="0"/>
          <w:numId w:val="10"/>
        </w:numPr>
        <w:tabs>
          <w:tab w:val="left" w:pos="567"/>
        </w:tabs>
        <w:rPr>
          <w:color w:val="auto"/>
          <w:sz w:val="22"/>
          <w:szCs w:val="22"/>
          <w:lang w:val="en-GB"/>
        </w:rPr>
      </w:pPr>
      <w:r w:rsidRPr="007E2511">
        <w:rPr>
          <w:spacing w:val="-3"/>
          <w:sz w:val="22"/>
          <w:szCs w:val="22"/>
          <w:lang w:val="lt-LT"/>
        </w:rPr>
        <w:t xml:space="preserve">nerūkyti ir </w:t>
      </w:r>
      <w:r w:rsidRPr="007E2511">
        <w:rPr>
          <w:spacing w:val="-4"/>
          <w:sz w:val="22"/>
          <w:szCs w:val="22"/>
          <w:lang w:val="lt-LT"/>
        </w:rPr>
        <w:t>negerti per daug alkoholio.</w:t>
      </w:r>
      <w:r w:rsidRPr="007E2511">
        <w:rPr>
          <w:color w:val="auto"/>
          <w:sz w:val="22"/>
          <w:szCs w:val="22"/>
          <w:lang w:val="en-GB"/>
        </w:rPr>
        <w:t xml:space="preserve"> </w:t>
      </w:r>
    </w:p>
    <w:p w:rsidR="00ED67AE" w:rsidRPr="003B4B94" w:rsidRDefault="00ED67AE" w:rsidP="00ED67AE">
      <w:pPr>
        <w:rPr>
          <w:szCs w:val="22"/>
          <w:lang w:val="hu-HU"/>
        </w:rPr>
      </w:pPr>
    </w:p>
    <w:p w:rsidR="00ED67AE" w:rsidRPr="00CD6267" w:rsidRDefault="00ED67AE" w:rsidP="00ED67AE">
      <w:pPr>
        <w:rPr>
          <w:szCs w:val="22"/>
          <w:lang w:val="lt-LT"/>
        </w:rPr>
      </w:pPr>
    </w:p>
    <w:p w:rsidR="00ED67AE" w:rsidRPr="00CD6267" w:rsidRDefault="00ED67AE" w:rsidP="00ED67AE">
      <w:pPr>
        <w:rPr>
          <w:b/>
          <w:caps/>
          <w:szCs w:val="22"/>
          <w:lang w:val="lt-LT"/>
        </w:rPr>
      </w:pPr>
      <w:r w:rsidRPr="00CD6267">
        <w:rPr>
          <w:b/>
          <w:szCs w:val="22"/>
          <w:lang w:val="lt-LT"/>
        </w:rPr>
        <w:t>2.</w:t>
      </w:r>
      <w:r w:rsidRPr="00CD6267">
        <w:rPr>
          <w:b/>
          <w:szCs w:val="22"/>
          <w:lang w:val="lt-LT"/>
        </w:rPr>
        <w:tab/>
      </w:r>
      <w:r w:rsidR="00FA282D">
        <w:rPr>
          <w:b/>
          <w:szCs w:val="22"/>
          <w:lang w:val="lt-LT"/>
        </w:rPr>
        <w:t xml:space="preserve">Kas žinotina prieš vartojant Ibandronic acid Actavis </w:t>
      </w:r>
      <w:r w:rsidR="00FA282D" w:rsidRPr="00FA282D">
        <w:rPr>
          <w:b/>
          <w:szCs w:val="22"/>
          <w:lang w:val="lt-LT"/>
        </w:rPr>
        <w:t>150</w:t>
      </w:r>
      <w:r w:rsidR="00FA282D">
        <w:rPr>
          <w:b/>
          <w:szCs w:val="22"/>
          <w:lang w:val="lt-LT"/>
        </w:rPr>
        <w:t xml:space="preserve"> mg</w:t>
      </w:r>
    </w:p>
    <w:p w:rsidR="00ED67AE" w:rsidRDefault="00ED67AE" w:rsidP="00ED67AE">
      <w:pPr>
        <w:rPr>
          <w:szCs w:val="22"/>
          <w:lang w:val="lt-LT"/>
        </w:rPr>
      </w:pPr>
    </w:p>
    <w:p w:rsidR="00ED67AE" w:rsidRPr="00CD6267" w:rsidRDefault="00ED67AE" w:rsidP="00ED67AE">
      <w:pPr>
        <w:rPr>
          <w:b/>
          <w:caps/>
          <w:szCs w:val="22"/>
          <w:lang w:val="lt-LT"/>
        </w:rPr>
      </w:pPr>
      <w:r>
        <w:rPr>
          <w:b/>
          <w:szCs w:val="22"/>
          <w:lang w:val="lt-LT"/>
        </w:rPr>
        <w:t>Ibandronic acid Actavis</w:t>
      </w:r>
      <w:r w:rsidRPr="007D6B67">
        <w:rPr>
          <w:b/>
          <w:bCs/>
          <w:szCs w:val="22"/>
          <w:lang w:val="lt-LT"/>
        </w:rPr>
        <w:t xml:space="preserve"> </w:t>
      </w:r>
      <w:r>
        <w:rPr>
          <w:b/>
          <w:bCs/>
          <w:szCs w:val="22"/>
          <w:lang w:val="lt-LT"/>
        </w:rPr>
        <w:t xml:space="preserve">150 mg </w:t>
      </w:r>
      <w:r w:rsidRPr="00CD6267">
        <w:rPr>
          <w:b/>
          <w:bCs/>
          <w:szCs w:val="22"/>
          <w:lang w:val="lt-LT"/>
        </w:rPr>
        <w:t>vartoti negalima</w:t>
      </w:r>
      <w:r>
        <w:rPr>
          <w:b/>
          <w:bCs/>
          <w:szCs w:val="22"/>
          <w:lang w:val="lt-LT"/>
        </w:rPr>
        <w:t>:</w:t>
      </w:r>
    </w:p>
    <w:p w:rsidR="00ED67AE" w:rsidRPr="00D64140" w:rsidRDefault="00ED67AE" w:rsidP="00ED67AE">
      <w:pPr>
        <w:ind w:left="567" w:hanging="567"/>
        <w:rPr>
          <w:szCs w:val="22"/>
          <w:lang w:val="lt-LT"/>
        </w:rPr>
      </w:pPr>
      <w:r w:rsidRPr="00CD6267">
        <w:rPr>
          <w:szCs w:val="22"/>
          <w:lang w:val="lt-LT"/>
        </w:rPr>
        <w:t>-</w:t>
      </w:r>
      <w:r w:rsidRPr="00CD6267">
        <w:rPr>
          <w:szCs w:val="22"/>
          <w:lang w:val="lt-LT"/>
        </w:rPr>
        <w:tab/>
        <w:t xml:space="preserve">jeigu yra </w:t>
      </w:r>
      <w:r w:rsidRPr="00383225">
        <w:rPr>
          <w:szCs w:val="22"/>
          <w:lang w:val="lt-LT"/>
        </w:rPr>
        <w:t>alergija ibandrono rūgščiai arba bet kuriai pagalbinei</w:t>
      </w:r>
      <w:r w:rsidRPr="00D64140">
        <w:rPr>
          <w:szCs w:val="22"/>
          <w:lang w:val="lt-LT"/>
        </w:rPr>
        <w:t xml:space="preserve"> </w:t>
      </w:r>
      <w:r w:rsidR="00D64140">
        <w:rPr>
          <w:szCs w:val="22"/>
          <w:lang w:val="lt-LT"/>
        </w:rPr>
        <w:t xml:space="preserve">šio vaisto </w:t>
      </w:r>
      <w:r w:rsidRPr="00D64140">
        <w:rPr>
          <w:szCs w:val="22"/>
          <w:lang w:val="lt-LT"/>
        </w:rPr>
        <w:t xml:space="preserve"> </w:t>
      </w:r>
      <w:r w:rsidRPr="00383225">
        <w:rPr>
          <w:szCs w:val="22"/>
          <w:lang w:val="lt-LT"/>
        </w:rPr>
        <w:t>medžiagai</w:t>
      </w:r>
      <w:r w:rsidR="00D64140">
        <w:rPr>
          <w:szCs w:val="22"/>
          <w:lang w:val="lt-LT"/>
        </w:rPr>
        <w:t xml:space="preserve"> )jos nurodytos </w:t>
      </w:r>
      <w:r w:rsidR="00E126E4">
        <w:rPr>
          <w:szCs w:val="22"/>
          <w:lang w:val="lt-LT"/>
        </w:rPr>
        <w:t>š skyriuje).</w:t>
      </w:r>
    </w:p>
    <w:p w:rsidR="00ED67AE" w:rsidRPr="00CD6267" w:rsidRDefault="00ED67AE" w:rsidP="00ED67AE">
      <w:pPr>
        <w:ind w:left="567" w:hanging="567"/>
        <w:rPr>
          <w:szCs w:val="22"/>
          <w:lang w:val="lt-LT"/>
        </w:rPr>
      </w:pPr>
      <w:r w:rsidRPr="00CD6267">
        <w:rPr>
          <w:szCs w:val="22"/>
          <w:lang w:val="lt-LT"/>
        </w:rPr>
        <w:t>-</w:t>
      </w:r>
      <w:r w:rsidRPr="00CD6267">
        <w:rPr>
          <w:szCs w:val="22"/>
          <w:lang w:val="lt-LT"/>
        </w:rPr>
        <w:tab/>
        <w:t>jeigu</w:t>
      </w:r>
      <w:r>
        <w:rPr>
          <w:szCs w:val="22"/>
          <w:lang w:val="lt-LT"/>
        </w:rPr>
        <w:t xml:space="preserve"> vargina tam tikri </w:t>
      </w:r>
      <w:r w:rsidRPr="00383225">
        <w:rPr>
          <w:szCs w:val="22"/>
          <w:lang w:val="lt-LT"/>
        </w:rPr>
        <w:t>stemplės</w:t>
      </w:r>
      <w:r>
        <w:rPr>
          <w:szCs w:val="22"/>
          <w:lang w:val="lt-LT"/>
        </w:rPr>
        <w:t xml:space="preserve"> (vamzdelis, jungiantis Jūsų burną su skrandžiu) </w:t>
      </w:r>
      <w:r w:rsidRPr="001B3C08">
        <w:rPr>
          <w:b/>
          <w:szCs w:val="22"/>
          <w:lang w:val="lt-LT"/>
        </w:rPr>
        <w:t>sutrikimai</w:t>
      </w:r>
      <w:r>
        <w:rPr>
          <w:szCs w:val="22"/>
          <w:lang w:val="lt-LT"/>
        </w:rPr>
        <w:t xml:space="preserve">, pvz., stemplės susiaurėjimas arba apsunkintas rijimas; </w:t>
      </w:r>
    </w:p>
    <w:p w:rsidR="00ED67AE" w:rsidRPr="00E126E4" w:rsidRDefault="00ED67AE" w:rsidP="00ED67AE">
      <w:pPr>
        <w:rPr>
          <w:szCs w:val="22"/>
          <w:lang w:val="lt-LT"/>
        </w:rPr>
      </w:pPr>
      <w:r>
        <w:rPr>
          <w:szCs w:val="22"/>
          <w:lang w:val="lt-LT"/>
        </w:rPr>
        <w:t>-</w:t>
      </w:r>
      <w:r>
        <w:rPr>
          <w:szCs w:val="22"/>
          <w:lang w:val="lt-LT"/>
        </w:rPr>
        <w:tab/>
        <w:t xml:space="preserve">jeigu negalite </w:t>
      </w:r>
      <w:r w:rsidRPr="00383225">
        <w:rPr>
          <w:szCs w:val="22"/>
          <w:lang w:val="lt-LT"/>
        </w:rPr>
        <w:t xml:space="preserve">bent vieną valandą </w:t>
      </w:r>
      <w:r w:rsidRPr="00E126E4">
        <w:rPr>
          <w:szCs w:val="22"/>
          <w:lang w:val="lt-LT"/>
        </w:rPr>
        <w:t>(60 min.)</w:t>
      </w:r>
      <w:r w:rsidRPr="00383225">
        <w:rPr>
          <w:szCs w:val="22"/>
          <w:lang w:val="lt-LT"/>
        </w:rPr>
        <w:t xml:space="preserve"> pastovėti ar pasėdėti vertikalioje padėtyje;</w:t>
      </w:r>
    </w:p>
    <w:p w:rsidR="00ED67AE" w:rsidRDefault="00ED67AE" w:rsidP="00ED67AE">
      <w:pPr>
        <w:ind w:left="567" w:hanging="567"/>
        <w:rPr>
          <w:szCs w:val="22"/>
          <w:lang w:val="lt-LT"/>
        </w:rPr>
      </w:pPr>
      <w:r w:rsidRPr="00477721">
        <w:rPr>
          <w:szCs w:val="22"/>
          <w:lang w:val="lt-LT"/>
        </w:rPr>
        <w:t>-</w:t>
      </w:r>
      <w:r w:rsidRPr="00477721">
        <w:rPr>
          <w:szCs w:val="22"/>
          <w:lang w:val="lt-LT"/>
        </w:rPr>
        <w:tab/>
        <w:t xml:space="preserve">jeigu Jūsų kraujyje yra arba anksčiau buvo </w:t>
      </w:r>
      <w:r w:rsidRPr="00383225">
        <w:rPr>
          <w:szCs w:val="22"/>
          <w:lang w:val="lt-LT"/>
        </w:rPr>
        <w:t>mažas kalcio kiekis</w:t>
      </w:r>
      <w:r>
        <w:rPr>
          <w:b/>
          <w:szCs w:val="22"/>
          <w:lang w:val="lt-LT"/>
        </w:rPr>
        <w:t xml:space="preserve">. </w:t>
      </w:r>
      <w:r>
        <w:rPr>
          <w:szCs w:val="22"/>
          <w:lang w:val="lt-LT"/>
        </w:rPr>
        <w:t xml:space="preserve">Prašom kreiptis į savo gydytoją patarimo. </w:t>
      </w:r>
    </w:p>
    <w:p w:rsidR="00ED67AE" w:rsidRDefault="00ED67AE" w:rsidP="00ED67AE">
      <w:pPr>
        <w:ind w:left="567" w:hanging="567"/>
        <w:rPr>
          <w:szCs w:val="22"/>
          <w:lang w:val="lt-LT"/>
        </w:rPr>
      </w:pPr>
    </w:p>
    <w:p w:rsidR="00ED67AE" w:rsidRDefault="00477721" w:rsidP="00ED67AE">
      <w:pPr>
        <w:rPr>
          <w:b/>
          <w:szCs w:val="22"/>
          <w:lang w:val="lt-LT"/>
        </w:rPr>
      </w:pPr>
      <w:r>
        <w:rPr>
          <w:b/>
          <w:szCs w:val="22"/>
          <w:lang w:val="lt-LT"/>
        </w:rPr>
        <w:t>Įspėjimai ir atsargumo priemonės</w:t>
      </w:r>
    </w:p>
    <w:p w:rsidR="00ED67AE" w:rsidRPr="00A715D9" w:rsidRDefault="00ED67AE" w:rsidP="00ED67AE">
      <w:pPr>
        <w:rPr>
          <w:szCs w:val="22"/>
          <w:lang w:val="lt-LT"/>
        </w:rPr>
      </w:pPr>
      <w:r>
        <w:rPr>
          <w:szCs w:val="22"/>
          <w:lang w:val="lt-LT"/>
        </w:rPr>
        <w:t xml:space="preserve">Kai kuriems Ibandronic </w:t>
      </w:r>
      <w:r w:rsidR="00477721">
        <w:rPr>
          <w:szCs w:val="22"/>
          <w:lang w:val="lt-LT"/>
        </w:rPr>
        <w:t>a</w:t>
      </w:r>
      <w:r>
        <w:rPr>
          <w:szCs w:val="22"/>
          <w:lang w:val="lt-LT"/>
        </w:rPr>
        <w:t>cid Actavis vartojantiems pacientams būtinas ypatingas atsargumas. Pasitarkite su gydytoju</w:t>
      </w:r>
      <w:r w:rsidR="00477721">
        <w:rPr>
          <w:szCs w:val="22"/>
          <w:lang w:val="lt-LT"/>
        </w:rPr>
        <w:t xml:space="preserve"> prieš pradėdami vartoti Ibandronic acid Actavis</w:t>
      </w:r>
      <w:r>
        <w:rPr>
          <w:szCs w:val="22"/>
          <w:lang w:val="lt-LT"/>
        </w:rPr>
        <w:t>:</w:t>
      </w:r>
    </w:p>
    <w:p w:rsidR="00ED67AE" w:rsidRPr="00FE0213" w:rsidRDefault="00ED67AE" w:rsidP="00ED67AE">
      <w:pPr>
        <w:rPr>
          <w:szCs w:val="22"/>
          <w:lang w:val="lt-LT"/>
        </w:rPr>
      </w:pPr>
      <w:r>
        <w:rPr>
          <w:szCs w:val="22"/>
          <w:lang w:val="lt-LT"/>
        </w:rPr>
        <w:t>-</w:t>
      </w:r>
      <w:r>
        <w:rPr>
          <w:szCs w:val="22"/>
          <w:lang w:val="lt-LT"/>
        </w:rPr>
        <w:tab/>
        <w:t xml:space="preserve">jeigu turite kitokių </w:t>
      </w:r>
      <w:r w:rsidRPr="00383225">
        <w:rPr>
          <w:szCs w:val="22"/>
          <w:lang w:val="lt-LT"/>
        </w:rPr>
        <w:t>mineralinių medžiagų apykaitos sutrikimų</w:t>
      </w:r>
      <w:r w:rsidRPr="00477721">
        <w:rPr>
          <w:szCs w:val="22"/>
          <w:lang w:val="lt-LT"/>
        </w:rPr>
        <w:t xml:space="preserve"> (pvz., vitamino D trūkumą);</w:t>
      </w:r>
    </w:p>
    <w:p w:rsidR="00ED67AE" w:rsidRPr="006961EF" w:rsidRDefault="00ED67AE" w:rsidP="00ED67AE">
      <w:pPr>
        <w:ind w:left="567" w:hanging="567"/>
        <w:rPr>
          <w:szCs w:val="22"/>
          <w:lang w:val="lt-LT"/>
        </w:rPr>
      </w:pPr>
      <w:r w:rsidRPr="00BE0860">
        <w:rPr>
          <w:szCs w:val="22"/>
          <w:lang w:val="lt-LT"/>
        </w:rPr>
        <w:t>-</w:t>
      </w:r>
      <w:r w:rsidRPr="00BE0860">
        <w:rPr>
          <w:szCs w:val="22"/>
          <w:lang w:val="lt-LT"/>
        </w:rPr>
        <w:tab/>
        <w:t>jeigu Jūsų inkstai veikia nenormaliai;</w:t>
      </w:r>
    </w:p>
    <w:p w:rsidR="00ED67AE" w:rsidRPr="0072001F" w:rsidRDefault="00ED67AE" w:rsidP="00ED67AE">
      <w:pPr>
        <w:rPr>
          <w:szCs w:val="22"/>
          <w:lang w:val="lt-LT"/>
        </w:rPr>
      </w:pPr>
      <w:r w:rsidRPr="00E81D7F">
        <w:rPr>
          <w:szCs w:val="22"/>
          <w:lang w:val="lt-LT"/>
        </w:rPr>
        <w:t>-</w:t>
      </w:r>
      <w:r w:rsidRPr="00E81D7F">
        <w:rPr>
          <w:szCs w:val="22"/>
          <w:lang w:val="lt-LT"/>
        </w:rPr>
        <w:tab/>
        <w:t>jeigu turite bet kokių rijimo ar viršk</w:t>
      </w:r>
      <w:r w:rsidRPr="0072001F">
        <w:rPr>
          <w:szCs w:val="22"/>
          <w:lang w:val="lt-LT"/>
        </w:rPr>
        <w:t>inimo sutrikimų;</w:t>
      </w:r>
    </w:p>
    <w:p w:rsidR="00ED67AE" w:rsidRDefault="00ED67AE" w:rsidP="00ED67AE">
      <w:pPr>
        <w:ind w:left="567" w:hanging="567"/>
        <w:rPr>
          <w:szCs w:val="22"/>
          <w:lang w:val="lt-LT"/>
        </w:rPr>
      </w:pPr>
      <w:r w:rsidRPr="00104000">
        <w:rPr>
          <w:szCs w:val="22"/>
          <w:lang w:val="lt-LT"/>
        </w:rPr>
        <w:t>-</w:t>
      </w:r>
      <w:r w:rsidRPr="00104000">
        <w:rPr>
          <w:szCs w:val="22"/>
          <w:lang w:val="lt-LT"/>
        </w:rPr>
        <w:tab/>
        <w:t xml:space="preserve">jeigu Jums </w:t>
      </w:r>
      <w:r w:rsidRPr="00383225">
        <w:rPr>
          <w:szCs w:val="22"/>
          <w:lang w:val="lt-LT"/>
        </w:rPr>
        <w:t xml:space="preserve">gydomi dantys arba bus atliekama dantų operacija. </w:t>
      </w:r>
      <w:r w:rsidRPr="00477721">
        <w:rPr>
          <w:szCs w:val="22"/>
          <w:lang w:val="lt-LT"/>
        </w:rPr>
        <w:t>Pasakykite</w:t>
      </w:r>
      <w:r>
        <w:rPr>
          <w:szCs w:val="22"/>
          <w:lang w:val="lt-LT"/>
        </w:rPr>
        <w:t xml:space="preserve"> savo odontologui, kad esate gydomas Ibandronic acid Actavis;</w:t>
      </w:r>
    </w:p>
    <w:p w:rsidR="00ED67AE" w:rsidRDefault="00ED67AE" w:rsidP="00ED67AE">
      <w:pPr>
        <w:ind w:left="567" w:hanging="567"/>
        <w:rPr>
          <w:szCs w:val="22"/>
          <w:lang w:val="lt-LT"/>
        </w:rPr>
      </w:pPr>
    </w:p>
    <w:p w:rsidR="00ED67AE" w:rsidRPr="00A715D9" w:rsidRDefault="00ED67AE" w:rsidP="00ED67AE">
      <w:pPr>
        <w:tabs>
          <w:tab w:val="clear" w:pos="567"/>
          <w:tab w:val="left" w:pos="0"/>
        </w:tabs>
        <w:rPr>
          <w:lang w:val="lt-LT"/>
        </w:rPr>
      </w:pPr>
      <w:r>
        <w:rPr>
          <w:szCs w:val="22"/>
          <w:lang w:val="lt-LT"/>
        </w:rPr>
        <w:t xml:space="preserve">Gali pasireikšti stemplės (vamzdelis, jungiantis Jūsų burną su skrandžiu) dirginimas, uždegimas arba išopėjimas, dažnai susijęs su šiais simptomais: </w:t>
      </w:r>
      <w:r w:rsidRPr="00713AEB">
        <w:rPr>
          <w:lang w:val="lt-LT"/>
        </w:rPr>
        <w:t>stipriu krūtinės skausmu, stipriu skausmu nurijus maisto arba (ir) gėrimo, stipriu pykinimu arba vėmimu</w:t>
      </w:r>
      <w:r w:rsidRPr="00A715D9">
        <w:rPr>
          <w:szCs w:val="22"/>
          <w:lang w:val="lt-LT"/>
        </w:rPr>
        <w:t xml:space="preserve">, ypač tuo atveju, jeigu Ibandronic acid Actavis tabletės neužgeriate pilna stikline vandens arba jeigu atsigulate nepraėjus vienai valandai po tabletės pavartojimo. Jeigu minėtų simptomų atsiranda, Ibandronic acid Actavis vartojimą nutraukite ir </w:t>
      </w:r>
      <w:r w:rsidRPr="00A715D9">
        <w:rPr>
          <w:lang w:val="lt-LT"/>
        </w:rPr>
        <w:t>tuoj pat pasakykite savo gydytojui.</w:t>
      </w:r>
    </w:p>
    <w:p w:rsidR="00477721" w:rsidRDefault="00477721" w:rsidP="00477721">
      <w:pPr>
        <w:ind w:left="567" w:hanging="567"/>
        <w:rPr>
          <w:b/>
          <w:szCs w:val="22"/>
          <w:lang w:val="lt-LT"/>
        </w:rPr>
      </w:pPr>
    </w:p>
    <w:p w:rsidR="00477721" w:rsidRPr="00383225" w:rsidRDefault="00477721" w:rsidP="00477721">
      <w:pPr>
        <w:ind w:left="567" w:hanging="567"/>
        <w:rPr>
          <w:szCs w:val="22"/>
          <w:lang w:val="lt-LT"/>
        </w:rPr>
      </w:pPr>
      <w:r>
        <w:rPr>
          <w:b/>
          <w:szCs w:val="22"/>
          <w:lang w:val="lt-LT"/>
        </w:rPr>
        <w:t>Vaikai ir paaugliai</w:t>
      </w:r>
    </w:p>
    <w:p w:rsidR="00477721" w:rsidRPr="00383225" w:rsidRDefault="00477721" w:rsidP="00477721">
      <w:pPr>
        <w:ind w:left="567" w:hanging="567"/>
        <w:rPr>
          <w:lang w:val="lt-LT"/>
        </w:rPr>
      </w:pPr>
      <w:r w:rsidRPr="00383225">
        <w:rPr>
          <w:lang w:val="lt-LT"/>
        </w:rPr>
        <w:t>Vaikams ir paaugliams</w:t>
      </w:r>
      <w:r w:rsidR="00104000">
        <w:rPr>
          <w:lang w:val="lt-LT"/>
        </w:rPr>
        <w:t xml:space="preserve"> iki </w:t>
      </w:r>
      <w:r w:rsidR="00104000">
        <w:rPr>
          <w:szCs w:val="22"/>
          <w:lang w:val="en-US" w:eastAsia="zh-CN"/>
        </w:rPr>
        <w:t>18 metų</w:t>
      </w:r>
      <w:r w:rsidRPr="00383225">
        <w:rPr>
          <w:lang w:val="lt-LT"/>
        </w:rPr>
        <w:t xml:space="preserve"> Ibandronic </w:t>
      </w:r>
      <w:r w:rsidRPr="00383225">
        <w:rPr>
          <w:szCs w:val="22"/>
          <w:lang w:val="lt-LT"/>
        </w:rPr>
        <w:t>Acid</w:t>
      </w:r>
      <w:r w:rsidRPr="00383225">
        <w:rPr>
          <w:lang w:val="lt-LT"/>
        </w:rPr>
        <w:t xml:space="preserve"> Actavis vartoti negalima.</w:t>
      </w:r>
    </w:p>
    <w:p w:rsidR="00ED67AE" w:rsidRDefault="00ED67AE" w:rsidP="00ED67AE">
      <w:pPr>
        <w:rPr>
          <w:szCs w:val="22"/>
          <w:lang w:val="lt-LT"/>
        </w:rPr>
      </w:pPr>
    </w:p>
    <w:p w:rsidR="00ED67AE" w:rsidRDefault="00ED67AE" w:rsidP="00ED67AE">
      <w:pPr>
        <w:spacing w:line="240" w:lineRule="auto"/>
        <w:ind w:left="567" w:hanging="567"/>
        <w:rPr>
          <w:b/>
          <w:noProof/>
          <w:szCs w:val="22"/>
          <w:lang w:val="lt-LT"/>
        </w:rPr>
      </w:pPr>
      <w:r>
        <w:rPr>
          <w:b/>
          <w:noProof/>
          <w:szCs w:val="22"/>
          <w:lang w:val="lt-LT"/>
        </w:rPr>
        <w:t>Kit</w:t>
      </w:r>
      <w:r w:rsidR="00FE0213">
        <w:rPr>
          <w:b/>
          <w:noProof/>
          <w:szCs w:val="22"/>
          <w:lang w:val="lt-LT"/>
        </w:rPr>
        <w:t>i</w:t>
      </w:r>
      <w:r>
        <w:rPr>
          <w:b/>
          <w:noProof/>
          <w:szCs w:val="22"/>
          <w:lang w:val="lt-LT"/>
        </w:rPr>
        <w:t xml:space="preserve"> vaist</w:t>
      </w:r>
      <w:r w:rsidR="00FE0213">
        <w:rPr>
          <w:b/>
          <w:noProof/>
          <w:szCs w:val="22"/>
          <w:lang w:val="lt-LT"/>
        </w:rPr>
        <w:t xml:space="preserve">ai ir </w:t>
      </w:r>
      <w:r>
        <w:rPr>
          <w:b/>
          <w:noProof/>
          <w:szCs w:val="22"/>
          <w:lang w:val="lt-LT"/>
        </w:rPr>
        <w:t xml:space="preserve"> </w:t>
      </w:r>
      <w:r w:rsidR="00FE0213" w:rsidRPr="00FE0213">
        <w:rPr>
          <w:b/>
          <w:noProof/>
          <w:szCs w:val="22"/>
          <w:lang w:val="lt-LT"/>
        </w:rPr>
        <w:t>Ibandronic acid Actavis 150 mg</w:t>
      </w:r>
    </w:p>
    <w:p w:rsidR="00FE0213" w:rsidRDefault="00ED67AE" w:rsidP="00383225">
      <w:pPr>
        <w:spacing w:line="240" w:lineRule="auto"/>
        <w:rPr>
          <w:noProof/>
          <w:szCs w:val="22"/>
          <w:lang w:val="lt-LT"/>
        </w:rPr>
      </w:pPr>
      <w:r>
        <w:rPr>
          <w:noProof/>
          <w:szCs w:val="22"/>
          <w:lang w:val="lt-LT"/>
        </w:rPr>
        <w:t>Jeigu vartojate arba neseniai vartojote kitų vaistų</w:t>
      </w:r>
      <w:r w:rsidR="00FE0213">
        <w:rPr>
          <w:noProof/>
          <w:szCs w:val="22"/>
          <w:lang w:val="lt-LT"/>
        </w:rPr>
        <w:t xml:space="preserve"> arba dėl to nesate tikri, apie tai</w:t>
      </w:r>
      <w:r>
        <w:rPr>
          <w:noProof/>
          <w:szCs w:val="22"/>
          <w:lang w:val="lt-LT"/>
        </w:rPr>
        <w:t xml:space="preserve"> </w:t>
      </w:r>
      <w:r w:rsidRPr="00713AEB">
        <w:rPr>
          <w:lang w:val="lt-LT"/>
        </w:rPr>
        <w:t>pasakykite gydytojui arba vaistininkui</w:t>
      </w:r>
      <w:r w:rsidRPr="00A715D9">
        <w:rPr>
          <w:noProof/>
          <w:szCs w:val="22"/>
          <w:lang w:val="lt-LT"/>
        </w:rPr>
        <w:t xml:space="preserve">. </w:t>
      </w:r>
      <w:r w:rsidR="00FE0213">
        <w:rPr>
          <w:noProof/>
          <w:szCs w:val="22"/>
          <w:lang w:val="lt-LT"/>
        </w:rPr>
        <w:t>Ypač svarbu pasakyti apie:</w:t>
      </w:r>
    </w:p>
    <w:p w:rsidR="00ED67AE" w:rsidRDefault="00ED67AE" w:rsidP="00383225">
      <w:pPr>
        <w:spacing w:line="240" w:lineRule="auto"/>
        <w:ind w:left="540" w:hanging="540"/>
        <w:rPr>
          <w:noProof/>
          <w:szCs w:val="22"/>
          <w:lang w:val="lt-LT"/>
        </w:rPr>
      </w:pPr>
      <w:r>
        <w:rPr>
          <w:noProof/>
          <w:szCs w:val="22"/>
          <w:lang w:val="lt-LT"/>
        </w:rPr>
        <w:t>-</w:t>
      </w:r>
      <w:r>
        <w:rPr>
          <w:noProof/>
          <w:szCs w:val="22"/>
          <w:lang w:val="lt-LT"/>
        </w:rPr>
        <w:tab/>
        <w:t xml:space="preserve">Maisto </w:t>
      </w:r>
      <w:r w:rsidRPr="00C135D0">
        <w:rPr>
          <w:b/>
          <w:noProof/>
          <w:szCs w:val="22"/>
          <w:lang w:val="lt-LT"/>
        </w:rPr>
        <w:t>p</w:t>
      </w:r>
      <w:r>
        <w:rPr>
          <w:b/>
          <w:noProof/>
          <w:szCs w:val="22"/>
          <w:lang w:val="lt-LT"/>
        </w:rPr>
        <w:t>apild</w:t>
      </w:r>
      <w:r w:rsidR="00FE0213">
        <w:rPr>
          <w:b/>
          <w:noProof/>
          <w:szCs w:val="22"/>
          <w:lang w:val="lt-LT"/>
        </w:rPr>
        <w:t>us</w:t>
      </w:r>
      <w:r w:rsidRPr="00C135D0">
        <w:rPr>
          <w:b/>
          <w:noProof/>
          <w:szCs w:val="22"/>
          <w:lang w:val="lt-LT"/>
        </w:rPr>
        <w:t>, kuriuose yra kalcio, magnio</w:t>
      </w:r>
      <w:r>
        <w:rPr>
          <w:b/>
          <w:noProof/>
          <w:szCs w:val="22"/>
          <w:lang w:val="lt-LT"/>
        </w:rPr>
        <w:t>,</w:t>
      </w:r>
      <w:r w:rsidRPr="00C135D0">
        <w:rPr>
          <w:b/>
          <w:noProof/>
          <w:szCs w:val="22"/>
          <w:lang w:val="lt-LT"/>
        </w:rPr>
        <w:t xml:space="preserve"> geležies ar aliuminio</w:t>
      </w:r>
      <w:r>
        <w:rPr>
          <w:noProof/>
          <w:szCs w:val="22"/>
          <w:lang w:val="lt-LT"/>
        </w:rPr>
        <w:t xml:space="preserve">, nes jie gali daryti įtaką Ibandronic acid Actavis poveikiui. </w:t>
      </w:r>
    </w:p>
    <w:p w:rsidR="00ED67AE" w:rsidRPr="00EE7F66" w:rsidRDefault="00ED67AE" w:rsidP="00ED67AE">
      <w:pPr>
        <w:widowControl w:val="0"/>
        <w:autoSpaceDE w:val="0"/>
        <w:autoSpaceDN w:val="0"/>
        <w:adjustRightInd w:val="0"/>
        <w:ind w:left="540" w:hanging="540"/>
        <w:rPr>
          <w:szCs w:val="22"/>
          <w:lang w:val="lt-LT"/>
        </w:rPr>
      </w:pPr>
      <w:r>
        <w:rPr>
          <w:b/>
          <w:color w:val="000000"/>
          <w:spacing w:val="-3"/>
          <w:szCs w:val="22"/>
          <w:lang w:val="lt-LT"/>
        </w:rPr>
        <w:t>-</w:t>
      </w:r>
      <w:r>
        <w:rPr>
          <w:b/>
          <w:color w:val="000000"/>
          <w:spacing w:val="-3"/>
          <w:szCs w:val="22"/>
          <w:lang w:val="lt-LT"/>
        </w:rPr>
        <w:tab/>
        <w:t>A</w:t>
      </w:r>
      <w:r w:rsidR="00FE0213">
        <w:rPr>
          <w:b/>
          <w:color w:val="000000"/>
          <w:spacing w:val="-3"/>
          <w:szCs w:val="22"/>
          <w:lang w:val="lt-LT"/>
        </w:rPr>
        <w:t>cetilsalicilo rūgštį</w:t>
      </w:r>
      <w:r w:rsidRPr="00EE7F66">
        <w:rPr>
          <w:b/>
          <w:color w:val="000000"/>
          <w:spacing w:val="-3"/>
          <w:szCs w:val="22"/>
          <w:lang w:val="lt-LT"/>
        </w:rPr>
        <w:t xml:space="preserve"> ir kitus nesteroidini</w:t>
      </w:r>
      <w:r>
        <w:rPr>
          <w:b/>
          <w:color w:val="000000"/>
          <w:spacing w:val="-3"/>
          <w:szCs w:val="22"/>
          <w:lang w:val="lt-LT"/>
        </w:rPr>
        <w:t>ai</w:t>
      </w:r>
      <w:r w:rsidRPr="00EE7F66">
        <w:rPr>
          <w:b/>
          <w:color w:val="000000"/>
          <w:spacing w:val="-3"/>
          <w:szCs w:val="22"/>
          <w:lang w:val="lt-LT"/>
        </w:rPr>
        <w:t>s vaistus nuo uždegimo (NVNU)</w:t>
      </w:r>
      <w:r w:rsidRPr="00EE7F66">
        <w:rPr>
          <w:color w:val="000000"/>
          <w:spacing w:val="-3"/>
          <w:szCs w:val="22"/>
          <w:lang w:val="lt-LT"/>
        </w:rPr>
        <w:t xml:space="preserve"> (įskaitant ibuprofeną, diklofenaką ir naprokseną), kurie gali dirginti skrandį ir žarnyną.</w:t>
      </w:r>
      <w:r w:rsidRPr="00EE7F66">
        <w:rPr>
          <w:szCs w:val="22"/>
          <w:lang w:val="lt-LT"/>
        </w:rPr>
        <w:t xml:space="preserve"> </w:t>
      </w:r>
      <w:r w:rsidRPr="00EE7F66">
        <w:rPr>
          <w:color w:val="000000"/>
          <w:spacing w:val="-3"/>
          <w:szCs w:val="22"/>
          <w:lang w:val="lt-LT"/>
        </w:rPr>
        <w:t xml:space="preserve">Bisfosfonatai (pavyzdžiui, </w:t>
      </w:r>
      <w:r>
        <w:rPr>
          <w:szCs w:val="22"/>
          <w:lang w:val="lt-LT"/>
        </w:rPr>
        <w:t>Ibandronic acid Actavis</w:t>
      </w:r>
      <w:r w:rsidRPr="00EE7F66">
        <w:rPr>
          <w:color w:val="000000"/>
          <w:spacing w:val="-3"/>
          <w:szCs w:val="22"/>
          <w:lang w:val="lt-LT"/>
        </w:rPr>
        <w:t>) taip pat gali sukelti šiuos reiškinius.</w:t>
      </w:r>
      <w:r w:rsidRPr="00EE7F66">
        <w:rPr>
          <w:szCs w:val="22"/>
          <w:lang w:val="lt-LT"/>
        </w:rPr>
        <w:t xml:space="preserve"> </w:t>
      </w:r>
      <w:r w:rsidRPr="00EE7F66">
        <w:rPr>
          <w:color w:val="000000"/>
          <w:spacing w:val="-3"/>
          <w:szCs w:val="22"/>
          <w:lang w:val="lt-LT"/>
        </w:rPr>
        <w:t xml:space="preserve">Taigi ypač atsargiai vartokite </w:t>
      </w:r>
      <w:r w:rsidRPr="00383225">
        <w:rPr>
          <w:color w:val="000000"/>
          <w:spacing w:val="-3"/>
          <w:szCs w:val="22"/>
          <w:lang w:val="lt-LT"/>
        </w:rPr>
        <w:t xml:space="preserve">skausmą </w:t>
      </w:r>
      <w:r w:rsidRPr="00383225">
        <w:rPr>
          <w:color w:val="000000"/>
          <w:spacing w:val="-4"/>
          <w:szCs w:val="22"/>
          <w:lang w:val="lt-LT"/>
        </w:rPr>
        <w:t>malšinančius vaistus ar vaistus nuo uždegimo</w:t>
      </w:r>
      <w:r w:rsidRPr="00EE7F66">
        <w:rPr>
          <w:color w:val="000000"/>
          <w:spacing w:val="-4"/>
          <w:szCs w:val="22"/>
          <w:lang w:val="lt-LT"/>
        </w:rPr>
        <w:t xml:space="preserve"> kartu su </w:t>
      </w:r>
      <w:r>
        <w:rPr>
          <w:szCs w:val="22"/>
          <w:lang w:val="lt-LT"/>
        </w:rPr>
        <w:t>Ibandronic acid Actavis 150 mg</w:t>
      </w:r>
      <w:r w:rsidRPr="00EE7F66">
        <w:rPr>
          <w:szCs w:val="22"/>
          <w:lang w:val="lt-LT"/>
        </w:rPr>
        <w:t xml:space="preserve">. </w:t>
      </w:r>
    </w:p>
    <w:p w:rsidR="00ED67AE" w:rsidRDefault="00ED67AE" w:rsidP="00ED67AE">
      <w:pPr>
        <w:spacing w:line="240" w:lineRule="auto"/>
        <w:ind w:left="567" w:hanging="567"/>
        <w:rPr>
          <w:noProof/>
          <w:szCs w:val="22"/>
          <w:lang w:val="lt-LT"/>
        </w:rPr>
      </w:pPr>
    </w:p>
    <w:p w:rsidR="00ED67AE" w:rsidRDefault="00ED67AE" w:rsidP="00ED67AE">
      <w:pPr>
        <w:spacing w:line="240" w:lineRule="auto"/>
        <w:rPr>
          <w:noProof/>
          <w:szCs w:val="22"/>
          <w:lang w:val="lt-LT"/>
        </w:rPr>
      </w:pPr>
      <w:r>
        <w:rPr>
          <w:noProof/>
          <w:szCs w:val="22"/>
          <w:lang w:val="lt-LT"/>
        </w:rPr>
        <w:t xml:space="preserve">Išgėrę kartą per mėnesį vartojamą Ibandronic acid Actavis 150 mg, </w:t>
      </w:r>
      <w:r w:rsidRPr="00777D3F">
        <w:rPr>
          <w:b/>
          <w:noProof/>
          <w:szCs w:val="22"/>
          <w:lang w:val="lt-LT"/>
        </w:rPr>
        <w:t xml:space="preserve">mažiausiai </w:t>
      </w:r>
      <w:r>
        <w:rPr>
          <w:b/>
          <w:noProof/>
          <w:szCs w:val="22"/>
          <w:lang w:val="lt-LT"/>
        </w:rPr>
        <w:t>1</w:t>
      </w:r>
      <w:r w:rsidRPr="00777D3F">
        <w:rPr>
          <w:b/>
          <w:noProof/>
          <w:szCs w:val="22"/>
          <w:lang w:val="lt-LT"/>
        </w:rPr>
        <w:t> </w:t>
      </w:r>
      <w:r>
        <w:rPr>
          <w:b/>
          <w:noProof/>
          <w:szCs w:val="22"/>
          <w:lang w:val="lt-LT"/>
        </w:rPr>
        <w:t>val</w:t>
      </w:r>
      <w:r w:rsidRPr="00777D3F">
        <w:rPr>
          <w:b/>
          <w:noProof/>
          <w:szCs w:val="22"/>
          <w:lang w:val="lt-LT"/>
        </w:rPr>
        <w:t>. negerkite kitų vaistų</w:t>
      </w:r>
      <w:r>
        <w:rPr>
          <w:noProof/>
          <w:szCs w:val="22"/>
          <w:lang w:val="lt-LT"/>
        </w:rPr>
        <w:t xml:space="preserve">, įskaitant tabletes nuo nevirškinimo, kalcio papildus ar vitaminus. </w:t>
      </w:r>
    </w:p>
    <w:p w:rsidR="00ED67AE" w:rsidRPr="00CD6267" w:rsidRDefault="00ED67AE" w:rsidP="00ED67AE">
      <w:pPr>
        <w:rPr>
          <w:szCs w:val="22"/>
          <w:lang w:val="lt-LT"/>
        </w:rPr>
      </w:pPr>
    </w:p>
    <w:p w:rsidR="00ED67AE" w:rsidRPr="00CD6267" w:rsidRDefault="00ED67AE" w:rsidP="00ED67AE">
      <w:pPr>
        <w:rPr>
          <w:b/>
          <w:szCs w:val="22"/>
          <w:lang w:val="lt-LT"/>
        </w:rPr>
      </w:pPr>
      <w:r>
        <w:rPr>
          <w:b/>
          <w:szCs w:val="22"/>
          <w:lang w:val="lt-LT"/>
        </w:rPr>
        <w:t>Ibandronic acid Actavis</w:t>
      </w:r>
      <w:r w:rsidRPr="00CD6267">
        <w:rPr>
          <w:b/>
          <w:szCs w:val="22"/>
          <w:lang w:val="lt-LT"/>
        </w:rPr>
        <w:t xml:space="preserve"> </w:t>
      </w:r>
      <w:r>
        <w:rPr>
          <w:b/>
          <w:szCs w:val="22"/>
          <w:lang w:val="lt-LT"/>
        </w:rPr>
        <w:t xml:space="preserve">150 mg </w:t>
      </w:r>
      <w:r w:rsidRPr="00CD6267">
        <w:rPr>
          <w:b/>
          <w:szCs w:val="22"/>
          <w:lang w:val="lt-LT"/>
        </w:rPr>
        <w:t>vartojimas su maistu ir gėrimais</w:t>
      </w:r>
    </w:p>
    <w:p w:rsidR="00ED67AE" w:rsidRDefault="00ED67AE" w:rsidP="00ED67AE">
      <w:pPr>
        <w:rPr>
          <w:szCs w:val="22"/>
          <w:lang w:val="lt-LT"/>
        </w:rPr>
      </w:pPr>
      <w:r w:rsidRPr="00383225">
        <w:rPr>
          <w:b/>
          <w:szCs w:val="22"/>
          <w:lang w:val="lt-LT"/>
        </w:rPr>
        <w:t>Nevartokite Ibandronic acid Actavis 150 mg su maistu</w:t>
      </w:r>
      <w:r>
        <w:rPr>
          <w:szCs w:val="22"/>
          <w:lang w:val="lt-LT"/>
        </w:rPr>
        <w:t xml:space="preserve">. Su maistu vartojamas Ibandronic acid Actavis 150 mg mažiau veiksmingas. </w:t>
      </w:r>
    </w:p>
    <w:p w:rsidR="00FE0213" w:rsidRDefault="00ED67AE" w:rsidP="00ED67AE">
      <w:pPr>
        <w:rPr>
          <w:b/>
          <w:szCs w:val="22"/>
          <w:lang w:val="lt-LT"/>
        </w:rPr>
      </w:pPr>
      <w:r w:rsidRPr="00383225">
        <w:rPr>
          <w:b/>
          <w:szCs w:val="22"/>
          <w:lang w:val="lt-LT"/>
        </w:rPr>
        <w:t>Galima gerti tik paprastą vandenį, bet ne kitokius gėrimus</w:t>
      </w:r>
      <w:r w:rsidR="00373296">
        <w:rPr>
          <w:b/>
          <w:szCs w:val="22"/>
          <w:lang w:val="lt-LT"/>
        </w:rPr>
        <w:t>.</w:t>
      </w:r>
    </w:p>
    <w:p w:rsidR="00373296" w:rsidRDefault="00373296" w:rsidP="00ED67AE">
      <w:pPr>
        <w:rPr>
          <w:b/>
          <w:szCs w:val="22"/>
          <w:lang w:val="lt-LT"/>
        </w:rPr>
      </w:pPr>
    </w:p>
    <w:p w:rsidR="00373296" w:rsidRPr="00373296" w:rsidRDefault="00373296" w:rsidP="00ED67AE">
      <w:pPr>
        <w:rPr>
          <w:szCs w:val="22"/>
          <w:lang w:val="lt-LT"/>
        </w:rPr>
      </w:pPr>
      <w:r>
        <w:rPr>
          <w:szCs w:val="22"/>
          <w:lang w:val="lt-LT"/>
        </w:rPr>
        <w:t>Pavartoję ibandrono rūgšties valandą nieko nevalgykite ir negerkite (žr.3 skyrių „Kaip vartoti Ibandronic acid Actavis“)</w:t>
      </w: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Nėštumas ir žindymo laikotarpis</w:t>
      </w:r>
    </w:p>
    <w:p w:rsidR="00373296" w:rsidRDefault="00104000" w:rsidP="00ED67AE">
      <w:pPr>
        <w:rPr>
          <w:szCs w:val="22"/>
          <w:lang w:val="lt-LT"/>
        </w:rPr>
      </w:pPr>
      <w:r>
        <w:rPr>
          <w:szCs w:val="22"/>
          <w:lang w:val="lt-LT"/>
        </w:rPr>
        <w:t>Ibandrono rūgšties galima vartoti tik moterims menopauzės metu. Jo negalima vartoti dar galinčioms vaikų turėti moterims.</w:t>
      </w:r>
      <w:r w:rsidR="00ED67AE">
        <w:rPr>
          <w:szCs w:val="22"/>
          <w:lang w:val="lt-LT"/>
        </w:rPr>
        <w:t xml:space="preserve">. </w:t>
      </w:r>
    </w:p>
    <w:p w:rsidR="00373296" w:rsidRDefault="00373296" w:rsidP="00ED67AE">
      <w:pPr>
        <w:rPr>
          <w:szCs w:val="22"/>
          <w:lang w:val="lt-LT"/>
        </w:rPr>
      </w:pPr>
    </w:p>
    <w:p w:rsidR="00ED67AE" w:rsidRDefault="00373296" w:rsidP="00ED67AE">
      <w:pPr>
        <w:rPr>
          <w:szCs w:val="22"/>
          <w:lang w:val="lt-LT"/>
        </w:rPr>
      </w:pPr>
      <w:r>
        <w:rPr>
          <w:szCs w:val="22"/>
          <w:lang w:val="lt-LT"/>
        </w:rPr>
        <w:t>Jei esate nėščia ar krūtimi maitinate kūdikį, ibandrono rūgšties nevartokite.</w:t>
      </w:r>
    </w:p>
    <w:p w:rsidR="00ED67AE" w:rsidRDefault="00ED67AE" w:rsidP="00ED67AE">
      <w:pPr>
        <w:rPr>
          <w:szCs w:val="22"/>
          <w:lang w:val="lt-LT"/>
        </w:rPr>
      </w:pPr>
    </w:p>
    <w:p w:rsidR="00ED67AE" w:rsidRPr="00CD6267" w:rsidRDefault="00ED67AE" w:rsidP="00ED67AE">
      <w:pPr>
        <w:rPr>
          <w:szCs w:val="22"/>
          <w:lang w:val="lt-LT"/>
        </w:rPr>
      </w:pPr>
      <w:r w:rsidRPr="00CD6267">
        <w:rPr>
          <w:szCs w:val="22"/>
          <w:lang w:val="lt-LT"/>
        </w:rPr>
        <w:t xml:space="preserve">Prieš vartojant </w:t>
      </w:r>
      <w:r w:rsidR="00104000">
        <w:rPr>
          <w:szCs w:val="22"/>
          <w:lang w:val="lt-LT"/>
        </w:rPr>
        <w:t>šį</w:t>
      </w:r>
      <w:r w:rsidRPr="00CD6267">
        <w:rPr>
          <w:szCs w:val="22"/>
          <w:lang w:val="lt-LT"/>
        </w:rPr>
        <w:t xml:space="preserve"> vaistą, būtina pasitarti su gydytoju</w:t>
      </w:r>
      <w:r>
        <w:rPr>
          <w:szCs w:val="22"/>
          <w:lang w:val="lt-LT"/>
        </w:rPr>
        <w:t xml:space="preserve"> </w:t>
      </w:r>
      <w:r w:rsidRPr="00CD6267">
        <w:rPr>
          <w:szCs w:val="22"/>
          <w:lang w:val="lt-LT"/>
        </w:rPr>
        <w:t>arba</w:t>
      </w:r>
      <w:r>
        <w:rPr>
          <w:szCs w:val="22"/>
          <w:lang w:val="lt-LT"/>
        </w:rPr>
        <w:t xml:space="preserve"> </w:t>
      </w:r>
      <w:r w:rsidRPr="00CD6267">
        <w:rPr>
          <w:szCs w:val="22"/>
          <w:lang w:val="lt-LT"/>
        </w:rPr>
        <w:t>vaistininku</w:t>
      </w:r>
      <w:r>
        <w:rPr>
          <w:szCs w:val="22"/>
          <w:lang w:val="lt-LT"/>
        </w:rPr>
        <w:t>.</w:t>
      </w: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Vairavimas ir mechanizmų valdymas</w:t>
      </w:r>
    </w:p>
    <w:p w:rsidR="00ED67AE" w:rsidRPr="00CD6267" w:rsidRDefault="00ED67AE" w:rsidP="00ED67AE">
      <w:pPr>
        <w:rPr>
          <w:szCs w:val="22"/>
          <w:lang w:val="lt-LT"/>
        </w:rPr>
      </w:pPr>
      <w:r>
        <w:rPr>
          <w:szCs w:val="22"/>
          <w:lang w:val="lt-LT"/>
        </w:rPr>
        <w:t xml:space="preserve">Vairuoti ir valdyti mechanizmus galite, kadangi labai mažai tikėtina, kad Ibandronic acid Actavis paveiks Jūsų gebėjimą vairuoti ir valdyti mechanizmus. </w:t>
      </w:r>
    </w:p>
    <w:p w:rsidR="00ED67AE" w:rsidRPr="00CD6267" w:rsidRDefault="00ED67AE" w:rsidP="00ED67AE">
      <w:pPr>
        <w:rPr>
          <w:szCs w:val="22"/>
          <w:lang w:val="lt-LT"/>
        </w:rPr>
      </w:pPr>
    </w:p>
    <w:p w:rsidR="00373296" w:rsidRDefault="00ED67AE" w:rsidP="00ED67AE">
      <w:pPr>
        <w:spacing w:line="240" w:lineRule="auto"/>
        <w:rPr>
          <w:b/>
          <w:szCs w:val="22"/>
          <w:lang w:val="lt-LT"/>
        </w:rPr>
      </w:pPr>
      <w:r w:rsidRPr="00373296">
        <w:rPr>
          <w:szCs w:val="22"/>
          <w:lang w:val="lt-LT"/>
        </w:rPr>
        <w:t>Ibandronic acid Actavis 150 mg tablečių sudėtyje yra</w:t>
      </w:r>
      <w:r>
        <w:rPr>
          <w:szCs w:val="22"/>
          <w:lang w:val="lt-LT"/>
        </w:rPr>
        <w:t xml:space="preserve"> </w:t>
      </w:r>
      <w:r w:rsidRPr="00E67AF1">
        <w:rPr>
          <w:b/>
          <w:szCs w:val="22"/>
          <w:lang w:val="lt-LT"/>
        </w:rPr>
        <w:t>laktoz</w:t>
      </w:r>
      <w:r w:rsidR="00373296">
        <w:rPr>
          <w:b/>
          <w:szCs w:val="22"/>
          <w:lang w:val="lt-LT"/>
        </w:rPr>
        <w:t>ės</w:t>
      </w:r>
      <w:r w:rsidRPr="00E67AF1">
        <w:rPr>
          <w:b/>
          <w:szCs w:val="22"/>
          <w:lang w:val="lt-LT"/>
        </w:rPr>
        <w:t>.</w:t>
      </w:r>
      <w:r>
        <w:rPr>
          <w:b/>
          <w:szCs w:val="22"/>
          <w:lang w:val="lt-LT"/>
        </w:rPr>
        <w:t xml:space="preserve"> </w:t>
      </w:r>
    </w:p>
    <w:p w:rsidR="00ED67AE" w:rsidRPr="002567EC" w:rsidRDefault="00ED67AE" w:rsidP="00ED67AE">
      <w:pPr>
        <w:spacing w:line="240" w:lineRule="auto"/>
        <w:rPr>
          <w:noProof/>
          <w:szCs w:val="22"/>
          <w:lang w:val="lt-LT"/>
        </w:rPr>
      </w:pPr>
      <w:r>
        <w:rPr>
          <w:noProof/>
          <w:szCs w:val="22"/>
          <w:lang w:val="lt-LT"/>
        </w:rPr>
        <w:t xml:space="preserve">Jeigu gydytojas Jums yra sakęs, kad </w:t>
      </w:r>
      <w:r w:rsidRPr="00E67AF1">
        <w:rPr>
          <w:b/>
          <w:noProof/>
          <w:szCs w:val="22"/>
          <w:lang w:val="lt-LT"/>
        </w:rPr>
        <w:t>netoleruojate kokių nors angliavandenių</w:t>
      </w:r>
      <w:r>
        <w:rPr>
          <w:noProof/>
          <w:szCs w:val="22"/>
          <w:lang w:val="lt-LT"/>
        </w:rPr>
        <w:t>, kreipkitės į jį prieš pradėdami vartoti šį vaistą</w:t>
      </w:r>
    </w:p>
    <w:p w:rsidR="00ED67AE" w:rsidRPr="00CD6267" w:rsidRDefault="00ED67AE" w:rsidP="00ED67AE">
      <w:pPr>
        <w:rPr>
          <w:szCs w:val="22"/>
          <w:lang w:val="lt-LT"/>
        </w:rPr>
      </w:pPr>
    </w:p>
    <w:p w:rsidR="00ED67AE" w:rsidRPr="00CD6267" w:rsidRDefault="00ED67AE" w:rsidP="00ED67AE">
      <w:pPr>
        <w:rPr>
          <w:szCs w:val="22"/>
          <w:lang w:val="lt-LT"/>
        </w:rPr>
      </w:pPr>
    </w:p>
    <w:p w:rsidR="00ED67AE" w:rsidRDefault="00ED67AE" w:rsidP="00ED67AE">
      <w:pPr>
        <w:rPr>
          <w:b/>
          <w:szCs w:val="22"/>
          <w:lang w:val="lt-LT"/>
        </w:rPr>
      </w:pPr>
      <w:r w:rsidRPr="00CD6267">
        <w:rPr>
          <w:b/>
          <w:szCs w:val="22"/>
          <w:lang w:val="lt-LT"/>
        </w:rPr>
        <w:t>3.</w:t>
      </w:r>
      <w:r w:rsidRPr="00CD6267">
        <w:rPr>
          <w:b/>
          <w:szCs w:val="22"/>
          <w:lang w:val="lt-LT"/>
        </w:rPr>
        <w:tab/>
      </w:r>
      <w:r w:rsidR="00373296">
        <w:rPr>
          <w:b/>
          <w:szCs w:val="22"/>
          <w:lang w:val="lt-LT"/>
        </w:rPr>
        <w:t xml:space="preserve">Kaip vartoti </w:t>
      </w:r>
      <w:r w:rsidR="00373296" w:rsidRPr="00373296">
        <w:rPr>
          <w:b/>
          <w:szCs w:val="22"/>
          <w:lang w:val="lt-LT"/>
        </w:rPr>
        <w:t>Ibandronic acid Actavis 150 mg</w:t>
      </w:r>
    </w:p>
    <w:p w:rsidR="00373296" w:rsidRPr="00CD6267" w:rsidRDefault="00373296" w:rsidP="00ED67AE">
      <w:pPr>
        <w:rPr>
          <w:szCs w:val="22"/>
          <w:lang w:val="lt-LT"/>
        </w:rPr>
      </w:pPr>
    </w:p>
    <w:p w:rsidR="00ED67AE" w:rsidRDefault="00373296" w:rsidP="00ED67AE">
      <w:pPr>
        <w:rPr>
          <w:szCs w:val="22"/>
          <w:lang w:val="lt-LT"/>
        </w:rPr>
      </w:pPr>
      <w:r>
        <w:rPr>
          <w:szCs w:val="22"/>
          <w:lang w:val="lt-LT"/>
        </w:rPr>
        <w:t>V</w:t>
      </w:r>
      <w:r w:rsidR="00ED67AE" w:rsidRPr="00CD6267">
        <w:rPr>
          <w:szCs w:val="22"/>
          <w:lang w:val="lt-LT"/>
        </w:rPr>
        <w:t>isada vartokite</w:t>
      </w:r>
      <w:r>
        <w:rPr>
          <w:szCs w:val="22"/>
          <w:lang w:val="lt-LT"/>
        </w:rPr>
        <w:t xml:space="preserve"> šį vaistą</w:t>
      </w:r>
      <w:r w:rsidR="00ED67AE" w:rsidRPr="00CD6267">
        <w:rPr>
          <w:szCs w:val="22"/>
          <w:lang w:val="lt-LT"/>
        </w:rPr>
        <w:t xml:space="preserve"> tiksliai, kaip nurodė gydytojas. Jeigu abejojate, kreipkitės į gydytoją</w:t>
      </w:r>
      <w:r w:rsidR="00ED67AE">
        <w:rPr>
          <w:szCs w:val="22"/>
          <w:lang w:val="lt-LT"/>
        </w:rPr>
        <w:t xml:space="preserve"> </w:t>
      </w:r>
      <w:r w:rsidR="00ED67AE" w:rsidRPr="00CD6267">
        <w:rPr>
          <w:szCs w:val="22"/>
          <w:lang w:val="lt-LT"/>
        </w:rPr>
        <w:t>arba</w:t>
      </w:r>
      <w:r w:rsidR="00ED67AE">
        <w:rPr>
          <w:szCs w:val="22"/>
          <w:lang w:val="lt-LT"/>
        </w:rPr>
        <w:t xml:space="preserve"> </w:t>
      </w:r>
      <w:r w:rsidR="00ED67AE" w:rsidRPr="00CD6267">
        <w:rPr>
          <w:szCs w:val="22"/>
          <w:lang w:val="lt-LT"/>
        </w:rPr>
        <w:t>vaistininką</w:t>
      </w:r>
      <w:r w:rsidR="00ED67AE">
        <w:rPr>
          <w:szCs w:val="22"/>
          <w:lang w:val="lt-LT"/>
        </w:rPr>
        <w:t>.</w:t>
      </w:r>
    </w:p>
    <w:p w:rsidR="00ED67AE" w:rsidRDefault="00ED67AE" w:rsidP="00ED67AE">
      <w:pPr>
        <w:rPr>
          <w:szCs w:val="22"/>
          <w:lang w:val="lt-LT"/>
        </w:rPr>
      </w:pPr>
    </w:p>
    <w:p w:rsidR="00373296" w:rsidRPr="00383225" w:rsidRDefault="00373296" w:rsidP="00ED67AE">
      <w:pPr>
        <w:rPr>
          <w:b/>
          <w:szCs w:val="22"/>
          <w:lang w:val="lt-LT"/>
        </w:rPr>
      </w:pPr>
      <w:r>
        <w:rPr>
          <w:b/>
          <w:szCs w:val="22"/>
          <w:lang w:val="lt-LT"/>
        </w:rPr>
        <w:t>Rekomenduojama dozė yra viena tabletė vieną kartą per mėnesį.</w:t>
      </w:r>
    </w:p>
    <w:p w:rsidR="00373296" w:rsidRDefault="00373296" w:rsidP="00ED67AE">
      <w:pPr>
        <w:rPr>
          <w:szCs w:val="22"/>
          <w:lang w:val="lt-LT"/>
        </w:rPr>
      </w:pPr>
    </w:p>
    <w:p w:rsidR="00ED67AE" w:rsidRPr="00CC1A92" w:rsidRDefault="00ED67AE" w:rsidP="00ED67AE">
      <w:pPr>
        <w:rPr>
          <w:b/>
          <w:szCs w:val="22"/>
          <w:lang w:val="lt-LT"/>
        </w:rPr>
      </w:pPr>
      <w:r w:rsidRPr="00713AEB">
        <w:rPr>
          <w:b/>
          <w:szCs w:val="22"/>
          <w:lang w:val="lt-LT"/>
        </w:rPr>
        <w:t xml:space="preserve">Kaip vartoti kas mėnesį geriamą tabletę </w:t>
      </w:r>
    </w:p>
    <w:p w:rsidR="00ED67AE" w:rsidRDefault="00ED67AE" w:rsidP="00ED67AE">
      <w:pPr>
        <w:rPr>
          <w:szCs w:val="22"/>
          <w:lang w:val="lt-LT"/>
        </w:rPr>
      </w:pPr>
      <w:r>
        <w:rPr>
          <w:szCs w:val="22"/>
          <w:lang w:val="lt-LT"/>
        </w:rPr>
        <w:t xml:space="preserve">Svarbu laikytis toliau pateiktų nurodymų. Jie skirti tam, kad padėtų Jūsų </w:t>
      </w:r>
      <w:r w:rsidR="00354B1A">
        <w:rPr>
          <w:szCs w:val="22"/>
          <w:lang w:val="lt-LT"/>
        </w:rPr>
        <w:t xml:space="preserve">ibandrono rūgšties </w:t>
      </w:r>
      <w:r>
        <w:rPr>
          <w:szCs w:val="22"/>
          <w:lang w:val="lt-LT"/>
        </w:rPr>
        <w:t xml:space="preserve">tabletei greitai patekti į skrandį, todėl mažiau tikėtina, kad ji sukels dirginimą. </w:t>
      </w:r>
    </w:p>
    <w:p w:rsidR="00354B1A" w:rsidRDefault="00354B1A" w:rsidP="00ED67AE">
      <w:pPr>
        <w:rPr>
          <w:szCs w:val="22"/>
          <w:lang w:val="lt-LT"/>
        </w:rPr>
      </w:pPr>
    </w:p>
    <w:p w:rsidR="00ED67AE" w:rsidRPr="007E2511" w:rsidRDefault="00ED67AE" w:rsidP="00ED67AE">
      <w:pPr>
        <w:widowControl w:val="0"/>
        <w:autoSpaceDE w:val="0"/>
        <w:autoSpaceDN w:val="0"/>
        <w:adjustRightInd w:val="0"/>
        <w:ind w:left="540" w:hanging="540"/>
        <w:rPr>
          <w:szCs w:val="22"/>
          <w:lang w:val="es-ES_tradnl"/>
        </w:rPr>
      </w:pPr>
      <w:r w:rsidRPr="00057C65">
        <w:rPr>
          <w:szCs w:val="22"/>
          <w:lang w:val="lt-LT"/>
        </w:rPr>
        <w:t>-</w:t>
      </w:r>
      <w:r w:rsidRPr="00057C65">
        <w:rPr>
          <w:szCs w:val="22"/>
          <w:lang w:val="lt-LT"/>
        </w:rPr>
        <w:tab/>
      </w:r>
      <w:r w:rsidRPr="00057C65">
        <w:rPr>
          <w:b/>
          <w:color w:val="000000"/>
          <w:spacing w:val="-3"/>
          <w:szCs w:val="22"/>
          <w:lang w:val="lt-LT"/>
        </w:rPr>
        <w:t xml:space="preserve">Gerkite po vieną </w:t>
      </w:r>
      <w:r>
        <w:rPr>
          <w:b/>
          <w:color w:val="000000"/>
          <w:spacing w:val="-3"/>
          <w:szCs w:val="22"/>
          <w:lang w:val="lt-LT"/>
        </w:rPr>
        <w:t>Ibandronic acid Actavis</w:t>
      </w:r>
      <w:r w:rsidRPr="00057C65">
        <w:rPr>
          <w:b/>
          <w:color w:val="000000"/>
          <w:spacing w:val="-3"/>
          <w:szCs w:val="22"/>
          <w:lang w:val="lt-LT"/>
        </w:rPr>
        <w:t xml:space="preserve"> 150 mg tabletę kartą per mėnesį.</w:t>
      </w:r>
      <w:r w:rsidRPr="007E2511">
        <w:rPr>
          <w:szCs w:val="22"/>
          <w:lang w:val="es-ES_tradnl"/>
        </w:rPr>
        <w:t xml:space="preserve"> </w:t>
      </w:r>
    </w:p>
    <w:p w:rsidR="00ED67AE" w:rsidRPr="00057C65" w:rsidRDefault="00ED67AE" w:rsidP="00ED67AE">
      <w:pPr>
        <w:ind w:left="567" w:hanging="567"/>
        <w:rPr>
          <w:szCs w:val="22"/>
          <w:lang w:val="es-ES_tradnl"/>
        </w:rPr>
      </w:pPr>
      <w:r>
        <w:rPr>
          <w:szCs w:val="22"/>
          <w:lang w:val="es-ES_tradnl"/>
        </w:rPr>
        <w:t>-</w:t>
      </w:r>
      <w:r>
        <w:rPr>
          <w:szCs w:val="22"/>
          <w:lang w:val="es-ES_tradnl"/>
        </w:rPr>
        <w:tab/>
      </w:r>
      <w:r w:rsidRPr="00EE7F66">
        <w:rPr>
          <w:b/>
          <w:color w:val="000000"/>
          <w:spacing w:val="-2"/>
          <w:szCs w:val="22"/>
          <w:lang w:val="lt-LT"/>
        </w:rPr>
        <w:t>Pasirinkite tokią mėnesio dieną</w:t>
      </w:r>
      <w:r w:rsidRPr="00383225">
        <w:rPr>
          <w:b/>
          <w:color w:val="000000"/>
          <w:spacing w:val="-2"/>
          <w:szCs w:val="22"/>
          <w:lang w:val="lt-LT"/>
        </w:rPr>
        <w:t>, kurią būtų lengva prisiminti.</w:t>
      </w:r>
      <w:r w:rsidRPr="007E2511">
        <w:rPr>
          <w:szCs w:val="22"/>
          <w:lang w:val="es-ES_tradnl"/>
        </w:rPr>
        <w:t xml:space="preserve"> </w:t>
      </w:r>
      <w:r>
        <w:rPr>
          <w:color w:val="000000"/>
          <w:spacing w:val="-2"/>
          <w:szCs w:val="22"/>
          <w:lang w:val="es-ES_tradnl"/>
        </w:rPr>
        <w:t>Ibandronic acid Actavis</w:t>
      </w:r>
      <w:r w:rsidRPr="00EE7F66">
        <w:rPr>
          <w:color w:val="000000"/>
          <w:spacing w:val="-2"/>
          <w:szCs w:val="22"/>
          <w:lang w:val="es-ES_tradnl"/>
        </w:rPr>
        <w:t xml:space="preserve"> 150 mg tabletei išgerti pasirinkite arba tą pačią datą (pvz., kiekvieno mėnesio 1-ąją dieną) arba tą pačią mėnesio dieną (pvz., pirmąjį kiekvieno mėnesio sekmadienį).</w:t>
      </w:r>
      <w:r w:rsidRPr="00EE7F66">
        <w:rPr>
          <w:szCs w:val="22"/>
          <w:lang w:val="es-ES_tradnl"/>
        </w:rPr>
        <w:t xml:space="preserve"> </w:t>
      </w:r>
      <w:r w:rsidRPr="00057C65">
        <w:rPr>
          <w:color w:val="000000"/>
          <w:spacing w:val="-2"/>
          <w:szCs w:val="22"/>
          <w:lang w:val="es-ES_tradnl"/>
        </w:rPr>
        <w:t>Pasirinkite pagal Jūsų režimą tinkamiausią dieną.</w:t>
      </w:r>
      <w:r w:rsidRPr="00057C65">
        <w:rPr>
          <w:szCs w:val="22"/>
          <w:lang w:val="es-ES_tradnl"/>
        </w:rPr>
        <w:t xml:space="preserve"> </w:t>
      </w:r>
    </w:p>
    <w:p w:rsidR="00ED67AE" w:rsidRDefault="00ED67AE" w:rsidP="00ED67AE">
      <w:pPr>
        <w:autoSpaceDE w:val="0"/>
        <w:autoSpaceDN w:val="0"/>
        <w:adjustRightInd w:val="0"/>
        <w:spacing w:line="240" w:lineRule="auto"/>
        <w:ind w:left="567" w:hanging="567"/>
        <w:rPr>
          <w:color w:val="000000"/>
          <w:spacing w:val="-3"/>
          <w:szCs w:val="22"/>
          <w:lang w:val="es-ES_tradnl"/>
        </w:rPr>
      </w:pPr>
      <w:r w:rsidRPr="00057C65">
        <w:rPr>
          <w:szCs w:val="22"/>
          <w:lang w:val="es-ES_tradnl"/>
        </w:rPr>
        <w:t>-</w:t>
      </w:r>
      <w:r w:rsidRPr="00057C65">
        <w:rPr>
          <w:szCs w:val="22"/>
          <w:lang w:val="es-ES_tradnl"/>
        </w:rPr>
        <w:tab/>
      </w:r>
      <w:r>
        <w:rPr>
          <w:color w:val="000000"/>
          <w:spacing w:val="-2"/>
          <w:szCs w:val="22"/>
          <w:lang w:val="es-ES_tradnl"/>
        </w:rPr>
        <w:t>Ibandronic acid Actavis</w:t>
      </w:r>
      <w:r w:rsidRPr="00057C65">
        <w:rPr>
          <w:color w:val="000000"/>
          <w:spacing w:val="-2"/>
          <w:szCs w:val="22"/>
          <w:lang w:val="es-ES_tradnl"/>
        </w:rPr>
        <w:t xml:space="preserve"> 150 mg tabletę vartokite </w:t>
      </w:r>
      <w:r w:rsidRPr="00057C65">
        <w:rPr>
          <w:b/>
          <w:color w:val="000000"/>
          <w:spacing w:val="-2"/>
          <w:szCs w:val="22"/>
          <w:lang w:val="es-ES_tradnl"/>
        </w:rPr>
        <w:t>praėjus bent 6 valandoms, kai Jūs paskutinį kartą ką nors valgėte</w:t>
      </w:r>
      <w:r w:rsidRPr="00057C65">
        <w:rPr>
          <w:color w:val="000000"/>
          <w:spacing w:val="-2"/>
          <w:szCs w:val="22"/>
          <w:lang w:val="es-ES_tradnl"/>
        </w:rPr>
        <w:t xml:space="preserve"> </w:t>
      </w:r>
      <w:r w:rsidRPr="00057C65">
        <w:rPr>
          <w:color w:val="000000"/>
          <w:spacing w:val="-3"/>
          <w:szCs w:val="22"/>
          <w:lang w:val="es-ES_tradnl"/>
        </w:rPr>
        <w:t>ar gėrėte, išskyrus paprastą vandenį.</w:t>
      </w:r>
    </w:p>
    <w:p w:rsidR="00104000" w:rsidRDefault="00104000" w:rsidP="00ED67AE">
      <w:pPr>
        <w:autoSpaceDE w:val="0"/>
        <w:autoSpaceDN w:val="0"/>
        <w:adjustRightInd w:val="0"/>
        <w:spacing w:line="240" w:lineRule="auto"/>
        <w:ind w:left="567" w:hanging="567"/>
        <w:rPr>
          <w:color w:val="000000"/>
          <w:spacing w:val="-3"/>
          <w:szCs w:val="22"/>
          <w:lang w:val="es-ES_tradnl"/>
        </w:rPr>
      </w:pPr>
    </w:p>
    <w:p w:rsidR="00104000" w:rsidRDefault="00104000" w:rsidP="00ED67AE">
      <w:pPr>
        <w:autoSpaceDE w:val="0"/>
        <w:autoSpaceDN w:val="0"/>
        <w:adjustRightInd w:val="0"/>
        <w:spacing w:line="240" w:lineRule="auto"/>
        <w:ind w:left="567" w:hanging="567"/>
        <w:rPr>
          <w:color w:val="000000"/>
          <w:spacing w:val="-3"/>
          <w:szCs w:val="22"/>
          <w:lang w:val="es-ES_tradnl"/>
        </w:rPr>
      </w:pPr>
      <w:r>
        <w:rPr>
          <w:color w:val="000000"/>
          <w:spacing w:val="-3"/>
          <w:szCs w:val="22"/>
          <w:lang w:val="es-ES_tradnl"/>
        </w:rPr>
        <w:t>-</w:t>
      </w:r>
      <w:r>
        <w:rPr>
          <w:color w:val="000000"/>
          <w:spacing w:val="-3"/>
          <w:szCs w:val="22"/>
          <w:lang w:val="es-ES_tradnl"/>
        </w:rPr>
        <w:tab/>
        <w:t>Ibandrono rūgšties tabletę gerkie:</w:t>
      </w:r>
    </w:p>
    <w:p w:rsidR="00104000" w:rsidRDefault="00104000" w:rsidP="00383225">
      <w:pPr>
        <w:tabs>
          <w:tab w:val="clear" w:pos="567"/>
          <w:tab w:val="left" w:pos="851"/>
        </w:tabs>
        <w:autoSpaceDE w:val="0"/>
        <w:autoSpaceDN w:val="0"/>
        <w:adjustRightInd w:val="0"/>
        <w:spacing w:line="240" w:lineRule="auto"/>
        <w:ind w:left="567" w:hanging="567"/>
        <w:rPr>
          <w:color w:val="000000"/>
          <w:spacing w:val="-3"/>
          <w:szCs w:val="22"/>
          <w:lang w:val="es-ES_tradnl"/>
        </w:rPr>
      </w:pPr>
      <w:r>
        <w:rPr>
          <w:color w:val="000000"/>
          <w:spacing w:val="-3"/>
          <w:szCs w:val="22"/>
          <w:lang w:val="es-ES_tradnl"/>
        </w:rPr>
        <w:tab/>
        <w:t>-</w:t>
      </w:r>
      <w:r>
        <w:rPr>
          <w:color w:val="000000"/>
          <w:spacing w:val="-3"/>
          <w:szCs w:val="22"/>
          <w:lang w:val="es-ES_tradnl"/>
        </w:rPr>
        <w:tab/>
      </w:r>
      <w:r w:rsidRPr="00383225">
        <w:rPr>
          <w:b/>
          <w:color w:val="000000"/>
          <w:spacing w:val="-3"/>
          <w:szCs w:val="22"/>
          <w:lang w:val="es-ES_tradnl"/>
        </w:rPr>
        <w:t>iš karto tik atsikėlę</w:t>
      </w:r>
      <w:r>
        <w:rPr>
          <w:color w:val="000000"/>
          <w:spacing w:val="-3"/>
          <w:szCs w:val="22"/>
          <w:lang w:val="es-ES_tradnl"/>
        </w:rPr>
        <w:t xml:space="preserve"> ryte ir</w:t>
      </w:r>
    </w:p>
    <w:p w:rsidR="00104000" w:rsidRDefault="00104000" w:rsidP="00383225">
      <w:pPr>
        <w:tabs>
          <w:tab w:val="clear" w:pos="567"/>
          <w:tab w:val="left" w:pos="851"/>
        </w:tabs>
        <w:autoSpaceDE w:val="0"/>
        <w:autoSpaceDN w:val="0"/>
        <w:adjustRightInd w:val="0"/>
        <w:spacing w:line="240" w:lineRule="auto"/>
        <w:ind w:left="567" w:hanging="567"/>
        <w:rPr>
          <w:color w:val="000000"/>
          <w:spacing w:val="-3"/>
          <w:szCs w:val="22"/>
          <w:lang w:val="es-ES_tradnl"/>
        </w:rPr>
      </w:pPr>
      <w:r>
        <w:rPr>
          <w:color w:val="000000"/>
          <w:spacing w:val="-3"/>
          <w:szCs w:val="22"/>
          <w:lang w:val="es-ES_tradnl"/>
        </w:rPr>
        <w:t>-</w:t>
      </w:r>
      <w:r>
        <w:rPr>
          <w:color w:val="000000"/>
          <w:spacing w:val="-3"/>
          <w:szCs w:val="22"/>
          <w:lang w:val="es-ES_tradnl"/>
        </w:rPr>
        <w:tab/>
      </w:r>
      <w:r>
        <w:rPr>
          <w:color w:val="000000"/>
          <w:spacing w:val="-3"/>
          <w:szCs w:val="22"/>
          <w:lang w:val="es-ES_tradnl"/>
        </w:rPr>
        <w:tab/>
      </w:r>
      <w:r w:rsidR="00540A01" w:rsidRPr="00383225">
        <w:rPr>
          <w:b/>
          <w:color w:val="000000"/>
          <w:spacing w:val="-3"/>
          <w:szCs w:val="22"/>
          <w:lang w:val="es-ES_tradnl"/>
        </w:rPr>
        <w:t>prieš ką nors geriant ar valgant</w:t>
      </w:r>
      <w:r w:rsidR="00540A01">
        <w:rPr>
          <w:color w:val="000000"/>
          <w:spacing w:val="-3"/>
          <w:szCs w:val="22"/>
          <w:lang w:val="es-ES_tradnl"/>
        </w:rPr>
        <w:t xml:space="preserve"> (kol skrandis tuščias)</w:t>
      </w:r>
    </w:p>
    <w:p w:rsidR="00540A01" w:rsidRDefault="00540A01" w:rsidP="00383225">
      <w:pPr>
        <w:tabs>
          <w:tab w:val="clear" w:pos="567"/>
          <w:tab w:val="left" w:pos="851"/>
        </w:tabs>
        <w:autoSpaceDE w:val="0"/>
        <w:autoSpaceDN w:val="0"/>
        <w:adjustRightInd w:val="0"/>
        <w:spacing w:line="240" w:lineRule="auto"/>
        <w:ind w:left="567" w:hanging="567"/>
        <w:rPr>
          <w:color w:val="000000"/>
          <w:spacing w:val="-3"/>
          <w:szCs w:val="22"/>
          <w:lang w:val="es-ES_tradnl"/>
        </w:rPr>
      </w:pPr>
    </w:p>
    <w:p w:rsidR="00540A01" w:rsidRPr="00383225" w:rsidRDefault="00540A01" w:rsidP="00383225">
      <w:pPr>
        <w:pStyle w:val="Sraopastraipa"/>
        <w:numPr>
          <w:ilvl w:val="0"/>
          <w:numId w:val="10"/>
        </w:numPr>
        <w:tabs>
          <w:tab w:val="clear" w:pos="360"/>
          <w:tab w:val="num" w:pos="567"/>
          <w:tab w:val="left" w:pos="851"/>
        </w:tabs>
        <w:autoSpaceDE w:val="0"/>
        <w:autoSpaceDN w:val="0"/>
        <w:adjustRightInd w:val="0"/>
        <w:spacing w:line="240" w:lineRule="auto"/>
        <w:ind w:left="567" w:hanging="567"/>
        <w:rPr>
          <w:color w:val="000000"/>
          <w:spacing w:val="-3"/>
          <w:szCs w:val="22"/>
          <w:lang w:val="es-ES_tradnl"/>
        </w:rPr>
      </w:pPr>
      <w:r>
        <w:rPr>
          <w:color w:val="000000"/>
          <w:spacing w:val="-3"/>
          <w:szCs w:val="22"/>
          <w:lang w:val="es-ES_tradnl"/>
        </w:rPr>
        <w:t xml:space="preserve">Nurykite tabletę užgerdami pilna avandens stikline (mažiausiai </w:t>
      </w:r>
      <w:r>
        <w:rPr>
          <w:szCs w:val="22"/>
          <w:lang w:val="en-US" w:eastAsia="zh-CN"/>
        </w:rPr>
        <w:t>180 ml).</w:t>
      </w:r>
    </w:p>
    <w:p w:rsidR="00540A01" w:rsidRDefault="00540A01" w:rsidP="00383225">
      <w:pPr>
        <w:rPr>
          <w:color w:val="000000"/>
          <w:spacing w:val="-3"/>
          <w:szCs w:val="22"/>
          <w:lang w:val="es-ES_tradnl"/>
        </w:rPr>
      </w:pPr>
    </w:p>
    <w:p w:rsidR="00540A01" w:rsidRPr="00540A01" w:rsidRDefault="00540A01" w:rsidP="00383225">
      <w:pPr>
        <w:rPr>
          <w:lang w:val="lt-LT"/>
        </w:rPr>
      </w:pPr>
      <w:r w:rsidRPr="00383225">
        <w:rPr>
          <w:b/>
          <w:color w:val="000000"/>
          <w:spacing w:val="-3"/>
          <w:szCs w:val="22"/>
          <w:lang w:val="es-ES_tradnl"/>
        </w:rPr>
        <w:t>Neužgerkite</w:t>
      </w:r>
      <w:r w:rsidRPr="00540A01">
        <w:rPr>
          <w:color w:val="000000"/>
          <w:spacing w:val="-3"/>
          <w:szCs w:val="22"/>
          <w:lang w:val="es-ES_tradnl"/>
        </w:rPr>
        <w:t xml:space="preserve"> tabletės vandeniu, kuriame yra didelė kalcio koncentracija, vaisių sultimis ar kitais gėrimais. </w:t>
      </w:r>
      <w:r w:rsidRPr="00540A01">
        <w:rPr>
          <w:lang w:val="lt-LT"/>
        </w:rPr>
        <w:t xml:space="preserve">Jei manote, kad vandentiekio vandenyje yra didelis kalcio kiekis (kietas vanduo), patartina vartoti vandenį su sumažintu mineralų kiekiu iš butelių. </w:t>
      </w:r>
    </w:p>
    <w:p w:rsidR="00354B1A" w:rsidRDefault="00354B1A" w:rsidP="00383225">
      <w:pPr>
        <w:tabs>
          <w:tab w:val="clear" w:pos="567"/>
        </w:tabs>
        <w:autoSpaceDE w:val="0"/>
        <w:autoSpaceDN w:val="0"/>
        <w:adjustRightInd w:val="0"/>
        <w:spacing w:line="240" w:lineRule="auto"/>
        <w:rPr>
          <w:color w:val="000000"/>
          <w:spacing w:val="-3"/>
          <w:szCs w:val="22"/>
          <w:lang w:val="es-ES_tradnl"/>
        </w:rPr>
      </w:pPr>
    </w:p>
    <w:p w:rsidR="00ED67AE" w:rsidRDefault="00ED67AE" w:rsidP="00ED67AE">
      <w:pPr>
        <w:autoSpaceDE w:val="0"/>
        <w:autoSpaceDN w:val="0"/>
        <w:adjustRightInd w:val="0"/>
        <w:spacing w:line="240" w:lineRule="auto"/>
        <w:ind w:left="567" w:hanging="567"/>
        <w:rPr>
          <w:color w:val="000000"/>
          <w:spacing w:val="-2"/>
          <w:szCs w:val="22"/>
          <w:lang w:val="nb-NO"/>
        </w:rPr>
      </w:pPr>
      <w:r w:rsidRPr="00057C65">
        <w:rPr>
          <w:szCs w:val="22"/>
          <w:lang w:val="nb-NO"/>
        </w:rPr>
        <w:t>-</w:t>
      </w:r>
      <w:r w:rsidRPr="00057C65">
        <w:rPr>
          <w:szCs w:val="22"/>
          <w:lang w:val="nb-NO"/>
        </w:rPr>
        <w:tab/>
      </w:r>
      <w:r w:rsidRPr="00057C65">
        <w:rPr>
          <w:b/>
          <w:color w:val="000000"/>
          <w:spacing w:val="-2"/>
          <w:szCs w:val="22"/>
          <w:lang w:val="nb-NO"/>
        </w:rPr>
        <w:t>Nurykite visą tabletę</w:t>
      </w:r>
      <w:r w:rsidRPr="00057C65">
        <w:rPr>
          <w:color w:val="000000"/>
          <w:spacing w:val="-2"/>
          <w:szCs w:val="22"/>
          <w:lang w:val="nb-NO"/>
        </w:rPr>
        <w:t xml:space="preserve"> – nekramtykite, nesmulkinkite ir neleiskite jai ištirpti burnoje.</w:t>
      </w:r>
    </w:p>
    <w:p w:rsidR="00354B1A" w:rsidRDefault="00354B1A" w:rsidP="00ED67AE">
      <w:pPr>
        <w:autoSpaceDE w:val="0"/>
        <w:autoSpaceDN w:val="0"/>
        <w:adjustRightInd w:val="0"/>
        <w:spacing w:line="240" w:lineRule="auto"/>
        <w:ind w:left="567" w:hanging="567"/>
        <w:rPr>
          <w:color w:val="000000"/>
          <w:spacing w:val="-2"/>
          <w:szCs w:val="22"/>
          <w:lang w:val="nb-NO"/>
        </w:rPr>
      </w:pPr>
    </w:p>
    <w:p w:rsidR="00ED67AE" w:rsidRPr="00077F56" w:rsidRDefault="00ED67AE" w:rsidP="00ED67AE">
      <w:pPr>
        <w:widowControl w:val="0"/>
        <w:numPr>
          <w:ilvl w:val="0"/>
          <w:numId w:val="9"/>
        </w:numPr>
        <w:autoSpaceDE w:val="0"/>
        <w:autoSpaceDN w:val="0"/>
        <w:adjustRightInd w:val="0"/>
        <w:ind w:hanging="720"/>
        <w:rPr>
          <w:szCs w:val="22"/>
          <w:lang w:val="nb-NO"/>
        </w:rPr>
      </w:pPr>
      <w:r w:rsidRPr="004A4415">
        <w:rPr>
          <w:color w:val="000000"/>
          <w:spacing w:val="-3"/>
          <w:szCs w:val="22"/>
          <w:lang w:val="nb-NO"/>
        </w:rPr>
        <w:t xml:space="preserve">Išgėrę tabletę </w:t>
      </w:r>
      <w:r w:rsidRPr="004A4415">
        <w:rPr>
          <w:b/>
          <w:color w:val="000000"/>
          <w:spacing w:val="-3"/>
          <w:szCs w:val="22"/>
          <w:lang w:val="nb-NO"/>
        </w:rPr>
        <w:t>dar vieną valandą (60 minučių)</w:t>
      </w:r>
      <w:r w:rsidRPr="00077F56">
        <w:rPr>
          <w:szCs w:val="22"/>
          <w:lang w:val="nb-NO"/>
        </w:rPr>
        <w:t xml:space="preserve"> </w:t>
      </w:r>
    </w:p>
    <w:p w:rsidR="00ED67AE" w:rsidRPr="00077F56" w:rsidRDefault="00ED67AE" w:rsidP="00ED67AE">
      <w:pPr>
        <w:widowControl w:val="0"/>
        <w:autoSpaceDE w:val="0"/>
        <w:autoSpaceDN w:val="0"/>
        <w:adjustRightInd w:val="0"/>
        <w:ind w:left="720"/>
        <w:rPr>
          <w:szCs w:val="22"/>
          <w:lang w:val="nb-NO"/>
        </w:rPr>
      </w:pPr>
      <w:r w:rsidRPr="00077F56">
        <w:rPr>
          <w:szCs w:val="22"/>
          <w:lang w:val="nb-NO"/>
        </w:rPr>
        <w:t>-</w:t>
      </w:r>
      <w:r w:rsidRPr="00077F56">
        <w:rPr>
          <w:b/>
          <w:szCs w:val="22"/>
          <w:lang w:val="nb-NO"/>
        </w:rPr>
        <w:t xml:space="preserve"> </w:t>
      </w:r>
      <w:r w:rsidRPr="00077F56">
        <w:rPr>
          <w:b/>
          <w:color w:val="000000"/>
          <w:spacing w:val="-2"/>
          <w:szCs w:val="22"/>
          <w:lang w:val="nb-NO"/>
        </w:rPr>
        <w:t>nesigulkite</w:t>
      </w:r>
      <w:r w:rsidRPr="00077F56">
        <w:rPr>
          <w:color w:val="000000"/>
          <w:spacing w:val="-2"/>
          <w:szCs w:val="22"/>
          <w:lang w:val="nb-NO"/>
        </w:rPr>
        <w:t xml:space="preserve">; turite būti vertikalioje padėtyje (stovėti ar sėdėti), kad dalis vaisto nepatektų </w:t>
      </w:r>
      <w:r w:rsidRPr="00077F56">
        <w:rPr>
          <w:color w:val="000000"/>
          <w:spacing w:val="-3"/>
          <w:szCs w:val="22"/>
          <w:lang w:val="nb-NO"/>
        </w:rPr>
        <w:t>atgal į stemplę;</w:t>
      </w:r>
      <w:r w:rsidRPr="00077F56">
        <w:rPr>
          <w:szCs w:val="22"/>
          <w:lang w:val="nb-NO"/>
        </w:rPr>
        <w:t xml:space="preserve"> </w:t>
      </w:r>
    </w:p>
    <w:p w:rsidR="00ED67AE" w:rsidRPr="002A6F9A" w:rsidRDefault="00802C29" w:rsidP="00ED67AE">
      <w:pPr>
        <w:autoSpaceDE w:val="0"/>
        <w:autoSpaceDN w:val="0"/>
        <w:adjustRightInd w:val="0"/>
        <w:spacing w:line="240" w:lineRule="auto"/>
        <w:ind w:left="426"/>
        <w:rPr>
          <w:lang w:val="en-US" w:eastAsia="zh-CN"/>
        </w:rPr>
      </w:pPr>
      <w:r w:rsidRPr="00383225">
        <w:rPr>
          <w:noProof/>
          <w:lang w:val="lt-LT" w:eastAsia="lt-LT"/>
        </w:rPr>
        <w:drawing>
          <wp:inline distT="0" distB="0" distL="0" distR="0">
            <wp:extent cx="8286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p w:rsidR="00ED67AE" w:rsidRPr="00077F56" w:rsidRDefault="00ED67AE" w:rsidP="00ED67AE">
      <w:pPr>
        <w:widowControl w:val="0"/>
        <w:autoSpaceDE w:val="0"/>
        <w:autoSpaceDN w:val="0"/>
        <w:adjustRightInd w:val="0"/>
        <w:ind w:left="1120" w:hanging="560"/>
        <w:rPr>
          <w:szCs w:val="22"/>
          <w:lang w:val="en-US"/>
        </w:rPr>
      </w:pPr>
      <w:r w:rsidRPr="00077F56">
        <w:rPr>
          <w:szCs w:val="22"/>
          <w:lang w:val="en-US"/>
        </w:rPr>
        <w:t>-</w:t>
      </w:r>
      <w:r w:rsidRPr="00077F56">
        <w:rPr>
          <w:b/>
          <w:szCs w:val="22"/>
          <w:lang w:val="en-US"/>
        </w:rPr>
        <w:t xml:space="preserve"> </w:t>
      </w:r>
      <w:proofErr w:type="gramStart"/>
      <w:r w:rsidRPr="00A9381A">
        <w:rPr>
          <w:b/>
          <w:color w:val="000000"/>
          <w:spacing w:val="-3"/>
          <w:lang w:val="nb-NO"/>
        </w:rPr>
        <w:t>nieko</w:t>
      </w:r>
      <w:proofErr w:type="gramEnd"/>
      <w:r w:rsidRPr="00A9381A">
        <w:rPr>
          <w:b/>
          <w:color w:val="000000"/>
          <w:spacing w:val="-3"/>
          <w:lang w:val="nb-NO"/>
        </w:rPr>
        <w:t xml:space="preserve"> nevalgykite;</w:t>
      </w:r>
      <w:r w:rsidRPr="00077F56">
        <w:rPr>
          <w:b/>
          <w:szCs w:val="22"/>
          <w:lang w:val="en-US"/>
        </w:rPr>
        <w:t xml:space="preserve"> </w:t>
      </w:r>
    </w:p>
    <w:p w:rsidR="00ED67AE" w:rsidRPr="00057C65" w:rsidRDefault="00802C29" w:rsidP="00ED67AE">
      <w:pPr>
        <w:autoSpaceDE w:val="0"/>
        <w:autoSpaceDN w:val="0"/>
        <w:adjustRightInd w:val="0"/>
        <w:spacing w:line="240" w:lineRule="auto"/>
        <w:ind w:left="426"/>
        <w:rPr>
          <w:lang w:val="es-ES_tradnl" w:eastAsia="zh-CN"/>
        </w:rPr>
      </w:pPr>
      <w:r>
        <w:rPr>
          <w:noProof/>
          <w:lang w:val="lt-LT" w:eastAsia="lt-LT"/>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866775" cy="781050"/>
            <wp:effectExtent l="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67AE" w:rsidRPr="00057C65" w:rsidRDefault="00ED67AE" w:rsidP="00ED67AE">
      <w:pPr>
        <w:autoSpaceDE w:val="0"/>
        <w:autoSpaceDN w:val="0"/>
        <w:adjustRightInd w:val="0"/>
        <w:spacing w:line="240" w:lineRule="auto"/>
        <w:rPr>
          <w:lang w:val="es-ES_tradnl" w:eastAsia="zh-CN"/>
        </w:rPr>
      </w:pPr>
    </w:p>
    <w:p w:rsidR="00ED67AE" w:rsidRPr="00057C65" w:rsidRDefault="00ED67AE" w:rsidP="00ED67AE">
      <w:pPr>
        <w:autoSpaceDE w:val="0"/>
        <w:autoSpaceDN w:val="0"/>
        <w:adjustRightInd w:val="0"/>
        <w:spacing w:line="240" w:lineRule="auto"/>
        <w:rPr>
          <w:lang w:val="es-ES_tradnl" w:eastAsia="zh-CN"/>
        </w:rPr>
      </w:pPr>
    </w:p>
    <w:p w:rsidR="00ED67AE" w:rsidRPr="00057C65" w:rsidRDefault="00ED67AE" w:rsidP="00ED67AE">
      <w:pPr>
        <w:autoSpaceDE w:val="0"/>
        <w:autoSpaceDN w:val="0"/>
        <w:adjustRightInd w:val="0"/>
        <w:spacing w:line="240" w:lineRule="auto"/>
        <w:rPr>
          <w:lang w:val="es-ES_tradnl" w:eastAsia="zh-CN"/>
        </w:rPr>
      </w:pPr>
    </w:p>
    <w:p w:rsidR="00ED67AE" w:rsidRDefault="00ED67AE" w:rsidP="00ED67AE">
      <w:pPr>
        <w:autoSpaceDE w:val="0"/>
        <w:autoSpaceDN w:val="0"/>
        <w:adjustRightInd w:val="0"/>
        <w:spacing w:line="240" w:lineRule="auto"/>
        <w:rPr>
          <w:lang w:val="es-ES_tradnl" w:eastAsia="zh-CN"/>
        </w:rPr>
      </w:pPr>
    </w:p>
    <w:p w:rsidR="00ED67AE" w:rsidRPr="00077F56" w:rsidRDefault="00ED67AE" w:rsidP="00ED67AE">
      <w:pPr>
        <w:widowControl w:val="0"/>
        <w:autoSpaceDE w:val="0"/>
        <w:autoSpaceDN w:val="0"/>
        <w:adjustRightInd w:val="0"/>
        <w:ind w:left="1120" w:hanging="560"/>
        <w:rPr>
          <w:szCs w:val="22"/>
          <w:lang w:val="en-US"/>
        </w:rPr>
      </w:pPr>
      <w:r w:rsidRPr="00077F56">
        <w:rPr>
          <w:szCs w:val="22"/>
          <w:lang w:val="en-US"/>
        </w:rPr>
        <w:t>-</w:t>
      </w:r>
      <w:r w:rsidRPr="00077F56">
        <w:rPr>
          <w:b/>
          <w:szCs w:val="22"/>
          <w:lang w:val="en-US"/>
        </w:rPr>
        <w:t xml:space="preserve"> </w:t>
      </w:r>
      <w:proofErr w:type="gramStart"/>
      <w:r w:rsidRPr="004A4415">
        <w:rPr>
          <w:b/>
          <w:color w:val="000000"/>
          <w:spacing w:val="-3"/>
          <w:szCs w:val="22"/>
          <w:lang w:val="nb-NO"/>
        </w:rPr>
        <w:t>nieko</w:t>
      </w:r>
      <w:proofErr w:type="gramEnd"/>
      <w:r w:rsidRPr="004A4415">
        <w:rPr>
          <w:b/>
          <w:color w:val="000000"/>
          <w:spacing w:val="-3"/>
          <w:szCs w:val="22"/>
          <w:lang w:val="nb-NO"/>
        </w:rPr>
        <w:t xml:space="preserve"> negerkite</w:t>
      </w:r>
      <w:r w:rsidRPr="004A4415">
        <w:rPr>
          <w:color w:val="000000"/>
          <w:spacing w:val="-3"/>
          <w:szCs w:val="22"/>
          <w:lang w:val="nb-NO"/>
        </w:rPr>
        <w:t xml:space="preserve"> (išskyrus paprastą vandenį, jei reikia);</w:t>
      </w:r>
      <w:r w:rsidRPr="00077F56">
        <w:rPr>
          <w:szCs w:val="22"/>
          <w:lang w:val="en-US"/>
        </w:rPr>
        <w:t xml:space="preserve"> </w:t>
      </w:r>
    </w:p>
    <w:p w:rsidR="00ED67AE" w:rsidRPr="00077F56" w:rsidRDefault="00ED67AE" w:rsidP="00ED67AE">
      <w:pPr>
        <w:widowControl w:val="0"/>
        <w:autoSpaceDE w:val="0"/>
        <w:autoSpaceDN w:val="0"/>
        <w:adjustRightInd w:val="0"/>
        <w:ind w:left="1120" w:hanging="560"/>
        <w:rPr>
          <w:szCs w:val="22"/>
          <w:lang w:val="en-US"/>
        </w:rPr>
      </w:pPr>
      <w:r w:rsidRPr="00077F56">
        <w:rPr>
          <w:szCs w:val="22"/>
          <w:lang w:val="en-US"/>
        </w:rPr>
        <w:t>-</w:t>
      </w:r>
      <w:r w:rsidRPr="00077F56">
        <w:rPr>
          <w:b/>
          <w:szCs w:val="22"/>
          <w:lang w:val="en-US"/>
        </w:rPr>
        <w:t xml:space="preserve"> </w:t>
      </w:r>
      <w:proofErr w:type="gramStart"/>
      <w:r w:rsidRPr="00077F56">
        <w:rPr>
          <w:b/>
          <w:color w:val="000000"/>
          <w:spacing w:val="-3"/>
          <w:szCs w:val="22"/>
          <w:lang w:val="en-US"/>
        </w:rPr>
        <w:t>nevartokite</w:t>
      </w:r>
      <w:proofErr w:type="gramEnd"/>
      <w:r w:rsidRPr="00077F56">
        <w:rPr>
          <w:b/>
          <w:color w:val="000000"/>
          <w:spacing w:val="-3"/>
          <w:szCs w:val="22"/>
          <w:lang w:val="en-US"/>
        </w:rPr>
        <w:t xml:space="preserve"> jokių kitų vaistų.</w:t>
      </w:r>
      <w:r w:rsidRPr="00077F56">
        <w:rPr>
          <w:b/>
          <w:szCs w:val="22"/>
          <w:lang w:val="en-US"/>
        </w:rPr>
        <w:t xml:space="preserve"> </w:t>
      </w:r>
    </w:p>
    <w:p w:rsidR="00ED67AE" w:rsidRPr="007E2511" w:rsidRDefault="00ED67AE" w:rsidP="00ED67AE">
      <w:pPr>
        <w:widowControl w:val="0"/>
        <w:autoSpaceDE w:val="0"/>
        <w:autoSpaceDN w:val="0"/>
        <w:adjustRightInd w:val="0"/>
        <w:ind w:left="540" w:hanging="540"/>
        <w:rPr>
          <w:szCs w:val="22"/>
          <w:lang w:val="fr-FR"/>
        </w:rPr>
      </w:pPr>
      <w:r w:rsidRPr="00077F56">
        <w:rPr>
          <w:szCs w:val="22"/>
          <w:lang w:val="en-US"/>
        </w:rPr>
        <w:t>-</w:t>
      </w:r>
      <w:r w:rsidRPr="00077F56">
        <w:rPr>
          <w:szCs w:val="22"/>
          <w:lang w:val="en-US"/>
        </w:rPr>
        <w:tab/>
      </w:r>
      <w:smartTag w:uri="urn:schemas-microsoft-com:office:smarttags" w:element="place">
        <w:r w:rsidRPr="00077F56">
          <w:rPr>
            <w:color w:val="000000"/>
            <w:spacing w:val="-2"/>
            <w:szCs w:val="22"/>
            <w:lang w:val="en-US"/>
          </w:rPr>
          <w:t>Po</w:t>
        </w:r>
      </w:smartTag>
      <w:r w:rsidRPr="00077F56">
        <w:rPr>
          <w:color w:val="000000"/>
          <w:spacing w:val="-2"/>
          <w:szCs w:val="22"/>
          <w:lang w:val="en-US"/>
        </w:rPr>
        <w:t xml:space="preserve"> valandos Jūs galite pirmą kartą tą dieną pavalgyti ir atsigerti.</w:t>
      </w:r>
      <w:r w:rsidRPr="00077F56">
        <w:rPr>
          <w:szCs w:val="22"/>
          <w:lang w:val="en-US"/>
        </w:rPr>
        <w:t xml:space="preserve"> </w:t>
      </w:r>
      <w:r w:rsidRPr="004A4415">
        <w:rPr>
          <w:color w:val="000000"/>
          <w:spacing w:val="-2"/>
          <w:szCs w:val="22"/>
          <w:lang w:val="nb-NO"/>
        </w:rPr>
        <w:t xml:space="preserve">Pavalgę galite atsigulti, jei </w:t>
      </w:r>
      <w:r w:rsidRPr="004A4415">
        <w:rPr>
          <w:color w:val="000000"/>
          <w:spacing w:val="-4"/>
          <w:szCs w:val="22"/>
          <w:lang w:val="nb-NO"/>
        </w:rPr>
        <w:t>norite, ar vartoti kitus būtinus vaistus.</w:t>
      </w:r>
      <w:r w:rsidRPr="007E2511">
        <w:rPr>
          <w:szCs w:val="22"/>
          <w:lang w:val="fr-FR"/>
        </w:rPr>
        <w:t xml:space="preserve"> </w:t>
      </w:r>
    </w:p>
    <w:p w:rsidR="00ED67AE" w:rsidRDefault="00ED67AE" w:rsidP="00ED67AE">
      <w:pPr>
        <w:widowControl w:val="0"/>
        <w:autoSpaceDE w:val="0"/>
        <w:autoSpaceDN w:val="0"/>
        <w:adjustRightInd w:val="0"/>
        <w:rPr>
          <w:color w:val="000000"/>
          <w:spacing w:val="-4"/>
          <w:szCs w:val="22"/>
          <w:lang w:val="nb-NO"/>
        </w:rPr>
      </w:pPr>
    </w:p>
    <w:p w:rsidR="00ED67AE" w:rsidRPr="00077F56" w:rsidRDefault="00ED67AE" w:rsidP="00ED67AE">
      <w:pPr>
        <w:widowControl w:val="0"/>
        <w:autoSpaceDE w:val="0"/>
        <w:autoSpaceDN w:val="0"/>
        <w:adjustRightInd w:val="0"/>
        <w:rPr>
          <w:szCs w:val="22"/>
          <w:lang w:val="nb-NO"/>
        </w:rPr>
      </w:pPr>
      <w:r w:rsidRPr="004A4415">
        <w:rPr>
          <w:color w:val="000000"/>
          <w:spacing w:val="-4"/>
          <w:szCs w:val="22"/>
          <w:lang w:val="nb-NO"/>
        </w:rPr>
        <w:t xml:space="preserve">Tabletės </w:t>
      </w:r>
      <w:r w:rsidRPr="004A4415">
        <w:rPr>
          <w:b/>
          <w:color w:val="000000"/>
          <w:spacing w:val="-4"/>
          <w:szCs w:val="22"/>
          <w:lang w:val="nb-NO"/>
        </w:rPr>
        <w:t>negerkite</w:t>
      </w:r>
      <w:r w:rsidRPr="004A4415">
        <w:rPr>
          <w:color w:val="000000"/>
          <w:spacing w:val="-4"/>
          <w:szCs w:val="22"/>
          <w:lang w:val="nb-NO"/>
        </w:rPr>
        <w:t xml:space="preserve"> eidami miegoti ar nepasirengę keltis.</w:t>
      </w:r>
      <w:r w:rsidRPr="00077F56">
        <w:rPr>
          <w:szCs w:val="22"/>
          <w:lang w:val="nb-NO"/>
        </w:rPr>
        <w:t xml:space="preserve"> </w:t>
      </w:r>
    </w:p>
    <w:p w:rsidR="00354B1A" w:rsidRDefault="00354B1A" w:rsidP="00ED67AE">
      <w:pPr>
        <w:widowControl w:val="0"/>
        <w:autoSpaceDE w:val="0"/>
        <w:autoSpaceDN w:val="0"/>
        <w:adjustRightInd w:val="0"/>
        <w:ind w:left="560" w:hanging="560"/>
        <w:rPr>
          <w:b/>
          <w:color w:val="000000"/>
          <w:spacing w:val="-4"/>
          <w:szCs w:val="22"/>
        </w:rPr>
      </w:pPr>
    </w:p>
    <w:p w:rsidR="00ED67AE" w:rsidRPr="00077F56" w:rsidRDefault="00ED67AE" w:rsidP="00ED67AE">
      <w:pPr>
        <w:widowControl w:val="0"/>
        <w:autoSpaceDE w:val="0"/>
        <w:autoSpaceDN w:val="0"/>
        <w:adjustRightInd w:val="0"/>
        <w:ind w:left="560" w:hanging="560"/>
        <w:rPr>
          <w:szCs w:val="22"/>
        </w:rPr>
      </w:pPr>
      <w:r w:rsidRPr="00077F56">
        <w:rPr>
          <w:b/>
          <w:color w:val="000000"/>
          <w:spacing w:val="-4"/>
          <w:szCs w:val="22"/>
        </w:rPr>
        <w:t>Ibandronic acid Actavis 150 mg vartojimo trukmė</w:t>
      </w:r>
      <w:r w:rsidRPr="00077F56">
        <w:rPr>
          <w:b/>
          <w:szCs w:val="22"/>
        </w:rPr>
        <w:t xml:space="preserve"> </w:t>
      </w:r>
    </w:p>
    <w:p w:rsidR="00ED67AE" w:rsidRPr="00077F56" w:rsidRDefault="00ED67AE" w:rsidP="00ED67AE">
      <w:pPr>
        <w:widowControl w:val="0"/>
        <w:autoSpaceDE w:val="0"/>
        <w:autoSpaceDN w:val="0"/>
        <w:adjustRightInd w:val="0"/>
        <w:rPr>
          <w:szCs w:val="22"/>
        </w:rPr>
      </w:pPr>
      <w:r w:rsidRPr="00077F56">
        <w:rPr>
          <w:color w:val="000000"/>
          <w:spacing w:val="-4"/>
          <w:szCs w:val="22"/>
        </w:rPr>
        <w:t xml:space="preserve">Svarbu vartoti Ibandronic acid Actavis 150 mg </w:t>
      </w:r>
      <w:r w:rsidRPr="00077F56">
        <w:rPr>
          <w:b/>
          <w:color w:val="000000"/>
          <w:spacing w:val="-4"/>
          <w:szCs w:val="22"/>
        </w:rPr>
        <w:t>kas mėnesį</w:t>
      </w:r>
      <w:r w:rsidRPr="00077F56">
        <w:rPr>
          <w:color w:val="000000"/>
          <w:spacing w:val="-4"/>
          <w:szCs w:val="22"/>
        </w:rPr>
        <w:t xml:space="preserve"> tiek laiko, kiek paskiria gydytojas.</w:t>
      </w:r>
      <w:r w:rsidRPr="00077F56">
        <w:rPr>
          <w:b/>
          <w:szCs w:val="22"/>
        </w:rPr>
        <w:t xml:space="preserve"> </w:t>
      </w:r>
      <w:r w:rsidR="008C2E38">
        <w:rPr>
          <w:color w:val="000000"/>
          <w:spacing w:val="-3"/>
          <w:szCs w:val="22"/>
        </w:rPr>
        <w:t>Po penkerių</w:t>
      </w:r>
      <w:r w:rsidR="00354B1A">
        <w:rPr>
          <w:color w:val="000000"/>
          <w:spacing w:val="-3"/>
          <w:szCs w:val="22"/>
        </w:rPr>
        <w:t xml:space="preserve"> ibandrono rūgšties vartojimo </w:t>
      </w:r>
      <w:r w:rsidR="008C2E38">
        <w:rPr>
          <w:color w:val="000000"/>
          <w:spacing w:val="-3"/>
          <w:szCs w:val="22"/>
        </w:rPr>
        <w:t xml:space="preserve">metų </w:t>
      </w:r>
      <w:r w:rsidR="00354B1A">
        <w:rPr>
          <w:color w:val="000000"/>
          <w:spacing w:val="-3"/>
          <w:szCs w:val="22"/>
        </w:rPr>
        <w:t xml:space="preserve">pasikonsultuokite su gydytojui </w:t>
      </w:r>
      <w:proofErr w:type="gramStart"/>
      <w:r w:rsidR="00354B1A">
        <w:rPr>
          <w:color w:val="000000"/>
          <w:spacing w:val="-3"/>
          <w:szCs w:val="22"/>
        </w:rPr>
        <w:t>dėl</w:t>
      </w:r>
      <w:proofErr w:type="gramEnd"/>
      <w:r w:rsidR="00354B1A">
        <w:rPr>
          <w:color w:val="000000"/>
          <w:spacing w:val="-3"/>
          <w:szCs w:val="22"/>
        </w:rPr>
        <w:t xml:space="preserve"> gydymo pratęsimo.</w:t>
      </w:r>
    </w:p>
    <w:p w:rsidR="00ED67AE" w:rsidRPr="00077F56" w:rsidRDefault="00ED67AE" w:rsidP="00ED67AE">
      <w:pPr>
        <w:autoSpaceDE w:val="0"/>
        <w:autoSpaceDN w:val="0"/>
        <w:adjustRightInd w:val="0"/>
        <w:spacing w:line="240" w:lineRule="auto"/>
        <w:rPr>
          <w:lang w:eastAsia="zh-CN"/>
        </w:rPr>
      </w:pPr>
    </w:p>
    <w:p w:rsidR="00ED67AE" w:rsidRPr="00CD6267" w:rsidRDefault="00354B1A" w:rsidP="00ED67AE">
      <w:pPr>
        <w:rPr>
          <w:b/>
          <w:szCs w:val="22"/>
          <w:lang w:val="lt-LT"/>
        </w:rPr>
      </w:pPr>
      <w:r>
        <w:rPr>
          <w:b/>
          <w:szCs w:val="22"/>
          <w:lang w:val="lt-LT"/>
        </w:rPr>
        <w:t>Ką daryti p</w:t>
      </w:r>
      <w:r w:rsidR="00ED67AE" w:rsidRPr="00CD6267">
        <w:rPr>
          <w:b/>
          <w:szCs w:val="22"/>
          <w:lang w:val="lt-LT"/>
        </w:rPr>
        <w:t xml:space="preserve">avartojus per didelę </w:t>
      </w:r>
      <w:r w:rsidR="00ED67AE">
        <w:rPr>
          <w:b/>
          <w:lang w:val="en-US" w:eastAsia="zh-CN"/>
        </w:rPr>
        <w:t>Ibandronic acid Actavis</w:t>
      </w:r>
      <w:r w:rsidR="00ED67AE" w:rsidRPr="00CD6267">
        <w:rPr>
          <w:b/>
          <w:szCs w:val="22"/>
          <w:lang w:val="lt-LT"/>
        </w:rPr>
        <w:t xml:space="preserve"> </w:t>
      </w:r>
      <w:r w:rsidR="00ED67AE">
        <w:rPr>
          <w:b/>
          <w:szCs w:val="22"/>
          <w:lang w:val="lt-LT"/>
        </w:rPr>
        <w:t xml:space="preserve">150 mg </w:t>
      </w:r>
      <w:r w:rsidR="00ED67AE" w:rsidRPr="00CD6267">
        <w:rPr>
          <w:b/>
          <w:szCs w:val="22"/>
          <w:lang w:val="lt-LT"/>
        </w:rPr>
        <w:t>dozę</w:t>
      </w:r>
      <w:r>
        <w:rPr>
          <w:b/>
          <w:szCs w:val="22"/>
          <w:lang w:val="lt-LT"/>
        </w:rPr>
        <w:t>?</w:t>
      </w:r>
    </w:p>
    <w:p w:rsidR="00ED67AE" w:rsidRPr="006C0572" w:rsidRDefault="00ED67AE" w:rsidP="00ED67AE">
      <w:pPr>
        <w:rPr>
          <w:szCs w:val="22"/>
          <w:lang w:val="lt-LT"/>
        </w:rPr>
      </w:pPr>
      <w:r w:rsidRPr="006C0572">
        <w:rPr>
          <w:szCs w:val="22"/>
          <w:lang w:val="lt-LT"/>
        </w:rPr>
        <w:t xml:space="preserve">Jeigu per apsirikimą </w:t>
      </w:r>
      <w:r>
        <w:rPr>
          <w:szCs w:val="22"/>
          <w:lang w:val="lt-LT"/>
        </w:rPr>
        <w:t>pavartojote</w:t>
      </w:r>
      <w:r w:rsidRPr="006C0572">
        <w:rPr>
          <w:szCs w:val="22"/>
          <w:lang w:val="lt-LT"/>
        </w:rPr>
        <w:t xml:space="preserve"> per daug tablečių, </w:t>
      </w:r>
      <w:r w:rsidRPr="006C0572">
        <w:rPr>
          <w:b/>
          <w:szCs w:val="22"/>
          <w:lang w:val="lt-LT"/>
        </w:rPr>
        <w:t>išgerkite pilną stiklinę pieno ir nedelsdami kreipkitės į savo gydytoją.</w:t>
      </w:r>
      <w:r>
        <w:rPr>
          <w:szCs w:val="22"/>
          <w:lang w:val="lt-LT"/>
        </w:rPr>
        <w:t xml:space="preserve"> </w:t>
      </w:r>
    </w:p>
    <w:p w:rsidR="00ED67AE" w:rsidRDefault="00ED67AE" w:rsidP="00ED67AE">
      <w:pPr>
        <w:rPr>
          <w:b/>
          <w:szCs w:val="22"/>
          <w:lang w:val="lt-LT"/>
        </w:rPr>
      </w:pPr>
    </w:p>
    <w:p w:rsidR="00ED67AE" w:rsidRDefault="00ED67AE" w:rsidP="00ED67AE">
      <w:pPr>
        <w:rPr>
          <w:szCs w:val="22"/>
          <w:lang w:val="lt-LT"/>
        </w:rPr>
      </w:pPr>
      <w:r>
        <w:rPr>
          <w:b/>
          <w:szCs w:val="22"/>
          <w:lang w:val="lt-LT"/>
        </w:rPr>
        <w:t xml:space="preserve">Sau vėmimo nesukelkite ir neatsigulkite, </w:t>
      </w:r>
      <w:r>
        <w:rPr>
          <w:szCs w:val="22"/>
          <w:lang w:val="lt-LT"/>
        </w:rPr>
        <w:t xml:space="preserve">kadangi dėl to Ibandronic acid Actavis 150 mg gali dirginti Jūsų stemplę. </w:t>
      </w:r>
    </w:p>
    <w:p w:rsidR="00ED67AE" w:rsidRPr="006C0572" w:rsidRDefault="00ED67AE" w:rsidP="00ED67AE">
      <w:pPr>
        <w:rPr>
          <w:szCs w:val="22"/>
          <w:lang w:val="lt-LT"/>
        </w:rPr>
      </w:pPr>
    </w:p>
    <w:p w:rsidR="00ED67AE" w:rsidRPr="00077F56" w:rsidRDefault="00ED67AE" w:rsidP="00ED67AE">
      <w:pPr>
        <w:widowControl w:val="0"/>
        <w:autoSpaceDE w:val="0"/>
        <w:autoSpaceDN w:val="0"/>
        <w:adjustRightInd w:val="0"/>
        <w:ind w:left="560" w:hanging="560"/>
        <w:rPr>
          <w:szCs w:val="22"/>
          <w:lang w:val="lt-LT"/>
        </w:rPr>
      </w:pPr>
      <w:r w:rsidRPr="004A4415">
        <w:rPr>
          <w:b/>
          <w:color w:val="000000"/>
          <w:spacing w:val="-4"/>
          <w:szCs w:val="22"/>
          <w:lang w:val="lt-LT"/>
        </w:rPr>
        <w:t>Pamiršus pavartoti dozę</w:t>
      </w:r>
      <w:r w:rsidRPr="004A4415">
        <w:rPr>
          <w:b/>
          <w:szCs w:val="22"/>
          <w:lang w:val="lt-LT"/>
        </w:rPr>
        <w:t xml:space="preserve"> </w:t>
      </w:r>
    </w:p>
    <w:p w:rsidR="00ED67AE" w:rsidRPr="00354B1A" w:rsidRDefault="00ED67AE" w:rsidP="00383225">
      <w:pPr>
        <w:pStyle w:val="Sraopastraipa"/>
        <w:widowControl w:val="0"/>
        <w:numPr>
          <w:ilvl w:val="0"/>
          <w:numId w:val="9"/>
        </w:numPr>
        <w:autoSpaceDE w:val="0"/>
        <w:autoSpaceDN w:val="0"/>
        <w:adjustRightInd w:val="0"/>
        <w:ind w:left="567" w:hanging="567"/>
        <w:rPr>
          <w:szCs w:val="22"/>
          <w:lang w:val="lt-LT"/>
        </w:rPr>
      </w:pPr>
      <w:r w:rsidRPr="00383225">
        <w:rPr>
          <w:color w:val="000000"/>
          <w:spacing w:val="-3"/>
          <w:szCs w:val="22"/>
          <w:lang w:val="lt-LT"/>
        </w:rPr>
        <w:t xml:space="preserve">Pamiršus išgerti tabletę pasirinktos dienos rytą, </w:t>
      </w:r>
      <w:r w:rsidRPr="00383225">
        <w:rPr>
          <w:b/>
          <w:color w:val="000000"/>
          <w:spacing w:val="-3"/>
          <w:szCs w:val="22"/>
          <w:lang w:val="lt-LT"/>
        </w:rPr>
        <w:t>negalima</w:t>
      </w:r>
      <w:r w:rsidRPr="00383225">
        <w:rPr>
          <w:color w:val="000000"/>
          <w:spacing w:val="-3"/>
          <w:szCs w:val="22"/>
          <w:lang w:val="lt-LT"/>
        </w:rPr>
        <w:t xml:space="preserve"> </w:t>
      </w:r>
      <w:r w:rsidRPr="00383225">
        <w:rPr>
          <w:b/>
          <w:color w:val="000000"/>
          <w:spacing w:val="-3"/>
          <w:szCs w:val="22"/>
          <w:lang w:val="lt-LT"/>
        </w:rPr>
        <w:t>gerti tabletės tą dieną vėliau</w:t>
      </w:r>
      <w:r w:rsidRPr="00383225">
        <w:rPr>
          <w:color w:val="000000"/>
          <w:spacing w:val="-3"/>
          <w:szCs w:val="22"/>
          <w:lang w:val="lt-LT"/>
        </w:rPr>
        <w:t>.</w:t>
      </w:r>
      <w:r w:rsidRPr="00354B1A">
        <w:rPr>
          <w:szCs w:val="22"/>
          <w:lang w:val="lt-LT"/>
        </w:rPr>
        <w:t xml:space="preserve"> </w:t>
      </w:r>
      <w:r w:rsidRPr="00383225">
        <w:rPr>
          <w:color w:val="000000"/>
          <w:spacing w:val="-3"/>
          <w:szCs w:val="22"/>
          <w:lang w:val="lt-LT"/>
        </w:rPr>
        <w:t xml:space="preserve">Vietoj to, </w:t>
      </w:r>
      <w:r w:rsidRPr="00383225">
        <w:rPr>
          <w:color w:val="000000"/>
          <w:spacing w:val="-4"/>
          <w:szCs w:val="22"/>
          <w:lang w:val="lt-LT"/>
        </w:rPr>
        <w:t>pažiūrėkite į kalendorių, kada pagal planą reikės gerti kitą dozę.</w:t>
      </w:r>
      <w:r w:rsidRPr="00354B1A">
        <w:rPr>
          <w:b/>
          <w:szCs w:val="22"/>
          <w:lang w:val="lt-LT"/>
        </w:rPr>
        <w:t xml:space="preserve"> </w:t>
      </w:r>
    </w:p>
    <w:p w:rsidR="00ED67AE" w:rsidRPr="00077F56" w:rsidRDefault="00ED67AE" w:rsidP="00383225">
      <w:pPr>
        <w:pStyle w:val="Sraopastraipa"/>
        <w:numPr>
          <w:ilvl w:val="0"/>
          <w:numId w:val="9"/>
        </w:numPr>
        <w:ind w:left="567" w:hanging="567"/>
        <w:rPr>
          <w:lang w:val="lt-LT"/>
        </w:rPr>
      </w:pPr>
      <w:r w:rsidRPr="00077F56">
        <w:rPr>
          <w:b/>
          <w:color w:val="000000"/>
          <w:spacing w:val="-4"/>
          <w:lang w:val="lt-LT"/>
        </w:rPr>
        <w:t>Jeigu iki kitos dozės pagal planą liko tik nuo 1 iki 7 dienų…</w:t>
      </w:r>
      <w:r w:rsidRPr="00077F56">
        <w:rPr>
          <w:b/>
          <w:lang w:val="lt-LT"/>
        </w:rPr>
        <w:t xml:space="preserve"> </w:t>
      </w:r>
    </w:p>
    <w:p w:rsidR="00ED67AE" w:rsidRPr="00077F56" w:rsidRDefault="00ED67AE" w:rsidP="00383225">
      <w:pPr>
        <w:widowControl w:val="0"/>
        <w:autoSpaceDE w:val="0"/>
        <w:autoSpaceDN w:val="0"/>
        <w:adjustRightInd w:val="0"/>
        <w:ind w:left="567"/>
        <w:rPr>
          <w:szCs w:val="22"/>
          <w:lang w:val="lt-LT"/>
        </w:rPr>
      </w:pPr>
      <w:r w:rsidRPr="00077F56">
        <w:rPr>
          <w:color w:val="000000"/>
          <w:spacing w:val="-3"/>
          <w:szCs w:val="22"/>
          <w:lang w:val="lt-LT"/>
        </w:rPr>
        <w:t xml:space="preserve">Palaukite, kol ateis laikas gerti tabletę ir išgerkite ją kaip įprasta; vėliau vėl vartokite po vieną tabletę </w:t>
      </w:r>
      <w:r w:rsidRPr="00077F56">
        <w:rPr>
          <w:color w:val="000000"/>
          <w:spacing w:val="-4"/>
          <w:szCs w:val="22"/>
          <w:lang w:val="lt-LT"/>
        </w:rPr>
        <w:t>per mėnesį Jūsų kalendoriuje pagal planą pažymėtomis dienomis.</w:t>
      </w:r>
      <w:r w:rsidRPr="00077F56">
        <w:rPr>
          <w:b/>
          <w:szCs w:val="22"/>
          <w:lang w:val="lt-LT"/>
        </w:rPr>
        <w:t xml:space="preserve"> </w:t>
      </w:r>
    </w:p>
    <w:p w:rsidR="00ED67AE" w:rsidRPr="00383225" w:rsidRDefault="00ED67AE" w:rsidP="00383225">
      <w:pPr>
        <w:pStyle w:val="Sraopastraipa"/>
        <w:numPr>
          <w:ilvl w:val="0"/>
          <w:numId w:val="9"/>
        </w:numPr>
        <w:ind w:left="567" w:hanging="567"/>
        <w:rPr>
          <w:b/>
          <w:lang w:val="lt-LT"/>
        </w:rPr>
      </w:pPr>
      <w:r w:rsidRPr="00383225">
        <w:rPr>
          <w:b/>
          <w:lang w:val="lt-LT"/>
        </w:rPr>
        <w:t>Jeigu iki kitos dozės pagal planą liko daugiau kaip 7 dienos…</w:t>
      </w:r>
    </w:p>
    <w:p w:rsidR="00ED67AE" w:rsidRPr="00077F56" w:rsidRDefault="00ED67AE" w:rsidP="00383225">
      <w:pPr>
        <w:widowControl w:val="0"/>
        <w:autoSpaceDE w:val="0"/>
        <w:autoSpaceDN w:val="0"/>
        <w:adjustRightInd w:val="0"/>
        <w:ind w:left="567"/>
        <w:rPr>
          <w:szCs w:val="22"/>
          <w:lang w:val="lt-LT"/>
        </w:rPr>
      </w:pPr>
      <w:r w:rsidRPr="00077F56">
        <w:rPr>
          <w:color w:val="000000"/>
          <w:spacing w:val="-3"/>
          <w:szCs w:val="22"/>
          <w:lang w:val="lt-LT"/>
        </w:rPr>
        <w:t xml:space="preserve">Išgerkite tabletę kitos dienos ryte po to, kai prisiminėte; vėliau vėl vartokite po vieną tabletę per </w:t>
      </w:r>
      <w:r w:rsidRPr="00077F56">
        <w:rPr>
          <w:color w:val="000000"/>
          <w:spacing w:val="-4"/>
          <w:szCs w:val="22"/>
          <w:lang w:val="lt-LT"/>
        </w:rPr>
        <w:t>mėnesį Jūsų kalendoriuje pagal planą pažymėtomis dienomis.</w:t>
      </w:r>
    </w:p>
    <w:p w:rsidR="00ED67AE" w:rsidRPr="00077F56" w:rsidRDefault="00ED67AE" w:rsidP="00ED67AE">
      <w:pPr>
        <w:widowControl w:val="0"/>
        <w:autoSpaceDE w:val="0"/>
        <w:autoSpaceDN w:val="0"/>
        <w:adjustRightInd w:val="0"/>
        <w:rPr>
          <w:b/>
          <w:szCs w:val="22"/>
          <w:lang w:val="lt-LT"/>
        </w:rPr>
      </w:pPr>
    </w:p>
    <w:p w:rsidR="00ED67AE" w:rsidRPr="00077F56" w:rsidRDefault="00ED67AE" w:rsidP="00ED67AE">
      <w:pPr>
        <w:widowControl w:val="0"/>
        <w:autoSpaceDE w:val="0"/>
        <w:autoSpaceDN w:val="0"/>
        <w:adjustRightInd w:val="0"/>
        <w:rPr>
          <w:b/>
          <w:szCs w:val="22"/>
          <w:lang w:val="lt-LT"/>
        </w:rPr>
      </w:pPr>
      <w:r w:rsidRPr="00077F56">
        <w:rPr>
          <w:b/>
          <w:color w:val="000000"/>
          <w:spacing w:val="-4"/>
          <w:szCs w:val="22"/>
          <w:lang w:val="lt-LT"/>
        </w:rPr>
        <w:t>Niekada negerkite dviejų Ibandronic acid Actavis 150 mg tablečių tą pačią savaitę.</w:t>
      </w:r>
      <w:r w:rsidRPr="00077F56">
        <w:rPr>
          <w:b/>
          <w:szCs w:val="22"/>
          <w:lang w:val="lt-LT"/>
        </w:rPr>
        <w:t xml:space="preserve"> </w:t>
      </w:r>
    </w:p>
    <w:p w:rsidR="00ED67AE" w:rsidRPr="00077F56"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caps/>
          <w:szCs w:val="22"/>
          <w:lang w:val="lt-LT"/>
        </w:rPr>
      </w:pPr>
      <w:r w:rsidRPr="00CD6267">
        <w:rPr>
          <w:b/>
          <w:caps/>
          <w:szCs w:val="22"/>
          <w:lang w:val="lt-LT"/>
        </w:rPr>
        <w:t>4.</w:t>
      </w:r>
      <w:r w:rsidRPr="00CD6267">
        <w:rPr>
          <w:b/>
          <w:caps/>
          <w:szCs w:val="22"/>
          <w:lang w:val="lt-LT"/>
        </w:rPr>
        <w:tab/>
      </w:r>
      <w:r w:rsidR="00DA63E5" w:rsidRPr="00DF5828">
        <w:rPr>
          <w:b/>
          <w:snapToGrid w:val="0"/>
          <w:lang w:val="lt-LT"/>
        </w:rPr>
        <w:t>Galimas šalutinis poveikis</w:t>
      </w:r>
      <w:r w:rsidR="00DA63E5" w:rsidRPr="00CD6267" w:rsidDel="00DA63E5">
        <w:rPr>
          <w:b/>
          <w:caps/>
          <w:szCs w:val="22"/>
          <w:lang w:val="lt-LT"/>
        </w:rPr>
        <w:t xml:space="preserve"> </w:t>
      </w:r>
    </w:p>
    <w:p w:rsidR="00ED67AE" w:rsidRPr="00CD6267" w:rsidRDefault="00ED67AE" w:rsidP="00ED67AE">
      <w:pPr>
        <w:rPr>
          <w:szCs w:val="22"/>
          <w:lang w:val="lt-LT"/>
        </w:rPr>
      </w:pPr>
    </w:p>
    <w:p w:rsidR="00ED67AE" w:rsidRPr="00CD6267" w:rsidRDefault="00630C31" w:rsidP="00ED67AE">
      <w:pPr>
        <w:rPr>
          <w:szCs w:val="22"/>
          <w:lang w:val="lt-LT"/>
        </w:rPr>
      </w:pPr>
      <w:r>
        <w:rPr>
          <w:lang w:val="lt-LT" w:eastAsia="zh-CN"/>
        </w:rPr>
        <w:t>Šis vaistas</w:t>
      </w:r>
      <w:r w:rsidR="00ED67AE" w:rsidRPr="00CD6267">
        <w:rPr>
          <w:szCs w:val="22"/>
          <w:lang w:val="lt-LT"/>
        </w:rPr>
        <w:t xml:space="preserve">, kaip ir </w:t>
      </w:r>
      <w:r>
        <w:rPr>
          <w:szCs w:val="22"/>
          <w:lang w:val="lt-LT"/>
        </w:rPr>
        <w:t xml:space="preserve">visi </w:t>
      </w:r>
      <w:r w:rsidR="00ED67AE" w:rsidRPr="00CD6267">
        <w:rPr>
          <w:szCs w:val="22"/>
          <w:lang w:val="lt-LT"/>
        </w:rPr>
        <w:t>kiti, gali sukelti šalutinį poveikį, nors jis pasireiškia ne visiems žmonėms.</w:t>
      </w:r>
    </w:p>
    <w:p w:rsidR="00ED67AE" w:rsidRDefault="00ED67AE" w:rsidP="00ED67AE">
      <w:pPr>
        <w:rPr>
          <w:szCs w:val="22"/>
          <w:lang w:val="lt-LT"/>
        </w:rPr>
      </w:pPr>
    </w:p>
    <w:p w:rsidR="00ED67AE" w:rsidRDefault="00ED67AE" w:rsidP="00ED67AE">
      <w:pPr>
        <w:autoSpaceDE w:val="0"/>
        <w:autoSpaceDN w:val="0"/>
        <w:adjustRightInd w:val="0"/>
        <w:spacing w:line="240" w:lineRule="auto"/>
        <w:rPr>
          <w:b/>
          <w:bCs/>
          <w:color w:val="000000"/>
          <w:szCs w:val="22"/>
          <w:lang w:val="lt-LT"/>
        </w:rPr>
      </w:pPr>
      <w:r w:rsidRPr="00B21FCD">
        <w:rPr>
          <w:b/>
          <w:bCs/>
          <w:color w:val="000000"/>
          <w:szCs w:val="22"/>
          <w:lang w:val="lt-LT"/>
        </w:rPr>
        <w:t>Jeigu pastebėjote</w:t>
      </w:r>
      <w:r w:rsidRPr="00B21FCD">
        <w:rPr>
          <w:b/>
          <w:color w:val="000000"/>
          <w:lang w:val="lt-LT"/>
        </w:rPr>
        <w:t xml:space="preserve"> bet </w:t>
      </w:r>
      <w:r w:rsidRPr="00B21FCD">
        <w:rPr>
          <w:b/>
          <w:bCs/>
          <w:color w:val="000000"/>
          <w:szCs w:val="22"/>
          <w:lang w:val="lt-LT"/>
        </w:rPr>
        <w:t>kurį iš šių šalutinių poveikių, nedelsdami pasakykite slaugytojui arba</w:t>
      </w:r>
      <w:r>
        <w:rPr>
          <w:b/>
          <w:bCs/>
          <w:color w:val="000000"/>
          <w:szCs w:val="22"/>
          <w:lang w:val="lt-LT"/>
        </w:rPr>
        <w:t xml:space="preserve"> </w:t>
      </w:r>
      <w:r w:rsidRPr="00B21FCD">
        <w:rPr>
          <w:b/>
          <w:bCs/>
          <w:color w:val="000000"/>
          <w:szCs w:val="22"/>
          <w:lang w:val="lt-LT"/>
        </w:rPr>
        <w:t>gydytojui, nes Jums gali reikėti skubios medicininės pagalbos:</w:t>
      </w:r>
    </w:p>
    <w:p w:rsidR="00F65347" w:rsidRDefault="00F65347" w:rsidP="00ED67AE">
      <w:pPr>
        <w:autoSpaceDE w:val="0"/>
        <w:autoSpaceDN w:val="0"/>
        <w:adjustRightInd w:val="0"/>
        <w:spacing w:line="240" w:lineRule="auto"/>
        <w:rPr>
          <w:b/>
          <w:bCs/>
          <w:color w:val="000000"/>
          <w:szCs w:val="22"/>
          <w:lang w:val="lt-LT"/>
        </w:rPr>
      </w:pPr>
    </w:p>
    <w:p w:rsidR="00F65347" w:rsidRDefault="00F65347" w:rsidP="00ED67AE">
      <w:pPr>
        <w:autoSpaceDE w:val="0"/>
        <w:autoSpaceDN w:val="0"/>
        <w:adjustRightInd w:val="0"/>
        <w:spacing w:line="240" w:lineRule="auto"/>
        <w:rPr>
          <w:b/>
          <w:bCs/>
          <w:szCs w:val="22"/>
          <w:lang w:val="en-US" w:eastAsia="zh-CN"/>
        </w:rPr>
      </w:pPr>
      <w:r>
        <w:rPr>
          <w:b/>
          <w:bCs/>
          <w:color w:val="000000"/>
          <w:szCs w:val="22"/>
          <w:lang w:val="lt-LT"/>
        </w:rPr>
        <w:t xml:space="preserve">Nedažnas (gali pasireikšti iki </w:t>
      </w:r>
      <w:r w:rsidRPr="00F65347">
        <w:rPr>
          <w:b/>
          <w:bCs/>
          <w:szCs w:val="22"/>
          <w:lang w:val="en-US" w:eastAsia="zh-CN"/>
        </w:rPr>
        <w:t>1 i</w:t>
      </w:r>
      <w:r>
        <w:rPr>
          <w:b/>
          <w:bCs/>
          <w:szCs w:val="22"/>
          <w:lang w:val="en-US" w:eastAsia="zh-CN"/>
        </w:rPr>
        <w:t>š</w:t>
      </w:r>
      <w:r w:rsidRPr="00383225">
        <w:rPr>
          <w:b/>
          <w:bCs/>
          <w:szCs w:val="22"/>
          <w:lang w:val="en-US" w:eastAsia="zh-CN"/>
        </w:rPr>
        <w:t xml:space="preserve"> 100 žmonių)</w:t>
      </w:r>
    </w:p>
    <w:p w:rsidR="00F65347" w:rsidRDefault="00F65347" w:rsidP="00F65347">
      <w:pPr>
        <w:pStyle w:val="Sraopastraipa"/>
        <w:numPr>
          <w:ilvl w:val="0"/>
          <w:numId w:val="11"/>
        </w:numPr>
        <w:autoSpaceDE w:val="0"/>
        <w:autoSpaceDN w:val="0"/>
        <w:adjustRightInd w:val="0"/>
        <w:spacing w:line="240" w:lineRule="auto"/>
        <w:ind w:left="567" w:hanging="567"/>
        <w:rPr>
          <w:color w:val="000000"/>
          <w:lang w:val="nb-NO"/>
        </w:rPr>
      </w:pPr>
      <w:r w:rsidRPr="00B21FCD">
        <w:rPr>
          <w:color w:val="000000"/>
          <w:lang w:val="nb-NO"/>
        </w:rPr>
        <w:t>stiprus krūtinės skausmas</w:t>
      </w:r>
      <w:r w:rsidRPr="00B21FCD">
        <w:rPr>
          <w:color w:val="000000"/>
          <w:szCs w:val="22"/>
          <w:lang w:val="nb-NO"/>
        </w:rPr>
        <w:t>, stiprus skausmas</w:t>
      </w:r>
      <w:r w:rsidRPr="00B21FCD">
        <w:rPr>
          <w:color w:val="000000"/>
          <w:lang w:val="nb-NO"/>
        </w:rPr>
        <w:t xml:space="preserve"> nurijus maistą ar gėrimą, stiprus pykinimas ar vėmimas</w:t>
      </w:r>
      <w:r>
        <w:rPr>
          <w:color w:val="000000"/>
          <w:lang w:val="nb-NO"/>
        </w:rPr>
        <w:t xml:space="preserve">, apsunkintas rijimas. Jums gali būti sunkus stemplės/maistinio vamzdelio uždegimas, galimai su opomis ar stemplės/maistinio vamzdelio susiaurėjimu. </w:t>
      </w:r>
    </w:p>
    <w:p w:rsidR="00F65347" w:rsidRDefault="00F65347" w:rsidP="00383225">
      <w:pPr>
        <w:autoSpaceDE w:val="0"/>
        <w:autoSpaceDN w:val="0"/>
        <w:adjustRightInd w:val="0"/>
        <w:spacing w:line="240" w:lineRule="auto"/>
        <w:rPr>
          <w:color w:val="000000"/>
          <w:lang w:val="nb-NO"/>
        </w:rPr>
      </w:pPr>
    </w:p>
    <w:p w:rsidR="00F65347" w:rsidRDefault="00F65347" w:rsidP="00F65347">
      <w:pPr>
        <w:autoSpaceDE w:val="0"/>
        <w:autoSpaceDN w:val="0"/>
        <w:adjustRightInd w:val="0"/>
        <w:spacing w:line="240" w:lineRule="auto"/>
        <w:rPr>
          <w:b/>
          <w:bCs/>
          <w:szCs w:val="22"/>
          <w:lang w:val="en-US" w:eastAsia="zh-CN"/>
        </w:rPr>
      </w:pPr>
      <w:r>
        <w:rPr>
          <w:b/>
          <w:color w:val="000000"/>
          <w:lang w:val="nb-NO"/>
        </w:rPr>
        <w:t>Retas (</w:t>
      </w:r>
      <w:r>
        <w:rPr>
          <w:b/>
          <w:bCs/>
          <w:color w:val="000000"/>
          <w:szCs w:val="22"/>
          <w:lang w:val="lt-LT"/>
        </w:rPr>
        <w:t xml:space="preserve">gali pasireikšti iki </w:t>
      </w:r>
      <w:r w:rsidRPr="00F65347">
        <w:rPr>
          <w:b/>
          <w:bCs/>
          <w:szCs w:val="22"/>
          <w:lang w:val="en-US" w:eastAsia="zh-CN"/>
        </w:rPr>
        <w:t>1 i</w:t>
      </w:r>
      <w:r>
        <w:rPr>
          <w:b/>
          <w:bCs/>
          <w:szCs w:val="22"/>
          <w:lang w:val="en-US" w:eastAsia="zh-CN"/>
        </w:rPr>
        <w:t>š</w:t>
      </w:r>
      <w:r w:rsidRPr="0000617A">
        <w:rPr>
          <w:b/>
          <w:bCs/>
          <w:szCs w:val="22"/>
          <w:lang w:val="en-US" w:eastAsia="zh-CN"/>
        </w:rPr>
        <w:t xml:space="preserve"> 1000 žmonių)</w:t>
      </w:r>
    </w:p>
    <w:p w:rsidR="00ED67AE" w:rsidRDefault="00ED67AE" w:rsidP="00ED67AE">
      <w:pPr>
        <w:pStyle w:val="Sraopastraipa"/>
        <w:numPr>
          <w:ilvl w:val="0"/>
          <w:numId w:val="11"/>
        </w:numPr>
        <w:autoSpaceDE w:val="0"/>
        <w:autoSpaceDN w:val="0"/>
        <w:adjustRightInd w:val="0"/>
        <w:spacing w:line="240" w:lineRule="auto"/>
        <w:ind w:left="567" w:hanging="567"/>
        <w:rPr>
          <w:color w:val="000000"/>
          <w:szCs w:val="22"/>
          <w:lang w:val="nb-NO"/>
        </w:rPr>
      </w:pPr>
      <w:r w:rsidRPr="00B21FCD">
        <w:rPr>
          <w:color w:val="000000"/>
          <w:szCs w:val="22"/>
          <w:lang w:val="lt-LT"/>
        </w:rPr>
        <w:t>bėrimas, niežėjimas, veido, lūpų, liežuvio ar gerklės patinimas, sunkinantis kvėpavimą</w:t>
      </w:r>
      <w:r w:rsidR="00F65347">
        <w:rPr>
          <w:color w:val="000000"/>
          <w:szCs w:val="22"/>
          <w:lang w:val="lt-LT"/>
        </w:rPr>
        <w:t>, užsitęsęs</w:t>
      </w:r>
      <w:r w:rsidRPr="00B21FCD">
        <w:rPr>
          <w:color w:val="000000"/>
          <w:szCs w:val="22"/>
          <w:lang w:val="lt-LT"/>
        </w:rPr>
        <w:t xml:space="preserve"> </w:t>
      </w:r>
      <w:r w:rsidR="00F65347" w:rsidRPr="00B21FCD">
        <w:rPr>
          <w:color w:val="000000"/>
          <w:szCs w:val="22"/>
          <w:lang w:val="nb-NO"/>
        </w:rPr>
        <w:t>akių skausmas ir uždegimas</w:t>
      </w:r>
      <w:r w:rsidR="00F65347">
        <w:rPr>
          <w:color w:val="000000"/>
          <w:szCs w:val="22"/>
          <w:lang w:val="nb-NO"/>
        </w:rPr>
        <w:t>.</w:t>
      </w:r>
      <w:r w:rsidR="00F65347" w:rsidRPr="00B21FCD">
        <w:rPr>
          <w:color w:val="000000"/>
          <w:szCs w:val="22"/>
          <w:lang w:val="nb-NO"/>
        </w:rPr>
        <w:t xml:space="preserve"> </w:t>
      </w:r>
    </w:p>
    <w:p w:rsidR="00BE0860" w:rsidRDefault="00BE0860" w:rsidP="00BE0860">
      <w:pPr>
        <w:pStyle w:val="Sraopastraipa"/>
        <w:numPr>
          <w:ilvl w:val="0"/>
          <w:numId w:val="11"/>
        </w:numPr>
        <w:autoSpaceDE w:val="0"/>
        <w:autoSpaceDN w:val="0"/>
        <w:adjustRightInd w:val="0"/>
        <w:spacing w:line="240" w:lineRule="auto"/>
        <w:ind w:left="567" w:hanging="567"/>
        <w:rPr>
          <w:color w:val="000000"/>
          <w:szCs w:val="22"/>
        </w:rPr>
      </w:pPr>
      <w:r>
        <w:rPr>
          <w:color w:val="000000"/>
          <w:szCs w:val="22"/>
          <w:lang w:val="nb-NO"/>
        </w:rPr>
        <w:t>naujas</w:t>
      </w:r>
      <w:r w:rsidRPr="00B21FCD">
        <w:rPr>
          <w:color w:val="000000"/>
          <w:szCs w:val="22"/>
        </w:rPr>
        <w:t xml:space="preserve"> šlaunies, klubo ar kirkšnies s</w:t>
      </w:r>
      <w:r>
        <w:rPr>
          <w:color w:val="000000"/>
          <w:szCs w:val="22"/>
        </w:rPr>
        <w:t>kausmą</w:t>
      </w:r>
      <w:r w:rsidR="008C2E38">
        <w:rPr>
          <w:color w:val="000000"/>
          <w:szCs w:val="22"/>
        </w:rPr>
        <w:t>s</w:t>
      </w:r>
      <w:r>
        <w:rPr>
          <w:color w:val="000000"/>
          <w:szCs w:val="22"/>
        </w:rPr>
        <w:t>, silpnumą ar diskomfortą.T</w:t>
      </w:r>
      <w:r w:rsidRPr="00B21FCD">
        <w:rPr>
          <w:color w:val="000000"/>
          <w:szCs w:val="22"/>
        </w:rPr>
        <w:t>ai gali būti ankstyvi galimo šlaunikaulio lūžio požymiai.</w:t>
      </w:r>
    </w:p>
    <w:p w:rsidR="00F65347" w:rsidRDefault="00F65347" w:rsidP="00383225">
      <w:pPr>
        <w:autoSpaceDE w:val="0"/>
        <w:autoSpaceDN w:val="0"/>
        <w:adjustRightInd w:val="0"/>
        <w:spacing w:line="240" w:lineRule="auto"/>
        <w:rPr>
          <w:color w:val="000000"/>
          <w:szCs w:val="22"/>
          <w:lang w:val="nb-NO"/>
        </w:rPr>
      </w:pPr>
    </w:p>
    <w:p w:rsidR="00BE0860" w:rsidRPr="00383225" w:rsidRDefault="006961EF" w:rsidP="00383225">
      <w:pPr>
        <w:autoSpaceDE w:val="0"/>
        <w:autoSpaceDN w:val="0"/>
        <w:adjustRightInd w:val="0"/>
        <w:spacing w:line="240" w:lineRule="auto"/>
        <w:rPr>
          <w:b/>
          <w:color w:val="000000"/>
          <w:szCs w:val="22"/>
          <w:lang w:val="nb-NO"/>
        </w:rPr>
      </w:pPr>
      <w:r>
        <w:rPr>
          <w:b/>
          <w:color w:val="000000"/>
          <w:szCs w:val="22"/>
          <w:lang w:val="nb-NO"/>
        </w:rPr>
        <w:t xml:space="preserve">Labai retas </w:t>
      </w:r>
      <w:r w:rsidR="00BE0860">
        <w:rPr>
          <w:b/>
          <w:color w:val="000000"/>
          <w:lang w:val="nb-NO"/>
        </w:rPr>
        <w:t>(</w:t>
      </w:r>
      <w:r w:rsidR="00BE0860">
        <w:rPr>
          <w:b/>
          <w:bCs/>
          <w:color w:val="000000"/>
          <w:szCs w:val="22"/>
          <w:lang w:val="lt-LT"/>
        </w:rPr>
        <w:t xml:space="preserve">gali pasireikšti iki </w:t>
      </w:r>
      <w:r w:rsidR="00BE0860" w:rsidRPr="00F65347">
        <w:rPr>
          <w:b/>
          <w:bCs/>
          <w:szCs w:val="22"/>
          <w:lang w:val="en-US" w:eastAsia="zh-CN"/>
        </w:rPr>
        <w:t>1 i</w:t>
      </w:r>
      <w:r w:rsidR="00BE0860">
        <w:rPr>
          <w:b/>
          <w:bCs/>
          <w:szCs w:val="22"/>
          <w:lang w:val="en-US" w:eastAsia="zh-CN"/>
        </w:rPr>
        <w:t>š</w:t>
      </w:r>
      <w:r w:rsidR="00BE0860" w:rsidRPr="0000617A">
        <w:rPr>
          <w:b/>
          <w:bCs/>
          <w:szCs w:val="22"/>
          <w:lang w:val="en-US" w:eastAsia="zh-CN"/>
        </w:rPr>
        <w:t xml:space="preserve"> 10000 žmonių)</w:t>
      </w:r>
    </w:p>
    <w:p w:rsidR="00BE0860" w:rsidRPr="00383225" w:rsidRDefault="00BE0860" w:rsidP="00BE0860">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lang w:val="nb-NO"/>
        </w:rPr>
        <w:t>skausmas ar žaizda burnoje ar žandikaulyje.</w:t>
      </w:r>
      <w:r>
        <w:rPr>
          <w:color w:val="000000"/>
          <w:szCs w:val="22"/>
          <w:lang w:val="nb-NO"/>
        </w:rPr>
        <w:t xml:space="preserve"> </w:t>
      </w:r>
      <w:r w:rsidRPr="00DF5828">
        <w:t>Tai gali būti ankstyvieji sunkios žandikaulio ligos (nekrozės (žuvusio kaulinio audinio) žandikaulyje požymiai).</w:t>
      </w:r>
    </w:p>
    <w:p w:rsidR="00BE0860" w:rsidRDefault="00BE0860" w:rsidP="00BE0860">
      <w:pPr>
        <w:pStyle w:val="Sraopastraipa"/>
        <w:numPr>
          <w:ilvl w:val="0"/>
          <w:numId w:val="11"/>
        </w:numPr>
        <w:autoSpaceDE w:val="0"/>
        <w:autoSpaceDN w:val="0"/>
        <w:adjustRightInd w:val="0"/>
        <w:spacing w:line="240" w:lineRule="auto"/>
        <w:ind w:left="567" w:hanging="567"/>
        <w:rPr>
          <w:color w:val="000000"/>
          <w:szCs w:val="22"/>
        </w:rPr>
      </w:pPr>
      <w:r>
        <w:rPr>
          <w:color w:val="000000"/>
          <w:szCs w:val="22"/>
          <w:lang w:val="nb-NO"/>
        </w:rPr>
        <w:t>sunkios, pavojingos gyvybei alerginės reakcijos.</w:t>
      </w:r>
    </w:p>
    <w:p w:rsidR="00BE0860" w:rsidRPr="009A7FDA" w:rsidRDefault="00BE0860" w:rsidP="00BE0860">
      <w:pPr>
        <w:pStyle w:val="Sraopastraipa"/>
        <w:numPr>
          <w:ilvl w:val="0"/>
          <w:numId w:val="11"/>
        </w:numPr>
        <w:autoSpaceDE w:val="0"/>
        <w:autoSpaceDN w:val="0"/>
        <w:adjustRightInd w:val="0"/>
        <w:spacing w:line="240" w:lineRule="auto"/>
        <w:ind w:left="567" w:hanging="567"/>
        <w:rPr>
          <w:color w:val="000000"/>
          <w:szCs w:val="22"/>
        </w:rPr>
      </w:pPr>
      <w:proofErr w:type="gramStart"/>
      <w:r>
        <w:rPr>
          <w:color w:val="000000"/>
          <w:szCs w:val="22"/>
        </w:rPr>
        <w:t>sunkios</w:t>
      </w:r>
      <w:proofErr w:type="gramEnd"/>
      <w:r>
        <w:rPr>
          <w:color w:val="000000"/>
          <w:szCs w:val="22"/>
        </w:rPr>
        <w:t xml:space="preserve"> pašalinio poveikio odai reakcijos.</w:t>
      </w:r>
    </w:p>
    <w:p w:rsidR="006961EF" w:rsidRPr="006961EF" w:rsidRDefault="00BE0860" w:rsidP="00383225">
      <w:pPr>
        <w:pStyle w:val="Sraopastraipa"/>
        <w:numPr>
          <w:ilvl w:val="0"/>
          <w:numId w:val="11"/>
        </w:numPr>
        <w:tabs>
          <w:tab w:val="clear" w:pos="567"/>
        </w:tabs>
        <w:autoSpaceDE w:val="0"/>
        <w:autoSpaceDN w:val="0"/>
        <w:adjustRightInd w:val="0"/>
        <w:spacing w:after="200" w:line="240" w:lineRule="auto"/>
        <w:ind w:left="567" w:hanging="567"/>
        <w:rPr>
          <w:color w:val="000000"/>
          <w:szCs w:val="22"/>
          <w:lang w:val="nb-NO"/>
        </w:rPr>
      </w:pPr>
      <w:r w:rsidRPr="006961EF">
        <w:rPr>
          <w:lang w:val="lt-LT"/>
        </w:rPr>
        <w:t>pasikalbėkite su savo gydytoju, jeigu Jums skauda ausį, iš ausies teka išskyros ir (arba) Jums prasidėjęs ausies uždegimas. Tai gali būtų ausyje esančio kaulo pažeidimo požymiai.</w:t>
      </w:r>
    </w:p>
    <w:p w:rsidR="00ED67AE" w:rsidRDefault="00ED67AE" w:rsidP="00383225">
      <w:pPr>
        <w:pStyle w:val="Sraopastraipa"/>
        <w:rPr>
          <w:b/>
          <w:bCs/>
          <w:color w:val="000000"/>
          <w:szCs w:val="22"/>
          <w:lang w:val="nb-NO"/>
        </w:rPr>
      </w:pPr>
    </w:p>
    <w:p w:rsidR="00ED67AE" w:rsidRPr="00B21FCD" w:rsidRDefault="00ED67AE" w:rsidP="00ED67AE">
      <w:pPr>
        <w:autoSpaceDE w:val="0"/>
        <w:autoSpaceDN w:val="0"/>
        <w:adjustRightInd w:val="0"/>
        <w:spacing w:line="240" w:lineRule="auto"/>
        <w:rPr>
          <w:b/>
          <w:bCs/>
          <w:color w:val="000000"/>
          <w:szCs w:val="22"/>
          <w:lang w:val="nb-NO"/>
        </w:rPr>
      </w:pPr>
      <w:r w:rsidRPr="00B21FCD">
        <w:rPr>
          <w:b/>
          <w:bCs/>
          <w:color w:val="000000"/>
          <w:szCs w:val="22"/>
          <w:lang w:val="nb-NO"/>
        </w:rPr>
        <w:t>Kiti galimi šalutiniai poveikiai</w:t>
      </w:r>
    </w:p>
    <w:p w:rsidR="00ED67AE" w:rsidRDefault="00ED67AE" w:rsidP="00ED67AE">
      <w:pPr>
        <w:autoSpaceDE w:val="0"/>
        <w:autoSpaceDN w:val="0"/>
        <w:adjustRightInd w:val="0"/>
        <w:spacing w:line="240" w:lineRule="auto"/>
        <w:rPr>
          <w:b/>
          <w:bCs/>
          <w:color w:val="000000"/>
          <w:szCs w:val="22"/>
          <w:lang w:val="nb-NO"/>
        </w:rPr>
      </w:pPr>
    </w:p>
    <w:p w:rsidR="00ED67AE" w:rsidRPr="00B21FCD" w:rsidRDefault="00ED67AE" w:rsidP="00ED67AE">
      <w:pPr>
        <w:autoSpaceDE w:val="0"/>
        <w:autoSpaceDN w:val="0"/>
        <w:adjustRightInd w:val="0"/>
        <w:spacing w:line="240" w:lineRule="auto"/>
        <w:rPr>
          <w:color w:val="000000"/>
          <w:lang w:val="nb-NO"/>
        </w:rPr>
      </w:pPr>
      <w:r w:rsidRPr="00B21FCD">
        <w:rPr>
          <w:b/>
          <w:bCs/>
          <w:color w:val="000000"/>
          <w:szCs w:val="22"/>
          <w:lang w:val="nb-NO"/>
        </w:rPr>
        <w:t>Dažni</w:t>
      </w:r>
      <w:r w:rsidRPr="00B21FCD">
        <w:rPr>
          <w:b/>
          <w:color w:val="000000"/>
          <w:lang w:val="nb-NO"/>
        </w:rPr>
        <w:t xml:space="preserve"> </w:t>
      </w:r>
      <w:r w:rsidRPr="00B21FCD">
        <w:rPr>
          <w:color w:val="000000"/>
          <w:lang w:val="nb-NO"/>
        </w:rPr>
        <w:t>(</w:t>
      </w:r>
      <w:r w:rsidR="006961EF">
        <w:rPr>
          <w:color w:val="000000"/>
          <w:lang w:val="nb-NO"/>
        </w:rPr>
        <w:t xml:space="preserve">gali </w:t>
      </w:r>
      <w:r w:rsidRPr="00B21FCD">
        <w:rPr>
          <w:color w:val="000000"/>
          <w:lang w:val="nb-NO"/>
        </w:rPr>
        <w:t>pasirei</w:t>
      </w:r>
      <w:r w:rsidR="006961EF">
        <w:rPr>
          <w:color w:val="000000"/>
          <w:lang w:val="nb-NO"/>
        </w:rPr>
        <w:t>kšti</w:t>
      </w:r>
      <w:r w:rsidRPr="00B21FCD">
        <w:rPr>
          <w:color w:val="000000"/>
          <w:lang w:val="nb-NO"/>
        </w:rPr>
        <w:t xml:space="preserve"> </w:t>
      </w:r>
      <w:r w:rsidRPr="00B21FCD">
        <w:rPr>
          <w:color w:val="000000"/>
          <w:szCs w:val="22"/>
          <w:lang w:val="nb-NO"/>
        </w:rPr>
        <w:t xml:space="preserve">mažiau kaip </w:t>
      </w:r>
      <w:r w:rsidRPr="00B21FCD">
        <w:rPr>
          <w:color w:val="000000"/>
          <w:lang w:val="nb-NO"/>
        </w:rPr>
        <w:t>1</w:t>
      </w:r>
      <w:r w:rsidRPr="00B21FCD">
        <w:rPr>
          <w:color w:val="000000"/>
          <w:szCs w:val="22"/>
          <w:lang w:val="nb-NO"/>
        </w:rPr>
        <w:t xml:space="preserve"> iš </w:t>
      </w:r>
      <w:r w:rsidRPr="00B21FCD">
        <w:rPr>
          <w:color w:val="000000"/>
          <w:lang w:val="nb-NO"/>
        </w:rPr>
        <w:t xml:space="preserve">10 </w:t>
      </w:r>
      <w:r w:rsidR="006961EF">
        <w:rPr>
          <w:color w:val="000000"/>
          <w:szCs w:val="22"/>
          <w:lang w:val="nb-NO"/>
        </w:rPr>
        <w:t>žmonių</w:t>
      </w:r>
      <w:r w:rsidRPr="00B21FCD">
        <w:rPr>
          <w:color w:val="000000"/>
          <w:szCs w:val="22"/>
          <w:lang w:val="nb-NO"/>
        </w:rPr>
        <w:t>)</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lang w:val="nb-NO"/>
        </w:rPr>
      </w:pPr>
      <w:r w:rsidRPr="00B21FCD">
        <w:rPr>
          <w:color w:val="000000"/>
          <w:szCs w:val="22"/>
          <w:lang w:val="nb-NO"/>
        </w:rPr>
        <w:t>galvos skausmas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lang w:val="nb-NO"/>
        </w:rPr>
      </w:pPr>
      <w:r w:rsidRPr="00B21FCD">
        <w:rPr>
          <w:color w:val="000000"/>
          <w:szCs w:val="22"/>
          <w:lang w:val="nb-NO"/>
        </w:rPr>
        <w:t>rėmuo, skrandžio skausmas (pavyzdžiui “gastroenteritas” ar “gastritas”), nevirškinimas, pykinimas, viduriavimas ar vidurių užkietėjimas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bėrimas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raumenų, sąnarių ar</w:t>
      </w:r>
      <w:r w:rsidRPr="00B21FCD">
        <w:rPr>
          <w:color w:val="000000"/>
        </w:rPr>
        <w:t xml:space="preserve"> nugaros skausmas</w:t>
      </w:r>
      <w:r w:rsidRPr="00B21FCD">
        <w:rPr>
          <w:color w:val="000000"/>
          <w:szCs w:val="22"/>
        </w:rPr>
        <w:t xml:space="preserve"> ar tempimas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 xml:space="preserve">į gripą panašūs simptomai (tokie kaip karščiavimas , šaltkrėtis ir drebulys, diskomforto jausmas, nuovargis, kaulų skausmas ar raumenų ir sąnarių </w:t>
      </w:r>
      <w:smartTag w:uri="urn:schemas-microsoft-com:office:smarttags" w:element="City">
        <w:smartTag w:uri="urn:schemas-microsoft-com:office:smarttags" w:element="place">
          <w:r w:rsidRPr="00B21FCD">
            <w:rPr>
              <w:color w:val="000000"/>
              <w:szCs w:val="22"/>
            </w:rPr>
            <w:t>gėla</w:t>
          </w:r>
        </w:smartTag>
      </w:smartTag>
      <w:r w:rsidRPr="00B21FCD">
        <w:rPr>
          <w:color w:val="000000"/>
          <w:szCs w:val="22"/>
        </w:rPr>
        <w:t>)</w:t>
      </w:r>
    </w:p>
    <w:p w:rsidR="00ED67AE"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nuovargis</w:t>
      </w:r>
    </w:p>
    <w:p w:rsidR="008C2E38" w:rsidRPr="00383225" w:rsidRDefault="008C2E38" w:rsidP="00383225">
      <w:pPr>
        <w:autoSpaceDE w:val="0"/>
        <w:autoSpaceDN w:val="0"/>
        <w:adjustRightInd w:val="0"/>
        <w:spacing w:line="240" w:lineRule="auto"/>
        <w:rPr>
          <w:color w:val="000000"/>
          <w:szCs w:val="22"/>
        </w:rPr>
      </w:pPr>
    </w:p>
    <w:p w:rsidR="00ED67AE" w:rsidRPr="007471EA" w:rsidRDefault="00ED67AE" w:rsidP="00ED67AE">
      <w:pPr>
        <w:autoSpaceDE w:val="0"/>
        <w:autoSpaceDN w:val="0"/>
        <w:adjustRightInd w:val="0"/>
        <w:spacing w:line="240" w:lineRule="auto"/>
        <w:rPr>
          <w:color w:val="000000"/>
          <w:szCs w:val="22"/>
        </w:rPr>
      </w:pPr>
      <w:r w:rsidRPr="007471EA">
        <w:rPr>
          <w:b/>
          <w:bCs/>
          <w:color w:val="000000"/>
          <w:szCs w:val="22"/>
        </w:rPr>
        <w:t xml:space="preserve">Nedažni </w:t>
      </w:r>
      <w:r w:rsidRPr="007471EA">
        <w:rPr>
          <w:color w:val="000000"/>
          <w:szCs w:val="22"/>
        </w:rPr>
        <w:t>(</w:t>
      </w:r>
      <w:r w:rsidR="006961EF">
        <w:rPr>
          <w:color w:val="000000"/>
          <w:szCs w:val="22"/>
        </w:rPr>
        <w:t xml:space="preserve">gali </w:t>
      </w:r>
      <w:r w:rsidRPr="007471EA">
        <w:rPr>
          <w:color w:val="000000"/>
          <w:szCs w:val="22"/>
        </w:rPr>
        <w:t>pasirei</w:t>
      </w:r>
      <w:r w:rsidR="006961EF">
        <w:rPr>
          <w:color w:val="000000"/>
          <w:szCs w:val="22"/>
        </w:rPr>
        <w:t>kšti</w:t>
      </w:r>
      <w:r w:rsidRPr="007471EA">
        <w:rPr>
          <w:color w:val="000000"/>
          <w:szCs w:val="22"/>
        </w:rPr>
        <w:t xml:space="preserve"> mažiau kaip 1 iš 100 </w:t>
      </w:r>
      <w:r w:rsidR="006961EF">
        <w:rPr>
          <w:color w:val="000000"/>
          <w:szCs w:val="22"/>
        </w:rPr>
        <w:t>žmonių</w:t>
      </w:r>
      <w:r w:rsidRPr="007471EA">
        <w:rPr>
          <w:color w:val="000000"/>
          <w:szCs w:val="22"/>
        </w:rPr>
        <w:t>)</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kaulų skausmas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silpnumo jausmas</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Pr>
          <w:color w:val="000000"/>
          <w:szCs w:val="22"/>
        </w:rPr>
        <w:t>svaigulys</w:t>
      </w:r>
    </w:p>
    <w:p w:rsidR="00ED67AE" w:rsidRDefault="00ED67AE" w:rsidP="00ED67AE">
      <w:pPr>
        <w:pStyle w:val="Sraopastraipa"/>
        <w:numPr>
          <w:ilvl w:val="0"/>
          <w:numId w:val="11"/>
        </w:numPr>
        <w:autoSpaceDE w:val="0"/>
        <w:autoSpaceDN w:val="0"/>
        <w:adjustRightInd w:val="0"/>
        <w:spacing w:line="240" w:lineRule="auto"/>
        <w:ind w:left="567" w:hanging="567"/>
        <w:rPr>
          <w:color w:val="000000"/>
        </w:rPr>
      </w:pPr>
      <w:r w:rsidRPr="00B21FCD">
        <w:rPr>
          <w:color w:val="000000"/>
        </w:rPr>
        <w:t>dujų kaupimasis</w:t>
      </w:r>
    </w:p>
    <w:p w:rsidR="00ED67AE" w:rsidRDefault="008C2E38" w:rsidP="00ED67AE">
      <w:pPr>
        <w:pStyle w:val="Sraopastraipa"/>
        <w:numPr>
          <w:ilvl w:val="0"/>
          <w:numId w:val="11"/>
        </w:numPr>
        <w:autoSpaceDE w:val="0"/>
        <w:autoSpaceDN w:val="0"/>
        <w:adjustRightInd w:val="0"/>
        <w:spacing w:line="240" w:lineRule="auto"/>
        <w:ind w:left="567" w:hanging="567"/>
        <w:rPr>
          <w:color w:val="000000"/>
        </w:rPr>
      </w:pPr>
      <w:r>
        <w:rPr>
          <w:color w:val="000000"/>
        </w:rPr>
        <w:t>astmos priepuoliai</w:t>
      </w:r>
    </w:p>
    <w:p w:rsidR="008C2E38" w:rsidRPr="00383225" w:rsidRDefault="008C2E38" w:rsidP="00383225">
      <w:pPr>
        <w:autoSpaceDE w:val="0"/>
        <w:autoSpaceDN w:val="0"/>
        <w:adjustRightInd w:val="0"/>
        <w:spacing w:line="240" w:lineRule="auto"/>
        <w:rPr>
          <w:color w:val="000000"/>
        </w:rPr>
      </w:pPr>
    </w:p>
    <w:p w:rsidR="00ED67AE" w:rsidRPr="007471EA" w:rsidRDefault="00ED67AE" w:rsidP="00ED67AE">
      <w:pPr>
        <w:autoSpaceDE w:val="0"/>
        <w:autoSpaceDN w:val="0"/>
        <w:adjustRightInd w:val="0"/>
        <w:spacing w:line="240" w:lineRule="auto"/>
        <w:rPr>
          <w:color w:val="000000"/>
        </w:rPr>
      </w:pPr>
      <w:r w:rsidRPr="007471EA">
        <w:rPr>
          <w:b/>
          <w:bCs/>
          <w:color w:val="000000"/>
          <w:szCs w:val="22"/>
        </w:rPr>
        <w:t>Reti</w:t>
      </w:r>
      <w:r w:rsidRPr="007471EA">
        <w:rPr>
          <w:b/>
          <w:color w:val="000000"/>
        </w:rPr>
        <w:t xml:space="preserve"> </w:t>
      </w:r>
      <w:r w:rsidRPr="007471EA">
        <w:rPr>
          <w:color w:val="000000"/>
        </w:rPr>
        <w:t>(</w:t>
      </w:r>
      <w:r w:rsidR="006961EF">
        <w:rPr>
          <w:color w:val="000000"/>
        </w:rPr>
        <w:t xml:space="preserve">gali </w:t>
      </w:r>
      <w:r w:rsidRPr="007471EA">
        <w:rPr>
          <w:color w:val="000000"/>
        </w:rPr>
        <w:t>pasirei</w:t>
      </w:r>
      <w:r w:rsidR="006961EF">
        <w:rPr>
          <w:color w:val="000000"/>
        </w:rPr>
        <w:t>kšti</w:t>
      </w:r>
      <w:r w:rsidRPr="007471EA">
        <w:rPr>
          <w:color w:val="000000"/>
        </w:rPr>
        <w:t xml:space="preserve"> </w:t>
      </w:r>
      <w:r w:rsidRPr="007471EA">
        <w:rPr>
          <w:color w:val="000000"/>
          <w:szCs w:val="22"/>
        </w:rPr>
        <w:t xml:space="preserve">mažiau kaip 1 iš 1000 </w:t>
      </w:r>
      <w:r w:rsidR="006961EF">
        <w:rPr>
          <w:color w:val="000000"/>
          <w:szCs w:val="22"/>
        </w:rPr>
        <w:t>žmonių</w:t>
      </w:r>
      <w:r w:rsidRPr="007471EA">
        <w:rPr>
          <w:color w:val="000000"/>
          <w:szCs w:val="22"/>
        </w:rPr>
        <w:t>):</w:t>
      </w:r>
    </w:p>
    <w:p w:rsidR="00ED67AE" w:rsidRPr="00B21FCD" w:rsidRDefault="00ED67AE" w:rsidP="00ED67AE">
      <w:pPr>
        <w:pStyle w:val="Sraopastraipa"/>
        <w:numPr>
          <w:ilvl w:val="0"/>
          <w:numId w:val="11"/>
        </w:numPr>
        <w:autoSpaceDE w:val="0"/>
        <w:autoSpaceDN w:val="0"/>
        <w:adjustRightInd w:val="0"/>
        <w:spacing w:line="240" w:lineRule="auto"/>
        <w:ind w:left="567" w:hanging="567"/>
        <w:rPr>
          <w:color w:val="000000"/>
          <w:szCs w:val="22"/>
        </w:rPr>
      </w:pPr>
      <w:r w:rsidRPr="00B21FCD">
        <w:rPr>
          <w:color w:val="000000"/>
          <w:szCs w:val="22"/>
        </w:rPr>
        <w:t>niežėjimas</w:t>
      </w:r>
    </w:p>
    <w:p w:rsidR="00ED67AE" w:rsidRDefault="006961EF" w:rsidP="00ED67AE">
      <w:pPr>
        <w:pStyle w:val="Sraopastraipa"/>
        <w:numPr>
          <w:ilvl w:val="0"/>
          <w:numId w:val="11"/>
        </w:numPr>
        <w:autoSpaceDE w:val="0"/>
        <w:autoSpaceDN w:val="0"/>
        <w:adjustRightInd w:val="0"/>
        <w:spacing w:line="240" w:lineRule="auto"/>
        <w:ind w:left="567" w:hanging="567"/>
        <w:rPr>
          <w:color w:val="000000"/>
          <w:szCs w:val="22"/>
        </w:rPr>
      </w:pPr>
      <w:proofErr w:type="gramStart"/>
      <w:r>
        <w:rPr>
          <w:color w:val="000000"/>
          <w:szCs w:val="22"/>
        </w:rPr>
        <w:t>dvylikapirštės</w:t>
      </w:r>
      <w:proofErr w:type="gramEnd"/>
      <w:r>
        <w:rPr>
          <w:color w:val="000000"/>
          <w:szCs w:val="22"/>
        </w:rPr>
        <w:t xml:space="preserve"> žarnos (pradinės žarnyno </w:t>
      </w:r>
      <w:r w:rsidR="00C02DFF">
        <w:rPr>
          <w:color w:val="000000"/>
          <w:szCs w:val="22"/>
        </w:rPr>
        <w:t>dal</w:t>
      </w:r>
      <w:r>
        <w:rPr>
          <w:color w:val="000000"/>
          <w:szCs w:val="22"/>
        </w:rPr>
        <w:t>ies) uždegimas, sukeliantis pilvo skausmą.</w:t>
      </w:r>
    </w:p>
    <w:p w:rsidR="00ED67AE" w:rsidRPr="00B21FCD" w:rsidRDefault="00ED67AE" w:rsidP="00ED67AE">
      <w:pPr>
        <w:pStyle w:val="Sraopastraipa"/>
        <w:autoSpaceDE w:val="0"/>
        <w:autoSpaceDN w:val="0"/>
        <w:adjustRightInd w:val="0"/>
        <w:spacing w:line="240" w:lineRule="auto"/>
        <w:ind w:left="360"/>
        <w:rPr>
          <w:color w:val="000000"/>
          <w:szCs w:val="22"/>
        </w:rPr>
      </w:pPr>
    </w:p>
    <w:p w:rsidR="00C02DFF" w:rsidRPr="00C02DFF" w:rsidRDefault="00C02DFF" w:rsidP="00C02DFF">
      <w:pPr>
        <w:tabs>
          <w:tab w:val="clear" w:pos="567"/>
        </w:tabs>
        <w:spacing w:line="240" w:lineRule="auto"/>
        <w:rPr>
          <w:rFonts w:eastAsia="Calibri"/>
          <w:b/>
          <w:szCs w:val="22"/>
          <w:lang w:val="lt-LT"/>
        </w:rPr>
      </w:pPr>
      <w:r w:rsidRPr="00C02DFF">
        <w:rPr>
          <w:rFonts w:eastAsia="Calibri"/>
          <w:b/>
          <w:szCs w:val="22"/>
          <w:lang w:val="lt-LT"/>
        </w:rPr>
        <w:t>Pranešimas apie šalutinį poveikį</w:t>
      </w:r>
    </w:p>
    <w:p w:rsidR="00C02DFF" w:rsidRPr="00C02DFF" w:rsidRDefault="00C02DFF" w:rsidP="00C02DFF">
      <w:pPr>
        <w:tabs>
          <w:tab w:val="clear" w:pos="567"/>
        </w:tabs>
        <w:spacing w:line="240" w:lineRule="auto"/>
        <w:rPr>
          <w:rFonts w:eastAsia="Calibri"/>
          <w:szCs w:val="22"/>
          <w:lang w:val="lt-LT"/>
        </w:rPr>
      </w:pPr>
      <w:r w:rsidRPr="00C02DFF">
        <w:rPr>
          <w:rFonts w:eastAsia="Calibri"/>
          <w:szCs w:val="22"/>
          <w:lang w:val="lt-LT"/>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00383225" w:rsidRPr="00C301A8">
          <w:rPr>
            <w:rStyle w:val="Hipersaitas"/>
            <w:rFonts w:eastAsia="Calibri"/>
            <w:szCs w:val="22"/>
            <w:lang w:val="lt-LT"/>
          </w:rPr>
          <w:t>www.vvkt.lt</w:t>
        </w:r>
      </w:hyperlink>
      <w:r w:rsidR="00383225">
        <w:rPr>
          <w:rFonts w:eastAsia="Calibri"/>
          <w:szCs w:val="22"/>
          <w:lang w:val="lt-LT"/>
        </w:rPr>
        <w:t xml:space="preserve"> </w:t>
      </w:r>
      <w:r w:rsidRPr="00C02DFF">
        <w:rPr>
          <w:rFonts w:eastAsia="Calibri"/>
          <w:szCs w:val="22"/>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11" w:history="1">
        <w:r w:rsidR="00383225" w:rsidRPr="00C301A8">
          <w:rPr>
            <w:rStyle w:val="Hipersaitas"/>
            <w:rFonts w:eastAsia="Calibri"/>
            <w:szCs w:val="22"/>
            <w:lang w:val="lt-LT"/>
          </w:rPr>
          <w:t>NepageidaujamaR@vvkt.lt</w:t>
        </w:r>
      </w:hyperlink>
      <w:r w:rsidR="00383225">
        <w:rPr>
          <w:rFonts w:eastAsia="Calibri"/>
          <w:szCs w:val="22"/>
          <w:lang w:val="lt-LT"/>
        </w:rPr>
        <w:t xml:space="preserve"> </w:t>
      </w:r>
      <w:r w:rsidRPr="00C02DFF">
        <w:rPr>
          <w:rFonts w:eastAsia="Calibri"/>
          <w:szCs w:val="22"/>
          <w:lang w:val="lt-LT"/>
        </w:rPr>
        <w:t xml:space="preserve">, per Valstybinės vaistų kontrolės tarnybos prie Lietuvos Respublikos sveikatos apsaugos ministerijos interneto svetainę (adresu </w:t>
      </w:r>
      <w:hyperlink r:id="rId12" w:history="1">
        <w:r w:rsidR="00383225" w:rsidRPr="00C301A8">
          <w:rPr>
            <w:rStyle w:val="Hipersaitas"/>
            <w:rFonts w:eastAsia="Calibri"/>
            <w:szCs w:val="22"/>
            <w:lang w:val="lt-LT"/>
          </w:rPr>
          <w:t>http://www.vvkt.lt</w:t>
        </w:r>
      </w:hyperlink>
      <w:r w:rsidR="00383225">
        <w:rPr>
          <w:rFonts w:eastAsia="Calibri"/>
          <w:szCs w:val="22"/>
          <w:lang w:val="lt-LT"/>
        </w:rPr>
        <w:t xml:space="preserve"> </w:t>
      </w:r>
      <w:r w:rsidRPr="00C02DFF">
        <w:rPr>
          <w:rFonts w:eastAsia="Calibri"/>
          <w:szCs w:val="22"/>
          <w:lang w:val="lt-LT"/>
        </w:rPr>
        <w:t>). Pranešdami apie šalutinį poveikį galite mums padėti gauti daugiau informacijos apie šio vaisto saugumą.</w:t>
      </w:r>
    </w:p>
    <w:p w:rsidR="00ED67AE" w:rsidRPr="00B21FCD" w:rsidRDefault="00ED67AE" w:rsidP="00ED67AE"/>
    <w:p w:rsidR="00ED67AE" w:rsidRPr="00CD6267" w:rsidRDefault="00ED67AE" w:rsidP="00ED67AE">
      <w:pPr>
        <w:rPr>
          <w:szCs w:val="22"/>
          <w:lang w:val="lt-LT"/>
        </w:rPr>
      </w:pPr>
    </w:p>
    <w:p w:rsidR="00ED67AE" w:rsidRPr="00CD6267" w:rsidRDefault="00ED67AE" w:rsidP="00ED67AE">
      <w:pPr>
        <w:rPr>
          <w:szCs w:val="22"/>
          <w:lang w:val="lt-LT"/>
        </w:rPr>
      </w:pPr>
      <w:r w:rsidRPr="00CD6267">
        <w:rPr>
          <w:b/>
          <w:szCs w:val="22"/>
          <w:lang w:val="lt-LT"/>
        </w:rPr>
        <w:t>5.</w:t>
      </w:r>
      <w:r w:rsidRPr="00CD6267">
        <w:rPr>
          <w:b/>
          <w:szCs w:val="22"/>
          <w:lang w:val="lt-LT"/>
        </w:rPr>
        <w:tab/>
      </w:r>
      <w:r w:rsidR="006961EF" w:rsidRPr="00DF5828">
        <w:rPr>
          <w:b/>
          <w:lang w:val="lt-LT"/>
        </w:rPr>
        <w:t>Kaip laikyti Ibandronic acid Actavis</w:t>
      </w:r>
    </w:p>
    <w:p w:rsidR="00ED67AE" w:rsidRPr="00CD6267" w:rsidRDefault="00ED67AE" w:rsidP="00ED67AE">
      <w:pPr>
        <w:rPr>
          <w:szCs w:val="22"/>
          <w:lang w:val="lt-LT"/>
        </w:rPr>
      </w:pPr>
    </w:p>
    <w:p w:rsidR="00ED67AE" w:rsidRPr="00CD6267" w:rsidRDefault="006961EF" w:rsidP="00ED67AE">
      <w:pPr>
        <w:rPr>
          <w:szCs w:val="22"/>
          <w:lang w:val="lt-LT"/>
        </w:rPr>
      </w:pPr>
      <w:r>
        <w:rPr>
          <w:szCs w:val="22"/>
          <w:lang w:val="lt-LT"/>
        </w:rPr>
        <w:t>Šį vaistą l</w:t>
      </w:r>
      <w:r w:rsidR="00ED67AE" w:rsidRPr="00CD6267">
        <w:rPr>
          <w:szCs w:val="22"/>
          <w:lang w:val="lt-LT"/>
        </w:rPr>
        <w:t>aiky</w:t>
      </w:r>
      <w:r>
        <w:rPr>
          <w:szCs w:val="22"/>
          <w:lang w:val="lt-LT"/>
        </w:rPr>
        <w:t>kite</w:t>
      </w:r>
      <w:r w:rsidR="00ED67AE" w:rsidRPr="00CD6267">
        <w:rPr>
          <w:szCs w:val="22"/>
          <w:lang w:val="lt-LT"/>
        </w:rPr>
        <w:t xml:space="preserve"> vaikams </w:t>
      </w:r>
      <w:r>
        <w:rPr>
          <w:szCs w:val="22"/>
          <w:lang w:val="lt-LT"/>
        </w:rPr>
        <w:t>nepastebimoje</w:t>
      </w:r>
      <w:r w:rsidR="00ED67AE" w:rsidRPr="00CD6267">
        <w:rPr>
          <w:szCs w:val="22"/>
          <w:lang w:val="lt-LT"/>
        </w:rPr>
        <w:t xml:space="preserve"> ir ne</w:t>
      </w:r>
      <w:r>
        <w:rPr>
          <w:szCs w:val="22"/>
          <w:lang w:val="lt-LT"/>
        </w:rPr>
        <w:t>siekiamoje</w:t>
      </w:r>
      <w:r w:rsidR="00ED67AE" w:rsidRPr="00CD6267">
        <w:rPr>
          <w:szCs w:val="22"/>
          <w:lang w:val="lt-LT"/>
        </w:rPr>
        <w:t xml:space="preserve"> vietoje.</w:t>
      </w:r>
    </w:p>
    <w:p w:rsidR="00ED67AE" w:rsidRPr="00CD6267" w:rsidRDefault="00ED67AE" w:rsidP="00ED67AE">
      <w:pPr>
        <w:rPr>
          <w:szCs w:val="22"/>
          <w:lang w:val="lt-LT"/>
        </w:rPr>
      </w:pPr>
    </w:p>
    <w:p w:rsidR="00ED67AE" w:rsidRPr="00CD6267" w:rsidRDefault="00ED67AE" w:rsidP="00ED67AE">
      <w:pPr>
        <w:rPr>
          <w:iCs/>
          <w:szCs w:val="22"/>
          <w:lang w:val="lt-LT"/>
        </w:rPr>
      </w:pPr>
      <w:r w:rsidRPr="00CD6267">
        <w:rPr>
          <w:iCs/>
          <w:szCs w:val="22"/>
          <w:lang w:val="lt-LT"/>
        </w:rPr>
        <w:t xml:space="preserve">Ant </w:t>
      </w:r>
      <w:r>
        <w:rPr>
          <w:iCs/>
          <w:szCs w:val="22"/>
          <w:lang w:val="lt-LT"/>
        </w:rPr>
        <w:t>kartono dėžutės ir lizdinės plokštelės po „Tinka iki/EXP“</w:t>
      </w:r>
      <w:r w:rsidRPr="00CD6267">
        <w:rPr>
          <w:iCs/>
          <w:szCs w:val="22"/>
          <w:lang w:val="lt-LT"/>
        </w:rPr>
        <w:t xml:space="preserve"> nurodytam tinkamumo laikui pasibaigus, </w:t>
      </w:r>
      <w:r w:rsidR="00557708">
        <w:rPr>
          <w:iCs/>
          <w:szCs w:val="22"/>
          <w:lang w:val="lt-LT"/>
        </w:rPr>
        <w:t xml:space="preserve">šio vaisto </w:t>
      </w:r>
      <w:r w:rsidRPr="00CD6267">
        <w:rPr>
          <w:iCs/>
          <w:szCs w:val="22"/>
          <w:lang w:val="lt-LT"/>
        </w:rPr>
        <w:t xml:space="preserve">vartoti negalima. </w:t>
      </w:r>
      <w:r>
        <w:rPr>
          <w:iCs/>
          <w:szCs w:val="22"/>
          <w:lang w:val="lt-LT"/>
        </w:rPr>
        <w:t>Pirmieji du skaitmenys nurodo mėnesį, o keturi paskutinieji – metus.</w:t>
      </w:r>
      <w:r w:rsidR="00365959">
        <w:rPr>
          <w:iCs/>
          <w:szCs w:val="22"/>
          <w:lang w:val="lt-LT"/>
        </w:rPr>
        <w:t xml:space="preserve"> </w:t>
      </w:r>
      <w:r w:rsidRPr="00CD6267">
        <w:rPr>
          <w:iCs/>
          <w:szCs w:val="22"/>
          <w:lang w:val="lt-LT"/>
        </w:rPr>
        <w:t>Vaistas tinka</w:t>
      </w:r>
      <w:r w:rsidR="00557708">
        <w:rPr>
          <w:iCs/>
          <w:szCs w:val="22"/>
          <w:lang w:val="lt-LT"/>
        </w:rPr>
        <w:t>mas</w:t>
      </w:r>
      <w:r w:rsidRPr="00CD6267">
        <w:rPr>
          <w:iCs/>
          <w:szCs w:val="22"/>
          <w:lang w:val="lt-LT"/>
        </w:rPr>
        <w:t xml:space="preserve"> vartoti iki paskutinės nurodyto mėnesio dienos.</w:t>
      </w:r>
    </w:p>
    <w:p w:rsidR="00ED67AE" w:rsidRPr="00CD6267" w:rsidRDefault="00ED67AE" w:rsidP="00ED67AE">
      <w:pPr>
        <w:rPr>
          <w:szCs w:val="22"/>
          <w:lang w:val="lt-LT"/>
        </w:rPr>
      </w:pPr>
    </w:p>
    <w:p w:rsidR="00ED67AE" w:rsidRPr="00CD6267" w:rsidRDefault="00ED67AE" w:rsidP="00ED67AE">
      <w:pPr>
        <w:rPr>
          <w:iCs/>
          <w:szCs w:val="22"/>
          <w:lang w:val="lt-LT"/>
        </w:rPr>
      </w:pPr>
      <w:r>
        <w:rPr>
          <w:iCs/>
          <w:szCs w:val="22"/>
          <w:lang w:val="lt-LT"/>
        </w:rPr>
        <w:t>Šiam vaist</w:t>
      </w:r>
      <w:r w:rsidR="00557708">
        <w:rPr>
          <w:iCs/>
          <w:szCs w:val="22"/>
          <w:lang w:val="lt-LT"/>
        </w:rPr>
        <w:t>ui</w:t>
      </w:r>
      <w:r>
        <w:rPr>
          <w:iCs/>
          <w:szCs w:val="22"/>
          <w:lang w:val="lt-LT"/>
        </w:rPr>
        <w:t xml:space="preserve"> specialių laikymo sąlygų nereikia.</w:t>
      </w:r>
    </w:p>
    <w:p w:rsidR="00ED67AE" w:rsidRPr="00CD6267" w:rsidRDefault="00ED67AE" w:rsidP="00ED67AE">
      <w:pPr>
        <w:rPr>
          <w:szCs w:val="22"/>
          <w:lang w:val="lt-LT"/>
        </w:rPr>
      </w:pPr>
    </w:p>
    <w:p w:rsidR="00ED67AE" w:rsidRPr="00CD6267" w:rsidRDefault="00ED67AE" w:rsidP="00ED67AE">
      <w:pPr>
        <w:rPr>
          <w:szCs w:val="22"/>
          <w:lang w:val="lt-LT"/>
        </w:rPr>
      </w:pPr>
      <w:r w:rsidRPr="00CD6267">
        <w:rPr>
          <w:szCs w:val="22"/>
          <w:lang w:val="lt-LT"/>
        </w:rPr>
        <w:t>Vaistų negalima iš</w:t>
      </w:r>
      <w:r w:rsidR="00557708">
        <w:rPr>
          <w:szCs w:val="22"/>
          <w:lang w:val="lt-LT"/>
        </w:rPr>
        <w:t>mesti</w:t>
      </w:r>
      <w:r w:rsidRPr="00CD6267">
        <w:rPr>
          <w:szCs w:val="22"/>
          <w:lang w:val="lt-LT"/>
        </w:rPr>
        <w:t xml:space="preserve"> į kanalizaciją arb</w:t>
      </w:r>
      <w:r w:rsidR="00557708">
        <w:rPr>
          <w:szCs w:val="22"/>
          <w:lang w:val="lt-LT"/>
        </w:rPr>
        <w:t>a</w:t>
      </w:r>
      <w:r w:rsidRPr="00CD6267">
        <w:rPr>
          <w:szCs w:val="22"/>
          <w:lang w:val="lt-LT"/>
        </w:rPr>
        <w:t xml:space="preserve"> kartu su buitinėmis</w:t>
      </w:r>
      <w:r w:rsidRPr="00CD6267">
        <w:rPr>
          <w:color w:val="993366"/>
          <w:szCs w:val="22"/>
          <w:lang w:val="lt-LT"/>
        </w:rPr>
        <w:t xml:space="preserve"> </w:t>
      </w:r>
      <w:r w:rsidRPr="00CD6267">
        <w:rPr>
          <w:szCs w:val="22"/>
          <w:lang w:val="lt-LT"/>
        </w:rPr>
        <w:t xml:space="preserve">atliekomis. Kaip </w:t>
      </w:r>
      <w:r w:rsidR="00557708">
        <w:rPr>
          <w:szCs w:val="22"/>
          <w:lang w:val="lt-LT"/>
        </w:rPr>
        <w:t>išmesti</w:t>
      </w:r>
      <w:r w:rsidRPr="00CD6267">
        <w:rPr>
          <w:szCs w:val="22"/>
          <w:lang w:val="lt-LT"/>
        </w:rPr>
        <w:t xml:space="preserve"> nereikalingus vaistus, klauskite vaistininko. Šios priemonės padės apsaugoti aplinką.</w:t>
      </w:r>
    </w:p>
    <w:p w:rsidR="00ED67AE" w:rsidRPr="00CD6267" w:rsidRDefault="00ED67AE" w:rsidP="00ED67AE">
      <w:pPr>
        <w:rPr>
          <w:szCs w:val="22"/>
          <w:lang w:val="lt-LT"/>
        </w:rPr>
      </w:pPr>
    </w:p>
    <w:p w:rsidR="00ED67AE" w:rsidRPr="00CD6267" w:rsidRDefault="00ED67AE" w:rsidP="00ED67AE">
      <w:pPr>
        <w:rPr>
          <w:szCs w:val="22"/>
          <w:lang w:val="lt-LT"/>
        </w:rPr>
      </w:pPr>
    </w:p>
    <w:p w:rsidR="00ED67AE" w:rsidRPr="00CD6267" w:rsidRDefault="00ED67AE" w:rsidP="00ED67AE">
      <w:pPr>
        <w:rPr>
          <w:b/>
          <w:szCs w:val="22"/>
          <w:lang w:val="lt-LT"/>
        </w:rPr>
      </w:pPr>
      <w:r w:rsidRPr="00CD6267">
        <w:rPr>
          <w:b/>
          <w:szCs w:val="22"/>
          <w:lang w:val="lt-LT"/>
        </w:rPr>
        <w:t>6.</w:t>
      </w:r>
      <w:r w:rsidRPr="00CD6267">
        <w:rPr>
          <w:b/>
          <w:szCs w:val="22"/>
          <w:lang w:val="lt-LT"/>
        </w:rPr>
        <w:tab/>
      </w:r>
      <w:r w:rsidR="00557708">
        <w:rPr>
          <w:b/>
          <w:szCs w:val="22"/>
          <w:lang w:val="lt-LT"/>
        </w:rPr>
        <w:t>Pakuotės turinys ir kita informacija</w:t>
      </w:r>
    </w:p>
    <w:p w:rsidR="00ED67AE" w:rsidRPr="00CD6267" w:rsidRDefault="00ED67AE" w:rsidP="00ED67AE">
      <w:pPr>
        <w:rPr>
          <w:szCs w:val="22"/>
          <w:lang w:val="lt-LT"/>
        </w:rPr>
      </w:pPr>
    </w:p>
    <w:p w:rsidR="00ED67AE" w:rsidRPr="00CD6267" w:rsidRDefault="00ED67AE" w:rsidP="00ED67AE">
      <w:pPr>
        <w:rPr>
          <w:szCs w:val="22"/>
          <w:u w:val="single"/>
          <w:lang w:val="lt-LT"/>
        </w:rPr>
      </w:pPr>
      <w:r>
        <w:rPr>
          <w:b/>
          <w:iCs/>
          <w:szCs w:val="22"/>
          <w:lang w:val="lt-LT"/>
        </w:rPr>
        <w:t>Ibandronic acid Actavis</w:t>
      </w:r>
      <w:r w:rsidRPr="000A4C5E">
        <w:rPr>
          <w:b/>
          <w:bCs/>
          <w:szCs w:val="22"/>
          <w:lang w:val="lt-LT"/>
        </w:rPr>
        <w:t xml:space="preserve"> </w:t>
      </w:r>
      <w:r>
        <w:rPr>
          <w:b/>
          <w:bCs/>
          <w:szCs w:val="22"/>
          <w:lang w:val="lt-LT"/>
        </w:rPr>
        <w:t xml:space="preserve">150 mg </w:t>
      </w:r>
      <w:r w:rsidRPr="000A4C5E">
        <w:rPr>
          <w:b/>
          <w:bCs/>
          <w:szCs w:val="22"/>
          <w:lang w:val="lt-LT"/>
        </w:rPr>
        <w:t>s</w:t>
      </w:r>
      <w:r w:rsidRPr="00CD6267">
        <w:rPr>
          <w:b/>
          <w:bCs/>
          <w:szCs w:val="22"/>
          <w:lang w:val="lt-LT"/>
        </w:rPr>
        <w:t xml:space="preserve">udėtis </w:t>
      </w:r>
    </w:p>
    <w:p w:rsidR="00ED67AE" w:rsidRPr="00557708" w:rsidRDefault="00ED67AE" w:rsidP="00383225">
      <w:pPr>
        <w:pStyle w:val="Sraopastraipa"/>
        <w:numPr>
          <w:ilvl w:val="0"/>
          <w:numId w:val="9"/>
        </w:numPr>
        <w:ind w:left="567" w:hanging="567"/>
        <w:rPr>
          <w:szCs w:val="22"/>
          <w:lang w:val="lt-LT"/>
        </w:rPr>
      </w:pPr>
      <w:r w:rsidRPr="00557708">
        <w:rPr>
          <w:szCs w:val="22"/>
          <w:lang w:val="lt-LT"/>
        </w:rPr>
        <w:t xml:space="preserve">Veiklioji medžiaga yra 150 mg ibandrono rūgšties (ibandronato natrio druskos monohidrato pavidalu). </w:t>
      </w:r>
    </w:p>
    <w:p w:rsidR="00ED67AE" w:rsidRPr="00FF12EB" w:rsidRDefault="00ED67AE" w:rsidP="00383225">
      <w:pPr>
        <w:pStyle w:val="Sraopastraipa"/>
        <w:numPr>
          <w:ilvl w:val="0"/>
          <w:numId w:val="9"/>
        </w:numPr>
        <w:ind w:left="567" w:hanging="567"/>
        <w:rPr>
          <w:szCs w:val="22"/>
          <w:lang w:val="lt-LT"/>
        </w:rPr>
      </w:pPr>
      <w:r w:rsidRPr="00557708">
        <w:rPr>
          <w:szCs w:val="22"/>
          <w:lang w:val="lt-LT"/>
        </w:rPr>
        <w:t>Pagalbinės medžiagos. Tabletės branduolys: laktozė monohidratas, krospovidonas (E 1202), mikrokristalinė celiuliozė (E 460), bevandenis koloidinis silicio dioksidas (E 551) ir natrio stearilfumaratas. Tabletės plėvelė: polivinilo alkoholis, makrogolis 3350, talkas (E 553b) ir titano dioksidas (E 171).</w:t>
      </w:r>
      <w:r w:rsidRPr="00557708">
        <w:rPr>
          <w:color w:val="008000"/>
          <w:szCs w:val="22"/>
          <w:lang w:val="lt-LT"/>
        </w:rPr>
        <w:t xml:space="preserve"> </w:t>
      </w:r>
    </w:p>
    <w:p w:rsidR="00ED67AE" w:rsidRPr="00CD6267" w:rsidRDefault="00ED67AE" w:rsidP="00ED67AE">
      <w:pPr>
        <w:rPr>
          <w:szCs w:val="22"/>
          <w:lang w:val="lt-LT"/>
        </w:rPr>
      </w:pPr>
    </w:p>
    <w:p w:rsidR="00ED67AE" w:rsidRPr="00CD6267" w:rsidRDefault="00ED67AE" w:rsidP="00ED67AE">
      <w:pPr>
        <w:rPr>
          <w:b/>
          <w:bCs/>
          <w:szCs w:val="22"/>
          <w:lang w:val="lt-LT"/>
        </w:rPr>
      </w:pPr>
      <w:r>
        <w:rPr>
          <w:b/>
          <w:iCs/>
          <w:szCs w:val="22"/>
          <w:lang w:val="lt-LT"/>
        </w:rPr>
        <w:t>Ibandronic acid Actavis</w:t>
      </w:r>
      <w:r w:rsidRPr="00CD6267">
        <w:rPr>
          <w:b/>
          <w:bCs/>
          <w:szCs w:val="22"/>
          <w:lang w:val="lt-LT"/>
        </w:rPr>
        <w:t xml:space="preserve"> </w:t>
      </w:r>
      <w:r>
        <w:rPr>
          <w:b/>
          <w:bCs/>
          <w:szCs w:val="22"/>
          <w:lang w:val="lt-LT"/>
        </w:rPr>
        <w:t xml:space="preserve">150 mg </w:t>
      </w:r>
      <w:r w:rsidRPr="00CD6267">
        <w:rPr>
          <w:b/>
          <w:bCs/>
          <w:szCs w:val="22"/>
          <w:lang w:val="lt-LT"/>
        </w:rPr>
        <w:t>išvaizda ir kiekis pakuotėje</w:t>
      </w:r>
    </w:p>
    <w:p w:rsidR="00ED67AE" w:rsidRPr="00346D8F" w:rsidRDefault="00ED67AE" w:rsidP="00ED67AE">
      <w:pPr>
        <w:rPr>
          <w:bCs/>
          <w:szCs w:val="22"/>
          <w:lang w:val="lt-LT"/>
        </w:rPr>
      </w:pPr>
      <w:r>
        <w:rPr>
          <w:szCs w:val="22"/>
          <w:lang w:val="lt-LT"/>
        </w:rPr>
        <w:t xml:space="preserve">Ibandronic acid Actavis 150 mg tabletės yra baltos arba balkšvos, pailgos, </w:t>
      </w:r>
      <w:r w:rsidRPr="00CD6267">
        <w:rPr>
          <w:szCs w:val="22"/>
          <w:lang w:val="lt-LT"/>
        </w:rPr>
        <w:t>viena jų pusė ženklinta užrašu „</w:t>
      </w:r>
      <w:r>
        <w:rPr>
          <w:szCs w:val="22"/>
          <w:lang w:val="lt-LT"/>
        </w:rPr>
        <w:t>I</w:t>
      </w:r>
      <w:r w:rsidRPr="00CD6267">
        <w:rPr>
          <w:szCs w:val="22"/>
          <w:lang w:val="lt-LT"/>
        </w:rPr>
        <w:t xml:space="preserve">9BE‘, kita </w:t>
      </w:r>
      <w:r w:rsidRPr="00CD6267">
        <w:rPr>
          <w:szCs w:val="22"/>
          <w:lang w:val="lt-LT"/>
        </w:rPr>
        <w:sym w:font="Symbol" w:char="F02D"/>
      </w:r>
      <w:r w:rsidRPr="00CD6267">
        <w:rPr>
          <w:szCs w:val="22"/>
          <w:lang w:val="lt-LT"/>
        </w:rPr>
        <w:t xml:space="preserve"> skaitmeniu „</w:t>
      </w:r>
      <w:r>
        <w:rPr>
          <w:szCs w:val="22"/>
          <w:lang w:val="lt-LT"/>
        </w:rPr>
        <w:t>1</w:t>
      </w:r>
      <w:r w:rsidRPr="00CD6267">
        <w:rPr>
          <w:szCs w:val="22"/>
          <w:lang w:val="lt-LT"/>
        </w:rPr>
        <w:t>50“.</w:t>
      </w:r>
      <w:r>
        <w:rPr>
          <w:szCs w:val="22"/>
          <w:lang w:val="lt-LT"/>
        </w:rPr>
        <w:t xml:space="preserve"> Jos </w:t>
      </w:r>
      <w:r w:rsidRPr="00346D8F">
        <w:rPr>
          <w:bCs/>
          <w:szCs w:val="22"/>
          <w:lang w:val="lt-LT"/>
        </w:rPr>
        <w:t xml:space="preserve">tiekiamos supakuotos į lizdines plokšteles. </w:t>
      </w:r>
    </w:p>
    <w:p w:rsidR="00ED67AE" w:rsidRDefault="00ED67AE" w:rsidP="00ED67AE">
      <w:pPr>
        <w:rPr>
          <w:bCs/>
          <w:i/>
          <w:szCs w:val="22"/>
          <w:lang w:val="lt-LT"/>
        </w:rPr>
      </w:pPr>
    </w:p>
    <w:p w:rsidR="00ED67AE" w:rsidRDefault="00ED67AE" w:rsidP="00ED67AE">
      <w:pPr>
        <w:rPr>
          <w:bCs/>
          <w:i/>
          <w:szCs w:val="22"/>
          <w:lang w:val="lt-LT"/>
        </w:rPr>
      </w:pPr>
      <w:r w:rsidRPr="00346D8F">
        <w:rPr>
          <w:bCs/>
          <w:i/>
          <w:szCs w:val="22"/>
          <w:lang w:val="lt-LT"/>
        </w:rPr>
        <w:t>Pakuotės dydis</w:t>
      </w:r>
      <w:r>
        <w:rPr>
          <w:bCs/>
          <w:i/>
          <w:szCs w:val="22"/>
          <w:lang w:val="lt-LT"/>
        </w:rPr>
        <w:t>:</w:t>
      </w:r>
    </w:p>
    <w:p w:rsidR="00ED67AE" w:rsidRDefault="00ED67AE" w:rsidP="00ED67AE">
      <w:pPr>
        <w:rPr>
          <w:iCs/>
          <w:szCs w:val="22"/>
          <w:lang w:val="lt-LT"/>
        </w:rPr>
      </w:pPr>
      <w:r w:rsidRPr="00DA3ED7">
        <w:rPr>
          <w:iCs/>
          <w:szCs w:val="22"/>
          <w:lang w:val="lt-LT"/>
        </w:rPr>
        <w:t>1, 3, 7, 10, 14, 20, 21, 28</w:t>
      </w:r>
      <w:r>
        <w:rPr>
          <w:iCs/>
          <w:szCs w:val="22"/>
          <w:lang w:val="lt-LT"/>
        </w:rPr>
        <w:t xml:space="preserve"> arba</w:t>
      </w:r>
      <w:r w:rsidRPr="00DA3ED7">
        <w:rPr>
          <w:iCs/>
          <w:szCs w:val="22"/>
          <w:lang w:val="lt-LT"/>
        </w:rPr>
        <w:t xml:space="preserve"> 30</w:t>
      </w:r>
      <w:r>
        <w:rPr>
          <w:iCs/>
          <w:szCs w:val="22"/>
          <w:lang w:val="lt-LT"/>
        </w:rPr>
        <w:t xml:space="preserve"> </w:t>
      </w:r>
      <w:r w:rsidRPr="00DA3ED7">
        <w:rPr>
          <w:iCs/>
          <w:szCs w:val="22"/>
          <w:lang w:val="lt-LT"/>
        </w:rPr>
        <w:t>tablečių</w:t>
      </w:r>
      <w:r>
        <w:rPr>
          <w:iCs/>
          <w:szCs w:val="22"/>
          <w:lang w:val="lt-LT"/>
        </w:rPr>
        <w:t>.</w:t>
      </w:r>
    </w:p>
    <w:p w:rsidR="00ED67AE" w:rsidRDefault="00ED67AE" w:rsidP="00ED67AE">
      <w:pPr>
        <w:rPr>
          <w:iCs/>
          <w:szCs w:val="22"/>
          <w:lang w:val="lt-LT"/>
        </w:rPr>
      </w:pPr>
      <w:r>
        <w:rPr>
          <w:iCs/>
          <w:szCs w:val="22"/>
          <w:lang w:val="lt-LT"/>
        </w:rPr>
        <w:t>Gali būti tiekiamos ne visų dydžių pakuotės.</w:t>
      </w:r>
    </w:p>
    <w:p w:rsidR="00ED67AE" w:rsidRPr="00346D8F" w:rsidRDefault="00ED67AE" w:rsidP="00ED67AE">
      <w:pPr>
        <w:rPr>
          <w:b/>
          <w:bCs/>
          <w:i/>
          <w:szCs w:val="22"/>
          <w:lang w:val="lt-LT"/>
        </w:rPr>
      </w:pPr>
    </w:p>
    <w:p w:rsidR="00ED67AE" w:rsidRPr="00CD6267" w:rsidRDefault="00ED67AE" w:rsidP="00ED67AE">
      <w:pPr>
        <w:rPr>
          <w:b/>
          <w:bCs/>
          <w:szCs w:val="22"/>
          <w:lang w:val="lt-LT"/>
        </w:rPr>
      </w:pPr>
      <w:r w:rsidRPr="00CD6267">
        <w:rPr>
          <w:b/>
          <w:bCs/>
          <w:szCs w:val="22"/>
          <w:lang w:val="lt-LT"/>
        </w:rPr>
        <w:t>R</w:t>
      </w:r>
      <w:r w:rsidR="00FF12EB">
        <w:rPr>
          <w:b/>
          <w:bCs/>
          <w:szCs w:val="22"/>
          <w:lang w:val="lt-LT"/>
        </w:rPr>
        <w:t>egistruotojas</w:t>
      </w:r>
      <w:r w:rsidRPr="00CD6267">
        <w:rPr>
          <w:b/>
          <w:bCs/>
          <w:szCs w:val="22"/>
          <w:lang w:val="lt-LT"/>
        </w:rPr>
        <w:t xml:space="preserve"> ir gamintojas</w:t>
      </w:r>
    </w:p>
    <w:p w:rsidR="00ED67AE" w:rsidRDefault="00ED67AE" w:rsidP="00ED67AE">
      <w:pPr>
        <w:rPr>
          <w:szCs w:val="22"/>
          <w:lang w:val="lt-LT"/>
        </w:rPr>
      </w:pPr>
    </w:p>
    <w:p w:rsidR="00ED67AE" w:rsidRDefault="00ED67AE" w:rsidP="00ED67AE">
      <w:pPr>
        <w:rPr>
          <w:i/>
          <w:szCs w:val="22"/>
          <w:lang w:val="lt-LT"/>
        </w:rPr>
      </w:pPr>
      <w:r>
        <w:rPr>
          <w:i/>
          <w:szCs w:val="22"/>
          <w:lang w:val="lt-LT"/>
        </w:rPr>
        <w:t>R</w:t>
      </w:r>
      <w:r w:rsidR="00FF12EB">
        <w:rPr>
          <w:i/>
          <w:szCs w:val="22"/>
          <w:lang w:val="lt-LT"/>
        </w:rPr>
        <w:t>egistruotojas</w:t>
      </w:r>
    </w:p>
    <w:p w:rsidR="00ED67AE" w:rsidRDefault="00ED67AE" w:rsidP="00ED67AE">
      <w:pPr>
        <w:rPr>
          <w:szCs w:val="22"/>
          <w:lang w:val="lt-LT"/>
        </w:rPr>
      </w:pPr>
      <w:r>
        <w:rPr>
          <w:szCs w:val="22"/>
          <w:lang w:val="lt-LT"/>
        </w:rPr>
        <w:t>Actavis Group PTC ehf</w:t>
      </w:r>
    </w:p>
    <w:p w:rsidR="00ED67AE" w:rsidRDefault="00ED67AE" w:rsidP="00ED67AE">
      <w:pPr>
        <w:rPr>
          <w:szCs w:val="22"/>
          <w:lang w:val="lt-LT"/>
        </w:rPr>
      </w:pPr>
      <w:r>
        <w:rPr>
          <w:szCs w:val="22"/>
          <w:lang w:val="lt-LT"/>
        </w:rPr>
        <w:t>Reykjavíkurvegi 76-78, 220 Hafnarfjörður</w:t>
      </w:r>
    </w:p>
    <w:p w:rsidR="00ED67AE" w:rsidRDefault="00ED67AE" w:rsidP="00ED67AE">
      <w:pPr>
        <w:rPr>
          <w:szCs w:val="22"/>
          <w:lang w:val="lt-LT"/>
        </w:rPr>
      </w:pPr>
      <w:r>
        <w:rPr>
          <w:szCs w:val="22"/>
          <w:lang w:val="lt-LT"/>
        </w:rPr>
        <w:t>Islandija</w:t>
      </w:r>
    </w:p>
    <w:p w:rsidR="00ED67AE" w:rsidRDefault="00ED67AE" w:rsidP="00ED67AE">
      <w:pPr>
        <w:rPr>
          <w:i/>
          <w:szCs w:val="22"/>
          <w:lang w:val="lt-LT"/>
        </w:rPr>
      </w:pPr>
    </w:p>
    <w:p w:rsidR="00ED67AE" w:rsidRDefault="00ED67AE" w:rsidP="00ED67AE">
      <w:pPr>
        <w:rPr>
          <w:i/>
          <w:szCs w:val="22"/>
          <w:lang w:val="lt-LT"/>
        </w:rPr>
      </w:pPr>
      <w:r>
        <w:rPr>
          <w:i/>
          <w:szCs w:val="22"/>
          <w:lang w:val="lt-LT"/>
        </w:rPr>
        <w:t>Gamintojas</w:t>
      </w:r>
    </w:p>
    <w:p w:rsidR="00ED67AE" w:rsidRPr="00931C4F" w:rsidRDefault="00ED67AE" w:rsidP="00ED67AE">
      <w:pPr>
        <w:rPr>
          <w:rFonts w:ascii="TimesNewRoman,Bold" w:hAnsi="TimesNewRoman,Bold" w:cs="TimesNewRoman,Bold"/>
          <w:lang w:val="lt-LT" w:eastAsia="pl-PL"/>
        </w:rPr>
      </w:pPr>
      <w:r w:rsidRPr="00931C4F">
        <w:rPr>
          <w:rFonts w:ascii="TimesNewRoman,Bold" w:hAnsi="TimesNewRoman,Bold" w:cs="TimesNewRoman,Bold"/>
          <w:lang w:val="lt-LT" w:eastAsia="pl-PL"/>
        </w:rPr>
        <w:t>Synthon BV</w:t>
      </w:r>
    </w:p>
    <w:p w:rsidR="00ED67AE" w:rsidRPr="00931C4F" w:rsidRDefault="00ED67AE" w:rsidP="00ED67AE">
      <w:pPr>
        <w:rPr>
          <w:rFonts w:ascii="TimesNewRoman,Bold" w:hAnsi="TimesNewRoman,Bold" w:cs="TimesNewRoman,Bold"/>
          <w:lang w:val="lt-LT" w:eastAsia="pl-PL"/>
        </w:rPr>
      </w:pPr>
      <w:r w:rsidRPr="00931C4F">
        <w:rPr>
          <w:rFonts w:ascii="TimesNewRoman,Bold" w:hAnsi="TimesNewRoman,Bold" w:cs="TimesNewRoman,Bold"/>
          <w:lang w:val="lt-LT" w:eastAsia="pl-PL"/>
        </w:rPr>
        <w:t>Microweg 22, 6545CM Nijmegen</w:t>
      </w: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Nyderlandai</w:t>
      </w:r>
    </w:p>
    <w:p w:rsidR="00ED67AE" w:rsidRPr="00931C4F" w:rsidRDefault="00ED67AE" w:rsidP="00ED67AE">
      <w:pPr>
        <w:rPr>
          <w:rFonts w:ascii="TimesNewRoman,Bold" w:hAnsi="TimesNewRoman,Bold" w:cs="TimesNewRoman,Bold"/>
          <w:lang w:val="nb-NO" w:eastAsia="pl-PL"/>
        </w:rPr>
      </w:pP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arba</w:t>
      </w:r>
    </w:p>
    <w:p w:rsidR="00ED67AE" w:rsidRPr="00931C4F" w:rsidRDefault="00ED67AE" w:rsidP="00ED67AE">
      <w:pPr>
        <w:rPr>
          <w:rFonts w:ascii="TimesNewRoman,Bold" w:hAnsi="TimesNewRoman,Bold" w:cs="TimesNewRoman,Bold"/>
          <w:lang w:val="nb-NO" w:eastAsia="pl-PL"/>
        </w:rPr>
      </w:pPr>
    </w:p>
    <w:p w:rsidR="00ED67AE" w:rsidRPr="00931C4F" w:rsidRDefault="00ED67AE" w:rsidP="00ED67AE">
      <w:pPr>
        <w:rPr>
          <w:rFonts w:ascii="TimesNewRoman,Bold" w:hAnsi="TimesNewRoman,Bold" w:cs="TimesNewRoman,Bold"/>
          <w:lang w:val="nb-NO" w:eastAsia="pl-PL"/>
        </w:rPr>
      </w:pPr>
      <w:r w:rsidRPr="00931C4F">
        <w:rPr>
          <w:rFonts w:ascii="TimesNewRoman,Bold" w:hAnsi="TimesNewRoman,Bold" w:cs="TimesNewRoman,Bold"/>
          <w:lang w:val="nb-NO" w:eastAsia="pl-PL"/>
        </w:rPr>
        <w:t>Synthon Hispania SL</w:t>
      </w:r>
    </w:p>
    <w:p w:rsidR="00ED67AE" w:rsidRDefault="00ED67AE" w:rsidP="00ED67AE">
      <w:pPr>
        <w:rPr>
          <w:lang w:val="es-ES"/>
        </w:rPr>
      </w:pPr>
      <w:r w:rsidRPr="00931C4F">
        <w:rPr>
          <w:lang w:val="es-ES"/>
        </w:rPr>
        <w:t>Castelló 1, Polígono Las Salinas, 08830 Sant Boi de Llobregat</w:t>
      </w:r>
    </w:p>
    <w:p w:rsidR="00ED67AE" w:rsidRDefault="00ED67AE" w:rsidP="00ED67AE">
      <w:pPr>
        <w:rPr>
          <w:lang w:val="es-ES"/>
        </w:rPr>
      </w:pPr>
      <w:r>
        <w:rPr>
          <w:lang w:val="es-ES"/>
        </w:rPr>
        <w:t>Ispanija</w:t>
      </w:r>
    </w:p>
    <w:p w:rsidR="00ED67AE" w:rsidRDefault="00ED67AE" w:rsidP="00ED67AE">
      <w:pPr>
        <w:rPr>
          <w:lang w:val="es-ES"/>
        </w:rPr>
      </w:pPr>
    </w:p>
    <w:p w:rsidR="00ED67AE" w:rsidRPr="000F46CA" w:rsidRDefault="00ED67AE" w:rsidP="00ED67AE">
      <w:pPr>
        <w:rPr>
          <w:lang w:val="es-ES"/>
        </w:rPr>
      </w:pPr>
      <w:proofErr w:type="gramStart"/>
      <w:r w:rsidRPr="000F46CA">
        <w:rPr>
          <w:lang w:val="es-ES"/>
        </w:rPr>
        <w:t>arba</w:t>
      </w:r>
      <w:proofErr w:type="gramEnd"/>
    </w:p>
    <w:p w:rsidR="00ED67AE" w:rsidRPr="000F46CA" w:rsidRDefault="00ED67AE" w:rsidP="00ED67AE">
      <w:pPr>
        <w:rPr>
          <w:lang w:val="es-ES"/>
        </w:rPr>
      </w:pPr>
    </w:p>
    <w:p w:rsidR="00ED67AE" w:rsidRPr="000F46CA" w:rsidRDefault="00ED67AE" w:rsidP="00ED67AE">
      <w:pPr>
        <w:rPr>
          <w:lang w:val="es-ES"/>
        </w:rPr>
      </w:pPr>
      <w:r w:rsidRPr="000F46CA">
        <w:rPr>
          <w:lang w:val="es-ES"/>
        </w:rPr>
        <w:t>MPF B.V.</w:t>
      </w:r>
    </w:p>
    <w:p w:rsidR="00ED67AE" w:rsidRPr="000F46CA" w:rsidRDefault="00ED67AE" w:rsidP="00ED67AE">
      <w:pPr>
        <w:rPr>
          <w:lang w:val="es-ES"/>
        </w:rPr>
      </w:pPr>
      <w:r w:rsidRPr="000F46CA">
        <w:rPr>
          <w:lang w:val="es-ES"/>
        </w:rPr>
        <w:t>Appelhof 13, 8465 RX Oudehaske</w:t>
      </w:r>
    </w:p>
    <w:p w:rsidR="00ED67AE" w:rsidRPr="006B0B40" w:rsidRDefault="00ED67AE" w:rsidP="00ED67AE">
      <w:pPr>
        <w:rPr>
          <w:lang w:val="es-ES"/>
        </w:rPr>
      </w:pPr>
      <w:r w:rsidRPr="00713AEB">
        <w:rPr>
          <w:lang w:val="es-ES"/>
        </w:rPr>
        <w:t>Nyderlandai</w:t>
      </w:r>
    </w:p>
    <w:p w:rsidR="00ED67AE" w:rsidRPr="006B0B40" w:rsidRDefault="00ED67AE" w:rsidP="00ED67AE">
      <w:pPr>
        <w:rPr>
          <w:lang w:val="es-ES"/>
        </w:rPr>
      </w:pPr>
    </w:p>
    <w:p w:rsidR="00ED67AE" w:rsidRPr="006B0B40" w:rsidRDefault="00ED67AE" w:rsidP="00ED67AE">
      <w:pPr>
        <w:rPr>
          <w:lang w:val="es-ES"/>
        </w:rPr>
      </w:pPr>
      <w:proofErr w:type="gramStart"/>
      <w:r w:rsidRPr="00713AEB">
        <w:rPr>
          <w:lang w:val="es-ES"/>
        </w:rPr>
        <w:t>arba</w:t>
      </w:r>
      <w:proofErr w:type="gramEnd"/>
    </w:p>
    <w:p w:rsidR="00ED67AE" w:rsidRPr="006B0B40" w:rsidRDefault="00ED67AE" w:rsidP="00ED67AE">
      <w:pPr>
        <w:rPr>
          <w:lang w:val="es-ES"/>
        </w:rPr>
      </w:pPr>
    </w:p>
    <w:p w:rsidR="00ED67AE" w:rsidRPr="006B0B40" w:rsidRDefault="00ED67AE" w:rsidP="00ED67AE">
      <w:pPr>
        <w:rPr>
          <w:lang w:val="es-ES"/>
        </w:rPr>
      </w:pPr>
      <w:r w:rsidRPr="00713AEB">
        <w:rPr>
          <w:lang w:val="es-ES"/>
        </w:rPr>
        <w:t>Dragenopharm Apotheker Püschl GmbH</w:t>
      </w:r>
    </w:p>
    <w:p w:rsidR="00ED67AE" w:rsidRPr="00EC6AAF" w:rsidRDefault="00ED67AE" w:rsidP="00ED67AE">
      <w:pPr>
        <w:rPr>
          <w:lang w:val="nb-NO"/>
        </w:rPr>
      </w:pPr>
      <w:r w:rsidRPr="00EC6AAF">
        <w:rPr>
          <w:lang w:val="nb-NO"/>
        </w:rPr>
        <w:t>Goellstrasse 1, 84529 Tittmoning</w:t>
      </w:r>
    </w:p>
    <w:p w:rsidR="00ED67AE" w:rsidRPr="00EC6AAF" w:rsidRDefault="00ED67AE" w:rsidP="00ED67AE">
      <w:pPr>
        <w:rPr>
          <w:lang w:val="nb-NO"/>
        </w:rPr>
      </w:pPr>
      <w:r w:rsidRPr="00EC6AAF">
        <w:rPr>
          <w:lang w:val="nb-NO"/>
        </w:rPr>
        <w:t>Vokietija</w:t>
      </w:r>
    </w:p>
    <w:p w:rsidR="00ED67AE" w:rsidRDefault="00ED67AE" w:rsidP="00ED67AE">
      <w:pPr>
        <w:rPr>
          <w:lang w:val="nb-NO"/>
        </w:rPr>
      </w:pPr>
    </w:p>
    <w:p w:rsidR="00ED67AE" w:rsidRPr="00D42AD1" w:rsidRDefault="00ED67AE" w:rsidP="00ED67AE">
      <w:pPr>
        <w:rPr>
          <w:lang w:val="nb-NO"/>
        </w:rPr>
      </w:pPr>
      <w:r w:rsidRPr="00D42AD1">
        <w:rPr>
          <w:lang w:val="nb-NO"/>
        </w:rPr>
        <w:t>arba</w:t>
      </w:r>
    </w:p>
    <w:p w:rsidR="00ED67AE" w:rsidRPr="00D42AD1" w:rsidRDefault="00ED67AE" w:rsidP="00ED67AE">
      <w:pPr>
        <w:rPr>
          <w:lang w:val="nb-NO"/>
        </w:rPr>
      </w:pPr>
    </w:p>
    <w:p w:rsidR="00ED67AE" w:rsidRPr="00D42AD1" w:rsidRDefault="00ED67AE" w:rsidP="00ED67AE">
      <w:pPr>
        <w:rPr>
          <w:lang w:val="nb-NO"/>
        </w:rPr>
      </w:pPr>
      <w:r w:rsidRPr="00D42AD1">
        <w:rPr>
          <w:lang w:val="nb-NO"/>
        </w:rPr>
        <w:t>Rottendorf Pharma GmbH</w:t>
      </w:r>
    </w:p>
    <w:p w:rsidR="00ED67AE" w:rsidRPr="00D42AD1" w:rsidRDefault="00ED67AE" w:rsidP="00ED67AE">
      <w:pPr>
        <w:rPr>
          <w:lang w:val="nb-NO"/>
        </w:rPr>
      </w:pPr>
      <w:r w:rsidRPr="00D42AD1">
        <w:rPr>
          <w:lang w:val="nb-NO"/>
        </w:rPr>
        <w:t>Ostenfelder StraBe, 51-61 - 59320 Ennigerloh</w:t>
      </w:r>
    </w:p>
    <w:p w:rsidR="00ED67AE" w:rsidRPr="00D42AD1" w:rsidRDefault="00ED67AE" w:rsidP="00ED67AE">
      <w:pPr>
        <w:rPr>
          <w:lang w:val="nb-NO"/>
        </w:rPr>
      </w:pPr>
      <w:r w:rsidRPr="00D42AD1">
        <w:rPr>
          <w:lang w:val="nb-NO"/>
        </w:rPr>
        <w:t>Vokietija</w:t>
      </w:r>
    </w:p>
    <w:p w:rsidR="00ED67AE" w:rsidRPr="00D42AD1" w:rsidRDefault="00ED67AE" w:rsidP="00ED67AE">
      <w:pPr>
        <w:rPr>
          <w:rFonts w:ascii="TimesNewRoman,Bold" w:hAnsi="TimesNewRoman,Bold" w:cs="TimesNewRoman,Bold"/>
          <w:lang w:val="nb-NO" w:eastAsia="pl-PL"/>
        </w:rPr>
      </w:pPr>
    </w:p>
    <w:p w:rsidR="00ED67AE" w:rsidRPr="00D42AD1" w:rsidRDefault="00ED67AE" w:rsidP="00ED67AE">
      <w:pPr>
        <w:rPr>
          <w:szCs w:val="22"/>
          <w:lang w:val="lt-LT"/>
        </w:rPr>
      </w:pPr>
      <w:r w:rsidRPr="00D42AD1">
        <w:rPr>
          <w:szCs w:val="22"/>
          <w:lang w:val="lt-LT"/>
        </w:rPr>
        <w:t xml:space="preserve">Jeigu apie šį vaistą norite sužinoti daugiau, kreipkitės į vietinį </w:t>
      </w:r>
      <w:r w:rsidR="00FF12EB">
        <w:rPr>
          <w:szCs w:val="22"/>
          <w:lang w:val="lt-LT"/>
        </w:rPr>
        <w:t>registruotojo</w:t>
      </w:r>
      <w:r w:rsidRPr="00D42AD1">
        <w:rPr>
          <w:szCs w:val="22"/>
          <w:lang w:val="lt-LT"/>
        </w:rPr>
        <w:t xml:space="preserve"> atstovą.</w:t>
      </w:r>
    </w:p>
    <w:p w:rsidR="00ED67AE" w:rsidRPr="00D42AD1" w:rsidRDefault="00ED67AE" w:rsidP="00ED67AE">
      <w:pPr>
        <w:rPr>
          <w:szCs w:val="22"/>
          <w:lang w:val="lt-LT"/>
        </w:rPr>
      </w:pPr>
    </w:p>
    <w:p w:rsidR="00ED67AE" w:rsidRDefault="00ED67AE" w:rsidP="00ED67AE">
      <w:pPr>
        <w:rPr>
          <w:szCs w:val="22"/>
          <w:lang w:val="lt-LT"/>
        </w:rPr>
      </w:pPr>
      <w:r w:rsidRPr="00D42AD1">
        <w:rPr>
          <w:szCs w:val="22"/>
          <w:lang w:val="lt-LT"/>
        </w:rPr>
        <w:t>UAB „Actavis Baltics</w:t>
      </w:r>
      <w:r>
        <w:rPr>
          <w:szCs w:val="22"/>
          <w:lang w:val="lt-LT"/>
        </w:rPr>
        <w:t>“</w:t>
      </w:r>
    </w:p>
    <w:p w:rsidR="00FF12EB" w:rsidRDefault="00FF12EB" w:rsidP="00ED67AE">
      <w:pPr>
        <w:rPr>
          <w:szCs w:val="22"/>
          <w:lang w:val="lt-LT"/>
        </w:rPr>
      </w:pPr>
      <w:r>
        <w:rPr>
          <w:szCs w:val="22"/>
          <w:lang w:val="lt-LT"/>
        </w:rPr>
        <w:t>Senasis Ukmergės kelias 4</w:t>
      </w:r>
    </w:p>
    <w:p w:rsidR="00FF12EB" w:rsidRDefault="00FF12EB" w:rsidP="00ED67AE">
      <w:pPr>
        <w:rPr>
          <w:szCs w:val="22"/>
          <w:lang w:val="lt-LT"/>
        </w:rPr>
      </w:pPr>
      <w:r>
        <w:rPr>
          <w:szCs w:val="22"/>
          <w:lang w:val="lt-LT"/>
        </w:rPr>
        <w:t>Užubalių k, Avižienių sen.</w:t>
      </w:r>
    </w:p>
    <w:p w:rsidR="00ED67AE" w:rsidRDefault="00FF12EB" w:rsidP="00ED67AE">
      <w:pPr>
        <w:rPr>
          <w:szCs w:val="22"/>
          <w:lang w:val="lt-LT"/>
        </w:rPr>
      </w:pPr>
      <w:r>
        <w:rPr>
          <w:szCs w:val="22"/>
          <w:lang w:val="lt-LT"/>
        </w:rPr>
        <w:t>LT-</w:t>
      </w:r>
      <w:r>
        <w:rPr>
          <w:szCs w:val="22"/>
          <w:lang w:val="en-US"/>
        </w:rPr>
        <w:t>14130, Vilniaus raj.</w:t>
      </w:r>
    </w:p>
    <w:p w:rsidR="00ED67AE" w:rsidRPr="00CD6267" w:rsidRDefault="00ED67AE" w:rsidP="00ED67AE">
      <w:pPr>
        <w:rPr>
          <w:szCs w:val="22"/>
          <w:lang w:val="lt-LT"/>
        </w:rPr>
      </w:pPr>
      <w:r>
        <w:rPr>
          <w:szCs w:val="22"/>
          <w:lang w:val="lt-LT"/>
        </w:rPr>
        <w:t>Tel.: +370 5 260 9615</w:t>
      </w:r>
    </w:p>
    <w:p w:rsidR="00ED67AE" w:rsidRDefault="00ED67AE" w:rsidP="00ED67AE">
      <w:pPr>
        <w:rPr>
          <w:b/>
          <w:bCs/>
          <w:szCs w:val="22"/>
          <w:lang w:val="lt-LT"/>
        </w:rPr>
      </w:pPr>
    </w:p>
    <w:p w:rsidR="00ED67AE" w:rsidRPr="00CD6267" w:rsidRDefault="00ED67AE" w:rsidP="00ED67AE">
      <w:pPr>
        <w:rPr>
          <w:szCs w:val="22"/>
          <w:lang w:val="lt-LT"/>
        </w:rPr>
      </w:pPr>
      <w:r w:rsidRPr="00CD6267">
        <w:rPr>
          <w:b/>
          <w:bCs/>
          <w:szCs w:val="22"/>
          <w:lang w:val="lt-LT"/>
        </w:rPr>
        <w:t xml:space="preserve">Šis pakuotės </w:t>
      </w:r>
      <w:r w:rsidRPr="00CD6267">
        <w:rPr>
          <w:b/>
          <w:szCs w:val="22"/>
          <w:lang w:val="lt-LT"/>
        </w:rPr>
        <w:t xml:space="preserve">lapelis paskutinį kartą </w:t>
      </w:r>
      <w:r w:rsidR="00FF12EB">
        <w:rPr>
          <w:b/>
          <w:szCs w:val="22"/>
          <w:lang w:val="lt-LT"/>
        </w:rPr>
        <w:t>peržiūrėtas</w:t>
      </w:r>
      <w:r w:rsidR="00383225">
        <w:rPr>
          <w:b/>
          <w:szCs w:val="22"/>
          <w:lang w:val="lt-LT"/>
        </w:rPr>
        <w:t xml:space="preserve"> 2016-02-23</w:t>
      </w:r>
    </w:p>
    <w:p w:rsidR="00ED67AE" w:rsidRDefault="00ED67AE" w:rsidP="00ED67AE">
      <w:pPr>
        <w:rPr>
          <w:szCs w:val="22"/>
          <w:lang w:val="lt-LT"/>
        </w:rPr>
      </w:pPr>
    </w:p>
    <w:p w:rsidR="005A5ACB" w:rsidRDefault="00FF12EB">
      <w:r w:rsidRPr="00DF5828">
        <w:rPr>
          <w:lang w:val="lt-LT"/>
        </w:rPr>
        <w:t>Išsami informacija apie šį vaistą pateikiama Valstybinės vaistų kontrolės tarnybos prie Lietuvos Respublikos sveikatos apsaugos ministerijos tinklalapyje</w:t>
      </w:r>
      <w:r w:rsidR="00ED67AE" w:rsidRPr="002567EC">
        <w:rPr>
          <w:szCs w:val="22"/>
          <w:lang w:val="lt-LT"/>
        </w:rPr>
        <w:t xml:space="preserve"> </w:t>
      </w:r>
      <w:hyperlink r:id="rId13" w:history="1">
        <w:r w:rsidR="00ED67AE" w:rsidRPr="00C872EC">
          <w:rPr>
            <w:rStyle w:val="Hipersaitas"/>
            <w:szCs w:val="22"/>
            <w:lang w:val="lt-LT"/>
          </w:rPr>
          <w:t>http://www.vvkt.lt/</w:t>
        </w:r>
      </w:hyperlink>
      <w:r w:rsidR="004C1757">
        <w:rPr>
          <w:rStyle w:val="Hipersaitas"/>
          <w:szCs w:val="22"/>
          <w:lang w:val="lt-LT"/>
        </w:rPr>
        <w:t xml:space="preserve">         </w:t>
      </w:r>
      <w:bookmarkStart w:id="2" w:name="_GoBack"/>
      <w:bookmarkEnd w:id="2"/>
      <w:permStart w:id="2085823229" w:edGrp="everyone"/>
      <w:permEnd w:id="2085823229"/>
    </w:p>
    <w:sectPr w:rsidR="005A5ACB" w:rsidSect="005A5ACB">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91" w:rsidRDefault="00920491">
      <w:pPr>
        <w:spacing w:line="240" w:lineRule="auto"/>
      </w:pPr>
      <w:r>
        <w:separator/>
      </w:r>
    </w:p>
  </w:endnote>
  <w:endnote w:type="continuationSeparator" w:id="0">
    <w:p w:rsidR="00920491" w:rsidRDefault="00920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78" w:rsidRDefault="00097378">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C1757">
      <w:rPr>
        <w:rStyle w:val="Puslapionumeris"/>
        <w:rFonts w:ascii="Arial" w:hAnsi="Arial" w:cs="Arial"/>
        <w:noProof/>
      </w:rPr>
      <w:t>27</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378" w:rsidRDefault="00097378">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C1757">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91" w:rsidRDefault="00920491">
      <w:pPr>
        <w:spacing w:line="240" w:lineRule="auto"/>
      </w:pPr>
      <w:r>
        <w:separator/>
      </w:r>
    </w:p>
  </w:footnote>
  <w:footnote w:type="continuationSeparator" w:id="0">
    <w:p w:rsidR="00920491" w:rsidRDefault="0092049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8F784A"/>
    <w:multiLevelType w:val="hybridMultilevel"/>
    <w:tmpl w:val="E1E0F9E6"/>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4118"/>
    <w:multiLevelType w:val="hybridMultilevel"/>
    <w:tmpl w:val="079E9BC8"/>
    <w:lvl w:ilvl="0" w:tplc="A252D0F6">
      <w:start w:val="5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31874"/>
    <w:multiLevelType w:val="hybridMultilevel"/>
    <w:tmpl w:val="0DC8FE16"/>
    <w:lvl w:ilvl="0" w:tplc="3FA05D7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E5468E"/>
    <w:multiLevelType w:val="hybridMultilevel"/>
    <w:tmpl w:val="F60A8FB0"/>
    <w:lvl w:ilvl="0" w:tplc="75745F1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ECA1862"/>
    <w:multiLevelType w:val="hybridMultilevel"/>
    <w:tmpl w:val="00FAC87A"/>
    <w:lvl w:ilvl="0" w:tplc="09A2CD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E5EF4"/>
    <w:multiLevelType w:val="hybridMultilevel"/>
    <w:tmpl w:val="73842926"/>
    <w:lvl w:ilvl="0" w:tplc="75745F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33C20BC"/>
    <w:multiLevelType w:val="hybridMultilevel"/>
    <w:tmpl w:val="BCC20CF0"/>
    <w:lvl w:ilvl="0" w:tplc="FBEE89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8050B"/>
    <w:multiLevelType w:val="hybridMultilevel"/>
    <w:tmpl w:val="DD5C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6"/>
  </w:num>
  <w:num w:numId="5">
    <w:abstractNumId w:val="4"/>
  </w:num>
  <w:num w:numId="6">
    <w:abstractNumId w:val="8"/>
  </w:num>
  <w:num w:numId="7">
    <w:abstractNumId w:val="2"/>
  </w:num>
  <w:num w:numId="8">
    <w:abstractNumId w:val="5"/>
  </w:num>
  <w:num w:numId="9">
    <w:abstractNumId w:val="10"/>
  </w:num>
  <w:num w:numId="10">
    <w:abstractNumId w:val="1"/>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ChlEuzNygb4i0BF+0DffX0zzPdO8YFSCXtJSzUBaKVcMG2vs3l6rGvE1kdD1jRvlcOIelxpr0Lr16QW4JG12Bg==" w:salt="h0nWnGs4bgyqaqx1x1rhsw=="/>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AE"/>
    <w:rsid w:val="0002542A"/>
    <w:rsid w:val="000845E5"/>
    <w:rsid w:val="00097378"/>
    <w:rsid w:val="000A0DA1"/>
    <w:rsid w:val="00104000"/>
    <w:rsid w:val="00137EE2"/>
    <w:rsid w:val="003110A1"/>
    <w:rsid w:val="003169DB"/>
    <w:rsid w:val="00354B1A"/>
    <w:rsid w:val="00365959"/>
    <w:rsid w:val="00373296"/>
    <w:rsid w:val="00383225"/>
    <w:rsid w:val="00477721"/>
    <w:rsid w:val="004B6502"/>
    <w:rsid w:val="004C1757"/>
    <w:rsid w:val="00536920"/>
    <w:rsid w:val="00540A01"/>
    <w:rsid w:val="00557708"/>
    <w:rsid w:val="00567EBC"/>
    <w:rsid w:val="005A5ACB"/>
    <w:rsid w:val="00630C31"/>
    <w:rsid w:val="006961EF"/>
    <w:rsid w:val="0072001F"/>
    <w:rsid w:val="007C08E0"/>
    <w:rsid w:val="00802C29"/>
    <w:rsid w:val="008C2E38"/>
    <w:rsid w:val="00920491"/>
    <w:rsid w:val="00A81691"/>
    <w:rsid w:val="00B418A5"/>
    <w:rsid w:val="00BA4626"/>
    <w:rsid w:val="00BC192F"/>
    <w:rsid w:val="00BE0860"/>
    <w:rsid w:val="00BF3FCB"/>
    <w:rsid w:val="00C02DFF"/>
    <w:rsid w:val="00C14F43"/>
    <w:rsid w:val="00CE0CA7"/>
    <w:rsid w:val="00D64140"/>
    <w:rsid w:val="00DA63E5"/>
    <w:rsid w:val="00E126E4"/>
    <w:rsid w:val="00E81D7F"/>
    <w:rsid w:val="00ED67AE"/>
    <w:rsid w:val="00F65347"/>
    <w:rsid w:val="00FA282D"/>
    <w:rsid w:val="00FE0213"/>
    <w:rsid w:val="00FF1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schemas-tilde-lt/tildestengine" w:name="templates"/>
  <w:smartTagType w:namespaceuri="urn:schemas-microsoft-com:office:smarttags" w:name="metricconverter"/>
  <w:smartTagType w:namespaceuri="urn:schemas-microsoft-com:office:smarttags" w:name="City"/>
  <w:shapeDefaults>
    <o:shapedefaults v:ext="edit" spidmax="2050"/>
    <o:shapelayout v:ext="edit">
      <o:idmap v:ext="edit" data="1"/>
    </o:shapelayout>
  </w:shapeDefaults>
  <w:decimalSymbol w:val=","/>
  <w:listSeparator w:val=";"/>
  <w15:chartTrackingRefBased/>
  <w15:docId w15:val="{31837185-D31D-42A6-8F19-B4BFCDE7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67AE"/>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ED67AE"/>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D67AE"/>
    <w:rPr>
      <w:rFonts w:ascii="Cambria" w:eastAsia="Times New Roman" w:hAnsi="Cambria" w:cs="Times New Roman"/>
      <w:b/>
      <w:bCs/>
      <w:kern w:val="32"/>
      <w:sz w:val="32"/>
      <w:szCs w:val="32"/>
      <w:lang w:val="en-GB"/>
    </w:rPr>
  </w:style>
  <w:style w:type="paragraph" w:styleId="Porat">
    <w:name w:val="footer"/>
    <w:basedOn w:val="prastasis"/>
    <w:link w:val="PoratDiagrama"/>
    <w:rsid w:val="00ED67AE"/>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ED67AE"/>
    <w:rPr>
      <w:rFonts w:ascii="Helvetica" w:eastAsia="Times New Roman" w:hAnsi="Helvetica" w:cs="Times New Roman"/>
      <w:sz w:val="16"/>
      <w:szCs w:val="20"/>
      <w:lang w:val="en-GB"/>
    </w:rPr>
  </w:style>
  <w:style w:type="character" w:styleId="Puslapionumeris">
    <w:name w:val="page number"/>
    <w:basedOn w:val="Numatytasispastraiposriftas"/>
    <w:rsid w:val="00ED67AE"/>
  </w:style>
  <w:style w:type="paragraph" w:styleId="Pagrindinistekstas">
    <w:name w:val="Body Text"/>
    <w:basedOn w:val="prastasis"/>
    <w:link w:val="PagrindinistekstasDiagrama"/>
    <w:rsid w:val="00ED67AE"/>
    <w:pPr>
      <w:tabs>
        <w:tab w:val="clear" w:pos="567"/>
      </w:tabs>
      <w:spacing w:line="240" w:lineRule="auto"/>
    </w:pPr>
    <w:rPr>
      <w:i/>
      <w:color w:val="008000"/>
    </w:rPr>
  </w:style>
  <w:style w:type="character" w:customStyle="1" w:styleId="PagrindinistekstasDiagrama">
    <w:name w:val="Pagrindinis tekstas Diagrama"/>
    <w:link w:val="Pagrindinistekstas"/>
    <w:rsid w:val="00ED67AE"/>
    <w:rPr>
      <w:rFonts w:ascii="Times New Roman" w:eastAsia="Times New Roman" w:hAnsi="Times New Roman" w:cs="Times New Roman"/>
      <w:i/>
      <w:color w:val="008000"/>
      <w:szCs w:val="20"/>
      <w:lang w:val="en-GB"/>
    </w:rPr>
  </w:style>
  <w:style w:type="paragraph" w:customStyle="1" w:styleId="EMEAEnBodyText">
    <w:name w:val="EMEA En Body Text"/>
    <w:basedOn w:val="prastasis"/>
    <w:rsid w:val="00ED67AE"/>
    <w:pPr>
      <w:tabs>
        <w:tab w:val="clear" w:pos="567"/>
      </w:tabs>
      <w:spacing w:before="120" w:after="120" w:line="240" w:lineRule="auto"/>
      <w:jc w:val="both"/>
    </w:pPr>
    <w:rPr>
      <w:lang w:val="en-US"/>
    </w:rPr>
  </w:style>
  <w:style w:type="character" w:styleId="Hipersaitas">
    <w:name w:val="Hyperlink"/>
    <w:rsid w:val="00ED67AE"/>
    <w:rPr>
      <w:color w:val="0000FF"/>
      <w:u w:val="single"/>
    </w:rPr>
  </w:style>
  <w:style w:type="character" w:styleId="Grietas">
    <w:name w:val="Strong"/>
    <w:qFormat/>
    <w:rsid w:val="00ED67AE"/>
    <w:rPr>
      <w:b/>
      <w:bCs/>
    </w:rPr>
  </w:style>
  <w:style w:type="table" w:styleId="Lentelstinklelis">
    <w:name w:val="Table Grid"/>
    <w:basedOn w:val="prastojilentel"/>
    <w:rsid w:val="00ED67AE"/>
    <w:pPr>
      <w:tabs>
        <w:tab w:val="left" w:pos="567"/>
      </w:tabs>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ED67AE"/>
    <w:pPr>
      <w:tabs>
        <w:tab w:val="clear" w:pos="567"/>
        <w:tab w:val="center" w:pos="4153"/>
        <w:tab w:val="right" w:pos="8306"/>
      </w:tabs>
      <w:spacing w:line="240" w:lineRule="auto"/>
    </w:pPr>
    <w:rPr>
      <w:rFonts w:eastAsia="SimSun"/>
      <w:lang w:val="lt-LT"/>
    </w:rPr>
  </w:style>
  <w:style w:type="character" w:customStyle="1" w:styleId="AntratsDiagrama">
    <w:name w:val="Antraštės Diagrama"/>
    <w:link w:val="Antrats"/>
    <w:rsid w:val="00ED67AE"/>
    <w:rPr>
      <w:rFonts w:ascii="Times New Roman" w:eastAsia="SimSun" w:hAnsi="Times New Roman" w:cs="Times New Roman"/>
      <w:szCs w:val="20"/>
      <w:lang w:val="lt-LT"/>
    </w:rPr>
  </w:style>
  <w:style w:type="paragraph" w:customStyle="1" w:styleId="BTEMEASMCA">
    <w:name w:val="BT EMEA_SMCA"/>
    <w:basedOn w:val="prastasis"/>
    <w:link w:val="BTEMEASMCAChar"/>
    <w:autoRedefine/>
    <w:rsid w:val="00ED67AE"/>
    <w:pPr>
      <w:tabs>
        <w:tab w:val="clear" w:pos="567"/>
      </w:tabs>
      <w:spacing w:line="240" w:lineRule="auto"/>
    </w:pPr>
    <w:rPr>
      <w:noProof/>
      <w:szCs w:val="22"/>
      <w:lang w:val="lt-LT"/>
    </w:rPr>
  </w:style>
  <w:style w:type="character" w:customStyle="1" w:styleId="BTEMEASMCAChar">
    <w:name w:val="BT EMEA_SMCA Char"/>
    <w:link w:val="BTEMEASMCA"/>
    <w:rsid w:val="00ED67AE"/>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ED67AE"/>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ED67AE"/>
    <w:rPr>
      <w:rFonts w:ascii="Times New Roman" w:eastAsia="Times New Roman" w:hAnsi="Times New Roman" w:cs="Times New Roman"/>
      <w:b/>
      <w:caps/>
    </w:rPr>
  </w:style>
  <w:style w:type="paragraph" w:customStyle="1" w:styleId="BTAnIIEMEASMCA">
    <w:name w:val="BT(AnII) EMEA_SMCA"/>
    <w:basedOn w:val="Debesliotekstas"/>
    <w:autoRedefine/>
    <w:rsid w:val="00ED67AE"/>
    <w:pPr>
      <w:tabs>
        <w:tab w:val="clear" w:pos="567"/>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rsid w:val="00ED67AE"/>
    <w:pPr>
      <w:spacing w:line="240" w:lineRule="auto"/>
    </w:pPr>
    <w:rPr>
      <w:rFonts w:ascii="Tahoma" w:hAnsi="Tahoma" w:cs="Tahoma"/>
      <w:sz w:val="16"/>
      <w:szCs w:val="16"/>
    </w:rPr>
  </w:style>
  <w:style w:type="character" w:customStyle="1" w:styleId="DebesliotekstasDiagrama">
    <w:name w:val="Debesėlio tekstas Diagrama"/>
    <w:link w:val="Debesliotekstas"/>
    <w:rsid w:val="00ED67AE"/>
    <w:rPr>
      <w:rFonts w:ascii="Tahoma" w:eastAsia="Times New Roman" w:hAnsi="Tahoma" w:cs="Tahoma"/>
      <w:sz w:val="16"/>
      <w:szCs w:val="16"/>
      <w:lang w:val="en-GB"/>
    </w:rPr>
  </w:style>
  <w:style w:type="paragraph" w:customStyle="1" w:styleId="Default">
    <w:name w:val="Default"/>
    <w:rsid w:val="00ED67AE"/>
    <w:pPr>
      <w:autoSpaceDE w:val="0"/>
      <w:autoSpaceDN w:val="0"/>
      <w:adjustRightInd w:val="0"/>
    </w:pPr>
    <w:rPr>
      <w:rFonts w:ascii="Times New Roman" w:hAnsi="Times New Roman"/>
      <w:color w:val="000000"/>
      <w:sz w:val="24"/>
      <w:szCs w:val="24"/>
      <w:lang w:val="hu-HU" w:eastAsia="en-US"/>
    </w:rPr>
  </w:style>
  <w:style w:type="paragraph" w:styleId="Dokumentoinaostekstas">
    <w:name w:val="endnote text"/>
    <w:basedOn w:val="prastasis"/>
    <w:link w:val="DokumentoinaostekstasDiagrama"/>
    <w:rsid w:val="00ED67AE"/>
    <w:pPr>
      <w:spacing w:line="240" w:lineRule="auto"/>
    </w:pPr>
  </w:style>
  <w:style w:type="character" w:customStyle="1" w:styleId="DokumentoinaostekstasDiagrama">
    <w:name w:val="Dokumento išnašos tekstas Diagrama"/>
    <w:link w:val="Dokumentoinaostekstas"/>
    <w:rsid w:val="00ED67AE"/>
    <w:rPr>
      <w:rFonts w:ascii="Times New Roman" w:eastAsia="Times New Roman" w:hAnsi="Times New Roman" w:cs="Times New Roman"/>
      <w:szCs w:val="20"/>
      <w:lang w:val="en-GB"/>
    </w:rPr>
  </w:style>
  <w:style w:type="paragraph" w:styleId="Komentarotekstas">
    <w:name w:val="annotation text"/>
    <w:basedOn w:val="prastasis"/>
    <w:link w:val="KomentarotekstasDiagrama"/>
    <w:semiHidden/>
    <w:rsid w:val="00ED67AE"/>
    <w:rPr>
      <w:sz w:val="20"/>
    </w:rPr>
  </w:style>
  <w:style w:type="character" w:customStyle="1" w:styleId="KomentarotekstasDiagrama">
    <w:name w:val="Komentaro tekstas Diagrama"/>
    <w:link w:val="Komentarotekstas"/>
    <w:semiHidden/>
    <w:rsid w:val="00ED67A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ED67AE"/>
    <w:rPr>
      <w:b/>
      <w:bCs/>
    </w:rPr>
  </w:style>
  <w:style w:type="character" w:customStyle="1" w:styleId="KomentarotemaDiagrama">
    <w:name w:val="Komentaro tema Diagrama"/>
    <w:link w:val="Komentarotema"/>
    <w:semiHidden/>
    <w:rsid w:val="00ED67AE"/>
    <w:rPr>
      <w:rFonts w:ascii="Times New Roman" w:eastAsia="Times New Roman" w:hAnsi="Times New Roman" w:cs="Times New Roman"/>
      <w:b/>
      <w:bCs/>
      <w:sz w:val="20"/>
      <w:szCs w:val="20"/>
      <w:lang w:val="en-GB"/>
    </w:rPr>
  </w:style>
  <w:style w:type="paragraph" w:styleId="Betarp">
    <w:name w:val="No Spacing"/>
    <w:uiPriority w:val="1"/>
    <w:qFormat/>
    <w:rsid w:val="00ED67AE"/>
    <w:pPr>
      <w:jc w:val="both"/>
    </w:pPr>
    <w:rPr>
      <w:rFonts w:ascii="Times New Roman" w:eastAsia="Times New Roman" w:hAnsi="Times New Roman"/>
      <w:sz w:val="24"/>
      <w:szCs w:val="24"/>
      <w:lang w:val="en-GB" w:eastAsia="en-GB"/>
    </w:rPr>
  </w:style>
  <w:style w:type="paragraph" w:styleId="Sraopastraipa">
    <w:name w:val="List Paragraph"/>
    <w:basedOn w:val="prastasis"/>
    <w:uiPriority w:val="34"/>
    <w:qFormat/>
    <w:rsid w:val="00ED67AE"/>
    <w:pPr>
      <w:ind w:left="720"/>
      <w:contextualSpacing/>
    </w:pPr>
  </w:style>
  <w:style w:type="character" w:styleId="Komentaronuoroda">
    <w:name w:val="annotation reference"/>
    <w:semiHidden/>
    <w:rsid w:val="00ED67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37400</Words>
  <Characters>21319</Characters>
  <Application>Microsoft Office Word</Application>
  <DocSecurity>8</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58602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Albina Burkauskaitė</cp:lastModifiedBy>
  <cp:revision>3</cp:revision>
  <dcterms:created xsi:type="dcterms:W3CDTF">2016-02-24T06:47:00Z</dcterms:created>
  <dcterms:modified xsi:type="dcterms:W3CDTF">2016-02-24T06:48:00Z</dcterms:modified>
</cp:coreProperties>
</file>