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1FFCDA" w14:textId="77777777" w:rsidR="00937FA0" w:rsidRPr="00937FA0" w:rsidRDefault="00937FA0" w:rsidP="00937FA0">
      <w:pPr>
        <w:widowControl w:val="0"/>
        <w:jc w:val="center"/>
        <w:rPr>
          <w:rFonts w:ascii="Times New Roman" w:eastAsia="Times New Roman" w:hAnsi="Times New Roman" w:cs="Times New Roman"/>
          <w:lang w:eastAsia="sl-SI"/>
        </w:rPr>
      </w:pPr>
      <w:bookmarkStart w:id="0" w:name="Tab"/>
      <w:bookmarkEnd w:id="0"/>
    </w:p>
    <w:p w14:paraId="7733FEC0" w14:textId="77777777" w:rsidR="00937FA0" w:rsidRPr="00937FA0" w:rsidRDefault="00937FA0" w:rsidP="00937FA0">
      <w:pPr>
        <w:widowControl w:val="0"/>
        <w:jc w:val="center"/>
        <w:rPr>
          <w:rFonts w:ascii="Times New Roman" w:eastAsia="Times New Roman" w:hAnsi="Times New Roman" w:cs="Times New Roman"/>
          <w:lang w:eastAsia="sl-SI"/>
        </w:rPr>
      </w:pPr>
    </w:p>
    <w:p w14:paraId="20C0F780" w14:textId="77777777" w:rsidR="00937FA0" w:rsidRPr="00937FA0" w:rsidRDefault="00937FA0" w:rsidP="00937FA0">
      <w:pPr>
        <w:widowControl w:val="0"/>
        <w:jc w:val="center"/>
        <w:rPr>
          <w:rFonts w:ascii="Times New Roman" w:eastAsia="Times New Roman" w:hAnsi="Times New Roman" w:cs="Times New Roman"/>
          <w:lang w:eastAsia="sl-SI"/>
        </w:rPr>
      </w:pPr>
    </w:p>
    <w:p w14:paraId="25E3A4C5" w14:textId="77777777" w:rsidR="00937FA0" w:rsidRPr="00937FA0" w:rsidRDefault="00937FA0" w:rsidP="00937FA0">
      <w:pPr>
        <w:widowControl w:val="0"/>
        <w:jc w:val="center"/>
        <w:rPr>
          <w:rFonts w:ascii="Times New Roman" w:eastAsia="Times New Roman" w:hAnsi="Times New Roman" w:cs="Times New Roman"/>
          <w:lang w:eastAsia="sl-SI"/>
        </w:rPr>
      </w:pPr>
    </w:p>
    <w:p w14:paraId="2934E70B" w14:textId="77777777" w:rsidR="00937FA0" w:rsidRPr="00937FA0" w:rsidRDefault="00937FA0" w:rsidP="00937FA0">
      <w:pPr>
        <w:widowControl w:val="0"/>
        <w:jc w:val="center"/>
        <w:rPr>
          <w:rFonts w:ascii="Times New Roman" w:eastAsia="Times New Roman" w:hAnsi="Times New Roman" w:cs="Times New Roman"/>
          <w:lang w:eastAsia="sl-SI"/>
        </w:rPr>
      </w:pPr>
    </w:p>
    <w:p w14:paraId="6D9063CA" w14:textId="77777777" w:rsidR="00937FA0" w:rsidRPr="00937FA0" w:rsidRDefault="00937FA0" w:rsidP="00937FA0">
      <w:pPr>
        <w:widowControl w:val="0"/>
        <w:jc w:val="center"/>
        <w:rPr>
          <w:rFonts w:ascii="Times New Roman" w:eastAsia="Times New Roman" w:hAnsi="Times New Roman" w:cs="Times New Roman"/>
          <w:lang w:eastAsia="sl-SI"/>
        </w:rPr>
      </w:pPr>
    </w:p>
    <w:p w14:paraId="57513192" w14:textId="77777777" w:rsidR="00937FA0" w:rsidRPr="00937FA0" w:rsidRDefault="00937FA0" w:rsidP="00937FA0">
      <w:pPr>
        <w:widowControl w:val="0"/>
        <w:jc w:val="center"/>
        <w:rPr>
          <w:rFonts w:ascii="Times New Roman" w:eastAsia="Times New Roman" w:hAnsi="Times New Roman" w:cs="Times New Roman"/>
          <w:lang w:eastAsia="sl-SI"/>
        </w:rPr>
      </w:pPr>
    </w:p>
    <w:p w14:paraId="60E78B2C" w14:textId="77777777" w:rsidR="00937FA0" w:rsidRPr="00937FA0" w:rsidRDefault="00937FA0" w:rsidP="00937FA0">
      <w:pPr>
        <w:widowControl w:val="0"/>
        <w:jc w:val="center"/>
        <w:rPr>
          <w:rFonts w:ascii="Times New Roman" w:eastAsia="Times New Roman" w:hAnsi="Times New Roman" w:cs="Times New Roman"/>
          <w:lang w:eastAsia="sl-SI"/>
        </w:rPr>
      </w:pPr>
    </w:p>
    <w:p w14:paraId="2DD30EB9" w14:textId="77777777" w:rsidR="00937FA0" w:rsidRPr="00937FA0" w:rsidRDefault="00937FA0" w:rsidP="00937FA0">
      <w:pPr>
        <w:widowControl w:val="0"/>
        <w:jc w:val="center"/>
        <w:rPr>
          <w:rFonts w:ascii="Times New Roman" w:eastAsia="Times New Roman" w:hAnsi="Times New Roman" w:cs="Times New Roman"/>
          <w:lang w:eastAsia="sl-SI"/>
        </w:rPr>
      </w:pPr>
    </w:p>
    <w:p w14:paraId="14E88CBA" w14:textId="77777777" w:rsidR="00937FA0" w:rsidRPr="00937FA0" w:rsidRDefault="00937FA0" w:rsidP="00937FA0">
      <w:pPr>
        <w:widowControl w:val="0"/>
        <w:jc w:val="center"/>
        <w:rPr>
          <w:rFonts w:ascii="Times New Roman" w:eastAsia="Times New Roman" w:hAnsi="Times New Roman" w:cs="Times New Roman"/>
          <w:lang w:eastAsia="sl-SI"/>
        </w:rPr>
      </w:pPr>
    </w:p>
    <w:p w14:paraId="386B73EB" w14:textId="77777777" w:rsidR="00937FA0" w:rsidRPr="00937FA0" w:rsidRDefault="00937FA0" w:rsidP="00937FA0">
      <w:pPr>
        <w:widowControl w:val="0"/>
        <w:jc w:val="center"/>
        <w:rPr>
          <w:rFonts w:ascii="Times New Roman" w:eastAsia="Times New Roman" w:hAnsi="Times New Roman" w:cs="Times New Roman"/>
          <w:lang w:eastAsia="sl-SI"/>
        </w:rPr>
      </w:pPr>
    </w:p>
    <w:p w14:paraId="0D4AC8A1" w14:textId="77777777" w:rsidR="00937FA0" w:rsidRPr="00937FA0" w:rsidRDefault="00937FA0" w:rsidP="00937FA0">
      <w:pPr>
        <w:widowControl w:val="0"/>
        <w:jc w:val="center"/>
        <w:rPr>
          <w:rFonts w:ascii="Times New Roman" w:eastAsia="Times New Roman" w:hAnsi="Times New Roman" w:cs="Times New Roman"/>
          <w:lang w:eastAsia="sl-SI"/>
        </w:rPr>
      </w:pPr>
    </w:p>
    <w:p w14:paraId="08FF7C31" w14:textId="77777777" w:rsidR="00937FA0" w:rsidRPr="00937FA0" w:rsidRDefault="00937FA0" w:rsidP="00937FA0">
      <w:pPr>
        <w:widowControl w:val="0"/>
        <w:jc w:val="center"/>
        <w:rPr>
          <w:rFonts w:ascii="Times New Roman" w:eastAsia="Times New Roman" w:hAnsi="Times New Roman" w:cs="Times New Roman"/>
          <w:lang w:eastAsia="sl-SI"/>
        </w:rPr>
      </w:pPr>
    </w:p>
    <w:p w14:paraId="4C4C2404" w14:textId="77777777" w:rsidR="00937FA0" w:rsidRPr="00937FA0" w:rsidRDefault="00937FA0" w:rsidP="00937FA0">
      <w:pPr>
        <w:widowControl w:val="0"/>
        <w:jc w:val="center"/>
        <w:rPr>
          <w:rFonts w:ascii="Times New Roman" w:eastAsia="Times New Roman" w:hAnsi="Times New Roman" w:cs="Times New Roman"/>
          <w:lang w:eastAsia="sl-SI"/>
        </w:rPr>
      </w:pPr>
    </w:p>
    <w:p w14:paraId="200E7A7B" w14:textId="77777777" w:rsidR="00937FA0" w:rsidRPr="00937FA0" w:rsidRDefault="00937FA0" w:rsidP="00937FA0">
      <w:pPr>
        <w:widowControl w:val="0"/>
        <w:jc w:val="center"/>
        <w:rPr>
          <w:rFonts w:ascii="Times New Roman" w:eastAsia="Times New Roman" w:hAnsi="Times New Roman" w:cs="Times New Roman"/>
          <w:lang w:eastAsia="sl-SI"/>
        </w:rPr>
      </w:pPr>
    </w:p>
    <w:p w14:paraId="667D9008" w14:textId="77777777" w:rsidR="00937FA0" w:rsidRPr="00937FA0" w:rsidRDefault="00937FA0" w:rsidP="00937FA0">
      <w:pPr>
        <w:widowControl w:val="0"/>
        <w:jc w:val="center"/>
        <w:rPr>
          <w:rFonts w:ascii="Times New Roman" w:eastAsia="Times New Roman" w:hAnsi="Times New Roman" w:cs="Times New Roman"/>
          <w:lang w:eastAsia="sl-SI"/>
        </w:rPr>
      </w:pPr>
    </w:p>
    <w:p w14:paraId="7A0B6A74" w14:textId="77777777" w:rsidR="00937FA0" w:rsidRPr="00937FA0" w:rsidRDefault="00937FA0" w:rsidP="00937FA0">
      <w:pPr>
        <w:widowControl w:val="0"/>
        <w:jc w:val="center"/>
        <w:rPr>
          <w:rFonts w:ascii="Times New Roman" w:eastAsia="Times New Roman" w:hAnsi="Times New Roman" w:cs="Times New Roman"/>
          <w:lang w:eastAsia="sl-SI"/>
        </w:rPr>
      </w:pPr>
    </w:p>
    <w:p w14:paraId="22FFE565" w14:textId="77777777" w:rsidR="00937FA0" w:rsidRPr="00937FA0" w:rsidRDefault="00937FA0" w:rsidP="00937FA0">
      <w:pPr>
        <w:widowControl w:val="0"/>
        <w:jc w:val="center"/>
        <w:rPr>
          <w:rFonts w:ascii="Times New Roman" w:eastAsia="Times New Roman" w:hAnsi="Times New Roman" w:cs="Times New Roman"/>
          <w:lang w:eastAsia="sl-SI"/>
        </w:rPr>
      </w:pPr>
    </w:p>
    <w:p w14:paraId="4E1013E8" w14:textId="77777777" w:rsidR="00937FA0" w:rsidRPr="00937FA0" w:rsidRDefault="00937FA0" w:rsidP="00937FA0">
      <w:pPr>
        <w:widowControl w:val="0"/>
        <w:jc w:val="center"/>
        <w:rPr>
          <w:rFonts w:ascii="Times New Roman" w:eastAsia="Times New Roman" w:hAnsi="Times New Roman" w:cs="Times New Roman"/>
          <w:lang w:eastAsia="sl-SI"/>
        </w:rPr>
      </w:pPr>
    </w:p>
    <w:p w14:paraId="59D8784E" w14:textId="77777777" w:rsidR="00937FA0" w:rsidRPr="00937FA0" w:rsidRDefault="00937FA0" w:rsidP="00937FA0">
      <w:pPr>
        <w:widowControl w:val="0"/>
        <w:jc w:val="center"/>
        <w:rPr>
          <w:rFonts w:ascii="Times New Roman" w:eastAsia="Times New Roman" w:hAnsi="Times New Roman" w:cs="Times New Roman"/>
          <w:lang w:eastAsia="sl-SI"/>
        </w:rPr>
      </w:pPr>
    </w:p>
    <w:p w14:paraId="608C3E0C" w14:textId="77777777" w:rsidR="00937FA0" w:rsidRPr="00937FA0" w:rsidRDefault="00937FA0" w:rsidP="00937FA0">
      <w:pPr>
        <w:widowControl w:val="0"/>
        <w:jc w:val="center"/>
        <w:rPr>
          <w:rFonts w:ascii="Times New Roman" w:eastAsia="Times New Roman" w:hAnsi="Times New Roman" w:cs="Times New Roman"/>
          <w:lang w:eastAsia="sl-SI"/>
        </w:rPr>
      </w:pPr>
    </w:p>
    <w:p w14:paraId="7F3539E8" w14:textId="77777777" w:rsidR="00937FA0" w:rsidRPr="00937FA0" w:rsidRDefault="00937FA0" w:rsidP="00937FA0">
      <w:pPr>
        <w:widowControl w:val="0"/>
        <w:jc w:val="center"/>
        <w:rPr>
          <w:rFonts w:ascii="Times New Roman" w:eastAsia="Times New Roman" w:hAnsi="Times New Roman" w:cs="Times New Roman"/>
          <w:lang w:eastAsia="sl-SI"/>
        </w:rPr>
      </w:pPr>
    </w:p>
    <w:p w14:paraId="37FB7A89" w14:textId="77777777" w:rsidR="00937FA0" w:rsidRPr="00937FA0" w:rsidRDefault="00937FA0" w:rsidP="00937FA0">
      <w:pPr>
        <w:widowControl w:val="0"/>
        <w:jc w:val="center"/>
        <w:rPr>
          <w:rFonts w:ascii="Times New Roman" w:eastAsia="Times New Roman" w:hAnsi="Times New Roman" w:cs="Times New Roman"/>
          <w:lang w:eastAsia="sl-SI"/>
        </w:rPr>
      </w:pPr>
    </w:p>
    <w:p w14:paraId="459899FC"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bookmarkStart w:id="1" w:name="_Toc129243096"/>
      <w:bookmarkStart w:id="2" w:name="_Toc129243221"/>
      <w:r w:rsidRPr="00937FA0">
        <w:rPr>
          <w:rFonts w:ascii="Times New Roman" w:eastAsia="Times New Roman" w:hAnsi="Times New Roman" w:cs="Times New Roman"/>
          <w:b/>
          <w:caps/>
          <w:lang w:eastAsia="sl-SI"/>
        </w:rPr>
        <w:t>I PRIEDAS</w:t>
      </w:r>
      <w:bookmarkEnd w:id="1"/>
      <w:bookmarkEnd w:id="2"/>
    </w:p>
    <w:p w14:paraId="0A582594"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2A647C0" w14:textId="77777777" w:rsidR="00937FA0" w:rsidRPr="00937FA0" w:rsidRDefault="00937FA0" w:rsidP="00937FA0">
      <w:pPr>
        <w:widowControl w:val="0"/>
        <w:jc w:val="center"/>
        <w:rPr>
          <w:rFonts w:ascii="Times New Roman" w:eastAsia="Times New Roman" w:hAnsi="Times New Roman" w:cs="Times New Roman"/>
          <w:lang w:eastAsia="sl-SI"/>
        </w:rPr>
      </w:pPr>
      <w:r w:rsidRPr="00937FA0">
        <w:rPr>
          <w:rFonts w:ascii="Times New Roman" w:eastAsia="Times New Roman" w:hAnsi="Times New Roman" w:cs="Times New Roman"/>
          <w:b/>
          <w:bCs/>
          <w:lang w:eastAsia="sl-SI"/>
        </w:rPr>
        <w:t>PREPARATO CHARAKTERISTIKŲ SANTRAUKA</w:t>
      </w:r>
    </w:p>
    <w:p w14:paraId="701B784C"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lang w:eastAsia="sl-SI"/>
        </w:rPr>
        <w:br w:type="page"/>
      </w:r>
      <w:r w:rsidRPr="00937FA0">
        <w:rPr>
          <w:rFonts w:ascii="Times New Roman" w:eastAsia="Times New Roman" w:hAnsi="Times New Roman" w:cs="Times New Roman"/>
          <w:b/>
          <w:lang w:eastAsia="sl-SI"/>
        </w:rPr>
        <w:lastRenderedPageBreak/>
        <w:t>1.</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VAISTINIO</w:t>
      </w:r>
      <w:r w:rsidRPr="00937FA0">
        <w:rPr>
          <w:rFonts w:ascii="Times New Roman" w:eastAsia="Times New Roman" w:hAnsi="Times New Roman" w:cs="Times New Roman"/>
          <w:b/>
          <w:lang w:eastAsia="sl-SI"/>
        </w:rPr>
        <w:t xml:space="preserve"> PREPARATO PAVADINIMAS</w:t>
      </w:r>
    </w:p>
    <w:p w14:paraId="68E2FD02" w14:textId="77777777" w:rsidR="00937FA0" w:rsidRPr="00937FA0" w:rsidRDefault="00937FA0" w:rsidP="00937FA0">
      <w:pPr>
        <w:widowControl w:val="0"/>
        <w:rPr>
          <w:rFonts w:ascii="Times New Roman" w:eastAsia="Times New Roman" w:hAnsi="Times New Roman" w:cs="Times New Roman"/>
          <w:lang w:eastAsia="sl-SI"/>
        </w:rPr>
      </w:pPr>
    </w:p>
    <w:p w14:paraId="67112A3D"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bookmarkStart w:id="3" w:name="_GoBack"/>
      <w:r w:rsidRPr="00937FA0">
        <w:rPr>
          <w:rFonts w:ascii="Times New Roman" w:eastAsia="Times New Roman" w:hAnsi="Times New Roman" w:cs="Times New Roman"/>
          <w:lang w:eastAsia="sl-SI"/>
        </w:rPr>
        <w:t xml:space="preserve">Canocombi </w:t>
      </w:r>
      <w:bookmarkEnd w:id="3"/>
      <w:r w:rsidRPr="00937FA0">
        <w:rPr>
          <w:rFonts w:ascii="Times New Roman" w:eastAsia="Times New Roman" w:hAnsi="Times New Roman" w:cs="Times New Roman"/>
          <w:lang w:eastAsia="sl-SI"/>
        </w:rPr>
        <w:t>8 mg/12,5 mg tabletės</w:t>
      </w:r>
    </w:p>
    <w:p w14:paraId="188E514F"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16 mg/12,5 mg tabletės</w:t>
      </w:r>
    </w:p>
    <w:p w14:paraId="26D213CD"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mg/12,5 mg tabletės</w:t>
      </w:r>
    </w:p>
    <w:p w14:paraId="644E599D"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Canocombi 32 mg/25 mg tabletės</w:t>
      </w:r>
    </w:p>
    <w:p w14:paraId="2CD0DA71" w14:textId="77777777" w:rsidR="00937FA0" w:rsidRPr="00937FA0" w:rsidRDefault="00937FA0" w:rsidP="00937FA0">
      <w:pPr>
        <w:widowControl w:val="0"/>
        <w:rPr>
          <w:rFonts w:ascii="Times New Roman" w:eastAsia="Times New Roman" w:hAnsi="Times New Roman" w:cs="Times New Roman"/>
          <w:lang w:eastAsia="sl-SI"/>
        </w:rPr>
      </w:pPr>
    </w:p>
    <w:p w14:paraId="6358E4EF" w14:textId="77777777" w:rsidR="00937FA0" w:rsidRPr="00937FA0" w:rsidRDefault="00937FA0" w:rsidP="00937FA0">
      <w:pPr>
        <w:widowControl w:val="0"/>
        <w:rPr>
          <w:rFonts w:ascii="Times New Roman" w:eastAsia="Times New Roman" w:hAnsi="Times New Roman" w:cs="Times New Roman"/>
          <w:lang w:eastAsia="sl-SI"/>
        </w:rPr>
      </w:pPr>
    </w:p>
    <w:p w14:paraId="64539464"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2.</w:t>
      </w:r>
      <w:r w:rsidRPr="00937FA0">
        <w:rPr>
          <w:rFonts w:ascii="Times New Roman" w:eastAsia="Times New Roman" w:hAnsi="Times New Roman" w:cs="Times New Roman"/>
          <w:b/>
          <w:caps/>
          <w:lang w:eastAsia="sl-SI"/>
        </w:rPr>
        <w:tab/>
        <w:t>kokybinė ir kiekybinė sudėtis</w:t>
      </w:r>
    </w:p>
    <w:p w14:paraId="7570ABE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E8076A4"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w:t>
      </w:r>
    </w:p>
    <w:p w14:paraId="21545FC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Kiekvienoje tabletėje yra 8 mg kandesartano cileksetilo ir 12,5 mg hidrochlorotiazido.</w:t>
      </w:r>
    </w:p>
    <w:p w14:paraId="3CEBF671"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16 mg/12,5 mg tabletės</w:t>
      </w:r>
    </w:p>
    <w:p w14:paraId="435A2504"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16 mg kandesartano cileksetilo ir 12,5 mg hidrochlorotiazido.</w:t>
      </w:r>
    </w:p>
    <w:p w14:paraId="744AEDBB"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mg/12,5 mg tabletės</w:t>
      </w:r>
    </w:p>
    <w:p w14:paraId="798F129F"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32 mg kandesartano cileksetilo ir 12,5 mg hidrochlorotiazido.</w:t>
      </w:r>
    </w:p>
    <w:p w14:paraId="00CA48FD"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Canocombi 32 mg/25 mg tabletės</w:t>
      </w:r>
    </w:p>
    <w:p w14:paraId="6B5EC2B0"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32 mg kandesartano cileksetilo ir 25 mg hidrochlorotiazido.</w:t>
      </w:r>
    </w:p>
    <w:p w14:paraId="2D5FBD4C"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p>
    <w:p w14:paraId="4CEDC614"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u w:val="single"/>
          <w:lang w:eastAsia="sl-SI"/>
        </w:rPr>
        <w:t>Pagalbinė medžiaga, kurios poveikis žinomas</w:t>
      </w:r>
      <w:r w:rsidRPr="00937FA0">
        <w:rPr>
          <w:rFonts w:ascii="Times New Roman" w:eastAsia="Times New Roman" w:hAnsi="Times New Roman" w:cs="Times New Roman"/>
          <w:lang w:eastAsia="sl-SI"/>
        </w:rPr>
        <w:t>:</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1"/>
        <w:gridCol w:w="1921"/>
        <w:gridCol w:w="1921"/>
        <w:gridCol w:w="1921"/>
        <w:gridCol w:w="1922"/>
      </w:tblGrid>
      <w:tr w:rsidR="00937FA0" w:rsidRPr="00937FA0" w14:paraId="250996A0" w14:textId="77777777" w:rsidTr="00A91329">
        <w:tc>
          <w:tcPr>
            <w:tcW w:w="1921" w:type="dxa"/>
          </w:tcPr>
          <w:p w14:paraId="58D4D351"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iCs/>
                <w:lang w:eastAsia="sl-SI"/>
              </w:rPr>
            </w:pPr>
          </w:p>
        </w:tc>
        <w:tc>
          <w:tcPr>
            <w:tcW w:w="1921" w:type="dxa"/>
          </w:tcPr>
          <w:p w14:paraId="77BBB366"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iCs/>
                <w:lang w:eastAsia="sl-SI"/>
              </w:rPr>
            </w:pPr>
            <w:r w:rsidRPr="00937FA0">
              <w:rPr>
                <w:rFonts w:ascii="Times New Roman" w:eastAsia="Times New Roman" w:hAnsi="Times New Roman" w:cs="Times New Roman"/>
                <w:lang w:eastAsia="sl-SI"/>
              </w:rPr>
              <w:t>8 mg/12,5 mg</w:t>
            </w:r>
          </w:p>
        </w:tc>
        <w:tc>
          <w:tcPr>
            <w:tcW w:w="1921" w:type="dxa"/>
          </w:tcPr>
          <w:p w14:paraId="76DE3C40"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16 mg/12,5 mg</w:t>
            </w:r>
          </w:p>
        </w:tc>
        <w:tc>
          <w:tcPr>
            <w:tcW w:w="1921" w:type="dxa"/>
          </w:tcPr>
          <w:p w14:paraId="46BA482E"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32 mg/12,5 mg</w:t>
            </w:r>
          </w:p>
        </w:tc>
        <w:tc>
          <w:tcPr>
            <w:tcW w:w="1922" w:type="dxa"/>
          </w:tcPr>
          <w:p w14:paraId="736FD9F6"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32 mg/25 mg</w:t>
            </w:r>
          </w:p>
        </w:tc>
      </w:tr>
      <w:tr w:rsidR="00937FA0" w:rsidRPr="00937FA0" w14:paraId="7925AF26" w14:textId="77777777" w:rsidTr="00A91329">
        <w:tc>
          <w:tcPr>
            <w:tcW w:w="1921" w:type="dxa"/>
          </w:tcPr>
          <w:p w14:paraId="7BE42D19"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Laktozė</w:t>
            </w:r>
          </w:p>
        </w:tc>
        <w:tc>
          <w:tcPr>
            <w:tcW w:w="1921" w:type="dxa"/>
          </w:tcPr>
          <w:p w14:paraId="7BA30207"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73,06 mg</w:t>
            </w:r>
          </w:p>
        </w:tc>
        <w:tc>
          <w:tcPr>
            <w:tcW w:w="1921" w:type="dxa"/>
          </w:tcPr>
          <w:p w14:paraId="3791C0C0"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65,46 mg</w:t>
            </w:r>
          </w:p>
        </w:tc>
        <w:tc>
          <w:tcPr>
            <w:tcW w:w="1921" w:type="dxa"/>
          </w:tcPr>
          <w:p w14:paraId="6D9C697A"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142,79 mg</w:t>
            </w:r>
          </w:p>
        </w:tc>
        <w:tc>
          <w:tcPr>
            <w:tcW w:w="1922" w:type="dxa"/>
          </w:tcPr>
          <w:p w14:paraId="24876475" w14:textId="77777777" w:rsidR="00937FA0" w:rsidRPr="00937FA0" w:rsidRDefault="00937FA0" w:rsidP="00937FA0">
            <w:pPr>
              <w:widowControl w:val="0"/>
              <w:autoSpaceDE w:val="0"/>
              <w:autoSpaceDN w:val="0"/>
              <w:adjustRightInd w:val="0"/>
              <w:ind w:left="0" w:firstLine="0"/>
              <w:jc w:val="both"/>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130,91 mg</w:t>
            </w:r>
          </w:p>
        </w:tc>
      </w:tr>
    </w:tbl>
    <w:p w14:paraId="35BD2C0F"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p>
    <w:p w14:paraId="354FFA9D" w14:textId="1933F0E0"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Visos pagalbinės medžiagos išvardytos 6.1</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skyriuje.</w:t>
      </w:r>
    </w:p>
    <w:p w14:paraId="584E3798"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p>
    <w:p w14:paraId="4BB7A4E6" w14:textId="77777777" w:rsidR="00937FA0" w:rsidRPr="00937FA0" w:rsidRDefault="00937FA0" w:rsidP="00937FA0">
      <w:pPr>
        <w:widowControl w:val="0"/>
        <w:rPr>
          <w:rFonts w:ascii="Times New Roman" w:eastAsia="Times New Roman" w:hAnsi="Times New Roman" w:cs="Times New Roman"/>
          <w:lang w:eastAsia="sl-SI"/>
        </w:rPr>
      </w:pPr>
    </w:p>
    <w:p w14:paraId="5F3DEDDC"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3.</w:t>
      </w:r>
      <w:r w:rsidRPr="00937FA0">
        <w:rPr>
          <w:rFonts w:ascii="Times New Roman" w:eastAsia="Times New Roman" w:hAnsi="Times New Roman" w:cs="Times New Roman"/>
          <w:b/>
          <w:caps/>
          <w:lang w:eastAsia="sl-SI"/>
        </w:rPr>
        <w:tab/>
        <w:t>FARMACINĖ forma</w:t>
      </w:r>
    </w:p>
    <w:p w14:paraId="65DAF6BF"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1C38F7D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Tabletė</w:t>
      </w:r>
    </w:p>
    <w:p w14:paraId="5088057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D4749DB"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 yra baltos spalvos, abipus išgaubtos, ovalo formos, su laužimo vagele vienoje pusėje.</w:t>
      </w:r>
    </w:p>
    <w:p w14:paraId="02E907F1"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lang w:eastAsia="sl-SI"/>
        </w:rPr>
        <w:t>Vagelė skirta tik tabletei perlaužti, kad būtų lengviau nuryti, bet ne jai padalyti į lygias dozes.</w:t>
      </w:r>
    </w:p>
    <w:p w14:paraId="40E25090"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16 mg/12,5 mg tabletės yra šviesiai rausvos spalvos, abipus išgaubtos, ovalo formos, su laužimo vagele vienoje pusėje.</w:t>
      </w:r>
    </w:p>
    <w:p w14:paraId="45397E01"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14:paraId="49A3C71A"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mg/12,5 mg tabletės yra gelsvai baltos spalvos, abipus išgaubtos, ovalo formos, su laužimo vagele vienoje pusėje.</w:t>
      </w:r>
    </w:p>
    <w:p w14:paraId="2B1A0903"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14:paraId="20D88664"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mg/25 mg tabletės yra šviesiai rausvos spalvos, abipus išgaubtos, ovalo formos, su laužimo vagele vienoje pusėje.</w:t>
      </w:r>
    </w:p>
    <w:p w14:paraId="2DA87D0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Tabletę galima padalyti į lygias dozes.</w:t>
      </w:r>
    </w:p>
    <w:p w14:paraId="33D22394"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FABC606" w14:textId="77777777" w:rsidR="00937FA0" w:rsidRPr="00937FA0" w:rsidRDefault="00937FA0" w:rsidP="00937FA0">
      <w:pPr>
        <w:widowControl w:val="0"/>
        <w:rPr>
          <w:rFonts w:ascii="Times New Roman" w:eastAsia="Times New Roman" w:hAnsi="Times New Roman" w:cs="Times New Roman"/>
          <w:lang w:eastAsia="sl-SI"/>
        </w:rPr>
      </w:pPr>
    </w:p>
    <w:p w14:paraId="1BD8A52E"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4.</w:t>
      </w:r>
      <w:r w:rsidRPr="00937FA0">
        <w:rPr>
          <w:rFonts w:ascii="Times New Roman" w:eastAsia="Times New Roman" w:hAnsi="Times New Roman" w:cs="Times New Roman"/>
          <w:b/>
          <w:caps/>
          <w:lang w:eastAsia="sl-SI"/>
        </w:rPr>
        <w:tab/>
        <w:t>klinikinĖ informacija</w:t>
      </w:r>
    </w:p>
    <w:p w14:paraId="614596BF" w14:textId="77777777" w:rsidR="00937FA0" w:rsidRPr="00937FA0" w:rsidRDefault="00937FA0" w:rsidP="00937FA0">
      <w:pPr>
        <w:widowControl w:val="0"/>
        <w:rPr>
          <w:rFonts w:ascii="Times New Roman" w:eastAsia="Times New Roman" w:hAnsi="Times New Roman" w:cs="Times New Roman"/>
          <w:lang w:eastAsia="sl-SI"/>
        </w:rPr>
      </w:pPr>
    </w:p>
    <w:p w14:paraId="45B510B4"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4.1</w:t>
      </w:r>
      <w:r w:rsidRPr="00937FA0">
        <w:rPr>
          <w:rFonts w:ascii="Times New Roman" w:eastAsia="Times New Roman" w:hAnsi="Times New Roman" w:cs="Times New Roman"/>
          <w:b/>
          <w:lang w:eastAsia="sl-SI"/>
        </w:rPr>
        <w:tab/>
        <w:t>Terapinės indikacijos</w:t>
      </w:r>
    </w:p>
    <w:p w14:paraId="4E4E91C5" w14:textId="77777777" w:rsidR="00937FA0" w:rsidRDefault="00937FA0" w:rsidP="00937FA0">
      <w:pPr>
        <w:widowControl w:val="0"/>
        <w:rPr>
          <w:rFonts w:ascii="Times New Roman" w:eastAsia="Times New Roman" w:hAnsi="Times New Roman" w:cs="Times New Roman"/>
          <w:lang w:eastAsia="sl-SI"/>
        </w:rPr>
      </w:pPr>
    </w:p>
    <w:p w14:paraId="373B1E3D" w14:textId="77777777" w:rsidR="00BB55E2" w:rsidRDefault="00BB55E2"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skirtas</w:t>
      </w:r>
      <w:r>
        <w:rPr>
          <w:rFonts w:ascii="Times New Roman" w:eastAsia="Times New Roman" w:hAnsi="Times New Roman" w:cs="Times New Roman"/>
          <w:lang w:eastAsia="sl-SI"/>
        </w:rPr>
        <w:t>:</w:t>
      </w:r>
    </w:p>
    <w:p w14:paraId="7203E4AC" w14:textId="77777777" w:rsidR="00BB55E2" w:rsidRPr="00937FA0" w:rsidRDefault="00BB55E2" w:rsidP="00937FA0">
      <w:pPr>
        <w:widowControl w:val="0"/>
        <w:rPr>
          <w:rFonts w:ascii="Times New Roman" w:eastAsia="Times New Roman" w:hAnsi="Times New Roman" w:cs="Times New Roman"/>
          <w:lang w:eastAsia="sl-SI"/>
        </w:rPr>
      </w:pPr>
    </w:p>
    <w:p w14:paraId="1A688483" w14:textId="77777777" w:rsidR="00937FA0" w:rsidRPr="00937FA0" w:rsidRDefault="00BB55E2" w:rsidP="00937FA0">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S</w:t>
      </w:r>
      <w:r w:rsidR="00937FA0" w:rsidRPr="00937FA0">
        <w:rPr>
          <w:rFonts w:ascii="Times New Roman" w:eastAsia="Times New Roman" w:hAnsi="Times New Roman" w:cs="Times New Roman"/>
          <w:lang w:eastAsia="sl-SI"/>
        </w:rPr>
        <w:t>uaugusių pacientų</w:t>
      </w:r>
      <w:r w:rsidR="00937FA0" w:rsidRPr="00937FA0" w:rsidDel="007E21C2">
        <w:rPr>
          <w:rFonts w:ascii="Times New Roman" w:eastAsia="Times New Roman" w:hAnsi="Times New Roman" w:cs="Times New Roman"/>
          <w:lang w:eastAsia="sl-SI"/>
        </w:rPr>
        <w:t xml:space="preserve"> </w:t>
      </w:r>
      <w:r w:rsidR="00937FA0" w:rsidRPr="00937FA0">
        <w:rPr>
          <w:rFonts w:ascii="Times New Roman" w:eastAsia="Times New Roman" w:hAnsi="Times New Roman" w:cs="Times New Roman"/>
          <w:lang w:eastAsia="sl-SI"/>
        </w:rPr>
        <w:t>pirminės arterinės hipertenzijos gydymui, kai kraujospūdis nėra optimaliai kontroliuojamas taikant monoterapiją kandesartano cileksetilu arba hidrochlorotiazidu.</w:t>
      </w:r>
    </w:p>
    <w:p w14:paraId="36B049F7" w14:textId="77777777" w:rsidR="00937FA0" w:rsidRPr="00937FA0" w:rsidRDefault="00937FA0" w:rsidP="00937FA0">
      <w:pPr>
        <w:widowControl w:val="0"/>
        <w:rPr>
          <w:rFonts w:ascii="Times New Roman" w:eastAsia="Times New Roman" w:hAnsi="Times New Roman" w:cs="Times New Roman"/>
          <w:lang w:eastAsia="sl-SI"/>
        </w:rPr>
      </w:pPr>
    </w:p>
    <w:p w14:paraId="2412614C"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4.2</w:t>
      </w:r>
      <w:r w:rsidRPr="00937FA0">
        <w:rPr>
          <w:rFonts w:ascii="Times New Roman" w:eastAsia="Times New Roman" w:hAnsi="Times New Roman" w:cs="Times New Roman"/>
          <w:b/>
          <w:lang w:eastAsia="sl-SI"/>
        </w:rPr>
        <w:tab/>
        <w:t>Dozavimas ir vartojimo metodas</w:t>
      </w:r>
    </w:p>
    <w:p w14:paraId="702B6EE8"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p>
    <w:p w14:paraId="4D4AB35D" w14:textId="77777777" w:rsidR="00937FA0" w:rsidRPr="00937FA0" w:rsidRDefault="00937FA0" w:rsidP="00937FA0">
      <w:pPr>
        <w:widowControl w:val="0"/>
        <w:tabs>
          <w:tab w:val="left" w:pos="567"/>
        </w:tabs>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Dozavimas hipertenzijai gydyti</w:t>
      </w:r>
    </w:p>
    <w:p w14:paraId="45CFE50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Rekomenduojama Canocombi dozė yra viena tabletė vieną kartą per parą.</w:t>
      </w:r>
    </w:p>
    <w:p w14:paraId="5391389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Rekomenduojama palaipsniui nustatyti kiekvienos veikliosios medžiagos (kandesartano cileksetilo ir hidrochlorotiazido) dozę. Jeigu kliniškai tinka, galima apgalvotai monoterapiją pakeisti tiesiogiai į Canocombi. Jeigu buvo taikyta monoterapija hidrochlorotiazidu, keičiant rekomenduojama palaipsniui nustatyti kandesartano cileksetilo dozę. Canocombi gali būti skiriamas pacientams, kurių kraujospūdis nėra optimaliai kontroliuojamas taikant monoterapiją kandesartano cileksetilu ar hidrochlorotiazidu arba mažesnėmis Canocombi dozėmis.</w:t>
      </w:r>
    </w:p>
    <w:p w14:paraId="0535FCC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32E85E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Stipriausias antihipertenzinis poveikis paprastai pasireiškia per 4 savaites nuo gydymo pradžios.</w:t>
      </w:r>
    </w:p>
    <w:p w14:paraId="2AD2D5B1"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55CAFAE"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Specialių grupių pacientams</w:t>
      </w:r>
    </w:p>
    <w:p w14:paraId="7FCCA8E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977DDE9"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Senyviems pacientams</w:t>
      </w:r>
    </w:p>
    <w:p w14:paraId="36891E9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Senyviems pacientams dozės keisti nebūtina.</w:t>
      </w:r>
    </w:p>
    <w:p w14:paraId="4566823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89EFE4F"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Organizme cirkuliuojančio kraujo tūrio sumažėjimas</w:t>
      </w:r>
    </w:p>
    <w:p w14:paraId="568ECD4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kuriems yra hipotenzijos rizika, pavyzdžiui, kurių organizme gali būti sumažėjęs cirkuliuojančio kraujo tūris, kandesartano cileksetilo dozę rekomenduojama nustatyti palaipsniui (tokiems pacientams reikia apgalvotai skirti pradinę 4 mg kandesartano cileksetilo dozę).</w:t>
      </w:r>
    </w:p>
    <w:p w14:paraId="3F650510" w14:textId="77777777" w:rsidR="00937FA0" w:rsidRPr="00937FA0" w:rsidRDefault="00937FA0" w:rsidP="00937FA0">
      <w:pPr>
        <w:widowControl w:val="0"/>
        <w:ind w:left="0" w:firstLine="0"/>
        <w:rPr>
          <w:rFonts w:ascii="Times New Roman" w:eastAsia="Times New Roman" w:hAnsi="Times New Roman" w:cs="Times New Roman"/>
          <w:i/>
          <w:u w:val="single"/>
          <w:lang w:eastAsia="sl-SI"/>
        </w:rPr>
      </w:pPr>
    </w:p>
    <w:p w14:paraId="21801779"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Inkstų funkcijos sutrikimas</w:t>
      </w:r>
    </w:p>
    <w:p w14:paraId="4A113C9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Prieš pradedant gydymą Canocombi pacientams, kurie serga lengvu ar vidutinio sunkumo inkstų funkcijos sutrikimu (kreatinino klirensas yra </w:t>
      </w:r>
      <w:r w:rsidRPr="00937FA0">
        <w:rPr>
          <w:rFonts w:ascii="Times New Roman" w:eastAsia="Arial Unicode MS" w:hAnsi="Times New Roman" w:cs="Times New Roman"/>
          <w:lang w:eastAsia="sl-SI"/>
        </w:rPr>
        <w:t>≥ </w:t>
      </w:r>
      <w:r w:rsidRPr="00937FA0">
        <w:rPr>
          <w:rFonts w:ascii="Times New Roman" w:eastAsia="Times New Roman" w:hAnsi="Times New Roman" w:cs="Times New Roman"/>
          <w:lang w:eastAsia="sl-SI"/>
        </w:rPr>
        <w:t xml:space="preserve">30-80 ml/min./1,73 m² kūno paviršiaus ploto [KPP]), rekomenduojama </w:t>
      </w:r>
      <w:r w:rsidRPr="00937FA0">
        <w:rPr>
          <w:rFonts w:ascii="Times New Roman" w:eastAsia="Times New Roman" w:hAnsi="Times New Roman" w:cs="Times New Roman"/>
          <w:kern w:val="1"/>
          <w:lang w:eastAsia="lt-LT"/>
        </w:rPr>
        <w:t>titruoti dozę</w:t>
      </w:r>
      <w:r w:rsidRPr="00937FA0">
        <w:rPr>
          <w:rFonts w:ascii="Times New Roman" w:eastAsia="Times New Roman" w:hAnsi="Times New Roman" w:cs="Times New Roman"/>
          <w:lang w:eastAsia="sl-SI"/>
        </w:rPr>
        <w:t>.</w:t>
      </w:r>
    </w:p>
    <w:p w14:paraId="124D8F0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negalima vartoti pacientams, kurie serga sunkiu inkstų funkcijos sutrikimu (kreatinino klirensas yra &lt; 30 ml/min./1,73 m² KPP) (žr. 4.3 skyrių).</w:t>
      </w:r>
    </w:p>
    <w:p w14:paraId="44758950"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6C21A69D"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Kepenų funkcijos sutrikimas</w:t>
      </w:r>
    </w:p>
    <w:p w14:paraId="6201CC1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kurie serga</w:t>
      </w:r>
      <w:r w:rsidRPr="00937FA0">
        <w:rPr>
          <w:rFonts w:ascii="Times New Roman" w:eastAsia="Times New Roman" w:hAnsi="Times New Roman" w:cs="Times New Roman"/>
          <w:i/>
          <w:lang w:eastAsia="sl-SI"/>
        </w:rPr>
        <w:t xml:space="preserve"> </w:t>
      </w:r>
      <w:r w:rsidRPr="00937FA0">
        <w:rPr>
          <w:rFonts w:ascii="Times New Roman" w:eastAsia="Times New Roman" w:hAnsi="Times New Roman" w:cs="Times New Roman"/>
          <w:lang w:eastAsia="sl-SI"/>
        </w:rPr>
        <w:t>lengva ar vidutinio sunkumo lėtine kepenų liga, kandesartano cileksetilo dozę rekomenduojama titruoti. Canocombi negalima vartoti pacientams, kurie serga sunkiu  kepenų funkcijos sutrikimu ir (arba) kuriems pasireiškia cholestazė (žr. 4.3 skyrių).</w:t>
      </w:r>
    </w:p>
    <w:p w14:paraId="79FFA6A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FAA6BFA"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Vaikų populiacija</w:t>
      </w:r>
    </w:p>
    <w:p w14:paraId="27FD3EF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saugumas ir veiksmingumas vaikams nuo gimimo iki 18 metų dar nebuvo nustatytas. Duomenų nėra.</w:t>
      </w:r>
    </w:p>
    <w:p w14:paraId="39649DAF"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4021F42"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Vartojimo metodas</w:t>
      </w:r>
    </w:p>
    <w:p w14:paraId="40761B44" w14:textId="77777777" w:rsidR="00BB55E2"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Vartoti per burną.</w:t>
      </w:r>
    </w:p>
    <w:p w14:paraId="0E00D5F3" w14:textId="77777777" w:rsidR="00BB55E2"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galima vartoti valgant arba be maisto.</w:t>
      </w:r>
    </w:p>
    <w:p w14:paraId="511C816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Maistas neveikia kandesartano biologinio prieinamumo. Hidrochlorotiazidas kliniškai reikšmingai nesąveikauja su maistu.</w:t>
      </w:r>
    </w:p>
    <w:p w14:paraId="4D9C1F4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9680994"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4.3</w:t>
      </w:r>
      <w:r w:rsidRPr="00937FA0">
        <w:rPr>
          <w:rFonts w:ascii="Times New Roman" w:eastAsia="Times New Roman" w:hAnsi="Times New Roman" w:cs="Times New Roman"/>
          <w:b/>
          <w:lang w:eastAsia="sl-SI"/>
        </w:rPr>
        <w:tab/>
        <w:t>Kontraindikacijos</w:t>
      </w:r>
    </w:p>
    <w:p w14:paraId="27447478" w14:textId="77777777" w:rsidR="00937FA0" w:rsidRPr="00937FA0" w:rsidRDefault="00937FA0" w:rsidP="00937FA0">
      <w:pPr>
        <w:widowControl w:val="0"/>
        <w:rPr>
          <w:rFonts w:ascii="Times New Roman" w:eastAsia="Times New Roman" w:hAnsi="Times New Roman" w:cs="Times New Roman"/>
          <w:lang w:eastAsia="sl-SI"/>
        </w:rPr>
      </w:pPr>
    </w:p>
    <w:p w14:paraId="0834E342" w14:textId="78AC90DF" w:rsidR="00937FA0" w:rsidRPr="00937FA0" w:rsidRDefault="00937FA0" w:rsidP="00937FA0">
      <w:pPr>
        <w:widowControl w:val="0"/>
        <w:numPr>
          <w:ilvl w:val="0"/>
          <w:numId w:val="13"/>
        </w:numPr>
        <w:tabs>
          <w:tab w:val="left" w:pos="567"/>
        </w:tabs>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Padidėjęs jautrumas veikliosioms medžiagoms arba bet kuriai 6.1</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skyriuje nurodytai pagalbinei medžiagai arba sulfonamidų dariniams. Hidrochlorotiazidas yra sulfonamidų darinys.</w:t>
      </w:r>
    </w:p>
    <w:p w14:paraId="6FFF0F46" w14:textId="77777777" w:rsidR="00937FA0" w:rsidRPr="00937FA0" w:rsidRDefault="00937FA0" w:rsidP="00937FA0">
      <w:pPr>
        <w:widowControl w:val="0"/>
        <w:numPr>
          <w:ilvl w:val="0"/>
          <w:numId w:val="13"/>
        </w:numPr>
        <w:tabs>
          <w:tab w:val="left" w:pos="567"/>
        </w:tabs>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Antras ir trečias nėštumo trimestrai (žr. 4.4 ir 4.6 skyrius).</w:t>
      </w:r>
    </w:p>
    <w:p w14:paraId="26F9E864" w14:textId="77777777" w:rsidR="00937FA0" w:rsidRPr="00937FA0" w:rsidRDefault="00937FA0" w:rsidP="00937FA0">
      <w:pPr>
        <w:widowControl w:val="0"/>
        <w:numPr>
          <w:ilvl w:val="0"/>
          <w:numId w:val="13"/>
        </w:numPr>
        <w:tabs>
          <w:tab w:val="left" w:pos="567"/>
        </w:tabs>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Sunkus inkstų funkcijos sutrikimas (kreatinino klirensas yra &lt; 30 ml/min./1,73 m² KPP).</w:t>
      </w:r>
    </w:p>
    <w:p w14:paraId="5C5516D3" w14:textId="77777777" w:rsidR="00937FA0" w:rsidRPr="00937FA0" w:rsidRDefault="00937FA0" w:rsidP="00937FA0">
      <w:pPr>
        <w:widowControl w:val="0"/>
        <w:numPr>
          <w:ilvl w:val="0"/>
          <w:numId w:val="13"/>
        </w:numPr>
        <w:tabs>
          <w:tab w:val="left" w:pos="567"/>
        </w:tabs>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Sunkus kepenų funkcijos sutrikimas ir (arba) tulžies sąstovis.</w:t>
      </w:r>
    </w:p>
    <w:p w14:paraId="475975F7" w14:textId="77777777" w:rsidR="00937FA0" w:rsidRPr="00937FA0" w:rsidRDefault="00937FA0" w:rsidP="00937FA0">
      <w:pPr>
        <w:widowControl w:val="0"/>
        <w:numPr>
          <w:ilvl w:val="0"/>
          <w:numId w:val="13"/>
        </w:numPr>
        <w:tabs>
          <w:tab w:val="left" w:pos="567"/>
        </w:tabs>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Gydymui atspari (refrakterinė) hipokalemija ir hiperkalcemija.</w:t>
      </w:r>
    </w:p>
    <w:p w14:paraId="4E0F725A" w14:textId="77777777" w:rsidR="00937FA0" w:rsidRPr="00937FA0" w:rsidRDefault="00937FA0" w:rsidP="00937FA0">
      <w:pPr>
        <w:widowControl w:val="0"/>
        <w:numPr>
          <w:ilvl w:val="0"/>
          <w:numId w:val="13"/>
        </w:numPr>
        <w:tabs>
          <w:tab w:val="left" w:pos="567"/>
        </w:tabs>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Podagra.</w:t>
      </w:r>
    </w:p>
    <w:p w14:paraId="41A2B692" w14:textId="0F3EB081" w:rsidR="00937FA0" w:rsidRPr="00937FA0" w:rsidRDefault="00937FA0" w:rsidP="00937FA0">
      <w:pPr>
        <w:widowControl w:val="0"/>
        <w:numPr>
          <w:ilvl w:val="0"/>
          <w:numId w:val="13"/>
        </w:numPr>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Pacientams, kurie serga cukriniu diabetu arba kurių inkstų funkcija sutrikusi (GFG &lt; 60ml/min/1,73 m</w:t>
      </w:r>
      <w:r w:rsidRPr="00937FA0">
        <w:rPr>
          <w:rFonts w:ascii="Times New Roman" w:eastAsia="Times New Roman" w:hAnsi="Times New Roman" w:cs="Times New Roman"/>
          <w:iCs/>
          <w:vertAlign w:val="superscript"/>
          <w:lang w:eastAsia="sl-SI"/>
        </w:rPr>
        <w:t>2</w:t>
      </w:r>
      <w:r w:rsidRPr="00937FA0">
        <w:rPr>
          <w:rFonts w:ascii="Times New Roman" w:eastAsia="Times New Roman" w:hAnsi="Times New Roman" w:cs="Times New Roman"/>
          <w:iCs/>
          <w:lang w:eastAsia="sl-SI"/>
        </w:rPr>
        <w:t>), Canocombi negalima vartoti kartu su preparatais, kurių sudėtyje yra aliskireno (žr. 4.5 ir 5.1</w:t>
      </w:r>
      <w:r w:rsidR="0077497E">
        <w:rPr>
          <w:rFonts w:ascii="Times New Roman" w:eastAsia="Times New Roman" w:hAnsi="Times New Roman" w:cs="Times New Roman"/>
          <w:iCs/>
          <w:lang w:eastAsia="sl-SI"/>
        </w:rPr>
        <w:t> </w:t>
      </w:r>
      <w:r w:rsidRPr="00937FA0">
        <w:rPr>
          <w:rFonts w:ascii="Times New Roman" w:eastAsia="Times New Roman" w:hAnsi="Times New Roman" w:cs="Times New Roman"/>
          <w:iCs/>
          <w:lang w:eastAsia="sl-SI"/>
        </w:rPr>
        <w:t>skyrius).</w:t>
      </w:r>
    </w:p>
    <w:p w14:paraId="1A42CAA5" w14:textId="77777777" w:rsidR="00937FA0" w:rsidRPr="00937FA0" w:rsidRDefault="00937FA0" w:rsidP="00937FA0">
      <w:pPr>
        <w:widowControl w:val="0"/>
        <w:rPr>
          <w:rFonts w:ascii="Times New Roman" w:eastAsia="Times New Roman" w:hAnsi="Times New Roman" w:cs="Times New Roman"/>
          <w:lang w:eastAsia="sl-SI"/>
        </w:rPr>
      </w:pPr>
    </w:p>
    <w:p w14:paraId="0F64D9FC"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4.4</w:t>
      </w:r>
      <w:r w:rsidRPr="00937FA0">
        <w:rPr>
          <w:rFonts w:ascii="Times New Roman" w:eastAsia="Times New Roman" w:hAnsi="Times New Roman" w:cs="Times New Roman"/>
          <w:b/>
          <w:lang w:eastAsia="sl-SI"/>
        </w:rPr>
        <w:tab/>
        <w:t>Specialūs įspėjimai ir atsargumo priemonės</w:t>
      </w:r>
    </w:p>
    <w:p w14:paraId="2B0B5B4F" w14:textId="77777777" w:rsidR="00937FA0" w:rsidRPr="00937FA0" w:rsidRDefault="00937FA0" w:rsidP="00937FA0">
      <w:pPr>
        <w:widowControl w:val="0"/>
        <w:rPr>
          <w:rFonts w:ascii="Times New Roman" w:eastAsia="Times New Roman" w:hAnsi="Times New Roman" w:cs="Times New Roman"/>
          <w:b/>
          <w:lang w:eastAsia="sl-SI"/>
        </w:rPr>
      </w:pPr>
    </w:p>
    <w:p w14:paraId="6DBAB977"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Dvigubas renino, angiotenzino ir aldosterono sistemos (RAAS) nuslopinimas</w:t>
      </w:r>
    </w:p>
    <w:p w14:paraId="2F6A0D48" w14:textId="7305F125"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Turima įrodymų, kad kartu vartojant AKF inhibitorius, angiotenzino II receptorių blokatorius ar aliskireną padidėja hipotenzijos, hiperkalemijos ir inkstų funkcijos susilpnėjimo (įskaitant ūminį inkstų nepakankamumą) rizika. Todėl nerekomenduojama dvigubai nuslopinti RAAS, vartojant AKF inhibitorių, angiotenzino II receptorių blokatorių ar aliskireno derinį (žr. 4.5 ir 5.1</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skyrius).</w:t>
      </w:r>
    </w:p>
    <w:p w14:paraId="128C512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C1248B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Vis dėlto, jei dvigubas nuslopinimas laikomas absoliučiai būtinu, šis gydymas turi būti atliekamas tik prižiūrint specialistams ir dažnai bei atidžiai tiriant inkstų funkciją, elektrolitų koncentraciją bei kraujospūdį.</w:t>
      </w:r>
    </w:p>
    <w:p w14:paraId="547D795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sergantiems diabetine nefropatija, negalima kartu vartoti AKF inhibitorių ir angiotenzino II receptorių blokatorių.</w:t>
      </w:r>
    </w:p>
    <w:p w14:paraId="6CA5C48B" w14:textId="77777777" w:rsidR="00937FA0" w:rsidRPr="00937FA0" w:rsidRDefault="00937FA0" w:rsidP="00937FA0">
      <w:pPr>
        <w:widowControl w:val="0"/>
        <w:rPr>
          <w:rFonts w:ascii="Times New Roman" w:eastAsia="Times New Roman" w:hAnsi="Times New Roman" w:cs="Times New Roman"/>
          <w:lang w:eastAsia="sl-SI"/>
        </w:rPr>
      </w:pPr>
    </w:p>
    <w:p w14:paraId="2E71E795"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Sutrikusi inkstų funkcija</w:t>
      </w:r>
    </w:p>
    <w:p w14:paraId="62CE05EF" w14:textId="4600FFB1" w:rsidR="00937FA0" w:rsidRPr="00937FA0" w:rsidRDefault="00937FA0" w:rsidP="00937FA0">
      <w:pPr>
        <w:widowControl w:val="0"/>
        <w:tabs>
          <w:tab w:val="left" w:pos="567"/>
        </w:tabs>
        <w:ind w:left="0" w:firstLine="0"/>
        <w:rPr>
          <w:rFonts w:ascii="Times New Roman" w:eastAsia="Times New Roman" w:hAnsi="Times New Roman" w:cs="Times New Roman"/>
          <w:iCs/>
          <w:kern w:val="1"/>
          <w:lang w:eastAsia="lt-LT"/>
        </w:rPr>
      </w:pPr>
      <w:r w:rsidRPr="00937FA0">
        <w:rPr>
          <w:rFonts w:ascii="Times New Roman" w:eastAsia="Times New Roman" w:hAnsi="Times New Roman" w:cs="Times New Roman"/>
          <w:iCs/>
          <w:kern w:val="1"/>
          <w:lang w:eastAsia="lt-LT"/>
        </w:rPr>
        <w:t xml:space="preserve">Kaip ir su kitais vaistais, kurie slopina RAAS, vartojant </w:t>
      </w:r>
      <w:r w:rsidRPr="00937FA0">
        <w:rPr>
          <w:rFonts w:ascii="Times New Roman" w:eastAsia="Times New Roman" w:hAnsi="Times New Roman" w:cs="Times New Roman"/>
          <w:kern w:val="1"/>
          <w:lang w:eastAsia="lt-LT"/>
        </w:rPr>
        <w:t>Canocombi</w:t>
      </w:r>
      <w:r w:rsidRPr="00937FA0">
        <w:rPr>
          <w:rFonts w:ascii="Times New Roman" w:eastAsia="Times New Roman" w:hAnsi="Times New Roman" w:cs="Times New Roman"/>
          <w:iCs/>
          <w:kern w:val="1"/>
          <w:lang w:eastAsia="lt-LT"/>
        </w:rPr>
        <w:t xml:space="preserve"> galimi inkstų funkcijos pokyčiai jautriems pacientams (žr. 4.3</w:t>
      </w:r>
      <w:r w:rsidR="0077497E">
        <w:rPr>
          <w:rFonts w:ascii="Times New Roman" w:eastAsia="Times New Roman" w:hAnsi="Times New Roman" w:cs="Times New Roman"/>
          <w:iCs/>
          <w:kern w:val="1"/>
          <w:lang w:eastAsia="lt-LT"/>
        </w:rPr>
        <w:t> </w:t>
      </w:r>
      <w:r w:rsidRPr="00937FA0">
        <w:rPr>
          <w:rFonts w:ascii="Times New Roman" w:eastAsia="Times New Roman" w:hAnsi="Times New Roman" w:cs="Times New Roman"/>
          <w:iCs/>
          <w:kern w:val="1"/>
          <w:lang w:eastAsia="lt-LT"/>
        </w:rPr>
        <w:t>skyrių).</w:t>
      </w:r>
    </w:p>
    <w:p w14:paraId="14C6949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1402F5E" w14:textId="2F5E0ED4"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lang w:eastAsia="sl-SI"/>
        </w:rPr>
        <w:t>Ink</w:t>
      </w:r>
      <w:r w:rsidR="00816293">
        <w:rPr>
          <w:rFonts w:ascii="Times New Roman" w:eastAsia="Times New Roman" w:hAnsi="Times New Roman" w:cs="Times New Roman"/>
          <w:lang w:eastAsia="sl-SI"/>
        </w:rPr>
        <w:t>s</w:t>
      </w:r>
      <w:r w:rsidRPr="00937FA0">
        <w:rPr>
          <w:rFonts w:ascii="Times New Roman" w:eastAsia="Times New Roman" w:hAnsi="Times New Roman" w:cs="Times New Roman"/>
          <w:lang w:eastAsia="sl-SI"/>
        </w:rPr>
        <w:t>tų</w:t>
      </w:r>
      <w:r w:rsidRPr="00937FA0">
        <w:rPr>
          <w:rFonts w:ascii="Times New Roman" w:eastAsia="Times New Roman" w:hAnsi="Times New Roman" w:cs="Times New Roman"/>
          <w:iCs/>
          <w:u w:val="single"/>
          <w:lang w:eastAsia="sl-SI"/>
        </w:rPr>
        <w:t xml:space="preserve"> persodinimas</w:t>
      </w:r>
    </w:p>
    <w:p w14:paraId="3665E4F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Canocombi vartojimo pacientams, kuriems neseniai </w:t>
      </w:r>
      <w:r w:rsidRPr="00937FA0">
        <w:rPr>
          <w:rFonts w:ascii="Times New Roman" w:eastAsia="Times New Roman" w:hAnsi="Times New Roman" w:cs="Times New Roman"/>
          <w:kern w:val="1"/>
          <w:lang w:eastAsia="lt-LT"/>
        </w:rPr>
        <w:t xml:space="preserve">buvo </w:t>
      </w:r>
      <w:r w:rsidRPr="00937FA0">
        <w:rPr>
          <w:rFonts w:ascii="Times New Roman" w:eastAsia="Times New Roman" w:hAnsi="Times New Roman" w:cs="Times New Roman"/>
          <w:lang w:eastAsia="sl-SI"/>
        </w:rPr>
        <w:t xml:space="preserve">persodintas inkstas, </w:t>
      </w:r>
      <w:r w:rsidRPr="00937FA0">
        <w:rPr>
          <w:rFonts w:ascii="Times New Roman" w:eastAsia="Times New Roman" w:hAnsi="Times New Roman" w:cs="Times New Roman"/>
          <w:kern w:val="1"/>
          <w:lang w:eastAsia="lt-LT"/>
        </w:rPr>
        <w:t xml:space="preserve">patirties </w:t>
      </w:r>
      <w:r w:rsidRPr="00937FA0">
        <w:rPr>
          <w:rFonts w:ascii="Times New Roman" w:eastAsia="Times New Roman" w:hAnsi="Times New Roman" w:cs="Times New Roman"/>
          <w:lang w:eastAsia="sl-SI"/>
        </w:rPr>
        <w:t>nėra.</w:t>
      </w:r>
    </w:p>
    <w:p w14:paraId="7E0CC97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B98D05D"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Inkstų arterijos stenozė</w:t>
      </w:r>
    </w:p>
    <w:p w14:paraId="407E513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Vaistiniai preparatai, kurie veikia renino, angiotenzino ir aldosterono sistemą, įskaitant angiotenzino II receptorių blokatorius (AIIRB), gali didinti šlapalo ir kreatinino koncentracijas kraujo serume pacientams, kuriems diagnozuota abiejų inkstų arterijų ar vienintelio inksto arterijos stenozė.</w:t>
      </w:r>
    </w:p>
    <w:p w14:paraId="48FF2F4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0C5B7C0"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Cirkuliuojančio kraujo tūrio sumažėjimas</w:t>
      </w:r>
    </w:p>
    <w:p w14:paraId="3C26E50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kurių organizme yra sumažėjęs cirkuliuojančio kraujo tūris ir (arba) trūksta natrio, gali pasireikšti simptominė hipotenzija, kaip aprašyta ir vartojant kitus vaistinius preparatus, kurie veikia renino, angiotenzino ir aldosterono sistemą. Todėl Canocombi nerekomenduojama vartoti tol, kol ši būklė nesureguliuojama.</w:t>
      </w:r>
    </w:p>
    <w:p w14:paraId="3B2CA0FF"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3A293413"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Anestezija ir chirurginė operacija</w:t>
      </w:r>
    </w:p>
    <w:p w14:paraId="59BF83C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Anestezijos ir chirurginės operacijos metu pacientams, kurie gydomi AIIRB, dėl renino ir angiotenzino sistemos slopinimo gali pasireikšti hipotenzija. Labai retais atvejais hipotenzija gali būti tokia sunki, kad gali prireikti vartoti skysčius į veną ir (arba) kraujagysles sutraukiančius vaistinius preparatus.</w:t>
      </w:r>
    </w:p>
    <w:p w14:paraId="232F896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1B787B7"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Kepenų funkcijos sutrikimas</w:t>
      </w:r>
    </w:p>
    <w:p w14:paraId="28DE5A0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kurie serga kepenų funkcijos sutrikimu arba progresuojančia kepenų liga, tiazidinius diuretikus reikia vartoti atsargiai, nes net mažiausi skysčio ir elektrolitų pusiausvyros pokyčiai gali paskatinti kepenų komą. Canocombi vartojimo pacientams, kurie serga kepenų funkcijos sutrikimu, klinikinės patirties nėra.</w:t>
      </w:r>
    </w:p>
    <w:p w14:paraId="752FF98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C84CB72"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Aortos ir mitralinio vožtuvo stenozė (obstrukcinė hipertrofinė kardiomiopatija)</w:t>
      </w:r>
    </w:p>
    <w:p w14:paraId="1D7DA3C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Kaip ir gydant kitais kraujagysles plečiančiančiais vaistiniais preparatais, reikia labai atsargiai gydyti pacientus, kuriems diagnozuota kraujotakai reikšminga aortos arba mitralinio vožtuvo stenozė arba obstrukcinė hipertrofinė kardiomiopatija.</w:t>
      </w:r>
    </w:p>
    <w:p w14:paraId="7800576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0257237"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Pirminis hiperaldosteronizmas</w:t>
      </w:r>
    </w:p>
    <w:p w14:paraId="779B8E8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Pacientai, kuriems diagnozuotas pirminis hiperaldosteronizmas, paprastai nereaguoja į antihipertenzinius vaistinius preparatus, kurie slopina renino, angiotenzino ir aldosterono sistemą. Todėl tokiems pacientams Canocombi vartoti nerekomenduojama.</w:t>
      </w:r>
    </w:p>
    <w:p w14:paraId="25B8D0FA"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3E35D62B"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Elektrolitų pusiausvyros sutrikimas</w:t>
      </w:r>
    </w:p>
    <w:p w14:paraId="3266172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Reikia periodiškai tinkamais intervalais matuoti elektrolitų koncentracijas kraujo serume. Tiazidiniai diuretikai, įskaitant hidrochlorotiazidą, gali sutrikdyti skysčių ar elektrolitų pusiausvyrą </w:t>
      </w:r>
      <w:r w:rsidRPr="00937FA0">
        <w:rPr>
          <w:rFonts w:ascii="Times New Roman" w:eastAsia="Times New Roman" w:hAnsi="Times New Roman" w:cs="Times New Roman"/>
          <w:lang w:eastAsia="sl-SI"/>
        </w:rPr>
        <w:lastRenderedPageBreak/>
        <w:t>(hiperkalcemija, hipokalemija, hiponatremija, hipomagnezemija ir hipochloreminė alkalozė).</w:t>
      </w:r>
    </w:p>
    <w:p w14:paraId="1193CDE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Tiazidiniai diuretikai gali mažinti kalcio ekskreciją su šlapimu ir sukelti laikiną nedidelį kalcio koncentracijos padidėjimą kraujo serume. Žymi hiperkalcemija gali būti slaptos hiperparatirozės požymis. Tiazidinių diuretikų vartojimą reikia nutraukti prieš prieskydinių liaukų funkcijos tyrimus.</w:t>
      </w:r>
    </w:p>
    <w:p w14:paraId="6E4DCA8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95EF00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Priklausomai nuo dozės hidrochlorotiazidas didina kalio ekskreciją su šlapimu, o tai gali sukelti hipokalemiją. Manoma, kad šis hidrochlorotiazido poveikis yra mažesnis vartojant kartu su kandesartano cileksetilu. Hipokalemijos rizika gali padidėti pacientams, sergantiems kepenų ciroze, kuriems skatinama diurezė, kurie vartoja per mažai elektrolitų per burną arba kartu vartoja kortikosteroidus ar adrenokortikotropinį hormoną (AKTH).</w:t>
      </w:r>
    </w:p>
    <w:p w14:paraId="0A2A76A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Gydymas kandesartano cileksetilu gali sukelti hiperkalemiją, ypač širdies nepakankamumo ir (arba) inkstų funkcijos sutrikimo atveju. Canocombi vartojant kartu su AKF inhibitoriais, aliskirenu, kalį organizme sulaikančiais diuretikais, kalio papildais ar druskų pakaitalais arba kitais vaistiniais preparatais, kurie gali didinti kalio koncentracijas kraujo serume (pvz., heparino natrio druska</w:t>
      </w:r>
      <w:r w:rsidRPr="00937FA0">
        <w:rPr>
          <w:rFonts w:ascii="Times New Roman" w:eastAsia="Times New Roman" w:hAnsi="Times New Roman" w:cs="Times New Roman"/>
          <w:snapToGrid w:val="0"/>
          <w:lang w:eastAsia="sl-SI"/>
        </w:rPr>
        <w:t>,</w:t>
      </w:r>
      <w:r w:rsidRPr="00937FA0">
        <w:rPr>
          <w:rFonts w:ascii="Times New Roman" w:eastAsia="Times New Roman" w:hAnsi="Times New Roman" w:cs="Times New Roman"/>
          <w:lang w:eastAsia="sl-SI"/>
        </w:rPr>
        <w:t xml:space="preserve"> kotrimoksazolis, taip pat žinomo kaip trimetoprimas</w:t>
      </w:r>
      <w:r w:rsidR="00F56AE0">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w:t>
      </w:r>
      <w:r w:rsidR="00F56AE0">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sulfametoksazolas), kalio koncentracija kraujo serume gali padidėti.</w:t>
      </w:r>
    </w:p>
    <w:p w14:paraId="1A161300" w14:textId="77777777" w:rsidR="00937FA0" w:rsidRPr="00937FA0" w:rsidRDefault="00937FA0" w:rsidP="00937FA0">
      <w:pPr>
        <w:widowControl w:val="0"/>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lang w:eastAsia="sl-SI"/>
        </w:rPr>
        <w:t>Reikia tinkamai stebėti kalio koncentracijas kraujo serume. Nustatyta, kad tiazidiniai diuretikai didina magnio ekskrecija su šlapimu, dėl to gali pasireikšti hipomagnezemija.</w:t>
      </w:r>
    </w:p>
    <w:p w14:paraId="5BE39AED"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45BB4B37"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Poveikis metabolizmui ir endokrininei sistemai</w:t>
      </w:r>
    </w:p>
    <w:p w14:paraId="3D41640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Gydymas tiazidiniais diuretikais gali sutrikdyti gliukozės toleravimą. Gali tekti koreguoti vaistinių preparatų cukriniam diabetui gydyti, įskaitant insuliną, dozavimą. Gydymo tiazidiniais diuretikais metu gali pasireikšti užslėptas (latentinis) cukrinis diabetas. Cholesterolio ir trigliceridų koncentracijų padidėjimas buvo susijęs su gydymu tiazidiniais diuretikais. Vartojant dozes, kurios yra Canocombi sudėtyje, stebėtas tik minimalus poveikis. Tiazidiniai diuretikai didina šlapimo rūgšties koncentraciją kraujo serume ir gali paskatinti podagrą jautriems pacientams.</w:t>
      </w:r>
    </w:p>
    <w:p w14:paraId="10A67134"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5C518E83"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Padidėjęs jautrumas šviesai</w:t>
      </w:r>
    </w:p>
    <w:p w14:paraId="3FD52164" w14:textId="77777777" w:rsidR="00937FA0" w:rsidRPr="00937FA0" w:rsidRDefault="00937FA0" w:rsidP="00937FA0">
      <w:pPr>
        <w:widowControl w:val="0"/>
        <w:ind w:left="0" w:firstLine="0"/>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 xml:space="preserve">Pranešta apie jautrumo šviesai padidėjimo vartojant </w:t>
      </w:r>
      <w:r w:rsidRPr="00937FA0">
        <w:rPr>
          <w:rFonts w:ascii="Times New Roman" w:eastAsia="Times New Roman" w:hAnsi="Times New Roman" w:cs="Times New Roman"/>
          <w:lang w:eastAsia="sl-SI"/>
        </w:rPr>
        <w:t>tiazidinius diuretikus</w:t>
      </w:r>
      <w:r w:rsidRPr="00937FA0">
        <w:rPr>
          <w:rFonts w:ascii="Times New Roman" w:eastAsia="Times New Roman" w:hAnsi="Times New Roman" w:cs="Times New Roman"/>
          <w:iCs/>
          <w:lang w:eastAsia="sl-SI"/>
        </w:rPr>
        <w:t xml:space="preserve"> atvejus (žr. 4.8 skyrių). Jeigu pasireiškia padidėjusio jautrumo šviesai reakcija, gydymą rekomenduojama nutraukti. Jeigu gydymą būtina atnaujinti, rekomenduojama pridengti kūno dalis, kurias veikia saulės arba dirbtiniai UVA spinduliai.</w:t>
      </w:r>
    </w:p>
    <w:p w14:paraId="6E6EBF15"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29A58CF4"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Bendroji informacija</w:t>
      </w:r>
    </w:p>
    <w:p w14:paraId="4F1D3E1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Pacientų, kurių kraujagyslių tonusas ir inkstų funkcija daugiausiai priklauso nuo renino- angiotenzino aldosterono sistemos aktyvumo (pvz., pacientų, kurie serga sunkiu staziniu širdies nepakankamumu arba gretutine inkstų liga, įskaitant inkstų arterijos stenozę), gydymas kitokiais vaistiniais preparatais, kurie veikia šią sistemą, įskaitant AIIRB, buvo susijęs su ūmine hipotenzija, azotemija, oligurija ar (rečiau) ūminiu inkstų nepakankamumu. Kaip ir vartojant kitokius antihipertenzinius vaistinius preparatus, pernelyg didelis kraujospūdžio sumažėjimas pacientams, kurie serga išemine širdies liga arba aterosklerozine cerebrovaskuline liga, gali sukelti miokardo infarktą arba insultą.</w:t>
      </w:r>
    </w:p>
    <w:p w14:paraId="2FE3BCD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ED05EB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Pacientams, kuriems anksčiau pasireiškė alergija arba bronchinė astma (nors labiau tikėtina pacientams, kuriems tokios būklės buvo pasireiškusios), gali pasireikšti padidėjusio jautrumo hidrochlorotiazidui reakcijos.</w:t>
      </w:r>
    </w:p>
    <w:p w14:paraId="2ACD9D4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D181CC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Pranešta, kad tiazidinius diuretikus vartojantiems pacientams pasireiškė arba suaktyvėjo sisteminė raudonoji vilkligė.</w:t>
      </w:r>
    </w:p>
    <w:p w14:paraId="1115435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7C5C8F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antihipertenzinį poveikį gali sustiprinti kiti antihipertenziniai vaistiniai preparatai.</w:t>
      </w:r>
    </w:p>
    <w:p w14:paraId="79BB431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00A566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Canocombi sudėtyje yra laktozės. Šio vaistinio preparato negalima vartoti pacientams, kuriems nustatytas retas paveldimas sutrikimas – galaktozės netoleravimas, </w:t>
      </w:r>
      <w:r w:rsidRPr="00937FA0">
        <w:rPr>
          <w:rFonts w:ascii="Times New Roman" w:eastAsia="Times New Roman" w:hAnsi="Times New Roman" w:cs="Times New Roman"/>
          <w:iCs/>
          <w:lang w:eastAsia="sl-SI"/>
        </w:rPr>
        <w:t>visiškas</w:t>
      </w:r>
      <w:r w:rsidRPr="00937FA0">
        <w:rPr>
          <w:rFonts w:ascii="Times New Roman" w:eastAsia="Times New Roman" w:hAnsi="Times New Roman" w:cs="Times New Roman"/>
          <w:lang w:eastAsia="sl-SI"/>
        </w:rPr>
        <w:t xml:space="preserve"> laktazės stygius arba gliukozės ir galaktozės malabsorbcija.</w:t>
      </w:r>
    </w:p>
    <w:p w14:paraId="47A2519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91FE378"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Nėštumas</w:t>
      </w:r>
    </w:p>
    <w:p w14:paraId="17664A7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Gydymo AIIRB negalima pradėti nėštumo metu. Jeigu nesprendžiama, kad būtina ir toliau gydyti AIIRB, nėštumą planuojančioms pacientėms reikia skirti kitokį antihipertenzinį gydymą, kurio saugumas nėštumo metu įrodytas. Diagnozavus nėštumą, gydymą AIIRB reikia nedelsiant nutraukti ir, jeigu tinka, pradėti taikyti kitokį gydymą (žr. 4.3 ir 4.6 skyrius).</w:t>
      </w:r>
    </w:p>
    <w:p w14:paraId="4A44535C" w14:textId="77777777" w:rsidR="00937FA0" w:rsidRDefault="00937FA0" w:rsidP="00937FA0">
      <w:pPr>
        <w:widowControl w:val="0"/>
        <w:ind w:left="0" w:firstLine="0"/>
        <w:jc w:val="both"/>
        <w:rPr>
          <w:rFonts w:ascii="Times New Roman" w:hAnsi="Times New Roman" w:cs="Times New Roman"/>
          <w:i/>
        </w:rPr>
      </w:pPr>
    </w:p>
    <w:p w14:paraId="3A3EC1DF" w14:textId="77777777" w:rsidR="00937FA0" w:rsidRPr="00E33F2E" w:rsidRDefault="00937FA0" w:rsidP="00937FA0">
      <w:pPr>
        <w:widowControl w:val="0"/>
        <w:ind w:left="0" w:firstLine="0"/>
        <w:jc w:val="both"/>
        <w:rPr>
          <w:rFonts w:ascii="Times New Roman" w:hAnsi="Times New Roman" w:cs="Times New Roman"/>
          <w:u w:val="single"/>
        </w:rPr>
      </w:pPr>
      <w:r w:rsidRPr="00E33F2E">
        <w:rPr>
          <w:rFonts w:ascii="Times New Roman" w:hAnsi="Times New Roman" w:cs="Times New Roman"/>
          <w:u w:val="single"/>
        </w:rPr>
        <w:t>Nemelanominis odos vėžys</w:t>
      </w:r>
    </w:p>
    <w:p w14:paraId="14A04C80" w14:textId="77777777" w:rsidR="00937FA0" w:rsidRDefault="00937FA0" w:rsidP="00937FA0">
      <w:pPr>
        <w:widowControl w:val="0"/>
        <w:ind w:left="0" w:firstLine="0"/>
        <w:jc w:val="both"/>
        <w:rPr>
          <w:rFonts w:ascii="Times New Roman" w:hAnsi="Times New Roman" w:cs="Times New Roman"/>
        </w:rPr>
      </w:pPr>
      <w:r w:rsidRPr="00DF1D52">
        <w:rPr>
          <w:rFonts w:ascii="Times New Roman" w:hAnsi="Times New Roman" w:cs="Times New Roman"/>
        </w:rPr>
        <w:t>Atlikus du epidemiologinius tyrimus, pagrįstus Danijos nacionalinio vėžio registro duomenimis, nustatyta, kad didėjant kumuliacinei hidrochlorotiazido (toliau – HCTZ) dozei, didėja nemelanominio odos vėžio (NOV) [bazalinių ląstelių karcinomos (BLK) ir plokščiųjų ląstelių karcinomos (PLK)] rizika. Gali būti, kad fotosensibilizuojantis HCTZ poveikis veikia kaip NOV sukeliantis mechanizmas.</w:t>
      </w:r>
    </w:p>
    <w:p w14:paraId="64A37EB9" w14:textId="77777777" w:rsidR="00937FA0" w:rsidRDefault="00937FA0" w:rsidP="00937FA0">
      <w:pPr>
        <w:widowControl w:val="0"/>
        <w:ind w:left="0" w:firstLine="0"/>
        <w:jc w:val="both"/>
        <w:rPr>
          <w:rFonts w:ascii="Times New Roman" w:hAnsi="Times New Roman" w:cs="Times New Roman"/>
        </w:rPr>
      </w:pPr>
    </w:p>
    <w:p w14:paraId="6F417032" w14:textId="466BB993" w:rsidR="00937FA0" w:rsidRPr="00DF1D52" w:rsidRDefault="00937FA0" w:rsidP="00937FA0">
      <w:pPr>
        <w:widowControl w:val="0"/>
        <w:ind w:left="0" w:firstLine="0"/>
        <w:jc w:val="both"/>
        <w:rPr>
          <w:rFonts w:ascii="Times New Roman" w:hAnsi="Times New Roman" w:cs="Times New Roman"/>
        </w:rPr>
      </w:pPr>
      <w:r w:rsidRPr="00DF1D52">
        <w:rPr>
          <w:rFonts w:ascii="Times New Roman" w:hAnsi="Times New Roman" w:cs="Times New Roman"/>
        </w:rPr>
        <w:t>HCTZ vartojančius pacientus reikia informuoti apie NOV riziką, taip pat jiems reikia patarti reguliariai pasitikrinti, ar ant odos neatsirado naujų pakitimų, o pastebėjus įtartinų odos pakitimų, nedelsiant apie tai pranešti gydytojui. Pacientams reikia patarti imtis galimų prevencinių priemonių, pvz., kuo mažiau būti saulėje ir vengti ultravioletinių spindulių, o būnant saulėje naudoti atitinkamas apsaugos priemones siekiant sumažinti odos vėžio riziką. Įtartinus odos pakitimus reikia kuo skubiau ištirti, esant galimybei, atliekant histologinius biopsinės medžiagos tyrimus. Pacientams, kuriems anksčiau buvo diagnozuotas NOV, taip pat gali tekti persvarstyti galimybę vartoti HCTZ (taip pat žr. 4.8</w:t>
      </w:r>
      <w:r w:rsidR="0077497E">
        <w:rPr>
          <w:rFonts w:ascii="Times New Roman" w:hAnsi="Times New Roman" w:cs="Times New Roman"/>
        </w:rPr>
        <w:t> </w:t>
      </w:r>
      <w:r w:rsidRPr="00DF1D52">
        <w:rPr>
          <w:rFonts w:ascii="Times New Roman" w:hAnsi="Times New Roman" w:cs="Times New Roman"/>
        </w:rPr>
        <w:t>skyrių).</w:t>
      </w:r>
    </w:p>
    <w:p w14:paraId="3C7A2B12" w14:textId="77777777" w:rsidR="00937FA0" w:rsidRDefault="00937FA0" w:rsidP="00937FA0">
      <w:pPr>
        <w:widowControl w:val="0"/>
        <w:ind w:left="0" w:firstLine="0"/>
        <w:rPr>
          <w:rFonts w:ascii="Times New Roman" w:eastAsia="Times New Roman" w:hAnsi="Times New Roman" w:cs="Times New Roman"/>
          <w:lang w:eastAsia="sl-SI"/>
        </w:rPr>
      </w:pPr>
    </w:p>
    <w:p w14:paraId="35D32396" w14:textId="77777777" w:rsidR="00FA2E29" w:rsidRPr="00FA2E29" w:rsidRDefault="00FA2E29" w:rsidP="00FA2E29">
      <w:pPr>
        <w:widowControl w:val="0"/>
        <w:ind w:left="0" w:firstLine="0"/>
        <w:rPr>
          <w:rFonts w:ascii="Times New Roman" w:eastAsia="Times New Roman" w:hAnsi="Times New Roman" w:cs="Times New Roman"/>
          <w:u w:val="single"/>
          <w:lang w:eastAsia="sl-SI"/>
        </w:rPr>
      </w:pPr>
      <w:r w:rsidRPr="00FA2E29">
        <w:rPr>
          <w:rFonts w:ascii="Times New Roman" w:eastAsia="Times New Roman" w:hAnsi="Times New Roman" w:cs="Times New Roman"/>
          <w:u w:val="single"/>
          <w:lang w:eastAsia="sl-SI"/>
        </w:rPr>
        <w:t>Ūminis toksinis poveikis kvėpavimo sistemai</w:t>
      </w:r>
    </w:p>
    <w:p w14:paraId="0009075D" w14:textId="77777777" w:rsidR="00FA2E29" w:rsidRDefault="00FA2E29" w:rsidP="00FA2E29">
      <w:pPr>
        <w:widowControl w:val="0"/>
        <w:ind w:left="0" w:firstLine="0"/>
        <w:rPr>
          <w:rFonts w:ascii="Times New Roman" w:eastAsia="Times New Roman" w:hAnsi="Times New Roman" w:cs="Times New Roman"/>
          <w:lang w:eastAsia="sl-SI"/>
        </w:rPr>
      </w:pPr>
      <w:r w:rsidRPr="00FA2E29">
        <w:rPr>
          <w:rFonts w:ascii="Times New Roman" w:eastAsia="Times New Roman" w:hAnsi="Times New Roman" w:cs="Times New Roman"/>
          <w:lang w:eastAsia="sl-SI"/>
        </w:rPr>
        <w:t>Gauta pranešimų apie pavartojus hidrochlorotiazido nustatytus labai retus sunkius ūminio</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toksinio poveikio kvėpavimo sistemai, įskaitant ūminį kvėpavimo sutrikimo sindromą</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(ŪKSS), atvejus. Paprastai plaučių edema išsivysto praėjus nuo kelių minučių iki kelių</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valandų po hidrochlorotiazido pavartojimo. Prasidėjus šiai nepageidaujamai reakcijai,</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pasireiškia dusulys, karščiavimas, plaučių funkcijos pablogėjimas ir hipotenzija. Įtariant,</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 xml:space="preserve">kad tai yra ŪKSS, reikia nutraukti </w:t>
      </w:r>
      <w:r>
        <w:rPr>
          <w:rFonts w:ascii="Times New Roman" w:eastAsia="Times New Roman" w:hAnsi="Times New Roman" w:cs="Times New Roman"/>
          <w:lang w:eastAsia="sl-SI"/>
        </w:rPr>
        <w:t>Canocombi</w:t>
      </w:r>
      <w:r w:rsidRPr="00FA2E29">
        <w:rPr>
          <w:rFonts w:ascii="Times New Roman" w:eastAsia="Times New Roman" w:hAnsi="Times New Roman" w:cs="Times New Roman"/>
          <w:lang w:eastAsia="sl-SI"/>
        </w:rPr>
        <w:t xml:space="preserve"> vartojimą ir skirti atitinkamą gydymą.</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Hidrochlorotiazido negalima skirti pacientams, kuriems anksčiau pasireiškė ŪKSS pavartojus</w:t>
      </w:r>
      <w:r>
        <w:rPr>
          <w:rFonts w:ascii="Times New Roman" w:eastAsia="Times New Roman" w:hAnsi="Times New Roman" w:cs="Times New Roman"/>
          <w:lang w:eastAsia="sl-SI"/>
        </w:rPr>
        <w:t xml:space="preserve"> </w:t>
      </w:r>
      <w:r w:rsidRPr="00FA2E29">
        <w:rPr>
          <w:rFonts w:ascii="Times New Roman" w:eastAsia="Times New Roman" w:hAnsi="Times New Roman" w:cs="Times New Roman"/>
          <w:lang w:eastAsia="sl-SI"/>
        </w:rPr>
        <w:t>hidrochlorotiazido.</w:t>
      </w:r>
    </w:p>
    <w:p w14:paraId="756C3467" w14:textId="77777777" w:rsidR="00FA2E29" w:rsidRDefault="00FA2E29" w:rsidP="00937FA0">
      <w:pPr>
        <w:widowControl w:val="0"/>
        <w:ind w:left="0" w:firstLine="0"/>
        <w:rPr>
          <w:rFonts w:ascii="Times New Roman" w:eastAsia="Times New Roman" w:hAnsi="Times New Roman" w:cs="Times New Roman"/>
          <w:lang w:eastAsia="sl-SI"/>
        </w:rPr>
      </w:pPr>
    </w:p>
    <w:p w14:paraId="53234768" w14:textId="77777777" w:rsidR="00D6134A" w:rsidRPr="00D6134A" w:rsidRDefault="00D6134A" w:rsidP="00D6134A">
      <w:pPr>
        <w:shd w:val="clear" w:color="auto" w:fill="FFFFFF"/>
        <w:ind w:left="0" w:firstLine="0"/>
        <w:rPr>
          <w:rFonts w:ascii="Times New Roman" w:eastAsia="Times New Roman" w:hAnsi="Times New Roman" w:cs="Times New Roman"/>
        </w:rPr>
      </w:pPr>
      <w:r w:rsidRPr="00D6134A">
        <w:rPr>
          <w:rFonts w:ascii="Times New Roman" w:eastAsia="Times New Roman" w:hAnsi="Times New Roman" w:cs="Times New Roman"/>
          <w:szCs w:val="20"/>
          <w:u w:val="single"/>
        </w:rPr>
        <w:t>Skysčio susikaupimas tarp akies gyslainės ir skleros, ūminė miopija ir antrinė ūminė uždarojo kampo glaukoma</w:t>
      </w:r>
    </w:p>
    <w:p w14:paraId="0B774F4E" w14:textId="77777777" w:rsidR="00D6134A" w:rsidRDefault="00D6134A" w:rsidP="005C4E6C">
      <w:pPr>
        <w:shd w:val="clear" w:color="auto" w:fill="FFFFFF"/>
        <w:ind w:left="0" w:firstLine="0"/>
        <w:rPr>
          <w:rFonts w:ascii="Times New Roman" w:eastAsia="Times New Roman" w:hAnsi="Times New Roman" w:cs="Times New Roman"/>
          <w:lang w:eastAsia="sl-SI"/>
        </w:rPr>
      </w:pPr>
      <w:r w:rsidRPr="00D6134A">
        <w:rPr>
          <w:rFonts w:ascii="Times New Roman" w:eastAsia="Times New Roman" w:hAnsi="Times New Roman" w:cs="Times New Roman"/>
          <w:szCs w:val="20"/>
        </w:rPr>
        <w:t>Sulfamidų grupės vaistiniai preparatai ar sulfamidų dariniai gali sukelti idiosinkrazinę reakciją ir dėl to gali pasireikšti skysčio susikaupimas tarp akies gyslainės ir skleros su regėjimo lauko defektu, praeinanti miopija ir ūminė uždarojo kampo glaukoma. Jos simptomai buvo staiga sumažėjęs regos aštrumas ar akies skausmas, kurie paprastai atsirasdavo po kelių valandų ar savaičių nuo vaist</w:t>
      </w:r>
      <w:r w:rsidR="0066208F">
        <w:rPr>
          <w:rFonts w:ascii="Times New Roman" w:eastAsia="Times New Roman" w:hAnsi="Times New Roman" w:cs="Times New Roman"/>
          <w:szCs w:val="20"/>
        </w:rPr>
        <w:t>ini</w:t>
      </w:r>
      <w:r w:rsidRPr="00D6134A">
        <w:rPr>
          <w:rFonts w:ascii="Times New Roman" w:eastAsia="Times New Roman" w:hAnsi="Times New Roman" w:cs="Times New Roman"/>
          <w:szCs w:val="20"/>
        </w:rPr>
        <w:t xml:space="preserve">o </w:t>
      </w:r>
      <w:r w:rsidR="0066208F">
        <w:rPr>
          <w:rFonts w:ascii="Times New Roman" w:eastAsia="Times New Roman" w:hAnsi="Times New Roman" w:cs="Times New Roman"/>
          <w:szCs w:val="20"/>
        </w:rPr>
        <w:t xml:space="preserve">preparato </w:t>
      </w:r>
      <w:r w:rsidRPr="00D6134A">
        <w:rPr>
          <w:rFonts w:ascii="Times New Roman" w:eastAsia="Times New Roman" w:hAnsi="Times New Roman" w:cs="Times New Roman"/>
          <w:szCs w:val="20"/>
        </w:rPr>
        <w:t>vartojimo pradžios. Negydoma ūminė uždarojo kampo glaukoma gali sukelti negrįžtamą regėjimo netekimą. Tokiu atveju svarbiausia kaip galima greičiau nutraukti vaisto vartojimą. Jeigu akispūdis išlieka padidėjęs, gali reikėti svarstyti skubaus medikamentinio ar chirurginio gydymo galimybę. Ūminės uždarojo kampo glaukomos išsivystymo rizikos veiksniais gali būti anksčiau pasireiškusi alergija sulfamidui</w:t>
      </w:r>
      <w:r w:rsidR="0049558C">
        <w:rPr>
          <w:rFonts w:ascii="Times New Roman" w:eastAsia="Times New Roman" w:hAnsi="Times New Roman" w:cs="Times New Roman"/>
          <w:szCs w:val="20"/>
        </w:rPr>
        <w:t xml:space="preserve"> ar penicilinui</w:t>
      </w:r>
      <w:r w:rsidRPr="00D6134A">
        <w:rPr>
          <w:rFonts w:ascii="Times New Roman" w:eastAsia="Times New Roman" w:hAnsi="Times New Roman" w:cs="Times New Roman"/>
          <w:szCs w:val="20"/>
        </w:rPr>
        <w:t>.</w:t>
      </w:r>
    </w:p>
    <w:p w14:paraId="7B2A13BD" w14:textId="77777777" w:rsidR="00D6134A" w:rsidRPr="00937FA0" w:rsidRDefault="00D6134A" w:rsidP="00937FA0">
      <w:pPr>
        <w:widowControl w:val="0"/>
        <w:ind w:left="0" w:firstLine="0"/>
        <w:rPr>
          <w:rFonts w:ascii="Times New Roman" w:eastAsia="Times New Roman" w:hAnsi="Times New Roman" w:cs="Times New Roman"/>
          <w:lang w:eastAsia="sl-SI"/>
        </w:rPr>
      </w:pPr>
    </w:p>
    <w:p w14:paraId="1844208A"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4.5</w:t>
      </w:r>
      <w:r w:rsidRPr="00937FA0">
        <w:rPr>
          <w:rFonts w:ascii="Times New Roman" w:eastAsia="Times New Roman" w:hAnsi="Times New Roman" w:cs="Times New Roman"/>
          <w:b/>
          <w:lang w:eastAsia="sl-SI"/>
        </w:rPr>
        <w:tab/>
        <w:t>Sąveika su kitais vaistiniais preparatais ir kitokia sąveika</w:t>
      </w:r>
    </w:p>
    <w:p w14:paraId="08A110BF"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p>
    <w:p w14:paraId="260C353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Klinikinių farmakokinetikos tyrimų metu buvo tirta sąveika su šiomis medžiagomis: varfarinu, digoksinu, geriamaisiais kontraceptikais (t. y., etinilestradioliu / levonorgestreliu), glibenklamidu ir nifedipinu. Kliniškai reikšmingos farmakokinetinės sąveikos šių tyrimų metu nenustatyta.</w:t>
      </w:r>
    </w:p>
    <w:p w14:paraId="3D628A4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85F6C9C" w14:textId="77777777" w:rsid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Galima tikėtis, kad kiti vaistiniai preparatai, kurie susiję su kalio šalinimu ir hipokalemija (pvz.: kiti kalio pasišalinimą iš organizmo skatinantys diuretikai, vidurių laisvinamieji vaistiniai preparatai, amfotericinas, karbenoksolonas, penicilino G natrio druska, salicilo rūgšties dariniai, steroidai, AKTH), gali sustiprinti hidrochlorotiazido sukeliamą kalio netekimą.</w:t>
      </w:r>
    </w:p>
    <w:p w14:paraId="4FD65398" w14:textId="77777777" w:rsidR="0049558C" w:rsidRPr="00937FA0" w:rsidRDefault="0049558C" w:rsidP="00937FA0">
      <w:pPr>
        <w:widowControl w:val="0"/>
        <w:ind w:left="0" w:firstLine="0"/>
        <w:rPr>
          <w:rFonts w:ascii="Times New Roman" w:eastAsia="Times New Roman" w:hAnsi="Times New Roman" w:cs="Times New Roman"/>
          <w:lang w:eastAsia="sl-SI"/>
        </w:rPr>
      </w:pPr>
    </w:p>
    <w:p w14:paraId="6C51CD8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vartojant kartu su kalį organizme sulaikančiais diuretikais, kalio papildais ar druskų pakaitalais arba kitais vaistiniais preparatais, kurie gali didinti kalio koncentracijas kraujo serume (pvz., heparino natrio druska</w:t>
      </w:r>
      <w:r w:rsidRPr="00937FA0">
        <w:rPr>
          <w:rFonts w:ascii="Times New Roman" w:eastAsia="Times New Roman" w:hAnsi="Times New Roman" w:cs="Times New Roman"/>
          <w:snapToGrid w:val="0"/>
          <w:lang w:eastAsia="sl-SI"/>
        </w:rPr>
        <w:t>,</w:t>
      </w:r>
      <w:r w:rsidRPr="00937FA0">
        <w:rPr>
          <w:rFonts w:ascii="Times New Roman" w:eastAsia="Times New Roman" w:hAnsi="Times New Roman" w:cs="Times New Roman"/>
          <w:lang w:eastAsia="sl-SI"/>
        </w:rPr>
        <w:t xml:space="preserve"> kotrimoksazolis, taip pat žinomo kaip trimetoprimas</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sulfametoksazolas), gali padidėti kalio koncentracija kraujo serume. Reikia tinkamai stebėti kalio koncentracijas kraujo serume (žr. 4.4 skyrių).</w:t>
      </w:r>
    </w:p>
    <w:p w14:paraId="19468FAF"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302E5BF"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 xml:space="preserve">Diuretikų sukelta hipokalemija ir hipomagnezemija skatina galimą toksinį širdį veikiančių glikozidų ir antiaritminių vaistinių preparatų kardiotoksinį poveikį. Rekomenduojama periodiškai matuoti kalio koncentracijas, jeigu Canocombi vartojamas kartu su išvardytais vaistiniais preparatais, kurie gali sukelti </w:t>
      </w:r>
      <w:r w:rsidRPr="00937FA0">
        <w:rPr>
          <w:rFonts w:ascii="Times New Roman" w:eastAsia="Times New Roman" w:hAnsi="Times New Roman" w:cs="Times New Roman"/>
          <w:i/>
          <w:iCs/>
          <w:color w:val="000000"/>
          <w:lang w:eastAsia="sl-SI"/>
        </w:rPr>
        <w:t>torsades de pointes</w:t>
      </w:r>
      <w:r w:rsidRPr="00937FA0">
        <w:rPr>
          <w:rFonts w:ascii="Times New Roman" w:eastAsia="Times New Roman" w:hAnsi="Times New Roman" w:cs="Times New Roman"/>
          <w:color w:val="000000"/>
          <w:lang w:eastAsia="sl-SI"/>
        </w:rPr>
        <w:t>.</w:t>
      </w:r>
    </w:p>
    <w:p w14:paraId="61349A90" w14:textId="77777777" w:rsidR="00937FA0" w:rsidRPr="00937FA0" w:rsidRDefault="00937FA0" w:rsidP="00E33F2E">
      <w:pPr>
        <w:widowControl w:val="0"/>
        <w:numPr>
          <w:ilvl w:val="0"/>
          <w:numId w:val="25"/>
        </w:numPr>
        <w:tabs>
          <w:tab w:val="left" w:pos="567"/>
        </w:tabs>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IA klasės antiaritminiai vaistiniai preparatai (pvz.: chinidinas, hidrochinidinas, dizopiramidas).</w:t>
      </w:r>
    </w:p>
    <w:p w14:paraId="3A1A7FC6" w14:textId="77777777" w:rsidR="00937FA0" w:rsidRPr="00937FA0" w:rsidRDefault="00937FA0" w:rsidP="00E33F2E">
      <w:pPr>
        <w:widowControl w:val="0"/>
        <w:numPr>
          <w:ilvl w:val="0"/>
          <w:numId w:val="25"/>
        </w:numPr>
        <w:tabs>
          <w:tab w:val="left" w:pos="567"/>
        </w:tabs>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III klasės antiaritminiai vaistiniai preparatai (pvz.: amjodaronas, sotalolis, dofetilidas, ibutilidas).</w:t>
      </w:r>
    </w:p>
    <w:p w14:paraId="25A49344" w14:textId="77777777" w:rsidR="00937FA0" w:rsidRPr="00937FA0" w:rsidRDefault="00937FA0" w:rsidP="00E33F2E">
      <w:pPr>
        <w:widowControl w:val="0"/>
        <w:numPr>
          <w:ilvl w:val="0"/>
          <w:numId w:val="25"/>
        </w:numPr>
        <w:tabs>
          <w:tab w:val="left" w:pos="567"/>
        </w:tabs>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Kai kurie antipsichoziniai vaistiniai preparatai (pvz.: tioridazinas, chlorpromazinas, levomepromazinas, trifluoperazinas, ciamemazinas, sulpiridas, sultopridas, amisulpridas, tiapridas, pimozidas, haloperidolis, droperidolis).</w:t>
      </w:r>
    </w:p>
    <w:p w14:paraId="35B2645B" w14:textId="77777777" w:rsidR="00937FA0" w:rsidRPr="00937FA0" w:rsidRDefault="00937FA0" w:rsidP="00E33F2E">
      <w:pPr>
        <w:widowControl w:val="0"/>
        <w:numPr>
          <w:ilvl w:val="0"/>
          <w:numId w:val="25"/>
        </w:numPr>
        <w:tabs>
          <w:tab w:val="left" w:pos="567"/>
        </w:tabs>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Kiti vaistiniai preparatai (pvz.: bepridilis, cisapridas, difemanilis, į veną leidžiamas eritromicinas, halofantrinas, ketanserinas, mizolastinas, pentamidinas, sparfloksacinas, terfenadinas, į veną leidžiamas vinkaminas).</w:t>
      </w:r>
    </w:p>
    <w:p w14:paraId="17C0C9EF"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5A0F854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Litį vartojant kartu su angiotenziną konvertuojančio fermento (AKF) inhibitoriais arba hidrochlorotiazidu, laikinai padidėjo ličio koncentracijos kraujo serume ir pasireiškė jo toksinis poveikis. Apie panašų poveikį pranešta ir vartojant AIIRB. Kandesartaną ir hidrochlorotiazidą vartoti kartu su ličiu nerekomenduojama. Jeigu šiuos vaistinius preparatus vartoti kartu būtina, rekomenduojama atidžiai matuoti ličio koncentracijas kraujo serume.</w:t>
      </w:r>
    </w:p>
    <w:p w14:paraId="2077E7A1"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2FDDD3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AIIRB vartojant kartu su nesteroidiniais vaistais nuo uždegimo (NVNU) (pvz., selektyviaisiais COX-2 inhibitoriais, acetilsalicilo rūgštimi [&gt; 3 g per parą] ir neselektyviais NVNU), antihipertenzinis poveikis gali susilpnėti. AIIRB, kaip ir AKF inhibitorius, vartojant kartu su NVNU, gali padidėti inkstų funkcijos pablogėjimo rizika, įskaitant galimą ūminį inkstų nepakankamumą ir kalio koncentracijos padidėjimą kraujo serume, ypač pacientams, kurių inkstų funkcija jau susilpnėjusi. Šiuos vaistinius preparatus skirti vartoti kartu reikia labai atsargiai, ypač senyviems pacientams. Pacientai turi vartoti pakankamai skysčių. Kombinuoto gydymo pradžioje ir vėliau periodiškai reikia apgalvotai stebėti inkstų funkciją.</w:t>
      </w:r>
    </w:p>
    <w:p w14:paraId="501D272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973F3A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NVNU silpnina diurezinį, natriurezinį ir antihipertenzinį hidrochlorotiazido poveikį.</w:t>
      </w:r>
    </w:p>
    <w:p w14:paraId="4056805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186786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Kolestipolis ar kolestiraminas mažina hidrochlorotiazido absorbciją.</w:t>
      </w:r>
    </w:p>
    <w:p w14:paraId="2EC6B9E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8D59CC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gali stiprinti nedepoliarizuojančiųjų raumenų relaksantų (pvz., tubokurarino) poveikį.</w:t>
      </w:r>
    </w:p>
    <w:p w14:paraId="55EBF59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839EC1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Tiazidiniai diuretikai gali mažinti kalcio ekskreciją ir dėl to didinti kalcio koncentracijas kraujo serume. Jeigu būtina skirti kalcio papildų ar vitamino D, reikia stebėti kalcio koncentracijas kraujo serume ir atitinkamai keisti dozavimą.</w:t>
      </w:r>
    </w:p>
    <w:p w14:paraId="4122EB5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3AB89A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Tiazidiniai diuretikai gali sustiprinti hiperglikeminį beta adrenoreceptorių blokatorių ir diazoksido poveikį.</w:t>
      </w:r>
    </w:p>
    <w:p w14:paraId="16CBA63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DB4D68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Anticholinerginiai vaistiniai preparatai (pvz.: atropinas, biperidenas) mažindami skrandžio ir žarnų peristaltiką ir lėtindami skrandžio ištuštinimą gali didinti tiazidinių diuretikų biologinį prieinamumą.</w:t>
      </w:r>
    </w:p>
    <w:p w14:paraId="3D963875"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700A45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Tiazidiniai diuretikai gali mažinti citotoksinių vaistinių preparatų (pvz.: ciklofosfamido, metotreksato) ekskreciją per inkstus ir sustiprinti jų sukeliamą kaulų čiulpų slopinimą.</w:t>
      </w:r>
    </w:p>
    <w:p w14:paraId="7EAC79A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9C4381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Ortostatinė hipotenzija gali sustiprėti kartu pavartojus alkoholio, barbitūratų ar anestetikų.</w:t>
      </w:r>
    </w:p>
    <w:p w14:paraId="37A983C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D3161ED"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Gydymas tiazidiniais diuretikais gali sutrikdyti gliukozės toleravimą. Gali prireikti keisti vaistinių preparatų cukriniam diabetui gydyti, įskaitant insuliną, dozavimą. Metforminą reikia vartoti atsargiai dėl pieno rūgšties acidozės rizikos, kuri kyla dėl galimo inkstų funkcijos nepakankamumo, susijusio su hidrochlorotiazido vartojimu.</w:t>
      </w:r>
    </w:p>
    <w:p w14:paraId="6A86ABDE"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4B7C5DB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gali mažinti arterijų atsaką į kraujagysles sutraukiančius aminus (pvz., adrenaliną), tačiau ne tiek, kad kraujagyslės nesusiaurėtų.</w:t>
      </w:r>
    </w:p>
    <w:p w14:paraId="7D23BE7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F4EFA0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gali didinti ūminio inkstų nepakankamumo riziką, ypač vartojant kartu dideles jodo kontrastinių medžiagų dozes.</w:t>
      </w:r>
    </w:p>
    <w:p w14:paraId="73D9CE4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5CC6D4B"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Ciklosporino vartojimas kartu gali didinti hiperurikemijos ir į podagrą panašių komplikacijų riziką.</w:t>
      </w:r>
    </w:p>
    <w:p w14:paraId="0E89798A"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4B086BD0"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Vartojant kartu su baklofenu, amifostinu, tricikliais antidepresantais ar neuroleptikais gali sustiprėti antihipertenzinis poveikis ir pasireikšti hipotenzija.</w:t>
      </w:r>
    </w:p>
    <w:p w14:paraId="1D1CEBBF" w14:textId="77777777" w:rsidR="00937FA0" w:rsidRPr="00937FA0" w:rsidRDefault="00937FA0" w:rsidP="00937FA0">
      <w:pPr>
        <w:widowControl w:val="0"/>
        <w:rPr>
          <w:rFonts w:ascii="Times New Roman" w:eastAsia="Times New Roman" w:hAnsi="Times New Roman" w:cs="Times New Roman"/>
          <w:b/>
          <w:lang w:eastAsia="sl-SI"/>
        </w:rPr>
      </w:pPr>
    </w:p>
    <w:p w14:paraId="798CC86A" w14:textId="2DBB1F16"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Klinikinių tyrimų duomenys parodė, kad, palyginti su vieno RAAS veikiančio preparato vartojimu, dvigubas renino, angiotenzino ir aldosterono sistemos (RAAS) 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skyrius).</w:t>
      </w:r>
    </w:p>
    <w:p w14:paraId="28F1760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249DD8F"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4.6</w:t>
      </w:r>
      <w:r w:rsidRPr="00937FA0">
        <w:rPr>
          <w:rFonts w:ascii="Times New Roman" w:eastAsia="Times New Roman" w:hAnsi="Times New Roman" w:cs="Times New Roman"/>
          <w:b/>
          <w:lang w:eastAsia="sl-SI"/>
        </w:rPr>
        <w:tab/>
        <w:t xml:space="preserve">Vaisingumas, </w:t>
      </w:r>
      <w:r w:rsidRPr="00937FA0">
        <w:rPr>
          <w:rFonts w:ascii="Times New Roman" w:eastAsia="Times New Roman" w:hAnsi="Times New Roman" w:cs="Times New Roman"/>
          <w:b/>
          <w:bCs/>
          <w:lang w:eastAsia="sl-SI"/>
        </w:rPr>
        <w:t>nėštumo ir žindymo laikotarpis</w:t>
      </w:r>
    </w:p>
    <w:p w14:paraId="76C589D1"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13451316"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Nėštumas</w:t>
      </w:r>
    </w:p>
    <w:p w14:paraId="5BF9E5B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CEE9C9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i/>
          <w:iCs/>
          <w:lang w:eastAsia="sl-SI"/>
        </w:rPr>
        <w:t>Angiotenzino II receptorių blokatoriai (AIIRB)</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61"/>
      </w:tblGrid>
      <w:tr w:rsidR="00937FA0" w:rsidRPr="00937FA0" w14:paraId="520959EA" w14:textId="77777777" w:rsidTr="00A91329">
        <w:tc>
          <w:tcPr>
            <w:tcW w:w="9855" w:type="dxa"/>
          </w:tcPr>
          <w:p w14:paraId="08F8F63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AIIRB nerekomenduojama vartoti pirmo nėštumo trimestro metu (žr. 4.4 skyrių). AIIRB negalima vartoti antrojo ir trečiojo nėštumo trimestrų metu (žr. 4.3 ir 4.4 skyrius).</w:t>
            </w:r>
          </w:p>
        </w:tc>
      </w:tr>
    </w:tbl>
    <w:p w14:paraId="4BCB54F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287D50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Epidemiologinių tyrimų duomenys apie teratogeninį poveikį po AKF inhibitorių ekspozicijos pirmąjį nėštumo trimestrą nėra galutiniai, tačiau nedidelio rizikos padidėjimo paneigti negalima. Kontroliuojamųjų epidemiologinių tyrimų duomenų apie AIIRB riziką nėra, bet šios grupės vaistiniai preparatai gali kelti panašią riziką. Išskyrus atvejus, kai nusprendžiama, kad būtina ir toliau gydyti AIIRB, nėštumą planuojančioms pacientėms reikia skirti kitokį antihipertenzinį gydymą, kurio saugumas nėštumo metu įrodytas. Diagnozavus nėštumą, gydymą AIIRB reikia nedelsiant nutraukti ir, jeigu tinka, pradėti kitokį gydymą.</w:t>
      </w:r>
    </w:p>
    <w:p w14:paraId="4004886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Žinoma, kad dėl AIIRB ekspozicijos antrąjį ir trečiąjį nėštumo trimestrais pasireiškia toksinis poveikis žmogaus vaisiui (inkstų funkcijos susilpnėjimas, oligohidramnionas, kaukolės kaulėjimo sulėtėjimas) ir naujagimiui (inkstų nepakankamumas, hipotenzija, hiperkalemija) (žr. 5.3 skyrių).</w:t>
      </w:r>
    </w:p>
    <w:p w14:paraId="08F25C0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nuo antrojo nėštumo trimestro buvo AIIRB ekspozicija, rekomenduojama ultragarsu tikrinti vaisiaus inkstų funkciją ir kaukolę.</w:t>
      </w:r>
    </w:p>
    <w:p w14:paraId="54C0FBE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Reikia atidžiai stebėti, ar kūdikiams, kurių motinos vartojo AIIRB, nepasireiškia hipotenzija (žr. 4.3 ir 4.4 skyrius).</w:t>
      </w:r>
    </w:p>
    <w:p w14:paraId="0A8D2085"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3253FFE" w14:textId="77777777" w:rsidR="00937FA0" w:rsidRPr="00937FA0" w:rsidRDefault="00937FA0" w:rsidP="00937FA0">
      <w:pPr>
        <w:widowControl w:val="0"/>
        <w:ind w:left="0" w:firstLine="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Hidrochlorotiazidas</w:t>
      </w:r>
    </w:p>
    <w:p w14:paraId="2714DD8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Hidrochlorotiazido vartojimo nėštumo, ypač pirmojo nėštumo trimestro metu patirtis yra ribota. Tyrimų su gyvūnais duomenų nepakanka.</w:t>
      </w:r>
    </w:p>
    <w:p w14:paraId="668326E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prasiskverbia per placentą. Atsižvelgiant į hidrochlorotiazido farmakologinio veikimo mechanizmą, vaistinio preparato vartojimas antrojo ir trečiojo nėštumo trimestrų metu gali nepalankiai paveikti vaisiaus ir placentos kraujotaką bei sukelti poveikį vaisiui ir naujagimiui, pavyzdžiui, geltą, elektrolitų pusiausvyros sutrikimą ir trombocitopeniją.</w:t>
      </w:r>
    </w:p>
    <w:p w14:paraId="507797B3"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Hidrochlorotiazidu negalima gydyti su nėštumu susijusios edemos, hipertenzijos ar preeklampsijos, nes kyla plazmos ir per placentą pratekančio kraujo kiekio sumažėjimo rizika, o palankaus poveikio ligai nepasireiškia.</w:t>
      </w:r>
    </w:p>
    <w:p w14:paraId="17038193"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Hidrochlorotiazidu negalima gydyti nėščiųjų, sergančių pirmine hipertenzija, išskyrus retus atvejus, kai negalima taikyti kitokio gydymo.</w:t>
      </w:r>
    </w:p>
    <w:p w14:paraId="7C8EAC2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870615E"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Žindymas</w:t>
      </w:r>
    </w:p>
    <w:p w14:paraId="5A5401FA" w14:textId="77777777" w:rsidR="00937FA0" w:rsidRPr="00937FA0" w:rsidRDefault="00937FA0" w:rsidP="00937FA0">
      <w:pPr>
        <w:widowControl w:val="0"/>
        <w:ind w:left="0" w:firstLine="0"/>
        <w:rPr>
          <w:rFonts w:ascii="Times New Roman" w:eastAsia="Times New Roman" w:hAnsi="Times New Roman" w:cs="Times New Roman"/>
          <w:i/>
          <w:u w:val="single"/>
          <w:lang w:eastAsia="sl-SI"/>
        </w:rPr>
      </w:pPr>
      <w:r w:rsidRPr="00937FA0">
        <w:rPr>
          <w:rFonts w:ascii="Times New Roman" w:eastAsia="Times New Roman" w:hAnsi="Times New Roman" w:cs="Times New Roman"/>
          <w:i/>
          <w:iCs/>
          <w:lang w:eastAsia="sl-SI"/>
        </w:rPr>
        <w:t>Angiotenzino II receptorių blokatoriai (AIIRB)</w:t>
      </w:r>
    </w:p>
    <w:p w14:paraId="63DCC1D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Informacijos apie Canocombi vartojimą žindymo laikotarpiu nėra. Canocombi vartoti nerekomenduojama. Žindymo laikotarpiu geriau skirti kitokį gydymą, kurio saugumas žindymo laikotarpiu įrodytas, ypač jeigu žindomas naujagimis arba prieš laiką gimęs kūdikis.</w:t>
      </w:r>
    </w:p>
    <w:p w14:paraId="27043B4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862F027" w14:textId="77777777" w:rsidR="00937FA0" w:rsidRPr="00937FA0" w:rsidRDefault="00937FA0" w:rsidP="00937FA0">
      <w:pPr>
        <w:widowControl w:val="0"/>
        <w:ind w:left="0" w:firstLine="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Hidrochlorotiazidas</w:t>
      </w:r>
    </w:p>
    <w:p w14:paraId="36A3EE7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Nedidelis hidrochlorotiazido kiekis išsiskiria į motinos pieną. Didelės tiazidinių diuretikų dozės, kurios sukelia gausią diurezę, gali slopinti pieno gamybą. Todėl Canocombi nerekomenduojama vartoti žindymo laikotarpiu. Turi būti vartojamos kiek įmanoma mažiausios dozės, jei Canocombi yra vartojamas žindymo laikotarpiu.</w:t>
      </w:r>
    </w:p>
    <w:p w14:paraId="49FF62EE" w14:textId="77777777" w:rsidR="00937FA0" w:rsidRPr="00937FA0" w:rsidRDefault="00937FA0" w:rsidP="00937FA0">
      <w:pPr>
        <w:widowControl w:val="0"/>
        <w:rPr>
          <w:rFonts w:ascii="Times New Roman" w:eastAsia="Times New Roman" w:hAnsi="Times New Roman" w:cs="Times New Roman"/>
          <w:lang w:eastAsia="sl-SI"/>
        </w:rPr>
      </w:pPr>
    </w:p>
    <w:p w14:paraId="6583244B"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4.7</w:t>
      </w:r>
      <w:r w:rsidRPr="00937FA0">
        <w:rPr>
          <w:rFonts w:ascii="Times New Roman" w:eastAsia="Times New Roman" w:hAnsi="Times New Roman" w:cs="Times New Roman"/>
          <w:b/>
          <w:lang w:eastAsia="sl-SI"/>
        </w:rPr>
        <w:tab/>
        <w:t>Poveikis gebėjimui vairuoti ir valdyti mechanizmus</w:t>
      </w:r>
    </w:p>
    <w:p w14:paraId="7314374C" w14:textId="77777777" w:rsidR="00937FA0" w:rsidRPr="00937FA0" w:rsidRDefault="00937FA0" w:rsidP="00937FA0">
      <w:pPr>
        <w:widowControl w:val="0"/>
        <w:rPr>
          <w:rFonts w:ascii="Times New Roman" w:eastAsia="Times New Roman" w:hAnsi="Times New Roman" w:cs="Times New Roman"/>
          <w:lang w:eastAsia="sl-SI"/>
        </w:rPr>
      </w:pPr>
    </w:p>
    <w:p w14:paraId="699A479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Poveikio gebėjimui vairuoti ir valdyti mechanizmus tyrimų neatlikta. Vairuojant transporto priemonę arba valdant mechanizmus, reikia atsižvelgti į tai, kad kartais gydymo Canocombi metu gali pasireikšti  svaigulys ar nuovargis.</w:t>
      </w:r>
    </w:p>
    <w:p w14:paraId="5EB90B66" w14:textId="77777777" w:rsidR="00937FA0" w:rsidRPr="00937FA0" w:rsidRDefault="00937FA0" w:rsidP="00937FA0">
      <w:pPr>
        <w:widowControl w:val="0"/>
        <w:rPr>
          <w:rFonts w:ascii="Times New Roman" w:eastAsia="Times New Roman" w:hAnsi="Times New Roman" w:cs="Times New Roman"/>
          <w:lang w:eastAsia="sl-SI"/>
        </w:rPr>
      </w:pPr>
    </w:p>
    <w:p w14:paraId="7BF733F3"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4.8</w:t>
      </w:r>
      <w:r w:rsidRPr="00937FA0">
        <w:rPr>
          <w:rFonts w:ascii="Times New Roman" w:eastAsia="Times New Roman" w:hAnsi="Times New Roman" w:cs="Times New Roman"/>
          <w:b/>
          <w:lang w:eastAsia="sl-SI"/>
        </w:rPr>
        <w:tab/>
        <w:t>Nepageidaujamas poveikis</w:t>
      </w:r>
    </w:p>
    <w:p w14:paraId="5590E0B2"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3208EA67" w14:textId="7FDB98A6"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Kontroliuojamų klinikinių Canocombi tyrimų metu nepageidaujamos reakcijos buvo lengvos ir trumpalaikės. Dėl nepageidaujamų reiškinių gydymą nutraukė panaši dalis pacientų, vartojusių Canocombi (2,3</w:t>
      </w:r>
      <w:r w:rsidRPr="00937FA0">
        <w:rPr>
          <w:rFonts w:ascii="Times New Roman" w:eastAsia="Times New Roman" w:hAnsi="Times New Roman" w:cs="Times New Roman"/>
          <w:lang w:eastAsia="sl-SI"/>
        </w:rPr>
        <w:noBreakHyphen/>
        <w:t>3,3</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ir placebą (2,7</w:t>
      </w:r>
      <w:r w:rsidRPr="00937FA0">
        <w:rPr>
          <w:rFonts w:ascii="Times New Roman" w:eastAsia="Times New Roman" w:hAnsi="Times New Roman" w:cs="Times New Roman"/>
          <w:lang w:eastAsia="sl-SI"/>
        </w:rPr>
        <w:noBreakHyphen/>
        <w:t>4,3</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w:t>
      </w:r>
    </w:p>
    <w:p w14:paraId="1B152DD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68B477A"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Klinikinių Canocombi tyrimų duomenimis, nepageidaujamos reakcijos buvo tokios pat, kokios buvo nustatytos vartojant kandesartano cileksetilą ir (arba) hidrochlorotiazidą.</w:t>
      </w:r>
    </w:p>
    <w:p w14:paraId="7841CEA9"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FA22435" w14:textId="267C12D0"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Toliau esančioje lentelėje išvardytos nepageidaujamos reakcijos, kurios pasireiškė vartojant kandesartano cileksetilą klinikinių tyrimų metu ir po vaistinio preparato patekimo į rinką. Jungtinės klinikinių tyrimų duomenų apie hipertenzija sergančius pacientus analizės duomenimis, nepageidaujamų reakcijų į kandesartano cileksetilą dažnis apibrėžiamas nepageidaujamų reiškinių į kandesartano cileksetilą, kurie pasireiškė bent 1</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dažniau nei vartojant placebą, dažniu.</w:t>
      </w:r>
    </w:p>
    <w:p w14:paraId="5A53ADA4"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573942B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4.8 skyriaus lentelėse nurodytas sutrikimų dažnis apibūdinamas taip:</w:t>
      </w:r>
    </w:p>
    <w:p w14:paraId="4AC26EE1" w14:textId="77777777" w:rsidR="00937FA0" w:rsidRPr="00937FA0" w:rsidRDefault="00937FA0" w:rsidP="00E33F2E">
      <w:pPr>
        <w:widowControl w:val="0"/>
        <w:numPr>
          <w:ilvl w:val="0"/>
          <w:numId w:val="3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labai dažni (</w:t>
      </w:r>
      <w:r w:rsidRPr="00937FA0">
        <w:rPr>
          <w:rFonts w:ascii="Times New Roman" w:eastAsia="Arial Unicode MS" w:hAnsi="Times New Roman" w:cs="Times New Roman"/>
          <w:lang w:eastAsia="sl-SI"/>
        </w:rPr>
        <w:t>≥ </w:t>
      </w:r>
      <w:r w:rsidRPr="00937FA0">
        <w:rPr>
          <w:rFonts w:ascii="Times New Roman" w:eastAsia="Times New Roman" w:hAnsi="Times New Roman" w:cs="Times New Roman"/>
          <w:lang w:eastAsia="sl-SI"/>
        </w:rPr>
        <w:t>1/10);</w:t>
      </w:r>
    </w:p>
    <w:p w14:paraId="2024913F" w14:textId="77777777" w:rsidR="00937FA0" w:rsidRPr="00937FA0" w:rsidRDefault="00937FA0" w:rsidP="00E33F2E">
      <w:pPr>
        <w:widowControl w:val="0"/>
        <w:numPr>
          <w:ilvl w:val="0"/>
          <w:numId w:val="3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(nuo </w:t>
      </w:r>
      <w:r w:rsidRPr="00937FA0">
        <w:rPr>
          <w:rFonts w:ascii="Times New Roman" w:eastAsia="Arial Unicode MS" w:hAnsi="Times New Roman" w:cs="Times New Roman"/>
          <w:lang w:eastAsia="sl-SI"/>
        </w:rPr>
        <w:t>≥ </w:t>
      </w:r>
      <w:r w:rsidRPr="00937FA0">
        <w:rPr>
          <w:rFonts w:ascii="Times New Roman" w:eastAsia="Times New Roman" w:hAnsi="Times New Roman" w:cs="Times New Roman"/>
          <w:lang w:eastAsia="sl-SI"/>
        </w:rPr>
        <w:t>1/100 iki &lt; 1/10);</w:t>
      </w:r>
    </w:p>
    <w:p w14:paraId="35E4D9C1" w14:textId="77777777" w:rsidR="00937FA0" w:rsidRPr="00937FA0" w:rsidRDefault="00937FA0" w:rsidP="00E33F2E">
      <w:pPr>
        <w:widowControl w:val="0"/>
        <w:numPr>
          <w:ilvl w:val="0"/>
          <w:numId w:val="3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nedažni (nuo </w:t>
      </w:r>
      <w:r w:rsidRPr="00937FA0">
        <w:rPr>
          <w:rFonts w:ascii="Times New Roman" w:eastAsia="Arial Unicode MS" w:hAnsi="Times New Roman" w:cs="Times New Roman"/>
          <w:lang w:eastAsia="sl-SI"/>
        </w:rPr>
        <w:t>≥ </w:t>
      </w:r>
      <w:r w:rsidRPr="00937FA0">
        <w:rPr>
          <w:rFonts w:ascii="Times New Roman" w:eastAsia="Times New Roman" w:hAnsi="Times New Roman" w:cs="Times New Roman"/>
          <w:lang w:eastAsia="sl-SI"/>
        </w:rPr>
        <w:t>1/1</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000 iki &lt; 1/100);</w:t>
      </w:r>
    </w:p>
    <w:p w14:paraId="27829FF9" w14:textId="00EA8ECE" w:rsidR="00937FA0" w:rsidRPr="00937FA0" w:rsidRDefault="00937FA0" w:rsidP="00E33F2E">
      <w:pPr>
        <w:widowControl w:val="0"/>
        <w:numPr>
          <w:ilvl w:val="0"/>
          <w:numId w:val="3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(nuo </w:t>
      </w:r>
      <w:r w:rsidRPr="00937FA0">
        <w:rPr>
          <w:rFonts w:ascii="Times New Roman" w:eastAsia="Arial Unicode MS" w:hAnsi="Times New Roman" w:cs="Times New Roman"/>
          <w:lang w:eastAsia="sl-SI"/>
        </w:rPr>
        <w:t>≥ </w:t>
      </w:r>
      <w:r w:rsidRPr="00937FA0">
        <w:rPr>
          <w:rFonts w:ascii="Times New Roman" w:eastAsia="Times New Roman" w:hAnsi="Times New Roman" w:cs="Times New Roman"/>
          <w:lang w:eastAsia="sl-SI"/>
        </w:rPr>
        <w:t>1/10</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000 iki &lt; 1/1</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000);</w:t>
      </w:r>
    </w:p>
    <w:p w14:paraId="593FEBA5" w14:textId="41753520" w:rsidR="00937FA0" w:rsidRPr="00937FA0" w:rsidRDefault="00937FA0" w:rsidP="00E33F2E">
      <w:pPr>
        <w:widowControl w:val="0"/>
        <w:numPr>
          <w:ilvl w:val="0"/>
          <w:numId w:val="3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labai reti (&lt; 1/10</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000);</w:t>
      </w:r>
    </w:p>
    <w:p w14:paraId="04401121" w14:textId="77777777" w:rsidR="00937FA0" w:rsidRPr="00937FA0" w:rsidRDefault="00937FA0" w:rsidP="00E33F2E">
      <w:pPr>
        <w:widowControl w:val="0"/>
        <w:numPr>
          <w:ilvl w:val="0"/>
          <w:numId w:val="36"/>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lt-LT"/>
        </w:rPr>
        <w:t>dažnis nežinomas (negali būti apskaičiuotas pagal turimus duomenis)</w:t>
      </w:r>
    </w:p>
    <w:p w14:paraId="28DDDFF4" w14:textId="77777777" w:rsidR="00937FA0" w:rsidRPr="00937FA0" w:rsidRDefault="00937FA0" w:rsidP="00937FA0">
      <w:pPr>
        <w:widowControl w:val="0"/>
        <w:ind w:left="0" w:firstLine="0"/>
        <w:rPr>
          <w:rFonts w:ascii="Times New Roman" w:eastAsia="Times New Roman" w:hAnsi="Times New Roman" w:cs="Times New Roman"/>
          <w:lang w:eastAsia="sl-SI"/>
        </w:rPr>
      </w:pP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00" w:firstRow="0" w:lastRow="0" w:firstColumn="0" w:lastColumn="0" w:noHBand="0" w:noVBand="0"/>
      </w:tblPr>
      <w:tblGrid>
        <w:gridCol w:w="3019"/>
        <w:gridCol w:w="1613"/>
        <w:gridCol w:w="4429"/>
      </w:tblGrid>
      <w:tr w:rsidR="00937FA0" w:rsidRPr="00937FA0" w14:paraId="18927146" w14:textId="77777777" w:rsidTr="00A91329">
        <w:trPr>
          <w:tblCellSpacing w:w="0" w:type="dxa"/>
        </w:trPr>
        <w:tc>
          <w:tcPr>
            <w:tcW w:w="1666" w:type="pct"/>
          </w:tcPr>
          <w:p w14:paraId="62E5599F"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Organų sistemų klasės</w:t>
            </w:r>
          </w:p>
        </w:tc>
        <w:tc>
          <w:tcPr>
            <w:tcW w:w="890" w:type="pct"/>
          </w:tcPr>
          <w:p w14:paraId="13AC1BA1"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Dažnis</w:t>
            </w:r>
          </w:p>
        </w:tc>
        <w:tc>
          <w:tcPr>
            <w:tcW w:w="2444" w:type="pct"/>
          </w:tcPr>
          <w:p w14:paraId="4CACB46C"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Nepageidaujamas poveikis</w:t>
            </w:r>
          </w:p>
        </w:tc>
      </w:tr>
      <w:tr w:rsidR="00937FA0" w:rsidRPr="00937FA0" w14:paraId="00D11CE1" w14:textId="77777777" w:rsidTr="00A91329">
        <w:trPr>
          <w:tblCellSpacing w:w="0" w:type="dxa"/>
        </w:trPr>
        <w:tc>
          <w:tcPr>
            <w:tcW w:w="1666" w:type="pct"/>
          </w:tcPr>
          <w:p w14:paraId="45103C55"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Infekcijos ir infestacijos</w:t>
            </w:r>
          </w:p>
        </w:tc>
        <w:tc>
          <w:tcPr>
            <w:tcW w:w="890" w:type="pct"/>
          </w:tcPr>
          <w:p w14:paraId="1AE761A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Dažni</w:t>
            </w:r>
          </w:p>
        </w:tc>
        <w:tc>
          <w:tcPr>
            <w:tcW w:w="2444" w:type="pct"/>
          </w:tcPr>
          <w:p w14:paraId="399AC054"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Kvėpavimo takų infekcinė liga.</w:t>
            </w:r>
          </w:p>
        </w:tc>
      </w:tr>
      <w:tr w:rsidR="00937FA0" w:rsidRPr="00937FA0" w14:paraId="7CD43601" w14:textId="77777777" w:rsidTr="00A91329">
        <w:trPr>
          <w:tblCellSpacing w:w="0" w:type="dxa"/>
        </w:trPr>
        <w:tc>
          <w:tcPr>
            <w:tcW w:w="1666" w:type="pct"/>
          </w:tcPr>
          <w:p w14:paraId="714D865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 ir limfinės sistemos sutrikimai</w:t>
            </w:r>
          </w:p>
        </w:tc>
        <w:tc>
          <w:tcPr>
            <w:tcW w:w="890" w:type="pct"/>
          </w:tcPr>
          <w:p w14:paraId="462827C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0D89DC4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Leukopenija, neutropenija ir agranulocitozė.</w:t>
            </w:r>
          </w:p>
        </w:tc>
      </w:tr>
      <w:tr w:rsidR="00937FA0" w:rsidRPr="00937FA0" w14:paraId="4CE45E7A" w14:textId="77777777" w:rsidTr="00A91329">
        <w:trPr>
          <w:tblCellSpacing w:w="0" w:type="dxa"/>
        </w:trPr>
        <w:tc>
          <w:tcPr>
            <w:tcW w:w="1666" w:type="pct"/>
          </w:tcPr>
          <w:p w14:paraId="7428B6A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Metabolizmo ir mitybos sutrikimai</w:t>
            </w:r>
          </w:p>
        </w:tc>
        <w:tc>
          <w:tcPr>
            <w:tcW w:w="890" w:type="pct"/>
          </w:tcPr>
          <w:p w14:paraId="58F3187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00FEE00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Hiperkalemija, hiponatremija.</w:t>
            </w:r>
          </w:p>
        </w:tc>
      </w:tr>
      <w:tr w:rsidR="00937FA0" w:rsidRPr="00937FA0" w14:paraId="19A094CF" w14:textId="77777777" w:rsidTr="00A91329">
        <w:trPr>
          <w:tblCellSpacing w:w="0" w:type="dxa"/>
        </w:trPr>
        <w:tc>
          <w:tcPr>
            <w:tcW w:w="1666" w:type="pct"/>
          </w:tcPr>
          <w:p w14:paraId="70095F8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Nervų sistemos sutrikimai</w:t>
            </w:r>
          </w:p>
        </w:tc>
        <w:tc>
          <w:tcPr>
            <w:tcW w:w="890" w:type="pct"/>
          </w:tcPr>
          <w:p w14:paraId="32A301A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Dažni</w:t>
            </w:r>
          </w:p>
        </w:tc>
        <w:tc>
          <w:tcPr>
            <w:tcW w:w="2444" w:type="pct"/>
          </w:tcPr>
          <w:p w14:paraId="3284543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Svaigulys ar galvos svaigimas (</w:t>
            </w:r>
            <w:r w:rsidRPr="00937FA0">
              <w:rPr>
                <w:rFonts w:ascii="Times New Roman" w:eastAsia="Times New Roman" w:hAnsi="Times New Roman" w:cs="Times New Roman"/>
                <w:i/>
                <w:lang w:eastAsia="sl-SI"/>
              </w:rPr>
              <w:t>vertigo</w:t>
            </w:r>
            <w:r w:rsidRPr="00937FA0">
              <w:rPr>
                <w:rFonts w:ascii="Times New Roman" w:eastAsia="Times New Roman" w:hAnsi="Times New Roman" w:cs="Times New Roman"/>
                <w:lang w:eastAsia="sl-SI"/>
              </w:rPr>
              <w:t>), galvos skausmas.</w:t>
            </w:r>
          </w:p>
        </w:tc>
      </w:tr>
      <w:tr w:rsidR="00937FA0" w:rsidRPr="00937FA0" w14:paraId="605F9A50" w14:textId="77777777" w:rsidTr="00A91329">
        <w:trPr>
          <w:tblCellSpacing w:w="0" w:type="dxa"/>
        </w:trPr>
        <w:tc>
          <w:tcPr>
            <w:tcW w:w="1666" w:type="pct"/>
          </w:tcPr>
          <w:p w14:paraId="40798B3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sistemos, krūtinės ląstos ir tarpuplaučio sutrikimai</w:t>
            </w:r>
          </w:p>
        </w:tc>
        <w:tc>
          <w:tcPr>
            <w:tcW w:w="890" w:type="pct"/>
          </w:tcPr>
          <w:p w14:paraId="11DE716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1DB2687F"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Kosulys.</w:t>
            </w:r>
          </w:p>
        </w:tc>
      </w:tr>
      <w:tr w:rsidR="00937FA0" w:rsidRPr="00937FA0" w14:paraId="0EC1D5AF" w14:textId="77777777" w:rsidTr="00A91329">
        <w:trPr>
          <w:tblCellSpacing w:w="0" w:type="dxa"/>
        </w:trPr>
        <w:tc>
          <w:tcPr>
            <w:tcW w:w="1666" w:type="pct"/>
            <w:vMerge w:val="restart"/>
          </w:tcPr>
          <w:p w14:paraId="4EAFE88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Virškinimo trakto sutrikimai</w:t>
            </w:r>
          </w:p>
        </w:tc>
        <w:tc>
          <w:tcPr>
            <w:tcW w:w="890" w:type="pct"/>
          </w:tcPr>
          <w:p w14:paraId="4D78210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1497631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Pykinimas.</w:t>
            </w:r>
          </w:p>
        </w:tc>
      </w:tr>
      <w:tr w:rsidR="00937FA0" w:rsidRPr="00937FA0" w14:paraId="3BB1FEE8" w14:textId="77777777" w:rsidTr="00A91329">
        <w:trPr>
          <w:tblCellSpacing w:w="0" w:type="dxa"/>
        </w:trPr>
        <w:tc>
          <w:tcPr>
            <w:tcW w:w="1666" w:type="pct"/>
            <w:vMerge/>
          </w:tcPr>
          <w:p w14:paraId="3D2F4A01"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90" w:type="pct"/>
          </w:tcPr>
          <w:p w14:paraId="5A36E16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Dažnis </w:t>
            </w:r>
            <w:r w:rsidRPr="00937FA0">
              <w:rPr>
                <w:rFonts w:ascii="Times New Roman" w:eastAsia="Times New Roman" w:hAnsi="Times New Roman" w:cs="Times New Roman"/>
                <w:lang w:eastAsia="sl-SI"/>
              </w:rPr>
              <w:lastRenderedPageBreak/>
              <w:t>nežinomas</w:t>
            </w:r>
          </w:p>
        </w:tc>
        <w:tc>
          <w:tcPr>
            <w:tcW w:w="2444" w:type="pct"/>
          </w:tcPr>
          <w:p w14:paraId="067117F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Viduriavimas.</w:t>
            </w:r>
          </w:p>
        </w:tc>
      </w:tr>
      <w:tr w:rsidR="00937FA0" w:rsidRPr="00937FA0" w14:paraId="3E191DA0" w14:textId="77777777" w:rsidTr="00A91329">
        <w:trPr>
          <w:tblCellSpacing w:w="0" w:type="dxa"/>
        </w:trPr>
        <w:tc>
          <w:tcPr>
            <w:tcW w:w="1666" w:type="pct"/>
          </w:tcPr>
          <w:p w14:paraId="368CD46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Kepenų, tulžies pūslės ir latakų sutrikimai</w:t>
            </w:r>
          </w:p>
        </w:tc>
        <w:tc>
          <w:tcPr>
            <w:tcW w:w="890" w:type="pct"/>
          </w:tcPr>
          <w:p w14:paraId="53BCA61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073CAF2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Kepenų fermentų suaktyvėjimas, nenormalūs kepenų funkcijos tyrimų rodmenys ar hepatitas.</w:t>
            </w:r>
          </w:p>
        </w:tc>
      </w:tr>
      <w:tr w:rsidR="00937FA0" w:rsidRPr="00937FA0" w14:paraId="41889B19" w14:textId="77777777" w:rsidTr="00A91329">
        <w:trPr>
          <w:tblCellSpacing w:w="0" w:type="dxa"/>
        </w:trPr>
        <w:tc>
          <w:tcPr>
            <w:tcW w:w="1666" w:type="pct"/>
          </w:tcPr>
          <w:p w14:paraId="6492598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Odos ir poodinio audinio sutrikimai</w:t>
            </w:r>
          </w:p>
        </w:tc>
        <w:tc>
          <w:tcPr>
            <w:tcW w:w="890" w:type="pct"/>
          </w:tcPr>
          <w:p w14:paraId="5D81075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3A03DED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Angioneurozinė edema, išbėrimas, dilgėlinė, niežėjimas.</w:t>
            </w:r>
          </w:p>
        </w:tc>
      </w:tr>
      <w:tr w:rsidR="00937FA0" w:rsidRPr="00937FA0" w14:paraId="5250F434" w14:textId="77777777" w:rsidTr="00A91329">
        <w:trPr>
          <w:tblCellSpacing w:w="0" w:type="dxa"/>
        </w:trPr>
        <w:tc>
          <w:tcPr>
            <w:tcW w:w="1666" w:type="pct"/>
          </w:tcPr>
          <w:p w14:paraId="30B2E26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Skeleto, raumenų ir jungiamojo audinio sutrikimai</w:t>
            </w:r>
          </w:p>
        </w:tc>
        <w:tc>
          <w:tcPr>
            <w:tcW w:w="890" w:type="pct"/>
          </w:tcPr>
          <w:p w14:paraId="59A363F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6C3F454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Nugaros skausmas, artralgija, mialgija.</w:t>
            </w:r>
          </w:p>
        </w:tc>
      </w:tr>
      <w:tr w:rsidR="00937FA0" w:rsidRPr="00937FA0" w14:paraId="243FABF0" w14:textId="77777777" w:rsidTr="00A91329">
        <w:trPr>
          <w:tblCellSpacing w:w="0" w:type="dxa"/>
        </w:trPr>
        <w:tc>
          <w:tcPr>
            <w:tcW w:w="1666" w:type="pct"/>
          </w:tcPr>
          <w:p w14:paraId="06B5593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Inkstų ir šlapimo takų sutrikimai</w:t>
            </w:r>
          </w:p>
        </w:tc>
        <w:tc>
          <w:tcPr>
            <w:tcW w:w="890" w:type="pct"/>
          </w:tcPr>
          <w:p w14:paraId="762C632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Labai reti </w:t>
            </w:r>
          </w:p>
        </w:tc>
        <w:tc>
          <w:tcPr>
            <w:tcW w:w="2444" w:type="pct"/>
          </w:tcPr>
          <w:p w14:paraId="1FE4B6A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Inkstų funkcijos sutrikimas, įskaitant inkstų nepakankamumą jautriems pacientams (žr. 4.4 skyrių).</w:t>
            </w:r>
          </w:p>
        </w:tc>
      </w:tr>
    </w:tbl>
    <w:p w14:paraId="39B3E16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4DB876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Toliau esančioje lentelėje išvardytos nepageidaujamos reakcijos į hidrochlorotiazidą, kurios paprastai pasireiškė taikant monoterapiją 25 mg ar didesnė doze.</w:t>
      </w:r>
    </w:p>
    <w:p w14:paraId="34E784B1" w14:textId="77777777" w:rsidR="00937FA0" w:rsidRPr="00937FA0" w:rsidRDefault="00937FA0" w:rsidP="00937FA0">
      <w:pPr>
        <w:widowControl w:val="0"/>
        <w:ind w:left="0" w:firstLine="0"/>
        <w:rPr>
          <w:rFonts w:ascii="Times New Roman" w:eastAsia="Times New Roman" w:hAnsi="Times New Roman" w:cs="Times New Roman"/>
          <w:lang w:eastAsia="sl-SI"/>
        </w:rPr>
      </w:pP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0" w:type="dxa"/>
          <w:left w:w="60" w:type="dxa"/>
          <w:bottom w:w="60" w:type="dxa"/>
          <w:right w:w="60" w:type="dxa"/>
        </w:tblCellMar>
        <w:tblLook w:val="0000" w:firstRow="0" w:lastRow="0" w:firstColumn="0" w:lastColumn="0" w:noHBand="0" w:noVBand="0"/>
      </w:tblPr>
      <w:tblGrid>
        <w:gridCol w:w="3021"/>
        <w:gridCol w:w="1611"/>
        <w:gridCol w:w="4429"/>
      </w:tblGrid>
      <w:tr w:rsidR="00937FA0" w:rsidRPr="00937FA0" w14:paraId="083FCAD0" w14:textId="77777777" w:rsidTr="00A91329">
        <w:trPr>
          <w:tblCellSpacing w:w="0" w:type="dxa"/>
        </w:trPr>
        <w:tc>
          <w:tcPr>
            <w:tcW w:w="1667" w:type="pct"/>
          </w:tcPr>
          <w:p w14:paraId="30DA4C33"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Organų sistemų klasės</w:t>
            </w:r>
          </w:p>
        </w:tc>
        <w:tc>
          <w:tcPr>
            <w:tcW w:w="889" w:type="pct"/>
          </w:tcPr>
          <w:p w14:paraId="41AA0875"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Dažnis</w:t>
            </w:r>
          </w:p>
        </w:tc>
        <w:tc>
          <w:tcPr>
            <w:tcW w:w="2444" w:type="pct"/>
          </w:tcPr>
          <w:p w14:paraId="331358BB"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Nepageidaujamas poveikis</w:t>
            </w:r>
          </w:p>
        </w:tc>
      </w:tr>
      <w:tr w:rsidR="00937FA0" w:rsidRPr="00937FA0" w14:paraId="7D529682" w14:textId="77777777" w:rsidTr="00A91329">
        <w:trPr>
          <w:tblCellSpacing w:w="0" w:type="dxa"/>
        </w:trPr>
        <w:tc>
          <w:tcPr>
            <w:tcW w:w="1667" w:type="pct"/>
          </w:tcPr>
          <w:p w14:paraId="12544EF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DF1D52">
              <w:rPr>
                <w:rFonts w:ascii="Times New Roman" w:eastAsia="Times New Roman" w:hAnsi="Times New Roman" w:cs="Times New Roman"/>
                <w:szCs w:val="20"/>
                <w:lang w:eastAsia="sl-SI"/>
              </w:rPr>
              <w:t>Gerybiniai, piktybiniai ir nepatikslinti navikai (tarp jų cistos ir polipai)</w:t>
            </w:r>
          </w:p>
        </w:tc>
        <w:tc>
          <w:tcPr>
            <w:tcW w:w="889" w:type="pct"/>
          </w:tcPr>
          <w:p w14:paraId="4766964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E24910">
              <w:rPr>
                <w:rFonts w:ascii="Times New Roman" w:eastAsia="Calibri" w:hAnsi="Times New Roman" w:cs="Times New Roman"/>
                <w:bCs/>
                <w:lang w:eastAsia="sl-SI"/>
              </w:rPr>
              <w:t>Dažnis nežinomas</w:t>
            </w:r>
          </w:p>
        </w:tc>
        <w:tc>
          <w:tcPr>
            <w:tcW w:w="2444" w:type="pct"/>
          </w:tcPr>
          <w:p w14:paraId="459EEF6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1118BF">
              <w:rPr>
                <w:rFonts w:ascii="Times New Roman" w:hAnsi="Times New Roman" w:cs="Times New Roman"/>
              </w:rPr>
              <w:t xml:space="preserve">Nemelanominis odos vėžys (bazalinių ląstelių karcinoma ir plokščiųjų ląstelių </w:t>
            </w:r>
            <w:r>
              <w:rPr>
                <w:rFonts w:ascii="Times New Roman" w:hAnsi="Times New Roman" w:cs="Times New Roman"/>
              </w:rPr>
              <w:t>karcinoma)</w:t>
            </w:r>
            <w:r w:rsidR="008B0DCF">
              <w:rPr>
                <w:rFonts w:ascii="Times New Roman" w:hAnsi="Times New Roman" w:cs="Times New Roman"/>
              </w:rPr>
              <w:t>.</w:t>
            </w:r>
          </w:p>
        </w:tc>
      </w:tr>
      <w:tr w:rsidR="00937FA0" w:rsidRPr="00937FA0" w14:paraId="152D6251" w14:textId="77777777" w:rsidTr="00A91329">
        <w:trPr>
          <w:tblCellSpacing w:w="0" w:type="dxa"/>
        </w:trPr>
        <w:tc>
          <w:tcPr>
            <w:tcW w:w="1667" w:type="pct"/>
          </w:tcPr>
          <w:p w14:paraId="6464E87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 ir limfinės sistemos sutrikimai</w:t>
            </w:r>
          </w:p>
        </w:tc>
        <w:tc>
          <w:tcPr>
            <w:tcW w:w="889" w:type="pct"/>
          </w:tcPr>
          <w:p w14:paraId="0E381FF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Reti</w:t>
            </w:r>
          </w:p>
          <w:p w14:paraId="1A2DFED3"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2444" w:type="pct"/>
          </w:tcPr>
          <w:p w14:paraId="7195A6D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Leukopenija, neutropenija ar agranulocitozė, trombocitopenija, aplazinė anemija, kaulų čiulpų slopinimas, hemolizinė anemija.</w:t>
            </w:r>
          </w:p>
        </w:tc>
      </w:tr>
      <w:tr w:rsidR="00937FA0" w:rsidRPr="00937FA0" w14:paraId="1CE3E1A0" w14:textId="77777777" w:rsidTr="00A91329">
        <w:trPr>
          <w:tblCellSpacing w:w="0" w:type="dxa"/>
        </w:trPr>
        <w:tc>
          <w:tcPr>
            <w:tcW w:w="1667" w:type="pct"/>
          </w:tcPr>
          <w:p w14:paraId="09216E8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Imuninės sistemos sutrikimai</w:t>
            </w:r>
          </w:p>
        </w:tc>
        <w:tc>
          <w:tcPr>
            <w:tcW w:w="889" w:type="pct"/>
          </w:tcPr>
          <w:p w14:paraId="629923B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27FC80B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Anafilaksinės reakcijos.</w:t>
            </w:r>
          </w:p>
        </w:tc>
      </w:tr>
      <w:tr w:rsidR="00937FA0" w:rsidRPr="00937FA0" w14:paraId="7C15DB8E" w14:textId="77777777" w:rsidTr="00A91329">
        <w:trPr>
          <w:tblCellSpacing w:w="0" w:type="dxa"/>
        </w:trPr>
        <w:tc>
          <w:tcPr>
            <w:tcW w:w="1667" w:type="pct"/>
          </w:tcPr>
          <w:p w14:paraId="6D53807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Metabolizmo ir mitybos sutrikimai</w:t>
            </w:r>
          </w:p>
        </w:tc>
        <w:tc>
          <w:tcPr>
            <w:tcW w:w="889" w:type="pct"/>
          </w:tcPr>
          <w:p w14:paraId="3774C1D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w:t>
            </w:r>
          </w:p>
        </w:tc>
        <w:tc>
          <w:tcPr>
            <w:tcW w:w="2444" w:type="pct"/>
          </w:tcPr>
          <w:p w14:paraId="153DBA0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Hiperglikemija, hiperurikemija, elektrolitų pusiausvyros sutrikimas (įskaitant hiponatremija ir hipokalemiją).</w:t>
            </w:r>
          </w:p>
        </w:tc>
      </w:tr>
      <w:tr w:rsidR="00937FA0" w:rsidRPr="00937FA0" w14:paraId="23A47F3C" w14:textId="77777777" w:rsidTr="00A91329">
        <w:trPr>
          <w:tblCellSpacing w:w="0" w:type="dxa"/>
        </w:trPr>
        <w:tc>
          <w:tcPr>
            <w:tcW w:w="1667" w:type="pct"/>
          </w:tcPr>
          <w:p w14:paraId="6D94C7F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Psichikos sutrikimai</w:t>
            </w:r>
          </w:p>
        </w:tc>
        <w:tc>
          <w:tcPr>
            <w:tcW w:w="889" w:type="pct"/>
          </w:tcPr>
          <w:p w14:paraId="7FC7AEB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2A874D1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Miego sutrikimai, depresija, neramumas.</w:t>
            </w:r>
          </w:p>
        </w:tc>
      </w:tr>
      <w:tr w:rsidR="00937FA0" w:rsidRPr="00937FA0" w14:paraId="3511A785" w14:textId="77777777" w:rsidTr="00A91329">
        <w:trPr>
          <w:tblCellSpacing w:w="0" w:type="dxa"/>
        </w:trPr>
        <w:tc>
          <w:tcPr>
            <w:tcW w:w="1667" w:type="pct"/>
            <w:vMerge w:val="restart"/>
          </w:tcPr>
          <w:p w14:paraId="78B1F68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Nervų sistemos sutrikimai</w:t>
            </w:r>
          </w:p>
          <w:p w14:paraId="5E4AF80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w:t>
            </w:r>
          </w:p>
        </w:tc>
        <w:tc>
          <w:tcPr>
            <w:tcW w:w="889" w:type="pct"/>
          </w:tcPr>
          <w:p w14:paraId="7D18EDF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w:t>
            </w:r>
          </w:p>
        </w:tc>
        <w:tc>
          <w:tcPr>
            <w:tcW w:w="2444" w:type="pct"/>
          </w:tcPr>
          <w:p w14:paraId="406D1D8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Apsvaigimas, galvos svaigimas (</w:t>
            </w:r>
            <w:r w:rsidRPr="00937FA0">
              <w:rPr>
                <w:rFonts w:ascii="Times New Roman" w:eastAsia="Times New Roman" w:hAnsi="Times New Roman" w:cs="Times New Roman"/>
                <w:i/>
                <w:lang w:eastAsia="sl-SI"/>
              </w:rPr>
              <w:t>vertigo</w:t>
            </w:r>
            <w:r w:rsidRPr="00937FA0">
              <w:rPr>
                <w:rFonts w:ascii="Times New Roman" w:eastAsia="Times New Roman" w:hAnsi="Times New Roman" w:cs="Times New Roman"/>
                <w:lang w:eastAsia="sl-SI"/>
              </w:rPr>
              <w:t>).</w:t>
            </w:r>
          </w:p>
        </w:tc>
      </w:tr>
      <w:tr w:rsidR="00937FA0" w:rsidRPr="00937FA0" w14:paraId="2D7F0873" w14:textId="77777777" w:rsidTr="00A91329">
        <w:trPr>
          <w:tblCellSpacing w:w="0" w:type="dxa"/>
        </w:trPr>
        <w:tc>
          <w:tcPr>
            <w:tcW w:w="1667" w:type="pct"/>
            <w:vMerge/>
          </w:tcPr>
          <w:p w14:paraId="01546200"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1D4054D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Reti</w:t>
            </w:r>
          </w:p>
        </w:tc>
        <w:tc>
          <w:tcPr>
            <w:tcW w:w="2444" w:type="pct"/>
          </w:tcPr>
          <w:p w14:paraId="4802C65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Parestezija.</w:t>
            </w:r>
          </w:p>
        </w:tc>
      </w:tr>
      <w:tr w:rsidR="00937FA0" w:rsidRPr="00937FA0" w14:paraId="177B736A" w14:textId="77777777" w:rsidTr="00A91329">
        <w:trPr>
          <w:tblCellSpacing w:w="0" w:type="dxa"/>
        </w:trPr>
        <w:tc>
          <w:tcPr>
            <w:tcW w:w="1667" w:type="pct"/>
            <w:vMerge w:val="restart"/>
          </w:tcPr>
          <w:p w14:paraId="7D73FF0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Akių sutrikimai</w:t>
            </w:r>
          </w:p>
        </w:tc>
        <w:tc>
          <w:tcPr>
            <w:tcW w:w="889" w:type="pct"/>
          </w:tcPr>
          <w:p w14:paraId="660C059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76402FE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Trumpalaikis matymas lyg per miglą.</w:t>
            </w:r>
          </w:p>
        </w:tc>
      </w:tr>
      <w:tr w:rsidR="00937FA0" w:rsidRPr="00937FA0" w14:paraId="674D958D" w14:textId="77777777" w:rsidTr="00A91329">
        <w:trPr>
          <w:tblCellSpacing w:w="0" w:type="dxa"/>
        </w:trPr>
        <w:tc>
          <w:tcPr>
            <w:tcW w:w="1667" w:type="pct"/>
            <w:vMerge/>
          </w:tcPr>
          <w:p w14:paraId="76075497"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12450FB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Dažnis nežinomas</w:t>
            </w:r>
          </w:p>
        </w:tc>
        <w:tc>
          <w:tcPr>
            <w:tcW w:w="2444" w:type="pct"/>
          </w:tcPr>
          <w:p w14:paraId="7E78472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Ūminė miopija, ūminis uždaro kampo glaukomos priepuolis</w:t>
            </w:r>
            <w:r w:rsidR="0049558C">
              <w:rPr>
                <w:rFonts w:ascii="Times New Roman" w:eastAsia="Times New Roman" w:hAnsi="Times New Roman" w:cs="Times New Roman"/>
                <w:lang w:eastAsia="sl-SI"/>
              </w:rPr>
              <w:t xml:space="preserve">, </w:t>
            </w:r>
            <w:r w:rsidR="0049558C" w:rsidRPr="0049558C">
              <w:rPr>
                <w:rFonts w:ascii="Times New Roman" w:eastAsia="Times New Roman" w:hAnsi="Times New Roman" w:cs="Times New Roman"/>
                <w:shd w:val="clear" w:color="auto" w:fill="FFFFFF"/>
              </w:rPr>
              <w:t>skysčio susikaupimas tarp akies gyslainės ir skleros</w:t>
            </w:r>
            <w:r w:rsidRPr="00937FA0">
              <w:rPr>
                <w:rFonts w:ascii="Times New Roman" w:eastAsia="Times New Roman" w:hAnsi="Times New Roman" w:cs="Times New Roman"/>
                <w:lang w:eastAsia="sl-SI"/>
              </w:rPr>
              <w:t>.</w:t>
            </w:r>
          </w:p>
        </w:tc>
      </w:tr>
      <w:tr w:rsidR="00937FA0" w:rsidRPr="00937FA0" w14:paraId="68C610E8" w14:textId="77777777" w:rsidTr="00A91329">
        <w:trPr>
          <w:tblCellSpacing w:w="0" w:type="dxa"/>
        </w:trPr>
        <w:tc>
          <w:tcPr>
            <w:tcW w:w="1667" w:type="pct"/>
          </w:tcPr>
          <w:p w14:paraId="266F370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Širdies sutrikimai</w:t>
            </w:r>
          </w:p>
        </w:tc>
        <w:tc>
          <w:tcPr>
            <w:tcW w:w="889" w:type="pct"/>
          </w:tcPr>
          <w:p w14:paraId="139F34E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5DBE4E1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Širdies aritmijos.</w:t>
            </w:r>
          </w:p>
        </w:tc>
      </w:tr>
      <w:tr w:rsidR="00937FA0" w:rsidRPr="00937FA0" w14:paraId="4DCEF193" w14:textId="77777777" w:rsidTr="00A91329">
        <w:trPr>
          <w:tblCellSpacing w:w="0" w:type="dxa"/>
        </w:trPr>
        <w:tc>
          <w:tcPr>
            <w:tcW w:w="1667" w:type="pct"/>
            <w:vMerge w:val="restart"/>
          </w:tcPr>
          <w:p w14:paraId="1183849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Kraujagyslių sutrikimai</w:t>
            </w:r>
          </w:p>
          <w:p w14:paraId="7D82C62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w:t>
            </w:r>
          </w:p>
        </w:tc>
        <w:tc>
          <w:tcPr>
            <w:tcW w:w="889" w:type="pct"/>
          </w:tcPr>
          <w:p w14:paraId="1CF7FD6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Nedažni</w:t>
            </w:r>
          </w:p>
        </w:tc>
        <w:tc>
          <w:tcPr>
            <w:tcW w:w="2444" w:type="pct"/>
          </w:tcPr>
          <w:p w14:paraId="70C1971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Ortostatinė hipotenzija.</w:t>
            </w:r>
          </w:p>
        </w:tc>
      </w:tr>
      <w:tr w:rsidR="00937FA0" w:rsidRPr="00937FA0" w14:paraId="35A7BC2D" w14:textId="77777777" w:rsidTr="00A91329">
        <w:trPr>
          <w:tblCellSpacing w:w="0" w:type="dxa"/>
        </w:trPr>
        <w:tc>
          <w:tcPr>
            <w:tcW w:w="1667" w:type="pct"/>
            <w:vMerge/>
          </w:tcPr>
          <w:p w14:paraId="17167D88"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54DA77D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5C33433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Nekrotizuojantis angitas (vaskulitas, odos vaskulitas).</w:t>
            </w:r>
          </w:p>
        </w:tc>
      </w:tr>
      <w:tr w:rsidR="00CB21E5" w:rsidRPr="00937FA0" w14:paraId="084FE68D" w14:textId="77777777" w:rsidTr="00A91329">
        <w:trPr>
          <w:tblCellSpacing w:w="0" w:type="dxa"/>
        </w:trPr>
        <w:tc>
          <w:tcPr>
            <w:tcW w:w="1667" w:type="pct"/>
            <w:vMerge w:val="restart"/>
          </w:tcPr>
          <w:p w14:paraId="7EEAE096" w14:textId="77777777" w:rsidR="00CB21E5" w:rsidRPr="00937FA0" w:rsidRDefault="00CB21E5"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sistemos, krūtinės ląstos ir tarpuplaučio sutrikimai</w:t>
            </w:r>
          </w:p>
        </w:tc>
        <w:tc>
          <w:tcPr>
            <w:tcW w:w="889" w:type="pct"/>
          </w:tcPr>
          <w:p w14:paraId="13B6DD52" w14:textId="77777777" w:rsidR="00CB21E5" w:rsidRPr="00937FA0" w:rsidRDefault="00CB21E5"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69554BF5" w14:textId="77777777" w:rsidR="00CB21E5" w:rsidRPr="00937FA0" w:rsidRDefault="00CB21E5"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sutrikimas (įskaitant pneumonitą ir plaučių edemą).</w:t>
            </w:r>
          </w:p>
        </w:tc>
      </w:tr>
      <w:tr w:rsidR="00CB21E5" w:rsidRPr="00937FA0" w14:paraId="057BCEDA" w14:textId="77777777" w:rsidTr="00A91329">
        <w:trPr>
          <w:tblCellSpacing w:w="0" w:type="dxa"/>
        </w:trPr>
        <w:tc>
          <w:tcPr>
            <w:tcW w:w="1667" w:type="pct"/>
            <w:vMerge/>
          </w:tcPr>
          <w:p w14:paraId="7C4C5BF4" w14:textId="77777777" w:rsidR="00CB21E5" w:rsidRPr="00937FA0" w:rsidRDefault="00CB21E5" w:rsidP="00937FA0">
            <w:pPr>
              <w:widowControl w:val="0"/>
              <w:ind w:left="0" w:firstLine="0"/>
              <w:rPr>
                <w:rFonts w:ascii="Times New Roman" w:eastAsia="Times New Roman" w:hAnsi="Times New Roman" w:cs="Times New Roman"/>
                <w:lang w:eastAsia="sl-SI"/>
              </w:rPr>
            </w:pPr>
          </w:p>
        </w:tc>
        <w:tc>
          <w:tcPr>
            <w:tcW w:w="889" w:type="pct"/>
          </w:tcPr>
          <w:p w14:paraId="18708A57" w14:textId="77777777" w:rsidR="00CB21E5" w:rsidRPr="00937FA0" w:rsidRDefault="00CB21E5" w:rsidP="00937FA0">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Labai reti</w:t>
            </w:r>
          </w:p>
        </w:tc>
        <w:tc>
          <w:tcPr>
            <w:tcW w:w="2444" w:type="pct"/>
          </w:tcPr>
          <w:p w14:paraId="3077F842" w14:textId="77777777" w:rsidR="00CB21E5" w:rsidRPr="00937FA0" w:rsidRDefault="00CB21E5" w:rsidP="00CB21E5">
            <w:pPr>
              <w:widowControl w:val="0"/>
              <w:ind w:left="0" w:firstLine="0"/>
              <w:rPr>
                <w:rFonts w:ascii="Times New Roman" w:eastAsia="Times New Roman" w:hAnsi="Times New Roman" w:cs="Times New Roman"/>
                <w:lang w:eastAsia="sl-SI"/>
              </w:rPr>
            </w:pPr>
            <w:r w:rsidRPr="00CB21E5">
              <w:rPr>
                <w:rFonts w:ascii="Times New Roman" w:eastAsia="Times New Roman" w:hAnsi="Times New Roman" w:cs="Times New Roman"/>
                <w:lang w:eastAsia="sl-SI"/>
              </w:rPr>
              <w:t>Ūminis kvėpavimo sutrikimo sindromas (ŪKSS) (žr. 4.4</w:t>
            </w:r>
            <w:r>
              <w:rPr>
                <w:rFonts w:ascii="Times New Roman" w:eastAsia="Times New Roman" w:hAnsi="Times New Roman" w:cs="Times New Roman"/>
                <w:lang w:eastAsia="sl-SI"/>
              </w:rPr>
              <w:t> </w:t>
            </w:r>
            <w:r w:rsidRPr="00CB21E5">
              <w:rPr>
                <w:rFonts w:ascii="Times New Roman" w:eastAsia="Times New Roman" w:hAnsi="Times New Roman" w:cs="Times New Roman"/>
                <w:lang w:eastAsia="sl-SI"/>
              </w:rPr>
              <w:t>skyrių)</w:t>
            </w:r>
            <w:r>
              <w:rPr>
                <w:rFonts w:ascii="Times New Roman" w:eastAsia="Times New Roman" w:hAnsi="Times New Roman" w:cs="Times New Roman"/>
                <w:lang w:eastAsia="sl-SI"/>
              </w:rPr>
              <w:t>.</w:t>
            </w:r>
          </w:p>
        </w:tc>
      </w:tr>
      <w:tr w:rsidR="00937FA0" w:rsidRPr="00937FA0" w14:paraId="79EE1531" w14:textId="77777777" w:rsidTr="00A91329">
        <w:trPr>
          <w:tblCellSpacing w:w="0" w:type="dxa"/>
        </w:trPr>
        <w:tc>
          <w:tcPr>
            <w:tcW w:w="1667" w:type="pct"/>
            <w:vMerge w:val="restart"/>
          </w:tcPr>
          <w:p w14:paraId="79BB309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Virškinimo trakto sutrikimai</w:t>
            </w:r>
          </w:p>
          <w:p w14:paraId="1D45432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w:t>
            </w:r>
          </w:p>
        </w:tc>
        <w:tc>
          <w:tcPr>
            <w:tcW w:w="889" w:type="pct"/>
          </w:tcPr>
          <w:p w14:paraId="052D8DD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Nedažni</w:t>
            </w:r>
          </w:p>
        </w:tc>
        <w:tc>
          <w:tcPr>
            <w:tcW w:w="2444" w:type="pct"/>
          </w:tcPr>
          <w:p w14:paraId="3FA6B80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Anoreksija, apetito nebuvimas, skrandžio dirginimas, viduriavimas, vidurių užkietėjimas.</w:t>
            </w:r>
          </w:p>
        </w:tc>
      </w:tr>
      <w:tr w:rsidR="00937FA0" w:rsidRPr="00937FA0" w14:paraId="716B8B83" w14:textId="77777777" w:rsidTr="00A91329">
        <w:trPr>
          <w:tblCellSpacing w:w="0" w:type="dxa"/>
        </w:trPr>
        <w:tc>
          <w:tcPr>
            <w:tcW w:w="1667" w:type="pct"/>
            <w:vMerge/>
          </w:tcPr>
          <w:p w14:paraId="3DAFEB4B"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20E264B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283E19A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Pankreatitas.</w:t>
            </w:r>
          </w:p>
        </w:tc>
      </w:tr>
      <w:tr w:rsidR="00937FA0" w:rsidRPr="00937FA0" w14:paraId="38824CB6" w14:textId="77777777" w:rsidTr="00A91329">
        <w:trPr>
          <w:tblCellSpacing w:w="0" w:type="dxa"/>
        </w:trPr>
        <w:tc>
          <w:tcPr>
            <w:tcW w:w="1667" w:type="pct"/>
          </w:tcPr>
          <w:p w14:paraId="45D40AF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Kepenų, tulžies pūslės ir latakų sutrikimai</w:t>
            </w:r>
          </w:p>
        </w:tc>
        <w:tc>
          <w:tcPr>
            <w:tcW w:w="889" w:type="pct"/>
          </w:tcPr>
          <w:p w14:paraId="72B6630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5A02CD1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Gelta (intrahepatinė cholestazinė gelta).</w:t>
            </w:r>
          </w:p>
        </w:tc>
      </w:tr>
      <w:tr w:rsidR="00937FA0" w:rsidRPr="00937FA0" w14:paraId="2D68810C" w14:textId="77777777" w:rsidTr="00A91329">
        <w:trPr>
          <w:tblCellSpacing w:w="0" w:type="dxa"/>
        </w:trPr>
        <w:tc>
          <w:tcPr>
            <w:tcW w:w="1667" w:type="pct"/>
            <w:vMerge w:val="restart"/>
          </w:tcPr>
          <w:p w14:paraId="79C5B0C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Odos ir poodinio audinio sutrikimai</w:t>
            </w:r>
          </w:p>
        </w:tc>
        <w:tc>
          <w:tcPr>
            <w:tcW w:w="889" w:type="pct"/>
          </w:tcPr>
          <w:p w14:paraId="301C2AF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Nedažni</w:t>
            </w:r>
          </w:p>
        </w:tc>
        <w:tc>
          <w:tcPr>
            <w:tcW w:w="2444" w:type="pct"/>
          </w:tcPr>
          <w:p w14:paraId="43A85F9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Išbėrimas, dilgėlinė, padidėjusio jautrumo šviesai reakcijos.</w:t>
            </w:r>
          </w:p>
        </w:tc>
      </w:tr>
      <w:tr w:rsidR="00937FA0" w:rsidRPr="00937FA0" w14:paraId="2BEFD0DE" w14:textId="77777777" w:rsidTr="00A91329">
        <w:trPr>
          <w:tblCellSpacing w:w="0" w:type="dxa"/>
        </w:trPr>
        <w:tc>
          <w:tcPr>
            <w:tcW w:w="1667" w:type="pct"/>
            <w:vMerge/>
          </w:tcPr>
          <w:p w14:paraId="1D2B64A1"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24C041F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7EAF738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Toksinė epidermio nekrolizė.</w:t>
            </w:r>
          </w:p>
        </w:tc>
      </w:tr>
      <w:tr w:rsidR="00937FA0" w:rsidRPr="00937FA0" w14:paraId="4F8314F6" w14:textId="77777777" w:rsidTr="00A91329">
        <w:trPr>
          <w:tblCellSpacing w:w="0" w:type="dxa"/>
        </w:trPr>
        <w:tc>
          <w:tcPr>
            <w:tcW w:w="1667" w:type="pct"/>
            <w:vMerge/>
          </w:tcPr>
          <w:p w14:paraId="2A2CB1C9"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0FAD3D6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Dažnis nežinomas</w:t>
            </w:r>
          </w:p>
        </w:tc>
        <w:tc>
          <w:tcPr>
            <w:tcW w:w="2444" w:type="pct"/>
          </w:tcPr>
          <w:p w14:paraId="0419093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Sisteminė raudonoji vilkligė, odos raudonoji vilkligė.</w:t>
            </w:r>
          </w:p>
        </w:tc>
      </w:tr>
      <w:tr w:rsidR="00937FA0" w:rsidRPr="00937FA0" w14:paraId="43AA8905" w14:textId="77777777" w:rsidTr="00A91329">
        <w:trPr>
          <w:tblCellSpacing w:w="0" w:type="dxa"/>
        </w:trPr>
        <w:tc>
          <w:tcPr>
            <w:tcW w:w="1667" w:type="pct"/>
          </w:tcPr>
          <w:p w14:paraId="72C811F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Skeleto, raumenų ir jungiamojo audinio sutrikimai</w:t>
            </w:r>
          </w:p>
        </w:tc>
        <w:tc>
          <w:tcPr>
            <w:tcW w:w="889" w:type="pct"/>
          </w:tcPr>
          <w:p w14:paraId="0066CA9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0277A96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Raumenų spazmas.</w:t>
            </w:r>
          </w:p>
        </w:tc>
      </w:tr>
      <w:tr w:rsidR="00937FA0" w:rsidRPr="00937FA0" w14:paraId="32E06274" w14:textId="77777777" w:rsidTr="00A91329">
        <w:trPr>
          <w:tblCellSpacing w:w="0" w:type="dxa"/>
        </w:trPr>
        <w:tc>
          <w:tcPr>
            <w:tcW w:w="1667" w:type="pct"/>
            <w:vMerge w:val="restart"/>
          </w:tcPr>
          <w:p w14:paraId="00575A4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Inkstų ir šlapimo takų sutrikimai</w:t>
            </w:r>
          </w:p>
          <w:p w14:paraId="322FF93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w:t>
            </w:r>
          </w:p>
        </w:tc>
        <w:tc>
          <w:tcPr>
            <w:tcW w:w="889" w:type="pct"/>
          </w:tcPr>
          <w:p w14:paraId="75778FA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w:t>
            </w:r>
          </w:p>
        </w:tc>
        <w:tc>
          <w:tcPr>
            <w:tcW w:w="2444" w:type="pct"/>
          </w:tcPr>
          <w:p w14:paraId="06CE495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Gliukozurija.</w:t>
            </w:r>
          </w:p>
        </w:tc>
      </w:tr>
      <w:tr w:rsidR="00937FA0" w:rsidRPr="00937FA0" w14:paraId="588C243F" w14:textId="77777777" w:rsidTr="00A91329">
        <w:trPr>
          <w:tblCellSpacing w:w="0" w:type="dxa"/>
        </w:trPr>
        <w:tc>
          <w:tcPr>
            <w:tcW w:w="1667" w:type="pct"/>
            <w:vMerge/>
          </w:tcPr>
          <w:p w14:paraId="652DB96E"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262FA12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0C45459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Inkstų funkcijos sutrikimas ir intersticinis nefritas.</w:t>
            </w:r>
          </w:p>
        </w:tc>
      </w:tr>
      <w:tr w:rsidR="00937FA0" w:rsidRPr="00937FA0" w14:paraId="45E6D44B" w14:textId="77777777" w:rsidTr="00A91329">
        <w:trPr>
          <w:tblCellSpacing w:w="0" w:type="dxa"/>
        </w:trPr>
        <w:tc>
          <w:tcPr>
            <w:tcW w:w="1667" w:type="pct"/>
            <w:vMerge w:val="restart"/>
          </w:tcPr>
          <w:p w14:paraId="1357760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Bendrieji sutrikimai ir vartojimo vietos pažeidimai</w:t>
            </w:r>
          </w:p>
        </w:tc>
        <w:tc>
          <w:tcPr>
            <w:tcW w:w="889" w:type="pct"/>
          </w:tcPr>
          <w:p w14:paraId="1D57CF0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w:t>
            </w:r>
          </w:p>
        </w:tc>
        <w:tc>
          <w:tcPr>
            <w:tcW w:w="2444" w:type="pct"/>
          </w:tcPr>
          <w:p w14:paraId="4CADE2E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Silpnumas.</w:t>
            </w:r>
          </w:p>
        </w:tc>
      </w:tr>
      <w:tr w:rsidR="00937FA0" w:rsidRPr="00937FA0" w14:paraId="3D616BC0" w14:textId="77777777" w:rsidTr="00A91329">
        <w:trPr>
          <w:tblCellSpacing w:w="0" w:type="dxa"/>
        </w:trPr>
        <w:tc>
          <w:tcPr>
            <w:tcW w:w="1667" w:type="pct"/>
            <w:vMerge/>
            <w:vAlign w:val="center"/>
          </w:tcPr>
          <w:p w14:paraId="436B1E4F"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7F76871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0129D87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Karščiavimas.</w:t>
            </w:r>
          </w:p>
        </w:tc>
      </w:tr>
      <w:tr w:rsidR="00937FA0" w:rsidRPr="00937FA0" w14:paraId="581DE597" w14:textId="77777777" w:rsidTr="00A91329">
        <w:trPr>
          <w:tblCellSpacing w:w="0" w:type="dxa"/>
        </w:trPr>
        <w:tc>
          <w:tcPr>
            <w:tcW w:w="1667" w:type="pct"/>
            <w:vMerge w:val="restart"/>
          </w:tcPr>
          <w:p w14:paraId="5D6F728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Tyrimai</w:t>
            </w:r>
          </w:p>
          <w:p w14:paraId="178978D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w:t>
            </w:r>
          </w:p>
        </w:tc>
        <w:tc>
          <w:tcPr>
            <w:tcW w:w="889" w:type="pct"/>
          </w:tcPr>
          <w:p w14:paraId="0FECA04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Dažni </w:t>
            </w:r>
          </w:p>
        </w:tc>
        <w:tc>
          <w:tcPr>
            <w:tcW w:w="2444" w:type="pct"/>
          </w:tcPr>
          <w:p w14:paraId="03CC852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Cholesterolio ir trigliceridų koncentracijos padidėjimas.</w:t>
            </w:r>
          </w:p>
        </w:tc>
      </w:tr>
      <w:tr w:rsidR="00937FA0" w:rsidRPr="00937FA0" w14:paraId="19699D2D" w14:textId="77777777" w:rsidTr="00A91329">
        <w:trPr>
          <w:tblCellSpacing w:w="0" w:type="dxa"/>
        </w:trPr>
        <w:tc>
          <w:tcPr>
            <w:tcW w:w="1667" w:type="pct"/>
            <w:vMerge/>
          </w:tcPr>
          <w:p w14:paraId="0DFDAE52" w14:textId="77777777" w:rsidR="00937FA0" w:rsidRPr="00937FA0" w:rsidRDefault="00937FA0" w:rsidP="00937FA0">
            <w:pPr>
              <w:widowControl w:val="0"/>
              <w:ind w:left="0" w:firstLine="0"/>
              <w:rPr>
                <w:rFonts w:ascii="Times New Roman" w:eastAsia="Times New Roman" w:hAnsi="Times New Roman" w:cs="Times New Roman"/>
                <w:lang w:eastAsia="sl-SI"/>
              </w:rPr>
            </w:pPr>
          </w:p>
        </w:tc>
        <w:tc>
          <w:tcPr>
            <w:tcW w:w="889" w:type="pct"/>
          </w:tcPr>
          <w:p w14:paraId="581538C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Reti </w:t>
            </w:r>
          </w:p>
        </w:tc>
        <w:tc>
          <w:tcPr>
            <w:tcW w:w="2444" w:type="pct"/>
          </w:tcPr>
          <w:p w14:paraId="41313FC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 šlapalo azoto padaugėjimas ir kreatinino koncentracijos kraujo serume padidėjimas.</w:t>
            </w:r>
          </w:p>
        </w:tc>
      </w:tr>
    </w:tbl>
    <w:p w14:paraId="03BF8AF0" w14:textId="4883E09F" w:rsidR="00937FA0" w:rsidRPr="00416E34" w:rsidRDefault="00937FA0" w:rsidP="00E30DF8">
      <w:pPr>
        <w:widowControl w:val="0"/>
        <w:tabs>
          <w:tab w:val="left" w:pos="567"/>
        </w:tabs>
        <w:ind w:left="142" w:hanging="142"/>
        <w:jc w:val="both"/>
        <w:outlineLvl w:val="3"/>
        <w:rPr>
          <w:rFonts w:ascii="Times New Roman" w:hAnsi="Times New Roman" w:cs="Times New Roman"/>
          <w:u w:val="single"/>
        </w:rPr>
      </w:pPr>
      <w:proofErr w:type="gramStart"/>
      <w:r w:rsidRPr="00416E34">
        <w:rPr>
          <w:rFonts w:ascii="Times New Roman" w:hAnsi="Times New Roman" w:cs="Times New Roman"/>
          <w:vertAlign w:val="superscript"/>
          <w:lang w:val="en-GB"/>
        </w:rPr>
        <w:t>1</w:t>
      </w:r>
      <w:proofErr w:type="gramEnd"/>
      <w:r>
        <w:rPr>
          <w:rFonts w:ascii="Times New Roman" w:hAnsi="Times New Roman" w:cs="Times New Roman"/>
          <w:lang w:val="en-GB"/>
        </w:rPr>
        <w:t xml:space="preserve"> </w:t>
      </w:r>
      <w:r w:rsidRPr="00416E34">
        <w:rPr>
          <w:rFonts w:ascii="Times New Roman" w:hAnsi="Times New Roman" w:cs="Times New Roman"/>
        </w:rPr>
        <w:t>Nemelanominis odos vėžys</w:t>
      </w:r>
      <w:r w:rsidR="008A7145">
        <w:rPr>
          <w:rFonts w:ascii="Times New Roman" w:hAnsi="Times New Roman" w:cs="Times New Roman"/>
        </w:rPr>
        <w:t>.</w:t>
      </w:r>
      <w:r w:rsidR="008A7145" w:rsidRPr="00416E34">
        <w:rPr>
          <w:rFonts w:ascii="Times New Roman" w:hAnsi="Times New Roman" w:cs="Times New Roman"/>
        </w:rPr>
        <w:t xml:space="preserve"> </w:t>
      </w:r>
      <w:r w:rsidRPr="00C84C64">
        <w:rPr>
          <w:rFonts w:ascii="Times New Roman" w:hAnsi="Times New Roman" w:cs="Times New Roman"/>
        </w:rPr>
        <w:t>Remiantis</w:t>
      </w:r>
      <w:r w:rsidRPr="00F71EEE">
        <w:rPr>
          <w:rFonts w:ascii="Times New Roman" w:hAnsi="Times New Roman" w:cs="Times New Roman"/>
        </w:rPr>
        <w:t xml:space="preserve"> turimais epidemiologinių tyrimų duomenimis buvo nustatyta nuo kumuliacinės dozės priklausoma HCTZ sąsaja su NOV (taip pat žr. 4.4 ir 5.1</w:t>
      </w:r>
      <w:r w:rsidR="0077497E">
        <w:rPr>
          <w:rFonts w:ascii="Times New Roman" w:hAnsi="Times New Roman" w:cs="Times New Roman"/>
        </w:rPr>
        <w:t> </w:t>
      </w:r>
      <w:r w:rsidRPr="00F71EEE">
        <w:rPr>
          <w:rFonts w:ascii="Times New Roman" w:hAnsi="Times New Roman" w:cs="Times New Roman"/>
        </w:rPr>
        <w:t>skyrius).</w:t>
      </w:r>
    </w:p>
    <w:p w14:paraId="6641C684" w14:textId="77777777" w:rsidR="00937FA0" w:rsidRPr="00937FA0" w:rsidRDefault="00937FA0" w:rsidP="00937FA0">
      <w:pPr>
        <w:widowControl w:val="0"/>
        <w:tabs>
          <w:tab w:val="left" w:pos="567"/>
        </w:tabs>
        <w:autoSpaceDE w:val="0"/>
        <w:autoSpaceDN w:val="0"/>
        <w:adjustRightInd w:val="0"/>
        <w:ind w:left="0" w:firstLine="0"/>
        <w:jc w:val="both"/>
        <w:rPr>
          <w:rFonts w:ascii="Times New Roman" w:eastAsia="Times New Roman" w:hAnsi="Times New Roman" w:cs="Times New Roman"/>
          <w:snapToGrid w:val="0"/>
          <w:u w:val="single"/>
          <w:lang w:eastAsia="sl-SI"/>
        </w:rPr>
      </w:pPr>
    </w:p>
    <w:p w14:paraId="0469B20A" w14:textId="77777777" w:rsidR="00937FA0" w:rsidRPr="00937FA0" w:rsidRDefault="00937FA0" w:rsidP="00937FA0">
      <w:pPr>
        <w:widowControl w:val="0"/>
        <w:tabs>
          <w:tab w:val="left" w:pos="567"/>
        </w:tabs>
        <w:autoSpaceDE w:val="0"/>
        <w:autoSpaceDN w:val="0"/>
        <w:adjustRightInd w:val="0"/>
        <w:ind w:left="0" w:firstLine="0"/>
        <w:jc w:val="both"/>
        <w:rPr>
          <w:rFonts w:ascii="Times New Roman" w:eastAsia="Times New Roman" w:hAnsi="Times New Roman" w:cs="Times New Roman"/>
          <w:snapToGrid w:val="0"/>
          <w:u w:val="single"/>
          <w:lang w:eastAsia="sl-SI"/>
        </w:rPr>
      </w:pPr>
      <w:r w:rsidRPr="00937FA0">
        <w:rPr>
          <w:rFonts w:ascii="Times New Roman" w:eastAsia="Times New Roman" w:hAnsi="Times New Roman" w:cs="Times New Roman"/>
          <w:snapToGrid w:val="0"/>
          <w:u w:val="single"/>
          <w:lang w:eastAsia="sl-SI"/>
        </w:rPr>
        <w:t>Pranešimas apie įtariamas nepageidaujamas reakcijas</w:t>
      </w:r>
    </w:p>
    <w:p w14:paraId="65DFD550" w14:textId="77777777" w:rsidR="00686F86" w:rsidRDefault="00686F86" w:rsidP="00E30DF8">
      <w:pPr>
        <w:widowControl w:val="0"/>
        <w:ind w:left="0" w:firstLine="0"/>
        <w:rPr>
          <w:rFonts w:ascii="Times New Roman" w:eastAsia="Times New Roman" w:hAnsi="Times New Roman" w:cs="Times New Roman"/>
          <w:snapToGrid w:val="0"/>
          <w:lang w:eastAsia="sl-SI"/>
        </w:rPr>
      </w:pPr>
      <w:r w:rsidRPr="00686F86">
        <w:rPr>
          <w:rFonts w:ascii="Times New Roman" w:eastAsia="Times New Roman" w:hAnsi="Times New Roman" w:cs="Times New Roman"/>
          <w:snapToGrid w:val="0"/>
          <w:lang w:eastAsia="sl-SI"/>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8" w:history="1">
        <w:r w:rsidRPr="00806B3B">
          <w:rPr>
            <w:rStyle w:val="Hipersaitas"/>
            <w:rFonts w:eastAsia="Times New Roman" w:cs="Times New Roman"/>
            <w:snapToGrid w:val="0"/>
            <w:sz w:val="22"/>
            <w:szCs w:val="22"/>
            <w:lang w:val="lt-LT" w:eastAsia="sl-SI"/>
          </w:rPr>
          <w:t>NepageidaujamaR@vvkt.lt</w:t>
        </w:r>
      </w:hyperlink>
      <w:r w:rsidRPr="00686F86">
        <w:rPr>
          <w:rFonts w:ascii="Times New Roman" w:eastAsia="Times New Roman" w:hAnsi="Times New Roman" w:cs="Times New Roman"/>
          <w:snapToGrid w:val="0"/>
          <w:lang w:eastAsia="sl-SI"/>
        </w:rPr>
        <w:t>).</w:t>
      </w:r>
    </w:p>
    <w:p w14:paraId="501FCF3B" w14:textId="77777777" w:rsidR="00407503" w:rsidRPr="00937FA0" w:rsidRDefault="00407503" w:rsidP="00937FA0">
      <w:pPr>
        <w:widowControl w:val="0"/>
        <w:rPr>
          <w:rFonts w:ascii="Times New Roman" w:eastAsia="Times New Roman" w:hAnsi="Times New Roman" w:cs="Times New Roman"/>
          <w:lang w:eastAsia="sl-SI"/>
        </w:rPr>
      </w:pPr>
    </w:p>
    <w:p w14:paraId="6F5DD80F"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4.9</w:t>
      </w:r>
      <w:r w:rsidRPr="00937FA0">
        <w:rPr>
          <w:rFonts w:ascii="Times New Roman" w:eastAsia="Times New Roman" w:hAnsi="Times New Roman" w:cs="Times New Roman"/>
          <w:b/>
          <w:lang w:eastAsia="sl-SI"/>
        </w:rPr>
        <w:tab/>
        <w:t>Perdozavimas</w:t>
      </w:r>
    </w:p>
    <w:p w14:paraId="7E36982E" w14:textId="77777777" w:rsidR="00937FA0" w:rsidRPr="00937FA0" w:rsidRDefault="00937FA0" w:rsidP="00937FA0">
      <w:pPr>
        <w:widowControl w:val="0"/>
        <w:rPr>
          <w:rFonts w:ascii="Times New Roman" w:eastAsia="Times New Roman" w:hAnsi="Times New Roman" w:cs="Times New Roman"/>
          <w:lang w:eastAsia="sl-SI"/>
        </w:rPr>
      </w:pPr>
    </w:p>
    <w:p w14:paraId="0F7909BC"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Simptomai</w:t>
      </w:r>
    </w:p>
    <w:p w14:paraId="31772FD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Atsižvelgiant į farmakologinį veikimą, pagrindiniai kandesartano cileksetilo perdozavimo sukelti reiškiniai turėtų būti simptominė hipotenzija ir svaigulys. Gauta pavienių pranešimų apie perdozavimo atvejus (iki 672 mg kandesartano cileksetilo), kai pacientai pasveiko be pasekmių.</w:t>
      </w:r>
    </w:p>
    <w:p w14:paraId="4473FE7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0F5D22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Pagrindiniai hidrochlorotiazido perdozavimo sukelti reiškiniai yra staigus skysčių ir elektrolitų netekimas. Be to, gali pasireikšti tokie simptomai: svaigulys, hipotenzija, troškulys, tachikardija, skilvelinės aritmijos, sedacija ar sąmonės pritemimas ir raumenų mėšlungis.</w:t>
      </w:r>
    </w:p>
    <w:p w14:paraId="618C017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32180F5" w14:textId="77777777" w:rsidR="00937FA0" w:rsidRPr="00937FA0" w:rsidRDefault="00937FA0" w:rsidP="00937FA0">
      <w:pPr>
        <w:widowControl w:val="0"/>
        <w:ind w:left="0" w:firstLine="0"/>
        <w:rPr>
          <w:rFonts w:ascii="Times New Roman" w:eastAsia="Times New Roman" w:hAnsi="Times New Roman" w:cs="Times New Roman"/>
          <w:iCs/>
          <w:u w:val="single"/>
          <w:lang w:eastAsia="sl-SI"/>
        </w:rPr>
      </w:pPr>
      <w:r w:rsidRPr="00937FA0">
        <w:rPr>
          <w:rFonts w:ascii="Times New Roman" w:eastAsia="Times New Roman" w:hAnsi="Times New Roman" w:cs="Times New Roman"/>
          <w:iCs/>
          <w:u w:val="single"/>
          <w:lang w:eastAsia="sl-SI"/>
        </w:rPr>
        <w:t>Gydymas</w:t>
      </w:r>
    </w:p>
    <w:p w14:paraId="475D167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Specialios informacijos apie Canocombi perdozavimo gydymą nėra. Vis dėlto perdozavimo atveju rekomenduojama taikyti toliau išvardytas priemones.</w:t>
      </w:r>
    </w:p>
    <w:p w14:paraId="59339671"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B1F444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yra indikacijų, reikia apgalvotai sužadinti vėmimą arba išplauti skrandį. Jeigu pasireiškia simptominė hipotenzija, reikia pradėti simptominį gydymą ir stebėti gyvybinius požymius. Pacientą reikia paguldyti ant nugaros su pakeltomis kojomis. Jeigu to nepakanka, reikia didinti plazmos tūrį infuzijos būdu suleidžiant fiziologinio tirpalo. Reikia stebėti elektrolitų ir rūgščių pusiausvyrą kraujo </w:t>
      </w:r>
      <w:r w:rsidRPr="00937FA0">
        <w:rPr>
          <w:rFonts w:ascii="Times New Roman" w:eastAsia="Times New Roman" w:hAnsi="Times New Roman" w:cs="Times New Roman"/>
          <w:lang w:eastAsia="sl-SI"/>
        </w:rPr>
        <w:lastRenderedPageBreak/>
        <w:t>serume ir, jeigu reikia, koreguoti. Jeigu išvardytų priemonių nepakanka, galima skirti simpatomimetinių vaistinių preparatų.</w:t>
      </w:r>
    </w:p>
    <w:p w14:paraId="698ACF0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D350FB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Kandesartanas hemodializės metu iš organizmo nepašalinamas. Kokia dalis hidrochlorotiazido pašalinama iš organizmo hemodializės metu, nežinoma.</w:t>
      </w:r>
    </w:p>
    <w:p w14:paraId="47A8C6F5"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0E578ED" w14:textId="77777777" w:rsidR="00937FA0" w:rsidRPr="00937FA0" w:rsidRDefault="00937FA0" w:rsidP="00937FA0">
      <w:pPr>
        <w:widowControl w:val="0"/>
        <w:rPr>
          <w:rFonts w:ascii="Times New Roman" w:eastAsia="Times New Roman" w:hAnsi="Times New Roman" w:cs="Times New Roman"/>
          <w:lang w:eastAsia="sl-SI"/>
        </w:rPr>
      </w:pPr>
    </w:p>
    <w:p w14:paraId="6E5CE05B" w14:textId="77777777" w:rsidR="00937FA0" w:rsidRPr="00937FA0" w:rsidRDefault="00937FA0" w:rsidP="00937FA0">
      <w:pPr>
        <w:widowControl w:val="0"/>
        <w:tabs>
          <w:tab w:val="left" w:pos="567"/>
        </w:tabs>
        <w:ind w:left="0" w:firstLine="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5.</w:t>
      </w:r>
      <w:r w:rsidRPr="00937FA0">
        <w:rPr>
          <w:rFonts w:ascii="Times New Roman" w:eastAsia="Times New Roman" w:hAnsi="Times New Roman" w:cs="Times New Roman"/>
          <w:b/>
          <w:caps/>
          <w:lang w:eastAsia="sl-SI"/>
        </w:rPr>
        <w:tab/>
      </w:r>
      <w:r w:rsidRPr="00937FA0">
        <w:rPr>
          <w:rFonts w:ascii="Times New Roman" w:eastAsia="Times New Roman" w:hAnsi="Times New Roman" w:cs="Times New Roman"/>
          <w:b/>
          <w:lang w:eastAsia="sl-SI"/>
        </w:rPr>
        <w:t xml:space="preserve">FARMAKOLOGINĖS </w:t>
      </w:r>
      <w:r w:rsidRPr="00937FA0">
        <w:rPr>
          <w:rFonts w:ascii="Times New Roman" w:eastAsia="Times New Roman" w:hAnsi="Times New Roman" w:cs="Times New Roman"/>
          <w:b/>
          <w:caps/>
          <w:lang w:eastAsia="sl-SI"/>
        </w:rPr>
        <w:t>savybės</w:t>
      </w:r>
    </w:p>
    <w:p w14:paraId="7C17EF1A"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3D3CB5F3" w14:textId="77777777" w:rsidR="00937FA0" w:rsidRPr="00937FA0" w:rsidRDefault="00937FA0" w:rsidP="00937FA0">
      <w:pPr>
        <w:widowControl w:val="0"/>
        <w:tabs>
          <w:tab w:val="left" w:pos="567"/>
        </w:tabs>
        <w:ind w:left="0" w:firstLine="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5.1</w:t>
      </w:r>
      <w:r w:rsidRPr="00937FA0">
        <w:rPr>
          <w:rFonts w:ascii="Times New Roman" w:eastAsia="Times New Roman" w:hAnsi="Times New Roman" w:cs="Times New Roman"/>
          <w:b/>
          <w:bCs/>
          <w:lang w:eastAsia="sl-SI"/>
        </w:rPr>
        <w:tab/>
        <w:t>Farmakodinaminės savybės</w:t>
      </w:r>
    </w:p>
    <w:p w14:paraId="5D1D0EB5"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3ECA110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Farmakoterapinė grupė: renino ir angiotenzino sistemą veikiantys vaistiniai preparatai, angiotenzino II receptorių blokatoriai ir diuretikai, ATC kodas: C09DA06.</w:t>
      </w:r>
    </w:p>
    <w:p w14:paraId="68FBA96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99FDF25" w14:textId="77777777" w:rsidR="00937FA0" w:rsidRPr="00E33F2E" w:rsidRDefault="00937FA0" w:rsidP="00937FA0">
      <w:pPr>
        <w:widowControl w:val="0"/>
        <w:ind w:left="0" w:firstLine="0"/>
        <w:rPr>
          <w:rFonts w:ascii="Times New Roman" w:eastAsia="Times New Roman" w:hAnsi="Times New Roman" w:cs="Times New Roman"/>
          <w:u w:val="single"/>
          <w:lang w:eastAsia="sl-SI"/>
        </w:rPr>
      </w:pPr>
      <w:r w:rsidRPr="00E33F2E">
        <w:rPr>
          <w:rFonts w:ascii="Times New Roman" w:eastAsia="Times New Roman" w:hAnsi="Times New Roman" w:cs="Times New Roman"/>
          <w:u w:val="single"/>
          <w:lang w:eastAsia="sl-SI"/>
        </w:rPr>
        <w:t>Veikimo mechanizmas</w:t>
      </w:r>
    </w:p>
    <w:p w14:paraId="25403D6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Angiotenzinas II yra svarbiausias kraujagysles veikiantis renino, angiotenzino ir aldosterono sistemos hormonas, kuris yra svarbus hipertenzijos ir kitų širdies bei kraujagyslių ligų patologinei fiziologijai. Be to, jis svarbus pažeidžiamų organų hipertrofijos ir galutinės organo pažaidos patogenezei. Svarbiausias fiziologinis angiotenzino II poveikis yra: kraujagyslių susiaurėjimas, aldosterono stimuliavimas, druskos ir vandens homeostazės reguliavimas ir ląstelių augimo stimuliavimas, veikiant 1 tipo (AT1) receptorius.</w:t>
      </w:r>
    </w:p>
    <w:p w14:paraId="2C812DC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2C6FBF1" w14:textId="77777777" w:rsidR="00937FA0" w:rsidRPr="00E33F2E" w:rsidRDefault="00937FA0" w:rsidP="00937FA0">
      <w:pPr>
        <w:widowControl w:val="0"/>
        <w:ind w:left="0" w:firstLine="0"/>
        <w:rPr>
          <w:rFonts w:ascii="Times New Roman" w:eastAsia="Times New Roman" w:hAnsi="Times New Roman" w:cs="Times New Roman"/>
          <w:u w:val="single"/>
          <w:lang w:eastAsia="sl-SI"/>
        </w:rPr>
      </w:pPr>
      <w:r w:rsidRPr="00E33F2E">
        <w:rPr>
          <w:rFonts w:ascii="Times New Roman" w:eastAsia="Times New Roman" w:hAnsi="Times New Roman" w:cs="Times New Roman"/>
          <w:u w:val="single"/>
          <w:lang w:eastAsia="sl-SI"/>
        </w:rPr>
        <w:t>Farmakodinaminis poveikis</w:t>
      </w:r>
    </w:p>
    <w:p w14:paraId="56BC510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Kandesartano cileksetilas yra provaistas, kuris vykstant esterio hidrolizei absorbcijos iš virškinimo trakto metu, greitai verčiamas veikliąja medžiaga kandesartanu. Kandesartanas yra angiotenzino II receptorių blokatorius, selektyviai veikiantis AT1 receptorius, stipriai prisijungiantis prie šių receptorių ir lėtai nuo jų atsipalaiduojantis. Agonistinis aktyvumas jam nebūdingas.</w:t>
      </w:r>
    </w:p>
    <w:p w14:paraId="117D326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B03E12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Kandesartanas neveikia AKF ar kitų fermentų sistemų, kurios įprastai siejamos su AKF inhibitorių vartojimu. Kandesartanas neturi įtakos kininų suirimui ar kitų medžiagų, pavyzdžiui, substancijos P, metabolizmui, taigi nesitikima, kad AIIRB būtų susiję su kosuliu. Kontroliuojamųjų klinikinių tyrimų, kurių metu kandesartano cileksetilas buvo palygintas su AKF inhibitoriais, duomenimis, kandesartano cileksetilą vartojusiems pacientams kosulys pasireiškė rečiau. Kandesartanas neprisijungia ir neblokuoja hormonų receptorių ar jonų kanalų, kurie yra svarbūs širdies ir kraujagyslių veiklos reguliacijai. Dėl angiotenzino AT</w:t>
      </w:r>
      <w:r w:rsidRPr="00937FA0">
        <w:rPr>
          <w:rFonts w:ascii="Times New Roman" w:eastAsia="Times New Roman" w:hAnsi="Times New Roman" w:cs="Times New Roman"/>
          <w:vertAlign w:val="subscript"/>
          <w:lang w:eastAsia="sl-SI"/>
        </w:rPr>
        <w:t>1</w:t>
      </w:r>
      <w:r w:rsidRPr="00937FA0">
        <w:rPr>
          <w:rFonts w:ascii="Times New Roman" w:eastAsia="Times New Roman" w:hAnsi="Times New Roman" w:cs="Times New Roman"/>
          <w:lang w:eastAsia="sl-SI"/>
        </w:rPr>
        <w:t xml:space="preserve"> receptorių blokados priklausomai nuo dozės padidėja renino, angiotenzino I ir angiotenzino II koncentracijos kraujo plazmoje bei sumažėja aldosterono koncentracija kraujo plazmoje.</w:t>
      </w:r>
    </w:p>
    <w:p w14:paraId="2EE25EE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D60934C" w14:textId="77777777" w:rsidR="00937FA0" w:rsidRPr="00E33F2E" w:rsidRDefault="00937FA0" w:rsidP="00937FA0">
      <w:pPr>
        <w:widowControl w:val="0"/>
        <w:ind w:left="0" w:firstLine="0"/>
        <w:rPr>
          <w:rFonts w:ascii="Times New Roman" w:eastAsia="Times New Roman" w:hAnsi="Times New Roman" w:cs="Times New Roman"/>
          <w:u w:val="single"/>
          <w:lang w:eastAsia="sl-SI"/>
        </w:rPr>
      </w:pPr>
      <w:r w:rsidRPr="00E33F2E">
        <w:rPr>
          <w:rFonts w:ascii="Times New Roman" w:eastAsia="Times New Roman" w:hAnsi="Times New Roman" w:cs="Times New Roman"/>
          <w:u w:val="single"/>
          <w:lang w:eastAsia="sl-SI"/>
        </w:rPr>
        <w:t>Klinikinnis veiksmingumas ir saugumas</w:t>
      </w:r>
    </w:p>
    <w:p w14:paraId="3CFFA559" w14:textId="4093AA81"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Vieną kartą per parą vartojamos 8</w:t>
      </w:r>
      <w:r w:rsidRPr="00937FA0">
        <w:rPr>
          <w:rFonts w:ascii="Times New Roman" w:eastAsia="Times New Roman" w:hAnsi="Times New Roman" w:cs="Times New Roman"/>
          <w:lang w:eastAsia="sl-SI"/>
        </w:rPr>
        <w:noBreakHyphen/>
        <w:t>16 mg kandesartano cileksetilo dozės (vidutinė dozė 12 mg) įtaka kardiovaskuliniam sergamumui ir mirtingumui buvo įvertinta atsitiktinių imčių klinikiniu tyrimu, kurio metu 4 937 lengva ar vidutinio sunkumo hipertenzija sergantys senyvi pacientai (70</w:t>
      </w:r>
      <w:r w:rsidRPr="00937FA0">
        <w:rPr>
          <w:rFonts w:ascii="Times New Roman" w:eastAsia="Times New Roman" w:hAnsi="Times New Roman" w:cs="Times New Roman"/>
          <w:lang w:eastAsia="sl-SI"/>
        </w:rPr>
        <w:noBreakHyphen/>
        <w:t>89 metų, 21 % 80 metų ar vyresni) buvo stebimi vidutiniškai 3,7 metų (įvertinimo ir prognozės senyviems pacientams tyrimas). Pacientai vartojo kandesartaną arba placebą kartu su kitais antihipertenziniais vaistiniais preparatais, jeigu prireikė. Kraujospūdis kandesartano grupėje sumažėjo nuo 166/90 iki 145/80 mmHg, o kontrolinėje grupėje nuo 167/90 iki 149/82 mmHg. Statistiškai reikšmingo svarbiausios sunkių kardiovaskulinių reiškinių (kardiovaskulinio mirtingumo, nemirtino insulto ir nemirtino miokardo infarkto) vertinamosios baigties dažnio skirtumų nenustatyta. Kandesartano grupėje tokių reiškinių buvo 26,7 per 1000 paciento metų, o kontrolinėje grupėje 30,0 reiškinių per 1000 paciento metų (santykinė rizika 0,89, 95</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PI 0,75</w:t>
      </w:r>
      <w:r w:rsidRPr="00937FA0">
        <w:rPr>
          <w:rFonts w:ascii="Times New Roman" w:eastAsia="Times New Roman" w:hAnsi="Times New Roman" w:cs="Times New Roman"/>
          <w:lang w:eastAsia="sl-SI"/>
        </w:rPr>
        <w:noBreakHyphen/>
        <w:t>1,06, p = 0,19).</w:t>
      </w:r>
    </w:p>
    <w:p w14:paraId="36771FE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30F88D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slopina aktyvią natrio reabsorbciją daugiausiai distaliniuose inkstų kanalėliuose ir skatina natrio, chloro ir vandens šalinimą. Kalio ir magnio šalinimo per inkstus padidėjimas priklauso nuo dozės, o kalcio reabsorbcija padidėja. Hidrochlorotiazidas mažina plazmos tūrį ir ne ląstelėse esančio skysčio kiekį, mažina per minutę iš širdies išstumiamo kraujo kiekį ir kraujospūdį. Taikant ilgalaikį gydymą, prie kraujospūdžio sumažėjimo prisideda periferinio pasipriešinimo sumažėjimas.</w:t>
      </w:r>
    </w:p>
    <w:p w14:paraId="56020C4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79DEE0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Dideli klinikiniai tyrimai parodė, kad ilgalaikis gydymas hidrochlorotiazidu mažina kardiovaskulinio sergamumo ir mirtingumo riziką.</w:t>
      </w:r>
    </w:p>
    <w:p w14:paraId="70C0CA58" w14:textId="77777777" w:rsidR="00937FA0" w:rsidRDefault="00937FA0" w:rsidP="00937FA0">
      <w:pPr>
        <w:widowControl w:val="0"/>
        <w:ind w:left="0" w:firstLine="0"/>
        <w:rPr>
          <w:rFonts w:ascii="Times New Roman" w:eastAsia="Times New Roman" w:hAnsi="Times New Roman" w:cs="Times New Roman"/>
          <w:lang w:eastAsia="sl-SI"/>
        </w:rPr>
      </w:pPr>
    </w:p>
    <w:p w14:paraId="2F1F8955" w14:textId="77777777" w:rsidR="00A91329" w:rsidRPr="006E0DF3" w:rsidRDefault="00A91329" w:rsidP="00A91329">
      <w:pPr>
        <w:widowControl w:val="0"/>
        <w:numPr>
          <w:ilvl w:val="12"/>
          <w:numId w:val="0"/>
        </w:numPr>
        <w:tabs>
          <w:tab w:val="left" w:pos="567"/>
        </w:tabs>
        <w:ind w:right="-2"/>
        <w:rPr>
          <w:rFonts w:ascii="Times New Roman" w:hAnsi="Times New Roman" w:cs="Times New Roman"/>
          <w:u w:val="single"/>
        </w:rPr>
      </w:pPr>
      <w:r w:rsidRPr="006E0DF3">
        <w:rPr>
          <w:rFonts w:ascii="Times New Roman" w:hAnsi="Times New Roman" w:cs="Times New Roman"/>
          <w:u w:val="single"/>
        </w:rPr>
        <w:t>Nemelanominis odos vėžys</w:t>
      </w:r>
    </w:p>
    <w:p w14:paraId="67E442FD" w14:textId="4702D0C8" w:rsidR="00A91329" w:rsidRPr="006E0DF3" w:rsidRDefault="00A91329" w:rsidP="00A91329">
      <w:pPr>
        <w:widowControl w:val="0"/>
        <w:numPr>
          <w:ilvl w:val="12"/>
          <w:numId w:val="0"/>
        </w:numPr>
        <w:tabs>
          <w:tab w:val="left" w:pos="567"/>
        </w:tabs>
        <w:ind w:right="-2"/>
        <w:rPr>
          <w:rFonts w:ascii="Times New Roman" w:hAnsi="Times New Roman" w:cs="Times New Roman"/>
        </w:rPr>
      </w:pPr>
      <w:r w:rsidRPr="006E0DF3">
        <w:rPr>
          <w:rFonts w:ascii="Times New Roman" w:hAnsi="Times New Roman" w:cs="Times New Roman"/>
        </w:rPr>
        <w:t>Remiantis turimais epidemiologinių tyrimų duomenimis buvo nustatyta nuo kumuliacinės dozės priklausoma HCTZ sąsaja su NOV. Atliekant vieną tyrimą, buvo tiriama populiacija, sudaryta iš 71 533 BLK ir 8 629 PLK sergančių pacientų, kurie buvo lyginami su atitinkamai 1 430 833 ir 172 462 kontroliniais pacientais. Vartojant dideles HCTZ dozes (kumuliacinė dozė – ≥50</w:t>
      </w:r>
      <w:r w:rsidR="0077497E">
        <w:rPr>
          <w:rFonts w:ascii="Times New Roman" w:hAnsi="Times New Roman" w:cs="Times New Roman"/>
        </w:rPr>
        <w:t> </w:t>
      </w:r>
      <w:r w:rsidRPr="006E0DF3">
        <w:rPr>
          <w:rFonts w:ascii="Times New Roman" w:hAnsi="Times New Roman" w:cs="Times New Roman"/>
        </w:rPr>
        <w:t>000</w:t>
      </w:r>
      <w:r w:rsidR="0077497E">
        <w:rPr>
          <w:rFonts w:ascii="Times New Roman" w:hAnsi="Times New Roman" w:cs="Times New Roman"/>
        </w:rPr>
        <w:t> </w:t>
      </w:r>
      <w:r w:rsidRPr="006E0DF3">
        <w:rPr>
          <w:rFonts w:ascii="Times New Roman" w:hAnsi="Times New Roman" w:cs="Times New Roman"/>
        </w:rPr>
        <w:t>mg) koreguotas BLK rizikos santykis (RS) buvo 1,29 (95</w:t>
      </w:r>
      <w:r w:rsidR="0077497E">
        <w:rPr>
          <w:rFonts w:ascii="Times New Roman" w:hAnsi="Times New Roman" w:cs="Times New Roman"/>
        </w:rPr>
        <w:t> </w:t>
      </w:r>
      <w:r w:rsidRPr="006E0DF3">
        <w:rPr>
          <w:rFonts w:ascii="Times New Roman" w:hAnsi="Times New Roman" w:cs="Times New Roman"/>
        </w:rPr>
        <w:t>proc. PI: 1,23–1,35) ir PLK RS - 3,98 (95</w:t>
      </w:r>
      <w:r w:rsidR="0077497E">
        <w:rPr>
          <w:rFonts w:ascii="Times New Roman" w:hAnsi="Times New Roman" w:cs="Times New Roman"/>
        </w:rPr>
        <w:t> </w:t>
      </w:r>
      <w:r w:rsidRPr="006E0DF3">
        <w:rPr>
          <w:rFonts w:ascii="Times New Roman" w:hAnsi="Times New Roman" w:cs="Times New Roman"/>
        </w:rPr>
        <w:t>proc. PI: 3,68–4,31). Tiek BLK, tiek PLK atveju buvo nustatytas aiškus kumuliacinės dozės ir organizmo atsako ryšys. Atliekant kitą tyrimą, buvo nustatyta galima lūpos vėžio (PLK) ir HCTZ vartojimo sąsaja – taikant rizikos grupės imties sudarymo strategiją, 633 lūpos vėžiu sergančių pacientų buvo palyginti su 63 067 kontroliniais pacientais. Kumuliacinės dozės ir organizmo atsako ryšys buvo įrodytas nustačius koreguotą RS, kuris buvo 2,1 (95</w:t>
      </w:r>
      <w:r w:rsidR="0077497E">
        <w:rPr>
          <w:rFonts w:ascii="Times New Roman" w:hAnsi="Times New Roman" w:cs="Times New Roman"/>
        </w:rPr>
        <w:t> </w:t>
      </w:r>
      <w:r w:rsidRPr="006E0DF3">
        <w:rPr>
          <w:rFonts w:ascii="Times New Roman" w:hAnsi="Times New Roman" w:cs="Times New Roman"/>
        </w:rPr>
        <w:t>proc. PI: 1,7–2,6), RS padidėjo iki 3,9 (3,0-4,9) vartojant dideles vaistinio preparato dozes (~25</w:t>
      </w:r>
      <w:r w:rsidR="0077497E">
        <w:rPr>
          <w:rFonts w:ascii="Times New Roman" w:hAnsi="Times New Roman" w:cs="Times New Roman"/>
        </w:rPr>
        <w:t> </w:t>
      </w:r>
      <w:r w:rsidRPr="006E0DF3">
        <w:rPr>
          <w:rFonts w:ascii="Times New Roman" w:hAnsi="Times New Roman" w:cs="Times New Roman"/>
        </w:rPr>
        <w:t>000</w:t>
      </w:r>
      <w:r w:rsidR="0077497E">
        <w:rPr>
          <w:rFonts w:ascii="Times New Roman" w:hAnsi="Times New Roman" w:cs="Times New Roman"/>
        </w:rPr>
        <w:t> </w:t>
      </w:r>
      <w:r w:rsidRPr="006E0DF3">
        <w:rPr>
          <w:rFonts w:ascii="Times New Roman" w:hAnsi="Times New Roman" w:cs="Times New Roman"/>
        </w:rPr>
        <w:t>mg) ir iki 7,7 (5,7–10,5) esant didžiausiai kumuliacinei dozei (~100</w:t>
      </w:r>
      <w:r w:rsidR="0077497E">
        <w:rPr>
          <w:rFonts w:ascii="Times New Roman" w:hAnsi="Times New Roman" w:cs="Times New Roman"/>
        </w:rPr>
        <w:t> </w:t>
      </w:r>
      <w:r w:rsidRPr="006E0DF3">
        <w:rPr>
          <w:rFonts w:ascii="Times New Roman" w:hAnsi="Times New Roman" w:cs="Times New Roman"/>
        </w:rPr>
        <w:t>000</w:t>
      </w:r>
      <w:r w:rsidR="0077497E">
        <w:rPr>
          <w:rFonts w:ascii="Times New Roman" w:hAnsi="Times New Roman" w:cs="Times New Roman"/>
        </w:rPr>
        <w:t> </w:t>
      </w:r>
      <w:r w:rsidRPr="006E0DF3">
        <w:rPr>
          <w:rFonts w:ascii="Times New Roman" w:hAnsi="Times New Roman" w:cs="Times New Roman"/>
        </w:rPr>
        <w:t>mg) (taip pat žr. 4.4</w:t>
      </w:r>
      <w:r w:rsidR="0077497E">
        <w:rPr>
          <w:rFonts w:ascii="Times New Roman" w:hAnsi="Times New Roman" w:cs="Times New Roman"/>
        </w:rPr>
        <w:t> </w:t>
      </w:r>
      <w:r w:rsidRPr="006E0DF3">
        <w:rPr>
          <w:rFonts w:ascii="Times New Roman" w:hAnsi="Times New Roman" w:cs="Times New Roman"/>
        </w:rPr>
        <w:t>skyrių).</w:t>
      </w:r>
    </w:p>
    <w:p w14:paraId="3AEADE32" w14:textId="77777777" w:rsidR="00A91329" w:rsidRPr="00937FA0" w:rsidRDefault="00A91329" w:rsidP="00937FA0">
      <w:pPr>
        <w:widowControl w:val="0"/>
        <w:ind w:left="0" w:firstLine="0"/>
        <w:rPr>
          <w:rFonts w:ascii="Times New Roman" w:eastAsia="Times New Roman" w:hAnsi="Times New Roman" w:cs="Times New Roman"/>
          <w:lang w:eastAsia="sl-SI"/>
        </w:rPr>
      </w:pPr>
    </w:p>
    <w:p w14:paraId="5F5AE86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Kandesartanas ir hidrochlorotiazidas sukelia adityvų antihipertenzinį poveikį.</w:t>
      </w:r>
    </w:p>
    <w:p w14:paraId="3D93634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A549826" w14:textId="104A4E53"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priklausomai nuo dozės ilgam sumažina hipertenzija sergančių pacientų arterinį kraujospūdį, nesukeldamas refleksinio širdies susitraukimų padažnėjimo. Duomenų, kurie rodytų sunkią ar pernelyg didelę hipotenziją po pirmosios dozės arba atoveiksmio poveikį nutraukus gydymą, nėra. Pavartojus vienkartinę Canocombi dozę, antihipertenzinis poveikis paprastai pasireiškia per 2 valandas. Taikant ilgalaikį gydymą, stipriausias antihipertenzinis poveikis pasiekiamas per keturias savaites ir toks išlieka ilgalaikio gydymo metu. Vartojant Canocombi vieną kartą per parą, kraujospūdis veiksmingai ir tolygiai sumažėjęs išlieka 24 valandas, o skirtumas tarp stipriausio ir silpniausio poveikio šio dozavimo intervalo metu būna mažas. Dvigubai aklu būdu atlikto atsitiktinių imčių tyrimo duomenimis, vieną kartą per parą vartojamas 16</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mg/12</w:t>
      </w:r>
      <w:r w:rsidR="00F56AE0">
        <w:rPr>
          <w:rFonts w:ascii="Times New Roman" w:eastAsia="Times New Roman" w:hAnsi="Times New Roman" w:cs="Times New Roman"/>
          <w:lang w:eastAsia="sl-SI"/>
        </w:rPr>
        <w:t>,</w:t>
      </w:r>
      <w:r w:rsidRPr="00937FA0">
        <w:rPr>
          <w:rFonts w:ascii="Times New Roman" w:eastAsia="Times New Roman" w:hAnsi="Times New Roman" w:cs="Times New Roman"/>
          <w:lang w:eastAsia="sl-SI"/>
        </w:rPr>
        <w:t>5</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mg Canocombi kraujospūdį sumažino reikšmingai labiau ir kontroliavo žymiai didesnės dalies pacientų kraujospūdį nei vieną kartą per parą vartojamas 50 mg/12,5 mg losartano</w:t>
      </w:r>
      <w:r w:rsidR="00EB7853">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w:t>
      </w:r>
      <w:r w:rsidR="00EB7853">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hidrochlorotiazido derinys. Dvigubai aklu būdu atlikto atsitiktinių imčių tyrimo duomenimis, nepageidaujami reiškiniai, ypač kosulys, pasireiškė rečiau gydant Canocombi nei gydymo AKF inhibitoriaus derinio su hidrochlorotiazidu metu.</w:t>
      </w:r>
    </w:p>
    <w:p w14:paraId="7A5DBF3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97DCA3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Dviejų klinikinių (dvigubai aklu būdu atliktų atsitiktinių imčių placebu kontroliuojamųjų paralelinių grupių) tyrimų, kuriuose į grupes aklu būdu buvo suskirstyta atitinkamai 275 ir 1 524 pacientai, duomenimis, 32 mg/12,5 mg ir 32 mg/25 mg Canocombi dozių deriniai sumažino kraujospūdį atitinkamai 22/15 mmHg ir 21/14 mmHg, ir buvo reikšmingai veiksmingesni, palyginti su atskirai vartojamomis veikliosiomis medžiagomis.</w:t>
      </w:r>
    </w:p>
    <w:p w14:paraId="69C492F3"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Dvigubai aklu būdu atliktų atsitiktinių imčių placebu kontroliuojamųjų paralelinių grupių klinikinių tyrimų, kuriuose į grupes aklu būdu buvo suskirstyta 1 975 pacientai, kurių kraujospūdžio optimaliai nesukontroliavo vieną kartą per parą vartojama 32 mg kandesartano cileksetilo dozė, duomenimis, papildomai paskyrus 12,5 mg ar 25 mg hidrochlorotiazido, kraujospūdis sumažėjo papildomai. 32 mg/25 mg Canocombi dozių derinys buvo reikšmingai veiksmingesnis už 32 mg/12,5 mg dozių derinį, kraujospūdis iš viso sumažėjo atitinkamai 16/10 mmHg ir 13/9 mmHg.</w:t>
      </w:r>
    </w:p>
    <w:p w14:paraId="354659CE"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66F01265"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veiksmingumas nepriklausė nuo pacientų amžiaus ar lyties.</w:t>
      </w:r>
    </w:p>
    <w:p w14:paraId="22FE8F60"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1ACF11D2"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Šiuo metu nėra duomenų apie Canocombi vartojimą pacientams, kurie serga inkstų liga ar nefropatija, kurių kairiojo skilvelio funkcija yra susilpnėjusi ar serga staziniu širdies nepakankamumu ir patyrusiems miokardo infarktą.</w:t>
      </w:r>
    </w:p>
    <w:p w14:paraId="14EB64C2"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2585142F"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Dviem dideliais atsitiktinės atrankos, kontroliuojamais tyrimais (ONTARGET (angl. „</w:t>
      </w:r>
      <w:r w:rsidRPr="00937FA0">
        <w:rPr>
          <w:rFonts w:ascii="Times New Roman" w:eastAsia="Times New Roman" w:hAnsi="Times New Roman" w:cs="Times New Roman"/>
          <w:i/>
          <w:lang w:eastAsia="sl-SI"/>
        </w:rPr>
        <w:t>ONgoing Telmisartan Alone and in combination with Ramipril Global Endpoint Trial</w:t>
      </w:r>
      <w:r w:rsidRPr="00937FA0">
        <w:rPr>
          <w:rFonts w:ascii="Times New Roman" w:eastAsia="Times New Roman" w:hAnsi="Times New Roman" w:cs="Times New Roman"/>
          <w:lang w:eastAsia="sl-SI"/>
        </w:rPr>
        <w:t>“) ir VA NEPHRON-D (angl. „</w:t>
      </w:r>
      <w:r w:rsidRPr="00937FA0">
        <w:rPr>
          <w:rFonts w:ascii="Times New Roman" w:eastAsia="Times New Roman" w:hAnsi="Times New Roman" w:cs="Times New Roman"/>
          <w:i/>
          <w:lang w:eastAsia="sl-SI"/>
        </w:rPr>
        <w:t>The Veterans Affairs Nephropathy in Diabetes</w:t>
      </w:r>
      <w:r w:rsidRPr="00937FA0">
        <w:rPr>
          <w:rFonts w:ascii="Times New Roman" w:eastAsia="Times New Roman" w:hAnsi="Times New Roman" w:cs="Times New Roman"/>
          <w:lang w:eastAsia="sl-SI"/>
        </w:rPr>
        <w:t>“)) buvo ištirtas AKF inhibitoriaus ir angiotenzino II receptorių blokatoriaus derinio vartojimas.</w:t>
      </w:r>
    </w:p>
    <w:p w14:paraId="7D642144"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w:t>
      </w:r>
    </w:p>
    <w:p w14:paraId="055D37E0"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w:t>
      </w:r>
    </w:p>
    <w:p w14:paraId="64353DC0"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Todėl pacientams, sergantiems diabetine nefropatija, negalima kartu vartoti AKF inhibitorių ir angiotenzino II receptorių blokatorių.</w:t>
      </w:r>
    </w:p>
    <w:p w14:paraId="698EE37C"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ALTITUDE (angl. „</w:t>
      </w:r>
      <w:r w:rsidRPr="00937FA0">
        <w:rPr>
          <w:rFonts w:ascii="Times New Roman" w:eastAsia="Times New Roman" w:hAnsi="Times New Roman" w:cs="Times New Roman"/>
          <w:i/>
          <w:lang w:eastAsia="sl-SI"/>
        </w:rPr>
        <w:t>Aliskiren Trial in Type 2 Diabetes Using Cardiovascular and Renal Disease Endpoints</w:t>
      </w:r>
      <w:r w:rsidRPr="00937FA0">
        <w:rPr>
          <w:rFonts w:ascii="Times New Roman" w:eastAsia="Times New Roman" w:hAnsi="Times New Roman" w:cs="Times New Roman"/>
          <w:lang w:eastAsia="sl-SI"/>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29BA0C1A" w14:textId="77777777" w:rsidR="00937FA0" w:rsidRPr="00937FA0" w:rsidRDefault="00937FA0" w:rsidP="00937FA0">
      <w:pPr>
        <w:widowControl w:val="0"/>
        <w:rPr>
          <w:rFonts w:ascii="Times New Roman" w:eastAsia="Times New Roman" w:hAnsi="Times New Roman" w:cs="Times New Roman"/>
          <w:lang w:eastAsia="sl-SI"/>
        </w:rPr>
      </w:pPr>
    </w:p>
    <w:p w14:paraId="616F052E"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5.2</w:t>
      </w:r>
      <w:r w:rsidRPr="00937FA0">
        <w:rPr>
          <w:rFonts w:ascii="Times New Roman" w:eastAsia="Times New Roman" w:hAnsi="Times New Roman" w:cs="Times New Roman"/>
          <w:b/>
          <w:lang w:eastAsia="sl-SI"/>
        </w:rPr>
        <w:tab/>
        <w:t>Farmakokinetinės savybės</w:t>
      </w:r>
    </w:p>
    <w:p w14:paraId="7B269757" w14:textId="77777777" w:rsidR="00937FA0" w:rsidRPr="00937FA0" w:rsidRDefault="00937FA0" w:rsidP="00937FA0">
      <w:pPr>
        <w:widowControl w:val="0"/>
        <w:rPr>
          <w:rFonts w:ascii="Times New Roman" w:eastAsia="Times New Roman" w:hAnsi="Times New Roman" w:cs="Times New Roman"/>
          <w:b/>
          <w:lang w:eastAsia="sl-SI"/>
        </w:rPr>
      </w:pPr>
    </w:p>
    <w:p w14:paraId="1288D873"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Kandesartano cileksetilą ir hidrochlorotiazidą vartojant kartu, kliniškai reikšmingo poveikio kurios nors veikliosios medžiagos farmakokinetikai nebuvo.</w:t>
      </w:r>
    </w:p>
    <w:p w14:paraId="26E4605D"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2251862F" w14:textId="77777777" w:rsidR="00937FA0" w:rsidRPr="00937FA0" w:rsidRDefault="00937FA0" w:rsidP="00937FA0">
      <w:pPr>
        <w:widowControl w:val="0"/>
        <w:tabs>
          <w:tab w:val="left" w:pos="567"/>
        </w:tabs>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Absorbcija ir pasiskirstymas</w:t>
      </w:r>
    </w:p>
    <w:p w14:paraId="2C958DF8"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0743538"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Kandesartano cileksetilas</w:t>
      </w:r>
    </w:p>
    <w:p w14:paraId="052A5BD2" w14:textId="0DAB8B04"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Išgertas kandesartano cileksetilas paverčiamas veikliąja medžiaga kandesartanu. Išgėrus kandesartano cileksetilo tirpalo, absoliutus biologinis kandesartano prieinamumas yra maždaug 40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Santykinis kandesartano cileksetilo tablečių biologinis prieinamumas, palyginti su geriamuoju tirpalu, yra maždaug 34 % (kintamumas labai mažas). Didžiausia koncentracija kraujo serume (C</w:t>
      </w:r>
      <w:r w:rsidRPr="00937FA0">
        <w:rPr>
          <w:rFonts w:ascii="Times New Roman" w:eastAsia="Times New Roman" w:hAnsi="Times New Roman" w:cs="Times New Roman"/>
          <w:vertAlign w:val="subscript"/>
          <w:lang w:eastAsia="sl-SI"/>
        </w:rPr>
        <w:t>max</w:t>
      </w:r>
      <w:r w:rsidRPr="00937FA0">
        <w:rPr>
          <w:rFonts w:ascii="Times New Roman" w:eastAsia="Times New Roman" w:hAnsi="Times New Roman" w:cs="Times New Roman"/>
          <w:lang w:eastAsia="sl-SI"/>
        </w:rPr>
        <w:t>) atsiranda praėjus 3</w:t>
      </w:r>
      <w:r w:rsidRPr="00937FA0">
        <w:rPr>
          <w:rFonts w:ascii="Times New Roman" w:eastAsia="Times New Roman" w:hAnsi="Times New Roman" w:cs="Times New Roman"/>
          <w:lang w:eastAsia="sl-SI"/>
        </w:rPr>
        <w:noBreakHyphen/>
        <w:t>4 valandoms po tabletės išgėrimo. Didinant vaistinio preparato dozę gydomųjų dozių ribose, kandesartano koncentracija kraujo serume didėja tiesiniu būdu. Su lytimi susijusių kandesartano farmakokinetikos skirtumų nepastebėta. Maistas reikšmingai neveikia kandesartano ploto po koncentracijų kraujo serume laiko atžvilgiu kreive (AUC).</w:t>
      </w:r>
    </w:p>
    <w:p w14:paraId="45113CCA"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4155EAE1" w14:textId="0900C929"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Didelė dalis (daugiau kaip 99</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kandesartano prisijungia prie kraujo plazmos baltymų. Tariamasis pasiskirstymo tūris yra 0,1 l/kg.</w:t>
      </w:r>
    </w:p>
    <w:p w14:paraId="18209DFF"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3659F476"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Hidrochlorotiazidas</w:t>
      </w:r>
    </w:p>
    <w:p w14:paraId="34042EE1" w14:textId="5A6812C9"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yra greitai absorbuojamas iš virškinimo trakto, jo absoliutus biologinis prieinamumas yra maždaug 70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Kartu vartojamas maistas padidina vaistinio preparato absorbciją maždaug 15</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Biologinis prieinamumas gali būti mažesnis pacientų, kurie serga širdies nepakankamumu arba kuriems pasireiškia ryški edema, organizme.</w:t>
      </w:r>
    </w:p>
    <w:p w14:paraId="1F8749AD" w14:textId="65A58FBF"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Maždaug 60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hidrochlorotiazido prisijungia prie kraujo plazmos baltymų. Tariamasis pasiskirstymo tūris yra maždaug 0,8 l/kg.</w:t>
      </w:r>
    </w:p>
    <w:p w14:paraId="242246D2"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52039904" w14:textId="77777777" w:rsidR="00937FA0" w:rsidRPr="00937FA0" w:rsidRDefault="00937FA0" w:rsidP="00937FA0">
      <w:pPr>
        <w:widowControl w:val="0"/>
        <w:tabs>
          <w:tab w:val="left" w:pos="567"/>
        </w:tabs>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Metabolizmas ir eliminacija</w:t>
      </w:r>
    </w:p>
    <w:p w14:paraId="6F12072A"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21A9D8DC"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Kandesartano cileksetilas</w:t>
      </w:r>
    </w:p>
    <w:p w14:paraId="0BF13A7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Daugiausia kandesartano šalinama nepakitusio su šlapimu ir tulžimi, ir tik nedidelė dalis eliminuojama metabolizmo kepenyse būdu (veikiant CYP2C9). Turimi sąveikos tyrimų duomenys rodo, kad vaistinis preparatas neveikia CYP2C9 ir CYP3A4. Remiantis tyrimų </w:t>
      </w:r>
      <w:r w:rsidRPr="00937FA0">
        <w:rPr>
          <w:rFonts w:ascii="Times New Roman" w:eastAsia="Times New Roman" w:hAnsi="Times New Roman" w:cs="Times New Roman"/>
          <w:i/>
          <w:iCs/>
          <w:lang w:eastAsia="sl-SI"/>
        </w:rPr>
        <w:t>in vitro</w:t>
      </w:r>
      <w:r w:rsidRPr="00937FA0">
        <w:rPr>
          <w:rFonts w:ascii="Times New Roman" w:eastAsia="Times New Roman" w:hAnsi="Times New Roman" w:cs="Times New Roman"/>
          <w:lang w:eastAsia="sl-SI"/>
        </w:rPr>
        <w:t xml:space="preserve"> duomenimis, neturėtų pasireikšti sąveikos </w:t>
      </w:r>
      <w:r w:rsidRPr="00937FA0">
        <w:rPr>
          <w:rFonts w:ascii="Times New Roman" w:eastAsia="Times New Roman" w:hAnsi="Times New Roman" w:cs="Times New Roman"/>
          <w:i/>
          <w:iCs/>
          <w:lang w:eastAsia="sl-SI"/>
        </w:rPr>
        <w:t>in vivo</w:t>
      </w:r>
      <w:r w:rsidRPr="00937FA0">
        <w:rPr>
          <w:rFonts w:ascii="Times New Roman" w:eastAsia="Times New Roman" w:hAnsi="Times New Roman" w:cs="Times New Roman"/>
          <w:lang w:eastAsia="sl-SI"/>
        </w:rPr>
        <w:t xml:space="preserve"> su vaistiniais preparatais, kurių metabolizmas priklauso nuo citochromo P450 CYP1A2, CYP2A6, CYP2C9, CYP2C19, CYP2D6, CYP2E1 ar CYP3A4 izofermentų. Kandesartano galutinis pusinės eliminacijos periodas (t</w:t>
      </w:r>
      <w:r w:rsidRPr="00937FA0">
        <w:rPr>
          <w:rFonts w:ascii="Times New Roman" w:eastAsia="Times New Roman" w:hAnsi="Times New Roman" w:cs="Times New Roman"/>
          <w:vertAlign w:val="subscript"/>
          <w:lang w:eastAsia="sl-SI"/>
        </w:rPr>
        <w:t>½</w:t>
      </w:r>
      <w:r w:rsidRPr="00937FA0">
        <w:rPr>
          <w:rFonts w:ascii="Times New Roman" w:eastAsia="Times New Roman" w:hAnsi="Times New Roman" w:cs="Times New Roman"/>
          <w:lang w:eastAsia="sl-SI"/>
        </w:rPr>
        <w:t xml:space="preserve">) trunka maždaug 9 valandas. Vartojant </w:t>
      </w:r>
      <w:r w:rsidRPr="00937FA0">
        <w:rPr>
          <w:rFonts w:ascii="Times New Roman" w:eastAsia="Times New Roman" w:hAnsi="Times New Roman" w:cs="Times New Roman"/>
          <w:lang w:eastAsia="sl-SI"/>
        </w:rPr>
        <w:lastRenderedPageBreak/>
        <w:t>kartotines dozes, vaistinio preparato organizme nesikaupia. Kandesartano cileksetilą vartojant kartu su hidrochlorotiazidu, kandesartano pusinės eliminacijos periodas nepakinta (maždaug 9 val.). Vartojant kartotines derinio dozes, palyginti su monoterapija, kandesartano papildomai nesikaupia.</w:t>
      </w:r>
    </w:p>
    <w:p w14:paraId="405D29E5" w14:textId="11AB5BC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Bendrasis kandesartano klirensas iš plazmos yra maždaug 0,37 ml/min./kg, o per inkstus maždaug 0,19 ml/min./kg. Kandesartanas eliminuojamas per inkstus glomerulų filtracijos ir aktyvios sekrecijos kanalėliuose būdais. Išgėrus radioaktyvaus </w:t>
      </w:r>
      <w:r w:rsidRPr="00937FA0">
        <w:rPr>
          <w:rFonts w:ascii="Times New Roman" w:eastAsia="Times New Roman" w:hAnsi="Times New Roman" w:cs="Times New Roman"/>
          <w:vertAlign w:val="superscript"/>
          <w:lang w:eastAsia="sl-SI"/>
        </w:rPr>
        <w:t>14</w:t>
      </w:r>
      <w:r w:rsidRPr="00937FA0">
        <w:rPr>
          <w:rFonts w:ascii="Times New Roman" w:eastAsia="Times New Roman" w:hAnsi="Times New Roman" w:cs="Times New Roman"/>
          <w:lang w:eastAsia="sl-SI"/>
        </w:rPr>
        <w:t>C kandesartano cileksetilo, maždaug 26</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dozės šalinama su šlapimu kandesartano ir 7</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neaktyvaus metabolito pavidalu, o su išmatomis kandesartano pavidalu šalinama maždaug 56</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dozės ir 10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neaktyvaus metabolito pavidalu.</w:t>
      </w:r>
    </w:p>
    <w:p w14:paraId="511D0C49"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626D1B0B"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Hidrochlorotiazidas</w:t>
      </w:r>
    </w:p>
    <w:p w14:paraId="0EB35CA0" w14:textId="75EC9E95"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nemetabolizuojamas ir beveik visas nepakitusio vaistinio preparato pavidalu šalinamas glomerulų filtracijos ir aktyvios sekrecijos inkstų kanalėliuose būdais. Hidrochlorotiazido galutinis t</w:t>
      </w:r>
      <w:r w:rsidRPr="00937FA0">
        <w:rPr>
          <w:rFonts w:ascii="Times New Roman" w:eastAsia="Times New Roman" w:hAnsi="Times New Roman" w:cs="Times New Roman"/>
          <w:vertAlign w:val="subscript"/>
          <w:lang w:eastAsia="sl-SI"/>
        </w:rPr>
        <w:t>½</w:t>
      </w:r>
      <w:r w:rsidRPr="00937FA0">
        <w:rPr>
          <w:rFonts w:ascii="Times New Roman" w:eastAsia="Times New Roman" w:hAnsi="Times New Roman" w:cs="Times New Roman"/>
          <w:lang w:eastAsia="sl-SI"/>
        </w:rPr>
        <w:t xml:space="preserve"> yra maždaug 8 valandos. Maždaug 70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išgertos dozės eliminuojama su šlapimu per 48 valandas. Hidrochlorotiazidą vartojant kartu su kandesartano cileksetilu, hidrochlorotiazido pusinės ekiminacijos periodas nepakinta (maždaug 8 val.). Vartojant kartotines derinio dozes, palyginti su monoterapija, hidrochlorotiazido papildomai nesikaupia.</w:t>
      </w:r>
    </w:p>
    <w:p w14:paraId="11F5219F"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4178CC9" w14:textId="77777777" w:rsidR="00937FA0" w:rsidRPr="00937FA0" w:rsidRDefault="00937FA0" w:rsidP="00937FA0">
      <w:pPr>
        <w:widowControl w:val="0"/>
        <w:tabs>
          <w:tab w:val="left" w:pos="567"/>
        </w:tabs>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Farmakokinetinės savybės specialių grupių pacientų organizme</w:t>
      </w:r>
    </w:p>
    <w:p w14:paraId="16809B17"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5ECA914D"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Kandesartano cileksetilas</w:t>
      </w:r>
    </w:p>
    <w:p w14:paraId="1C352FE9" w14:textId="5FE07486"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Senyvų pacientų (vyresnių kaip 65 metų) organizme kandesartano C</w:t>
      </w:r>
      <w:r w:rsidRPr="00937FA0">
        <w:rPr>
          <w:rFonts w:ascii="Times New Roman" w:eastAsia="Times New Roman" w:hAnsi="Times New Roman" w:cs="Times New Roman"/>
          <w:vertAlign w:val="subscript"/>
          <w:lang w:eastAsia="sl-SI"/>
        </w:rPr>
        <w:t>max</w:t>
      </w:r>
      <w:r w:rsidRPr="00937FA0">
        <w:rPr>
          <w:rFonts w:ascii="Times New Roman" w:eastAsia="Times New Roman" w:hAnsi="Times New Roman" w:cs="Times New Roman"/>
          <w:lang w:eastAsia="sl-SI"/>
        </w:rPr>
        <w:t xml:space="preserve"> ir AUC padidėjo atitinkamai maždaug 50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ir 80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palyginti su jaunesnių tiriamųjų. Vis dėlto vartojant Canocombi dozes jauniems ir senyviems pacientams, kraujospūdžio atsakas ir nepageidaujamų reiškinių dažnis buvo panašus (žr. 4.2 skyrių).</w:t>
      </w:r>
    </w:p>
    <w:p w14:paraId="3F7BB791"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83DF8D1" w14:textId="7D672FFE"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Vartojant kartotines vaistinio preparato dozes pacientams, kurie serga lengvu ar vidutinio sunkumo inkstų funkcijos sutrikimu, palyginti su pacientais, kurių inkstų funkcija normali, kandesartano C</w:t>
      </w:r>
      <w:r w:rsidRPr="00937FA0">
        <w:rPr>
          <w:rFonts w:ascii="Times New Roman" w:eastAsia="Times New Roman" w:hAnsi="Times New Roman" w:cs="Times New Roman"/>
          <w:vertAlign w:val="subscript"/>
          <w:lang w:eastAsia="sl-SI"/>
        </w:rPr>
        <w:t>max</w:t>
      </w:r>
      <w:r w:rsidRPr="00937FA0">
        <w:rPr>
          <w:rFonts w:ascii="Times New Roman" w:eastAsia="Times New Roman" w:hAnsi="Times New Roman" w:cs="Times New Roman"/>
          <w:lang w:eastAsia="sl-SI"/>
        </w:rPr>
        <w:t xml:space="preserve"> ir AUC padidėjo maždaug 50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ir 70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bet galutinis t</w:t>
      </w:r>
      <w:r w:rsidRPr="00937FA0">
        <w:rPr>
          <w:rFonts w:ascii="Times New Roman" w:eastAsia="Times New Roman" w:hAnsi="Times New Roman" w:cs="Times New Roman"/>
          <w:vertAlign w:val="subscript"/>
          <w:lang w:eastAsia="sl-SI"/>
        </w:rPr>
        <w:t>½</w:t>
      </w:r>
      <w:r w:rsidRPr="00937FA0">
        <w:rPr>
          <w:rFonts w:ascii="Times New Roman" w:eastAsia="Times New Roman" w:hAnsi="Times New Roman" w:cs="Times New Roman"/>
          <w:lang w:eastAsia="sl-SI"/>
        </w:rPr>
        <w:t xml:space="preserve"> nepakito. Šie pokyčiai pacientų, kurie serga sunkiu inkstų funkcijos sutrikimu, organizme buvo atitinkamai maždaug 50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ir 110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Pacientų, kuriems atliekama hemodializė, farmakokinetinės savybės yra panašios į pacientų, kurie serga sunkiu inkstų funkcijos sutrikimu</w:t>
      </w:r>
      <w:r w:rsidRPr="00937FA0">
        <w:rPr>
          <w:rFonts w:ascii="Times New Roman" w:eastAsia="Times New Roman" w:hAnsi="Times New Roman" w:cs="Times New Roman"/>
          <w:i/>
          <w:lang w:eastAsia="sl-SI"/>
        </w:rPr>
        <w:t>.</w:t>
      </w:r>
    </w:p>
    <w:p w14:paraId="4C7F13CF" w14:textId="442D8361"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Dviejų tyrimų, kuriuose dalyvavo lengvu ar vidutinio sunkumo kepenų funkcijos sutrikimu sergantys pacientai, duomenimis, vidutinė kandesartano AUC padidėjo maždaug 20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viename tyrime ir 80</w:t>
      </w:r>
      <w:r w:rsidR="006F203A">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 kitame (žr. 4.2 skyrių). Pacientų, kurie serga sunkiu kepenų funkcijos sutrikimu, gydymo patirties nėra.</w:t>
      </w:r>
    </w:p>
    <w:p w14:paraId="4227DAA5"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DFBBBBE" w14:textId="77777777" w:rsidR="00937FA0" w:rsidRPr="00937FA0" w:rsidRDefault="00937FA0" w:rsidP="00937FA0">
      <w:pPr>
        <w:widowControl w:val="0"/>
        <w:tabs>
          <w:tab w:val="left" w:pos="567"/>
        </w:tabs>
        <w:ind w:left="0" w:firstLine="0"/>
        <w:rPr>
          <w:rFonts w:ascii="Times New Roman" w:eastAsia="Times New Roman" w:hAnsi="Times New Roman" w:cs="Times New Roman"/>
          <w:i/>
          <w:lang w:eastAsia="sl-SI"/>
        </w:rPr>
      </w:pPr>
      <w:r w:rsidRPr="00937FA0">
        <w:rPr>
          <w:rFonts w:ascii="Times New Roman" w:eastAsia="Times New Roman" w:hAnsi="Times New Roman" w:cs="Times New Roman"/>
          <w:i/>
          <w:lang w:eastAsia="sl-SI"/>
        </w:rPr>
        <w:t>Hidrochlorotiazidas</w:t>
      </w:r>
    </w:p>
    <w:p w14:paraId="0D5E2CA9"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Galutinis hidrochlorotiazido t</w:t>
      </w:r>
      <w:r w:rsidRPr="00937FA0">
        <w:rPr>
          <w:rFonts w:ascii="Times New Roman" w:eastAsia="Times New Roman" w:hAnsi="Times New Roman" w:cs="Times New Roman"/>
          <w:vertAlign w:val="subscript"/>
          <w:lang w:eastAsia="sl-SI"/>
        </w:rPr>
        <w:t>½</w:t>
      </w:r>
      <w:r w:rsidRPr="00937FA0">
        <w:rPr>
          <w:rFonts w:ascii="Times New Roman" w:eastAsia="Times New Roman" w:hAnsi="Times New Roman" w:cs="Times New Roman"/>
          <w:lang w:eastAsia="sl-SI"/>
        </w:rPr>
        <w:t xml:space="preserve"> pailgėjo pacientų, kurie serga inkstų funkcijos sutrikimu, organizme.</w:t>
      </w:r>
    </w:p>
    <w:p w14:paraId="70E4118E" w14:textId="77777777" w:rsidR="00937FA0" w:rsidRPr="00937FA0" w:rsidRDefault="00937FA0" w:rsidP="00937FA0">
      <w:pPr>
        <w:widowControl w:val="0"/>
        <w:rPr>
          <w:rFonts w:ascii="Times New Roman" w:eastAsia="Times New Roman" w:hAnsi="Times New Roman" w:cs="Times New Roman"/>
          <w:lang w:eastAsia="sl-SI"/>
        </w:rPr>
      </w:pPr>
    </w:p>
    <w:p w14:paraId="78825D55" w14:textId="77777777" w:rsidR="00937FA0" w:rsidRPr="00937FA0" w:rsidRDefault="00937FA0" w:rsidP="00937FA0">
      <w:pPr>
        <w:widowControl w:val="0"/>
        <w:tabs>
          <w:tab w:val="left" w:pos="567"/>
        </w:tabs>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5.3</w:t>
      </w:r>
      <w:r w:rsidRPr="00937FA0">
        <w:rPr>
          <w:rFonts w:ascii="Times New Roman" w:eastAsia="Times New Roman" w:hAnsi="Times New Roman" w:cs="Times New Roman"/>
          <w:b/>
          <w:lang w:eastAsia="sl-SI"/>
        </w:rPr>
        <w:tab/>
        <w:t>Ikiklinikinių saugumo tyrimų duomenys</w:t>
      </w:r>
    </w:p>
    <w:p w14:paraId="3C4383AF"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051FA98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Kokybiškai naujų duomenų apie toksinį poveikį vartojant vaistinių preparatų derinį, palyginti su kiekviena veikliąja medžiagai, vartojama atskirai, negauta. Ikiklinikiniai saugumo tyrimai parodė didelių kandesartano dozių poveikį pelių, žiurkių, šunų ir beždžionių inkstams ir raudonųjų kraujo ląstelių rodmenims. Kandesartanas mažino raudonųjų kraujo ląstelių (eritrocitų, hemoglobino koncentracijos, hematokrito) rodmenis. Kandesartano poveikis inkstams (pvz., regeneracija, dilatacija ir kanalėlių bazofilija, šlapalo ir kreatinino koncentracijos padidėjimas kraujo plazmoje) galėjo būti antrinis dėl hipotenzinio poveikio sukeltų inkstų perfuzijos pokyčių. Pradėjus papildomai vartoti hidrochlorotiazidą, kandesartano nefrotoksinis poveikis sustiprėja. Be to, kandesartanas sukėlė inkstų jukstaglomerulinių ląstelių hiperplaziją ar hipertrofiją. Manoma, kad šie pokyčiai atsirado dėl kandesartano farmakologinio poveikio, o jų klinikinė reikšmė yra maža.</w:t>
      </w:r>
    </w:p>
    <w:p w14:paraId="2AB6F7B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84AA56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Vartojant kandesartaną nėštumo pabaigoje, pasireiškė toksinis poveikis vaisiui. Papildomai paskirtas hidrochlorotiazidas nedarė reikšmingo poveikio žiurkių, pelių ar triušių vaisiaus vystymosi tyrimų baigtims (žr. 4.6 skyrių).</w:t>
      </w:r>
    </w:p>
    <w:p w14:paraId="72B89D3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F74FCC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 xml:space="preserve">Labai didelės kandesartano ir hidrochlorotiazido koncentracijos ar dozės sukėlė genotoksinį poveikį. </w:t>
      </w:r>
      <w:r w:rsidRPr="00937FA0">
        <w:rPr>
          <w:rFonts w:ascii="Times New Roman" w:eastAsia="Times New Roman" w:hAnsi="Times New Roman" w:cs="Times New Roman"/>
          <w:i/>
          <w:lang w:eastAsia="sl-SI"/>
        </w:rPr>
        <w:t>In vitro</w:t>
      </w:r>
      <w:r w:rsidRPr="00937FA0">
        <w:rPr>
          <w:rFonts w:ascii="Times New Roman" w:eastAsia="Times New Roman" w:hAnsi="Times New Roman" w:cs="Times New Roman"/>
          <w:lang w:eastAsia="sl-SI"/>
        </w:rPr>
        <w:t xml:space="preserve"> ir </w:t>
      </w:r>
      <w:r w:rsidRPr="00937FA0">
        <w:rPr>
          <w:rFonts w:ascii="Times New Roman" w:eastAsia="Times New Roman" w:hAnsi="Times New Roman" w:cs="Times New Roman"/>
          <w:i/>
          <w:lang w:eastAsia="sl-SI"/>
        </w:rPr>
        <w:t>in vivo</w:t>
      </w:r>
      <w:r w:rsidRPr="00937FA0">
        <w:rPr>
          <w:rFonts w:ascii="Times New Roman" w:eastAsia="Times New Roman" w:hAnsi="Times New Roman" w:cs="Times New Roman"/>
          <w:lang w:eastAsia="sl-SI"/>
        </w:rPr>
        <w:t xml:space="preserve"> atliktų genotoksiškumo tyrimų duomenimis, klinikinėmis sąlygomis vartojami kandesartanas ir hidrochlorotiazidas greičiausiai nesukelia mutageninio ar klastogeninio poveikio žmogui.</w:t>
      </w:r>
    </w:p>
    <w:p w14:paraId="23AA2CE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289EBB7" w14:textId="77777777" w:rsidR="00937FA0" w:rsidRPr="00937FA0" w:rsidRDefault="00937FA0" w:rsidP="00937FA0">
      <w:pPr>
        <w:widowControl w:val="0"/>
        <w:rPr>
          <w:rFonts w:ascii="Times New Roman" w:eastAsia="Times New Roman" w:hAnsi="Times New Roman" w:cs="Times New Roman"/>
          <w:lang w:eastAsia="sl-SI"/>
        </w:rPr>
      </w:pPr>
    </w:p>
    <w:p w14:paraId="1024BC1A"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6.</w:t>
      </w:r>
      <w:r w:rsidRPr="00937FA0">
        <w:rPr>
          <w:rFonts w:ascii="Times New Roman" w:eastAsia="Times New Roman" w:hAnsi="Times New Roman" w:cs="Times New Roman"/>
          <w:b/>
          <w:caps/>
          <w:lang w:eastAsia="sl-SI"/>
        </w:rPr>
        <w:tab/>
        <w:t>farmacinė informacija</w:t>
      </w:r>
    </w:p>
    <w:p w14:paraId="6C50E525" w14:textId="77777777" w:rsidR="00937FA0" w:rsidRPr="00937FA0" w:rsidRDefault="00937FA0" w:rsidP="00937FA0">
      <w:pPr>
        <w:widowControl w:val="0"/>
        <w:rPr>
          <w:rFonts w:ascii="Times New Roman" w:eastAsia="Times New Roman" w:hAnsi="Times New Roman" w:cs="Times New Roman"/>
          <w:lang w:eastAsia="sl-SI"/>
        </w:rPr>
      </w:pPr>
    </w:p>
    <w:p w14:paraId="7673A304"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6.1</w:t>
      </w:r>
      <w:r w:rsidRPr="00937FA0">
        <w:rPr>
          <w:rFonts w:ascii="Times New Roman" w:eastAsia="Times New Roman" w:hAnsi="Times New Roman" w:cs="Times New Roman"/>
          <w:b/>
          <w:lang w:eastAsia="sl-SI"/>
        </w:rPr>
        <w:tab/>
        <w:t>Pagalbinių medžiagų sąrašas</w:t>
      </w:r>
    </w:p>
    <w:p w14:paraId="4D41C3E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F05E4C3" w14:textId="77777777" w:rsidR="00937FA0" w:rsidRPr="00937FA0" w:rsidRDefault="00937FA0" w:rsidP="00937FA0">
      <w:pPr>
        <w:widowControl w:val="0"/>
        <w:tabs>
          <w:tab w:val="left" w:pos="567"/>
        </w:tabs>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8 mg/12,5 mg</w:t>
      </w:r>
    </w:p>
    <w:p w14:paraId="5025F73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Laktozė monohidratas</w:t>
      </w:r>
    </w:p>
    <w:p w14:paraId="5B8AB64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Kukurūzų krakmolas</w:t>
      </w:r>
    </w:p>
    <w:p w14:paraId="73808B5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Hidroksipropilceliuliozė</w:t>
      </w:r>
    </w:p>
    <w:p w14:paraId="256DE9D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Magnio stearatas</w:t>
      </w:r>
    </w:p>
    <w:p w14:paraId="04AF9161"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Karmeliozės kalcio druska</w:t>
      </w:r>
    </w:p>
    <w:p w14:paraId="5E68EE4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Makrogolis 8000</w:t>
      </w:r>
    </w:p>
    <w:p w14:paraId="7A8A3B4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41063E4" w14:textId="77777777" w:rsidR="00937FA0" w:rsidRPr="00937FA0" w:rsidRDefault="00937FA0" w:rsidP="00937FA0">
      <w:pPr>
        <w:widowControl w:val="0"/>
        <w:ind w:left="0" w:firstLine="0"/>
        <w:rPr>
          <w:rFonts w:ascii="Times New Roman" w:eastAsia="Times New Roman" w:hAnsi="Times New Roman" w:cs="Times New Roman"/>
          <w:szCs w:val="20"/>
          <w:u w:val="single"/>
          <w:lang w:eastAsia="sl-SI"/>
        </w:rPr>
      </w:pPr>
      <w:r w:rsidRPr="00937FA0">
        <w:rPr>
          <w:rFonts w:ascii="Times New Roman" w:eastAsia="Times New Roman" w:hAnsi="Times New Roman" w:cs="Times New Roman"/>
          <w:szCs w:val="20"/>
          <w:u w:val="single"/>
          <w:lang w:eastAsia="sl-SI"/>
        </w:rPr>
        <w:t>16 mg/12,5 mg</w:t>
      </w:r>
    </w:p>
    <w:p w14:paraId="23D4E0B2"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Laktozė monohidratas</w:t>
      </w:r>
    </w:p>
    <w:p w14:paraId="38BCCF5A"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Kukurūzų krakmolas</w:t>
      </w:r>
    </w:p>
    <w:p w14:paraId="3E6B7C7F"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Hidroksipropilceliuliozė</w:t>
      </w:r>
    </w:p>
    <w:p w14:paraId="3C93F4F2"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Magnio stearatas</w:t>
      </w:r>
    </w:p>
    <w:p w14:paraId="1328B578"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Karmeliozės kalcio druska</w:t>
      </w:r>
    </w:p>
    <w:p w14:paraId="1BC66FFF"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Makrogolis 8000</w:t>
      </w:r>
    </w:p>
    <w:p w14:paraId="26C3545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Raudonasis geležies oksidas (E172)</w:t>
      </w:r>
    </w:p>
    <w:p w14:paraId="2E876B1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C252BC0" w14:textId="77777777" w:rsidR="00937FA0" w:rsidRPr="00937FA0" w:rsidRDefault="00937FA0" w:rsidP="00937FA0">
      <w:pPr>
        <w:widowControl w:val="0"/>
        <w:ind w:left="0" w:firstLine="0"/>
        <w:rPr>
          <w:rFonts w:ascii="Times New Roman" w:eastAsia="Times New Roman" w:hAnsi="Times New Roman" w:cs="Times New Roman"/>
          <w:szCs w:val="20"/>
          <w:u w:val="single"/>
          <w:lang w:eastAsia="sl-SI"/>
        </w:rPr>
      </w:pPr>
      <w:r w:rsidRPr="00937FA0">
        <w:rPr>
          <w:rFonts w:ascii="Times New Roman" w:eastAsia="Times New Roman" w:hAnsi="Times New Roman" w:cs="Times New Roman"/>
          <w:szCs w:val="20"/>
          <w:u w:val="single"/>
          <w:lang w:eastAsia="sl-SI"/>
        </w:rPr>
        <w:t>32 mg/12,5 mg</w:t>
      </w:r>
    </w:p>
    <w:p w14:paraId="590C3406"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Laktozė monohidratas</w:t>
      </w:r>
    </w:p>
    <w:p w14:paraId="4434AAC3"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Kukurūzų krakmolas</w:t>
      </w:r>
    </w:p>
    <w:p w14:paraId="3387D9DA"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Hidroksipropilceliuliozė</w:t>
      </w:r>
    </w:p>
    <w:p w14:paraId="7DBD3FF5"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Magnio stearatas</w:t>
      </w:r>
    </w:p>
    <w:p w14:paraId="604B89F2"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Karmeliozės kalcio druska</w:t>
      </w:r>
    </w:p>
    <w:p w14:paraId="4CF7F124"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Makrogolis 8000</w:t>
      </w:r>
    </w:p>
    <w:p w14:paraId="5EEABEF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Geltonasis geležies oksidas (E172)</w:t>
      </w:r>
    </w:p>
    <w:p w14:paraId="6EAC7E6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A7A984C" w14:textId="77777777" w:rsidR="00937FA0" w:rsidRPr="00937FA0" w:rsidRDefault="00937FA0" w:rsidP="00937FA0">
      <w:pPr>
        <w:widowControl w:val="0"/>
        <w:ind w:left="0" w:firstLine="0"/>
        <w:rPr>
          <w:rFonts w:ascii="Times New Roman" w:eastAsia="Times New Roman" w:hAnsi="Times New Roman" w:cs="Times New Roman"/>
          <w:szCs w:val="20"/>
          <w:u w:val="single"/>
          <w:lang w:eastAsia="sl-SI"/>
        </w:rPr>
      </w:pPr>
      <w:r w:rsidRPr="00937FA0">
        <w:rPr>
          <w:rFonts w:ascii="Times New Roman" w:eastAsia="Times New Roman" w:hAnsi="Times New Roman" w:cs="Times New Roman"/>
          <w:szCs w:val="20"/>
          <w:u w:val="single"/>
          <w:lang w:eastAsia="sl-SI"/>
        </w:rPr>
        <w:t>32 mg/25 mg</w:t>
      </w:r>
    </w:p>
    <w:p w14:paraId="7C319C1C"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Laktozė monohidratas</w:t>
      </w:r>
    </w:p>
    <w:p w14:paraId="163ECBB8"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Kukurūzų krakmolas</w:t>
      </w:r>
    </w:p>
    <w:p w14:paraId="021A1AE7"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Hidroksipropilceliuliozė</w:t>
      </w:r>
    </w:p>
    <w:p w14:paraId="3E86C737"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Magnio stearatas</w:t>
      </w:r>
    </w:p>
    <w:p w14:paraId="539564C5"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Karmeliozės kalcio druska</w:t>
      </w:r>
    </w:p>
    <w:p w14:paraId="2547B79A" w14:textId="77777777" w:rsidR="00937FA0" w:rsidRPr="00937FA0" w:rsidRDefault="00937FA0" w:rsidP="00937FA0">
      <w:pPr>
        <w:widowControl w:val="0"/>
        <w:ind w:left="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Makrogolis 8000</w:t>
      </w:r>
    </w:p>
    <w:p w14:paraId="4B5B673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Raudonasis geležies oksidas (E172)</w:t>
      </w:r>
    </w:p>
    <w:p w14:paraId="0C935B69" w14:textId="77777777" w:rsidR="00937FA0" w:rsidRPr="00937FA0" w:rsidRDefault="00937FA0" w:rsidP="00937FA0">
      <w:pPr>
        <w:widowControl w:val="0"/>
        <w:rPr>
          <w:rFonts w:ascii="Times New Roman" w:eastAsia="Times New Roman" w:hAnsi="Times New Roman" w:cs="Times New Roman"/>
          <w:lang w:eastAsia="sl-SI"/>
        </w:rPr>
      </w:pPr>
    </w:p>
    <w:p w14:paraId="0C2687FD"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6.2</w:t>
      </w:r>
      <w:r w:rsidRPr="00937FA0">
        <w:rPr>
          <w:rFonts w:ascii="Times New Roman" w:eastAsia="Times New Roman" w:hAnsi="Times New Roman" w:cs="Times New Roman"/>
          <w:b/>
          <w:lang w:eastAsia="sl-SI"/>
        </w:rPr>
        <w:tab/>
        <w:t>Nesuderinamumas</w:t>
      </w:r>
    </w:p>
    <w:p w14:paraId="3D3BBB45" w14:textId="77777777" w:rsidR="00937FA0" w:rsidRPr="00937FA0" w:rsidRDefault="00937FA0" w:rsidP="00937FA0">
      <w:pPr>
        <w:widowControl w:val="0"/>
        <w:rPr>
          <w:rFonts w:ascii="Times New Roman" w:eastAsia="Times New Roman" w:hAnsi="Times New Roman" w:cs="Times New Roman"/>
          <w:lang w:eastAsia="sl-SI"/>
        </w:rPr>
      </w:pPr>
    </w:p>
    <w:p w14:paraId="378C0F0C"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Duomenys nebūtini.</w:t>
      </w:r>
    </w:p>
    <w:p w14:paraId="132A160E" w14:textId="77777777" w:rsidR="00937FA0" w:rsidRPr="00937FA0" w:rsidRDefault="00937FA0" w:rsidP="00937FA0">
      <w:pPr>
        <w:widowControl w:val="0"/>
        <w:rPr>
          <w:rFonts w:ascii="Times New Roman" w:eastAsia="Times New Roman" w:hAnsi="Times New Roman" w:cs="Times New Roman"/>
          <w:lang w:eastAsia="sl-SI"/>
        </w:rPr>
      </w:pPr>
    </w:p>
    <w:p w14:paraId="509CD0A1"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6.3</w:t>
      </w:r>
      <w:r w:rsidRPr="00937FA0">
        <w:rPr>
          <w:rFonts w:ascii="Times New Roman" w:eastAsia="Times New Roman" w:hAnsi="Times New Roman" w:cs="Times New Roman"/>
          <w:b/>
          <w:lang w:eastAsia="sl-SI"/>
        </w:rPr>
        <w:tab/>
        <w:t>Tinkamumo laikas</w:t>
      </w:r>
    </w:p>
    <w:p w14:paraId="2AFC9D83" w14:textId="77777777" w:rsidR="00937FA0" w:rsidRPr="00937FA0" w:rsidRDefault="00937FA0" w:rsidP="00937FA0">
      <w:pPr>
        <w:widowControl w:val="0"/>
        <w:rPr>
          <w:rFonts w:ascii="Times New Roman" w:eastAsia="Times New Roman" w:hAnsi="Times New Roman" w:cs="Times New Roman"/>
          <w:lang w:eastAsia="sl-SI"/>
        </w:rPr>
      </w:pPr>
    </w:p>
    <w:p w14:paraId="38336915"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2 metai.</w:t>
      </w:r>
    </w:p>
    <w:p w14:paraId="275310D7" w14:textId="77777777" w:rsidR="00937FA0" w:rsidRPr="00937FA0" w:rsidRDefault="00937FA0" w:rsidP="00937FA0">
      <w:pPr>
        <w:widowControl w:val="0"/>
        <w:rPr>
          <w:rFonts w:ascii="Times New Roman" w:eastAsia="Times New Roman" w:hAnsi="Times New Roman" w:cs="Times New Roman"/>
          <w:lang w:eastAsia="sl-SI"/>
        </w:rPr>
      </w:pPr>
    </w:p>
    <w:p w14:paraId="38B9C326"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6.4</w:t>
      </w:r>
      <w:r w:rsidRPr="00937FA0">
        <w:rPr>
          <w:rFonts w:ascii="Times New Roman" w:eastAsia="Times New Roman" w:hAnsi="Times New Roman" w:cs="Times New Roman"/>
          <w:b/>
          <w:lang w:eastAsia="sl-SI"/>
        </w:rPr>
        <w:tab/>
        <w:t>Specialios laikymo sąlygos</w:t>
      </w:r>
    </w:p>
    <w:p w14:paraId="498067BD" w14:textId="77777777" w:rsidR="00937FA0" w:rsidRPr="00937FA0" w:rsidRDefault="00937FA0" w:rsidP="00937FA0">
      <w:pPr>
        <w:widowControl w:val="0"/>
        <w:ind w:left="0" w:firstLine="0"/>
        <w:rPr>
          <w:rFonts w:ascii="Times New Roman" w:eastAsia="Times New Roman" w:hAnsi="Times New Roman" w:cs="Times New Roman"/>
          <w:i/>
          <w:iCs/>
          <w:lang w:eastAsia="sl-SI"/>
        </w:rPr>
      </w:pPr>
    </w:p>
    <w:p w14:paraId="5E189CD1" w14:textId="77777777" w:rsidR="00937FA0" w:rsidRPr="00937FA0" w:rsidRDefault="00937FA0" w:rsidP="00937FA0">
      <w:pPr>
        <w:widowControl w:val="0"/>
        <w:tabs>
          <w:tab w:val="left" w:pos="567"/>
        </w:tabs>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lang w:eastAsia="sl-SI"/>
        </w:rPr>
        <w:t>Tabletės, tiekiamos PVC/PVDC plėvelės ir aliuminio folijos lizdinėse plokštelėse</w:t>
      </w:r>
    </w:p>
    <w:p w14:paraId="7144F1FD" w14:textId="2115E6E6"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Laikyti ne aukštesnėje kaip 30</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sym w:font="Symbol" w:char="F0B0"/>
      </w:r>
      <w:r w:rsidRPr="00937FA0">
        <w:rPr>
          <w:rFonts w:ascii="Times New Roman" w:eastAsia="Times New Roman" w:hAnsi="Times New Roman" w:cs="Times New Roman"/>
          <w:lang w:eastAsia="sl-SI"/>
        </w:rPr>
        <w:t>C temperatūroje.</w:t>
      </w:r>
    </w:p>
    <w:p w14:paraId="7D045E9C"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2BAE6F80" w14:textId="77777777" w:rsidR="00937FA0" w:rsidRPr="00937FA0" w:rsidRDefault="00937FA0" w:rsidP="00937FA0">
      <w:pPr>
        <w:widowControl w:val="0"/>
        <w:tabs>
          <w:tab w:val="left" w:pos="567"/>
        </w:tabs>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lang w:eastAsia="sl-SI"/>
        </w:rPr>
        <w:t>Tabletės, tiekiamos laminuotose OPA/Al/PVC folijos ir aliuminio folijos lizdinėse plokštelėse</w:t>
      </w:r>
    </w:p>
    <w:p w14:paraId="5DF8397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Šiam vaistiniam preparatui specialių laikymo sąlygų nereikia.</w:t>
      </w:r>
    </w:p>
    <w:p w14:paraId="16C1A4B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DD9889B"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6.5</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bCs/>
          <w:lang w:eastAsia="sl-SI"/>
        </w:rPr>
        <w:t>Talpyklės pobūdis ir jos</w:t>
      </w:r>
      <w:r w:rsidRPr="00937FA0">
        <w:rPr>
          <w:rFonts w:ascii="Times New Roman" w:eastAsia="Times New Roman" w:hAnsi="Times New Roman" w:cs="Times New Roman"/>
          <w:lang w:eastAsia="sl-SI"/>
        </w:rPr>
        <w:t xml:space="preserve"> </w:t>
      </w:r>
      <w:r w:rsidRPr="00937FA0">
        <w:rPr>
          <w:rFonts w:ascii="Times New Roman" w:eastAsia="Times New Roman" w:hAnsi="Times New Roman" w:cs="Times New Roman"/>
          <w:b/>
          <w:lang w:eastAsia="sl-SI"/>
        </w:rPr>
        <w:t>turinys</w:t>
      </w:r>
    </w:p>
    <w:p w14:paraId="3D5A60A6" w14:textId="77777777" w:rsidR="00937FA0" w:rsidRPr="00937FA0" w:rsidRDefault="00937FA0" w:rsidP="00937FA0">
      <w:pPr>
        <w:widowControl w:val="0"/>
        <w:rPr>
          <w:rFonts w:ascii="Times New Roman" w:eastAsia="Times New Roman" w:hAnsi="Times New Roman" w:cs="Times New Roman"/>
          <w:lang w:eastAsia="sl-SI"/>
        </w:rPr>
      </w:pPr>
    </w:p>
    <w:p w14:paraId="4F3A9EF0"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Pakuočių dydžiai (PVC/PVDC plėvelės ir </w:t>
      </w:r>
      <w:r w:rsidRPr="00937FA0">
        <w:rPr>
          <w:rFonts w:ascii="Times New Roman" w:eastAsia="Times New Roman" w:hAnsi="Times New Roman" w:cs="Times New Roman"/>
          <w:color w:val="000000"/>
          <w:lang w:eastAsia="sl-SI"/>
        </w:rPr>
        <w:t xml:space="preserve">aliuminio </w:t>
      </w:r>
      <w:r w:rsidRPr="00937FA0">
        <w:rPr>
          <w:rFonts w:ascii="Times New Roman" w:eastAsia="Times New Roman" w:hAnsi="Times New Roman" w:cs="Times New Roman"/>
          <w:lang w:eastAsia="sl-SI"/>
        </w:rPr>
        <w:t>folijos lizdinės plokštelės): 14, 15, 28, 30, 56, 60, 84, 90 arba 98 tabletės dėžutėje.</w:t>
      </w:r>
    </w:p>
    <w:p w14:paraId="16F046D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Pakuočių dydžiai (laminuotos OPA/Al/PVC folijos ir aliuminio folijos lizdinės plokštelės): 14, 15, 28, 30, 56, 60, 84, 90 arba 98 tabletės dėžutėje.</w:t>
      </w:r>
    </w:p>
    <w:p w14:paraId="1ADA5DE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652334D"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Gali būti tiekiamos ne visų dydžių pakuotės.</w:t>
      </w:r>
    </w:p>
    <w:p w14:paraId="5A86E185" w14:textId="77777777" w:rsidR="00937FA0" w:rsidRPr="00937FA0" w:rsidRDefault="00937FA0" w:rsidP="00937FA0">
      <w:pPr>
        <w:widowControl w:val="0"/>
        <w:rPr>
          <w:rFonts w:ascii="Times New Roman" w:eastAsia="Times New Roman" w:hAnsi="Times New Roman" w:cs="Times New Roman"/>
          <w:lang w:eastAsia="sl-SI"/>
        </w:rPr>
      </w:pPr>
    </w:p>
    <w:p w14:paraId="03868F46" w14:textId="77777777" w:rsidR="00937FA0" w:rsidRPr="00937FA0" w:rsidRDefault="00937FA0" w:rsidP="00937FA0">
      <w:pPr>
        <w:widowControl w:val="0"/>
        <w:outlineLvl w:val="0"/>
        <w:rPr>
          <w:rFonts w:ascii="Times New Roman" w:eastAsia="Times New Roman" w:hAnsi="Times New Roman" w:cs="Times New Roman"/>
          <w:b/>
          <w:color w:val="000000"/>
          <w:szCs w:val="20"/>
          <w:lang w:eastAsia="sl-SI"/>
        </w:rPr>
      </w:pPr>
      <w:r w:rsidRPr="00937FA0">
        <w:rPr>
          <w:rFonts w:ascii="Times New Roman" w:eastAsia="Times New Roman" w:hAnsi="Times New Roman" w:cs="Times New Roman"/>
          <w:b/>
          <w:lang w:eastAsia="sl-SI"/>
        </w:rPr>
        <w:t>6.6</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bCs/>
          <w:color w:val="000000"/>
          <w:lang w:eastAsia="sl-SI"/>
        </w:rPr>
        <w:t>Specialūs reikalavimai atliekoms tvarkyti</w:t>
      </w:r>
    </w:p>
    <w:p w14:paraId="5C332FBE" w14:textId="77777777" w:rsidR="00937FA0" w:rsidRPr="00937FA0" w:rsidRDefault="00937FA0" w:rsidP="00937FA0">
      <w:pPr>
        <w:widowControl w:val="0"/>
        <w:rPr>
          <w:rFonts w:ascii="Times New Roman" w:eastAsia="Times New Roman" w:hAnsi="Times New Roman" w:cs="Times New Roman"/>
          <w:lang w:eastAsia="sl-SI"/>
        </w:rPr>
      </w:pPr>
    </w:p>
    <w:p w14:paraId="32BB7885"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Specialių reikalavimų nėra.</w:t>
      </w:r>
    </w:p>
    <w:p w14:paraId="5D0B60C1"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Nesuvartotą vaistinį preparatą ar atliekas reikia tvarkyti laikantis vietinių reikalavimų.</w:t>
      </w:r>
    </w:p>
    <w:p w14:paraId="188BAF2C" w14:textId="77777777" w:rsidR="00937FA0" w:rsidRPr="00937FA0" w:rsidRDefault="00937FA0" w:rsidP="00937FA0">
      <w:pPr>
        <w:widowControl w:val="0"/>
        <w:rPr>
          <w:rFonts w:ascii="Times New Roman" w:eastAsia="Times New Roman" w:hAnsi="Times New Roman" w:cs="Times New Roman"/>
          <w:lang w:eastAsia="sl-SI"/>
        </w:rPr>
      </w:pPr>
    </w:p>
    <w:p w14:paraId="41CBE368" w14:textId="77777777" w:rsidR="00937FA0" w:rsidRPr="00937FA0" w:rsidRDefault="00937FA0" w:rsidP="00937FA0">
      <w:pPr>
        <w:widowControl w:val="0"/>
        <w:rPr>
          <w:rFonts w:ascii="Times New Roman" w:eastAsia="Times New Roman" w:hAnsi="Times New Roman" w:cs="Times New Roman"/>
          <w:lang w:eastAsia="sl-SI"/>
        </w:rPr>
      </w:pPr>
    </w:p>
    <w:p w14:paraId="45DFDE01" w14:textId="77777777" w:rsidR="00937FA0" w:rsidRPr="00937FA0" w:rsidRDefault="00937FA0" w:rsidP="00937FA0">
      <w:pPr>
        <w:widowControl w:val="0"/>
        <w:tabs>
          <w:tab w:val="left" w:pos="567"/>
        </w:tabs>
        <w:ind w:left="0" w:firstLine="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7.</w:t>
      </w:r>
      <w:r w:rsidRPr="00937FA0">
        <w:rPr>
          <w:rFonts w:ascii="Times New Roman" w:eastAsia="Times New Roman" w:hAnsi="Times New Roman" w:cs="Times New Roman"/>
          <w:b/>
          <w:caps/>
          <w:lang w:eastAsia="sl-SI"/>
        </w:rPr>
        <w:tab/>
        <w:t>REGISTRUOTOJAS</w:t>
      </w:r>
    </w:p>
    <w:p w14:paraId="3854A24F"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1E3714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 d.d., Novo mesto</w:t>
      </w:r>
    </w:p>
    <w:p w14:paraId="2D7DED6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Šmarješka cesta 6</w:t>
      </w:r>
    </w:p>
    <w:p w14:paraId="5308D01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14:paraId="14232BF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14:paraId="245A6C0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BEE7B4B" w14:textId="77777777" w:rsidR="00937FA0" w:rsidRPr="00937FA0" w:rsidRDefault="00937FA0" w:rsidP="00937FA0">
      <w:pPr>
        <w:widowControl w:val="0"/>
        <w:rPr>
          <w:rFonts w:ascii="Times New Roman" w:eastAsia="Times New Roman" w:hAnsi="Times New Roman" w:cs="Times New Roman"/>
          <w:lang w:eastAsia="sl-SI"/>
        </w:rPr>
      </w:pPr>
    </w:p>
    <w:p w14:paraId="46FCBBAC"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8.</w:t>
      </w:r>
      <w:r w:rsidRPr="00937FA0">
        <w:rPr>
          <w:rFonts w:ascii="Times New Roman" w:eastAsia="Times New Roman" w:hAnsi="Times New Roman" w:cs="Times New Roman"/>
          <w:b/>
          <w:caps/>
          <w:lang w:eastAsia="sl-SI"/>
        </w:rPr>
        <w:tab/>
        <w:t>REGISTRACIJOS PAŽYMĖJIMO numeris (-IAI)</w:t>
      </w:r>
    </w:p>
    <w:p w14:paraId="68B87DA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55605A8"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sectPr w:rsidR="00937FA0" w:rsidRPr="00937FA0" w:rsidSect="00A91329">
          <w:headerReference w:type="even" r:id="rId9"/>
          <w:headerReference w:type="default" r:id="rId10"/>
          <w:footerReference w:type="even" r:id="rId11"/>
          <w:footerReference w:type="default" r:id="rId12"/>
          <w:headerReference w:type="first" r:id="rId13"/>
          <w:footerReference w:type="first" r:id="rId14"/>
          <w:pgSz w:w="11907" w:h="16840" w:code="9"/>
          <w:pgMar w:top="1134" w:right="1418" w:bottom="1134" w:left="1418" w:header="1021" w:footer="709" w:gutter="0"/>
          <w:cols w:space="708"/>
          <w:formProt w:val="0"/>
          <w:docGrid w:linePitch="360"/>
        </w:sectPr>
      </w:pPr>
    </w:p>
    <w:p w14:paraId="6023D8EB"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w:t>
      </w:r>
    </w:p>
    <w:p w14:paraId="5A4595DF"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LT/1/11/2530/001 – N14</w:t>
      </w:r>
    </w:p>
    <w:p w14:paraId="3A93786F"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LT/1/11/2530/002 – N15</w:t>
      </w:r>
    </w:p>
    <w:p w14:paraId="46800DCB"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LT/1/11/2530/003 – N28</w:t>
      </w:r>
    </w:p>
    <w:p w14:paraId="399E0BEC"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LT/1/11/2530/004 – N30</w:t>
      </w:r>
    </w:p>
    <w:p w14:paraId="7F3C3B24"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LT/1/11/2530/005 – N56</w:t>
      </w:r>
    </w:p>
    <w:p w14:paraId="44B5CF2F"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LT/1/11/2530/006 – N60</w:t>
      </w:r>
    </w:p>
    <w:p w14:paraId="0DDA28B3"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LT/1/11/2530/007 – N84</w:t>
      </w:r>
    </w:p>
    <w:p w14:paraId="055820B7"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LT/1/11/2530/008 – N90</w:t>
      </w:r>
    </w:p>
    <w:p w14:paraId="20EBBD1C"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LT/1/11/2530/009 – N98</w:t>
      </w:r>
    </w:p>
    <w:p w14:paraId="0EC2B09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DFD6D64"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16 mg/12,5 mg</w:t>
      </w:r>
    </w:p>
    <w:p w14:paraId="5E5A7BAE"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LT/1/11/2530/010 – N14</w:t>
      </w:r>
    </w:p>
    <w:p w14:paraId="5047A0B2"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LT/1/11/2530/011 – N15</w:t>
      </w:r>
    </w:p>
    <w:p w14:paraId="66ECA860"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LT/1/11/2530/012 – N28</w:t>
      </w:r>
    </w:p>
    <w:p w14:paraId="2004514E"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LT/1/11/2530/013 – N30</w:t>
      </w:r>
    </w:p>
    <w:p w14:paraId="60AFDC6D"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LT/1/11/2530/014 – N56</w:t>
      </w:r>
    </w:p>
    <w:p w14:paraId="55A81930"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LT/1/11/2530/015 – N60</w:t>
      </w:r>
    </w:p>
    <w:p w14:paraId="2CDB2D3E"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LT/1/11/2530/016 – N84</w:t>
      </w:r>
    </w:p>
    <w:p w14:paraId="6F635F17"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LT/1/11/2530/017 – N90</w:t>
      </w:r>
    </w:p>
    <w:p w14:paraId="5243DEB4"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LT/1/11/2530/018 – N98</w:t>
      </w:r>
    </w:p>
    <w:p w14:paraId="10C38838" w14:textId="77777777" w:rsidR="00937FA0" w:rsidRPr="00937FA0" w:rsidRDefault="00937FA0" w:rsidP="00937FA0">
      <w:pPr>
        <w:widowControl w:val="0"/>
        <w:rPr>
          <w:rFonts w:ascii="Times New Roman" w:eastAsia="Times New Roman" w:hAnsi="Times New Roman" w:cs="Times New Roman"/>
          <w:lang w:eastAsia="sl-SI"/>
        </w:rPr>
        <w:sectPr w:rsidR="00937FA0" w:rsidRPr="00937FA0" w:rsidSect="00A91329">
          <w:type w:val="continuous"/>
          <w:pgSz w:w="11907" w:h="16840" w:code="9"/>
          <w:pgMar w:top="1134" w:right="1418" w:bottom="1134" w:left="1418" w:header="1021" w:footer="709" w:gutter="0"/>
          <w:cols w:num="2" w:space="708"/>
          <w:formProt w:val="0"/>
          <w:docGrid w:linePitch="360"/>
        </w:sectPr>
      </w:pPr>
    </w:p>
    <w:p w14:paraId="384D843E"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sectPr w:rsidR="00937FA0" w:rsidRPr="00937FA0" w:rsidSect="00A91329">
          <w:type w:val="continuous"/>
          <w:pgSz w:w="11907" w:h="16840" w:code="9"/>
          <w:pgMar w:top="1134" w:right="1418" w:bottom="1134" w:left="1418" w:header="1021" w:footer="709" w:gutter="0"/>
          <w:cols w:space="708"/>
          <w:formProt w:val="0"/>
          <w:docGrid w:linePitch="360"/>
        </w:sectPr>
      </w:pPr>
    </w:p>
    <w:p w14:paraId="10D70555"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32 mg/12,5 mg</w:t>
      </w:r>
    </w:p>
    <w:p w14:paraId="23F45A4F"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LT/1/11/2530/019 – N14</w:t>
      </w:r>
    </w:p>
    <w:p w14:paraId="703946AA"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LT/1/11/2530/020 – N15</w:t>
      </w:r>
    </w:p>
    <w:p w14:paraId="6058C9EA"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LT/1/11/2530/021 – N28</w:t>
      </w:r>
    </w:p>
    <w:p w14:paraId="4946EE0C"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LT/1/11/2530/022 – N30</w:t>
      </w:r>
    </w:p>
    <w:p w14:paraId="41272C9C"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LT/1/11/2530/023 – N56</w:t>
      </w:r>
    </w:p>
    <w:p w14:paraId="16E725E1"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LT/1/11/2530/024 – N60</w:t>
      </w:r>
    </w:p>
    <w:p w14:paraId="3CA4EDF9"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LT/1/11/2530/025 – N84</w:t>
      </w:r>
    </w:p>
    <w:p w14:paraId="1E4A3D01" w14:textId="77777777" w:rsidR="00937FA0" w:rsidRPr="00937FA0" w:rsidRDefault="00937FA0" w:rsidP="00937FA0">
      <w:pPr>
        <w:widowControl w:val="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LT/1/11/2530/026 – N90</w:t>
      </w:r>
    </w:p>
    <w:p w14:paraId="21131726"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bCs/>
          <w:lang w:eastAsia="sl-SI"/>
        </w:rPr>
        <w:t>LT/1/11/2530/027 – N98</w:t>
      </w:r>
    </w:p>
    <w:p w14:paraId="746BC0BA"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32 mg/25 mg</w:t>
      </w:r>
    </w:p>
    <w:p w14:paraId="64CD9B0D"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LT/1/11/2530/028 – N14</w:t>
      </w:r>
    </w:p>
    <w:p w14:paraId="3EC228C0"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LT/1/11/2530/029 – N15</w:t>
      </w:r>
    </w:p>
    <w:p w14:paraId="39A21E39"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LT/1/11/2530/030 – N28</w:t>
      </w:r>
    </w:p>
    <w:p w14:paraId="1B6E4DB2"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LT/1/11/2530/031 – N30</w:t>
      </w:r>
    </w:p>
    <w:p w14:paraId="71A76919"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LT/1/11/2530/032 – N56</w:t>
      </w:r>
    </w:p>
    <w:p w14:paraId="3E77D034"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LT/1/11/2530/033 – N60</w:t>
      </w:r>
    </w:p>
    <w:p w14:paraId="157B38EE"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LT/1/11/2530/034 – N84</w:t>
      </w:r>
    </w:p>
    <w:p w14:paraId="3343B45D"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LT/1/11/2530/035 – N90</w:t>
      </w:r>
    </w:p>
    <w:p w14:paraId="476B2C93" w14:textId="77777777" w:rsidR="00937FA0" w:rsidRPr="00937FA0" w:rsidRDefault="00937FA0" w:rsidP="00937FA0">
      <w:pPr>
        <w:widowControl w:val="0"/>
        <w:ind w:left="0" w:firstLine="0"/>
        <w:rPr>
          <w:rFonts w:ascii="Times New Roman" w:eastAsia="Times New Roman" w:hAnsi="Times New Roman" w:cs="Times New Roman"/>
          <w:bCs/>
          <w:lang w:eastAsia="sl-SI"/>
        </w:rPr>
        <w:sectPr w:rsidR="00937FA0" w:rsidRPr="00937FA0" w:rsidSect="00A91329">
          <w:type w:val="continuous"/>
          <w:pgSz w:w="11907" w:h="16840" w:code="9"/>
          <w:pgMar w:top="1134" w:right="1418" w:bottom="1134" w:left="1418" w:header="1021" w:footer="709" w:gutter="0"/>
          <w:cols w:num="2" w:space="708"/>
          <w:formProt w:val="0"/>
          <w:docGrid w:linePitch="360"/>
        </w:sectPr>
      </w:pPr>
      <w:r w:rsidRPr="00937FA0">
        <w:rPr>
          <w:rFonts w:ascii="Times New Roman" w:eastAsia="Times New Roman" w:hAnsi="Times New Roman" w:cs="Times New Roman"/>
          <w:bCs/>
          <w:lang w:eastAsia="sl-SI"/>
        </w:rPr>
        <w:t>LT/1/11/2530/036 – N98</w:t>
      </w:r>
    </w:p>
    <w:p w14:paraId="7599E69B" w14:textId="77777777" w:rsidR="00937FA0" w:rsidRPr="00937FA0" w:rsidRDefault="00937FA0" w:rsidP="00937FA0">
      <w:pPr>
        <w:widowControl w:val="0"/>
        <w:ind w:left="0" w:firstLine="0"/>
        <w:rPr>
          <w:rFonts w:ascii="Times New Roman" w:eastAsia="Times New Roman" w:hAnsi="Times New Roman" w:cs="Times New Roman"/>
          <w:bCs/>
          <w:lang w:eastAsia="sl-SI"/>
        </w:rPr>
      </w:pPr>
    </w:p>
    <w:p w14:paraId="2C30B508" w14:textId="77777777" w:rsidR="00937FA0" w:rsidRPr="00937FA0" w:rsidRDefault="00937FA0" w:rsidP="00937FA0">
      <w:pPr>
        <w:widowControl w:val="0"/>
        <w:rPr>
          <w:rFonts w:ascii="Times New Roman" w:eastAsia="Times New Roman" w:hAnsi="Times New Roman" w:cs="Times New Roman"/>
          <w:lang w:eastAsia="sl-SI"/>
        </w:rPr>
      </w:pPr>
    </w:p>
    <w:p w14:paraId="639DBCF6"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9.</w:t>
      </w:r>
      <w:r w:rsidRPr="00937FA0">
        <w:rPr>
          <w:rFonts w:ascii="Times New Roman" w:eastAsia="Times New Roman" w:hAnsi="Times New Roman" w:cs="Times New Roman"/>
          <w:b/>
          <w:caps/>
          <w:lang w:eastAsia="sl-SI"/>
        </w:rPr>
        <w:tab/>
        <w:t>rEGISTRAVIMO / PERREGISTRAVIMO data</w:t>
      </w:r>
    </w:p>
    <w:p w14:paraId="35670707" w14:textId="77777777" w:rsidR="00937FA0" w:rsidRPr="00937FA0" w:rsidRDefault="00937FA0" w:rsidP="00937FA0">
      <w:pPr>
        <w:widowControl w:val="0"/>
        <w:rPr>
          <w:rFonts w:ascii="Times New Roman" w:eastAsia="Times New Roman" w:hAnsi="Times New Roman" w:cs="Times New Roman"/>
          <w:caps/>
          <w:lang w:eastAsia="sl-SI"/>
        </w:rPr>
      </w:pPr>
    </w:p>
    <w:p w14:paraId="4C857354" w14:textId="77777777" w:rsidR="00937FA0" w:rsidRPr="00937FA0" w:rsidRDefault="00937FA0" w:rsidP="00937FA0">
      <w:pPr>
        <w:widowControl w:val="0"/>
        <w:ind w:left="0" w:firstLine="0"/>
        <w:rPr>
          <w:rFonts w:ascii="Times New Roman" w:eastAsia="Times New Roman" w:hAnsi="Times New Roman" w:cs="Times New Roman"/>
          <w:snapToGrid w:val="0"/>
          <w:lang w:eastAsia="sl-SI"/>
        </w:rPr>
      </w:pPr>
      <w:r w:rsidRPr="00937FA0">
        <w:rPr>
          <w:rFonts w:ascii="Times New Roman" w:eastAsia="Times New Roman" w:hAnsi="Times New Roman" w:cs="Times New Roman"/>
          <w:snapToGrid w:val="0"/>
          <w:lang w:eastAsia="sl-SI"/>
        </w:rPr>
        <w:lastRenderedPageBreak/>
        <w:t>Registravimo data 2011 m. birželio 27 d.</w:t>
      </w:r>
    </w:p>
    <w:p w14:paraId="36A64AE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napToGrid w:val="0"/>
          <w:lang w:eastAsia="sl-SI"/>
        </w:rPr>
        <w:t>Paskutinio perregistravimo data 2018 m. rugsėjo 10 d.</w:t>
      </w:r>
    </w:p>
    <w:p w14:paraId="2494ADFA" w14:textId="77777777" w:rsidR="00937FA0" w:rsidRDefault="00937FA0" w:rsidP="00937FA0">
      <w:pPr>
        <w:widowControl w:val="0"/>
        <w:rPr>
          <w:rFonts w:ascii="Times New Roman" w:eastAsia="Times New Roman" w:hAnsi="Times New Roman" w:cs="Times New Roman"/>
          <w:lang w:eastAsia="sl-SI"/>
        </w:rPr>
      </w:pPr>
    </w:p>
    <w:p w14:paraId="76E327C8" w14:textId="77777777" w:rsidR="00DB01AC" w:rsidRPr="00937FA0" w:rsidRDefault="00DB01AC" w:rsidP="00937FA0">
      <w:pPr>
        <w:widowControl w:val="0"/>
        <w:rPr>
          <w:rFonts w:ascii="Times New Roman" w:eastAsia="Times New Roman" w:hAnsi="Times New Roman" w:cs="Times New Roman"/>
          <w:lang w:eastAsia="sl-SI"/>
        </w:rPr>
      </w:pPr>
    </w:p>
    <w:p w14:paraId="037A2D4E" w14:textId="77777777" w:rsidR="00937FA0" w:rsidRPr="00937FA0" w:rsidRDefault="00937FA0" w:rsidP="00937FA0">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10.</w:t>
      </w:r>
      <w:r w:rsidRPr="00937FA0">
        <w:rPr>
          <w:rFonts w:ascii="Times New Roman" w:eastAsia="Times New Roman" w:hAnsi="Times New Roman" w:cs="Times New Roman"/>
          <w:b/>
          <w:caps/>
          <w:lang w:eastAsia="sl-SI"/>
        </w:rPr>
        <w:tab/>
        <w:t>teksto peržiūros data</w:t>
      </w:r>
    </w:p>
    <w:p w14:paraId="0128B061" w14:textId="77777777" w:rsidR="00937FA0" w:rsidRPr="00937FA0" w:rsidRDefault="00937FA0" w:rsidP="00937FA0">
      <w:pPr>
        <w:widowControl w:val="0"/>
        <w:rPr>
          <w:rFonts w:ascii="Times New Roman" w:eastAsia="Times New Roman" w:hAnsi="Times New Roman" w:cs="Times New Roman"/>
          <w:lang w:eastAsia="sl-SI"/>
        </w:rPr>
      </w:pPr>
    </w:p>
    <w:p w14:paraId="11031EB5" w14:textId="059470AE" w:rsidR="00937FA0" w:rsidRPr="00937FA0" w:rsidRDefault="00C57CE4" w:rsidP="00937FA0">
      <w:pPr>
        <w:widowControl w:val="0"/>
        <w:rPr>
          <w:rFonts w:ascii="Times New Roman" w:eastAsia="Times New Roman" w:hAnsi="Times New Roman" w:cs="Times New Roman"/>
          <w:snapToGrid w:val="0"/>
          <w:lang w:eastAsia="sl-SI"/>
        </w:rPr>
      </w:pPr>
      <w:r>
        <w:rPr>
          <w:rFonts w:ascii="Times New Roman" w:eastAsia="Times New Roman" w:hAnsi="Times New Roman" w:cs="Times New Roman"/>
          <w:snapToGrid w:val="0"/>
          <w:lang w:val="en-US" w:eastAsia="sl-SI"/>
        </w:rPr>
        <w:t>2023 m. gruodžio 7 d.</w:t>
      </w:r>
    </w:p>
    <w:p w14:paraId="3FBDB256" w14:textId="77777777" w:rsidR="00937FA0" w:rsidRPr="00937FA0" w:rsidRDefault="00937FA0" w:rsidP="00937FA0">
      <w:pPr>
        <w:widowControl w:val="0"/>
        <w:rPr>
          <w:rFonts w:ascii="Times New Roman" w:eastAsia="Times New Roman" w:hAnsi="Times New Roman" w:cs="Times New Roman"/>
          <w:lang w:eastAsia="sl-SI"/>
        </w:rPr>
      </w:pPr>
    </w:p>
    <w:p w14:paraId="6B6F7581" w14:textId="77777777" w:rsidR="00937FA0" w:rsidRPr="00937FA0" w:rsidRDefault="00937FA0" w:rsidP="00937FA0">
      <w:pPr>
        <w:widowControl w:val="0"/>
        <w:rPr>
          <w:rFonts w:ascii="Times New Roman" w:eastAsia="Times New Roman" w:hAnsi="Times New Roman" w:cs="Times New Roman"/>
          <w:lang w:eastAsia="sl-SI"/>
        </w:rPr>
      </w:pPr>
    </w:p>
    <w:p w14:paraId="2DFBB95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Išsami informacija apie šį vaistinį preparatą pateikiama Valstybinės vaistų kontrolės tarnybos prie Lietuvos Respublikos sveikatos apsaugos ministerijos tinklalapyje</w:t>
      </w:r>
      <w:r w:rsidRPr="00937FA0" w:rsidDel="00946CB8">
        <w:rPr>
          <w:rFonts w:ascii="Times New Roman" w:eastAsia="Times New Roman" w:hAnsi="Times New Roman" w:cs="Times New Roman"/>
          <w:lang w:eastAsia="sl-SI"/>
        </w:rPr>
        <w:t xml:space="preserve"> </w:t>
      </w:r>
      <w:hyperlink r:id="rId15" w:history="1">
        <w:r w:rsidRPr="00937FA0">
          <w:rPr>
            <w:rFonts w:ascii="Times New Roman" w:eastAsia="Times New Roman" w:hAnsi="Times New Roman" w:cs="Times New Roman"/>
            <w:color w:val="0000FF"/>
            <w:u w:val="single"/>
            <w:lang w:eastAsia="sl-SI"/>
          </w:rPr>
          <w:t>http://www.vvkt.lt/</w:t>
        </w:r>
      </w:hyperlink>
    </w:p>
    <w:p w14:paraId="2D032D62"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DF0C118"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82CB446"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760CB353"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0486572"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468AEA3"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F009674"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498C7EA"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43A4BC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B7AD19C"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11C83B38"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9949C40"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53B12F9"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2653BE7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75BF87B1"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FC579A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5D9BCBC"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D2A5ECC"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D83A489"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E4BC8F4"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C69006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33420986"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7742ECD" w14:textId="77777777" w:rsidR="00937FA0" w:rsidRPr="00937FA0" w:rsidRDefault="00937FA0" w:rsidP="00937FA0">
      <w:pPr>
        <w:widowControl w:val="0"/>
        <w:tabs>
          <w:tab w:val="left" w:pos="567"/>
        </w:tabs>
        <w:ind w:left="0" w:firstLine="0"/>
        <w:jc w:val="center"/>
        <w:outlineLvl w:val="0"/>
        <w:rPr>
          <w:rFonts w:ascii="Times New Roman" w:eastAsia="Times New Roman" w:hAnsi="Times New Roman" w:cs="Times New Roman"/>
          <w:b/>
          <w:caps/>
          <w:lang w:eastAsia="sl-SI"/>
        </w:rPr>
      </w:pPr>
      <w:bookmarkStart w:id="5" w:name="_Toc129243128"/>
      <w:bookmarkStart w:id="6" w:name="_Toc129243253"/>
    </w:p>
    <w:p w14:paraId="755C8321"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87D5E61"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20B4887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12C61E15"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2E3ABACB"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F48D80C"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F1E34E2"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2356E83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34AFD1C7"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699ABD36"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3B502C1B"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4FB19EB"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7ED5087"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776FFEBE"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1868A7A1"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793A4EC8"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68CDB75"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3E6F74B8"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533AF8CA"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A70BADF"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A44623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206CE24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74B0F29"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145292A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C4F2607"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6BAE13C6"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72B2697"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9B51B4E"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E19E1D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53F04443"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5EAE4787"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5B1DBF3E"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14579A2"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49F4A81A"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78DA4855"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46771F8"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4BE5FB5"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92A3F38"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796F1F1E"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C990EEC"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7481A98D"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5266307C"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13AD9B3C" w14:textId="77777777" w:rsidR="009E1B6D" w:rsidRDefault="009E1B6D" w:rsidP="00937FA0">
      <w:pPr>
        <w:widowControl w:val="0"/>
        <w:tabs>
          <w:tab w:val="left" w:pos="567"/>
        </w:tabs>
        <w:jc w:val="center"/>
        <w:outlineLvl w:val="0"/>
        <w:rPr>
          <w:rFonts w:ascii="Times New Roman" w:eastAsia="Times New Roman" w:hAnsi="Times New Roman" w:cs="Times New Roman"/>
          <w:b/>
          <w:caps/>
          <w:lang w:eastAsia="sl-SI"/>
        </w:rPr>
      </w:pPr>
    </w:p>
    <w:p w14:paraId="0F342F24" w14:textId="355EDF69"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II PRIEDAS</w:t>
      </w:r>
      <w:bookmarkEnd w:id="5"/>
      <w:bookmarkEnd w:id="6"/>
    </w:p>
    <w:p w14:paraId="60012230"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2689686D"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REGISTRACIJOS SĄLYGOS</w:t>
      </w:r>
    </w:p>
    <w:p w14:paraId="0077E10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200DC08" w14:textId="77777777" w:rsidR="00937FA0" w:rsidRPr="00937FA0" w:rsidRDefault="00937FA0" w:rsidP="00937FA0">
      <w:pPr>
        <w:widowControl w:val="0"/>
        <w:tabs>
          <w:tab w:val="left" w:pos="1701"/>
        </w:tabs>
        <w:ind w:left="1701"/>
        <w:rPr>
          <w:rFonts w:ascii="Times New Roman" w:eastAsia="Times New Roman" w:hAnsi="Times New Roman" w:cs="Times New Roman"/>
          <w:b/>
          <w:highlight w:val="yellow"/>
          <w:lang w:eastAsia="sl-SI"/>
        </w:rPr>
      </w:pPr>
      <w:r w:rsidRPr="00937FA0">
        <w:rPr>
          <w:rFonts w:ascii="Times New Roman" w:eastAsia="Times New Roman" w:hAnsi="Times New Roman" w:cs="Times New Roman"/>
          <w:b/>
          <w:lang w:eastAsia="sl-SI"/>
        </w:rPr>
        <w:t>A.</w:t>
      </w:r>
      <w:r w:rsidRPr="00937FA0">
        <w:rPr>
          <w:rFonts w:ascii="Times New Roman" w:eastAsia="Times New Roman" w:hAnsi="Times New Roman" w:cs="Times New Roman"/>
          <w:b/>
          <w:lang w:eastAsia="sl-SI"/>
        </w:rPr>
        <w:tab/>
        <w:t>GAMINTOJAS (-AI), ATSAKINGAS (-I) UŽ SERIJŲ IŠLEIDIMĄ</w:t>
      </w:r>
    </w:p>
    <w:p w14:paraId="4605D681"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6902EFA9" w14:textId="77777777" w:rsidR="00937FA0" w:rsidRPr="00937FA0" w:rsidRDefault="00937FA0" w:rsidP="00937FA0">
      <w:pPr>
        <w:widowControl w:val="0"/>
        <w:tabs>
          <w:tab w:val="left" w:pos="1701"/>
        </w:tabs>
        <w:ind w:left="1701"/>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B.</w:t>
      </w:r>
      <w:r w:rsidRPr="00937FA0">
        <w:rPr>
          <w:rFonts w:ascii="Times New Roman" w:eastAsia="Times New Roman" w:hAnsi="Times New Roman" w:cs="Times New Roman"/>
          <w:b/>
          <w:lang w:eastAsia="sl-SI"/>
        </w:rPr>
        <w:tab/>
        <w:t>TIEKIMO IR VARTOJIMO SĄLYGOS AR APRIBOJIMAI</w:t>
      </w:r>
    </w:p>
    <w:p w14:paraId="30B111FE"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140C10D2" w14:textId="77777777" w:rsidR="00937FA0" w:rsidRPr="00937FA0" w:rsidRDefault="00937FA0" w:rsidP="00937FA0">
      <w:pPr>
        <w:widowControl w:val="0"/>
        <w:tabs>
          <w:tab w:val="left" w:pos="567"/>
        </w:tabs>
        <w:outlineLvl w:val="1"/>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br w:type="page"/>
      </w:r>
      <w:r w:rsidRPr="00937FA0">
        <w:rPr>
          <w:rFonts w:ascii="Times New Roman" w:eastAsia="Times New Roman" w:hAnsi="Times New Roman" w:cs="Times New Roman"/>
          <w:b/>
          <w:lang w:eastAsia="sl-SI"/>
        </w:rPr>
        <w:lastRenderedPageBreak/>
        <w:t>A.</w:t>
      </w:r>
      <w:r w:rsidRPr="00937FA0">
        <w:rPr>
          <w:rFonts w:ascii="Times New Roman" w:eastAsia="Times New Roman" w:hAnsi="Times New Roman" w:cs="Times New Roman"/>
          <w:b/>
          <w:lang w:eastAsia="sl-SI"/>
        </w:rPr>
        <w:tab/>
        <w:t>GAMINTOJAS (-AI), ATSAKINGAS (-I) UŽ SERIJŲ IŠLEIDIMĄ</w:t>
      </w:r>
    </w:p>
    <w:p w14:paraId="2DEE1012"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20EB5CD4" w14:textId="77777777" w:rsidR="00937FA0" w:rsidRPr="00937FA0" w:rsidRDefault="00937FA0" w:rsidP="00937FA0">
      <w:pPr>
        <w:widowControl w:val="0"/>
        <w:ind w:left="0" w:firstLine="0"/>
        <w:rPr>
          <w:rFonts w:ascii="Times New Roman" w:eastAsia="Times New Roman" w:hAnsi="Times New Roman" w:cs="Times New Roman"/>
          <w:u w:val="single"/>
          <w:lang w:eastAsia="sl-SI"/>
        </w:rPr>
      </w:pPr>
      <w:r w:rsidRPr="00937FA0">
        <w:rPr>
          <w:rFonts w:ascii="Times New Roman" w:eastAsia="Times New Roman" w:hAnsi="Times New Roman" w:cs="Times New Roman"/>
          <w:u w:val="single"/>
          <w:lang w:eastAsia="sl-SI"/>
        </w:rPr>
        <w:t>Gamintojo (-ų), atsakingo (-ų) už serijų išleidimą, pavadinimas (-ai) ir adresas (-ai)</w:t>
      </w:r>
    </w:p>
    <w:p w14:paraId="0055062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8D92D6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 d.d., Novo mesto</w:t>
      </w:r>
    </w:p>
    <w:p w14:paraId="1EAEB2B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Šmarješka cesta 6</w:t>
      </w:r>
    </w:p>
    <w:p w14:paraId="2F0ADB7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14:paraId="4E932F6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14:paraId="7F8EC9A6"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23DAE4D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arba</w:t>
      </w:r>
    </w:p>
    <w:p w14:paraId="1F899F3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DADC0A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TAD Pharma GmbH</w:t>
      </w:r>
    </w:p>
    <w:p w14:paraId="0DC5491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Heinz-Lohmann-Straße 5</w:t>
      </w:r>
    </w:p>
    <w:p w14:paraId="649209F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27472 Cuxhaven</w:t>
      </w:r>
    </w:p>
    <w:p w14:paraId="51961AC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Vokietija</w:t>
      </w:r>
    </w:p>
    <w:p w14:paraId="068F4042"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40A0DB4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 pakuote pateikiamame lapelyje nurodomas gamintojo, atsakingo už konkrečios serijos išleidimą, pavadinimas ir adresas.</w:t>
      </w:r>
    </w:p>
    <w:p w14:paraId="7608E837"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4EC17360"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6E740B34" w14:textId="77777777" w:rsidR="00937FA0" w:rsidRPr="00937FA0" w:rsidRDefault="00937FA0" w:rsidP="00937FA0">
      <w:pPr>
        <w:widowControl w:val="0"/>
        <w:tabs>
          <w:tab w:val="left" w:pos="567"/>
        </w:tabs>
        <w:outlineLvl w:val="1"/>
        <w:rPr>
          <w:rFonts w:ascii="Times New Roman" w:eastAsia="Times New Roman" w:hAnsi="Times New Roman" w:cs="Times New Roman"/>
          <w:b/>
          <w:lang w:eastAsia="sl-SI"/>
        </w:rPr>
      </w:pPr>
      <w:bookmarkStart w:id="7" w:name="_Toc129243129"/>
      <w:bookmarkStart w:id="8" w:name="_Toc129243254"/>
      <w:r w:rsidRPr="00937FA0">
        <w:rPr>
          <w:rFonts w:ascii="Times New Roman" w:eastAsia="Times New Roman" w:hAnsi="Times New Roman" w:cs="Times New Roman"/>
          <w:b/>
          <w:lang w:eastAsia="sl-SI"/>
        </w:rPr>
        <w:t>B.</w:t>
      </w:r>
      <w:r w:rsidRPr="00937FA0">
        <w:rPr>
          <w:rFonts w:ascii="Times New Roman" w:eastAsia="Times New Roman" w:hAnsi="Times New Roman" w:cs="Times New Roman"/>
          <w:b/>
          <w:lang w:eastAsia="sl-SI"/>
        </w:rPr>
        <w:tab/>
        <w:t>TIEKIMO IR VARTOJIMO SĄLYGOS AR APRIBOJIMAI</w:t>
      </w:r>
      <w:bookmarkEnd w:id="7"/>
      <w:bookmarkEnd w:id="8"/>
    </w:p>
    <w:p w14:paraId="74DEC83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1B3EFC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Receptinis vaistinis preparatas.</w:t>
      </w:r>
    </w:p>
    <w:p w14:paraId="0F025A45" w14:textId="77777777" w:rsidR="00937FA0" w:rsidRPr="00937FA0" w:rsidRDefault="00937FA0" w:rsidP="00937FA0">
      <w:pPr>
        <w:widowControl w:val="0"/>
        <w:ind w:left="0" w:firstLine="0"/>
        <w:rPr>
          <w:rFonts w:ascii="Times New Roman" w:eastAsia="Times New Roman" w:hAnsi="Times New Roman" w:cs="Times New Roman"/>
          <w:highlight w:val="yellow"/>
          <w:lang w:eastAsia="sl-SI"/>
        </w:rPr>
      </w:pPr>
    </w:p>
    <w:p w14:paraId="684DCCA6" w14:textId="77777777" w:rsidR="00937FA0" w:rsidRPr="00937FA0" w:rsidRDefault="00937FA0" w:rsidP="00937FA0">
      <w:pPr>
        <w:widowControl w:val="0"/>
        <w:ind w:left="0" w:firstLine="0"/>
        <w:jc w:val="center"/>
        <w:outlineLvl w:val="0"/>
        <w:rPr>
          <w:rFonts w:ascii="Times New Roman" w:eastAsia="Times New Roman" w:hAnsi="Times New Roman" w:cs="Times New Roman"/>
          <w:lang w:eastAsia="sl-SI"/>
        </w:rPr>
      </w:pPr>
    </w:p>
    <w:p w14:paraId="0BB0F65E"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br w:type="page"/>
      </w:r>
      <w:bookmarkStart w:id="9" w:name="_Toc129243134"/>
      <w:bookmarkStart w:id="10" w:name="_Toc129243259"/>
    </w:p>
    <w:p w14:paraId="1EE82381"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4AA6DDE9"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7E9C0982"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4325C693"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1B3FC31B"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782CA425"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63A20844"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5A23F709"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30C90869"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2B546C74"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60D15C7B"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5AD5B951"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54334213"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4D7AB116"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76E87F31"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506471B6"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386B3726"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042F7317"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2B5EFB5E"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75DE1FF5"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657CFFE6"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07720B2D" w14:textId="77777777" w:rsidR="00937FA0" w:rsidRPr="00937FA0" w:rsidRDefault="00937FA0" w:rsidP="00937FA0">
      <w:pPr>
        <w:widowControl w:val="0"/>
        <w:tabs>
          <w:tab w:val="left" w:pos="567"/>
        </w:tabs>
        <w:ind w:left="0" w:firstLine="0"/>
        <w:jc w:val="center"/>
        <w:outlineLvl w:val="0"/>
        <w:rPr>
          <w:rFonts w:ascii="Times New Roman" w:eastAsia="Times New Roman" w:hAnsi="Times New Roman" w:cs="Times New Roman"/>
          <w:b/>
          <w:caps/>
          <w:lang w:eastAsia="sl-SI"/>
        </w:rPr>
      </w:pPr>
    </w:p>
    <w:p w14:paraId="3D23710C"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p>
    <w:p w14:paraId="13B4BFF0"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III PRIEDAS</w:t>
      </w:r>
      <w:bookmarkEnd w:id="9"/>
      <w:bookmarkEnd w:id="10"/>
    </w:p>
    <w:p w14:paraId="1834273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3D13855"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bookmarkStart w:id="11" w:name="_Toc129243135"/>
      <w:bookmarkStart w:id="12" w:name="_Toc129243260"/>
      <w:r w:rsidRPr="00937FA0">
        <w:rPr>
          <w:rFonts w:ascii="Times New Roman" w:eastAsia="Times New Roman" w:hAnsi="Times New Roman" w:cs="Times New Roman"/>
          <w:b/>
          <w:caps/>
          <w:lang w:eastAsia="sl-SI"/>
        </w:rPr>
        <w:t>ŽENKLINIMAS IR PAKUOTĖS LAPELIS</w:t>
      </w:r>
      <w:bookmarkEnd w:id="11"/>
      <w:bookmarkEnd w:id="12"/>
    </w:p>
    <w:p w14:paraId="2C6AD611"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19A32511"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22D1BD51"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br w:type="page"/>
      </w:r>
    </w:p>
    <w:p w14:paraId="6358927B"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57F87284"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14E1920"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5C26E566"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5B3B4ECC"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0D4AD2A9"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0A805C1D"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95A7948"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1EEBBA91"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54610672"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29411EFA"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424E3550"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4D600565"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7BBCA88"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A55B13F"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447DC92E"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289BB6F7"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8C6DF9E"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007DB1F4"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120935D"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09C239B2"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7B2C17AF" w14:textId="77777777" w:rsidR="00937FA0" w:rsidRPr="00937FA0" w:rsidRDefault="00937FA0" w:rsidP="00937FA0">
      <w:pPr>
        <w:widowControl w:val="0"/>
        <w:ind w:left="0" w:firstLine="0"/>
        <w:jc w:val="center"/>
        <w:outlineLvl w:val="0"/>
        <w:rPr>
          <w:rFonts w:ascii="Times New Roman" w:eastAsia="Times New Roman" w:hAnsi="Times New Roman" w:cs="Times New Roman"/>
          <w:b/>
          <w:szCs w:val="20"/>
          <w:lang w:eastAsia="sl-SI"/>
        </w:rPr>
      </w:pPr>
    </w:p>
    <w:p w14:paraId="6595935A"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bookmarkStart w:id="13" w:name="_Toc129243136"/>
      <w:bookmarkStart w:id="14" w:name="_Toc129243261"/>
    </w:p>
    <w:p w14:paraId="3642CA6C"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A. ŽENKLINIMAS</w:t>
      </w:r>
      <w:bookmarkEnd w:id="13"/>
      <w:bookmarkEnd w:id="14"/>
    </w:p>
    <w:p w14:paraId="3B5C6C33" w14:textId="77777777" w:rsidR="00937FA0" w:rsidRPr="00937FA0" w:rsidRDefault="00937FA0" w:rsidP="00937FA0">
      <w:pPr>
        <w:widowControl w:val="0"/>
        <w:shd w:val="clear" w:color="auto" w:fill="FFFFFF"/>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br w:type="page"/>
      </w:r>
    </w:p>
    <w:p w14:paraId="63AFA7A2"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lastRenderedPageBreak/>
        <w:t>INFORMACIJA ANT IŠORINĖS PAKUOTĖS</w:t>
      </w:r>
    </w:p>
    <w:p w14:paraId="64BEDA26"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rPr>
          <w:rFonts w:ascii="Times New Roman" w:eastAsia="Times New Roman" w:hAnsi="Times New Roman" w:cs="Times New Roman"/>
          <w:bCs/>
          <w:lang w:eastAsia="sl-SI"/>
        </w:rPr>
      </w:pPr>
    </w:p>
    <w:p w14:paraId="08C3DE04"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
          <w:lang w:eastAsia="sl-SI"/>
        </w:rPr>
        <w:t>KARTONO DĖŽUTĖ</w:t>
      </w:r>
    </w:p>
    <w:p w14:paraId="5D28FCB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874F53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9EF2F6C"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w:t>
      </w:r>
      <w:r w:rsidRPr="00937FA0">
        <w:rPr>
          <w:rFonts w:ascii="Times New Roman" w:eastAsia="Times New Roman" w:hAnsi="Times New Roman" w:cs="Times New Roman"/>
          <w:b/>
          <w:lang w:eastAsia="sl-SI"/>
        </w:rPr>
        <w:tab/>
        <w:t>VAISTINIO PREPARATO PAVADINIMAS</w:t>
      </w:r>
    </w:p>
    <w:p w14:paraId="37FAF4D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18E9A58"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w:t>
      </w:r>
    </w:p>
    <w:p w14:paraId="46C3E016"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16 mg/12,5 mg tabletės</w:t>
      </w:r>
    </w:p>
    <w:p w14:paraId="637875B8"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32 mg/12,5 mg tabletės</w:t>
      </w:r>
    </w:p>
    <w:p w14:paraId="1F4909DC"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Canocombi 32 mg/25 mg tabletės</w:t>
      </w:r>
    </w:p>
    <w:p w14:paraId="500BF39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58DE52A" w14:textId="77777777" w:rsidR="00937FA0" w:rsidRPr="00937FA0" w:rsidRDefault="0049558C" w:rsidP="00937FA0">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937FA0" w:rsidRPr="00937FA0">
        <w:rPr>
          <w:rFonts w:ascii="Times New Roman" w:eastAsia="Times New Roman" w:hAnsi="Times New Roman" w:cs="Times New Roman"/>
          <w:lang w:eastAsia="sl-SI"/>
        </w:rPr>
        <w:t>andesartano cileksetilas/</w:t>
      </w:r>
      <w:r>
        <w:rPr>
          <w:rFonts w:ascii="Times New Roman" w:eastAsia="Times New Roman" w:hAnsi="Times New Roman" w:cs="Times New Roman"/>
          <w:lang w:eastAsia="sl-SI"/>
        </w:rPr>
        <w:t>h</w:t>
      </w:r>
      <w:r w:rsidR="00937FA0" w:rsidRPr="00937FA0">
        <w:rPr>
          <w:rFonts w:ascii="Times New Roman" w:eastAsia="Times New Roman" w:hAnsi="Times New Roman" w:cs="Times New Roman"/>
          <w:lang w:eastAsia="sl-SI"/>
        </w:rPr>
        <w:t>idrochlorotiazidas</w:t>
      </w:r>
    </w:p>
    <w:p w14:paraId="5F9D644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41C165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490C8D7"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2.</w:t>
      </w:r>
      <w:r w:rsidRPr="00937FA0">
        <w:rPr>
          <w:rFonts w:ascii="Times New Roman" w:eastAsia="Times New Roman" w:hAnsi="Times New Roman" w:cs="Times New Roman"/>
          <w:b/>
          <w:lang w:eastAsia="sl-SI"/>
        </w:rPr>
        <w:tab/>
        <w:t>VEIKLIOJI (-IOS) MEDŽIAGA (-OS) IR JOS (-Ų) KIEKIS (-IAI)</w:t>
      </w:r>
    </w:p>
    <w:p w14:paraId="3175A86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9CAA8D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Kiekvienoje tabletėje yra 8 mg kandesartano cileksetilo ir 12,5 mg hidrochlorotiazido.</w:t>
      </w:r>
    </w:p>
    <w:p w14:paraId="3EBC6B78"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Kiekvienoje tabletėje yra 16 mg kandesartano cileksetilo ir 12,5 mg hidrochlorotiazido.</w:t>
      </w:r>
    </w:p>
    <w:p w14:paraId="5D739DE1"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Kiekvienoje tabletėje yra 32 mg kandesartano cileksetilo ir 12,5 mg hidrochlorotiazido.</w:t>
      </w:r>
    </w:p>
    <w:p w14:paraId="377C9EED"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Kiekvienoje tabletėje yra 32 mg kandesartano cileksetilo ir 25 mg hidrochlorotiazido.</w:t>
      </w:r>
    </w:p>
    <w:p w14:paraId="42E9A9F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9292CBD"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BA60C40"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b/>
          <w:lang w:eastAsia="sl-SI"/>
        </w:rPr>
        <w:t>3.</w:t>
      </w:r>
      <w:r w:rsidRPr="00937FA0">
        <w:rPr>
          <w:rFonts w:ascii="Times New Roman" w:eastAsia="Times New Roman" w:hAnsi="Times New Roman" w:cs="Times New Roman"/>
          <w:b/>
          <w:lang w:eastAsia="sl-SI"/>
        </w:rPr>
        <w:tab/>
        <w:t>PAGALBINIŲ MEDŽIAGŲ SĄRAŠAS</w:t>
      </w:r>
    </w:p>
    <w:p w14:paraId="0C30D8E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8FEE89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Sudėtyje yra laktozės.</w:t>
      </w:r>
    </w:p>
    <w:p w14:paraId="762DE9A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Daugiau informacijos pateikta pakuotės lapelyje.</w:t>
      </w:r>
    </w:p>
    <w:p w14:paraId="5A69B51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454EBE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8EBC241"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4.</w:t>
      </w:r>
      <w:r w:rsidRPr="00937FA0">
        <w:rPr>
          <w:rFonts w:ascii="Times New Roman" w:eastAsia="Times New Roman" w:hAnsi="Times New Roman" w:cs="Times New Roman"/>
          <w:b/>
          <w:lang w:eastAsia="sl-SI"/>
        </w:rPr>
        <w:tab/>
        <w:t>FARMACINĖ FORMA IR KIEKIS PAKUOTĖJE</w:t>
      </w:r>
    </w:p>
    <w:p w14:paraId="37882BA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E00738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Tabletė</w:t>
      </w:r>
    </w:p>
    <w:p w14:paraId="725DAAA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E69D9E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14 tablečių</w:t>
      </w:r>
    </w:p>
    <w:p w14:paraId="0DD98D80"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15 tablečių</w:t>
      </w:r>
    </w:p>
    <w:p w14:paraId="6E16106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28 tabletės</w:t>
      </w:r>
    </w:p>
    <w:p w14:paraId="5F806CBA"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30 tablečių</w:t>
      </w:r>
    </w:p>
    <w:p w14:paraId="5CD7FAA7"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56 tabletės</w:t>
      </w:r>
    </w:p>
    <w:p w14:paraId="64B7C5C3"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60 tablečių</w:t>
      </w:r>
    </w:p>
    <w:p w14:paraId="792AB5A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84 tabletės</w:t>
      </w:r>
    </w:p>
    <w:p w14:paraId="7687FCD7"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90 tablečių</w:t>
      </w:r>
    </w:p>
    <w:p w14:paraId="59FBCC6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98 tabletės</w:t>
      </w:r>
    </w:p>
    <w:p w14:paraId="2BDD4E7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4188DF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D0B08EF"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b/>
          <w:lang w:eastAsia="sl-SI"/>
        </w:rPr>
        <w:t>5.</w:t>
      </w:r>
      <w:r w:rsidRPr="00937FA0">
        <w:rPr>
          <w:rFonts w:ascii="Times New Roman" w:eastAsia="Times New Roman" w:hAnsi="Times New Roman" w:cs="Times New Roman"/>
          <w:b/>
          <w:lang w:eastAsia="sl-SI"/>
        </w:rPr>
        <w:tab/>
        <w:t>VARTOJIMO METODAS IR BŪDAS (-AI)</w:t>
      </w:r>
    </w:p>
    <w:p w14:paraId="4B62883F"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1E11C769"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Prieš vartojimą perskaitykite pakuotės lapelį.</w:t>
      </w:r>
    </w:p>
    <w:p w14:paraId="2B1BB78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Vartoti per burną.</w:t>
      </w:r>
    </w:p>
    <w:p w14:paraId="615D5CB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5BB813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5584065" w14:textId="77777777" w:rsidR="00937FA0" w:rsidRPr="00937FA0" w:rsidRDefault="00937FA0" w:rsidP="00937FA0">
      <w:pPr>
        <w:widowControl w:val="0"/>
        <w:pBdr>
          <w:top w:val="single" w:sz="4" w:space="0"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6.</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bCs/>
          <w:lang w:eastAsia="sl-SI"/>
        </w:rPr>
        <w:t>SPECIALUS ĮSPĖJIMAS, KAD VAISTINĮ PREPARATĄ BŪTINA LAIKYTI VAIKAMS NEPASTEBIMOJE IR NEPASIEKIAMOJE VIETOJE</w:t>
      </w:r>
    </w:p>
    <w:p w14:paraId="75AB256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1C5C70A" w14:textId="77777777" w:rsidR="00937FA0" w:rsidRPr="00937FA0" w:rsidRDefault="00937FA0" w:rsidP="00937FA0">
      <w:pPr>
        <w:widowControl w:val="0"/>
        <w:ind w:left="0" w:firstLine="0"/>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Laikyti vaikams nepastebimoje ir nepasiekiamoje vietoje.</w:t>
      </w:r>
    </w:p>
    <w:p w14:paraId="5B71AB84"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2CDBB7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99DE69A"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b/>
          <w:lang w:eastAsia="sl-SI"/>
        </w:rPr>
        <w:t>7.</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bCs/>
          <w:lang w:eastAsia="sl-SI"/>
        </w:rPr>
        <w:t>KITAS (-I) SPECIALUS (-ŪS) ĮSPĖJIMAS (-AI) (JEI REIKIA)</w:t>
      </w:r>
    </w:p>
    <w:p w14:paraId="59A46D0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3F7592C"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324A63C"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b/>
          <w:lang w:eastAsia="sl-SI"/>
        </w:rPr>
        <w:t>8.</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bCs/>
          <w:lang w:eastAsia="sl-SI"/>
        </w:rPr>
        <w:t>TINKAMUMO LAIKAS</w:t>
      </w:r>
    </w:p>
    <w:p w14:paraId="0009F69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945811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EXP (mm/MMMM)</w:t>
      </w:r>
    </w:p>
    <w:p w14:paraId="1A76AD8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highlight w:val="lightGray"/>
          <w:lang w:eastAsia="sl-SI"/>
        </w:rPr>
        <w:t>Tinka iki (mm/MMMM)</w:t>
      </w:r>
    </w:p>
    <w:p w14:paraId="55EB9E1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B1D2A7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8F34238"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9.</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SPECIALIOS laikymo sąlygos</w:t>
      </w:r>
    </w:p>
    <w:p w14:paraId="6740252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2DE1599" w14:textId="77777777" w:rsidR="00937FA0" w:rsidRPr="00937FA0" w:rsidRDefault="00937FA0" w:rsidP="00937FA0">
      <w:pPr>
        <w:widowControl w:val="0"/>
        <w:ind w:left="0" w:firstLine="0"/>
        <w:rPr>
          <w:rFonts w:ascii="Times New Roman" w:eastAsia="Times New Roman" w:hAnsi="Times New Roman" w:cs="Times New Roman"/>
          <w:szCs w:val="20"/>
          <w:highlight w:val="lightGray"/>
          <w:u w:val="single"/>
          <w:lang w:eastAsia="sl-SI"/>
        </w:rPr>
      </w:pPr>
      <w:r w:rsidRPr="00937FA0">
        <w:rPr>
          <w:rFonts w:ascii="Times New Roman" w:eastAsia="Times New Roman" w:hAnsi="Times New Roman" w:cs="Times New Roman"/>
          <w:szCs w:val="20"/>
          <w:highlight w:val="lightGray"/>
          <w:u w:val="single"/>
          <w:lang w:eastAsia="sl-SI"/>
        </w:rPr>
        <w:t>PVC/PVDC plėvelės ir aliuminio folijos lizdinės plokštelės</w:t>
      </w:r>
    </w:p>
    <w:p w14:paraId="3CEF4C8C" w14:textId="69268A15"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Laikyti ne aukštesnėje kaip 30</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sym w:font="Symbol" w:char="F0B0"/>
      </w:r>
      <w:r w:rsidRPr="00937FA0">
        <w:rPr>
          <w:rFonts w:ascii="Times New Roman" w:eastAsia="Times New Roman" w:hAnsi="Times New Roman" w:cs="Times New Roman"/>
          <w:lang w:eastAsia="sl-SI"/>
        </w:rPr>
        <w:t>C temperatūroje.</w:t>
      </w:r>
    </w:p>
    <w:p w14:paraId="43587904"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34276658" w14:textId="77777777" w:rsidR="00937FA0" w:rsidRPr="00937FA0" w:rsidRDefault="00937FA0" w:rsidP="00937FA0">
      <w:pPr>
        <w:widowControl w:val="0"/>
        <w:rPr>
          <w:rFonts w:ascii="Times New Roman" w:eastAsia="Times New Roman" w:hAnsi="Times New Roman" w:cs="Times New Roman"/>
          <w:lang w:eastAsia="sl-SI"/>
        </w:rPr>
      </w:pPr>
    </w:p>
    <w:p w14:paraId="668E1A47"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10.</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specialios atsargumo priemonės DĖL NESUVARTOTO</w:t>
      </w:r>
      <w:r w:rsidRPr="00937FA0">
        <w:rPr>
          <w:rFonts w:ascii="Times New Roman" w:eastAsia="Times New Roman" w:hAnsi="Times New Roman" w:cs="Times New Roman"/>
          <w:b/>
          <w:bCs/>
          <w:lang w:eastAsia="sl-SI"/>
        </w:rPr>
        <w:t xml:space="preserve"> </w:t>
      </w:r>
      <w:r w:rsidRPr="00937FA0">
        <w:rPr>
          <w:rFonts w:ascii="Times New Roman" w:eastAsia="Times New Roman" w:hAnsi="Times New Roman" w:cs="Times New Roman"/>
          <w:b/>
          <w:bCs/>
          <w:caps/>
          <w:lang w:eastAsia="sl-SI"/>
        </w:rPr>
        <w:t>VAISTINIO PREPARATO AR JO ATLIEKŲ</w:t>
      </w:r>
      <w:r w:rsidRPr="00937FA0">
        <w:rPr>
          <w:rFonts w:ascii="Times New Roman" w:eastAsia="Times New Roman" w:hAnsi="Times New Roman" w:cs="Times New Roman"/>
          <w:caps/>
          <w:lang w:eastAsia="sl-SI"/>
        </w:rPr>
        <w:t xml:space="preserve"> </w:t>
      </w:r>
      <w:r w:rsidRPr="00937FA0">
        <w:rPr>
          <w:rFonts w:ascii="Times New Roman" w:eastAsia="Times New Roman" w:hAnsi="Times New Roman" w:cs="Times New Roman"/>
          <w:b/>
          <w:bCs/>
          <w:caps/>
          <w:lang w:eastAsia="sl-SI"/>
        </w:rPr>
        <w:t>TVARKYMO</w:t>
      </w:r>
      <w:r w:rsidRPr="00937FA0">
        <w:rPr>
          <w:rFonts w:ascii="Times New Roman" w:eastAsia="Times New Roman" w:hAnsi="Times New Roman" w:cs="Times New Roman"/>
          <w:b/>
          <w:caps/>
          <w:lang w:eastAsia="sl-SI"/>
        </w:rPr>
        <w:t xml:space="preserve"> (jei reikia)</w:t>
      </w:r>
    </w:p>
    <w:p w14:paraId="74930D9A"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87DB7C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A00C17D"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11.</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REGISTRUOTOJO pavadinimas ir adresas</w:t>
      </w:r>
    </w:p>
    <w:p w14:paraId="2A0B8A9D"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7D1775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 d.d., Novo mesto, Šmarješka cesta 6, 8501 Novo mesto, Slovėnija</w:t>
      </w:r>
    </w:p>
    <w:p w14:paraId="59DBF0F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5B7FB96"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E3B8ABF"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12.</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REGISTRACIJOS PAŽYMĖJIMO numeris (-IAI)</w:t>
      </w:r>
    </w:p>
    <w:p w14:paraId="2D46B8C0"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D2A5ECB" w14:textId="77777777" w:rsidR="00937FA0" w:rsidRPr="00937FA0" w:rsidRDefault="00937FA0" w:rsidP="00937FA0">
      <w:pPr>
        <w:widowControl w:val="0"/>
        <w:ind w:left="0" w:firstLine="0"/>
        <w:rPr>
          <w:rFonts w:ascii="Times New Roman" w:eastAsia="Times New Roman" w:hAnsi="Times New Roman" w:cs="Times New Roman"/>
          <w:szCs w:val="20"/>
          <w:highlight w:val="lightGray"/>
          <w:u w:val="single"/>
          <w:lang w:eastAsia="sl-SI"/>
        </w:rPr>
      </w:pPr>
      <w:r w:rsidRPr="00937FA0">
        <w:rPr>
          <w:rFonts w:ascii="Times New Roman" w:eastAsia="Times New Roman" w:hAnsi="Times New Roman" w:cs="Times New Roman"/>
          <w:szCs w:val="20"/>
          <w:highlight w:val="lightGray"/>
          <w:u w:val="single"/>
          <w:lang w:eastAsia="sl-SI"/>
        </w:rPr>
        <w:t>Canocombi 8 mg/12,5 mg</w:t>
      </w:r>
    </w:p>
    <w:p w14:paraId="2D833856"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bCs/>
          <w:lang w:eastAsia="sl-SI"/>
        </w:rPr>
        <w:t xml:space="preserve">LT/1/11/2530/001 </w:t>
      </w:r>
      <w:r w:rsidRPr="00937FA0">
        <w:rPr>
          <w:rFonts w:ascii="Times New Roman" w:eastAsia="Times New Roman" w:hAnsi="Times New Roman" w:cs="Times New Roman"/>
          <w:szCs w:val="20"/>
          <w:highlight w:val="lightGray"/>
          <w:lang w:eastAsia="sl-SI"/>
        </w:rPr>
        <w:t>– N14</w:t>
      </w:r>
    </w:p>
    <w:p w14:paraId="1E1503A0"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LT/1/11/2530/002 – N15</w:t>
      </w:r>
    </w:p>
    <w:p w14:paraId="2738D66F"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LT/1/11/2530/003 – N28</w:t>
      </w:r>
    </w:p>
    <w:p w14:paraId="4A873AD6"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LT/1/11/2530/004 – N30</w:t>
      </w:r>
    </w:p>
    <w:p w14:paraId="40E90DC4"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LT/1/11/2530/005 – N56</w:t>
      </w:r>
    </w:p>
    <w:p w14:paraId="47C1F2D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LT/1/11/2530/006 – N60</w:t>
      </w:r>
    </w:p>
    <w:p w14:paraId="768F003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LT/1/11/2530/007 – N84</w:t>
      </w:r>
    </w:p>
    <w:p w14:paraId="6709434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LT/1/11/2530/008 – N90</w:t>
      </w:r>
    </w:p>
    <w:p w14:paraId="6968000B"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LT/1/11/2530/009 – N98</w:t>
      </w:r>
    </w:p>
    <w:p w14:paraId="55D697BC" w14:textId="77777777" w:rsidR="00937FA0" w:rsidRPr="00937FA0" w:rsidRDefault="00937FA0" w:rsidP="00937FA0">
      <w:pPr>
        <w:widowControl w:val="0"/>
        <w:ind w:left="0" w:firstLine="0"/>
        <w:rPr>
          <w:rFonts w:ascii="Times New Roman" w:eastAsia="Times New Roman" w:hAnsi="Times New Roman" w:cs="Times New Roman"/>
          <w:szCs w:val="20"/>
          <w:highlight w:val="lightGray"/>
          <w:u w:val="single"/>
          <w:lang w:eastAsia="sl-SI"/>
        </w:rPr>
      </w:pPr>
      <w:r w:rsidRPr="00937FA0">
        <w:rPr>
          <w:rFonts w:ascii="Times New Roman" w:eastAsia="Times New Roman" w:hAnsi="Times New Roman" w:cs="Times New Roman"/>
          <w:szCs w:val="20"/>
          <w:highlight w:val="lightGray"/>
          <w:u w:val="single"/>
          <w:lang w:eastAsia="sl-SI"/>
        </w:rPr>
        <w:t>Canocombi 16 mg/12,5 mg</w:t>
      </w:r>
    </w:p>
    <w:p w14:paraId="2487FD2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LT/1/11/2530/010 – N14</w:t>
      </w:r>
    </w:p>
    <w:p w14:paraId="1007DD06"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LT/1/11/2530/011 – N15</w:t>
      </w:r>
    </w:p>
    <w:p w14:paraId="18B6DB77"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LT/1/11/2530/012 – N28</w:t>
      </w:r>
    </w:p>
    <w:p w14:paraId="3A0E251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LT/1/11/2530/013 – N30</w:t>
      </w:r>
    </w:p>
    <w:p w14:paraId="4BB2D547"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LT/1/11/2530/014 – N56</w:t>
      </w:r>
    </w:p>
    <w:p w14:paraId="26ACD56B"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LT/1/11/2530/015 – N60</w:t>
      </w:r>
    </w:p>
    <w:p w14:paraId="4F842E6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LT/1/11/2530/016 – N84</w:t>
      </w:r>
    </w:p>
    <w:p w14:paraId="1CF61385"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LT/1/11/2530/017 – N90</w:t>
      </w:r>
    </w:p>
    <w:p w14:paraId="27579BD3"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LT/1/11/2530/018 – N98</w:t>
      </w:r>
    </w:p>
    <w:p w14:paraId="6701C491" w14:textId="77777777" w:rsidR="00937FA0" w:rsidRPr="00937FA0" w:rsidRDefault="00937FA0" w:rsidP="00937FA0">
      <w:pPr>
        <w:widowControl w:val="0"/>
        <w:ind w:left="0" w:firstLine="0"/>
        <w:rPr>
          <w:rFonts w:ascii="Times New Roman" w:eastAsia="Times New Roman" w:hAnsi="Times New Roman" w:cs="Times New Roman"/>
          <w:szCs w:val="20"/>
          <w:highlight w:val="lightGray"/>
          <w:u w:val="single"/>
          <w:lang w:eastAsia="sl-SI"/>
        </w:rPr>
      </w:pPr>
      <w:r w:rsidRPr="00937FA0">
        <w:rPr>
          <w:rFonts w:ascii="Times New Roman" w:eastAsia="Times New Roman" w:hAnsi="Times New Roman" w:cs="Times New Roman"/>
          <w:szCs w:val="20"/>
          <w:highlight w:val="lightGray"/>
          <w:u w:val="single"/>
          <w:lang w:eastAsia="sl-SI"/>
        </w:rPr>
        <w:t>Canocombi 32 mg/12,5 mg</w:t>
      </w:r>
    </w:p>
    <w:p w14:paraId="49DEE37D"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LT/1/11/2530/019 – N14</w:t>
      </w:r>
    </w:p>
    <w:p w14:paraId="06CA1312"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LT/1/11/2530/020 – N15</w:t>
      </w:r>
    </w:p>
    <w:p w14:paraId="114A5928"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LT/1/11/2530/021 – N28</w:t>
      </w:r>
    </w:p>
    <w:p w14:paraId="6C4B0F2C"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LT/1/11/2530/022 – N30</w:t>
      </w:r>
    </w:p>
    <w:p w14:paraId="1691FB4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LT/1/11/2530/023 – N56</w:t>
      </w:r>
    </w:p>
    <w:p w14:paraId="79629D9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LT/1/11/2530/024 – N60</w:t>
      </w:r>
    </w:p>
    <w:p w14:paraId="5744F49C"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LT/1/11/2530/025 – N84</w:t>
      </w:r>
    </w:p>
    <w:p w14:paraId="0B68F298"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lastRenderedPageBreak/>
        <w:t>LT/1/11/2530/026 – N90</w:t>
      </w:r>
    </w:p>
    <w:p w14:paraId="542F769A"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LT/1/11/2530/027 – N98</w:t>
      </w:r>
    </w:p>
    <w:p w14:paraId="3BE5D36D" w14:textId="77777777" w:rsidR="00937FA0" w:rsidRPr="00937FA0" w:rsidRDefault="00937FA0" w:rsidP="00937FA0">
      <w:pPr>
        <w:widowControl w:val="0"/>
        <w:ind w:left="0" w:firstLine="0"/>
        <w:rPr>
          <w:rFonts w:ascii="Times New Roman" w:eastAsia="Times New Roman" w:hAnsi="Times New Roman" w:cs="Times New Roman"/>
          <w:szCs w:val="20"/>
          <w:highlight w:val="lightGray"/>
          <w:u w:val="single"/>
          <w:lang w:eastAsia="sl-SI"/>
        </w:rPr>
      </w:pPr>
      <w:r w:rsidRPr="00937FA0">
        <w:rPr>
          <w:rFonts w:ascii="Times New Roman" w:eastAsia="Times New Roman" w:hAnsi="Times New Roman" w:cs="Times New Roman"/>
          <w:szCs w:val="20"/>
          <w:highlight w:val="lightGray"/>
          <w:u w:val="single"/>
          <w:lang w:eastAsia="sl-SI"/>
        </w:rPr>
        <w:t>Canocombi 32 mg/25 mg</w:t>
      </w:r>
    </w:p>
    <w:p w14:paraId="7AECE27F"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LT/1/11/2530/028 – N14</w:t>
      </w:r>
    </w:p>
    <w:p w14:paraId="6CBA238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LT/1/11/2530/029 – N15</w:t>
      </w:r>
    </w:p>
    <w:p w14:paraId="3BF2334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LT/1/11/2530/030 – N28</w:t>
      </w:r>
    </w:p>
    <w:p w14:paraId="55A63C61"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LT/1/11/2530/031 – N30</w:t>
      </w:r>
    </w:p>
    <w:p w14:paraId="65672C4E"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LT/1/11/2530/032 – N56</w:t>
      </w:r>
    </w:p>
    <w:p w14:paraId="421B88B9"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LT/1/11/2530/033 – N60</w:t>
      </w:r>
    </w:p>
    <w:p w14:paraId="3558F9A0"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LT/1/11/2530/034 – N84</w:t>
      </w:r>
    </w:p>
    <w:p w14:paraId="316D2F7D"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LT/1/11/2530/035 – N90</w:t>
      </w:r>
    </w:p>
    <w:p w14:paraId="44C3A960"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LT/1/11/2530/036 – N98</w:t>
      </w:r>
    </w:p>
    <w:p w14:paraId="21458EFC" w14:textId="77777777" w:rsidR="00937FA0" w:rsidRPr="00937FA0" w:rsidRDefault="00937FA0" w:rsidP="00937FA0">
      <w:pPr>
        <w:widowControl w:val="0"/>
        <w:ind w:left="0" w:firstLine="0"/>
        <w:rPr>
          <w:rFonts w:ascii="Times New Roman" w:eastAsia="Times New Roman" w:hAnsi="Times New Roman" w:cs="Times New Roman"/>
          <w:szCs w:val="20"/>
          <w:highlight w:val="lightGray"/>
          <w:lang w:eastAsia="sl-SI"/>
        </w:rPr>
      </w:pPr>
    </w:p>
    <w:p w14:paraId="048B1B7D"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7AA37E4"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13.</w:t>
      </w:r>
      <w:r w:rsidRPr="00937FA0">
        <w:rPr>
          <w:rFonts w:ascii="Times New Roman" w:eastAsia="Times New Roman" w:hAnsi="Times New Roman" w:cs="Times New Roman"/>
          <w:b/>
          <w:lang w:eastAsia="sl-SI"/>
        </w:rPr>
        <w:tab/>
        <w:t>SERIJOS NUMERIS</w:t>
      </w:r>
    </w:p>
    <w:p w14:paraId="082F097D"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F8BA3D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Lot</w:t>
      </w:r>
    </w:p>
    <w:p w14:paraId="7B19B8C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highlight w:val="lightGray"/>
          <w:lang w:eastAsia="sl-SI"/>
        </w:rPr>
        <w:t>Serija</w:t>
      </w:r>
    </w:p>
    <w:p w14:paraId="24D3DC81"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EBF0BB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323156EE"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14.</w:t>
      </w:r>
      <w:r w:rsidRPr="00937FA0">
        <w:rPr>
          <w:rFonts w:ascii="Times New Roman" w:eastAsia="Times New Roman" w:hAnsi="Times New Roman" w:cs="Times New Roman"/>
          <w:b/>
          <w:lang w:eastAsia="sl-SI"/>
        </w:rPr>
        <w:tab/>
        <w:t>PARDAVIMO (IŠDAVIMO)</w:t>
      </w:r>
      <w:r w:rsidRPr="00937FA0">
        <w:rPr>
          <w:rFonts w:ascii="Times New Roman" w:eastAsia="Times New Roman" w:hAnsi="Times New Roman" w:cs="Times New Roman"/>
          <w:b/>
          <w:caps/>
          <w:lang w:eastAsia="sl-SI"/>
        </w:rPr>
        <w:t xml:space="preserve"> tvarka</w:t>
      </w:r>
    </w:p>
    <w:p w14:paraId="29E0AE39"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B88784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Receptinis vaistas.</w:t>
      </w:r>
    </w:p>
    <w:p w14:paraId="2D7C19A2"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CF038C4"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6BE73AB"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15.</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vartojimo instrukcijA</w:t>
      </w:r>
    </w:p>
    <w:p w14:paraId="0368575E"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54EC6885"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0C729913" w14:textId="77777777" w:rsidR="00937FA0" w:rsidRPr="00937FA0" w:rsidRDefault="00937FA0" w:rsidP="00937FA0">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16.</w:t>
      </w:r>
      <w:r w:rsidRPr="00937FA0">
        <w:rPr>
          <w:rFonts w:ascii="Times New Roman" w:eastAsia="Times New Roman" w:hAnsi="Times New Roman" w:cs="Times New Roman"/>
          <w:b/>
          <w:lang w:eastAsia="sl-SI"/>
        </w:rPr>
        <w:tab/>
        <w:t>INFORMACIJA BRAILIO RAŠTU</w:t>
      </w:r>
    </w:p>
    <w:p w14:paraId="236730D1"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48C87D45"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w:t>
      </w:r>
    </w:p>
    <w:p w14:paraId="4E7A9483"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16 mg/12,5 mg</w:t>
      </w:r>
    </w:p>
    <w:p w14:paraId="4FA03444"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32 mg/12,5 mg</w:t>
      </w:r>
    </w:p>
    <w:p w14:paraId="5001E3E7"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Canocombi 32 mg/25 mg</w:t>
      </w:r>
    </w:p>
    <w:p w14:paraId="7390EE88"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p>
    <w:p w14:paraId="1A1BBA8A"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p>
    <w:p w14:paraId="34CFFF99" w14:textId="77777777" w:rsidR="00937FA0" w:rsidRPr="00937FA0" w:rsidRDefault="00937FA0" w:rsidP="00937FA0">
      <w:pPr>
        <w:widowControl w:val="0"/>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lang w:eastAsia="sl-SI"/>
        </w:rPr>
      </w:pPr>
      <w:r w:rsidRPr="00937FA0">
        <w:rPr>
          <w:rFonts w:ascii="Times New Roman" w:eastAsia="Times New Roman" w:hAnsi="Times New Roman" w:cs="Times New Roman"/>
          <w:b/>
          <w:lang w:eastAsia="sl-SI"/>
        </w:rPr>
        <w:t>17.</w:t>
      </w:r>
      <w:r w:rsidRPr="00937FA0">
        <w:rPr>
          <w:rFonts w:ascii="Times New Roman" w:eastAsia="Times New Roman" w:hAnsi="Times New Roman" w:cs="Times New Roman"/>
          <w:b/>
          <w:lang w:eastAsia="sl-SI"/>
        </w:rPr>
        <w:tab/>
        <w:t>UNIKALUS IDENTIFIKATORIUS – 2D BRŪKŠNINIS KODAS</w:t>
      </w:r>
    </w:p>
    <w:p w14:paraId="2A8D64A7" w14:textId="77777777" w:rsidR="00937FA0" w:rsidRPr="00937FA0" w:rsidRDefault="00937FA0" w:rsidP="00937FA0">
      <w:pPr>
        <w:widowControl w:val="0"/>
        <w:ind w:left="539" w:hanging="539"/>
        <w:rPr>
          <w:rFonts w:ascii="Times New Roman" w:eastAsia="Calibri" w:hAnsi="Times New Roman" w:cs="Times New Roman"/>
          <w:lang w:eastAsia="sl-SI"/>
        </w:rPr>
      </w:pPr>
    </w:p>
    <w:p w14:paraId="0D5B2CDE" w14:textId="77777777" w:rsidR="00937FA0" w:rsidRPr="00937FA0" w:rsidRDefault="00937FA0" w:rsidP="00937FA0">
      <w:pPr>
        <w:widowControl w:val="0"/>
        <w:ind w:left="539" w:hanging="539"/>
        <w:rPr>
          <w:rFonts w:ascii="Times New Roman" w:eastAsia="Calibri" w:hAnsi="Times New Roman" w:cs="Times New Roman"/>
          <w:highlight w:val="lightGray"/>
          <w:lang w:eastAsia="sl-SI"/>
        </w:rPr>
      </w:pPr>
      <w:r w:rsidRPr="00937FA0">
        <w:rPr>
          <w:rFonts w:ascii="Times New Roman" w:eastAsia="Calibri" w:hAnsi="Times New Roman" w:cs="Times New Roman"/>
          <w:highlight w:val="lightGray"/>
          <w:lang w:eastAsia="sl-SI"/>
        </w:rPr>
        <w:t>2D brūkšninis kodas su nurodytu unikaliu identifikatoriumi.</w:t>
      </w:r>
    </w:p>
    <w:p w14:paraId="7DD4FE16" w14:textId="77777777" w:rsidR="00937FA0" w:rsidRPr="00937FA0" w:rsidRDefault="00937FA0" w:rsidP="00937FA0">
      <w:pPr>
        <w:widowControl w:val="0"/>
        <w:tabs>
          <w:tab w:val="left" w:pos="567"/>
        </w:tabs>
        <w:ind w:left="539" w:hanging="539"/>
        <w:rPr>
          <w:rFonts w:ascii="Times New Roman" w:eastAsia="Times New Roman" w:hAnsi="Times New Roman" w:cs="Times New Roman"/>
          <w:snapToGrid w:val="0"/>
          <w:lang w:eastAsia="zh-CN"/>
        </w:rPr>
      </w:pPr>
    </w:p>
    <w:p w14:paraId="6F249018" w14:textId="77777777" w:rsidR="00937FA0" w:rsidRPr="00937FA0" w:rsidRDefault="00937FA0" w:rsidP="00937FA0">
      <w:pPr>
        <w:widowControl w:val="0"/>
        <w:tabs>
          <w:tab w:val="left" w:pos="567"/>
        </w:tabs>
        <w:ind w:left="539" w:hanging="539"/>
        <w:rPr>
          <w:rFonts w:ascii="Times New Roman" w:eastAsia="Times New Roman" w:hAnsi="Times New Roman" w:cs="Times New Roman"/>
          <w:snapToGrid w:val="0"/>
          <w:lang w:eastAsia="zh-CN"/>
        </w:rPr>
      </w:pPr>
    </w:p>
    <w:p w14:paraId="68B8DD88" w14:textId="77777777" w:rsidR="00937FA0" w:rsidRPr="00937FA0" w:rsidRDefault="00937FA0" w:rsidP="00937FA0">
      <w:pPr>
        <w:widowControl w:val="0"/>
        <w:pBdr>
          <w:top w:val="single" w:sz="4" w:space="1" w:color="auto"/>
          <w:left w:val="single" w:sz="4" w:space="4" w:color="auto"/>
          <w:bottom w:val="single" w:sz="4" w:space="0" w:color="auto"/>
          <w:right w:val="single" w:sz="4" w:space="4" w:color="auto"/>
        </w:pBdr>
        <w:tabs>
          <w:tab w:val="left" w:pos="567"/>
        </w:tabs>
        <w:ind w:left="539" w:hanging="539"/>
        <w:rPr>
          <w:rFonts w:ascii="Times New Roman" w:eastAsia="Times New Roman" w:hAnsi="Times New Roman" w:cs="Times New Roman"/>
          <w:i/>
          <w:lang w:eastAsia="sl-SI"/>
        </w:rPr>
      </w:pPr>
      <w:r w:rsidRPr="00937FA0">
        <w:rPr>
          <w:rFonts w:ascii="Times New Roman" w:eastAsia="Times New Roman" w:hAnsi="Times New Roman" w:cs="Times New Roman"/>
          <w:b/>
          <w:lang w:eastAsia="sl-SI"/>
        </w:rPr>
        <w:t>18.</w:t>
      </w:r>
      <w:r w:rsidRPr="00937FA0">
        <w:rPr>
          <w:rFonts w:ascii="Times New Roman" w:eastAsia="Times New Roman" w:hAnsi="Times New Roman" w:cs="Times New Roman"/>
          <w:b/>
          <w:lang w:eastAsia="sl-SI"/>
        </w:rPr>
        <w:tab/>
        <w:t>UNIKALUS IDENTIFIKATORIUS – ŽMONĖMS SUPRANTAMI DUOMENYS</w:t>
      </w:r>
    </w:p>
    <w:p w14:paraId="17178B24" w14:textId="77777777" w:rsidR="00937FA0" w:rsidRPr="00937FA0" w:rsidRDefault="00937FA0" w:rsidP="00937FA0">
      <w:pPr>
        <w:widowControl w:val="0"/>
        <w:ind w:left="539" w:hanging="539"/>
        <w:rPr>
          <w:rFonts w:ascii="Times New Roman" w:eastAsia="Calibri" w:hAnsi="Times New Roman" w:cs="Times New Roman"/>
          <w:lang w:eastAsia="sl-SI"/>
        </w:rPr>
      </w:pPr>
    </w:p>
    <w:p w14:paraId="7D41AAA8" w14:textId="77777777" w:rsidR="00937FA0" w:rsidRPr="00937FA0" w:rsidRDefault="00937FA0" w:rsidP="00937FA0">
      <w:pPr>
        <w:widowControl w:val="0"/>
        <w:ind w:left="539" w:hanging="539"/>
        <w:rPr>
          <w:rFonts w:ascii="Times New Roman" w:eastAsia="Calibri" w:hAnsi="Times New Roman" w:cs="Times New Roman"/>
          <w:lang w:eastAsia="sl-SI"/>
        </w:rPr>
      </w:pPr>
      <w:r w:rsidRPr="00937FA0">
        <w:rPr>
          <w:rFonts w:ascii="Times New Roman" w:eastAsia="Calibri" w:hAnsi="Times New Roman" w:cs="Times New Roman"/>
          <w:lang w:eastAsia="sl-SI"/>
        </w:rPr>
        <w:t>PC</w:t>
      </w:r>
    </w:p>
    <w:p w14:paraId="5B3CF347" w14:textId="77777777" w:rsidR="00937FA0" w:rsidRPr="00937FA0" w:rsidRDefault="00937FA0" w:rsidP="00937FA0">
      <w:pPr>
        <w:widowControl w:val="0"/>
        <w:ind w:left="539" w:hanging="539"/>
        <w:rPr>
          <w:rFonts w:ascii="Times New Roman" w:eastAsia="Calibri" w:hAnsi="Times New Roman" w:cs="Times New Roman"/>
          <w:lang w:eastAsia="sl-SI"/>
        </w:rPr>
      </w:pPr>
      <w:r w:rsidRPr="00937FA0">
        <w:rPr>
          <w:rFonts w:ascii="Times New Roman" w:eastAsia="Calibri" w:hAnsi="Times New Roman" w:cs="Times New Roman"/>
          <w:lang w:eastAsia="sl-SI"/>
        </w:rPr>
        <w:t>SN</w:t>
      </w:r>
    </w:p>
    <w:p w14:paraId="4C4DDB8F" w14:textId="77777777" w:rsidR="00937FA0" w:rsidRPr="00937FA0" w:rsidRDefault="00937FA0" w:rsidP="00937FA0">
      <w:pPr>
        <w:widowControl w:val="0"/>
        <w:ind w:left="539" w:hanging="539"/>
        <w:rPr>
          <w:rFonts w:ascii="Times New Roman" w:eastAsia="Calibri" w:hAnsi="Times New Roman" w:cs="Times New Roman"/>
          <w:lang w:eastAsia="sl-SI"/>
        </w:rPr>
      </w:pPr>
      <w:r w:rsidRPr="00937FA0">
        <w:rPr>
          <w:rFonts w:ascii="Times New Roman" w:eastAsia="Calibri" w:hAnsi="Times New Roman" w:cs="Times New Roman"/>
          <w:highlight w:val="lightGray"/>
          <w:lang w:eastAsia="sl-SI"/>
        </w:rPr>
        <w:t>NN</w:t>
      </w:r>
    </w:p>
    <w:p w14:paraId="61ECE4F3"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color w:val="FF0000"/>
          <w:lang w:eastAsia="sl-S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7019F059" w14:textId="77777777" w:rsidTr="00A91329">
        <w:trPr>
          <w:trHeight w:val="785"/>
        </w:trPr>
        <w:tc>
          <w:tcPr>
            <w:tcW w:w="9287" w:type="dxa"/>
          </w:tcPr>
          <w:p w14:paraId="58181C9C"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lastRenderedPageBreak/>
              <w:t>MINIMALI INFORMACIJA ANT LIZDINIŲ PLOKŠTELIŲ ARBA DVISLUOKSNIŲ JUOSTELIŲ</w:t>
            </w:r>
          </w:p>
          <w:p w14:paraId="300E80D0"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377073DF"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PVC/PVDC PLĖVELĖS IR ALIUMINIO FOLIJOS LIZDINĖS PLOKŠTELĖS</w:t>
            </w:r>
          </w:p>
        </w:tc>
      </w:tr>
    </w:tbl>
    <w:p w14:paraId="2E268B55"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17BBFF3E"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664E5B24" w14:textId="77777777" w:rsidTr="00A91329">
        <w:tc>
          <w:tcPr>
            <w:tcW w:w="9287" w:type="dxa"/>
          </w:tcPr>
          <w:p w14:paraId="223BAC51"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1.</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Vaistinio preparato pavadinimas</w:t>
            </w:r>
          </w:p>
        </w:tc>
      </w:tr>
    </w:tbl>
    <w:p w14:paraId="670B6B5D" w14:textId="77777777" w:rsidR="00937FA0" w:rsidRPr="00937FA0" w:rsidRDefault="00937FA0" w:rsidP="00937FA0">
      <w:pPr>
        <w:widowControl w:val="0"/>
        <w:rPr>
          <w:rFonts w:ascii="Times New Roman" w:eastAsia="Times New Roman" w:hAnsi="Times New Roman" w:cs="Times New Roman"/>
          <w:lang w:eastAsia="sl-SI"/>
        </w:rPr>
      </w:pPr>
    </w:p>
    <w:p w14:paraId="3C22AF38"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w:t>
      </w:r>
    </w:p>
    <w:p w14:paraId="19A8C86B"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16 mg/12,5 mg tabletės</w:t>
      </w:r>
    </w:p>
    <w:p w14:paraId="7B1D78E0"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32 mg/12,5 mg tabletės</w:t>
      </w:r>
    </w:p>
    <w:p w14:paraId="34B31892"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Canocombi 32 mg/25 mg tabletės</w:t>
      </w:r>
    </w:p>
    <w:p w14:paraId="55C261C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D2E90E6" w14:textId="77777777" w:rsidR="00937FA0" w:rsidRPr="00937FA0" w:rsidRDefault="0049558C" w:rsidP="00937FA0">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937FA0" w:rsidRPr="00937FA0">
        <w:rPr>
          <w:rFonts w:ascii="Times New Roman" w:eastAsia="Times New Roman" w:hAnsi="Times New Roman" w:cs="Times New Roman"/>
          <w:lang w:eastAsia="sl-SI"/>
        </w:rPr>
        <w:t>andesartano cileksetilas/</w:t>
      </w:r>
      <w:r>
        <w:rPr>
          <w:rFonts w:ascii="Times New Roman" w:eastAsia="Times New Roman" w:hAnsi="Times New Roman" w:cs="Times New Roman"/>
          <w:lang w:eastAsia="sl-SI"/>
        </w:rPr>
        <w:t>h</w:t>
      </w:r>
      <w:r w:rsidR="00937FA0" w:rsidRPr="00937FA0">
        <w:rPr>
          <w:rFonts w:ascii="Times New Roman" w:eastAsia="Times New Roman" w:hAnsi="Times New Roman" w:cs="Times New Roman"/>
          <w:lang w:eastAsia="sl-SI"/>
        </w:rPr>
        <w:t>idrochlorotiazidas</w:t>
      </w:r>
    </w:p>
    <w:p w14:paraId="1E798D77"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3834D3C4"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4997F4A3" w14:textId="77777777" w:rsidTr="00A91329">
        <w:tc>
          <w:tcPr>
            <w:tcW w:w="9287" w:type="dxa"/>
          </w:tcPr>
          <w:p w14:paraId="5DACCF42"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2.</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rEGISTRUOTOJO pavadinimas</w:t>
            </w:r>
          </w:p>
        </w:tc>
      </w:tr>
    </w:tbl>
    <w:p w14:paraId="6590ED00"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03E1066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w:t>
      </w:r>
    </w:p>
    <w:p w14:paraId="6ABF3205"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43EEE825"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7D0AA488" w14:textId="77777777" w:rsidTr="00A91329">
        <w:tc>
          <w:tcPr>
            <w:tcW w:w="9287" w:type="dxa"/>
          </w:tcPr>
          <w:p w14:paraId="3F4CB6B9"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3.</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tinkamumo laikas</w:t>
            </w:r>
          </w:p>
        </w:tc>
      </w:tr>
    </w:tbl>
    <w:p w14:paraId="1C56E0A2"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4BF457A1"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EXP (mm/MMMM)</w:t>
      </w:r>
    </w:p>
    <w:p w14:paraId="77D29ED7" w14:textId="77777777" w:rsidR="00937FA0" w:rsidRPr="00937FA0" w:rsidRDefault="00937FA0" w:rsidP="00937FA0">
      <w:pPr>
        <w:widowControl w:val="0"/>
        <w:ind w:left="0" w:firstLine="0"/>
        <w:rPr>
          <w:rFonts w:ascii="Times New Roman" w:eastAsia="Times New Roman" w:hAnsi="Times New Roman" w:cs="Times New Roman"/>
          <w:bCs/>
          <w:lang w:eastAsia="sl-SI"/>
        </w:rPr>
      </w:pPr>
    </w:p>
    <w:p w14:paraId="662498C3" w14:textId="77777777" w:rsidR="00937FA0" w:rsidRPr="00937FA0" w:rsidRDefault="00937FA0" w:rsidP="00937FA0">
      <w:pPr>
        <w:widowControl w:val="0"/>
        <w:ind w:left="0"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590E6FDD" w14:textId="77777777" w:rsidTr="00A91329">
        <w:tc>
          <w:tcPr>
            <w:tcW w:w="9287" w:type="dxa"/>
          </w:tcPr>
          <w:p w14:paraId="25055805"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serijos numeris</w:t>
            </w:r>
          </w:p>
        </w:tc>
      </w:tr>
    </w:tbl>
    <w:p w14:paraId="19E64608"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32196518" w14:textId="77777777" w:rsidR="00937FA0" w:rsidRPr="00937FA0" w:rsidRDefault="00937FA0" w:rsidP="00937FA0">
      <w:pPr>
        <w:widowControl w:val="0"/>
        <w:ind w:left="0" w:right="113"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Lot</w:t>
      </w:r>
    </w:p>
    <w:p w14:paraId="13480870"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4D786570"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6B513BFD" w14:textId="77777777" w:rsidTr="00A91329">
        <w:tc>
          <w:tcPr>
            <w:tcW w:w="9287" w:type="dxa"/>
          </w:tcPr>
          <w:p w14:paraId="1ED84EBC"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5.</w:t>
            </w:r>
            <w:r w:rsidRPr="00937FA0">
              <w:rPr>
                <w:rFonts w:ascii="Times New Roman" w:eastAsia="Times New Roman" w:hAnsi="Times New Roman" w:cs="Times New Roman"/>
                <w:b/>
                <w:lang w:eastAsia="sl-SI"/>
              </w:rPr>
              <w:tab/>
              <w:t>KITA</w:t>
            </w:r>
          </w:p>
        </w:tc>
      </w:tr>
    </w:tbl>
    <w:p w14:paraId="267753DF"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4AD94856"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lang w:eastAsia="sl-SI"/>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48AB4CC5" w14:textId="77777777" w:rsidTr="00A91329">
        <w:trPr>
          <w:trHeight w:val="785"/>
        </w:trPr>
        <w:tc>
          <w:tcPr>
            <w:tcW w:w="9287" w:type="dxa"/>
          </w:tcPr>
          <w:p w14:paraId="0CB8D92C"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lastRenderedPageBreak/>
              <w:t xml:space="preserve">MINIMALI </w:t>
            </w:r>
            <w:r w:rsidRPr="00937FA0">
              <w:rPr>
                <w:rFonts w:ascii="Times New Roman" w:eastAsia="Times New Roman" w:hAnsi="Times New Roman" w:cs="Times New Roman"/>
                <w:b/>
                <w:caps/>
                <w:lang w:eastAsia="sl-SI"/>
              </w:rPr>
              <w:t xml:space="preserve">informacija ant </w:t>
            </w:r>
            <w:r w:rsidRPr="00937FA0">
              <w:rPr>
                <w:rFonts w:ascii="Times New Roman" w:eastAsia="Times New Roman" w:hAnsi="Times New Roman" w:cs="Times New Roman"/>
                <w:b/>
                <w:lang w:eastAsia="sl-SI"/>
              </w:rPr>
              <w:t>LIZDINIŲ PLOKŠTELIŲ ARBA DVISLUOKSNIŲ JUOSTELIŲ</w:t>
            </w:r>
          </w:p>
          <w:p w14:paraId="2A701CDD"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2A1026C0" w14:textId="77777777" w:rsidR="00937FA0" w:rsidRPr="00937FA0" w:rsidRDefault="00937FA0" w:rsidP="00937FA0">
            <w:pPr>
              <w:widowControl w:val="0"/>
              <w:ind w:left="0" w:firstLine="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OPA/Al/PVC FOLIJOS IR ALIUMINIO FOLIJOS LIZDINĖS PLOKŠTELĖS</w:t>
            </w:r>
          </w:p>
        </w:tc>
      </w:tr>
    </w:tbl>
    <w:p w14:paraId="6EAD042B"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7E85E752"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3C92EC4D" w14:textId="77777777" w:rsidTr="00A91329">
        <w:tc>
          <w:tcPr>
            <w:tcW w:w="9287" w:type="dxa"/>
          </w:tcPr>
          <w:p w14:paraId="72081ECF"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1.</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Vaistinio preparato pavadinimas</w:t>
            </w:r>
          </w:p>
        </w:tc>
      </w:tr>
    </w:tbl>
    <w:p w14:paraId="6B801E9C" w14:textId="77777777" w:rsidR="00937FA0" w:rsidRPr="00937FA0" w:rsidRDefault="00937FA0" w:rsidP="00937FA0">
      <w:pPr>
        <w:widowControl w:val="0"/>
        <w:rPr>
          <w:rFonts w:ascii="Times New Roman" w:eastAsia="Times New Roman" w:hAnsi="Times New Roman" w:cs="Times New Roman"/>
          <w:lang w:eastAsia="sl-SI"/>
        </w:rPr>
      </w:pPr>
    </w:p>
    <w:p w14:paraId="2D23424E"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w:t>
      </w:r>
    </w:p>
    <w:p w14:paraId="3CB37916"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16 mg/12,5 mg tabletės</w:t>
      </w:r>
    </w:p>
    <w:p w14:paraId="4C391729" w14:textId="77777777" w:rsidR="00937FA0" w:rsidRPr="00937FA0" w:rsidRDefault="00937FA0" w:rsidP="00937FA0">
      <w:pPr>
        <w:widowControl w:val="0"/>
        <w:ind w:left="0" w:rightChars="50" w:right="110" w:firstLine="0"/>
        <w:rPr>
          <w:rFonts w:ascii="Times New Roman" w:eastAsia="Times New Roman" w:hAnsi="Times New Roman" w:cs="Times New Roman"/>
          <w:szCs w:val="20"/>
          <w:highlight w:val="lightGray"/>
          <w:lang w:eastAsia="sl-SI"/>
        </w:rPr>
      </w:pPr>
      <w:r w:rsidRPr="00937FA0">
        <w:rPr>
          <w:rFonts w:ascii="Times New Roman" w:eastAsia="Times New Roman" w:hAnsi="Times New Roman" w:cs="Times New Roman"/>
          <w:szCs w:val="20"/>
          <w:highlight w:val="lightGray"/>
          <w:lang w:eastAsia="sl-SI"/>
        </w:rPr>
        <w:t>Canocombi 32 mg/12,5 mg tabletės</w:t>
      </w:r>
    </w:p>
    <w:p w14:paraId="453A5563"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highlight w:val="lightGray"/>
          <w:lang w:eastAsia="sl-SI"/>
        </w:rPr>
        <w:t>Canocombi 32 mg/25 mg tabletės</w:t>
      </w:r>
    </w:p>
    <w:p w14:paraId="69EA9A78"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6834CFD3" w14:textId="77777777" w:rsidR="00937FA0" w:rsidRPr="00937FA0" w:rsidRDefault="0049558C" w:rsidP="00937FA0">
      <w:pPr>
        <w:widowControl w:val="0"/>
        <w:ind w:left="0" w:firstLine="0"/>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937FA0" w:rsidRPr="00937FA0">
        <w:rPr>
          <w:rFonts w:ascii="Times New Roman" w:eastAsia="Times New Roman" w:hAnsi="Times New Roman" w:cs="Times New Roman"/>
          <w:lang w:eastAsia="sl-SI"/>
        </w:rPr>
        <w:t>andesartano cileksetilas/</w:t>
      </w:r>
      <w:r>
        <w:rPr>
          <w:rFonts w:ascii="Times New Roman" w:eastAsia="Times New Roman" w:hAnsi="Times New Roman" w:cs="Times New Roman"/>
          <w:lang w:eastAsia="sl-SI"/>
        </w:rPr>
        <w:t>h</w:t>
      </w:r>
      <w:r w:rsidR="00937FA0" w:rsidRPr="00937FA0">
        <w:rPr>
          <w:rFonts w:ascii="Times New Roman" w:eastAsia="Times New Roman" w:hAnsi="Times New Roman" w:cs="Times New Roman"/>
          <w:lang w:eastAsia="sl-SI"/>
        </w:rPr>
        <w:t>idrochlorotiazidas</w:t>
      </w:r>
    </w:p>
    <w:p w14:paraId="4D15B083"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542169C8"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636702A5" w14:textId="77777777" w:rsidTr="00A91329">
        <w:tc>
          <w:tcPr>
            <w:tcW w:w="9287" w:type="dxa"/>
          </w:tcPr>
          <w:p w14:paraId="20E3EF7B"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2.</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rEGISTRUOTOJO pavadinimas</w:t>
            </w:r>
          </w:p>
        </w:tc>
      </w:tr>
    </w:tbl>
    <w:p w14:paraId="01DD604B"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24C3C36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w:t>
      </w:r>
    </w:p>
    <w:p w14:paraId="052B71E8"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6EBD7997" w14:textId="77777777" w:rsidR="00937FA0" w:rsidRPr="00937FA0" w:rsidRDefault="00937FA0" w:rsidP="00937FA0">
      <w:pPr>
        <w:widowControl w:val="0"/>
        <w:ind w:left="0" w:firstLine="0"/>
        <w:rPr>
          <w:rFonts w:ascii="Times New Roman" w:eastAsia="Times New Roman" w:hAnsi="Times New Roman" w:cs="Times New Roman"/>
          <w:b/>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5B67618F" w14:textId="77777777" w:rsidTr="00A91329">
        <w:tc>
          <w:tcPr>
            <w:tcW w:w="9287" w:type="dxa"/>
          </w:tcPr>
          <w:p w14:paraId="75EE8B6A"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3.</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tinkamumo laikas</w:t>
            </w:r>
          </w:p>
        </w:tc>
      </w:tr>
    </w:tbl>
    <w:p w14:paraId="28169520" w14:textId="77777777" w:rsidR="00937FA0" w:rsidRPr="00937FA0" w:rsidRDefault="00937FA0" w:rsidP="00937FA0">
      <w:pPr>
        <w:widowControl w:val="0"/>
        <w:ind w:left="0" w:firstLine="0"/>
        <w:rPr>
          <w:rFonts w:ascii="Times New Roman" w:eastAsia="Times New Roman" w:hAnsi="Times New Roman" w:cs="Times New Roman"/>
          <w:b/>
          <w:lang w:eastAsia="sl-SI"/>
        </w:rPr>
      </w:pPr>
    </w:p>
    <w:p w14:paraId="0563AEDE"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EXP (mm/MMMM)</w:t>
      </w:r>
    </w:p>
    <w:p w14:paraId="5C381DA3" w14:textId="77777777" w:rsidR="00937FA0" w:rsidRPr="00937FA0" w:rsidRDefault="00937FA0" w:rsidP="00937FA0">
      <w:pPr>
        <w:widowControl w:val="0"/>
        <w:ind w:left="0" w:firstLine="0"/>
        <w:rPr>
          <w:rFonts w:ascii="Times New Roman" w:eastAsia="Times New Roman" w:hAnsi="Times New Roman" w:cs="Times New Roman"/>
          <w:bCs/>
          <w:lang w:eastAsia="sl-SI"/>
        </w:rPr>
      </w:pPr>
    </w:p>
    <w:p w14:paraId="6FD5EFBF" w14:textId="77777777" w:rsidR="00937FA0" w:rsidRPr="00937FA0" w:rsidRDefault="00937FA0" w:rsidP="00937FA0">
      <w:pPr>
        <w:widowControl w:val="0"/>
        <w:ind w:left="0"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361A35B1" w14:textId="77777777" w:rsidTr="00A91329">
        <w:tc>
          <w:tcPr>
            <w:tcW w:w="9287" w:type="dxa"/>
          </w:tcPr>
          <w:p w14:paraId="7D5B640D"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4.</w:t>
            </w:r>
            <w:r w:rsidRPr="00937FA0">
              <w:rPr>
                <w:rFonts w:ascii="Times New Roman" w:eastAsia="Times New Roman" w:hAnsi="Times New Roman" w:cs="Times New Roman"/>
                <w:b/>
                <w:lang w:eastAsia="sl-SI"/>
              </w:rPr>
              <w:tab/>
            </w:r>
            <w:r w:rsidRPr="00937FA0">
              <w:rPr>
                <w:rFonts w:ascii="Times New Roman" w:eastAsia="Times New Roman" w:hAnsi="Times New Roman" w:cs="Times New Roman"/>
                <w:b/>
                <w:caps/>
                <w:lang w:eastAsia="sl-SI"/>
              </w:rPr>
              <w:t>serijos numeris</w:t>
            </w:r>
          </w:p>
        </w:tc>
      </w:tr>
    </w:tbl>
    <w:p w14:paraId="268AA197"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2F65F2FA" w14:textId="77777777" w:rsidR="00937FA0" w:rsidRPr="00937FA0" w:rsidRDefault="00937FA0" w:rsidP="00937FA0">
      <w:pPr>
        <w:widowControl w:val="0"/>
        <w:ind w:left="0" w:right="113"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Lot</w:t>
      </w:r>
    </w:p>
    <w:p w14:paraId="7527217B"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793C6284"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37FA0" w:rsidRPr="00937FA0" w14:paraId="36ECE497" w14:textId="77777777" w:rsidTr="00A91329">
        <w:tc>
          <w:tcPr>
            <w:tcW w:w="9287" w:type="dxa"/>
          </w:tcPr>
          <w:p w14:paraId="1C9C6574" w14:textId="77777777" w:rsidR="00937FA0" w:rsidRPr="00937FA0" w:rsidRDefault="00937FA0" w:rsidP="00937FA0">
            <w:pPr>
              <w:widowControl w:val="0"/>
              <w:tabs>
                <w:tab w:val="left" w:pos="142"/>
              </w:tabs>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5.</w:t>
            </w:r>
            <w:r w:rsidRPr="00937FA0">
              <w:rPr>
                <w:rFonts w:ascii="Times New Roman" w:eastAsia="Times New Roman" w:hAnsi="Times New Roman" w:cs="Times New Roman"/>
                <w:b/>
                <w:lang w:eastAsia="sl-SI"/>
              </w:rPr>
              <w:tab/>
              <w:t>KITA</w:t>
            </w:r>
          </w:p>
        </w:tc>
      </w:tr>
    </w:tbl>
    <w:p w14:paraId="390A3957" w14:textId="77777777" w:rsidR="00937FA0" w:rsidRPr="00937FA0" w:rsidRDefault="00937FA0" w:rsidP="00937FA0">
      <w:pPr>
        <w:widowControl w:val="0"/>
        <w:ind w:left="0" w:right="113" w:firstLine="0"/>
        <w:rPr>
          <w:rFonts w:ascii="Times New Roman" w:eastAsia="Times New Roman" w:hAnsi="Times New Roman" w:cs="Times New Roman"/>
          <w:lang w:eastAsia="sl-SI"/>
        </w:rPr>
      </w:pPr>
    </w:p>
    <w:p w14:paraId="58469931" w14:textId="77777777" w:rsidR="00937FA0" w:rsidRPr="00937FA0" w:rsidRDefault="00937FA0" w:rsidP="00937FA0">
      <w:pPr>
        <w:widowControl w:val="0"/>
        <w:ind w:left="0" w:right="113" w:firstLine="0"/>
        <w:jc w:val="center"/>
        <w:rPr>
          <w:rFonts w:ascii="Times New Roman" w:eastAsia="Times New Roman" w:hAnsi="Times New Roman" w:cs="Times New Roman"/>
          <w:lang w:eastAsia="sl-SI"/>
        </w:rPr>
      </w:pPr>
      <w:r w:rsidRPr="00937FA0">
        <w:rPr>
          <w:rFonts w:ascii="Times New Roman" w:eastAsia="Times New Roman" w:hAnsi="Times New Roman" w:cs="Times New Roman"/>
          <w:lang w:eastAsia="sl-SI"/>
        </w:rPr>
        <w:br w:type="page"/>
      </w:r>
    </w:p>
    <w:p w14:paraId="276FDDCB"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99C8B4B"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59867DA"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2D50B75"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2256B9B"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09E0CE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A629DFD"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453CE19"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5E167C8E"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1FB54DDF"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9792846"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80ACB1E"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211EEE87"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3AB18676"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7803967"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1D270AC6"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7DD5060C"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7055FC6F"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2DC214C1"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09A2EF48"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4AC2555A"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1C514061" w14:textId="77777777" w:rsidR="00937FA0" w:rsidRPr="00937FA0" w:rsidRDefault="00937FA0" w:rsidP="00937FA0">
      <w:pPr>
        <w:widowControl w:val="0"/>
        <w:ind w:left="0" w:firstLine="0"/>
        <w:jc w:val="center"/>
        <w:rPr>
          <w:rFonts w:ascii="Times New Roman" w:eastAsia="Times New Roman" w:hAnsi="Times New Roman" w:cs="Times New Roman"/>
          <w:szCs w:val="20"/>
          <w:lang w:eastAsia="sl-SI"/>
        </w:rPr>
      </w:pPr>
    </w:p>
    <w:p w14:paraId="741F852E"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bookmarkStart w:id="15" w:name="_Toc129243137"/>
      <w:bookmarkStart w:id="16" w:name="_Toc129243262"/>
    </w:p>
    <w:p w14:paraId="78451B89" w14:textId="77777777" w:rsidR="00937FA0" w:rsidRPr="00937FA0" w:rsidRDefault="00937FA0" w:rsidP="00937FA0">
      <w:pPr>
        <w:widowControl w:val="0"/>
        <w:tabs>
          <w:tab w:val="left" w:pos="567"/>
        </w:tabs>
        <w:jc w:val="center"/>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B. PAKUOTĖS LAPELIS</w:t>
      </w:r>
      <w:bookmarkEnd w:id="15"/>
      <w:bookmarkEnd w:id="16"/>
    </w:p>
    <w:p w14:paraId="0E3E5148"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br w:type="page"/>
      </w:r>
      <w:r w:rsidRPr="00937FA0">
        <w:rPr>
          <w:rFonts w:ascii="Times New Roman" w:eastAsia="Times New Roman" w:hAnsi="Times New Roman" w:cs="Times New Roman"/>
          <w:b/>
          <w:lang w:eastAsia="sl-SI"/>
        </w:rPr>
        <w:lastRenderedPageBreak/>
        <w:t>Pakuotės lapelis: informacija vartotojui</w:t>
      </w:r>
    </w:p>
    <w:p w14:paraId="07C0EA09" w14:textId="77777777" w:rsidR="00937FA0" w:rsidRPr="00937FA0" w:rsidRDefault="00937FA0" w:rsidP="00937FA0">
      <w:pPr>
        <w:widowControl w:val="0"/>
        <w:ind w:left="0" w:firstLine="0"/>
        <w:jc w:val="center"/>
        <w:outlineLvl w:val="0"/>
        <w:rPr>
          <w:rFonts w:ascii="Times New Roman" w:eastAsia="Times New Roman" w:hAnsi="Times New Roman" w:cs="Times New Roman"/>
          <w:b/>
          <w:lang w:eastAsia="sl-SI"/>
        </w:rPr>
      </w:pPr>
    </w:p>
    <w:p w14:paraId="0EDF1B90" w14:textId="77777777" w:rsidR="00937FA0" w:rsidRPr="0049558C" w:rsidRDefault="00937FA0" w:rsidP="00937FA0">
      <w:pPr>
        <w:widowControl w:val="0"/>
        <w:ind w:left="0" w:rightChars="50" w:right="110" w:firstLine="0"/>
        <w:jc w:val="center"/>
        <w:rPr>
          <w:rFonts w:ascii="Times New Roman" w:eastAsia="Times New Roman" w:hAnsi="Times New Roman" w:cs="Times New Roman"/>
          <w:b/>
          <w:bCs/>
          <w:lang w:eastAsia="sl-SI"/>
        </w:rPr>
      </w:pPr>
      <w:r w:rsidRPr="0049558C">
        <w:rPr>
          <w:rFonts w:ascii="Times New Roman" w:eastAsia="Times New Roman" w:hAnsi="Times New Roman" w:cs="Times New Roman"/>
          <w:b/>
          <w:bCs/>
          <w:lang w:eastAsia="sl-SI"/>
        </w:rPr>
        <w:t>Canocombi 8 mg/12,5 mg tabletės</w:t>
      </w:r>
    </w:p>
    <w:p w14:paraId="203110F2" w14:textId="77777777" w:rsidR="00937FA0" w:rsidRPr="00E33F2E" w:rsidRDefault="00937FA0" w:rsidP="00937FA0">
      <w:pPr>
        <w:widowControl w:val="0"/>
        <w:ind w:left="0" w:rightChars="50" w:right="110" w:firstLine="0"/>
        <w:jc w:val="center"/>
        <w:rPr>
          <w:rFonts w:ascii="Times New Roman" w:eastAsia="Times New Roman" w:hAnsi="Times New Roman" w:cs="Times New Roman"/>
          <w:b/>
          <w:szCs w:val="20"/>
          <w:lang w:eastAsia="sl-SI"/>
        </w:rPr>
      </w:pPr>
      <w:r w:rsidRPr="00E33F2E">
        <w:rPr>
          <w:rFonts w:ascii="Times New Roman" w:eastAsia="Times New Roman" w:hAnsi="Times New Roman" w:cs="Times New Roman"/>
          <w:b/>
          <w:szCs w:val="20"/>
          <w:lang w:eastAsia="sl-SI"/>
        </w:rPr>
        <w:t>Canocombi 16 mg/12,5 mg tabletės</w:t>
      </w:r>
    </w:p>
    <w:p w14:paraId="1563DF25" w14:textId="77777777" w:rsidR="00937FA0" w:rsidRPr="00E33F2E" w:rsidRDefault="00937FA0" w:rsidP="00937FA0">
      <w:pPr>
        <w:widowControl w:val="0"/>
        <w:ind w:left="0" w:rightChars="50" w:right="110" w:firstLine="0"/>
        <w:jc w:val="center"/>
        <w:rPr>
          <w:rFonts w:ascii="Times New Roman" w:eastAsia="Times New Roman" w:hAnsi="Times New Roman" w:cs="Times New Roman"/>
          <w:b/>
          <w:szCs w:val="20"/>
          <w:lang w:eastAsia="sl-SI"/>
        </w:rPr>
      </w:pPr>
      <w:r w:rsidRPr="00E33F2E">
        <w:rPr>
          <w:rFonts w:ascii="Times New Roman" w:eastAsia="Times New Roman" w:hAnsi="Times New Roman" w:cs="Times New Roman"/>
          <w:b/>
          <w:szCs w:val="20"/>
          <w:lang w:eastAsia="sl-SI"/>
        </w:rPr>
        <w:t>Canocombi 32 mg/12,5 mg tabletės</w:t>
      </w:r>
    </w:p>
    <w:p w14:paraId="33745001" w14:textId="77777777" w:rsidR="00937FA0" w:rsidRPr="00937FA0" w:rsidRDefault="00937FA0" w:rsidP="00937FA0">
      <w:pPr>
        <w:widowControl w:val="0"/>
        <w:ind w:left="0" w:rightChars="50" w:right="110" w:firstLine="0"/>
        <w:jc w:val="center"/>
        <w:rPr>
          <w:rFonts w:ascii="Times New Roman" w:eastAsia="Times New Roman" w:hAnsi="Times New Roman" w:cs="Times New Roman"/>
          <w:b/>
          <w:bCs/>
          <w:lang w:eastAsia="sl-SI"/>
        </w:rPr>
      </w:pPr>
      <w:r w:rsidRPr="00E33F2E">
        <w:rPr>
          <w:rFonts w:ascii="Times New Roman" w:eastAsia="Times New Roman" w:hAnsi="Times New Roman" w:cs="Times New Roman"/>
          <w:b/>
          <w:szCs w:val="20"/>
          <w:lang w:eastAsia="sl-SI"/>
        </w:rPr>
        <w:t>Canocombi 32 mg/25 mg tabletės</w:t>
      </w:r>
    </w:p>
    <w:p w14:paraId="102E0DBC" w14:textId="77777777" w:rsidR="00937FA0" w:rsidRPr="00937FA0" w:rsidRDefault="0049558C" w:rsidP="00937FA0">
      <w:pPr>
        <w:widowControl w:val="0"/>
        <w:ind w:left="0" w:firstLine="0"/>
        <w:jc w:val="center"/>
        <w:rPr>
          <w:rFonts w:ascii="Times New Roman" w:eastAsia="Times New Roman" w:hAnsi="Times New Roman" w:cs="Times New Roman"/>
          <w:lang w:eastAsia="sl-SI"/>
        </w:rPr>
      </w:pPr>
      <w:r>
        <w:rPr>
          <w:rFonts w:ascii="Times New Roman" w:eastAsia="Times New Roman" w:hAnsi="Times New Roman" w:cs="Times New Roman"/>
          <w:lang w:eastAsia="sl-SI"/>
        </w:rPr>
        <w:t>k</w:t>
      </w:r>
      <w:r w:rsidR="00937FA0" w:rsidRPr="00937FA0">
        <w:rPr>
          <w:rFonts w:ascii="Times New Roman" w:eastAsia="Times New Roman" w:hAnsi="Times New Roman" w:cs="Times New Roman"/>
          <w:lang w:eastAsia="sl-SI"/>
        </w:rPr>
        <w:t>andesartano cileksetilas/</w:t>
      </w:r>
      <w:r>
        <w:rPr>
          <w:rFonts w:ascii="Times New Roman" w:eastAsia="Times New Roman" w:hAnsi="Times New Roman" w:cs="Times New Roman"/>
          <w:lang w:eastAsia="sl-SI"/>
        </w:rPr>
        <w:t>h</w:t>
      </w:r>
      <w:r w:rsidR="00937FA0" w:rsidRPr="00937FA0">
        <w:rPr>
          <w:rFonts w:ascii="Times New Roman" w:eastAsia="Times New Roman" w:hAnsi="Times New Roman" w:cs="Times New Roman"/>
          <w:lang w:eastAsia="sl-SI"/>
        </w:rPr>
        <w:t>idrochlorotiazidas</w:t>
      </w:r>
    </w:p>
    <w:p w14:paraId="51D190D4" w14:textId="77777777" w:rsidR="00937FA0" w:rsidRPr="00937FA0" w:rsidRDefault="00937FA0" w:rsidP="00937FA0">
      <w:pPr>
        <w:widowControl w:val="0"/>
        <w:ind w:left="0" w:firstLine="0"/>
        <w:jc w:val="center"/>
        <w:rPr>
          <w:rFonts w:ascii="Times New Roman" w:eastAsia="Times New Roman" w:hAnsi="Times New Roman" w:cs="Times New Roman"/>
          <w:lang w:eastAsia="sl-SI"/>
        </w:rPr>
      </w:pPr>
    </w:p>
    <w:p w14:paraId="6FAE034F"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Atidžiai perskaitykite visą šį lapelį, prieš pradėdami vartoti vaistą, nes jame pateikiama Jums</w:t>
      </w:r>
    </w:p>
    <w:p w14:paraId="01C1D5EE"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svarbi informacija.</w:t>
      </w:r>
    </w:p>
    <w:p w14:paraId="0438B20E" w14:textId="77777777" w:rsidR="00937FA0" w:rsidRPr="00937FA0" w:rsidRDefault="00937FA0" w:rsidP="00E30DF8">
      <w:pPr>
        <w:widowControl w:val="0"/>
        <w:numPr>
          <w:ilvl w:val="0"/>
          <w:numId w:val="26"/>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Neišmeskite šio lapelio, nes vėl gali prireikti jį perskaityti.</w:t>
      </w:r>
    </w:p>
    <w:p w14:paraId="0E13651C" w14:textId="77777777" w:rsidR="00937FA0" w:rsidRPr="00937FA0" w:rsidRDefault="00937FA0" w:rsidP="00E30DF8">
      <w:pPr>
        <w:widowControl w:val="0"/>
        <w:numPr>
          <w:ilvl w:val="0"/>
          <w:numId w:val="26"/>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kiltų daugiau klausimų, kreipkitės į gydytoją arba vaistininką.</w:t>
      </w:r>
    </w:p>
    <w:p w14:paraId="191A991D" w14:textId="77777777" w:rsidR="00937FA0" w:rsidRPr="00937FA0" w:rsidRDefault="00937FA0" w:rsidP="00E30DF8">
      <w:pPr>
        <w:widowControl w:val="0"/>
        <w:numPr>
          <w:ilvl w:val="0"/>
          <w:numId w:val="2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2C70AFBC" w14:textId="068C2691" w:rsidR="00937FA0" w:rsidRPr="00937FA0" w:rsidRDefault="00937FA0" w:rsidP="00E30DF8">
      <w:pPr>
        <w:widowControl w:val="0"/>
        <w:numPr>
          <w:ilvl w:val="0"/>
          <w:numId w:val="26"/>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pasireiškė šalutinis poveikis (net jeigu jis šiame lapelyje nenurodytas), kreipkitės į gydytoją arba vaistininką. Žr. 4</w:t>
      </w:r>
      <w:r w:rsidR="0077497E">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skyrių.</w:t>
      </w:r>
    </w:p>
    <w:p w14:paraId="7A129859" w14:textId="77777777" w:rsidR="00937FA0" w:rsidRPr="00937FA0" w:rsidRDefault="00937FA0" w:rsidP="00937FA0">
      <w:pPr>
        <w:widowControl w:val="0"/>
        <w:numPr>
          <w:ilvl w:val="12"/>
          <w:numId w:val="0"/>
        </w:numPr>
        <w:ind w:right="-2"/>
        <w:outlineLvl w:val="0"/>
        <w:rPr>
          <w:rFonts w:ascii="Times New Roman" w:eastAsia="Times New Roman" w:hAnsi="Times New Roman" w:cs="Times New Roman"/>
          <w:b/>
          <w:lang w:eastAsia="sl-SI"/>
        </w:rPr>
      </w:pPr>
    </w:p>
    <w:p w14:paraId="366B76BF" w14:textId="77777777" w:rsidR="00937FA0" w:rsidRPr="00937FA0" w:rsidRDefault="00937FA0" w:rsidP="00937FA0">
      <w:pPr>
        <w:widowControl w:val="0"/>
        <w:numPr>
          <w:ilvl w:val="12"/>
          <w:numId w:val="0"/>
        </w:numPr>
        <w:ind w:right="-2"/>
        <w:outlineLvl w:val="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Apie ką rašoma šiame lapelyje?</w:t>
      </w:r>
    </w:p>
    <w:p w14:paraId="53B7488A"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1.</w:t>
      </w:r>
      <w:r w:rsidRPr="00937FA0">
        <w:rPr>
          <w:rFonts w:ascii="Times New Roman" w:eastAsia="Times New Roman" w:hAnsi="Times New Roman" w:cs="Times New Roman"/>
          <w:lang w:eastAsia="sl-SI"/>
        </w:rPr>
        <w:tab/>
        <w:t>Kas yra Canocombi ir kam jis vartojamas</w:t>
      </w:r>
    </w:p>
    <w:p w14:paraId="3966B717"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2.</w:t>
      </w:r>
      <w:r w:rsidRPr="00937FA0">
        <w:rPr>
          <w:rFonts w:ascii="Times New Roman" w:eastAsia="Times New Roman" w:hAnsi="Times New Roman" w:cs="Times New Roman"/>
          <w:lang w:eastAsia="sl-SI"/>
        </w:rPr>
        <w:tab/>
        <w:t>Kas žinotina prieš vartojant Canocombi</w:t>
      </w:r>
    </w:p>
    <w:p w14:paraId="348AC8D8"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3.</w:t>
      </w:r>
      <w:r w:rsidRPr="00937FA0">
        <w:rPr>
          <w:rFonts w:ascii="Times New Roman" w:eastAsia="Times New Roman" w:hAnsi="Times New Roman" w:cs="Times New Roman"/>
          <w:lang w:eastAsia="sl-SI"/>
        </w:rPr>
        <w:tab/>
        <w:t>Kaip vartoti Canocombi</w:t>
      </w:r>
    </w:p>
    <w:p w14:paraId="4B47D7FE"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4.</w:t>
      </w:r>
      <w:r w:rsidRPr="00937FA0">
        <w:rPr>
          <w:rFonts w:ascii="Times New Roman" w:eastAsia="Times New Roman" w:hAnsi="Times New Roman" w:cs="Times New Roman"/>
          <w:lang w:eastAsia="sl-SI"/>
        </w:rPr>
        <w:tab/>
        <w:t>Galimas šalutinis poveikis</w:t>
      </w:r>
    </w:p>
    <w:p w14:paraId="1E35F6BB"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5.</w:t>
      </w:r>
      <w:r w:rsidRPr="00937FA0">
        <w:rPr>
          <w:rFonts w:ascii="Times New Roman" w:eastAsia="Times New Roman" w:hAnsi="Times New Roman" w:cs="Times New Roman"/>
          <w:lang w:eastAsia="sl-SI"/>
        </w:rPr>
        <w:tab/>
        <w:t>Kaip laikyti Canocombi</w:t>
      </w:r>
    </w:p>
    <w:p w14:paraId="1747140A"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6.</w:t>
      </w:r>
      <w:r w:rsidRPr="00937FA0">
        <w:rPr>
          <w:rFonts w:ascii="Times New Roman" w:eastAsia="Times New Roman" w:hAnsi="Times New Roman" w:cs="Times New Roman"/>
          <w:lang w:eastAsia="sl-SI"/>
        </w:rPr>
        <w:tab/>
        <w:t>Pakuotės turinys ir kita informacija</w:t>
      </w:r>
    </w:p>
    <w:p w14:paraId="1CD88EA3"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3AE4D63C"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77FB9F86" w14:textId="77777777" w:rsidR="00937FA0" w:rsidRPr="00937FA0" w:rsidRDefault="00937FA0" w:rsidP="00937FA0">
      <w:pPr>
        <w:widowControl w:val="0"/>
        <w:numPr>
          <w:ilvl w:val="12"/>
          <w:numId w:val="0"/>
        </w:numPr>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1. Kas yra Canocombi ir kam jis vartojamas</w:t>
      </w:r>
    </w:p>
    <w:p w14:paraId="0B23CED2" w14:textId="77777777" w:rsidR="00937FA0" w:rsidRPr="00937FA0" w:rsidRDefault="00937FA0" w:rsidP="00937FA0">
      <w:pPr>
        <w:widowControl w:val="0"/>
        <w:rPr>
          <w:rFonts w:ascii="Times New Roman" w:eastAsia="Times New Roman" w:hAnsi="Times New Roman" w:cs="Times New Roman"/>
          <w:lang w:eastAsia="sl-SI"/>
        </w:rPr>
      </w:pPr>
    </w:p>
    <w:p w14:paraId="77C1FA92"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Jums paskirtas vaistas, vadinamas Canocombi. Šiuo vaistu gydomi suaugusieji, kurių kraujospūdis yra padidėjęs (hipertenzija). Vaisto sudėtyje yra dvi veikliosios medžiagos: kandesartano cileksetilas ir hidrochlorotiazidas. Veikdamos kartu, šios medžiagos gali sumažinti kraujospūdį.</w:t>
      </w:r>
    </w:p>
    <w:p w14:paraId="67B69A4A"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p>
    <w:p w14:paraId="6349EE69" w14:textId="77777777" w:rsidR="00937FA0" w:rsidRPr="00937FA0" w:rsidRDefault="00937FA0" w:rsidP="00937FA0">
      <w:pPr>
        <w:widowControl w:val="0"/>
        <w:tabs>
          <w:tab w:val="left" w:pos="0"/>
        </w:tabs>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Kandesartano cileksetilas priklauso vaistų, vadinamų angiotenzino II receptorių blokatoriais, grupei. Ši medžiaga atpalaiduoja ir praplečia kraujagysles. Tai padeda sumažinti kraujospūdį.</w:t>
      </w:r>
    </w:p>
    <w:p w14:paraId="264C10B5" w14:textId="77777777" w:rsidR="00937FA0" w:rsidRPr="00937FA0" w:rsidRDefault="00937FA0" w:rsidP="00937FA0">
      <w:pPr>
        <w:widowControl w:val="0"/>
        <w:tabs>
          <w:tab w:val="left" w:pos="360"/>
        </w:tabs>
        <w:autoSpaceDE w:val="0"/>
        <w:autoSpaceDN w:val="0"/>
        <w:adjustRightInd w:val="0"/>
        <w:ind w:left="360" w:hanging="360"/>
        <w:rPr>
          <w:rFonts w:ascii="Times New Roman" w:eastAsia="Times New Roman" w:hAnsi="Times New Roman" w:cs="Times New Roman"/>
          <w:lang w:eastAsia="sl-SI"/>
        </w:rPr>
      </w:pPr>
    </w:p>
    <w:p w14:paraId="4F29AC12" w14:textId="77777777" w:rsidR="00937FA0" w:rsidRPr="00937FA0" w:rsidRDefault="00937FA0" w:rsidP="00937FA0">
      <w:pPr>
        <w:widowControl w:val="0"/>
        <w:tabs>
          <w:tab w:val="left" w:pos="0"/>
        </w:tabs>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Hidrochlorotiazidas priklauso vaistų, vadinamų diuretikais (šlapimo išsiskyrimą skatinančios tabletės), grupei. Ši medžiaga padeda kartu su šlapimu iš organizmo pašalinti vandenį ir druskas (pvz., natrį). Tai padeda sumažinti kraujospūdį.</w:t>
      </w:r>
    </w:p>
    <w:p w14:paraId="0CBB10D9" w14:textId="77777777" w:rsidR="00937FA0" w:rsidRPr="00937FA0" w:rsidRDefault="00937FA0" w:rsidP="00937FA0">
      <w:pPr>
        <w:widowControl w:val="0"/>
        <w:autoSpaceDE w:val="0"/>
        <w:autoSpaceDN w:val="0"/>
        <w:adjustRightInd w:val="0"/>
        <w:rPr>
          <w:rFonts w:ascii="Times New Roman" w:eastAsia="Times New Roman" w:hAnsi="Times New Roman" w:cs="Times New Roman"/>
          <w:lang w:eastAsia="sl-SI"/>
        </w:rPr>
      </w:pPr>
    </w:p>
    <w:p w14:paraId="7F82144B"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Gydytojas gali skirti Jums Canocombi, jeigu kraujospūdžio nepavyko tinkamai sumažinti vartojant vieną kandesartano cileksetilą arba vieną hidrochlorotiazidą.</w:t>
      </w:r>
    </w:p>
    <w:p w14:paraId="3C517BAE"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1D02948F"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0709FD55" w14:textId="77777777" w:rsidR="00937FA0" w:rsidRPr="00937FA0" w:rsidRDefault="00937FA0" w:rsidP="00937FA0">
      <w:pPr>
        <w:widowControl w:val="0"/>
        <w:numPr>
          <w:ilvl w:val="12"/>
          <w:numId w:val="0"/>
        </w:numPr>
        <w:ind w:left="567" w:hanging="567"/>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lang w:eastAsia="sl-SI"/>
        </w:rPr>
        <w:t>2.</w:t>
      </w:r>
      <w:r w:rsidRPr="00937FA0">
        <w:rPr>
          <w:rFonts w:ascii="Times New Roman" w:eastAsia="Times New Roman" w:hAnsi="Times New Roman" w:cs="Times New Roman"/>
          <w:b/>
          <w:lang w:eastAsia="sl-SI"/>
        </w:rPr>
        <w:tab/>
        <w:t>Kas žinotina prieš vartojant Canocombi</w:t>
      </w:r>
    </w:p>
    <w:p w14:paraId="25484F04" w14:textId="77777777" w:rsidR="00937FA0" w:rsidRPr="00937FA0" w:rsidRDefault="00937FA0" w:rsidP="00937FA0">
      <w:pPr>
        <w:widowControl w:val="0"/>
        <w:rPr>
          <w:rFonts w:ascii="Times New Roman" w:eastAsia="Times New Roman" w:hAnsi="Times New Roman" w:cs="Times New Roman"/>
          <w:lang w:eastAsia="sl-SI"/>
        </w:rPr>
      </w:pPr>
    </w:p>
    <w:p w14:paraId="620C1B93" w14:textId="49B04179" w:rsidR="00937FA0" w:rsidRPr="00937FA0" w:rsidRDefault="00937FA0" w:rsidP="0049558C">
      <w:pPr>
        <w:widowControl w:val="0"/>
        <w:rPr>
          <w:rFonts w:ascii="Times New Roman" w:eastAsia="Times New Roman" w:hAnsi="Times New Roman" w:cs="Times New Roman"/>
          <w:b/>
          <w:caps/>
          <w:lang w:eastAsia="sl-SI"/>
        </w:rPr>
      </w:pPr>
      <w:r w:rsidRPr="00937FA0">
        <w:rPr>
          <w:rFonts w:ascii="Times New Roman" w:eastAsia="Times New Roman" w:hAnsi="Times New Roman" w:cs="Times New Roman"/>
          <w:b/>
          <w:bCs/>
          <w:lang w:eastAsia="sl-SI"/>
        </w:rPr>
        <w:t xml:space="preserve">Canocombi vartoti </w:t>
      </w:r>
      <w:r w:rsidR="003C06E6">
        <w:rPr>
          <w:rFonts w:ascii="Times New Roman" w:eastAsia="Times New Roman" w:hAnsi="Times New Roman" w:cs="Times New Roman"/>
          <w:b/>
          <w:bCs/>
          <w:lang w:eastAsia="sl-SI"/>
        </w:rPr>
        <w:t>draudžiama</w:t>
      </w:r>
    </w:p>
    <w:p w14:paraId="058ACF6A" w14:textId="09CC8CA9"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yra alergija (padidėjęs jautrumas) kandesartano cileksetilui ar hidrochlorotiazidui arba bet kuriai pagalbinei šio vaisto medžiagai (jos išvardytos 6</w:t>
      </w:r>
      <w:r w:rsidR="0077497E">
        <w:rPr>
          <w:rFonts w:ascii="Times New Roman" w:eastAsia="Times New Roman" w:hAnsi="Times New Roman" w:cs="Times New Roman"/>
          <w:szCs w:val="20"/>
          <w:lang w:eastAsia="sl-SI"/>
        </w:rPr>
        <w:t> </w:t>
      </w:r>
      <w:r w:rsidRPr="00937FA0">
        <w:rPr>
          <w:rFonts w:ascii="Times New Roman" w:eastAsia="Times New Roman" w:hAnsi="Times New Roman" w:cs="Times New Roman"/>
          <w:szCs w:val="20"/>
          <w:lang w:eastAsia="sl-SI"/>
        </w:rPr>
        <w:t>skyriuje);</w:t>
      </w:r>
    </w:p>
    <w:p w14:paraId="3943D665"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yra alergija sulfonamidams. Jeigu abejojate, ar šis teiginys tinka Jums, pasitarkite su gydytoju;</w:t>
      </w:r>
    </w:p>
    <w:p w14:paraId="7A84C611"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yra daugiau kaip 3 nėštumo mėnesiai (Canocombi nėštumo pradžioje irgi geriau nevartoti, žr. skyrelį „Nėštumas“)</w:t>
      </w:r>
    </w:p>
    <w:p w14:paraId="52AF7129"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sunkia inkstų liga;</w:t>
      </w:r>
    </w:p>
    <w:p w14:paraId="2F951CD2"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sunkia kepenų liga arba tulžies pūslės ir latakų obstrukcija (kliūtis tulžiai ištekėti iš tulžies pūslės);</w:t>
      </w:r>
    </w:p>
    <w:p w14:paraId="067F5F7C"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kada nors sirgote podagra;</w:t>
      </w:r>
    </w:p>
    <w:p w14:paraId="5F7EDE8E"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lastRenderedPageBreak/>
        <w:t>jeigu nuolat yra sumažėjusi kalio koncentracija kraujyje;</w:t>
      </w:r>
    </w:p>
    <w:p w14:paraId="212CC481"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nuolat yra padidėjusi kalcio koncentracija kraujyje;</w:t>
      </w:r>
    </w:p>
    <w:p w14:paraId="4D7B5750" w14:textId="77777777" w:rsidR="00937FA0" w:rsidRPr="00937FA0" w:rsidRDefault="00937FA0" w:rsidP="00E30DF8">
      <w:pPr>
        <w:widowControl w:val="0"/>
        <w:numPr>
          <w:ilvl w:val="0"/>
          <w:numId w:val="27"/>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Jūs sergate cukriniu diabetu arba Jūsų inkstų veikla sutrikusi ir Jums skirtas kraujospūdį mažinantis vaistas, kurio sudėtyje yra aliskireno.</w:t>
      </w:r>
    </w:p>
    <w:p w14:paraId="0FD178B9" w14:textId="77777777" w:rsidR="00937FA0" w:rsidRPr="00937FA0" w:rsidRDefault="00937FA0" w:rsidP="00937FA0">
      <w:pPr>
        <w:widowControl w:val="0"/>
        <w:rPr>
          <w:rFonts w:ascii="Times New Roman" w:eastAsia="Times New Roman" w:hAnsi="Times New Roman" w:cs="Times New Roman"/>
          <w:lang w:eastAsia="sl-SI"/>
        </w:rPr>
      </w:pPr>
    </w:p>
    <w:p w14:paraId="721110D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abejojate, ar kuris nors iš šių teiginių tinka Jums, prieš vartodami Canocombi, pasitarkite su gydytoju arba vaistininku.</w:t>
      </w:r>
    </w:p>
    <w:p w14:paraId="13BF2A4C" w14:textId="77777777" w:rsidR="00937FA0" w:rsidRPr="00937FA0" w:rsidRDefault="00937FA0" w:rsidP="00937FA0">
      <w:pPr>
        <w:widowControl w:val="0"/>
        <w:rPr>
          <w:rFonts w:ascii="Times New Roman" w:eastAsia="Times New Roman" w:hAnsi="Times New Roman" w:cs="Times New Roman"/>
          <w:lang w:eastAsia="sl-SI"/>
        </w:rPr>
      </w:pPr>
    </w:p>
    <w:p w14:paraId="27C66F91" w14:textId="77777777" w:rsidR="00937FA0" w:rsidRPr="00937FA0" w:rsidRDefault="00937FA0" w:rsidP="00937FA0">
      <w:pPr>
        <w:widowControl w:val="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Įspėjimai ir atsargumo priemonės</w:t>
      </w:r>
    </w:p>
    <w:p w14:paraId="02B2CBDF" w14:textId="77777777" w:rsidR="00937FA0" w:rsidRPr="00937FA0" w:rsidRDefault="00937FA0" w:rsidP="00937FA0">
      <w:pPr>
        <w:widowControl w:val="0"/>
        <w:rPr>
          <w:rFonts w:ascii="Times New Roman" w:eastAsia="Times New Roman" w:hAnsi="Times New Roman" w:cs="Times New Roman"/>
          <w:b/>
          <w:bCs/>
          <w:lang w:eastAsia="sl-SI"/>
        </w:rPr>
      </w:pPr>
    </w:p>
    <w:p w14:paraId="2043D459" w14:textId="77777777" w:rsidR="00937FA0" w:rsidRPr="00E33F2E" w:rsidRDefault="00937FA0" w:rsidP="00937FA0">
      <w:pPr>
        <w:widowControl w:val="0"/>
        <w:rPr>
          <w:rFonts w:ascii="Times New Roman" w:eastAsia="Times New Roman" w:hAnsi="Times New Roman" w:cs="Times New Roman"/>
          <w:szCs w:val="20"/>
          <w:lang w:eastAsia="sl-SI"/>
        </w:rPr>
      </w:pPr>
      <w:r w:rsidRPr="00E33F2E">
        <w:rPr>
          <w:rFonts w:ascii="Times New Roman" w:eastAsia="Times New Roman" w:hAnsi="Times New Roman" w:cs="Times New Roman"/>
          <w:szCs w:val="20"/>
          <w:lang w:eastAsia="sl-SI"/>
        </w:rPr>
        <w:t>Pasitarkite su gydytoju arba vaistininku, prieš pradėdami vartoti Canocombi.</w:t>
      </w:r>
    </w:p>
    <w:p w14:paraId="653625DC" w14:textId="77777777" w:rsidR="00937FA0" w:rsidRPr="00937FA0" w:rsidRDefault="00937FA0" w:rsidP="00E30DF8">
      <w:pPr>
        <w:widowControl w:val="0"/>
        <w:numPr>
          <w:ilvl w:val="0"/>
          <w:numId w:val="28"/>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cukriniu diabetu;</w:t>
      </w:r>
    </w:p>
    <w:p w14:paraId="69575D5C"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sergate širdies, kepenų ar inkstų ligomis;</w:t>
      </w:r>
    </w:p>
    <w:p w14:paraId="57A5769A"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neseniai Jums buvo persodintas inkstas;</w:t>
      </w:r>
    </w:p>
    <w:p w14:paraId="01C3C62B"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vemiate, gausiai vėmėte arba viduriavote;</w:t>
      </w:r>
    </w:p>
    <w:p w14:paraId="4E961964"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sergate antinksčių liga, vadinama Kono (</w:t>
      </w:r>
      <w:r w:rsidRPr="00937FA0">
        <w:rPr>
          <w:rFonts w:ascii="Times New Roman" w:eastAsia="Times New Roman" w:hAnsi="Times New Roman" w:cs="Times New Roman"/>
          <w:i/>
          <w:lang w:eastAsia="sl-SI"/>
        </w:rPr>
        <w:t>Conn</w:t>
      </w:r>
      <w:r w:rsidRPr="00937FA0">
        <w:rPr>
          <w:rFonts w:ascii="Times New Roman" w:eastAsia="Times New Roman" w:hAnsi="Times New Roman" w:cs="Times New Roman"/>
          <w:lang w:eastAsia="sl-SI"/>
        </w:rPr>
        <w:t>) sindromu (dar vadinamas pirminiu hiperaldosteronizmu);</w:t>
      </w:r>
    </w:p>
    <w:p w14:paraId="6F58ECE4"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sirgote liga, vadinama sistemine raudonąja vilklige (SRV);</w:t>
      </w:r>
    </w:p>
    <w:p w14:paraId="4184D652"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yra sumažėjęs kraujospūdis;</w:t>
      </w:r>
    </w:p>
    <w:p w14:paraId="201EEC6C" w14:textId="77777777" w:rsidR="00937FA0" w:rsidRP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buvo ištikęs insultas;</w:t>
      </w:r>
    </w:p>
    <w:p w14:paraId="5D609C89" w14:textId="77777777" w:rsidR="00937FA0" w:rsidRDefault="00937FA0" w:rsidP="00E30DF8">
      <w:pPr>
        <w:widowControl w:val="0"/>
        <w:numPr>
          <w:ilvl w:val="0"/>
          <w:numId w:val="2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pasireiškė alergija arba astma;</w:t>
      </w:r>
    </w:p>
    <w:p w14:paraId="5E62218A" w14:textId="77777777" w:rsidR="00937FA0" w:rsidRPr="0049558C" w:rsidRDefault="0049558C" w:rsidP="00E33F2E">
      <w:pPr>
        <w:widowControl w:val="0"/>
        <w:numPr>
          <w:ilvl w:val="0"/>
          <w:numId w:val="28"/>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t</w:t>
      </w:r>
      <w:r w:rsidR="00937FA0" w:rsidRPr="0049558C">
        <w:rPr>
          <w:rFonts w:ascii="Times New Roman" w:eastAsia="Times New Roman" w:hAnsi="Times New Roman" w:cs="Times New Roman"/>
          <w:lang w:eastAsia="sl-SI"/>
        </w:rPr>
        <w:t>urite pasakyti gydytojui, jeigu galvojate, kad esate (</w:t>
      </w:r>
      <w:r w:rsidR="00937FA0" w:rsidRPr="0049558C">
        <w:rPr>
          <w:rFonts w:ascii="Times New Roman" w:eastAsia="Times New Roman" w:hAnsi="Times New Roman" w:cs="Times New Roman"/>
          <w:u w:val="single"/>
          <w:lang w:eastAsia="sl-SI"/>
        </w:rPr>
        <w:t>arba galite būti</w:t>
      </w:r>
      <w:r w:rsidR="00937FA0" w:rsidRPr="0049558C">
        <w:rPr>
          <w:rFonts w:ascii="Times New Roman" w:eastAsia="Times New Roman" w:hAnsi="Times New Roman" w:cs="Times New Roman"/>
          <w:lang w:eastAsia="sl-SI"/>
        </w:rPr>
        <w:t>) nėščia. Canocombi nerekomenduojama vartoti nėštumo pradžioje ir negalima vartoti, jeigu yra daugiau kaip 3 nėštumo mėnesiai, nes šiuo nėštumo laikotarpiu vartojamas vaistas gali labai pakenkti vaisiui (žr. skyrelį ,,Nėštumas“)</w:t>
      </w:r>
      <w:r>
        <w:rPr>
          <w:rFonts w:ascii="Times New Roman" w:eastAsia="Times New Roman" w:hAnsi="Times New Roman" w:cs="Times New Roman"/>
          <w:lang w:eastAsia="sl-SI"/>
        </w:rPr>
        <w:t>;</w:t>
      </w:r>
    </w:p>
    <w:p w14:paraId="75AD88F1" w14:textId="77777777" w:rsidR="0049558C" w:rsidRDefault="00D861B5" w:rsidP="00E30DF8">
      <w:pPr>
        <w:widowControl w:val="0"/>
        <w:numPr>
          <w:ilvl w:val="0"/>
          <w:numId w:val="37"/>
        </w:numPr>
        <w:ind w:left="567" w:hanging="567"/>
        <w:rPr>
          <w:rFonts w:ascii="Times New Roman" w:hAnsi="Times New Roman" w:cs="Times New Roman"/>
        </w:rPr>
      </w:pPr>
      <w:r w:rsidRPr="001118BF">
        <w:rPr>
          <w:rFonts w:ascii="Times New Roman" w:hAnsi="Times New Roman" w:cs="Times New Roman"/>
        </w:rPr>
        <w:t xml:space="preserve">jeigu Jums praeityje buvo diagnozuotas odos vėžys arba gydymo laikotarpiu ant jūsų odos staiga atsirastų koks nors pakitimas. Taikant gydymą hidrochlorotiazidu, ypač ilgalaikį gydymą didelėmis šio vaisto dozėmis, gali padidėti tam tikrų rūšių odos ir lūpos vėžio (nemelanominio odos vėžio) rizika. Vartodami </w:t>
      </w:r>
      <w:r w:rsidR="007379C4" w:rsidRPr="00937FA0">
        <w:rPr>
          <w:rFonts w:ascii="Times New Roman" w:eastAsia="Batang" w:hAnsi="Times New Roman" w:cs="Times New Roman"/>
          <w:lang w:eastAsia="zh-CN"/>
        </w:rPr>
        <w:t>Canocombi</w:t>
      </w:r>
      <w:r w:rsidRPr="001118BF">
        <w:rPr>
          <w:rFonts w:ascii="Times New Roman" w:hAnsi="Times New Roman" w:cs="Times New Roman"/>
        </w:rPr>
        <w:t xml:space="preserve"> saugokite savo odą nuo saul</w:t>
      </w:r>
      <w:r>
        <w:rPr>
          <w:rFonts w:ascii="Times New Roman" w:hAnsi="Times New Roman" w:cs="Times New Roman"/>
        </w:rPr>
        <w:t>ės ir ultravioletinių spindulių</w:t>
      </w:r>
      <w:r w:rsidR="00006025">
        <w:rPr>
          <w:rFonts w:ascii="Times New Roman" w:hAnsi="Times New Roman" w:cs="Times New Roman"/>
        </w:rPr>
        <w:t>;</w:t>
      </w:r>
    </w:p>
    <w:p w14:paraId="1D6B6F47" w14:textId="77777777" w:rsidR="00006025" w:rsidRPr="00006025" w:rsidRDefault="00006025" w:rsidP="00006025">
      <w:pPr>
        <w:widowControl w:val="0"/>
        <w:numPr>
          <w:ilvl w:val="0"/>
          <w:numId w:val="37"/>
        </w:numPr>
        <w:ind w:left="567" w:hanging="567"/>
        <w:rPr>
          <w:rFonts w:ascii="Times New Roman" w:hAnsi="Times New Roman" w:cs="Times New Roman"/>
        </w:rPr>
      </w:pPr>
      <w:r w:rsidRPr="00006025">
        <w:rPr>
          <w:rFonts w:ascii="Times New Roman" w:hAnsi="Times New Roman" w:cs="Times New Roman"/>
        </w:rPr>
        <w:t>jeigu praeityje pavartojus hidrochlorotiazido, Jums pasireiškė kvėpavimo ar plaučių veiklos sutrikimų (įskaitant plaučių uždegimą ar skysčio susidarymą juose). Jeigu pavartojus Canocombi Jums pasireikštų stiprus dusulys arba kvėpavimo sunkumų, nedelsdami kreipkitės</w:t>
      </w:r>
      <w:r>
        <w:rPr>
          <w:rFonts w:ascii="Times New Roman" w:hAnsi="Times New Roman" w:cs="Times New Roman"/>
        </w:rPr>
        <w:t xml:space="preserve"> </w:t>
      </w:r>
      <w:r w:rsidRPr="00006025">
        <w:rPr>
          <w:rFonts w:ascii="Times New Roman" w:hAnsi="Times New Roman" w:cs="Times New Roman"/>
        </w:rPr>
        <w:t>medicininės pagalbos</w:t>
      </w:r>
      <w:r>
        <w:rPr>
          <w:rFonts w:ascii="Times New Roman" w:hAnsi="Times New Roman" w:cs="Times New Roman"/>
        </w:rPr>
        <w:t>;</w:t>
      </w:r>
    </w:p>
    <w:p w14:paraId="3D98B5A9" w14:textId="073CF0BC" w:rsidR="00D861B5" w:rsidRPr="00E30DF8" w:rsidRDefault="00262276" w:rsidP="00E33F2E">
      <w:pPr>
        <w:widowControl w:val="0"/>
        <w:numPr>
          <w:ilvl w:val="0"/>
          <w:numId w:val="37"/>
        </w:numPr>
        <w:ind w:left="567" w:hanging="567"/>
        <w:rPr>
          <w:rFonts w:ascii="Times New Roman" w:hAnsi="Times New Roman" w:cs="Times New Roman"/>
        </w:rPr>
      </w:pPr>
      <w:r>
        <w:rPr>
          <w:rFonts w:ascii="Times New Roman" w:hAnsi="Times New Roman" w:cs="Times New Roman"/>
        </w:rPr>
        <w:t xml:space="preserve">jeigu </w:t>
      </w:r>
      <w:r w:rsidR="0066208F">
        <w:rPr>
          <w:rFonts w:ascii="Times New Roman" w:hAnsi="Times New Roman" w:cs="Times New Roman"/>
        </w:rPr>
        <w:t xml:space="preserve">Jums </w:t>
      </w:r>
      <w:r w:rsidR="0049558C" w:rsidRPr="0049558C">
        <w:rPr>
          <w:rFonts w:ascii="Times New Roman" w:hAnsi="Times New Roman" w:cs="Times New Roman"/>
        </w:rPr>
        <w:t>susilpnėja regėjimas</w:t>
      </w:r>
      <w:r>
        <w:rPr>
          <w:rFonts w:ascii="Times New Roman" w:hAnsi="Times New Roman" w:cs="Times New Roman"/>
        </w:rPr>
        <w:t xml:space="preserve"> arba atsiranda akių skausmas. Š</w:t>
      </w:r>
      <w:r w:rsidR="0049558C" w:rsidRPr="0049558C">
        <w:rPr>
          <w:rFonts w:ascii="Times New Roman" w:hAnsi="Times New Roman" w:cs="Times New Roman"/>
        </w:rPr>
        <w:t>ie simptomai gali būti skysčio susikaupimo akies kraujagysliniame dangale (tarp gyslainės ir skleros) arba padidėjusio akispūdžio požymiais</w:t>
      </w:r>
      <w:r w:rsidRPr="00262276">
        <w:t xml:space="preserve"> </w:t>
      </w:r>
      <w:r w:rsidRPr="00262276">
        <w:rPr>
          <w:rFonts w:ascii="Times New Roman" w:hAnsi="Times New Roman" w:cs="Times New Roman"/>
        </w:rPr>
        <w:t>ir gali įvykt</w:t>
      </w:r>
      <w:r w:rsidR="00587536">
        <w:rPr>
          <w:rFonts w:ascii="Times New Roman" w:hAnsi="Times New Roman" w:cs="Times New Roman"/>
        </w:rPr>
        <w:t>i per kelias valandas ar savaites</w:t>
      </w:r>
      <w:r w:rsidRPr="00262276">
        <w:rPr>
          <w:rFonts w:ascii="Times New Roman" w:hAnsi="Times New Roman" w:cs="Times New Roman"/>
        </w:rPr>
        <w:t xml:space="preserve"> po </w:t>
      </w:r>
      <w:r>
        <w:rPr>
          <w:rFonts w:ascii="Times New Roman" w:hAnsi="Times New Roman" w:cs="Times New Roman"/>
        </w:rPr>
        <w:t xml:space="preserve">Canocombi </w:t>
      </w:r>
      <w:r w:rsidRPr="00262276">
        <w:rPr>
          <w:rFonts w:ascii="Times New Roman" w:hAnsi="Times New Roman" w:cs="Times New Roman"/>
        </w:rPr>
        <w:t>vartojimo</w:t>
      </w:r>
      <w:r w:rsidR="0049558C" w:rsidRPr="0049558C">
        <w:rPr>
          <w:rFonts w:ascii="Times New Roman" w:hAnsi="Times New Roman" w:cs="Times New Roman"/>
        </w:rPr>
        <w:t xml:space="preserve">. </w:t>
      </w:r>
      <w:r w:rsidRPr="00262276">
        <w:rPr>
          <w:rFonts w:ascii="Times New Roman" w:eastAsia="Times New Roman" w:hAnsi="Times New Roman" w:cs="Times New Roman"/>
          <w:noProof/>
          <w:snapToGrid w:val="0"/>
          <w:lang w:eastAsia="zh-CN"/>
        </w:rPr>
        <w:t>Tai gali lemti regėjimo sutrikimą</w:t>
      </w:r>
      <w:r w:rsidRPr="00262276" w:rsidDel="002C3451">
        <w:rPr>
          <w:rFonts w:ascii="Times New Roman" w:eastAsia="Times New Roman" w:hAnsi="Times New Roman" w:cs="Times New Roman"/>
          <w:noProof/>
          <w:snapToGrid w:val="0"/>
          <w:lang w:eastAsia="zh-CN"/>
        </w:rPr>
        <w:t xml:space="preserve"> </w:t>
      </w:r>
      <w:r w:rsidRPr="00262276">
        <w:rPr>
          <w:rFonts w:ascii="Times New Roman" w:eastAsia="Times New Roman" w:hAnsi="Times New Roman" w:cs="Times New Roman"/>
          <w:noProof/>
          <w:snapToGrid w:val="0"/>
          <w:lang w:eastAsia="zh-CN"/>
        </w:rPr>
        <w:t>visam laikui, jeigu negydoma.</w:t>
      </w:r>
      <w:r w:rsidRPr="00262276">
        <w:t xml:space="preserve"> </w:t>
      </w:r>
      <w:r w:rsidRPr="00262276">
        <w:rPr>
          <w:rFonts w:ascii="Times New Roman" w:eastAsia="Times New Roman" w:hAnsi="Times New Roman" w:cs="Times New Roman"/>
          <w:noProof/>
          <w:snapToGrid w:val="0"/>
          <w:lang w:eastAsia="zh-CN"/>
        </w:rPr>
        <w:t xml:space="preserve">Jei </w:t>
      </w:r>
      <w:r>
        <w:rPr>
          <w:rFonts w:ascii="Times New Roman" w:eastAsia="Times New Roman" w:hAnsi="Times New Roman" w:cs="Times New Roman"/>
          <w:noProof/>
          <w:snapToGrid w:val="0"/>
          <w:lang w:eastAsia="zh-CN"/>
        </w:rPr>
        <w:t xml:space="preserve">Jums </w:t>
      </w:r>
      <w:r w:rsidRPr="00262276">
        <w:rPr>
          <w:rFonts w:ascii="Times New Roman" w:eastAsia="Times New Roman" w:hAnsi="Times New Roman" w:cs="Times New Roman"/>
          <w:noProof/>
          <w:snapToGrid w:val="0"/>
          <w:lang w:eastAsia="zh-CN"/>
        </w:rPr>
        <w:t>anksčiau buvo alergija pen</w:t>
      </w:r>
      <w:r>
        <w:rPr>
          <w:rFonts w:ascii="Times New Roman" w:eastAsia="Times New Roman" w:hAnsi="Times New Roman" w:cs="Times New Roman"/>
          <w:noProof/>
          <w:snapToGrid w:val="0"/>
          <w:lang w:eastAsia="zh-CN"/>
        </w:rPr>
        <w:t>icilinui ar sulfonamidui, Jums gali būti didesnė rizika</w:t>
      </w:r>
      <w:r w:rsidRPr="00262276">
        <w:rPr>
          <w:rFonts w:ascii="Times New Roman" w:eastAsia="Times New Roman" w:hAnsi="Times New Roman" w:cs="Times New Roman"/>
          <w:noProof/>
          <w:snapToGrid w:val="0"/>
          <w:lang w:eastAsia="zh-CN"/>
        </w:rPr>
        <w:t>, kad tai išsivystys</w:t>
      </w:r>
      <w:r w:rsidR="00006025">
        <w:rPr>
          <w:rFonts w:ascii="Times New Roman" w:eastAsia="Times New Roman" w:hAnsi="Times New Roman" w:cs="Times New Roman"/>
          <w:noProof/>
          <w:snapToGrid w:val="0"/>
          <w:lang w:eastAsia="zh-CN"/>
        </w:rPr>
        <w:t>;</w:t>
      </w:r>
    </w:p>
    <w:p w14:paraId="267DD715" w14:textId="77777777" w:rsidR="00937FA0" w:rsidRPr="00937FA0" w:rsidRDefault="00937FA0" w:rsidP="00E30DF8">
      <w:pPr>
        <w:widowControl w:val="0"/>
        <w:numPr>
          <w:ilvl w:val="0"/>
          <w:numId w:val="28"/>
        </w:numPr>
        <w:ind w:left="567" w:hanging="567"/>
        <w:rPr>
          <w:rFonts w:ascii="Times New Roman" w:eastAsia="Batang" w:hAnsi="Times New Roman" w:cs="Times New Roman"/>
          <w:lang w:eastAsia="sl-SI"/>
        </w:rPr>
      </w:pPr>
      <w:r w:rsidRPr="00937FA0">
        <w:rPr>
          <w:rFonts w:ascii="Times New Roman" w:eastAsia="Batang" w:hAnsi="Times New Roman" w:cs="Times New Roman"/>
          <w:lang w:eastAsia="sl-SI"/>
        </w:rPr>
        <w:t>jeigu vartojate kurį nors iš šių vaistų padidėjusiam kraujospūdžiui gydyti:</w:t>
      </w:r>
    </w:p>
    <w:p w14:paraId="44B10D6E" w14:textId="77777777" w:rsidR="00937FA0" w:rsidRPr="00937FA0" w:rsidRDefault="00937FA0" w:rsidP="00E33F2E">
      <w:pPr>
        <w:widowControl w:val="0"/>
        <w:numPr>
          <w:ilvl w:val="0"/>
          <w:numId w:val="29"/>
        </w:numPr>
        <w:ind w:left="1134" w:hanging="567"/>
        <w:contextualSpacing/>
        <w:rPr>
          <w:rFonts w:ascii="Times New Roman" w:eastAsia="Batang" w:hAnsi="Times New Roman" w:cs="Times New Roman"/>
          <w:sz w:val="24"/>
          <w:szCs w:val="20"/>
          <w:lang w:val="sl-SI" w:eastAsia="sl-SI"/>
        </w:rPr>
      </w:pPr>
      <w:r w:rsidRPr="00937FA0">
        <w:rPr>
          <w:rFonts w:ascii="Times New Roman" w:eastAsia="Batang" w:hAnsi="Times New Roman" w:cs="Times New Roman"/>
          <w:szCs w:val="20"/>
          <w:lang w:eastAsia="sl-SI"/>
        </w:rPr>
        <w:t>AKF inhibitorių (pavyzdžiui, enalaprilį, lizinoprilį, ramiprilį</w:t>
      </w:r>
      <w:r w:rsidRPr="00937FA0">
        <w:rPr>
          <w:rFonts w:ascii="Times New Roman" w:eastAsia="Batang" w:hAnsi="Times New Roman" w:cs="Times New Roman"/>
          <w:lang w:eastAsia="sl-SI"/>
        </w:rPr>
        <w:t xml:space="preserve"> ir kt.),</w:t>
      </w:r>
      <w:r w:rsidRPr="00937FA0">
        <w:rPr>
          <w:rFonts w:ascii="Times New Roman" w:eastAsia="Batang" w:hAnsi="Times New Roman" w:cs="Times New Roman"/>
          <w:szCs w:val="20"/>
          <w:lang w:eastAsia="sl-SI"/>
        </w:rPr>
        <w:t xml:space="preserve"> ypač jei turite su cukriniu diabetu susijusių inkstų sutrikimų;</w:t>
      </w:r>
    </w:p>
    <w:p w14:paraId="575D15C4" w14:textId="77777777" w:rsidR="00937FA0" w:rsidRPr="00937FA0" w:rsidRDefault="00937FA0" w:rsidP="00E33F2E">
      <w:pPr>
        <w:widowControl w:val="0"/>
        <w:numPr>
          <w:ilvl w:val="0"/>
          <w:numId w:val="29"/>
        </w:numPr>
        <w:ind w:left="1134" w:hanging="567"/>
        <w:contextualSpacing/>
        <w:rPr>
          <w:rFonts w:ascii="Times New Roman" w:eastAsia="Batang" w:hAnsi="Times New Roman" w:cs="Times New Roman"/>
          <w:lang w:eastAsia="sl-SI"/>
        </w:rPr>
      </w:pPr>
      <w:r w:rsidRPr="00937FA0">
        <w:rPr>
          <w:rFonts w:ascii="Times New Roman" w:eastAsia="Calibri" w:hAnsi="Times New Roman" w:cs="Times New Roman"/>
          <w:szCs w:val="20"/>
          <w:lang w:eastAsia="sl-SI"/>
        </w:rPr>
        <w:t>aliskireną.</w:t>
      </w:r>
    </w:p>
    <w:p w14:paraId="2918F41E" w14:textId="77777777" w:rsidR="00937FA0" w:rsidRPr="00937FA0" w:rsidRDefault="00937FA0" w:rsidP="00937FA0">
      <w:pPr>
        <w:widowControl w:val="0"/>
        <w:ind w:left="0" w:firstLine="0"/>
        <w:contextualSpacing/>
        <w:rPr>
          <w:rFonts w:ascii="Times New Roman" w:eastAsia="Batang" w:hAnsi="Times New Roman" w:cs="Times New Roman"/>
          <w:sz w:val="24"/>
          <w:szCs w:val="20"/>
          <w:lang w:val="sl-SI" w:eastAsia="sl-SI"/>
        </w:rPr>
      </w:pPr>
    </w:p>
    <w:p w14:paraId="3D59FCAA" w14:textId="77777777" w:rsidR="00937FA0" w:rsidRPr="00937FA0" w:rsidRDefault="00937FA0" w:rsidP="00937FA0">
      <w:pPr>
        <w:widowControl w:val="0"/>
        <w:ind w:left="0" w:firstLine="0"/>
        <w:rPr>
          <w:rFonts w:ascii="Times New Roman" w:eastAsia="Batang" w:hAnsi="Times New Roman" w:cs="Times New Roman"/>
          <w:lang w:eastAsia="zh-CN"/>
        </w:rPr>
      </w:pPr>
      <w:r w:rsidRPr="00937FA0">
        <w:rPr>
          <w:rFonts w:ascii="Times New Roman" w:eastAsia="Batang" w:hAnsi="Times New Roman" w:cs="Times New Roman"/>
          <w:lang w:eastAsia="zh-CN"/>
        </w:rPr>
        <w:t>Jūsų gydytojas gali reguliariai tirti Jūsų inkstų funkciją, kraujospūdį ir elektrolitų kiekį (pvz., kalio) kraujyje.</w:t>
      </w:r>
    </w:p>
    <w:p w14:paraId="403ED076" w14:textId="77777777" w:rsidR="00937FA0" w:rsidRPr="00937FA0" w:rsidRDefault="00937FA0" w:rsidP="00937FA0">
      <w:pPr>
        <w:widowControl w:val="0"/>
        <w:ind w:left="0" w:firstLine="0"/>
        <w:rPr>
          <w:rFonts w:ascii="Times New Roman" w:eastAsia="Times New Roman" w:hAnsi="Times New Roman" w:cs="Times New Roman"/>
          <w:lang w:eastAsia="zh-CN"/>
        </w:rPr>
      </w:pPr>
    </w:p>
    <w:p w14:paraId="44D01C61" w14:textId="47EC1EC2" w:rsidR="00937FA0" w:rsidRPr="00937FA0" w:rsidRDefault="00937FA0" w:rsidP="00937FA0">
      <w:pPr>
        <w:widowControl w:val="0"/>
        <w:ind w:left="0" w:firstLine="0"/>
        <w:rPr>
          <w:rFonts w:ascii="Times New Roman" w:eastAsia="Batang" w:hAnsi="Times New Roman" w:cs="Times New Roman"/>
          <w:lang w:eastAsia="zh-CN"/>
        </w:rPr>
      </w:pPr>
      <w:r w:rsidRPr="00937FA0">
        <w:rPr>
          <w:rFonts w:ascii="Times New Roman" w:eastAsia="Batang" w:hAnsi="Times New Roman" w:cs="Times New Roman"/>
          <w:lang w:eastAsia="zh-CN"/>
        </w:rPr>
        <w:t xml:space="preserve">Taip pat žiūrėkite informaciją, pateiktą poskyryje „Canocombi vartoti </w:t>
      </w:r>
      <w:r w:rsidR="003C06E6">
        <w:rPr>
          <w:rFonts w:ascii="Times New Roman" w:eastAsia="Batang" w:hAnsi="Times New Roman" w:cs="Times New Roman"/>
          <w:lang w:eastAsia="zh-CN"/>
        </w:rPr>
        <w:t>draudžiama</w:t>
      </w:r>
      <w:r w:rsidRPr="00937FA0">
        <w:rPr>
          <w:rFonts w:ascii="Times New Roman" w:eastAsia="Batang" w:hAnsi="Times New Roman" w:cs="Times New Roman"/>
          <w:lang w:eastAsia="zh-CN"/>
        </w:rPr>
        <w:t>“.</w:t>
      </w:r>
    </w:p>
    <w:p w14:paraId="7EDD8316"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12FAD8A2"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kuris nors iš šių teiginių tinka Jums, gydytojas gali pageidauti Jus dažniau stebėti ir atlikti kai kuriuos tyrimus.</w:t>
      </w:r>
    </w:p>
    <w:p w14:paraId="3C557939"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p>
    <w:p w14:paraId="3618464A"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Jums numatyta atlikti kokią nors operaciją, pasakykite gydytojui ar odontologui, kad vartojate Canocombi. Tai padaryti reikia dėl to, kad vartojant kartu kai kuriuos anestetikus, gali labai sumažėti kraujospūdis.</w:t>
      </w:r>
    </w:p>
    <w:p w14:paraId="5C4D62C4"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p>
    <w:p w14:paraId="1FD2E9E6"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lastRenderedPageBreak/>
        <w:t>Canocombi gali didinti odos jautrumą saulės spinduliams.</w:t>
      </w:r>
    </w:p>
    <w:p w14:paraId="7963D738"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p>
    <w:p w14:paraId="0644882B"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b/>
          <w:color w:val="000000"/>
          <w:lang w:eastAsia="sl-SI"/>
        </w:rPr>
      </w:pPr>
      <w:r w:rsidRPr="00937FA0">
        <w:rPr>
          <w:rFonts w:ascii="Times New Roman" w:eastAsia="Times New Roman" w:hAnsi="Times New Roman" w:cs="Times New Roman"/>
          <w:b/>
          <w:color w:val="000000"/>
          <w:lang w:eastAsia="sl-SI"/>
        </w:rPr>
        <w:t>Vaikams ir paaugliams</w:t>
      </w:r>
    </w:p>
    <w:p w14:paraId="0E2880D0" w14:textId="4864D6BC" w:rsidR="00937FA0" w:rsidRPr="00937FA0" w:rsidRDefault="00937FA0" w:rsidP="00937FA0">
      <w:pPr>
        <w:widowControl w:val="0"/>
        <w:ind w:left="0" w:firstLine="0"/>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Canocombi vartojimo vaikams ir jaunesniems kaip 18 metų paaugliams patirties nėra. Todėl vaikams ir paaugliams Canocombi vartoti </w:t>
      </w:r>
      <w:r w:rsidR="003C06E6">
        <w:rPr>
          <w:rFonts w:ascii="Times New Roman" w:eastAsia="Times New Roman" w:hAnsi="Times New Roman" w:cs="Times New Roman"/>
          <w:lang w:eastAsia="sl-SI"/>
        </w:rPr>
        <w:t>draudžiama</w:t>
      </w:r>
      <w:r w:rsidRPr="00937FA0">
        <w:rPr>
          <w:rFonts w:ascii="Times New Roman" w:eastAsia="Times New Roman" w:hAnsi="Times New Roman" w:cs="Times New Roman"/>
          <w:lang w:eastAsia="sl-SI"/>
        </w:rPr>
        <w:t>.</w:t>
      </w:r>
    </w:p>
    <w:p w14:paraId="42E25EF7"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0161F470"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Kiti vaistai ir Canocombi</w:t>
      </w:r>
    </w:p>
    <w:p w14:paraId="25EB23D6" w14:textId="77777777" w:rsidR="00262276" w:rsidRDefault="00937FA0" w:rsidP="00937FA0">
      <w:pPr>
        <w:widowControl w:val="0"/>
        <w:numPr>
          <w:ilvl w:val="12"/>
          <w:numId w:val="0"/>
        </w:numPr>
        <w:tabs>
          <w:tab w:val="left" w:pos="708"/>
        </w:tabs>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vartojate ar neseniai vartojote kitų vaistų arba dėl to nesate tikri, apie tai pasakykite gydytojui arba vaistininkui.</w:t>
      </w:r>
    </w:p>
    <w:p w14:paraId="48CA9698" w14:textId="77777777" w:rsidR="00262276" w:rsidRDefault="00262276" w:rsidP="00937FA0">
      <w:pPr>
        <w:widowControl w:val="0"/>
        <w:numPr>
          <w:ilvl w:val="12"/>
          <w:numId w:val="0"/>
        </w:numPr>
        <w:tabs>
          <w:tab w:val="left" w:pos="708"/>
        </w:tabs>
        <w:ind w:right="-2"/>
        <w:rPr>
          <w:rFonts w:ascii="Times New Roman" w:eastAsia="Times New Roman" w:hAnsi="Times New Roman" w:cs="Times New Roman"/>
          <w:lang w:eastAsia="sl-SI"/>
        </w:rPr>
      </w:pPr>
    </w:p>
    <w:p w14:paraId="1F001FFF" w14:textId="77777777" w:rsidR="00937FA0" w:rsidRPr="00937FA0" w:rsidRDefault="00937FA0" w:rsidP="00937FA0">
      <w:pPr>
        <w:widowControl w:val="0"/>
        <w:numPr>
          <w:ilvl w:val="12"/>
          <w:numId w:val="0"/>
        </w:numPr>
        <w:tabs>
          <w:tab w:val="left" w:pos="708"/>
        </w:tabs>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gali keisti kai kurių kitų vaistų veikimo būdą ir kiti vaistai gali keisti Canocombi tablečių poveikį. Jeigu vartojate tam tikrų vaistų, gydytojas turės periodiškai atlikti kai kuriuos kraujo tyrimus.</w:t>
      </w:r>
    </w:p>
    <w:p w14:paraId="62D84277"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1D7ABE5A"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kern w:val="1"/>
          <w:lang w:eastAsia="en-GB"/>
        </w:rPr>
        <w:t>Jūsų gydytojui gali tekti pakeisti Jūsų dozę ir (arba) imtis kitų atsargumo priemonių</w:t>
      </w:r>
      <w:r w:rsidRPr="00937FA0">
        <w:rPr>
          <w:rFonts w:ascii="Times New Roman" w:eastAsia="Times New Roman" w:hAnsi="Times New Roman" w:cs="Times New Roman"/>
          <w:lang w:eastAsia="sl-SI"/>
        </w:rPr>
        <w:t>, todėl ypač svarbu pasakyti gydytojui, jeigu vartojate kurį nors iš šių vaistų:</w:t>
      </w:r>
    </w:p>
    <w:p w14:paraId="08E5447C"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kitus vaistus, kurie padeda sumažinti kraujospūdį, įskaitant beta adrenoreceptorių blokatorius, aliskireno turinčių vaistų, diazoksidą ir angiotenziną konvertuojančio fermento (AKF) inhibitorius, pavyzdžiui, enalaprilį, kaptoprilį, lizinoprilį ar ramiprilį;</w:t>
      </w:r>
    </w:p>
    <w:p w14:paraId="5E810EF4"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nesteroidinius vaistus nuo uždegimo (NVNU), pavyzdžiui, ibuprofeną, naprokseną, diklofenaką, celekoksibą ar etorikoksibą (skausmą malšinantys ir uždegimą mažinantys vaistai);</w:t>
      </w:r>
    </w:p>
    <w:p w14:paraId="1827928A"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acetilsalicilo rūgštį (jeigu vartojate daugiau kaip po 3 g kiekvieną dieną) (skausmą malšinantis ir uždegimą mažinantis vaistas);</w:t>
      </w:r>
    </w:p>
    <w:p w14:paraId="412D8130"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kalio papildus ar druskos pakaitalus, kurių sudėtyje yra kalio (vaistai, kurie didina kalio koncentraciją kraujyje);</w:t>
      </w:r>
    </w:p>
    <w:p w14:paraId="09C1EC1A"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kalcio ar D vitamino papildus;</w:t>
      </w:r>
    </w:p>
    <w:p w14:paraId="6F8B56DE"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kurie mažina cholesterolio koncentraciją kraujyje, pavyzdžiui, kolestipolį ar kolestiraminą;</w:t>
      </w:r>
    </w:p>
    <w:p w14:paraId="4F90700B"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cukriniam diabetui gydyti (tabletes ar insuliną);</w:t>
      </w:r>
    </w:p>
    <w:p w14:paraId="73273753"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širdies plakimui kontroliuoti (antiaritminius vaistus), pavyzdžiui, digoksiną ir beta adrenoreceptorių blokatorius;</w:t>
      </w:r>
    </w:p>
    <w:p w14:paraId="4282697B"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kurių veikimui įtaką gali daryti kalio kiekis kraujyje, pvz., kai kuriuos vaistus nuo psichozės;</w:t>
      </w:r>
    </w:p>
    <w:p w14:paraId="2015771E"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hepariną (kraujo krešėjimą mažinantis vaistas);</w:t>
      </w:r>
    </w:p>
    <w:p w14:paraId="72876ECC"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šlapimo išsiskyrimą skatinančias tabletes (diuretikus);</w:t>
      </w:r>
    </w:p>
    <w:p w14:paraId="50B26B17"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vidurių laisvinamuosius vaistus;</w:t>
      </w:r>
    </w:p>
    <w:p w14:paraId="67C3293F"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peniciliną ar kotrimoksazolą taip pat žinomą kaip trimetoprimas</w:t>
      </w:r>
      <w:r w:rsidR="00F56AE0">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w:t>
      </w:r>
      <w:r w:rsidR="00F56AE0">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sulfametoksazolas (antibiotiniai vaistai);</w:t>
      </w:r>
    </w:p>
    <w:p w14:paraId="45123233"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amfotericiną (gydomos grybelių sukeltos infekcinės ligos);</w:t>
      </w:r>
    </w:p>
    <w:p w14:paraId="661C9FF9"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litį (vaistus psichikos sutrikimams gydyti);</w:t>
      </w:r>
    </w:p>
    <w:p w14:paraId="7331FE4D"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steroidus, pavyzdžiui, prednizoloną;</w:t>
      </w:r>
    </w:p>
    <w:p w14:paraId="5FF5D0EC"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hipofizės hormoną (AKTH);</w:t>
      </w:r>
    </w:p>
    <w:p w14:paraId="745CDECC"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vėžiui gydyti;</w:t>
      </w:r>
    </w:p>
    <w:p w14:paraId="29DC3BFC"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amantadiną (Parkinsono ligai arba sunkioms virusų sukeltoms infekcinėms ligoms gydyti);</w:t>
      </w:r>
    </w:p>
    <w:p w14:paraId="00F60067"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barbitūratus (sedaciją sukeliantys vaistai, kurie vartojami ir epilepsijai gydyti);</w:t>
      </w:r>
    </w:p>
    <w:p w14:paraId="787A1853"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karbenoksoloną (stemplės ligai arba burnos opoms gydyti);</w:t>
      </w:r>
    </w:p>
    <w:p w14:paraId="7F042F19"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anticholinerginius vaistus, pavyzdžiui, atropiną ir biperideną;</w:t>
      </w:r>
    </w:p>
    <w:p w14:paraId="5E8FBCB4"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ciklosporiną – tai vaistas, kuris vartojamas po organų persodinimo operacijos, kad būtų išvengta organo atmetimo;</w:t>
      </w:r>
    </w:p>
    <w:p w14:paraId="4B473183" w14:textId="77777777" w:rsidR="00937FA0" w:rsidRPr="00937FA0" w:rsidRDefault="00937FA0" w:rsidP="00937FA0">
      <w:pPr>
        <w:widowControl w:val="0"/>
        <w:numPr>
          <w:ilvl w:val="0"/>
          <w:numId w:val="16"/>
        </w:numPr>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kitus vaistus, kurie gali sustiprinti antihipertenzinį poveikį, pavyzdžiui, baklofeną (spazmus malšinantis vaistas), amifostiną (vėžiui gydyti) ir kai kuriuos kitus vaistus nuo psichozių.</w:t>
      </w:r>
    </w:p>
    <w:p w14:paraId="05434C8E" w14:textId="5F8ED777" w:rsidR="00937FA0" w:rsidRPr="00937FA0" w:rsidRDefault="00937FA0" w:rsidP="00E30DF8">
      <w:pPr>
        <w:widowControl w:val="0"/>
        <w:numPr>
          <w:ilvl w:val="0"/>
          <w:numId w:val="30"/>
        </w:numPr>
        <w:ind w:left="567" w:hanging="567"/>
        <w:contextualSpacing/>
        <w:rPr>
          <w:rFonts w:ascii="Times New Roman" w:eastAsia="Times New Roman" w:hAnsi="Times New Roman" w:cs="Times New Roman"/>
          <w:sz w:val="24"/>
          <w:szCs w:val="20"/>
          <w:lang w:eastAsia="sl-SI"/>
        </w:rPr>
      </w:pPr>
      <w:r w:rsidRPr="00937FA0">
        <w:rPr>
          <w:rFonts w:ascii="Times New Roman" w:eastAsia="Times New Roman" w:hAnsi="Times New Roman" w:cs="Times New Roman"/>
          <w:szCs w:val="20"/>
          <w:lang w:eastAsia="sl-SI"/>
        </w:rPr>
        <w:t xml:space="preserve">jeigu vartojate AKF inhibitorių arba aliskireną (taip pat žiūrėkite informaciją, pateiktą poskyryje „Canocombi vartoti </w:t>
      </w:r>
      <w:r w:rsidR="003C06E6">
        <w:rPr>
          <w:rFonts w:ascii="Times New Roman" w:eastAsia="Times New Roman" w:hAnsi="Times New Roman" w:cs="Times New Roman"/>
          <w:szCs w:val="20"/>
          <w:lang w:eastAsia="sl-SI"/>
        </w:rPr>
        <w:t>draudžiama</w:t>
      </w:r>
      <w:r w:rsidRPr="00937FA0">
        <w:rPr>
          <w:rFonts w:ascii="Times New Roman" w:eastAsia="Times New Roman" w:hAnsi="Times New Roman" w:cs="Times New Roman"/>
          <w:szCs w:val="20"/>
          <w:lang w:eastAsia="sl-SI"/>
        </w:rPr>
        <w:t>“ ir „Įspėjimai ir atsargumo priemonės“)</w:t>
      </w:r>
      <w:r w:rsidR="00C14EFF">
        <w:rPr>
          <w:rFonts w:ascii="Times New Roman" w:eastAsia="Times New Roman" w:hAnsi="Times New Roman" w:cs="Times New Roman"/>
          <w:szCs w:val="20"/>
          <w:lang w:eastAsia="sl-SI"/>
        </w:rPr>
        <w:t>.</w:t>
      </w:r>
    </w:p>
    <w:p w14:paraId="01DC8E86"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0554613B" w14:textId="05ECE306"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Canocombi vartojimas su maistu</w:t>
      </w:r>
      <w:r w:rsidR="00F56AE0">
        <w:rPr>
          <w:rFonts w:ascii="Times New Roman" w:eastAsia="Times New Roman" w:hAnsi="Times New Roman" w:cs="Times New Roman"/>
          <w:b/>
          <w:lang w:eastAsia="sl-SI"/>
        </w:rPr>
        <w:t>,</w:t>
      </w:r>
      <w:r w:rsidRPr="00937FA0">
        <w:rPr>
          <w:rFonts w:ascii="Times New Roman" w:eastAsia="Times New Roman" w:hAnsi="Times New Roman" w:cs="Times New Roman"/>
          <w:b/>
          <w:lang w:eastAsia="sl-SI"/>
        </w:rPr>
        <w:t xml:space="preserve"> gėrimais</w:t>
      </w:r>
      <w:r w:rsidR="00F56AE0">
        <w:rPr>
          <w:rFonts w:ascii="Times New Roman" w:eastAsia="Times New Roman" w:hAnsi="Times New Roman" w:cs="Times New Roman"/>
          <w:b/>
          <w:lang w:eastAsia="sl-SI"/>
        </w:rPr>
        <w:t xml:space="preserve"> ir alkoholiu</w:t>
      </w:r>
    </w:p>
    <w:p w14:paraId="1122D0E8" w14:textId="77777777" w:rsidR="00937FA0" w:rsidRPr="00937FA0" w:rsidRDefault="00937FA0" w:rsidP="00937FA0">
      <w:pPr>
        <w:widowControl w:val="0"/>
        <w:numPr>
          <w:ilvl w:val="0"/>
          <w:numId w:val="1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galima vartoti valgant arba be maisto.</w:t>
      </w:r>
    </w:p>
    <w:p w14:paraId="7FB50ECA" w14:textId="77777777" w:rsidR="00937FA0" w:rsidRPr="00937FA0" w:rsidRDefault="00937FA0" w:rsidP="00937FA0">
      <w:pPr>
        <w:widowControl w:val="0"/>
        <w:numPr>
          <w:ilvl w:val="0"/>
          <w:numId w:val="1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Jums paskirtas vartoti Canocombi, prieš vartodami alkoholinius gėrimus pasitarkite su </w:t>
      </w:r>
      <w:r w:rsidRPr="00937FA0">
        <w:rPr>
          <w:rFonts w:ascii="Times New Roman" w:eastAsia="Times New Roman" w:hAnsi="Times New Roman" w:cs="Times New Roman"/>
          <w:lang w:eastAsia="sl-SI"/>
        </w:rPr>
        <w:lastRenderedPageBreak/>
        <w:t>gydytoju. Alkoholis gali sukelti svaigulį ar alpulį.</w:t>
      </w:r>
    </w:p>
    <w:p w14:paraId="60054704" w14:textId="77777777" w:rsidR="00937FA0" w:rsidRPr="00937FA0" w:rsidRDefault="00937FA0" w:rsidP="00937FA0">
      <w:pPr>
        <w:widowControl w:val="0"/>
        <w:numPr>
          <w:ilvl w:val="12"/>
          <w:numId w:val="0"/>
        </w:numPr>
        <w:tabs>
          <w:tab w:val="left" w:pos="1290"/>
        </w:tabs>
        <w:ind w:right="-2"/>
        <w:rPr>
          <w:rFonts w:ascii="Times New Roman" w:eastAsia="Times New Roman" w:hAnsi="Times New Roman" w:cs="Times New Roman"/>
          <w:lang w:eastAsia="sl-SI"/>
        </w:rPr>
      </w:pPr>
    </w:p>
    <w:p w14:paraId="45824EC7"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Nėštumas ir žindymo laikotarpis</w:t>
      </w:r>
    </w:p>
    <w:p w14:paraId="3314F878" w14:textId="77777777" w:rsidR="00937FA0" w:rsidRPr="00937FA0" w:rsidRDefault="00937FA0" w:rsidP="00937FA0">
      <w:pPr>
        <w:widowControl w:val="0"/>
        <w:rPr>
          <w:rFonts w:ascii="Times New Roman" w:eastAsia="Times New Roman" w:hAnsi="Times New Roman" w:cs="Times New Roman"/>
          <w:lang w:eastAsia="sl-SI"/>
        </w:rPr>
      </w:pPr>
    </w:p>
    <w:p w14:paraId="468CD4B5" w14:textId="77777777" w:rsidR="00937FA0" w:rsidRPr="00937FA0" w:rsidRDefault="00937FA0" w:rsidP="00937FA0">
      <w:pPr>
        <w:widowControl w:val="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Nėštumas</w:t>
      </w:r>
    </w:p>
    <w:p w14:paraId="23C8F7AD"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Turite pasakyti gydytojui, jeigu galvojate, kad esate (</w:t>
      </w:r>
      <w:r w:rsidRPr="00937FA0">
        <w:rPr>
          <w:rFonts w:ascii="Times New Roman" w:eastAsia="Times New Roman" w:hAnsi="Times New Roman" w:cs="Times New Roman"/>
          <w:u w:val="single"/>
          <w:lang w:eastAsia="sl-SI"/>
        </w:rPr>
        <w:t>arba galite būti</w:t>
      </w:r>
      <w:r w:rsidRPr="00937FA0">
        <w:rPr>
          <w:rFonts w:ascii="Times New Roman" w:eastAsia="Times New Roman" w:hAnsi="Times New Roman" w:cs="Times New Roman"/>
          <w:lang w:eastAsia="sl-SI"/>
        </w:rPr>
        <w:t>) nėščia. Paprastai gydytojas rekomenduos nutraukti Canocombi prieš pastojant arba iš karto, kai tik sužinosite, kad pastojote, ir vietoj Canocombi skirs vartoti kitokių vaistų. Canocombi nerekomenduojama vartoti nėštumo pradžioje ir negalima vartoti, jeigu yra daugiau kaip 3 nėštumo mėnesiai, nes po trečio nėštumo mėnesio vartojamas vaistas gali labai pakenkti vaisiui.</w:t>
      </w:r>
    </w:p>
    <w:p w14:paraId="6FD26C1B" w14:textId="77777777" w:rsidR="00937FA0" w:rsidRPr="00937FA0" w:rsidRDefault="00937FA0" w:rsidP="00937FA0">
      <w:pPr>
        <w:widowControl w:val="0"/>
        <w:rPr>
          <w:rFonts w:ascii="Times New Roman" w:eastAsia="Times New Roman" w:hAnsi="Times New Roman" w:cs="Times New Roman"/>
          <w:lang w:eastAsia="sl-SI"/>
        </w:rPr>
      </w:pPr>
    </w:p>
    <w:p w14:paraId="768A33DA" w14:textId="77777777" w:rsidR="00937FA0" w:rsidRPr="00937FA0" w:rsidRDefault="00937FA0" w:rsidP="00937FA0">
      <w:pPr>
        <w:widowControl w:val="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Žindymas</w:t>
      </w:r>
    </w:p>
    <w:p w14:paraId="2EF42FB4"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Pasakykite gydytojui, jeigu žindote arba planuojate pradėti žindyti kūdikį. Canocombi nerekomenduojama vartoti žindyvėms, taigi jeigu norite žindyti kūdikį, gydytojas gali skirti kitokį gydymą.</w:t>
      </w:r>
    </w:p>
    <w:p w14:paraId="68D6C974" w14:textId="77777777" w:rsidR="00937FA0" w:rsidRPr="00937FA0" w:rsidRDefault="00937FA0" w:rsidP="00937FA0">
      <w:pPr>
        <w:widowControl w:val="0"/>
        <w:rPr>
          <w:rFonts w:ascii="Times New Roman" w:eastAsia="Times New Roman" w:hAnsi="Times New Roman" w:cs="Times New Roman"/>
          <w:lang w:eastAsia="sl-SI"/>
        </w:rPr>
      </w:pPr>
    </w:p>
    <w:p w14:paraId="12FB68C5"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Vairavimas ir mechanizmų valdymas</w:t>
      </w:r>
    </w:p>
    <w:p w14:paraId="51EF0A2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Kai kuriems Canocombi vartojantiems žmonėms gali pasireikšti nuovargis ar svaigulys. Jeigu pasireiškė toks poveikis, vairuoti ar mechanizmų valdyti negalima.</w:t>
      </w:r>
    </w:p>
    <w:p w14:paraId="5A6684E4" w14:textId="77777777" w:rsidR="00937FA0" w:rsidRPr="00937FA0" w:rsidRDefault="00937FA0" w:rsidP="00937FA0">
      <w:pPr>
        <w:widowControl w:val="0"/>
        <w:numPr>
          <w:ilvl w:val="12"/>
          <w:numId w:val="0"/>
        </w:numPr>
        <w:rPr>
          <w:rFonts w:ascii="Times New Roman" w:eastAsia="Times New Roman" w:hAnsi="Times New Roman" w:cs="Times New Roman"/>
          <w:lang w:eastAsia="sl-SI"/>
        </w:rPr>
      </w:pPr>
    </w:p>
    <w:p w14:paraId="2A04F42C" w14:textId="77777777" w:rsidR="00937FA0" w:rsidRPr="00937FA0" w:rsidRDefault="00937FA0" w:rsidP="00937FA0">
      <w:pPr>
        <w:widowControl w:val="0"/>
        <w:numPr>
          <w:ilvl w:val="12"/>
          <w:numId w:val="0"/>
        </w:numPr>
        <w:ind w:right="-2"/>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 xml:space="preserve">Canocombi sudėtyje yra </w:t>
      </w:r>
      <w:r w:rsidRPr="00937FA0">
        <w:rPr>
          <w:rFonts w:ascii="Times New Roman" w:eastAsia="Times New Roman" w:hAnsi="Times New Roman" w:cs="Times New Roman"/>
          <w:b/>
          <w:bCs/>
          <w:lang w:eastAsia="sl-SI"/>
        </w:rPr>
        <w:t>laktozės</w:t>
      </w:r>
      <w:r w:rsidRPr="00937FA0">
        <w:rPr>
          <w:rFonts w:ascii="Times New Roman" w:eastAsia="Times New Roman" w:hAnsi="Times New Roman" w:cs="Times New Roman"/>
          <w:b/>
          <w:lang w:eastAsia="sl-SI"/>
        </w:rPr>
        <w:t xml:space="preserve"> </w:t>
      </w:r>
      <w:r w:rsidRPr="00937FA0">
        <w:rPr>
          <w:rFonts w:ascii="Times New Roman" w:eastAsia="Times New Roman" w:hAnsi="Times New Roman" w:cs="Times New Roman"/>
          <w:lang w:eastAsia="sl-SI"/>
        </w:rPr>
        <w:t>(tam tikros rūšies angliavandenių).</w:t>
      </w:r>
    </w:p>
    <w:p w14:paraId="1B18118E"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gydytojas Jums yra sakęs, kad </w:t>
      </w:r>
      <w:r w:rsidRPr="00937FA0">
        <w:rPr>
          <w:rFonts w:ascii="Times New Roman" w:eastAsia="Times New Roman" w:hAnsi="Times New Roman" w:cs="Times New Roman"/>
          <w:bCs/>
          <w:lang w:eastAsia="sl-SI"/>
        </w:rPr>
        <w:t>netoleruojate kokių nors angliavandenių</w:t>
      </w:r>
      <w:r w:rsidRPr="00937FA0">
        <w:rPr>
          <w:rFonts w:ascii="Times New Roman" w:eastAsia="Times New Roman" w:hAnsi="Times New Roman" w:cs="Times New Roman"/>
          <w:lang w:eastAsia="sl-SI"/>
        </w:rPr>
        <w:t>, kreipkitės į jį prieš pradėdami vartoti šį vaistą.</w:t>
      </w:r>
    </w:p>
    <w:p w14:paraId="056638B3"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3D99E2C6"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539DA52A" w14:textId="77777777" w:rsidR="00937FA0" w:rsidRPr="00937FA0" w:rsidRDefault="00937FA0" w:rsidP="00937FA0">
      <w:pPr>
        <w:widowControl w:val="0"/>
        <w:tabs>
          <w:tab w:val="left" w:pos="567"/>
        </w:tabs>
        <w:ind w:left="0" w:firstLine="0"/>
        <w:rPr>
          <w:rFonts w:ascii="Times New Roman" w:eastAsia="Times New Roman" w:hAnsi="Times New Roman" w:cs="Times New Roman"/>
          <w:b/>
          <w:caps/>
          <w:lang w:eastAsia="sl-SI"/>
        </w:rPr>
      </w:pPr>
      <w:r w:rsidRPr="00937FA0">
        <w:rPr>
          <w:rFonts w:ascii="Times New Roman" w:eastAsia="Times New Roman" w:hAnsi="Times New Roman" w:cs="Times New Roman"/>
          <w:b/>
          <w:lang w:eastAsia="sl-SI"/>
        </w:rPr>
        <w:t>3.</w:t>
      </w:r>
      <w:r w:rsidRPr="00937FA0">
        <w:rPr>
          <w:rFonts w:ascii="Times New Roman" w:eastAsia="Times New Roman" w:hAnsi="Times New Roman" w:cs="Times New Roman"/>
          <w:b/>
          <w:lang w:eastAsia="sl-SI"/>
        </w:rPr>
        <w:tab/>
        <w:t>Kaip vartoti Canocombi</w:t>
      </w:r>
    </w:p>
    <w:p w14:paraId="61D610ED"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6C5437AD"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Visada vartokite šį vaistą tiksliai kaip nurodė gydytojas. Jeigu abejojate, kreipkitės į gydytoją arba vaistininką.</w:t>
      </w:r>
    </w:p>
    <w:p w14:paraId="75E8D10B"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7FA89418"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Svarbu vartoti Canocombi kiekvieną dieną.</w:t>
      </w:r>
    </w:p>
    <w:p w14:paraId="01465BB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Įprasta Canocombi dozė yra viena tabletė vieną kartą per parą.</w:t>
      </w:r>
    </w:p>
    <w:p w14:paraId="03399D8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Nurykite tabletę užsigerdami vandeniu.</w:t>
      </w:r>
    </w:p>
    <w:p w14:paraId="545DFFC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Stenkitės išgerti tabletę kasdien tuo pačiu laiku. Tai padės prisiminti, kad reikia išgerti vaisto.</w:t>
      </w:r>
    </w:p>
    <w:p w14:paraId="352ADE5B" w14:textId="77777777" w:rsidR="00937FA0" w:rsidRPr="00937FA0" w:rsidRDefault="00937FA0" w:rsidP="00937FA0">
      <w:pPr>
        <w:widowControl w:val="0"/>
        <w:rPr>
          <w:rFonts w:ascii="Times New Roman" w:eastAsia="Times New Roman" w:hAnsi="Times New Roman" w:cs="Times New Roman"/>
          <w:lang w:eastAsia="sl-SI"/>
        </w:rPr>
      </w:pPr>
    </w:p>
    <w:p w14:paraId="48A11EDA" w14:textId="6BCE1B25" w:rsidR="00937FA0" w:rsidRPr="00937FA0" w:rsidRDefault="00937FA0" w:rsidP="00937FA0">
      <w:pPr>
        <w:widowControl w:val="0"/>
        <w:rPr>
          <w:rFonts w:ascii="Times New Roman" w:eastAsia="Times New Roman" w:hAnsi="Times New Roman" w:cs="Times New Roman"/>
          <w:szCs w:val="20"/>
          <w:lang w:eastAsia="sl-SI"/>
        </w:rPr>
      </w:pPr>
      <w:r w:rsidRPr="00937FA0">
        <w:rPr>
          <w:rFonts w:ascii="Times New Roman" w:eastAsia="Times New Roman" w:hAnsi="Times New Roman" w:cs="Times New Roman"/>
          <w:b/>
          <w:lang w:eastAsia="sl-SI"/>
        </w:rPr>
        <w:t>Ką daryti pavartojus per didelę Canocombi dozę</w:t>
      </w:r>
      <w:r w:rsidR="007A1678">
        <w:rPr>
          <w:rFonts w:ascii="Times New Roman" w:eastAsia="Times New Roman" w:hAnsi="Times New Roman" w:cs="Times New Roman"/>
          <w:b/>
          <w:lang w:eastAsia="sl-SI"/>
        </w:rPr>
        <w:t>-</w:t>
      </w:r>
    </w:p>
    <w:p w14:paraId="68296A35" w14:textId="77777777" w:rsidR="00937FA0" w:rsidRPr="00937FA0" w:rsidRDefault="00937FA0" w:rsidP="00937FA0">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Jeigu išgėrėte daugiau Canocombi tablečių nei skyrė gydytojas, nedelsdami kreipkitės patarimo į gydytoją arba vaistininką.</w:t>
      </w:r>
    </w:p>
    <w:p w14:paraId="17DC6B5E" w14:textId="77777777" w:rsidR="00937FA0" w:rsidRPr="00937FA0" w:rsidRDefault="00937FA0" w:rsidP="00937FA0">
      <w:pPr>
        <w:widowControl w:val="0"/>
        <w:rPr>
          <w:rFonts w:ascii="Times New Roman" w:eastAsia="Times New Roman" w:hAnsi="Times New Roman" w:cs="Times New Roman"/>
          <w:bCs/>
          <w:lang w:eastAsia="sl-SI"/>
        </w:rPr>
      </w:pPr>
    </w:p>
    <w:p w14:paraId="7E0FAF24" w14:textId="77777777" w:rsidR="00937FA0" w:rsidRPr="00937FA0" w:rsidRDefault="00937FA0" w:rsidP="00937FA0">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Pamiršus pavartoti Canocombi</w:t>
      </w:r>
    </w:p>
    <w:p w14:paraId="3ABEE88C" w14:textId="77777777" w:rsidR="00262276"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Negalima vartoti dvigubos dozės norint kompensuoti praleistą dozę.</w:t>
      </w:r>
    </w:p>
    <w:p w14:paraId="48EC0F1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Tik išgerkite kitą dozę reikiamu laiku.</w:t>
      </w:r>
    </w:p>
    <w:p w14:paraId="230AA83D" w14:textId="77777777" w:rsidR="00937FA0" w:rsidRPr="00937FA0" w:rsidRDefault="00937FA0" w:rsidP="00937FA0">
      <w:pPr>
        <w:widowControl w:val="0"/>
        <w:rPr>
          <w:rFonts w:ascii="Times New Roman" w:eastAsia="Times New Roman" w:hAnsi="Times New Roman" w:cs="Times New Roman"/>
          <w:lang w:eastAsia="sl-SI"/>
        </w:rPr>
      </w:pPr>
    </w:p>
    <w:p w14:paraId="6AE4F450" w14:textId="77777777" w:rsidR="00937FA0" w:rsidRPr="00937FA0" w:rsidRDefault="00937FA0" w:rsidP="00937FA0">
      <w:pPr>
        <w:widowContro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Nustojus vartoti Canocombi</w:t>
      </w:r>
    </w:p>
    <w:p w14:paraId="6C7D9E31"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Nutraukus Canocombi, kraujospūdis gali vėl padidėti. Todėl nenutraukite Canocombi vartojimo tol, kol nepasikalbėjote su gydytoju.</w:t>
      </w:r>
    </w:p>
    <w:p w14:paraId="2A2AA4D4"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41022990"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kiltų daugiau klausimų dėl šio vaisto vartojimo, kreipkitės į gydytoją arba vaistininką.</w:t>
      </w:r>
    </w:p>
    <w:p w14:paraId="0B015D45"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4E63DF61"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687D78BB" w14:textId="77777777" w:rsidR="00937FA0" w:rsidRPr="00937FA0" w:rsidRDefault="00937FA0" w:rsidP="00937FA0">
      <w:pPr>
        <w:widowControl w:val="0"/>
        <w:numPr>
          <w:ilvl w:val="12"/>
          <w:numId w:val="0"/>
        </w:numPr>
        <w:ind w:left="567" w:hanging="567"/>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4.</w:t>
      </w:r>
      <w:r w:rsidRPr="00937FA0">
        <w:rPr>
          <w:rFonts w:ascii="Times New Roman" w:eastAsia="Times New Roman" w:hAnsi="Times New Roman" w:cs="Times New Roman"/>
          <w:b/>
          <w:caps/>
          <w:lang w:eastAsia="sl-SI"/>
        </w:rPr>
        <w:tab/>
        <w:t>G</w:t>
      </w:r>
      <w:r w:rsidRPr="00937FA0">
        <w:rPr>
          <w:rFonts w:ascii="Times New Roman" w:eastAsia="Times New Roman" w:hAnsi="Times New Roman" w:cs="Times New Roman"/>
          <w:b/>
          <w:lang w:eastAsia="sl-SI"/>
        </w:rPr>
        <w:t>alimas šalutinis poveikis</w:t>
      </w:r>
    </w:p>
    <w:p w14:paraId="308D9EBD" w14:textId="77777777" w:rsidR="00937FA0" w:rsidRPr="00937FA0" w:rsidRDefault="00937FA0" w:rsidP="00937FA0">
      <w:pPr>
        <w:widowControl w:val="0"/>
        <w:rPr>
          <w:rFonts w:ascii="Times New Roman" w:eastAsia="Times New Roman" w:hAnsi="Times New Roman" w:cs="Times New Roman"/>
          <w:lang w:eastAsia="sl-SI"/>
        </w:rPr>
      </w:pPr>
    </w:p>
    <w:p w14:paraId="440F755A" w14:textId="77777777" w:rsidR="00937FA0" w:rsidRPr="00937FA0" w:rsidRDefault="00937FA0" w:rsidP="00937FA0">
      <w:pPr>
        <w:widowControl w:val="0"/>
        <w:numPr>
          <w:ilvl w:val="12"/>
          <w:numId w:val="0"/>
        </w:numPr>
        <w:tabs>
          <w:tab w:val="left" w:pos="708"/>
        </w:tabs>
        <w:ind w:right="-29"/>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Šis vaistas, kaip ir kiti, gali sukelti šalutinį poveikį, nors jis pasireiškia ne visiems žmonėms. Svarbu, kad žinotumėte, koks šalutinis poveikis gali pasireikšti. Kai kurį šalutinį Canocombi poveikį gali sukelti kandesartano cileksetilas, o kai kurį hidrochlorotiazidas.</w:t>
      </w:r>
    </w:p>
    <w:p w14:paraId="2015DC7B" w14:textId="77777777" w:rsidR="00937FA0" w:rsidRPr="00937FA0" w:rsidRDefault="00937FA0" w:rsidP="00937FA0">
      <w:pPr>
        <w:widowControl w:val="0"/>
        <w:numPr>
          <w:ilvl w:val="12"/>
          <w:numId w:val="0"/>
        </w:numPr>
        <w:tabs>
          <w:tab w:val="left" w:pos="1305"/>
        </w:tabs>
        <w:ind w:right="-29"/>
        <w:rPr>
          <w:rFonts w:ascii="Times New Roman" w:eastAsia="Times New Roman" w:hAnsi="Times New Roman" w:cs="Times New Roman"/>
          <w:lang w:eastAsia="sl-SI"/>
        </w:rPr>
      </w:pPr>
    </w:p>
    <w:p w14:paraId="01B82BE9" w14:textId="77777777" w:rsidR="00937FA0" w:rsidRPr="00937FA0" w:rsidRDefault="00937FA0" w:rsidP="00937FA0">
      <w:pPr>
        <w:widowControl w:val="0"/>
        <w:numPr>
          <w:ilvl w:val="12"/>
          <w:numId w:val="0"/>
        </w:numPr>
        <w:tabs>
          <w:tab w:val="left" w:pos="708"/>
        </w:tabs>
        <w:ind w:right="-2"/>
        <w:rPr>
          <w:rFonts w:ascii="Times New Roman" w:eastAsia="Times New Roman" w:hAnsi="Times New Roman" w:cs="Times New Roman"/>
          <w:lang w:eastAsia="sl-SI"/>
        </w:rPr>
      </w:pPr>
    </w:p>
    <w:p w14:paraId="1179393A"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Nutraukite Canocombi vartojimą ir nedelsdami kreipkitės į gydytoją, jeigu pasireiškė kuri nors iš išvardytų alerginių reakcijų:</w:t>
      </w:r>
    </w:p>
    <w:p w14:paraId="729526A8" w14:textId="77777777" w:rsidR="00937FA0" w:rsidRPr="00937FA0" w:rsidRDefault="00937FA0" w:rsidP="00937FA0">
      <w:pPr>
        <w:widowControl w:val="0"/>
        <w:numPr>
          <w:ilvl w:val="0"/>
          <w:numId w:val="18"/>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pasunkėjimas kartu su veido, lūpų, liežuvio ir (arba) gerklės patinimu;</w:t>
      </w:r>
    </w:p>
    <w:p w14:paraId="5EF901E7" w14:textId="77777777" w:rsidR="00937FA0" w:rsidRPr="00937FA0" w:rsidRDefault="00937FA0" w:rsidP="00937FA0">
      <w:pPr>
        <w:widowControl w:val="0"/>
        <w:numPr>
          <w:ilvl w:val="0"/>
          <w:numId w:val="18"/>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veido, lūpų, liežuvio ir (arba) gerklės patinimas, dėl kurio gali pasunkėti rijimas;</w:t>
      </w:r>
    </w:p>
    <w:p w14:paraId="11CAD2F6" w14:textId="77777777" w:rsidR="00937FA0" w:rsidRPr="00937FA0" w:rsidRDefault="00937FA0" w:rsidP="00937FA0">
      <w:pPr>
        <w:widowControl w:val="0"/>
        <w:numPr>
          <w:ilvl w:val="0"/>
          <w:numId w:val="18"/>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sunkus odos niežulys (su iškiliais gumbeliais).</w:t>
      </w:r>
    </w:p>
    <w:p w14:paraId="2D0BEB41"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p>
    <w:p w14:paraId="3D4CE5D2"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gali mažinti baltųjų kraujo ląstelių kiekį. Gali sumažėti Jūsų atsparumas infekcijai ir pasireikšti nuovargis, infekcinė liga ar karščiavimas. Jeigu pasireiškia toks poveikis, pasakykite gydytojui. Gydytojas kartais gali atlikti kraujo tyrimus, kad patikrintų, ar Canocombi nedaro poveikio kraujui (agranulocitozė).</w:t>
      </w:r>
    </w:p>
    <w:p w14:paraId="4A196E86"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lang w:eastAsia="sl-SI"/>
        </w:rPr>
      </w:pPr>
    </w:p>
    <w:p w14:paraId="4CB1DE39"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Kitas galimas šalutinis poveikis</w:t>
      </w:r>
    </w:p>
    <w:p w14:paraId="5EA71EDA" w14:textId="77777777" w:rsidR="00937FA0" w:rsidRPr="00937FA0" w:rsidRDefault="00937FA0" w:rsidP="00937FA0">
      <w:pPr>
        <w:widowControl w:val="0"/>
        <w:tabs>
          <w:tab w:val="left" w:pos="567"/>
        </w:tabs>
        <w:ind w:left="0" w:firstLine="0"/>
        <w:rPr>
          <w:rFonts w:ascii="Times New Roman" w:eastAsia="Times New Roman" w:hAnsi="Times New Roman" w:cs="Times New Roman"/>
          <w:b/>
          <w:bCs/>
          <w:lang w:eastAsia="sl-SI"/>
        </w:rPr>
      </w:pPr>
    </w:p>
    <w:p w14:paraId="4C576B7C" w14:textId="31C61B4C" w:rsidR="00937FA0" w:rsidRPr="00937FA0" w:rsidRDefault="003C06E6" w:rsidP="00937FA0">
      <w:pPr>
        <w:widowControl w:val="0"/>
        <w:autoSpaceDE w:val="0"/>
        <w:autoSpaceDN w:val="0"/>
        <w:adjustRightInd w:val="0"/>
        <w:ind w:left="0" w:firstLine="0"/>
        <w:rPr>
          <w:rFonts w:ascii="Times New Roman" w:eastAsia="Times New Roman" w:hAnsi="Times New Roman" w:cs="Times New Roman"/>
          <w:b/>
          <w:bCs/>
          <w:lang w:eastAsia="sl-SI"/>
        </w:rPr>
      </w:pPr>
      <w:r w:rsidRPr="003C06E6">
        <w:rPr>
          <w:rFonts w:ascii="Times New Roman" w:eastAsia="Times New Roman" w:hAnsi="Times New Roman" w:cs="Times New Roman"/>
          <w:b/>
          <w:bCs/>
          <w:lang w:eastAsia="sl-SI"/>
        </w:rPr>
        <w:t xml:space="preserve">Dažni šalutinio poveikio reiškiniai </w:t>
      </w:r>
      <w:r w:rsidRPr="003C06E6">
        <w:rPr>
          <w:rFonts w:ascii="Times New Roman" w:eastAsia="Times New Roman" w:hAnsi="Times New Roman" w:cs="Times New Roman"/>
          <w:bCs/>
          <w:lang w:eastAsia="sl-SI"/>
        </w:rPr>
        <w:t>(gali pasireikšti rečiau kaip 1 iš 10 asmenų):</w:t>
      </w:r>
    </w:p>
    <w:p w14:paraId="50C3492A"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 tyrimų rodmenų pokyčiai:</w:t>
      </w:r>
    </w:p>
    <w:p w14:paraId="6EDAB748" w14:textId="77777777" w:rsidR="00937FA0" w:rsidRPr="00937FA0" w:rsidRDefault="00937FA0" w:rsidP="00E30DF8">
      <w:pPr>
        <w:widowControl w:val="0"/>
        <w:numPr>
          <w:ilvl w:val="0"/>
          <w:numId w:val="20"/>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natrio koncentracijos kraujyje sumažėjimas. Jeigu šis poveikis yra sunkus, galite justi silpnumą, energijos stoką ar raumenų mėšlungį;</w:t>
      </w:r>
    </w:p>
    <w:p w14:paraId="57B63BFE" w14:textId="77777777" w:rsidR="00937FA0" w:rsidRPr="00937FA0" w:rsidRDefault="00937FA0" w:rsidP="00E30DF8">
      <w:pPr>
        <w:widowControl w:val="0"/>
        <w:numPr>
          <w:ilvl w:val="0"/>
          <w:numId w:val="20"/>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kalio koncentracijos kraujyje padidėjimas arba sumažėjimas, ypač jeigu jau sergate inkstų liga ar širdies nepakankamumu. Jeigu šis poveikis yra sunkus, galite justi nuovargį, silpnumą, neritmišką širdies plakimą arba dilgčiojimą ir dygsėjimą;</w:t>
      </w:r>
    </w:p>
    <w:p w14:paraId="05285C6A" w14:textId="77777777" w:rsidR="00937FA0" w:rsidRPr="00937FA0" w:rsidRDefault="00937FA0" w:rsidP="00E30DF8">
      <w:pPr>
        <w:widowControl w:val="0"/>
        <w:numPr>
          <w:ilvl w:val="0"/>
          <w:numId w:val="20"/>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cholesterolio, cukraus ar šlapimo rūgšties koncentracijos kraujyje padidėjimas;</w:t>
      </w:r>
    </w:p>
    <w:p w14:paraId="786DF983"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cukrus šlapime;</w:t>
      </w:r>
    </w:p>
    <w:p w14:paraId="2E0A20D5"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svaigulys ar sukimosi pojūtis arba silpnumas;</w:t>
      </w:r>
    </w:p>
    <w:p w14:paraId="559A6A2A"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galvos skausmas;</w:t>
      </w:r>
    </w:p>
    <w:p w14:paraId="1FE79E7B"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rPr>
      </w:pPr>
      <w:r w:rsidRPr="00937FA0">
        <w:rPr>
          <w:rFonts w:ascii="Times New Roman" w:eastAsia="Times New Roman" w:hAnsi="Times New Roman" w:cs="Times New Roman"/>
        </w:rPr>
        <w:t>kvėpavimo takų infekcinė liga.</w:t>
      </w:r>
    </w:p>
    <w:p w14:paraId="13B7AAA1"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b/>
          <w:bCs/>
          <w:lang w:eastAsia="sl-SI"/>
        </w:rPr>
      </w:pPr>
    </w:p>
    <w:p w14:paraId="0819A315" w14:textId="04102A17" w:rsidR="00937FA0" w:rsidRPr="00937FA0" w:rsidRDefault="003C06E6" w:rsidP="00937FA0">
      <w:pPr>
        <w:widowControl w:val="0"/>
        <w:autoSpaceDE w:val="0"/>
        <w:autoSpaceDN w:val="0"/>
        <w:adjustRightInd w:val="0"/>
        <w:ind w:left="0" w:firstLine="0"/>
        <w:rPr>
          <w:rFonts w:ascii="Times New Roman" w:eastAsia="Times New Roman" w:hAnsi="Times New Roman" w:cs="Times New Roman"/>
          <w:b/>
          <w:bCs/>
          <w:lang w:eastAsia="sl-SI"/>
        </w:rPr>
      </w:pPr>
      <w:r w:rsidRPr="003C06E6">
        <w:rPr>
          <w:rFonts w:ascii="Times New Roman" w:eastAsia="Times New Roman" w:hAnsi="Times New Roman" w:cs="Times New Roman"/>
          <w:b/>
          <w:bCs/>
          <w:lang w:eastAsia="sl-SI"/>
        </w:rPr>
        <w:t xml:space="preserve">Nedažni šalutinio poveikio reiškiniai </w:t>
      </w:r>
      <w:r w:rsidRPr="003C06E6">
        <w:rPr>
          <w:rFonts w:ascii="Times New Roman" w:eastAsia="Times New Roman" w:hAnsi="Times New Roman" w:cs="Times New Roman"/>
          <w:bCs/>
          <w:lang w:eastAsia="sl-SI"/>
        </w:rPr>
        <w:t>(gali pasireikšti rečiau kaip 1 iš 100 asmenų):</w:t>
      </w:r>
    </w:p>
    <w:p w14:paraId="5A91FFC5"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kraujospūdžio sumažėjimas. Tai gali sukelti apalpimą ar svaigulį;</w:t>
      </w:r>
    </w:p>
    <w:p w14:paraId="2E0E09AD"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apetito nebuvimas, viduriavimas, vidurių užkietėjimas, pilvo dirginimas;</w:t>
      </w:r>
    </w:p>
    <w:p w14:paraId="6B95F4E8" w14:textId="77777777" w:rsidR="00937FA0" w:rsidRPr="00937FA0" w:rsidRDefault="00937FA0" w:rsidP="00937FA0">
      <w:pPr>
        <w:widowControl w:val="0"/>
        <w:numPr>
          <w:ilvl w:val="0"/>
          <w:numId w:val="20"/>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odos išbėrimas, išbėrimas gumbeliais (dilgėlinė), išbėrimas dėl jautrumo saulės spinduliams.</w:t>
      </w:r>
    </w:p>
    <w:p w14:paraId="72E157EC"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b/>
          <w:bCs/>
          <w:lang w:eastAsia="sl-SI"/>
        </w:rPr>
      </w:pPr>
    </w:p>
    <w:p w14:paraId="49F6EB73" w14:textId="309521A1" w:rsidR="00937FA0" w:rsidRPr="00E33F2E" w:rsidRDefault="003C06E6" w:rsidP="00937FA0">
      <w:pPr>
        <w:widowControl w:val="0"/>
        <w:autoSpaceDE w:val="0"/>
        <w:autoSpaceDN w:val="0"/>
        <w:adjustRightInd w:val="0"/>
        <w:ind w:left="0" w:firstLine="0"/>
        <w:rPr>
          <w:rFonts w:ascii="Times New Roman" w:eastAsia="Times New Roman" w:hAnsi="Times New Roman" w:cs="Times New Roman"/>
          <w:b/>
          <w:szCs w:val="20"/>
          <w:lang w:eastAsia="sl-SI"/>
        </w:rPr>
      </w:pPr>
      <w:r w:rsidRPr="003C06E6">
        <w:rPr>
          <w:rFonts w:ascii="Times New Roman" w:eastAsia="Times New Roman" w:hAnsi="Times New Roman" w:cs="Times New Roman"/>
          <w:b/>
          <w:szCs w:val="20"/>
          <w:lang w:eastAsia="sl-SI"/>
        </w:rPr>
        <w:t xml:space="preserve">Reti šalutinio poveikio reiškiniai </w:t>
      </w:r>
      <w:r w:rsidRPr="003C06E6">
        <w:rPr>
          <w:rFonts w:ascii="Times New Roman" w:eastAsia="Times New Roman" w:hAnsi="Times New Roman" w:cs="Times New Roman"/>
          <w:szCs w:val="20"/>
          <w:lang w:eastAsia="sl-SI"/>
        </w:rPr>
        <w:t>(gali pasireikšti rečiau kaip 1 iš 1</w:t>
      </w:r>
      <w:r>
        <w:rPr>
          <w:rFonts w:ascii="Times New Roman" w:eastAsia="Times New Roman" w:hAnsi="Times New Roman" w:cs="Times New Roman"/>
          <w:szCs w:val="20"/>
          <w:lang w:eastAsia="sl-SI"/>
        </w:rPr>
        <w:t> </w:t>
      </w:r>
      <w:r w:rsidRPr="003C06E6">
        <w:rPr>
          <w:rFonts w:ascii="Times New Roman" w:eastAsia="Times New Roman" w:hAnsi="Times New Roman" w:cs="Times New Roman"/>
          <w:szCs w:val="20"/>
          <w:lang w:eastAsia="sl-SI"/>
        </w:rPr>
        <w:t>000 asmenų):</w:t>
      </w:r>
    </w:p>
    <w:p w14:paraId="20B37837"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gelta (odos ir akių baltymo pageltimas). </w:t>
      </w:r>
      <w:r w:rsidRPr="00937FA0">
        <w:rPr>
          <w:rFonts w:ascii="Times New Roman" w:eastAsia="Times New Roman" w:hAnsi="Times New Roman" w:cs="Times New Roman"/>
          <w:bCs/>
          <w:lang w:eastAsia="sl-SI"/>
        </w:rPr>
        <w:t>Jeigu pasireiškė toks poveikis, nedelsdami kreipkitės į gydytoją;</w:t>
      </w:r>
    </w:p>
    <w:p w14:paraId="20179CDD"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poveikis inkstų funkcijai, ypač, jeigu jau sergate inkstų liga arba širdies nepakankamumu;</w:t>
      </w:r>
    </w:p>
    <w:p w14:paraId="44E99DAE"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miego sutrikimas, depresija, neramumas;</w:t>
      </w:r>
    </w:p>
    <w:p w14:paraId="5152FC6B"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rankų ar kojų dilgčiojimas ar dygsėjimas;</w:t>
      </w:r>
    </w:p>
    <w:p w14:paraId="77AA7766"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trumpalaikis matymas lyg per miglą;</w:t>
      </w:r>
    </w:p>
    <w:p w14:paraId="61B37EC9"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nenormalus širdies plakimas;</w:t>
      </w:r>
    </w:p>
    <w:p w14:paraId="3E13D33D"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pasunkėjimas (įskaitant plaučių uždegimą ir skysčio kaupimąsi plaučiuose);</w:t>
      </w:r>
    </w:p>
    <w:p w14:paraId="199BAC6B"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aukšta kūno temperatūra (karščiavimas);</w:t>
      </w:r>
    </w:p>
    <w:p w14:paraId="043255DF"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kasos uždegimas. Tai sukelia vidutinio sunkumo ar sunkų pilvo skausmą;</w:t>
      </w:r>
    </w:p>
    <w:p w14:paraId="1A150D0D"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raumenų mėšlungis;</w:t>
      </w:r>
    </w:p>
    <w:p w14:paraId="34A278AD"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kraujagyslių pažaida, dėl kurios atsiranda raudonos ar purpurinės spalvos taškelių ant odos;</w:t>
      </w:r>
    </w:p>
    <w:p w14:paraId="57FC4D3A"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raudonųjų ar baltųjų kraujo ląstelių ar plokštelių kiekio sumažėjimas. Galite jausti nuovargį, gali pasireikšti infekcinė liga, karščiavimas ar greičiau atsirasti kraujosruvų (mėlynių);</w:t>
      </w:r>
    </w:p>
    <w:p w14:paraId="052B95BF" w14:textId="77777777" w:rsidR="00937FA0" w:rsidRPr="00937FA0" w:rsidRDefault="00937FA0" w:rsidP="00937FA0">
      <w:pPr>
        <w:widowControl w:val="0"/>
        <w:numPr>
          <w:ilvl w:val="0"/>
          <w:numId w:val="21"/>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sunkus išbėrimas, kuris pasireiškia staigiai su odos pūslėmis ar lupimusi, ir gali atsirasti pūslių burnoje.</w:t>
      </w:r>
    </w:p>
    <w:p w14:paraId="741C7489"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b/>
          <w:bCs/>
          <w:lang w:eastAsia="sl-SI"/>
        </w:rPr>
      </w:pPr>
    </w:p>
    <w:p w14:paraId="02AF95CC" w14:textId="74C8CD6C" w:rsidR="00937FA0" w:rsidRPr="00E33F2E" w:rsidRDefault="003C06E6" w:rsidP="00937FA0">
      <w:pPr>
        <w:widowControl w:val="0"/>
        <w:autoSpaceDE w:val="0"/>
        <w:autoSpaceDN w:val="0"/>
        <w:adjustRightInd w:val="0"/>
        <w:ind w:left="0" w:firstLine="0"/>
        <w:rPr>
          <w:rFonts w:ascii="Times New Roman" w:eastAsia="Times New Roman" w:hAnsi="Times New Roman" w:cs="Times New Roman"/>
          <w:b/>
          <w:szCs w:val="20"/>
          <w:lang w:eastAsia="sl-SI"/>
        </w:rPr>
      </w:pPr>
      <w:r w:rsidRPr="003C06E6">
        <w:rPr>
          <w:rFonts w:ascii="Times New Roman" w:eastAsia="Times New Roman" w:hAnsi="Times New Roman" w:cs="Times New Roman"/>
          <w:b/>
          <w:szCs w:val="20"/>
          <w:lang w:eastAsia="sl-SI"/>
        </w:rPr>
        <w:t xml:space="preserve">Labai reti šalutinio poveikio reiškiniai </w:t>
      </w:r>
      <w:r w:rsidRPr="003C06E6">
        <w:rPr>
          <w:rFonts w:ascii="Times New Roman" w:eastAsia="Times New Roman" w:hAnsi="Times New Roman" w:cs="Times New Roman"/>
          <w:szCs w:val="20"/>
          <w:lang w:eastAsia="sl-SI"/>
        </w:rPr>
        <w:t>(gali pasireikšti rečiau kaip 1 iš 10 000 asmenų):</w:t>
      </w:r>
    </w:p>
    <w:p w14:paraId="2512677C" w14:textId="77777777" w:rsidR="00937FA0" w:rsidRPr="00937FA0" w:rsidRDefault="00937FA0" w:rsidP="00937FA0">
      <w:pPr>
        <w:widowControl w:val="0"/>
        <w:numPr>
          <w:ilvl w:val="0"/>
          <w:numId w:val="2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veido, lūpų, liežuvio ir (arba) gerklės patinimas;</w:t>
      </w:r>
    </w:p>
    <w:p w14:paraId="4E18D89D" w14:textId="77777777" w:rsidR="00937FA0" w:rsidRPr="00937FA0" w:rsidRDefault="00937FA0" w:rsidP="00937FA0">
      <w:pPr>
        <w:widowControl w:val="0"/>
        <w:numPr>
          <w:ilvl w:val="0"/>
          <w:numId w:val="2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niežulys;</w:t>
      </w:r>
    </w:p>
    <w:p w14:paraId="2A3AE457" w14:textId="77777777" w:rsidR="00937FA0" w:rsidRPr="00937FA0" w:rsidRDefault="00937FA0" w:rsidP="00937FA0">
      <w:pPr>
        <w:widowControl w:val="0"/>
        <w:numPr>
          <w:ilvl w:val="0"/>
          <w:numId w:val="2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nugaros skausmas, sąnarių ir raumenų skausmas;</w:t>
      </w:r>
    </w:p>
    <w:p w14:paraId="3056A743" w14:textId="77777777" w:rsidR="00937FA0" w:rsidRPr="00937FA0" w:rsidRDefault="00937FA0" w:rsidP="00937FA0">
      <w:pPr>
        <w:widowControl w:val="0"/>
        <w:numPr>
          <w:ilvl w:val="0"/>
          <w:numId w:val="2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kepenų funkcijos pokyčiai, įskaitant kepenų uždegimą (hepatitą). Galite jausti nuovargį, gali pagelsti oda ir akių baltymai, atsirasti į gripą panašių simptomų;</w:t>
      </w:r>
    </w:p>
    <w:p w14:paraId="075B7E06" w14:textId="77777777" w:rsidR="00937FA0" w:rsidRPr="00937FA0" w:rsidRDefault="00937FA0" w:rsidP="00937FA0">
      <w:pPr>
        <w:widowControl w:val="0"/>
        <w:numPr>
          <w:ilvl w:val="0"/>
          <w:numId w:val="22"/>
        </w:numPr>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lastRenderedPageBreak/>
        <w:t>kosulys;</w:t>
      </w:r>
    </w:p>
    <w:p w14:paraId="5BFE66FF" w14:textId="77777777" w:rsidR="00F56AE0" w:rsidRDefault="00937FA0" w:rsidP="00937FA0">
      <w:pPr>
        <w:widowControl w:val="0"/>
        <w:numPr>
          <w:ilvl w:val="0"/>
          <w:numId w:val="2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pykinimas</w:t>
      </w:r>
      <w:r w:rsidR="00F56AE0">
        <w:rPr>
          <w:rFonts w:ascii="Times New Roman" w:eastAsia="Times New Roman" w:hAnsi="Times New Roman" w:cs="Times New Roman"/>
          <w:lang w:eastAsia="sl-SI"/>
        </w:rPr>
        <w:t>;</w:t>
      </w:r>
    </w:p>
    <w:p w14:paraId="49C23507" w14:textId="77777777" w:rsidR="00937FA0" w:rsidRPr="00F56AE0" w:rsidRDefault="00F56AE0" w:rsidP="00F56AE0">
      <w:pPr>
        <w:widowControl w:val="0"/>
        <w:numPr>
          <w:ilvl w:val="0"/>
          <w:numId w:val="22"/>
        </w:numPr>
        <w:autoSpaceDE w:val="0"/>
        <w:autoSpaceDN w:val="0"/>
        <w:adjustRightInd w:val="0"/>
        <w:rPr>
          <w:rFonts w:ascii="Times New Roman" w:eastAsia="Times New Roman" w:hAnsi="Times New Roman" w:cs="Times New Roman"/>
          <w:lang w:eastAsia="sl-SI"/>
        </w:rPr>
      </w:pPr>
      <w:r>
        <w:rPr>
          <w:rFonts w:ascii="Times New Roman" w:eastAsia="Times New Roman" w:hAnsi="Times New Roman" w:cs="Times New Roman"/>
          <w:lang w:eastAsia="sl-SI"/>
        </w:rPr>
        <w:t>ū</w:t>
      </w:r>
      <w:r w:rsidRPr="00F56AE0">
        <w:rPr>
          <w:rFonts w:ascii="Times New Roman" w:eastAsia="Times New Roman" w:hAnsi="Times New Roman" w:cs="Times New Roman"/>
          <w:lang w:eastAsia="sl-SI"/>
        </w:rPr>
        <w:t>minis kvėpavimo sutrikimas (pasireiškia stipriu dusuliu, karščiavimu, silpnumu ir</w:t>
      </w:r>
      <w:r>
        <w:rPr>
          <w:rFonts w:ascii="Times New Roman" w:eastAsia="Times New Roman" w:hAnsi="Times New Roman" w:cs="Times New Roman"/>
          <w:lang w:eastAsia="sl-SI"/>
        </w:rPr>
        <w:t xml:space="preserve"> </w:t>
      </w:r>
      <w:r w:rsidRPr="00F56AE0">
        <w:rPr>
          <w:rFonts w:ascii="Times New Roman" w:eastAsia="Times New Roman" w:hAnsi="Times New Roman" w:cs="Times New Roman"/>
          <w:lang w:eastAsia="sl-SI"/>
        </w:rPr>
        <w:t>sumišimu)</w:t>
      </w:r>
      <w:r w:rsidR="00937FA0" w:rsidRPr="00F56AE0">
        <w:rPr>
          <w:rFonts w:ascii="Times New Roman" w:eastAsia="Times New Roman" w:hAnsi="Times New Roman" w:cs="Times New Roman"/>
          <w:lang w:eastAsia="sl-SI"/>
        </w:rPr>
        <w:t>.</w:t>
      </w:r>
    </w:p>
    <w:p w14:paraId="3A793911" w14:textId="77777777" w:rsidR="00937FA0" w:rsidRPr="00937FA0" w:rsidRDefault="00937FA0" w:rsidP="00937FA0">
      <w:pPr>
        <w:widowControl w:val="0"/>
        <w:rPr>
          <w:rFonts w:ascii="Times New Roman" w:eastAsia="Times New Roman" w:hAnsi="Times New Roman" w:cs="Times New Roman"/>
          <w:lang w:eastAsia="sl-SI"/>
        </w:rPr>
      </w:pPr>
    </w:p>
    <w:p w14:paraId="578F0DC0" w14:textId="2B551DA6" w:rsidR="00937FA0" w:rsidRDefault="003C06E6" w:rsidP="00937FA0">
      <w:pPr>
        <w:widowControl w:val="0"/>
        <w:ind w:left="0" w:firstLine="0"/>
        <w:rPr>
          <w:rFonts w:ascii="Times New Roman" w:eastAsia="Times New Roman" w:hAnsi="Times New Roman" w:cs="Times New Roman"/>
          <w:lang w:eastAsia="sl-SI"/>
        </w:rPr>
      </w:pPr>
      <w:r w:rsidRPr="003C06E6">
        <w:rPr>
          <w:rFonts w:ascii="Times New Roman" w:eastAsia="Times New Roman" w:hAnsi="Times New Roman" w:cs="Times New Roman"/>
          <w:b/>
          <w:lang w:eastAsia="sl-SI"/>
        </w:rPr>
        <w:t>Šalutinio poveikio reiškiniai, kurių dažnis nežinomas</w:t>
      </w:r>
      <w:r w:rsidRPr="003C06E6" w:rsidDel="003C06E6">
        <w:rPr>
          <w:rFonts w:ascii="Times New Roman" w:eastAsia="Times New Roman" w:hAnsi="Times New Roman" w:cs="Times New Roman"/>
          <w:b/>
          <w:lang w:eastAsia="sl-SI"/>
        </w:rPr>
        <w:t xml:space="preserve"> </w:t>
      </w:r>
      <w:r w:rsidR="00937FA0" w:rsidRPr="00937FA0">
        <w:rPr>
          <w:rFonts w:ascii="Times New Roman" w:eastAsia="Times New Roman" w:hAnsi="Times New Roman" w:cs="Times New Roman"/>
          <w:lang w:eastAsia="sl-SI"/>
        </w:rPr>
        <w:t>(negali būti apskaičiuotas pagal turimus duomenis)</w:t>
      </w:r>
    </w:p>
    <w:p w14:paraId="260F7104" w14:textId="77777777" w:rsidR="002516F4" w:rsidRPr="002516F4" w:rsidRDefault="007379C4" w:rsidP="00E33F2E">
      <w:pPr>
        <w:widowControl w:val="0"/>
        <w:numPr>
          <w:ilvl w:val="0"/>
          <w:numId w:val="34"/>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Odos ir lūpų vėžys (nemelanominis vėžys)</w:t>
      </w:r>
      <w:r w:rsidR="002516F4" w:rsidRPr="00937FA0">
        <w:rPr>
          <w:rFonts w:ascii="Times New Roman" w:eastAsia="Times New Roman" w:hAnsi="Times New Roman" w:cs="Times New Roman"/>
          <w:lang w:eastAsia="sl-SI"/>
        </w:rPr>
        <w:t>;</w:t>
      </w:r>
    </w:p>
    <w:p w14:paraId="396F805E" w14:textId="77777777" w:rsidR="00937FA0" w:rsidRPr="00937FA0" w:rsidRDefault="00937FA0" w:rsidP="00E33F2E">
      <w:pPr>
        <w:widowControl w:val="0"/>
        <w:numPr>
          <w:ilvl w:val="0"/>
          <w:numId w:val="34"/>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Viduriavimas;</w:t>
      </w:r>
    </w:p>
    <w:p w14:paraId="059C6ECB" w14:textId="77777777" w:rsidR="00937FA0" w:rsidRPr="00937FA0" w:rsidRDefault="00937FA0" w:rsidP="00E33F2E">
      <w:pPr>
        <w:widowControl w:val="0"/>
        <w:numPr>
          <w:ilvl w:val="0"/>
          <w:numId w:val="34"/>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Ūminė trumparegystė;</w:t>
      </w:r>
    </w:p>
    <w:p w14:paraId="5D5310A6" w14:textId="77777777" w:rsidR="00937FA0" w:rsidRPr="00937FA0" w:rsidRDefault="00262276" w:rsidP="00E33F2E">
      <w:pPr>
        <w:widowControl w:val="0"/>
        <w:numPr>
          <w:ilvl w:val="0"/>
          <w:numId w:val="34"/>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snapToGrid w:val="0"/>
          <w:lang w:eastAsia="zh-CN"/>
        </w:rPr>
        <w:t>R</w:t>
      </w:r>
      <w:r w:rsidRPr="00262276">
        <w:rPr>
          <w:rFonts w:ascii="Times New Roman" w:eastAsia="Times New Roman" w:hAnsi="Times New Roman" w:cs="Times New Roman"/>
          <w:snapToGrid w:val="0"/>
          <w:lang w:eastAsia="zh-CN"/>
        </w:rPr>
        <w:t xml:space="preserve">egos susilpnėjimas ir akių skausmas </w:t>
      </w:r>
      <w:r>
        <w:rPr>
          <w:rFonts w:ascii="Times New Roman" w:eastAsia="Times New Roman" w:hAnsi="Times New Roman" w:cs="Times New Roman"/>
          <w:snapToGrid w:val="0"/>
          <w:lang w:eastAsia="zh-CN"/>
        </w:rPr>
        <w:t xml:space="preserve">dėl padidėjusio spaudimo </w:t>
      </w:r>
      <w:r w:rsidRPr="00262276">
        <w:rPr>
          <w:rFonts w:ascii="Times New Roman" w:eastAsia="Times New Roman" w:hAnsi="Times New Roman" w:cs="Times New Roman"/>
          <w:snapToGrid w:val="0"/>
          <w:lang w:eastAsia="zh-CN"/>
        </w:rPr>
        <w:t xml:space="preserve">(galimi </w:t>
      </w:r>
      <w:r w:rsidRPr="00262276">
        <w:rPr>
          <w:rFonts w:ascii="Times New Roman" w:eastAsia="Times New Roman" w:hAnsi="Times New Roman" w:cs="Times New Roman"/>
          <w:snapToGrid w:val="0"/>
          <w:shd w:val="clear" w:color="auto" w:fill="FFFFFF"/>
          <w:lang w:eastAsia="zh-CN"/>
        </w:rPr>
        <w:t>skysčio susikaupimo akies kraujagysliniame dangale (tarp gyslainės ir skleros)</w:t>
      </w:r>
      <w:r>
        <w:rPr>
          <w:rFonts w:ascii="Times New Roman" w:eastAsia="Times New Roman" w:hAnsi="Times New Roman" w:cs="Times New Roman"/>
          <w:snapToGrid w:val="0"/>
          <w:shd w:val="clear" w:color="auto" w:fill="FFFFFF"/>
          <w:lang w:eastAsia="zh-CN"/>
        </w:rPr>
        <w:t xml:space="preserve"> arba</w:t>
      </w:r>
      <w:r w:rsidRPr="00262276">
        <w:rPr>
          <w:rFonts w:ascii="Times New Roman" w:eastAsia="Times New Roman" w:hAnsi="Times New Roman" w:cs="Times New Roman"/>
          <w:snapToGrid w:val="0"/>
          <w:shd w:val="clear" w:color="auto" w:fill="FFFFFF"/>
          <w:lang w:eastAsia="zh-CN"/>
        </w:rPr>
        <w:t xml:space="preserve"> </w:t>
      </w:r>
      <w:r w:rsidRPr="00262276">
        <w:rPr>
          <w:rFonts w:ascii="Times New Roman" w:eastAsia="Times New Roman" w:hAnsi="Times New Roman" w:cs="Times New Roman"/>
          <w:snapToGrid w:val="0"/>
          <w:lang w:eastAsia="zh-CN"/>
        </w:rPr>
        <w:t>uždaro kampo glaukomos požymiai</w:t>
      </w:r>
      <w:r>
        <w:rPr>
          <w:rFonts w:ascii="Times New Roman" w:eastAsia="Times New Roman" w:hAnsi="Times New Roman" w:cs="Times New Roman"/>
          <w:snapToGrid w:val="0"/>
          <w:lang w:eastAsia="zh-CN"/>
        </w:rPr>
        <w:t>)</w:t>
      </w:r>
      <w:r w:rsidR="00937FA0" w:rsidRPr="00937FA0">
        <w:rPr>
          <w:rFonts w:ascii="Times New Roman" w:eastAsia="Times New Roman" w:hAnsi="Times New Roman" w:cs="Times New Roman"/>
          <w:lang w:eastAsia="sl-SI"/>
        </w:rPr>
        <w:t>;</w:t>
      </w:r>
    </w:p>
    <w:p w14:paraId="56B2A544" w14:textId="77777777" w:rsidR="00937FA0" w:rsidRPr="00937FA0" w:rsidRDefault="00937FA0" w:rsidP="00E33F2E">
      <w:pPr>
        <w:widowControl w:val="0"/>
        <w:numPr>
          <w:ilvl w:val="0"/>
          <w:numId w:val="34"/>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Sisteminė ir odos raudonoji vilkligė (alerginė būklė, kuri sukelia karščiavimą, sąnarių skausmą, odos bėrimus, pasireiškiančius paraudimu, pūslelėmis, lupimusi, gumbais).</w:t>
      </w:r>
    </w:p>
    <w:p w14:paraId="1E7B104D" w14:textId="77777777" w:rsidR="00937FA0" w:rsidRPr="00937FA0" w:rsidRDefault="00937FA0" w:rsidP="00937FA0">
      <w:pPr>
        <w:widowControl w:val="0"/>
        <w:ind w:left="360" w:firstLine="0"/>
        <w:contextualSpacing/>
        <w:rPr>
          <w:rFonts w:ascii="Times New Roman" w:eastAsia="Times New Roman" w:hAnsi="Times New Roman" w:cs="Times New Roman"/>
          <w:lang w:eastAsia="sl-SI"/>
        </w:rPr>
      </w:pPr>
    </w:p>
    <w:p w14:paraId="722D1158" w14:textId="77777777" w:rsidR="00937FA0" w:rsidRPr="00937FA0" w:rsidRDefault="00937FA0" w:rsidP="00937FA0">
      <w:pPr>
        <w:widowControl w:val="0"/>
        <w:tabs>
          <w:tab w:val="left" w:pos="567"/>
        </w:tabs>
        <w:ind w:left="0" w:firstLine="0"/>
        <w:rPr>
          <w:rFonts w:ascii="Times New Roman" w:eastAsia="Times New Roman" w:hAnsi="Times New Roman" w:cs="Times New Roman"/>
          <w:b/>
          <w:snapToGrid w:val="0"/>
          <w:lang w:eastAsia="sl-SI"/>
        </w:rPr>
      </w:pPr>
      <w:r w:rsidRPr="00937FA0">
        <w:rPr>
          <w:rFonts w:ascii="Times New Roman" w:eastAsia="Times New Roman" w:hAnsi="Times New Roman" w:cs="Times New Roman"/>
          <w:b/>
          <w:snapToGrid w:val="0"/>
          <w:lang w:eastAsia="sl-SI"/>
        </w:rPr>
        <w:t>Pranešimas apie šalutinį poveikį</w:t>
      </w:r>
    </w:p>
    <w:p w14:paraId="45FF3FB9" w14:textId="77777777" w:rsidR="00006025" w:rsidRDefault="00937FA0" w:rsidP="00937FA0">
      <w:pPr>
        <w:widowControl w:val="0"/>
        <w:ind w:left="0" w:right="-449" w:firstLine="0"/>
        <w:rPr>
          <w:rFonts w:ascii="Times New Roman" w:eastAsia="Times New Roman" w:hAnsi="Times New Roman" w:cs="Times New Roman"/>
          <w:snapToGrid w:val="0"/>
          <w:lang w:eastAsia="sl-SI"/>
        </w:rPr>
      </w:pPr>
      <w:r w:rsidRPr="00937FA0">
        <w:rPr>
          <w:rFonts w:ascii="Times New Roman" w:eastAsia="Times New Roman" w:hAnsi="Times New Roman" w:cs="Times New Roman"/>
          <w:snapToGrid w:val="0"/>
          <w:lang w:eastAsia="sl-SI"/>
        </w:rPr>
        <w:t xml:space="preserve">Jeigu pasireiškė šalutinis poveikis, įskaitant šiame lapelyje nenurodytą, pasakykite gydytojui arba vaistininkui. </w:t>
      </w:r>
      <w:r w:rsidR="00006025" w:rsidRPr="00006025">
        <w:rPr>
          <w:rFonts w:ascii="Times New Roman" w:eastAsia="Times New Roman" w:hAnsi="Times New Roman" w:cs="Times New Roman"/>
          <w:snapToGrid w:val="0"/>
          <w:lang w:eastAsia="sl-SI"/>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w:t>
      </w:r>
      <w:r w:rsidR="003B4CF0">
        <w:rPr>
          <w:rFonts w:ascii="Times New Roman" w:eastAsia="Times New Roman" w:hAnsi="Times New Roman" w:cs="Times New Roman"/>
          <w:snapToGrid w:val="0"/>
          <w:lang w:eastAsia="sl-SI"/>
        </w:rPr>
        <w:t> </w:t>
      </w:r>
      <w:r w:rsidR="00006025" w:rsidRPr="00006025">
        <w:rPr>
          <w:rFonts w:ascii="Times New Roman" w:eastAsia="Times New Roman" w:hAnsi="Times New Roman" w:cs="Times New Roman"/>
          <w:snapToGrid w:val="0"/>
          <w:lang w:eastAsia="sl-SI"/>
        </w:rPr>
        <w:t>800</w:t>
      </w:r>
      <w:r w:rsidR="003B4CF0">
        <w:rPr>
          <w:rFonts w:ascii="Times New Roman" w:eastAsia="Times New Roman" w:hAnsi="Times New Roman" w:cs="Times New Roman"/>
          <w:snapToGrid w:val="0"/>
          <w:lang w:eastAsia="sl-SI"/>
        </w:rPr>
        <w:t> </w:t>
      </w:r>
      <w:r w:rsidR="00006025" w:rsidRPr="00006025">
        <w:rPr>
          <w:rFonts w:ascii="Times New Roman" w:eastAsia="Times New Roman" w:hAnsi="Times New Roman" w:cs="Times New Roman"/>
          <w:snapToGrid w:val="0"/>
          <w:lang w:eastAsia="sl-SI"/>
        </w:rPr>
        <w:t>73</w:t>
      </w:r>
      <w:r w:rsidR="003B4CF0">
        <w:rPr>
          <w:rFonts w:ascii="Times New Roman" w:eastAsia="Times New Roman" w:hAnsi="Times New Roman" w:cs="Times New Roman"/>
          <w:snapToGrid w:val="0"/>
          <w:lang w:eastAsia="sl-SI"/>
        </w:rPr>
        <w:t> </w:t>
      </w:r>
      <w:r w:rsidR="00006025" w:rsidRPr="00006025">
        <w:rPr>
          <w:rFonts w:ascii="Times New Roman" w:eastAsia="Times New Roman" w:hAnsi="Times New Roman" w:cs="Times New Roman"/>
          <w:snapToGrid w:val="0"/>
          <w:lang w:eastAsia="sl-SI"/>
        </w:rPr>
        <w:t>568. Pranešdami apie šalutinį poveikį galite mums padėti gauti daugiau informacijos apie šio vaisto saugumą.</w:t>
      </w:r>
    </w:p>
    <w:p w14:paraId="6C3C85A1" w14:textId="069A581A" w:rsidR="00937FA0" w:rsidRPr="00937FA0" w:rsidRDefault="00937FA0" w:rsidP="00937FA0">
      <w:pPr>
        <w:widowControl w:val="0"/>
        <w:ind w:left="0" w:right="-449" w:firstLine="0"/>
        <w:rPr>
          <w:rFonts w:ascii="Times New Roman" w:eastAsia="Times New Roman" w:hAnsi="Times New Roman" w:cs="Times New Roman"/>
          <w:lang w:eastAsia="sl-SI"/>
        </w:rPr>
      </w:pPr>
    </w:p>
    <w:p w14:paraId="68DF6121"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5C9E21B4"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397FD3C1" w14:textId="77777777" w:rsidR="00937FA0" w:rsidRPr="00937FA0" w:rsidRDefault="00937FA0" w:rsidP="00937FA0">
      <w:pPr>
        <w:widowControl w:val="0"/>
        <w:numPr>
          <w:ilvl w:val="12"/>
          <w:numId w:val="0"/>
        </w:numPr>
        <w:ind w:left="567" w:right="-2" w:hanging="567"/>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5.</w:t>
      </w:r>
      <w:r w:rsidRPr="00937FA0">
        <w:rPr>
          <w:rFonts w:ascii="Times New Roman" w:eastAsia="Times New Roman" w:hAnsi="Times New Roman" w:cs="Times New Roman"/>
          <w:b/>
          <w:lang w:eastAsia="sl-SI"/>
        </w:rPr>
        <w:tab/>
        <w:t>Kaip laikyti Canocombi</w:t>
      </w:r>
    </w:p>
    <w:p w14:paraId="77EB5306"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19DD0B10"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Šį vaistą laikykite vaikams nepastebimoje ir nepasiekiamoje vietoje.</w:t>
      </w:r>
    </w:p>
    <w:p w14:paraId="4FFE1E48"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62DC9635" w14:textId="3701A6C9" w:rsidR="00937FA0" w:rsidRPr="00937FA0" w:rsidRDefault="00937FA0" w:rsidP="00937FA0">
      <w:pPr>
        <w:widowControl w:val="0"/>
        <w:ind w:left="0" w:firstLine="0"/>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 xml:space="preserve">Ant pakuotės po „Tinka iki“ arba „EXP“ nurodytam tinkamumo laikui pasibaigus, </w:t>
      </w:r>
      <w:r w:rsidRPr="00937FA0">
        <w:rPr>
          <w:rFonts w:ascii="Times New Roman" w:eastAsia="Times New Roman" w:hAnsi="Times New Roman" w:cs="Times New Roman"/>
          <w:lang w:eastAsia="sl-SI"/>
        </w:rPr>
        <w:t xml:space="preserve">šio vaisto </w:t>
      </w:r>
      <w:r w:rsidRPr="00937FA0">
        <w:rPr>
          <w:rFonts w:ascii="Times New Roman" w:eastAsia="Times New Roman" w:hAnsi="Times New Roman" w:cs="Times New Roman"/>
          <w:iCs/>
          <w:lang w:eastAsia="sl-SI"/>
        </w:rPr>
        <w:t>vartoti negalima. Vaistas tinkamas vartoti iki paskutinės nurodyto mėnesio dienos.</w:t>
      </w:r>
    </w:p>
    <w:p w14:paraId="437B583B" w14:textId="77777777" w:rsidR="00937FA0" w:rsidRPr="00937FA0" w:rsidRDefault="00937FA0" w:rsidP="00937FA0">
      <w:pPr>
        <w:widowControl w:val="0"/>
        <w:tabs>
          <w:tab w:val="left" w:pos="567"/>
        </w:tabs>
        <w:ind w:left="0" w:firstLine="0"/>
        <w:rPr>
          <w:rFonts w:ascii="Times New Roman" w:eastAsia="Times New Roman" w:hAnsi="Times New Roman" w:cs="Times New Roman"/>
          <w:szCs w:val="20"/>
          <w:lang w:eastAsia="sl-SI"/>
        </w:rPr>
      </w:pPr>
    </w:p>
    <w:p w14:paraId="6DF49544" w14:textId="77777777" w:rsidR="00937FA0" w:rsidRPr="00937FA0" w:rsidRDefault="00937FA0" w:rsidP="00937FA0">
      <w:pPr>
        <w:widowControl w:val="0"/>
        <w:tabs>
          <w:tab w:val="left" w:pos="567"/>
        </w:tabs>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szCs w:val="20"/>
          <w:lang w:eastAsia="sl-SI"/>
        </w:rPr>
        <w:t>Tabletės, tiekiamos PVC/PVDC plėvelės ir aliuminio folijos lizdinėse plokštelėse</w:t>
      </w:r>
    </w:p>
    <w:p w14:paraId="5B0F36A1" w14:textId="2ED217B9"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Laikyti ne aukštesnėje kaip 30</w:t>
      </w:r>
      <w:r w:rsidR="00F56AE0">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sym w:font="Symbol" w:char="F0B0"/>
      </w:r>
      <w:r w:rsidRPr="00937FA0">
        <w:rPr>
          <w:rFonts w:ascii="Times New Roman" w:eastAsia="Times New Roman" w:hAnsi="Times New Roman" w:cs="Times New Roman"/>
          <w:lang w:eastAsia="sl-SI"/>
        </w:rPr>
        <w:t>C temperatūroje.</w:t>
      </w:r>
    </w:p>
    <w:p w14:paraId="71AFB21A" w14:textId="77777777" w:rsidR="00937FA0" w:rsidRPr="00937FA0" w:rsidRDefault="00937FA0" w:rsidP="00937FA0">
      <w:pPr>
        <w:widowControl w:val="0"/>
        <w:tabs>
          <w:tab w:val="left" w:pos="567"/>
        </w:tabs>
        <w:ind w:left="0" w:firstLine="0"/>
        <w:rPr>
          <w:rFonts w:ascii="Times New Roman" w:eastAsia="Times New Roman" w:hAnsi="Times New Roman" w:cs="Times New Roman"/>
          <w:lang w:eastAsia="sl-SI"/>
        </w:rPr>
      </w:pPr>
    </w:p>
    <w:p w14:paraId="7C5073B2" w14:textId="77777777" w:rsidR="00937FA0" w:rsidRPr="00937FA0" w:rsidRDefault="00937FA0" w:rsidP="00937FA0">
      <w:pPr>
        <w:widowControl w:val="0"/>
        <w:tabs>
          <w:tab w:val="left" w:pos="567"/>
        </w:tabs>
        <w:ind w:left="0" w:firstLine="0"/>
        <w:rPr>
          <w:rFonts w:ascii="Times New Roman" w:eastAsia="Times New Roman" w:hAnsi="Times New Roman" w:cs="Times New Roman"/>
          <w:color w:val="000000"/>
          <w:szCs w:val="20"/>
          <w:lang w:eastAsia="sl-SI"/>
        </w:rPr>
      </w:pPr>
      <w:r w:rsidRPr="00937FA0">
        <w:rPr>
          <w:rFonts w:ascii="Times New Roman" w:eastAsia="Times New Roman" w:hAnsi="Times New Roman" w:cs="Times New Roman"/>
          <w:szCs w:val="20"/>
          <w:lang w:eastAsia="sl-SI"/>
        </w:rPr>
        <w:t>Tabletės, tiekiamos laminuotose OPA/Al/PVC folijos ir aliuminio folijos lizdinėse plokštelėse</w:t>
      </w:r>
    </w:p>
    <w:p w14:paraId="3573755E"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Šiam vaistui specialių laikymo sąlygų nereikia.</w:t>
      </w:r>
    </w:p>
    <w:p w14:paraId="296A5ACF"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702A91DC"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2C2A9CE2"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79D15C98"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6FDA32E5" w14:textId="77777777" w:rsidR="00937FA0" w:rsidRPr="00937FA0" w:rsidRDefault="00937FA0" w:rsidP="00937FA0">
      <w:pPr>
        <w:widowControl w:val="0"/>
        <w:numPr>
          <w:ilvl w:val="12"/>
          <w:numId w:val="0"/>
        </w:numPr>
        <w:ind w:left="540" w:right="-2" w:hanging="54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w:t>
      </w:r>
      <w:r w:rsidRPr="00937FA0">
        <w:rPr>
          <w:rFonts w:ascii="Times New Roman" w:eastAsia="Times New Roman" w:hAnsi="Times New Roman" w:cs="Times New Roman"/>
          <w:b/>
          <w:lang w:eastAsia="sl-SI"/>
        </w:rPr>
        <w:tab/>
        <w:t>Pakuotės turinys ir kita informacija</w:t>
      </w:r>
    </w:p>
    <w:p w14:paraId="20DF68D0"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35C4C383" w14:textId="77777777" w:rsidR="00937FA0" w:rsidRPr="00937FA0" w:rsidRDefault="00937FA0" w:rsidP="00937FA0">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Canocombi sudėtis</w:t>
      </w:r>
    </w:p>
    <w:p w14:paraId="588D4B29" w14:textId="77777777" w:rsidR="00937FA0" w:rsidRPr="00937FA0" w:rsidRDefault="00937FA0" w:rsidP="00937FA0">
      <w:pPr>
        <w:widowControl w:val="0"/>
        <w:numPr>
          <w:ilvl w:val="12"/>
          <w:numId w:val="0"/>
        </w:numPr>
        <w:ind w:right="-2"/>
        <w:rPr>
          <w:rFonts w:ascii="Times New Roman" w:eastAsia="Times New Roman" w:hAnsi="Times New Roman" w:cs="Times New Roman"/>
          <w:u w:val="single"/>
          <w:lang w:eastAsia="sl-SI"/>
        </w:rPr>
      </w:pPr>
    </w:p>
    <w:p w14:paraId="3F89442E" w14:textId="77777777" w:rsidR="00937FA0" w:rsidRPr="00937FA0" w:rsidRDefault="00937FA0" w:rsidP="00E33F2E">
      <w:pPr>
        <w:widowControl w:val="0"/>
        <w:numPr>
          <w:ilvl w:val="0"/>
          <w:numId w:val="4"/>
        </w:numPr>
        <w:ind w:left="567" w:right="-2" w:hanging="567"/>
        <w:rPr>
          <w:rFonts w:ascii="Times New Roman" w:eastAsia="Times New Roman" w:hAnsi="Times New Roman" w:cs="Times New Roman"/>
          <w:i/>
          <w:iCs/>
          <w:lang w:eastAsia="sl-SI"/>
        </w:rPr>
      </w:pPr>
      <w:r w:rsidRPr="00937FA0">
        <w:rPr>
          <w:rFonts w:ascii="Times New Roman" w:eastAsia="Times New Roman" w:hAnsi="Times New Roman" w:cs="Times New Roman"/>
          <w:lang w:eastAsia="sl-SI"/>
        </w:rPr>
        <w:t>Veikliosios medžiagos yra kandesartano cileksetilas ir hidrochlorotiazidas.</w:t>
      </w:r>
    </w:p>
    <w:p w14:paraId="10095BDA" w14:textId="77777777" w:rsidR="00937FA0" w:rsidRPr="00937FA0" w:rsidRDefault="00937FA0" w:rsidP="00937FA0">
      <w:pPr>
        <w:widowControl w:val="0"/>
        <w:numPr>
          <w:ilvl w:val="0"/>
          <w:numId w:val="35"/>
        </w:numPr>
        <w:ind w:left="851" w:right="-2"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8 mg kandesartano cileksetilo ir 12,5 mg hidrochlorotiazido.</w:t>
      </w:r>
    </w:p>
    <w:p w14:paraId="52156414" w14:textId="77777777" w:rsidR="00937FA0" w:rsidRPr="00937FA0" w:rsidRDefault="00937FA0" w:rsidP="00937FA0">
      <w:pPr>
        <w:widowControl w:val="0"/>
        <w:numPr>
          <w:ilvl w:val="0"/>
          <w:numId w:val="35"/>
        </w:numPr>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16 mg kandesartano cileksetilo ir 12,5 mg hidrochlorotiazido.</w:t>
      </w:r>
    </w:p>
    <w:p w14:paraId="19AD41B6" w14:textId="77777777" w:rsidR="00937FA0" w:rsidRPr="00937FA0" w:rsidRDefault="00937FA0" w:rsidP="00937FA0">
      <w:pPr>
        <w:widowControl w:val="0"/>
        <w:numPr>
          <w:ilvl w:val="0"/>
          <w:numId w:val="35"/>
        </w:numPr>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32 mg kandesartano cileksetilo ir 25 mg hidrochlorotiazido.</w:t>
      </w:r>
    </w:p>
    <w:p w14:paraId="26BEB2EB" w14:textId="77777777" w:rsidR="00937FA0" w:rsidRPr="00937FA0" w:rsidRDefault="00937FA0" w:rsidP="00937FA0">
      <w:pPr>
        <w:widowControl w:val="0"/>
        <w:numPr>
          <w:ilvl w:val="0"/>
          <w:numId w:val="35"/>
        </w:numPr>
        <w:tabs>
          <w:tab w:val="left" w:pos="567"/>
        </w:tabs>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Kiekvienoje tabletėje yra 32 mg kandesartano cileksetilo ir 12,5 mg hidrochlorotiazido.</w:t>
      </w:r>
    </w:p>
    <w:p w14:paraId="7CE2A601" w14:textId="77777777" w:rsidR="00937FA0" w:rsidRPr="00937FA0" w:rsidRDefault="00937FA0" w:rsidP="00937FA0">
      <w:pPr>
        <w:widowControl w:val="0"/>
        <w:ind w:left="0" w:right="-2" w:firstLine="0"/>
        <w:rPr>
          <w:rFonts w:ascii="Times New Roman" w:eastAsia="Times New Roman" w:hAnsi="Times New Roman" w:cs="Times New Roman"/>
          <w:i/>
          <w:iCs/>
          <w:lang w:eastAsia="sl-SI"/>
        </w:rPr>
      </w:pPr>
    </w:p>
    <w:p w14:paraId="1E075CE4" w14:textId="77777777" w:rsidR="00937FA0" w:rsidRPr="00262276" w:rsidRDefault="00937FA0" w:rsidP="00E33F2E">
      <w:pPr>
        <w:widowControl w:val="0"/>
        <w:numPr>
          <w:ilvl w:val="0"/>
          <w:numId w:val="4"/>
        </w:numPr>
        <w:ind w:left="567" w:right="-2"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Pagalbinės medžiagos yra laktozė monohidratas, kukurūzų krakmolas, makrogolis 8000, hidroksipropilceliuliozė, karmeliozės kalcio druska, magnio stearatas, </w:t>
      </w:r>
      <w:r w:rsidRPr="00937FA0">
        <w:rPr>
          <w:rFonts w:ascii="Times New Roman" w:eastAsia="Times New Roman" w:hAnsi="Times New Roman" w:cs="Times New Roman"/>
          <w:szCs w:val="20"/>
          <w:lang w:eastAsia="sl-SI"/>
        </w:rPr>
        <w:t xml:space="preserve">raudonasis geležies </w:t>
      </w:r>
      <w:r w:rsidRPr="00937FA0">
        <w:rPr>
          <w:rFonts w:ascii="Times New Roman" w:eastAsia="Times New Roman" w:hAnsi="Times New Roman" w:cs="Times New Roman"/>
          <w:szCs w:val="20"/>
          <w:lang w:eastAsia="sl-SI"/>
        </w:rPr>
        <w:lastRenderedPageBreak/>
        <w:t>oksidas (E172) tik 16 mg/12,5 mg ir 32 mg/25 mg tabletėse ir geltonasis geležies oksidas (E172) tik 32 mg/12,5 mg tabletėse.</w:t>
      </w:r>
    </w:p>
    <w:p w14:paraId="1B83594B" w14:textId="4CE4CEBA" w:rsidR="00262276" w:rsidRPr="00937FA0" w:rsidRDefault="00262276" w:rsidP="00E33F2E">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szCs w:val="20"/>
          <w:lang w:eastAsia="sl-SI"/>
        </w:rPr>
        <w:t xml:space="preserve">Žr. </w:t>
      </w:r>
      <w:proofErr w:type="gramStart"/>
      <w:r>
        <w:rPr>
          <w:rFonts w:ascii="Times New Roman" w:eastAsia="Times New Roman" w:hAnsi="Times New Roman" w:cs="Times New Roman"/>
          <w:szCs w:val="20"/>
          <w:lang w:val="en-US" w:eastAsia="sl-SI"/>
        </w:rPr>
        <w:t>2</w:t>
      </w:r>
      <w:proofErr w:type="gramEnd"/>
      <w:r w:rsidR="00F56AE0">
        <w:rPr>
          <w:rFonts w:ascii="Times New Roman" w:eastAsia="Times New Roman" w:hAnsi="Times New Roman" w:cs="Times New Roman"/>
          <w:szCs w:val="20"/>
          <w:lang w:val="en-US" w:eastAsia="sl-SI"/>
        </w:rPr>
        <w:t> </w:t>
      </w:r>
      <w:r>
        <w:rPr>
          <w:rFonts w:ascii="Times New Roman" w:eastAsia="Times New Roman" w:hAnsi="Times New Roman" w:cs="Times New Roman"/>
          <w:szCs w:val="20"/>
          <w:lang w:eastAsia="sl-SI"/>
        </w:rPr>
        <w:t>skyrių „Canocombi sudėtyje yra laktozės“.</w:t>
      </w:r>
    </w:p>
    <w:p w14:paraId="19054A25" w14:textId="77777777" w:rsidR="00937FA0" w:rsidRPr="00937FA0" w:rsidRDefault="00937FA0" w:rsidP="00937FA0">
      <w:pPr>
        <w:widowControl w:val="0"/>
        <w:ind w:left="0" w:right="-2" w:firstLine="0"/>
        <w:rPr>
          <w:rFonts w:ascii="Times New Roman" w:eastAsia="Times New Roman" w:hAnsi="Times New Roman" w:cs="Times New Roman"/>
          <w:lang w:eastAsia="sl-SI"/>
        </w:rPr>
      </w:pPr>
    </w:p>
    <w:p w14:paraId="7AFA343F" w14:textId="77777777" w:rsidR="00937FA0" w:rsidRPr="00937FA0" w:rsidRDefault="00937FA0" w:rsidP="00937FA0">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Canocombi išvaizda ir kiekis pakuotėje</w:t>
      </w:r>
    </w:p>
    <w:p w14:paraId="6BB347AD" w14:textId="77777777" w:rsidR="00937FA0" w:rsidRPr="00937FA0" w:rsidRDefault="00937FA0" w:rsidP="00937FA0">
      <w:pPr>
        <w:widowControl w:val="0"/>
        <w:numPr>
          <w:ilvl w:val="12"/>
          <w:numId w:val="0"/>
        </w:numPr>
        <w:ind w:right="-2"/>
        <w:rPr>
          <w:rFonts w:ascii="Times New Roman" w:eastAsia="Times New Roman" w:hAnsi="Times New Roman" w:cs="Times New Roman"/>
          <w:u w:val="single"/>
          <w:lang w:eastAsia="sl-SI"/>
        </w:rPr>
      </w:pPr>
    </w:p>
    <w:p w14:paraId="57D19C2D" w14:textId="77777777" w:rsidR="00937FA0" w:rsidRPr="00937FA0" w:rsidRDefault="00937FA0" w:rsidP="00937FA0">
      <w:pPr>
        <w:widowControl w:val="0"/>
        <w:ind w:left="0" w:rightChars="50" w:right="11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 8 mg/12,5 mg tabletės yra baltos spalvos, abipus išgaubtos, ovalo formos, su laužimo vagele vienoje pusėje.</w:t>
      </w:r>
    </w:p>
    <w:p w14:paraId="1F614C9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Vagelė skirta tik tabletei perlaužti, kad būtų lengviau nuryti, bet ne jai padalyti į lygias dozes.</w:t>
      </w:r>
    </w:p>
    <w:p w14:paraId="72C3A89F"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16 mg/12,5 mg tabletės yra šviesiai rausvos spalvos, abipus išgaubtos, ovalo formos, su laužimo vagele vienoje pusėje.</w:t>
      </w:r>
    </w:p>
    <w:p w14:paraId="5728DA51"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14:paraId="554C2752"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mg/12,5 mg tabletės yra gelsvai baltos spalvos, abipus išgaubtos, ovalo formos, su laužimo vagele vienoje pusėje.</w:t>
      </w:r>
    </w:p>
    <w:p w14:paraId="658D6315"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14:paraId="7C1F04DA" w14:textId="77777777" w:rsidR="00937FA0" w:rsidRPr="00937FA0" w:rsidRDefault="00937FA0" w:rsidP="00937FA0">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Canocombi 32 mg/25 mg tabletės yra šviesiai rausvos spalvos, abipus išgaubtos, ovalo formos, su laužimo vagele vienoje pusėje.</w:t>
      </w:r>
    </w:p>
    <w:p w14:paraId="4D0A126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Tabletę galima padalyti į lygias dozes.</w:t>
      </w:r>
    </w:p>
    <w:p w14:paraId="16721441"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317FB29E"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Tiekiamos dėžutės, kuriose yra lizdinės plokštelės po 14, 15, 28, 30, 56, 60, 84, 90 arba 98 tabletes.</w:t>
      </w:r>
    </w:p>
    <w:p w14:paraId="0AF4294C"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53E1108A"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Gali būti tiekiamos ne visų dydžių pakuotės.</w:t>
      </w:r>
    </w:p>
    <w:p w14:paraId="7C44665B"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6717A44C" w14:textId="77777777" w:rsidR="00937FA0" w:rsidRPr="00937FA0" w:rsidRDefault="00937FA0" w:rsidP="00937FA0">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Registruotojas ir gamintojas</w:t>
      </w:r>
    </w:p>
    <w:p w14:paraId="1106DF8A"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4FBA6223"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Registruotojas</w:t>
      </w:r>
    </w:p>
    <w:p w14:paraId="3C53AA9D"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 d.d., Novo mesto</w:t>
      </w:r>
    </w:p>
    <w:p w14:paraId="70C510F7"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Šmarješka cesta 6</w:t>
      </w:r>
    </w:p>
    <w:p w14:paraId="5328BBF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14:paraId="5CBF72F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14:paraId="37A9E963" w14:textId="77777777" w:rsidR="00937FA0" w:rsidRPr="00937FA0" w:rsidRDefault="00937FA0" w:rsidP="00937FA0">
      <w:pPr>
        <w:widowControl w:val="0"/>
        <w:ind w:left="0" w:firstLine="0"/>
        <w:rPr>
          <w:rFonts w:ascii="Times New Roman" w:eastAsia="Times New Roman" w:hAnsi="Times New Roman" w:cs="Times New Roman"/>
          <w:b/>
          <w:bCs/>
          <w:lang w:eastAsia="sl-SI"/>
        </w:rPr>
      </w:pPr>
    </w:p>
    <w:p w14:paraId="0C6B4047" w14:textId="77777777" w:rsidR="00937FA0" w:rsidRPr="00937FA0" w:rsidRDefault="00937FA0" w:rsidP="00937FA0">
      <w:pPr>
        <w:widowControl w:val="0"/>
        <w:ind w:left="0" w:firstLine="0"/>
        <w:rPr>
          <w:rFonts w:ascii="Times New Roman" w:eastAsia="Times New Roman" w:hAnsi="Times New Roman" w:cs="Times New Roman"/>
          <w:bCs/>
          <w:i/>
          <w:lang w:eastAsia="sl-SI"/>
        </w:rPr>
      </w:pPr>
      <w:r w:rsidRPr="00937FA0">
        <w:rPr>
          <w:rFonts w:ascii="Times New Roman" w:eastAsia="Times New Roman" w:hAnsi="Times New Roman" w:cs="Times New Roman"/>
          <w:bCs/>
          <w:i/>
          <w:lang w:eastAsia="sl-SI"/>
        </w:rPr>
        <w:t>Gamintojas</w:t>
      </w:r>
    </w:p>
    <w:p w14:paraId="098D97F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KRKA, d.d., Novo mesto</w:t>
      </w:r>
    </w:p>
    <w:p w14:paraId="180AE29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Šmarješka cesta 6</w:t>
      </w:r>
    </w:p>
    <w:p w14:paraId="74A2FC10"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14:paraId="2BACE9C6"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14:paraId="2391236E" w14:textId="77777777" w:rsidR="00937FA0" w:rsidRPr="00937FA0" w:rsidRDefault="00937FA0" w:rsidP="00937FA0">
      <w:pPr>
        <w:widowControl w:val="0"/>
        <w:ind w:left="0" w:firstLine="0"/>
        <w:rPr>
          <w:rFonts w:ascii="Times New Roman" w:eastAsia="Times New Roman" w:hAnsi="Times New Roman" w:cs="Times New Roman"/>
          <w:i/>
          <w:lang w:eastAsia="sl-SI"/>
        </w:rPr>
      </w:pPr>
    </w:p>
    <w:p w14:paraId="1208E5E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arba</w:t>
      </w:r>
    </w:p>
    <w:p w14:paraId="7A690943" w14:textId="77777777" w:rsidR="00937FA0" w:rsidRPr="00937FA0" w:rsidRDefault="00937FA0" w:rsidP="00937FA0">
      <w:pPr>
        <w:widowControl w:val="0"/>
        <w:ind w:left="0" w:firstLine="0"/>
        <w:rPr>
          <w:rFonts w:ascii="Times New Roman" w:eastAsia="Times New Roman" w:hAnsi="Times New Roman" w:cs="Times New Roman"/>
          <w:lang w:eastAsia="sl-SI"/>
        </w:rPr>
      </w:pPr>
    </w:p>
    <w:p w14:paraId="2A95459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TAD Pharma GmbH</w:t>
      </w:r>
    </w:p>
    <w:p w14:paraId="3B9B0A85"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Heinz-Lohmann-Straße 5</w:t>
      </w:r>
    </w:p>
    <w:p w14:paraId="45EF5C4B"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27472 Cuxhaven</w:t>
      </w:r>
    </w:p>
    <w:p w14:paraId="0AB48A2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Vokietija</w:t>
      </w:r>
    </w:p>
    <w:p w14:paraId="4B23E882"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3B9B98DF"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apie šį vaistą norite sužinoti daugiau, kreipkitės į vietinį registruotojo atstovą:</w:t>
      </w:r>
    </w:p>
    <w:p w14:paraId="5B446E17" w14:textId="77777777" w:rsidR="00937FA0" w:rsidRPr="00937FA0" w:rsidRDefault="00937FA0" w:rsidP="00937FA0">
      <w:pPr>
        <w:widowControl w:val="0"/>
        <w:ind w:left="0" w:firstLine="0"/>
        <w:rPr>
          <w:rFonts w:ascii="Times New Roman" w:eastAsia="Times New Roman" w:hAnsi="Times New Roman" w:cs="Times New Roman"/>
          <w:lang w:eastAsia="sl-SI"/>
        </w:rPr>
      </w:pPr>
    </w:p>
    <w:tbl>
      <w:tblPr>
        <w:tblW w:w="4678" w:type="dxa"/>
        <w:tblInd w:w="-34" w:type="dxa"/>
        <w:tblLayout w:type="fixed"/>
        <w:tblLook w:val="0000" w:firstRow="0" w:lastRow="0" w:firstColumn="0" w:lastColumn="0" w:noHBand="0" w:noVBand="0"/>
      </w:tblPr>
      <w:tblGrid>
        <w:gridCol w:w="4678"/>
      </w:tblGrid>
      <w:tr w:rsidR="00937FA0" w:rsidRPr="00937FA0" w14:paraId="193E7B1C" w14:textId="77777777" w:rsidTr="00A91329">
        <w:tc>
          <w:tcPr>
            <w:tcW w:w="4678" w:type="dxa"/>
          </w:tcPr>
          <w:p w14:paraId="6B404258"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UAB KRKA Lietuva</w:t>
            </w:r>
          </w:p>
          <w:p w14:paraId="1B3E0994"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Senasis Ukmergės kelias 4,</w:t>
            </w:r>
          </w:p>
          <w:p w14:paraId="360243EA"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Užubalių km.,Vilniaus r.</w:t>
            </w:r>
          </w:p>
          <w:p w14:paraId="0FF436FC"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LT - 14013</w:t>
            </w:r>
          </w:p>
          <w:p w14:paraId="26EE2642" w14:textId="77777777" w:rsidR="00937FA0" w:rsidRPr="00937FA0" w:rsidRDefault="00937FA0" w:rsidP="00937FA0">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Tel. + 370 5 236 27 40</w:t>
            </w:r>
          </w:p>
        </w:tc>
      </w:tr>
    </w:tbl>
    <w:p w14:paraId="0D059F71" w14:textId="77777777" w:rsidR="00937FA0" w:rsidRPr="00937FA0" w:rsidRDefault="00937FA0" w:rsidP="00937FA0">
      <w:pPr>
        <w:widowControl w:val="0"/>
        <w:numPr>
          <w:ilvl w:val="12"/>
          <w:numId w:val="0"/>
        </w:numPr>
        <w:ind w:right="-2"/>
        <w:rPr>
          <w:rFonts w:ascii="Times New Roman" w:eastAsia="Times New Roman" w:hAnsi="Times New Roman" w:cs="Times New Roman"/>
          <w:b/>
          <w:bCs/>
          <w:lang w:eastAsia="sl-SI"/>
        </w:rPr>
      </w:pPr>
    </w:p>
    <w:p w14:paraId="2BC2635B" w14:textId="00DB8A18" w:rsidR="00937FA0" w:rsidRPr="00937FA0" w:rsidRDefault="00937FA0" w:rsidP="00937FA0">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 xml:space="preserve">Šis vaistas </w:t>
      </w:r>
      <w:r w:rsidR="00F56AE0" w:rsidRPr="00F56AE0">
        <w:rPr>
          <w:rFonts w:ascii="Times New Roman" w:eastAsia="Times New Roman" w:hAnsi="Times New Roman" w:cs="Times New Roman"/>
          <w:b/>
          <w:bCs/>
          <w:lang w:eastAsia="sl-SI"/>
        </w:rPr>
        <w:t>Europos ekonominės erdvės</w:t>
      </w:r>
      <w:r w:rsidRPr="00937FA0">
        <w:rPr>
          <w:rFonts w:ascii="Times New Roman" w:eastAsia="Times New Roman" w:hAnsi="Times New Roman" w:cs="Times New Roman"/>
          <w:b/>
          <w:bCs/>
          <w:lang w:eastAsia="sl-SI"/>
        </w:rPr>
        <w:t xml:space="preserve"> valstybėse narėse registruotas tokiais pavadinimais:</w:t>
      </w:r>
    </w:p>
    <w:p w14:paraId="5B6A6177"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00"/>
        <w:gridCol w:w="4561"/>
      </w:tblGrid>
      <w:tr w:rsidR="00937FA0" w:rsidRPr="00937FA0" w14:paraId="6D0A1D36" w14:textId="77777777" w:rsidTr="00A91329">
        <w:tc>
          <w:tcPr>
            <w:tcW w:w="4605" w:type="dxa"/>
          </w:tcPr>
          <w:p w14:paraId="1B29F00B"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Valstybės narės pavadinimas</w:t>
            </w:r>
          </w:p>
        </w:tc>
        <w:tc>
          <w:tcPr>
            <w:tcW w:w="4606" w:type="dxa"/>
          </w:tcPr>
          <w:p w14:paraId="32EA995C"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Vaisto pavadinimas</w:t>
            </w:r>
          </w:p>
        </w:tc>
      </w:tr>
      <w:tr w:rsidR="00937FA0" w:rsidRPr="00937FA0" w14:paraId="4FF37395" w14:textId="77777777" w:rsidTr="00A91329">
        <w:tc>
          <w:tcPr>
            <w:tcW w:w="4605" w:type="dxa"/>
          </w:tcPr>
          <w:p w14:paraId="380F82B3"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Austrija</w:t>
            </w:r>
          </w:p>
        </w:tc>
        <w:tc>
          <w:tcPr>
            <w:tcW w:w="4606" w:type="dxa"/>
          </w:tcPr>
          <w:p w14:paraId="4615DE06"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Candesartan + HCT Krka</w:t>
            </w:r>
          </w:p>
        </w:tc>
      </w:tr>
      <w:tr w:rsidR="00937FA0" w:rsidRPr="00937FA0" w14:paraId="34B5D666" w14:textId="77777777" w:rsidTr="00A91329">
        <w:tc>
          <w:tcPr>
            <w:tcW w:w="4605" w:type="dxa"/>
          </w:tcPr>
          <w:p w14:paraId="49A5E814"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lastRenderedPageBreak/>
              <w:t xml:space="preserve">Bulgarija, Lenkija, Rumunija, Slovakija, </w:t>
            </w:r>
          </w:p>
        </w:tc>
        <w:tc>
          <w:tcPr>
            <w:tcW w:w="4606" w:type="dxa"/>
          </w:tcPr>
          <w:p w14:paraId="7CC53602"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Karbicombi</w:t>
            </w:r>
          </w:p>
        </w:tc>
      </w:tr>
      <w:tr w:rsidR="00937FA0" w:rsidRPr="00937FA0" w14:paraId="2E075495" w14:textId="77777777" w:rsidTr="00A91329">
        <w:tc>
          <w:tcPr>
            <w:tcW w:w="4605" w:type="dxa"/>
          </w:tcPr>
          <w:p w14:paraId="3EEEE1A5" w14:textId="77777777" w:rsidR="00937FA0" w:rsidRPr="00937FA0" w:rsidRDefault="00937FA0" w:rsidP="00937FA0">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Čekija</w:t>
            </w:r>
          </w:p>
        </w:tc>
        <w:tc>
          <w:tcPr>
            <w:tcW w:w="4606" w:type="dxa"/>
          </w:tcPr>
          <w:p w14:paraId="6D534191"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Cancombino</w:t>
            </w:r>
          </w:p>
        </w:tc>
      </w:tr>
      <w:tr w:rsidR="00937FA0" w:rsidRPr="00937FA0" w14:paraId="50955BF7" w14:textId="77777777" w:rsidTr="00A91329">
        <w:tc>
          <w:tcPr>
            <w:tcW w:w="4605" w:type="dxa"/>
          </w:tcPr>
          <w:p w14:paraId="6A44AA2C"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Vokietija</w:t>
            </w:r>
          </w:p>
        </w:tc>
        <w:tc>
          <w:tcPr>
            <w:tcW w:w="4606" w:type="dxa"/>
          </w:tcPr>
          <w:p w14:paraId="67415637"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Candesartan-HCTad</w:t>
            </w:r>
          </w:p>
        </w:tc>
      </w:tr>
      <w:tr w:rsidR="00937FA0" w:rsidRPr="00937FA0" w14:paraId="36ABA954" w14:textId="77777777" w:rsidTr="00A91329">
        <w:tc>
          <w:tcPr>
            <w:tcW w:w="4605" w:type="dxa"/>
          </w:tcPr>
          <w:p w14:paraId="0CF5E05C"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Kipras</w:t>
            </w:r>
          </w:p>
        </w:tc>
        <w:tc>
          <w:tcPr>
            <w:tcW w:w="4606" w:type="dxa"/>
          </w:tcPr>
          <w:p w14:paraId="4FACE3CA"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Candesartan/Hydrochlorothiazide KRKA</w:t>
            </w:r>
          </w:p>
        </w:tc>
      </w:tr>
      <w:tr w:rsidR="00937FA0" w:rsidRPr="00937FA0" w14:paraId="3AE2966B" w14:textId="77777777" w:rsidTr="00A91329">
        <w:tc>
          <w:tcPr>
            <w:tcW w:w="4605" w:type="dxa"/>
          </w:tcPr>
          <w:p w14:paraId="728BD966"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Graikija</w:t>
            </w:r>
          </w:p>
        </w:tc>
        <w:tc>
          <w:tcPr>
            <w:tcW w:w="4606" w:type="dxa"/>
          </w:tcPr>
          <w:p w14:paraId="7A200EBE"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Candesartan+HCTZ/Krka</w:t>
            </w:r>
          </w:p>
        </w:tc>
      </w:tr>
      <w:tr w:rsidR="00937FA0" w:rsidRPr="00937FA0" w14:paraId="6C31D516" w14:textId="77777777" w:rsidTr="00A91329">
        <w:tc>
          <w:tcPr>
            <w:tcW w:w="4605" w:type="dxa"/>
          </w:tcPr>
          <w:p w14:paraId="21B16967"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Airija</w:t>
            </w:r>
          </w:p>
        </w:tc>
        <w:tc>
          <w:tcPr>
            <w:tcW w:w="4606" w:type="dxa"/>
          </w:tcPr>
          <w:p w14:paraId="2E2568CA"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Candesartan Hydrochlorothiazide Krka</w:t>
            </w:r>
          </w:p>
        </w:tc>
      </w:tr>
      <w:tr w:rsidR="00937FA0" w:rsidRPr="00937FA0" w14:paraId="11A276A6" w14:textId="77777777" w:rsidTr="00A91329">
        <w:tc>
          <w:tcPr>
            <w:tcW w:w="4605" w:type="dxa"/>
          </w:tcPr>
          <w:p w14:paraId="4EC8A6AD"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tc>
        <w:tc>
          <w:tcPr>
            <w:tcW w:w="4606" w:type="dxa"/>
          </w:tcPr>
          <w:p w14:paraId="02AF1417"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Candecombi</w:t>
            </w:r>
          </w:p>
        </w:tc>
      </w:tr>
      <w:tr w:rsidR="00937FA0" w:rsidRPr="00937FA0" w14:paraId="7F02BFBA" w14:textId="77777777" w:rsidTr="00A91329">
        <w:tc>
          <w:tcPr>
            <w:tcW w:w="4605" w:type="dxa"/>
          </w:tcPr>
          <w:p w14:paraId="20AE6BF1"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Lietuva</w:t>
            </w:r>
          </w:p>
        </w:tc>
        <w:tc>
          <w:tcPr>
            <w:tcW w:w="4606" w:type="dxa"/>
          </w:tcPr>
          <w:p w14:paraId="5E6FB86B"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Canocombi</w:t>
            </w:r>
          </w:p>
        </w:tc>
      </w:tr>
    </w:tbl>
    <w:p w14:paraId="27824120" w14:textId="77777777" w:rsidR="00937FA0" w:rsidRPr="00937FA0" w:rsidRDefault="00937FA0" w:rsidP="00937FA0">
      <w:pPr>
        <w:widowControl w:val="0"/>
        <w:numPr>
          <w:ilvl w:val="12"/>
          <w:numId w:val="0"/>
        </w:numPr>
        <w:tabs>
          <w:tab w:val="left" w:pos="708"/>
        </w:tabs>
        <w:ind w:right="-2"/>
        <w:outlineLvl w:val="0"/>
        <w:rPr>
          <w:rFonts w:ascii="Times New Roman" w:eastAsia="Times New Roman" w:hAnsi="Times New Roman" w:cs="Times New Roman"/>
          <w:b/>
          <w:lang w:eastAsia="sl-SI"/>
        </w:rPr>
      </w:pPr>
    </w:p>
    <w:p w14:paraId="4B093A85" w14:textId="11E84D15" w:rsidR="00937FA0" w:rsidRPr="00937FA0" w:rsidRDefault="00937FA0" w:rsidP="00937FA0">
      <w:pPr>
        <w:widowControl w:val="0"/>
        <w:numPr>
          <w:ilvl w:val="12"/>
          <w:numId w:val="0"/>
        </w:numPr>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b/>
          <w:bCs/>
          <w:lang w:eastAsia="sl-SI"/>
        </w:rPr>
        <w:t xml:space="preserve">Šis pakuotės </w:t>
      </w:r>
      <w:r w:rsidRPr="00937FA0">
        <w:rPr>
          <w:rFonts w:ascii="Times New Roman" w:eastAsia="Times New Roman" w:hAnsi="Times New Roman" w:cs="Times New Roman"/>
          <w:b/>
          <w:lang w:eastAsia="sl-SI"/>
        </w:rPr>
        <w:t>lapelis paskutinį kartą peržiūrėtas</w:t>
      </w:r>
      <w:r w:rsidR="003C06E6">
        <w:rPr>
          <w:rFonts w:ascii="Times New Roman" w:eastAsia="Times New Roman" w:hAnsi="Times New Roman" w:cs="Times New Roman"/>
          <w:b/>
          <w:lang w:eastAsia="sl-SI"/>
        </w:rPr>
        <w:t xml:space="preserve"> </w:t>
      </w:r>
      <w:r w:rsidR="003C06E6">
        <w:rPr>
          <w:rFonts w:ascii="Times New Roman" w:eastAsia="Times New Roman" w:hAnsi="Times New Roman" w:cs="Times New Roman"/>
          <w:b/>
          <w:lang w:val="en-US" w:eastAsia="sl-SI"/>
        </w:rPr>
        <w:t>2022-02-17</w:t>
      </w:r>
      <w:r w:rsidRPr="00937FA0">
        <w:rPr>
          <w:rFonts w:ascii="Times New Roman" w:eastAsia="Times New Roman" w:hAnsi="Times New Roman" w:cs="Times New Roman"/>
          <w:b/>
          <w:lang w:eastAsia="sl-SI"/>
        </w:rPr>
        <w:t>.</w:t>
      </w:r>
    </w:p>
    <w:p w14:paraId="3C16EE9D" w14:textId="77777777" w:rsidR="00937FA0" w:rsidRPr="00937FA0" w:rsidRDefault="00937FA0" w:rsidP="00937FA0">
      <w:pPr>
        <w:widowControl w:val="0"/>
        <w:numPr>
          <w:ilvl w:val="12"/>
          <w:numId w:val="0"/>
        </w:numPr>
        <w:ind w:right="-2"/>
        <w:rPr>
          <w:rFonts w:ascii="Times New Roman" w:eastAsia="Times New Roman" w:hAnsi="Times New Roman" w:cs="Times New Roman"/>
          <w:lang w:eastAsia="sl-SI"/>
        </w:rPr>
      </w:pPr>
    </w:p>
    <w:p w14:paraId="56CCBEE5" w14:textId="77777777" w:rsidR="00937FA0" w:rsidRPr="00937FA0" w:rsidRDefault="00937FA0" w:rsidP="00937FA0">
      <w:pPr>
        <w:widowControl w:val="0"/>
        <w:ind w:left="0" w:firstLine="0"/>
        <w:rPr>
          <w:rFonts w:ascii="Times New Roman" w:eastAsia="Times New Roman" w:hAnsi="Times New Roman" w:cs="Times New Roman"/>
          <w:color w:val="0000FF"/>
          <w:u w:val="single"/>
          <w:lang w:eastAsia="sl-SI"/>
        </w:rPr>
      </w:pPr>
      <w:r w:rsidRPr="00937FA0">
        <w:rPr>
          <w:rFonts w:ascii="Times New Roman" w:eastAsia="Times New Roman" w:hAnsi="Times New Roman" w:cs="Times New Roman"/>
          <w:lang w:eastAsia="sl-SI"/>
        </w:rPr>
        <w:t xml:space="preserve">Išsami informacija apie šį vaistą pateikiama Valstybinės vaistų kontrolės tarnybos prie Lietuvos Respublikos sveikatos apsaugos ministerijos tinklalapyje </w:t>
      </w:r>
      <w:hyperlink r:id="rId16" w:history="1">
        <w:r w:rsidRPr="00937FA0">
          <w:rPr>
            <w:rFonts w:ascii="Times New Roman" w:eastAsia="Times New Roman" w:hAnsi="Times New Roman" w:cs="Times New Roman"/>
            <w:color w:val="0000FF"/>
            <w:u w:val="single"/>
            <w:lang w:eastAsia="sl-SI"/>
          </w:rPr>
          <w:t>http://www.vvkt.lt/</w:t>
        </w:r>
      </w:hyperlink>
    </w:p>
    <w:p w14:paraId="07C44A6F" w14:textId="77777777" w:rsidR="00937FA0" w:rsidRPr="00937FA0" w:rsidRDefault="00937FA0" w:rsidP="00937FA0">
      <w:pPr>
        <w:ind w:left="0" w:firstLine="0"/>
      </w:pPr>
    </w:p>
    <w:p w14:paraId="106845BD" w14:textId="77777777" w:rsidR="00081745" w:rsidRDefault="00081745"/>
    <w:sectPr w:rsidR="00081745" w:rsidSect="00A91329">
      <w:type w:val="continuous"/>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195EBC" w14:textId="77777777" w:rsidR="00A835C7" w:rsidRDefault="00A835C7">
      <w:r>
        <w:separator/>
      </w:r>
    </w:p>
  </w:endnote>
  <w:endnote w:type="continuationSeparator" w:id="0">
    <w:p w14:paraId="3D27F5A0" w14:textId="77777777" w:rsidR="00A835C7" w:rsidRDefault="00A835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46EAFF" w14:textId="77777777" w:rsidR="00F56AE0" w:rsidRDefault="00F56AE0" w:rsidP="00A9132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DB21ED8" w14:textId="77777777" w:rsidR="00F56AE0" w:rsidRDefault="00F56AE0" w:rsidP="00A9132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7C9DC" w14:textId="77777777" w:rsidR="00983E1C" w:rsidRDefault="00983E1C">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3A0F8" w14:textId="77777777" w:rsidR="00983E1C" w:rsidRDefault="00983E1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1CC177" w14:textId="77777777" w:rsidR="00A835C7" w:rsidRDefault="00A835C7">
      <w:r>
        <w:separator/>
      </w:r>
    </w:p>
  </w:footnote>
  <w:footnote w:type="continuationSeparator" w:id="0">
    <w:p w14:paraId="140DE8DD" w14:textId="77777777" w:rsidR="00A835C7" w:rsidRDefault="00A835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C94906" w14:textId="77777777" w:rsidR="00983E1C" w:rsidRDefault="00983E1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DB2011" w14:textId="77777777" w:rsidR="00F56AE0" w:rsidRDefault="00F56AE0" w:rsidP="00A91329">
    <w:pPr>
      <w:spacing w:line="20" w:lineRule="exact"/>
    </w:pPr>
  </w:p>
  <w:p w14:paraId="1D69E473" w14:textId="77777777" w:rsidR="00F56AE0" w:rsidRDefault="00F56AE0">
    <w:pPr>
      <w:pStyle w:val="Antrats"/>
    </w:pPr>
    <w:bookmarkStart w:id="4" w:name="TableTag1"/>
    <w:bookmarkEnd w:id="4"/>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AA124" w14:textId="77777777" w:rsidR="00983E1C" w:rsidRDefault="00983E1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C6BD7CE"/>
    <w:multiLevelType w:val="hybridMultilevel"/>
    <w:tmpl w:val="42B63B0B"/>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3" w15:restartNumberingAfterBreak="0">
    <w:nsid w:val="168363DE"/>
    <w:multiLevelType w:val="hybridMultilevel"/>
    <w:tmpl w:val="FB7C5FEC"/>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066EC9"/>
    <w:multiLevelType w:val="hybridMultilevel"/>
    <w:tmpl w:val="A9801526"/>
    <w:lvl w:ilvl="0" w:tplc="E2D8FEBE">
      <w:start w:val="1"/>
      <w:numFmt w:val="bullet"/>
      <w:lvlText w:val="-"/>
      <w:lvlJc w:val="left"/>
      <w:pPr>
        <w:tabs>
          <w:tab w:val="num" w:pos="567"/>
        </w:tabs>
        <w:ind w:left="567" w:hanging="567"/>
      </w:pPr>
      <w:rPr>
        <w:rFonts w:hint="default"/>
      </w:rPr>
    </w:lvl>
    <w:lvl w:ilvl="1" w:tplc="E2D8FEBE">
      <w:start w:val="1"/>
      <w:numFmt w:val="bullet"/>
      <w:lvlText w:val="-"/>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423EA8"/>
    <w:multiLevelType w:val="hybridMultilevel"/>
    <w:tmpl w:val="C616CA4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EE6032"/>
    <w:multiLevelType w:val="hybridMultilevel"/>
    <w:tmpl w:val="58541A22"/>
    <w:lvl w:ilvl="0" w:tplc="4C6093EC">
      <w:numFmt w:val="bullet"/>
      <w:lvlText w:val="­"/>
      <w:lvlJc w:val="left"/>
      <w:pPr>
        <w:ind w:left="1287" w:hanging="360"/>
      </w:pPr>
      <w:rPr>
        <w:rFonts w:ascii="Times New Roman" w:eastAsia="Times New Roman" w:hAnsi="Times New Roman" w:cs="Times New Roman" w:hint="default"/>
        <w:b w:val="0"/>
        <w:i w:val="0"/>
        <w:sz w:val="24"/>
        <w:szCs w:val="24"/>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8"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9" w15:restartNumberingAfterBreak="0">
    <w:nsid w:val="21002D03"/>
    <w:multiLevelType w:val="hybridMultilevel"/>
    <w:tmpl w:val="EDB6225E"/>
    <w:lvl w:ilvl="0" w:tplc="4C6093EC">
      <w:numFmt w:val="bullet"/>
      <w:lvlText w:val="­"/>
      <w:lvlJc w:val="left"/>
      <w:pPr>
        <w:ind w:left="720" w:hanging="360"/>
      </w:pPr>
      <w:rPr>
        <w:rFonts w:ascii="Times New Roman" w:eastAsia="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24271F90"/>
    <w:multiLevelType w:val="hybridMultilevel"/>
    <w:tmpl w:val="38F0E0A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31270D"/>
    <w:multiLevelType w:val="hybridMultilevel"/>
    <w:tmpl w:val="93827EE2"/>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8557B7E"/>
    <w:multiLevelType w:val="hybridMultilevel"/>
    <w:tmpl w:val="4792099C"/>
    <w:lvl w:ilvl="0" w:tplc="89922E30">
      <w:start w:val="4"/>
      <w:numFmt w:val="bullet"/>
      <w:lvlText w:val="-"/>
      <w:lvlJc w:val="left"/>
      <w:pPr>
        <w:ind w:left="1648" w:hanging="360"/>
      </w:pPr>
      <w:rPr>
        <w:rFonts w:ascii="Times New Roman" w:eastAsia="Times New Roman" w:hAnsi="Times New Roman" w:hint="default"/>
      </w:rPr>
    </w:lvl>
    <w:lvl w:ilvl="1" w:tplc="08090003" w:tentative="1">
      <w:start w:val="1"/>
      <w:numFmt w:val="bullet"/>
      <w:lvlText w:val="o"/>
      <w:lvlJc w:val="left"/>
      <w:pPr>
        <w:ind w:left="2368" w:hanging="360"/>
      </w:pPr>
      <w:rPr>
        <w:rFonts w:ascii="Courier New" w:hAnsi="Courier New" w:hint="default"/>
      </w:rPr>
    </w:lvl>
    <w:lvl w:ilvl="2" w:tplc="08090005" w:tentative="1">
      <w:start w:val="1"/>
      <w:numFmt w:val="bullet"/>
      <w:lvlText w:val=""/>
      <w:lvlJc w:val="left"/>
      <w:pPr>
        <w:ind w:left="3088" w:hanging="360"/>
      </w:pPr>
      <w:rPr>
        <w:rFonts w:ascii="Wingdings" w:hAnsi="Wingdings" w:hint="default"/>
      </w:rPr>
    </w:lvl>
    <w:lvl w:ilvl="3" w:tplc="08090001" w:tentative="1">
      <w:start w:val="1"/>
      <w:numFmt w:val="bullet"/>
      <w:lvlText w:val=""/>
      <w:lvlJc w:val="left"/>
      <w:pPr>
        <w:ind w:left="3808" w:hanging="360"/>
      </w:pPr>
      <w:rPr>
        <w:rFonts w:ascii="Symbol" w:hAnsi="Symbol" w:hint="default"/>
      </w:rPr>
    </w:lvl>
    <w:lvl w:ilvl="4" w:tplc="08090003" w:tentative="1">
      <w:start w:val="1"/>
      <w:numFmt w:val="bullet"/>
      <w:lvlText w:val="o"/>
      <w:lvlJc w:val="left"/>
      <w:pPr>
        <w:ind w:left="4528" w:hanging="360"/>
      </w:pPr>
      <w:rPr>
        <w:rFonts w:ascii="Courier New" w:hAnsi="Courier New" w:hint="default"/>
      </w:rPr>
    </w:lvl>
    <w:lvl w:ilvl="5" w:tplc="08090005" w:tentative="1">
      <w:start w:val="1"/>
      <w:numFmt w:val="bullet"/>
      <w:lvlText w:val=""/>
      <w:lvlJc w:val="left"/>
      <w:pPr>
        <w:ind w:left="5248" w:hanging="360"/>
      </w:pPr>
      <w:rPr>
        <w:rFonts w:ascii="Wingdings" w:hAnsi="Wingdings" w:hint="default"/>
      </w:rPr>
    </w:lvl>
    <w:lvl w:ilvl="6" w:tplc="08090001" w:tentative="1">
      <w:start w:val="1"/>
      <w:numFmt w:val="bullet"/>
      <w:lvlText w:val=""/>
      <w:lvlJc w:val="left"/>
      <w:pPr>
        <w:ind w:left="5968" w:hanging="360"/>
      </w:pPr>
      <w:rPr>
        <w:rFonts w:ascii="Symbol" w:hAnsi="Symbol" w:hint="default"/>
      </w:rPr>
    </w:lvl>
    <w:lvl w:ilvl="7" w:tplc="08090003" w:tentative="1">
      <w:start w:val="1"/>
      <w:numFmt w:val="bullet"/>
      <w:lvlText w:val="o"/>
      <w:lvlJc w:val="left"/>
      <w:pPr>
        <w:ind w:left="6688" w:hanging="360"/>
      </w:pPr>
      <w:rPr>
        <w:rFonts w:ascii="Courier New" w:hAnsi="Courier New" w:hint="default"/>
      </w:rPr>
    </w:lvl>
    <w:lvl w:ilvl="8" w:tplc="08090005" w:tentative="1">
      <w:start w:val="1"/>
      <w:numFmt w:val="bullet"/>
      <w:lvlText w:val=""/>
      <w:lvlJc w:val="left"/>
      <w:pPr>
        <w:ind w:left="7408" w:hanging="360"/>
      </w:pPr>
      <w:rPr>
        <w:rFonts w:ascii="Wingdings" w:hAnsi="Wingdings" w:hint="default"/>
      </w:rPr>
    </w:lvl>
  </w:abstractNum>
  <w:abstractNum w:abstractNumId="14" w15:restartNumberingAfterBreak="0">
    <w:nsid w:val="2BC86271"/>
    <w:multiLevelType w:val="hybridMultilevel"/>
    <w:tmpl w:val="AF48EA0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2F2F678B"/>
    <w:multiLevelType w:val="hybridMultilevel"/>
    <w:tmpl w:val="115C558E"/>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9C905EE"/>
    <w:multiLevelType w:val="hybridMultilevel"/>
    <w:tmpl w:val="58A4E6A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A213992"/>
    <w:multiLevelType w:val="hybridMultilevel"/>
    <w:tmpl w:val="C6FC2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41DE8"/>
    <w:multiLevelType w:val="hybridMultilevel"/>
    <w:tmpl w:val="1C4E64A6"/>
    <w:lvl w:ilvl="0" w:tplc="0FB640A4">
      <w:start w:val="1"/>
      <w:numFmt w:val="bullet"/>
      <w:lvlText w:val="-"/>
      <w:lvlJc w:val="left"/>
      <w:pPr>
        <w:tabs>
          <w:tab w:val="num" w:pos="567"/>
        </w:tabs>
        <w:ind w:left="567" w:hanging="567"/>
      </w:pPr>
      <w:rPr>
        <w:rFonts w:ascii="Times New Roman" w:hAnsi="Times New Roman"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DE50B3"/>
    <w:multiLevelType w:val="hybridMultilevel"/>
    <w:tmpl w:val="46F489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1D810CE"/>
    <w:multiLevelType w:val="hybridMultilevel"/>
    <w:tmpl w:val="E5C67C0A"/>
    <w:lvl w:ilvl="0" w:tplc="04F80370">
      <w:start w:val="1"/>
      <w:numFmt w:val="bullet"/>
      <w:lvlText w:val="-"/>
      <w:lvlJc w:val="left"/>
      <w:rPr>
        <w:rFonts w:ascii="Times New Roman" w:hAnsi="Times New Roman" w:cs="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5" w15:restartNumberingAfterBreak="0">
    <w:nsid w:val="558A5188"/>
    <w:multiLevelType w:val="hybridMultilevel"/>
    <w:tmpl w:val="12127B8E"/>
    <w:lvl w:ilvl="0" w:tplc="0FB640A4">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6049110E"/>
    <w:multiLevelType w:val="hybridMultilevel"/>
    <w:tmpl w:val="FFF28C3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8C2E23"/>
    <w:multiLevelType w:val="hybridMultilevel"/>
    <w:tmpl w:val="0DD29142"/>
    <w:lvl w:ilvl="0" w:tplc="E2D8FEBE">
      <w:start w:val="1"/>
      <w:numFmt w:val="bullet"/>
      <w:lvlText w:val="-"/>
      <w:lvlJc w:val="left"/>
      <w:pPr>
        <w:tabs>
          <w:tab w:val="num" w:pos="567"/>
        </w:tabs>
        <w:ind w:left="567" w:hanging="567"/>
      </w:pPr>
      <w:rPr>
        <w:rFont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3F4506D"/>
    <w:multiLevelType w:val="hybridMultilevel"/>
    <w:tmpl w:val="4A18D8DE"/>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1"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2" w15:restartNumberingAfterBreak="0">
    <w:nsid w:val="71174365"/>
    <w:multiLevelType w:val="hybridMultilevel"/>
    <w:tmpl w:val="BC8E1E88"/>
    <w:lvl w:ilvl="0" w:tplc="E2D8FEBE">
      <w:start w:val="1"/>
      <w:numFmt w:val="bullet"/>
      <w:lvlText w:val="-"/>
      <w:lvlJc w:val="left"/>
      <w:pPr>
        <w:tabs>
          <w:tab w:val="num" w:pos="567"/>
        </w:tabs>
        <w:ind w:left="567" w:hanging="567"/>
      </w:pPr>
      <w:rPr>
        <w:rFonts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26E41AC"/>
    <w:multiLevelType w:val="hybridMultilevel"/>
    <w:tmpl w:val="42D2D026"/>
    <w:lvl w:ilvl="0" w:tplc="E2D8FEBE">
      <w:start w:val="1"/>
      <w:numFmt w:val="bullet"/>
      <w:lvlText w:val="-"/>
      <w:lvlJc w:val="left"/>
      <w:pPr>
        <w:tabs>
          <w:tab w:val="num" w:pos="927"/>
        </w:tabs>
        <w:ind w:left="927" w:hanging="567"/>
      </w:pPr>
      <w:rPr>
        <w:rFont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53D764E"/>
    <w:multiLevelType w:val="hybridMultilevel"/>
    <w:tmpl w:val="C5A269B6"/>
    <w:lvl w:ilvl="0" w:tplc="04F80370">
      <w:start w:val="1"/>
      <w:numFmt w:val="bullet"/>
      <w:lvlText w:val="-"/>
      <w:lvlJc w:val="left"/>
      <w:pPr>
        <w:ind w:left="720" w:hanging="360"/>
      </w:pPr>
      <w:rPr>
        <w:rFonts w:ascii="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C837C3"/>
    <w:multiLevelType w:val="hybridMultilevel"/>
    <w:tmpl w:val="F5148462"/>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6"/>
  </w:num>
  <w:num w:numId="3">
    <w:abstractNumId w:val="2"/>
  </w:num>
  <w:num w:numId="4">
    <w:abstractNumId w:val="1"/>
    <w:lvlOverride w:ilvl="0">
      <w:lvl w:ilvl="0">
        <w:start w:val="1"/>
        <w:numFmt w:val="bullet"/>
        <w:lvlText w:val="-"/>
        <w:legacy w:legacy="1" w:legacySpace="0" w:legacyIndent="360"/>
        <w:lvlJc w:val="left"/>
        <w:pPr>
          <w:ind w:left="360" w:hanging="360"/>
        </w:pPr>
      </w:lvl>
    </w:lvlOverride>
  </w:num>
  <w:num w:numId="5">
    <w:abstractNumId w:val="30"/>
  </w:num>
  <w:num w:numId="6">
    <w:abstractNumId w:val="31"/>
  </w:num>
  <w:num w:numId="7">
    <w:abstractNumId w:val="17"/>
  </w:num>
  <w:num w:numId="8">
    <w:abstractNumId w:val="26"/>
  </w:num>
  <w:num w:numId="9">
    <w:abstractNumId w:val="15"/>
  </w:num>
  <w:num w:numId="10">
    <w:abstractNumId w:val="18"/>
  </w:num>
  <w:num w:numId="11">
    <w:abstractNumId w:val="8"/>
  </w:num>
  <w:num w:numId="12">
    <w:abstractNumId w:val="1"/>
    <w:lvlOverride w:ilvl="0">
      <w:lvl w:ilvl="0">
        <w:start w:val="1"/>
        <w:numFmt w:val="bullet"/>
        <w:lvlText w:val=""/>
        <w:lvlJc w:val="left"/>
        <w:pPr>
          <w:ind w:left="360" w:hanging="360"/>
        </w:pPr>
        <w:rPr>
          <w:rFonts w:ascii="Symbol" w:hAnsi="Symbol" w:hint="default"/>
        </w:rPr>
      </w:lvl>
    </w:lvlOverride>
  </w:num>
  <w:num w:numId="13">
    <w:abstractNumId w:val="25"/>
  </w:num>
  <w:num w:numId="14">
    <w:abstractNumId w:val="13"/>
  </w:num>
  <w:num w:numId="15">
    <w:abstractNumId w:val="0"/>
  </w:num>
  <w:num w:numId="16">
    <w:abstractNumId w:val="32"/>
  </w:num>
  <w:num w:numId="17">
    <w:abstractNumId w:val="21"/>
  </w:num>
  <w:num w:numId="18">
    <w:abstractNumId w:val="33"/>
  </w:num>
  <w:num w:numId="19">
    <w:abstractNumId w:val="28"/>
  </w:num>
  <w:num w:numId="20">
    <w:abstractNumId w:val="35"/>
  </w:num>
  <w:num w:numId="21">
    <w:abstractNumId w:val="3"/>
  </w:num>
  <w:num w:numId="22">
    <w:abstractNumId w:val="12"/>
  </w:num>
  <w:num w:numId="23">
    <w:abstractNumId w:val="4"/>
  </w:num>
  <w:num w:numId="24">
    <w:abstractNumId w:val="20"/>
  </w:num>
  <w:num w:numId="25">
    <w:abstractNumId w:val="24"/>
  </w:num>
  <w:num w:numId="26">
    <w:abstractNumId w:val="27"/>
  </w:num>
  <w:num w:numId="27">
    <w:abstractNumId w:val="14"/>
  </w:num>
  <w:num w:numId="28">
    <w:abstractNumId w:val="11"/>
  </w:num>
  <w:num w:numId="29">
    <w:abstractNumId w:val="29"/>
  </w:num>
  <w:num w:numId="30">
    <w:abstractNumId w:val="5"/>
  </w:num>
  <w:num w:numId="31">
    <w:abstractNumId w:val="34"/>
  </w:num>
  <w:num w:numId="32">
    <w:abstractNumId w:val="16"/>
  </w:num>
  <w:num w:numId="33">
    <w:abstractNumId w:val="19"/>
  </w:num>
  <w:num w:numId="34">
    <w:abstractNumId w:val="23"/>
  </w:num>
  <w:num w:numId="35">
    <w:abstractNumId w:val="7"/>
  </w:num>
  <w:num w:numId="36">
    <w:abstractNumId w:val="9"/>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9DB"/>
    <w:rsid w:val="00005068"/>
    <w:rsid w:val="00006025"/>
    <w:rsid w:val="00081745"/>
    <w:rsid w:val="000836DE"/>
    <w:rsid w:val="000F188C"/>
    <w:rsid w:val="00140BED"/>
    <w:rsid w:val="001469DB"/>
    <w:rsid w:val="002372BE"/>
    <w:rsid w:val="002516F4"/>
    <w:rsid w:val="00262276"/>
    <w:rsid w:val="002B28BE"/>
    <w:rsid w:val="002D23E2"/>
    <w:rsid w:val="003154BC"/>
    <w:rsid w:val="0036527D"/>
    <w:rsid w:val="003B4CF0"/>
    <w:rsid w:val="003C06E6"/>
    <w:rsid w:val="00407503"/>
    <w:rsid w:val="00413D97"/>
    <w:rsid w:val="0049558C"/>
    <w:rsid w:val="004A6DCE"/>
    <w:rsid w:val="004B0B2E"/>
    <w:rsid w:val="00587536"/>
    <w:rsid w:val="005C4E6C"/>
    <w:rsid w:val="005D068B"/>
    <w:rsid w:val="00621E82"/>
    <w:rsid w:val="0066208F"/>
    <w:rsid w:val="00686F86"/>
    <w:rsid w:val="006C3B00"/>
    <w:rsid w:val="006F08A0"/>
    <w:rsid w:val="006F203A"/>
    <w:rsid w:val="007379C4"/>
    <w:rsid w:val="0077497E"/>
    <w:rsid w:val="007A1678"/>
    <w:rsid w:val="007C6DE9"/>
    <w:rsid w:val="00816293"/>
    <w:rsid w:val="00847D09"/>
    <w:rsid w:val="00861293"/>
    <w:rsid w:val="008A7145"/>
    <w:rsid w:val="008B0DCF"/>
    <w:rsid w:val="008E6D7B"/>
    <w:rsid w:val="00937FA0"/>
    <w:rsid w:val="00983E1C"/>
    <w:rsid w:val="009E1B6D"/>
    <w:rsid w:val="00A23278"/>
    <w:rsid w:val="00A835C7"/>
    <w:rsid w:val="00A91329"/>
    <w:rsid w:val="00AA63AF"/>
    <w:rsid w:val="00BB55E2"/>
    <w:rsid w:val="00BE00FF"/>
    <w:rsid w:val="00C14EFF"/>
    <w:rsid w:val="00C54600"/>
    <w:rsid w:val="00C57CE4"/>
    <w:rsid w:val="00CB21E5"/>
    <w:rsid w:val="00D6134A"/>
    <w:rsid w:val="00D861B5"/>
    <w:rsid w:val="00D87346"/>
    <w:rsid w:val="00DB01AC"/>
    <w:rsid w:val="00E0486B"/>
    <w:rsid w:val="00E072C1"/>
    <w:rsid w:val="00E30DF8"/>
    <w:rsid w:val="00E33F2E"/>
    <w:rsid w:val="00E868D7"/>
    <w:rsid w:val="00EB7853"/>
    <w:rsid w:val="00F20349"/>
    <w:rsid w:val="00F56AE0"/>
    <w:rsid w:val="00FA2E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EC3861C"/>
  <w15:docId w15:val="{3FC24FAF-F20A-4A5C-B0C0-C938BF7F2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ind w:left="567" w:hanging="567"/>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937FA0"/>
    <w:pPr>
      <w:keepNext/>
      <w:spacing w:before="240" w:after="60"/>
      <w:ind w:left="0" w:firstLine="0"/>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uiPriority w:val="99"/>
    <w:qFormat/>
    <w:rsid w:val="00937FA0"/>
    <w:pPr>
      <w:keepNext/>
      <w:tabs>
        <w:tab w:val="left" w:pos="4300"/>
        <w:tab w:val="left" w:pos="5940"/>
        <w:tab w:val="left" w:pos="8180"/>
      </w:tabs>
      <w:spacing w:line="360" w:lineRule="atLeast"/>
      <w:ind w:left="0" w:firstLine="0"/>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uiPriority w:val="99"/>
    <w:qFormat/>
    <w:rsid w:val="00937FA0"/>
    <w:pPr>
      <w:keepNext/>
      <w:tabs>
        <w:tab w:val="decimal" w:pos="6760"/>
      </w:tabs>
      <w:spacing w:line="480" w:lineRule="atLeast"/>
      <w:ind w:left="0" w:firstLine="0"/>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qFormat/>
    <w:rsid w:val="00937FA0"/>
    <w:pPr>
      <w:keepNext/>
      <w:spacing w:before="240" w:after="60"/>
      <w:ind w:left="0" w:firstLine="0"/>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uiPriority w:val="99"/>
    <w:qFormat/>
    <w:rsid w:val="00937FA0"/>
    <w:pPr>
      <w:keepNext/>
      <w:tabs>
        <w:tab w:val="left" w:pos="567"/>
      </w:tabs>
      <w:spacing w:line="260" w:lineRule="exact"/>
      <w:ind w:left="0" w:firstLine="0"/>
      <w:jc w:val="both"/>
      <w:outlineLvl w:val="4"/>
    </w:pPr>
    <w:rPr>
      <w:rFonts w:ascii="Times New Roman" w:eastAsia="Times New Roman" w:hAnsi="Times New Roman" w:cs="Times New Roman"/>
      <w:noProof/>
      <w:szCs w:val="20"/>
      <w:lang w:val="cs-CZ"/>
    </w:rPr>
  </w:style>
  <w:style w:type="paragraph" w:styleId="Antrat6">
    <w:name w:val="heading 6"/>
    <w:basedOn w:val="prastasis"/>
    <w:next w:val="prastasis"/>
    <w:link w:val="Antrat6Diagrama"/>
    <w:uiPriority w:val="99"/>
    <w:qFormat/>
    <w:rsid w:val="00937FA0"/>
    <w:pPr>
      <w:keepNext/>
      <w:keepLines/>
      <w:tabs>
        <w:tab w:val="right" w:pos="4536"/>
        <w:tab w:val="left" w:pos="5180"/>
        <w:tab w:val="left" w:pos="5380"/>
        <w:tab w:val="left" w:pos="8222"/>
      </w:tabs>
      <w:ind w:left="0" w:firstLine="0"/>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uiPriority w:val="99"/>
    <w:qFormat/>
    <w:rsid w:val="00937FA0"/>
    <w:pPr>
      <w:keepNext/>
      <w:tabs>
        <w:tab w:val="left" w:pos="-720"/>
        <w:tab w:val="left" w:pos="567"/>
        <w:tab w:val="left" w:pos="4536"/>
      </w:tabs>
      <w:suppressAutoHyphens/>
      <w:spacing w:line="260" w:lineRule="exact"/>
      <w:ind w:left="0" w:firstLine="0"/>
      <w:jc w:val="both"/>
      <w:outlineLvl w:val="6"/>
    </w:pPr>
    <w:rPr>
      <w:rFonts w:ascii="Times New Roman" w:eastAsia="Times New Roman" w:hAnsi="Times New Roman" w:cs="Times New Roman"/>
      <w:i/>
      <w:szCs w:val="20"/>
      <w:lang w:val="cs-CZ"/>
    </w:rPr>
  </w:style>
  <w:style w:type="paragraph" w:styleId="Antrat8">
    <w:name w:val="heading 8"/>
    <w:basedOn w:val="prastasis"/>
    <w:next w:val="prastasis"/>
    <w:link w:val="Antrat8Diagrama"/>
    <w:uiPriority w:val="99"/>
    <w:qFormat/>
    <w:rsid w:val="00937FA0"/>
    <w:pPr>
      <w:keepNext/>
      <w:tabs>
        <w:tab w:val="left" w:pos="567"/>
      </w:tabs>
      <w:spacing w:line="260" w:lineRule="exact"/>
      <w:jc w:val="both"/>
      <w:outlineLvl w:val="7"/>
    </w:pPr>
    <w:rPr>
      <w:rFonts w:ascii="Times New Roman" w:eastAsia="Times New Roman" w:hAnsi="Times New Roman" w:cs="Times New Roman"/>
      <w:b/>
      <w:i/>
      <w:szCs w:val="20"/>
      <w:lang w:val="cs-CZ"/>
    </w:rPr>
  </w:style>
  <w:style w:type="paragraph" w:styleId="Antrat9">
    <w:name w:val="heading 9"/>
    <w:basedOn w:val="prastasis"/>
    <w:next w:val="prastasis"/>
    <w:link w:val="Antrat9Diagrama"/>
    <w:uiPriority w:val="99"/>
    <w:qFormat/>
    <w:rsid w:val="00937FA0"/>
    <w:pPr>
      <w:keepNext/>
      <w:tabs>
        <w:tab w:val="left" w:pos="567"/>
      </w:tabs>
      <w:spacing w:line="260" w:lineRule="exact"/>
      <w:ind w:left="0" w:firstLine="0"/>
      <w:jc w:val="both"/>
      <w:outlineLvl w:val="8"/>
    </w:pPr>
    <w:rPr>
      <w:rFonts w:ascii="Times New Roman" w:eastAsia="Times New Roman" w:hAnsi="Times New Roman" w:cs="Times New Roman"/>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37FA0"/>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uiPriority w:val="99"/>
    <w:rsid w:val="00937FA0"/>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uiPriority w:val="99"/>
    <w:rsid w:val="00937FA0"/>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937FA0"/>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uiPriority w:val="99"/>
    <w:rsid w:val="00937FA0"/>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uiPriority w:val="99"/>
    <w:rsid w:val="00937FA0"/>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uiPriority w:val="99"/>
    <w:rsid w:val="00937FA0"/>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uiPriority w:val="99"/>
    <w:rsid w:val="00937FA0"/>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uiPriority w:val="99"/>
    <w:rsid w:val="00937FA0"/>
    <w:rPr>
      <w:rFonts w:ascii="Times New Roman" w:eastAsia="Times New Roman" w:hAnsi="Times New Roman" w:cs="Times New Roman"/>
      <w:b/>
      <w:i/>
      <w:szCs w:val="20"/>
      <w:lang w:val="cs-CZ"/>
    </w:rPr>
  </w:style>
  <w:style w:type="numbering" w:customStyle="1" w:styleId="Sraonra1">
    <w:name w:val="Sąrašo nėra1"/>
    <w:next w:val="Sraonra"/>
    <w:uiPriority w:val="99"/>
    <w:semiHidden/>
    <w:unhideWhenUsed/>
    <w:rsid w:val="00937FA0"/>
  </w:style>
  <w:style w:type="paragraph" w:styleId="Antrats">
    <w:name w:val="header"/>
    <w:basedOn w:val="prastasis"/>
    <w:link w:val="AntratsDiagrama"/>
    <w:uiPriority w:val="99"/>
    <w:rsid w:val="00937FA0"/>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sid w:val="00937FA0"/>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937FA0"/>
    <w:pPr>
      <w:tabs>
        <w:tab w:val="center" w:pos="4320"/>
        <w:tab w:val="right" w:pos="8640"/>
      </w:tabs>
      <w:ind w:left="0" w:firstLine="0"/>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937FA0"/>
    <w:rPr>
      <w:rFonts w:ascii="Times New Roman" w:eastAsia="Times New Roman" w:hAnsi="Times New Roman" w:cs="Times New Roman"/>
      <w:sz w:val="24"/>
      <w:szCs w:val="20"/>
      <w:lang w:val="sl-SI" w:eastAsia="sl-SI"/>
    </w:rPr>
  </w:style>
  <w:style w:type="table" w:styleId="Lentelstinklelis">
    <w:name w:val="Table Grid"/>
    <w:basedOn w:val="prastojilentel"/>
    <w:rsid w:val="00937FA0"/>
    <w:pPr>
      <w:ind w:left="0" w:firstLine="0"/>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937FA0"/>
  </w:style>
  <w:style w:type="character" w:styleId="Hipersaitas">
    <w:name w:val="Hyperlink"/>
    <w:uiPriority w:val="99"/>
    <w:rsid w:val="00937FA0"/>
    <w:rPr>
      <w:rFonts w:ascii="Times New Roman" w:hAnsi="Times New Roman"/>
      <w:color w:val="auto"/>
      <w:sz w:val="24"/>
      <w:szCs w:val="24"/>
      <w:u w:val="single"/>
      <w:lang w:val="en-US"/>
    </w:rPr>
  </w:style>
  <w:style w:type="character" w:styleId="Perirtashipersaitas">
    <w:name w:val="FollowedHyperlink"/>
    <w:uiPriority w:val="99"/>
    <w:rsid w:val="00937FA0"/>
    <w:rPr>
      <w:color w:val="800080"/>
      <w:u w:val="single"/>
    </w:rPr>
  </w:style>
  <w:style w:type="paragraph" w:styleId="Paprastasistekstas">
    <w:name w:val="Plain Text"/>
    <w:basedOn w:val="prastasis"/>
    <w:link w:val="PaprastasistekstasDiagrama"/>
    <w:rsid w:val="00937FA0"/>
    <w:pPr>
      <w:ind w:left="0" w:firstLine="0"/>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rsid w:val="00937FA0"/>
    <w:rPr>
      <w:rFonts w:ascii="Courier New" w:eastAsia="Times New Roman" w:hAnsi="Courier New" w:cs="Times New Roman"/>
      <w:sz w:val="20"/>
      <w:szCs w:val="20"/>
      <w:lang w:val="en-GB" w:eastAsia="sl-SI"/>
    </w:rPr>
  </w:style>
  <w:style w:type="paragraph" w:styleId="Antrat">
    <w:name w:val="caption"/>
    <w:basedOn w:val="prastasis"/>
    <w:next w:val="prastasis"/>
    <w:qFormat/>
    <w:rsid w:val="00937FA0"/>
    <w:pPr>
      <w:ind w:left="0" w:firstLine="0"/>
      <w:jc w:val="both"/>
    </w:pPr>
    <w:rPr>
      <w:rFonts w:ascii="Times New Roman" w:eastAsia="Times New Roman" w:hAnsi="Times New Roman" w:cs="Times New Roman"/>
      <w:sz w:val="24"/>
      <w:szCs w:val="20"/>
      <w:lang w:val="en-GB" w:eastAsia="sl-SI"/>
    </w:rPr>
  </w:style>
  <w:style w:type="paragraph" w:customStyle="1" w:styleId="Naslov1">
    <w:name w:val="Naslov1"/>
    <w:basedOn w:val="Antrat1"/>
    <w:rsid w:val="00937FA0"/>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937FA0"/>
    <w:pPr>
      <w:spacing w:before="120"/>
      <w:ind w:left="0" w:firstLine="0"/>
    </w:pPr>
    <w:rPr>
      <w:rFonts w:ascii="Times New Roman" w:eastAsia="Times New Roman" w:hAnsi="Times New Roman" w:cs="Times New Roman"/>
      <w:b/>
      <w:bCs/>
      <w:i/>
      <w:iCs/>
      <w:sz w:val="24"/>
      <w:szCs w:val="28"/>
      <w:lang w:val="sl-SI" w:eastAsia="sl-SI"/>
    </w:rPr>
  </w:style>
  <w:style w:type="paragraph" w:styleId="Pagrindinistekstas">
    <w:name w:val="Body Text"/>
    <w:basedOn w:val="prastasis"/>
    <w:link w:val="PagrindinistekstasDiagrama"/>
    <w:uiPriority w:val="99"/>
    <w:rsid w:val="00937FA0"/>
    <w:pPr>
      <w:numPr>
        <w:ilvl w:val="12"/>
      </w:numPr>
      <w:tabs>
        <w:tab w:val="left" w:pos="8505"/>
      </w:tabs>
      <w:ind w:left="567" w:right="-2" w:hanging="567"/>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uiPriority w:val="99"/>
    <w:rsid w:val="00937FA0"/>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uiPriority w:val="99"/>
    <w:rsid w:val="00937FA0"/>
    <w:pPr>
      <w:spacing w:after="120" w:line="480" w:lineRule="auto"/>
      <w:ind w:left="0" w:firstLine="0"/>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uiPriority w:val="99"/>
    <w:rsid w:val="00937FA0"/>
    <w:rPr>
      <w:rFonts w:ascii="Times New Roman" w:eastAsia="Times New Roman" w:hAnsi="Times New Roman" w:cs="Times New Roman"/>
      <w:sz w:val="24"/>
      <w:szCs w:val="20"/>
      <w:lang w:val="sl-SI" w:eastAsia="sl-SI"/>
    </w:rPr>
  </w:style>
  <w:style w:type="paragraph" w:customStyle="1" w:styleId="EMEAEnBodyText">
    <w:name w:val="EMEA En Body Text"/>
    <w:basedOn w:val="prastasis"/>
    <w:uiPriority w:val="99"/>
    <w:rsid w:val="00937FA0"/>
    <w:pPr>
      <w:spacing w:before="120" w:after="120"/>
      <w:ind w:left="0" w:firstLine="0"/>
      <w:jc w:val="both"/>
    </w:pPr>
    <w:rPr>
      <w:rFonts w:ascii="Times New Roman" w:eastAsia="Times New Roman" w:hAnsi="Times New Roman" w:cs="Times New Roman"/>
      <w:szCs w:val="20"/>
      <w:lang w:val="en-US"/>
    </w:rPr>
  </w:style>
  <w:style w:type="paragraph" w:customStyle="1" w:styleId="Default">
    <w:name w:val="Default"/>
    <w:uiPriority w:val="99"/>
    <w:rsid w:val="00937FA0"/>
    <w:pPr>
      <w:autoSpaceDE w:val="0"/>
      <w:autoSpaceDN w:val="0"/>
      <w:adjustRightInd w:val="0"/>
      <w:ind w:left="0" w:firstLine="0"/>
    </w:pPr>
    <w:rPr>
      <w:rFonts w:ascii="Times New Roman" w:eastAsia="Times New Roman" w:hAnsi="Times New Roman" w:cs="Times New Roman"/>
      <w:color w:val="000000"/>
      <w:sz w:val="24"/>
      <w:szCs w:val="24"/>
      <w:lang w:val="sl-SI" w:eastAsia="sl-SI"/>
    </w:rPr>
  </w:style>
  <w:style w:type="numbering" w:customStyle="1" w:styleId="Sraonra11">
    <w:name w:val="Sąrašo nėra11"/>
    <w:next w:val="Sraonra"/>
    <w:uiPriority w:val="99"/>
    <w:semiHidden/>
    <w:unhideWhenUsed/>
    <w:rsid w:val="00937FA0"/>
  </w:style>
  <w:style w:type="paragraph" w:customStyle="1" w:styleId="AHeader1">
    <w:name w:val="AHeader 1"/>
    <w:basedOn w:val="prastasis"/>
    <w:uiPriority w:val="99"/>
    <w:rsid w:val="00937FA0"/>
    <w:pPr>
      <w:numPr>
        <w:numId w:val="11"/>
      </w:numPr>
      <w:spacing w:after="120"/>
    </w:pPr>
    <w:rPr>
      <w:rFonts w:ascii="Arial" w:eastAsia="Times New Roman" w:hAnsi="Arial" w:cs="Arial"/>
      <w:b/>
      <w:bCs/>
      <w:sz w:val="24"/>
      <w:szCs w:val="20"/>
      <w:lang w:val="en-GB"/>
    </w:rPr>
  </w:style>
  <w:style w:type="paragraph" w:customStyle="1" w:styleId="AHeader2">
    <w:name w:val="AHeader 2"/>
    <w:basedOn w:val="AHeader1"/>
    <w:uiPriority w:val="99"/>
    <w:rsid w:val="00937FA0"/>
    <w:pPr>
      <w:numPr>
        <w:ilvl w:val="1"/>
      </w:numPr>
      <w:tabs>
        <w:tab w:val="clear" w:pos="709"/>
        <w:tab w:val="num" w:pos="360"/>
      </w:tabs>
      <w:ind w:left="360" w:hanging="360"/>
    </w:pPr>
    <w:rPr>
      <w:sz w:val="22"/>
    </w:rPr>
  </w:style>
  <w:style w:type="paragraph" w:customStyle="1" w:styleId="AHeader3">
    <w:name w:val="AHeader 3"/>
    <w:basedOn w:val="AHeader2"/>
    <w:uiPriority w:val="99"/>
    <w:rsid w:val="00937FA0"/>
    <w:pPr>
      <w:numPr>
        <w:ilvl w:val="2"/>
      </w:numPr>
      <w:tabs>
        <w:tab w:val="clear" w:pos="1276"/>
        <w:tab w:val="num" w:pos="360"/>
      </w:tabs>
      <w:ind w:left="360" w:hanging="360"/>
    </w:pPr>
  </w:style>
  <w:style w:type="paragraph" w:customStyle="1" w:styleId="AHeader2abc">
    <w:name w:val="AHeader 2 abc"/>
    <w:basedOn w:val="AHeader3"/>
    <w:uiPriority w:val="99"/>
    <w:rsid w:val="00937FA0"/>
    <w:pPr>
      <w:numPr>
        <w:ilvl w:val="3"/>
      </w:numPr>
      <w:tabs>
        <w:tab w:val="clear" w:pos="1276"/>
        <w:tab w:val="num" w:pos="360"/>
      </w:tabs>
      <w:ind w:left="360" w:hanging="360"/>
      <w:jc w:val="both"/>
    </w:pPr>
    <w:rPr>
      <w:b w:val="0"/>
      <w:bCs w:val="0"/>
    </w:rPr>
  </w:style>
  <w:style w:type="paragraph" w:customStyle="1" w:styleId="AHeader3abc">
    <w:name w:val="AHeader 3 abc"/>
    <w:basedOn w:val="AHeader2abc"/>
    <w:uiPriority w:val="99"/>
    <w:rsid w:val="00937FA0"/>
    <w:pPr>
      <w:numPr>
        <w:ilvl w:val="4"/>
      </w:numPr>
      <w:tabs>
        <w:tab w:val="clear" w:pos="1701"/>
        <w:tab w:val="num" w:pos="360"/>
      </w:tabs>
      <w:ind w:left="360" w:hanging="360"/>
    </w:pPr>
  </w:style>
  <w:style w:type="character" w:styleId="Grietas">
    <w:name w:val="Strong"/>
    <w:uiPriority w:val="99"/>
    <w:qFormat/>
    <w:rsid w:val="00937FA0"/>
    <w:rPr>
      <w:rFonts w:cs="Times New Roman"/>
      <w:b/>
      <w:bCs/>
    </w:rPr>
  </w:style>
  <w:style w:type="paragraph" w:styleId="Debesliotekstas">
    <w:name w:val="Balloon Text"/>
    <w:basedOn w:val="prastasis"/>
    <w:link w:val="DebesliotekstasDiagrama"/>
    <w:uiPriority w:val="99"/>
    <w:rsid w:val="00937FA0"/>
    <w:pPr>
      <w:ind w:left="0" w:firstLine="0"/>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uiPriority w:val="99"/>
    <w:rsid w:val="00937FA0"/>
    <w:rPr>
      <w:rFonts w:ascii="Tahoma" w:eastAsia="Times New Roman" w:hAnsi="Tahoma" w:cs="Tahoma"/>
      <w:sz w:val="16"/>
      <w:szCs w:val="16"/>
    </w:rPr>
  </w:style>
  <w:style w:type="character" w:styleId="Emfaz">
    <w:name w:val="Emphasis"/>
    <w:uiPriority w:val="99"/>
    <w:qFormat/>
    <w:rsid w:val="00937FA0"/>
    <w:rPr>
      <w:rFonts w:cs="Times New Roman"/>
      <w:i/>
      <w:iCs/>
    </w:rPr>
  </w:style>
  <w:style w:type="character" w:customStyle="1" w:styleId="hps">
    <w:name w:val="hps"/>
    <w:uiPriority w:val="99"/>
    <w:rsid w:val="00937FA0"/>
    <w:rPr>
      <w:rFonts w:cs="Times New Roman"/>
    </w:rPr>
  </w:style>
  <w:style w:type="character" w:customStyle="1" w:styleId="hpsatn">
    <w:name w:val="hps atn"/>
    <w:uiPriority w:val="99"/>
    <w:rsid w:val="00937FA0"/>
    <w:rPr>
      <w:rFonts w:cs="Times New Roman"/>
    </w:rPr>
  </w:style>
  <w:style w:type="paragraph" w:customStyle="1" w:styleId="BTEMEASMCA">
    <w:name w:val="BT EMEA_SMCA"/>
    <w:basedOn w:val="prastasis"/>
    <w:link w:val="BTEMEASMCAChar"/>
    <w:autoRedefine/>
    <w:uiPriority w:val="99"/>
    <w:rsid w:val="00937FA0"/>
    <w:pPr>
      <w:ind w:left="0" w:firstLine="0"/>
    </w:pPr>
    <w:rPr>
      <w:rFonts w:ascii="Times New Roman" w:eastAsia="Times New Roman" w:hAnsi="Times New Roman" w:cs="Times New Roman"/>
      <w:noProof/>
    </w:rPr>
  </w:style>
  <w:style w:type="character" w:customStyle="1" w:styleId="BTEMEASMCAChar">
    <w:name w:val="BT EMEA_SMCA Char"/>
    <w:link w:val="BTEMEASMCA"/>
    <w:uiPriority w:val="99"/>
    <w:locked/>
    <w:rsid w:val="00937FA0"/>
    <w:rPr>
      <w:rFonts w:ascii="Times New Roman" w:eastAsia="Times New Roman" w:hAnsi="Times New Roman" w:cs="Times New Roman"/>
      <w:noProof/>
    </w:rPr>
  </w:style>
  <w:style w:type="paragraph" w:customStyle="1" w:styleId="PI-1EMEASMCA">
    <w:name w:val="PI-1 EMEA_SMCA"/>
    <w:basedOn w:val="Antrat2"/>
    <w:autoRedefine/>
    <w:uiPriority w:val="99"/>
    <w:rsid w:val="00937FA0"/>
    <w:pPr>
      <w:tabs>
        <w:tab w:val="clear" w:pos="4300"/>
        <w:tab w:val="clear" w:pos="5940"/>
        <w:tab w:val="clear" w:pos="8180"/>
        <w:tab w:val="left" w:pos="567"/>
      </w:tabs>
      <w:spacing w:line="240" w:lineRule="auto"/>
      <w:ind w:left="567" w:hanging="567"/>
    </w:pPr>
    <w:rPr>
      <w:sz w:val="22"/>
      <w:szCs w:val="22"/>
      <w:u w:val="none"/>
      <w:lang w:val="lt-LT" w:eastAsia="en-US"/>
    </w:rPr>
  </w:style>
  <w:style w:type="paragraph" w:customStyle="1" w:styleId="PI-2EMEASMCA">
    <w:name w:val="PI-2 EMEA_SMCA"/>
    <w:basedOn w:val="Antrat3"/>
    <w:autoRedefine/>
    <w:uiPriority w:val="99"/>
    <w:rsid w:val="00937FA0"/>
    <w:pPr>
      <w:keepLines/>
      <w:tabs>
        <w:tab w:val="clear" w:pos="6760"/>
        <w:tab w:val="left" w:pos="567"/>
      </w:tabs>
      <w:spacing w:line="240" w:lineRule="auto"/>
      <w:ind w:left="567" w:hanging="567"/>
    </w:pPr>
    <w:rPr>
      <w:kern w:val="28"/>
      <w:sz w:val="22"/>
      <w:szCs w:val="22"/>
      <w:lang w:val="lt-LT" w:eastAsia="en-US"/>
    </w:rPr>
  </w:style>
  <w:style w:type="paragraph" w:customStyle="1" w:styleId="TTEMEASMCA">
    <w:name w:val="TT EMEA_SMCA"/>
    <w:basedOn w:val="Antrat1"/>
    <w:link w:val="TTEMEASMCAChar"/>
    <w:autoRedefine/>
    <w:uiPriority w:val="99"/>
    <w:rsid w:val="00937FA0"/>
    <w:pPr>
      <w:keepNext w:val="0"/>
      <w:tabs>
        <w:tab w:val="left" w:pos="567"/>
      </w:tabs>
      <w:spacing w:before="0" w:after="0"/>
      <w:ind w:left="567" w:hanging="567"/>
      <w:jc w:val="center"/>
    </w:pPr>
    <w:rPr>
      <w:rFonts w:ascii="Times New Roman" w:hAnsi="Times New Roman" w:cs="Times New Roman"/>
      <w:bCs w:val="0"/>
      <w:caps/>
      <w:kern w:val="0"/>
      <w:sz w:val="22"/>
      <w:szCs w:val="22"/>
      <w:lang w:val="en-US" w:eastAsia="en-US"/>
    </w:rPr>
  </w:style>
  <w:style w:type="character" w:customStyle="1" w:styleId="TTEMEASMCAChar">
    <w:name w:val="TT EMEA_SMCA Char"/>
    <w:link w:val="TTEMEASMCA"/>
    <w:uiPriority w:val="99"/>
    <w:locked/>
    <w:rsid w:val="00937FA0"/>
    <w:rPr>
      <w:rFonts w:ascii="Times New Roman" w:eastAsia="Times New Roman" w:hAnsi="Times New Roman" w:cs="Times New Roman"/>
      <w:b/>
      <w:caps/>
      <w:lang w:val="en-US"/>
    </w:rPr>
  </w:style>
  <w:style w:type="paragraph" w:customStyle="1" w:styleId="BTAnIIEMEASMCA">
    <w:name w:val="BT(AnII) EMEA_SMCA"/>
    <w:basedOn w:val="Debesliotekstas"/>
    <w:autoRedefine/>
    <w:uiPriority w:val="99"/>
    <w:rsid w:val="00937FA0"/>
    <w:pPr>
      <w:tabs>
        <w:tab w:val="left" w:pos="1701"/>
      </w:tabs>
      <w:ind w:left="1701" w:hanging="567"/>
    </w:pPr>
    <w:rPr>
      <w:rFonts w:ascii="Times New Roman" w:hAnsi="Times New Roman"/>
      <w:b/>
      <w:sz w:val="22"/>
      <w:szCs w:val="22"/>
      <w:lang w:val="en-GB"/>
    </w:rPr>
  </w:style>
  <w:style w:type="paragraph" w:customStyle="1" w:styleId="BTgEMEASMCA">
    <w:name w:val="BT(g) EMEA_SMCA"/>
    <w:basedOn w:val="BTEMEASMCA"/>
    <w:link w:val="BTgEMEASMCAChar"/>
    <w:autoRedefine/>
    <w:uiPriority w:val="99"/>
    <w:rsid w:val="00937FA0"/>
    <w:rPr>
      <w:i/>
      <w:color w:val="008000"/>
    </w:rPr>
  </w:style>
  <w:style w:type="character" w:customStyle="1" w:styleId="BTgEMEASMCAChar">
    <w:name w:val="BT(g) EMEA_SMCA Char"/>
    <w:link w:val="BTgEMEASMCA"/>
    <w:uiPriority w:val="99"/>
    <w:locked/>
    <w:rsid w:val="00937FA0"/>
    <w:rPr>
      <w:rFonts w:ascii="Times New Roman" w:eastAsia="Times New Roman" w:hAnsi="Times New Roman" w:cs="Times New Roman"/>
      <w:i/>
      <w:noProof/>
      <w:color w:val="008000"/>
    </w:rPr>
  </w:style>
  <w:style w:type="paragraph" w:customStyle="1" w:styleId="BTuEMEASMCA">
    <w:name w:val="BT(u) EMEA_SMCA"/>
    <w:basedOn w:val="BTEMEASMCA"/>
    <w:autoRedefine/>
    <w:uiPriority w:val="99"/>
    <w:rsid w:val="00937FA0"/>
    <w:rPr>
      <w:u w:val="single"/>
    </w:rPr>
  </w:style>
  <w:style w:type="character" w:styleId="Komentaronuoroda">
    <w:name w:val="annotation reference"/>
    <w:uiPriority w:val="99"/>
    <w:rsid w:val="00937FA0"/>
    <w:rPr>
      <w:rFonts w:cs="Times New Roman"/>
      <w:sz w:val="16"/>
      <w:szCs w:val="16"/>
    </w:rPr>
  </w:style>
  <w:style w:type="paragraph" w:styleId="Komentarotekstas">
    <w:name w:val="annotation text"/>
    <w:basedOn w:val="prastasis"/>
    <w:link w:val="KomentarotekstasDiagrama"/>
    <w:uiPriority w:val="99"/>
    <w:rsid w:val="00937FA0"/>
    <w:pPr>
      <w:ind w:left="0" w:firstLine="0"/>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uiPriority w:val="99"/>
    <w:rsid w:val="00937FA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rsid w:val="00937FA0"/>
    <w:rPr>
      <w:b/>
      <w:bCs/>
    </w:rPr>
  </w:style>
  <w:style w:type="character" w:customStyle="1" w:styleId="KomentarotemaDiagrama">
    <w:name w:val="Komentaro tema Diagrama"/>
    <w:basedOn w:val="KomentarotekstasDiagrama"/>
    <w:link w:val="Komentarotema"/>
    <w:uiPriority w:val="99"/>
    <w:rsid w:val="00937FA0"/>
    <w:rPr>
      <w:rFonts w:ascii="Times New Roman" w:eastAsia="Times New Roman" w:hAnsi="Times New Roman" w:cs="Times New Roman"/>
      <w:b/>
      <w:bCs/>
      <w:sz w:val="20"/>
      <w:szCs w:val="20"/>
    </w:rPr>
  </w:style>
  <w:style w:type="paragraph" w:styleId="Betarp">
    <w:name w:val="No Spacing"/>
    <w:uiPriority w:val="1"/>
    <w:qFormat/>
    <w:rsid w:val="00937FA0"/>
    <w:pPr>
      <w:ind w:left="0" w:firstLine="0"/>
    </w:pPr>
    <w:rPr>
      <w:rFonts w:ascii="Calibri" w:eastAsia="Calibri" w:hAnsi="Calibri" w:cs="Times New Roman"/>
    </w:rPr>
  </w:style>
  <w:style w:type="paragraph" w:styleId="Sraopastraipa">
    <w:name w:val="List Paragraph"/>
    <w:basedOn w:val="prastasis"/>
    <w:uiPriority w:val="34"/>
    <w:qFormat/>
    <w:rsid w:val="00937FA0"/>
    <w:pPr>
      <w:spacing w:after="200" w:line="276" w:lineRule="auto"/>
      <w:ind w:left="720" w:firstLine="0"/>
      <w:contextualSpacing/>
    </w:pPr>
    <w:rPr>
      <w:rFonts w:ascii="Calibri" w:eastAsia="Calibri" w:hAnsi="Calibri" w:cs="Times New Roman"/>
    </w:rPr>
  </w:style>
  <w:style w:type="paragraph" w:styleId="Pataisymai">
    <w:name w:val="Revision"/>
    <w:hidden/>
    <w:uiPriority w:val="99"/>
    <w:semiHidden/>
    <w:rsid w:val="00937FA0"/>
    <w:pPr>
      <w:ind w:left="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vvkt.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vvkt.lt/"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96FD7-A2D8-4D5F-AD58-E56C1CC54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47773</Words>
  <Characters>27232</Characters>
  <Application>Microsoft Office Word</Application>
  <DocSecurity>4</DocSecurity>
  <Lines>226</Lines>
  <Paragraphs>149</Paragraphs>
  <ScaleCrop>false</ScaleCrop>
  <HeadingPairs>
    <vt:vector size="2" baseType="variant">
      <vt:variant>
        <vt:lpstr>Pavadinimas</vt:lpstr>
      </vt:variant>
      <vt:variant>
        <vt:i4>1</vt:i4>
      </vt:variant>
    </vt:vector>
  </HeadingPairs>
  <TitlesOfParts>
    <vt:vector size="1" baseType="lpstr">
      <vt:lpstr/>
    </vt:vector>
  </TitlesOfParts>
  <Company>Krka, d.d.</Company>
  <LinksUpToDate>false</LinksUpToDate>
  <CharactersWithSpaces>74856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Albina Burkauskaitė</cp:lastModifiedBy>
  <cp:revision>2</cp:revision>
  <dcterms:created xsi:type="dcterms:W3CDTF">2024-02-29T08:41:00Z</dcterms:created>
  <dcterms:modified xsi:type="dcterms:W3CDTF">2024-02-29T08:41:00Z</dcterms:modified>
</cp:coreProperties>
</file>