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17D" w:rsidRPr="0008294D" w:rsidRDefault="0015617D" w:rsidP="0015617D">
      <w:pPr>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0" w:name="_Toc129243138"/>
      <w:bookmarkStart w:id="1" w:name="_Toc129243263"/>
      <w:r w:rsidRPr="0008294D">
        <w:rPr>
          <w:rFonts w:ascii="Times New Roman" w:eastAsia="Calibri" w:hAnsi="Times New Roman" w:cs="Times New Roman"/>
          <w:b/>
          <w:lang w:eastAsia="lt-LT"/>
        </w:rPr>
        <w:t>Pakuotės lapelis: informacija vartotojui</w:t>
      </w:r>
      <w:bookmarkEnd w:id="0"/>
      <w:bookmarkEnd w:id="1"/>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jc w:val="center"/>
        <w:rPr>
          <w:rFonts w:ascii="Times New Roman" w:eastAsia="Calibri" w:hAnsi="Times New Roman" w:cs="Times New Roman"/>
          <w:b/>
          <w:iCs/>
          <w:noProof/>
        </w:rPr>
      </w:pPr>
      <w:r w:rsidRPr="0008294D">
        <w:rPr>
          <w:rFonts w:ascii="Times New Roman" w:eastAsia="Calibri" w:hAnsi="Times New Roman" w:cs="Times New Roman"/>
          <w:b/>
          <w:iCs/>
          <w:noProof/>
        </w:rPr>
        <w:t>Butifen 400 mg plėvele dengtos tabletės</w:t>
      </w:r>
    </w:p>
    <w:p w:rsidR="0015617D" w:rsidRPr="0008294D" w:rsidRDefault="0015617D" w:rsidP="0015617D">
      <w:pPr>
        <w:spacing w:after="0" w:line="240" w:lineRule="auto"/>
        <w:jc w:val="center"/>
        <w:rPr>
          <w:rFonts w:ascii="Times New Roman" w:eastAsia="Calibri" w:hAnsi="Times New Roman" w:cs="Times New Roman"/>
          <w:bCs/>
          <w:iCs/>
          <w:noProof/>
        </w:rPr>
      </w:pPr>
      <w:r w:rsidRPr="0008294D">
        <w:rPr>
          <w:rFonts w:ascii="Times New Roman" w:eastAsia="Calibri" w:hAnsi="Times New Roman" w:cs="Times New Roman"/>
          <w:iCs/>
          <w:noProof/>
        </w:rPr>
        <w:t>Vaikams, kurių kūno svoris didesnis kaip 20 kg (6 metų ir vyresniems),</w:t>
      </w:r>
      <w:r w:rsidRPr="0008294D">
        <w:rPr>
          <w:rFonts w:ascii="Times New Roman" w:eastAsia="Calibri" w:hAnsi="Times New Roman" w:cs="Times New Roman"/>
          <w:bCs/>
          <w:iCs/>
          <w:noProof/>
        </w:rPr>
        <w:t xml:space="preserve"> paaugliams ir suaugusiesiems</w:t>
      </w:r>
    </w:p>
    <w:p w:rsidR="0015617D" w:rsidRPr="0008294D" w:rsidRDefault="0015617D" w:rsidP="0015617D">
      <w:pPr>
        <w:tabs>
          <w:tab w:val="left" w:pos="567"/>
        </w:tabs>
        <w:spacing w:after="0" w:line="240" w:lineRule="auto"/>
        <w:jc w:val="center"/>
        <w:rPr>
          <w:rFonts w:ascii="Times New Roman" w:eastAsia="Calibri" w:hAnsi="Times New Roman" w:cs="Times New Roman"/>
          <w:bCs/>
        </w:rPr>
      </w:pPr>
      <w:proofErr w:type="spellStart"/>
      <w:r w:rsidRPr="0008294D">
        <w:rPr>
          <w:rFonts w:ascii="Times New Roman" w:eastAsia="Calibri" w:hAnsi="Times New Roman" w:cs="Times New Roman"/>
          <w:bCs/>
        </w:rPr>
        <w:t>Ibuprofenas</w:t>
      </w:r>
      <w:proofErr w:type="spellEnd"/>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b/>
          <w:iCs/>
          <w:noProof/>
        </w:rPr>
      </w:pPr>
      <w:r w:rsidRPr="0008294D">
        <w:rPr>
          <w:rFonts w:ascii="Times New Roman" w:eastAsia="Calibri" w:hAnsi="Times New Roman" w:cs="Times New Roman"/>
          <w:b/>
          <w:iCs/>
          <w:noProof/>
        </w:rPr>
        <w:t>Atidžiai perskaitykite visą šį lapelį, prieš pradėdami vartoti vaistą, nes jame pateikiama Jums svarbi informacija.</w:t>
      </w:r>
    </w:p>
    <w:p w:rsidR="0015617D" w:rsidRPr="00DC1E8A" w:rsidRDefault="0015617D" w:rsidP="0015617D">
      <w:pPr>
        <w:pStyle w:val="Sraopastraipa"/>
        <w:numPr>
          <w:ilvl w:val="0"/>
          <w:numId w:val="1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Neišmeskite šio lapelio, nes vėl gali prireikti jį perskaityti.</w:t>
      </w:r>
    </w:p>
    <w:p w:rsidR="0015617D" w:rsidRPr="00DC1E8A" w:rsidRDefault="0015617D" w:rsidP="0015617D">
      <w:pPr>
        <w:pStyle w:val="Sraopastraipa"/>
        <w:numPr>
          <w:ilvl w:val="0"/>
          <w:numId w:val="1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kiltų daugiau klausimų, kreipkitės į gydytoją arba vaistininką.</w:t>
      </w:r>
    </w:p>
    <w:p w:rsidR="0015617D" w:rsidRPr="00DC1E8A" w:rsidRDefault="0015617D" w:rsidP="0015617D">
      <w:pPr>
        <w:pStyle w:val="Sraopastraipa"/>
        <w:numPr>
          <w:ilvl w:val="0"/>
          <w:numId w:val="1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Šis vaistas skirtas tik Jums, todėl kitiems žmonėms jo duoti negalima. Vaistas gali jiems pakenkti (nettiems, kurių ligos požymiai yra tokie patys kaip Jūsų).</w:t>
      </w:r>
    </w:p>
    <w:p w:rsidR="0015617D" w:rsidRPr="00DC1E8A" w:rsidRDefault="0015617D" w:rsidP="0015617D">
      <w:pPr>
        <w:pStyle w:val="Sraopastraipa"/>
        <w:numPr>
          <w:ilvl w:val="0"/>
          <w:numId w:val="1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pasireiškė šalutinis poveikis (net jeigu jis šiame lapelyje nenurodytas), kreipkitės į gydytoją arba vaistininką. Žr. 4 skyrių.</w:t>
      </w:r>
    </w:p>
    <w:p w:rsidR="0015617D" w:rsidRPr="0008294D" w:rsidRDefault="0015617D" w:rsidP="0015617D">
      <w:pPr>
        <w:keepNext/>
        <w:keepLines/>
        <w:spacing w:before="200" w:after="0" w:line="240" w:lineRule="auto"/>
        <w:ind w:left="567" w:hanging="567"/>
        <w:outlineLvl w:val="3"/>
        <w:rPr>
          <w:rFonts w:ascii="Times New Roman" w:eastAsiaTheme="majorEastAsia" w:hAnsi="Times New Roman" w:cs="Times New Roman"/>
          <w:b/>
          <w:bCs/>
          <w:iCs/>
        </w:rPr>
      </w:pPr>
      <w:r w:rsidRPr="0008294D">
        <w:rPr>
          <w:rFonts w:ascii="Times New Roman" w:eastAsiaTheme="majorEastAsia" w:hAnsi="Times New Roman" w:cs="Times New Roman"/>
          <w:b/>
          <w:bCs/>
          <w:iCs/>
        </w:rPr>
        <w:t>Apie ką rašoma šiame lapelyje?</w:t>
      </w:r>
    </w:p>
    <w:p w:rsidR="0015617D" w:rsidRPr="0008294D" w:rsidRDefault="0015617D" w:rsidP="0015617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1.</w:t>
      </w:r>
      <w:r w:rsidRPr="0008294D">
        <w:rPr>
          <w:rFonts w:ascii="Times New Roman" w:eastAsia="Calibri" w:hAnsi="Times New Roman" w:cs="Times New Roman"/>
          <w:iCs/>
          <w:noProof/>
        </w:rPr>
        <w:tab/>
        <w:t>Kas yra Butifen ir kam jis vartojamas</w:t>
      </w:r>
    </w:p>
    <w:p w:rsidR="0015617D" w:rsidRPr="0008294D" w:rsidRDefault="0015617D" w:rsidP="0015617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2.</w:t>
      </w:r>
      <w:r w:rsidRPr="0008294D">
        <w:rPr>
          <w:rFonts w:ascii="Times New Roman" w:eastAsia="Calibri" w:hAnsi="Times New Roman" w:cs="Times New Roman"/>
          <w:iCs/>
          <w:noProof/>
        </w:rPr>
        <w:tab/>
        <w:t>Kas žinotina prieš vartojant Butifen</w:t>
      </w:r>
    </w:p>
    <w:p w:rsidR="0015617D" w:rsidRPr="0008294D" w:rsidRDefault="0015617D" w:rsidP="0015617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3.</w:t>
      </w:r>
      <w:r w:rsidRPr="0008294D">
        <w:rPr>
          <w:rFonts w:ascii="Times New Roman" w:eastAsia="Calibri" w:hAnsi="Times New Roman" w:cs="Times New Roman"/>
          <w:iCs/>
          <w:noProof/>
        </w:rPr>
        <w:tab/>
        <w:t>Kaip vartoti Butifen</w:t>
      </w:r>
    </w:p>
    <w:p w:rsidR="0015617D" w:rsidRPr="0008294D" w:rsidRDefault="0015617D" w:rsidP="0015617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4.</w:t>
      </w:r>
      <w:r w:rsidRPr="0008294D">
        <w:rPr>
          <w:rFonts w:ascii="Times New Roman" w:eastAsia="Calibri" w:hAnsi="Times New Roman" w:cs="Times New Roman"/>
          <w:iCs/>
          <w:noProof/>
        </w:rPr>
        <w:tab/>
        <w:t>Galimas šalutinis poveikis</w:t>
      </w:r>
    </w:p>
    <w:p w:rsidR="0015617D" w:rsidRPr="0008294D" w:rsidRDefault="0015617D" w:rsidP="0015617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5.</w:t>
      </w:r>
      <w:r w:rsidRPr="0008294D">
        <w:rPr>
          <w:rFonts w:ascii="Times New Roman" w:eastAsia="Calibri" w:hAnsi="Times New Roman" w:cs="Times New Roman"/>
          <w:iCs/>
          <w:noProof/>
        </w:rPr>
        <w:tab/>
        <w:t>Kaip laikyti Butifen</w:t>
      </w:r>
    </w:p>
    <w:p w:rsidR="0015617D" w:rsidRPr="0008294D" w:rsidRDefault="0015617D" w:rsidP="0015617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6.</w:t>
      </w:r>
      <w:r w:rsidRPr="0008294D">
        <w:rPr>
          <w:rFonts w:ascii="Times New Roman" w:eastAsia="Calibri" w:hAnsi="Times New Roman" w:cs="Times New Roman"/>
          <w:iCs/>
          <w:noProof/>
        </w:rPr>
        <w:tab/>
        <w:t>Pakuotės turinys ir kita informacija</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keepNext/>
        <w:tabs>
          <w:tab w:val="left" w:pos="567"/>
        </w:tabs>
        <w:spacing w:after="0" w:line="240" w:lineRule="auto"/>
        <w:ind w:left="567" w:hanging="567"/>
        <w:outlineLvl w:val="1"/>
        <w:rPr>
          <w:rFonts w:ascii="Times New Roman" w:eastAsia="Calibri" w:hAnsi="Times New Roman" w:cs="Times New Roman"/>
          <w:b/>
        </w:rPr>
      </w:pPr>
      <w:bookmarkStart w:id="2" w:name="_Toc129243139"/>
      <w:bookmarkStart w:id="3" w:name="_Toc129243264"/>
      <w:r w:rsidRPr="0008294D">
        <w:rPr>
          <w:rFonts w:ascii="Times New Roman" w:eastAsia="Calibri" w:hAnsi="Times New Roman" w:cs="Times New Roman"/>
          <w:b/>
        </w:rPr>
        <w:t>1.</w:t>
      </w:r>
      <w:r w:rsidRPr="0008294D">
        <w:rPr>
          <w:rFonts w:ascii="Times New Roman" w:eastAsia="Calibri" w:hAnsi="Times New Roman" w:cs="Times New Roman"/>
          <w:b/>
        </w:rPr>
        <w:tab/>
        <w:t xml:space="preserve">Kas yra </w:t>
      </w:r>
      <w:proofErr w:type="spellStart"/>
      <w:r w:rsidRPr="0008294D">
        <w:rPr>
          <w:rFonts w:ascii="Times New Roman" w:eastAsia="Calibri" w:hAnsi="Times New Roman" w:cs="Times New Roman"/>
          <w:b/>
        </w:rPr>
        <w:t>Butifen</w:t>
      </w:r>
      <w:proofErr w:type="spellEnd"/>
      <w:r w:rsidRPr="0008294D">
        <w:rPr>
          <w:rFonts w:ascii="Times New Roman" w:eastAsia="Calibri" w:hAnsi="Times New Roman" w:cs="Times New Roman"/>
          <w:b/>
        </w:rPr>
        <w:t xml:space="preserve"> ir kam jis vartojamas</w:t>
      </w:r>
      <w:bookmarkEnd w:id="2"/>
      <w:bookmarkEnd w:id="3"/>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yra skausmą malšinantis ir uždegimą slopinantis vaistinis preparatas (nesteroidinis vaistas nuo uždegimo, NVNU).</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tabs>
          <w:tab w:val="left" w:pos="567"/>
        </w:tabs>
        <w:spacing w:after="0" w:line="240" w:lineRule="auto"/>
        <w:rPr>
          <w:rFonts w:ascii="Times New Roman" w:eastAsia="Calibri" w:hAnsi="Times New Roman" w:cs="Times New Roman"/>
        </w:rPr>
      </w:pPr>
      <w:proofErr w:type="spellStart"/>
      <w:r w:rsidRPr="0008294D">
        <w:rPr>
          <w:rFonts w:ascii="Times New Roman" w:eastAsia="Calibri" w:hAnsi="Times New Roman" w:cs="Times New Roman"/>
        </w:rPr>
        <w:t>Butifen</w:t>
      </w:r>
      <w:proofErr w:type="spellEnd"/>
      <w:r w:rsidRPr="0008294D">
        <w:rPr>
          <w:rFonts w:ascii="Times New Roman" w:eastAsia="Calibri" w:hAnsi="Times New Roman" w:cs="Times New Roman"/>
        </w:rPr>
        <w:t xml:space="preserve"> vartojamas trumpalaikiam simptominiam gydymui:</w:t>
      </w:r>
    </w:p>
    <w:p w:rsidR="0015617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silpno ar vidutinio stiprumo skausmo, tokio kaip galvos, dantų, mėnesinių, karščiavimo ir skausmo dėl peršalimo</w:t>
      </w:r>
      <w:r>
        <w:rPr>
          <w:rFonts w:ascii="Times New Roman" w:eastAsia="Calibri" w:hAnsi="Times New Roman" w:cs="Times New Roman"/>
          <w:iCs/>
          <w:noProof/>
        </w:rPr>
        <w:t>;</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migrenos priepuolio galvos skausmui, esant aurai arba be jos.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tinka vartoti vaikams nuo 20 kg (6 metų ir vyresniems), paaugliams ir suaugusiesiems.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keepNext/>
        <w:tabs>
          <w:tab w:val="left" w:pos="567"/>
        </w:tabs>
        <w:spacing w:after="0" w:line="240" w:lineRule="auto"/>
        <w:ind w:left="567" w:hanging="567"/>
        <w:outlineLvl w:val="1"/>
        <w:rPr>
          <w:rFonts w:ascii="Times New Roman" w:eastAsia="Calibri" w:hAnsi="Times New Roman" w:cs="Times New Roman"/>
          <w:b/>
        </w:rPr>
      </w:pPr>
      <w:bookmarkStart w:id="4" w:name="_Toc129243140"/>
      <w:bookmarkStart w:id="5" w:name="_Toc129243265"/>
      <w:r w:rsidRPr="0008294D">
        <w:rPr>
          <w:rFonts w:ascii="Times New Roman" w:eastAsia="Calibri" w:hAnsi="Times New Roman" w:cs="Times New Roman"/>
          <w:b/>
        </w:rPr>
        <w:t>2.</w:t>
      </w:r>
      <w:r w:rsidRPr="0008294D">
        <w:rPr>
          <w:rFonts w:ascii="Times New Roman" w:eastAsia="Calibri" w:hAnsi="Times New Roman" w:cs="Times New Roman"/>
          <w:b/>
        </w:rPr>
        <w:tab/>
        <w:t xml:space="preserve">Kas žinotina prieš vartojant </w:t>
      </w:r>
      <w:proofErr w:type="spellStart"/>
      <w:r w:rsidRPr="0008294D">
        <w:rPr>
          <w:rFonts w:ascii="Times New Roman" w:eastAsia="Calibri" w:hAnsi="Times New Roman" w:cs="Times New Roman"/>
          <w:b/>
        </w:rPr>
        <w:t>Butifen</w:t>
      </w:r>
      <w:proofErr w:type="spellEnd"/>
      <w:r w:rsidRPr="0008294D">
        <w:rPr>
          <w:rFonts w:ascii="Times New Roman" w:eastAsia="Calibri" w:hAnsi="Times New Roman" w:cs="Times New Roman"/>
          <w:b/>
        </w:rPr>
        <w:t xml:space="preserve"> </w:t>
      </w:r>
      <w:bookmarkEnd w:id="4"/>
      <w:bookmarkEnd w:id="5"/>
    </w:p>
    <w:p w:rsidR="0015617D" w:rsidRPr="0008294D" w:rsidRDefault="0015617D" w:rsidP="0015617D">
      <w:pPr>
        <w:keepNext/>
        <w:tabs>
          <w:tab w:val="left" w:pos="567"/>
        </w:tabs>
        <w:spacing w:after="0" w:line="240" w:lineRule="auto"/>
        <w:ind w:left="567" w:hanging="567"/>
        <w:outlineLvl w:val="1"/>
        <w:rPr>
          <w:rFonts w:ascii="Times New Roman" w:eastAsia="Calibri" w:hAnsi="Times New Roman" w:cs="Times New Roman"/>
          <w:b/>
        </w:rPr>
      </w:pPr>
    </w:p>
    <w:p w:rsidR="0015617D" w:rsidRPr="0008294D" w:rsidRDefault="0015617D" w:rsidP="0015617D">
      <w:pPr>
        <w:tabs>
          <w:tab w:val="left" w:pos="567"/>
        </w:tabs>
        <w:spacing w:after="0" w:line="240" w:lineRule="auto"/>
        <w:rPr>
          <w:rFonts w:ascii="Times New Roman" w:eastAsia="Calibri" w:hAnsi="Times New Roman" w:cs="Times New Roman"/>
          <w:b/>
        </w:rPr>
      </w:pPr>
      <w:proofErr w:type="spellStart"/>
      <w:r w:rsidRPr="0008294D">
        <w:rPr>
          <w:rFonts w:ascii="Times New Roman" w:eastAsia="Calibri" w:hAnsi="Times New Roman" w:cs="Times New Roman"/>
          <w:b/>
        </w:rPr>
        <w:t>Butifen</w:t>
      </w:r>
      <w:proofErr w:type="spellEnd"/>
      <w:r w:rsidRPr="0008294D">
        <w:rPr>
          <w:rFonts w:ascii="Times New Roman" w:eastAsia="Calibri" w:hAnsi="Times New Roman" w:cs="Times New Roman"/>
          <w:b/>
        </w:rPr>
        <w:t xml:space="preserve"> vartoti negalima:</w:t>
      </w:r>
    </w:p>
    <w:p w:rsidR="0015617D" w:rsidRPr="00DC1E8A" w:rsidRDefault="0015617D" w:rsidP="0015617D">
      <w:pPr>
        <w:pStyle w:val="Sraopastraipa"/>
        <w:numPr>
          <w:ilvl w:val="0"/>
          <w:numId w:val="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padidėjęs jautrumas ibuprofenui arba bet kuriai pagalbinei Butifen medžiagai (jos išvardytos 6 skyriuje) ;</w:t>
      </w:r>
    </w:p>
    <w:p w:rsidR="0015617D" w:rsidRPr="00DC1E8A" w:rsidRDefault="0015617D" w:rsidP="0015617D">
      <w:pPr>
        <w:pStyle w:val="Sraopastraipa"/>
        <w:numPr>
          <w:ilvl w:val="0"/>
          <w:numId w:val="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praeityje buvo dusulys, astma, sloga (rinitas), nosies gleivinės paburkimas,</w:t>
      </w:r>
    </w:p>
    <w:p w:rsidR="0015617D" w:rsidRPr="00DC1E8A" w:rsidRDefault="0015617D" w:rsidP="0015617D">
      <w:pPr>
        <w:pStyle w:val="Sraopastraipa"/>
        <w:numPr>
          <w:ilvl w:val="0"/>
          <w:numId w:val="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dilgėlinė ar kiti panašūs reiškiniai vartojant acetilsalicilo rūgštį ar NVNU;</w:t>
      </w:r>
    </w:p>
    <w:p w:rsidR="0015617D" w:rsidRPr="00DC1E8A" w:rsidRDefault="0015617D" w:rsidP="0015617D">
      <w:pPr>
        <w:pStyle w:val="Sraopastraipa"/>
        <w:numPr>
          <w:ilvl w:val="0"/>
          <w:numId w:val="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yra neaiškių kraujodaros sutrikimų;</w:t>
      </w:r>
    </w:p>
    <w:p w:rsidR="0015617D" w:rsidRPr="00DC1E8A" w:rsidRDefault="0015617D" w:rsidP="0015617D">
      <w:pPr>
        <w:pStyle w:val="Sraopastraipa"/>
        <w:numPr>
          <w:ilvl w:val="0"/>
          <w:numId w:val="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yra ar buvo praeityje skrandžio arba dvylikapirštės žarnos opa (pepsinė opa) arba kraujavimas (du ar daugiau atskirų įrodytų išopėjimo ar kraujavimo epizodų);</w:t>
      </w:r>
    </w:p>
    <w:p w:rsidR="0015617D" w:rsidRPr="00DC1E8A" w:rsidRDefault="0015617D" w:rsidP="0015617D">
      <w:pPr>
        <w:pStyle w:val="Sraopastraipa"/>
        <w:numPr>
          <w:ilvl w:val="0"/>
          <w:numId w:val="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 xml:space="preserve">jeigu buvo kraujavimas iš virškinimo trakto ar jo prakiurimas, susijęs su ankstesniu NVNU vartojimu; </w:t>
      </w:r>
    </w:p>
    <w:p w:rsidR="0015617D" w:rsidRPr="00DC1E8A" w:rsidRDefault="0015617D" w:rsidP="0015617D">
      <w:pPr>
        <w:pStyle w:val="Sraopastraipa"/>
        <w:numPr>
          <w:ilvl w:val="0"/>
          <w:numId w:val="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yra kraujavimas į smegenis arba kitoks aktyvus kraujavimas;</w:t>
      </w:r>
    </w:p>
    <w:p w:rsidR="0015617D" w:rsidRPr="00DC1E8A" w:rsidRDefault="0015617D" w:rsidP="0015617D">
      <w:pPr>
        <w:pStyle w:val="Sraopastraipa"/>
        <w:numPr>
          <w:ilvl w:val="0"/>
          <w:numId w:val="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Jūs sergate sunkiu inkstų arba kepenų funkcijos nepakankamumu;</w:t>
      </w:r>
    </w:p>
    <w:p w:rsidR="0015617D" w:rsidRPr="00DC1E8A" w:rsidRDefault="0015617D" w:rsidP="0015617D">
      <w:pPr>
        <w:pStyle w:val="Sraopastraipa"/>
        <w:numPr>
          <w:ilvl w:val="0"/>
          <w:numId w:val="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yra paskutinis nėštumo trimestras;</w:t>
      </w:r>
    </w:p>
    <w:p w:rsidR="0015617D" w:rsidRPr="00DC1E8A" w:rsidRDefault="0015617D" w:rsidP="0015617D">
      <w:pPr>
        <w:pStyle w:val="Sraopastraipa"/>
        <w:numPr>
          <w:ilvl w:val="0"/>
          <w:numId w:val="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Jums nustatytas sunkus širdies nepakankamumas;</w:t>
      </w:r>
    </w:p>
    <w:p w:rsidR="0015617D" w:rsidRPr="00DC1E8A" w:rsidRDefault="0015617D" w:rsidP="0015617D">
      <w:pPr>
        <w:pStyle w:val="Sraopastraipa"/>
        <w:numPr>
          <w:ilvl w:val="0"/>
          <w:numId w:val="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netekus daug skysčių (dėl vėmimo, viduriavimo ar dėl nepakankamo skysčių vartojimo);</w:t>
      </w:r>
    </w:p>
    <w:p w:rsidR="0015617D" w:rsidRPr="00DC1E8A" w:rsidRDefault="0015617D" w:rsidP="0015617D">
      <w:pPr>
        <w:pStyle w:val="Sraopastraipa"/>
        <w:numPr>
          <w:ilvl w:val="0"/>
          <w:numId w:val="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lastRenderedPageBreak/>
        <w:t>jeigu vaiko kūno svoris mažesnis kaip 20 kg arba jaunesnis kaip 6 metų, ši vaisto dozė netinka, nes yra labai didelis veikliosios medžiagos kiekis.</w:t>
      </w:r>
    </w:p>
    <w:p w:rsidR="0015617D" w:rsidRPr="0008294D" w:rsidRDefault="0015617D" w:rsidP="0015617D">
      <w:pPr>
        <w:spacing w:after="0" w:line="240" w:lineRule="auto"/>
        <w:ind w:left="567" w:hanging="567"/>
        <w:rPr>
          <w:rFonts w:ascii="Times New Roman" w:eastAsia="Calibri" w:hAnsi="Times New Roman" w:cs="Times New Roman"/>
          <w:iCs/>
          <w:noProof/>
        </w:rPr>
      </w:pPr>
    </w:p>
    <w:p w:rsidR="0015617D" w:rsidRPr="0008294D" w:rsidRDefault="0015617D" w:rsidP="0015617D">
      <w:pPr>
        <w:keepNext/>
        <w:keepLines/>
        <w:spacing w:before="200" w:after="0" w:line="240" w:lineRule="auto"/>
        <w:outlineLvl w:val="3"/>
        <w:rPr>
          <w:rFonts w:ascii="Times New Roman" w:eastAsiaTheme="majorEastAsia" w:hAnsi="Times New Roman" w:cs="Times New Roman"/>
          <w:b/>
          <w:bCs/>
          <w:iCs/>
        </w:rPr>
      </w:pPr>
      <w:r w:rsidRPr="0008294D">
        <w:rPr>
          <w:rFonts w:ascii="Times New Roman" w:eastAsiaTheme="majorEastAsia" w:hAnsi="Times New Roman" w:cs="Times New Roman"/>
          <w:b/>
          <w:bCs/>
          <w:iCs/>
        </w:rPr>
        <w:t xml:space="preserve">Įspėjimai ir atsargumo priemonės </w:t>
      </w:r>
    </w:p>
    <w:p w:rsidR="0015617D" w:rsidRPr="00DC1E8A" w:rsidRDefault="0015617D" w:rsidP="0015617D">
      <w:pPr>
        <w:pStyle w:val="Sraopastraipa"/>
        <w:numPr>
          <w:ilvl w:val="0"/>
          <w:numId w:val="1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Jūs sergate paveldima kraujodaros liga (pvz., ūmine intermituojančia porfirija);</w:t>
      </w:r>
    </w:p>
    <w:p w:rsidR="0015617D" w:rsidRPr="00DC1E8A" w:rsidRDefault="0015617D" w:rsidP="0015617D">
      <w:pPr>
        <w:pStyle w:val="Sraopastraipa"/>
        <w:numPr>
          <w:ilvl w:val="0"/>
          <w:numId w:val="1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sergate jungiamojo audinio ligomis (sistemine raudonąja vilklige ar mišria jungiamojo audinio liga);</w:t>
      </w:r>
    </w:p>
    <w:p w:rsidR="0015617D" w:rsidRPr="00DC1E8A" w:rsidRDefault="0015617D" w:rsidP="0015617D">
      <w:pPr>
        <w:pStyle w:val="Sraopastraipa"/>
        <w:numPr>
          <w:ilvl w:val="0"/>
          <w:numId w:val="1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sergate virškinimo trakto ligomis ar lėtinėmis uždegiminėmis žarnyno ligomis (opiniu kolitu, Krono (</w:t>
      </w:r>
      <w:r w:rsidRPr="00DC1E8A">
        <w:rPr>
          <w:rFonts w:ascii="Times New Roman" w:eastAsia="Calibri" w:hAnsi="Times New Roman" w:cs="Times New Roman"/>
          <w:i/>
          <w:iCs/>
          <w:noProof/>
        </w:rPr>
        <w:t>Crohn</w:t>
      </w:r>
      <w:r w:rsidRPr="00DC1E8A">
        <w:rPr>
          <w:rFonts w:ascii="Times New Roman" w:eastAsia="Calibri" w:hAnsi="Times New Roman" w:cs="Times New Roman"/>
          <w:iCs/>
          <w:noProof/>
        </w:rPr>
        <w:t>) liga);</w:t>
      </w:r>
    </w:p>
    <w:p w:rsidR="0015617D" w:rsidRPr="00DC1E8A" w:rsidRDefault="0015617D" w:rsidP="0015617D">
      <w:pPr>
        <w:pStyle w:val="Sraopastraipa"/>
        <w:numPr>
          <w:ilvl w:val="0"/>
          <w:numId w:val="1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sutrikusi inkstų ir (arba) kepenų funkcija;</w:t>
      </w:r>
    </w:p>
    <w:p w:rsidR="0015617D" w:rsidRPr="00DC1E8A" w:rsidRDefault="0015617D" w:rsidP="0015617D">
      <w:pPr>
        <w:pStyle w:val="Sraopastraipa"/>
        <w:numPr>
          <w:ilvl w:val="0"/>
          <w:numId w:val="1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netekote daug organizmo skysčių (dehidracija);</w:t>
      </w:r>
    </w:p>
    <w:p w:rsidR="0015617D" w:rsidRPr="00DC1E8A" w:rsidRDefault="0015617D" w:rsidP="0015617D">
      <w:pPr>
        <w:pStyle w:val="Sraopastraipa"/>
        <w:numPr>
          <w:ilvl w:val="0"/>
          <w:numId w:val="1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Jums buvo arba yra padidėjęs kraujospūdis ir nustatytas širdies nepakankamumas;</w:t>
      </w:r>
    </w:p>
    <w:p w:rsidR="0015617D" w:rsidRPr="00DC1E8A" w:rsidRDefault="0015617D" w:rsidP="0015617D">
      <w:pPr>
        <w:pStyle w:val="Sraopastraipa"/>
        <w:numPr>
          <w:ilvl w:val="0"/>
          <w:numId w:val="1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sergate alerginėmis ligomis (pvz.: yra odos reakcijų, sergate astma, šienlige), lėtiniu rinitu, lėtine obstrukcine plaučių liga, nes didesnė padidėjusio jautrumo reakcijų rizika;</w:t>
      </w:r>
    </w:p>
    <w:p w:rsidR="0015617D" w:rsidRPr="00DC1E8A" w:rsidRDefault="0015617D" w:rsidP="0015617D">
      <w:pPr>
        <w:pStyle w:val="Sraopastraipa"/>
        <w:numPr>
          <w:ilvl w:val="0"/>
          <w:numId w:val="1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Jums nustatyti kraujo krešumo sutrikimai;</w:t>
      </w:r>
    </w:p>
    <w:p w:rsidR="0015617D" w:rsidRPr="00DC1E8A" w:rsidRDefault="0015617D" w:rsidP="0015617D">
      <w:pPr>
        <w:pStyle w:val="Sraopastraipa"/>
        <w:numPr>
          <w:ilvl w:val="0"/>
          <w:numId w:val="1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po didelių chirurginių operacijų.</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Nepageidaujamas poveikis gali sumažėti vartojant mažiausią veiksmingą vaisto dozę trumpiausią laiką, būtiną simptomų kontrolei.</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Jeigu Butifen vartojamas ilgai, reikia reguliariai tikrinti Jūsų kepenų ir inkstų funkciją, taip pat kontroliuoti kraujo ląstelių sudėtį.</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Virškinimo trakto saugumas</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reikia vengti vartoti kartu su kitais NVNU, įskaitant COX-2 (ciklooksigenazės-2 selektyviuosius) inhibitorius.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
          <w:iCs/>
          <w:noProof/>
        </w:rPr>
        <w:t>Senyvi pacientai:</w:t>
      </w:r>
      <w:r w:rsidRPr="0008294D">
        <w:rPr>
          <w:rFonts w:ascii="Times New Roman" w:eastAsia="Calibri" w:hAnsi="Times New Roman" w:cs="Times New Roman"/>
          <w:iCs/>
          <w:noProof/>
        </w:rPr>
        <w:t xml:space="preserve"> senyviems pacientams yra didesnis NVNU šalutinio poveikio pavojus, ypač kraujavimas iš virškinimo trakto ir perforacija, kurie gali sukelti mirtį.</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
          <w:iCs/>
          <w:noProof/>
        </w:rPr>
        <w:t>Virškinimo trakto kraujavimas, išopėjimas ar prakiurimas:</w:t>
      </w:r>
      <w:r w:rsidRPr="0008294D">
        <w:rPr>
          <w:rFonts w:ascii="Times New Roman" w:eastAsia="Calibri" w:hAnsi="Times New Roman" w:cs="Times New Roman"/>
          <w:iCs/>
          <w:noProof/>
        </w:rPr>
        <w:t xml:space="preserve"> virškinimo trakto kraujavimas, išopėjimas</w:t>
      </w:r>
      <w:r w:rsidRPr="0008294D">
        <w:rPr>
          <w:rFonts w:ascii="Times New Roman" w:eastAsia="Calibri" w:hAnsi="Times New Roman" w:cs="Times New Roman"/>
          <w:i/>
          <w:iCs/>
          <w:noProof/>
        </w:rPr>
        <w:t xml:space="preserve"> </w:t>
      </w:r>
      <w:r w:rsidRPr="0008294D">
        <w:rPr>
          <w:rFonts w:ascii="Times New Roman" w:eastAsia="Calibri" w:hAnsi="Times New Roman" w:cs="Times New Roman"/>
          <w:iCs/>
          <w:noProof/>
        </w:rPr>
        <w:t>ar prakiurimas, kurie gali būti mirtini, registruojami bet kuriuo metu vartojant visus NVNU su ar be įspėjamaisiais simptomais ar praeityje buvusiais sunkiais virškinimo trakto sutrikimais.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Didinant NVNU dozę, jeigu Jums praeityje buvo opa, ypač komplikuota kraujavimu arba prakiurimu, taip pat senyviems žmonėms, kraujavimo iš virškinimo trakto, virškinimo trakto išopėjimo ar prakiurimo rizika didesnė. Pasitarkite su gydytoju, ar nereikia paskirti Jums vartoti skrandžio gleivinę apsaugančių preparatų (pvz.: mizoprostolio arba protonų siurblio inhibitorių). Tai taip pat aktualu, jeigu Jūs vartojate nedideles acetilsalicilo rūgšties (ASR) dozes arba kitas veikliąsias medžiagas, galinčias padidinti virškinimo trakto pažeidimų riziką.</w:t>
      </w:r>
    </w:p>
    <w:p w:rsidR="0015617D" w:rsidRPr="0008294D" w:rsidRDefault="0015617D" w:rsidP="0015617D">
      <w:pPr>
        <w:spacing w:after="0" w:line="240" w:lineRule="auto"/>
        <w:rPr>
          <w:rFonts w:ascii="Times New Roman" w:eastAsia="Calibri" w:hAnsi="Times New Roman" w:cs="Times New Roman"/>
          <w:iCs/>
          <w:noProof/>
          <w:highlight w:val="green"/>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Jeigu Jums praeityje pasireiškė šalutinis poveikis virškinimo traktui, ypač jeigu esate senyvo amžiaus, pasakykite apie neįprastus simptomus  (ypač kraujavimą iš virškinimo trakto) gydytojui, ypač pradėjus vartoti vaisto. Reikia laikytis atsargumo, jeigu Jūs kartu vartojate vaistus, galinčius padidinti išopėjimo ar kraujavimo riziką, pvz.: geriamuosius kortikosteroidus, tokius antikoaguliantus kaip varfarinas, selektyviuosius serotonino reabsorbcijos inhibitorius  arba antitrombocitines medžiagas, pvz., acetilsalicilo rūgštį.</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Jeigu atsiranda skrandžio kraujavimas ar išopėjimas, nutraukite Butifen vartojimą ir pasitarkite su gydytoju. </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Poveikis širdies bei galvos smegenų kraujagyslėms</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Tokie uždegimą slopinantys ir skausmą malšinantys vaistai kaip ibuprofenas gali būti susiję su nedideliu miokardo infarkto arba insulto rizikos padidėjimu, ypač vartojant didelę dozę ilgą laikotarpį. Neviršykite rekomenduojamos dozės arba vartojimo trukmės.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lastRenderedPageBreak/>
        <w:t>Prieš pradedant vartoti Butifen pasitarkite su gydytoju arba vaistininku, jeigu:</w:t>
      </w:r>
    </w:p>
    <w:p w:rsidR="0015617D" w:rsidRPr="0008294D" w:rsidRDefault="0015617D" w:rsidP="0015617D">
      <w:pPr>
        <w:numPr>
          <w:ilvl w:val="0"/>
          <w:numId w:val="1"/>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sergate širdies liga, įskaitant širdies nepakankamumą, krūtinės anginą (krūtinės skausmas), jeigu persirgote miokardo infarktu, Jums atlikta širdies vainikinių kraujagyslių šuntavimo operacija, sergate periferinių arterijų liga (sutrikusi kraujotaka kojose arba pėdose dėl susiaurėjusių ar užsikimšusių arterijų) arba sirgote kokiu nors insultu (minimaliu arba laikinu išeminiu kraujotakos sutrikimu);</w:t>
      </w:r>
    </w:p>
    <w:p w:rsidR="0015617D" w:rsidRPr="0008294D" w:rsidRDefault="0015617D" w:rsidP="0015617D">
      <w:pPr>
        <w:numPr>
          <w:ilvl w:val="0"/>
          <w:numId w:val="1"/>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yra padidėjęs kraujospūdis, sergate cukriniu diabetu, padidėjęs cholesterolio kiekis kraujyje, giminėje yra sergančių širdies liga arba insultu, jeigu rūkote.</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Odos reakcijos</w:t>
      </w:r>
    </w:p>
    <w:p w:rsidR="0015617D" w:rsidRPr="0008294D" w:rsidRDefault="0015617D" w:rsidP="0015617D">
      <w:pPr>
        <w:spacing w:after="0" w:line="240" w:lineRule="auto"/>
        <w:rPr>
          <w:rFonts w:ascii="Times New Roman" w:eastAsia="Calibri" w:hAnsi="Times New Roman" w:cs="Times New Roman"/>
          <w:iCs/>
          <w:noProof/>
        </w:rPr>
      </w:pPr>
      <w:r w:rsidRPr="00952A4C">
        <w:rPr>
          <w:rFonts w:ascii="Times New Roman" w:eastAsia="Calibri" w:hAnsi="Times New Roman" w:cs="Times New Roman"/>
          <w:iCs/>
          <w:noProof/>
        </w:rPr>
        <w:t xml:space="preserve">Vartojant </w:t>
      </w:r>
      <w:r>
        <w:rPr>
          <w:rFonts w:ascii="Times New Roman" w:eastAsia="Calibri" w:hAnsi="Times New Roman" w:cs="Times New Roman"/>
          <w:iCs/>
          <w:noProof/>
        </w:rPr>
        <w:t>Butifen</w:t>
      </w:r>
      <w:r w:rsidRPr="00952A4C">
        <w:rPr>
          <w:rFonts w:ascii="Times New Roman" w:eastAsia="Calibri" w:hAnsi="Times New Roman" w:cs="Times New Roman"/>
          <w:iCs/>
          <w:noProof/>
        </w:rPr>
        <w:t xml:space="preserve"> buvo pranešta apie sunkias odos reakcijas. Jei jums pasireikštų odos išbėrimas, gleivinių pažeidimas, pūslės ar kitų alergijos požymių, </w:t>
      </w:r>
      <w:r>
        <w:rPr>
          <w:rFonts w:ascii="Times New Roman" w:eastAsia="Calibri" w:hAnsi="Times New Roman" w:cs="Times New Roman"/>
          <w:iCs/>
          <w:noProof/>
        </w:rPr>
        <w:t>Butifen</w:t>
      </w:r>
      <w:r w:rsidRPr="00952A4C">
        <w:rPr>
          <w:rFonts w:ascii="Times New Roman" w:eastAsia="Calibri" w:hAnsi="Times New Roman" w:cs="Times New Roman"/>
          <w:iCs/>
          <w:noProof/>
        </w:rPr>
        <w:t xml:space="preserve"> vartojimą nutraukite ir nedelsdami kreipkitės medicininės pagalbos, nes tai gali būti pirmieji labai sunkios odos reakcijos požymiai. Žr. 4 skyrių.</w:t>
      </w:r>
    </w:p>
    <w:p w:rsidR="0015617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Sergant vėjaraupiais reikia vengti vartoti Butifen.</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Kitos pastabos</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Labai retai pasitaikė sunkių padidėjusio jautrumo reakcijų (pvz., anafilaksinis šokas). Atsiradus pirmiesiems padidėjusio jautrumo reakcijos požymiams pavartojus Butifen, gydymą reikia nedelsiant nutraukti. Patyręs personalas, atsižvelgdamas į simptomus, turi pradėti taikyti reikiamas gydymo priemones.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Vartokite pakankamą skysčių kiekį, ypač tuomet, kai karščiuojate, viduriuojate ar vemiate.</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 </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Ilgai vartojant bet kurio tipo skausmą slopinančių vaistų galvos skausmui malšinti, jis gali tapti intensyvesniu. Jeigu pasireiškia tokia būklė arba kyla įtarimas dėl jos, reikia kreiptis į gydytoją ir nutraukti vaistų vartojimą. Galvos skausmo dėl pernelyg gausaus vaistų vartojimo diagnozę reikia įtarti tiems pacientams, kuriems dažnai arba kasdien skauda galvą, nežiūrint (arba dėl) nuolatinio vaistų vartojimo.</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Dažniausiai pripratimas vartoti skausmą malšinančias medžiagas, ypač derinant kelias skausmą slopinančias medžiagas, gali sukelti pastovų inkstų pažeidimą, sukelti inkstų nepakankamumo pavojų (analgetikų sukelta nefropatija).</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NVNU gali slėpti infekcinės ligos ir karščiavimo simptomus.</w:t>
      </w:r>
    </w:p>
    <w:p w:rsidR="0015617D" w:rsidRPr="0008294D" w:rsidRDefault="0015617D" w:rsidP="0015617D">
      <w:pPr>
        <w:spacing w:after="0" w:line="220" w:lineRule="exact"/>
        <w:rPr>
          <w:rFonts w:ascii="Times New Roman" w:eastAsia="Calibri" w:hAnsi="Times New Roman" w:cs="Times New Roman"/>
          <w:b/>
          <w:bCs/>
        </w:rPr>
      </w:pPr>
    </w:p>
    <w:p w:rsidR="0015617D" w:rsidRPr="0008294D" w:rsidRDefault="0015617D" w:rsidP="0015617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Vaikai ir paaugliai</w:t>
      </w:r>
    </w:p>
    <w:p w:rsidR="0015617D" w:rsidRPr="0008294D" w:rsidRDefault="0015617D" w:rsidP="0015617D">
      <w:pPr>
        <w:keepNext/>
        <w:keepLines/>
        <w:tabs>
          <w:tab w:val="left" w:pos="567"/>
        </w:tabs>
        <w:spacing w:after="0" w:line="240" w:lineRule="auto"/>
        <w:ind w:left="567" w:hanging="567"/>
        <w:outlineLvl w:val="2"/>
        <w:rPr>
          <w:rFonts w:ascii="Times New Roman" w:eastAsia="Calibri" w:hAnsi="Times New Roman" w:cs="Times New Roman"/>
          <w:kern w:val="28"/>
        </w:rPr>
      </w:pPr>
      <w:proofErr w:type="spellStart"/>
      <w:r w:rsidRPr="0008294D">
        <w:rPr>
          <w:rFonts w:ascii="Times New Roman" w:eastAsia="Calibri" w:hAnsi="Times New Roman" w:cs="Times New Roman"/>
          <w:kern w:val="28"/>
        </w:rPr>
        <w:t>Dehidratuotiems</w:t>
      </w:r>
      <w:proofErr w:type="spellEnd"/>
      <w:r w:rsidRPr="0008294D">
        <w:rPr>
          <w:rFonts w:ascii="Times New Roman" w:eastAsia="Calibri" w:hAnsi="Times New Roman" w:cs="Times New Roman"/>
          <w:kern w:val="28"/>
        </w:rPr>
        <w:t xml:space="preserve"> (skysčių netekusiems) vaikams ir paaugliams yra inkstų funkcijos sutrikimo rizika.</w:t>
      </w:r>
    </w:p>
    <w:p w:rsidR="0015617D" w:rsidRPr="0008294D" w:rsidRDefault="0015617D" w:rsidP="0015617D">
      <w:pPr>
        <w:spacing w:after="0" w:line="220" w:lineRule="exact"/>
        <w:rPr>
          <w:rFonts w:ascii="Times New Roman" w:eastAsia="Calibri" w:hAnsi="Times New Roman" w:cs="Times New Roman"/>
          <w:b/>
          <w:bCs/>
        </w:rPr>
      </w:pPr>
    </w:p>
    <w:p w:rsidR="0015617D" w:rsidRPr="0008294D" w:rsidRDefault="0015617D" w:rsidP="0015617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 xml:space="preserve">Kiti vaistai ir </w:t>
      </w:r>
      <w:proofErr w:type="spellStart"/>
      <w:r w:rsidRPr="0008294D">
        <w:rPr>
          <w:rFonts w:ascii="Times New Roman" w:eastAsia="Calibri" w:hAnsi="Times New Roman" w:cs="Times New Roman"/>
          <w:b/>
          <w:bCs/>
        </w:rPr>
        <w:t>Butifen</w:t>
      </w:r>
      <w:proofErr w:type="spellEnd"/>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Jeigu vartojate ar neseniai vartojote kitų vaistų arba dėl to nesate tikri, apie tai pasakykite gydytojui arba vaistininkui.</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Vartojant kartu su Butifen, jis gali turėti įtakos kitų vaistų poveikiui arba kiti vaistai gali įtakoti jo veikimą. Pavyzdžiui:</w:t>
      </w:r>
    </w:p>
    <w:p w:rsidR="0015617D" w:rsidRPr="0008294D" w:rsidRDefault="0015617D" w:rsidP="0015617D">
      <w:pPr>
        <w:numPr>
          <w:ilvl w:val="0"/>
          <w:numId w:val="2"/>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vaistai, vadinami antikoaguliantais (skystina kraują arba apsaugo nuo krešulių susidarymo – aspirinas [acetilsalicilo rūgštis], varfarinas, tiklopidinas);</w:t>
      </w:r>
    </w:p>
    <w:p w:rsidR="0015617D" w:rsidRPr="0008294D" w:rsidRDefault="0015617D" w:rsidP="0015617D">
      <w:pPr>
        <w:numPr>
          <w:ilvl w:val="0"/>
          <w:numId w:val="2"/>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padidėjusį kraujospūdį mažinantys vaistai (AKF inhibitoriai, pvz., kaptoprilis, beta-adrenoreceptorių blokatorius atenololis, angiotenzino II receptorių blokatorius losartanas).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Kai kurie kiti vaistai taip pat gali turėti įtakos Butifen poveikiui arba jis gali įtakoti šio vaisto veikimą. Prieš pradedant vartoti Butifen su kitais vaistais visuomet reikia pasitarti su gydytoju arba vaistininku.</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Sustiprėja poveikis arba šalutinis poveikis:</w:t>
      </w:r>
    </w:p>
    <w:p w:rsidR="0015617D" w:rsidRPr="00DC1E8A" w:rsidRDefault="0015617D" w:rsidP="0015617D">
      <w:pPr>
        <w:pStyle w:val="Sraopastraipa"/>
        <w:numPr>
          <w:ilvl w:val="0"/>
          <w:numId w:val="11"/>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digoksino (vaisto, vartojamo širdies silpnumui  ir ritmo sutrikimams gydyti), fenitoino (vaisto epilepsijai ar neuropatiniam skausmui gydyti), ličio (vaisto kai kurioms psichikos ligoms gydyti). Gali padidėti šių medžiagų koncentracija kraujyje. Kai vaisto vartojama teisingai (</w:t>
      </w:r>
      <w:r w:rsidRPr="00DC1E8A">
        <w:rPr>
          <w:rFonts w:ascii="Times New Roman" w:eastAsia="Calibri" w:hAnsi="Times New Roman" w:cs="Times New Roman"/>
          <w:iCs/>
          <w:noProof/>
          <w:color w:val="222222"/>
        </w:rPr>
        <w:t xml:space="preserve">ne daugiau kaip 3 dienos migreniniams galvos skausmams ar peršalimo atveju vaikams ir paaugliams ir 4 dienos </w:t>
      </w:r>
      <w:r w:rsidRPr="00DC1E8A">
        <w:rPr>
          <w:rFonts w:ascii="Times New Roman" w:eastAsia="Calibri" w:hAnsi="Times New Roman" w:cs="Times New Roman"/>
          <w:iCs/>
          <w:noProof/>
          <w:color w:val="222222"/>
        </w:rPr>
        <w:lastRenderedPageBreak/>
        <w:t>skausmo gydymui suaugusiems)</w:t>
      </w:r>
      <w:r w:rsidRPr="00DC1E8A">
        <w:rPr>
          <w:rFonts w:ascii="Times New Roman" w:eastAsia="Calibri" w:hAnsi="Times New Roman" w:cs="Times New Roman"/>
          <w:iCs/>
          <w:noProof/>
        </w:rPr>
        <w:t>, šių medžiagų koncentracijos kraujo plazmoje kontroliuoti nebūtina;</w:t>
      </w:r>
    </w:p>
    <w:p w:rsidR="0015617D" w:rsidRPr="00DC1E8A" w:rsidRDefault="0015617D" w:rsidP="0015617D">
      <w:pPr>
        <w:pStyle w:val="Sraopastraipa"/>
        <w:numPr>
          <w:ilvl w:val="0"/>
          <w:numId w:val="11"/>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kraujo krešumą mažinančių vaistų, pvz., varfarino;</w:t>
      </w:r>
    </w:p>
    <w:p w:rsidR="0015617D" w:rsidRPr="00DC1E8A" w:rsidRDefault="0015617D" w:rsidP="0015617D">
      <w:pPr>
        <w:pStyle w:val="Sraopastraipa"/>
        <w:numPr>
          <w:ilvl w:val="0"/>
          <w:numId w:val="11"/>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metotreksato (vaisto vėžiui arba kai kurioms reumatinėms ligoms gydyti): sustiprėja šalutinis poveikis;</w:t>
      </w:r>
    </w:p>
    <w:p w:rsidR="0015617D" w:rsidRPr="00DC1E8A" w:rsidRDefault="0015617D" w:rsidP="0015617D">
      <w:pPr>
        <w:pStyle w:val="Sraopastraipa"/>
        <w:numPr>
          <w:ilvl w:val="0"/>
          <w:numId w:val="11"/>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acetilsalicilo rūgšties ir kitų uždegimo sukeltą skausmą malšinančių vaistų (NVNU), taip pat gliukokortikoidų (vaistų, kurių sudėtyje yra kortizono arba kortizonui panašių medžiagų): padidėja opų ir kraujavimo iš virškinimo trakto rizika;</w:t>
      </w:r>
    </w:p>
    <w:p w:rsidR="0015617D" w:rsidRPr="00DC1E8A" w:rsidRDefault="0015617D" w:rsidP="0015617D">
      <w:pPr>
        <w:pStyle w:val="Sraopastraipa"/>
        <w:numPr>
          <w:ilvl w:val="0"/>
          <w:numId w:val="11"/>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antitrombocitiniai vaistai ir selektyvieji serotonino reabsorbcijos inhibitoriai (vaistai depresijai gydyti): padidėja opų ir kraujavimo iš virškinimo trakto rizika.</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Susilpnėja poveikis:</w:t>
      </w:r>
    </w:p>
    <w:p w:rsidR="0015617D" w:rsidRPr="00DC1E8A" w:rsidRDefault="0015617D" w:rsidP="0015617D">
      <w:pPr>
        <w:pStyle w:val="Sraopastraipa"/>
        <w:numPr>
          <w:ilvl w:val="0"/>
          <w:numId w:val="12"/>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vaistų, kurie didina skysčių išsiskyrimą iš organizmo (diuretikų) gydant padidėjusį kraujospūdį (hipertenziją): jie gali padidinti inkstų pažeidimo riziką;</w:t>
      </w:r>
    </w:p>
    <w:p w:rsidR="0015617D" w:rsidRPr="00DC1E8A" w:rsidRDefault="0015617D" w:rsidP="0015617D">
      <w:pPr>
        <w:pStyle w:val="Sraopastraipa"/>
        <w:numPr>
          <w:ilvl w:val="0"/>
          <w:numId w:val="12"/>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AKF inhibitorių (vaistų, vartojamų širdies nepakankamumui ir padidėjusiam kraujospūdžiui gydyti): padidėja inkstų funkcijos sutrikimų rizika;</w:t>
      </w:r>
    </w:p>
    <w:p w:rsidR="0015617D" w:rsidRPr="00DC1E8A" w:rsidRDefault="0015617D" w:rsidP="0015617D">
      <w:pPr>
        <w:pStyle w:val="Sraopastraipa"/>
        <w:numPr>
          <w:ilvl w:val="0"/>
          <w:numId w:val="12"/>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mažų acetilsalicilo rūgšties dozių: gali būti sutrikęs mažų acetilsalicilo rūgšties dozių poveikis kraujo krešumui turintiems įtakos trombocitams.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Kita galima sąveika:</w:t>
      </w:r>
    </w:p>
    <w:p w:rsidR="0015617D" w:rsidRPr="00DC1E8A" w:rsidRDefault="0015617D" w:rsidP="0015617D">
      <w:pPr>
        <w:pStyle w:val="Sraopastraipa"/>
        <w:numPr>
          <w:ilvl w:val="0"/>
          <w:numId w:val="1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zidovudinas (vaistas AIDS gydymui): padidėja kraujo išsiliejimo į sąnario ertmę, hematomų rizika ŽIV teigiamiems hemofilija sergantiems asmenims;</w:t>
      </w:r>
    </w:p>
    <w:p w:rsidR="0015617D" w:rsidRPr="00DC1E8A" w:rsidRDefault="0015617D" w:rsidP="0015617D">
      <w:pPr>
        <w:pStyle w:val="Sraopastraipa"/>
        <w:numPr>
          <w:ilvl w:val="0"/>
          <w:numId w:val="1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ciklosporinas (imuninę sistemą slopinantis vaistas): galimas inkstų pažeidimas;</w:t>
      </w:r>
    </w:p>
    <w:p w:rsidR="0015617D" w:rsidRPr="00DC1E8A" w:rsidRDefault="0015617D" w:rsidP="0015617D">
      <w:pPr>
        <w:pStyle w:val="Sraopastraipa"/>
        <w:numPr>
          <w:ilvl w:val="0"/>
          <w:numId w:val="1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takrolimuzas: vartojant kartu gali būti inkstų pažeidimas, perdozavimas;</w:t>
      </w:r>
    </w:p>
    <w:p w:rsidR="0015617D" w:rsidRPr="00DC1E8A" w:rsidRDefault="0015617D" w:rsidP="0015617D">
      <w:pPr>
        <w:pStyle w:val="Sraopastraipa"/>
        <w:numPr>
          <w:ilvl w:val="0"/>
          <w:numId w:val="1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sulfonilšlapalo preparatai (geriamieji vaistai nuo cukrinio diabeto): nors tokia sąveika su ibuprofenu, skirtingai negu kitų NVNU, iki šiol nepasitaikė, vartojant tokį derinį dėl atsargumo rekomenduojama kontroliuoti gliukozės kiekį Jūsų kraujyje;</w:t>
      </w:r>
    </w:p>
    <w:p w:rsidR="0015617D" w:rsidRPr="00DC1E8A" w:rsidRDefault="0015617D" w:rsidP="0015617D">
      <w:pPr>
        <w:pStyle w:val="Sraopastraipa"/>
        <w:numPr>
          <w:ilvl w:val="0"/>
          <w:numId w:val="1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probenecidas ir sulfinpirazonas (vaistai podagrai gydyti): gali sulėtėti ibuprofeno išsiskyrimas;</w:t>
      </w:r>
    </w:p>
    <w:p w:rsidR="0015617D" w:rsidRPr="00DC1E8A" w:rsidRDefault="0015617D" w:rsidP="0015617D">
      <w:pPr>
        <w:pStyle w:val="Sraopastraipa"/>
        <w:numPr>
          <w:ilvl w:val="0"/>
          <w:numId w:val="1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kalį sulaikantys diuretikai (kai kurie šlapimo išsiskyrimą skatinantys vaistai): gali padidėti kalio koncentracija kraujo plazmoje;</w:t>
      </w:r>
    </w:p>
    <w:p w:rsidR="0015617D" w:rsidRPr="00DC1E8A" w:rsidRDefault="0015617D" w:rsidP="0015617D">
      <w:pPr>
        <w:pStyle w:val="Sraopastraipa"/>
        <w:numPr>
          <w:ilvl w:val="0"/>
          <w:numId w:val="1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chinolonų grupės antibiotikai: gali padidėti traukulių rizika;</w:t>
      </w:r>
    </w:p>
    <w:p w:rsidR="0015617D" w:rsidRPr="00DC1E8A" w:rsidRDefault="0015617D" w:rsidP="0015617D">
      <w:pPr>
        <w:pStyle w:val="Sraopastraipa"/>
        <w:numPr>
          <w:ilvl w:val="0"/>
          <w:numId w:val="1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CYP2C9 inhibitoriai: ibuprofeno vartojant kartu su CYP2C9 inhibitoriais gali padidėti ibuprofeno (CYP2C9 substrato) ekspozicija. Atliekant tyrimą su vorikonazoliu ir flukonazoliu (CYP2C9 inhibitoriai) nustatyta apie 80-100 % padidėjusi S(+)ibuprofeno ekspozicija. Dėl ibuprofeno dozės sumažinimo reikia spręsti kuomet kartu vartojami stiprūs CYP2C9 inhibitoriai, ypač vartojant didelę ibuprofeno dozę kartu su vorikonazoliu arba flukonazoliu.</w:t>
      </w:r>
    </w:p>
    <w:p w:rsidR="0015617D" w:rsidRPr="0008294D" w:rsidRDefault="0015617D" w:rsidP="0015617D">
      <w:pPr>
        <w:spacing w:after="0" w:line="220" w:lineRule="exact"/>
        <w:rPr>
          <w:rFonts w:ascii="Times New Roman" w:eastAsia="Calibri" w:hAnsi="Times New Roman" w:cs="Times New Roman"/>
          <w:b/>
          <w:bCs/>
        </w:rPr>
      </w:pPr>
    </w:p>
    <w:p w:rsidR="0015617D" w:rsidRPr="0008294D" w:rsidRDefault="0015617D" w:rsidP="0015617D">
      <w:pPr>
        <w:spacing w:after="0" w:line="220" w:lineRule="exact"/>
        <w:rPr>
          <w:rFonts w:ascii="Times New Roman" w:eastAsia="Calibri" w:hAnsi="Times New Roman" w:cs="Times New Roman"/>
          <w:b/>
          <w:bCs/>
        </w:rPr>
      </w:pPr>
      <w:proofErr w:type="spellStart"/>
      <w:r w:rsidRPr="0008294D">
        <w:rPr>
          <w:rFonts w:ascii="Times New Roman" w:eastAsia="Calibri" w:hAnsi="Times New Roman" w:cs="Times New Roman"/>
          <w:b/>
          <w:bCs/>
        </w:rPr>
        <w:t>Butifen</w:t>
      </w:r>
      <w:proofErr w:type="spellEnd"/>
      <w:r w:rsidRPr="0008294D">
        <w:rPr>
          <w:rFonts w:ascii="Times New Roman" w:eastAsia="Calibri" w:hAnsi="Times New Roman" w:cs="Times New Roman"/>
          <w:b/>
          <w:bCs/>
        </w:rPr>
        <w:t xml:space="preserve"> vartojimas su alkoholiu</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Kartu su Butifen nevartokite alkoholio. Kartu su Butifenu vartojant alkoholį gali poasireikšti šalutinis poveikis, susijęs su virškinimo sistemos ir centrinės nervų sistemos funkcijomis.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Nėštumas, žindymo laikotarpis ir vaisingumas</w:t>
      </w:r>
    </w:p>
    <w:p w:rsidR="0015617D" w:rsidRPr="0008294D" w:rsidRDefault="0015617D" w:rsidP="0015617D">
      <w:pPr>
        <w:numPr>
          <w:ilvl w:val="12"/>
          <w:numId w:val="0"/>
        </w:numPr>
        <w:spacing w:after="0" w:line="240" w:lineRule="auto"/>
        <w:rPr>
          <w:rFonts w:ascii="Times New Roman" w:eastAsia="Times New Roman" w:hAnsi="Times New Roman" w:cs="Times New Roman"/>
          <w:snapToGrid w:val="0"/>
          <w:szCs w:val="24"/>
        </w:rPr>
      </w:pPr>
      <w:r w:rsidRPr="0008294D">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Nėštumas</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 vartodamos Butifen pastojote, informuokite apie tai gydytoją. Tik pasitarus su gydytoju pirmuosius 6 nėštumo mėnesius galima vartoti ibuprofeną. Paskutiniuosius tris nėštumo mėnesius Butifen vartoti negalima, nes padidėja motinos ir vaiko komplikacijų rizika.</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Žindymas</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Nedidelis ibuprofeno ir jo skilimo produktų kiekis  patenka į žindyvės pieną. Kadangi neigiamo poveikio vaikui iki šiol nepasitaikė, vartojant vaisto trumpai žindymo dažniausiai nutraukti nereikia.</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Vaisingumas</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lastRenderedPageBreak/>
        <w:t>Šis vaistinis preparatas priklauso vaistų grupei (nesteroidiniams vaistams nuo uždegimo), kurie gali trikdyti moters vaisingumą. Šis poveikis pranyksta nustojus vaisto vartoti.</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Vairavimas ir mechanizmų valdymas</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Kadangi vartojant Butifen didelę dozę gali būti tokių nepageidaujamo poveikio požymių kaip nuovargis, svaigulys, todėl pavieniais atvejais gali sutrikti gebėjimas vairuoti ir valdyti mechanizmus. Tai labiau būdinga, jei kartu vartojamas alkoholis.</w:t>
      </w:r>
    </w:p>
    <w:p w:rsidR="0015617D" w:rsidRDefault="0015617D" w:rsidP="0015617D">
      <w:pPr>
        <w:spacing w:after="0" w:line="240" w:lineRule="auto"/>
        <w:rPr>
          <w:rFonts w:ascii="Times New Roman" w:eastAsia="Calibri" w:hAnsi="Times New Roman" w:cs="Times New Roman"/>
          <w:iCs/>
          <w:noProof/>
        </w:rPr>
      </w:pPr>
    </w:p>
    <w:p w:rsidR="0015617D" w:rsidRPr="004D79B5" w:rsidRDefault="0015617D" w:rsidP="0015617D">
      <w:pPr>
        <w:spacing w:after="0" w:line="240" w:lineRule="auto"/>
        <w:rPr>
          <w:rFonts w:ascii="Times New Roman" w:eastAsia="Calibri" w:hAnsi="Times New Roman" w:cs="Times New Roman"/>
        </w:rPr>
      </w:pPr>
      <w:proofErr w:type="spellStart"/>
      <w:r>
        <w:rPr>
          <w:rFonts w:ascii="Times New Roman" w:eastAsia="Calibri" w:hAnsi="Times New Roman" w:cs="Times New Roman"/>
          <w:b/>
        </w:rPr>
        <w:t>Butifen</w:t>
      </w:r>
      <w:proofErr w:type="spellEnd"/>
      <w:r w:rsidRPr="004D79B5">
        <w:rPr>
          <w:rFonts w:ascii="Times New Roman" w:eastAsia="Calibri" w:hAnsi="Times New Roman" w:cs="Times New Roman"/>
          <w:b/>
        </w:rPr>
        <w:t xml:space="preserve"> sudėtyje yra natrio</w:t>
      </w:r>
    </w:p>
    <w:p w:rsidR="0015617D" w:rsidRPr="004D79B5" w:rsidRDefault="0015617D" w:rsidP="0015617D">
      <w:pPr>
        <w:numPr>
          <w:ilvl w:val="12"/>
          <w:numId w:val="0"/>
        </w:numPr>
        <w:spacing w:after="0" w:line="240" w:lineRule="auto"/>
        <w:ind w:right="-2"/>
        <w:rPr>
          <w:rFonts w:ascii="Times New Roman" w:eastAsia="Calibri" w:hAnsi="Times New Roman" w:cs="Times New Roman"/>
          <w:color w:val="000000"/>
        </w:rPr>
      </w:pPr>
      <w:r w:rsidRPr="004D79B5">
        <w:rPr>
          <w:rFonts w:ascii="Times New Roman" w:eastAsia="Calibri" w:hAnsi="Times New Roman" w:cs="Times New Roman"/>
          <w:color w:val="000000"/>
        </w:rPr>
        <w:t>Šio vaisto tabletėje yra mažiau kaip 1 </w:t>
      </w:r>
      <w:proofErr w:type="spellStart"/>
      <w:r w:rsidRPr="004D79B5">
        <w:rPr>
          <w:rFonts w:ascii="Times New Roman" w:eastAsia="Calibri" w:hAnsi="Times New Roman" w:cs="Times New Roman"/>
          <w:color w:val="000000"/>
        </w:rPr>
        <w:t>mmol</w:t>
      </w:r>
      <w:proofErr w:type="spellEnd"/>
      <w:r w:rsidRPr="004D79B5">
        <w:rPr>
          <w:rFonts w:ascii="Times New Roman" w:eastAsia="Calibri" w:hAnsi="Times New Roman" w:cs="Times New Roman"/>
          <w:color w:val="000000"/>
        </w:rPr>
        <w:t xml:space="preserve"> (23 mg) natrio, t.</w:t>
      </w:r>
      <w:r>
        <w:rPr>
          <w:rFonts w:ascii="Times New Roman" w:eastAsia="Calibri" w:hAnsi="Times New Roman" w:cs="Times New Roman"/>
          <w:color w:val="000000"/>
        </w:rPr>
        <w:t xml:space="preserve"> </w:t>
      </w:r>
      <w:r w:rsidRPr="004D79B5">
        <w:rPr>
          <w:rFonts w:ascii="Times New Roman" w:eastAsia="Calibri" w:hAnsi="Times New Roman" w:cs="Times New Roman"/>
          <w:color w:val="000000"/>
        </w:rPr>
        <w:t>y. jis beveik neturi reikšmės.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keepNext/>
        <w:tabs>
          <w:tab w:val="left" w:pos="567"/>
        </w:tabs>
        <w:spacing w:after="0" w:line="240" w:lineRule="auto"/>
        <w:ind w:left="567" w:hanging="567"/>
        <w:outlineLvl w:val="1"/>
        <w:rPr>
          <w:rFonts w:ascii="Times New Roman" w:eastAsia="Calibri" w:hAnsi="Times New Roman" w:cs="Times New Roman"/>
          <w:b/>
        </w:rPr>
      </w:pPr>
      <w:bookmarkStart w:id="6" w:name="_Toc129243141"/>
      <w:bookmarkStart w:id="7" w:name="_Toc129243266"/>
      <w:r w:rsidRPr="0008294D">
        <w:rPr>
          <w:rFonts w:ascii="Times New Roman" w:eastAsia="Calibri" w:hAnsi="Times New Roman" w:cs="Times New Roman"/>
          <w:b/>
        </w:rPr>
        <w:t>3.</w:t>
      </w:r>
      <w:r w:rsidRPr="0008294D">
        <w:rPr>
          <w:rFonts w:ascii="Times New Roman" w:eastAsia="Calibri" w:hAnsi="Times New Roman" w:cs="Times New Roman"/>
          <w:b/>
        </w:rPr>
        <w:tab/>
        <w:t xml:space="preserve">Kaip vartoti </w:t>
      </w:r>
      <w:bookmarkEnd w:id="6"/>
      <w:bookmarkEnd w:id="7"/>
      <w:proofErr w:type="spellStart"/>
      <w:r w:rsidRPr="0008294D">
        <w:rPr>
          <w:rFonts w:ascii="Times New Roman" w:eastAsia="Calibri" w:hAnsi="Times New Roman" w:cs="Times New Roman"/>
          <w:b/>
        </w:rPr>
        <w:t>Butifen</w:t>
      </w:r>
      <w:proofErr w:type="spellEnd"/>
    </w:p>
    <w:p w:rsidR="0015617D" w:rsidRPr="0008294D" w:rsidRDefault="0015617D" w:rsidP="0015617D">
      <w:pPr>
        <w:keepNext/>
        <w:tabs>
          <w:tab w:val="left" w:pos="567"/>
        </w:tabs>
        <w:spacing w:after="0" w:line="240" w:lineRule="auto"/>
        <w:ind w:left="567" w:hanging="567"/>
        <w:outlineLvl w:val="1"/>
        <w:rPr>
          <w:rFonts w:ascii="Times New Roman" w:eastAsia="Calibri" w:hAnsi="Times New Roman" w:cs="Times New Roman"/>
          <w:b/>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Vartokite šį vaistą tiksliai kaip nurodė gydytojas arba vaistininkas. Jeigu abejojate, kreipkitės į gydytoją arba vaistininką.</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Paprastai vaistas dozuojamas tokiu būdu:</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Suaugusieji</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Pradinė dozė: gerkite 200 mg arba 400 mg ibuprofeno (</w:t>
      </w:r>
      <w:r w:rsidRPr="0008294D">
        <w:rPr>
          <w:rFonts w:ascii="Times New Roman" w:eastAsia="Calibri" w:hAnsi="Times New Roman" w:cs="Times New Roman"/>
          <w:iCs/>
          <w:noProof/>
          <w:snapToGrid w:val="0"/>
          <w:lang w:eastAsia="de-DE"/>
        </w:rPr>
        <w:t xml:space="preserve">½ </w:t>
      </w:r>
      <w:r w:rsidRPr="0008294D">
        <w:rPr>
          <w:rFonts w:ascii="Times New Roman" w:eastAsia="Calibri" w:hAnsi="Times New Roman" w:cs="Times New Roman"/>
          <w:iCs/>
          <w:noProof/>
        </w:rPr>
        <w:t>arba 1 Butifen tabletė). Prireikus galima vartoti papildomą 200 mg arba 400 mg dozę (</w:t>
      </w:r>
      <w:r w:rsidRPr="0008294D">
        <w:rPr>
          <w:rFonts w:ascii="Times New Roman" w:eastAsia="Calibri" w:hAnsi="Times New Roman" w:cs="Times New Roman"/>
          <w:iCs/>
          <w:noProof/>
          <w:snapToGrid w:val="0"/>
          <w:lang w:eastAsia="de-DE"/>
        </w:rPr>
        <w:t xml:space="preserve">½ </w:t>
      </w:r>
      <w:r w:rsidRPr="0008294D">
        <w:rPr>
          <w:rFonts w:ascii="Times New Roman" w:eastAsia="Calibri" w:hAnsi="Times New Roman" w:cs="Times New Roman"/>
          <w:iCs/>
          <w:noProof/>
        </w:rPr>
        <w:t>arba 1 Butifen tabletė), bet negalima viršyti didžiausios 1200 mg ibuprofeno (3 tablečių) paros dozės. Tarp vaisto vartojimo intervalo turi praeiti mažiausiai 6 valandos.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
          <w:iCs/>
          <w:noProof/>
          <w:u w:val="single"/>
        </w:rPr>
      </w:pPr>
      <w:r w:rsidRPr="0008294D">
        <w:rPr>
          <w:rFonts w:ascii="Times New Roman" w:eastAsia="Calibri" w:hAnsi="Times New Roman" w:cs="Times New Roman"/>
          <w:i/>
          <w:iCs/>
          <w:noProof/>
          <w:u w:val="single"/>
        </w:rPr>
        <w:t>Vaikai, kurių kūno svoris didesnis kaip 20 kg (6 metų ir vyresni) ir paaugliai</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galima vartoti tik tiems vaikams, kurių svoris ne mažesnis kaip 20 kg. Maksimali paros dozė yra 30 mg/kg kūno svorio, kurią reikia padalyti į 3 arba 4 dalis. Tarp vaisto vartojimo turi praeiti mažiausiai 6 valandos. Negalima viršyti rekomenduojamos maksimalios paros dozės.</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 </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vaikams ir paaugliams rekomenduojamos tokios dozės:</w:t>
      </w:r>
    </w:p>
    <w:p w:rsidR="0015617D" w:rsidRPr="0008294D" w:rsidRDefault="0015617D" w:rsidP="0015617D">
      <w:pPr>
        <w:spacing w:after="0" w:line="240" w:lineRule="auto"/>
        <w:rPr>
          <w:rFonts w:ascii="Times New Roman" w:eastAsia="Calibri" w:hAnsi="Times New Roman" w:cs="Times New Roman"/>
          <w:iCs/>
          <w:noProof/>
        </w:rPr>
      </w:pPr>
    </w:p>
    <w:tbl>
      <w:tblPr>
        <w:tblW w:w="84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0"/>
        <w:gridCol w:w="2880"/>
        <w:gridCol w:w="3240"/>
      </w:tblGrid>
      <w:tr w:rsidR="0015617D" w:rsidRPr="0008294D" w:rsidTr="006C3E75">
        <w:tc>
          <w:tcPr>
            <w:tcW w:w="2340" w:type="dxa"/>
            <w:shd w:val="pct12" w:color="auto" w:fill="auto"/>
          </w:tcPr>
          <w:p w:rsidR="0015617D" w:rsidRPr="0008294D" w:rsidRDefault="0015617D" w:rsidP="006C3E75">
            <w:pPr>
              <w:keepNext/>
              <w:keepLines/>
              <w:spacing w:after="0" w:line="240" w:lineRule="atLeast"/>
              <w:ind w:left="-70" w:right="-70"/>
              <w:jc w:val="center"/>
              <w:rPr>
                <w:rFonts w:ascii="Times New Roman" w:eastAsia="Calibri" w:hAnsi="Times New Roman" w:cs="Times New Roman"/>
                <w:b/>
              </w:rPr>
            </w:pPr>
            <w:r w:rsidRPr="0008294D">
              <w:rPr>
                <w:rFonts w:ascii="Times New Roman" w:eastAsia="Calibri" w:hAnsi="Times New Roman" w:cs="Times New Roman"/>
                <w:b/>
              </w:rPr>
              <w:t>Kūno svoris</w:t>
            </w:r>
          </w:p>
          <w:p w:rsidR="0015617D" w:rsidRPr="0008294D" w:rsidRDefault="0015617D" w:rsidP="006C3E75">
            <w:pPr>
              <w:keepNext/>
              <w:keepLines/>
              <w:spacing w:after="0" w:line="240" w:lineRule="atLeast"/>
              <w:ind w:left="-70" w:right="-70"/>
              <w:jc w:val="center"/>
              <w:rPr>
                <w:rFonts w:ascii="Times New Roman" w:eastAsia="Calibri" w:hAnsi="Times New Roman" w:cs="Times New Roman"/>
                <w:b/>
              </w:rPr>
            </w:pPr>
          </w:p>
        </w:tc>
        <w:tc>
          <w:tcPr>
            <w:tcW w:w="2880" w:type="dxa"/>
            <w:shd w:val="pct12" w:color="auto" w:fill="auto"/>
          </w:tcPr>
          <w:p w:rsidR="0015617D" w:rsidRPr="0008294D" w:rsidRDefault="0015617D" w:rsidP="006C3E75">
            <w:pPr>
              <w:keepNext/>
              <w:keepLines/>
              <w:spacing w:after="0" w:line="240" w:lineRule="atLeast"/>
              <w:jc w:val="center"/>
              <w:rPr>
                <w:rFonts w:ascii="Times New Roman" w:eastAsia="Calibri" w:hAnsi="Times New Roman" w:cs="Times New Roman"/>
                <w:b/>
              </w:rPr>
            </w:pPr>
            <w:r w:rsidRPr="0008294D">
              <w:rPr>
                <w:rFonts w:ascii="Times New Roman" w:eastAsia="Calibri" w:hAnsi="Times New Roman" w:cs="Times New Roman"/>
                <w:b/>
              </w:rPr>
              <w:t>Vienkartinė dozė</w:t>
            </w:r>
          </w:p>
          <w:p w:rsidR="0015617D" w:rsidRPr="0008294D" w:rsidRDefault="0015617D" w:rsidP="006C3E75">
            <w:pPr>
              <w:keepNext/>
              <w:keepLines/>
              <w:spacing w:after="0" w:line="240" w:lineRule="atLeast"/>
              <w:jc w:val="center"/>
              <w:rPr>
                <w:rFonts w:ascii="Times New Roman" w:eastAsia="Calibri" w:hAnsi="Times New Roman" w:cs="Times New Roman"/>
                <w:b/>
              </w:rPr>
            </w:pPr>
          </w:p>
        </w:tc>
        <w:tc>
          <w:tcPr>
            <w:tcW w:w="3240" w:type="dxa"/>
            <w:shd w:val="pct12" w:color="auto" w:fill="auto"/>
          </w:tcPr>
          <w:p w:rsidR="0015617D" w:rsidRPr="0008294D" w:rsidRDefault="0015617D" w:rsidP="006C3E75">
            <w:pPr>
              <w:keepNext/>
              <w:keepLines/>
              <w:spacing w:after="0" w:line="240" w:lineRule="atLeast"/>
              <w:jc w:val="center"/>
              <w:rPr>
                <w:rFonts w:ascii="Times New Roman" w:eastAsia="Calibri" w:hAnsi="Times New Roman" w:cs="Times New Roman"/>
                <w:b/>
              </w:rPr>
            </w:pPr>
            <w:r w:rsidRPr="0008294D">
              <w:rPr>
                <w:rFonts w:ascii="Times New Roman" w:eastAsia="Calibri" w:hAnsi="Times New Roman" w:cs="Times New Roman"/>
                <w:b/>
              </w:rPr>
              <w:t>Maksimali paros dozė</w:t>
            </w:r>
          </w:p>
          <w:p w:rsidR="0015617D" w:rsidRPr="0008294D" w:rsidRDefault="0015617D" w:rsidP="006C3E75">
            <w:pPr>
              <w:keepNext/>
              <w:keepLines/>
              <w:spacing w:after="0" w:line="240" w:lineRule="atLeast"/>
              <w:jc w:val="center"/>
              <w:rPr>
                <w:rFonts w:ascii="Times New Roman" w:eastAsia="Calibri" w:hAnsi="Times New Roman" w:cs="Times New Roman"/>
                <w:b/>
              </w:rPr>
            </w:pPr>
          </w:p>
        </w:tc>
      </w:tr>
      <w:tr w:rsidR="0015617D" w:rsidRPr="0008294D" w:rsidTr="006C3E75">
        <w:tc>
          <w:tcPr>
            <w:tcW w:w="2340" w:type="dxa"/>
          </w:tcPr>
          <w:p w:rsidR="0015617D" w:rsidRPr="0008294D" w:rsidRDefault="0015617D" w:rsidP="006C3E75">
            <w:pPr>
              <w:keepNext/>
              <w:keepLines/>
              <w:spacing w:after="0" w:line="240" w:lineRule="atLeast"/>
              <w:ind w:left="-70" w:right="-70"/>
              <w:jc w:val="center"/>
              <w:rPr>
                <w:rFonts w:ascii="Times New Roman" w:eastAsia="Calibri" w:hAnsi="Times New Roman" w:cs="Times New Roman"/>
              </w:rPr>
            </w:pPr>
            <w:r w:rsidRPr="0008294D">
              <w:rPr>
                <w:rFonts w:ascii="Times New Roman" w:eastAsia="Calibri" w:hAnsi="Times New Roman" w:cs="Times New Roman"/>
              </w:rPr>
              <w:t>20-29 kg</w:t>
            </w:r>
          </w:p>
        </w:tc>
        <w:tc>
          <w:tcPr>
            <w:tcW w:w="2880" w:type="dxa"/>
          </w:tcPr>
          <w:p w:rsidR="0015617D" w:rsidRPr="0008294D" w:rsidRDefault="0015617D" w:rsidP="006C3E75">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200 mg (</w:t>
            </w:r>
            <w:r w:rsidRPr="0008294D">
              <w:rPr>
                <w:rFonts w:ascii="Times New Roman" w:eastAsia="Calibri" w:hAnsi="Times New Roman" w:cs="Times New Roman"/>
                <w:snapToGrid w:val="0"/>
                <w:lang w:eastAsia="de-DE"/>
              </w:rPr>
              <w:t xml:space="preserve">½ </w:t>
            </w:r>
            <w:r w:rsidRPr="0008294D">
              <w:rPr>
                <w:rFonts w:ascii="Times New Roman" w:eastAsia="Calibri" w:hAnsi="Times New Roman" w:cs="Times New Roman"/>
              </w:rPr>
              <w:t>tabletės)</w:t>
            </w:r>
          </w:p>
        </w:tc>
        <w:tc>
          <w:tcPr>
            <w:tcW w:w="3240" w:type="dxa"/>
          </w:tcPr>
          <w:p w:rsidR="0015617D" w:rsidRPr="0008294D" w:rsidRDefault="0015617D" w:rsidP="006C3E75">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600 mg (1</w:t>
            </w:r>
            <w:r w:rsidRPr="0008294D">
              <w:rPr>
                <w:rFonts w:ascii="Times New Roman" w:eastAsia="Calibri" w:hAnsi="Times New Roman" w:cs="Times New Roman"/>
                <w:snapToGrid w:val="0"/>
                <w:lang w:eastAsia="de-DE"/>
              </w:rPr>
              <w:t xml:space="preserve">½ </w:t>
            </w:r>
            <w:r w:rsidRPr="0008294D">
              <w:rPr>
                <w:rFonts w:ascii="Times New Roman" w:eastAsia="Calibri" w:hAnsi="Times New Roman" w:cs="Times New Roman"/>
              </w:rPr>
              <w:t>tabletės)</w:t>
            </w:r>
          </w:p>
        </w:tc>
      </w:tr>
      <w:tr w:rsidR="0015617D" w:rsidRPr="0008294D" w:rsidTr="006C3E75">
        <w:tc>
          <w:tcPr>
            <w:tcW w:w="2340" w:type="dxa"/>
          </w:tcPr>
          <w:p w:rsidR="0015617D" w:rsidRPr="0008294D" w:rsidRDefault="0015617D" w:rsidP="006C3E75">
            <w:pPr>
              <w:keepNext/>
              <w:keepLines/>
              <w:spacing w:after="0" w:line="240" w:lineRule="atLeast"/>
              <w:ind w:left="-70" w:right="-70"/>
              <w:jc w:val="center"/>
              <w:rPr>
                <w:rFonts w:ascii="Times New Roman" w:eastAsia="Calibri" w:hAnsi="Times New Roman" w:cs="Times New Roman"/>
              </w:rPr>
            </w:pPr>
            <w:r w:rsidRPr="0008294D">
              <w:rPr>
                <w:rFonts w:ascii="Times New Roman" w:eastAsia="Calibri" w:hAnsi="Times New Roman" w:cs="Times New Roman"/>
              </w:rPr>
              <w:t>30-39 kg</w:t>
            </w:r>
          </w:p>
        </w:tc>
        <w:tc>
          <w:tcPr>
            <w:tcW w:w="2880" w:type="dxa"/>
          </w:tcPr>
          <w:p w:rsidR="0015617D" w:rsidRPr="0008294D" w:rsidRDefault="0015617D" w:rsidP="006C3E75">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200 mg (</w:t>
            </w:r>
            <w:r w:rsidRPr="0008294D">
              <w:rPr>
                <w:rFonts w:ascii="Times New Roman" w:eastAsia="Calibri" w:hAnsi="Times New Roman" w:cs="Times New Roman"/>
                <w:snapToGrid w:val="0"/>
                <w:lang w:eastAsia="de-DE"/>
              </w:rPr>
              <w:t xml:space="preserve">½ </w:t>
            </w:r>
            <w:r w:rsidRPr="0008294D">
              <w:rPr>
                <w:rFonts w:ascii="Times New Roman" w:eastAsia="Calibri" w:hAnsi="Times New Roman" w:cs="Times New Roman"/>
              </w:rPr>
              <w:t>tabletės)</w:t>
            </w:r>
          </w:p>
        </w:tc>
        <w:tc>
          <w:tcPr>
            <w:tcW w:w="3240" w:type="dxa"/>
          </w:tcPr>
          <w:p w:rsidR="0015617D" w:rsidRPr="0008294D" w:rsidRDefault="0015617D" w:rsidP="006C3E75">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800 mg (2 tabletės)</w:t>
            </w:r>
          </w:p>
        </w:tc>
      </w:tr>
      <w:tr w:rsidR="0015617D" w:rsidRPr="0008294D" w:rsidTr="006C3E75">
        <w:tc>
          <w:tcPr>
            <w:tcW w:w="2340" w:type="dxa"/>
          </w:tcPr>
          <w:p w:rsidR="0015617D" w:rsidRPr="0008294D" w:rsidRDefault="0015617D" w:rsidP="006C3E75">
            <w:pPr>
              <w:keepNext/>
              <w:keepLines/>
              <w:spacing w:after="0" w:line="240" w:lineRule="atLeast"/>
              <w:ind w:left="-70" w:right="-70"/>
              <w:jc w:val="center"/>
              <w:rPr>
                <w:rFonts w:ascii="Times New Roman" w:eastAsia="Calibri" w:hAnsi="Times New Roman" w:cs="Times New Roman"/>
              </w:rPr>
            </w:pPr>
            <w:r w:rsidRPr="0008294D">
              <w:rPr>
                <w:rFonts w:ascii="Times New Roman" w:eastAsia="Calibri" w:hAnsi="Times New Roman" w:cs="Times New Roman"/>
              </w:rPr>
              <w:t xml:space="preserve">40 kg ir daugiau </w:t>
            </w:r>
          </w:p>
        </w:tc>
        <w:tc>
          <w:tcPr>
            <w:tcW w:w="2880" w:type="dxa"/>
          </w:tcPr>
          <w:p w:rsidR="0015617D" w:rsidRPr="0008294D" w:rsidRDefault="0015617D" w:rsidP="006C3E75">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200-400 mg (</w:t>
            </w:r>
            <w:r w:rsidRPr="0008294D">
              <w:rPr>
                <w:rFonts w:ascii="Times New Roman" w:eastAsia="Calibri" w:hAnsi="Times New Roman" w:cs="Times New Roman"/>
                <w:snapToGrid w:val="0"/>
                <w:lang w:eastAsia="de-DE"/>
              </w:rPr>
              <w:t xml:space="preserve">½ </w:t>
            </w:r>
            <w:r w:rsidRPr="0008294D">
              <w:rPr>
                <w:rFonts w:ascii="Times New Roman" w:eastAsia="Calibri" w:hAnsi="Times New Roman" w:cs="Times New Roman"/>
              </w:rPr>
              <w:t>-1 tabletė)</w:t>
            </w:r>
          </w:p>
        </w:tc>
        <w:tc>
          <w:tcPr>
            <w:tcW w:w="3240" w:type="dxa"/>
          </w:tcPr>
          <w:p w:rsidR="0015617D" w:rsidRPr="0008294D" w:rsidRDefault="0015617D" w:rsidP="006C3E75">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1200 mg (3 tabletės)</w:t>
            </w:r>
          </w:p>
        </w:tc>
      </w:tr>
    </w:tbl>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Jeigu Jums atrodo, kad Butifen veikia pernelyg stipriai ar silpnai, pasitarkite su gydytoju.</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tabs>
          <w:tab w:val="left" w:pos="567"/>
        </w:tabs>
        <w:spacing w:after="0" w:line="240" w:lineRule="auto"/>
        <w:rPr>
          <w:rFonts w:ascii="Times New Roman" w:eastAsia="Calibri" w:hAnsi="Times New Roman" w:cs="Times New Roman"/>
          <w:b/>
        </w:rPr>
      </w:pPr>
      <w:r w:rsidRPr="0008294D">
        <w:rPr>
          <w:rFonts w:ascii="Times New Roman" w:eastAsia="Calibri" w:hAnsi="Times New Roman" w:cs="Times New Roman"/>
          <w:b/>
        </w:rPr>
        <w:t>Vartojimo būdas</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Vartoti per burną.</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Plėvele dengtas tabletes reikia nuryti užsigeriant vandeniu.</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Pacientams, kurių skrandis jautrus, rekomenduojama Butifen gerti valgymo metu.</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Tabletę galima padalyti į dvi lygias dozes.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Gydymo trukmė</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Vaistas vartojamas tik trumpalaikiam gydymui.</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Nepageidaujamas poveikis gali sumažėti vartojant mažiausią veiksmingą vaisto dozę trumpiausią laiką būtiną simptomų kontrolei. Jeigu suaugusiems Butifen reikia vartoti ilgiau kaip 3 dienas esant galvos skausmui dėl migrenos arba karščiavimui, bei ilgiau kaip 4 dienas skausmui malšinti, arba jeigu ligos simptomai stiprėja, pasitarkite su gydytoju. Jeigu vaikams ir paaugliams vaisto reikia vartoti ilgiau kaip 3 dienas arba ligos simtomai pablogėja, būtina kreiptis į gydytoją.</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lastRenderedPageBreak/>
        <w:t xml:space="preserve">Pavartojus per didelę </w:t>
      </w:r>
      <w:proofErr w:type="spellStart"/>
      <w:r w:rsidRPr="0008294D">
        <w:rPr>
          <w:rFonts w:ascii="Times New Roman" w:eastAsia="Calibri" w:hAnsi="Times New Roman" w:cs="Times New Roman"/>
          <w:b/>
          <w:bCs/>
        </w:rPr>
        <w:t>Butifen</w:t>
      </w:r>
      <w:proofErr w:type="spellEnd"/>
      <w:r w:rsidRPr="0008294D">
        <w:rPr>
          <w:rFonts w:ascii="Times New Roman" w:eastAsia="Calibri" w:hAnsi="Times New Roman" w:cs="Times New Roman"/>
          <w:b/>
          <w:bCs/>
        </w:rPr>
        <w:t xml:space="preserve"> dozę</w:t>
      </w:r>
    </w:p>
    <w:p w:rsidR="0015617D" w:rsidRPr="0008294D" w:rsidRDefault="0015617D" w:rsidP="0015617D">
      <w:pPr>
        <w:spacing w:after="0" w:line="240" w:lineRule="auto"/>
        <w:rPr>
          <w:rFonts w:ascii="Times New Roman" w:eastAsia="Calibri" w:hAnsi="Times New Roman" w:cs="Times New Roman"/>
          <w:iCs/>
          <w:noProof/>
        </w:rPr>
      </w:pPr>
      <w:r w:rsidRPr="00F23CE9">
        <w:rPr>
          <w:rFonts w:ascii="Times New Roman" w:eastAsia="Times New Roman" w:hAnsi="Times New Roman" w:cs="Times New Roman"/>
          <w:iCs/>
          <w:noProof/>
        </w:rPr>
        <w:t xml:space="preserve">Jei suvartojote per didelę </w:t>
      </w:r>
      <w:r>
        <w:rPr>
          <w:rFonts w:ascii="Times New Roman" w:eastAsia="Times New Roman" w:hAnsi="Times New Roman" w:cs="Times New Roman"/>
          <w:iCs/>
          <w:noProof/>
        </w:rPr>
        <w:t>Butifen</w:t>
      </w:r>
      <w:r w:rsidRPr="00F23CE9">
        <w:rPr>
          <w:rFonts w:ascii="Times New Roman" w:eastAsia="Times New Roman" w:hAnsi="Times New Roman" w:cs="Times New Roman"/>
          <w:iCs/>
          <w:noProof/>
        </w:rPr>
        <w:t xml:space="preserve"> dozę arba jei vaikai atsitiktinai suvartojo šio vaisto, visada kreipkitės į gydytoją ar artimiausią ligoninę, kad jie išreikštų savo nuomonę dėl galimos rizikos ir patartų, kokių veiksmų reikia imtis.</w:t>
      </w:r>
    </w:p>
    <w:p w:rsidR="0015617D" w:rsidRPr="0008294D" w:rsidRDefault="0015617D" w:rsidP="0015617D">
      <w:pPr>
        <w:spacing w:after="0" w:line="240" w:lineRule="auto"/>
        <w:rPr>
          <w:rFonts w:ascii="Times New Roman" w:eastAsia="Calibri" w:hAnsi="Times New Roman" w:cs="Times New Roman"/>
          <w:iCs/>
          <w:noProof/>
        </w:rPr>
      </w:pPr>
      <w:r w:rsidRPr="00F23CE9">
        <w:rPr>
          <w:rFonts w:ascii="Times New Roman" w:eastAsia="Times New Roman" w:hAnsi="Times New Roman" w:cs="Times New Roman"/>
          <w:iCs/>
          <w:noProof/>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rsidR="0015617D" w:rsidRPr="0008294D" w:rsidRDefault="0015617D" w:rsidP="0015617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 xml:space="preserve">Pamiršus pavartoti </w:t>
      </w:r>
      <w:proofErr w:type="spellStart"/>
      <w:r w:rsidRPr="0008294D">
        <w:rPr>
          <w:rFonts w:ascii="Times New Roman" w:eastAsia="Calibri" w:hAnsi="Times New Roman" w:cs="Times New Roman"/>
          <w:b/>
          <w:bCs/>
        </w:rPr>
        <w:t>Butifen</w:t>
      </w:r>
      <w:proofErr w:type="spellEnd"/>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Negalima vartoti dvigubos dozės norint kompensuoti praleistą tabletę.</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Jeigu kiltų daugiau klausimų dėl šio vaisto vartojimo, kreipkitės į gydytoją arba vaistininką.</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keepNext/>
        <w:tabs>
          <w:tab w:val="left" w:pos="567"/>
        </w:tabs>
        <w:spacing w:after="0" w:line="240" w:lineRule="auto"/>
        <w:ind w:left="567" w:hanging="567"/>
        <w:outlineLvl w:val="1"/>
        <w:rPr>
          <w:rFonts w:ascii="Times New Roman" w:eastAsia="Calibri" w:hAnsi="Times New Roman" w:cs="Times New Roman"/>
          <w:b/>
        </w:rPr>
      </w:pPr>
      <w:bookmarkStart w:id="8" w:name="_Toc129243142"/>
      <w:bookmarkStart w:id="9" w:name="_Toc129243267"/>
      <w:r w:rsidRPr="0008294D">
        <w:rPr>
          <w:rFonts w:ascii="Times New Roman" w:eastAsia="Calibri" w:hAnsi="Times New Roman" w:cs="Times New Roman"/>
          <w:b/>
        </w:rPr>
        <w:t>4.</w:t>
      </w:r>
      <w:r w:rsidRPr="0008294D">
        <w:rPr>
          <w:rFonts w:ascii="Times New Roman" w:eastAsia="Calibri" w:hAnsi="Times New Roman" w:cs="Times New Roman"/>
          <w:b/>
        </w:rPr>
        <w:tab/>
        <w:t>Galimas šalutinis poveikis</w:t>
      </w:r>
      <w:bookmarkEnd w:id="8"/>
      <w:bookmarkEnd w:id="9"/>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Šis vaistas, kaip ir visi kiti vaistai, gali sukelti šalutinį poveikį, nors jis pasireiškia ne visiems žmonėms.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Žemiau nurodomas nepageidaujamas poveikis apima visus žinomus nepageidaujamo poveikio reiškinius, susijusius su gydymu ibuprofenu, įskaitant pasireiškusius didele doze ilgą laiką gydant reumatu sergančius pacientus. Duomenų dažnis, išskyrus labai retus atvejus, pagrįstas rezultatais vartojant  ibuprofeną trumpai maksimalia geriamąja 1200 mg paros doze ir maksimalia 1800 mg paros doze, vartojama žvakučių forma.</w:t>
      </w:r>
    </w:p>
    <w:p w:rsidR="0015617D" w:rsidRPr="0008294D" w:rsidRDefault="0015617D" w:rsidP="0015617D">
      <w:pPr>
        <w:spacing w:after="0" w:line="240" w:lineRule="auto"/>
        <w:rPr>
          <w:rFonts w:ascii="Times New Roman" w:eastAsia="Calibri" w:hAnsi="Times New Roman" w:cs="Times New Roman"/>
          <w:iCs/>
          <w:noProof/>
        </w:rPr>
      </w:pPr>
    </w:p>
    <w:p w:rsidR="0015617D" w:rsidRPr="00DC1E8A" w:rsidRDefault="0015617D" w:rsidP="0015617D">
      <w:pPr>
        <w:spacing w:after="0" w:line="240" w:lineRule="auto"/>
        <w:rPr>
          <w:rFonts w:ascii="Times New Roman" w:eastAsia="Calibri" w:hAnsi="Times New Roman" w:cs="Times New Roman"/>
          <w:b/>
          <w:iCs/>
          <w:noProof/>
        </w:rPr>
      </w:pPr>
      <w:r w:rsidRPr="00DC1E8A">
        <w:rPr>
          <w:rFonts w:ascii="Times New Roman" w:eastAsia="Calibri" w:hAnsi="Times New Roman" w:cs="Times New Roman"/>
          <w:b/>
          <w:iCs/>
          <w:noProof/>
        </w:rPr>
        <w:t>Galimas šalutinis poveikis</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Žemiau išvardytą nepageidaujamą poveikį reikia vertinti taip: jis labiausiai susijęs su doze bei yra individualus kiekvienam pacientui.</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Dažniausiai stebėtas nepageidaujamas poveikis susijęs su virškinimo traktu.</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Gali būti pepsinės opos, prakiurimas arba kraujavimas iš virškinimo trakto, kartais sukeliantis mirtį, ypač senyviems pacientams (žr. 2 skyrių „Įspėjimai ir atsargumo priemonės“).</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Vartojant vaisto pasitaikė pykinimas, vėmimas, viduriavimas, meteorizmas, vidurių užkietėjimas, virškinimo sutrikimas, pilvo skausmas, juodos spalvos išmatos, vėmimas su krauju, opinis stomatitas (burnos gleivinės uždegimas su opomis), žarnų ligų opinio kolito ir Krono (</w:t>
      </w:r>
      <w:r w:rsidRPr="0008294D">
        <w:rPr>
          <w:rFonts w:ascii="Times New Roman" w:eastAsia="Calibri" w:hAnsi="Times New Roman" w:cs="Times New Roman"/>
          <w:i/>
          <w:iCs/>
          <w:noProof/>
        </w:rPr>
        <w:t>Crohn</w:t>
      </w:r>
      <w:r w:rsidRPr="0008294D">
        <w:rPr>
          <w:rFonts w:ascii="Times New Roman" w:eastAsia="Calibri" w:hAnsi="Times New Roman" w:cs="Times New Roman"/>
          <w:iCs/>
          <w:noProof/>
        </w:rPr>
        <w:t>) ligos paūmėjimas (žr. 2 skyrių „Įspėjimai ir atsargumo priemonės“).</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Rečiau pasitaikė skrandžio gleivinės uždegimas (gastritas).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Tokių vaistų kaip Butifen vartojimas gali būti susijęs su nedideliu  miokardo infarkto ar insulto rizikos padidėjimu.</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Dažnas šalutinis poveikis (gali pasireikšti ne daugiau kaip 1 iš 10 žmonių)</w:t>
      </w:r>
    </w:p>
    <w:p w:rsidR="0015617D" w:rsidRPr="00DC1E8A" w:rsidRDefault="0015617D" w:rsidP="0015617D">
      <w:pPr>
        <w:pStyle w:val="Sraopastraipa"/>
        <w:numPr>
          <w:ilvl w:val="0"/>
          <w:numId w:val="7"/>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Virškinimo trakto sutrikimai: deginimo pojūtis už krūtinkaulio, pilvo skausmas, pykinimas, vėmimas, meteorizmas, viduriavimas, vidurių užkietėjimas, nesmarkus kraujavimas iš virškinimo trakto, kuris išimtiniais atvejais gali sukelti anemiją.</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Nedažnas šalutinis poveikis (gali pasireikšti ne daugiau kaip 1 iš 100 žmonių)</w:t>
      </w:r>
    </w:p>
    <w:p w:rsidR="0015617D" w:rsidRPr="00DC1E8A" w:rsidRDefault="0015617D" w:rsidP="0015617D">
      <w:pPr>
        <w:pStyle w:val="Sraopastraipa"/>
        <w:numPr>
          <w:ilvl w:val="0"/>
          <w:numId w:val="6"/>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Tokie centrinės nervų sistemos sutrikimai kaip galvos skausmas, svaigulys, nemiga, sujaudinimas, dirglumas arba nuovargis.</w:t>
      </w:r>
    </w:p>
    <w:p w:rsidR="0015617D" w:rsidRPr="00DC1E8A" w:rsidRDefault="0015617D" w:rsidP="0015617D">
      <w:pPr>
        <w:pStyle w:val="Sraopastraipa"/>
        <w:numPr>
          <w:ilvl w:val="0"/>
          <w:numId w:val="6"/>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Padidėjusio jautrumo reakcijos, pasireiškiančios bėrimu ir niežuliu bei astmos priepuolis (galimai su staigiu kraujospūdžio sumažėjimu).</w:t>
      </w:r>
    </w:p>
    <w:p w:rsidR="0015617D" w:rsidRPr="00DC1E8A" w:rsidRDefault="0015617D" w:rsidP="0015617D">
      <w:pPr>
        <w:pStyle w:val="Sraopastraipa"/>
        <w:numPr>
          <w:ilvl w:val="0"/>
          <w:numId w:val="6"/>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 xml:space="preserve">Regėjimo sutrikimai. </w:t>
      </w:r>
    </w:p>
    <w:p w:rsidR="0015617D" w:rsidRPr="00DC1E8A" w:rsidRDefault="0015617D" w:rsidP="0015617D">
      <w:pPr>
        <w:pStyle w:val="Sraopastraipa"/>
        <w:numPr>
          <w:ilvl w:val="0"/>
          <w:numId w:val="6"/>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Skrandžio arba dvylikapirštės žarnos opa, kartais galinti sukelti kraujavimą ir prakiurimą.</w:t>
      </w:r>
    </w:p>
    <w:p w:rsidR="0015617D" w:rsidRPr="00DC1E8A" w:rsidRDefault="0015617D" w:rsidP="0015617D">
      <w:pPr>
        <w:pStyle w:val="Sraopastraipa"/>
        <w:numPr>
          <w:ilvl w:val="0"/>
          <w:numId w:val="6"/>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Burnos gleivinės uždegimas su opomis (opinis stomatitas), paūmėjęs opinis kolitas ir Krono (</w:t>
      </w:r>
      <w:r w:rsidRPr="00DC1E8A">
        <w:rPr>
          <w:rFonts w:ascii="Times New Roman" w:eastAsia="Calibri" w:hAnsi="Times New Roman" w:cs="Times New Roman"/>
          <w:i/>
          <w:iCs/>
          <w:noProof/>
        </w:rPr>
        <w:t>Crohn</w:t>
      </w:r>
      <w:r w:rsidRPr="00DC1E8A">
        <w:rPr>
          <w:rFonts w:ascii="Times New Roman" w:eastAsia="Calibri" w:hAnsi="Times New Roman" w:cs="Times New Roman"/>
          <w:iCs/>
          <w:noProof/>
        </w:rPr>
        <w:t>) liga, gastritas.</w:t>
      </w:r>
    </w:p>
    <w:p w:rsidR="0015617D" w:rsidRPr="00DC1E8A" w:rsidRDefault="0015617D" w:rsidP="0015617D">
      <w:pPr>
        <w:pStyle w:val="Sraopastraipa"/>
        <w:numPr>
          <w:ilvl w:val="0"/>
          <w:numId w:val="6"/>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Įvairaus pobūdžio bėrimas.</w:t>
      </w:r>
    </w:p>
    <w:p w:rsidR="0015617D" w:rsidRPr="0008294D" w:rsidRDefault="0015617D" w:rsidP="0015617D">
      <w:pPr>
        <w:spacing w:after="0" w:line="240" w:lineRule="auto"/>
        <w:rPr>
          <w:rFonts w:ascii="Times New Roman" w:eastAsia="Calibri" w:hAnsi="Times New Roman" w:cs="Times New Roman"/>
          <w:iCs/>
          <w:noProof/>
        </w:rPr>
      </w:pPr>
    </w:p>
    <w:p w:rsidR="0015617D" w:rsidRPr="00DC1E8A" w:rsidRDefault="0015617D" w:rsidP="0015617D">
      <w:pPr>
        <w:spacing w:after="0" w:line="240" w:lineRule="auto"/>
        <w:rPr>
          <w:rFonts w:ascii="Times New Roman" w:eastAsia="Calibri" w:hAnsi="Times New Roman" w:cs="Times New Roman"/>
          <w:iCs/>
          <w:noProof/>
          <w:u w:val="single"/>
        </w:rPr>
      </w:pPr>
      <w:r w:rsidRPr="00DC1E8A">
        <w:rPr>
          <w:rFonts w:ascii="Times New Roman" w:eastAsia="Calibri" w:hAnsi="Times New Roman" w:cs="Times New Roman"/>
          <w:iCs/>
          <w:noProof/>
          <w:u w:val="single"/>
        </w:rPr>
        <w:t>Retas šalutinis poveikis (gali pasireikšti ne daugiau kaip 1 iš 1000 žmonių)</w:t>
      </w:r>
    </w:p>
    <w:p w:rsidR="0015617D" w:rsidRPr="00DC1E8A" w:rsidRDefault="0015617D" w:rsidP="0015617D">
      <w:pPr>
        <w:pStyle w:val="Sraopastraipa"/>
        <w:numPr>
          <w:ilvl w:val="0"/>
          <w:numId w:val="5"/>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 xml:space="preserve">Ūžesys ausyse. </w:t>
      </w:r>
    </w:p>
    <w:p w:rsidR="0015617D" w:rsidRPr="00DC1E8A" w:rsidRDefault="0015617D" w:rsidP="0015617D">
      <w:pPr>
        <w:pStyle w:val="Sraopastraipa"/>
        <w:numPr>
          <w:ilvl w:val="0"/>
          <w:numId w:val="5"/>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Inkstų audinio pažeidimas (papilų (spenelių) nekrozė), ypač vartojant vaisto ilgai.</w:t>
      </w:r>
    </w:p>
    <w:p w:rsidR="0015617D" w:rsidRPr="00DC1E8A" w:rsidRDefault="0015617D" w:rsidP="0015617D">
      <w:pPr>
        <w:pStyle w:val="Sraopastraipa"/>
        <w:numPr>
          <w:ilvl w:val="0"/>
          <w:numId w:val="5"/>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Padidėjusi šlapimo rūgšties koncentracija kraujo plazmoje.</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Labai retas šalutinis poveikis (gali pasireikšti ne daugiau kaip 1 iš 10000 žmonių)</w:t>
      </w:r>
    </w:p>
    <w:p w:rsidR="0015617D" w:rsidRPr="00DC1E8A" w:rsidRDefault="0015617D" w:rsidP="0015617D">
      <w:pPr>
        <w:pStyle w:val="Sraopastraipa"/>
        <w:numPr>
          <w:ilvl w:val="0"/>
          <w:numId w:val="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Sumažėjęs šlapimo kiekis ir skysčio susilaikymas audiniuose (edema);šie požymiai gali rodyti esant inkstų ligą, kartais netgi inkstų nepakankamumą.</w:t>
      </w:r>
    </w:p>
    <w:p w:rsidR="0015617D" w:rsidRPr="00DC1E8A" w:rsidRDefault="0015617D" w:rsidP="0015617D">
      <w:pPr>
        <w:pStyle w:val="Sraopastraipa"/>
        <w:numPr>
          <w:ilvl w:val="0"/>
          <w:numId w:val="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Nefrozinis sindromas (skysčių susilaikymas audiniuose ir didelio kiekio baltymų netekimas su šlapimu), inkstų uždegimas (intersticinis nefritas), kurį gali papildyti ūminis inkstų nepakankamumas.</w:t>
      </w:r>
    </w:p>
    <w:p w:rsidR="0015617D" w:rsidRPr="00DC1E8A" w:rsidRDefault="0015617D" w:rsidP="0015617D">
      <w:pPr>
        <w:pStyle w:val="Sraopastraipa"/>
        <w:numPr>
          <w:ilvl w:val="0"/>
          <w:numId w:val="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 xml:space="preserve">Sutrikusi kepenų veikla, kepenų pažeidimas, ypač vartojant vaisto ilgą laiką, kepenų nepakankamumas, ūminis kepenų uždegimas (hepatitas). </w:t>
      </w:r>
    </w:p>
    <w:p w:rsidR="0015617D" w:rsidRPr="00DC1E8A" w:rsidRDefault="0015617D" w:rsidP="0015617D">
      <w:pPr>
        <w:pStyle w:val="Sraopastraipa"/>
        <w:numPr>
          <w:ilvl w:val="0"/>
          <w:numId w:val="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Sutrikusi kraujodara, agranulocitozė (šių sutrikimų požymiai gali būti karščiavimas ir bloga bendra būklė arba karščiavimas ir vietiniai infekcijos požymiai: gerklės skausmas, burnos ir ryklės skausmas arba šlapinimosi sutrikimai).</w:t>
      </w:r>
    </w:p>
    <w:p w:rsidR="0015617D" w:rsidRPr="00DC1E8A" w:rsidRDefault="0015617D" w:rsidP="0015617D">
      <w:pPr>
        <w:pStyle w:val="Sraopastraipa"/>
        <w:numPr>
          <w:ilvl w:val="0"/>
          <w:numId w:val="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Sunkios odos reakcijos su bėrimu ir pūslių atsisluoksniavimu (Stivenso-Džonsono (</w:t>
      </w:r>
      <w:r w:rsidRPr="00DC1E8A">
        <w:rPr>
          <w:rFonts w:ascii="Times New Roman" w:eastAsia="Calibri" w:hAnsi="Times New Roman" w:cs="Times New Roman"/>
          <w:i/>
          <w:iCs/>
          <w:noProof/>
        </w:rPr>
        <w:t>Stevens-Johnson</w:t>
      </w:r>
      <w:r w:rsidRPr="00DC1E8A">
        <w:rPr>
          <w:rFonts w:ascii="Times New Roman" w:eastAsia="Calibri" w:hAnsi="Times New Roman" w:cs="Times New Roman"/>
          <w:iCs/>
          <w:noProof/>
        </w:rPr>
        <w:t>) sindromas, toksinė epidermio nekrolizė [Lajelio (</w:t>
      </w:r>
      <w:r w:rsidRPr="00DC1E8A">
        <w:rPr>
          <w:rFonts w:ascii="Times New Roman" w:eastAsia="Calibri" w:hAnsi="Times New Roman" w:cs="Times New Roman"/>
          <w:i/>
          <w:iCs/>
          <w:noProof/>
        </w:rPr>
        <w:t>Lyell</w:t>
      </w:r>
      <w:r w:rsidRPr="00DC1E8A">
        <w:rPr>
          <w:rFonts w:ascii="Times New Roman" w:eastAsia="Calibri" w:hAnsi="Times New Roman" w:cs="Times New Roman"/>
          <w:iCs/>
          <w:noProof/>
        </w:rPr>
        <w:t>) sindromas]), išplikimas (alopecija).</w:t>
      </w:r>
    </w:p>
    <w:p w:rsidR="0015617D" w:rsidRPr="00DC1E8A" w:rsidRDefault="0015617D" w:rsidP="0015617D">
      <w:pPr>
        <w:pStyle w:val="Sraopastraipa"/>
        <w:numPr>
          <w:ilvl w:val="0"/>
          <w:numId w:val="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Pavieniais atvejais sunkios odos reakcijos su minkštųjų audinių komplikacijomis gali būti sergant vėjaraupiais.</w:t>
      </w:r>
    </w:p>
    <w:p w:rsidR="0015617D" w:rsidRPr="00DC1E8A" w:rsidRDefault="0015617D" w:rsidP="0015617D">
      <w:pPr>
        <w:pStyle w:val="Sraopastraipa"/>
        <w:numPr>
          <w:ilvl w:val="0"/>
          <w:numId w:val="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Aseptinio meningito simptomai: galvos skausmas, pykinimas, vėmimas, karščiavimas, sprando rigidiškumas, sąmonės pritemimas. Didesnė rizika šiam sutrikimui būdinga pacientams, kurie serga autoimuninėmis ligomis (sistemine raudonąja vilklige, mišria jungiamojo audinio liga).</w:t>
      </w:r>
    </w:p>
    <w:p w:rsidR="0015617D" w:rsidRPr="00DC1E8A" w:rsidRDefault="0015617D" w:rsidP="0015617D">
      <w:pPr>
        <w:pStyle w:val="Sraopastraipa"/>
        <w:numPr>
          <w:ilvl w:val="0"/>
          <w:numId w:val="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Sunkios padidėjusio jautrumo reakcijos.</w:t>
      </w:r>
    </w:p>
    <w:p w:rsidR="0015617D" w:rsidRPr="00DC1E8A" w:rsidRDefault="0015617D" w:rsidP="0015617D">
      <w:pPr>
        <w:pStyle w:val="Sraopastraipa"/>
        <w:numPr>
          <w:ilvl w:val="0"/>
          <w:numId w:val="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Infekcinio uždegiminio proceso paūmėjimas.</w:t>
      </w:r>
    </w:p>
    <w:p w:rsidR="0015617D" w:rsidRPr="00DC1E8A" w:rsidRDefault="0015617D" w:rsidP="0015617D">
      <w:pPr>
        <w:pStyle w:val="Sraopastraipa"/>
        <w:numPr>
          <w:ilvl w:val="0"/>
          <w:numId w:val="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Psichozės pobūdžio reakcijos, depresija.</w:t>
      </w:r>
    </w:p>
    <w:p w:rsidR="0015617D" w:rsidRPr="00DC1E8A" w:rsidRDefault="0015617D" w:rsidP="0015617D">
      <w:pPr>
        <w:pStyle w:val="Sraopastraipa"/>
        <w:numPr>
          <w:ilvl w:val="0"/>
          <w:numId w:val="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Juntamas stiprus širdies plakimas, širdies nepakankamumas, miokardo infarktas.</w:t>
      </w:r>
    </w:p>
    <w:p w:rsidR="0015617D" w:rsidRPr="00DC1E8A" w:rsidRDefault="0015617D" w:rsidP="0015617D">
      <w:pPr>
        <w:pStyle w:val="Sraopastraipa"/>
        <w:numPr>
          <w:ilvl w:val="0"/>
          <w:numId w:val="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Kraujospūdžio padidėjimas.</w:t>
      </w:r>
    </w:p>
    <w:p w:rsidR="0015617D" w:rsidRPr="00DC1E8A" w:rsidRDefault="0015617D" w:rsidP="0015617D">
      <w:pPr>
        <w:pStyle w:val="Sraopastraipa"/>
        <w:numPr>
          <w:ilvl w:val="0"/>
          <w:numId w:val="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Stemplės ir kasos uždegimas.</w:t>
      </w:r>
    </w:p>
    <w:p w:rsidR="0015617D" w:rsidRPr="00DC1E8A" w:rsidRDefault="0015617D" w:rsidP="0015617D">
      <w:pPr>
        <w:pStyle w:val="Sraopastraipa"/>
        <w:numPr>
          <w:ilvl w:val="0"/>
          <w:numId w:val="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Membranai panašių susiaurėjimų žarnose susidarymas.</w:t>
      </w:r>
    </w:p>
    <w:p w:rsidR="0015617D" w:rsidRDefault="0015617D" w:rsidP="0015617D">
      <w:pPr>
        <w:spacing w:after="0" w:line="240" w:lineRule="auto"/>
        <w:rPr>
          <w:rFonts w:ascii="Times New Roman" w:eastAsia="Calibri" w:hAnsi="Times New Roman" w:cs="Times New Roman"/>
          <w:iCs/>
          <w:noProof/>
          <w:highlight w:val="yellow"/>
        </w:rPr>
      </w:pPr>
    </w:p>
    <w:p w:rsidR="0015617D" w:rsidRPr="00DC1E8A" w:rsidRDefault="0015617D" w:rsidP="0015617D">
      <w:pPr>
        <w:spacing w:after="0" w:line="240" w:lineRule="auto"/>
        <w:rPr>
          <w:rFonts w:ascii="Times New Roman" w:eastAsia="Times New Roman" w:hAnsi="Times New Roman" w:cs="Times New Roman"/>
          <w:iCs/>
          <w:noProof/>
          <w:u w:val="single"/>
        </w:rPr>
      </w:pPr>
      <w:r w:rsidRPr="00DC1E8A">
        <w:rPr>
          <w:rFonts w:ascii="Times New Roman" w:eastAsia="Times New Roman" w:hAnsi="Times New Roman" w:cs="Times New Roman"/>
          <w:iCs/>
          <w:noProof/>
          <w:u w:val="single"/>
        </w:rPr>
        <w:t>Nežinomas (dažnis negali būti įvertintas pagal turimus duomenis):</w:t>
      </w:r>
    </w:p>
    <w:p w:rsidR="0015617D" w:rsidRPr="00DC1E8A" w:rsidRDefault="0015617D" w:rsidP="0015617D">
      <w:pPr>
        <w:pStyle w:val="Sraopastraipa"/>
        <w:numPr>
          <w:ilvl w:val="0"/>
          <w:numId w:val="3"/>
        </w:numPr>
        <w:spacing w:after="0" w:line="240" w:lineRule="auto"/>
        <w:rPr>
          <w:rFonts w:ascii="Times New Roman" w:eastAsia="Times New Roman" w:hAnsi="Times New Roman" w:cs="Times New Roman"/>
          <w:iCs/>
          <w:noProof/>
        </w:rPr>
      </w:pPr>
      <w:r w:rsidRPr="00DC1E8A">
        <w:rPr>
          <w:rFonts w:ascii="Times New Roman" w:eastAsia="Times New Roman" w:hAnsi="Times New Roman" w:cs="Times New Roman"/>
          <w:iCs/>
          <w:noProof/>
        </w:rPr>
        <w:t>gali pasireikšti stipri odos reakcija, vadinama DRESS sindromu. DRESS simptomai gali būti tokie: odos išbėrimas, karščiavimas, padidėję limfmazgiai ir padidėjęs eozinofilų (baltųjų kraujo kūnelių rūšis) skaičius.</w:t>
      </w:r>
    </w:p>
    <w:p w:rsidR="0015617D" w:rsidRPr="00DC1E8A" w:rsidRDefault="0015617D" w:rsidP="0015617D">
      <w:pPr>
        <w:pStyle w:val="Sraopastraipa"/>
        <w:numPr>
          <w:ilvl w:val="0"/>
          <w:numId w:val="3"/>
        </w:numPr>
        <w:spacing w:after="0" w:line="240" w:lineRule="auto"/>
        <w:rPr>
          <w:rFonts w:ascii="Times New Roman" w:eastAsia="Times New Roman" w:hAnsi="Times New Roman" w:cs="Times New Roman"/>
          <w:iCs/>
          <w:noProof/>
        </w:rPr>
      </w:pPr>
      <w:r w:rsidRPr="00DC1E8A">
        <w:rPr>
          <w:rFonts w:ascii="Times New Roman" w:eastAsia="Times New Roman" w:hAnsi="Times New Roman" w:cs="Times New Roman"/>
          <w:iCs/>
          <w:noProof/>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w:t>
      </w:r>
      <w:r>
        <w:rPr>
          <w:rFonts w:ascii="Times New Roman" w:eastAsia="Times New Roman" w:hAnsi="Times New Roman" w:cs="Times New Roman"/>
          <w:iCs/>
          <w:noProof/>
        </w:rPr>
        <w:t>Butifen</w:t>
      </w:r>
      <w:r w:rsidRPr="00DC1E8A">
        <w:rPr>
          <w:rFonts w:ascii="Times New Roman" w:eastAsia="Times New Roman" w:hAnsi="Times New Roman" w:cs="Times New Roman"/>
          <w:iCs/>
          <w:noProof/>
        </w:rPr>
        <w:t xml:space="preserve"> vartojimą ir nedelsdami kreipkitės medicininės pagalbos. Taip pat žr. 2 skyrių.</w:t>
      </w:r>
    </w:p>
    <w:p w:rsidR="0015617D" w:rsidRPr="0008294D" w:rsidRDefault="0015617D" w:rsidP="0015617D">
      <w:pPr>
        <w:spacing w:after="0" w:line="240" w:lineRule="auto"/>
        <w:rPr>
          <w:rFonts w:ascii="Times New Roman" w:eastAsia="Calibri" w:hAnsi="Times New Roman" w:cs="Times New Roman"/>
          <w:iCs/>
          <w:noProof/>
          <w:highlight w:val="yellow"/>
        </w:rPr>
      </w:pPr>
    </w:p>
    <w:p w:rsidR="0015617D" w:rsidRPr="0008294D" w:rsidRDefault="0015617D" w:rsidP="0015617D">
      <w:pPr>
        <w:spacing w:after="0" w:line="240" w:lineRule="auto"/>
        <w:rPr>
          <w:rFonts w:ascii="Times New Roman" w:eastAsia="Calibri" w:hAnsi="Times New Roman" w:cs="Times New Roman"/>
          <w:b/>
          <w:iCs/>
          <w:noProof/>
        </w:rPr>
      </w:pPr>
      <w:r w:rsidRPr="0008294D">
        <w:rPr>
          <w:rFonts w:ascii="Times New Roman" w:eastAsia="Calibri" w:hAnsi="Times New Roman" w:cs="Times New Roman"/>
          <w:b/>
          <w:iCs/>
          <w:noProof/>
        </w:rPr>
        <w:t>Apsaugos priemonės</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Nutraukite Butifen vartojimą ir nedelsiant kreipkitės medicinos pagalbos, jeigu atsirado šių simptomų:</w:t>
      </w:r>
    </w:p>
    <w:p w:rsidR="0015617D" w:rsidRPr="00DC1E8A" w:rsidRDefault="0015617D" w:rsidP="0015617D">
      <w:pPr>
        <w:pStyle w:val="Sraopastraipa"/>
        <w:numPr>
          <w:ilvl w:val="0"/>
          <w:numId w:val="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odos bėrimas ir niežulys;</w:t>
      </w:r>
    </w:p>
    <w:p w:rsidR="0015617D" w:rsidRPr="00DC1E8A" w:rsidRDefault="0015617D" w:rsidP="0015617D">
      <w:pPr>
        <w:pStyle w:val="Sraopastraipa"/>
        <w:numPr>
          <w:ilvl w:val="0"/>
          <w:numId w:val="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astmos priepuolis;</w:t>
      </w:r>
    </w:p>
    <w:p w:rsidR="0015617D" w:rsidRPr="00DC1E8A" w:rsidRDefault="0015617D" w:rsidP="0015617D">
      <w:pPr>
        <w:pStyle w:val="Sraopastraipa"/>
        <w:numPr>
          <w:ilvl w:val="0"/>
          <w:numId w:val="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sunkios padidėjusio jautrumo reakcijos: veido, liežuvio arba ryklės patinimas, kvėpavimo takų susiaurėjimas, dusulys, pagreitėjęs širdies plakimas, kraujospūdžio staigus sumažėjimas, sukeliantis gyvybei pavojingą šoką;</w:t>
      </w:r>
    </w:p>
    <w:p w:rsidR="0015617D" w:rsidRPr="00DC1E8A" w:rsidRDefault="0015617D" w:rsidP="0015617D">
      <w:pPr>
        <w:pStyle w:val="Sraopastraipa"/>
        <w:numPr>
          <w:ilvl w:val="0"/>
          <w:numId w:val="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kraujodaros sutrikimai: pirmieji požymiai gali būti karščiavimas, gerklės skausmas, burnos gleivinės opos, gripui panašūs simptomai, sunkus išsekimas, kraujavimas iš nosies, kraujosruvos odoje.</w:t>
      </w:r>
      <w:r w:rsidRPr="00DC1E8A">
        <w:rPr>
          <w:rFonts w:ascii="Times New Roman" w:eastAsia="Calibri" w:hAnsi="Times New Roman" w:cs="Times New Roman"/>
          <w:b/>
          <w:iCs/>
          <w:noProof/>
        </w:rPr>
        <w:t xml:space="preserve"> </w:t>
      </w:r>
      <w:r w:rsidRPr="00DC1E8A">
        <w:rPr>
          <w:rFonts w:ascii="Times New Roman" w:eastAsia="Calibri" w:hAnsi="Times New Roman" w:cs="Times New Roman"/>
          <w:iCs/>
          <w:noProof/>
        </w:rPr>
        <w:t>Negalima vartoti be gydytojo nurodymo skausmą malšinančių ar temperatūrą mažinančių vaistų;</w:t>
      </w:r>
    </w:p>
    <w:p w:rsidR="0015617D" w:rsidRPr="00DC1E8A" w:rsidRDefault="0015617D" w:rsidP="0015617D">
      <w:pPr>
        <w:pStyle w:val="Sraopastraipa"/>
        <w:numPr>
          <w:ilvl w:val="0"/>
          <w:numId w:val="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infekcinės kilmės uždegimo paūmėjimas: vartojant Butifen atsirado infekcijos požymių arba jie pasunkėjo;</w:t>
      </w:r>
    </w:p>
    <w:p w:rsidR="0015617D" w:rsidRPr="00DC1E8A" w:rsidRDefault="0015617D" w:rsidP="0015617D">
      <w:pPr>
        <w:pStyle w:val="Sraopastraipa"/>
        <w:numPr>
          <w:ilvl w:val="0"/>
          <w:numId w:val="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regėjimo sutrikimas;</w:t>
      </w:r>
    </w:p>
    <w:p w:rsidR="0015617D" w:rsidRPr="00DC1E8A" w:rsidRDefault="0015617D" w:rsidP="0015617D">
      <w:pPr>
        <w:pStyle w:val="Sraopastraipa"/>
        <w:numPr>
          <w:ilvl w:val="0"/>
          <w:numId w:val="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lastRenderedPageBreak/>
        <w:t>palyginti stiprus pilvo skausmas, vėmimas su kraujo priemaiša, kraujas išmatose arba juodos spalvos išmatos;</w:t>
      </w:r>
    </w:p>
    <w:p w:rsidR="0015617D" w:rsidRPr="00DC1E8A" w:rsidRDefault="0015617D" w:rsidP="0015617D">
      <w:pPr>
        <w:pStyle w:val="Sraopastraipa"/>
        <w:numPr>
          <w:ilvl w:val="0"/>
          <w:numId w:val="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sumažėjęs šlapimo kiekis,skysčių kaupimasis organizme (edema).</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b/>
        </w:rPr>
      </w:pPr>
      <w:r w:rsidRPr="0008294D">
        <w:rPr>
          <w:rFonts w:ascii="Times New Roman" w:eastAsia="Calibri" w:hAnsi="Times New Roman" w:cs="Times New Roman"/>
          <w:b/>
          <w:noProof/>
        </w:rPr>
        <w:t>Pranešimas apie šalutinį poveikį</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6342E3">
          <w:rPr>
            <w:rStyle w:val="Hipersaitas"/>
            <w:rFonts w:ascii="Times New Roman" w:eastAsia="Calibri" w:hAnsi="Times New Roman"/>
            <w:iCs/>
            <w:noProof/>
          </w:rPr>
          <w:t>www.vvkt.lt</w:t>
        </w:r>
      </w:hyperlink>
      <w:r>
        <w:rPr>
          <w:rFonts w:ascii="Times New Roman" w:eastAsia="Calibri" w:hAnsi="Times New Roman" w:cs="Times New Roman"/>
          <w:iCs/>
          <w:noProof/>
        </w:rPr>
        <w:t xml:space="preserve"> </w:t>
      </w:r>
      <w:r w:rsidRPr="0008294D">
        <w:rPr>
          <w:rFonts w:ascii="Times New Roman" w:eastAsia="Calibri" w:hAnsi="Times New Roman" w:cs="Times New Roman"/>
          <w:iCs/>
          <w:noProof/>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6342E3">
          <w:rPr>
            <w:rStyle w:val="Hipersaitas"/>
            <w:rFonts w:ascii="Times New Roman" w:eastAsia="Calibri" w:hAnsi="Times New Roman"/>
            <w:iCs/>
            <w:noProof/>
          </w:rPr>
          <w:t>NepageidaujamaR@vvkt.lt</w:t>
        </w:r>
      </w:hyperlink>
      <w:r w:rsidRPr="0008294D">
        <w:rPr>
          <w:rFonts w:ascii="Times New Roman" w:eastAsia="Calibri" w:hAnsi="Times New Roman" w:cs="Times New Roman"/>
          <w:iCs/>
          <w:noProof/>
        </w:rPr>
        <w:t xml:space="preserve">, taip pat per Valstybinės vaistų kontrolės tarnybos prie Lietuvos Respublikos sveikatos apsaugos ministerijos interneto svetainę (adresu </w:t>
      </w:r>
      <w:hyperlink r:id="rId7" w:history="1">
        <w:r w:rsidRPr="006342E3">
          <w:rPr>
            <w:rStyle w:val="Hipersaitas"/>
            <w:rFonts w:ascii="Times New Roman" w:eastAsia="Calibri" w:hAnsi="Times New Roman"/>
            <w:iCs/>
            <w:noProof/>
          </w:rPr>
          <w:t>http://www.vvkt.lt</w:t>
        </w:r>
      </w:hyperlink>
      <w:r w:rsidRPr="0008294D">
        <w:rPr>
          <w:rFonts w:ascii="Times New Roman" w:eastAsia="Calibri" w:hAnsi="Times New Roman" w:cs="Times New Roman"/>
          <w:iCs/>
          <w:noProof/>
        </w:rPr>
        <w:t>). Pranešdami apie šalutinį poveikį galite mums padėti gauti daugiau informacijos apie šio vaisto saugumą.</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keepNext/>
        <w:tabs>
          <w:tab w:val="left" w:pos="567"/>
        </w:tabs>
        <w:spacing w:after="0" w:line="240" w:lineRule="auto"/>
        <w:ind w:left="567" w:hanging="567"/>
        <w:outlineLvl w:val="1"/>
        <w:rPr>
          <w:rFonts w:ascii="Times New Roman" w:eastAsia="Calibri" w:hAnsi="Times New Roman" w:cs="Times New Roman"/>
          <w:b/>
        </w:rPr>
      </w:pPr>
      <w:bookmarkStart w:id="10" w:name="_Toc129243143"/>
      <w:bookmarkStart w:id="11" w:name="_Toc129243268"/>
      <w:r w:rsidRPr="0008294D">
        <w:rPr>
          <w:rFonts w:ascii="Times New Roman" w:eastAsia="Calibri" w:hAnsi="Times New Roman" w:cs="Times New Roman"/>
          <w:b/>
        </w:rPr>
        <w:t>5.</w:t>
      </w:r>
      <w:r w:rsidRPr="0008294D">
        <w:rPr>
          <w:rFonts w:ascii="Times New Roman" w:eastAsia="Calibri" w:hAnsi="Times New Roman" w:cs="Times New Roman"/>
          <w:b/>
        </w:rPr>
        <w:tab/>
        <w:t xml:space="preserve">Kaip laikyti </w:t>
      </w:r>
      <w:bookmarkEnd w:id="10"/>
      <w:bookmarkEnd w:id="11"/>
      <w:proofErr w:type="spellStart"/>
      <w:r w:rsidRPr="0008294D">
        <w:rPr>
          <w:rFonts w:ascii="Times New Roman" w:eastAsia="Calibri" w:hAnsi="Times New Roman" w:cs="Times New Roman"/>
          <w:b/>
        </w:rPr>
        <w:t>Butifen</w:t>
      </w:r>
      <w:proofErr w:type="spellEnd"/>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numPr>
          <w:ilvl w:val="12"/>
          <w:numId w:val="0"/>
        </w:numPr>
        <w:spacing w:after="0" w:line="240" w:lineRule="auto"/>
        <w:ind w:right="-2"/>
        <w:rPr>
          <w:rFonts w:ascii="Times New Roman" w:eastAsia="Calibri" w:hAnsi="Times New Roman" w:cs="Times New Roman"/>
        </w:rPr>
      </w:pPr>
      <w:r w:rsidRPr="0008294D">
        <w:rPr>
          <w:rFonts w:ascii="Times New Roman" w:eastAsia="Calibri" w:hAnsi="Times New Roman" w:cs="Times New Roman"/>
          <w:noProof/>
        </w:rPr>
        <w:t>Šį vaistą laikykite</w:t>
      </w:r>
      <w:r w:rsidRPr="0008294D">
        <w:rPr>
          <w:rFonts w:ascii="Times New Roman" w:eastAsia="Calibri" w:hAnsi="Times New Roman" w:cs="Times New Roman"/>
        </w:rPr>
        <w:t xml:space="preserve"> vaikams </w:t>
      </w:r>
      <w:r w:rsidRPr="0008294D">
        <w:rPr>
          <w:rFonts w:ascii="Times New Roman" w:eastAsia="Calibri" w:hAnsi="Times New Roman" w:cs="Times New Roman"/>
          <w:noProof/>
        </w:rPr>
        <w:t xml:space="preserve">nepastebimoje ir </w:t>
      </w:r>
      <w:r w:rsidRPr="0008294D">
        <w:rPr>
          <w:rFonts w:ascii="Times New Roman" w:eastAsia="Calibri" w:hAnsi="Times New Roman" w:cs="Times New Roman"/>
        </w:rPr>
        <w:t>nepasiekiamoje vietoje.</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Ant dėžutės po „Tinka iki</w:t>
      </w:r>
      <w:r>
        <w:rPr>
          <w:rFonts w:ascii="Times New Roman" w:eastAsia="Calibri" w:hAnsi="Times New Roman" w:cs="Times New Roman"/>
          <w:iCs/>
          <w:noProof/>
        </w:rPr>
        <w:t>/EXP</w:t>
      </w:r>
      <w:r w:rsidRPr="0008294D">
        <w:rPr>
          <w:rFonts w:ascii="Times New Roman" w:eastAsia="Calibri" w:hAnsi="Times New Roman" w:cs="Times New Roman"/>
          <w:iCs/>
          <w:noProof/>
        </w:rPr>
        <w:t>“ ir lizdinės plokštelės po „EXP“ nurodytam tinkamumo laikui pasibaigus, šio vaisto vartoti negalima. Vaistas tinkamas vartoti iki paskutinės nurodyto mėnesio dienos.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Laikyti ne aukštesnėje kaip 25 </w:t>
      </w:r>
      <w:r w:rsidRPr="0008294D">
        <w:rPr>
          <w:rFonts w:ascii="Times New Roman" w:eastAsia="Calibri" w:hAnsi="Times New Roman" w:cs="Times New Roman"/>
          <w:iCs/>
          <w:noProof/>
        </w:rPr>
        <w:sym w:font="Symbol" w:char="F0B0"/>
      </w:r>
      <w:r w:rsidRPr="0008294D">
        <w:rPr>
          <w:rFonts w:ascii="Times New Roman" w:eastAsia="Calibri" w:hAnsi="Times New Roman" w:cs="Times New Roman"/>
          <w:iCs/>
          <w:noProof/>
        </w:rPr>
        <w:t>C temperatūroje.</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Vaistų negalima išmesti į kanalizaciją arba su buitinėmis atliekomis. Kaip išmesti nereikalingus vaistus, klauskite vaistininko. Šios priemonės padės apsaugoti aplinką.</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keepNext/>
        <w:tabs>
          <w:tab w:val="left" w:pos="567"/>
        </w:tabs>
        <w:spacing w:after="0" w:line="240" w:lineRule="auto"/>
        <w:ind w:left="567" w:hanging="567"/>
        <w:outlineLvl w:val="1"/>
        <w:rPr>
          <w:rFonts w:ascii="Times New Roman" w:eastAsia="Calibri" w:hAnsi="Times New Roman" w:cs="Times New Roman"/>
          <w:b/>
        </w:rPr>
      </w:pPr>
      <w:bookmarkStart w:id="12" w:name="_Toc129243144"/>
      <w:bookmarkStart w:id="13" w:name="_Toc129243269"/>
      <w:r w:rsidRPr="0008294D">
        <w:rPr>
          <w:rFonts w:ascii="Times New Roman" w:eastAsia="Calibri" w:hAnsi="Times New Roman" w:cs="Times New Roman"/>
          <w:b/>
        </w:rPr>
        <w:t>6.</w:t>
      </w:r>
      <w:r w:rsidRPr="0008294D">
        <w:rPr>
          <w:rFonts w:ascii="Times New Roman" w:eastAsia="Calibri" w:hAnsi="Times New Roman" w:cs="Times New Roman"/>
          <w:b/>
        </w:rPr>
        <w:tab/>
        <w:t>Pakuotės turinys ir kita informacija</w:t>
      </w:r>
      <w:bookmarkEnd w:id="12"/>
      <w:bookmarkEnd w:id="13"/>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20" w:lineRule="exact"/>
        <w:rPr>
          <w:rFonts w:ascii="Times New Roman" w:eastAsia="Calibri" w:hAnsi="Times New Roman" w:cs="Times New Roman"/>
          <w:b/>
          <w:bCs/>
        </w:rPr>
      </w:pPr>
      <w:proofErr w:type="spellStart"/>
      <w:r w:rsidRPr="0008294D">
        <w:rPr>
          <w:rFonts w:ascii="Times New Roman" w:eastAsia="Calibri" w:hAnsi="Times New Roman" w:cs="Times New Roman"/>
          <w:b/>
          <w:bCs/>
        </w:rPr>
        <w:t>Butifen</w:t>
      </w:r>
      <w:proofErr w:type="spellEnd"/>
      <w:r w:rsidRPr="0008294D">
        <w:rPr>
          <w:rFonts w:ascii="Times New Roman" w:eastAsia="Calibri" w:hAnsi="Times New Roman" w:cs="Times New Roman"/>
          <w:b/>
          <w:bCs/>
        </w:rPr>
        <w:t xml:space="preserve"> sudėtis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Veiklioji medžiaga yra ibuprofenas. Kiekvienoje plėvele dengtoje tabletėje yra 684 mg ibuprofeno-DL-lizino druskos, atitinkančios 400 mg ibuprofeno.</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Pagalbinės medžiagos. </w:t>
      </w:r>
      <w:r w:rsidRPr="0008294D">
        <w:rPr>
          <w:rFonts w:ascii="Times New Roman" w:eastAsia="Calibri" w:hAnsi="Times New Roman" w:cs="Times New Roman"/>
          <w:i/>
          <w:iCs/>
          <w:noProof/>
        </w:rPr>
        <w:t xml:space="preserve">Tabletės branduolys: </w:t>
      </w:r>
      <w:r w:rsidRPr="0008294D">
        <w:rPr>
          <w:rFonts w:ascii="Times New Roman" w:eastAsia="Calibri" w:hAnsi="Times New Roman" w:cs="Times New Roman"/>
          <w:iCs/>
          <w:noProof/>
        </w:rPr>
        <w:t>mikrokristalinė celiuliozė, kroskarmeliozės natrio druska, talkas, koloidinis bevandenis silicio dioksidas, magnio stearatas.</w:t>
      </w:r>
    </w:p>
    <w:p w:rsidR="0015617D" w:rsidRPr="0008294D" w:rsidRDefault="0015617D" w:rsidP="0015617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
          <w:iCs/>
          <w:noProof/>
        </w:rPr>
        <w:t xml:space="preserve">Tabletės plėvelė: </w:t>
      </w:r>
      <w:r w:rsidRPr="0008294D">
        <w:rPr>
          <w:rFonts w:ascii="Times New Roman" w:eastAsia="Calibri" w:hAnsi="Times New Roman" w:cs="Times New Roman"/>
          <w:iCs/>
          <w:noProof/>
        </w:rPr>
        <w:t>hipromeliozė, makrogolis 6000, glicerolis (85%).</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20" w:lineRule="exact"/>
        <w:rPr>
          <w:rFonts w:ascii="Times New Roman" w:eastAsia="Calibri" w:hAnsi="Times New Roman" w:cs="Times New Roman"/>
          <w:b/>
          <w:bCs/>
        </w:rPr>
      </w:pPr>
      <w:proofErr w:type="spellStart"/>
      <w:r w:rsidRPr="0008294D">
        <w:rPr>
          <w:rFonts w:ascii="Times New Roman" w:eastAsia="Calibri" w:hAnsi="Times New Roman" w:cs="Times New Roman"/>
          <w:b/>
          <w:bCs/>
        </w:rPr>
        <w:t>Butifen</w:t>
      </w:r>
      <w:proofErr w:type="spellEnd"/>
      <w:r w:rsidRPr="0008294D">
        <w:rPr>
          <w:rFonts w:ascii="Times New Roman" w:eastAsia="Calibri" w:hAnsi="Times New Roman" w:cs="Times New Roman"/>
          <w:b/>
          <w:bCs/>
        </w:rPr>
        <w:t xml:space="preserve"> išvaizda ir kiekis pakuotėje</w:t>
      </w:r>
    </w:p>
    <w:p w:rsidR="0015617D" w:rsidRPr="0008294D" w:rsidRDefault="0015617D" w:rsidP="0015617D">
      <w:pPr>
        <w:spacing w:after="0" w:line="220" w:lineRule="exact"/>
        <w:rPr>
          <w:rFonts w:ascii="Times New Roman" w:eastAsia="Calibri" w:hAnsi="Times New Roman" w:cs="Times New Roman"/>
          <w:b/>
          <w:bCs/>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Baltos arba margai pilkšvos, pailgos, plėvele dengtos tabletės su dalijimo vagele vienoje pusėje.</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tiekiamas lizdinėmis plokštelėmis po 14, 16, 20, 24, 30, 40, 50 ar 100 plėvele dengtų tablečių.</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Gali būti tiekiamos ne visų dydžių pakuotės.</w:t>
      </w:r>
    </w:p>
    <w:p w:rsidR="0015617D" w:rsidRPr="0008294D" w:rsidRDefault="0015617D" w:rsidP="0015617D">
      <w:pPr>
        <w:spacing w:after="0" w:line="220" w:lineRule="exact"/>
        <w:rPr>
          <w:rFonts w:ascii="Times New Roman" w:eastAsia="Calibri" w:hAnsi="Times New Roman" w:cs="Times New Roman"/>
          <w:b/>
          <w:bCs/>
        </w:rPr>
      </w:pPr>
    </w:p>
    <w:p w:rsidR="0015617D" w:rsidRPr="0008294D" w:rsidRDefault="0015617D" w:rsidP="0015617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Registruotojas ir gamintojas</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Registruotojas</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ratiopharm GmbH</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Graf-Arco-Strasse 3</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89079 Ulm</w:t>
      </w: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Vokietija</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Gamintojas</w:t>
      </w:r>
    </w:p>
    <w:p w:rsidR="0015617D" w:rsidRPr="0008294D" w:rsidRDefault="0015617D" w:rsidP="0015617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lastRenderedPageBreak/>
        <w:t>Merckle GmbH</w:t>
      </w:r>
    </w:p>
    <w:p w:rsidR="0015617D" w:rsidRPr="0008294D" w:rsidRDefault="0015617D" w:rsidP="0015617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t>Ludwig-Mercle-Strasse 3</w:t>
      </w:r>
    </w:p>
    <w:p w:rsidR="0015617D" w:rsidRPr="0008294D" w:rsidRDefault="0015617D" w:rsidP="0015617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t>D-89143 Blaubeuren</w:t>
      </w:r>
    </w:p>
    <w:p w:rsidR="0015617D" w:rsidRPr="0008294D" w:rsidRDefault="0015617D" w:rsidP="0015617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t>Vokietija</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Jeigu apie šį vaistą norite sužinoti daugiau, kreipkitės į vietinį registruotojo atstovą.</w:t>
      </w:r>
    </w:p>
    <w:p w:rsidR="0015617D" w:rsidRPr="0008294D" w:rsidRDefault="0015617D" w:rsidP="0015617D">
      <w:pPr>
        <w:spacing w:after="0" w:line="240" w:lineRule="auto"/>
        <w:rPr>
          <w:rFonts w:ascii="Times New Roman" w:eastAsia="Calibri" w:hAnsi="Times New Roman" w:cs="Times New Roman"/>
          <w:iCs/>
          <w:noProof/>
        </w:rPr>
      </w:pPr>
    </w:p>
    <w:tbl>
      <w:tblPr>
        <w:tblW w:w="0" w:type="auto"/>
        <w:tblLayout w:type="fixed"/>
        <w:tblLook w:val="00A0" w:firstRow="1" w:lastRow="0" w:firstColumn="1" w:lastColumn="0" w:noHBand="0" w:noVBand="0"/>
      </w:tblPr>
      <w:tblGrid>
        <w:gridCol w:w="4678"/>
      </w:tblGrid>
      <w:tr w:rsidR="0015617D" w:rsidRPr="0008294D" w:rsidTr="006C3E75">
        <w:tc>
          <w:tcPr>
            <w:tcW w:w="4678" w:type="dxa"/>
          </w:tcPr>
          <w:p w:rsidR="0015617D" w:rsidRPr="0008294D" w:rsidRDefault="0015617D" w:rsidP="006C3E75">
            <w:pPr>
              <w:spacing w:after="0" w:line="240" w:lineRule="auto"/>
              <w:rPr>
                <w:rFonts w:ascii="Times New Roman" w:eastAsia="Calibri" w:hAnsi="Times New Roman" w:cs="Times New Roman"/>
                <w:iCs/>
                <w:noProof/>
              </w:rPr>
            </w:pPr>
            <w:r>
              <w:rPr>
                <w:rFonts w:ascii="Times New Roman" w:eastAsia="Calibri" w:hAnsi="Times New Roman" w:cs="Times New Roman"/>
                <w:iCs/>
                <w:noProof/>
              </w:rPr>
              <w:t>Teva Baltics</w:t>
            </w:r>
          </w:p>
          <w:p w:rsidR="0015617D" w:rsidRPr="0008294D" w:rsidRDefault="0015617D" w:rsidP="006C3E75">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Molėtų pl. 5,</w:t>
            </w:r>
          </w:p>
          <w:p w:rsidR="0015617D" w:rsidRPr="0008294D" w:rsidRDefault="0015617D" w:rsidP="006C3E75">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LT-08409 Vilnius</w:t>
            </w:r>
          </w:p>
          <w:p w:rsidR="0015617D" w:rsidRPr="0008294D" w:rsidRDefault="0015617D" w:rsidP="006C3E75">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Tel. (8 5) 266 0203</w:t>
            </w:r>
          </w:p>
          <w:p w:rsidR="0015617D" w:rsidRPr="0008294D" w:rsidRDefault="0015617D" w:rsidP="006C3E75">
            <w:pPr>
              <w:spacing w:after="0" w:line="240" w:lineRule="auto"/>
              <w:rPr>
                <w:rFonts w:ascii="Times New Roman" w:eastAsia="Calibri" w:hAnsi="Times New Roman" w:cs="Times New Roman"/>
                <w:iCs/>
                <w:noProof/>
              </w:rPr>
            </w:pPr>
          </w:p>
        </w:tc>
      </w:tr>
    </w:tbl>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r w:rsidRPr="0008294D">
        <w:rPr>
          <w:rFonts w:ascii="Times New Roman" w:eastAsia="Calibri" w:hAnsi="Times New Roman" w:cs="Times New Roman"/>
          <w:b/>
          <w:iCs/>
          <w:noProof/>
        </w:rPr>
        <w:t>Šis vaistas EEE valstybėse narėse registruotas tokiais pavadinimais</w:t>
      </w:r>
      <w:r w:rsidRPr="0008294D">
        <w:rPr>
          <w:rFonts w:ascii="Times New Roman" w:eastAsia="Calibri" w:hAnsi="Times New Roman" w:cs="Times New Roman"/>
          <w:iCs/>
          <w:noProof/>
        </w:rPr>
        <w:t>:</w:t>
      </w:r>
    </w:p>
    <w:p w:rsidR="0015617D" w:rsidRPr="0008294D" w:rsidRDefault="0015617D" w:rsidP="0015617D">
      <w:pPr>
        <w:spacing w:after="0" w:line="240" w:lineRule="auto"/>
        <w:rPr>
          <w:rFonts w:ascii="Times New Roman" w:eastAsia="Calibri" w:hAnsi="Times New Roman" w:cs="Times New Roman"/>
          <w:iCs/>
          <w:noProof/>
        </w:rPr>
      </w:pPr>
    </w:p>
    <w:tbl>
      <w:tblPr>
        <w:tblW w:w="0" w:type="auto"/>
        <w:tblLook w:val="01E0" w:firstRow="1" w:lastRow="1" w:firstColumn="1" w:lastColumn="1" w:noHBand="0" w:noVBand="0"/>
      </w:tblPr>
      <w:tblGrid>
        <w:gridCol w:w="3027"/>
        <w:gridCol w:w="6259"/>
      </w:tblGrid>
      <w:tr w:rsidR="0015617D" w:rsidRPr="0008294D" w:rsidTr="006C3E75">
        <w:tc>
          <w:tcPr>
            <w:tcW w:w="3027" w:type="dxa"/>
          </w:tcPr>
          <w:p w:rsidR="0015617D" w:rsidRPr="0008294D" w:rsidRDefault="0015617D" w:rsidP="006C3E75">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Estija </w:t>
            </w:r>
          </w:p>
        </w:tc>
        <w:tc>
          <w:tcPr>
            <w:tcW w:w="6259" w:type="dxa"/>
          </w:tcPr>
          <w:p w:rsidR="0015617D" w:rsidRPr="0008294D" w:rsidRDefault="0015617D" w:rsidP="006C3E75">
            <w:pPr>
              <w:spacing w:after="0" w:line="240" w:lineRule="auto"/>
              <w:ind w:left="-426" w:firstLine="426"/>
              <w:rPr>
                <w:rFonts w:ascii="Times New Roman" w:eastAsia="Calibri" w:hAnsi="Times New Roman" w:cs="Times New Roman"/>
              </w:rPr>
            </w:pPr>
            <w:proofErr w:type="spellStart"/>
            <w:r w:rsidRPr="0008294D">
              <w:rPr>
                <w:rFonts w:ascii="Times New Roman" w:eastAsia="Calibri" w:hAnsi="Times New Roman" w:cs="Times New Roman"/>
              </w:rPr>
              <w:t>Butifen</w:t>
            </w:r>
            <w:proofErr w:type="spellEnd"/>
            <w:r w:rsidRPr="0008294D">
              <w:rPr>
                <w:rFonts w:ascii="Times New Roman" w:eastAsia="Calibri" w:hAnsi="Times New Roman" w:cs="Times New Roman"/>
              </w:rPr>
              <w:t xml:space="preserve"> 400 mg</w:t>
            </w:r>
          </w:p>
        </w:tc>
      </w:tr>
      <w:tr w:rsidR="0015617D" w:rsidRPr="0008294D" w:rsidTr="006C3E75">
        <w:tc>
          <w:tcPr>
            <w:tcW w:w="3027" w:type="dxa"/>
          </w:tcPr>
          <w:p w:rsidR="0015617D" w:rsidRPr="0008294D" w:rsidRDefault="0015617D" w:rsidP="006C3E75">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Latvija</w:t>
            </w:r>
          </w:p>
        </w:tc>
        <w:tc>
          <w:tcPr>
            <w:tcW w:w="6259" w:type="dxa"/>
          </w:tcPr>
          <w:p w:rsidR="0015617D" w:rsidRPr="0008294D" w:rsidRDefault="0015617D" w:rsidP="006C3E75">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lang w:eastAsia="lv-LV"/>
              </w:rPr>
              <w:t>Butifen 400 mg apvakotās tabletes</w:t>
            </w:r>
          </w:p>
        </w:tc>
      </w:tr>
      <w:tr w:rsidR="0015617D" w:rsidRPr="0008294D" w:rsidTr="006C3E75">
        <w:tc>
          <w:tcPr>
            <w:tcW w:w="3027" w:type="dxa"/>
          </w:tcPr>
          <w:p w:rsidR="0015617D" w:rsidRPr="0008294D" w:rsidRDefault="0015617D" w:rsidP="006C3E75">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Austrija</w:t>
            </w:r>
          </w:p>
        </w:tc>
        <w:tc>
          <w:tcPr>
            <w:tcW w:w="6259" w:type="dxa"/>
          </w:tcPr>
          <w:p w:rsidR="0015617D" w:rsidRPr="0008294D" w:rsidRDefault="0015617D" w:rsidP="006C3E75">
            <w:pPr>
              <w:spacing w:after="0" w:line="240" w:lineRule="auto"/>
              <w:rPr>
                <w:rFonts w:ascii="Times New Roman" w:eastAsia="Calibri" w:hAnsi="Times New Roman" w:cs="Times New Roman"/>
                <w:iCs/>
                <w:noProof/>
                <w:lang w:eastAsia="lv-LV"/>
              </w:rPr>
            </w:pPr>
            <w:r w:rsidRPr="0008294D">
              <w:rPr>
                <w:rFonts w:ascii="Times New Roman" w:eastAsia="Calibri" w:hAnsi="Times New Roman" w:cs="Times New Roman"/>
                <w:iCs/>
                <w:noProof/>
                <w:lang w:eastAsia="lv-LV"/>
              </w:rPr>
              <w:t>ratioDolor Ibuprofen 400 mg Filmtabletten</w:t>
            </w:r>
          </w:p>
        </w:tc>
      </w:tr>
      <w:tr w:rsidR="0015617D" w:rsidRPr="0008294D" w:rsidTr="006C3E75">
        <w:tc>
          <w:tcPr>
            <w:tcW w:w="3027" w:type="dxa"/>
          </w:tcPr>
          <w:p w:rsidR="0015617D" w:rsidRPr="0008294D" w:rsidRDefault="0015617D" w:rsidP="006C3E75">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Suomija</w:t>
            </w:r>
          </w:p>
        </w:tc>
        <w:tc>
          <w:tcPr>
            <w:tcW w:w="6259" w:type="dxa"/>
          </w:tcPr>
          <w:p w:rsidR="0015617D" w:rsidRPr="0008294D" w:rsidRDefault="0015617D" w:rsidP="006C3E75">
            <w:pPr>
              <w:spacing w:after="0" w:line="240" w:lineRule="auto"/>
              <w:rPr>
                <w:rFonts w:ascii="Times New Roman" w:eastAsia="Calibri" w:hAnsi="Times New Roman" w:cs="Times New Roman"/>
                <w:iCs/>
                <w:noProof/>
                <w:lang w:eastAsia="lv-LV"/>
              </w:rPr>
            </w:pPr>
            <w:r w:rsidRPr="0008294D">
              <w:rPr>
                <w:rFonts w:ascii="Times New Roman" w:eastAsia="Calibri" w:hAnsi="Times New Roman" w:cs="Times New Roman"/>
                <w:iCs/>
                <w:noProof/>
                <w:lang w:eastAsia="lv-LV"/>
              </w:rPr>
              <w:t>Ibuxin rapid 400 mg tabletti, kalvopäällysteinen</w:t>
            </w:r>
          </w:p>
        </w:tc>
      </w:tr>
      <w:tr w:rsidR="0015617D" w:rsidRPr="0008294D" w:rsidTr="006C3E75">
        <w:tc>
          <w:tcPr>
            <w:tcW w:w="3027" w:type="dxa"/>
          </w:tcPr>
          <w:p w:rsidR="0015617D" w:rsidRPr="0008294D" w:rsidRDefault="0015617D" w:rsidP="006C3E75">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Liuksemburgas</w:t>
            </w:r>
          </w:p>
        </w:tc>
        <w:tc>
          <w:tcPr>
            <w:tcW w:w="6259" w:type="dxa"/>
          </w:tcPr>
          <w:p w:rsidR="0015617D" w:rsidRPr="0008294D" w:rsidRDefault="0015617D" w:rsidP="006C3E75">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snapToGrid w:val="0"/>
                <w:lang w:eastAsia="de-DE"/>
              </w:rPr>
              <w:t xml:space="preserve">IBU-LYSIN-ratiopharm </w:t>
            </w:r>
          </w:p>
        </w:tc>
      </w:tr>
      <w:tr w:rsidR="0015617D" w:rsidRPr="0008294D" w:rsidTr="006C3E75">
        <w:tc>
          <w:tcPr>
            <w:tcW w:w="3027" w:type="dxa"/>
          </w:tcPr>
          <w:p w:rsidR="0015617D" w:rsidRPr="0008294D" w:rsidRDefault="0015617D" w:rsidP="006C3E75">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Vokietija</w:t>
            </w:r>
          </w:p>
        </w:tc>
        <w:tc>
          <w:tcPr>
            <w:tcW w:w="6259" w:type="dxa"/>
          </w:tcPr>
          <w:p w:rsidR="0015617D" w:rsidRPr="0008294D" w:rsidRDefault="0015617D" w:rsidP="006C3E75">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snapToGrid w:val="0"/>
                <w:lang w:eastAsia="de-DE"/>
              </w:rPr>
              <w:t xml:space="preserve">IBU-LYSIN-ratiopharm </w:t>
            </w:r>
          </w:p>
        </w:tc>
      </w:tr>
      <w:tr w:rsidR="0015617D" w:rsidRPr="0008294D" w:rsidTr="006C3E75">
        <w:tc>
          <w:tcPr>
            <w:tcW w:w="3027" w:type="dxa"/>
          </w:tcPr>
          <w:p w:rsidR="0015617D" w:rsidRPr="0008294D" w:rsidRDefault="0015617D" w:rsidP="006C3E75">
            <w:pPr>
              <w:spacing w:after="0" w:line="240" w:lineRule="auto"/>
              <w:rPr>
                <w:rFonts w:ascii="Times New Roman" w:eastAsia="Calibri" w:hAnsi="Times New Roman" w:cs="Times New Roman"/>
                <w:iCs/>
                <w:noProof/>
              </w:rPr>
            </w:pPr>
          </w:p>
        </w:tc>
        <w:tc>
          <w:tcPr>
            <w:tcW w:w="6259" w:type="dxa"/>
          </w:tcPr>
          <w:p w:rsidR="0015617D" w:rsidRPr="0008294D" w:rsidRDefault="0015617D" w:rsidP="006C3E75">
            <w:pPr>
              <w:spacing w:after="0" w:line="240" w:lineRule="auto"/>
              <w:rPr>
                <w:rFonts w:ascii="Times New Roman" w:eastAsia="Calibri" w:hAnsi="Times New Roman" w:cs="Times New Roman"/>
                <w:iCs/>
                <w:noProof/>
              </w:rPr>
            </w:pPr>
          </w:p>
        </w:tc>
      </w:tr>
    </w:tbl>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b/>
          <w:iCs/>
          <w:noProof/>
        </w:rPr>
      </w:pPr>
      <w:r w:rsidRPr="0008294D">
        <w:rPr>
          <w:rFonts w:ascii="Times New Roman" w:eastAsia="Calibri" w:hAnsi="Times New Roman" w:cs="Times New Roman"/>
          <w:b/>
          <w:bCs/>
          <w:iCs/>
          <w:noProof/>
        </w:rPr>
        <w:t>Šis pakuotės lapelis</w:t>
      </w:r>
      <w:r w:rsidRPr="0008294D">
        <w:rPr>
          <w:rFonts w:ascii="Times New Roman" w:eastAsia="Calibri" w:hAnsi="Times New Roman" w:cs="Times New Roman"/>
          <w:b/>
          <w:iCs/>
          <w:noProof/>
        </w:rPr>
        <w:t xml:space="preserve"> paskutinį kartą peržiūrėtas </w:t>
      </w:r>
      <w:r>
        <w:rPr>
          <w:rFonts w:ascii="Times New Roman" w:eastAsia="Calibri" w:hAnsi="Times New Roman" w:cs="Times New Roman"/>
          <w:b/>
          <w:iCs/>
          <w:noProof/>
        </w:rPr>
        <w:t>2020-02-21.</w:t>
      </w: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iCs/>
          <w:noProof/>
        </w:rPr>
      </w:pPr>
    </w:p>
    <w:p w:rsidR="0015617D" w:rsidRPr="0008294D" w:rsidRDefault="0015617D" w:rsidP="0015617D">
      <w:pPr>
        <w:spacing w:after="0" w:line="240" w:lineRule="auto"/>
        <w:rPr>
          <w:rFonts w:ascii="Times New Roman" w:eastAsia="Calibri" w:hAnsi="Times New Roman" w:cs="Times New Roman"/>
          <w:color w:val="0000FF"/>
          <w:u w:val="single"/>
        </w:rPr>
      </w:pPr>
      <w:r w:rsidRPr="0008294D">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08294D">
        <w:rPr>
          <w:rFonts w:ascii="Times New Roman" w:eastAsia="Calibri" w:hAnsi="Times New Roman" w:cs="Times New Roman"/>
          <w:i/>
        </w:rPr>
        <w:t xml:space="preserve"> </w:t>
      </w:r>
      <w:hyperlink r:id="rId8" w:history="1">
        <w:r w:rsidRPr="0008294D">
          <w:rPr>
            <w:rFonts w:ascii="Times New Roman" w:eastAsia="Calibri" w:hAnsi="Times New Roman" w:cs="Times New Roman"/>
            <w:color w:val="0000FF"/>
            <w:u w:val="single"/>
          </w:rPr>
          <w:t>http://www.vvkt.lt</w:t>
        </w:r>
      </w:hyperlink>
    </w:p>
    <w:p w:rsidR="0015617D" w:rsidRDefault="0015617D" w:rsidP="0015617D">
      <w:pPr>
        <w:spacing w:after="0" w:line="240" w:lineRule="auto"/>
        <w:rPr>
          <w:rFonts w:ascii="Times New Roman" w:eastAsia="Calibri" w:hAnsi="Times New Roman" w:cs="Times New Roman"/>
          <w:sz w:val="24"/>
          <w:szCs w:val="24"/>
        </w:rPr>
      </w:pPr>
    </w:p>
    <w:p w:rsidR="0015617D" w:rsidRPr="0008294D" w:rsidRDefault="0015617D" w:rsidP="0015617D">
      <w:pPr>
        <w:spacing w:after="0" w:line="240" w:lineRule="auto"/>
        <w:rPr>
          <w:rFonts w:ascii="Times New Roman" w:eastAsia="Calibri" w:hAnsi="Times New Roman" w:cs="Times New Roman"/>
          <w:sz w:val="24"/>
          <w:szCs w:val="24"/>
        </w:rPr>
      </w:pPr>
    </w:p>
    <w:p w:rsidR="00A21FFF" w:rsidRDefault="00A21FFF">
      <w:bookmarkStart w:id="14" w:name="_GoBack"/>
      <w:bookmarkEnd w:id="14"/>
    </w:p>
    <w:sectPr w:rsidR="00A21F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122F"/>
    <w:multiLevelType w:val="hybridMultilevel"/>
    <w:tmpl w:val="94E0BAB6"/>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CE5EE6"/>
    <w:multiLevelType w:val="hybridMultilevel"/>
    <w:tmpl w:val="4E88462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721798"/>
    <w:multiLevelType w:val="hybridMultilevel"/>
    <w:tmpl w:val="A502A94A"/>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F72F0B"/>
    <w:multiLevelType w:val="hybridMultilevel"/>
    <w:tmpl w:val="D0D63490"/>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F26BF8"/>
    <w:multiLevelType w:val="hybridMultilevel"/>
    <w:tmpl w:val="A82C0B74"/>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7013CB"/>
    <w:multiLevelType w:val="hybridMultilevel"/>
    <w:tmpl w:val="1EAE8176"/>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0BF5A6A"/>
    <w:multiLevelType w:val="hybridMultilevel"/>
    <w:tmpl w:val="DAA69D60"/>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F74BB4"/>
    <w:multiLevelType w:val="hybridMultilevel"/>
    <w:tmpl w:val="FD3A58CE"/>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5B3CC9"/>
    <w:multiLevelType w:val="hybridMultilevel"/>
    <w:tmpl w:val="5C50EBBA"/>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E05BE6"/>
    <w:multiLevelType w:val="hybridMultilevel"/>
    <w:tmpl w:val="8AFC50EA"/>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E20D91"/>
    <w:multiLevelType w:val="hybridMultilevel"/>
    <w:tmpl w:val="506C98EC"/>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86E5988"/>
    <w:multiLevelType w:val="hybridMultilevel"/>
    <w:tmpl w:val="FB684A86"/>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897039C"/>
    <w:multiLevelType w:val="hybridMultilevel"/>
    <w:tmpl w:val="30685988"/>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2"/>
    </w:lvlOverride>
  </w:num>
  <w:num w:numId="3">
    <w:abstractNumId w:val="4"/>
  </w:num>
  <w:num w:numId="4">
    <w:abstractNumId w:val="5"/>
  </w:num>
  <w:num w:numId="5">
    <w:abstractNumId w:val="12"/>
  </w:num>
  <w:num w:numId="6">
    <w:abstractNumId w:val="7"/>
  </w:num>
  <w:num w:numId="7">
    <w:abstractNumId w:val="3"/>
  </w:num>
  <w:num w:numId="8">
    <w:abstractNumId w:val="6"/>
  </w:num>
  <w:num w:numId="9">
    <w:abstractNumId w:val="2"/>
  </w:num>
  <w:num w:numId="10">
    <w:abstractNumId w:val="9"/>
  </w:num>
  <w:num w:numId="11">
    <w:abstractNumId w:val="11"/>
  </w:num>
  <w:num w:numId="12">
    <w:abstractNumId w:val="8"/>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7D"/>
    <w:rsid w:val="0015617D"/>
    <w:rsid w:val="00A21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8841E-ACC0-4513-B588-E6D554D6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61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15617D"/>
    <w:rPr>
      <w:rFonts w:cs="Times New Roman"/>
      <w:color w:val="0000FF"/>
      <w:u w:val="single"/>
    </w:rPr>
  </w:style>
  <w:style w:type="paragraph" w:styleId="Sraopastraipa">
    <w:name w:val="List Paragraph"/>
    <w:basedOn w:val="prastasis"/>
    <w:uiPriority w:val="34"/>
    <w:qFormat/>
    <w:rsid w:val="00156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16150</Words>
  <Characters>9207</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2020-02-25T12:56:00Z</dcterms:created>
  <dcterms:modified xsi:type="dcterms:W3CDTF">2020-02-25T12:57:00Z</dcterms:modified>
</cp:coreProperties>
</file>