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94AFA8" w14:textId="77777777" w:rsidR="00797756" w:rsidRPr="00964115" w:rsidRDefault="00797756" w:rsidP="00797756">
      <w:pPr>
        <w:spacing w:after="0" w:line="240" w:lineRule="auto"/>
        <w:jc w:val="center"/>
        <w:rPr>
          <w:rFonts w:ascii="Times New Roman" w:eastAsia="Calibri" w:hAnsi="Times New Roman" w:cs="Times New Roman"/>
          <w:lang w:val="lt-LT"/>
        </w:rPr>
      </w:pPr>
      <w:bookmarkStart w:id="0" w:name="_GoBack"/>
      <w:bookmarkEnd w:id="0"/>
    </w:p>
    <w:p w14:paraId="6F94AFA9"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AA"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AB"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AC"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AD"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AE"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AF"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0"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1"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2"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3"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4"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5"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6"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7"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8"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9"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A"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B"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C"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D"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E"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AFBF" w14:textId="77777777" w:rsidR="00797756" w:rsidRPr="00964115" w:rsidRDefault="00797756" w:rsidP="00797756">
      <w:pPr>
        <w:spacing w:after="0" w:line="240" w:lineRule="auto"/>
        <w:ind w:left="567" w:hanging="567"/>
        <w:jc w:val="center"/>
        <w:rPr>
          <w:rFonts w:ascii="Times New Roman" w:eastAsia="Calibri" w:hAnsi="Times New Roman" w:cs="Times New Roman"/>
          <w:lang w:val="lt-LT"/>
        </w:rPr>
      </w:pPr>
      <w:r w:rsidRPr="00964115">
        <w:rPr>
          <w:rFonts w:ascii="Times New Roman" w:eastAsia="Calibri" w:hAnsi="Times New Roman" w:cs="Times New Roman"/>
          <w:b/>
          <w:lang w:val="lt-LT"/>
        </w:rPr>
        <w:t>I PRIEDAS</w:t>
      </w:r>
    </w:p>
    <w:p w14:paraId="6F94AFC0" w14:textId="77777777" w:rsidR="00797756" w:rsidRPr="00964115" w:rsidRDefault="00797756" w:rsidP="00797756">
      <w:pPr>
        <w:spacing w:after="0" w:line="240" w:lineRule="auto"/>
        <w:ind w:left="567" w:hanging="567"/>
        <w:jc w:val="center"/>
        <w:rPr>
          <w:rFonts w:ascii="Times New Roman" w:eastAsia="Calibri" w:hAnsi="Times New Roman" w:cs="Times New Roman"/>
          <w:b/>
          <w:lang w:val="lt-LT"/>
        </w:rPr>
      </w:pPr>
    </w:p>
    <w:p w14:paraId="6F94AFC1" w14:textId="77777777" w:rsidR="00797756" w:rsidRPr="00964115" w:rsidRDefault="00797756" w:rsidP="00797756">
      <w:pPr>
        <w:spacing w:after="0" w:line="240" w:lineRule="auto"/>
        <w:ind w:left="567" w:hanging="567"/>
        <w:jc w:val="center"/>
        <w:rPr>
          <w:rFonts w:ascii="Times New Roman" w:eastAsia="Calibri" w:hAnsi="Times New Roman" w:cs="Times New Roman"/>
          <w:b/>
          <w:lang w:val="lt-LT"/>
        </w:rPr>
      </w:pPr>
      <w:r w:rsidRPr="00964115">
        <w:rPr>
          <w:rFonts w:ascii="Times New Roman" w:eastAsia="Calibri" w:hAnsi="Times New Roman" w:cs="Times New Roman"/>
          <w:b/>
          <w:lang w:val="lt-LT"/>
        </w:rPr>
        <w:t>PREPARATO CHARAKTERISTIKŲ SANTRAUKA</w:t>
      </w:r>
    </w:p>
    <w:p w14:paraId="6F94AFC2"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lang w:val="lt-LT"/>
        </w:rPr>
        <w:br w:type="page"/>
      </w:r>
      <w:bookmarkStart w:id="1" w:name="_Toc129243098"/>
      <w:bookmarkStart w:id="2" w:name="_Toc129243223"/>
      <w:r w:rsidRPr="00964115">
        <w:rPr>
          <w:rFonts w:ascii="Times New Roman" w:eastAsia="Calibri" w:hAnsi="Times New Roman" w:cs="Times New Roman"/>
          <w:b/>
          <w:lang w:val="lt-LT"/>
        </w:rPr>
        <w:lastRenderedPageBreak/>
        <w:t>1.</w:t>
      </w:r>
      <w:r w:rsidRPr="00964115">
        <w:rPr>
          <w:rFonts w:ascii="Times New Roman" w:eastAsia="Calibri" w:hAnsi="Times New Roman" w:cs="Times New Roman"/>
          <w:b/>
          <w:lang w:val="lt-LT"/>
        </w:rPr>
        <w:tab/>
        <w:t>VAISTINIO PREPARATO PAVADINIMAS</w:t>
      </w:r>
      <w:bookmarkEnd w:id="1"/>
      <w:bookmarkEnd w:id="2"/>
    </w:p>
    <w:p w14:paraId="6F94AFC3" w14:textId="77777777" w:rsidR="00797756" w:rsidRPr="00964115" w:rsidRDefault="00797756" w:rsidP="00797756">
      <w:pPr>
        <w:spacing w:after="0" w:line="240" w:lineRule="auto"/>
        <w:rPr>
          <w:rFonts w:ascii="Times New Roman" w:eastAsia="Calibri" w:hAnsi="Times New Roman" w:cs="Times New Roman"/>
          <w:lang w:val="lt-LT"/>
        </w:rPr>
      </w:pPr>
    </w:p>
    <w:p w14:paraId="6F94AFC4"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500 mg/20 mg modifikuoto atpalaidavimo tabletės</w:t>
      </w:r>
    </w:p>
    <w:p w14:paraId="6F94AFC5" w14:textId="77777777" w:rsidR="00797756" w:rsidRPr="00964115" w:rsidRDefault="00797756" w:rsidP="00797756">
      <w:pPr>
        <w:spacing w:after="0" w:line="240" w:lineRule="auto"/>
        <w:rPr>
          <w:rFonts w:ascii="Times New Roman" w:eastAsia="Calibri" w:hAnsi="Times New Roman" w:cs="Times New Roman"/>
          <w:lang w:val="lt-LT"/>
        </w:rPr>
      </w:pPr>
    </w:p>
    <w:p w14:paraId="6F94AFC6" w14:textId="77777777" w:rsidR="00797756" w:rsidRPr="00964115" w:rsidRDefault="00797756" w:rsidP="00797756">
      <w:pPr>
        <w:spacing w:after="0" w:line="240" w:lineRule="auto"/>
        <w:rPr>
          <w:rFonts w:ascii="Times New Roman" w:eastAsia="Calibri" w:hAnsi="Times New Roman" w:cs="Times New Roman"/>
          <w:lang w:val="lt-LT"/>
        </w:rPr>
      </w:pPr>
    </w:p>
    <w:p w14:paraId="6F94AFC7" w14:textId="77777777" w:rsidR="00797756" w:rsidRPr="00964115" w:rsidRDefault="00797756" w:rsidP="00797756">
      <w:pPr>
        <w:spacing w:after="0" w:line="240" w:lineRule="auto"/>
        <w:rPr>
          <w:rFonts w:ascii="Times New Roman" w:eastAsia="Calibri" w:hAnsi="Times New Roman" w:cs="Times New Roman"/>
          <w:b/>
          <w:lang w:val="lt-LT"/>
        </w:rPr>
      </w:pPr>
      <w:bookmarkStart w:id="3" w:name="_Toc129243099"/>
      <w:bookmarkStart w:id="4" w:name="_Toc129243224"/>
      <w:r w:rsidRPr="00964115">
        <w:rPr>
          <w:rFonts w:ascii="Times New Roman" w:eastAsia="Calibri" w:hAnsi="Times New Roman" w:cs="Times New Roman"/>
          <w:b/>
          <w:lang w:val="lt-LT"/>
        </w:rPr>
        <w:t>2.</w:t>
      </w:r>
      <w:r w:rsidRPr="00964115">
        <w:rPr>
          <w:rFonts w:ascii="Times New Roman" w:eastAsia="Calibri" w:hAnsi="Times New Roman" w:cs="Times New Roman"/>
          <w:b/>
          <w:lang w:val="lt-LT"/>
        </w:rPr>
        <w:tab/>
        <w:t>KOKYBINĖ IR KIEKYBINĖ SUDĖTIS</w:t>
      </w:r>
      <w:bookmarkEnd w:id="3"/>
      <w:bookmarkEnd w:id="4"/>
    </w:p>
    <w:p w14:paraId="6F94AFC8" w14:textId="77777777" w:rsidR="00797756" w:rsidRPr="00964115" w:rsidRDefault="00797756" w:rsidP="00797756">
      <w:pPr>
        <w:spacing w:after="0" w:line="240" w:lineRule="auto"/>
        <w:rPr>
          <w:rFonts w:ascii="Times New Roman" w:eastAsia="Calibri" w:hAnsi="Times New Roman" w:cs="Times New Roman"/>
          <w:lang w:val="lt-LT"/>
        </w:rPr>
      </w:pPr>
    </w:p>
    <w:p w14:paraId="6F94AFC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Kiekvienoje modifikuoto atpalaidavimo tabletėje yra 500 mg naprokseno ir 20 mg ezomeprazolo (magnio druskos trihidrato pavidalu).</w:t>
      </w:r>
    </w:p>
    <w:p w14:paraId="6F94AFCA" w14:textId="77777777" w:rsidR="00797756" w:rsidRPr="00964115" w:rsidRDefault="00797756" w:rsidP="00797756">
      <w:pPr>
        <w:spacing w:after="0" w:line="240" w:lineRule="auto"/>
        <w:rPr>
          <w:rFonts w:ascii="Times New Roman" w:eastAsia="Calibri" w:hAnsi="Times New Roman" w:cs="Times New Roman"/>
          <w:lang w:val="lt-LT"/>
        </w:rPr>
      </w:pPr>
    </w:p>
    <w:p w14:paraId="6F94AFCB"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Pagalbinė medžiaga, kurios poveikis žinomas:</w:t>
      </w:r>
    </w:p>
    <w:p w14:paraId="6F94AFC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sudėtyje yra 0,02 mg metilo parahidroksibenzoato ir 0,01 mg propilo parahidroksibenzoato (žr. 4.4 ir 6.1 skyrius).</w:t>
      </w:r>
    </w:p>
    <w:p w14:paraId="6F94AFCD" w14:textId="77777777" w:rsidR="00797756" w:rsidRPr="00964115" w:rsidRDefault="00797756" w:rsidP="00797756">
      <w:pPr>
        <w:spacing w:after="0" w:line="240" w:lineRule="auto"/>
        <w:rPr>
          <w:rFonts w:ascii="Times New Roman" w:eastAsia="Calibri" w:hAnsi="Times New Roman" w:cs="Times New Roman"/>
          <w:lang w:val="lt-LT"/>
        </w:rPr>
      </w:pPr>
    </w:p>
    <w:p w14:paraId="6F94AFC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Visos pagalbinės medžiagos išvardytos 6.1 skyriuje.</w:t>
      </w:r>
    </w:p>
    <w:p w14:paraId="6F94AFCF" w14:textId="77777777" w:rsidR="00797756" w:rsidRPr="00964115" w:rsidRDefault="00797756" w:rsidP="00797756">
      <w:pPr>
        <w:spacing w:after="0" w:line="240" w:lineRule="auto"/>
        <w:rPr>
          <w:rFonts w:ascii="Times New Roman" w:eastAsia="Calibri" w:hAnsi="Times New Roman" w:cs="Times New Roman"/>
          <w:lang w:val="lt-LT"/>
        </w:rPr>
      </w:pPr>
    </w:p>
    <w:p w14:paraId="6F94AFD0" w14:textId="77777777" w:rsidR="00797756" w:rsidRPr="00964115" w:rsidRDefault="00797756" w:rsidP="00797756">
      <w:pPr>
        <w:spacing w:after="0" w:line="240" w:lineRule="auto"/>
        <w:rPr>
          <w:rFonts w:ascii="Times New Roman" w:eastAsia="Calibri" w:hAnsi="Times New Roman" w:cs="Times New Roman"/>
          <w:lang w:val="lt-LT"/>
        </w:rPr>
      </w:pPr>
    </w:p>
    <w:p w14:paraId="6F94AFD1" w14:textId="77777777" w:rsidR="00797756" w:rsidRPr="00964115" w:rsidRDefault="00797756" w:rsidP="00797756">
      <w:pPr>
        <w:spacing w:after="0" w:line="240" w:lineRule="auto"/>
        <w:rPr>
          <w:rFonts w:ascii="Times New Roman" w:eastAsia="Calibri" w:hAnsi="Times New Roman" w:cs="Times New Roman"/>
          <w:b/>
          <w:lang w:val="lt-LT"/>
        </w:rPr>
      </w:pPr>
      <w:bookmarkStart w:id="5" w:name="_Toc129243100"/>
      <w:bookmarkStart w:id="6" w:name="_Toc129243225"/>
      <w:r w:rsidRPr="00964115">
        <w:rPr>
          <w:rFonts w:ascii="Times New Roman" w:eastAsia="Calibri" w:hAnsi="Times New Roman" w:cs="Times New Roman"/>
          <w:b/>
          <w:lang w:val="lt-LT"/>
        </w:rPr>
        <w:t>3.</w:t>
      </w:r>
      <w:r w:rsidRPr="00964115">
        <w:rPr>
          <w:rFonts w:ascii="Times New Roman" w:eastAsia="Calibri" w:hAnsi="Times New Roman" w:cs="Times New Roman"/>
          <w:b/>
          <w:lang w:val="lt-LT"/>
        </w:rPr>
        <w:tab/>
        <w:t>FARMACINĖ FORMA</w:t>
      </w:r>
      <w:bookmarkEnd w:id="5"/>
      <w:bookmarkEnd w:id="6"/>
    </w:p>
    <w:p w14:paraId="6F94AFD2" w14:textId="77777777" w:rsidR="00797756" w:rsidRPr="00964115" w:rsidRDefault="00797756" w:rsidP="00797756">
      <w:pPr>
        <w:spacing w:after="0" w:line="240" w:lineRule="auto"/>
        <w:rPr>
          <w:rFonts w:ascii="Times New Roman" w:eastAsia="Calibri" w:hAnsi="Times New Roman" w:cs="Times New Roman"/>
          <w:lang w:val="lt-LT"/>
        </w:rPr>
      </w:pPr>
    </w:p>
    <w:p w14:paraId="6F94AFD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Modifikuoto atpalaidavimo tabletė, kurioje yra žarnose tirpiu (skrandyje neiriu) dangalu dengto naprokseno ir plėvele dengto ezomeprazolo.</w:t>
      </w:r>
    </w:p>
    <w:p w14:paraId="6F94AFD4" w14:textId="77777777" w:rsidR="00797756" w:rsidRPr="00964115" w:rsidRDefault="00797756" w:rsidP="00797756">
      <w:pPr>
        <w:spacing w:after="0" w:line="240" w:lineRule="auto"/>
        <w:rPr>
          <w:rFonts w:ascii="Times New Roman" w:eastAsia="Calibri" w:hAnsi="Times New Roman" w:cs="Times New Roman"/>
          <w:lang w:val="lt-LT"/>
        </w:rPr>
      </w:pPr>
    </w:p>
    <w:p w14:paraId="6F94AFD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Tabletė yra 18 x 9,5 mm dydžio, ovali, abipus išgaubta, geltona, ant jos juodais dažais užrašyta „500/20“.</w:t>
      </w:r>
    </w:p>
    <w:p w14:paraId="6F94AFD6" w14:textId="77777777" w:rsidR="00797756" w:rsidRPr="00964115" w:rsidRDefault="00797756" w:rsidP="00797756">
      <w:pPr>
        <w:spacing w:after="0" w:line="240" w:lineRule="auto"/>
        <w:rPr>
          <w:rFonts w:ascii="Times New Roman" w:eastAsia="Calibri" w:hAnsi="Times New Roman" w:cs="Times New Roman"/>
          <w:lang w:val="lt-LT"/>
        </w:rPr>
      </w:pPr>
    </w:p>
    <w:p w14:paraId="6F94AFD7" w14:textId="77777777" w:rsidR="00797756" w:rsidRPr="00964115" w:rsidRDefault="00797756" w:rsidP="00797756">
      <w:pPr>
        <w:spacing w:after="0" w:line="240" w:lineRule="auto"/>
        <w:rPr>
          <w:rFonts w:ascii="Times New Roman" w:eastAsia="Calibri" w:hAnsi="Times New Roman" w:cs="Times New Roman"/>
          <w:lang w:val="lt-LT"/>
        </w:rPr>
      </w:pPr>
    </w:p>
    <w:p w14:paraId="6F94AFD8" w14:textId="77777777" w:rsidR="00797756" w:rsidRPr="00964115" w:rsidRDefault="00797756" w:rsidP="00797756">
      <w:pPr>
        <w:spacing w:after="0" w:line="240" w:lineRule="auto"/>
        <w:rPr>
          <w:rFonts w:ascii="Times New Roman" w:eastAsia="Calibri" w:hAnsi="Times New Roman" w:cs="Times New Roman"/>
          <w:b/>
          <w:lang w:val="lt-LT"/>
        </w:rPr>
      </w:pPr>
      <w:bookmarkStart w:id="7" w:name="_Toc129243101"/>
      <w:bookmarkStart w:id="8" w:name="_Toc129243226"/>
      <w:r w:rsidRPr="00964115">
        <w:rPr>
          <w:rFonts w:ascii="Times New Roman" w:eastAsia="Calibri" w:hAnsi="Times New Roman" w:cs="Times New Roman"/>
          <w:b/>
          <w:lang w:val="lt-LT"/>
        </w:rPr>
        <w:t>4.</w:t>
      </w:r>
      <w:r w:rsidRPr="00964115">
        <w:rPr>
          <w:rFonts w:ascii="Times New Roman" w:eastAsia="Calibri" w:hAnsi="Times New Roman" w:cs="Times New Roman"/>
          <w:b/>
          <w:lang w:val="lt-LT"/>
        </w:rPr>
        <w:tab/>
        <w:t>KLINIKINĖ INFORMACIJA</w:t>
      </w:r>
      <w:bookmarkEnd w:id="7"/>
      <w:bookmarkEnd w:id="8"/>
    </w:p>
    <w:p w14:paraId="6F94AFD9" w14:textId="77777777" w:rsidR="00797756" w:rsidRPr="00964115" w:rsidRDefault="00797756" w:rsidP="00797756">
      <w:pPr>
        <w:spacing w:after="0" w:line="240" w:lineRule="auto"/>
        <w:rPr>
          <w:rFonts w:ascii="Times New Roman" w:eastAsia="Calibri" w:hAnsi="Times New Roman" w:cs="Times New Roman"/>
          <w:lang w:val="lt-LT"/>
        </w:rPr>
      </w:pPr>
    </w:p>
    <w:p w14:paraId="6F94AFDA" w14:textId="77777777" w:rsidR="00797756" w:rsidRPr="00964115" w:rsidRDefault="00797756" w:rsidP="00797756">
      <w:pPr>
        <w:spacing w:after="0" w:line="240" w:lineRule="auto"/>
        <w:rPr>
          <w:rFonts w:ascii="Times New Roman" w:eastAsia="Calibri" w:hAnsi="Times New Roman" w:cs="Times New Roman"/>
          <w:b/>
          <w:lang w:val="lt-LT"/>
        </w:rPr>
      </w:pPr>
      <w:bookmarkStart w:id="9" w:name="_Toc129243102"/>
      <w:bookmarkStart w:id="10" w:name="_Toc129243227"/>
      <w:r w:rsidRPr="00964115">
        <w:rPr>
          <w:rFonts w:ascii="Times New Roman" w:eastAsia="Calibri" w:hAnsi="Times New Roman" w:cs="Times New Roman"/>
          <w:b/>
          <w:lang w:val="lt-LT"/>
        </w:rPr>
        <w:t>4.1</w:t>
      </w:r>
      <w:r w:rsidRPr="00964115">
        <w:rPr>
          <w:rFonts w:ascii="Times New Roman" w:eastAsia="Calibri" w:hAnsi="Times New Roman" w:cs="Times New Roman"/>
          <w:b/>
          <w:lang w:val="lt-LT"/>
        </w:rPr>
        <w:tab/>
        <w:t>Terapinės indikacijos</w:t>
      </w:r>
      <w:bookmarkEnd w:id="9"/>
      <w:bookmarkEnd w:id="10"/>
    </w:p>
    <w:p w14:paraId="6F94AFDB" w14:textId="77777777" w:rsidR="00797756" w:rsidRPr="00964115" w:rsidRDefault="00797756" w:rsidP="00797756">
      <w:pPr>
        <w:spacing w:after="0" w:line="240" w:lineRule="auto"/>
        <w:rPr>
          <w:rFonts w:ascii="Times New Roman" w:eastAsia="Calibri" w:hAnsi="Times New Roman" w:cs="Times New Roman"/>
          <w:lang w:val="lt-LT"/>
        </w:rPr>
      </w:pPr>
    </w:p>
    <w:p w14:paraId="6F94AFD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Osteoartrito, reumatoidinio artrito ir ankilozinio spondilito simptominis gydymas suaugusiems pacientams, kuriems yra su nesteroidinių vaistų nuo uždegimo (NVNU) vartojimu susijusių skrandžio ir (ar) dvylikapirštės žarnos opų rizika, kai manoma, kad mažesnės naprokseno ar kitų NVNU dozės nepakanka.</w:t>
      </w:r>
    </w:p>
    <w:p w14:paraId="6F94AFDD" w14:textId="77777777" w:rsidR="00797756" w:rsidRPr="00964115" w:rsidRDefault="00797756" w:rsidP="00797756">
      <w:pPr>
        <w:spacing w:after="0" w:line="240" w:lineRule="auto"/>
        <w:rPr>
          <w:rFonts w:ascii="Times New Roman" w:eastAsia="Calibri" w:hAnsi="Times New Roman" w:cs="Times New Roman"/>
          <w:lang w:val="lt-LT"/>
        </w:rPr>
      </w:pPr>
    </w:p>
    <w:p w14:paraId="6F94AFDE" w14:textId="77777777" w:rsidR="00797756" w:rsidRPr="00964115" w:rsidRDefault="00797756" w:rsidP="00797756">
      <w:pPr>
        <w:spacing w:after="0" w:line="240" w:lineRule="auto"/>
        <w:rPr>
          <w:rFonts w:ascii="Times New Roman" w:eastAsia="Calibri" w:hAnsi="Times New Roman" w:cs="Times New Roman"/>
          <w:b/>
          <w:lang w:val="lt-LT"/>
        </w:rPr>
      </w:pPr>
      <w:bookmarkStart w:id="11" w:name="_Toc129243103"/>
      <w:bookmarkStart w:id="12" w:name="_Toc129243228"/>
      <w:r w:rsidRPr="00964115">
        <w:rPr>
          <w:rFonts w:ascii="Times New Roman" w:eastAsia="Calibri" w:hAnsi="Times New Roman" w:cs="Times New Roman"/>
          <w:b/>
          <w:lang w:val="lt-LT"/>
        </w:rPr>
        <w:t>4.2</w:t>
      </w:r>
      <w:r w:rsidRPr="00964115">
        <w:rPr>
          <w:rFonts w:ascii="Times New Roman" w:eastAsia="Calibri" w:hAnsi="Times New Roman" w:cs="Times New Roman"/>
          <w:b/>
          <w:lang w:val="lt-LT"/>
        </w:rPr>
        <w:tab/>
        <w:t>Dozavimas ir vartojimo metodas</w:t>
      </w:r>
      <w:bookmarkEnd w:id="11"/>
      <w:bookmarkEnd w:id="12"/>
    </w:p>
    <w:p w14:paraId="6F94AFDF" w14:textId="77777777" w:rsidR="00797756" w:rsidRPr="00964115" w:rsidRDefault="00797756" w:rsidP="00797756">
      <w:pPr>
        <w:spacing w:after="0" w:line="240" w:lineRule="auto"/>
        <w:rPr>
          <w:rFonts w:ascii="Times New Roman" w:eastAsia="Calibri" w:hAnsi="Times New Roman" w:cs="Times New Roman"/>
          <w:lang w:val="lt-LT"/>
        </w:rPr>
      </w:pPr>
    </w:p>
    <w:p w14:paraId="6F94AFE0"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Dozavimas</w:t>
      </w:r>
    </w:p>
    <w:p w14:paraId="6F94AFE1"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lang w:val="lt-LT"/>
        </w:rPr>
        <w:t>Vienkartinė dozė yra 1 tabletė (500 mg/20 mg). Ji vartojama 2 kartus per parą.</w:t>
      </w:r>
    </w:p>
    <w:p w14:paraId="6F94AFE2" w14:textId="77777777" w:rsidR="00797756" w:rsidRPr="00964115" w:rsidRDefault="00797756" w:rsidP="00797756">
      <w:pPr>
        <w:spacing w:after="0" w:line="240" w:lineRule="auto"/>
        <w:rPr>
          <w:rFonts w:ascii="Times New Roman" w:eastAsia="Calibri" w:hAnsi="Times New Roman" w:cs="Times New Roman"/>
          <w:lang w:val="lt-LT"/>
        </w:rPr>
      </w:pPr>
    </w:p>
    <w:p w14:paraId="6F94AFE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Naprokseno nepageidaujamas poveikis gali būti silpnesnis vartojant mažiausią veiksmingą jo dozę trumpiausią įmanomą laikotarpį (žr. 4.4 skyrių). Jeigu pacientas anksčiau nevartojo NVNU, reikia apsvarstyti galimybę jam skirti mažesnę naprokseno ar kito NVNU paros dozę. Jei naprokseno 1000 mg paros dozė laikoma netinkama, reikia gydyti kitu vaistiniu preparatu.</w:t>
      </w:r>
    </w:p>
    <w:p w14:paraId="6F94AFE4" w14:textId="77777777" w:rsidR="00797756" w:rsidRPr="00964115" w:rsidRDefault="00797756" w:rsidP="00797756">
      <w:pPr>
        <w:spacing w:after="0" w:line="240" w:lineRule="auto"/>
        <w:rPr>
          <w:rFonts w:ascii="Times New Roman" w:eastAsia="Calibri" w:hAnsi="Times New Roman" w:cs="Times New Roman"/>
          <w:lang w:val="lt-LT"/>
        </w:rPr>
      </w:pPr>
    </w:p>
    <w:p w14:paraId="6F94AFE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Gydymą reikia tęsti kiek būtina individualiam tikslui pasiekti. Reikia reguliariai vertinti vaistinio preparato gydomąjį poveikį ir, jei naudos nėra, jo vartojimą nutraukti.</w:t>
      </w:r>
    </w:p>
    <w:p w14:paraId="6F94AFE6" w14:textId="77777777" w:rsidR="00797756" w:rsidRPr="00964115" w:rsidRDefault="00797756" w:rsidP="00797756">
      <w:pPr>
        <w:spacing w:after="0" w:line="240" w:lineRule="auto"/>
        <w:rPr>
          <w:rFonts w:ascii="Times New Roman" w:eastAsia="Calibri" w:hAnsi="Times New Roman" w:cs="Times New Roman"/>
          <w:lang w:val="lt-LT"/>
        </w:rPr>
      </w:pPr>
    </w:p>
    <w:p w14:paraId="6F94AFE7"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Dėl sulėtinto naprokseno atpalaidavimo iš skrandyje neirios farmacinės formos Vimovo nėra skirtas ūminėms skausmingoms būklėms (pvz., dantų skausmui ar podagrai) gydyti, tačiau jį galima vartoti paūmėjusiam osteoartritui, reumatoidiniam artritui ir ankiloziniam spondilitui gydyti.</w:t>
      </w:r>
    </w:p>
    <w:p w14:paraId="6F94AFE8" w14:textId="77777777" w:rsidR="00797756" w:rsidRPr="00964115" w:rsidRDefault="00797756" w:rsidP="00797756">
      <w:pPr>
        <w:spacing w:after="0" w:line="240" w:lineRule="auto"/>
        <w:rPr>
          <w:rFonts w:ascii="Times New Roman" w:eastAsia="Calibri" w:hAnsi="Times New Roman" w:cs="Times New Roman"/>
          <w:lang w:val="lt-LT"/>
        </w:rPr>
      </w:pPr>
    </w:p>
    <w:p w14:paraId="6F94AFE9"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Ypatingos populiacijos</w:t>
      </w:r>
    </w:p>
    <w:p w14:paraId="6F94AFEA" w14:textId="77777777" w:rsidR="00797756" w:rsidRPr="00964115" w:rsidRDefault="00797756" w:rsidP="00797756">
      <w:pPr>
        <w:spacing w:after="0" w:line="240" w:lineRule="auto"/>
        <w:rPr>
          <w:rFonts w:ascii="Times New Roman" w:eastAsia="Calibri" w:hAnsi="Times New Roman" w:cs="Times New Roman"/>
          <w:lang w:val="lt-LT"/>
        </w:rPr>
      </w:pPr>
    </w:p>
    <w:p w14:paraId="6F94AFEB"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lang w:val="lt-LT"/>
        </w:rPr>
        <w:t>Sutrikusi inkstų funkcija</w:t>
      </w:r>
    </w:p>
    <w:p w14:paraId="6F94AFE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Pacientams, kuriems yra lengvas ar vidutinio laipsnio inkstų funkcijos sutrikimas, Vimovo reikia skirti atsargiai, atidžiai stebint inkstų funkciją. Reikia apsvarstyti, ar nereikėtų sumažinti naprokseno paros dozės (žr. 4.4 ir 4.5 skyrius). Jeigu manoma, kad naprokseno 1000 mg paros dozė netinka, reikia gydyti kitaip.</w:t>
      </w:r>
    </w:p>
    <w:p w14:paraId="6F94AFED" w14:textId="77777777" w:rsidR="00797756" w:rsidRPr="00964115" w:rsidRDefault="00797756" w:rsidP="00797756">
      <w:pPr>
        <w:spacing w:after="0" w:line="240" w:lineRule="auto"/>
        <w:rPr>
          <w:rFonts w:ascii="Times New Roman" w:eastAsia="Calibri" w:hAnsi="Times New Roman" w:cs="Times New Roman"/>
          <w:lang w:val="lt-LT"/>
        </w:rPr>
      </w:pPr>
    </w:p>
    <w:p w14:paraId="6F94AFE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Pacientams, kuriems yra sunkus inkstų funkcijos sutrikimas (kreatinino klirensas &lt; 30 ml/min.), Vimovo vartoti negalima, kadangi pastebėta naprokseno metabolitų akumuliacija sunkiu inkstų nepakankamumu sergančių pacientų ir dializuojamų pacientų organizme (žr. 4.3 ir 4.4 skyrius).</w:t>
      </w:r>
    </w:p>
    <w:p w14:paraId="6F94AFEF" w14:textId="77777777" w:rsidR="00797756" w:rsidRPr="00964115" w:rsidRDefault="00797756" w:rsidP="00797756">
      <w:pPr>
        <w:spacing w:after="0" w:line="240" w:lineRule="auto"/>
        <w:rPr>
          <w:rFonts w:ascii="Times New Roman" w:eastAsia="Calibri" w:hAnsi="Times New Roman" w:cs="Times New Roman"/>
          <w:lang w:val="lt-LT"/>
        </w:rPr>
      </w:pPr>
    </w:p>
    <w:p w14:paraId="6F94AFF0"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Sutrikusi kepenų funkcija</w:t>
      </w:r>
    </w:p>
    <w:p w14:paraId="6F94AFF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Pacientams, kuriems yra lengvo ar vidutinio laipsnio kepenų funkcijos sutrikimas, Vimovo skiriama atsargiai, atidžiai stebint kepenų funkciją. Reikia apsvarstyti, ar nereikėtų sumažinti naprokseno paros dozės (žr. 4.4 ir 5.2 skyrius). Jeigu manoma, kad naprokseno 1000 mg paros dozė netinka, reikia gydyti kitaip.</w:t>
      </w:r>
    </w:p>
    <w:p w14:paraId="6F94AFF2" w14:textId="77777777" w:rsidR="00797756" w:rsidRPr="00964115" w:rsidRDefault="00797756" w:rsidP="00797756">
      <w:pPr>
        <w:spacing w:after="0" w:line="240" w:lineRule="auto"/>
        <w:rPr>
          <w:rFonts w:ascii="Times New Roman" w:eastAsia="Calibri" w:hAnsi="Times New Roman" w:cs="Times New Roman"/>
          <w:lang w:val="lt-LT"/>
        </w:rPr>
      </w:pPr>
    </w:p>
    <w:p w14:paraId="6F94AFF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Pacientams, kurių kepenų funkcija sunkiai sutrikusi, Vimovo vartoti negalima (žr. 4.3 ir 5.2 skyrius).</w:t>
      </w:r>
    </w:p>
    <w:p w14:paraId="6F94AFF4" w14:textId="77777777" w:rsidR="00797756" w:rsidRPr="00964115" w:rsidRDefault="00797756" w:rsidP="00797756">
      <w:pPr>
        <w:spacing w:after="0" w:line="240" w:lineRule="auto"/>
        <w:rPr>
          <w:rFonts w:ascii="Times New Roman" w:eastAsia="Calibri" w:hAnsi="Times New Roman" w:cs="Times New Roman"/>
          <w:lang w:val="lt-LT"/>
        </w:rPr>
      </w:pPr>
    </w:p>
    <w:p w14:paraId="6F94AFF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 xml:space="preserve">Senyviems (vyresniems kaip 65 metų) pacientams </w:t>
      </w:r>
    </w:p>
    <w:p w14:paraId="6F94AFF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Senyviems žmonėms kyla didesnis sunkių nepageidaujamų reakcijų pavojus (žr. 4.4 ir 5.2 skyrius).</w:t>
      </w:r>
      <w:r w:rsidRPr="00964115">
        <w:rPr>
          <w:rFonts w:ascii="Times New Roman" w:eastAsia="Calibri" w:hAnsi="Times New Roman" w:cs="Times New Roman"/>
          <w:bCs/>
          <w:lang w:val="lt-LT"/>
        </w:rPr>
        <w:t xml:space="preserve"> Jei </w:t>
      </w:r>
      <w:r w:rsidRPr="00964115">
        <w:rPr>
          <w:rFonts w:ascii="Times New Roman" w:eastAsia="Calibri" w:hAnsi="Times New Roman" w:cs="Times New Roman"/>
          <w:lang w:val="lt-LT"/>
        </w:rPr>
        <w:t xml:space="preserve">1000 mg naprokseno paros dozė laikoma netinkama (pvz., senyviems, </w:t>
      </w:r>
      <w:r w:rsidRPr="00964115">
        <w:rPr>
          <w:rFonts w:ascii="Times New Roman" w:eastAsia="Calibri" w:hAnsi="Times New Roman" w:cs="Times New Roman"/>
          <w:bCs/>
          <w:lang w:val="lt-LT"/>
        </w:rPr>
        <w:t xml:space="preserve">kurių </w:t>
      </w:r>
      <w:r w:rsidRPr="00964115">
        <w:rPr>
          <w:rFonts w:ascii="Times New Roman" w:eastAsia="Calibri" w:hAnsi="Times New Roman" w:cs="Times New Roman"/>
          <w:lang w:val="lt-LT"/>
        </w:rPr>
        <w:t xml:space="preserve">inkstų funkcija sutrikusi </w:t>
      </w:r>
      <w:r w:rsidRPr="00964115">
        <w:rPr>
          <w:rFonts w:ascii="Times New Roman" w:eastAsia="Calibri" w:hAnsi="Times New Roman" w:cs="Times New Roman"/>
          <w:bCs/>
          <w:lang w:val="lt-LT"/>
        </w:rPr>
        <w:t>ir mažas kūno svoris),</w:t>
      </w:r>
      <w:r w:rsidRPr="00964115">
        <w:rPr>
          <w:rFonts w:ascii="Times New Roman" w:eastAsia="Calibri" w:hAnsi="Times New Roman" w:cs="Times New Roman"/>
          <w:lang w:val="lt-LT"/>
        </w:rPr>
        <w:t xml:space="preserve"> reikia gydyti kitu vaistiniu preparatu</w:t>
      </w:r>
      <w:r w:rsidRPr="00964115">
        <w:rPr>
          <w:rFonts w:ascii="Times New Roman" w:eastAsia="Calibri" w:hAnsi="Times New Roman" w:cs="Times New Roman"/>
          <w:bCs/>
          <w:lang w:val="lt-LT"/>
        </w:rPr>
        <w:t>.</w:t>
      </w:r>
    </w:p>
    <w:p w14:paraId="6F94AFF7" w14:textId="77777777" w:rsidR="00797756" w:rsidRPr="00964115" w:rsidRDefault="00797756" w:rsidP="00797756">
      <w:pPr>
        <w:spacing w:after="0" w:line="240" w:lineRule="auto"/>
        <w:rPr>
          <w:rFonts w:ascii="Times New Roman" w:eastAsia="Calibri" w:hAnsi="Times New Roman" w:cs="Times New Roman"/>
          <w:lang w:val="lt-LT"/>
        </w:rPr>
      </w:pPr>
    </w:p>
    <w:p w14:paraId="6F94AFF8"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Vaikų populiacija</w:t>
      </w:r>
    </w:p>
    <w:p w14:paraId="6F94AFF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saugumas ir veiksmingumas vaikams iki 18 metų neištirti. Duomenų nėra.</w:t>
      </w:r>
    </w:p>
    <w:p w14:paraId="6F94AFFA" w14:textId="77777777" w:rsidR="00797756" w:rsidRPr="00964115" w:rsidRDefault="00797756" w:rsidP="00797756">
      <w:pPr>
        <w:spacing w:after="0" w:line="240" w:lineRule="auto"/>
        <w:rPr>
          <w:rFonts w:ascii="Times New Roman" w:eastAsia="Calibri" w:hAnsi="Times New Roman" w:cs="Times New Roman"/>
          <w:lang w:val="lt-LT"/>
        </w:rPr>
      </w:pPr>
    </w:p>
    <w:p w14:paraId="6F94AFFB"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Vartojimo metodas</w:t>
      </w:r>
    </w:p>
    <w:p w14:paraId="6F94AFF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tabletę reikia nuryti nepažeistą, užgeriant vandeniu. Jos negalima smulkinti, kramtyti ar traiškyti.</w:t>
      </w:r>
    </w:p>
    <w:p w14:paraId="6F94AFFD" w14:textId="77777777" w:rsidR="00797756" w:rsidRPr="00964115" w:rsidRDefault="00797756" w:rsidP="00797756">
      <w:pPr>
        <w:spacing w:after="0" w:line="240" w:lineRule="auto"/>
        <w:rPr>
          <w:rFonts w:ascii="Times New Roman" w:eastAsia="Calibri" w:hAnsi="Times New Roman" w:cs="Times New Roman"/>
          <w:lang w:val="lt-LT"/>
        </w:rPr>
      </w:pPr>
    </w:p>
    <w:p w14:paraId="6F94AFF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rekomenduojama vartoti ne mažiau kaip 30 min. prieš valgį (žr. 5.2 skyrių).</w:t>
      </w:r>
    </w:p>
    <w:p w14:paraId="6F94AFFF" w14:textId="77777777" w:rsidR="00797756" w:rsidRPr="00964115" w:rsidRDefault="00797756" w:rsidP="00797756">
      <w:pPr>
        <w:spacing w:after="0" w:line="240" w:lineRule="auto"/>
        <w:rPr>
          <w:rFonts w:ascii="Times New Roman" w:eastAsia="Calibri" w:hAnsi="Times New Roman" w:cs="Times New Roman"/>
          <w:lang w:val="lt-LT"/>
        </w:rPr>
      </w:pPr>
    </w:p>
    <w:p w14:paraId="6F94B000" w14:textId="77777777" w:rsidR="00797756" w:rsidRPr="00964115" w:rsidRDefault="00797756" w:rsidP="00797756">
      <w:pPr>
        <w:spacing w:after="0" w:line="240" w:lineRule="auto"/>
        <w:rPr>
          <w:rFonts w:ascii="Times New Roman" w:eastAsia="Calibri" w:hAnsi="Times New Roman" w:cs="Times New Roman"/>
          <w:b/>
          <w:lang w:val="lt-LT"/>
        </w:rPr>
      </w:pPr>
      <w:bookmarkStart w:id="13" w:name="_Toc129243104"/>
      <w:bookmarkStart w:id="14" w:name="_Toc129243229"/>
      <w:r w:rsidRPr="00964115">
        <w:rPr>
          <w:rFonts w:ascii="Times New Roman" w:eastAsia="Calibri" w:hAnsi="Times New Roman" w:cs="Times New Roman"/>
          <w:b/>
          <w:lang w:val="lt-LT"/>
        </w:rPr>
        <w:t>4.3</w:t>
      </w:r>
      <w:r w:rsidRPr="00964115">
        <w:rPr>
          <w:rFonts w:ascii="Times New Roman" w:eastAsia="Calibri" w:hAnsi="Times New Roman" w:cs="Times New Roman"/>
          <w:b/>
          <w:lang w:val="lt-LT"/>
        </w:rPr>
        <w:tab/>
        <w:t>Kontraindikacijos</w:t>
      </w:r>
      <w:bookmarkEnd w:id="13"/>
      <w:bookmarkEnd w:id="14"/>
    </w:p>
    <w:p w14:paraId="6F94B001" w14:textId="77777777" w:rsidR="00797756" w:rsidRPr="00964115" w:rsidRDefault="00797756" w:rsidP="00797756">
      <w:pPr>
        <w:spacing w:after="0" w:line="240" w:lineRule="auto"/>
        <w:rPr>
          <w:rFonts w:ascii="Times New Roman" w:eastAsia="Calibri" w:hAnsi="Times New Roman" w:cs="Times New Roman"/>
          <w:lang w:val="lt-LT"/>
        </w:rPr>
      </w:pPr>
    </w:p>
    <w:p w14:paraId="6F94B002"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Padidėjęs jautrumas bet kuriai veikliajai arba bet kuriai 6.1 skyriuje nurodytai pagalbinei medžiagai arba modifikuotiems benzimidazolams.</w:t>
      </w:r>
    </w:p>
    <w:p w14:paraId="6F94B003"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Anksčiau buvusi astma, dilgėlinė arba alerginė reakcija, sukelta acetilsalicilo rūgšties ar kito NVNU (žr. 4.4 skyrių).</w:t>
      </w:r>
    </w:p>
    <w:p w14:paraId="6F94B004"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Trečias nėštumo trimestras (žr. 4.6 skyrių).</w:t>
      </w:r>
    </w:p>
    <w:p w14:paraId="6F94B005"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 xml:space="preserve">Sunkus (pvz., </w:t>
      </w:r>
      <w:r w:rsidRPr="00964115">
        <w:rPr>
          <w:rFonts w:ascii="Times New Roman" w:eastAsia="Calibri" w:hAnsi="Times New Roman" w:cs="Times New Roman"/>
          <w:i/>
          <w:lang w:val="lt-LT"/>
        </w:rPr>
        <w:t>Childs-Pugh</w:t>
      </w:r>
      <w:r w:rsidRPr="00964115">
        <w:rPr>
          <w:rFonts w:ascii="Times New Roman" w:eastAsia="Calibri" w:hAnsi="Times New Roman" w:cs="Times New Roman"/>
          <w:lang w:val="lt-LT"/>
        </w:rPr>
        <w:t xml:space="preserve"> C klasės) kepenų funkcijos sutrikimas.</w:t>
      </w:r>
    </w:p>
    <w:p w14:paraId="6F94B006"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Sunkus širdies nepakankamumas.</w:t>
      </w:r>
    </w:p>
    <w:p w14:paraId="6F94B007"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Sunkus inkstų funkcijos sutrikimas.</w:t>
      </w:r>
    </w:p>
    <w:p w14:paraId="6F94B008"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Aktyvi pepsinė opa (žr. 4.4 skyrių „Poveikis virškinimo traktui. Naproksenas“).</w:t>
      </w:r>
    </w:p>
    <w:p w14:paraId="6F94B009"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Kraujavimas virškinimo trakte, kraujavimas iš smegenų kraujagyslių ir kiti kraujavimu pasireiškiantys sutrikimai (žr. 4.4 skyrių: „Hematologinis poveikis“).</w:t>
      </w:r>
    </w:p>
    <w:p w14:paraId="6F94B00A" w14:textId="77777777" w:rsidR="00797756" w:rsidRPr="00964115"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 xml:space="preserve">Vimovo negalima vartoti kartu su atazanaviru ir nelfinaviru (žr. 4.4 ir 4.5 skyrius). </w:t>
      </w:r>
    </w:p>
    <w:p w14:paraId="6F94B00B" w14:textId="77777777" w:rsidR="00797756" w:rsidRPr="00964115" w:rsidRDefault="00797756" w:rsidP="00797756">
      <w:pPr>
        <w:spacing w:after="0" w:line="240" w:lineRule="auto"/>
        <w:rPr>
          <w:rFonts w:ascii="Times New Roman" w:eastAsia="Calibri" w:hAnsi="Times New Roman" w:cs="Times New Roman"/>
          <w:lang w:val="lt-LT"/>
        </w:rPr>
      </w:pPr>
    </w:p>
    <w:p w14:paraId="6F94B00C" w14:textId="77777777" w:rsidR="00797756" w:rsidRPr="00964115" w:rsidRDefault="00797756" w:rsidP="00797756">
      <w:pPr>
        <w:spacing w:after="0" w:line="240" w:lineRule="auto"/>
        <w:rPr>
          <w:rFonts w:ascii="Times New Roman" w:eastAsia="Calibri" w:hAnsi="Times New Roman" w:cs="Times New Roman"/>
          <w:b/>
          <w:lang w:val="lt-LT"/>
        </w:rPr>
      </w:pPr>
      <w:bookmarkStart w:id="15" w:name="_Toc129243105"/>
      <w:bookmarkStart w:id="16" w:name="_Toc129243230"/>
      <w:r w:rsidRPr="00964115">
        <w:rPr>
          <w:rFonts w:ascii="Times New Roman" w:eastAsia="Calibri" w:hAnsi="Times New Roman" w:cs="Times New Roman"/>
          <w:b/>
          <w:lang w:val="lt-LT"/>
        </w:rPr>
        <w:t>4.4</w:t>
      </w:r>
      <w:r w:rsidRPr="00964115">
        <w:rPr>
          <w:rFonts w:ascii="Times New Roman" w:eastAsia="Calibri" w:hAnsi="Times New Roman" w:cs="Times New Roman"/>
          <w:b/>
          <w:lang w:val="lt-LT"/>
        </w:rPr>
        <w:tab/>
        <w:t>Specialūs įspėjimai ir atsargumo priemonės</w:t>
      </w:r>
      <w:bookmarkEnd w:id="15"/>
      <w:bookmarkEnd w:id="16"/>
    </w:p>
    <w:p w14:paraId="6F94B00D" w14:textId="77777777" w:rsidR="00797756" w:rsidRPr="00964115" w:rsidRDefault="00797756" w:rsidP="00797756">
      <w:pPr>
        <w:spacing w:after="0" w:line="240" w:lineRule="auto"/>
        <w:rPr>
          <w:rFonts w:ascii="Times New Roman" w:eastAsia="Calibri" w:hAnsi="Times New Roman" w:cs="Times New Roman"/>
          <w:lang w:val="lt-LT"/>
        </w:rPr>
      </w:pPr>
    </w:p>
    <w:p w14:paraId="6F94B00E"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Bendri</w:t>
      </w:r>
    </w:p>
    <w:p w14:paraId="6F94B00F"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Dėl su NVNU susijusių sunkių nepageidaujamų reiškinių rizikos sumavimosi Vimovo negalima vartoti kartu su NVNU, įskaitant selektyvius ciklooksigenazės-2 inhibitorius. Vimovo galima vartoti kartu su maža acetilsalicilo rūgšties doze (taip pat žr. 4.5 skyrių).</w:t>
      </w:r>
    </w:p>
    <w:p w14:paraId="6F94B010"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p>
    <w:p w14:paraId="6F94B01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Nepageidaujamas poveikis gali pasireikšti rečiau ir būti lengvesnis vartojant mažiausią veiksmingą dozę trumpiausią simptomams sureguliuoti būtiną laikotarpį (žr. 4.2 skyrių ir žemiau „Poveikis virškinimo traktui“ bei „Poveikis širdies ir kraujagyslių sistemai“).</w:t>
      </w:r>
    </w:p>
    <w:p w14:paraId="6F94B012" w14:textId="77777777" w:rsidR="00797756" w:rsidRPr="00964115" w:rsidRDefault="00797756" w:rsidP="00797756">
      <w:pPr>
        <w:spacing w:after="0" w:line="240" w:lineRule="auto"/>
        <w:rPr>
          <w:rFonts w:ascii="Times New Roman" w:eastAsia="Calibri" w:hAnsi="Times New Roman" w:cs="Times New Roman"/>
          <w:lang w:val="lt-LT"/>
        </w:rPr>
      </w:pPr>
    </w:p>
    <w:p w14:paraId="6F94B01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Kad būtų išvengta nebūtino gydymo, gydytojas turi įvertinti kliniškai reikšmingus intervalus, atsižvelgdamas į individualią riziką bei gydomos ligos pobūdį ir sunkumą, t.y. ar galima užtikrinti pakankamą skausmo valdymą mažesnėmis NVNU dozėmis (nevartojant fiksuotų dozių derinio). </w:t>
      </w:r>
    </w:p>
    <w:p w14:paraId="6F94B014" w14:textId="77777777" w:rsidR="00797756" w:rsidRPr="00964115" w:rsidRDefault="00797756" w:rsidP="00797756">
      <w:pPr>
        <w:spacing w:after="0" w:line="240" w:lineRule="auto"/>
        <w:rPr>
          <w:rFonts w:ascii="Times New Roman" w:eastAsia="Calibri" w:hAnsi="Times New Roman" w:cs="Times New Roman"/>
          <w:lang w:val="lt-LT"/>
        </w:rPr>
      </w:pPr>
    </w:p>
    <w:p w14:paraId="6F94B01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naprokseno 1000 mg paros dozė (2 kartus po 500 mg) laikoma netinkama, tai reikia gydyti kitaip, t.y. mažesnio stiprumo naproksenu arba kitu NVNU (nevartojant fiksuotų dozių derinio) bei įvertinti poreikį tęsti skrandį apsaugantį gydymą.</w:t>
      </w:r>
    </w:p>
    <w:p w14:paraId="6F94B016"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p>
    <w:p w14:paraId="6F94B017" w14:textId="77777777" w:rsidR="00797756" w:rsidRPr="00964115" w:rsidRDefault="00797756" w:rsidP="00797756">
      <w:pPr>
        <w:spacing w:after="0" w:line="240" w:lineRule="auto"/>
        <w:rPr>
          <w:rFonts w:ascii="Times New Roman" w:eastAsia="Calibri" w:hAnsi="Times New Roman" w:cs="Times New Roman"/>
          <w:lang w:val="lt-LT"/>
        </w:rPr>
      </w:pPr>
    </w:p>
    <w:p w14:paraId="6F94B018" w14:textId="2811E731"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Su NVNU susijusių virškinimo trakto komplikacijų rizikos veiksniai yra senyvas amžius, kartu vartojami antikoaguliantai, kortikosteroidai ir kiti NVNU (įskaitant mažą acetilsalicilo rūgšties dozę), invalidumą sukeliančios širdies ir kraujagyslių ligos, </w:t>
      </w:r>
      <w:r w:rsidRPr="00964115">
        <w:rPr>
          <w:rFonts w:ascii="Times New Roman" w:eastAsia="Calibri" w:hAnsi="Times New Roman" w:cs="Times New Roman"/>
          <w:i/>
          <w:lang w:val="lt-LT"/>
        </w:rPr>
        <w:t xml:space="preserve">Helycobacter pylori </w:t>
      </w:r>
      <w:r w:rsidRPr="00964115">
        <w:rPr>
          <w:rFonts w:ascii="Times New Roman" w:eastAsia="Calibri" w:hAnsi="Times New Roman" w:cs="Times New Roman"/>
          <w:lang w:val="lt-LT"/>
        </w:rPr>
        <w:t>infekcija bei anksčiau buvusios skrandžio ar dvylikapirštės žarnos opos ir viršutinės virškinimo trakto dalies kraujavimas.</w:t>
      </w:r>
    </w:p>
    <w:p w14:paraId="6F94B019" w14:textId="77777777" w:rsidR="00797756" w:rsidRPr="00964115" w:rsidRDefault="00797756" w:rsidP="00797756">
      <w:pPr>
        <w:spacing w:after="0" w:line="240" w:lineRule="auto"/>
        <w:rPr>
          <w:rFonts w:ascii="Times New Roman" w:eastAsia="Calibri" w:hAnsi="Times New Roman" w:cs="Times New Roman"/>
          <w:lang w:val="lt-LT"/>
        </w:rPr>
      </w:pPr>
    </w:p>
    <w:p w14:paraId="6F94B01A" w14:textId="77777777" w:rsidR="00797756" w:rsidRPr="00964115" w:rsidRDefault="00797756" w:rsidP="00797756">
      <w:pPr>
        <w:tabs>
          <w:tab w:val="left" w:pos="220"/>
          <w:tab w:val="left" w:pos="330"/>
        </w:tabs>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Tik atidžiai įvertinus naudos ir rizikos santykį naprokseno skiriama pacientams, sergantiems šiomis ligomis:</w:t>
      </w:r>
    </w:p>
    <w:p w14:paraId="6F94B01B" w14:textId="77777777" w:rsidR="00797756" w:rsidRPr="00964115" w:rsidRDefault="00797756" w:rsidP="00797756">
      <w:pPr>
        <w:numPr>
          <w:ilvl w:val="0"/>
          <w:numId w:val="28"/>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indukuojamomis porfirijomis;</w:t>
      </w:r>
    </w:p>
    <w:p w14:paraId="6F94B01C" w14:textId="77777777" w:rsidR="00797756" w:rsidRPr="00964115" w:rsidRDefault="00797756" w:rsidP="00797756">
      <w:pPr>
        <w:numPr>
          <w:ilvl w:val="0"/>
          <w:numId w:val="28"/>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sistemine raudonąja vilklige arba mišria jungiamojo audinio liga (jiems gali būti didesnė aseptinio meningito rizika).</w:t>
      </w:r>
    </w:p>
    <w:p w14:paraId="6F94B01D" w14:textId="77777777" w:rsidR="00797756" w:rsidRPr="00964115" w:rsidRDefault="00797756" w:rsidP="00797756">
      <w:pPr>
        <w:spacing w:after="0" w:line="240" w:lineRule="auto"/>
        <w:rPr>
          <w:rFonts w:ascii="Times New Roman" w:eastAsia="Calibri" w:hAnsi="Times New Roman" w:cs="Times New Roman"/>
          <w:lang w:val="lt-LT"/>
        </w:rPr>
      </w:pPr>
    </w:p>
    <w:p w14:paraId="6F94B01E"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Ilgai (ypač ilgiau negu vienerius metus) gydomų pacientų būklę reikia reguliariai tikrinti.</w:t>
      </w:r>
    </w:p>
    <w:p w14:paraId="6F94B01F"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p>
    <w:p w14:paraId="6F94B02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sudėtyje yra labai mažas metilparahidroksibenzoato ir propilparahidroksibenzoato kiekis. Jie gali sukelti alerginių reakcijų, kurios gali būti uždelstos (žr. 2 ir 6.1 skyrius).</w:t>
      </w:r>
    </w:p>
    <w:p w14:paraId="6F94B021" w14:textId="77777777" w:rsidR="00797756" w:rsidRPr="00964115" w:rsidRDefault="00797756" w:rsidP="00797756">
      <w:pPr>
        <w:spacing w:after="0" w:line="240" w:lineRule="auto"/>
        <w:rPr>
          <w:rFonts w:ascii="Times New Roman" w:eastAsia="Calibri" w:hAnsi="Times New Roman" w:cs="Times New Roman"/>
          <w:lang w:val="lt-LT"/>
        </w:rPr>
      </w:pPr>
    </w:p>
    <w:p w14:paraId="6F94B022"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Senyviems žmonėms</w:t>
      </w:r>
    </w:p>
    <w:p w14:paraId="6F94B02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Naproksenas.</w:t>
      </w:r>
      <w:r w:rsidRPr="00964115">
        <w:rPr>
          <w:rFonts w:ascii="Times New Roman" w:eastAsia="Calibri" w:hAnsi="Times New Roman" w:cs="Times New Roman"/>
          <w:lang w:val="lt-LT"/>
        </w:rPr>
        <w:t xml:space="preserve"> Senyviems žmonėms nepageidaujamų reakcijų (ypač kraujavimas virškinimo trakte ir perforacija, kurios gali nulemti mirtį) pasireiškia dažniau (žr. 4.2 ir 5.2 skyrius). Vimovo sudėtyje esantis ezomeprazolas mažina opos riziką senyviems žmonėms.</w:t>
      </w:r>
    </w:p>
    <w:p w14:paraId="6F94B024" w14:textId="77777777" w:rsidR="00797756" w:rsidRPr="00964115" w:rsidRDefault="00797756" w:rsidP="00797756">
      <w:pPr>
        <w:spacing w:after="0" w:line="240" w:lineRule="auto"/>
        <w:rPr>
          <w:rFonts w:ascii="Times New Roman" w:eastAsia="Calibri" w:hAnsi="Times New Roman" w:cs="Times New Roman"/>
          <w:lang w:val="lt-LT"/>
        </w:rPr>
      </w:pPr>
    </w:p>
    <w:p w14:paraId="6F94B02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Poveikis virškinimo traktui</w:t>
      </w:r>
    </w:p>
    <w:p w14:paraId="6F94B02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iCs/>
          <w:lang w:val="lt-LT"/>
        </w:rPr>
        <w:t xml:space="preserve">Naproksenas. </w:t>
      </w:r>
      <w:r w:rsidRPr="00964115">
        <w:rPr>
          <w:rFonts w:ascii="Times New Roman" w:eastAsia="Calibri" w:hAnsi="Times New Roman" w:cs="Times New Roman"/>
          <w:iCs/>
          <w:lang w:val="lt-LT"/>
        </w:rPr>
        <w:t xml:space="preserve">Gauta pranešimų apie </w:t>
      </w:r>
      <w:r w:rsidRPr="00964115">
        <w:rPr>
          <w:rFonts w:ascii="Times New Roman" w:eastAsia="Calibri" w:hAnsi="Times New Roman" w:cs="Times New Roman"/>
          <w:lang w:val="lt-LT"/>
        </w:rPr>
        <w:t>kraujavimą virškinimo trakte, opų susidarymą ir jų perforaciją, vartojant bet kurį NVNU (šių nepageidaujamų reakcijų, galinčių nulemti mirtį, gali pasireikšti bet kuriuo laiku vartojant šiuos vaistus, tiek prieš tai buvus įspėjančių simptomų ar sunkių virškinimo trakto reiškinių, tiek jų nebuvus).</w:t>
      </w:r>
    </w:p>
    <w:p w14:paraId="6F94B027" w14:textId="77777777" w:rsidR="00797756" w:rsidRPr="00964115" w:rsidRDefault="00797756" w:rsidP="00797756">
      <w:pPr>
        <w:spacing w:after="0" w:line="240" w:lineRule="auto"/>
        <w:rPr>
          <w:rFonts w:ascii="Times New Roman" w:eastAsia="Calibri" w:hAnsi="Times New Roman" w:cs="Times New Roman"/>
          <w:lang w:val="lt-LT"/>
        </w:rPr>
      </w:pPr>
    </w:p>
    <w:p w14:paraId="6F94B02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Kraujavimo virškinimo trakte, opų susidarymo ir jų perforacijos rizika būna didesnė vartojant NVNU didesnėmis dozėmis, opai buvus anksčiau (ypač jeigu ji tada komplikavosi kraujavimu ar perforacija) ir senyviems žmonėms (žr. 4.3 skyrių). Tokių pacientų gydymas pradedamas nuo minimalios dozės. Reikia apsvarstyti galimybę kartu skirti apsauginius vaistinius preparatus (pvz., </w:t>
      </w:r>
      <w:r w:rsidRPr="00964115">
        <w:rPr>
          <w:rFonts w:ascii="Times New Roman" w:eastAsia="Calibri" w:hAnsi="Times New Roman" w:cs="Times New Roman"/>
          <w:bCs/>
          <w:lang w:val="lt-LT"/>
        </w:rPr>
        <w:t>mizoprostolį ar protonų siurblio inhibitorius</w:t>
      </w:r>
      <w:r w:rsidRPr="00964115">
        <w:rPr>
          <w:rFonts w:ascii="Times New Roman" w:eastAsia="Calibri" w:hAnsi="Times New Roman" w:cs="Times New Roman"/>
          <w:lang w:val="lt-LT"/>
        </w:rPr>
        <w:t>) aukščiau nurodytiems pacientams ir tiems, kuriems kartu reikia vartoti mažą acetilsalicilo rūgšties dozę arba kitų nepageidaujamo poveikio virškinimo traktui riziką galinčių didinti vaistinių preparatų (žr. žemiau ir 4.5 skyrių).</w:t>
      </w:r>
      <w:r w:rsidRPr="00964115">
        <w:rPr>
          <w:rFonts w:ascii="Times New Roman" w:eastAsia="Calibri" w:hAnsi="Times New Roman" w:cs="Times New Roman"/>
          <w:bCs/>
          <w:lang w:val="lt-LT"/>
        </w:rPr>
        <w:t xml:space="preserve"> Vimovo sudėtyje esantis ezomeprazolas yra protonų siurblio inhibitorius</w:t>
      </w:r>
      <w:r w:rsidRPr="00964115">
        <w:rPr>
          <w:rFonts w:ascii="Times New Roman" w:eastAsia="Calibri" w:hAnsi="Times New Roman" w:cs="Times New Roman"/>
          <w:lang w:val="lt-LT"/>
        </w:rPr>
        <w:t>.</w:t>
      </w:r>
    </w:p>
    <w:p w14:paraId="6F94B029" w14:textId="77777777" w:rsidR="00797756" w:rsidRPr="00964115" w:rsidRDefault="00797756" w:rsidP="00797756">
      <w:pPr>
        <w:spacing w:after="0" w:line="240" w:lineRule="auto"/>
        <w:rPr>
          <w:rFonts w:ascii="Times New Roman" w:eastAsia="Calibri" w:hAnsi="Times New Roman" w:cs="Times New Roman"/>
          <w:lang w:val="lt-LT"/>
        </w:rPr>
      </w:pPr>
    </w:p>
    <w:p w14:paraId="6F94B02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Pacientai, anksčiau patyrę toksinį poveikį virškinimo traktui, ypač senyvi, turi būtinai pranešti, jeigu pasireikštų kokių nors neįprastų pilvo simptomų (ypač kraujavimo virškinimo trakte). Tai svarbiausia pradedant gydymą.</w:t>
      </w:r>
    </w:p>
    <w:p w14:paraId="6F94B02B" w14:textId="77777777" w:rsidR="00797756" w:rsidRPr="00964115" w:rsidRDefault="00797756" w:rsidP="00797756">
      <w:pPr>
        <w:spacing w:after="0" w:line="240" w:lineRule="auto"/>
        <w:rPr>
          <w:rFonts w:ascii="Times New Roman" w:eastAsia="Calibri" w:hAnsi="Times New Roman" w:cs="Times New Roman"/>
          <w:lang w:val="lt-LT"/>
        </w:rPr>
      </w:pPr>
    </w:p>
    <w:p w14:paraId="6F94B02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kartu su NVNU pacientas vartoja opos susidarymo ar krau</w:t>
      </w:r>
      <w:r w:rsidRPr="00964115">
        <w:rPr>
          <w:rFonts w:ascii="Times New Roman" w:eastAsia="Calibri" w:hAnsi="Times New Roman" w:cs="Times New Roman"/>
          <w:lang w:val="lt-LT"/>
        </w:rPr>
        <w:softHyphen/>
        <w:t>ja</w:t>
      </w:r>
      <w:r w:rsidRPr="00964115">
        <w:rPr>
          <w:rFonts w:ascii="Times New Roman" w:eastAsia="Calibri" w:hAnsi="Times New Roman" w:cs="Times New Roman"/>
          <w:lang w:val="lt-LT"/>
        </w:rPr>
        <w:softHyphen/>
        <w:t>vi</w:t>
      </w:r>
      <w:r w:rsidRPr="00964115">
        <w:rPr>
          <w:rFonts w:ascii="Times New Roman" w:eastAsia="Calibri" w:hAnsi="Times New Roman" w:cs="Times New Roman"/>
          <w:lang w:val="lt-LT"/>
        </w:rPr>
        <w:softHyphen/>
        <w:t>mo riziką galinčių didinti vaistinių preparatų (kortikosteroidų per burną, antikoaguliantų, pvz., varfarino, selektyvių serotonino reabsorbcijos inhibitorių arba slopinančių trombocitų funkciją, pvz., acetilsalicilo rūgšties), būtina imtis atsargumo priemonių (informaciją apie Vimovo vartojimą kar</w:t>
      </w:r>
      <w:r w:rsidRPr="00964115">
        <w:rPr>
          <w:rFonts w:ascii="Times New Roman" w:eastAsia="Calibri" w:hAnsi="Times New Roman" w:cs="Times New Roman"/>
          <w:lang w:val="lt-LT"/>
        </w:rPr>
        <w:softHyphen/>
        <w:t>tu su mažo</w:t>
      </w:r>
      <w:r w:rsidRPr="00964115">
        <w:rPr>
          <w:rFonts w:ascii="Times New Roman" w:eastAsia="Calibri" w:hAnsi="Times New Roman" w:cs="Times New Roman"/>
          <w:lang w:val="lt-LT"/>
        </w:rPr>
        <w:softHyphen/>
        <w:t>mis acetilsalicilo rūgšties dozėmis žr. 4.5 skyriuje).</w:t>
      </w:r>
    </w:p>
    <w:p w14:paraId="6F94B02D" w14:textId="77777777" w:rsidR="00797756" w:rsidRPr="00964115" w:rsidRDefault="00797756" w:rsidP="00797756">
      <w:pPr>
        <w:spacing w:after="0" w:line="240" w:lineRule="auto"/>
        <w:rPr>
          <w:rFonts w:ascii="Times New Roman" w:eastAsia="Calibri" w:hAnsi="Times New Roman" w:cs="Times New Roman"/>
          <w:lang w:val="lt-LT"/>
        </w:rPr>
      </w:pPr>
    </w:p>
    <w:p w14:paraId="6F94B02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Opos komplikacijos (kraujavimas, perforacija ir obstrukcija) Vimovo tyrimų metu netirtos.</w:t>
      </w:r>
    </w:p>
    <w:p w14:paraId="6F94B02F" w14:textId="77777777" w:rsidR="00797756" w:rsidRPr="00964115" w:rsidRDefault="00797756" w:rsidP="00797756">
      <w:pPr>
        <w:spacing w:after="0" w:line="240" w:lineRule="auto"/>
        <w:rPr>
          <w:rFonts w:ascii="Times New Roman" w:eastAsia="Calibri" w:hAnsi="Times New Roman" w:cs="Times New Roman"/>
          <w:lang w:val="lt-LT"/>
        </w:rPr>
      </w:pPr>
    </w:p>
    <w:p w14:paraId="6F94B03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Prasidėjus kraujavimui virškinimo trakte ar susidarius opai Vimovo vartojimą reikia nutraukti (žr. 4.3 skyrių).</w:t>
      </w:r>
    </w:p>
    <w:p w14:paraId="6F94B031" w14:textId="77777777" w:rsidR="00797756" w:rsidRPr="00964115" w:rsidRDefault="00797756" w:rsidP="00797756">
      <w:pPr>
        <w:spacing w:after="0" w:line="240" w:lineRule="auto"/>
        <w:rPr>
          <w:rFonts w:ascii="Times New Roman" w:eastAsia="Calibri" w:hAnsi="Times New Roman" w:cs="Times New Roman"/>
          <w:lang w:val="lt-LT"/>
        </w:rPr>
      </w:pPr>
    </w:p>
    <w:p w14:paraId="6F94B03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NVNU atsargiai skiriama pacientams, sirgusiems ar sergantiems virškinimo trakto ligomis (opiniu kolitu, Krono (</w:t>
      </w:r>
      <w:r w:rsidRPr="00964115">
        <w:rPr>
          <w:rFonts w:ascii="Times New Roman" w:eastAsia="Calibri" w:hAnsi="Times New Roman" w:cs="Times New Roman"/>
          <w:i/>
          <w:lang w:val="lt-LT"/>
        </w:rPr>
        <w:t>Crohn</w:t>
      </w:r>
      <w:r w:rsidRPr="00964115">
        <w:rPr>
          <w:rFonts w:ascii="Times New Roman" w:eastAsia="Calibri" w:hAnsi="Times New Roman" w:cs="Times New Roman"/>
          <w:lang w:val="lt-LT"/>
        </w:rPr>
        <w:t>)</w:t>
      </w:r>
      <w:r w:rsidRPr="00964115">
        <w:rPr>
          <w:rFonts w:ascii="Times New Roman" w:eastAsia="Calibri" w:hAnsi="Times New Roman" w:cs="Times New Roman"/>
          <w:i/>
          <w:lang w:val="lt-LT"/>
        </w:rPr>
        <w:t xml:space="preserve"> </w:t>
      </w:r>
      <w:r w:rsidRPr="00964115">
        <w:rPr>
          <w:rFonts w:ascii="Times New Roman" w:eastAsia="Calibri" w:hAnsi="Times New Roman" w:cs="Times New Roman"/>
          <w:lang w:val="lt-LT"/>
        </w:rPr>
        <w:t>liga), kadangi jos gali paūmėti (žr. 4.8 skyrių).</w:t>
      </w:r>
    </w:p>
    <w:p w14:paraId="6F94B033" w14:textId="77777777" w:rsidR="00797756" w:rsidRPr="00964115" w:rsidRDefault="00797756" w:rsidP="00797756">
      <w:pPr>
        <w:spacing w:after="0" w:line="240" w:lineRule="auto"/>
        <w:rPr>
          <w:rFonts w:ascii="Times New Roman" w:eastAsia="Calibri" w:hAnsi="Times New Roman" w:cs="Times New Roman"/>
          <w:lang w:val="lt-LT"/>
        </w:rPr>
      </w:pPr>
    </w:p>
    <w:p w14:paraId="6F94B034"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Ezomeprazolas.</w:t>
      </w:r>
      <w:r w:rsidRPr="00964115">
        <w:rPr>
          <w:rFonts w:ascii="Times New Roman" w:eastAsia="Calibri" w:hAnsi="Times New Roman" w:cs="Times New Roman"/>
          <w:lang w:val="lt-LT"/>
        </w:rPr>
        <w:t xml:space="preserve"> Jei yra pavojaus simptomų (pvz., be aiškios priežasties gerokai sumažėjus svoriui, kartojantis vėmimui, disfagijai, hematemezei ar melenai) arba įtarus ar diagnozavus skrandžio opą, būtina ištirti, ar pacientas neserga piktybine liga (ezomeprazolo magnio druska gali palengvinti jos simptomus ir suvėlinti diagnozės nustatymą).</w:t>
      </w:r>
    </w:p>
    <w:p w14:paraId="6F94B035" w14:textId="77777777" w:rsidR="00797756" w:rsidRPr="00964115" w:rsidRDefault="00797756" w:rsidP="00797756">
      <w:pPr>
        <w:spacing w:after="0" w:line="240" w:lineRule="auto"/>
        <w:rPr>
          <w:rFonts w:ascii="Times New Roman" w:eastAsia="Calibri" w:hAnsi="Times New Roman" w:cs="Times New Roman"/>
          <w:lang w:val="lt-LT"/>
        </w:rPr>
      </w:pPr>
    </w:p>
    <w:p w14:paraId="6F94B036"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Nors sudėtinėje tabletėje yra ezomeprazolo, tačiau dispepsija pasireikšti gali (žr. 5.1 skyrių).</w:t>
      </w:r>
    </w:p>
    <w:p w14:paraId="6F94B037"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3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Protonų siurblio inhibitoriai gali šiek tiek padidinti virškinimo trakto infekcijų, sukeliamų, pvz., </w:t>
      </w:r>
      <w:r w:rsidRPr="00964115">
        <w:rPr>
          <w:rFonts w:ascii="Times New Roman" w:eastAsia="Calibri" w:hAnsi="Times New Roman" w:cs="Times New Roman"/>
          <w:i/>
          <w:lang w:val="lt-LT"/>
        </w:rPr>
        <w:t xml:space="preserve">Salmonella </w:t>
      </w:r>
      <w:r w:rsidRPr="00964115">
        <w:rPr>
          <w:rFonts w:ascii="Times New Roman" w:eastAsia="Calibri" w:hAnsi="Times New Roman" w:cs="Times New Roman"/>
          <w:lang w:val="lt-LT"/>
        </w:rPr>
        <w:t xml:space="preserve">ir </w:t>
      </w:r>
      <w:r w:rsidRPr="00964115">
        <w:rPr>
          <w:rFonts w:ascii="Times New Roman" w:eastAsia="Calibri" w:hAnsi="Times New Roman" w:cs="Times New Roman"/>
          <w:i/>
          <w:lang w:val="lt-LT"/>
        </w:rPr>
        <w:t>Campylobacter</w:t>
      </w:r>
      <w:r w:rsidRPr="00964115">
        <w:rPr>
          <w:rFonts w:ascii="Times New Roman" w:eastAsia="Calibri" w:hAnsi="Times New Roman" w:cs="Times New Roman"/>
          <w:lang w:val="lt-LT"/>
        </w:rPr>
        <w:t>,</w:t>
      </w:r>
      <w:r w:rsidRPr="00964115">
        <w:rPr>
          <w:rFonts w:ascii="Times New Roman" w:eastAsia="Calibri" w:hAnsi="Times New Roman" w:cs="Times New Roman"/>
          <w:i/>
          <w:lang w:val="lt-LT"/>
        </w:rPr>
        <w:t xml:space="preserve"> </w:t>
      </w:r>
      <w:r w:rsidRPr="00964115">
        <w:rPr>
          <w:rFonts w:ascii="Times New Roman" w:eastAsia="Calibri" w:hAnsi="Times New Roman" w:cs="Times New Roman"/>
          <w:lang w:val="lt-LT"/>
        </w:rPr>
        <w:t xml:space="preserve">riziką (žr. 5.1 skyrių). </w:t>
      </w:r>
    </w:p>
    <w:p w14:paraId="6F94B039"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3A"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Ezomeprazolas, kaip ir visi kiti rūgštingumą mažinantys vaistiniai preparatai, gali sumažinti absorbuojamą vitamino B</w:t>
      </w:r>
      <w:r w:rsidRPr="00964115">
        <w:rPr>
          <w:rFonts w:ascii="Times New Roman" w:eastAsia="Calibri" w:hAnsi="Times New Roman" w:cs="Times New Roman"/>
          <w:vertAlign w:val="subscript"/>
          <w:lang w:val="lt-LT"/>
        </w:rPr>
        <w:t>12</w:t>
      </w:r>
      <w:r w:rsidRPr="00964115">
        <w:rPr>
          <w:rFonts w:ascii="Times New Roman" w:eastAsia="Calibri" w:hAnsi="Times New Roman" w:cs="Times New Roman"/>
          <w:lang w:val="lt-LT"/>
        </w:rPr>
        <w:t xml:space="preserve"> (cianokobalamino) kiekį dėl hipochlorhidrijos ar achlorhidrijos. Į tai reikia atsižvelgti, kai šio vaistinio preparato ilgai vartoja pacientas, kurio organizme sumažėjusios vitamino B</w:t>
      </w:r>
      <w:r w:rsidRPr="00964115">
        <w:rPr>
          <w:rFonts w:ascii="Times New Roman" w:eastAsia="Calibri" w:hAnsi="Times New Roman" w:cs="Times New Roman"/>
          <w:vertAlign w:val="subscript"/>
          <w:lang w:val="lt-LT"/>
        </w:rPr>
        <w:t>12</w:t>
      </w:r>
      <w:r w:rsidRPr="00964115">
        <w:rPr>
          <w:rFonts w:ascii="Times New Roman" w:eastAsia="Calibri" w:hAnsi="Times New Roman" w:cs="Times New Roman"/>
          <w:lang w:val="lt-LT"/>
        </w:rPr>
        <w:t xml:space="preserve"> atsargos arba yra sumažėjusios jo absorbcijos rizikos veiksnių.</w:t>
      </w:r>
    </w:p>
    <w:p w14:paraId="6F94B03B" w14:textId="77777777" w:rsidR="00797756" w:rsidRPr="00964115" w:rsidRDefault="00797756" w:rsidP="00797756">
      <w:pPr>
        <w:spacing w:after="0" w:line="240" w:lineRule="auto"/>
        <w:rPr>
          <w:rFonts w:ascii="Times New Roman" w:eastAsia="Calibri" w:hAnsi="Times New Roman" w:cs="Times New Roman"/>
          <w:lang w:val="lt-LT"/>
        </w:rPr>
      </w:pPr>
    </w:p>
    <w:p w14:paraId="6F94B03C"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Poveikis širdies ir kraujagyslių sistemai bei smegenų kraujagyslėms</w:t>
      </w:r>
    </w:p>
    <w:p w14:paraId="6F94B03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Būtina atitinkamai stebėti ir konsultuoti pacientus, sergančius hipertenzija ir (arba) lengvu ar vidutiniu staziniu širdies nepakankamumu, kadangi gauta pranešimų apie vartojant NVNU pasireiškusius skysčių susilaikymą ir edemą.</w:t>
      </w:r>
    </w:p>
    <w:p w14:paraId="6F94B03E"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3F"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Klinikinių tyrimų ir epidemiologiniais duomenimis, kokcibų ir kai kurių NVNU vartojimas (ypač didelių dozių arba ilgalaikis) gali nežymiai padidinti arterijų trombozės reiškinių (pvz., miokardo infarkto ar insulto) riziką. Nors turimais duomenis naprokseno (1000 mg per parą) vartojimas gali kelti mažesnę riziką, tačiau tam tikros rizikos atmesti negalima.</w:t>
      </w:r>
    </w:p>
    <w:p w14:paraId="6F94B040"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4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Nekontroliuojama hipertenzija, staziniu širdies nepakankamumu, diagnozuota išemine širdies liga, periferinių arterijų liga ir (arba) galvos smegenų kraujagyslių liga sergantiems pacientams naprokseno skiriama tik atidžiai apsvarsčius. Panašaus apsvarstymo reikia ir prieš pradedant širdies bei kraujagyslių ligų rizikos faktorių turinčių (pvz., sergančių hipertenzija, hiperlipidemija, cukriniu diabetu, rūkančių) pacientų ilgalaikį gydymą.</w:t>
      </w:r>
    </w:p>
    <w:p w14:paraId="6F94B042"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43"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Poveikis inkstams</w:t>
      </w:r>
    </w:p>
    <w:p w14:paraId="6F94B044"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Buvo atvejų, kai ilgai vartojami NVNU sukėlė inkstų spenelių nekrozę ir kitokių inkstų pažeidimų. Taip pat pastebėtas toksinis poveikis inkstams, kurių prostaglandinai atliko kompensacinį vaidmenį jų kraujotakai palaikyti. Šiems pacientams NVNU gali sukelti nuo dozės priklausomą prostaglandinų sintezės sumažėjimą ir dėl to – inkstų kraujotakos susilpnėjimą, dėl kurio gali ištikti inkstų funkcijos dekompensacija. Didžiausias tokios reakcijos pavojus kyla pacientams, kurių inkstų funkcija sutrikusi, kai yra hipovolemija, širdies nepakankamumas, taip pat kai sutrikusi kepenų funkcija, sumažėjęs druskos kiekis organizme, vartojant diuretikų, angiotenziną konvertuojančio fermento (AKF) inhibitorių, angiotenzino II receptorių antagonistų bei senyviems pacientams. Nutraukus NVNU vartojimą inkstų funkcija paprastai pasidaro tokia kaip buvo iki gydymo (taip pat žr. žemiau bei 4.2 ir 4.5 skyrius)</w:t>
      </w:r>
    </w:p>
    <w:p w14:paraId="6F94B045" w14:textId="77777777" w:rsidR="00797756" w:rsidRDefault="00797756" w:rsidP="00797756">
      <w:pPr>
        <w:spacing w:after="0" w:line="240" w:lineRule="auto"/>
        <w:ind w:right="29"/>
        <w:rPr>
          <w:rFonts w:ascii="Times New Roman" w:eastAsia="Calibri" w:hAnsi="Times New Roman" w:cs="Times New Roman"/>
          <w:lang w:val="lt-LT"/>
        </w:rPr>
      </w:pPr>
    </w:p>
    <w:p w14:paraId="751D749D" w14:textId="77777777" w:rsidR="007A3DE6" w:rsidRPr="007B4A3B" w:rsidRDefault="007A3DE6" w:rsidP="007A3DE6">
      <w:pPr>
        <w:spacing w:after="0" w:line="240" w:lineRule="auto"/>
        <w:ind w:right="29"/>
        <w:rPr>
          <w:rFonts w:ascii="Times New Roman" w:eastAsia="Calibri" w:hAnsi="Times New Roman" w:cs="Times New Roman"/>
          <w:lang w:val="lt-LT"/>
        </w:rPr>
      </w:pPr>
      <w:r w:rsidRPr="007B4A3B">
        <w:rPr>
          <w:rFonts w:ascii="Times New Roman" w:eastAsia="Calibri" w:hAnsi="Times New Roman" w:cs="Times New Roman"/>
          <w:lang w:val="lt-LT"/>
        </w:rPr>
        <w:t>Vaistinius preparatus, kurių sudėtyje yra ezomeprazolo ir naprokseno, vartojantiems pacientams buvo pastebėtas ūminis kanalėlių ir intersticinio audinio nefritas (</w:t>
      </w:r>
      <w:r w:rsidRPr="00274883">
        <w:rPr>
          <w:rFonts w:ascii="Times New Roman" w:eastAsia="Calibri" w:hAnsi="Times New Roman" w:cs="Times New Roman"/>
          <w:i/>
          <w:iCs/>
          <w:lang w:val="lt-LT"/>
        </w:rPr>
        <w:t>angl. tubulointerstitial, TIN</w:t>
      </w:r>
      <w:r w:rsidRPr="007B4A3B">
        <w:rPr>
          <w:rFonts w:ascii="Times New Roman" w:eastAsia="Calibri" w:hAnsi="Times New Roman" w:cs="Times New Roman"/>
          <w:lang w:val="lt-LT"/>
        </w:rPr>
        <w:t xml:space="preserve">), kuris gali pasireikšti bet kurioje gydymo </w:t>
      </w:r>
      <w:r>
        <w:rPr>
          <w:rFonts w:ascii="Times New Roman" w:eastAsia="Calibri" w:hAnsi="Times New Roman" w:cs="Times New Roman"/>
          <w:lang w:val="lt-LT"/>
        </w:rPr>
        <w:t>Vimovo</w:t>
      </w:r>
      <w:r w:rsidRPr="007B4A3B">
        <w:rPr>
          <w:rFonts w:ascii="Times New Roman" w:eastAsia="Calibri" w:hAnsi="Times New Roman" w:cs="Times New Roman"/>
          <w:lang w:val="lt-LT"/>
        </w:rPr>
        <w:t xml:space="preserve"> stadijoje (žr. 4.8 skyrių). Ūminis kanalėlių ir intersticinio audinio nefritas gali progresuoti iki inkstų nepakankamumo.</w:t>
      </w:r>
    </w:p>
    <w:p w14:paraId="060F9DC1" w14:textId="77777777" w:rsidR="007A3DE6" w:rsidRDefault="007A3DE6" w:rsidP="007A3DE6">
      <w:pPr>
        <w:spacing w:after="0" w:line="240" w:lineRule="auto"/>
        <w:ind w:right="29"/>
        <w:rPr>
          <w:rFonts w:ascii="Times New Roman" w:eastAsia="Calibri" w:hAnsi="Times New Roman" w:cs="Times New Roman"/>
          <w:lang w:val="lt-LT"/>
        </w:rPr>
      </w:pPr>
    </w:p>
    <w:p w14:paraId="2023AC30" w14:textId="77777777" w:rsidR="007A3DE6" w:rsidRDefault="007A3DE6" w:rsidP="007A3DE6">
      <w:pPr>
        <w:spacing w:after="0" w:line="240" w:lineRule="auto"/>
        <w:ind w:right="29"/>
        <w:rPr>
          <w:rFonts w:ascii="Times New Roman" w:eastAsia="Calibri" w:hAnsi="Times New Roman" w:cs="Times New Roman"/>
          <w:lang w:val="lt-LT"/>
        </w:rPr>
      </w:pPr>
      <w:r w:rsidRPr="007B4A3B">
        <w:rPr>
          <w:rFonts w:ascii="Times New Roman" w:eastAsia="Calibri" w:hAnsi="Times New Roman" w:cs="Times New Roman"/>
          <w:lang w:val="lt-LT"/>
        </w:rPr>
        <w:t xml:space="preserve">Įtarus TIN, gydymą </w:t>
      </w:r>
      <w:r>
        <w:rPr>
          <w:rFonts w:ascii="Times New Roman" w:eastAsia="Calibri" w:hAnsi="Times New Roman" w:cs="Times New Roman"/>
          <w:lang w:val="lt-LT"/>
        </w:rPr>
        <w:t>Vimovo</w:t>
      </w:r>
      <w:r w:rsidRPr="007B4A3B">
        <w:rPr>
          <w:rFonts w:ascii="Times New Roman" w:eastAsia="Calibri" w:hAnsi="Times New Roman" w:cs="Times New Roman"/>
          <w:lang w:val="lt-LT"/>
        </w:rPr>
        <w:t xml:space="preserve"> reikia nutraukti ir nedelsiant pradėti atitinkamą gydymą.</w:t>
      </w:r>
    </w:p>
    <w:p w14:paraId="0AE08AE0" w14:textId="77777777" w:rsidR="007A3DE6" w:rsidRPr="00964115" w:rsidRDefault="007A3DE6" w:rsidP="00797756">
      <w:pPr>
        <w:spacing w:after="0" w:line="240" w:lineRule="auto"/>
        <w:ind w:right="29"/>
        <w:rPr>
          <w:rFonts w:ascii="Times New Roman" w:eastAsia="Calibri" w:hAnsi="Times New Roman" w:cs="Times New Roman"/>
          <w:lang w:val="lt-LT"/>
        </w:rPr>
      </w:pPr>
    </w:p>
    <w:p w14:paraId="6F94B046"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Pacientams, kurių inkstų funkcija sutrikusi</w:t>
      </w:r>
    </w:p>
    <w:p w14:paraId="6F94B047"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Didžioji naprokseno ir jo metabolitų dalis (95 %) eliminuojama išskiriant į šlapimą glomerulų filtracijos būdu, todėl pablogėjusią inkstų funkciją turintiems pacientams šio vaistinio preparato skiriama labai atsargiai, rekomenduojama tirti kreatinino koncentraciją jų serume ir (arba) kreatinino klirensą. Jeigu kreatinino klirensas iki gydymo yra mažesnis kaip 30 ml/min., Vimovo vartoti negalima (žr. 4.3 skyrių).</w:t>
      </w:r>
    </w:p>
    <w:p w14:paraId="6F94B048"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49"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Hemodializė naprokseno koncentracijos plazmoje nemažina, kadangi labai didelė jo dalis būna prisijungusi prie baltymų.</w:t>
      </w:r>
    </w:p>
    <w:p w14:paraId="6F94B04A"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4B"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Tam tikrais atvejais (jei dėl neląstelinio skysčio tūrio sumažėjimo sutrikusi inkstų kraujotaka, kepenų ciroze sergantiems pacientams, jei ribojamas natrio vartojimas, staziniu širdies nepakankamumu sergantiems pacientams, iki pradedant vartoti šio vaistinio preparato inkstų ligomis sirgusiems pacientams) prieš skiriant Vimovo ir gydant šiuo vaistiniu preparatu reikia tirti inkstų funkciją. Tokių tyrimų taip pat gali reikėti kai kuriems senyviems pacientams, kuriems tikėtini inkstų funkcijos sutrikimai, taip pat vartojantiems diuretikų, (AKF) inhibitorių ar angiotenzino II receptorių antagonistų. Reikia apsvarstyti, ar šiems pacientams nereikėtų sumažinti paros dozės, kad jų organizme nesusikauptų per daug naprokseno metabolitų.</w:t>
      </w:r>
    </w:p>
    <w:p w14:paraId="6F94B04C" w14:textId="77777777" w:rsidR="00797756" w:rsidRPr="00964115" w:rsidRDefault="00797756" w:rsidP="00797756">
      <w:pPr>
        <w:spacing w:after="0" w:line="240" w:lineRule="auto"/>
        <w:rPr>
          <w:rFonts w:ascii="Times New Roman" w:eastAsia="Calibri" w:hAnsi="Times New Roman" w:cs="Times New Roman"/>
          <w:lang w:val="lt-LT"/>
        </w:rPr>
      </w:pPr>
    </w:p>
    <w:p w14:paraId="6F94B04D"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Poveikis kepenims</w:t>
      </w:r>
    </w:p>
    <w:p w14:paraId="6F94B04E"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Vartojant NVNU gali pasireikšti ribinis vieno ar kelių kepenų funkcijos rodiklių padidėjimas. Kepenų veiklos sutrikimų priežastis gali būti padidėjęs jautrumas, o ne tiesioginis toksinis poveikis. Gauta pranešimų apie retus atvejus, kai pasireiškė sunkių kepenų reakcijų, įskaitant geltą ir mirtiną žaibinį hepatitą, taip pat kepenų nekrozė ir nepakankamumas, kai kuriais atvejais nulėmę mirtį.</w:t>
      </w:r>
    </w:p>
    <w:p w14:paraId="6F94B04F"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50"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Kepenų ir inkstų sindromas</w:t>
      </w:r>
    </w:p>
    <w:p w14:paraId="6F94B051"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Sunkia kepenų ciroze sergantiems pacientams, vartojantiems NVNU, gali pasireikšti ūminis inkstų nepakankamumas. Dėl nepakankamos krešėjimo faktorių sintezės tokių pacientų kraujo krešėjimas dažnai taip pat būna sutrikęs. Naproksenui slopinant trombocitų funkciją, sunkaus kraujavimo rizika jiems gali dar labiau padidėti.</w:t>
      </w:r>
    </w:p>
    <w:p w14:paraId="6F94B052"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53"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Hematologinis poveikis</w:t>
      </w:r>
    </w:p>
    <w:p w14:paraId="6F94B054"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Jeigu sutrikusi naprokseną vartojančio paciento koaguliacija arba jis vartoja hemostazę trikdančių vaistinių preparatų, jo būklę reikia atidžiai stebėti.</w:t>
      </w:r>
    </w:p>
    <w:p w14:paraId="6F94B055"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56"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Esant didelei kraujavimo rizikai arba vartojant antikoaguliantus (pvz., dikumarolio darinius) nesumažintomis dozėmis, naproksenas gali dar labiau padidinti kraujavimo pavojų (žr. 4.5 skyrių).</w:t>
      </w:r>
    </w:p>
    <w:p w14:paraId="6F94B057"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5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Naproksenas slopina trombocitų agregaciją ir ilgina kraujavimo laiką (į tai reikia atsižvelgti tiriant kraujavimo laiką).</w:t>
      </w:r>
    </w:p>
    <w:p w14:paraId="6F94B059"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5A"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Prasidėjus aktyviam ir kliniškai reikšmingam kraujavimui bet kurioje vietoje, Vimovo vartojimą reikia nu</w:t>
      </w:r>
      <w:r w:rsidRPr="00964115">
        <w:rPr>
          <w:rFonts w:ascii="Times New Roman" w:eastAsia="Calibri" w:hAnsi="Times New Roman" w:cs="Times New Roman"/>
          <w:lang w:val="lt-LT"/>
        </w:rPr>
        <w:softHyphen/>
        <w:t xml:space="preserve">traukti. </w:t>
      </w:r>
    </w:p>
    <w:p w14:paraId="6F94B05B" w14:textId="77777777" w:rsidR="00797756" w:rsidRPr="00964115" w:rsidRDefault="00797756" w:rsidP="00797756">
      <w:pPr>
        <w:spacing w:after="0" w:line="240" w:lineRule="auto"/>
        <w:rPr>
          <w:rFonts w:ascii="Times New Roman" w:eastAsia="Calibri" w:hAnsi="Times New Roman" w:cs="Times New Roman"/>
          <w:lang w:val="lt-LT"/>
        </w:rPr>
      </w:pPr>
    </w:p>
    <w:p w14:paraId="6F94B05C"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Poveikis akims</w:t>
      </w:r>
    </w:p>
    <w:p w14:paraId="6F94B05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NVNU tyrimų su gyvūnais metu buvo nustatyta nepageidaujamų poveikių akims, todėl pakitus ar sutrikus regėjimui rekomenduojama atlikti oftalmologinį tyrimą.</w:t>
      </w:r>
    </w:p>
    <w:p w14:paraId="6F94B05E" w14:textId="77777777" w:rsidR="00797756" w:rsidRPr="00964115" w:rsidRDefault="00797756" w:rsidP="00797756">
      <w:pPr>
        <w:spacing w:after="0" w:line="240" w:lineRule="auto"/>
        <w:rPr>
          <w:rFonts w:ascii="Times New Roman" w:eastAsia="Calibri" w:hAnsi="Times New Roman" w:cs="Times New Roman"/>
          <w:lang w:val="lt-LT"/>
        </w:rPr>
      </w:pPr>
    </w:p>
    <w:p w14:paraId="6F94B05F"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Poveikis odai</w:t>
      </w:r>
    </w:p>
    <w:p w14:paraId="6F94B060" w14:textId="602E9C96"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Labai retai pranešta apie su NVNU vartojimu susijusias, sunkias odos reakcijas (eksfoliacinį dermatitą, Stivenso-Džonsono (</w:t>
      </w:r>
      <w:r w:rsidRPr="00964115">
        <w:rPr>
          <w:rFonts w:ascii="Times New Roman" w:eastAsia="Calibri" w:hAnsi="Times New Roman" w:cs="Times New Roman"/>
          <w:i/>
          <w:lang w:val="lt-LT"/>
        </w:rPr>
        <w:t>Stevens-Johnson</w:t>
      </w:r>
      <w:r w:rsidRPr="00964115">
        <w:rPr>
          <w:rFonts w:ascii="Times New Roman" w:eastAsia="Calibri" w:hAnsi="Times New Roman" w:cs="Times New Roman"/>
          <w:lang w:val="lt-LT"/>
        </w:rPr>
        <w:t xml:space="preserve">) sindromą ir toksinę epidermio nekrolizę), kai kuriais atvejais pasibaigusias mirtimi (žr. 4.8 skyrių). Didžiausia šių reakcijų rizika būna pradedant gydymą (dauguma jų prasidėjo per pirmąjį gydymo mėnesį). </w:t>
      </w:r>
      <w:r w:rsidR="00EF28B5" w:rsidRPr="00964115">
        <w:rPr>
          <w:rFonts w:ascii="Times New Roman" w:eastAsia="Calibri" w:hAnsi="Times New Roman" w:cs="Times New Roman"/>
          <w:lang w:val="lt-LT"/>
        </w:rPr>
        <w:t xml:space="preserve">Gauta pranešimų apie </w:t>
      </w:r>
      <w:r w:rsidR="004B33AE">
        <w:rPr>
          <w:rFonts w:ascii="Times New Roman" w:eastAsia="Calibri" w:hAnsi="Times New Roman" w:cs="Times New Roman"/>
          <w:lang w:val="lt-LT"/>
        </w:rPr>
        <w:t xml:space="preserve">reakciją į vaistą </w:t>
      </w:r>
      <w:r w:rsidR="00F142D3" w:rsidRPr="00964115">
        <w:rPr>
          <w:rFonts w:ascii="Times New Roman" w:eastAsia="Calibri" w:hAnsi="Times New Roman" w:cs="Times New Roman"/>
          <w:lang w:val="lt-LT"/>
        </w:rPr>
        <w:t xml:space="preserve">su </w:t>
      </w:r>
      <w:r w:rsidR="00EF28B5" w:rsidRPr="00964115">
        <w:rPr>
          <w:rFonts w:ascii="Times New Roman" w:eastAsia="Calibri" w:hAnsi="Times New Roman" w:cs="Times New Roman"/>
          <w:lang w:val="lt-LT"/>
        </w:rPr>
        <w:t>eo</w:t>
      </w:r>
      <w:r w:rsidR="002F49EF" w:rsidRPr="00964115">
        <w:rPr>
          <w:rFonts w:ascii="Times New Roman" w:eastAsia="Calibri" w:hAnsi="Times New Roman" w:cs="Times New Roman"/>
          <w:lang w:val="lt-LT"/>
        </w:rPr>
        <w:t>z</w:t>
      </w:r>
      <w:r w:rsidR="00EF28B5" w:rsidRPr="00964115">
        <w:rPr>
          <w:rFonts w:ascii="Times New Roman" w:eastAsia="Calibri" w:hAnsi="Times New Roman" w:cs="Times New Roman"/>
          <w:lang w:val="lt-LT"/>
        </w:rPr>
        <w:t>ino</w:t>
      </w:r>
      <w:r w:rsidR="002F49EF" w:rsidRPr="00964115">
        <w:rPr>
          <w:rFonts w:ascii="Times New Roman" w:eastAsia="Calibri" w:hAnsi="Times New Roman" w:cs="Times New Roman"/>
          <w:lang w:val="lt-LT"/>
        </w:rPr>
        <w:t>filij</w:t>
      </w:r>
      <w:r w:rsidR="00F142D3" w:rsidRPr="00964115">
        <w:rPr>
          <w:rFonts w:ascii="Times New Roman" w:eastAsia="Calibri" w:hAnsi="Times New Roman" w:cs="Times New Roman"/>
          <w:lang w:val="lt-LT"/>
        </w:rPr>
        <w:t>a</w:t>
      </w:r>
      <w:r w:rsidR="002F49EF" w:rsidRPr="00964115">
        <w:rPr>
          <w:rFonts w:ascii="Times New Roman" w:eastAsia="Calibri" w:hAnsi="Times New Roman" w:cs="Times New Roman"/>
          <w:lang w:val="lt-LT"/>
        </w:rPr>
        <w:t xml:space="preserve"> ir </w:t>
      </w:r>
      <w:r w:rsidR="00EF28B5" w:rsidRPr="00964115">
        <w:rPr>
          <w:rFonts w:ascii="Times New Roman" w:eastAsia="Calibri" w:hAnsi="Times New Roman" w:cs="Times New Roman"/>
          <w:lang w:val="lt-LT"/>
        </w:rPr>
        <w:t>s</w:t>
      </w:r>
      <w:r w:rsidR="002F49EF" w:rsidRPr="00964115">
        <w:rPr>
          <w:rFonts w:ascii="Times New Roman" w:eastAsia="Calibri" w:hAnsi="Times New Roman" w:cs="Times New Roman"/>
          <w:lang w:val="lt-LT"/>
        </w:rPr>
        <w:t>i</w:t>
      </w:r>
      <w:r w:rsidR="00EF28B5" w:rsidRPr="00964115">
        <w:rPr>
          <w:rFonts w:ascii="Times New Roman" w:eastAsia="Calibri" w:hAnsi="Times New Roman" w:cs="Times New Roman"/>
          <w:lang w:val="lt-LT"/>
        </w:rPr>
        <w:t>stemi</w:t>
      </w:r>
      <w:r w:rsidR="002F49EF" w:rsidRPr="00964115">
        <w:rPr>
          <w:rFonts w:ascii="Times New Roman" w:eastAsia="Calibri" w:hAnsi="Times New Roman" w:cs="Times New Roman"/>
          <w:lang w:val="lt-LT"/>
        </w:rPr>
        <w:t>ni</w:t>
      </w:r>
      <w:r w:rsidR="00F142D3" w:rsidRPr="00964115">
        <w:rPr>
          <w:rFonts w:ascii="Times New Roman" w:eastAsia="Calibri" w:hAnsi="Times New Roman" w:cs="Times New Roman"/>
          <w:lang w:val="lt-LT"/>
        </w:rPr>
        <w:t>ais</w:t>
      </w:r>
      <w:r w:rsidR="002F49EF" w:rsidRPr="00964115">
        <w:rPr>
          <w:rFonts w:ascii="Times New Roman" w:eastAsia="Calibri" w:hAnsi="Times New Roman" w:cs="Times New Roman"/>
          <w:lang w:val="lt-LT"/>
        </w:rPr>
        <w:t xml:space="preserve"> simptom</w:t>
      </w:r>
      <w:r w:rsidR="00F142D3" w:rsidRPr="00964115">
        <w:rPr>
          <w:rFonts w:ascii="Times New Roman" w:eastAsia="Calibri" w:hAnsi="Times New Roman" w:cs="Times New Roman"/>
          <w:lang w:val="lt-LT"/>
        </w:rPr>
        <w:t>ais</w:t>
      </w:r>
      <w:r w:rsidR="002F49EF" w:rsidRPr="00964115">
        <w:rPr>
          <w:rFonts w:ascii="Times New Roman" w:eastAsia="Calibri" w:hAnsi="Times New Roman" w:cs="Times New Roman"/>
          <w:lang w:val="lt-LT"/>
        </w:rPr>
        <w:t xml:space="preserve"> </w:t>
      </w:r>
      <w:r w:rsidR="00EF28B5" w:rsidRPr="00964115">
        <w:rPr>
          <w:rFonts w:ascii="Times New Roman" w:eastAsia="Calibri" w:hAnsi="Times New Roman" w:cs="Times New Roman"/>
          <w:lang w:val="lt-LT"/>
        </w:rPr>
        <w:t>(</w:t>
      </w:r>
      <w:r w:rsidR="00AE5B93" w:rsidRPr="00964115">
        <w:rPr>
          <w:rFonts w:ascii="Times New Roman" w:eastAsia="Calibri" w:hAnsi="Times New Roman" w:cs="Times New Roman"/>
          <w:lang w:val="lt-LT"/>
        </w:rPr>
        <w:t xml:space="preserve">angl. </w:t>
      </w:r>
      <w:r w:rsidR="00AE5B93" w:rsidRPr="00964115">
        <w:rPr>
          <w:rFonts w:ascii="Times New Roman" w:eastAsia="Calibri" w:hAnsi="Times New Roman" w:cs="Times New Roman"/>
          <w:i/>
          <w:iCs/>
          <w:lang w:val="lt-LT"/>
        </w:rPr>
        <w:t>drug r</w:t>
      </w:r>
      <w:r w:rsidR="007879E1">
        <w:rPr>
          <w:rFonts w:ascii="Times New Roman" w:eastAsia="Calibri" w:hAnsi="Times New Roman" w:cs="Times New Roman"/>
          <w:i/>
          <w:iCs/>
          <w:lang w:val="lt-LT"/>
        </w:rPr>
        <w:t>eaction</w:t>
      </w:r>
      <w:r w:rsidR="00AE5B93" w:rsidRPr="00964115">
        <w:rPr>
          <w:rFonts w:ascii="Times New Roman" w:eastAsia="Calibri" w:hAnsi="Times New Roman" w:cs="Times New Roman"/>
          <w:i/>
          <w:iCs/>
          <w:lang w:val="lt-LT"/>
        </w:rPr>
        <w:t xml:space="preserve"> with eosinophilia and systemic symptoms</w:t>
      </w:r>
      <w:r w:rsidR="00AE5B93" w:rsidRPr="00964115">
        <w:rPr>
          <w:rFonts w:ascii="Times New Roman" w:eastAsia="Calibri" w:hAnsi="Times New Roman" w:cs="Times New Roman"/>
          <w:lang w:val="lt-LT"/>
        </w:rPr>
        <w:t xml:space="preserve">, </w:t>
      </w:r>
      <w:r w:rsidR="00EF28B5" w:rsidRPr="00964115">
        <w:rPr>
          <w:rFonts w:ascii="Times New Roman" w:eastAsia="Calibri" w:hAnsi="Times New Roman" w:cs="Times New Roman"/>
          <w:lang w:val="lt-LT"/>
        </w:rPr>
        <w:t xml:space="preserve">DRESS) </w:t>
      </w:r>
      <w:r w:rsidR="002F49EF" w:rsidRPr="00964115">
        <w:rPr>
          <w:rFonts w:ascii="Times New Roman" w:eastAsia="Calibri" w:hAnsi="Times New Roman" w:cs="Times New Roman"/>
          <w:lang w:val="lt-LT"/>
        </w:rPr>
        <w:t xml:space="preserve">vartojant </w:t>
      </w:r>
      <w:r w:rsidR="00FA2987" w:rsidRPr="00964115">
        <w:rPr>
          <w:rFonts w:ascii="Times New Roman" w:eastAsia="Calibri" w:hAnsi="Times New Roman" w:cs="Times New Roman"/>
          <w:lang w:val="lt-LT"/>
        </w:rPr>
        <w:t>NVNU</w:t>
      </w:r>
      <w:r w:rsidR="00EF28B5" w:rsidRPr="00964115">
        <w:rPr>
          <w:rFonts w:ascii="Times New Roman" w:eastAsia="Calibri" w:hAnsi="Times New Roman" w:cs="Times New Roman"/>
          <w:lang w:val="lt-LT"/>
        </w:rPr>
        <w:t xml:space="preserve">. </w:t>
      </w:r>
      <w:r w:rsidRPr="00964115">
        <w:rPr>
          <w:rFonts w:ascii="Times New Roman" w:eastAsia="Calibri" w:hAnsi="Times New Roman" w:cs="Times New Roman"/>
          <w:lang w:val="lt-LT"/>
        </w:rPr>
        <w:t>Išbėrus odą, pasireiškus gleivinės pažeidimui ar bet kuriam kitam padidėjusio jautrumo požymiui, Vimovo vartojimą būtina nutraukti.</w:t>
      </w:r>
    </w:p>
    <w:p w14:paraId="51D01922" w14:textId="77777777" w:rsidR="002A0899" w:rsidRPr="00964115" w:rsidRDefault="002A0899" w:rsidP="00797756">
      <w:pPr>
        <w:spacing w:after="0" w:line="240" w:lineRule="auto"/>
        <w:rPr>
          <w:rFonts w:ascii="Times New Roman" w:eastAsia="Calibri" w:hAnsi="Times New Roman" w:cs="Times New Roman"/>
          <w:lang w:val="lt-LT"/>
        </w:rPr>
      </w:pPr>
    </w:p>
    <w:p w14:paraId="6F94B061" w14:textId="77777777" w:rsidR="00797756" w:rsidRPr="00964115" w:rsidRDefault="00797756" w:rsidP="00797756">
      <w:pPr>
        <w:spacing w:after="0" w:line="240" w:lineRule="auto"/>
        <w:rPr>
          <w:rFonts w:ascii="Times New Roman" w:eastAsia="Calibri" w:hAnsi="Times New Roman" w:cs="Times New Roman"/>
          <w:lang w:val="lt-LT" w:bidi="lo-LA"/>
        </w:rPr>
      </w:pPr>
      <w:r w:rsidRPr="00964115">
        <w:rPr>
          <w:rFonts w:ascii="Times New Roman" w:eastAsia="Calibri" w:hAnsi="Times New Roman" w:cs="Times New Roman"/>
          <w:i/>
          <w:lang w:val="lt-LT"/>
        </w:rPr>
        <w:t xml:space="preserve">Ezomeprazolas. </w:t>
      </w:r>
      <w:r w:rsidRPr="00964115">
        <w:rPr>
          <w:rFonts w:ascii="Times New Roman" w:eastAsia="Calibri" w:hAnsi="Times New Roman" w:cs="Times New Roman"/>
          <w:lang w:val="lt-LT"/>
        </w:rPr>
        <w:t>Protonų siurblio inhibitoriai siejami su labai retais poūmės odos raudonosios vilkligės (PORV) atvejais. Atsiradus pažeidimams, ypač saulės apšviestose odos vietose, ir kartu pasireiškus artralgijai, pacientas turi nedelsdamas kreiptis medicininės pagalbos, o sveikatos priežiūros specialistai turi apsvarstyti galimybę nutraukti gydymą Vimovo. Jeigu po ankstesnio gydymo protonų siurblio inhibitoriumi pacientui išsivystė PORV, PORV pavojus vartojant kitus protonų siurblio inhibitorius gali būti didesnis.</w:t>
      </w:r>
    </w:p>
    <w:p w14:paraId="6F94B062" w14:textId="77777777" w:rsidR="00797756" w:rsidRPr="00964115" w:rsidRDefault="00797756" w:rsidP="00797756">
      <w:pPr>
        <w:spacing w:after="0" w:line="240" w:lineRule="auto"/>
        <w:rPr>
          <w:rFonts w:ascii="Times New Roman" w:eastAsia="Calibri" w:hAnsi="Times New Roman" w:cs="Times New Roman"/>
          <w:lang w:val="lt-LT"/>
        </w:rPr>
      </w:pPr>
    </w:p>
    <w:p w14:paraId="6F94B063"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Anafilaksinės (anafilaktoidinės) reakcijos</w:t>
      </w:r>
    </w:p>
    <w:p w14:paraId="6F94B064"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Jautriems asmenims gali pasireikšti padidėjusio jautrumo reakcijų. Anafilaksinių (anafilaktoidinių) reakcijų gali pasireikšti tiek anksčiau buvus padidėjusio jautrumo acetilsalicilo rūgščiai, kitiems NVNU ar naproksenui reakcijų, tiek jų nebuvus. Padidėjusio jautrumo reakcijų taip pat gali pasireikšti asmenims, sirgusiems angioedema, su spazminiu bronchų reaktyvumu susijusiais sutrikimais (pvz., astma), rinitu ar nosies polipais.</w:t>
      </w:r>
    </w:p>
    <w:p w14:paraId="6F94B065" w14:textId="77777777" w:rsidR="00797756" w:rsidRPr="00964115" w:rsidRDefault="00797756" w:rsidP="00797756">
      <w:pPr>
        <w:spacing w:after="0" w:line="240" w:lineRule="auto"/>
        <w:rPr>
          <w:rFonts w:ascii="Times New Roman" w:eastAsia="Calibri" w:hAnsi="Times New Roman" w:cs="Times New Roman"/>
          <w:lang w:val="lt-LT"/>
        </w:rPr>
      </w:pPr>
    </w:p>
    <w:p w14:paraId="6F94B066"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Iki tol buvusi astma</w:t>
      </w:r>
    </w:p>
    <w:p w14:paraId="6F94B067"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Buvo atvejų, kai vartojant acetilsalicilo rūgštį jai jautria astma sergantiems pacientams pasireiškė sunkus bronchų spazmas, kuris gali baigtis mirtimi. Taip pat gauta pranešimų apie acetilsalicilo rūgščiai jautriems pacientams pasireiškusias kryžminio reaktyvumo acetilsalicilo rūgščiai ir kitiems NVNU reakcijas, dalis kurių pasireiškė bronchų spazmu. Esant tokiai jautrumo acetilsalicilo rūgščiai formai, Vimovo vartoti negalima (žr. 4.3 skyrių), o astma sergantiems pacientams šio vaistinio preparato skiriama atsargiai.</w:t>
      </w:r>
    </w:p>
    <w:p w14:paraId="6F94B068" w14:textId="77777777" w:rsidR="00797756" w:rsidRPr="00964115" w:rsidRDefault="00797756" w:rsidP="00797756">
      <w:pPr>
        <w:spacing w:after="0" w:line="240" w:lineRule="auto"/>
        <w:rPr>
          <w:rFonts w:ascii="Times New Roman" w:eastAsia="Calibri" w:hAnsi="Times New Roman" w:cs="Times New Roman"/>
          <w:lang w:val="lt-LT"/>
        </w:rPr>
      </w:pPr>
    </w:p>
    <w:p w14:paraId="6F94B069"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Uždegimas</w:t>
      </w:r>
    </w:p>
    <w:p w14:paraId="6F94B06A"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i/>
          <w:lang w:val="lt-LT"/>
        </w:rPr>
        <w:t xml:space="preserve">Naproksenas. </w:t>
      </w:r>
      <w:r w:rsidRPr="00964115">
        <w:rPr>
          <w:rFonts w:ascii="Times New Roman" w:eastAsia="Calibri" w:hAnsi="Times New Roman" w:cs="Times New Roman"/>
          <w:lang w:val="lt-LT"/>
        </w:rPr>
        <w:t>Dėl karščiavimą mažinančio ir uždegimą slopinančio naprokseno poveikio gali su</w:t>
      </w:r>
      <w:r w:rsidRPr="00964115">
        <w:rPr>
          <w:rFonts w:ascii="Times New Roman" w:eastAsia="Calibri" w:hAnsi="Times New Roman" w:cs="Times New Roman"/>
          <w:lang w:val="lt-LT"/>
        </w:rPr>
        <w:softHyphen/>
        <w:t>ma</w:t>
      </w:r>
      <w:r w:rsidRPr="00964115">
        <w:rPr>
          <w:rFonts w:ascii="Times New Roman" w:eastAsia="Calibri" w:hAnsi="Times New Roman" w:cs="Times New Roman"/>
          <w:lang w:val="lt-LT"/>
        </w:rPr>
        <w:softHyphen/>
        <w:t>žė</w:t>
      </w:r>
      <w:r w:rsidRPr="00964115">
        <w:rPr>
          <w:rFonts w:ascii="Times New Roman" w:eastAsia="Calibri" w:hAnsi="Times New Roman" w:cs="Times New Roman"/>
          <w:lang w:val="lt-LT"/>
        </w:rPr>
        <w:softHyphen/>
        <w:t>ti karščiavimas ir susilpnėti kiti uždegimo požymiai, todėl diagnostika pagal šiuos simptomus gali būti sudėtingesnė.</w:t>
      </w:r>
    </w:p>
    <w:p w14:paraId="6F94B06B"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p>
    <w:p w14:paraId="6F94B06C"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Moterų vaisingumas</w:t>
      </w:r>
    </w:p>
    <w:p w14:paraId="6F94B06D"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kaip ir visi kiti ciklooksigenazę / prostaglandinų sintezę slopinantys vaistiniai preparatai, gali trikdyti moterų vaisingumą, todėl jo nerekomenduojama vartoti mėginančioms pastoti moterims. Jeigu moteriai sunku pastoti arba tiriama nevaisingumo priežastis, tai reikia apsvarstyti Vimovo vartojimo nutraukimo galimybę (žr. 4.6 skyrių).</w:t>
      </w:r>
    </w:p>
    <w:p w14:paraId="6F94B06E" w14:textId="77777777" w:rsidR="00797756" w:rsidRPr="00964115" w:rsidRDefault="00797756" w:rsidP="00797756">
      <w:pPr>
        <w:spacing w:after="0" w:line="240" w:lineRule="auto"/>
        <w:rPr>
          <w:rFonts w:ascii="Times New Roman" w:eastAsia="Calibri" w:hAnsi="Times New Roman" w:cs="Times New Roman"/>
          <w:lang w:val="lt-LT"/>
        </w:rPr>
      </w:pPr>
    </w:p>
    <w:p w14:paraId="6F94B06F"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Derinimas su kitais vaistiniais preparatais</w:t>
      </w:r>
    </w:p>
    <w:p w14:paraId="6F94B070"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Kartu su protonų siurblio inhibitoriais nerekomenduojama vartoti atazanaviro (žr. 4.5 skyrių). Jeigu šių vaistinių preparatų derinio vartojimas laikomas neišvengiamu, tai rekomenduojama padidinti atazanaviro, vartojamo kartu su 100 mg ritonaviro, dozę iki 400 mg ir atidžiai stebėti pacientą kliniškai (pvz., virusų kiekį). Be to, negalima viršyti 20 mg ezomeprazolo dozės, todėl kartu su atazanaviru Vimovo vartoti negalima (žr. 4.3 skyrių).</w:t>
      </w:r>
    </w:p>
    <w:p w14:paraId="6F94B071"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72"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 xml:space="preserve">Ezomeprazolas slopina CYP2C19. Pradedant ar baigiant gydymą ezomeprazolu, reikia įvertinti galimą sąveiką su CYP2C19 metabolizuojamais vaistiniais preparatais. Pastebėta sąveika tarp klopidogrelio ir ezomeprazolo (žr. 4.5 skyrių), kurios klinikinė reikšmė nežinoma. Atsargumo dėlei ezomeprazolo nereikėtų vartoti kartu su klopidogreliu. </w:t>
      </w:r>
    </w:p>
    <w:p w14:paraId="6F94B073"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74"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Hipomagnezemija</w:t>
      </w:r>
    </w:p>
    <w:p w14:paraId="6F94B07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Gauta pranešimų apie sunkią hipomagnezemiją, pasireiškusią bent 3 mėn. (dauguma atvejų - 1 metus) vartojus protonų siurblio inhibitorių, pvz., ezomeprazolo. Dėl hipomagnezemijos gali pasireikšti sunkių sutrikimų (pvz., nuovargis, tetanija, delyras, traukuliai, svaigulys ir skilvelinė aritmija), bet ji gali prasidėti pamažu ir ilgai likti nepastebėta. Hipomagnezemija dažniausiai palengvėdavo vartojant magnio pakaitiniam gydymui ir nutraukus protonų siurblio inhibitorių vartojimą.</w:t>
      </w:r>
    </w:p>
    <w:p w14:paraId="6F94B076"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Jeigu numatomas ilgalaikis gydymas protonų siurblio inhibitoriais arba pacientas kartu su jais vartoja digoksino ar hipomagnezemiją galinčių sukelti vaistinių preparatų (pvz., diuretikų), sveikatos priežiūros specialistai turi apsvarstyti, ar nereikėtų tirti magnio koncentracijos prieš pradedant vartoti protonų siurblio inhibitorių ir periodiškai gydymo metu.</w:t>
      </w:r>
    </w:p>
    <w:p w14:paraId="6F94B077"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78"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Kaulų lūžiai</w:t>
      </w:r>
    </w:p>
    <w:p w14:paraId="6F94B079"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Protonų siurblio inhibitoriai, ypač vartojami didelėmis dozėmis ir ilgai (daugiau kaip 1 metus), gali šiek tiek padidinti šlaunikaulio, riešo ir stuburo lūžių riziką, ypač senyviems žmonėms arba esant kitų pripažintų rizikos veiksnių. Stebėjimo tyrimų duomenimis, protonų siurblio inhibitoriai gali padidinti bendrą lūžių riziką 10-40 %. Dalį šio padidėjimo gali nulemti kiti rizikos veiksniai. Pacientams, kuriems yra osteoporozės rizika, būtina galiojančias klinikines rekomendacijas atitinkanti priežiūra bei pakankamas vitamino D ir kalcio kiekio vartojimas.</w:t>
      </w:r>
    </w:p>
    <w:p w14:paraId="6F94B07A"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7B" w14:textId="77777777" w:rsidR="00797756" w:rsidRPr="00964115" w:rsidRDefault="00797756" w:rsidP="00797756">
      <w:pPr>
        <w:spacing w:after="0" w:line="240" w:lineRule="auto"/>
        <w:ind w:right="29"/>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 xml:space="preserve">Poveikis laboratorinių tyrimų rezultatams </w:t>
      </w:r>
    </w:p>
    <w:p w14:paraId="6F94B07C"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Dėl padidėjusios chromogranino A (CgA) koncentracijos gali būti sunkiau atlikti neuroendokrininių navikų tyrimus. Siekiant išvengti tokio poveikio, gydymą Vimovo reikia nutraukti likus ne mažiau kaip 5 dienoms iki CgA tyrimų (žr. 5.1 skyrių). Jeigu po pirminio tyrimo CgA ir gastrino koncentracija nesumažėjo iki standartinės koncentracijos intervalo, tyrimus reikia pakartoti praėjus 14 dienų po gydymo protonų siurblio inhibitoriais nutraukimo.</w:t>
      </w:r>
    </w:p>
    <w:p w14:paraId="6F94B07D" w14:textId="77777777" w:rsidR="00291510" w:rsidRPr="00964115" w:rsidRDefault="00291510" w:rsidP="00797756">
      <w:pPr>
        <w:spacing w:after="0" w:line="240" w:lineRule="auto"/>
        <w:ind w:right="29"/>
        <w:rPr>
          <w:rFonts w:ascii="Times New Roman" w:eastAsia="Calibri" w:hAnsi="Times New Roman" w:cs="Times New Roman"/>
          <w:lang w:val="lt-LT"/>
        </w:rPr>
      </w:pPr>
    </w:p>
    <w:p w14:paraId="6F94B07E" w14:textId="51DF1A77" w:rsidR="00291510" w:rsidRPr="00964115" w:rsidRDefault="00291510"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VIMOVO tabletėje yra mažiau kaip 1 mmol (23 mg) natrio, t. y. jis beveik neturi reikšmės.</w:t>
      </w:r>
    </w:p>
    <w:p w14:paraId="6F94B07F" w14:textId="77777777" w:rsidR="00797756" w:rsidRPr="00964115" w:rsidRDefault="00797756" w:rsidP="00797756">
      <w:pPr>
        <w:spacing w:after="0" w:line="240" w:lineRule="auto"/>
        <w:rPr>
          <w:rFonts w:ascii="Times New Roman" w:eastAsia="Calibri" w:hAnsi="Times New Roman" w:cs="Times New Roman"/>
          <w:lang w:val="lt-LT"/>
        </w:rPr>
      </w:pPr>
    </w:p>
    <w:p w14:paraId="6F94B080" w14:textId="77777777" w:rsidR="00797756" w:rsidRPr="00964115" w:rsidRDefault="00797756" w:rsidP="00797756">
      <w:pPr>
        <w:spacing w:after="0" w:line="240" w:lineRule="auto"/>
        <w:rPr>
          <w:rFonts w:ascii="Times New Roman" w:eastAsia="Calibri" w:hAnsi="Times New Roman" w:cs="Times New Roman"/>
          <w:b/>
          <w:lang w:val="lt-LT"/>
        </w:rPr>
      </w:pPr>
      <w:bookmarkStart w:id="17" w:name="_Toc129243106"/>
      <w:bookmarkStart w:id="18" w:name="_Toc129243231"/>
      <w:r w:rsidRPr="00964115">
        <w:rPr>
          <w:rFonts w:ascii="Times New Roman" w:eastAsia="Calibri" w:hAnsi="Times New Roman" w:cs="Times New Roman"/>
          <w:b/>
          <w:lang w:val="lt-LT"/>
        </w:rPr>
        <w:t>4.5</w:t>
      </w:r>
      <w:r w:rsidRPr="00964115">
        <w:rPr>
          <w:rFonts w:ascii="Times New Roman" w:eastAsia="Calibri" w:hAnsi="Times New Roman" w:cs="Times New Roman"/>
          <w:b/>
          <w:lang w:val="lt-LT"/>
        </w:rPr>
        <w:tab/>
        <w:t>Sąveika su kitais vaistiniais preparatais ir kitokia sąveika</w:t>
      </w:r>
      <w:bookmarkEnd w:id="17"/>
      <w:bookmarkEnd w:id="18"/>
    </w:p>
    <w:p w14:paraId="6F94B081" w14:textId="77777777" w:rsidR="00797756" w:rsidRPr="00964115" w:rsidRDefault="00797756" w:rsidP="00797756">
      <w:pPr>
        <w:spacing w:after="0" w:line="240" w:lineRule="auto"/>
        <w:rPr>
          <w:rFonts w:ascii="Times New Roman" w:eastAsia="Calibri" w:hAnsi="Times New Roman" w:cs="Times New Roman"/>
          <w:lang w:val="lt-LT"/>
        </w:rPr>
      </w:pPr>
    </w:p>
    <w:p w14:paraId="6F94B082"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Kartu vartoti negalima (žr. 4.3 skyrių)</w:t>
      </w:r>
    </w:p>
    <w:p w14:paraId="6F94B083"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Antiretrovirusiniai vaistiniai preparatai</w:t>
      </w:r>
    </w:p>
    <w:p w14:paraId="6F94B084"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Gauta pranešimų apie D omeprazolo ir S omeprazolo (ezomeprazolo) racemato sąveiką su kai kuriais antiretrovirusiniais vaistiniais preparatais. Šių sąveikų klinikinė reikšmė ir mechanizmai žinomi ne visais atvejais. Vartojant omeprazolą padidėjus skrandžio pH gali pakisti antiretrovirusinių vaistinių preparatų absorbcija. Kiti galimi sąveikos mechanizmai yra susiję su CYP2C19. Gauta pranešimų apie sumažėjusią kai kurių antiretrovirusinių vaistų (atazanaviro ir nelfinaviro) koncentraciją serume kartu vartojant omeprazolą. Sveikiems savanoriams kartu su 300 mg atazanaviro ir 100 mg ritonaviro deriniu 1 kartą per parą vartojant 40 mg omeprazolo, gerokai sumažėjo atazanaviro ekspozicija (AUC,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 xml:space="preserve"> ir C</w:t>
      </w:r>
      <w:r w:rsidRPr="00964115">
        <w:rPr>
          <w:rFonts w:ascii="Times New Roman" w:eastAsia="Calibri" w:hAnsi="Times New Roman" w:cs="Times New Roman"/>
          <w:vertAlign w:val="subscript"/>
          <w:lang w:val="lt-LT"/>
        </w:rPr>
        <w:t>min</w:t>
      </w:r>
      <w:r w:rsidRPr="00964115">
        <w:rPr>
          <w:rFonts w:ascii="Times New Roman" w:eastAsia="Calibri" w:hAnsi="Times New Roman" w:cs="Times New Roman"/>
          <w:lang w:val="lt-LT"/>
        </w:rPr>
        <w:t xml:space="preserve"> – maždaug po 75 %). Atazanaviro dozės padidinimas iki 400 mg omeprazolo įtakos jo ekspozicijai nekompensavo. Kartu vartojant 40 mg omeprazolo per parą, vidutiniai nelfinaviro AUC,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 xml:space="preserve"> ir C</w:t>
      </w:r>
      <w:r w:rsidRPr="00964115">
        <w:rPr>
          <w:rFonts w:ascii="Times New Roman" w:eastAsia="Calibri" w:hAnsi="Times New Roman" w:cs="Times New Roman"/>
          <w:vertAlign w:val="subscript"/>
          <w:lang w:val="lt-LT"/>
        </w:rPr>
        <w:t>min</w:t>
      </w:r>
      <w:r w:rsidRPr="00964115">
        <w:rPr>
          <w:rFonts w:ascii="Times New Roman" w:eastAsia="Calibri" w:hAnsi="Times New Roman" w:cs="Times New Roman"/>
          <w:lang w:val="lt-LT"/>
        </w:rPr>
        <w:t xml:space="preserve"> sumažėjo 36</w:t>
      </w:r>
      <w:r w:rsidRPr="00964115">
        <w:rPr>
          <w:rFonts w:ascii="Times New Roman" w:eastAsia="Calibri" w:hAnsi="Times New Roman" w:cs="Times New Roman"/>
          <w:lang w:val="lt-LT"/>
        </w:rPr>
        <w:noBreakHyphen/>
        <w:t>39 %, o jo farmakologiškai aktyvaus metabolito M8 vidutiniai AUC,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 xml:space="preserve"> ir C</w:t>
      </w:r>
      <w:r w:rsidRPr="00964115">
        <w:rPr>
          <w:rFonts w:ascii="Times New Roman" w:eastAsia="Calibri" w:hAnsi="Times New Roman" w:cs="Times New Roman"/>
          <w:vertAlign w:val="subscript"/>
          <w:lang w:val="lt-LT"/>
        </w:rPr>
        <w:t>min</w:t>
      </w:r>
      <w:r w:rsidRPr="00964115">
        <w:rPr>
          <w:rFonts w:ascii="Times New Roman" w:eastAsia="Calibri" w:hAnsi="Times New Roman" w:cs="Times New Roman"/>
          <w:lang w:val="lt-LT"/>
        </w:rPr>
        <w:t xml:space="preserve"> – 75-92 %. </w:t>
      </w:r>
    </w:p>
    <w:p w14:paraId="6F94B085"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86"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Be to, gauta pranešimų apie padidėjusią kito antiretrovirusinio vaistinio preparato (sakvinaviro) koncentraciją serume. Taip pat nustatyta, kad kartu vartojant omeprazolą kai kurių antiretrovirusinių vaistų koncentracija serume nepakinta.</w:t>
      </w:r>
    </w:p>
    <w:p w14:paraId="6F94B087"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8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Sąveika tarp Vimovo ir atazanaviro netirta. Vis dėlto dėl panašių farmakodinaminių ir farmakokinetinių omeprazolo ir ezomeprazolo savybių atazanaviro ir nelfinaviro nerekomenduojama vartoti kartu su ezomeprazolu ir negalima vartoti kartu su Vimovo (žr. 4.3 skyrių).</w:t>
      </w:r>
    </w:p>
    <w:p w14:paraId="6F94B089" w14:textId="77777777" w:rsidR="00797756" w:rsidRPr="00964115" w:rsidRDefault="00797756" w:rsidP="00797756">
      <w:pPr>
        <w:spacing w:after="0" w:line="240" w:lineRule="auto"/>
        <w:rPr>
          <w:rFonts w:ascii="Times New Roman" w:eastAsia="Calibri" w:hAnsi="Times New Roman" w:cs="Times New Roman"/>
          <w:lang w:val="lt-LT"/>
        </w:rPr>
      </w:pPr>
    </w:p>
    <w:p w14:paraId="6F94B08A"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Kartu vartoti atsargiai</w:t>
      </w:r>
    </w:p>
    <w:p w14:paraId="6F94B08B"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Kiti analgetikai, įskaitant selektyvius COX-2 inhibitorius</w:t>
      </w:r>
    </w:p>
    <w:p w14:paraId="6F94B08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Reikia vengti kartu vartoti du ar daugiau NVNU, kadangi gali padidėti nepageidaujamo poveikio, ypač kraujavimo ir opos virškinimo trakte, rizika. Vimovo nerekomenduojama vartoti kartu su kitais NVNU, išskyrus mažą (iki 325 mg per parą) acetilsalicilo rūgšties dozę (žr. 4.4 skyrių).</w:t>
      </w:r>
    </w:p>
    <w:p w14:paraId="6F94B08D" w14:textId="77777777" w:rsidR="00797756" w:rsidRPr="00964115" w:rsidRDefault="00797756" w:rsidP="00797756">
      <w:pPr>
        <w:spacing w:after="0" w:line="240" w:lineRule="auto"/>
        <w:rPr>
          <w:rFonts w:ascii="Times New Roman" w:eastAsia="Calibri" w:hAnsi="Times New Roman" w:cs="Times New Roman"/>
          <w:u w:val="single"/>
          <w:lang w:val="lt-LT"/>
        </w:rPr>
      </w:pPr>
    </w:p>
    <w:p w14:paraId="6F94B08E"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Acetilsalicilo rūgštis</w:t>
      </w:r>
    </w:p>
    <w:p w14:paraId="6F94B08F"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Vimovo galima vartoti kartu su maža acetilsalicilo rūgšties doze (iki 325 mg per parą). Klinikinių tyrimų metu Vimovo kartu su maža acetilsalicilo rūgšties doze vartojusiems pacientams skrandžio opų nesusidarė dažniau negu vartojusiems Vimovo atskirai (žr. 5.1 skyrių). Vis dėlto acetilsalicilo rūgštį vartojant kartu su Vimovo sunkių nepageidaujamų reiškinių rizika gali padidėti (žr. 4.4 ir 4.8 skyrius).</w:t>
      </w:r>
    </w:p>
    <w:p w14:paraId="6F94B090"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91" w14:textId="77777777" w:rsidR="00291510" w:rsidRPr="00964115" w:rsidRDefault="00291510" w:rsidP="00291510">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Klinikinės farmakodinamikos duomenimis, ilgiau kaip 1 dieną iš eilės kartu vartojamas naproksenas gali susilpninti mažos acetilsalicilo rūgšties dozės poveikį trombocitų aktyvumui; baigus vartoti naprokseną šis susilpnėjimas gali išlikti dar kelias dienas. Šios sąveikos klinikinė reikšmė nežinoma.</w:t>
      </w:r>
    </w:p>
    <w:p w14:paraId="6F94B092" w14:textId="77777777" w:rsidR="00291510" w:rsidRPr="00964115" w:rsidRDefault="00291510" w:rsidP="00291510">
      <w:pPr>
        <w:spacing w:after="0" w:line="240" w:lineRule="auto"/>
        <w:ind w:right="29"/>
        <w:rPr>
          <w:rFonts w:ascii="Times New Roman" w:eastAsia="Calibri" w:hAnsi="Times New Roman" w:cs="Times New Roman"/>
          <w:lang w:val="lt-LT"/>
        </w:rPr>
      </w:pPr>
    </w:p>
    <w:p w14:paraId="6F94B093"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Takrolimuzas</w:t>
      </w:r>
    </w:p>
    <w:p w14:paraId="6F94B094"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Naprokseną (kaip ir visus kitus NVNU) vartojant kartu su takrolimuzu, gali kilti nefrotoksinio poveikio rizika. Gauta pranešimų apie padidėjusią takrolimuzo koncentraciją serume kartu vartojant ezomeprazolo. Vartojant Vimovo, reikia dažniau tirti takrolimuzo koncentraciją ir inkstų funkciją (kreatinino klirensą) bei prireikus koreguoti takrolimuzo dozę.</w:t>
      </w:r>
    </w:p>
    <w:p w14:paraId="6F94B095" w14:textId="77777777" w:rsidR="00797756" w:rsidRPr="00964115" w:rsidRDefault="00797756" w:rsidP="00797756">
      <w:pPr>
        <w:spacing w:after="0" w:line="240" w:lineRule="auto"/>
        <w:ind w:right="29"/>
        <w:rPr>
          <w:rFonts w:ascii="Times New Roman" w:eastAsia="Calibri" w:hAnsi="Times New Roman" w:cs="Times New Roman"/>
          <w:i/>
          <w:lang w:val="lt-LT"/>
        </w:rPr>
      </w:pPr>
    </w:p>
    <w:p w14:paraId="6F94B096"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Ciklosporinas</w:t>
      </w:r>
    </w:p>
    <w:p w14:paraId="6F94B097"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Būtina imtis atsargumo priemonių (kaip ir kartu su ciklosporinu vartojant bet kurio kito NVNU), kadangi gali padidėti nefrotoksinio poveikio rizika.</w:t>
      </w:r>
    </w:p>
    <w:p w14:paraId="6F94B098"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99"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Diuretikai</w:t>
      </w:r>
    </w:p>
    <w:p w14:paraId="6F94B09A"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Klinikinių tyrimų ir stebėjimo pateikus į rinką duomenimis, NVNU kai kuriems pacientams susilpnina natrio išskyrimą skatinantį furosemido ir tiazidų poveikį. Ši sąveika laikoma susijusia su inkstų prostaglandinų sintezės slopinimu. Jei pacientas kartu vartoja NVNU, reikia atidžiai stebėti, ar nėra inkstų nepakankamumo požymių bei ar veiksmingai veikia diuretikai (žr. 4.4 skyrių).</w:t>
      </w:r>
    </w:p>
    <w:p w14:paraId="6F94B09B" w14:textId="77777777" w:rsidR="00797756" w:rsidRPr="00964115" w:rsidRDefault="00797756" w:rsidP="00797756">
      <w:pPr>
        <w:spacing w:after="0" w:line="240" w:lineRule="auto"/>
        <w:rPr>
          <w:rFonts w:ascii="Times New Roman" w:eastAsia="Calibri" w:hAnsi="Times New Roman" w:cs="Times New Roman"/>
          <w:lang w:val="lt-LT"/>
        </w:rPr>
      </w:pPr>
    </w:p>
    <w:p w14:paraId="6F94B09C"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Selektyvūs serotonino reabsorbcijos inhibitoriai (SSRI)</w:t>
      </w:r>
    </w:p>
    <w:p w14:paraId="6F94B09D"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Kartu vartojant NVNU, įskaitant selektyvius COX</w:t>
      </w:r>
      <w:r w:rsidRPr="00964115">
        <w:rPr>
          <w:rFonts w:ascii="Times New Roman" w:eastAsia="Calibri" w:hAnsi="Times New Roman" w:cs="Times New Roman"/>
          <w:lang w:val="lt-LT"/>
        </w:rPr>
        <w:noBreakHyphen/>
        <w:t>2 inhibitorius, ir SSRI padidėja kraujavimo virškinimo trakte rizika (žr. 4.4 skyrių).</w:t>
      </w:r>
    </w:p>
    <w:p w14:paraId="6F94B09E"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9F"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Kortikosteroidai</w:t>
      </w:r>
    </w:p>
    <w:p w14:paraId="6F94B0A0"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Kartu vartojant kortikosteroidų ir NVNU, įskaitant selektyvius COX-2 inhibitorius, padidėja kraujavimo virškinimo trakte pavojus, todėl šių vaistinių preparatų kartu skiriama atsargiai (žr. 4.4 skyrių).</w:t>
      </w:r>
    </w:p>
    <w:p w14:paraId="6F94B0A1"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A2"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AKF inhibitoriai ir angiotenzino II receptorių antagonistai</w:t>
      </w:r>
    </w:p>
    <w:p w14:paraId="6F94B0A3"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Pranešimų duomenimis, NVNU gali susilpninti AKF inhibitorių ir angiotenzino II receptorių antagonistų antihipertenzinį poveikį bei padidinti su AKF inhibitoriais ar angiotenzino II receptorių antagonistais susijusio inkstų funkcijos sutrikimo riziką. NVNU kartu su AKF inhibitoriais ar angiotenzino II receptorių antagonistais skiriama atsargiai, jeigu pacientas senyvas, sumažėjęs skysčių kiekis organizme arba sutrikusi inkstų funkcija (žr. 4.4 skyrių).</w:t>
      </w:r>
    </w:p>
    <w:p w14:paraId="6F94B0A4"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A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Digoksinas</w:t>
      </w:r>
    </w:p>
    <w:p w14:paraId="6F94B0A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Kartu vartojami NVNU gali padidinti širdį veikiančių glikozidų (pvz., digoksino) koncentraciją plazmoje.</w:t>
      </w:r>
    </w:p>
    <w:p w14:paraId="6F94B0A7" w14:textId="77777777" w:rsidR="00797756" w:rsidRPr="00964115" w:rsidRDefault="00797756" w:rsidP="00797756">
      <w:pPr>
        <w:spacing w:after="0" w:line="240" w:lineRule="auto"/>
        <w:rPr>
          <w:rFonts w:ascii="Times New Roman" w:eastAsia="Calibri" w:hAnsi="Times New Roman" w:cs="Times New Roman"/>
          <w:lang w:val="lt-LT"/>
        </w:rPr>
      </w:pPr>
    </w:p>
    <w:p w14:paraId="6F94B0A8"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Litis</w:t>
      </w:r>
    </w:p>
    <w:p w14:paraId="6F94B0A9"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NVNU sumažino ličio inkstų klirensą ir padidino jo koncentraciją plazmoje. Šie pokyčiai laikomi susijusiais su NVNU sukeliamu inkstų prostaglandinų sintezės slopinimu, todėl pacientus, kurie kartu vartoja NVNU ir ličio preparatų, reikia atidžiai stebėti dėl galimo ličio toksinio poveikio požymių.</w:t>
      </w:r>
    </w:p>
    <w:p w14:paraId="6F94B0AA"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AB"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Metotreksatas</w:t>
      </w:r>
    </w:p>
    <w:p w14:paraId="6F94B0AC" w14:textId="77777777" w:rsidR="00797756" w:rsidRPr="00964115" w:rsidRDefault="00797756" w:rsidP="00797756">
      <w:pPr>
        <w:keepNext/>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Gauta pranešimų apie padidėjusią metotreksato koncentraciją kai kurių pacientų, kartu vartojusių protonų siurblio inhibitorių, serume. Tiriant gyvūnų modelius nustatyta, kad NVNU mažina metotreksato sekreciją inkstų kanalėliuose. Tai gali rodyti ezomeprazolo ir naprokseno sukeliamo metotreksato toksiškumo padidėjimo galimybę. Tikėtina didesnė šios sąveikos klinikinė reikšmė esant didelei metotreksato dozei arba sutrikusiai inkstų funkcijai. Kartu su metotreksatu Vimovo skiriama atsargiai. Gydymo didelėmis metotreksato dozėmis laikotarpiui Vimovo vartojimą rekomenduojama nutraukti.</w:t>
      </w:r>
    </w:p>
    <w:p w14:paraId="6F94B0AD"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AE" w14:textId="77777777" w:rsidR="00797756" w:rsidRPr="00964115" w:rsidRDefault="00797756" w:rsidP="00797756">
      <w:pPr>
        <w:spacing w:after="0" w:line="240" w:lineRule="auto"/>
        <w:ind w:right="29"/>
        <w:rPr>
          <w:rFonts w:ascii="Times New Roman" w:eastAsia="Calibri" w:hAnsi="Times New Roman" w:cs="Times New Roman"/>
          <w:i/>
          <w:lang w:val="lt-LT"/>
        </w:rPr>
      </w:pPr>
      <w:r w:rsidRPr="00964115">
        <w:rPr>
          <w:rFonts w:ascii="Times New Roman" w:eastAsia="Calibri" w:hAnsi="Times New Roman" w:cs="Times New Roman"/>
          <w:i/>
          <w:lang w:val="lt-LT"/>
        </w:rPr>
        <w:t>Sulfonilkarbamidai, hidantoinai</w:t>
      </w:r>
    </w:p>
    <w:p w14:paraId="6F94B0AF"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Didelė naprokseno dalis būna prisijungusi prie plazmos baltymų, todėl yra teorinė sąveikos su kitais prie albumino besijungiančiais vaistiniais preparatais (sulfonilkarbamidais ir hidantoinais) galimybė. Jei pacientas kartu su naproksenu vartoja hidantoinus, sulfonamidus ar sulfonilkarbamidus, tai būtina stebėti, ar nereikia koreguoti dozės.</w:t>
      </w:r>
    </w:p>
    <w:p w14:paraId="6F94B0B0"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0B1"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Klopidogrelis</w:t>
      </w:r>
    </w:p>
    <w:p w14:paraId="6F94B0B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Sveikų asmenų tyrimai parodė farmakokinetinę ar farmakodinaminę sąveiką tarp klopidogrelio (vartota 300 mg įsotinimo dozė ir 75 mg per parą palaikomoji) ir ezomeprazolo (40 mg per parą per burną), dėl kurios vidutiniškai 40 % sumažėjo klopidogrelio aktyvaus metabolito ekspozicija ir vidutiniškai 14 % susilpnėjo maksimalus ADF sukeliamos trombocitų agregacijos slopinimas.</w:t>
      </w:r>
    </w:p>
    <w:p w14:paraId="6F94B0B3" w14:textId="77777777" w:rsidR="00797756" w:rsidRPr="00964115" w:rsidRDefault="00797756" w:rsidP="00797756">
      <w:pPr>
        <w:spacing w:after="0" w:line="240" w:lineRule="auto"/>
        <w:rPr>
          <w:rFonts w:ascii="Times New Roman" w:eastAsia="Calibri" w:hAnsi="Times New Roman" w:cs="Times New Roman"/>
          <w:lang w:val="lt-LT"/>
        </w:rPr>
      </w:pPr>
    </w:p>
    <w:p w14:paraId="6F94B0B4"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Tyrimo metu sveikiems asmenims kartu vartojant 20 mg ezomeprazolo ir 81 mg acetilsalicilo rūgšties fiksuotų dozių derinį, klopidogrelio aktyvaus metabolito ekspozicija buvo beveik 40 % mažesnė negu vartojant vien klopidogrelį. Vis dėlto maksimalus ADF sukeliamos trombocitų agregacijos slopinimas abejų grupių asmenims buvo vienodas.</w:t>
      </w:r>
    </w:p>
    <w:p w14:paraId="6F94B0B5" w14:textId="77777777" w:rsidR="00797756" w:rsidRPr="00964115" w:rsidRDefault="00797756" w:rsidP="00797756">
      <w:pPr>
        <w:spacing w:after="0" w:line="240" w:lineRule="auto"/>
        <w:rPr>
          <w:rFonts w:ascii="Times New Roman" w:eastAsia="Calibri" w:hAnsi="Times New Roman" w:cs="Times New Roman"/>
          <w:lang w:val="lt-LT"/>
        </w:rPr>
      </w:pPr>
    </w:p>
    <w:p w14:paraId="6F94B0B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Klopidogrelio sąveikos su naprokseno ir ezomeprazolo fiksuotų dozių deriniu (Vimovo) klinikinių tyrimų neatlikta.</w:t>
      </w:r>
    </w:p>
    <w:p w14:paraId="6F94B0B7" w14:textId="77777777" w:rsidR="00797756" w:rsidRPr="00964115" w:rsidRDefault="00797756" w:rsidP="00797756">
      <w:pPr>
        <w:spacing w:after="0" w:line="240" w:lineRule="auto"/>
        <w:rPr>
          <w:rFonts w:ascii="Times New Roman" w:eastAsia="Calibri" w:hAnsi="Times New Roman" w:cs="Times New Roman"/>
          <w:lang w:val="lt-LT"/>
        </w:rPr>
      </w:pPr>
    </w:p>
    <w:p w14:paraId="6F94B0B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Stebėjimo ir klinikinių tyrimų duomenys apie šios farmakokinetinės ar farmakodinaminės ezomeprazolo sąveikos klinikinę reikšmę (įtaką didžiųjų širdies ir kraujagyslių sutrikimų pasireiškimui) yra prieštaringi. Atsargumo dėlei Vimovo ir klopidogrelio kartu vartoti nereikėtų (žr. 4.4 skyrių). </w:t>
      </w:r>
    </w:p>
    <w:p w14:paraId="6F94B0B9" w14:textId="77777777" w:rsidR="00797756" w:rsidRPr="00964115" w:rsidRDefault="00797756" w:rsidP="00797756">
      <w:pPr>
        <w:spacing w:after="0" w:line="240" w:lineRule="auto"/>
        <w:rPr>
          <w:rFonts w:ascii="Times New Roman" w:eastAsia="Calibri" w:hAnsi="Times New Roman" w:cs="Times New Roman"/>
          <w:lang w:val="lt-LT"/>
        </w:rPr>
      </w:pPr>
    </w:p>
    <w:p w14:paraId="6F94B0BA"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Antikoaguliantai ir trombocitų agregacijos inhibitoriai</w:t>
      </w:r>
    </w:p>
    <w:p w14:paraId="6F94B0BB"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NVNU gali sustiprinti geriamųjų antikoaguliantų (pvz., varfarino ir dikumarolio), heparino bei trombocitų agregacijos inhibitorių poveikį (žr. 4.4 skyrių).</w:t>
      </w:r>
    </w:p>
    <w:p w14:paraId="6F94B0BC"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p>
    <w:p w14:paraId="6F94B0B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Kartu vartojant varfariną ir 40 mg ezomeprazolo, šiek tiek padidėjo minimali pusiausvyrinė silpniau veikiančio varfarino R izomero koncentracija plazmoje, tačiau krešėjimo laikas išliko priimtinose ribose. Vis dėlto šiems vaistiniams preparatams esant rinkoje gauta pranešimų apie reikšmingą klinikai tarptautinio normalizuoto santykio (INR) padidėjimą juos vartojant kartu. Pacientą, pradedamą arba baigiamą gydyti varfarinu ar kitu kumarino dariniu, reikia atidžiai stebėti.</w:t>
      </w:r>
    </w:p>
    <w:p w14:paraId="6F94B0BE" w14:textId="77777777" w:rsidR="00797756" w:rsidRPr="00964115" w:rsidRDefault="00797756" w:rsidP="00797756">
      <w:pPr>
        <w:spacing w:after="0" w:line="240" w:lineRule="auto"/>
        <w:rPr>
          <w:rFonts w:ascii="Times New Roman" w:eastAsia="Calibri" w:hAnsi="Times New Roman" w:cs="Times New Roman"/>
          <w:lang w:val="lt-LT"/>
        </w:rPr>
      </w:pPr>
    </w:p>
    <w:p w14:paraId="6F94B0BF"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Beta adrenoblokatoriai</w:t>
      </w:r>
    </w:p>
    <w:p w14:paraId="6F94B0C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Naproksenas ir kiti NVNU gali susilpninti propranololo ir kitų beta adrenoblokatorių antihipertenzinį poveikį.</w:t>
      </w:r>
    </w:p>
    <w:p w14:paraId="6F94B0C1" w14:textId="77777777" w:rsidR="00797756" w:rsidRPr="00964115" w:rsidRDefault="00797756" w:rsidP="00797756">
      <w:pPr>
        <w:spacing w:after="0" w:line="240" w:lineRule="auto"/>
        <w:rPr>
          <w:rFonts w:ascii="Times New Roman" w:eastAsia="Calibri" w:hAnsi="Times New Roman" w:cs="Times New Roman"/>
          <w:lang w:val="lt-LT"/>
        </w:rPr>
      </w:pPr>
    </w:p>
    <w:p w14:paraId="6F94B0C2"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Probenecidas</w:t>
      </w:r>
    </w:p>
    <w:p w14:paraId="6F94B0C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Kartu vartojamas probenecidas reikšmingai pailgina naprokseno anijonų pusinį laiką ir padidina jų koncentraciją plazmoje.</w:t>
      </w:r>
    </w:p>
    <w:p w14:paraId="6F94B0C4" w14:textId="77777777" w:rsidR="00797756" w:rsidRPr="00964115" w:rsidRDefault="00797756" w:rsidP="00797756">
      <w:pPr>
        <w:spacing w:after="0" w:line="240" w:lineRule="auto"/>
        <w:rPr>
          <w:rFonts w:ascii="Times New Roman" w:eastAsia="Calibri" w:hAnsi="Times New Roman" w:cs="Times New Roman"/>
          <w:lang w:val="lt-LT"/>
        </w:rPr>
      </w:pPr>
    </w:p>
    <w:p w14:paraId="6F94B0C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Vaistiniai preparatai, kurių absorbcija priklauso nuo skrandžio pH</w:t>
      </w:r>
    </w:p>
    <w:p w14:paraId="6F94B0C6"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lang w:val="lt-LT"/>
        </w:rPr>
        <w:t>Vartojant ezomeprazolą ar kitų protonų siurblio inhibitorių sumažėjus skrandžio sulčių rūgštingumui, gali padidėti arba sumažėti kitų vaistinių preparatų absorb</w:t>
      </w:r>
      <w:r w:rsidRPr="00964115">
        <w:rPr>
          <w:rFonts w:ascii="Times New Roman" w:eastAsia="Calibri" w:hAnsi="Times New Roman" w:cs="Times New Roman"/>
          <w:lang w:val="lt-LT"/>
        </w:rPr>
        <w:softHyphen/>
        <w:t>ci</w:t>
      </w:r>
      <w:r w:rsidRPr="00964115">
        <w:rPr>
          <w:rFonts w:ascii="Times New Roman" w:eastAsia="Calibri" w:hAnsi="Times New Roman" w:cs="Times New Roman"/>
          <w:lang w:val="lt-LT"/>
        </w:rPr>
        <w:softHyphen/>
        <w:t>ja, jeigu ji priklauso nuo skrandžio pH. Vartojant ezomeprazolą (kaip ir ki</w:t>
      </w:r>
      <w:r w:rsidRPr="00964115">
        <w:rPr>
          <w:rFonts w:ascii="Times New Roman" w:eastAsia="Calibri" w:hAnsi="Times New Roman" w:cs="Times New Roman"/>
          <w:lang w:val="lt-LT"/>
        </w:rPr>
        <w:softHyphen/>
        <w:t>tų skrandžio rūgštingumą mažinančių vaistinių preparatų), gali sumažėti ketokonazolo, itrakonazolo, pozakonazolo ir erlotinibo, tačiau padidėti, pvz., digoksino absorbcija. Ezomeprazolo nereikėtų vartoti kartu su pozakonazolu ir erlotinibu. Sveikiems asmenims kartu vartojant 20 mg omeprazolo per parą, digoksino biologinis prieinamumas padidėjo iki 10 % (2 iš 10 asmenų – net iki 30 %).</w:t>
      </w:r>
    </w:p>
    <w:p w14:paraId="6F94B0C7" w14:textId="77777777" w:rsidR="00797756" w:rsidRPr="00964115" w:rsidRDefault="00797756" w:rsidP="00797756">
      <w:pPr>
        <w:spacing w:after="0" w:line="240" w:lineRule="auto"/>
        <w:rPr>
          <w:rFonts w:ascii="Times New Roman" w:eastAsia="Calibri" w:hAnsi="Times New Roman" w:cs="Times New Roman"/>
          <w:lang w:val="lt-LT"/>
        </w:rPr>
      </w:pPr>
    </w:p>
    <w:p w14:paraId="6F94B0C8"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Kita informacija apie vaistinių preparatų sąveiką</w:t>
      </w:r>
    </w:p>
    <w:p w14:paraId="6F94B0C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Tiriant kartu vartojamų ezomeprazolo ir naprokseno (neselektyvaus NVNU) ar rofekoksibo (ciklooksigenazei-2 selektyvaus NVNU) poveikį, klinikai reikšmingos sąveikos nenustatyta. </w:t>
      </w:r>
    </w:p>
    <w:p w14:paraId="6F94B0CA" w14:textId="77777777" w:rsidR="00797756" w:rsidRPr="00964115" w:rsidRDefault="00797756" w:rsidP="00797756">
      <w:pPr>
        <w:spacing w:after="0" w:line="240" w:lineRule="auto"/>
        <w:rPr>
          <w:rFonts w:ascii="Times New Roman" w:eastAsia="Calibri" w:hAnsi="Times New Roman" w:cs="Times New Roman"/>
          <w:lang w:val="lt-LT"/>
        </w:rPr>
      </w:pPr>
    </w:p>
    <w:p w14:paraId="6F94B0C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Kartu vartojamas kolestiraminas gali lėtinti naprokseno (kaip ir kitų NVNU) absorbciją.</w:t>
      </w:r>
    </w:p>
    <w:p w14:paraId="6F94B0CC" w14:textId="77777777" w:rsidR="00797756" w:rsidRPr="00964115" w:rsidRDefault="00797756" w:rsidP="00797756">
      <w:pPr>
        <w:spacing w:after="0" w:line="240" w:lineRule="auto"/>
        <w:rPr>
          <w:rFonts w:ascii="Times New Roman" w:eastAsia="Calibri" w:hAnsi="Times New Roman" w:cs="Times New Roman"/>
          <w:lang w:val="lt-LT"/>
        </w:rPr>
      </w:pPr>
    </w:p>
    <w:p w14:paraId="6F94B0C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Sveikiems savanoriams kartu vartojant 40 mg ezomeprazolo, 32 % padidėjo cisaprido AUC ir 31 % pailgėjo jo pusinis eliminacijos laikas (t</w:t>
      </w:r>
      <w:r w:rsidRPr="00964115">
        <w:rPr>
          <w:rFonts w:ascii="Times New Roman" w:eastAsia="Calibri" w:hAnsi="Times New Roman" w:cs="Times New Roman"/>
          <w:vertAlign w:val="subscript"/>
          <w:lang w:val="lt-LT"/>
        </w:rPr>
        <w:t>1/2</w:t>
      </w:r>
      <w:r w:rsidRPr="00964115">
        <w:rPr>
          <w:rFonts w:ascii="Times New Roman" w:eastAsia="Calibri" w:hAnsi="Times New Roman" w:cs="Times New Roman"/>
          <w:lang w:val="lt-LT"/>
        </w:rPr>
        <w:t>), tačiau didžiausia cisaprido koncentracija plazmoje reikšmingai nepakito. Atskirai vartojant cisapridą šiek tiek pailgėjęs QTc intervalas, kartu vartojant ezomeprazolą labiau nepailgėjo (žr. 4.4 skyrių).</w:t>
      </w:r>
    </w:p>
    <w:p w14:paraId="6F94B0CE" w14:textId="77777777" w:rsidR="00797756" w:rsidRPr="00964115" w:rsidRDefault="00797756" w:rsidP="00797756">
      <w:pPr>
        <w:spacing w:after="0" w:line="240" w:lineRule="auto"/>
        <w:rPr>
          <w:rFonts w:ascii="Times New Roman" w:eastAsia="Calibri" w:hAnsi="Times New Roman" w:cs="Times New Roman"/>
          <w:lang w:val="lt-LT"/>
        </w:rPr>
      </w:pPr>
    </w:p>
    <w:p w14:paraId="6F94B0C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Nustatyta, kad ezomeprazolas nesukelia klinikai reikšmingos įtakos amoksicilino ir chinidino farmakokinetikai.</w:t>
      </w:r>
    </w:p>
    <w:p w14:paraId="6F94B0D0" w14:textId="77777777" w:rsidR="00797756" w:rsidRPr="00964115" w:rsidRDefault="00797756" w:rsidP="00797756">
      <w:pPr>
        <w:spacing w:after="0" w:line="240" w:lineRule="auto"/>
        <w:rPr>
          <w:rFonts w:ascii="Times New Roman" w:eastAsia="Calibri" w:hAnsi="Times New Roman" w:cs="Times New Roman"/>
          <w:lang w:val="lt-LT"/>
        </w:rPr>
      </w:pPr>
    </w:p>
    <w:p w14:paraId="6F94B0D1"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Ezomeprazolas slopina CYP2C19 – pagrindinį jį metabolizuojantį fermentą. Be to, ezomeprazolą metabolizuoja CYP3A4. Nustatyti tokie, su šiais fermentais susiję, duomenys:</w:t>
      </w:r>
    </w:p>
    <w:p w14:paraId="6F94B0D2" w14:textId="77777777" w:rsidR="00797756" w:rsidRPr="00964115" w:rsidRDefault="00797756" w:rsidP="00797756">
      <w:pPr>
        <w:numPr>
          <w:ilvl w:val="0"/>
          <w:numId w:val="3"/>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kartu vartojant ezomeprazolą 30 mg dozėmis, 45 % sumažėjo CYP2C19 substrato diazepamo klirensas (ši sąveika neturėtų būti kliniškai reikšminga);</w:t>
      </w:r>
    </w:p>
    <w:p w14:paraId="6F94B0D3" w14:textId="77777777" w:rsidR="00797756" w:rsidRPr="00964115" w:rsidRDefault="00797756" w:rsidP="00797756">
      <w:pPr>
        <w:numPr>
          <w:ilvl w:val="0"/>
          <w:numId w:val="3"/>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kartu vartojant ezomeprazolą 40 mg dozėmis, 13 % padidėjo mažiausia pusiausvyrinė fenitoino koncentracija epilepsija sergančių pacientų plaz</w:t>
      </w:r>
      <w:r w:rsidRPr="00964115">
        <w:rPr>
          <w:rFonts w:ascii="Times New Roman" w:eastAsia="Calibri" w:hAnsi="Times New Roman" w:cs="Times New Roman"/>
          <w:lang w:val="lt-LT"/>
        </w:rPr>
        <w:softHyphen/>
        <w:t>mo</w:t>
      </w:r>
      <w:r w:rsidRPr="00964115">
        <w:rPr>
          <w:rFonts w:ascii="Times New Roman" w:eastAsia="Calibri" w:hAnsi="Times New Roman" w:cs="Times New Roman"/>
          <w:lang w:val="lt-LT"/>
        </w:rPr>
        <w:softHyphen/>
        <w:t>je;</w:t>
      </w:r>
    </w:p>
    <w:p w14:paraId="6F94B0D4" w14:textId="77777777" w:rsidR="00797756" w:rsidRPr="00964115" w:rsidRDefault="00797756" w:rsidP="00797756">
      <w:pPr>
        <w:numPr>
          <w:ilvl w:val="0"/>
          <w:numId w:val="3"/>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kartu vartojant vaistinius preparatus, kurie vienu metu slopina CYP2C19 ir CYP3A4 (pvz., vorikonazolą), ezomeprazolo ekspozicija gali padidėti daugiau kaip dvigubai;</w:t>
      </w:r>
    </w:p>
    <w:p w14:paraId="6F94B0D5" w14:textId="77777777" w:rsidR="00797756" w:rsidRPr="00964115" w:rsidRDefault="00797756" w:rsidP="00797756">
      <w:pPr>
        <w:numPr>
          <w:ilvl w:val="0"/>
          <w:numId w:val="3"/>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kartu vartojant 2 kartus per parą po 500 mg CYP3A4 inhibitoriaus klaritromicino, ezomeprazolo ekspozicija (AUC) padidėjo dvigubai.</w:t>
      </w:r>
    </w:p>
    <w:p w14:paraId="6F94B0D6" w14:textId="77777777" w:rsidR="00797756" w:rsidRPr="00964115" w:rsidRDefault="00797756" w:rsidP="00797756">
      <w:pPr>
        <w:spacing w:after="0" w:line="240" w:lineRule="auto"/>
        <w:rPr>
          <w:rFonts w:ascii="Times New Roman" w:eastAsia="Calibri" w:hAnsi="Times New Roman" w:cs="Times New Roman"/>
          <w:lang w:val="lt-LT"/>
        </w:rPr>
      </w:pPr>
    </w:p>
    <w:p w14:paraId="6F94B0D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Nė vienu iš šių atvejų ezomeprazolo dozės koreguoti nereikia.</w:t>
      </w:r>
    </w:p>
    <w:p w14:paraId="6F94B0D8" w14:textId="77777777" w:rsidR="00797756" w:rsidRPr="00964115" w:rsidRDefault="00797756" w:rsidP="00797756">
      <w:pPr>
        <w:spacing w:after="0" w:line="240" w:lineRule="auto"/>
        <w:rPr>
          <w:rFonts w:ascii="Times New Roman" w:eastAsia="Calibri" w:hAnsi="Times New Roman" w:cs="Times New Roman"/>
          <w:lang w:val="lt-LT"/>
        </w:rPr>
      </w:pPr>
    </w:p>
    <w:p w14:paraId="6F94B0D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CYP2C19 ar (ir) CYP3A4 indukuojantys vaistiniai preparatai (pvz., rifampicinas ir jonažolė) gali pagreitinti ezomeprazolo metabolizmą ir todėl sumažinti jo koncentraciją serume.</w:t>
      </w:r>
    </w:p>
    <w:p w14:paraId="6F94B0DA" w14:textId="77777777" w:rsidR="00797756" w:rsidRPr="00964115" w:rsidRDefault="00797756" w:rsidP="00797756">
      <w:pPr>
        <w:spacing w:after="0" w:line="240" w:lineRule="auto"/>
        <w:rPr>
          <w:rFonts w:ascii="Times New Roman" w:eastAsia="Calibri" w:hAnsi="Times New Roman" w:cs="Times New Roman"/>
          <w:lang w:val="lt-LT"/>
        </w:rPr>
      </w:pPr>
    </w:p>
    <w:p w14:paraId="6F94B0D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Omeprazolas ir ezomeprazolas slopina CYP 2C19. Kryžminio tyrimo metu omeprazolas, vartotas 40 mg dozėmis, sveikiems asmenims padidino cilostazolo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 xml:space="preserve"> ir AUC atitinkamai 18 % ir 26 %, o vieno iš jo aktyvių metabolitų – atitinkamai 29 % ir 69 %.</w:t>
      </w:r>
    </w:p>
    <w:p w14:paraId="6F94B0DC" w14:textId="77777777" w:rsidR="00797756" w:rsidRPr="00964115" w:rsidRDefault="00797756" w:rsidP="00797756">
      <w:pPr>
        <w:spacing w:after="0" w:line="240" w:lineRule="auto"/>
        <w:rPr>
          <w:rFonts w:ascii="Times New Roman" w:eastAsia="Calibri" w:hAnsi="Times New Roman" w:cs="Times New Roman"/>
          <w:lang w:val="lt-LT"/>
        </w:rPr>
      </w:pPr>
    </w:p>
    <w:p w14:paraId="6F94B0D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Tyrimų su gyvūnais duomenys rodo, kad NVNU gali padidinti traukulių, susijusių su chinolonų grupės antibiotikais, pasireiškimo riziką. Chinolonus vartojantiems pacientams traukulių pasireiškimo rizika gali būti didesnė.</w:t>
      </w:r>
    </w:p>
    <w:p w14:paraId="6F94B0DE" w14:textId="77777777" w:rsidR="00797756" w:rsidRPr="00964115" w:rsidRDefault="00797756" w:rsidP="00797756">
      <w:pPr>
        <w:spacing w:after="0" w:line="240" w:lineRule="auto"/>
        <w:rPr>
          <w:rFonts w:ascii="Times New Roman" w:eastAsia="Calibri" w:hAnsi="Times New Roman" w:cs="Times New Roman"/>
          <w:lang w:val="lt-LT"/>
        </w:rPr>
      </w:pPr>
    </w:p>
    <w:p w14:paraId="6F94B0DF"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Vaistinio preparato poveikis laboratorinių tyrimų duomenims</w:t>
      </w:r>
    </w:p>
    <w:p w14:paraId="6F94B0E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Naproksenas gali susilpninti trombocitų agregaciją ir pailginti kraujavimo trukmę. Ją tiriant, į šį poveikį reikia atsižvelgti. </w:t>
      </w:r>
    </w:p>
    <w:p w14:paraId="6F94B0E1" w14:textId="77777777" w:rsidR="00797756" w:rsidRPr="00964115" w:rsidRDefault="00797756" w:rsidP="00797756">
      <w:pPr>
        <w:spacing w:after="0" w:line="240" w:lineRule="auto"/>
        <w:rPr>
          <w:rFonts w:ascii="Times New Roman" w:eastAsia="Calibri" w:hAnsi="Times New Roman" w:cs="Times New Roman"/>
          <w:lang w:val="lt-LT"/>
        </w:rPr>
      </w:pPr>
    </w:p>
    <w:p w14:paraId="6F94B0E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Naproksenas gali sukelti 17-keto steroidų kiekio šlapime padidėjimą dėl jo ir (arba) jo metabolitų sąveikos su šiam tyrimui naudojamu m-di-nitrobenzenu. Nors dirbtinai pakitusių 17-hidroksikortikosteroidų tyrimų (Porter-Silber mėginio) duomenų nenustatyta, 72 val. prieš atliekant antinksčių funkcijos </w:t>
      </w:r>
      <w:r w:rsidRPr="00964115">
        <w:rPr>
          <w:rFonts w:ascii="Times New Roman" w:eastAsia="Calibri" w:hAnsi="Times New Roman" w:cs="Times New Roman"/>
          <w:i/>
          <w:lang w:val="lt-LT"/>
        </w:rPr>
        <w:t>Porter-Silber</w:t>
      </w:r>
      <w:r w:rsidRPr="00964115">
        <w:rPr>
          <w:rFonts w:ascii="Times New Roman" w:eastAsia="Calibri" w:hAnsi="Times New Roman" w:cs="Times New Roman"/>
          <w:lang w:val="lt-LT"/>
        </w:rPr>
        <w:t xml:space="preserve"> mėginį naprokseno vartojimą rekomenduojama laikinai nutraukti. </w:t>
      </w:r>
    </w:p>
    <w:p w14:paraId="6F94B0E3" w14:textId="77777777" w:rsidR="00797756" w:rsidRPr="00964115" w:rsidRDefault="00797756" w:rsidP="00797756">
      <w:pPr>
        <w:spacing w:after="0" w:line="240" w:lineRule="auto"/>
        <w:rPr>
          <w:rFonts w:ascii="Times New Roman" w:eastAsia="Calibri" w:hAnsi="Times New Roman" w:cs="Times New Roman"/>
          <w:lang w:val="lt-LT"/>
        </w:rPr>
      </w:pPr>
    </w:p>
    <w:p w14:paraId="6F94B0E5" w14:textId="770734FF"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Naproksenas gali iškraipyti kai kurių 5-hidroksiindolacto rūgšties (5HIAA) tyrimų šlapime duomenis.</w:t>
      </w:r>
    </w:p>
    <w:p w14:paraId="6F94B0E6" w14:textId="77777777" w:rsidR="00797756" w:rsidRPr="00964115" w:rsidRDefault="00797756" w:rsidP="00797756">
      <w:pPr>
        <w:spacing w:after="0" w:line="240" w:lineRule="auto"/>
        <w:rPr>
          <w:rFonts w:ascii="Times New Roman" w:eastAsia="Calibri" w:hAnsi="Times New Roman" w:cs="Times New Roman"/>
          <w:b/>
          <w:lang w:val="lt-LT"/>
        </w:rPr>
      </w:pPr>
      <w:bookmarkStart w:id="19" w:name="_Toc129243107"/>
      <w:bookmarkStart w:id="20" w:name="_Toc129243232"/>
      <w:r w:rsidRPr="00964115">
        <w:rPr>
          <w:rFonts w:ascii="Times New Roman" w:eastAsia="Calibri" w:hAnsi="Times New Roman" w:cs="Times New Roman"/>
          <w:b/>
          <w:lang w:val="lt-LT"/>
        </w:rPr>
        <w:t>4.6</w:t>
      </w:r>
      <w:r w:rsidRPr="00964115">
        <w:rPr>
          <w:rFonts w:ascii="Times New Roman" w:eastAsia="Calibri" w:hAnsi="Times New Roman" w:cs="Times New Roman"/>
          <w:b/>
          <w:lang w:val="lt-LT"/>
        </w:rPr>
        <w:tab/>
      </w:r>
      <w:bookmarkEnd w:id="19"/>
      <w:bookmarkEnd w:id="20"/>
      <w:r w:rsidRPr="00964115">
        <w:rPr>
          <w:rFonts w:ascii="Times New Roman" w:eastAsia="Calibri" w:hAnsi="Times New Roman" w:cs="Times New Roman"/>
          <w:b/>
          <w:lang w:val="lt-LT"/>
        </w:rPr>
        <w:t>Vaisingumas, nėštumo ir žindymo laikotarpis</w:t>
      </w:r>
    </w:p>
    <w:p w14:paraId="6F94B0E7" w14:textId="77777777" w:rsidR="00797756" w:rsidRPr="00964115" w:rsidRDefault="00797756" w:rsidP="00797756">
      <w:pPr>
        <w:spacing w:after="0" w:line="240" w:lineRule="auto"/>
        <w:rPr>
          <w:rFonts w:ascii="Times New Roman" w:eastAsia="Calibri" w:hAnsi="Times New Roman" w:cs="Times New Roman"/>
          <w:lang w:val="lt-LT"/>
        </w:rPr>
      </w:pPr>
    </w:p>
    <w:p w14:paraId="6F94B0E8"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Nėštumas</w:t>
      </w:r>
    </w:p>
    <w:p w14:paraId="6F94B0E9"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Naproksenas</w:t>
      </w:r>
    </w:p>
    <w:p w14:paraId="6F94B0E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Prostaglandinų sintezės slopinimas gali pakenkti nėštumo eigai ir (arba) embriono ar vaisiaus vystymuisi. Epidemiologinių tyrimų duomenimis, nėštumo pradžioje vartojami prostaglandinų sintezės inhibitoriai didina persileidimo, širdies apsigimimų ir gastroschizės riziką. Absoliuti širdies ir kraujagyslių sistemos apsigimimų rizika padidėja nuo mažesnės kaip 1 % iki maždaug 1,5 %. Manoma, kad ši rizika didėja didinant dozę ir ilginant vartojimo trukmę. Nustatyta, kad prostaglandinų sintezės inhibitoriai padidina iki implantacijos ir po jos žūvančių gyvūnų embrionų skaičių, taip pat daugiau gyvūnų embrionų ir vaisių žūva vėlesniais vystymosi laikotarpiais. Gyvūnams duodant prostaglandinų sintezės inhibitorių organogenezės laikotarpiu, padaugėja įvairių apsigimimų, įskaitant širdies ir kraujagyslių sistemos sklaidos anomalijas (žr. 5.3 skyrių).</w:t>
      </w:r>
    </w:p>
    <w:p w14:paraId="6F94B0EB" w14:textId="77777777" w:rsidR="00797756" w:rsidRPr="00964115" w:rsidRDefault="00797756" w:rsidP="00797756">
      <w:pPr>
        <w:spacing w:after="0" w:line="240" w:lineRule="auto"/>
        <w:rPr>
          <w:rFonts w:ascii="Times New Roman" w:eastAsia="Calibri" w:hAnsi="Times New Roman" w:cs="Times New Roman"/>
          <w:lang w:val="lt-LT"/>
        </w:rPr>
      </w:pPr>
    </w:p>
    <w:p w14:paraId="6F94B0EC" w14:textId="31265406"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Mėginančioms pastoti moterims bei pirmą ir antrą nėštumo trimestrus Vimovo vartoti negalima, išskyrus atvejus, kai laukiama nauda pacientei viršija galimą riziką vaisiui. </w:t>
      </w:r>
      <w:r w:rsidR="00694A4D" w:rsidRPr="00694A4D">
        <w:rPr>
          <w:rFonts w:ascii="Times New Roman" w:eastAsia="Calibri" w:hAnsi="Times New Roman" w:cs="Times New Roman"/>
          <w:lang w:val="lt-LT"/>
        </w:rPr>
        <w:t xml:space="preserve">Nuo 20-os nėštumo savaitės vartojamas </w:t>
      </w:r>
      <w:r w:rsidR="00694A4D">
        <w:rPr>
          <w:rFonts w:ascii="Times New Roman" w:eastAsia="Calibri" w:hAnsi="Times New Roman" w:cs="Times New Roman"/>
          <w:lang w:val="lt-LT"/>
        </w:rPr>
        <w:t>Vimovo</w:t>
      </w:r>
      <w:r w:rsidR="00694A4D" w:rsidRPr="00694A4D">
        <w:rPr>
          <w:rFonts w:ascii="Times New Roman" w:eastAsia="Calibri" w:hAnsi="Times New Roman" w:cs="Times New Roman"/>
          <w:lang w:val="lt-LT"/>
        </w:rPr>
        <w:t xml:space="preserve"> gali sukelti oligohidramnioną dėl vaisiaus inkstų disfunkcijos. Tai gali pasireikšti vos pradėjus gydymą ir nutraukus gydymą paprastai išnyksta.</w:t>
      </w:r>
      <w:r w:rsidR="00694A4D">
        <w:rPr>
          <w:rFonts w:ascii="Times New Roman" w:eastAsia="Calibri" w:hAnsi="Times New Roman" w:cs="Times New Roman"/>
          <w:lang w:val="lt-LT"/>
        </w:rPr>
        <w:t xml:space="preserve"> </w:t>
      </w:r>
      <w:r w:rsidR="00CA617A">
        <w:rPr>
          <w:rFonts w:ascii="Times New Roman" w:eastAsia="Calibri" w:hAnsi="Times New Roman" w:cs="Times New Roman"/>
          <w:lang w:val="lt-LT"/>
        </w:rPr>
        <w:t>Taip pat buvo gauta</w:t>
      </w:r>
      <w:r w:rsidR="0021190D">
        <w:rPr>
          <w:rFonts w:ascii="Times New Roman" w:eastAsia="Calibri" w:hAnsi="Times New Roman" w:cs="Times New Roman"/>
          <w:lang w:val="lt-LT"/>
        </w:rPr>
        <w:t xml:space="preserve"> pranešimų</w:t>
      </w:r>
      <w:r w:rsidR="00300AE2">
        <w:rPr>
          <w:rFonts w:ascii="Times New Roman" w:eastAsia="Calibri" w:hAnsi="Times New Roman" w:cs="Times New Roman"/>
          <w:lang w:val="lt-LT"/>
        </w:rPr>
        <w:t xml:space="preserve"> </w:t>
      </w:r>
      <w:r w:rsidR="00300AE2" w:rsidRPr="00300AE2">
        <w:rPr>
          <w:rFonts w:ascii="Times New Roman" w:eastAsia="Calibri" w:hAnsi="Times New Roman" w:cs="Times New Roman"/>
          <w:lang w:val="lt-LT"/>
        </w:rPr>
        <w:t>apie arterinio latako susiaurėjimą po gydymo antr</w:t>
      </w:r>
      <w:r w:rsidR="00B24DD7">
        <w:rPr>
          <w:rFonts w:ascii="Times New Roman" w:eastAsia="Calibri" w:hAnsi="Times New Roman" w:cs="Times New Roman"/>
          <w:lang w:val="lt-LT"/>
        </w:rPr>
        <w:t>ojo</w:t>
      </w:r>
      <w:r w:rsidR="00300AE2" w:rsidRPr="00300AE2">
        <w:rPr>
          <w:rFonts w:ascii="Times New Roman" w:eastAsia="Calibri" w:hAnsi="Times New Roman" w:cs="Times New Roman"/>
          <w:lang w:val="lt-LT"/>
        </w:rPr>
        <w:t xml:space="preserve"> trimestr</w:t>
      </w:r>
      <w:r w:rsidR="00B24DD7">
        <w:rPr>
          <w:rFonts w:ascii="Times New Roman" w:eastAsia="Calibri" w:hAnsi="Times New Roman" w:cs="Times New Roman"/>
          <w:lang w:val="lt-LT"/>
        </w:rPr>
        <w:t>o metu</w:t>
      </w:r>
      <w:r w:rsidR="00300AE2" w:rsidRPr="00300AE2">
        <w:rPr>
          <w:rFonts w:ascii="Times New Roman" w:eastAsia="Calibri" w:hAnsi="Times New Roman" w:cs="Times New Roman"/>
          <w:lang w:val="lt-LT"/>
        </w:rPr>
        <w:t xml:space="preserve">, kuris </w:t>
      </w:r>
      <w:r w:rsidR="00AD51C0">
        <w:rPr>
          <w:rFonts w:ascii="Times New Roman" w:eastAsia="Calibri" w:hAnsi="Times New Roman" w:cs="Times New Roman"/>
          <w:lang w:val="lt-LT"/>
        </w:rPr>
        <w:t>daugumai</w:t>
      </w:r>
      <w:r w:rsidR="001739BD">
        <w:rPr>
          <w:rFonts w:ascii="Times New Roman" w:eastAsia="Calibri" w:hAnsi="Times New Roman" w:cs="Times New Roman"/>
          <w:lang w:val="lt-LT"/>
        </w:rPr>
        <w:t xml:space="preserve"> </w:t>
      </w:r>
      <w:r w:rsidR="00300AE2" w:rsidRPr="00300AE2">
        <w:rPr>
          <w:rFonts w:ascii="Times New Roman" w:eastAsia="Calibri" w:hAnsi="Times New Roman" w:cs="Times New Roman"/>
          <w:lang w:val="lt-LT"/>
        </w:rPr>
        <w:t>išnyk</w:t>
      </w:r>
      <w:r w:rsidR="00AD51C0">
        <w:rPr>
          <w:rFonts w:ascii="Times New Roman" w:eastAsia="Calibri" w:hAnsi="Times New Roman" w:cs="Times New Roman"/>
          <w:lang w:val="lt-LT"/>
        </w:rPr>
        <w:t>o</w:t>
      </w:r>
      <w:r w:rsidR="00300AE2" w:rsidRPr="00300AE2">
        <w:rPr>
          <w:rFonts w:ascii="Times New Roman" w:eastAsia="Calibri" w:hAnsi="Times New Roman" w:cs="Times New Roman"/>
          <w:lang w:val="lt-LT"/>
        </w:rPr>
        <w:t xml:space="preserve"> nutraukus gydymą</w:t>
      </w:r>
      <w:r w:rsidR="00AD51C0">
        <w:rPr>
          <w:rFonts w:ascii="Times New Roman" w:eastAsia="Calibri" w:hAnsi="Times New Roman" w:cs="Times New Roman"/>
          <w:lang w:val="lt-LT"/>
        </w:rPr>
        <w:t>.</w:t>
      </w:r>
      <w:r w:rsidR="0021190D">
        <w:rPr>
          <w:rFonts w:ascii="Times New Roman" w:eastAsia="Calibri" w:hAnsi="Times New Roman" w:cs="Times New Roman"/>
          <w:lang w:val="lt-LT"/>
        </w:rPr>
        <w:t xml:space="preserve"> </w:t>
      </w:r>
      <w:r w:rsidR="0049028B">
        <w:rPr>
          <w:rFonts w:ascii="Times New Roman" w:eastAsia="Calibri" w:hAnsi="Times New Roman" w:cs="Times New Roman"/>
          <w:lang w:val="lt-LT"/>
        </w:rPr>
        <w:t>Todėl m</w:t>
      </w:r>
      <w:r w:rsidRPr="00964115">
        <w:rPr>
          <w:rFonts w:ascii="Times New Roman" w:eastAsia="Calibri" w:hAnsi="Times New Roman" w:cs="Times New Roman"/>
          <w:lang w:val="lt-LT"/>
        </w:rPr>
        <w:t>ėginančioms pastoti moterims bei pirm</w:t>
      </w:r>
      <w:r w:rsidR="005D4539">
        <w:rPr>
          <w:rFonts w:ascii="Times New Roman" w:eastAsia="Calibri" w:hAnsi="Times New Roman" w:cs="Times New Roman"/>
          <w:lang w:val="lt-LT"/>
        </w:rPr>
        <w:t>ojo</w:t>
      </w:r>
      <w:r w:rsidRPr="00964115">
        <w:rPr>
          <w:rFonts w:ascii="Times New Roman" w:eastAsia="Calibri" w:hAnsi="Times New Roman" w:cs="Times New Roman"/>
          <w:lang w:val="lt-LT"/>
        </w:rPr>
        <w:t xml:space="preserve"> ar antr</w:t>
      </w:r>
      <w:r w:rsidR="005D4539">
        <w:rPr>
          <w:rFonts w:ascii="Times New Roman" w:eastAsia="Calibri" w:hAnsi="Times New Roman" w:cs="Times New Roman"/>
          <w:lang w:val="lt-LT"/>
        </w:rPr>
        <w:t>ojo</w:t>
      </w:r>
      <w:r w:rsidRPr="00964115">
        <w:rPr>
          <w:rFonts w:ascii="Times New Roman" w:eastAsia="Calibri" w:hAnsi="Times New Roman" w:cs="Times New Roman"/>
          <w:lang w:val="lt-LT"/>
        </w:rPr>
        <w:t xml:space="preserve"> nėštumo trimestr</w:t>
      </w:r>
      <w:r w:rsidR="005D4539">
        <w:rPr>
          <w:rFonts w:ascii="Times New Roman" w:eastAsia="Calibri" w:hAnsi="Times New Roman" w:cs="Times New Roman"/>
          <w:lang w:val="lt-LT"/>
        </w:rPr>
        <w:t>ais,</w:t>
      </w:r>
      <w:r w:rsidRPr="00964115">
        <w:rPr>
          <w:rFonts w:ascii="Times New Roman" w:eastAsia="Calibri" w:hAnsi="Times New Roman" w:cs="Times New Roman"/>
          <w:lang w:val="lt-LT"/>
        </w:rPr>
        <w:t xml:space="preserve"> </w:t>
      </w:r>
      <w:r w:rsidR="007879E1">
        <w:rPr>
          <w:rFonts w:ascii="Times New Roman" w:eastAsia="Calibri" w:hAnsi="Times New Roman" w:cs="Times New Roman"/>
          <w:lang w:val="lt-LT"/>
        </w:rPr>
        <w:t>naprokseno</w:t>
      </w:r>
      <w:r w:rsidRPr="00964115">
        <w:rPr>
          <w:rFonts w:ascii="Times New Roman" w:eastAsia="Calibri" w:hAnsi="Times New Roman" w:cs="Times New Roman"/>
          <w:lang w:val="lt-LT"/>
        </w:rPr>
        <w:t xml:space="preserve"> </w:t>
      </w:r>
      <w:r w:rsidR="0056591B" w:rsidRPr="00964115">
        <w:rPr>
          <w:rFonts w:ascii="Times New Roman" w:eastAsia="Calibri" w:hAnsi="Times New Roman" w:cs="Times New Roman"/>
          <w:lang w:val="lt-LT"/>
        </w:rPr>
        <w:t>dozė turi būti k</w:t>
      </w:r>
      <w:r w:rsidR="00533CC0" w:rsidRPr="00964115">
        <w:rPr>
          <w:rFonts w:ascii="Times New Roman" w:eastAsia="Calibri" w:hAnsi="Times New Roman" w:cs="Times New Roman"/>
          <w:lang w:val="lt-LT"/>
        </w:rPr>
        <w:t>uo</w:t>
      </w:r>
      <w:r w:rsidR="0056591B" w:rsidRPr="00964115">
        <w:rPr>
          <w:rFonts w:ascii="Times New Roman" w:eastAsia="Calibri" w:hAnsi="Times New Roman" w:cs="Times New Roman"/>
          <w:lang w:val="lt-LT"/>
        </w:rPr>
        <w:t xml:space="preserve"> mažesnė, o </w:t>
      </w:r>
      <w:r w:rsidRPr="00964115">
        <w:rPr>
          <w:rFonts w:ascii="Times New Roman" w:eastAsia="Calibri" w:hAnsi="Times New Roman" w:cs="Times New Roman"/>
          <w:lang w:val="lt-LT"/>
        </w:rPr>
        <w:t xml:space="preserve">vartojimo trukmė </w:t>
      </w:r>
      <w:r w:rsidR="0056591B" w:rsidRPr="00964115">
        <w:rPr>
          <w:rFonts w:ascii="Times New Roman" w:eastAsia="Calibri" w:hAnsi="Times New Roman" w:cs="Times New Roman"/>
          <w:lang w:val="lt-LT"/>
        </w:rPr>
        <w:t xml:space="preserve">– </w:t>
      </w:r>
      <w:r w:rsidRPr="00964115">
        <w:rPr>
          <w:rFonts w:ascii="Times New Roman" w:eastAsia="Calibri" w:hAnsi="Times New Roman" w:cs="Times New Roman"/>
          <w:lang w:val="lt-LT"/>
        </w:rPr>
        <w:t>kiek įmanoma trumpesnė.</w:t>
      </w:r>
      <w:r w:rsidR="000D1610">
        <w:rPr>
          <w:rFonts w:ascii="Times New Roman" w:eastAsia="Calibri" w:hAnsi="Times New Roman" w:cs="Times New Roman"/>
          <w:lang w:val="lt-LT"/>
        </w:rPr>
        <w:t xml:space="preserve"> </w:t>
      </w:r>
      <w:r w:rsidR="000D1610" w:rsidRPr="000D1610">
        <w:rPr>
          <w:rFonts w:ascii="Times New Roman" w:eastAsia="Calibri" w:hAnsi="Times New Roman" w:cs="Times New Roman"/>
          <w:lang w:val="lt-LT"/>
        </w:rPr>
        <w:t xml:space="preserve">Jei po 20-os gestacinės savaitės kelias dienas vartojamas </w:t>
      </w:r>
      <w:r w:rsidR="00622009">
        <w:rPr>
          <w:rFonts w:ascii="Times New Roman" w:eastAsia="Calibri" w:hAnsi="Times New Roman" w:cs="Times New Roman"/>
          <w:lang w:val="lt-LT"/>
        </w:rPr>
        <w:t>Vimovo</w:t>
      </w:r>
      <w:r w:rsidR="000D1610" w:rsidRPr="000D1610">
        <w:rPr>
          <w:rFonts w:ascii="Times New Roman" w:eastAsia="Calibri" w:hAnsi="Times New Roman" w:cs="Times New Roman"/>
          <w:lang w:val="lt-LT"/>
        </w:rPr>
        <w:t>, reikia spręsti</w:t>
      </w:r>
      <w:r w:rsidR="002F23F8">
        <w:rPr>
          <w:rFonts w:ascii="Times New Roman" w:eastAsia="Calibri" w:hAnsi="Times New Roman" w:cs="Times New Roman"/>
          <w:lang w:val="lt-LT"/>
        </w:rPr>
        <w:t xml:space="preserve"> dėl </w:t>
      </w:r>
      <w:r w:rsidR="000D1610" w:rsidRPr="000D1610">
        <w:rPr>
          <w:rFonts w:ascii="Times New Roman" w:eastAsia="Calibri" w:hAnsi="Times New Roman" w:cs="Times New Roman"/>
          <w:lang w:val="lt-LT"/>
        </w:rPr>
        <w:t>antenatalinės oligohidramniono</w:t>
      </w:r>
      <w:r w:rsidR="002F23F8">
        <w:rPr>
          <w:rFonts w:ascii="Times New Roman" w:eastAsia="Calibri" w:hAnsi="Times New Roman" w:cs="Times New Roman"/>
          <w:lang w:val="lt-LT"/>
        </w:rPr>
        <w:t xml:space="preserve"> ar arterinio latako susiaurėjimo</w:t>
      </w:r>
      <w:r w:rsidR="000D1610" w:rsidRPr="000D1610">
        <w:rPr>
          <w:rFonts w:ascii="Times New Roman" w:eastAsia="Calibri" w:hAnsi="Times New Roman" w:cs="Times New Roman"/>
          <w:lang w:val="lt-LT"/>
        </w:rPr>
        <w:t xml:space="preserve"> stebėsenos. Nustačius oligohidramnioną</w:t>
      </w:r>
      <w:r w:rsidR="002F23F8">
        <w:rPr>
          <w:rFonts w:ascii="Times New Roman" w:eastAsia="Calibri" w:hAnsi="Times New Roman" w:cs="Times New Roman"/>
          <w:lang w:val="lt-LT"/>
        </w:rPr>
        <w:t xml:space="preserve"> ar arterinio latako susaiaurėjimą</w:t>
      </w:r>
      <w:r w:rsidR="000D1610" w:rsidRPr="000D1610">
        <w:rPr>
          <w:rFonts w:ascii="Times New Roman" w:eastAsia="Calibri" w:hAnsi="Times New Roman" w:cs="Times New Roman"/>
          <w:lang w:val="lt-LT"/>
        </w:rPr>
        <w:t xml:space="preserve">, gydymą </w:t>
      </w:r>
      <w:r w:rsidR="00304B18">
        <w:rPr>
          <w:rFonts w:ascii="Times New Roman" w:eastAsia="Calibri" w:hAnsi="Times New Roman" w:cs="Times New Roman"/>
          <w:lang w:val="lt-LT"/>
        </w:rPr>
        <w:t>Vimovo</w:t>
      </w:r>
      <w:r w:rsidR="000D1610" w:rsidRPr="000D1610">
        <w:rPr>
          <w:rFonts w:ascii="Times New Roman" w:eastAsia="Calibri" w:hAnsi="Times New Roman" w:cs="Times New Roman"/>
          <w:lang w:val="lt-LT"/>
        </w:rPr>
        <w:t xml:space="preserve"> reikia nutraukti.</w:t>
      </w:r>
    </w:p>
    <w:p w14:paraId="6F94B0ED" w14:textId="77777777" w:rsidR="00797756" w:rsidRPr="00E253AF" w:rsidRDefault="00797756" w:rsidP="00797756">
      <w:pPr>
        <w:spacing w:after="0" w:line="240" w:lineRule="auto"/>
        <w:rPr>
          <w:rFonts w:ascii="Times New Roman" w:eastAsia="Calibri" w:hAnsi="Times New Roman" w:cs="Times New Roman"/>
          <w:lang w:val="en-US"/>
        </w:rPr>
      </w:pPr>
    </w:p>
    <w:p w14:paraId="6F94B0E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Visi trečią nėštumo trimestrą vartojami prostaglandinų sintezės inhibitoriai gali sukelti vaisiui:</w:t>
      </w:r>
    </w:p>
    <w:p w14:paraId="6F94B0EF" w14:textId="210F532E" w:rsidR="00797756" w:rsidRPr="00964115" w:rsidRDefault="00797756" w:rsidP="00797756">
      <w:pPr>
        <w:numPr>
          <w:ilvl w:val="0"/>
          <w:numId w:val="26"/>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toksinį poveikį širdžiai ir plaučiams (priešlaikin</w:t>
      </w:r>
      <w:r w:rsidR="002D51E9">
        <w:rPr>
          <w:rFonts w:ascii="Times New Roman" w:eastAsia="Calibri" w:hAnsi="Times New Roman" w:cs="Times New Roman"/>
          <w:lang w:val="lt-LT"/>
        </w:rPr>
        <w:t>is</w:t>
      </w:r>
      <w:r w:rsidRPr="00964115">
        <w:rPr>
          <w:rFonts w:ascii="Times New Roman" w:eastAsia="Calibri" w:hAnsi="Times New Roman" w:cs="Times New Roman"/>
          <w:lang w:val="lt-LT"/>
        </w:rPr>
        <w:t xml:space="preserve"> arterinio latako užsidarym</w:t>
      </w:r>
      <w:r w:rsidR="002D51E9">
        <w:rPr>
          <w:rFonts w:ascii="Times New Roman" w:eastAsia="Calibri" w:hAnsi="Times New Roman" w:cs="Times New Roman"/>
          <w:lang w:val="lt-LT"/>
        </w:rPr>
        <w:t>as</w:t>
      </w:r>
      <w:r w:rsidRPr="00964115">
        <w:rPr>
          <w:rFonts w:ascii="Times New Roman" w:eastAsia="Calibri" w:hAnsi="Times New Roman" w:cs="Times New Roman"/>
          <w:lang w:val="lt-LT"/>
        </w:rPr>
        <w:t xml:space="preserve"> ir plaučių hipertenzij</w:t>
      </w:r>
      <w:r w:rsidR="002D51E9">
        <w:rPr>
          <w:rFonts w:ascii="Times New Roman" w:eastAsia="Calibri" w:hAnsi="Times New Roman" w:cs="Times New Roman"/>
          <w:lang w:val="lt-LT"/>
        </w:rPr>
        <w:t>a</w:t>
      </w:r>
      <w:r w:rsidRPr="00964115">
        <w:rPr>
          <w:rFonts w:ascii="Times New Roman" w:eastAsia="Calibri" w:hAnsi="Times New Roman" w:cs="Times New Roman"/>
          <w:lang w:val="lt-LT"/>
        </w:rPr>
        <w:t>);</w:t>
      </w:r>
    </w:p>
    <w:p w14:paraId="6F94B0F0" w14:textId="63F6E2DA" w:rsidR="00797756" w:rsidRPr="00964115" w:rsidRDefault="00797756" w:rsidP="00797756">
      <w:pPr>
        <w:numPr>
          <w:ilvl w:val="0"/>
          <w:numId w:val="26"/>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inkstų disfunkciją</w:t>
      </w:r>
      <w:r w:rsidR="00C71DA4">
        <w:rPr>
          <w:rFonts w:ascii="Times New Roman" w:eastAsia="Calibri" w:hAnsi="Times New Roman" w:cs="Times New Roman"/>
          <w:lang w:val="lt-LT"/>
        </w:rPr>
        <w:t xml:space="preserve"> </w:t>
      </w:r>
      <w:r w:rsidR="00C71DA4" w:rsidRPr="00C71DA4">
        <w:rPr>
          <w:rFonts w:ascii="Times New Roman" w:eastAsia="Calibri" w:hAnsi="Times New Roman" w:cs="Times New Roman"/>
          <w:lang w:val="lt-LT"/>
        </w:rPr>
        <w:t>(žr. pirmiau)</w:t>
      </w:r>
      <w:r w:rsidRPr="00964115">
        <w:rPr>
          <w:rFonts w:ascii="Times New Roman" w:eastAsia="Calibri" w:hAnsi="Times New Roman" w:cs="Times New Roman"/>
          <w:lang w:val="lt-LT"/>
        </w:rPr>
        <w:t xml:space="preserve">. </w:t>
      </w:r>
    </w:p>
    <w:p w14:paraId="6F94B0F1" w14:textId="77777777" w:rsidR="00797756" w:rsidRPr="00964115" w:rsidRDefault="00797756" w:rsidP="00797756">
      <w:pPr>
        <w:spacing w:after="0" w:line="240" w:lineRule="auto"/>
        <w:rPr>
          <w:rFonts w:ascii="Times New Roman" w:eastAsia="Calibri" w:hAnsi="Times New Roman" w:cs="Times New Roman"/>
          <w:lang w:val="lt-LT"/>
        </w:rPr>
      </w:pPr>
    </w:p>
    <w:p w14:paraId="6F94B0F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Vartojami nėštumo pabaigoje moteriai ir vaisiui jie gali sukelti:</w:t>
      </w:r>
    </w:p>
    <w:p w14:paraId="6F94B0F3" w14:textId="77777777" w:rsidR="00797756" w:rsidRPr="00964115" w:rsidRDefault="00797756" w:rsidP="00797756">
      <w:pPr>
        <w:numPr>
          <w:ilvl w:val="0"/>
          <w:numId w:val="29"/>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kraujavimo laiko pailgėjimą (dėl antiagregacinio poveikio, kuris gali pasireikšti net nuo labai mažų dozių);</w:t>
      </w:r>
    </w:p>
    <w:p w14:paraId="6F94B0F4" w14:textId="77777777" w:rsidR="00797756" w:rsidRPr="00964115" w:rsidRDefault="00797756" w:rsidP="00797756">
      <w:pPr>
        <w:numPr>
          <w:ilvl w:val="0"/>
          <w:numId w:val="29"/>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gimdos susitraukimų susilpnėjimą ir dėl to – gimdymo vėlavimą ar jo trukmės pailgėjimą.</w:t>
      </w:r>
    </w:p>
    <w:p w14:paraId="6F94B0F5" w14:textId="77777777" w:rsidR="00797756" w:rsidRPr="00964115" w:rsidRDefault="00797756" w:rsidP="00797756">
      <w:pPr>
        <w:spacing w:after="0" w:line="240" w:lineRule="auto"/>
        <w:rPr>
          <w:rFonts w:ascii="Times New Roman" w:eastAsia="Calibri" w:hAnsi="Times New Roman" w:cs="Times New Roman"/>
          <w:lang w:val="lt-LT"/>
        </w:rPr>
      </w:pPr>
    </w:p>
    <w:p w14:paraId="6F94B0F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Dėl to trečią nėštumo trimestrą Vimovo vartoti negalima (žr. 4.3 skyrių).</w:t>
      </w:r>
    </w:p>
    <w:p w14:paraId="6F94B0F7" w14:textId="77777777" w:rsidR="00797756" w:rsidRPr="00964115" w:rsidRDefault="00797756" w:rsidP="00797756">
      <w:pPr>
        <w:spacing w:after="0" w:line="240" w:lineRule="auto"/>
        <w:rPr>
          <w:rFonts w:ascii="Times New Roman" w:eastAsia="Calibri" w:hAnsi="Times New Roman" w:cs="Times New Roman"/>
          <w:lang w:val="lt-LT"/>
        </w:rPr>
      </w:pPr>
    </w:p>
    <w:p w14:paraId="6F94B0F8"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Ezomeprazolas</w:t>
      </w:r>
    </w:p>
    <w:p w14:paraId="6F94B0F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Ezomeprazolo vartojimo nėštumo metu duomenų yra nedaug. Epidemiologiniai tyrimai neparodė apsigimimus skatinančio ar fetotoksnio poveikio vartojus raceminio mišinio omeprazolo daugiau nėštumų metu. Gyvūnų tyrimai tiesioginio ar netiesioginio kenksmingo ezomeprazolo poveikio embriono ar vaisiaus vystymuisi neparodė. Raceminio mišinio poveikio gyvūnams tyrimai tiesioginio ar netiesioginio kenksmingo poveikio vaikingumo eigai, atsivedimui ir ponataliniam vystymuisi neparodė.</w:t>
      </w:r>
    </w:p>
    <w:p w14:paraId="6F94B0FA" w14:textId="77777777" w:rsidR="00797756" w:rsidRPr="00964115" w:rsidRDefault="00797756" w:rsidP="00797756">
      <w:pPr>
        <w:spacing w:after="0" w:line="240" w:lineRule="auto"/>
        <w:rPr>
          <w:rFonts w:ascii="Times New Roman" w:eastAsia="Calibri" w:hAnsi="Times New Roman" w:cs="Times New Roman"/>
          <w:lang w:val="lt-LT"/>
        </w:rPr>
      </w:pPr>
    </w:p>
    <w:p w14:paraId="6F94B0FB"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Žindymas</w:t>
      </w:r>
    </w:p>
    <w:p w14:paraId="6F94B0F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Mažas naprokseno kiekis išskiriamas į moters pieną. Ar į jį išskiriama ezomeprazolo, nežinoma. Vienas aprašytas atvejis rodo, kad į moters pieną išskiriama nedaug raceminio mišinio (omeprazolo) (pagal svorį koreguota dozė buvo &lt; 7 %). Žindyvėms Vimovo vartoti negalima.</w:t>
      </w:r>
    </w:p>
    <w:p w14:paraId="6F94B0FD" w14:textId="77777777" w:rsidR="00797756" w:rsidRPr="00964115" w:rsidRDefault="00797756" w:rsidP="00797756">
      <w:pPr>
        <w:spacing w:after="0" w:line="240" w:lineRule="auto"/>
        <w:rPr>
          <w:rFonts w:ascii="Times New Roman" w:eastAsia="Calibri" w:hAnsi="Times New Roman" w:cs="Times New Roman"/>
          <w:lang w:val="lt-LT"/>
        </w:rPr>
      </w:pPr>
    </w:p>
    <w:p w14:paraId="6F94B0FE" w14:textId="77777777" w:rsidR="00797756" w:rsidRPr="00964115" w:rsidRDefault="00797756" w:rsidP="00797756">
      <w:pPr>
        <w:autoSpaceDE w:val="0"/>
        <w:autoSpaceDN w:val="0"/>
        <w:adjustRightInd w:val="0"/>
        <w:spacing w:after="0" w:line="240" w:lineRule="auto"/>
        <w:jc w:val="both"/>
        <w:rPr>
          <w:rFonts w:ascii="Times New Roman" w:eastAsia="Calibri" w:hAnsi="Times New Roman" w:cs="Times New Roman"/>
          <w:i/>
          <w:u w:val="single"/>
          <w:lang w:val="lt-LT"/>
        </w:rPr>
      </w:pPr>
      <w:r w:rsidRPr="00964115">
        <w:rPr>
          <w:rFonts w:ascii="Times New Roman" w:eastAsia="Calibri" w:hAnsi="Times New Roman" w:cs="Times New Roman"/>
          <w:u w:val="single"/>
          <w:lang w:val="lt-LT"/>
        </w:rPr>
        <w:t xml:space="preserve">Vaisingumas </w:t>
      </w:r>
    </w:p>
    <w:p w14:paraId="6F94B0F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NVNU, įskaitant naprokseną vartojimas gali trikdyti moterų vaisingumą. Pastoti mėginančioms moterims Vimovo vartoti nerekomenduojama (žr. 4.4 skyrių).</w:t>
      </w:r>
    </w:p>
    <w:p w14:paraId="6F94B100" w14:textId="77777777" w:rsidR="00797756" w:rsidRPr="00964115" w:rsidRDefault="00797756" w:rsidP="00797756">
      <w:pPr>
        <w:spacing w:after="0" w:line="240" w:lineRule="auto"/>
        <w:rPr>
          <w:rFonts w:ascii="Times New Roman" w:eastAsia="Calibri" w:hAnsi="Times New Roman" w:cs="Times New Roman"/>
          <w:lang w:val="lt-LT"/>
        </w:rPr>
      </w:pPr>
    </w:p>
    <w:p w14:paraId="6F94B101" w14:textId="77777777" w:rsidR="00797756" w:rsidRPr="00964115" w:rsidRDefault="00797756" w:rsidP="00797756">
      <w:pPr>
        <w:spacing w:after="0" w:line="240" w:lineRule="auto"/>
        <w:rPr>
          <w:rFonts w:ascii="Times New Roman" w:eastAsia="Calibri" w:hAnsi="Times New Roman" w:cs="Times New Roman"/>
          <w:b/>
          <w:lang w:val="lt-LT"/>
        </w:rPr>
      </w:pPr>
      <w:bookmarkStart w:id="21" w:name="_Toc129243108"/>
      <w:bookmarkStart w:id="22" w:name="_Toc129243233"/>
      <w:r w:rsidRPr="00964115">
        <w:rPr>
          <w:rFonts w:ascii="Times New Roman" w:eastAsia="Calibri" w:hAnsi="Times New Roman" w:cs="Times New Roman"/>
          <w:b/>
          <w:lang w:val="lt-LT"/>
        </w:rPr>
        <w:t>4.7</w:t>
      </w:r>
      <w:r w:rsidRPr="00964115">
        <w:rPr>
          <w:rFonts w:ascii="Times New Roman" w:eastAsia="Calibri" w:hAnsi="Times New Roman" w:cs="Times New Roman"/>
          <w:b/>
          <w:lang w:val="lt-LT"/>
        </w:rPr>
        <w:tab/>
        <w:t>Poveikis gebėjimui vairuoti ir valdyti mechanizmus</w:t>
      </w:r>
      <w:bookmarkEnd w:id="21"/>
      <w:bookmarkEnd w:id="22"/>
    </w:p>
    <w:p w14:paraId="6F94B102" w14:textId="77777777" w:rsidR="00797756" w:rsidRPr="00964115" w:rsidRDefault="00797756" w:rsidP="00797756">
      <w:pPr>
        <w:spacing w:after="0" w:line="240" w:lineRule="auto"/>
        <w:rPr>
          <w:rFonts w:ascii="Times New Roman" w:eastAsia="Calibri" w:hAnsi="Times New Roman" w:cs="Times New Roman"/>
          <w:lang w:val="lt-LT"/>
        </w:rPr>
      </w:pPr>
    </w:p>
    <w:p w14:paraId="6F94B10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gebėjimą vairuoti ir valdyti mechanizmus veikia silpnai. Dėl kai kurių pastebėtų Vimovo nepageidaujamų poveikių (pvz., svaigulio) gali pablogėti reakcija.</w:t>
      </w:r>
    </w:p>
    <w:p w14:paraId="6F94B104" w14:textId="77777777" w:rsidR="00797756" w:rsidRPr="00964115" w:rsidRDefault="00797756" w:rsidP="00797756">
      <w:pPr>
        <w:spacing w:after="0" w:line="240" w:lineRule="auto"/>
        <w:rPr>
          <w:rFonts w:ascii="Times New Roman" w:eastAsia="Calibri" w:hAnsi="Times New Roman" w:cs="Times New Roman"/>
          <w:lang w:val="lt-LT"/>
        </w:rPr>
      </w:pPr>
    </w:p>
    <w:p w14:paraId="6F94B105" w14:textId="77777777" w:rsidR="00797756" w:rsidRPr="00964115" w:rsidRDefault="00797756" w:rsidP="00797756">
      <w:pPr>
        <w:spacing w:after="0" w:line="240" w:lineRule="auto"/>
        <w:rPr>
          <w:rFonts w:ascii="Times New Roman" w:eastAsia="Calibri" w:hAnsi="Times New Roman" w:cs="Times New Roman"/>
          <w:b/>
          <w:lang w:val="lt-LT"/>
        </w:rPr>
      </w:pPr>
      <w:bookmarkStart w:id="23" w:name="_Toc129243109"/>
      <w:bookmarkStart w:id="24" w:name="_Toc129243234"/>
      <w:r w:rsidRPr="00964115">
        <w:rPr>
          <w:rFonts w:ascii="Times New Roman" w:eastAsia="Calibri" w:hAnsi="Times New Roman" w:cs="Times New Roman"/>
          <w:b/>
          <w:lang w:val="lt-LT"/>
        </w:rPr>
        <w:t>4.8</w:t>
      </w:r>
      <w:r w:rsidRPr="00964115">
        <w:rPr>
          <w:rFonts w:ascii="Times New Roman" w:eastAsia="Calibri" w:hAnsi="Times New Roman" w:cs="Times New Roman"/>
          <w:b/>
          <w:lang w:val="lt-LT"/>
        </w:rPr>
        <w:tab/>
        <w:t>Nepageidaujamas poveikis</w:t>
      </w:r>
      <w:bookmarkEnd w:id="23"/>
      <w:bookmarkEnd w:id="24"/>
    </w:p>
    <w:p w14:paraId="6F94B106" w14:textId="77777777" w:rsidR="00797756" w:rsidRPr="00964115" w:rsidRDefault="00797756" w:rsidP="00797756">
      <w:pPr>
        <w:spacing w:after="0" w:line="240" w:lineRule="auto"/>
        <w:rPr>
          <w:rFonts w:ascii="Times New Roman" w:eastAsia="Calibri" w:hAnsi="Times New Roman" w:cs="Times New Roman"/>
          <w:lang w:val="lt-LT"/>
        </w:rPr>
      </w:pPr>
    </w:p>
    <w:p w14:paraId="6F94B107"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Saugumo duomenų santrauka</w:t>
      </w:r>
    </w:p>
    <w:p w14:paraId="6F94B10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Greito atpalaidavimo ezomeprazolas buvo įtrauktas į šių tablečių sudėtį, kad rečiau pasireikštų naprokseno nepageidaujamas poveikis virškinimo traktui. Nustatyta, kad vartojant Vimovo skrandžio opų ir su NVNU susijusių viršutinės virškinimo trakto dalies nepageidaujamų reiškinių būna rečiau negu naprokseną vartojant atskirai (žr. 5.1 skyrių).</w:t>
      </w:r>
    </w:p>
    <w:p w14:paraId="6F94B109"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10A" w14:textId="77777777" w:rsidR="00797756" w:rsidRPr="00964115" w:rsidRDefault="00797756" w:rsidP="00797756">
      <w:pPr>
        <w:spacing w:after="0" w:line="240" w:lineRule="auto"/>
        <w:ind w:left="60" w:right="29"/>
        <w:rPr>
          <w:rFonts w:ascii="Times New Roman" w:eastAsia="Calibri" w:hAnsi="Times New Roman" w:cs="Times New Roman"/>
          <w:lang w:val="lt-LT"/>
        </w:rPr>
      </w:pPr>
      <w:r w:rsidRPr="00964115">
        <w:rPr>
          <w:rFonts w:ascii="Times New Roman" w:eastAsia="Calibri" w:hAnsi="Times New Roman" w:cs="Times New Roman"/>
          <w:lang w:val="lt-LT"/>
        </w:rPr>
        <w:t>Naujų (palyginus su jau nustatytais atskiroms veiklioms medžiagoms naproksenui ir ezomeprazolui) saugumo duomenų stebint visą Vimovo tyrimuose dalyvavusią populiaciją (n = 1157) negauta.</w:t>
      </w:r>
    </w:p>
    <w:p w14:paraId="6F94B10B" w14:textId="77777777" w:rsidR="00797756" w:rsidRPr="00964115" w:rsidRDefault="00797756" w:rsidP="00797756">
      <w:pPr>
        <w:spacing w:after="0" w:line="240" w:lineRule="auto"/>
        <w:ind w:left="60" w:right="29"/>
        <w:rPr>
          <w:rFonts w:ascii="Times New Roman" w:eastAsia="Calibri" w:hAnsi="Times New Roman" w:cs="Times New Roman"/>
          <w:lang w:val="lt-LT"/>
        </w:rPr>
      </w:pPr>
    </w:p>
    <w:p w14:paraId="6F94B10C"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 xml:space="preserve">Nepageidaujamų reakcijų santrauka lentelėse </w:t>
      </w:r>
    </w:p>
    <w:p w14:paraId="6F94B10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Nepageidaujamo poveikio dažnis apibūdinamas taip: labai dažnas (≥ 1/10), dažnas (nuo ≥ 1/100 iki &lt; 1/10), nedažnas (nuo ≥ 1/1000 iki &lt; 1/100), retas (nuo ≥ 1/10 000 iki &lt; 1/1000), labai retas (&lt; 1/10 000) ir nežinomas (negali būti apskaičiuotas pagal turimus duomenis).</w:t>
      </w:r>
    </w:p>
    <w:p w14:paraId="6F94B10E" w14:textId="77777777" w:rsidR="00797756" w:rsidRPr="00964115" w:rsidRDefault="00797756" w:rsidP="00797756">
      <w:pPr>
        <w:spacing w:after="0" w:line="240" w:lineRule="auto"/>
        <w:rPr>
          <w:rFonts w:ascii="Times New Roman" w:eastAsia="Calibri" w:hAnsi="Times New Roman" w:cs="Times New Roman"/>
          <w:lang w:val="lt-LT"/>
        </w:rPr>
      </w:pPr>
    </w:p>
    <w:p w14:paraId="6F94B10F"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Vimovo</w:t>
      </w:r>
    </w:p>
    <w:p w14:paraId="6F94B110" w14:textId="77777777" w:rsidR="00797756" w:rsidRPr="00964115" w:rsidRDefault="00797756" w:rsidP="00797756">
      <w:pPr>
        <w:spacing w:after="0" w:line="240" w:lineRule="auto"/>
        <w:rPr>
          <w:rFonts w:ascii="Times New Roman" w:eastAsia="Calibri" w:hAnsi="Times New Roman" w:cs="Times New Roman"/>
          <w:b/>
          <w:u w:val="single"/>
          <w:lang w:val="lt-LT"/>
        </w:rPr>
      </w:pPr>
      <w:r w:rsidRPr="00964115">
        <w:rPr>
          <w:rFonts w:ascii="Times New Roman" w:eastAsia="Calibri" w:hAnsi="Times New Roman" w:cs="Times New Roman"/>
          <w:lang w:val="lt-LT"/>
        </w:rPr>
        <w:t>Pranešimų apie žemiau išvardytus nepageidaujamus reiškinius gauta pacientams vartojant Vimovo klinikinių tyrimų metu.</w:t>
      </w:r>
    </w:p>
    <w:p w14:paraId="6F94B111" w14:textId="77777777" w:rsidR="00797756" w:rsidRPr="00964115" w:rsidRDefault="00797756" w:rsidP="00797756">
      <w:pPr>
        <w:spacing w:after="0" w:line="240" w:lineRule="auto"/>
        <w:rPr>
          <w:rFonts w:ascii="Times New Roman" w:eastAsia="Calibri" w:hAnsi="Times New Roman" w:cs="Times New Roman"/>
          <w:lang w:val="lt-LT"/>
        </w:rPr>
      </w:pPr>
    </w:p>
    <w:tbl>
      <w:tblPr>
        <w:tblW w:w="51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9"/>
        <w:gridCol w:w="1413"/>
        <w:gridCol w:w="1957"/>
        <w:gridCol w:w="1957"/>
        <w:gridCol w:w="1962"/>
      </w:tblGrid>
      <w:tr w:rsidR="00797756" w:rsidRPr="00964115" w14:paraId="6F94B117" w14:textId="77777777" w:rsidTr="0021048B">
        <w:trPr>
          <w:cantSplit/>
          <w:tblHeader/>
        </w:trPr>
        <w:tc>
          <w:tcPr>
            <w:tcW w:w="1085" w:type="pct"/>
            <w:tcBorders>
              <w:top w:val="single" w:sz="4" w:space="0" w:color="auto"/>
              <w:left w:val="single" w:sz="4" w:space="0" w:color="auto"/>
              <w:bottom w:val="single" w:sz="4" w:space="0" w:color="auto"/>
              <w:right w:val="single" w:sz="4" w:space="0" w:color="auto"/>
            </w:tcBorders>
          </w:tcPr>
          <w:p w14:paraId="6F94B112" w14:textId="77777777" w:rsidR="00797756" w:rsidRPr="00964115" w:rsidRDefault="00797756" w:rsidP="00797756">
            <w:pPr>
              <w:spacing w:after="0" w:line="240" w:lineRule="auto"/>
              <w:ind w:right="29"/>
              <w:rPr>
                <w:rFonts w:ascii="Times New Roman" w:eastAsia="Calibri" w:hAnsi="Times New Roman" w:cs="Times New Roman"/>
                <w:b/>
                <w:lang w:val="lt-LT"/>
              </w:rPr>
            </w:pPr>
          </w:p>
        </w:tc>
        <w:tc>
          <w:tcPr>
            <w:tcW w:w="759" w:type="pct"/>
            <w:tcBorders>
              <w:top w:val="single" w:sz="4" w:space="0" w:color="auto"/>
              <w:left w:val="single" w:sz="4" w:space="0" w:color="auto"/>
              <w:bottom w:val="single" w:sz="4" w:space="0" w:color="auto"/>
              <w:right w:val="single" w:sz="4" w:space="0" w:color="auto"/>
            </w:tcBorders>
          </w:tcPr>
          <w:p w14:paraId="6F94B113"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Labai dažnas</w:t>
            </w:r>
          </w:p>
        </w:tc>
        <w:tc>
          <w:tcPr>
            <w:tcW w:w="1051" w:type="pct"/>
            <w:tcBorders>
              <w:top w:val="single" w:sz="4" w:space="0" w:color="auto"/>
              <w:left w:val="single" w:sz="4" w:space="0" w:color="auto"/>
              <w:bottom w:val="single" w:sz="4" w:space="0" w:color="auto"/>
              <w:right w:val="single" w:sz="4" w:space="0" w:color="auto"/>
            </w:tcBorders>
          </w:tcPr>
          <w:p w14:paraId="6F94B114"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Dažnas</w:t>
            </w:r>
          </w:p>
        </w:tc>
        <w:tc>
          <w:tcPr>
            <w:tcW w:w="1051" w:type="pct"/>
            <w:tcBorders>
              <w:top w:val="single" w:sz="4" w:space="0" w:color="auto"/>
              <w:left w:val="single" w:sz="4" w:space="0" w:color="auto"/>
              <w:bottom w:val="single" w:sz="4" w:space="0" w:color="auto"/>
              <w:right w:val="single" w:sz="4" w:space="0" w:color="auto"/>
            </w:tcBorders>
          </w:tcPr>
          <w:p w14:paraId="6F94B115"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Nedažnas</w:t>
            </w:r>
          </w:p>
        </w:tc>
        <w:tc>
          <w:tcPr>
            <w:tcW w:w="1054" w:type="pct"/>
            <w:tcBorders>
              <w:top w:val="single" w:sz="4" w:space="0" w:color="auto"/>
              <w:left w:val="single" w:sz="4" w:space="0" w:color="auto"/>
              <w:bottom w:val="single" w:sz="4" w:space="0" w:color="auto"/>
              <w:right w:val="single" w:sz="4" w:space="0" w:color="auto"/>
            </w:tcBorders>
          </w:tcPr>
          <w:p w14:paraId="6F94B116"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Retas</w:t>
            </w:r>
          </w:p>
        </w:tc>
      </w:tr>
      <w:tr w:rsidR="00797756" w:rsidRPr="00964115" w14:paraId="6F94B11D"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18"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Infekcijos ir infestacijos</w:t>
            </w:r>
          </w:p>
        </w:tc>
        <w:tc>
          <w:tcPr>
            <w:tcW w:w="759" w:type="pct"/>
            <w:tcBorders>
              <w:top w:val="single" w:sz="4" w:space="0" w:color="auto"/>
              <w:left w:val="single" w:sz="4" w:space="0" w:color="auto"/>
              <w:bottom w:val="single" w:sz="4" w:space="0" w:color="auto"/>
              <w:right w:val="single" w:sz="4" w:space="0" w:color="auto"/>
            </w:tcBorders>
          </w:tcPr>
          <w:p w14:paraId="6F94B119"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1A"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1B"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infekcija</w:t>
            </w:r>
          </w:p>
        </w:tc>
        <w:tc>
          <w:tcPr>
            <w:tcW w:w="1054" w:type="pct"/>
            <w:tcBorders>
              <w:top w:val="single" w:sz="4" w:space="0" w:color="auto"/>
              <w:left w:val="single" w:sz="4" w:space="0" w:color="auto"/>
              <w:bottom w:val="single" w:sz="4" w:space="0" w:color="auto"/>
              <w:right w:val="single" w:sz="4" w:space="0" w:color="auto"/>
            </w:tcBorders>
          </w:tcPr>
          <w:p w14:paraId="6F94B11C"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divertikulitas</w:t>
            </w:r>
          </w:p>
        </w:tc>
      </w:tr>
      <w:tr w:rsidR="00797756" w:rsidRPr="00964115" w14:paraId="6F94B123"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1E"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Kraujo ir limfinės sistemos sutrikimai</w:t>
            </w:r>
          </w:p>
        </w:tc>
        <w:tc>
          <w:tcPr>
            <w:tcW w:w="759" w:type="pct"/>
            <w:tcBorders>
              <w:top w:val="single" w:sz="4" w:space="0" w:color="auto"/>
              <w:left w:val="single" w:sz="4" w:space="0" w:color="auto"/>
              <w:bottom w:val="single" w:sz="4" w:space="0" w:color="auto"/>
              <w:right w:val="single" w:sz="4" w:space="0" w:color="auto"/>
            </w:tcBorders>
          </w:tcPr>
          <w:p w14:paraId="6F94B11F"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0"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1"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22"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eozinofilija, leukopenija</w:t>
            </w:r>
          </w:p>
        </w:tc>
      </w:tr>
      <w:tr w:rsidR="00797756" w:rsidRPr="00964115" w14:paraId="6F94B129"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24"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Imuninės sistemos sutrikimai</w:t>
            </w:r>
          </w:p>
        </w:tc>
        <w:tc>
          <w:tcPr>
            <w:tcW w:w="759" w:type="pct"/>
            <w:tcBorders>
              <w:top w:val="single" w:sz="4" w:space="0" w:color="auto"/>
              <w:left w:val="single" w:sz="4" w:space="0" w:color="auto"/>
              <w:bottom w:val="single" w:sz="4" w:space="0" w:color="auto"/>
              <w:right w:val="single" w:sz="4" w:space="0" w:color="auto"/>
            </w:tcBorders>
          </w:tcPr>
          <w:p w14:paraId="6F94B125"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6"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7"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28"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padidėjusio jautrumo reakcijos</w:t>
            </w:r>
          </w:p>
        </w:tc>
      </w:tr>
      <w:tr w:rsidR="00797756" w:rsidRPr="00964115" w14:paraId="6F94B12F"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2A"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Metabolizmo ir mitybos sutrikimai</w:t>
            </w:r>
          </w:p>
        </w:tc>
        <w:tc>
          <w:tcPr>
            <w:tcW w:w="759" w:type="pct"/>
            <w:tcBorders>
              <w:top w:val="single" w:sz="4" w:space="0" w:color="auto"/>
              <w:left w:val="single" w:sz="4" w:space="0" w:color="auto"/>
              <w:bottom w:val="single" w:sz="4" w:space="0" w:color="auto"/>
              <w:right w:val="single" w:sz="4" w:space="0" w:color="auto"/>
            </w:tcBorders>
          </w:tcPr>
          <w:p w14:paraId="6F94B12B"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C"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D"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pakitęs apetitas</w:t>
            </w:r>
          </w:p>
        </w:tc>
        <w:tc>
          <w:tcPr>
            <w:tcW w:w="1054" w:type="pct"/>
            <w:tcBorders>
              <w:top w:val="single" w:sz="4" w:space="0" w:color="auto"/>
              <w:left w:val="single" w:sz="4" w:space="0" w:color="auto"/>
              <w:bottom w:val="single" w:sz="4" w:space="0" w:color="auto"/>
              <w:right w:val="single" w:sz="4" w:space="0" w:color="auto"/>
            </w:tcBorders>
          </w:tcPr>
          <w:p w14:paraId="6F94B12E"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skysčių susilaikymas, hiperkalemija, hiperurikemija</w:t>
            </w:r>
          </w:p>
        </w:tc>
      </w:tr>
      <w:tr w:rsidR="00797756" w:rsidRPr="00964115" w14:paraId="6F94B135"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30"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Psichikos sutrikimai</w:t>
            </w:r>
          </w:p>
        </w:tc>
        <w:tc>
          <w:tcPr>
            <w:tcW w:w="759" w:type="pct"/>
            <w:tcBorders>
              <w:top w:val="single" w:sz="4" w:space="0" w:color="auto"/>
              <w:left w:val="single" w:sz="4" w:space="0" w:color="auto"/>
              <w:bottom w:val="single" w:sz="4" w:space="0" w:color="auto"/>
              <w:right w:val="single" w:sz="4" w:space="0" w:color="auto"/>
            </w:tcBorders>
          </w:tcPr>
          <w:p w14:paraId="6F94B131"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2"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3"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nerimas, depresija, nemiga</w:t>
            </w:r>
          </w:p>
        </w:tc>
        <w:tc>
          <w:tcPr>
            <w:tcW w:w="1054" w:type="pct"/>
            <w:tcBorders>
              <w:top w:val="single" w:sz="4" w:space="0" w:color="auto"/>
              <w:left w:val="single" w:sz="4" w:space="0" w:color="auto"/>
              <w:bottom w:val="single" w:sz="4" w:space="0" w:color="auto"/>
              <w:right w:val="single" w:sz="4" w:space="0" w:color="auto"/>
            </w:tcBorders>
          </w:tcPr>
          <w:p w14:paraId="6F94B134"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sutrikusi orientacija, nenormalūs sapnai</w:t>
            </w:r>
          </w:p>
        </w:tc>
      </w:tr>
      <w:tr w:rsidR="00797756" w:rsidRPr="00964115" w14:paraId="6F94B13B"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36"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Nervų sistemos sutrikimai</w:t>
            </w:r>
          </w:p>
        </w:tc>
        <w:tc>
          <w:tcPr>
            <w:tcW w:w="759" w:type="pct"/>
            <w:tcBorders>
              <w:top w:val="single" w:sz="4" w:space="0" w:color="auto"/>
              <w:left w:val="single" w:sz="4" w:space="0" w:color="auto"/>
              <w:bottom w:val="single" w:sz="4" w:space="0" w:color="auto"/>
              <w:right w:val="single" w:sz="4" w:space="0" w:color="auto"/>
            </w:tcBorders>
          </w:tcPr>
          <w:p w14:paraId="6F94B137"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8"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Svaigulys, galvos skausmas, pakitęs skonis</w:t>
            </w:r>
          </w:p>
        </w:tc>
        <w:tc>
          <w:tcPr>
            <w:tcW w:w="1051" w:type="pct"/>
            <w:tcBorders>
              <w:top w:val="single" w:sz="4" w:space="0" w:color="auto"/>
              <w:left w:val="single" w:sz="4" w:space="0" w:color="auto"/>
              <w:bottom w:val="single" w:sz="4" w:space="0" w:color="auto"/>
              <w:right w:val="single" w:sz="4" w:space="0" w:color="auto"/>
            </w:tcBorders>
          </w:tcPr>
          <w:p w14:paraId="6F94B139"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parestezija, sinkopė</w:t>
            </w:r>
          </w:p>
        </w:tc>
        <w:tc>
          <w:tcPr>
            <w:tcW w:w="1054" w:type="pct"/>
            <w:tcBorders>
              <w:top w:val="single" w:sz="4" w:space="0" w:color="auto"/>
              <w:left w:val="single" w:sz="4" w:space="0" w:color="auto"/>
              <w:bottom w:val="single" w:sz="4" w:space="0" w:color="auto"/>
              <w:right w:val="single" w:sz="4" w:space="0" w:color="auto"/>
            </w:tcBorders>
          </w:tcPr>
          <w:p w14:paraId="6F94B13A"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mieguistumas, drebulys</w:t>
            </w:r>
          </w:p>
        </w:tc>
      </w:tr>
      <w:tr w:rsidR="00797756" w:rsidRPr="00964115" w14:paraId="6F94B141"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3C"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Ausų ir labirintų sutrikimai</w:t>
            </w:r>
          </w:p>
        </w:tc>
        <w:tc>
          <w:tcPr>
            <w:tcW w:w="759" w:type="pct"/>
            <w:tcBorders>
              <w:top w:val="single" w:sz="4" w:space="0" w:color="auto"/>
              <w:left w:val="single" w:sz="4" w:space="0" w:color="auto"/>
              <w:bottom w:val="single" w:sz="4" w:space="0" w:color="auto"/>
              <w:right w:val="single" w:sz="4" w:space="0" w:color="auto"/>
            </w:tcBorders>
          </w:tcPr>
          <w:p w14:paraId="6F94B13D"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E"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F"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triukšmas ausyse, galvos svaigimas (</w:t>
            </w:r>
            <w:r w:rsidRPr="00964115">
              <w:rPr>
                <w:rFonts w:ascii="Times New Roman" w:eastAsia="Calibri" w:hAnsi="Times New Roman" w:cs="Times New Roman"/>
                <w:i/>
                <w:lang w:val="lt-LT"/>
              </w:rPr>
              <w:t>vertigo</w:t>
            </w:r>
            <w:r w:rsidRPr="00964115">
              <w:rPr>
                <w:rFonts w:ascii="Times New Roman" w:eastAsia="Calibri" w:hAnsi="Times New Roman" w:cs="Times New Roman"/>
                <w:lang w:val="lt-LT"/>
              </w:rPr>
              <w:t>)</w:t>
            </w:r>
          </w:p>
        </w:tc>
        <w:tc>
          <w:tcPr>
            <w:tcW w:w="1054" w:type="pct"/>
            <w:tcBorders>
              <w:top w:val="single" w:sz="4" w:space="0" w:color="auto"/>
              <w:left w:val="single" w:sz="4" w:space="0" w:color="auto"/>
              <w:bottom w:val="single" w:sz="4" w:space="0" w:color="auto"/>
              <w:right w:val="single" w:sz="4" w:space="0" w:color="auto"/>
            </w:tcBorders>
          </w:tcPr>
          <w:p w14:paraId="6F94B140" w14:textId="77777777" w:rsidR="00797756" w:rsidRPr="00964115" w:rsidRDefault="00797756" w:rsidP="00797756">
            <w:pPr>
              <w:spacing w:after="0" w:line="240" w:lineRule="auto"/>
              <w:ind w:right="28"/>
              <w:rPr>
                <w:rFonts w:ascii="Times New Roman" w:eastAsia="Calibri" w:hAnsi="Times New Roman" w:cs="Times New Roman"/>
                <w:lang w:val="lt-LT"/>
              </w:rPr>
            </w:pPr>
          </w:p>
        </w:tc>
      </w:tr>
      <w:tr w:rsidR="00797756" w:rsidRPr="00964115" w14:paraId="6F94B147"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42"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Širdies sutrikimai</w:t>
            </w:r>
          </w:p>
        </w:tc>
        <w:tc>
          <w:tcPr>
            <w:tcW w:w="759" w:type="pct"/>
            <w:tcBorders>
              <w:top w:val="single" w:sz="4" w:space="0" w:color="auto"/>
              <w:left w:val="single" w:sz="4" w:space="0" w:color="auto"/>
              <w:bottom w:val="single" w:sz="4" w:space="0" w:color="auto"/>
              <w:right w:val="single" w:sz="4" w:space="0" w:color="auto"/>
            </w:tcBorders>
          </w:tcPr>
          <w:p w14:paraId="6F94B143"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44"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45"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 xml:space="preserve">aritmija, palpitacija </w:t>
            </w:r>
          </w:p>
        </w:tc>
        <w:tc>
          <w:tcPr>
            <w:tcW w:w="1054" w:type="pct"/>
            <w:tcBorders>
              <w:top w:val="single" w:sz="4" w:space="0" w:color="auto"/>
              <w:left w:val="single" w:sz="4" w:space="0" w:color="auto"/>
              <w:bottom w:val="single" w:sz="4" w:space="0" w:color="auto"/>
              <w:right w:val="single" w:sz="4" w:space="0" w:color="auto"/>
            </w:tcBorders>
          </w:tcPr>
          <w:p w14:paraId="6F94B146"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miokardo infarktas, tachikardija</w:t>
            </w:r>
          </w:p>
        </w:tc>
      </w:tr>
      <w:tr w:rsidR="00797756" w:rsidRPr="00964115" w14:paraId="6F94B14D"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48"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Kraujagyslių sutrikimai</w:t>
            </w:r>
          </w:p>
        </w:tc>
        <w:tc>
          <w:tcPr>
            <w:tcW w:w="759" w:type="pct"/>
            <w:tcBorders>
              <w:top w:val="single" w:sz="4" w:space="0" w:color="auto"/>
              <w:left w:val="single" w:sz="4" w:space="0" w:color="auto"/>
              <w:bottom w:val="single" w:sz="4" w:space="0" w:color="auto"/>
              <w:right w:val="single" w:sz="4" w:space="0" w:color="auto"/>
            </w:tcBorders>
          </w:tcPr>
          <w:p w14:paraId="6F94B149"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4A"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hipertenzija</w:t>
            </w:r>
          </w:p>
        </w:tc>
        <w:tc>
          <w:tcPr>
            <w:tcW w:w="1051" w:type="pct"/>
            <w:tcBorders>
              <w:top w:val="single" w:sz="4" w:space="0" w:color="auto"/>
              <w:left w:val="single" w:sz="4" w:space="0" w:color="auto"/>
              <w:bottom w:val="single" w:sz="4" w:space="0" w:color="auto"/>
              <w:right w:val="single" w:sz="4" w:space="0" w:color="auto"/>
            </w:tcBorders>
          </w:tcPr>
          <w:p w14:paraId="6F94B14B"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4C" w14:textId="77777777" w:rsidR="00797756" w:rsidRPr="00964115" w:rsidRDefault="00797756" w:rsidP="00797756">
            <w:pPr>
              <w:spacing w:after="0" w:line="240" w:lineRule="auto"/>
              <w:ind w:right="28"/>
              <w:rPr>
                <w:rFonts w:ascii="Times New Roman" w:eastAsia="Calibri" w:hAnsi="Times New Roman" w:cs="Times New Roman"/>
                <w:lang w:val="lt-LT"/>
              </w:rPr>
            </w:pPr>
          </w:p>
        </w:tc>
      </w:tr>
      <w:tr w:rsidR="00797756" w:rsidRPr="00964115" w14:paraId="6F94B153"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4E"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Kvėpavimo sistemos, krūtinės ląstos ir tarpuplaučio sutrikimai</w:t>
            </w:r>
          </w:p>
        </w:tc>
        <w:tc>
          <w:tcPr>
            <w:tcW w:w="759" w:type="pct"/>
            <w:tcBorders>
              <w:top w:val="single" w:sz="4" w:space="0" w:color="auto"/>
              <w:left w:val="single" w:sz="4" w:space="0" w:color="auto"/>
              <w:bottom w:val="single" w:sz="4" w:space="0" w:color="auto"/>
              <w:right w:val="single" w:sz="4" w:space="0" w:color="auto"/>
            </w:tcBorders>
          </w:tcPr>
          <w:p w14:paraId="6F94B14F"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50"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51"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astma, bronchų spazmas, dusulys</w:t>
            </w:r>
          </w:p>
        </w:tc>
        <w:tc>
          <w:tcPr>
            <w:tcW w:w="1054" w:type="pct"/>
            <w:tcBorders>
              <w:top w:val="single" w:sz="4" w:space="0" w:color="auto"/>
              <w:left w:val="single" w:sz="4" w:space="0" w:color="auto"/>
              <w:bottom w:val="single" w:sz="4" w:space="0" w:color="auto"/>
              <w:right w:val="single" w:sz="4" w:space="0" w:color="auto"/>
            </w:tcBorders>
          </w:tcPr>
          <w:p w14:paraId="6F94B152" w14:textId="77777777" w:rsidR="00797756" w:rsidRPr="00964115" w:rsidRDefault="00797756" w:rsidP="00797756">
            <w:pPr>
              <w:spacing w:after="0" w:line="240" w:lineRule="auto"/>
              <w:ind w:right="28"/>
              <w:rPr>
                <w:rFonts w:ascii="Times New Roman" w:eastAsia="Calibri" w:hAnsi="Times New Roman" w:cs="Times New Roman"/>
                <w:lang w:val="lt-LT"/>
              </w:rPr>
            </w:pPr>
          </w:p>
        </w:tc>
      </w:tr>
      <w:tr w:rsidR="00797756" w:rsidRPr="00964115" w14:paraId="6F94B159"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54"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Virškinimo trakto sutrikimai</w:t>
            </w:r>
          </w:p>
        </w:tc>
        <w:tc>
          <w:tcPr>
            <w:tcW w:w="759" w:type="pct"/>
            <w:tcBorders>
              <w:top w:val="single" w:sz="4" w:space="0" w:color="auto"/>
              <w:left w:val="single" w:sz="4" w:space="0" w:color="auto"/>
              <w:bottom w:val="single" w:sz="4" w:space="0" w:color="auto"/>
              <w:right w:val="single" w:sz="4" w:space="0" w:color="auto"/>
            </w:tcBorders>
          </w:tcPr>
          <w:p w14:paraId="6F94B155"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dispepsija</w:t>
            </w:r>
          </w:p>
        </w:tc>
        <w:tc>
          <w:tcPr>
            <w:tcW w:w="1051" w:type="pct"/>
            <w:tcBorders>
              <w:top w:val="single" w:sz="4" w:space="0" w:color="auto"/>
              <w:left w:val="single" w:sz="4" w:space="0" w:color="auto"/>
              <w:bottom w:val="single" w:sz="4" w:space="0" w:color="auto"/>
              <w:right w:val="single" w:sz="4" w:space="0" w:color="auto"/>
            </w:tcBorders>
          </w:tcPr>
          <w:p w14:paraId="6F94B156"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pilvo skausmas, vidurių užkietėjimas, viduriavimas, ezofagitas, flatulencija, skrandžio / dvylikapirštės žarnos opos *, gastritas, pykinimas, vėmimas, skrandžio liaukų polipai (gerybiniai)</w:t>
            </w:r>
          </w:p>
        </w:tc>
        <w:tc>
          <w:tcPr>
            <w:tcW w:w="1051" w:type="pct"/>
            <w:tcBorders>
              <w:top w:val="single" w:sz="4" w:space="0" w:color="auto"/>
              <w:left w:val="single" w:sz="4" w:space="0" w:color="auto"/>
              <w:bottom w:val="single" w:sz="4" w:space="0" w:color="auto"/>
              <w:right w:val="single" w:sz="4" w:space="0" w:color="auto"/>
            </w:tcBorders>
          </w:tcPr>
          <w:p w14:paraId="6F94B157"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sausa burna, raugulys, kraujavimas virškinimo trakte, stomatitas</w:t>
            </w:r>
          </w:p>
        </w:tc>
        <w:tc>
          <w:tcPr>
            <w:tcW w:w="1054" w:type="pct"/>
            <w:tcBorders>
              <w:top w:val="single" w:sz="4" w:space="0" w:color="auto"/>
              <w:left w:val="single" w:sz="4" w:space="0" w:color="auto"/>
              <w:bottom w:val="single" w:sz="4" w:space="0" w:color="auto"/>
              <w:right w:val="single" w:sz="4" w:space="0" w:color="auto"/>
            </w:tcBorders>
          </w:tcPr>
          <w:p w14:paraId="6F94B158"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glositas, hematemezė, kraujavimas iš tiesiosios žarnos</w:t>
            </w:r>
          </w:p>
        </w:tc>
      </w:tr>
      <w:tr w:rsidR="00797756" w:rsidRPr="00964115" w14:paraId="6F94B15F"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5A"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Odos ir poodinio audinio sutrikimai</w:t>
            </w:r>
          </w:p>
        </w:tc>
        <w:tc>
          <w:tcPr>
            <w:tcW w:w="759" w:type="pct"/>
            <w:tcBorders>
              <w:top w:val="single" w:sz="4" w:space="0" w:color="auto"/>
              <w:left w:val="single" w:sz="4" w:space="0" w:color="auto"/>
              <w:bottom w:val="single" w:sz="4" w:space="0" w:color="auto"/>
              <w:right w:val="single" w:sz="4" w:space="0" w:color="auto"/>
            </w:tcBorders>
          </w:tcPr>
          <w:p w14:paraId="6F94B15B"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5C"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odos išbėrimas</w:t>
            </w:r>
          </w:p>
        </w:tc>
        <w:tc>
          <w:tcPr>
            <w:tcW w:w="1051" w:type="pct"/>
            <w:tcBorders>
              <w:top w:val="single" w:sz="4" w:space="0" w:color="auto"/>
              <w:left w:val="single" w:sz="4" w:space="0" w:color="auto"/>
              <w:bottom w:val="single" w:sz="4" w:space="0" w:color="auto"/>
              <w:right w:val="single" w:sz="4" w:space="0" w:color="auto"/>
            </w:tcBorders>
          </w:tcPr>
          <w:p w14:paraId="6F94B15D"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dermatitas, hiperhidrozė, niežulys, dilgėlinė</w:t>
            </w:r>
          </w:p>
        </w:tc>
        <w:tc>
          <w:tcPr>
            <w:tcW w:w="1054" w:type="pct"/>
            <w:tcBorders>
              <w:top w:val="single" w:sz="4" w:space="0" w:color="auto"/>
              <w:left w:val="single" w:sz="4" w:space="0" w:color="auto"/>
              <w:bottom w:val="single" w:sz="4" w:space="0" w:color="auto"/>
              <w:right w:val="single" w:sz="4" w:space="0" w:color="auto"/>
            </w:tcBorders>
          </w:tcPr>
          <w:p w14:paraId="6F94B15E"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alopecija, ekchimozės</w:t>
            </w:r>
          </w:p>
        </w:tc>
      </w:tr>
      <w:tr w:rsidR="00797756" w:rsidRPr="00964115" w14:paraId="6F94B165"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60"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Skeleto, raumenų ir jungiamojo audinio sutrikimai</w:t>
            </w:r>
          </w:p>
        </w:tc>
        <w:tc>
          <w:tcPr>
            <w:tcW w:w="759" w:type="pct"/>
            <w:tcBorders>
              <w:top w:val="single" w:sz="4" w:space="0" w:color="auto"/>
              <w:left w:val="single" w:sz="4" w:space="0" w:color="auto"/>
              <w:bottom w:val="single" w:sz="4" w:space="0" w:color="auto"/>
              <w:right w:val="single" w:sz="4" w:space="0" w:color="auto"/>
            </w:tcBorders>
          </w:tcPr>
          <w:p w14:paraId="6F94B161"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2"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artralgija</w:t>
            </w:r>
          </w:p>
        </w:tc>
        <w:tc>
          <w:tcPr>
            <w:tcW w:w="1051" w:type="pct"/>
            <w:tcBorders>
              <w:top w:val="single" w:sz="4" w:space="0" w:color="auto"/>
              <w:left w:val="single" w:sz="4" w:space="0" w:color="auto"/>
              <w:bottom w:val="single" w:sz="4" w:space="0" w:color="auto"/>
              <w:right w:val="single" w:sz="4" w:space="0" w:color="auto"/>
            </w:tcBorders>
          </w:tcPr>
          <w:p w14:paraId="6F94B163"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mialgija</w:t>
            </w:r>
          </w:p>
        </w:tc>
        <w:tc>
          <w:tcPr>
            <w:tcW w:w="1054" w:type="pct"/>
            <w:tcBorders>
              <w:top w:val="single" w:sz="4" w:space="0" w:color="auto"/>
              <w:left w:val="single" w:sz="4" w:space="0" w:color="auto"/>
              <w:bottom w:val="single" w:sz="4" w:space="0" w:color="auto"/>
              <w:right w:val="single" w:sz="4" w:space="0" w:color="auto"/>
            </w:tcBorders>
          </w:tcPr>
          <w:p w14:paraId="6F94B164" w14:textId="77777777" w:rsidR="00797756" w:rsidRPr="00964115" w:rsidRDefault="00797756" w:rsidP="00797756">
            <w:pPr>
              <w:spacing w:after="0" w:line="240" w:lineRule="auto"/>
              <w:ind w:right="28"/>
              <w:rPr>
                <w:rFonts w:ascii="Times New Roman" w:eastAsia="Calibri" w:hAnsi="Times New Roman" w:cs="Times New Roman"/>
                <w:lang w:val="lt-LT"/>
              </w:rPr>
            </w:pPr>
          </w:p>
        </w:tc>
      </w:tr>
      <w:tr w:rsidR="00797756" w:rsidRPr="00964115" w14:paraId="6F94B16B"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66"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Inkstų ir šlapimo takų sutrikimai</w:t>
            </w:r>
          </w:p>
        </w:tc>
        <w:tc>
          <w:tcPr>
            <w:tcW w:w="759" w:type="pct"/>
            <w:tcBorders>
              <w:top w:val="single" w:sz="4" w:space="0" w:color="auto"/>
              <w:left w:val="single" w:sz="4" w:space="0" w:color="auto"/>
              <w:bottom w:val="single" w:sz="4" w:space="0" w:color="auto"/>
              <w:right w:val="single" w:sz="4" w:space="0" w:color="auto"/>
            </w:tcBorders>
          </w:tcPr>
          <w:p w14:paraId="6F94B167"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8"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9"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6A"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proteinurija, inkstų nepakankamumas</w:t>
            </w:r>
          </w:p>
        </w:tc>
      </w:tr>
      <w:tr w:rsidR="00797756" w:rsidRPr="00964115" w14:paraId="6F94B171"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6C"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Lytinės sistemos ir krūties sutrikimai</w:t>
            </w:r>
          </w:p>
        </w:tc>
        <w:tc>
          <w:tcPr>
            <w:tcW w:w="759" w:type="pct"/>
            <w:tcBorders>
              <w:top w:val="single" w:sz="4" w:space="0" w:color="auto"/>
              <w:left w:val="single" w:sz="4" w:space="0" w:color="auto"/>
              <w:bottom w:val="single" w:sz="4" w:space="0" w:color="auto"/>
              <w:right w:val="single" w:sz="4" w:space="0" w:color="auto"/>
            </w:tcBorders>
          </w:tcPr>
          <w:p w14:paraId="6F94B16D"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E"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F"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70"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menstruaciniai sutrikimai</w:t>
            </w:r>
          </w:p>
        </w:tc>
      </w:tr>
      <w:tr w:rsidR="00797756" w:rsidRPr="00964115" w14:paraId="6F94B177"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72"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Bendrieji sutrikimai ir vartojimo vietos pažeidimai</w:t>
            </w:r>
          </w:p>
        </w:tc>
        <w:tc>
          <w:tcPr>
            <w:tcW w:w="759" w:type="pct"/>
            <w:tcBorders>
              <w:top w:val="single" w:sz="4" w:space="0" w:color="auto"/>
              <w:left w:val="single" w:sz="4" w:space="0" w:color="auto"/>
              <w:bottom w:val="single" w:sz="4" w:space="0" w:color="auto"/>
              <w:right w:val="single" w:sz="4" w:space="0" w:color="auto"/>
            </w:tcBorders>
          </w:tcPr>
          <w:p w14:paraId="6F94B173"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74"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edema</w:t>
            </w:r>
          </w:p>
        </w:tc>
        <w:tc>
          <w:tcPr>
            <w:tcW w:w="1051" w:type="pct"/>
            <w:tcBorders>
              <w:top w:val="single" w:sz="4" w:space="0" w:color="auto"/>
              <w:left w:val="single" w:sz="4" w:space="0" w:color="auto"/>
              <w:bottom w:val="single" w:sz="4" w:space="0" w:color="auto"/>
              <w:right w:val="single" w:sz="4" w:space="0" w:color="auto"/>
            </w:tcBorders>
          </w:tcPr>
          <w:p w14:paraId="6F94B175"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astenija, nuovargis, karščiavimas</w:t>
            </w:r>
          </w:p>
        </w:tc>
        <w:tc>
          <w:tcPr>
            <w:tcW w:w="1054" w:type="pct"/>
            <w:tcBorders>
              <w:top w:val="single" w:sz="4" w:space="0" w:color="auto"/>
              <w:left w:val="single" w:sz="4" w:space="0" w:color="auto"/>
              <w:bottom w:val="single" w:sz="4" w:space="0" w:color="auto"/>
              <w:right w:val="single" w:sz="4" w:space="0" w:color="auto"/>
            </w:tcBorders>
          </w:tcPr>
          <w:p w14:paraId="6F94B176" w14:textId="77777777" w:rsidR="00797756" w:rsidRPr="00964115" w:rsidRDefault="00797756" w:rsidP="00797756">
            <w:pPr>
              <w:spacing w:after="0" w:line="240" w:lineRule="auto"/>
              <w:ind w:right="28"/>
              <w:rPr>
                <w:rFonts w:ascii="Times New Roman" w:eastAsia="Calibri" w:hAnsi="Times New Roman" w:cs="Times New Roman"/>
                <w:lang w:val="lt-LT"/>
              </w:rPr>
            </w:pPr>
          </w:p>
        </w:tc>
      </w:tr>
      <w:tr w:rsidR="00797756" w:rsidRPr="00964115" w14:paraId="6F94B17D"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78" w14:textId="77777777" w:rsidR="00797756" w:rsidRPr="00964115" w:rsidRDefault="00797756" w:rsidP="00797756">
            <w:pPr>
              <w:spacing w:after="0" w:line="240" w:lineRule="auto"/>
              <w:ind w:right="28"/>
              <w:rPr>
                <w:rFonts w:ascii="Times New Roman" w:eastAsia="Calibri" w:hAnsi="Times New Roman" w:cs="Times New Roman"/>
                <w:b/>
                <w:lang w:val="lt-LT"/>
              </w:rPr>
            </w:pPr>
            <w:r w:rsidRPr="00964115">
              <w:rPr>
                <w:rFonts w:ascii="Times New Roman" w:eastAsia="Calibri" w:hAnsi="Times New Roman" w:cs="Times New Roman"/>
                <w:b/>
                <w:lang w:val="lt-LT"/>
              </w:rPr>
              <w:t>Tyrimai</w:t>
            </w:r>
          </w:p>
        </w:tc>
        <w:tc>
          <w:tcPr>
            <w:tcW w:w="759" w:type="pct"/>
            <w:tcBorders>
              <w:top w:val="single" w:sz="4" w:space="0" w:color="auto"/>
              <w:left w:val="single" w:sz="4" w:space="0" w:color="auto"/>
              <w:bottom w:val="single" w:sz="4" w:space="0" w:color="auto"/>
              <w:right w:val="single" w:sz="4" w:space="0" w:color="auto"/>
            </w:tcBorders>
          </w:tcPr>
          <w:p w14:paraId="6F94B179"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7A" w14:textId="77777777" w:rsidR="00797756" w:rsidRPr="00964115"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7B" w14:textId="77777777" w:rsidR="00797756" w:rsidRPr="00964115" w:rsidRDefault="00797756" w:rsidP="00797756">
            <w:pPr>
              <w:spacing w:after="0" w:line="240" w:lineRule="auto"/>
              <w:ind w:right="28"/>
              <w:rPr>
                <w:rFonts w:ascii="Times New Roman" w:eastAsia="Calibri" w:hAnsi="Times New Roman" w:cs="Times New Roman"/>
                <w:lang w:val="lt-LT"/>
              </w:rPr>
            </w:pPr>
            <w:r w:rsidRPr="00964115">
              <w:rPr>
                <w:rFonts w:ascii="Times New Roman" w:eastAsia="Calibri" w:hAnsi="Times New Roman" w:cs="Times New Roman"/>
                <w:lang w:val="lt-LT"/>
              </w:rPr>
              <w:t>pakitę kepenų funkcijos rodikliai, padidėjusi kreatinino koncentracija serume</w:t>
            </w:r>
          </w:p>
        </w:tc>
        <w:tc>
          <w:tcPr>
            <w:tcW w:w="1054" w:type="pct"/>
            <w:tcBorders>
              <w:top w:val="single" w:sz="4" w:space="0" w:color="auto"/>
              <w:left w:val="single" w:sz="4" w:space="0" w:color="auto"/>
              <w:bottom w:val="single" w:sz="4" w:space="0" w:color="auto"/>
              <w:right w:val="single" w:sz="4" w:space="0" w:color="auto"/>
            </w:tcBorders>
          </w:tcPr>
          <w:p w14:paraId="6F94B17C" w14:textId="77777777" w:rsidR="00797756" w:rsidRPr="00964115" w:rsidRDefault="00797756" w:rsidP="00797756">
            <w:pPr>
              <w:spacing w:after="0" w:line="240" w:lineRule="auto"/>
              <w:ind w:right="28"/>
              <w:rPr>
                <w:rFonts w:ascii="Times New Roman" w:eastAsia="Calibri" w:hAnsi="Times New Roman" w:cs="Times New Roman"/>
                <w:lang w:val="lt-LT"/>
              </w:rPr>
            </w:pPr>
          </w:p>
        </w:tc>
      </w:tr>
    </w:tbl>
    <w:p w14:paraId="6F94B17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Nustatyta pagal grafiką atliekamos rutininės endoskopijos metu.</w:t>
      </w:r>
    </w:p>
    <w:p w14:paraId="6F94B17F" w14:textId="77777777" w:rsidR="00797756" w:rsidRPr="00964115" w:rsidRDefault="00797756" w:rsidP="00797756">
      <w:pPr>
        <w:spacing w:after="0" w:line="240" w:lineRule="auto"/>
        <w:rPr>
          <w:rFonts w:ascii="Times New Roman" w:eastAsia="Calibri" w:hAnsi="Times New Roman" w:cs="Times New Roman"/>
          <w:lang w:val="lt-LT"/>
        </w:rPr>
      </w:pPr>
    </w:p>
    <w:p w14:paraId="6F94B180"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u w:val="single"/>
          <w:lang w:val="lt-LT"/>
        </w:rPr>
        <w:t>Naproksenas</w:t>
      </w:r>
    </w:p>
    <w:p w14:paraId="6F94B181"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 xml:space="preserve">Klinikinių tyrimų metu ir pateikus naprokseną į rinką, gauta pranešimų apie žemiau išvardytus nepageidaujamus reiškinius. </w:t>
      </w:r>
    </w:p>
    <w:p w14:paraId="6F94B182" w14:textId="77777777" w:rsidR="00797756" w:rsidRPr="00964115" w:rsidRDefault="00797756" w:rsidP="00797756">
      <w:pPr>
        <w:spacing w:after="0" w:line="240" w:lineRule="auto"/>
        <w:ind w:right="29"/>
        <w:rPr>
          <w:rFonts w:ascii="Times New Roman" w:eastAsia="Calibri" w:hAnsi="Times New Roman" w:cs="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8"/>
        <w:gridCol w:w="2903"/>
        <w:gridCol w:w="3359"/>
      </w:tblGrid>
      <w:tr w:rsidR="00797756" w:rsidRPr="00964115" w14:paraId="6F94B186" w14:textId="77777777" w:rsidTr="0021048B">
        <w:trPr>
          <w:cantSplit/>
          <w:tblHeader/>
        </w:trPr>
        <w:tc>
          <w:tcPr>
            <w:tcW w:w="1544" w:type="pct"/>
            <w:tcBorders>
              <w:top w:val="single" w:sz="4" w:space="0" w:color="auto"/>
              <w:left w:val="single" w:sz="4" w:space="0" w:color="auto"/>
              <w:bottom w:val="single" w:sz="4" w:space="0" w:color="auto"/>
              <w:right w:val="single" w:sz="4" w:space="0" w:color="auto"/>
            </w:tcBorders>
          </w:tcPr>
          <w:p w14:paraId="6F94B183" w14:textId="77777777" w:rsidR="00797756" w:rsidRPr="00964115" w:rsidRDefault="00797756" w:rsidP="00797756">
            <w:pPr>
              <w:spacing w:after="0" w:line="240" w:lineRule="auto"/>
              <w:ind w:right="29"/>
              <w:rPr>
                <w:rFonts w:ascii="Times New Roman" w:eastAsia="Calibri" w:hAnsi="Times New Roman" w:cs="Times New Roman"/>
                <w:b/>
                <w:lang w:val="lt-LT"/>
              </w:rPr>
            </w:pPr>
          </w:p>
        </w:tc>
        <w:tc>
          <w:tcPr>
            <w:tcW w:w="1602" w:type="pct"/>
            <w:tcBorders>
              <w:top w:val="single" w:sz="4" w:space="0" w:color="auto"/>
              <w:left w:val="single" w:sz="4" w:space="0" w:color="auto"/>
              <w:bottom w:val="single" w:sz="4" w:space="0" w:color="auto"/>
              <w:right w:val="single" w:sz="4" w:space="0" w:color="auto"/>
            </w:tcBorders>
          </w:tcPr>
          <w:p w14:paraId="6F94B184"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Dažnas</w:t>
            </w:r>
          </w:p>
        </w:tc>
        <w:tc>
          <w:tcPr>
            <w:tcW w:w="1854" w:type="pct"/>
            <w:tcBorders>
              <w:top w:val="single" w:sz="4" w:space="0" w:color="auto"/>
              <w:left w:val="single" w:sz="4" w:space="0" w:color="auto"/>
              <w:bottom w:val="single" w:sz="4" w:space="0" w:color="auto"/>
              <w:right w:val="single" w:sz="4" w:space="0" w:color="auto"/>
            </w:tcBorders>
          </w:tcPr>
          <w:p w14:paraId="6F94B185"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Nedažnas ar retas</w:t>
            </w:r>
          </w:p>
        </w:tc>
      </w:tr>
      <w:tr w:rsidR="00797756" w:rsidRPr="00964115" w14:paraId="6F94B18A"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87"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Infekcijos ir infestacijos</w:t>
            </w:r>
          </w:p>
        </w:tc>
        <w:tc>
          <w:tcPr>
            <w:tcW w:w="1602" w:type="pct"/>
            <w:tcBorders>
              <w:top w:val="single" w:sz="4" w:space="0" w:color="auto"/>
              <w:left w:val="single" w:sz="4" w:space="0" w:color="auto"/>
              <w:bottom w:val="single" w:sz="4" w:space="0" w:color="auto"/>
              <w:right w:val="single" w:sz="4" w:space="0" w:color="auto"/>
            </w:tcBorders>
          </w:tcPr>
          <w:p w14:paraId="6F94B18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divertikulitas</w:t>
            </w:r>
          </w:p>
        </w:tc>
        <w:tc>
          <w:tcPr>
            <w:tcW w:w="1854" w:type="pct"/>
            <w:tcBorders>
              <w:top w:val="single" w:sz="4" w:space="0" w:color="auto"/>
              <w:left w:val="single" w:sz="4" w:space="0" w:color="auto"/>
              <w:bottom w:val="single" w:sz="4" w:space="0" w:color="auto"/>
              <w:right w:val="single" w:sz="4" w:space="0" w:color="auto"/>
            </w:tcBorders>
          </w:tcPr>
          <w:p w14:paraId="6F94B189"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asepsinis meningitas, infekcija, sepsis</w:t>
            </w:r>
          </w:p>
        </w:tc>
      </w:tr>
      <w:tr w:rsidR="00797756" w:rsidRPr="005B1304" w14:paraId="6F94B18E"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8B"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Kraujo ir limfinės sistemos sutrikimai</w:t>
            </w:r>
          </w:p>
        </w:tc>
        <w:tc>
          <w:tcPr>
            <w:tcW w:w="1602" w:type="pct"/>
            <w:tcBorders>
              <w:top w:val="single" w:sz="4" w:space="0" w:color="auto"/>
              <w:left w:val="single" w:sz="4" w:space="0" w:color="auto"/>
              <w:bottom w:val="single" w:sz="4" w:space="0" w:color="auto"/>
              <w:right w:val="single" w:sz="4" w:space="0" w:color="auto"/>
            </w:tcBorders>
          </w:tcPr>
          <w:p w14:paraId="6F94B18C"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8D"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agranulocitozė, aplazinė anemija, eozinofilija, granulocitopenija, hemolizinė anemija, leukopenija, limfadenopatija, pancitopenija, trombocitopenija</w:t>
            </w:r>
          </w:p>
        </w:tc>
      </w:tr>
      <w:tr w:rsidR="00797756" w:rsidRPr="005B1304" w14:paraId="6F94B192"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8F"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Imuninės sistemos sutrikimai</w:t>
            </w:r>
          </w:p>
        </w:tc>
        <w:tc>
          <w:tcPr>
            <w:tcW w:w="1602" w:type="pct"/>
            <w:tcBorders>
              <w:top w:val="single" w:sz="4" w:space="0" w:color="auto"/>
              <w:left w:val="single" w:sz="4" w:space="0" w:color="auto"/>
              <w:bottom w:val="single" w:sz="4" w:space="0" w:color="auto"/>
              <w:right w:val="single" w:sz="4" w:space="0" w:color="auto"/>
            </w:tcBorders>
          </w:tcPr>
          <w:p w14:paraId="6F94B190"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91"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anafilaksinės reakcijos, anafilaktoidinės reakcijos, padidėjusio jautrumo reakcijos</w:t>
            </w:r>
          </w:p>
        </w:tc>
      </w:tr>
      <w:tr w:rsidR="00797756" w:rsidRPr="005B1304" w14:paraId="6F94B196"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93"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Metabolizmo ir mitybos sutrikimai</w:t>
            </w:r>
          </w:p>
        </w:tc>
        <w:tc>
          <w:tcPr>
            <w:tcW w:w="1602" w:type="pct"/>
            <w:tcBorders>
              <w:top w:val="single" w:sz="4" w:space="0" w:color="auto"/>
              <w:left w:val="single" w:sz="4" w:space="0" w:color="auto"/>
              <w:bottom w:val="single" w:sz="4" w:space="0" w:color="auto"/>
              <w:right w:val="single" w:sz="4" w:space="0" w:color="auto"/>
            </w:tcBorders>
          </w:tcPr>
          <w:p w14:paraId="6F94B194"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95"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pakitęs apetitas, skysčių susilaikymas, hiperglikemija, hiperkalemija, hiperurikemija, hipoglikemija, pakitęs svoris</w:t>
            </w:r>
          </w:p>
        </w:tc>
      </w:tr>
      <w:tr w:rsidR="00797756" w:rsidRPr="00964115" w14:paraId="6F94B19A"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97"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Psichikos sutrikimai</w:t>
            </w:r>
          </w:p>
        </w:tc>
        <w:tc>
          <w:tcPr>
            <w:tcW w:w="1602" w:type="pct"/>
            <w:tcBorders>
              <w:top w:val="single" w:sz="4" w:space="0" w:color="auto"/>
              <w:left w:val="single" w:sz="4" w:space="0" w:color="auto"/>
              <w:bottom w:val="single" w:sz="4" w:space="0" w:color="auto"/>
              <w:right w:val="single" w:sz="4" w:space="0" w:color="auto"/>
            </w:tcBorders>
          </w:tcPr>
          <w:p w14:paraId="6F94B19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depresija, nemiga</w:t>
            </w:r>
          </w:p>
        </w:tc>
        <w:tc>
          <w:tcPr>
            <w:tcW w:w="1854" w:type="pct"/>
            <w:tcBorders>
              <w:top w:val="single" w:sz="4" w:space="0" w:color="auto"/>
              <w:left w:val="single" w:sz="4" w:space="0" w:color="auto"/>
              <w:bottom w:val="single" w:sz="4" w:space="0" w:color="auto"/>
              <w:right w:val="single" w:sz="4" w:space="0" w:color="auto"/>
            </w:tcBorders>
          </w:tcPr>
          <w:p w14:paraId="6F94B199"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psichomotorinis sujaudinimas, nerimas, sutrikusi orientacija, nenormalūs sapnai, haliucinacijos, nervingumas</w:t>
            </w:r>
          </w:p>
        </w:tc>
      </w:tr>
      <w:tr w:rsidR="00797756" w:rsidRPr="005B1304" w14:paraId="6F94B19E"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9B"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Nervų sistemos sutrikimai</w:t>
            </w:r>
          </w:p>
        </w:tc>
        <w:tc>
          <w:tcPr>
            <w:tcW w:w="1602" w:type="pct"/>
            <w:tcBorders>
              <w:top w:val="single" w:sz="4" w:space="0" w:color="auto"/>
              <w:left w:val="single" w:sz="4" w:space="0" w:color="auto"/>
              <w:bottom w:val="single" w:sz="4" w:space="0" w:color="auto"/>
              <w:right w:val="single" w:sz="4" w:space="0" w:color="auto"/>
            </w:tcBorders>
          </w:tcPr>
          <w:p w14:paraId="6F94B19C"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Svaigulys, mieguistumas, galvos skausmas, apsvaigimas, galvos svaigimas (</w:t>
            </w:r>
            <w:r w:rsidRPr="00964115">
              <w:rPr>
                <w:rFonts w:ascii="Times New Roman" w:eastAsia="Calibri" w:hAnsi="Times New Roman" w:cs="Times New Roman"/>
                <w:i/>
                <w:lang w:val="lt-LT"/>
              </w:rPr>
              <w:t>vertigo</w:t>
            </w:r>
            <w:r w:rsidRPr="00964115">
              <w:rPr>
                <w:rFonts w:ascii="Times New Roman" w:eastAsia="Calibri" w:hAnsi="Times New Roman" w:cs="Times New Roman"/>
                <w:lang w:val="lt-LT"/>
              </w:rPr>
              <w:t>)</w:t>
            </w:r>
          </w:p>
        </w:tc>
        <w:tc>
          <w:tcPr>
            <w:tcW w:w="1854" w:type="pct"/>
            <w:tcBorders>
              <w:top w:val="single" w:sz="4" w:space="0" w:color="auto"/>
              <w:left w:val="single" w:sz="4" w:space="0" w:color="auto"/>
              <w:bottom w:val="single" w:sz="4" w:space="0" w:color="auto"/>
              <w:right w:val="single" w:sz="4" w:space="0" w:color="auto"/>
            </w:tcBorders>
          </w:tcPr>
          <w:p w14:paraId="6F94B19D"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 xml:space="preserve">sutrikusi pažintinė funkcija, koma, traukuliai, sutrikęs gebėjimas sutelkti dėmesį, optinis neuritas, parestezija, sinkopė, drebulys </w:t>
            </w:r>
          </w:p>
        </w:tc>
      </w:tr>
      <w:tr w:rsidR="00797756" w:rsidRPr="00964115" w14:paraId="6F94B1A2"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9F"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Akių sutrikimai</w:t>
            </w:r>
          </w:p>
        </w:tc>
        <w:tc>
          <w:tcPr>
            <w:tcW w:w="1602" w:type="pct"/>
            <w:tcBorders>
              <w:top w:val="single" w:sz="4" w:space="0" w:color="auto"/>
              <w:left w:val="single" w:sz="4" w:space="0" w:color="auto"/>
              <w:bottom w:val="single" w:sz="4" w:space="0" w:color="auto"/>
              <w:right w:val="single" w:sz="4" w:space="0" w:color="auto"/>
            </w:tcBorders>
          </w:tcPr>
          <w:p w14:paraId="6F94B1A0"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sutrikusi rega</w:t>
            </w:r>
          </w:p>
        </w:tc>
        <w:tc>
          <w:tcPr>
            <w:tcW w:w="1854" w:type="pct"/>
            <w:tcBorders>
              <w:top w:val="single" w:sz="4" w:space="0" w:color="auto"/>
              <w:left w:val="single" w:sz="4" w:space="0" w:color="auto"/>
              <w:bottom w:val="single" w:sz="4" w:space="0" w:color="auto"/>
              <w:right w:val="single" w:sz="4" w:space="0" w:color="auto"/>
            </w:tcBorders>
          </w:tcPr>
          <w:p w14:paraId="6F94B1A1"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neaiškus matymas, konjunktyvitas, ragenos drumstis, papiledema, papilitas</w:t>
            </w:r>
          </w:p>
        </w:tc>
      </w:tr>
      <w:tr w:rsidR="00797756" w:rsidRPr="00964115" w14:paraId="6F94B1A6"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A3"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Ausų ir labirintų sutrikimai</w:t>
            </w:r>
          </w:p>
        </w:tc>
        <w:tc>
          <w:tcPr>
            <w:tcW w:w="1602" w:type="pct"/>
            <w:tcBorders>
              <w:top w:val="single" w:sz="4" w:space="0" w:color="auto"/>
              <w:left w:val="single" w:sz="4" w:space="0" w:color="auto"/>
              <w:bottom w:val="single" w:sz="4" w:space="0" w:color="auto"/>
              <w:right w:val="single" w:sz="4" w:space="0" w:color="auto"/>
            </w:tcBorders>
          </w:tcPr>
          <w:p w14:paraId="6F94B1A4"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triukšmas ausyse, sutrikusi klausa</w:t>
            </w:r>
          </w:p>
        </w:tc>
        <w:tc>
          <w:tcPr>
            <w:tcW w:w="1854" w:type="pct"/>
            <w:tcBorders>
              <w:top w:val="single" w:sz="4" w:space="0" w:color="auto"/>
              <w:left w:val="single" w:sz="4" w:space="0" w:color="auto"/>
              <w:bottom w:val="single" w:sz="4" w:space="0" w:color="auto"/>
              <w:right w:val="single" w:sz="4" w:space="0" w:color="auto"/>
            </w:tcBorders>
          </w:tcPr>
          <w:p w14:paraId="6F94B1A5"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pablogėjusi klausa</w:t>
            </w:r>
          </w:p>
        </w:tc>
      </w:tr>
      <w:tr w:rsidR="00797756" w:rsidRPr="00964115" w14:paraId="6F94B1AA"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A7"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Širdies sutrikimai</w:t>
            </w:r>
          </w:p>
        </w:tc>
        <w:tc>
          <w:tcPr>
            <w:tcW w:w="1602" w:type="pct"/>
            <w:tcBorders>
              <w:top w:val="single" w:sz="4" w:space="0" w:color="auto"/>
              <w:left w:val="single" w:sz="4" w:space="0" w:color="auto"/>
              <w:bottom w:val="single" w:sz="4" w:space="0" w:color="auto"/>
              <w:right w:val="single" w:sz="4" w:space="0" w:color="auto"/>
            </w:tcBorders>
          </w:tcPr>
          <w:p w14:paraId="6F94B1A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palpitacija</w:t>
            </w:r>
          </w:p>
        </w:tc>
        <w:tc>
          <w:tcPr>
            <w:tcW w:w="1854" w:type="pct"/>
            <w:tcBorders>
              <w:top w:val="single" w:sz="4" w:space="0" w:color="auto"/>
              <w:left w:val="single" w:sz="4" w:space="0" w:color="auto"/>
              <w:bottom w:val="single" w:sz="4" w:space="0" w:color="auto"/>
              <w:right w:val="single" w:sz="4" w:space="0" w:color="auto"/>
            </w:tcBorders>
          </w:tcPr>
          <w:p w14:paraId="6F94B1A9"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aritmija, stazinis širdies nepakankamumas, miokardo infarktas, tachikardija</w:t>
            </w:r>
          </w:p>
        </w:tc>
      </w:tr>
      <w:tr w:rsidR="00797756" w:rsidRPr="00964115" w14:paraId="6F94B1AE"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AB"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Kraujagyslių sutrikimai</w:t>
            </w:r>
          </w:p>
        </w:tc>
        <w:tc>
          <w:tcPr>
            <w:tcW w:w="1602" w:type="pct"/>
            <w:tcBorders>
              <w:top w:val="single" w:sz="4" w:space="0" w:color="auto"/>
              <w:left w:val="single" w:sz="4" w:space="0" w:color="auto"/>
              <w:bottom w:val="single" w:sz="4" w:space="0" w:color="auto"/>
              <w:right w:val="single" w:sz="4" w:space="0" w:color="auto"/>
            </w:tcBorders>
          </w:tcPr>
          <w:p w14:paraId="6F94B1AC"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AD"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hipertenzija, hipotenzija, vaskulitas</w:t>
            </w:r>
          </w:p>
        </w:tc>
      </w:tr>
      <w:tr w:rsidR="00797756" w:rsidRPr="005B1304" w14:paraId="6F94B1B2"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AF"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Kvėpavimo sistemos, krūtinės ląstos ir tarpuplaučio sutrikimai</w:t>
            </w:r>
          </w:p>
        </w:tc>
        <w:tc>
          <w:tcPr>
            <w:tcW w:w="1602" w:type="pct"/>
            <w:tcBorders>
              <w:top w:val="single" w:sz="4" w:space="0" w:color="auto"/>
              <w:left w:val="single" w:sz="4" w:space="0" w:color="auto"/>
              <w:bottom w:val="single" w:sz="4" w:space="0" w:color="auto"/>
              <w:right w:val="single" w:sz="4" w:space="0" w:color="auto"/>
            </w:tcBorders>
          </w:tcPr>
          <w:p w14:paraId="6F94B1B0"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dusulys</w:t>
            </w:r>
          </w:p>
        </w:tc>
        <w:tc>
          <w:tcPr>
            <w:tcW w:w="1854" w:type="pct"/>
            <w:tcBorders>
              <w:top w:val="single" w:sz="4" w:space="0" w:color="auto"/>
              <w:left w:val="single" w:sz="4" w:space="0" w:color="auto"/>
              <w:bottom w:val="single" w:sz="4" w:space="0" w:color="auto"/>
              <w:right w:val="single" w:sz="4" w:space="0" w:color="auto"/>
            </w:tcBorders>
          </w:tcPr>
          <w:p w14:paraId="6F94B1B1"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astma, bronchų spazmas, eozinofilinis pneumonitas, pneumonija, plaučių edema, kvėpavimo slopinimas</w:t>
            </w:r>
          </w:p>
        </w:tc>
      </w:tr>
      <w:tr w:rsidR="00797756" w:rsidRPr="005B1304" w14:paraId="6F94B1B7"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B3"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Virškinimo trakto sutrikimai</w:t>
            </w:r>
          </w:p>
        </w:tc>
        <w:tc>
          <w:tcPr>
            <w:tcW w:w="1602" w:type="pct"/>
            <w:tcBorders>
              <w:top w:val="single" w:sz="4" w:space="0" w:color="auto"/>
              <w:left w:val="single" w:sz="4" w:space="0" w:color="auto"/>
              <w:bottom w:val="single" w:sz="4" w:space="0" w:color="auto"/>
              <w:right w:val="single" w:sz="4" w:space="0" w:color="auto"/>
            </w:tcBorders>
          </w:tcPr>
          <w:p w14:paraId="6F94B1B4"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dispepsija, pilvo skausmas, pykinimas, vėmimas, viduriavimas, vidurių užkietėjimas, rėmuo, pepsinės opos, stomatitas</w:t>
            </w:r>
          </w:p>
          <w:p w14:paraId="6F94B1B5"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B6"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sausa burna, ezofagitas, skrandžio opos, gastritas, glositas, raugėjimas, flatulencija, skrandžio ar dvylikapirštės žarnos opos, kraujavimas ir (ar) perforacija virškinimo trakte, melena, hematemezė, pankreatitas, kolitas, paūmėjusi uždegiminė žarnų liga (opinis kolitas, Krono (</w:t>
            </w:r>
            <w:r w:rsidRPr="00964115">
              <w:rPr>
                <w:rFonts w:ascii="Times New Roman" w:eastAsia="Calibri" w:hAnsi="Times New Roman" w:cs="Times New Roman"/>
                <w:i/>
                <w:lang w:val="lt-LT"/>
              </w:rPr>
              <w:t>Crohn</w:t>
            </w:r>
            <w:r w:rsidRPr="00964115">
              <w:rPr>
                <w:rFonts w:ascii="Times New Roman" w:eastAsia="Calibri" w:hAnsi="Times New Roman" w:cs="Times New Roman"/>
                <w:lang w:val="lt-LT"/>
              </w:rPr>
              <w:t>) liga), nepeptinė virškinimo trakto opa, kraujavimas iš tiesiosios žarnos, opinis stomatitas</w:t>
            </w:r>
          </w:p>
        </w:tc>
      </w:tr>
      <w:tr w:rsidR="00797756" w:rsidRPr="00964115" w14:paraId="6F94B1BB"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B8"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Kepenų ir tulžies sistemos sutrikimai</w:t>
            </w:r>
          </w:p>
        </w:tc>
        <w:tc>
          <w:tcPr>
            <w:tcW w:w="1602" w:type="pct"/>
            <w:tcBorders>
              <w:top w:val="single" w:sz="4" w:space="0" w:color="auto"/>
              <w:left w:val="single" w:sz="4" w:space="0" w:color="auto"/>
              <w:bottom w:val="single" w:sz="4" w:space="0" w:color="auto"/>
              <w:right w:val="single" w:sz="4" w:space="0" w:color="auto"/>
            </w:tcBorders>
          </w:tcPr>
          <w:p w14:paraId="6F94B1B9"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BA"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tulžies stazė, hepatitas, gelta, kepenų nepakankamumas</w:t>
            </w:r>
          </w:p>
        </w:tc>
      </w:tr>
      <w:tr w:rsidR="00797756" w:rsidRPr="005B1304" w14:paraId="6F94B1BF"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BC"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Odos ir poodinio audinio sutrikimai</w:t>
            </w:r>
          </w:p>
        </w:tc>
        <w:tc>
          <w:tcPr>
            <w:tcW w:w="1602" w:type="pct"/>
            <w:tcBorders>
              <w:top w:val="single" w:sz="4" w:space="0" w:color="auto"/>
              <w:left w:val="single" w:sz="4" w:space="0" w:color="auto"/>
              <w:bottom w:val="single" w:sz="4" w:space="0" w:color="auto"/>
              <w:right w:val="single" w:sz="4" w:space="0" w:color="auto"/>
            </w:tcBorders>
          </w:tcPr>
          <w:p w14:paraId="6F94B1BD"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niežulys, ekchimozės, purpura, odos išbėrimas</w:t>
            </w:r>
          </w:p>
        </w:tc>
        <w:tc>
          <w:tcPr>
            <w:tcW w:w="1854" w:type="pct"/>
            <w:tcBorders>
              <w:top w:val="single" w:sz="4" w:space="0" w:color="auto"/>
              <w:left w:val="single" w:sz="4" w:space="0" w:color="auto"/>
              <w:bottom w:val="single" w:sz="4" w:space="0" w:color="auto"/>
              <w:right w:val="single" w:sz="4" w:space="0" w:color="auto"/>
            </w:tcBorders>
          </w:tcPr>
          <w:p w14:paraId="6F94B1BE"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alopecija, egzantema, dilgėlinė, pūslinės reakcijos (Stivenso-Džonsono (</w:t>
            </w:r>
            <w:r w:rsidRPr="00964115">
              <w:rPr>
                <w:rFonts w:ascii="Times New Roman" w:eastAsia="Calibri" w:hAnsi="Times New Roman" w:cs="Times New Roman"/>
                <w:i/>
                <w:lang w:val="lt-LT"/>
              </w:rPr>
              <w:t>Stevens-Johnson</w:t>
            </w:r>
            <w:r w:rsidRPr="00964115">
              <w:rPr>
                <w:rFonts w:ascii="Times New Roman" w:eastAsia="Calibri" w:hAnsi="Times New Roman" w:cs="Times New Roman"/>
                <w:lang w:val="lt-LT"/>
              </w:rPr>
              <w:t>) sindromas, toksinė epidermio nekrolizė ), daugiaformė raudonė (</w:t>
            </w:r>
            <w:r w:rsidRPr="00964115">
              <w:rPr>
                <w:rFonts w:ascii="Times New Roman" w:eastAsia="Calibri" w:hAnsi="Times New Roman" w:cs="Times New Roman"/>
                <w:i/>
                <w:lang w:val="lt-LT"/>
              </w:rPr>
              <w:t>erythema multiforme</w:t>
            </w:r>
            <w:r w:rsidRPr="00964115">
              <w:rPr>
                <w:rFonts w:ascii="Times New Roman" w:eastAsia="Calibri" w:hAnsi="Times New Roman" w:cs="Times New Roman"/>
                <w:lang w:val="lt-LT"/>
              </w:rPr>
              <w:t>), mazginė raudonė (</w:t>
            </w:r>
            <w:r w:rsidRPr="00964115">
              <w:rPr>
                <w:rFonts w:ascii="Times New Roman" w:eastAsia="Calibri" w:hAnsi="Times New Roman" w:cs="Times New Roman"/>
                <w:i/>
                <w:lang w:val="lt-LT"/>
              </w:rPr>
              <w:t>erythema nodosum</w:t>
            </w:r>
            <w:r w:rsidRPr="00964115">
              <w:rPr>
                <w:rFonts w:ascii="Times New Roman" w:eastAsia="Calibri" w:hAnsi="Times New Roman" w:cs="Times New Roman"/>
                <w:lang w:val="lt-LT"/>
              </w:rPr>
              <w:t>), fiksuotas vaistinis išbėrimas, plokščioji kerpligė (</w:t>
            </w:r>
            <w:r w:rsidRPr="00964115">
              <w:rPr>
                <w:rFonts w:ascii="Times New Roman" w:eastAsia="Calibri" w:hAnsi="Times New Roman" w:cs="Times New Roman"/>
                <w:i/>
                <w:lang w:val="lt-LT"/>
              </w:rPr>
              <w:t>lichen planus</w:t>
            </w:r>
            <w:r w:rsidRPr="00964115">
              <w:rPr>
                <w:rFonts w:ascii="Times New Roman" w:eastAsia="Calibri" w:hAnsi="Times New Roman" w:cs="Times New Roman"/>
                <w:lang w:val="lt-LT"/>
              </w:rPr>
              <w:t>), sisteminė raudonoji vilkligė, padidėjusio jautrumo šviesai dermatitas, padidėjusio jautrumo šviesai reakcijos, įskaitant retus į vėlyvąją odos porfiriją panašius atvejus (pseudoporfirija), eksfoliacinis dermatitas, angioneurozinė edema, pūlinėlinė reakcija</w:t>
            </w:r>
          </w:p>
        </w:tc>
      </w:tr>
      <w:tr w:rsidR="00797756" w:rsidRPr="00964115" w14:paraId="6F94B1C3"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C0"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Skeleto, raumenų ir jungiamojo audinio sutrikimai</w:t>
            </w:r>
          </w:p>
        </w:tc>
        <w:tc>
          <w:tcPr>
            <w:tcW w:w="1602" w:type="pct"/>
            <w:tcBorders>
              <w:top w:val="single" w:sz="4" w:space="0" w:color="auto"/>
              <w:left w:val="single" w:sz="4" w:space="0" w:color="auto"/>
              <w:bottom w:val="single" w:sz="4" w:space="0" w:color="auto"/>
              <w:right w:val="single" w:sz="4" w:space="0" w:color="auto"/>
            </w:tcBorders>
          </w:tcPr>
          <w:p w14:paraId="6F94B1C1"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C2"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raumenų silpnumas, mialgija</w:t>
            </w:r>
          </w:p>
        </w:tc>
      </w:tr>
      <w:tr w:rsidR="00797756" w:rsidRPr="005B1304" w14:paraId="6F94B1C7"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C4"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Inkstų ir šlapimo takų sutrikimai</w:t>
            </w:r>
          </w:p>
        </w:tc>
        <w:tc>
          <w:tcPr>
            <w:tcW w:w="1602" w:type="pct"/>
            <w:tcBorders>
              <w:top w:val="single" w:sz="4" w:space="0" w:color="auto"/>
              <w:left w:val="single" w:sz="4" w:space="0" w:color="auto"/>
              <w:bottom w:val="single" w:sz="4" w:space="0" w:color="auto"/>
              <w:right w:val="single" w:sz="4" w:space="0" w:color="auto"/>
            </w:tcBorders>
          </w:tcPr>
          <w:p w14:paraId="6F94B1C5"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C6" w14:textId="528C9738"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 xml:space="preserve">glomerulonefritas, hematurija, </w:t>
            </w:r>
            <w:r w:rsidR="007A3DE6">
              <w:rPr>
                <w:rFonts w:ascii="Times New Roman" w:eastAsia="Calibri" w:hAnsi="Times New Roman" w:cs="Times New Roman"/>
                <w:lang w:val="lt-LT"/>
              </w:rPr>
              <w:t>k</w:t>
            </w:r>
            <w:r w:rsidR="007A3DE6" w:rsidRPr="00AF3E57">
              <w:rPr>
                <w:rFonts w:ascii="Times New Roman" w:eastAsia="Calibri" w:hAnsi="Times New Roman" w:cs="Times New Roman"/>
                <w:lang w:val="lt-LT"/>
              </w:rPr>
              <w:t>an</w:t>
            </w:r>
            <w:r w:rsidR="007A3DE6">
              <w:rPr>
                <w:rFonts w:ascii="Times New Roman" w:eastAsia="Calibri" w:hAnsi="Times New Roman" w:cs="Times New Roman"/>
                <w:lang w:val="lt-LT"/>
              </w:rPr>
              <w:t>a</w:t>
            </w:r>
            <w:r w:rsidR="007A3DE6" w:rsidRPr="00AF3E57">
              <w:rPr>
                <w:rFonts w:ascii="Times New Roman" w:eastAsia="Calibri" w:hAnsi="Times New Roman" w:cs="Times New Roman"/>
                <w:lang w:val="lt-LT"/>
              </w:rPr>
              <w:t>lėlių ir intersticinio audinio nefritas (su galimu progresavimu iki inkstų nepakankamumo)</w:t>
            </w:r>
            <w:r w:rsidRPr="00964115">
              <w:rPr>
                <w:rFonts w:ascii="Times New Roman" w:eastAsia="Calibri" w:hAnsi="Times New Roman" w:cs="Times New Roman"/>
                <w:lang w:val="lt-LT"/>
              </w:rPr>
              <w:t>, nefrozinis sindromas, oligurija ar poliurija, proteinurija, inkstų nepakankamumas, inkstų spenelių nekrozė, tubulinė nekrozė</w:t>
            </w:r>
          </w:p>
        </w:tc>
      </w:tr>
      <w:tr w:rsidR="00797756" w:rsidRPr="00964115" w14:paraId="6F94B1CB"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C8"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Lytinės sistemos ir krūties sutrikimai</w:t>
            </w:r>
          </w:p>
        </w:tc>
        <w:tc>
          <w:tcPr>
            <w:tcW w:w="1602" w:type="pct"/>
            <w:tcBorders>
              <w:top w:val="single" w:sz="4" w:space="0" w:color="auto"/>
              <w:left w:val="single" w:sz="4" w:space="0" w:color="auto"/>
              <w:bottom w:val="single" w:sz="4" w:space="0" w:color="auto"/>
              <w:right w:val="single" w:sz="4" w:space="0" w:color="auto"/>
            </w:tcBorders>
          </w:tcPr>
          <w:p w14:paraId="6F94B1C9"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CA"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nevaisingumas, menstruacijų sutrikimai</w:t>
            </w:r>
          </w:p>
        </w:tc>
      </w:tr>
      <w:tr w:rsidR="00797756" w:rsidRPr="00964115" w14:paraId="6F94B1CF"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CC"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Bendrieji sutrikimai ir vartojimo vietos pažeidimai</w:t>
            </w:r>
          </w:p>
        </w:tc>
        <w:tc>
          <w:tcPr>
            <w:tcW w:w="1602" w:type="pct"/>
            <w:tcBorders>
              <w:top w:val="single" w:sz="4" w:space="0" w:color="auto"/>
              <w:left w:val="single" w:sz="4" w:space="0" w:color="auto"/>
              <w:bottom w:val="single" w:sz="4" w:space="0" w:color="auto"/>
              <w:right w:val="single" w:sz="4" w:space="0" w:color="auto"/>
            </w:tcBorders>
          </w:tcPr>
          <w:p w14:paraId="6F94B1CD"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nuovargis, edema, prakaitavimas, troškulys</w:t>
            </w:r>
          </w:p>
        </w:tc>
        <w:tc>
          <w:tcPr>
            <w:tcW w:w="1854" w:type="pct"/>
            <w:tcBorders>
              <w:top w:val="single" w:sz="4" w:space="0" w:color="auto"/>
              <w:left w:val="single" w:sz="4" w:space="0" w:color="auto"/>
              <w:bottom w:val="single" w:sz="4" w:space="0" w:color="auto"/>
              <w:right w:val="single" w:sz="4" w:space="0" w:color="auto"/>
            </w:tcBorders>
          </w:tcPr>
          <w:p w14:paraId="6F94B1CE"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astenija, bendras negalavimas, karščiavimas</w:t>
            </w:r>
          </w:p>
        </w:tc>
      </w:tr>
      <w:tr w:rsidR="00797756" w:rsidRPr="005B1304" w14:paraId="6F94B1D3" w14:textId="77777777" w:rsidTr="0021048B">
        <w:trPr>
          <w:cantSplit/>
        </w:trPr>
        <w:tc>
          <w:tcPr>
            <w:tcW w:w="1544" w:type="pct"/>
            <w:tcBorders>
              <w:top w:val="single" w:sz="4" w:space="0" w:color="auto"/>
              <w:left w:val="single" w:sz="4" w:space="0" w:color="auto"/>
              <w:bottom w:val="single" w:sz="4" w:space="0" w:color="auto"/>
              <w:right w:val="single" w:sz="4" w:space="0" w:color="auto"/>
            </w:tcBorders>
          </w:tcPr>
          <w:p w14:paraId="6F94B1D0"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Tyrimai</w:t>
            </w:r>
          </w:p>
        </w:tc>
        <w:tc>
          <w:tcPr>
            <w:tcW w:w="1602" w:type="pct"/>
            <w:tcBorders>
              <w:top w:val="single" w:sz="4" w:space="0" w:color="auto"/>
              <w:left w:val="single" w:sz="4" w:space="0" w:color="auto"/>
              <w:bottom w:val="single" w:sz="4" w:space="0" w:color="auto"/>
              <w:right w:val="single" w:sz="4" w:space="0" w:color="auto"/>
            </w:tcBorders>
          </w:tcPr>
          <w:p w14:paraId="6F94B1D1" w14:textId="77777777" w:rsidR="00797756" w:rsidRPr="00964115" w:rsidRDefault="00797756" w:rsidP="00797756">
            <w:pPr>
              <w:spacing w:after="0" w:line="240" w:lineRule="auto"/>
              <w:ind w:right="29"/>
              <w:rPr>
                <w:rFonts w:ascii="Times New Roman" w:eastAsia="Calibri" w:hAnsi="Times New Roman" w:cs="Times New Roman"/>
                <w:lang w:val="lt-LT"/>
              </w:rPr>
            </w:pPr>
          </w:p>
        </w:tc>
        <w:tc>
          <w:tcPr>
            <w:tcW w:w="1854" w:type="pct"/>
            <w:tcBorders>
              <w:top w:val="single" w:sz="4" w:space="0" w:color="auto"/>
              <w:left w:val="single" w:sz="4" w:space="0" w:color="auto"/>
              <w:bottom w:val="single" w:sz="4" w:space="0" w:color="auto"/>
              <w:right w:val="single" w:sz="4" w:space="0" w:color="auto"/>
            </w:tcBorders>
          </w:tcPr>
          <w:p w14:paraId="6F94B1D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nenormalūs kepenų funkcijos rodikliai, pailgėjusi kraujavimo trukmė, padidėjusi kreatinino koncentracija serume</w:t>
            </w:r>
          </w:p>
        </w:tc>
      </w:tr>
    </w:tbl>
    <w:p w14:paraId="6F94B1D4"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1D5" w14:textId="77777777" w:rsidR="00797756" w:rsidRPr="00964115" w:rsidRDefault="00797756" w:rsidP="00797756">
      <w:pPr>
        <w:spacing w:after="0" w:line="240" w:lineRule="auto"/>
        <w:jc w:val="both"/>
        <w:rPr>
          <w:rFonts w:ascii="Times New Roman" w:eastAsia="Calibri" w:hAnsi="Times New Roman" w:cs="Times New Roman"/>
          <w:i/>
          <w:lang w:val="lt-LT"/>
        </w:rPr>
      </w:pPr>
      <w:r w:rsidRPr="00964115">
        <w:rPr>
          <w:rFonts w:ascii="Times New Roman" w:eastAsia="Calibri" w:hAnsi="Times New Roman" w:cs="Times New Roman"/>
          <w:i/>
          <w:u w:val="single"/>
          <w:lang w:val="lt-LT"/>
        </w:rPr>
        <w:t>Ezomeprazolas</w:t>
      </w:r>
    </w:p>
    <w:p w14:paraId="6F94B1D6"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Žemiau išvardytos nepageidaujamos reakcijos į vaistą identifikuotos arba įtartos atliekant skrandyje neiriu dangalu dengto ezomeprazolo klinikinių tyrimų programą ir (ar) pateikus šį vaistinį preparatą į rinką. Nė vieno iš jų ryšio su doze nenustatyta.</w:t>
      </w:r>
    </w:p>
    <w:p w14:paraId="6F94B1D7"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559"/>
        <w:gridCol w:w="1559"/>
        <w:gridCol w:w="1843"/>
        <w:gridCol w:w="1701"/>
        <w:gridCol w:w="1559"/>
      </w:tblGrid>
      <w:tr w:rsidR="00797756" w:rsidRPr="00964115" w14:paraId="6F94B1DE" w14:textId="77777777" w:rsidTr="00C27FF4">
        <w:trPr>
          <w:cantSplit/>
          <w:tblHeader/>
        </w:trPr>
        <w:tc>
          <w:tcPr>
            <w:tcW w:w="1668" w:type="dxa"/>
            <w:tcBorders>
              <w:top w:val="single" w:sz="4" w:space="0" w:color="auto"/>
              <w:left w:val="single" w:sz="4" w:space="0" w:color="auto"/>
              <w:bottom w:val="single" w:sz="4" w:space="0" w:color="auto"/>
              <w:right w:val="single" w:sz="4" w:space="0" w:color="auto"/>
            </w:tcBorders>
          </w:tcPr>
          <w:p w14:paraId="6F94B1D8" w14:textId="77777777" w:rsidR="00797756" w:rsidRPr="00964115" w:rsidRDefault="003D145E"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lang w:val="lt-LT"/>
              </w:rPr>
              <w:fldChar w:fldCharType="begin"/>
            </w:r>
            <w:r w:rsidR="00797756" w:rsidRPr="00964115">
              <w:rPr>
                <w:rFonts w:ascii="Times New Roman" w:eastAsia="Calibri" w:hAnsi="Times New Roman" w:cs="Times New Roman"/>
                <w:lang w:val="lt-LT"/>
              </w:rPr>
              <w:instrText xml:space="preserve">  </w:instrText>
            </w:r>
            <w:r w:rsidRPr="00964115">
              <w:rPr>
                <w:rFonts w:ascii="Times New Roman" w:eastAsia="Calibri" w:hAnsi="Times New Roman" w:cs="Times New Roman"/>
                <w:lang w:val="lt-LT"/>
              </w:rPr>
              <w:fldChar w:fldCharType="end"/>
            </w:r>
          </w:p>
        </w:tc>
        <w:tc>
          <w:tcPr>
            <w:tcW w:w="1559" w:type="dxa"/>
            <w:tcBorders>
              <w:top w:val="single" w:sz="4" w:space="0" w:color="auto"/>
              <w:left w:val="single" w:sz="4" w:space="0" w:color="auto"/>
              <w:bottom w:val="single" w:sz="4" w:space="0" w:color="auto"/>
              <w:right w:val="single" w:sz="4" w:space="0" w:color="auto"/>
            </w:tcBorders>
          </w:tcPr>
          <w:p w14:paraId="6F94B1D9" w14:textId="77777777" w:rsidR="00797756" w:rsidRPr="00964115" w:rsidRDefault="00797756" w:rsidP="00797756">
            <w:pPr>
              <w:spacing w:after="0" w:line="240" w:lineRule="auto"/>
              <w:ind w:right="29"/>
              <w:jc w:val="both"/>
              <w:rPr>
                <w:rFonts w:ascii="Times New Roman" w:eastAsia="Calibri" w:hAnsi="Times New Roman" w:cs="Times New Roman"/>
                <w:b/>
                <w:lang w:val="lt-LT"/>
              </w:rPr>
            </w:pPr>
            <w:r w:rsidRPr="00964115">
              <w:rPr>
                <w:rFonts w:ascii="Times New Roman" w:eastAsia="Calibri" w:hAnsi="Times New Roman" w:cs="Times New Roman"/>
                <w:b/>
                <w:lang w:val="lt-LT"/>
              </w:rPr>
              <w:t>Dažnas</w:t>
            </w:r>
          </w:p>
        </w:tc>
        <w:tc>
          <w:tcPr>
            <w:tcW w:w="1559" w:type="dxa"/>
            <w:tcBorders>
              <w:top w:val="single" w:sz="4" w:space="0" w:color="auto"/>
              <w:left w:val="single" w:sz="4" w:space="0" w:color="auto"/>
              <w:bottom w:val="single" w:sz="4" w:space="0" w:color="auto"/>
              <w:right w:val="single" w:sz="4" w:space="0" w:color="auto"/>
            </w:tcBorders>
          </w:tcPr>
          <w:p w14:paraId="6F94B1DA" w14:textId="77777777" w:rsidR="00797756" w:rsidRPr="00964115" w:rsidRDefault="00797756" w:rsidP="00797756">
            <w:pPr>
              <w:spacing w:after="0" w:line="240" w:lineRule="auto"/>
              <w:ind w:right="29"/>
              <w:jc w:val="both"/>
              <w:rPr>
                <w:rFonts w:ascii="Times New Roman" w:eastAsia="Calibri" w:hAnsi="Times New Roman" w:cs="Times New Roman"/>
                <w:b/>
                <w:lang w:val="lt-LT"/>
              </w:rPr>
            </w:pPr>
            <w:r w:rsidRPr="00964115">
              <w:rPr>
                <w:rFonts w:ascii="Times New Roman" w:eastAsia="Calibri" w:hAnsi="Times New Roman" w:cs="Times New Roman"/>
                <w:b/>
                <w:lang w:val="lt-LT"/>
              </w:rPr>
              <w:t>Nedažnas</w:t>
            </w:r>
          </w:p>
        </w:tc>
        <w:tc>
          <w:tcPr>
            <w:tcW w:w="1843" w:type="dxa"/>
            <w:tcBorders>
              <w:top w:val="single" w:sz="4" w:space="0" w:color="auto"/>
              <w:left w:val="single" w:sz="4" w:space="0" w:color="auto"/>
              <w:bottom w:val="single" w:sz="4" w:space="0" w:color="auto"/>
              <w:right w:val="single" w:sz="4" w:space="0" w:color="auto"/>
            </w:tcBorders>
          </w:tcPr>
          <w:p w14:paraId="6F94B1DB" w14:textId="77777777" w:rsidR="00797756" w:rsidRPr="00964115" w:rsidRDefault="00797756" w:rsidP="00797756">
            <w:pPr>
              <w:spacing w:after="0" w:line="240" w:lineRule="auto"/>
              <w:ind w:right="29"/>
              <w:jc w:val="both"/>
              <w:rPr>
                <w:rFonts w:ascii="Times New Roman" w:eastAsia="Calibri" w:hAnsi="Times New Roman" w:cs="Times New Roman"/>
                <w:b/>
                <w:lang w:val="lt-LT"/>
              </w:rPr>
            </w:pPr>
            <w:r w:rsidRPr="00964115">
              <w:rPr>
                <w:rFonts w:ascii="Times New Roman" w:eastAsia="Calibri" w:hAnsi="Times New Roman" w:cs="Times New Roman"/>
                <w:b/>
                <w:lang w:val="lt-LT"/>
              </w:rPr>
              <w:t>Retas</w:t>
            </w:r>
          </w:p>
        </w:tc>
        <w:tc>
          <w:tcPr>
            <w:tcW w:w="1701" w:type="dxa"/>
            <w:tcBorders>
              <w:top w:val="single" w:sz="4" w:space="0" w:color="auto"/>
              <w:left w:val="single" w:sz="4" w:space="0" w:color="auto"/>
              <w:bottom w:val="single" w:sz="4" w:space="0" w:color="auto"/>
              <w:right w:val="single" w:sz="4" w:space="0" w:color="auto"/>
            </w:tcBorders>
          </w:tcPr>
          <w:p w14:paraId="6F94B1DC" w14:textId="77777777" w:rsidR="00797756" w:rsidRPr="00964115" w:rsidRDefault="00797756" w:rsidP="00797756">
            <w:pPr>
              <w:spacing w:after="0" w:line="240" w:lineRule="auto"/>
              <w:ind w:right="29"/>
              <w:jc w:val="both"/>
              <w:rPr>
                <w:rFonts w:ascii="Times New Roman" w:eastAsia="Calibri" w:hAnsi="Times New Roman" w:cs="Times New Roman"/>
                <w:b/>
                <w:lang w:val="lt-LT"/>
              </w:rPr>
            </w:pPr>
            <w:r w:rsidRPr="00964115">
              <w:rPr>
                <w:rFonts w:ascii="Times New Roman" w:eastAsia="Calibri" w:hAnsi="Times New Roman" w:cs="Times New Roman"/>
                <w:b/>
                <w:lang w:val="lt-LT"/>
              </w:rPr>
              <w:t>Labai retas</w:t>
            </w:r>
          </w:p>
        </w:tc>
        <w:tc>
          <w:tcPr>
            <w:tcW w:w="1559" w:type="dxa"/>
            <w:tcBorders>
              <w:top w:val="single" w:sz="4" w:space="0" w:color="auto"/>
              <w:left w:val="single" w:sz="4" w:space="0" w:color="auto"/>
              <w:bottom w:val="single" w:sz="4" w:space="0" w:color="auto"/>
              <w:right w:val="single" w:sz="4" w:space="0" w:color="auto"/>
            </w:tcBorders>
          </w:tcPr>
          <w:p w14:paraId="6F94B1DD" w14:textId="77777777" w:rsidR="00797756" w:rsidRPr="00964115" w:rsidRDefault="00797756" w:rsidP="00797756">
            <w:pPr>
              <w:spacing w:after="0" w:line="240" w:lineRule="auto"/>
              <w:ind w:right="29"/>
              <w:jc w:val="both"/>
              <w:rPr>
                <w:rFonts w:ascii="Times New Roman" w:eastAsia="Calibri" w:hAnsi="Times New Roman" w:cs="Times New Roman"/>
                <w:b/>
                <w:lang w:val="lt-LT"/>
              </w:rPr>
            </w:pPr>
            <w:r w:rsidRPr="00964115">
              <w:rPr>
                <w:rFonts w:ascii="Times New Roman" w:eastAsia="Calibri" w:hAnsi="Times New Roman" w:cs="Times New Roman"/>
                <w:b/>
                <w:lang w:val="lt-LT"/>
              </w:rPr>
              <w:t>Dažnis nežinomas</w:t>
            </w:r>
          </w:p>
        </w:tc>
      </w:tr>
      <w:tr w:rsidR="00797756" w:rsidRPr="00964115" w14:paraId="6F94B1E5"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1DF"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Kraujo ir limfinės sistemos sutrikimai</w:t>
            </w:r>
          </w:p>
        </w:tc>
        <w:tc>
          <w:tcPr>
            <w:tcW w:w="1559" w:type="dxa"/>
            <w:tcBorders>
              <w:top w:val="single" w:sz="4" w:space="0" w:color="auto"/>
              <w:left w:val="single" w:sz="4" w:space="0" w:color="auto"/>
              <w:bottom w:val="single" w:sz="4" w:space="0" w:color="auto"/>
              <w:right w:val="single" w:sz="4" w:space="0" w:color="auto"/>
            </w:tcBorders>
          </w:tcPr>
          <w:p w14:paraId="6F94B1E0"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1E1"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843" w:type="dxa"/>
            <w:tcBorders>
              <w:top w:val="single" w:sz="4" w:space="0" w:color="auto"/>
              <w:left w:val="single" w:sz="4" w:space="0" w:color="auto"/>
              <w:bottom w:val="single" w:sz="4" w:space="0" w:color="auto"/>
              <w:right w:val="single" w:sz="4" w:space="0" w:color="auto"/>
            </w:tcBorders>
          </w:tcPr>
          <w:p w14:paraId="6F94B1E2"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leukopenija, trombocitopenija</w:t>
            </w:r>
          </w:p>
        </w:tc>
        <w:tc>
          <w:tcPr>
            <w:tcW w:w="1701" w:type="dxa"/>
            <w:tcBorders>
              <w:top w:val="single" w:sz="4" w:space="0" w:color="auto"/>
              <w:left w:val="single" w:sz="4" w:space="0" w:color="auto"/>
              <w:bottom w:val="single" w:sz="4" w:space="0" w:color="auto"/>
              <w:right w:val="single" w:sz="4" w:space="0" w:color="auto"/>
            </w:tcBorders>
          </w:tcPr>
          <w:p w14:paraId="6F94B1E3"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agranulocitozė, pancitopenija</w:t>
            </w:r>
          </w:p>
        </w:tc>
        <w:tc>
          <w:tcPr>
            <w:tcW w:w="1559" w:type="dxa"/>
            <w:tcBorders>
              <w:top w:val="single" w:sz="4" w:space="0" w:color="auto"/>
              <w:left w:val="single" w:sz="4" w:space="0" w:color="auto"/>
              <w:bottom w:val="single" w:sz="4" w:space="0" w:color="auto"/>
              <w:right w:val="single" w:sz="4" w:space="0" w:color="auto"/>
            </w:tcBorders>
          </w:tcPr>
          <w:p w14:paraId="6F94B1E4"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5B1304" w14:paraId="6F94B1EC"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1E6"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Imuninės sistemos sutrikimai</w:t>
            </w:r>
          </w:p>
        </w:tc>
        <w:tc>
          <w:tcPr>
            <w:tcW w:w="1559" w:type="dxa"/>
            <w:tcBorders>
              <w:top w:val="single" w:sz="4" w:space="0" w:color="auto"/>
              <w:left w:val="single" w:sz="4" w:space="0" w:color="auto"/>
              <w:bottom w:val="single" w:sz="4" w:space="0" w:color="auto"/>
              <w:right w:val="single" w:sz="4" w:space="0" w:color="auto"/>
            </w:tcBorders>
          </w:tcPr>
          <w:p w14:paraId="6F94B1E7"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1E8"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843" w:type="dxa"/>
            <w:tcBorders>
              <w:top w:val="single" w:sz="4" w:space="0" w:color="auto"/>
              <w:left w:val="single" w:sz="4" w:space="0" w:color="auto"/>
              <w:bottom w:val="single" w:sz="4" w:space="0" w:color="auto"/>
              <w:right w:val="single" w:sz="4" w:space="0" w:color="auto"/>
            </w:tcBorders>
          </w:tcPr>
          <w:p w14:paraId="6F94B1E9"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padidėjusio jautrumo reakcijos, pvz., karščiavimas, angioneurozinė edema ir anafilaksinė reakcija / šokas</w:t>
            </w:r>
          </w:p>
        </w:tc>
        <w:tc>
          <w:tcPr>
            <w:tcW w:w="1701" w:type="dxa"/>
            <w:tcBorders>
              <w:top w:val="single" w:sz="4" w:space="0" w:color="auto"/>
              <w:left w:val="single" w:sz="4" w:space="0" w:color="auto"/>
              <w:bottom w:val="single" w:sz="4" w:space="0" w:color="auto"/>
              <w:right w:val="single" w:sz="4" w:space="0" w:color="auto"/>
            </w:tcBorders>
          </w:tcPr>
          <w:p w14:paraId="6F94B1EA"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1EB"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5B1304" w14:paraId="6F94B1F3"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1ED"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Metabolizmo ir mitybos sutrikimai</w:t>
            </w:r>
          </w:p>
        </w:tc>
        <w:tc>
          <w:tcPr>
            <w:tcW w:w="1559" w:type="dxa"/>
            <w:tcBorders>
              <w:top w:val="single" w:sz="4" w:space="0" w:color="auto"/>
              <w:left w:val="single" w:sz="4" w:space="0" w:color="auto"/>
              <w:bottom w:val="single" w:sz="4" w:space="0" w:color="auto"/>
              <w:right w:val="single" w:sz="4" w:space="0" w:color="auto"/>
            </w:tcBorders>
          </w:tcPr>
          <w:p w14:paraId="6F94B1EE"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1EF"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 xml:space="preserve">periferinė edema </w:t>
            </w:r>
          </w:p>
        </w:tc>
        <w:tc>
          <w:tcPr>
            <w:tcW w:w="1843" w:type="dxa"/>
            <w:tcBorders>
              <w:top w:val="single" w:sz="4" w:space="0" w:color="auto"/>
              <w:left w:val="single" w:sz="4" w:space="0" w:color="auto"/>
              <w:bottom w:val="single" w:sz="4" w:space="0" w:color="auto"/>
              <w:right w:val="single" w:sz="4" w:space="0" w:color="auto"/>
            </w:tcBorders>
          </w:tcPr>
          <w:p w14:paraId="6F94B1F0"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hiponatremija</w:t>
            </w:r>
          </w:p>
        </w:tc>
        <w:tc>
          <w:tcPr>
            <w:tcW w:w="1701" w:type="dxa"/>
            <w:tcBorders>
              <w:top w:val="single" w:sz="4" w:space="0" w:color="auto"/>
              <w:left w:val="single" w:sz="4" w:space="0" w:color="auto"/>
              <w:bottom w:val="single" w:sz="4" w:space="0" w:color="auto"/>
              <w:right w:val="single" w:sz="4" w:space="0" w:color="auto"/>
            </w:tcBorders>
          </w:tcPr>
          <w:p w14:paraId="6F94B1F1"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1F2"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hipomagnezemija (dėl sunkios hipomagnezemijos gali pasireikšti ir hipokalcemija), hipomagnezemija taip pat gali būti susijusi su hipokalemija</w:t>
            </w:r>
          </w:p>
        </w:tc>
      </w:tr>
      <w:tr w:rsidR="00797756" w:rsidRPr="00964115" w14:paraId="6F94B1FA"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1F4"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Psichikos sutrikimai</w:t>
            </w:r>
          </w:p>
        </w:tc>
        <w:tc>
          <w:tcPr>
            <w:tcW w:w="1559" w:type="dxa"/>
            <w:tcBorders>
              <w:top w:val="single" w:sz="4" w:space="0" w:color="auto"/>
              <w:left w:val="single" w:sz="4" w:space="0" w:color="auto"/>
              <w:bottom w:val="single" w:sz="4" w:space="0" w:color="auto"/>
              <w:right w:val="single" w:sz="4" w:space="0" w:color="auto"/>
            </w:tcBorders>
          </w:tcPr>
          <w:p w14:paraId="6F94B1F5"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1F6"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nemiga</w:t>
            </w:r>
          </w:p>
        </w:tc>
        <w:tc>
          <w:tcPr>
            <w:tcW w:w="1843" w:type="dxa"/>
            <w:tcBorders>
              <w:top w:val="single" w:sz="4" w:space="0" w:color="auto"/>
              <w:left w:val="single" w:sz="4" w:space="0" w:color="auto"/>
              <w:bottom w:val="single" w:sz="4" w:space="0" w:color="auto"/>
              <w:right w:val="single" w:sz="4" w:space="0" w:color="auto"/>
            </w:tcBorders>
          </w:tcPr>
          <w:p w14:paraId="6F94B1F7"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psichomotorinis sujaudinimas, sutrikusi orientacija, depresija</w:t>
            </w:r>
          </w:p>
        </w:tc>
        <w:tc>
          <w:tcPr>
            <w:tcW w:w="1701" w:type="dxa"/>
            <w:tcBorders>
              <w:top w:val="single" w:sz="4" w:space="0" w:color="auto"/>
              <w:left w:val="single" w:sz="4" w:space="0" w:color="auto"/>
              <w:bottom w:val="single" w:sz="4" w:space="0" w:color="auto"/>
              <w:right w:val="single" w:sz="4" w:space="0" w:color="auto"/>
            </w:tcBorders>
          </w:tcPr>
          <w:p w14:paraId="6F94B1F8"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agresyvumas, haliucinacijos</w:t>
            </w:r>
          </w:p>
        </w:tc>
        <w:tc>
          <w:tcPr>
            <w:tcW w:w="1559" w:type="dxa"/>
            <w:tcBorders>
              <w:top w:val="single" w:sz="4" w:space="0" w:color="auto"/>
              <w:left w:val="single" w:sz="4" w:space="0" w:color="auto"/>
              <w:bottom w:val="single" w:sz="4" w:space="0" w:color="auto"/>
              <w:right w:val="single" w:sz="4" w:space="0" w:color="auto"/>
            </w:tcBorders>
          </w:tcPr>
          <w:p w14:paraId="6F94B1F9"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01"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1FB"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Nervų sistemos sutrikimai</w:t>
            </w:r>
          </w:p>
        </w:tc>
        <w:tc>
          <w:tcPr>
            <w:tcW w:w="1559" w:type="dxa"/>
            <w:tcBorders>
              <w:top w:val="single" w:sz="4" w:space="0" w:color="auto"/>
              <w:left w:val="single" w:sz="4" w:space="0" w:color="auto"/>
              <w:bottom w:val="single" w:sz="4" w:space="0" w:color="auto"/>
              <w:right w:val="single" w:sz="4" w:space="0" w:color="auto"/>
            </w:tcBorders>
          </w:tcPr>
          <w:p w14:paraId="6F94B1FC"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galvos skausmas</w:t>
            </w:r>
          </w:p>
        </w:tc>
        <w:tc>
          <w:tcPr>
            <w:tcW w:w="1559" w:type="dxa"/>
            <w:tcBorders>
              <w:top w:val="single" w:sz="4" w:space="0" w:color="auto"/>
              <w:left w:val="single" w:sz="4" w:space="0" w:color="auto"/>
              <w:bottom w:val="single" w:sz="4" w:space="0" w:color="auto"/>
              <w:right w:val="single" w:sz="4" w:space="0" w:color="auto"/>
            </w:tcBorders>
          </w:tcPr>
          <w:p w14:paraId="6F94B1FD"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svaigulys, parestezija, somnolencija</w:t>
            </w:r>
          </w:p>
        </w:tc>
        <w:tc>
          <w:tcPr>
            <w:tcW w:w="1843" w:type="dxa"/>
            <w:tcBorders>
              <w:top w:val="single" w:sz="4" w:space="0" w:color="auto"/>
              <w:left w:val="single" w:sz="4" w:space="0" w:color="auto"/>
              <w:bottom w:val="single" w:sz="4" w:space="0" w:color="auto"/>
              <w:right w:val="single" w:sz="4" w:space="0" w:color="auto"/>
            </w:tcBorders>
          </w:tcPr>
          <w:p w14:paraId="6F94B1FE"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pakitęs skonis</w:t>
            </w:r>
          </w:p>
        </w:tc>
        <w:tc>
          <w:tcPr>
            <w:tcW w:w="1701" w:type="dxa"/>
            <w:tcBorders>
              <w:top w:val="single" w:sz="4" w:space="0" w:color="auto"/>
              <w:left w:val="single" w:sz="4" w:space="0" w:color="auto"/>
              <w:bottom w:val="single" w:sz="4" w:space="0" w:color="auto"/>
              <w:right w:val="single" w:sz="4" w:space="0" w:color="auto"/>
            </w:tcBorders>
          </w:tcPr>
          <w:p w14:paraId="6F94B1FF"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00"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08"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02"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Akių sutrikimai</w:t>
            </w:r>
          </w:p>
        </w:tc>
        <w:tc>
          <w:tcPr>
            <w:tcW w:w="1559" w:type="dxa"/>
            <w:tcBorders>
              <w:top w:val="single" w:sz="4" w:space="0" w:color="auto"/>
              <w:left w:val="single" w:sz="4" w:space="0" w:color="auto"/>
              <w:bottom w:val="single" w:sz="4" w:space="0" w:color="auto"/>
              <w:right w:val="single" w:sz="4" w:space="0" w:color="auto"/>
            </w:tcBorders>
          </w:tcPr>
          <w:p w14:paraId="6F94B203"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04"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843" w:type="dxa"/>
            <w:tcBorders>
              <w:top w:val="single" w:sz="4" w:space="0" w:color="auto"/>
              <w:left w:val="single" w:sz="4" w:space="0" w:color="auto"/>
              <w:bottom w:val="single" w:sz="4" w:space="0" w:color="auto"/>
              <w:right w:val="single" w:sz="4" w:space="0" w:color="auto"/>
            </w:tcBorders>
          </w:tcPr>
          <w:p w14:paraId="6F94B205"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neaiškus matymas</w:t>
            </w:r>
          </w:p>
        </w:tc>
        <w:tc>
          <w:tcPr>
            <w:tcW w:w="1701" w:type="dxa"/>
            <w:tcBorders>
              <w:top w:val="single" w:sz="4" w:space="0" w:color="auto"/>
              <w:left w:val="single" w:sz="4" w:space="0" w:color="auto"/>
              <w:bottom w:val="single" w:sz="4" w:space="0" w:color="auto"/>
              <w:right w:val="single" w:sz="4" w:space="0" w:color="auto"/>
            </w:tcBorders>
          </w:tcPr>
          <w:p w14:paraId="6F94B206"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07"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0F"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09"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Ausų ir labirintų sutrikimai</w:t>
            </w:r>
          </w:p>
        </w:tc>
        <w:tc>
          <w:tcPr>
            <w:tcW w:w="1559" w:type="dxa"/>
            <w:tcBorders>
              <w:top w:val="single" w:sz="4" w:space="0" w:color="auto"/>
              <w:left w:val="single" w:sz="4" w:space="0" w:color="auto"/>
              <w:bottom w:val="single" w:sz="4" w:space="0" w:color="auto"/>
              <w:right w:val="single" w:sz="4" w:space="0" w:color="auto"/>
            </w:tcBorders>
          </w:tcPr>
          <w:p w14:paraId="6F94B20A"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0B"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galvos svaigimas (</w:t>
            </w:r>
            <w:r w:rsidRPr="00964115">
              <w:rPr>
                <w:rFonts w:ascii="Times New Roman" w:eastAsia="Calibri" w:hAnsi="Times New Roman" w:cs="Times New Roman"/>
                <w:i/>
                <w:lang w:val="lt-LT"/>
              </w:rPr>
              <w:t>vertigo</w:t>
            </w:r>
            <w:r w:rsidRPr="00964115">
              <w:rPr>
                <w:rFonts w:ascii="Times New Roman" w:eastAsia="Calibri" w:hAnsi="Times New Roman" w:cs="Times New Roman"/>
                <w:lang w:val="lt-LT"/>
              </w:rPr>
              <w:t>)</w:t>
            </w:r>
          </w:p>
        </w:tc>
        <w:tc>
          <w:tcPr>
            <w:tcW w:w="1843" w:type="dxa"/>
            <w:tcBorders>
              <w:top w:val="single" w:sz="4" w:space="0" w:color="auto"/>
              <w:left w:val="single" w:sz="4" w:space="0" w:color="auto"/>
              <w:bottom w:val="single" w:sz="4" w:space="0" w:color="auto"/>
              <w:right w:val="single" w:sz="4" w:space="0" w:color="auto"/>
            </w:tcBorders>
          </w:tcPr>
          <w:p w14:paraId="6F94B20C"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701" w:type="dxa"/>
            <w:tcBorders>
              <w:top w:val="single" w:sz="4" w:space="0" w:color="auto"/>
              <w:left w:val="single" w:sz="4" w:space="0" w:color="auto"/>
              <w:bottom w:val="single" w:sz="4" w:space="0" w:color="auto"/>
              <w:right w:val="single" w:sz="4" w:space="0" w:color="auto"/>
            </w:tcBorders>
          </w:tcPr>
          <w:p w14:paraId="6F94B20D"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0E"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16"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10"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Kvėpavimo sistemos, krūtinės ląstos ir tarpuplaučio sutrikimai</w:t>
            </w:r>
          </w:p>
        </w:tc>
        <w:tc>
          <w:tcPr>
            <w:tcW w:w="1559" w:type="dxa"/>
            <w:tcBorders>
              <w:top w:val="single" w:sz="4" w:space="0" w:color="auto"/>
              <w:left w:val="single" w:sz="4" w:space="0" w:color="auto"/>
              <w:bottom w:val="single" w:sz="4" w:space="0" w:color="auto"/>
              <w:right w:val="single" w:sz="4" w:space="0" w:color="auto"/>
            </w:tcBorders>
          </w:tcPr>
          <w:p w14:paraId="6F94B211" w14:textId="77777777" w:rsidR="00797756" w:rsidRPr="00964115" w:rsidRDefault="00797756" w:rsidP="00797756">
            <w:pPr>
              <w:spacing w:after="0" w:line="240" w:lineRule="auto"/>
              <w:ind w:right="-84"/>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12"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843" w:type="dxa"/>
            <w:tcBorders>
              <w:top w:val="single" w:sz="4" w:space="0" w:color="auto"/>
              <w:left w:val="single" w:sz="4" w:space="0" w:color="auto"/>
              <w:bottom w:val="single" w:sz="4" w:space="0" w:color="auto"/>
              <w:right w:val="single" w:sz="4" w:space="0" w:color="auto"/>
            </w:tcBorders>
          </w:tcPr>
          <w:p w14:paraId="6F94B213"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bronchų spazmas</w:t>
            </w:r>
          </w:p>
        </w:tc>
        <w:tc>
          <w:tcPr>
            <w:tcW w:w="1701" w:type="dxa"/>
            <w:tcBorders>
              <w:top w:val="single" w:sz="4" w:space="0" w:color="auto"/>
              <w:left w:val="single" w:sz="4" w:space="0" w:color="auto"/>
              <w:bottom w:val="single" w:sz="4" w:space="0" w:color="auto"/>
              <w:right w:val="single" w:sz="4" w:space="0" w:color="auto"/>
            </w:tcBorders>
          </w:tcPr>
          <w:p w14:paraId="6F94B214"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15"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1D"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17"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Virškinimo trakto sutrikimai</w:t>
            </w:r>
          </w:p>
        </w:tc>
        <w:tc>
          <w:tcPr>
            <w:tcW w:w="1559" w:type="dxa"/>
            <w:tcBorders>
              <w:top w:val="single" w:sz="4" w:space="0" w:color="auto"/>
              <w:left w:val="single" w:sz="4" w:space="0" w:color="auto"/>
              <w:bottom w:val="single" w:sz="4" w:space="0" w:color="auto"/>
              <w:right w:val="single" w:sz="4" w:space="0" w:color="auto"/>
            </w:tcBorders>
          </w:tcPr>
          <w:p w14:paraId="6F94B21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pilvo skausmas, viduriavimas, flatulencija, pykinimas / vėmimas, vidurių užkietėjimas</w:t>
            </w:r>
          </w:p>
        </w:tc>
        <w:tc>
          <w:tcPr>
            <w:tcW w:w="1559" w:type="dxa"/>
            <w:tcBorders>
              <w:top w:val="single" w:sz="4" w:space="0" w:color="auto"/>
              <w:left w:val="single" w:sz="4" w:space="0" w:color="auto"/>
              <w:bottom w:val="single" w:sz="4" w:space="0" w:color="auto"/>
              <w:right w:val="single" w:sz="4" w:space="0" w:color="auto"/>
            </w:tcBorders>
          </w:tcPr>
          <w:p w14:paraId="6F94B219"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sausa burna</w:t>
            </w:r>
          </w:p>
        </w:tc>
        <w:tc>
          <w:tcPr>
            <w:tcW w:w="1843" w:type="dxa"/>
            <w:tcBorders>
              <w:top w:val="single" w:sz="4" w:space="0" w:color="auto"/>
              <w:left w:val="single" w:sz="4" w:space="0" w:color="auto"/>
              <w:bottom w:val="single" w:sz="4" w:space="0" w:color="auto"/>
              <w:right w:val="single" w:sz="4" w:space="0" w:color="auto"/>
            </w:tcBorders>
          </w:tcPr>
          <w:p w14:paraId="6F94B21A"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stomatitas, virškinimo, trakto kandidozė</w:t>
            </w:r>
          </w:p>
        </w:tc>
        <w:tc>
          <w:tcPr>
            <w:tcW w:w="1701" w:type="dxa"/>
            <w:tcBorders>
              <w:top w:val="single" w:sz="4" w:space="0" w:color="auto"/>
              <w:left w:val="single" w:sz="4" w:space="0" w:color="auto"/>
              <w:bottom w:val="single" w:sz="4" w:space="0" w:color="auto"/>
              <w:right w:val="single" w:sz="4" w:space="0" w:color="auto"/>
            </w:tcBorders>
          </w:tcPr>
          <w:p w14:paraId="6F94B21B"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mikroskopinis kolitas</w:t>
            </w:r>
          </w:p>
        </w:tc>
        <w:tc>
          <w:tcPr>
            <w:tcW w:w="1559" w:type="dxa"/>
            <w:tcBorders>
              <w:top w:val="single" w:sz="4" w:space="0" w:color="auto"/>
              <w:left w:val="single" w:sz="4" w:space="0" w:color="auto"/>
              <w:bottom w:val="single" w:sz="4" w:space="0" w:color="auto"/>
              <w:right w:val="single" w:sz="4" w:space="0" w:color="auto"/>
            </w:tcBorders>
          </w:tcPr>
          <w:p w14:paraId="6F94B21C"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5B1304" w14:paraId="6F94B224"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1E"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Kepenų, tulžies pūslės ir latakų sutrikimai</w:t>
            </w:r>
          </w:p>
        </w:tc>
        <w:tc>
          <w:tcPr>
            <w:tcW w:w="1559" w:type="dxa"/>
            <w:tcBorders>
              <w:top w:val="single" w:sz="4" w:space="0" w:color="auto"/>
              <w:left w:val="single" w:sz="4" w:space="0" w:color="auto"/>
              <w:bottom w:val="single" w:sz="4" w:space="0" w:color="auto"/>
              <w:right w:val="single" w:sz="4" w:space="0" w:color="auto"/>
            </w:tcBorders>
          </w:tcPr>
          <w:p w14:paraId="6F94B21F"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20"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padidėjęs kepenų fermentų aktyvumas</w:t>
            </w:r>
          </w:p>
        </w:tc>
        <w:tc>
          <w:tcPr>
            <w:tcW w:w="1843" w:type="dxa"/>
            <w:tcBorders>
              <w:top w:val="single" w:sz="4" w:space="0" w:color="auto"/>
              <w:left w:val="single" w:sz="4" w:space="0" w:color="auto"/>
              <w:bottom w:val="single" w:sz="4" w:space="0" w:color="auto"/>
              <w:right w:val="single" w:sz="4" w:space="0" w:color="auto"/>
            </w:tcBorders>
          </w:tcPr>
          <w:p w14:paraId="6F94B221"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hepatitas su gelta ar be jos</w:t>
            </w:r>
          </w:p>
        </w:tc>
        <w:tc>
          <w:tcPr>
            <w:tcW w:w="1701" w:type="dxa"/>
            <w:tcBorders>
              <w:top w:val="single" w:sz="4" w:space="0" w:color="auto"/>
              <w:left w:val="single" w:sz="4" w:space="0" w:color="auto"/>
              <w:bottom w:val="single" w:sz="4" w:space="0" w:color="auto"/>
              <w:right w:val="single" w:sz="4" w:space="0" w:color="auto"/>
            </w:tcBorders>
          </w:tcPr>
          <w:p w14:paraId="6F94B222"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kepenų nepakankamu</w:t>
            </w:r>
            <w:r w:rsidRPr="00964115">
              <w:rPr>
                <w:rFonts w:ascii="Times New Roman" w:eastAsia="Calibri" w:hAnsi="Times New Roman" w:cs="Times New Roman"/>
                <w:lang w:val="lt-LT"/>
              </w:rPr>
              <w:softHyphen/>
              <w:t>mas, kepenų funkcijos sutrikimo sukelta encefalopatija (kepenų ligomis sergantiems pacientams)</w:t>
            </w:r>
          </w:p>
        </w:tc>
        <w:tc>
          <w:tcPr>
            <w:tcW w:w="1559" w:type="dxa"/>
            <w:tcBorders>
              <w:top w:val="single" w:sz="4" w:space="0" w:color="auto"/>
              <w:left w:val="single" w:sz="4" w:space="0" w:color="auto"/>
              <w:bottom w:val="single" w:sz="4" w:space="0" w:color="auto"/>
              <w:right w:val="single" w:sz="4" w:space="0" w:color="auto"/>
            </w:tcBorders>
          </w:tcPr>
          <w:p w14:paraId="6F94B223" w14:textId="77777777" w:rsidR="00797756" w:rsidRPr="00964115" w:rsidRDefault="00797756" w:rsidP="00797756">
            <w:pPr>
              <w:spacing w:after="0" w:line="240" w:lineRule="auto"/>
              <w:ind w:right="29"/>
              <w:rPr>
                <w:rFonts w:ascii="Times New Roman" w:eastAsia="Calibri" w:hAnsi="Times New Roman" w:cs="Times New Roman"/>
                <w:lang w:val="lt-LT"/>
              </w:rPr>
            </w:pPr>
          </w:p>
        </w:tc>
      </w:tr>
      <w:tr w:rsidR="00797756" w:rsidRPr="005B1304" w14:paraId="6F94B22B"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25"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Odos ir poodinio audinio sutrikimai</w:t>
            </w:r>
          </w:p>
        </w:tc>
        <w:tc>
          <w:tcPr>
            <w:tcW w:w="1559" w:type="dxa"/>
            <w:tcBorders>
              <w:top w:val="single" w:sz="4" w:space="0" w:color="auto"/>
              <w:left w:val="single" w:sz="4" w:space="0" w:color="auto"/>
              <w:bottom w:val="single" w:sz="4" w:space="0" w:color="auto"/>
              <w:right w:val="single" w:sz="4" w:space="0" w:color="auto"/>
            </w:tcBorders>
          </w:tcPr>
          <w:p w14:paraId="6F94B226"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27"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dermatitas, niežulys, dilgėlinė, išbėrimas</w:t>
            </w:r>
          </w:p>
        </w:tc>
        <w:tc>
          <w:tcPr>
            <w:tcW w:w="1843" w:type="dxa"/>
            <w:tcBorders>
              <w:top w:val="single" w:sz="4" w:space="0" w:color="auto"/>
              <w:left w:val="single" w:sz="4" w:space="0" w:color="auto"/>
              <w:bottom w:val="single" w:sz="4" w:space="0" w:color="auto"/>
              <w:right w:val="single" w:sz="4" w:space="0" w:color="auto"/>
            </w:tcBorders>
          </w:tcPr>
          <w:p w14:paraId="6F94B228"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alopecija, padidėjęs jautrumas šviesai</w:t>
            </w:r>
          </w:p>
        </w:tc>
        <w:tc>
          <w:tcPr>
            <w:tcW w:w="1701" w:type="dxa"/>
            <w:tcBorders>
              <w:top w:val="single" w:sz="4" w:space="0" w:color="auto"/>
              <w:left w:val="single" w:sz="4" w:space="0" w:color="auto"/>
              <w:bottom w:val="single" w:sz="4" w:space="0" w:color="auto"/>
              <w:right w:val="single" w:sz="4" w:space="0" w:color="auto"/>
            </w:tcBorders>
          </w:tcPr>
          <w:p w14:paraId="6F94B229" w14:textId="28DA6D08" w:rsidR="00797756" w:rsidRPr="00964115" w:rsidRDefault="00797756" w:rsidP="001F23A0">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Daugiaformė raudonė (</w:t>
            </w:r>
            <w:r w:rsidRPr="00964115">
              <w:rPr>
                <w:rFonts w:ascii="Times New Roman" w:eastAsia="Calibri" w:hAnsi="Times New Roman" w:cs="Times New Roman"/>
                <w:i/>
                <w:lang w:val="lt-LT"/>
              </w:rPr>
              <w:t>erythema multiforme</w:t>
            </w:r>
            <w:r w:rsidRPr="00964115">
              <w:rPr>
                <w:rFonts w:ascii="Times New Roman" w:eastAsia="Calibri" w:hAnsi="Times New Roman" w:cs="Times New Roman"/>
                <w:lang w:val="lt-LT"/>
              </w:rPr>
              <w:t>), Stivenso-Džonsono (</w:t>
            </w:r>
            <w:r w:rsidRPr="00964115">
              <w:rPr>
                <w:rFonts w:ascii="Times New Roman" w:eastAsia="Calibri" w:hAnsi="Times New Roman" w:cs="Times New Roman"/>
                <w:i/>
                <w:lang w:val="lt-LT"/>
              </w:rPr>
              <w:t>Stevens-Johnson</w:t>
            </w:r>
            <w:r w:rsidRPr="00964115">
              <w:rPr>
                <w:rFonts w:ascii="Times New Roman" w:eastAsia="Calibri" w:hAnsi="Times New Roman" w:cs="Times New Roman"/>
                <w:lang w:val="lt-LT"/>
              </w:rPr>
              <w:t>) sindromas, toksinė epidermio nekrolizė  (TEN)</w:t>
            </w:r>
            <w:r w:rsidR="00564A00" w:rsidRPr="00964115">
              <w:rPr>
                <w:rFonts w:ascii="Times New Roman" w:eastAsia="Calibri" w:hAnsi="Times New Roman" w:cs="Times New Roman"/>
                <w:lang w:val="lt-LT"/>
              </w:rPr>
              <w:t xml:space="preserve">, </w:t>
            </w:r>
            <w:r w:rsidR="004B33AE">
              <w:rPr>
                <w:rFonts w:ascii="Times New Roman" w:eastAsia="Calibri" w:hAnsi="Times New Roman" w:cs="Times New Roman"/>
                <w:lang w:val="lt-LT"/>
              </w:rPr>
              <w:t>reakcija į vaistą</w:t>
            </w:r>
            <w:r w:rsidR="00C7187F" w:rsidRPr="00964115">
              <w:rPr>
                <w:rFonts w:ascii="Times New Roman" w:eastAsia="Calibri" w:hAnsi="Times New Roman" w:cs="Times New Roman"/>
                <w:lang w:val="lt-LT"/>
              </w:rPr>
              <w:t xml:space="preserve"> su </w:t>
            </w:r>
            <w:r w:rsidR="00C27FF4" w:rsidRPr="00964115">
              <w:rPr>
                <w:rFonts w:ascii="Times New Roman" w:eastAsia="Calibri" w:hAnsi="Times New Roman" w:cs="Times New Roman"/>
                <w:lang w:val="lt-LT"/>
              </w:rPr>
              <w:t>eozinofilija ir sisteminiai</w:t>
            </w:r>
            <w:r w:rsidR="00C7187F" w:rsidRPr="00964115">
              <w:rPr>
                <w:rFonts w:ascii="Times New Roman" w:eastAsia="Calibri" w:hAnsi="Times New Roman" w:cs="Times New Roman"/>
                <w:lang w:val="lt-LT"/>
              </w:rPr>
              <w:t>s</w:t>
            </w:r>
            <w:r w:rsidR="00C27FF4" w:rsidRPr="00964115">
              <w:rPr>
                <w:rFonts w:ascii="Times New Roman" w:eastAsia="Calibri" w:hAnsi="Times New Roman" w:cs="Times New Roman"/>
                <w:lang w:val="lt-LT"/>
              </w:rPr>
              <w:t xml:space="preserve"> simptomai</w:t>
            </w:r>
            <w:r w:rsidR="005E3CE0" w:rsidRPr="00964115">
              <w:rPr>
                <w:rFonts w:ascii="Times New Roman" w:eastAsia="Calibri" w:hAnsi="Times New Roman" w:cs="Times New Roman"/>
                <w:lang w:val="lt-LT"/>
              </w:rPr>
              <w:t>s</w:t>
            </w:r>
            <w:r w:rsidR="00C27FF4" w:rsidRPr="00964115">
              <w:rPr>
                <w:rFonts w:ascii="Times New Roman" w:eastAsia="Calibri" w:hAnsi="Times New Roman" w:cs="Times New Roman"/>
                <w:lang w:val="lt-LT"/>
              </w:rPr>
              <w:t xml:space="preserve"> (angl. </w:t>
            </w:r>
            <w:r w:rsidR="00C27FF4" w:rsidRPr="00964115">
              <w:rPr>
                <w:rFonts w:ascii="Times New Roman" w:eastAsia="Calibri" w:hAnsi="Times New Roman" w:cs="Times New Roman"/>
                <w:i/>
                <w:iCs/>
                <w:lang w:val="lt-LT"/>
              </w:rPr>
              <w:t>drug r</w:t>
            </w:r>
            <w:r w:rsidR="007879E1">
              <w:rPr>
                <w:rFonts w:ascii="Times New Roman" w:eastAsia="Calibri" w:hAnsi="Times New Roman" w:cs="Times New Roman"/>
                <w:i/>
                <w:iCs/>
                <w:lang w:val="lt-LT"/>
              </w:rPr>
              <w:t>eaction</w:t>
            </w:r>
            <w:r w:rsidR="00C27FF4" w:rsidRPr="00964115">
              <w:rPr>
                <w:rFonts w:ascii="Times New Roman" w:eastAsia="Calibri" w:hAnsi="Times New Roman" w:cs="Times New Roman"/>
                <w:i/>
                <w:iCs/>
                <w:lang w:val="lt-LT"/>
              </w:rPr>
              <w:t xml:space="preserve"> with eosinophilia and systemic symptoms</w:t>
            </w:r>
            <w:r w:rsidR="00C27FF4" w:rsidRPr="00964115">
              <w:rPr>
                <w:rFonts w:ascii="Times New Roman" w:eastAsia="Calibri" w:hAnsi="Times New Roman" w:cs="Times New Roman"/>
                <w:lang w:val="lt-LT"/>
              </w:rPr>
              <w:t>, DRESS)</w:t>
            </w:r>
          </w:p>
        </w:tc>
        <w:tc>
          <w:tcPr>
            <w:tcW w:w="1559" w:type="dxa"/>
            <w:tcBorders>
              <w:top w:val="single" w:sz="4" w:space="0" w:color="auto"/>
              <w:left w:val="single" w:sz="4" w:space="0" w:color="auto"/>
              <w:bottom w:val="single" w:sz="4" w:space="0" w:color="auto"/>
              <w:right w:val="single" w:sz="4" w:space="0" w:color="auto"/>
            </w:tcBorders>
          </w:tcPr>
          <w:p w14:paraId="6F94B22A"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Poūmė odos raudonoji vilkligė (žr. 4.4 skyrių)</w:t>
            </w:r>
          </w:p>
        </w:tc>
      </w:tr>
      <w:tr w:rsidR="00797756" w:rsidRPr="00964115" w14:paraId="6F94B232"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2C"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Skeleto, raumenų, ir jungiamojo audinio sutrikimai</w:t>
            </w:r>
          </w:p>
        </w:tc>
        <w:tc>
          <w:tcPr>
            <w:tcW w:w="1559" w:type="dxa"/>
            <w:tcBorders>
              <w:top w:val="single" w:sz="4" w:space="0" w:color="auto"/>
              <w:left w:val="single" w:sz="4" w:space="0" w:color="auto"/>
              <w:bottom w:val="single" w:sz="4" w:space="0" w:color="auto"/>
              <w:right w:val="single" w:sz="4" w:space="0" w:color="auto"/>
            </w:tcBorders>
          </w:tcPr>
          <w:p w14:paraId="6F94B22D"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2E"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šlaunikaulio, riešo ir stuburo lūžiai (žr. 4.4 skyrių)</w:t>
            </w:r>
          </w:p>
        </w:tc>
        <w:tc>
          <w:tcPr>
            <w:tcW w:w="1843" w:type="dxa"/>
            <w:tcBorders>
              <w:top w:val="single" w:sz="4" w:space="0" w:color="auto"/>
              <w:left w:val="single" w:sz="4" w:space="0" w:color="auto"/>
              <w:bottom w:val="single" w:sz="4" w:space="0" w:color="auto"/>
              <w:right w:val="single" w:sz="4" w:space="0" w:color="auto"/>
            </w:tcBorders>
          </w:tcPr>
          <w:p w14:paraId="6F94B22F"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artralgija,</w:t>
            </w:r>
            <w:r w:rsidRPr="00964115">
              <w:rPr>
                <w:rFonts w:ascii="Times New Roman" w:eastAsia="Calibri" w:hAnsi="Times New Roman" w:cs="Times New Roman"/>
                <w:lang w:val="lt-LT"/>
              </w:rPr>
              <w:br/>
              <w:t>mialgija</w:t>
            </w:r>
          </w:p>
        </w:tc>
        <w:tc>
          <w:tcPr>
            <w:tcW w:w="1701" w:type="dxa"/>
            <w:tcBorders>
              <w:top w:val="single" w:sz="4" w:space="0" w:color="auto"/>
              <w:left w:val="single" w:sz="4" w:space="0" w:color="auto"/>
              <w:bottom w:val="single" w:sz="4" w:space="0" w:color="auto"/>
              <w:right w:val="single" w:sz="4" w:space="0" w:color="auto"/>
            </w:tcBorders>
          </w:tcPr>
          <w:p w14:paraId="6F94B230"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raumenų silpnumas</w:t>
            </w:r>
          </w:p>
        </w:tc>
        <w:tc>
          <w:tcPr>
            <w:tcW w:w="1559" w:type="dxa"/>
            <w:tcBorders>
              <w:top w:val="single" w:sz="4" w:space="0" w:color="auto"/>
              <w:left w:val="single" w:sz="4" w:space="0" w:color="auto"/>
              <w:bottom w:val="single" w:sz="4" w:space="0" w:color="auto"/>
              <w:right w:val="single" w:sz="4" w:space="0" w:color="auto"/>
            </w:tcBorders>
          </w:tcPr>
          <w:p w14:paraId="6F94B231"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39"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33"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Inkstų ir šlapimo takų sutrikimai</w:t>
            </w:r>
          </w:p>
        </w:tc>
        <w:tc>
          <w:tcPr>
            <w:tcW w:w="1559" w:type="dxa"/>
            <w:tcBorders>
              <w:top w:val="single" w:sz="4" w:space="0" w:color="auto"/>
              <w:left w:val="single" w:sz="4" w:space="0" w:color="auto"/>
              <w:bottom w:val="single" w:sz="4" w:space="0" w:color="auto"/>
              <w:right w:val="single" w:sz="4" w:space="0" w:color="auto"/>
            </w:tcBorders>
          </w:tcPr>
          <w:p w14:paraId="6F94B234"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35"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843" w:type="dxa"/>
            <w:tcBorders>
              <w:top w:val="single" w:sz="4" w:space="0" w:color="auto"/>
              <w:left w:val="single" w:sz="4" w:space="0" w:color="auto"/>
              <w:bottom w:val="single" w:sz="4" w:space="0" w:color="auto"/>
              <w:right w:val="single" w:sz="4" w:space="0" w:color="auto"/>
            </w:tcBorders>
          </w:tcPr>
          <w:p w14:paraId="6F94B236"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701" w:type="dxa"/>
            <w:tcBorders>
              <w:top w:val="single" w:sz="4" w:space="0" w:color="auto"/>
              <w:left w:val="single" w:sz="4" w:space="0" w:color="auto"/>
              <w:bottom w:val="single" w:sz="4" w:space="0" w:color="auto"/>
              <w:right w:val="single" w:sz="4" w:space="0" w:color="auto"/>
            </w:tcBorders>
          </w:tcPr>
          <w:p w14:paraId="6F94B237" w14:textId="446724D7" w:rsidR="00797756" w:rsidRPr="00964115" w:rsidRDefault="007A3DE6" w:rsidP="00CB7213">
            <w:pPr>
              <w:spacing w:after="0" w:line="240" w:lineRule="auto"/>
              <w:ind w:right="29"/>
              <w:rPr>
                <w:rFonts w:ascii="Times New Roman" w:eastAsia="Calibri" w:hAnsi="Times New Roman" w:cs="Times New Roman"/>
                <w:lang w:val="lt-LT"/>
              </w:rPr>
            </w:pPr>
            <w:r w:rsidRPr="007A3DE6">
              <w:rPr>
                <w:rFonts w:ascii="Times New Roman" w:eastAsia="Calibri" w:hAnsi="Times New Roman" w:cs="Times New Roman"/>
                <w:lang w:val="lt-LT"/>
              </w:rPr>
              <w:t>Kanalėlių ir intersticinio audinio nefritas (su galimu progresavimu iki inkstų nepakankamumo)</w:t>
            </w:r>
          </w:p>
        </w:tc>
        <w:tc>
          <w:tcPr>
            <w:tcW w:w="1559" w:type="dxa"/>
            <w:tcBorders>
              <w:top w:val="single" w:sz="4" w:space="0" w:color="auto"/>
              <w:left w:val="single" w:sz="4" w:space="0" w:color="auto"/>
              <w:bottom w:val="single" w:sz="4" w:space="0" w:color="auto"/>
              <w:right w:val="single" w:sz="4" w:space="0" w:color="auto"/>
            </w:tcBorders>
          </w:tcPr>
          <w:p w14:paraId="6F94B238"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40"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3A"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Lytinės sistemos ir krūties sutrikimai</w:t>
            </w:r>
          </w:p>
        </w:tc>
        <w:tc>
          <w:tcPr>
            <w:tcW w:w="1559" w:type="dxa"/>
            <w:tcBorders>
              <w:top w:val="single" w:sz="4" w:space="0" w:color="auto"/>
              <w:left w:val="single" w:sz="4" w:space="0" w:color="auto"/>
              <w:bottom w:val="single" w:sz="4" w:space="0" w:color="auto"/>
              <w:right w:val="single" w:sz="4" w:space="0" w:color="auto"/>
            </w:tcBorders>
          </w:tcPr>
          <w:p w14:paraId="6F94B23B"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3C"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843" w:type="dxa"/>
            <w:tcBorders>
              <w:top w:val="single" w:sz="4" w:space="0" w:color="auto"/>
              <w:left w:val="single" w:sz="4" w:space="0" w:color="auto"/>
              <w:bottom w:val="single" w:sz="4" w:space="0" w:color="auto"/>
              <w:right w:val="single" w:sz="4" w:space="0" w:color="auto"/>
            </w:tcBorders>
          </w:tcPr>
          <w:p w14:paraId="6F94B23D"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701" w:type="dxa"/>
            <w:tcBorders>
              <w:top w:val="single" w:sz="4" w:space="0" w:color="auto"/>
              <w:left w:val="single" w:sz="4" w:space="0" w:color="auto"/>
              <w:bottom w:val="single" w:sz="4" w:space="0" w:color="auto"/>
              <w:right w:val="single" w:sz="4" w:space="0" w:color="auto"/>
            </w:tcBorders>
          </w:tcPr>
          <w:p w14:paraId="6F94B23E" w14:textId="77777777" w:rsidR="00797756" w:rsidRPr="00964115" w:rsidRDefault="00797756" w:rsidP="00797756">
            <w:pPr>
              <w:spacing w:after="0" w:line="240" w:lineRule="auto"/>
              <w:ind w:right="29"/>
              <w:jc w:val="both"/>
              <w:rPr>
                <w:rFonts w:ascii="Times New Roman" w:eastAsia="Calibri" w:hAnsi="Times New Roman" w:cs="Times New Roman"/>
                <w:lang w:val="lt-LT"/>
              </w:rPr>
            </w:pPr>
            <w:r w:rsidRPr="00964115">
              <w:rPr>
                <w:rFonts w:ascii="Times New Roman" w:eastAsia="Calibri" w:hAnsi="Times New Roman" w:cs="Times New Roman"/>
                <w:lang w:val="lt-LT"/>
              </w:rPr>
              <w:t>ginekomastija</w:t>
            </w:r>
          </w:p>
        </w:tc>
        <w:tc>
          <w:tcPr>
            <w:tcW w:w="1559" w:type="dxa"/>
            <w:tcBorders>
              <w:top w:val="single" w:sz="4" w:space="0" w:color="auto"/>
              <w:left w:val="single" w:sz="4" w:space="0" w:color="auto"/>
              <w:bottom w:val="single" w:sz="4" w:space="0" w:color="auto"/>
              <w:right w:val="single" w:sz="4" w:space="0" w:color="auto"/>
            </w:tcBorders>
          </w:tcPr>
          <w:p w14:paraId="6F94B23F"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r w:rsidR="00797756" w:rsidRPr="00964115" w14:paraId="6F94B247" w14:textId="77777777" w:rsidTr="00C27FF4">
        <w:trPr>
          <w:cantSplit/>
        </w:trPr>
        <w:tc>
          <w:tcPr>
            <w:tcW w:w="1668" w:type="dxa"/>
            <w:tcBorders>
              <w:top w:val="single" w:sz="4" w:space="0" w:color="auto"/>
              <w:left w:val="single" w:sz="4" w:space="0" w:color="auto"/>
              <w:bottom w:val="single" w:sz="4" w:space="0" w:color="auto"/>
              <w:right w:val="single" w:sz="4" w:space="0" w:color="auto"/>
            </w:tcBorders>
          </w:tcPr>
          <w:p w14:paraId="6F94B241" w14:textId="77777777" w:rsidR="00797756" w:rsidRPr="00964115" w:rsidRDefault="00797756" w:rsidP="00797756">
            <w:p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Bendrieji sutrikimai ir vartojimo vietos pažeidimai</w:t>
            </w:r>
          </w:p>
        </w:tc>
        <w:tc>
          <w:tcPr>
            <w:tcW w:w="1559" w:type="dxa"/>
            <w:tcBorders>
              <w:top w:val="single" w:sz="4" w:space="0" w:color="auto"/>
              <w:left w:val="single" w:sz="4" w:space="0" w:color="auto"/>
              <w:bottom w:val="single" w:sz="4" w:space="0" w:color="auto"/>
              <w:right w:val="single" w:sz="4" w:space="0" w:color="auto"/>
            </w:tcBorders>
          </w:tcPr>
          <w:p w14:paraId="6F94B242"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43"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843" w:type="dxa"/>
            <w:tcBorders>
              <w:top w:val="single" w:sz="4" w:space="0" w:color="auto"/>
              <w:left w:val="single" w:sz="4" w:space="0" w:color="auto"/>
              <w:bottom w:val="single" w:sz="4" w:space="0" w:color="auto"/>
              <w:right w:val="single" w:sz="4" w:space="0" w:color="auto"/>
            </w:tcBorders>
          </w:tcPr>
          <w:p w14:paraId="6F94B244"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bendras negalavimas,</w:t>
            </w:r>
            <w:r w:rsidRPr="00964115">
              <w:rPr>
                <w:rFonts w:ascii="Times New Roman" w:eastAsia="Calibri" w:hAnsi="Times New Roman" w:cs="Times New Roman"/>
                <w:lang w:val="lt-LT"/>
              </w:rPr>
              <w:br/>
              <w:t>padidėjęs prakaitavimas</w:t>
            </w:r>
          </w:p>
        </w:tc>
        <w:tc>
          <w:tcPr>
            <w:tcW w:w="1701" w:type="dxa"/>
            <w:tcBorders>
              <w:top w:val="single" w:sz="4" w:space="0" w:color="auto"/>
              <w:left w:val="single" w:sz="4" w:space="0" w:color="auto"/>
              <w:bottom w:val="single" w:sz="4" w:space="0" w:color="auto"/>
              <w:right w:val="single" w:sz="4" w:space="0" w:color="auto"/>
            </w:tcBorders>
          </w:tcPr>
          <w:p w14:paraId="6F94B245"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c>
          <w:tcPr>
            <w:tcW w:w="1559" w:type="dxa"/>
            <w:tcBorders>
              <w:top w:val="single" w:sz="4" w:space="0" w:color="auto"/>
              <w:left w:val="single" w:sz="4" w:space="0" w:color="auto"/>
              <w:bottom w:val="single" w:sz="4" w:space="0" w:color="auto"/>
              <w:right w:val="single" w:sz="4" w:space="0" w:color="auto"/>
            </w:tcBorders>
          </w:tcPr>
          <w:p w14:paraId="6F94B246" w14:textId="77777777" w:rsidR="00797756" w:rsidRPr="00964115" w:rsidRDefault="00797756" w:rsidP="00797756">
            <w:pPr>
              <w:spacing w:after="0" w:line="240" w:lineRule="auto"/>
              <w:ind w:right="29"/>
              <w:jc w:val="both"/>
              <w:rPr>
                <w:rFonts w:ascii="Times New Roman" w:eastAsia="Calibri" w:hAnsi="Times New Roman" w:cs="Times New Roman"/>
                <w:lang w:val="lt-LT"/>
              </w:rPr>
            </w:pPr>
          </w:p>
        </w:tc>
      </w:tr>
    </w:tbl>
    <w:p w14:paraId="6F94B248" w14:textId="77777777" w:rsidR="00797756" w:rsidRPr="00964115" w:rsidRDefault="00797756" w:rsidP="00797756">
      <w:pPr>
        <w:spacing w:after="0" w:line="240" w:lineRule="auto"/>
        <w:rPr>
          <w:rFonts w:ascii="Times New Roman" w:eastAsia="Calibri" w:hAnsi="Times New Roman" w:cs="Times New Roman"/>
          <w:lang w:val="lt-LT"/>
        </w:rPr>
      </w:pPr>
    </w:p>
    <w:p w14:paraId="6F94B249"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Parinktų nepageidaujamų reakcijų apibūdinimas</w:t>
      </w:r>
    </w:p>
    <w:p w14:paraId="6F94B24A" w14:textId="77777777" w:rsidR="00797756" w:rsidRPr="00964115" w:rsidRDefault="00797756" w:rsidP="00797756">
      <w:pPr>
        <w:spacing w:after="0" w:line="240" w:lineRule="auto"/>
        <w:rPr>
          <w:rFonts w:ascii="Times New Roman" w:eastAsia="Calibri" w:hAnsi="Times New Roman" w:cs="Times New Roman"/>
          <w:lang w:val="lt-LT"/>
        </w:rPr>
      </w:pPr>
    </w:p>
    <w:p w14:paraId="6F94B24B" w14:textId="77777777" w:rsidR="00797756" w:rsidRPr="00964115" w:rsidRDefault="00797756" w:rsidP="00797756">
      <w:pPr>
        <w:keepNext/>
        <w:spacing w:after="0" w:line="240" w:lineRule="auto"/>
        <w:ind w:right="28"/>
        <w:rPr>
          <w:rFonts w:ascii="Times New Roman" w:eastAsia="Calibri" w:hAnsi="Times New Roman" w:cs="Times New Roman"/>
          <w:i/>
          <w:u w:val="single"/>
          <w:lang w:val="lt-LT"/>
        </w:rPr>
      </w:pPr>
      <w:r w:rsidRPr="00964115">
        <w:rPr>
          <w:rFonts w:ascii="Times New Roman" w:eastAsia="Calibri" w:hAnsi="Times New Roman" w:cs="Times New Roman"/>
          <w:i/>
          <w:lang w:val="lt-LT"/>
        </w:rPr>
        <w:t>Naproksenas</w:t>
      </w:r>
    </w:p>
    <w:p w14:paraId="6F94B24C"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Klinikinių tyrimų ir epidemiologiniais duomenimis, kokcibų ir kai kurių kitų NVNU vartojimas (ypač didelių dozių ir ilgalaikis) gali nežymiai padidinti arterijų trombozės reiškinių (pvz., miokardo infarkto ar insulto) riziką. Nors turimais duomenis naprokseno (1000 mg per parą) vartojimas gali kelti mažesnę riziką, tačiau tam tikros rizikos atmesti negalima (žr. 4.4 skyrių).</w:t>
      </w:r>
    </w:p>
    <w:p w14:paraId="6F94B24D"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24E"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Gauta pranešimų apie vartojant NVNU pasireiškusią edemą, hipertenziją ir širdies nepakankamumą.</w:t>
      </w:r>
    </w:p>
    <w:p w14:paraId="6F94B24F"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250"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Dažniausi yra virškinimo trakto nepageidaujami reiškiniai. Gali pasireikšti peptinių opų, perforacija ar kraujavimas virškinimo trakte, kurie kartais gali būti mirtini, ypač senyviems žmonėms (žr. 4.4 skyrių). Gauta pranešimų apie vartojant naprokseną pasireiškusius pykinimą, vėmimą, viduriavimą, flatulenciją, vidurių užkietėjimą, dispepsiją, pilvo skausmą, meleną, hematemezę, opinį stomatitą, kolito ar Krono (</w:t>
      </w:r>
      <w:r w:rsidRPr="00964115">
        <w:rPr>
          <w:rFonts w:ascii="Times New Roman" w:eastAsia="Calibri" w:hAnsi="Times New Roman" w:cs="Times New Roman"/>
          <w:i/>
          <w:lang w:val="lt-LT"/>
        </w:rPr>
        <w:t>Crohn</w:t>
      </w:r>
      <w:r w:rsidRPr="00964115">
        <w:rPr>
          <w:rFonts w:ascii="Times New Roman" w:eastAsia="Calibri" w:hAnsi="Times New Roman" w:cs="Times New Roman"/>
          <w:lang w:val="lt-LT"/>
        </w:rPr>
        <w:t>) ligos paūmėjimą (žr. 4.4 skyrių). Rečiau pasireiškė gastritas.</w:t>
      </w:r>
    </w:p>
    <w:p w14:paraId="6F94B251" w14:textId="77777777" w:rsidR="00797756" w:rsidRPr="00964115" w:rsidRDefault="00797756" w:rsidP="00797756">
      <w:pPr>
        <w:spacing w:after="0" w:line="240" w:lineRule="auto"/>
        <w:ind w:right="29"/>
        <w:rPr>
          <w:rFonts w:ascii="Times New Roman" w:eastAsia="Calibri" w:hAnsi="Times New Roman" w:cs="Times New Roman"/>
          <w:lang w:val="lt-LT"/>
        </w:rPr>
      </w:pPr>
    </w:p>
    <w:p w14:paraId="6F94B252" w14:textId="77777777" w:rsidR="00797756" w:rsidRPr="00964115" w:rsidRDefault="00797756" w:rsidP="00797756">
      <w:p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Vimovo sudėtyje yra ezo</w:t>
      </w:r>
      <w:r w:rsidRPr="00964115">
        <w:rPr>
          <w:rFonts w:ascii="Times New Roman" w:eastAsia="Calibri" w:hAnsi="Times New Roman" w:cs="Times New Roman"/>
          <w:lang w:val="lt-LT"/>
        </w:rPr>
        <w:softHyphen/>
        <w:t>me</w:t>
      </w:r>
      <w:r w:rsidRPr="00964115">
        <w:rPr>
          <w:rFonts w:ascii="Times New Roman" w:eastAsia="Calibri" w:hAnsi="Times New Roman" w:cs="Times New Roman"/>
          <w:lang w:val="lt-LT"/>
        </w:rPr>
        <w:softHyphen/>
        <w:t>pra</w:t>
      </w:r>
      <w:r w:rsidRPr="00964115">
        <w:rPr>
          <w:rFonts w:ascii="Times New Roman" w:eastAsia="Calibri" w:hAnsi="Times New Roman" w:cs="Times New Roman"/>
          <w:lang w:val="lt-LT"/>
        </w:rPr>
        <w:softHyphen/>
        <w:t>zolo, kad būtų mažesnis naprokseno nepageidaujamo poveikio virškinimo traktui pavojus. Nustatyta, kad Vimovo sukelia skrandžio ir (arba) dvylikapirštės žarnos opų bei su NVNU susijusių viršutinės virškinimo trakto dalies nepageidaujamų reiškinių reikšmingai rečiau negu atskirai vartojamas naproksenas.</w:t>
      </w:r>
    </w:p>
    <w:p w14:paraId="6F94B253" w14:textId="77777777" w:rsidR="00797756" w:rsidRPr="00964115" w:rsidRDefault="00797756" w:rsidP="00797756">
      <w:pPr>
        <w:spacing w:after="0" w:line="240" w:lineRule="auto"/>
        <w:rPr>
          <w:rFonts w:ascii="Times New Roman" w:eastAsia="Calibri" w:hAnsi="Times New Roman" w:cs="Times New Roman"/>
          <w:lang w:val="lt-LT"/>
        </w:rPr>
      </w:pPr>
    </w:p>
    <w:p w14:paraId="6F94B254" w14:textId="77777777" w:rsidR="00797756" w:rsidRPr="00964115" w:rsidRDefault="00797756" w:rsidP="00797756">
      <w:pPr>
        <w:autoSpaceDE w:val="0"/>
        <w:autoSpaceDN w:val="0"/>
        <w:adjustRightInd w:val="0"/>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Pranešimas apie įtariamas nepageidaujamas reakcijas</w:t>
      </w:r>
    </w:p>
    <w:p w14:paraId="6F94B255" w14:textId="0A8F38A1" w:rsidR="00797756" w:rsidRPr="00964115" w:rsidRDefault="00797756" w:rsidP="00797756">
      <w:p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w:t>
      </w:r>
      <w:r w:rsidR="00B655B3">
        <w:rPr>
          <w:rFonts w:ascii="Times New Roman" w:eastAsia="Calibri" w:hAnsi="Times New Roman" w:cs="Times New Roman"/>
          <w:lang w:val="lt-LT"/>
        </w:rPr>
        <w:t xml:space="preserve">ar farmacijos </w:t>
      </w:r>
      <w:r w:rsidRPr="00964115">
        <w:rPr>
          <w:rFonts w:ascii="Times New Roman" w:eastAsia="Calibri" w:hAnsi="Times New Roman" w:cs="Times New Roman"/>
          <w:lang w:val="lt-LT"/>
        </w:rPr>
        <w:t xml:space="preserve">specialistai turi pranešti apie bet kokias įtariamas nepageidaujamas reakcijas, </w:t>
      </w:r>
      <w:r w:rsidR="005A3897" w:rsidRPr="005A3897">
        <w:rPr>
          <w:rFonts w:ascii="Times New Roman" w:eastAsia="Calibri" w:hAnsi="Times New Roman" w:cs="Times New Roman"/>
          <w:lang w:val="lt-LT"/>
        </w:rPr>
        <w:t>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6F94B256" w14:textId="77777777" w:rsidR="00797756" w:rsidRPr="00964115" w:rsidRDefault="00797756" w:rsidP="00797756">
      <w:pPr>
        <w:spacing w:after="0" w:line="240" w:lineRule="auto"/>
        <w:rPr>
          <w:rFonts w:ascii="Times New Roman" w:eastAsia="Calibri" w:hAnsi="Times New Roman" w:cs="Times New Roman"/>
          <w:lang w:val="lt-LT"/>
        </w:rPr>
      </w:pPr>
    </w:p>
    <w:p w14:paraId="6F94B257" w14:textId="77777777" w:rsidR="00797756" w:rsidRPr="00964115" w:rsidRDefault="00797756" w:rsidP="00797756">
      <w:pPr>
        <w:spacing w:after="0" w:line="240" w:lineRule="auto"/>
        <w:rPr>
          <w:rFonts w:ascii="Times New Roman" w:eastAsia="Calibri" w:hAnsi="Times New Roman" w:cs="Times New Roman"/>
          <w:b/>
          <w:lang w:val="lt-LT"/>
        </w:rPr>
      </w:pPr>
      <w:bookmarkStart w:id="25" w:name="_Toc129243110"/>
      <w:bookmarkStart w:id="26" w:name="_Toc129243235"/>
      <w:r w:rsidRPr="00964115">
        <w:rPr>
          <w:rFonts w:ascii="Times New Roman" w:eastAsia="Calibri" w:hAnsi="Times New Roman" w:cs="Times New Roman"/>
          <w:b/>
          <w:lang w:val="lt-LT"/>
        </w:rPr>
        <w:t>4.9</w:t>
      </w:r>
      <w:r w:rsidRPr="00964115">
        <w:rPr>
          <w:rFonts w:ascii="Times New Roman" w:eastAsia="Calibri" w:hAnsi="Times New Roman" w:cs="Times New Roman"/>
          <w:b/>
          <w:lang w:val="lt-LT"/>
        </w:rPr>
        <w:tab/>
        <w:t>Perdozavimas</w:t>
      </w:r>
      <w:bookmarkEnd w:id="25"/>
      <w:bookmarkEnd w:id="26"/>
    </w:p>
    <w:p w14:paraId="6F94B258" w14:textId="77777777" w:rsidR="00797756" w:rsidRPr="00964115" w:rsidRDefault="00797756" w:rsidP="00797756">
      <w:pPr>
        <w:spacing w:after="0" w:line="240" w:lineRule="auto"/>
        <w:rPr>
          <w:rFonts w:ascii="Times New Roman" w:eastAsia="Calibri" w:hAnsi="Times New Roman" w:cs="Times New Roman"/>
          <w:lang w:val="lt-LT"/>
        </w:rPr>
      </w:pPr>
    </w:p>
    <w:p w14:paraId="6F94B25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Klinikinių Vimovo perdozavimo duomenų nėra.</w:t>
      </w:r>
    </w:p>
    <w:p w14:paraId="6F94B25A" w14:textId="77777777" w:rsidR="00797756" w:rsidRPr="00964115" w:rsidRDefault="00797756" w:rsidP="00797756">
      <w:pPr>
        <w:spacing w:after="0" w:line="240" w:lineRule="auto"/>
        <w:rPr>
          <w:rFonts w:ascii="Times New Roman" w:eastAsia="Calibri" w:hAnsi="Times New Roman" w:cs="Times New Roman"/>
          <w:lang w:val="lt-LT"/>
        </w:rPr>
      </w:pPr>
    </w:p>
    <w:p w14:paraId="6F94B25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Vimovo perdozavimo sukeliami poveikiai turėtų būti labiausiai susiję su naprokseno perdozavimu. </w:t>
      </w:r>
    </w:p>
    <w:p w14:paraId="6F94B25C" w14:textId="77777777" w:rsidR="00797756" w:rsidRPr="00964115" w:rsidRDefault="00797756" w:rsidP="00797756">
      <w:pPr>
        <w:spacing w:after="0" w:line="240" w:lineRule="auto"/>
        <w:rPr>
          <w:rFonts w:ascii="Times New Roman" w:eastAsia="Calibri" w:hAnsi="Times New Roman" w:cs="Times New Roman"/>
          <w:lang w:val="lt-LT"/>
        </w:rPr>
      </w:pPr>
    </w:p>
    <w:p w14:paraId="6F94B25D"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Simptomai</w:t>
      </w:r>
    </w:p>
    <w:p w14:paraId="6F94B25E"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Susiję su naprokseno perdozavimu</w:t>
      </w:r>
    </w:p>
    <w:p w14:paraId="6F94B25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Reikšmingai perdozavus naprokseno gali pasireikšti letargija, svaigulys, mieguistumas, skausmas skrandžio srityje, pilvo diskomfortas, rėmuo, nevirškinimas, pykinimas, trumpalaikių kepenų funkcijos sutrikimų, hipoprotrombinemija, sutrikusi inkstų funkcija, metabolinė acidozė, apnėja, sutrikusi orientacija, vėmimas. Gali kraujuoti virškinimo trakte. Retais atvejais gali pasireikšti hipertenzija, ištikti ūminis inkstų nepakankamumas, kvėpavimo slopinimas ir koma. Gauta pranešimų apie vartojant terapines NVNU dozes pasireiškusias anafilaktoidines reakcijas, kurių gali pasireikšti ir perdozavus. Keliems pacientams prasidėjo traukuliai, tačiau nėra aišku, ar jie buvo susiję su vaistu. Kokia dozė yra pavojinga gyvybei, nežinoma. </w:t>
      </w:r>
    </w:p>
    <w:p w14:paraId="6F94B260" w14:textId="77777777" w:rsidR="00797756" w:rsidRPr="00964115" w:rsidRDefault="00797756" w:rsidP="00797756">
      <w:pPr>
        <w:spacing w:after="0" w:line="240" w:lineRule="auto"/>
        <w:rPr>
          <w:rFonts w:ascii="Times New Roman" w:eastAsia="Calibri" w:hAnsi="Times New Roman" w:cs="Times New Roman"/>
          <w:lang w:val="lt-LT"/>
        </w:rPr>
      </w:pPr>
    </w:p>
    <w:p w14:paraId="6F94B261"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Susiję su ezomeprazolo perdozavimu</w:t>
      </w:r>
    </w:p>
    <w:p w14:paraId="6F94B26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Tyčia perdozavus ezomeprazolo pasireiškę simptomai buvo trumpalaikiai (turima nedaug patirties suvartojus daugiau kaip 240 mg per parą). Vienkartinės 80 mg ezomeprazolo dozės jokių reiškinių nesukėlė. </w:t>
      </w:r>
    </w:p>
    <w:p w14:paraId="6F94B263" w14:textId="77777777" w:rsidR="00797756" w:rsidRPr="00964115" w:rsidRDefault="00797756" w:rsidP="00797756">
      <w:pPr>
        <w:spacing w:after="0" w:line="240" w:lineRule="auto"/>
        <w:rPr>
          <w:rFonts w:ascii="Times New Roman" w:eastAsia="Calibri" w:hAnsi="Times New Roman" w:cs="Times New Roman"/>
          <w:lang w:val="lt-LT"/>
        </w:rPr>
      </w:pPr>
    </w:p>
    <w:p w14:paraId="6F94B264"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Gydymas</w:t>
      </w:r>
    </w:p>
    <w:p w14:paraId="6F94B26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Susijęs su naproksenu</w:t>
      </w:r>
    </w:p>
    <w:p w14:paraId="6F94B26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NVNU perdozavusiam pacientui taikomas simptominis ir palaikomasis gydymas, ypač dėl poveikio virškinimo traktui ir inkstų pažeidimo. Specifinių priešnuodžių nėra. Hemodializė naprokseno koncentracijos plazmoje nemažina, kadangi didelė jo dalis būna prisijungusi prie plazmos baltymų. Jei yra perdozavimo simptomų arba buvo perdozuota smarkiai, o po perdozavimo praėjo ne daugiau kaip 4 val., gali būti tikslinga pacientui sukelti vėmimą ir (arba) duoti aktyvintosios anglies (suaugusiems – 60</w:t>
      </w:r>
      <w:r w:rsidRPr="00964115">
        <w:rPr>
          <w:rFonts w:ascii="Times New Roman" w:eastAsia="Calibri" w:hAnsi="Times New Roman" w:cs="Times New Roman"/>
          <w:lang w:val="lt-LT"/>
        </w:rPr>
        <w:noBreakHyphen/>
        <w:t>100 g, vaikams – 1</w:t>
      </w:r>
      <w:r w:rsidRPr="00964115">
        <w:rPr>
          <w:rFonts w:ascii="Times New Roman" w:eastAsia="Calibri" w:hAnsi="Times New Roman" w:cs="Times New Roman"/>
          <w:lang w:val="lt-LT"/>
        </w:rPr>
        <w:noBreakHyphen/>
        <w:t>2 g/kg) ir (arba) osmosinio veikimo vidurius paleidžiančių vaistų. Padidinta diurezė, šlapimo šarminimas ir hemoperfuzija gali būti neveiksmingi, kadangi didelė naprokseno molekulių dalis būna prisijungusi prie plazmos baltymų.</w:t>
      </w:r>
    </w:p>
    <w:p w14:paraId="6F94B267" w14:textId="77777777" w:rsidR="00797756" w:rsidRPr="00964115" w:rsidRDefault="00797756" w:rsidP="00797756">
      <w:pPr>
        <w:spacing w:after="0" w:line="240" w:lineRule="auto"/>
        <w:rPr>
          <w:rFonts w:ascii="Times New Roman" w:eastAsia="Calibri" w:hAnsi="Times New Roman" w:cs="Times New Roman"/>
          <w:i/>
          <w:lang w:val="lt-LT"/>
        </w:rPr>
      </w:pPr>
    </w:p>
    <w:p w14:paraId="6F94B268"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Susijęs su ezomeprazolu</w:t>
      </w:r>
    </w:p>
    <w:p w14:paraId="6F94B26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Specifinio priešnuodžio nežinoma. Didelė ezomeprazolo molekulių dalis būna prisijun</w:t>
      </w:r>
      <w:r w:rsidRPr="00964115">
        <w:rPr>
          <w:rFonts w:ascii="Times New Roman" w:eastAsia="Calibri" w:hAnsi="Times New Roman" w:cs="Times New Roman"/>
          <w:lang w:val="lt-LT"/>
        </w:rPr>
        <w:softHyphen/>
        <w:t>gusi prie plazmos baltymų, todėl dializės būdu jis greitai nepašalinamas. Kaip ir kitais atvejais, perdozavus reikia taikyti simptominį gydymą ir imtis bendrųjų palaikomųjų priemonių.</w:t>
      </w:r>
    </w:p>
    <w:p w14:paraId="6F94B26A" w14:textId="77777777" w:rsidR="00797756" w:rsidRPr="00964115" w:rsidRDefault="00797756" w:rsidP="00797756">
      <w:pPr>
        <w:spacing w:after="0" w:line="240" w:lineRule="auto"/>
        <w:rPr>
          <w:rFonts w:ascii="Times New Roman" w:eastAsia="Calibri" w:hAnsi="Times New Roman" w:cs="Times New Roman"/>
          <w:lang w:val="lt-LT"/>
        </w:rPr>
      </w:pPr>
    </w:p>
    <w:p w14:paraId="6F94B26B" w14:textId="77777777" w:rsidR="00797756" w:rsidRPr="00964115" w:rsidRDefault="00797756" w:rsidP="00797756">
      <w:pPr>
        <w:spacing w:after="0" w:line="240" w:lineRule="auto"/>
        <w:rPr>
          <w:rFonts w:ascii="Times New Roman" w:eastAsia="Calibri" w:hAnsi="Times New Roman" w:cs="Times New Roman"/>
          <w:lang w:val="lt-LT"/>
        </w:rPr>
      </w:pPr>
    </w:p>
    <w:p w14:paraId="6F94B26C" w14:textId="77777777" w:rsidR="00797756" w:rsidRPr="00964115" w:rsidRDefault="00797756" w:rsidP="00797756">
      <w:pPr>
        <w:spacing w:after="0" w:line="240" w:lineRule="auto"/>
        <w:rPr>
          <w:rFonts w:ascii="Times New Roman" w:eastAsia="Calibri" w:hAnsi="Times New Roman" w:cs="Times New Roman"/>
          <w:b/>
          <w:lang w:val="lt-LT"/>
        </w:rPr>
      </w:pPr>
      <w:bookmarkStart w:id="27" w:name="_Toc129243111"/>
      <w:bookmarkStart w:id="28" w:name="_Toc129243236"/>
      <w:r w:rsidRPr="00964115">
        <w:rPr>
          <w:rFonts w:ascii="Times New Roman" w:eastAsia="Calibri" w:hAnsi="Times New Roman" w:cs="Times New Roman"/>
          <w:b/>
          <w:lang w:val="lt-LT"/>
        </w:rPr>
        <w:t>5.</w:t>
      </w:r>
      <w:r w:rsidRPr="00964115">
        <w:rPr>
          <w:rFonts w:ascii="Times New Roman" w:eastAsia="Calibri" w:hAnsi="Times New Roman" w:cs="Times New Roman"/>
          <w:b/>
          <w:lang w:val="lt-LT"/>
        </w:rPr>
        <w:tab/>
        <w:t>FARMAKOLOGINĖS SAVYBĖS</w:t>
      </w:r>
      <w:bookmarkEnd w:id="27"/>
      <w:bookmarkEnd w:id="28"/>
    </w:p>
    <w:p w14:paraId="6F94B26D" w14:textId="77777777" w:rsidR="00797756" w:rsidRPr="00964115" w:rsidRDefault="00797756" w:rsidP="00797756">
      <w:pPr>
        <w:spacing w:after="0" w:line="240" w:lineRule="auto"/>
        <w:rPr>
          <w:rFonts w:ascii="Times New Roman" w:eastAsia="Calibri" w:hAnsi="Times New Roman" w:cs="Times New Roman"/>
          <w:lang w:val="lt-LT"/>
        </w:rPr>
      </w:pPr>
    </w:p>
    <w:p w14:paraId="6F94B26E" w14:textId="77777777" w:rsidR="00797756" w:rsidRPr="00964115" w:rsidRDefault="00797756" w:rsidP="00797756">
      <w:pPr>
        <w:spacing w:after="0" w:line="240" w:lineRule="auto"/>
        <w:rPr>
          <w:rFonts w:ascii="Times New Roman" w:eastAsia="Calibri" w:hAnsi="Times New Roman" w:cs="Times New Roman"/>
          <w:b/>
          <w:lang w:val="lt-LT"/>
        </w:rPr>
      </w:pPr>
      <w:bookmarkStart w:id="29" w:name="_Toc129243112"/>
      <w:bookmarkStart w:id="30" w:name="_Toc129243237"/>
      <w:r w:rsidRPr="00964115">
        <w:rPr>
          <w:rFonts w:ascii="Times New Roman" w:eastAsia="Calibri" w:hAnsi="Times New Roman" w:cs="Times New Roman"/>
          <w:b/>
          <w:lang w:val="lt-LT"/>
        </w:rPr>
        <w:t>5.1</w:t>
      </w:r>
      <w:r w:rsidRPr="00964115">
        <w:rPr>
          <w:rFonts w:ascii="Times New Roman" w:eastAsia="Calibri" w:hAnsi="Times New Roman" w:cs="Times New Roman"/>
          <w:b/>
          <w:lang w:val="lt-LT"/>
        </w:rPr>
        <w:tab/>
        <w:t>Farmakodinaminės savybės</w:t>
      </w:r>
      <w:bookmarkEnd w:id="29"/>
      <w:bookmarkEnd w:id="30"/>
    </w:p>
    <w:p w14:paraId="6F94B26F" w14:textId="77777777" w:rsidR="00797756" w:rsidRPr="00964115" w:rsidRDefault="00797756" w:rsidP="00797756">
      <w:pPr>
        <w:spacing w:after="0" w:line="240" w:lineRule="auto"/>
        <w:rPr>
          <w:rFonts w:ascii="Times New Roman" w:eastAsia="Calibri" w:hAnsi="Times New Roman" w:cs="Times New Roman"/>
          <w:lang w:val="lt-LT"/>
        </w:rPr>
      </w:pPr>
    </w:p>
    <w:p w14:paraId="6F94B27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Farmakoterapinė grupė – naproksenas ir ezomeprazolas, ATC kodas – M01AE52</w:t>
      </w:r>
    </w:p>
    <w:p w14:paraId="6F94B271" w14:textId="77777777" w:rsidR="00797756" w:rsidRPr="00964115" w:rsidRDefault="00797756" w:rsidP="00797756">
      <w:pPr>
        <w:spacing w:after="0" w:line="240" w:lineRule="auto"/>
        <w:rPr>
          <w:rFonts w:ascii="Times New Roman" w:eastAsia="Calibri" w:hAnsi="Times New Roman" w:cs="Times New Roman"/>
          <w:lang w:val="lt-LT"/>
        </w:rPr>
      </w:pPr>
    </w:p>
    <w:p w14:paraId="6F94B272"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Veikimo mechanizmas</w:t>
      </w:r>
    </w:p>
    <w:p w14:paraId="6F94B27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buvo sukurtas kaip nuoseklaus atpalaidavimo tabletė, sudaryta iš greito atpalaidavimo ezomeprazolo magnio druskos sluoksnio ir pailginto atpalaidavimo naprokseno, dengto skrandyje neiriu dangalu, šerdies. Dėl to pirmiausiai skrandyje atpalaiduojamas ezomeprazolas, o paskui – ištirpęs plonojoje žarnoje naproksenas. Skrandyje neirus dangalas neleidžia naproksenui atsipalaiduoti, kai pH mažesnė kaip 5,5, ir apsaugo skrandį nuo galimo lokalaus toksinio naprokseno poveikio.</w:t>
      </w:r>
    </w:p>
    <w:p w14:paraId="6F94B274" w14:textId="77777777" w:rsidR="00797756" w:rsidRPr="00964115" w:rsidRDefault="00797756" w:rsidP="00797756">
      <w:pPr>
        <w:spacing w:after="0" w:line="240" w:lineRule="auto"/>
        <w:rPr>
          <w:rFonts w:ascii="Times New Roman" w:eastAsia="Calibri" w:hAnsi="Times New Roman" w:cs="Times New Roman"/>
          <w:lang w:val="lt-LT"/>
        </w:rPr>
      </w:pPr>
    </w:p>
    <w:p w14:paraId="6F94B27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Dėl sulėtinto naprokseno atpalaidavimo Vimovo neskirtas vartoti nuo ūminio skausmo, jo poveikis vartojant šiai indikacijai netirtas.</w:t>
      </w:r>
    </w:p>
    <w:p w14:paraId="6F94B276" w14:textId="77777777" w:rsidR="00797756" w:rsidRPr="00964115" w:rsidRDefault="00797756" w:rsidP="00797756">
      <w:pPr>
        <w:spacing w:after="0" w:line="240" w:lineRule="auto"/>
        <w:rPr>
          <w:rFonts w:ascii="Times New Roman" w:eastAsia="Calibri" w:hAnsi="Times New Roman" w:cs="Times New Roman"/>
          <w:lang w:val="lt-LT"/>
        </w:rPr>
      </w:pPr>
    </w:p>
    <w:p w14:paraId="6F94B27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Naproksenas yra NVNU, turintis skausmą ir karščiavimą mažinančių savybių. Naprokseno anijono, kaip ir kitų NVNU, veikimo mechanizmas tiksliai nežinomas, tačiau gali būti susijęs su prostaglandinų sintetazės slopinimu.</w:t>
      </w:r>
    </w:p>
    <w:p w14:paraId="6F94B278" w14:textId="77777777" w:rsidR="00797756" w:rsidRPr="00964115" w:rsidRDefault="00797756" w:rsidP="00797756">
      <w:pPr>
        <w:spacing w:after="0" w:line="240" w:lineRule="auto"/>
        <w:rPr>
          <w:rFonts w:ascii="Times New Roman" w:eastAsia="Calibri" w:hAnsi="Times New Roman" w:cs="Times New Roman"/>
          <w:lang w:val="lt-LT"/>
        </w:rPr>
      </w:pPr>
    </w:p>
    <w:p w14:paraId="6F94B27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Ezomeprazolas yra omeprazolo S izomeras. Jis mažina skrandžio rūgšties sekreciją, veikdamas spe</w:t>
      </w:r>
      <w:r w:rsidRPr="00964115">
        <w:rPr>
          <w:rFonts w:ascii="Times New Roman" w:eastAsia="Calibri" w:hAnsi="Times New Roman" w:cs="Times New Roman"/>
          <w:lang w:val="lt-LT"/>
        </w:rPr>
        <w:softHyphen/>
        <w:t>cifiškai nutaikytu mechanizmu. Ezomeprazolas yra silpna bazė. Jis koncentruojamas labai rūgščioje parietalinių ląstelių sekrecinių kanalėlių terpėje, ten paverčiamas aktyvia forma ir slopina fermentą – vandenilio ir kalio adenozintrifosfatazę (rūgšties siurblį), todėl sumažėja tiek bazinė, tiek stimuliuojamoji rūgšties sekrecija.</w:t>
      </w:r>
    </w:p>
    <w:p w14:paraId="6F94B27A" w14:textId="77777777" w:rsidR="00797756" w:rsidRPr="00964115" w:rsidRDefault="00797756" w:rsidP="00797756">
      <w:pPr>
        <w:spacing w:after="0" w:line="240" w:lineRule="auto"/>
        <w:rPr>
          <w:rFonts w:ascii="Times New Roman" w:eastAsia="Calibri" w:hAnsi="Times New Roman" w:cs="Times New Roman"/>
          <w:lang w:val="lt-LT"/>
        </w:rPr>
      </w:pPr>
    </w:p>
    <w:p w14:paraId="6F94B27B"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Farmakodinaminis poveikis</w:t>
      </w:r>
    </w:p>
    <w:p w14:paraId="6F94B27C"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Poveikis skrandžio rūgšties sekrecijai</w:t>
      </w:r>
    </w:p>
    <w:p w14:paraId="6F94B27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Optimalus poveikis (didelės pH skrandyje palaikymas) buvo gautas vartojant tokios sudėties Vimovo, kurioje yra 20 mg ezomeprazolo. Sveikų savanorių, 9 dienas vartojusių Vimovo 2 kartus per parą, vidinė skrandžio pH &gt; 4 buvo vidutiniškai 17,1 val. (SD 3,1) (vartojant 20 mg NEXIUM – 13,6 val., SD 2,4).</w:t>
      </w:r>
    </w:p>
    <w:p w14:paraId="6F94B27E" w14:textId="77777777" w:rsidR="00797756" w:rsidRPr="00964115" w:rsidRDefault="00797756" w:rsidP="00797756">
      <w:pPr>
        <w:spacing w:after="0" w:line="240" w:lineRule="auto"/>
        <w:rPr>
          <w:rFonts w:ascii="Times New Roman" w:eastAsia="Calibri" w:hAnsi="Times New Roman" w:cs="Times New Roman"/>
          <w:lang w:val="lt-LT"/>
        </w:rPr>
      </w:pPr>
    </w:p>
    <w:p w14:paraId="6F94B27F"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Kitas poveikis, susijęs su rūgšties sekrecijos slopinimu</w:t>
      </w:r>
    </w:p>
    <w:p w14:paraId="6F94B280" w14:textId="77777777" w:rsidR="00797756" w:rsidRPr="00964115" w:rsidRDefault="00797756" w:rsidP="00797756">
      <w:pPr>
        <w:spacing w:after="0" w:line="240" w:lineRule="auto"/>
        <w:rPr>
          <w:rFonts w:ascii="Times New Roman" w:eastAsia="Calibri" w:hAnsi="Times New Roman" w:cs="Times New Roman"/>
          <w:iCs/>
          <w:lang w:val="lt-LT"/>
        </w:rPr>
      </w:pPr>
      <w:r w:rsidRPr="00964115">
        <w:rPr>
          <w:rFonts w:ascii="Times New Roman" w:eastAsia="Calibri" w:hAnsi="Times New Roman" w:cs="Times New Roman"/>
          <w:iCs/>
          <w:lang w:val="lt-LT"/>
        </w:rPr>
        <w:t xml:space="preserve">Vartojant sekreciją slopinančius vaistinius preparatus, reaguojant į sumažėjusį išskiriančios skrandžio rūgšties kiekį, gastrino kiekis kraujo serume padidėja. Dėl sumažėjusio skrandžio rūgštingumo CgA koncentracija taip pat padidėja. Dėl padidėjusios chromogranino A (CgA) koncentracijos gali būti sunkiau atlikti neuroendokrininių navikų tyrimus. </w:t>
      </w:r>
    </w:p>
    <w:p w14:paraId="6F94B28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Cs/>
          <w:lang w:val="lt-LT"/>
        </w:rPr>
        <w:t>Remiantis turimais literatūroje paskelbtais duomenimis, protonų siurblio inhibitorius reikia nustoti vartoti likus nuo 5 dienų iki 2 savaičių iki CgA tyrimų. Šis laikotarpis reikalingas tam, kad CgA koncentracija, kuri po gydymo PSI gali būti apgaulingai padidėjusi, vėl sumažėtų iki standartinės koncentracijos intervalo.</w:t>
      </w:r>
    </w:p>
    <w:p w14:paraId="6F94B282" w14:textId="77777777" w:rsidR="00797756" w:rsidRPr="00964115" w:rsidRDefault="00797756" w:rsidP="00797756">
      <w:pPr>
        <w:spacing w:after="0" w:line="240" w:lineRule="auto"/>
        <w:rPr>
          <w:rFonts w:ascii="Times New Roman" w:eastAsia="Calibri" w:hAnsi="Times New Roman" w:cs="Times New Roman"/>
          <w:lang w:val="lt-LT"/>
        </w:rPr>
      </w:pPr>
    </w:p>
    <w:p w14:paraId="6F94B28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Kai kuriems pacientams, ilgai vartojusiems ezomeprazolą, nustatytas padidėjęs enterochroma</w:t>
      </w:r>
      <w:r w:rsidRPr="00964115">
        <w:rPr>
          <w:rFonts w:ascii="Times New Roman" w:eastAsia="Calibri" w:hAnsi="Times New Roman" w:cs="Times New Roman"/>
          <w:lang w:val="lt-LT"/>
        </w:rPr>
        <w:softHyphen/>
        <w:t>tofini</w:t>
      </w:r>
      <w:r w:rsidRPr="00964115">
        <w:rPr>
          <w:rFonts w:ascii="Times New Roman" w:eastAsia="Calibri" w:hAnsi="Times New Roman" w:cs="Times New Roman"/>
          <w:lang w:val="lt-LT"/>
        </w:rPr>
        <w:softHyphen/>
        <w:t>nių ląstelių skaičius (gali būti susijęs su gastrino koncentracijos serume padidėjimu). Laikoma, kad šie duomenys klinikinės reikšmės neturi.</w:t>
      </w:r>
    </w:p>
    <w:p w14:paraId="6F94B284" w14:textId="77777777" w:rsidR="00797756" w:rsidRPr="00964115" w:rsidRDefault="00797756" w:rsidP="00797756">
      <w:pPr>
        <w:spacing w:after="0" w:line="240" w:lineRule="auto"/>
        <w:rPr>
          <w:rFonts w:ascii="Times New Roman" w:eastAsia="Calibri" w:hAnsi="Times New Roman" w:cs="Times New Roman"/>
          <w:lang w:val="lt-LT"/>
        </w:rPr>
      </w:pPr>
    </w:p>
    <w:p w14:paraId="6F94B28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Pastebėta, kad ilgai vartojant sekreciją slopinančius vaistus šiek tiek dažniau atsiranda skrandžio liau</w:t>
      </w:r>
      <w:r w:rsidRPr="00964115">
        <w:rPr>
          <w:rFonts w:ascii="Times New Roman" w:eastAsia="Calibri" w:hAnsi="Times New Roman" w:cs="Times New Roman"/>
          <w:lang w:val="lt-LT"/>
        </w:rPr>
        <w:softHyphen/>
        <w:t>ki</w:t>
      </w:r>
      <w:r w:rsidRPr="00964115">
        <w:rPr>
          <w:rFonts w:ascii="Times New Roman" w:eastAsia="Calibri" w:hAnsi="Times New Roman" w:cs="Times New Roman"/>
          <w:lang w:val="lt-LT"/>
        </w:rPr>
        <w:softHyphen/>
        <w:t>nių cistų. Šie pokyčiai yra stipraus skrandžio rūgšties sekrecijos slopinimo fiziologinė pasekmė. Jie būna gerybiniai ir laikini.</w:t>
      </w:r>
    </w:p>
    <w:p w14:paraId="6F94B286" w14:textId="77777777" w:rsidR="00797756" w:rsidRPr="00964115" w:rsidRDefault="00797756" w:rsidP="00797756">
      <w:pPr>
        <w:spacing w:after="0" w:line="240" w:lineRule="auto"/>
        <w:rPr>
          <w:rFonts w:ascii="Times New Roman" w:eastAsia="Calibri" w:hAnsi="Times New Roman" w:cs="Times New Roman"/>
          <w:lang w:val="lt-LT"/>
        </w:rPr>
      </w:pPr>
    </w:p>
    <w:p w14:paraId="6F94B28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Dėl bet kurios priežasties, įskaitant protonų siurblio inhibitorių vartojimą, sumažėjus skrandžio rūgštingumui, jame padaugėja bakterijų, kurių virškinimo trakte būna ir normaliomis sąlygomis. Protonų siurblio inhibitoriai gali šiek tiek padidinti virškinimo trakto infekcijų, sukeliamų, pvz., </w:t>
      </w:r>
      <w:r w:rsidRPr="00964115">
        <w:rPr>
          <w:rFonts w:ascii="Times New Roman" w:eastAsia="Calibri" w:hAnsi="Times New Roman" w:cs="Times New Roman"/>
          <w:i/>
          <w:lang w:val="lt-LT"/>
        </w:rPr>
        <w:t>Salmonella</w:t>
      </w:r>
      <w:r w:rsidRPr="00964115">
        <w:rPr>
          <w:rFonts w:ascii="Times New Roman" w:eastAsia="Calibri" w:hAnsi="Times New Roman" w:cs="Times New Roman"/>
          <w:lang w:val="lt-LT"/>
        </w:rPr>
        <w:t xml:space="preserve">, </w:t>
      </w:r>
      <w:r w:rsidRPr="00964115">
        <w:rPr>
          <w:rFonts w:ascii="Times New Roman" w:eastAsia="Calibri" w:hAnsi="Times New Roman" w:cs="Times New Roman"/>
          <w:i/>
          <w:lang w:val="lt-LT"/>
        </w:rPr>
        <w:t>Campylobacter</w:t>
      </w:r>
      <w:r w:rsidRPr="00964115">
        <w:rPr>
          <w:rFonts w:ascii="Times New Roman" w:eastAsia="Calibri" w:hAnsi="Times New Roman" w:cs="Times New Roman"/>
          <w:lang w:val="lt-LT"/>
        </w:rPr>
        <w:t xml:space="preserve"> ir (hospitalizuotiems pacientams) galbūt </w:t>
      </w:r>
      <w:r w:rsidRPr="00964115">
        <w:rPr>
          <w:rFonts w:ascii="Times New Roman" w:eastAsia="Calibri" w:hAnsi="Times New Roman" w:cs="Times New Roman"/>
          <w:i/>
          <w:lang w:val="lt-LT"/>
        </w:rPr>
        <w:t xml:space="preserve">Clostridium difficile </w:t>
      </w:r>
      <w:r w:rsidRPr="00964115">
        <w:rPr>
          <w:rFonts w:ascii="Times New Roman" w:eastAsia="Calibri" w:hAnsi="Times New Roman" w:cs="Times New Roman"/>
          <w:lang w:val="lt-LT"/>
        </w:rPr>
        <w:t xml:space="preserve">riziką. </w:t>
      </w:r>
    </w:p>
    <w:p w14:paraId="6F94B288" w14:textId="77777777" w:rsidR="00797756" w:rsidRPr="00964115" w:rsidRDefault="00797756" w:rsidP="00797756">
      <w:pPr>
        <w:spacing w:after="0" w:line="240" w:lineRule="auto"/>
        <w:rPr>
          <w:rFonts w:ascii="Times New Roman" w:eastAsia="Calibri" w:hAnsi="Times New Roman" w:cs="Times New Roman"/>
          <w:lang w:val="lt-LT"/>
        </w:rPr>
      </w:pPr>
    </w:p>
    <w:p w14:paraId="6F94B289"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Klinikinis veiksmingumas ir saugumas</w:t>
      </w:r>
    </w:p>
    <w:p w14:paraId="6F94B28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Visų klinikinių tyrimų metu 491 pacientas vartojo Vimovo 6 mėn. ir 135 pacientai – 12 mėn. Dviejų atsitiktinės atrankos dvigubai aklų aktyvios kontrolės tyrimų metu lygintas Vimovo ir skrandyje neiriu dangalu dengto naprokseno (po 500 mg 2 kartus per parą be ezomeprazolo ar kito protonų siurblio inhibitoriaus) poveikis. Po 6 mėn. trukmės gydymo nustatyta, kad vartojant Vimovo skrandžio ir dvylikapirštės žarnos opa susidarė reikšmingai rečiau. Į šiuos tyrimus buvo įtraukiami pacientai, kuriems su NVNU susijusių opų rizika buvo dėl senyvo amžiaus arba anksčiau buvusios skrandžio arba dvylikapirštės žarnos opos. Pacientai, kuriems </w:t>
      </w:r>
      <w:r w:rsidRPr="00964115">
        <w:rPr>
          <w:rFonts w:ascii="Times New Roman" w:eastAsia="Calibri" w:hAnsi="Times New Roman" w:cs="Times New Roman"/>
          <w:i/>
          <w:lang w:val="lt-LT"/>
        </w:rPr>
        <w:t>H. pylori</w:t>
      </w:r>
      <w:r w:rsidRPr="00964115">
        <w:rPr>
          <w:rFonts w:ascii="Times New Roman" w:eastAsia="Calibri" w:hAnsi="Times New Roman" w:cs="Times New Roman"/>
          <w:lang w:val="lt-LT"/>
        </w:rPr>
        <w:t xml:space="preserve"> testas buvo teigiamas, į šiuos tyrimus nebuvo įtraukiami.</w:t>
      </w:r>
    </w:p>
    <w:p w14:paraId="6F94B28B" w14:textId="77777777" w:rsidR="00797756" w:rsidRPr="00964115" w:rsidRDefault="00797756" w:rsidP="00797756">
      <w:pPr>
        <w:spacing w:after="0" w:line="240" w:lineRule="auto"/>
        <w:rPr>
          <w:rFonts w:ascii="Times New Roman" w:eastAsia="Calibri" w:hAnsi="Times New Roman" w:cs="Times New Roman"/>
          <w:lang w:val="lt-LT"/>
        </w:rPr>
      </w:pPr>
    </w:p>
    <w:p w14:paraId="6F94B28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Bendrais duomenimis, skrandžio opa pasireiškė 5,6 %, Vimovo ir 23,7 % skrandyje neiriu dangalu dengtą naprokseną vartojusių pacientų. Be to, bendrais duomenimis, vartojant Vimovo reikšmingai rečiau negu vartojant skrandyje neiriu dangalu dengtą naprokseną pasireiškė dvylikapirštės žarnos opa (atitinkamai 0,7 % ir 5,4 %). </w:t>
      </w:r>
    </w:p>
    <w:p w14:paraId="6F94B28D" w14:textId="77777777" w:rsidR="00797756" w:rsidRPr="00964115" w:rsidRDefault="00797756" w:rsidP="00797756">
      <w:pPr>
        <w:spacing w:after="0" w:line="240" w:lineRule="auto"/>
        <w:rPr>
          <w:rFonts w:ascii="Times New Roman" w:eastAsia="Calibri" w:hAnsi="Times New Roman" w:cs="Times New Roman"/>
          <w:lang w:val="lt-LT"/>
        </w:rPr>
      </w:pPr>
    </w:p>
    <w:p w14:paraId="6F94B28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Taip pat, bendrais duomenimis, iš anksto numatytų su NVNU susijusių viršutinės virškinimo trakto dalies nepageidaujamų reiškinių šių tyrimų metu vartojant Vimovo pasireiškė reikšmingai rečiau negu vartojant skrandyje neiriu dangalu dengtą naprokseną (atitinkamai 53,3 % ir 70,4 %).</w:t>
      </w:r>
    </w:p>
    <w:p w14:paraId="6F94B28F" w14:textId="77777777" w:rsidR="00797756" w:rsidRPr="00964115" w:rsidRDefault="00797756" w:rsidP="00797756">
      <w:pPr>
        <w:spacing w:after="0" w:line="240" w:lineRule="auto"/>
        <w:rPr>
          <w:rFonts w:ascii="Times New Roman" w:eastAsia="Calibri" w:hAnsi="Times New Roman" w:cs="Times New Roman"/>
          <w:lang w:val="lt-LT"/>
        </w:rPr>
      </w:pPr>
    </w:p>
    <w:p w14:paraId="6F94B29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Į Vimovo tyrimus buvo įtraukiami tik tokie pacientai, kuriems su NVNU susijusių skrandžio ir dvylikapirštės žarnos opų rizika buvo padidėjusi, t.y. vyresni kaip 50 metų arba anksčiau sirgę nekomplikuota opa; kartu buvo leidžiama vartoti mažą acetilsalicilo rūgšties dozę. Pogrupių analizės patvirtino tokias pačias Vimovo veiksmingumo norint išvengti virškinimo trakto opos tendencijas, kokios buvo nustatytos bendroje populiacijoje. Tiriant mažą acetilsalicilo rūgšties dozę vartojusius pacientus nustatyta, kad skrandžio ar dvylikapirštės žarnos opa pasireiškė 4 % (95 % PI 1,1-10 %) Vimovo grupės pacientų (n = 99) ir 32,4 % (95 % PI 23,4-42,3 %) vien skrandyje neiriu dangalu dengtą naprokseną vartojusių pacientų (n = 102). Tiriant senyvus (60 metų ir vyresnius) žmones nustatyta, kad skrandžio ar dvylikapirštės žarnos opa pasireiškė 3,3 % (95 % PI 1,3-6,7 %) Vimovo grupės pacientų (n = 212) ir 30,1 % (95 % PI 24,0-36,9 %) vien skrandyje neiriu dangalu dengtą naprokseną vartojusių pacientų (n = 209).</w:t>
      </w:r>
    </w:p>
    <w:p w14:paraId="6F94B291" w14:textId="77777777" w:rsidR="00797756" w:rsidRPr="00964115" w:rsidRDefault="00797756" w:rsidP="00797756">
      <w:pPr>
        <w:spacing w:after="0" w:line="240" w:lineRule="auto"/>
        <w:rPr>
          <w:rFonts w:ascii="Times New Roman" w:eastAsia="Calibri" w:hAnsi="Times New Roman" w:cs="Times New Roman"/>
          <w:lang w:val="lt-LT"/>
        </w:rPr>
      </w:pPr>
    </w:p>
    <w:p w14:paraId="6F94B29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Dviejų klinikinių tyrimų metu per 6 mėn. Vimovo sukėlė mažiau viršutinės pilvo dalies diskomforto reiškinių (vertinant pagal dispepsijos simptomus) negu skrandyje neiriu dangalu dengtas naproksenas. Šių tyrimų metu dėl nepageidaujamų reiškinių Vimovo vartojimą per anksti nutraukė reikšmingai mažiau pacientų (7,9 %) negu vien skrandyje neiriu dangalu dengto naprokseno vartojimą (12,5 %); atitinkamai 4 % ir 12 % pacientų vaistinių preparatų vartojimą nutraukė dėl viršutinės virškinimo trakto dalies nepageidaujamų reiškinių, įskaitant dvylikapirštės žarnos opą. Vimovo vartojimo trukmės vidurkis buvo 152 dienos, vien skrandyje neiriu dangalu dengto naprokseno – 124 dienos.</w:t>
      </w:r>
    </w:p>
    <w:p w14:paraId="6F94B293" w14:textId="77777777" w:rsidR="00797756" w:rsidRPr="00964115" w:rsidRDefault="00797756" w:rsidP="00797756">
      <w:pPr>
        <w:spacing w:after="0" w:line="240" w:lineRule="auto"/>
        <w:rPr>
          <w:rFonts w:ascii="Times New Roman" w:eastAsia="Calibri" w:hAnsi="Times New Roman" w:cs="Times New Roman"/>
          <w:lang w:val="lt-LT"/>
        </w:rPr>
      </w:pPr>
    </w:p>
    <w:p w14:paraId="6F94B294"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Dviejų 12 savaičių trukmės tyrimų, kuriuose dalyvavo kelio osteoartritu sirgę pacientai, metu Vimovo (po 500 mg/20 mg 2 kartus per parą) sukėlė panašų skausmo susilpnėjimą ir funkcijos pagerėjimą kaip 200 mg celecokcibo 1 kartą per parą. Taip pat buvo panašūs laikotarpio iki skausmo palengvėjimo trukmė ir vartojimo nutraukimo dėl nepageidaujamų reiškinių dažnis.</w:t>
      </w:r>
    </w:p>
    <w:p w14:paraId="6F94B295" w14:textId="77777777" w:rsidR="00797756" w:rsidRPr="00964115" w:rsidRDefault="00797756" w:rsidP="00797756">
      <w:pPr>
        <w:spacing w:after="0" w:line="240" w:lineRule="auto"/>
        <w:rPr>
          <w:rFonts w:ascii="Times New Roman" w:eastAsia="Calibri" w:hAnsi="Times New Roman" w:cs="Times New Roman"/>
          <w:lang w:val="lt-LT"/>
        </w:rPr>
      </w:pPr>
    </w:p>
    <w:p w14:paraId="6F94B296"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Vaikų populiacija</w:t>
      </w:r>
    </w:p>
    <w:p w14:paraId="6F94B29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Europos vaistų agentūra atleido nuo įpareigojimo pateikti Vimovo tyrimų duomenis.</w:t>
      </w:r>
    </w:p>
    <w:p w14:paraId="6F94B298" w14:textId="77777777" w:rsidR="00797756" w:rsidRPr="00964115" w:rsidRDefault="00797756" w:rsidP="00797756">
      <w:pPr>
        <w:spacing w:after="0" w:line="240" w:lineRule="auto"/>
        <w:rPr>
          <w:rFonts w:ascii="Times New Roman" w:eastAsia="Calibri" w:hAnsi="Times New Roman" w:cs="Times New Roman"/>
          <w:lang w:val="lt-LT"/>
        </w:rPr>
      </w:pPr>
    </w:p>
    <w:p w14:paraId="6F94B299" w14:textId="77777777" w:rsidR="00797756" w:rsidRPr="00964115" w:rsidRDefault="00797756" w:rsidP="00797756">
      <w:pPr>
        <w:spacing w:after="0" w:line="240" w:lineRule="auto"/>
        <w:rPr>
          <w:rFonts w:ascii="Times New Roman" w:eastAsia="Calibri" w:hAnsi="Times New Roman" w:cs="Times New Roman"/>
          <w:b/>
          <w:lang w:val="lt-LT"/>
        </w:rPr>
      </w:pPr>
      <w:bookmarkStart w:id="31" w:name="_Toc129243113"/>
      <w:bookmarkStart w:id="32" w:name="_Toc129243238"/>
      <w:r w:rsidRPr="00964115">
        <w:rPr>
          <w:rFonts w:ascii="Times New Roman" w:eastAsia="Calibri" w:hAnsi="Times New Roman" w:cs="Times New Roman"/>
          <w:b/>
          <w:lang w:val="lt-LT"/>
        </w:rPr>
        <w:t>5.2</w:t>
      </w:r>
      <w:r w:rsidRPr="00964115">
        <w:rPr>
          <w:rFonts w:ascii="Times New Roman" w:eastAsia="Calibri" w:hAnsi="Times New Roman" w:cs="Times New Roman"/>
          <w:b/>
          <w:lang w:val="lt-LT"/>
        </w:rPr>
        <w:tab/>
        <w:t>Farmakokinetinės savybės</w:t>
      </w:r>
      <w:bookmarkEnd w:id="31"/>
      <w:bookmarkEnd w:id="32"/>
    </w:p>
    <w:p w14:paraId="6F94B29A" w14:textId="77777777" w:rsidR="00797756" w:rsidRPr="00964115" w:rsidRDefault="00797756" w:rsidP="00797756">
      <w:pPr>
        <w:spacing w:after="0" w:line="240" w:lineRule="auto"/>
        <w:rPr>
          <w:rFonts w:ascii="Times New Roman" w:eastAsia="Calibri" w:hAnsi="Times New Roman" w:cs="Times New Roman"/>
          <w:lang w:val="lt-LT"/>
        </w:rPr>
      </w:pPr>
    </w:p>
    <w:p w14:paraId="6F94B29B"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Absorbcija</w:t>
      </w:r>
    </w:p>
    <w:p w14:paraId="6F94B29C"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Naproksenas</w:t>
      </w:r>
    </w:p>
    <w:p w14:paraId="6F94B29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Vartojant Vimovo 2 kartus per parą esant pusiausvyrinei būklei, didžiausios naprokseno koncentracijos plazmoje susidarymo trukmės mediana išgėrus rytinę ar vakarinę dozę būna 3 val. Didžiausia naprokseno koncentracija plazmoje pirmąją vartojimo dieną susidaro truputį vėliau: jos susidarymo trukmės mediana išgėrus rytinę dozę būna 4 val., o išgėrus vakarinę – 5 val.</w:t>
      </w:r>
    </w:p>
    <w:p w14:paraId="6F94B29E" w14:textId="77777777" w:rsidR="00797756" w:rsidRPr="00964115" w:rsidRDefault="00797756" w:rsidP="00797756">
      <w:pPr>
        <w:spacing w:after="0" w:line="240" w:lineRule="auto"/>
        <w:rPr>
          <w:rFonts w:ascii="Times New Roman" w:eastAsia="Calibri" w:hAnsi="Times New Roman" w:cs="Times New Roman"/>
          <w:lang w:val="lt-LT"/>
        </w:rPr>
      </w:pPr>
    </w:p>
    <w:p w14:paraId="6F94B29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Įrodytas Vimovo ir </w:t>
      </w:r>
      <w:bookmarkStart w:id="33" w:name="OLE_LINK1"/>
      <w:bookmarkStart w:id="34" w:name="OLE_LINK2"/>
      <w:r w:rsidRPr="00964115">
        <w:rPr>
          <w:rFonts w:ascii="Times New Roman" w:eastAsia="Calibri" w:hAnsi="Times New Roman" w:cs="Times New Roman"/>
          <w:lang w:val="lt-LT"/>
        </w:rPr>
        <w:t xml:space="preserve">skrandyje neiriu dangalu </w:t>
      </w:r>
      <w:bookmarkEnd w:id="33"/>
      <w:bookmarkEnd w:id="34"/>
      <w:r w:rsidRPr="00964115">
        <w:rPr>
          <w:rFonts w:ascii="Times New Roman" w:eastAsia="Calibri" w:hAnsi="Times New Roman" w:cs="Times New Roman"/>
          <w:lang w:val="lt-LT"/>
        </w:rPr>
        <w:t>dengto naprokseno bioekvivalentiškumas pagal plotą po naprokseno koncentracijos plazmoje kitimo priklausomai nuo laiko kreive (AUC) ir didžiausią naprokseno koncentraciją plazmoje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w:t>
      </w:r>
    </w:p>
    <w:p w14:paraId="6F94B2A0" w14:textId="77777777" w:rsidR="00797756" w:rsidRPr="00964115" w:rsidRDefault="00797756" w:rsidP="00797756">
      <w:pPr>
        <w:spacing w:after="0" w:line="240" w:lineRule="auto"/>
        <w:rPr>
          <w:rFonts w:ascii="Times New Roman" w:eastAsia="Calibri" w:hAnsi="Times New Roman" w:cs="Times New Roman"/>
          <w:lang w:val="lt-LT"/>
        </w:rPr>
      </w:pPr>
    </w:p>
    <w:p w14:paraId="6F94B2A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Naproksenas greitai ir visas absorbuojamas virškinimo trakte, jo biologinis įsisavinamumas </w:t>
      </w:r>
      <w:r w:rsidRPr="00964115">
        <w:rPr>
          <w:rFonts w:ascii="Times New Roman" w:eastAsia="Calibri" w:hAnsi="Times New Roman" w:cs="Times New Roman"/>
          <w:i/>
          <w:lang w:val="lt-LT"/>
        </w:rPr>
        <w:t xml:space="preserve">in vivo </w:t>
      </w:r>
      <w:r w:rsidRPr="00964115">
        <w:rPr>
          <w:rFonts w:ascii="Times New Roman" w:eastAsia="Calibri" w:hAnsi="Times New Roman" w:cs="Times New Roman"/>
          <w:lang w:val="lt-LT"/>
        </w:rPr>
        <w:t xml:space="preserve">yra 95 %. </w:t>
      </w:r>
    </w:p>
    <w:p w14:paraId="6F94B2A2" w14:textId="77777777" w:rsidR="00797756" w:rsidRPr="00964115" w:rsidRDefault="00797756" w:rsidP="00797756">
      <w:pPr>
        <w:spacing w:after="0" w:line="240" w:lineRule="auto"/>
        <w:rPr>
          <w:rFonts w:ascii="Times New Roman" w:eastAsia="Calibri" w:hAnsi="Times New Roman" w:cs="Times New Roman"/>
          <w:lang w:val="lt-LT"/>
        </w:rPr>
      </w:pPr>
    </w:p>
    <w:p w14:paraId="6F94B2A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Naprokseno pusiausvyrinė koncentracija susidaro per 4</w:t>
      </w:r>
      <w:r w:rsidRPr="00964115">
        <w:rPr>
          <w:rFonts w:ascii="Times New Roman" w:eastAsia="Calibri" w:hAnsi="Times New Roman" w:cs="Times New Roman"/>
          <w:lang w:val="lt-LT"/>
        </w:rPr>
        <w:noBreakHyphen/>
        <w:t>5 dienas.</w:t>
      </w:r>
    </w:p>
    <w:p w14:paraId="6F94B2A4" w14:textId="77777777" w:rsidR="00797756" w:rsidRPr="00964115" w:rsidRDefault="00797756" w:rsidP="00797756">
      <w:pPr>
        <w:spacing w:after="0" w:line="240" w:lineRule="auto"/>
        <w:rPr>
          <w:rFonts w:ascii="Times New Roman" w:eastAsia="Calibri" w:hAnsi="Times New Roman" w:cs="Times New Roman"/>
          <w:b/>
          <w:lang w:val="lt-LT"/>
        </w:rPr>
      </w:pPr>
    </w:p>
    <w:p w14:paraId="6F94B2A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Ezomeprazolas</w:t>
      </w:r>
    </w:p>
    <w:p w14:paraId="6F94B2A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Vartojant Vimovo 2 kartus per parą, ezomeprazolas greitai absorbuojamas. Didžiausios jo koncentracijos plazmoje susidarymo trukmės mediana pirmąją vartojimo dieną ar esant pusiausvyrinei būklei išgėrus rytinę ar vakarinę dozę būna 30</w:t>
      </w:r>
      <w:r w:rsidRPr="00964115">
        <w:rPr>
          <w:rFonts w:ascii="Times New Roman" w:eastAsia="Calibri" w:hAnsi="Times New Roman" w:cs="Times New Roman"/>
          <w:lang w:val="lt-LT"/>
        </w:rPr>
        <w:noBreakHyphen/>
        <w:t>45 min. Kartotinai vartojant Vimovo 2 kartus per parą,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 xml:space="preserve"> būna 2-3 kartus didesnė, o AUC – 4-5 kartus didesnis negu pirmą vartojimo dieną. Tikriausiai tai iš dalies priklauso nuo greitesnės absorbcijos, kurią nulemia farmakodinaminio ezomeprazolo poveikio sukeltas vidinio skrandžio pH padidėjimas (tuomet veikiant rūgščiai skrandyje suyra mažiau ezomeprazolo). Be to, įtakos didesnei ezomeprazolo koncentracijai esant pusiausvyrinei būklei turi vartojant kartotinai sumažėjantys jo priešsisteminis metabolizmas ir sisteminis klirensas (žr. „Tiesinis / netiesinis pobūdis“).</w:t>
      </w:r>
    </w:p>
    <w:p w14:paraId="6F94B2A7" w14:textId="77777777" w:rsidR="00797756" w:rsidRPr="00964115" w:rsidRDefault="00797756" w:rsidP="00797756">
      <w:pPr>
        <w:spacing w:after="0" w:line="240" w:lineRule="auto"/>
        <w:rPr>
          <w:rFonts w:ascii="Times New Roman" w:eastAsia="Calibri" w:hAnsi="Times New Roman" w:cs="Times New Roman"/>
          <w:lang w:val="lt-LT"/>
        </w:rPr>
      </w:pPr>
    </w:p>
    <w:p w14:paraId="6F94B2A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Nustatyta, kad vartojant 20 mg NEXIUM 1 kartą per parą ir Vimovo 2 kartus per parą AUC diapazonas esant pusiausvyrinei būklei būna panašus (atitinkamai 292- 2279 ng/ml ir 189-2931 ng/ml), tačiau vidutinė ekspozicija vartojant Vimovo būna 60 % didesnė (PI 1,28-1,93) (to ir reikėtų tikėtis, kadangi suminė ezomeprazolo dozė vartojant Vimovo ir NEXIUM būna skirtinga, atitinkamai 40 mg ir 20 mg). Vartojant Vimovo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 xml:space="preserve"> buvo 60 % didesnė (PI 1,27-2,02) (to ir reikėtų tikėtis vartojant greito atpalaidavimo formą).</w:t>
      </w:r>
    </w:p>
    <w:p w14:paraId="6F94B2A9" w14:textId="77777777" w:rsidR="00797756" w:rsidRPr="00964115" w:rsidRDefault="00797756" w:rsidP="00797756">
      <w:pPr>
        <w:spacing w:after="0" w:line="240" w:lineRule="auto"/>
        <w:rPr>
          <w:rFonts w:ascii="Times New Roman" w:eastAsia="Calibri" w:hAnsi="Times New Roman" w:cs="Times New Roman"/>
          <w:lang w:val="lt-LT"/>
        </w:rPr>
      </w:pPr>
    </w:p>
    <w:p w14:paraId="6F94B2AA"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Vartojimas valgant</w:t>
      </w:r>
    </w:p>
    <w:p w14:paraId="6F94B2A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geriant valgio metu naprokseno absorbuojama tiek pat, bet reikšmingai (maždaug 8 val.) lėčiau. Didžiausia jo koncentracija plazmoje būna apie 12 % mažesnė.</w:t>
      </w:r>
    </w:p>
    <w:p w14:paraId="6F94B2AC" w14:textId="77777777" w:rsidR="00797756" w:rsidRPr="00964115" w:rsidRDefault="00797756" w:rsidP="00797756">
      <w:pPr>
        <w:spacing w:after="0" w:line="240" w:lineRule="auto"/>
        <w:rPr>
          <w:rFonts w:ascii="Times New Roman" w:eastAsia="Calibri" w:hAnsi="Times New Roman" w:cs="Times New Roman"/>
          <w:lang w:val="lt-LT"/>
        </w:rPr>
      </w:pPr>
    </w:p>
    <w:p w14:paraId="6F94B2A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geriant valgio metu ezomeprazolo absorbcija nesulėtėja, tačiau jo absorbuojama reikšmingai mažiau, todėl ezomeprazolo AUC būna mažesnis 52 %, o C</w:t>
      </w:r>
      <w:r w:rsidRPr="00964115">
        <w:rPr>
          <w:rFonts w:ascii="Times New Roman" w:eastAsia="Calibri" w:hAnsi="Times New Roman" w:cs="Times New Roman"/>
          <w:vertAlign w:val="subscript"/>
          <w:lang w:val="lt-LT"/>
        </w:rPr>
        <w:t>max</w:t>
      </w:r>
      <w:r w:rsidRPr="00964115">
        <w:rPr>
          <w:rFonts w:ascii="Times New Roman" w:eastAsia="Calibri" w:hAnsi="Times New Roman" w:cs="Times New Roman"/>
          <w:lang w:val="lt-LT"/>
        </w:rPr>
        <w:t xml:space="preserve"> – 75 %.</w:t>
      </w:r>
    </w:p>
    <w:p w14:paraId="6F94B2AE" w14:textId="77777777" w:rsidR="00797756" w:rsidRPr="00964115" w:rsidRDefault="00797756" w:rsidP="00797756">
      <w:pPr>
        <w:spacing w:after="0" w:line="240" w:lineRule="auto"/>
        <w:rPr>
          <w:rFonts w:ascii="Times New Roman" w:eastAsia="Calibri" w:hAnsi="Times New Roman" w:cs="Times New Roman"/>
          <w:lang w:val="lt-LT"/>
        </w:rPr>
      </w:pPr>
    </w:p>
    <w:p w14:paraId="6F94B2A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išgėrus 30 min. prieš valgį, naprokseno absorbcijos greitį ir absorbuojamą jo kiekį maistas veikia labai mažai arba visai jo neveikia; taip pat reikšmingai neveikia absorbuojamo ezomeprazolo kiekio ir jo absorbcijos greičio (palygus su vartojimu nevalgius) (žr. 4.2 skyrių).</w:t>
      </w:r>
    </w:p>
    <w:p w14:paraId="6F94B2B0" w14:textId="77777777" w:rsidR="00797756" w:rsidRPr="00964115" w:rsidRDefault="00797756" w:rsidP="00797756">
      <w:pPr>
        <w:spacing w:after="0" w:line="240" w:lineRule="auto"/>
        <w:rPr>
          <w:rFonts w:ascii="Times New Roman" w:eastAsia="Calibri" w:hAnsi="Times New Roman" w:cs="Times New Roman"/>
          <w:lang w:val="lt-LT"/>
        </w:rPr>
      </w:pPr>
    </w:p>
    <w:p w14:paraId="6F94B2B1"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Pasiskirstymas</w:t>
      </w:r>
    </w:p>
    <w:p w14:paraId="6F94B2B2"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Naproksenas</w:t>
      </w:r>
    </w:p>
    <w:p w14:paraId="6F94B2B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Naprokseno pasiskirstymo tūris yra 0,16 l/kg. Esant terapinėms koncentracijoms daugiau kaip 99 % naprokseno būna prisijungusio prie albumino. Naprokseno anijono rasta žindančių moterų piene (koncentracija sudarė maždaug 1 % didžiausios jo koncentracijos plazmoje) (žr. 4.6 skyrių).</w:t>
      </w:r>
    </w:p>
    <w:p w14:paraId="6F94B2B4" w14:textId="77777777" w:rsidR="00797756" w:rsidRPr="00964115" w:rsidRDefault="00797756" w:rsidP="00797756">
      <w:pPr>
        <w:spacing w:after="0" w:line="240" w:lineRule="auto"/>
        <w:rPr>
          <w:rFonts w:ascii="Times New Roman" w:eastAsia="Calibri" w:hAnsi="Times New Roman" w:cs="Times New Roman"/>
          <w:lang w:val="lt-LT"/>
        </w:rPr>
      </w:pPr>
    </w:p>
    <w:p w14:paraId="6F94B2B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Ezomeprazolas</w:t>
      </w:r>
    </w:p>
    <w:p w14:paraId="6F94B2B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Tariamasis pasiskirstymo tūris sveikų asmenų organizme esant pusiausvyrinei būklei būna maždaug 0,22 l/kg kūno svorio. 97 % ezomeprazolo būna prisijungusio prie plazmos baltymų.</w:t>
      </w:r>
    </w:p>
    <w:p w14:paraId="6F94B2B7" w14:textId="77777777" w:rsidR="00797756" w:rsidRPr="00964115" w:rsidRDefault="00797756" w:rsidP="00797756">
      <w:pPr>
        <w:spacing w:after="0" w:line="240" w:lineRule="auto"/>
        <w:rPr>
          <w:rFonts w:ascii="Times New Roman" w:eastAsia="Calibri" w:hAnsi="Times New Roman" w:cs="Times New Roman"/>
          <w:lang w:val="lt-LT"/>
        </w:rPr>
      </w:pPr>
    </w:p>
    <w:p w14:paraId="6F94B2B8"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Biotransformacja</w:t>
      </w:r>
    </w:p>
    <w:p w14:paraId="6F94B2B9"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Naproksenas</w:t>
      </w:r>
    </w:p>
    <w:p w14:paraId="6F94B2B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Kepenyse citochromo P450 (CYP) sistemos fermentai (daugiausia CYP2C9) metabolizuoja 30 % naprokseno į 6-0-desmetilnaprokseną. Nei nepakitęs naproksenas, nei jo metabolitai metabolizuojančių fermentų neindukuoja. Naproksenas ir 6-0-desmetilnaproksenas toliau metabolizuojami į atitinkamus su acilglukuronidu konjuguotus metabolitus.</w:t>
      </w:r>
    </w:p>
    <w:p w14:paraId="6F94B2BB" w14:textId="77777777" w:rsidR="00797756" w:rsidRPr="00964115" w:rsidRDefault="00797756" w:rsidP="00797756">
      <w:pPr>
        <w:spacing w:after="0" w:line="240" w:lineRule="auto"/>
        <w:rPr>
          <w:rFonts w:ascii="Times New Roman" w:eastAsia="Calibri" w:hAnsi="Times New Roman" w:cs="Times New Roman"/>
          <w:lang w:val="lt-LT"/>
        </w:rPr>
      </w:pPr>
    </w:p>
    <w:p w14:paraId="6F94B2BC"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Ezomeprazolas</w:t>
      </w:r>
    </w:p>
    <w:p w14:paraId="6F94B2B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Ezomeprazolą pilnai metabolizuoja CYP fermentų sistema. Pagrindinė ezomeprazolo metabolizmo dalis priklauso nuo polimorfinio CYP2C19, katalizuojančio ezomeprazolo hidroksi- ir desmetil- metabolitų susidarymą. Likusią ezomeprazolo dalį metabolizuoja kita specifinė izoforma (CYP3A4), katalizuojanti ezomeprazolo sulfono (pagrindinio plazmoje randamo metabolito), susidarymą. Ezomeprazolo pagrindiniai metabolitai skrandžio sekrecijos neveikia.</w:t>
      </w:r>
    </w:p>
    <w:p w14:paraId="6F94B2BE" w14:textId="77777777" w:rsidR="00797756" w:rsidRPr="00964115" w:rsidRDefault="00797756" w:rsidP="00797756">
      <w:pPr>
        <w:spacing w:after="0" w:line="240" w:lineRule="auto"/>
        <w:rPr>
          <w:rFonts w:ascii="Times New Roman" w:eastAsia="Calibri" w:hAnsi="Times New Roman" w:cs="Times New Roman"/>
          <w:lang w:val="lt-LT"/>
        </w:rPr>
      </w:pPr>
    </w:p>
    <w:p w14:paraId="6F94B2BF"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Eliminacija</w:t>
      </w:r>
    </w:p>
    <w:p w14:paraId="6F94B2C0"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Naproksenas</w:t>
      </w:r>
    </w:p>
    <w:p w14:paraId="6F94B2C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Vartojant Vimovo 2 kartus per parą, vidutinis pusinis naprokseno eliminacijos laikas išgėrus rytinę dozę būna apie 9 val., o išgėrus vakarinę – apie 15 val. Vaistinio preparato vartojant kartotinai šie rodikliai nepakinta.</w:t>
      </w:r>
    </w:p>
    <w:p w14:paraId="6F94B2C2" w14:textId="77777777" w:rsidR="00797756" w:rsidRPr="00964115" w:rsidRDefault="00797756" w:rsidP="00797756">
      <w:pPr>
        <w:spacing w:after="0" w:line="240" w:lineRule="auto"/>
        <w:rPr>
          <w:rFonts w:ascii="Times New Roman" w:eastAsia="Calibri" w:hAnsi="Times New Roman" w:cs="Times New Roman"/>
          <w:lang w:val="lt-LT"/>
        </w:rPr>
      </w:pPr>
    </w:p>
    <w:p w14:paraId="6F94B2C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Naprokseno klirensas yra 0,13 ml/min/kg. Maždaug 95 % bet kurios naprokseno dozės išskiriama su šla</w:t>
      </w:r>
      <w:r w:rsidRPr="00964115">
        <w:rPr>
          <w:rFonts w:ascii="Times New Roman" w:eastAsia="Calibri" w:hAnsi="Times New Roman" w:cs="Times New Roman"/>
          <w:lang w:val="lt-LT"/>
        </w:rPr>
        <w:softHyphen/>
        <w:t>pimu naprokseno (&lt; 1 %), 6-0-desmetilnaprokseno ( &lt; 1 %) ir jų konjugatų (66</w:t>
      </w:r>
      <w:r w:rsidRPr="00964115">
        <w:rPr>
          <w:rFonts w:ascii="Times New Roman" w:eastAsia="Calibri" w:hAnsi="Times New Roman" w:cs="Times New Roman"/>
          <w:lang w:val="lt-LT"/>
        </w:rPr>
        <w:noBreakHyphen/>
        <w:t>92 %) pavidalo. Nedidelis kiekis (≤ 3 % pavartotos dozės) patenka į išmatas. Inkstų nepakankamumu sergančių pacientų organizme metabolitai gali kauptis (žr. 4.4 skyrių).</w:t>
      </w:r>
    </w:p>
    <w:p w14:paraId="6F94B2C4" w14:textId="77777777" w:rsidR="00797756" w:rsidRPr="00964115" w:rsidRDefault="00797756" w:rsidP="00797756">
      <w:pPr>
        <w:spacing w:after="0" w:line="240" w:lineRule="auto"/>
        <w:rPr>
          <w:rFonts w:ascii="Times New Roman" w:eastAsia="Calibri" w:hAnsi="Times New Roman" w:cs="Times New Roman"/>
          <w:lang w:val="lt-LT"/>
        </w:rPr>
      </w:pPr>
    </w:p>
    <w:p w14:paraId="6F94B2C5"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Ezomeprazolas</w:t>
      </w:r>
    </w:p>
    <w:p w14:paraId="6F94B2C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Vartojant Vimovo 2 kartus per parą, pirmąją dieną vidutinis pusinis ezomeprazolo eliminacijos laikas išgėrus rytinę ar vakarinę dozę būna apie 1 val. Esant pusiausvyrinei būklei, pusinis eliminacijos laikas būna šiek tiek ilgesnis (1,2-1,5 val.).</w:t>
      </w:r>
    </w:p>
    <w:p w14:paraId="6F94B2C7" w14:textId="77777777" w:rsidR="00797756" w:rsidRPr="00964115" w:rsidRDefault="00797756" w:rsidP="00797756">
      <w:pPr>
        <w:spacing w:after="0" w:line="240" w:lineRule="auto"/>
        <w:rPr>
          <w:rFonts w:ascii="Times New Roman" w:eastAsia="Calibri" w:hAnsi="Times New Roman" w:cs="Times New Roman"/>
          <w:lang w:val="lt-LT"/>
        </w:rPr>
      </w:pPr>
    </w:p>
    <w:p w14:paraId="6F94B2C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Ezomeprazolo bendras plazminis klirensas išgėrus vieną dozę būna apie 17 l/val., vartojant kartotinai – apie 9 l/val.</w:t>
      </w:r>
    </w:p>
    <w:p w14:paraId="6F94B2C9" w14:textId="77777777" w:rsidR="00797756" w:rsidRPr="00964115" w:rsidRDefault="00797756" w:rsidP="00797756">
      <w:pPr>
        <w:spacing w:after="0" w:line="240" w:lineRule="auto"/>
        <w:rPr>
          <w:rFonts w:ascii="Times New Roman" w:eastAsia="Calibri" w:hAnsi="Times New Roman" w:cs="Times New Roman"/>
          <w:lang w:val="lt-LT"/>
        </w:rPr>
      </w:pPr>
    </w:p>
    <w:p w14:paraId="6F94B2C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Beveik 80 % išgertos ezomeprazolo dozės pašalinama su šlapimu metabolitų pavidalo, likusioji dalis patenka į išmatas. Mažiau kaip 1 % nepakitusio ezomeprazolo randama šlapime.</w:t>
      </w:r>
    </w:p>
    <w:p w14:paraId="6F94B2CB" w14:textId="77777777" w:rsidR="00797756" w:rsidRPr="00964115" w:rsidRDefault="00797756" w:rsidP="00797756">
      <w:pPr>
        <w:spacing w:after="0" w:line="240" w:lineRule="auto"/>
        <w:rPr>
          <w:rFonts w:ascii="Times New Roman" w:eastAsia="Calibri" w:hAnsi="Times New Roman" w:cs="Times New Roman"/>
          <w:u w:val="single"/>
          <w:lang w:val="lt-LT"/>
        </w:rPr>
      </w:pPr>
    </w:p>
    <w:p w14:paraId="6F94B2CC"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Tiesinis / netiesinis pobūdis</w:t>
      </w:r>
    </w:p>
    <w:p w14:paraId="6F94B2CD"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Naproksenas</w:t>
      </w:r>
    </w:p>
    <w:p w14:paraId="6F94B2C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Didinant naprokseno paros dozę, didesnę kaip 500 mg, koncentracija plazmoje didėja mažiau negu proporcingai (dėl padidėjusio klirenso). Klirenso padidėjimą lemia tai, kad kai dozė didesnė naproksenui nebeužtenka vietos prisijungti prie plazmos baltymų (vidutinė minimali pusiausvyrinė naprokseno koncentracija vartojant 500 mg per parą būna 36,5 mg/l, vartojant 1000 mg – 49,2 mg/l, o vartojant 1500 mg – 56,4 mg/l).</w:t>
      </w:r>
    </w:p>
    <w:p w14:paraId="6F94B2CF" w14:textId="77777777" w:rsidR="00797756" w:rsidRPr="00964115" w:rsidRDefault="00797756" w:rsidP="00797756">
      <w:pPr>
        <w:spacing w:after="0" w:line="240" w:lineRule="auto"/>
        <w:rPr>
          <w:rFonts w:ascii="Times New Roman" w:eastAsia="Calibri" w:hAnsi="Times New Roman" w:cs="Times New Roman"/>
          <w:u w:val="single"/>
          <w:lang w:val="lt-LT"/>
        </w:rPr>
      </w:pPr>
    </w:p>
    <w:p w14:paraId="6F94B2D0"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Ezomeprazolas</w:t>
      </w:r>
    </w:p>
    <w:p w14:paraId="6F94B2D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vartojant kartotinai, ezomeprazolo AUC didėja. Šis didėjimas priklauso nuo dozės. Tai lemia netiesinį ryšį tarp dozės ir AUC vartojant kartotinai. Priklausomybę nuo laiko ir dozės iš dalies lemia priešsisteminio metabolizmo ir sisteminio klirenso sumažėjimas, kuriuos tikriausiai sąlygoja ezomeprazolo ir (arba) jo sulfoninio metabolito sukeliamas CYP2C19 fermento slopinimas. Be to, įtakos kinetikos priklausomybei nuo laiko ir dozės tikriausiai turi padidėjusi ezomeprazolo absorbcija kartotinai vartojant Vimovo (žr. „Absorbcija“).</w:t>
      </w:r>
    </w:p>
    <w:p w14:paraId="6F94B2D2" w14:textId="77777777" w:rsidR="00797756" w:rsidRPr="00964115" w:rsidRDefault="00797756" w:rsidP="00797756">
      <w:pPr>
        <w:spacing w:after="0" w:line="240" w:lineRule="auto"/>
        <w:rPr>
          <w:rFonts w:ascii="Times New Roman" w:eastAsia="Calibri" w:hAnsi="Times New Roman" w:cs="Times New Roman"/>
          <w:u w:val="single"/>
          <w:lang w:val="lt-LT"/>
        </w:rPr>
      </w:pPr>
    </w:p>
    <w:p w14:paraId="6F94B2D3"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Ypatingos populiacijos</w:t>
      </w:r>
    </w:p>
    <w:p w14:paraId="6F94B2D4" w14:textId="77777777" w:rsidR="00797756" w:rsidRPr="00964115" w:rsidRDefault="00797756" w:rsidP="00797756">
      <w:pPr>
        <w:spacing w:after="0" w:line="240" w:lineRule="auto"/>
        <w:rPr>
          <w:rFonts w:ascii="Times New Roman" w:eastAsia="Calibri" w:hAnsi="Times New Roman" w:cs="Times New Roman"/>
          <w:i/>
          <w:u w:val="single"/>
          <w:lang w:val="lt-LT"/>
        </w:rPr>
      </w:pPr>
    </w:p>
    <w:p w14:paraId="6F94B2D5"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Inkstų funkcijos sutrikimas</w:t>
      </w:r>
    </w:p>
    <w:p w14:paraId="6F94B2D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farmakokinetika inkstų funkcijos sutrikimą turinčių pacientų organizme netirta.</w:t>
      </w:r>
    </w:p>
    <w:p w14:paraId="6F94B2D7" w14:textId="77777777" w:rsidR="00797756" w:rsidRPr="00964115" w:rsidRDefault="00797756" w:rsidP="00797756">
      <w:pPr>
        <w:spacing w:after="0" w:line="240" w:lineRule="auto"/>
        <w:rPr>
          <w:rFonts w:ascii="Times New Roman" w:eastAsia="Calibri" w:hAnsi="Times New Roman" w:cs="Times New Roman"/>
          <w:lang w:val="lt-LT"/>
        </w:rPr>
      </w:pPr>
    </w:p>
    <w:p w14:paraId="6F94B2D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Naproksenas.</w:t>
      </w:r>
      <w:r w:rsidRPr="00964115">
        <w:rPr>
          <w:rFonts w:ascii="Times New Roman" w:eastAsia="Calibri" w:hAnsi="Times New Roman" w:cs="Times New Roman"/>
          <w:lang w:val="lt-LT"/>
        </w:rPr>
        <w:t xml:space="preserve"> Naprokseno farmakokinetika inkstų funkcijos sutrikimą turinčių asmenų organizme netirta.</w:t>
      </w:r>
    </w:p>
    <w:p w14:paraId="6F94B2D9" w14:textId="77777777" w:rsidR="00797756" w:rsidRPr="00964115" w:rsidRDefault="00797756" w:rsidP="00797756">
      <w:pPr>
        <w:spacing w:after="0" w:line="240" w:lineRule="auto"/>
        <w:rPr>
          <w:rFonts w:ascii="Times New Roman" w:eastAsia="Calibri" w:hAnsi="Times New Roman" w:cs="Times New Roman"/>
          <w:lang w:val="lt-LT"/>
        </w:rPr>
      </w:pPr>
    </w:p>
    <w:p w14:paraId="6F94B2D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Daugiausia naprokseno, jo metabolitų ir konjugatų išskiriama per inkstus, todėl naprokseno metabolitai gali kauptis inkstų nepakankamumu sergančių pacientų organizme. Esant sunkiam inkstų funkcijos sutrikimui, naprokseno eliminacija būna lėtesnė. Esant sunkiam inkstų funkcijos sutrikimui (kreatinino klirensas &lt; 30 ml/min.) pacientams Vimovo vartoti negalima (žr. 4.3 skyrių).</w:t>
      </w:r>
    </w:p>
    <w:p w14:paraId="6F94B2DB" w14:textId="77777777" w:rsidR="00797756" w:rsidRPr="00964115" w:rsidRDefault="00797756" w:rsidP="00797756">
      <w:pPr>
        <w:spacing w:after="0" w:line="240" w:lineRule="auto"/>
        <w:rPr>
          <w:rFonts w:ascii="Times New Roman" w:eastAsia="Calibri" w:hAnsi="Times New Roman" w:cs="Times New Roman"/>
          <w:lang w:val="lt-LT"/>
        </w:rPr>
      </w:pPr>
    </w:p>
    <w:p w14:paraId="6F94B2D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Ezomeprazolas.</w:t>
      </w:r>
      <w:r w:rsidRPr="00964115">
        <w:rPr>
          <w:rFonts w:ascii="Times New Roman" w:eastAsia="Calibri" w:hAnsi="Times New Roman" w:cs="Times New Roman"/>
          <w:lang w:val="lt-LT"/>
        </w:rPr>
        <w:t xml:space="preserve"> Ezomeprazolo tyrimų su pacientais, kurių inkstų funkcija sutrikusi, neatlikta. Per inkstus išskiriami ezomeprazolo metabolitai, bet ne nepakitęs ezomeprazo</w:t>
      </w:r>
      <w:r w:rsidRPr="00964115">
        <w:rPr>
          <w:rFonts w:ascii="Times New Roman" w:eastAsia="Calibri" w:hAnsi="Times New Roman" w:cs="Times New Roman"/>
          <w:lang w:val="lt-LT"/>
        </w:rPr>
        <w:softHyphen/>
        <w:t>las, todėl dėl inkstų funkcijos sutrikimo ezomeprazolo eliminacija neturėtų pakisti.</w:t>
      </w:r>
    </w:p>
    <w:p w14:paraId="6F94B2DD" w14:textId="77777777" w:rsidR="00797756" w:rsidRPr="00964115" w:rsidRDefault="00797756" w:rsidP="00797756">
      <w:pPr>
        <w:spacing w:after="0" w:line="240" w:lineRule="auto"/>
        <w:rPr>
          <w:rFonts w:ascii="Times New Roman" w:eastAsia="Calibri" w:hAnsi="Times New Roman" w:cs="Times New Roman"/>
          <w:lang w:val="lt-LT"/>
        </w:rPr>
      </w:pPr>
    </w:p>
    <w:p w14:paraId="6F94B2DE"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 xml:space="preserve">Kepenų funkcijos sutrikimas </w:t>
      </w:r>
    </w:p>
    <w:p w14:paraId="6F94B2D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farmakokinetika pacientų, kurių kepenų funkcija sutrikusi, organizme netirta.</w:t>
      </w:r>
    </w:p>
    <w:p w14:paraId="6F94B2E0" w14:textId="77777777" w:rsidR="00797756" w:rsidRPr="00964115" w:rsidRDefault="00797756" w:rsidP="00797756">
      <w:pPr>
        <w:spacing w:after="0" w:line="240" w:lineRule="auto"/>
        <w:rPr>
          <w:rFonts w:ascii="Times New Roman" w:eastAsia="Calibri" w:hAnsi="Times New Roman" w:cs="Times New Roman"/>
          <w:lang w:val="lt-LT"/>
        </w:rPr>
      </w:pPr>
    </w:p>
    <w:p w14:paraId="6F94B2E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Naproksenas.</w:t>
      </w:r>
      <w:r w:rsidRPr="00964115">
        <w:rPr>
          <w:rFonts w:ascii="Times New Roman" w:eastAsia="Calibri" w:hAnsi="Times New Roman" w:cs="Times New Roman"/>
          <w:lang w:val="lt-LT"/>
        </w:rPr>
        <w:t xml:space="preserve"> Naprokseno farmakokinetika asmenų, kurių kepenų funkcija sutrikusi, organizme netirta.</w:t>
      </w:r>
    </w:p>
    <w:p w14:paraId="6F94B2E2" w14:textId="77777777" w:rsidR="00797756" w:rsidRPr="00964115" w:rsidRDefault="00797756" w:rsidP="00797756">
      <w:pPr>
        <w:spacing w:after="0" w:line="240" w:lineRule="auto"/>
        <w:rPr>
          <w:rFonts w:ascii="Times New Roman" w:eastAsia="Calibri" w:hAnsi="Times New Roman" w:cs="Times New Roman"/>
          <w:lang w:val="lt-LT"/>
        </w:rPr>
      </w:pPr>
    </w:p>
    <w:p w14:paraId="6F94B2E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Dėl lėtinės alkoholinės kepenų ligos ir tikriausiai kitų cirozės formų sumažėja bendra, tačiau padidėja prie baltymų neprisijungusio naprokseno koncentracija plazmoje. Šių duo</w:t>
      </w:r>
      <w:r w:rsidRPr="00964115">
        <w:rPr>
          <w:rFonts w:ascii="Times New Roman" w:eastAsia="Calibri" w:hAnsi="Times New Roman" w:cs="Times New Roman"/>
          <w:lang w:val="lt-LT"/>
        </w:rPr>
        <w:softHyphen/>
        <w:t>me</w:t>
      </w:r>
      <w:r w:rsidRPr="00964115">
        <w:rPr>
          <w:rFonts w:ascii="Times New Roman" w:eastAsia="Calibri" w:hAnsi="Times New Roman" w:cs="Times New Roman"/>
          <w:lang w:val="lt-LT"/>
        </w:rPr>
        <w:softHyphen/>
        <w:t>nų reikšmė Vimovo dozavimui nežinoma, tačiau tokiems pacientams racionalu skirti mažiausią veiks</w:t>
      </w:r>
      <w:r w:rsidRPr="00964115">
        <w:rPr>
          <w:rFonts w:ascii="Times New Roman" w:eastAsia="Calibri" w:hAnsi="Times New Roman" w:cs="Times New Roman"/>
          <w:lang w:val="lt-LT"/>
        </w:rPr>
        <w:softHyphen/>
        <w:t>mingą dozę.</w:t>
      </w:r>
    </w:p>
    <w:p w14:paraId="6F94B2E4" w14:textId="77777777" w:rsidR="00797756" w:rsidRPr="00964115" w:rsidRDefault="00797756" w:rsidP="00797756">
      <w:pPr>
        <w:spacing w:after="0" w:line="240" w:lineRule="auto"/>
        <w:rPr>
          <w:rFonts w:ascii="Times New Roman" w:eastAsia="Calibri" w:hAnsi="Times New Roman" w:cs="Times New Roman"/>
          <w:lang w:val="lt-LT"/>
        </w:rPr>
      </w:pPr>
    </w:p>
    <w:p w14:paraId="6F94B2E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Ezomeprazolas.</w:t>
      </w:r>
      <w:r w:rsidRPr="00964115">
        <w:rPr>
          <w:rFonts w:ascii="Times New Roman" w:eastAsia="Calibri" w:hAnsi="Times New Roman" w:cs="Times New Roman"/>
          <w:lang w:val="lt-LT"/>
        </w:rPr>
        <w:t xml:space="preserve"> Ezomeprazolo metabolizmas lengvo ar vidutinio laipsnio kepenų funkcijos sutrikimą turinčių pacientų organizme gali būti sutrikęs. Sunkų kepenų funkcijos sutrikimą turinčių pacientų organizme metabolizmas būna lėtesnis, todėl ezomeprazolo AUC – 2 kartus didesnis.</w:t>
      </w:r>
    </w:p>
    <w:p w14:paraId="6F94B2E6" w14:textId="77777777" w:rsidR="00797756" w:rsidRPr="00964115" w:rsidRDefault="00797756" w:rsidP="00797756">
      <w:pPr>
        <w:spacing w:after="0" w:line="240" w:lineRule="auto"/>
        <w:rPr>
          <w:rFonts w:ascii="Times New Roman" w:eastAsia="Calibri" w:hAnsi="Times New Roman" w:cs="Times New Roman"/>
          <w:lang w:val="lt-LT"/>
        </w:rPr>
      </w:pPr>
    </w:p>
    <w:p w14:paraId="6F94B2E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Pacientams, sergantiems sunkiu kepenų nepakankamumu, Vimovo vartoti negalima (žr. 4.3 skyrių).</w:t>
      </w:r>
    </w:p>
    <w:p w14:paraId="6F94B2E8" w14:textId="77777777" w:rsidR="00797756" w:rsidRPr="00964115" w:rsidRDefault="00797756" w:rsidP="00797756">
      <w:pPr>
        <w:spacing w:after="0" w:line="240" w:lineRule="auto"/>
        <w:rPr>
          <w:rFonts w:ascii="Times New Roman" w:eastAsia="Calibri" w:hAnsi="Times New Roman" w:cs="Times New Roman"/>
          <w:lang w:val="lt-LT"/>
        </w:rPr>
      </w:pPr>
    </w:p>
    <w:p w14:paraId="6F94B2E9"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Senyviems žmonėms</w:t>
      </w:r>
    </w:p>
    <w:p w14:paraId="6F94B2E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Specifinių Vimovo farmakokinetikos vyresnių kaip 65 metų pacientų organizme duomenų nėra.</w:t>
      </w:r>
    </w:p>
    <w:p w14:paraId="6F94B2EB" w14:textId="77777777" w:rsidR="00797756" w:rsidRPr="00964115" w:rsidRDefault="00797756" w:rsidP="00797756">
      <w:pPr>
        <w:spacing w:after="0" w:line="240" w:lineRule="auto"/>
        <w:rPr>
          <w:rFonts w:ascii="Times New Roman" w:eastAsia="Calibri" w:hAnsi="Times New Roman" w:cs="Times New Roman"/>
          <w:lang w:val="lt-LT"/>
        </w:rPr>
      </w:pPr>
    </w:p>
    <w:p w14:paraId="6F94B2E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Naproksenas.</w:t>
      </w:r>
      <w:r w:rsidRPr="00964115">
        <w:rPr>
          <w:rFonts w:ascii="Times New Roman" w:eastAsia="Calibri" w:hAnsi="Times New Roman" w:cs="Times New Roman"/>
          <w:lang w:val="lt-LT"/>
        </w:rPr>
        <w:t xml:space="preserve"> Tyrimų duomenys rodo, kad bendra naprokseno koncentracija plazmoje senyvų žmonių būna tokia pati, tačiau jo neprisijungusioji frakcija – didesnė. Vis dėlto pažymėtina, kad neprisijungusioji frakcija sudaro tik &lt; 1 % visos naprokseno koncentracijos. Šio skirtumo klinikinė reikšmė neaiški, tačiau didesnė laisvojo naprokseno koncentracija gali būti susijusi su dažnesniais nepageidaujamais reiškiniais kai kuriems senyviems žmonėms vartojant konkrečią dozę.</w:t>
      </w:r>
    </w:p>
    <w:p w14:paraId="6F94B2ED" w14:textId="77777777" w:rsidR="00797756" w:rsidRPr="00964115" w:rsidRDefault="00797756" w:rsidP="00797756">
      <w:pPr>
        <w:spacing w:after="0" w:line="240" w:lineRule="auto"/>
        <w:rPr>
          <w:rFonts w:ascii="Times New Roman" w:eastAsia="Calibri" w:hAnsi="Times New Roman" w:cs="Times New Roman"/>
          <w:lang w:val="lt-LT"/>
        </w:rPr>
      </w:pPr>
    </w:p>
    <w:p w14:paraId="6F94B2E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Ezomeprazolas.</w:t>
      </w:r>
      <w:r w:rsidRPr="00964115">
        <w:rPr>
          <w:rFonts w:ascii="Times New Roman" w:eastAsia="Calibri" w:hAnsi="Times New Roman" w:cs="Times New Roman"/>
          <w:lang w:val="lt-LT"/>
        </w:rPr>
        <w:t xml:space="preserve"> Ezomeprazolo metabolizmas senyvų (71-80 metų) asmenų organizme reikšmingai nesiskiria.</w:t>
      </w:r>
    </w:p>
    <w:p w14:paraId="6F94B2EF" w14:textId="77777777" w:rsidR="00797756" w:rsidRPr="00964115" w:rsidRDefault="00797756" w:rsidP="00797756">
      <w:pPr>
        <w:spacing w:after="0" w:line="240" w:lineRule="auto"/>
        <w:rPr>
          <w:rFonts w:ascii="Times New Roman" w:eastAsia="Calibri" w:hAnsi="Times New Roman" w:cs="Times New Roman"/>
          <w:lang w:val="lt-LT"/>
        </w:rPr>
      </w:pPr>
    </w:p>
    <w:p w14:paraId="6F94B2F0"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Lėti CYP2C19 metabolizuotojai</w:t>
      </w:r>
    </w:p>
    <w:p w14:paraId="6F94B2F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Ezomeprazolas.</w:t>
      </w:r>
      <w:r w:rsidRPr="00964115">
        <w:rPr>
          <w:rFonts w:ascii="Times New Roman" w:eastAsia="Calibri" w:hAnsi="Times New Roman" w:cs="Times New Roman"/>
          <w:lang w:val="lt-LT"/>
        </w:rPr>
        <w:t xml:space="preserve"> Maždaug 3 % žmonių neturi funkcionuojančio CYP2C19 fermento ir vadinami lėtaisiais metabolizuotojais. Pagrindinis ezomeprazolo metabolizmo katalizatorius jų organizme tikriausiai yra CYP3A4. Kartotinai vartojant 40 mg ezomeprazolo 1 kartą per parą, vidutinis AUC lėtų metabolizuotojų plazmoje būna maždaug 100 % didesnis negu turinčių funkcionuojantį CYP2C19 fermentą (ekstensyvių metabolizuotojų). Vidutinė didžiausia ezomeprazolo koncentracija jų plazmoje būna maždaug 60 % didesnė.</w:t>
      </w:r>
    </w:p>
    <w:p w14:paraId="6F94B2F2" w14:textId="77777777" w:rsidR="00797756" w:rsidRPr="00964115" w:rsidRDefault="00797756" w:rsidP="00797756">
      <w:pPr>
        <w:spacing w:after="0" w:line="240" w:lineRule="auto"/>
        <w:rPr>
          <w:rFonts w:ascii="Times New Roman" w:eastAsia="Calibri" w:hAnsi="Times New Roman" w:cs="Times New Roman"/>
          <w:lang w:val="lt-LT"/>
        </w:rPr>
      </w:pPr>
    </w:p>
    <w:p w14:paraId="6F94B2F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Šie duomenys įtakos Vimovo dozavimui neturi.</w:t>
      </w:r>
    </w:p>
    <w:p w14:paraId="6F94B2F4" w14:textId="77777777" w:rsidR="00797756" w:rsidRPr="00964115" w:rsidRDefault="00797756" w:rsidP="00797756">
      <w:pPr>
        <w:spacing w:after="0" w:line="240" w:lineRule="auto"/>
        <w:rPr>
          <w:rFonts w:ascii="Times New Roman" w:eastAsia="Calibri" w:hAnsi="Times New Roman" w:cs="Times New Roman"/>
          <w:lang w:val="lt-LT"/>
        </w:rPr>
      </w:pPr>
    </w:p>
    <w:p w14:paraId="6F94B2F5"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Lytis</w:t>
      </w:r>
    </w:p>
    <w:p w14:paraId="6F94B2F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Ezomeprazolas</w:t>
      </w:r>
      <w:r w:rsidRPr="00964115">
        <w:rPr>
          <w:rFonts w:ascii="Times New Roman" w:eastAsia="Calibri" w:hAnsi="Times New Roman" w:cs="Times New Roman"/>
          <w:lang w:val="lt-LT"/>
        </w:rPr>
        <w:t>. Išgėrus vieną 40 mg ezomeprazolo dozę, vidutinis AUC moterų plazmoje būna maždaug 30 % didesnis negu vyrų. Kartotinai vartojant šio vaistinio preparato 1 kartą per parą, su lytimi susijusių skirtumų nenustatyta. Šie duomenys įtakos Vimovo dozavimui neturi.</w:t>
      </w:r>
    </w:p>
    <w:p w14:paraId="6F94B2F7"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2F8" w14:textId="77777777" w:rsidR="00797756" w:rsidRPr="00964115" w:rsidRDefault="00797756" w:rsidP="00797756">
      <w:pPr>
        <w:spacing w:after="0" w:line="240" w:lineRule="auto"/>
        <w:rPr>
          <w:rFonts w:ascii="Times New Roman" w:eastAsia="Calibri" w:hAnsi="Times New Roman" w:cs="Times New Roman"/>
          <w:b/>
          <w:lang w:val="lt-LT"/>
        </w:rPr>
      </w:pPr>
      <w:bookmarkStart w:id="35" w:name="_Toc129243114"/>
      <w:bookmarkStart w:id="36" w:name="_Toc129243239"/>
      <w:r w:rsidRPr="00964115">
        <w:rPr>
          <w:rFonts w:ascii="Times New Roman" w:eastAsia="Calibri" w:hAnsi="Times New Roman" w:cs="Times New Roman"/>
          <w:b/>
          <w:lang w:val="lt-LT"/>
        </w:rPr>
        <w:t>5.3</w:t>
      </w:r>
      <w:r w:rsidRPr="00964115">
        <w:rPr>
          <w:rFonts w:ascii="Times New Roman" w:eastAsia="Calibri" w:hAnsi="Times New Roman" w:cs="Times New Roman"/>
          <w:b/>
          <w:lang w:val="lt-LT"/>
        </w:rPr>
        <w:tab/>
        <w:t>Ikiklinikinių saugumo tyrimų duomenys</w:t>
      </w:r>
      <w:bookmarkEnd w:id="35"/>
      <w:bookmarkEnd w:id="36"/>
    </w:p>
    <w:p w14:paraId="6F94B2F9" w14:textId="77777777" w:rsidR="00797756" w:rsidRPr="00964115" w:rsidRDefault="00797756" w:rsidP="00797756">
      <w:pPr>
        <w:spacing w:after="0" w:line="240" w:lineRule="auto"/>
        <w:rPr>
          <w:rFonts w:ascii="Times New Roman" w:eastAsia="Calibri" w:hAnsi="Times New Roman" w:cs="Times New Roman"/>
          <w:lang w:val="lt-LT"/>
        </w:rPr>
      </w:pPr>
    </w:p>
    <w:p w14:paraId="6F94B2F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Šių veikliųjų medžiagų derinio ikiklinikinių tyrimų duomenų nėra. Taip pat nėra sąveikos tarp naprokseno ir ezomeprazolo duomenų, kurie rodytų su deriniu susijusį farmakologinį poveikį, farmakotoksikokinetinių savybių, toksinį poveikį, fizinę ar cheminę sąveiką, kurie būtų anksčiau nežinoti arba sinergistiniai ir nepageidaujami ar keltų abejonių dėl toleravimo.</w:t>
      </w:r>
    </w:p>
    <w:p w14:paraId="6F94B2FB" w14:textId="77777777" w:rsidR="00797756" w:rsidRPr="00964115" w:rsidRDefault="00797756" w:rsidP="00797756">
      <w:pPr>
        <w:spacing w:after="0" w:line="240" w:lineRule="auto"/>
        <w:rPr>
          <w:rFonts w:ascii="Times New Roman" w:eastAsia="Calibri" w:hAnsi="Times New Roman" w:cs="Times New Roman"/>
          <w:lang w:val="lt-LT"/>
        </w:rPr>
      </w:pPr>
    </w:p>
    <w:p w14:paraId="6F94B2FC" w14:textId="77777777" w:rsidR="00797756" w:rsidRPr="00964115" w:rsidRDefault="00797756" w:rsidP="00797756">
      <w:pPr>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Naproksenas</w:t>
      </w:r>
    </w:p>
    <w:p w14:paraId="6F94B2F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Įprastų genotoksiškumo, galimo kancerogeniškumo, toksinio poveikio embrionui ir vaisiui bei vaisingumui ikiklinikinių tyrimų duomenys specifinio pavojaus žmogui nerodo. Pagrindiniai duomenys, gauti tiriant kartotinai per burną duodamų didelių dozių toksinį poveikį gyvūnams, buvo virškinimo trakto sudirginimas ir inkstų pažeidimas (jie abu laikomi susijusiais su prostaglandinų sintezės slopinimu). Perinatalinių ir postnatalinių tyrimų metu žiurkėms trečiąjį vaikingumo laikotarpio trimestrą per burną duotas naproksenas apsunkino atsivedimą. Tai yra žinomas šios grupės junginių poveikis.</w:t>
      </w:r>
    </w:p>
    <w:p w14:paraId="6F94B2FE" w14:textId="77777777" w:rsidR="00797756" w:rsidRPr="00964115" w:rsidRDefault="00797756" w:rsidP="00797756">
      <w:pPr>
        <w:spacing w:after="0" w:line="240" w:lineRule="auto"/>
        <w:rPr>
          <w:rFonts w:ascii="Times New Roman" w:eastAsia="Calibri" w:hAnsi="Times New Roman" w:cs="Times New Roman"/>
          <w:lang w:val="lt-LT"/>
        </w:rPr>
      </w:pPr>
    </w:p>
    <w:p w14:paraId="6F94B2FF" w14:textId="77777777" w:rsidR="00797756" w:rsidRPr="00964115" w:rsidRDefault="00797756" w:rsidP="00797756">
      <w:pPr>
        <w:keepNext/>
        <w:keepLines/>
        <w:spacing w:after="0" w:line="240" w:lineRule="auto"/>
        <w:rPr>
          <w:rFonts w:ascii="Times New Roman" w:eastAsia="Calibri" w:hAnsi="Times New Roman" w:cs="Times New Roman"/>
          <w:i/>
          <w:u w:val="single"/>
          <w:lang w:val="lt-LT"/>
        </w:rPr>
      </w:pPr>
      <w:r w:rsidRPr="00964115">
        <w:rPr>
          <w:rFonts w:ascii="Times New Roman" w:eastAsia="Calibri" w:hAnsi="Times New Roman" w:cs="Times New Roman"/>
          <w:i/>
          <w:u w:val="single"/>
          <w:lang w:val="lt-LT"/>
        </w:rPr>
        <w:t>Ezomeprazolas</w:t>
      </w:r>
    </w:p>
    <w:p w14:paraId="6F94B300" w14:textId="77777777" w:rsidR="00797756" w:rsidRPr="00964115" w:rsidRDefault="00797756" w:rsidP="00797756">
      <w:pPr>
        <w:keepNext/>
        <w:keepLines/>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Įprastų kartotinių dozių toksiškumo, genotoksiškumo ir toksinio poveikio reprodukcijai ikiklinikinių tyrimų duomenys specifinio pavojaus žmogui nerodo. Su žiurkėmis atlikti raceminio mišinio kancerogeninio poveikio tyrimai parodė skrandžio enterochromatofininių ląstelių hiperplaziją ir karcinoidų. Šių poveikių žiurkių skrandžiui priežastis – skandžio rūgšties gamybos sumažėjimo sukelta ilgalaikė stipriai išreikšta hipergastrinemija. Jų pasireiškia žiurkėms ilgai duodant skrandžio rūgšties sekrecijos inhibitorių.</w:t>
      </w:r>
    </w:p>
    <w:p w14:paraId="6F94B301" w14:textId="77777777" w:rsidR="00797756" w:rsidRPr="00964115" w:rsidRDefault="00797756" w:rsidP="00797756">
      <w:pPr>
        <w:keepNext/>
        <w:keepLines/>
        <w:spacing w:after="0" w:line="240" w:lineRule="auto"/>
        <w:rPr>
          <w:rFonts w:ascii="Times New Roman" w:eastAsia="Calibri" w:hAnsi="Times New Roman" w:cs="Times New Roman"/>
          <w:lang w:val="lt-LT"/>
        </w:rPr>
      </w:pPr>
    </w:p>
    <w:p w14:paraId="6F94B302" w14:textId="77777777" w:rsidR="00797756" w:rsidRPr="00964115" w:rsidRDefault="00797756" w:rsidP="00797756">
      <w:pPr>
        <w:keepNext/>
        <w:keepLines/>
        <w:spacing w:after="0" w:line="240" w:lineRule="auto"/>
        <w:jc w:val="both"/>
        <w:rPr>
          <w:rFonts w:ascii="Times New Roman" w:eastAsia="Calibri" w:hAnsi="Times New Roman" w:cs="Times New Roman"/>
          <w:lang w:val="lt-LT"/>
        </w:rPr>
      </w:pPr>
    </w:p>
    <w:p w14:paraId="6F94B303" w14:textId="77777777" w:rsidR="00797756" w:rsidRPr="00964115" w:rsidRDefault="00797756" w:rsidP="00797756">
      <w:pPr>
        <w:spacing w:after="0" w:line="240" w:lineRule="auto"/>
        <w:rPr>
          <w:rFonts w:ascii="Times New Roman" w:eastAsia="Calibri" w:hAnsi="Times New Roman" w:cs="Times New Roman"/>
          <w:b/>
          <w:lang w:val="lt-LT"/>
        </w:rPr>
      </w:pPr>
      <w:bookmarkStart w:id="37" w:name="_Toc129243115"/>
      <w:bookmarkStart w:id="38" w:name="_Toc129243240"/>
      <w:r w:rsidRPr="00964115">
        <w:rPr>
          <w:rFonts w:ascii="Times New Roman" w:eastAsia="Calibri" w:hAnsi="Times New Roman" w:cs="Times New Roman"/>
          <w:b/>
          <w:lang w:val="lt-LT"/>
        </w:rPr>
        <w:t>6.</w:t>
      </w:r>
      <w:r w:rsidRPr="00964115">
        <w:rPr>
          <w:rFonts w:ascii="Times New Roman" w:eastAsia="Calibri" w:hAnsi="Times New Roman" w:cs="Times New Roman"/>
          <w:b/>
          <w:lang w:val="lt-LT"/>
        </w:rPr>
        <w:tab/>
        <w:t>FARMACINĖ INFORMACIJA</w:t>
      </w:r>
      <w:bookmarkEnd w:id="37"/>
      <w:bookmarkEnd w:id="38"/>
    </w:p>
    <w:p w14:paraId="6F94B304" w14:textId="77777777" w:rsidR="00797756" w:rsidRPr="00964115" w:rsidRDefault="00797756" w:rsidP="00797756">
      <w:pPr>
        <w:spacing w:after="0" w:line="240" w:lineRule="auto"/>
        <w:rPr>
          <w:rFonts w:ascii="Times New Roman" w:eastAsia="Calibri" w:hAnsi="Times New Roman" w:cs="Times New Roman"/>
          <w:lang w:val="lt-LT"/>
        </w:rPr>
      </w:pPr>
    </w:p>
    <w:p w14:paraId="6F94B305" w14:textId="77777777" w:rsidR="00797756" w:rsidRPr="00964115" w:rsidRDefault="00797756" w:rsidP="00797756">
      <w:pPr>
        <w:spacing w:after="0" w:line="240" w:lineRule="auto"/>
        <w:rPr>
          <w:rFonts w:ascii="Times New Roman" w:eastAsia="Calibri" w:hAnsi="Times New Roman" w:cs="Times New Roman"/>
          <w:b/>
          <w:lang w:val="lt-LT"/>
        </w:rPr>
      </w:pPr>
      <w:bookmarkStart w:id="39" w:name="_Toc129243116"/>
      <w:bookmarkStart w:id="40" w:name="_Toc129243241"/>
      <w:r w:rsidRPr="00964115">
        <w:rPr>
          <w:rFonts w:ascii="Times New Roman" w:eastAsia="Calibri" w:hAnsi="Times New Roman" w:cs="Times New Roman"/>
          <w:b/>
          <w:lang w:val="lt-LT"/>
        </w:rPr>
        <w:t>6.1</w:t>
      </w:r>
      <w:r w:rsidRPr="00964115">
        <w:rPr>
          <w:rFonts w:ascii="Times New Roman" w:eastAsia="Calibri" w:hAnsi="Times New Roman" w:cs="Times New Roman"/>
          <w:b/>
          <w:lang w:val="lt-LT"/>
        </w:rPr>
        <w:tab/>
        <w:t>Pagalbinių medžiagų sąrašas</w:t>
      </w:r>
      <w:bookmarkEnd w:id="39"/>
      <w:bookmarkEnd w:id="40"/>
    </w:p>
    <w:p w14:paraId="6F94B306" w14:textId="77777777" w:rsidR="00797756" w:rsidRPr="00964115" w:rsidRDefault="00797756" w:rsidP="00797756">
      <w:pPr>
        <w:spacing w:after="0" w:line="240" w:lineRule="auto"/>
        <w:rPr>
          <w:rFonts w:ascii="Times New Roman" w:eastAsia="Calibri" w:hAnsi="Times New Roman" w:cs="Times New Roman"/>
          <w:lang w:val="lt-LT"/>
        </w:rPr>
      </w:pPr>
    </w:p>
    <w:p w14:paraId="6F94B307" w14:textId="77777777" w:rsidR="00797756" w:rsidRPr="00964115" w:rsidRDefault="00797756" w:rsidP="00797756">
      <w:pPr>
        <w:spacing w:after="0" w:line="240" w:lineRule="auto"/>
        <w:jc w:val="both"/>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Tabletės branduolys</w:t>
      </w:r>
    </w:p>
    <w:p w14:paraId="6F94B308"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Kroskarmeliozės natrio druska</w:t>
      </w:r>
    </w:p>
    <w:p w14:paraId="6F94B309"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Magnio stearatas</w:t>
      </w:r>
    </w:p>
    <w:p w14:paraId="6F94B30A"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Povidonas K90</w:t>
      </w:r>
    </w:p>
    <w:p w14:paraId="6F94B30B"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Koloidinis bevandenis silicio dioksidas</w:t>
      </w:r>
    </w:p>
    <w:p w14:paraId="6F94B30C"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30D" w14:textId="77777777" w:rsidR="00797756" w:rsidRPr="00964115" w:rsidRDefault="00797756" w:rsidP="00797756">
      <w:pPr>
        <w:spacing w:after="0" w:line="240" w:lineRule="auto"/>
        <w:jc w:val="both"/>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Tabletės dangalas</w:t>
      </w:r>
    </w:p>
    <w:p w14:paraId="6F94B30E"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Karnaubo vaškas</w:t>
      </w:r>
    </w:p>
    <w:p w14:paraId="6F94B30F"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Glicerolio monostearatas 40-55</w:t>
      </w:r>
    </w:p>
    <w:p w14:paraId="6F94B310"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Hipromeliozė [2910 tipo (3 mPas, 6 mPas ir 50 mPas)]</w:t>
      </w:r>
    </w:p>
    <w:p w14:paraId="6F94B311"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 xml:space="preserve">Geltonasis geležies oksidas (E172) </w:t>
      </w:r>
    </w:p>
    <w:p w14:paraId="6F94B312"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Makrogolis 8000</w:t>
      </w:r>
    </w:p>
    <w:p w14:paraId="6F94B313"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Metakrilo rūgšties ir etilakrilato 1:1 kopolimero 30 % dispersija</w:t>
      </w:r>
    </w:p>
    <w:p w14:paraId="6F94B314"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Metilo parahidroksibenzoatas (E218) *</w:t>
      </w:r>
    </w:p>
    <w:p w14:paraId="6F94B315"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Polidekstrozė</w:t>
      </w:r>
    </w:p>
    <w:p w14:paraId="6F94B316"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Polisorbatas 80</w:t>
      </w:r>
    </w:p>
    <w:p w14:paraId="6F94B317"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Propilo parahidroksibenzoatas (E216) *</w:t>
      </w:r>
    </w:p>
    <w:p w14:paraId="6F94B318"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Natrio laurilsulfatas</w:t>
      </w:r>
    </w:p>
    <w:p w14:paraId="6F94B319"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Titano dioksidas (E171)</w:t>
      </w:r>
    </w:p>
    <w:p w14:paraId="6F94B31A"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Trietilo citratas</w:t>
      </w:r>
    </w:p>
    <w:p w14:paraId="6F94B31B"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31C"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Spaustuviniai dažai</w:t>
      </w:r>
    </w:p>
    <w:p w14:paraId="6F94B31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Hipromeliozė [2910 tipo (6 mPas)]</w:t>
      </w:r>
    </w:p>
    <w:p w14:paraId="6F94B31E"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Juodasis geležies oksidas (E172)</w:t>
      </w:r>
    </w:p>
    <w:p w14:paraId="6F94B31F"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Propilenglikolis</w:t>
      </w:r>
    </w:p>
    <w:p w14:paraId="6F94B320" w14:textId="77777777" w:rsidR="00797756" w:rsidRPr="00964115" w:rsidRDefault="00797756" w:rsidP="00797756">
      <w:pPr>
        <w:spacing w:after="0" w:line="240" w:lineRule="auto"/>
        <w:rPr>
          <w:rFonts w:ascii="Times New Roman" w:eastAsia="Calibri" w:hAnsi="Times New Roman" w:cs="Times New Roman"/>
          <w:lang w:val="lt-LT"/>
        </w:rPr>
      </w:pPr>
    </w:p>
    <w:p w14:paraId="6F94B32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Šių konservantų dedama į dangalo plėvelės mišinį, galutiniame produkte lieka labai mažas ir nefunkcionalus jų kiekis.</w:t>
      </w:r>
    </w:p>
    <w:p w14:paraId="6F94B322" w14:textId="77777777" w:rsidR="00797756" w:rsidRPr="00964115" w:rsidRDefault="00797756" w:rsidP="00797756">
      <w:pPr>
        <w:spacing w:after="0" w:line="240" w:lineRule="auto"/>
        <w:rPr>
          <w:rFonts w:ascii="Times New Roman" w:eastAsia="Calibri" w:hAnsi="Times New Roman" w:cs="Times New Roman"/>
          <w:lang w:val="lt-LT"/>
        </w:rPr>
      </w:pPr>
    </w:p>
    <w:p w14:paraId="6F94B323" w14:textId="77777777" w:rsidR="00797756" w:rsidRPr="00964115" w:rsidRDefault="00797756" w:rsidP="00797756">
      <w:pPr>
        <w:spacing w:after="0" w:line="240" w:lineRule="auto"/>
        <w:rPr>
          <w:rFonts w:ascii="Times New Roman" w:eastAsia="Calibri" w:hAnsi="Times New Roman" w:cs="Times New Roman"/>
          <w:b/>
          <w:lang w:val="lt-LT"/>
        </w:rPr>
      </w:pPr>
      <w:bookmarkStart w:id="41" w:name="_Toc129243117"/>
      <w:bookmarkStart w:id="42" w:name="_Toc129243242"/>
      <w:r w:rsidRPr="00964115">
        <w:rPr>
          <w:rFonts w:ascii="Times New Roman" w:eastAsia="Calibri" w:hAnsi="Times New Roman" w:cs="Times New Roman"/>
          <w:b/>
          <w:lang w:val="lt-LT"/>
        </w:rPr>
        <w:t>6.2</w:t>
      </w:r>
      <w:r w:rsidRPr="00964115">
        <w:rPr>
          <w:rFonts w:ascii="Times New Roman" w:eastAsia="Calibri" w:hAnsi="Times New Roman" w:cs="Times New Roman"/>
          <w:b/>
          <w:lang w:val="lt-LT"/>
        </w:rPr>
        <w:tab/>
        <w:t>Nesuderinamumas</w:t>
      </w:r>
      <w:bookmarkEnd w:id="41"/>
      <w:bookmarkEnd w:id="42"/>
    </w:p>
    <w:p w14:paraId="6F94B324" w14:textId="77777777" w:rsidR="00797756" w:rsidRPr="00964115" w:rsidRDefault="00797756" w:rsidP="00797756">
      <w:pPr>
        <w:spacing w:after="0" w:line="240" w:lineRule="auto"/>
        <w:rPr>
          <w:rFonts w:ascii="Times New Roman" w:eastAsia="Calibri" w:hAnsi="Times New Roman" w:cs="Times New Roman"/>
          <w:lang w:val="lt-LT"/>
        </w:rPr>
      </w:pPr>
    </w:p>
    <w:p w14:paraId="6F94B32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Duomenys nebūtini.</w:t>
      </w:r>
    </w:p>
    <w:p w14:paraId="6F94B326" w14:textId="77777777" w:rsidR="00797756" w:rsidRPr="00964115" w:rsidRDefault="00797756" w:rsidP="00797756">
      <w:pPr>
        <w:spacing w:after="0" w:line="240" w:lineRule="auto"/>
        <w:rPr>
          <w:rFonts w:ascii="Times New Roman" w:eastAsia="Calibri" w:hAnsi="Times New Roman" w:cs="Times New Roman"/>
          <w:lang w:val="lt-LT"/>
        </w:rPr>
      </w:pPr>
    </w:p>
    <w:p w14:paraId="6F94B327" w14:textId="77777777" w:rsidR="00797756" w:rsidRPr="00964115" w:rsidRDefault="00797756" w:rsidP="00797756">
      <w:pPr>
        <w:spacing w:after="0" w:line="240" w:lineRule="auto"/>
        <w:rPr>
          <w:rFonts w:ascii="Times New Roman" w:eastAsia="Calibri" w:hAnsi="Times New Roman" w:cs="Times New Roman"/>
          <w:b/>
          <w:lang w:val="lt-LT"/>
        </w:rPr>
      </w:pPr>
      <w:bookmarkStart w:id="43" w:name="_Toc129243118"/>
      <w:bookmarkStart w:id="44" w:name="_Toc129243243"/>
      <w:r w:rsidRPr="00964115">
        <w:rPr>
          <w:rFonts w:ascii="Times New Roman" w:eastAsia="Calibri" w:hAnsi="Times New Roman" w:cs="Times New Roman"/>
          <w:b/>
          <w:lang w:val="lt-LT"/>
        </w:rPr>
        <w:t>6.3</w:t>
      </w:r>
      <w:r w:rsidRPr="00964115">
        <w:rPr>
          <w:rFonts w:ascii="Times New Roman" w:eastAsia="Calibri" w:hAnsi="Times New Roman" w:cs="Times New Roman"/>
          <w:b/>
          <w:lang w:val="lt-LT"/>
        </w:rPr>
        <w:tab/>
        <w:t>Tinkamumo laikas</w:t>
      </w:r>
      <w:bookmarkEnd w:id="43"/>
      <w:bookmarkEnd w:id="44"/>
    </w:p>
    <w:p w14:paraId="6F94B328" w14:textId="77777777" w:rsidR="00797756" w:rsidRPr="00964115" w:rsidRDefault="00797756" w:rsidP="00797756">
      <w:pPr>
        <w:spacing w:after="0" w:line="240" w:lineRule="auto"/>
        <w:rPr>
          <w:rFonts w:ascii="Times New Roman" w:eastAsia="Calibri" w:hAnsi="Times New Roman" w:cs="Times New Roman"/>
          <w:lang w:val="lt-LT"/>
        </w:rPr>
      </w:pPr>
    </w:p>
    <w:p w14:paraId="6F94B32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2 metai</w:t>
      </w:r>
    </w:p>
    <w:p w14:paraId="6F94B32A" w14:textId="77777777" w:rsidR="00797756" w:rsidRPr="00964115" w:rsidRDefault="00797756" w:rsidP="00797756">
      <w:pPr>
        <w:spacing w:after="0" w:line="240" w:lineRule="auto"/>
        <w:rPr>
          <w:rFonts w:ascii="Times New Roman" w:eastAsia="Calibri" w:hAnsi="Times New Roman" w:cs="Times New Roman"/>
          <w:lang w:val="lt-LT"/>
        </w:rPr>
      </w:pPr>
    </w:p>
    <w:p w14:paraId="6F94B32B" w14:textId="77777777" w:rsidR="00797756" w:rsidRPr="00964115" w:rsidRDefault="00797756" w:rsidP="00797756">
      <w:pPr>
        <w:spacing w:after="0" w:line="240" w:lineRule="auto"/>
        <w:rPr>
          <w:rFonts w:ascii="Times New Roman" w:eastAsia="Calibri" w:hAnsi="Times New Roman" w:cs="Times New Roman"/>
          <w:b/>
          <w:lang w:val="lt-LT"/>
        </w:rPr>
      </w:pPr>
      <w:bookmarkStart w:id="45" w:name="_Toc129243119"/>
      <w:bookmarkStart w:id="46" w:name="_Toc129243244"/>
      <w:r w:rsidRPr="00964115">
        <w:rPr>
          <w:rFonts w:ascii="Times New Roman" w:eastAsia="Calibri" w:hAnsi="Times New Roman" w:cs="Times New Roman"/>
          <w:b/>
          <w:lang w:val="lt-LT"/>
        </w:rPr>
        <w:t>6.4</w:t>
      </w:r>
      <w:r w:rsidRPr="00964115">
        <w:rPr>
          <w:rFonts w:ascii="Times New Roman" w:eastAsia="Calibri" w:hAnsi="Times New Roman" w:cs="Times New Roman"/>
          <w:b/>
          <w:lang w:val="lt-LT"/>
        </w:rPr>
        <w:tab/>
        <w:t>Specialios laikymo sąlygos</w:t>
      </w:r>
      <w:bookmarkEnd w:id="45"/>
      <w:bookmarkEnd w:id="46"/>
    </w:p>
    <w:p w14:paraId="6F94B32C" w14:textId="77777777" w:rsidR="00797756" w:rsidRPr="00964115" w:rsidRDefault="00797756" w:rsidP="00797756">
      <w:pPr>
        <w:spacing w:after="0" w:line="240" w:lineRule="auto"/>
        <w:rPr>
          <w:rFonts w:ascii="Times New Roman" w:eastAsia="Calibri" w:hAnsi="Times New Roman" w:cs="Times New Roman"/>
          <w:lang w:val="lt-LT"/>
        </w:rPr>
      </w:pPr>
    </w:p>
    <w:p w14:paraId="6F94B32D"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Laikyti ne aukštesnėje kaip 30 °C temperatūroje.</w:t>
      </w:r>
    </w:p>
    <w:p w14:paraId="6F94B32E"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32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Buteliukas. Laikyti gamintojo pakuotėje. Buteliuką laikyti sandarų, kad preparatas būtų apsaugotas nuo drėgmės.</w:t>
      </w:r>
    </w:p>
    <w:p w14:paraId="6F94B330" w14:textId="77777777" w:rsidR="00797756" w:rsidRPr="00964115" w:rsidRDefault="00797756" w:rsidP="00797756">
      <w:pPr>
        <w:spacing w:after="0" w:line="240" w:lineRule="auto"/>
        <w:rPr>
          <w:rFonts w:ascii="Times New Roman" w:eastAsia="Calibri" w:hAnsi="Times New Roman" w:cs="Times New Roman"/>
          <w:lang w:val="lt-LT"/>
        </w:rPr>
      </w:pPr>
    </w:p>
    <w:p w14:paraId="6F94B33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Lizdinė plokštelė. Laikyti gamintojo pakuotėje, kad preparatas būtų apsaugotas nuo drėgmės. </w:t>
      </w:r>
    </w:p>
    <w:p w14:paraId="6F94B332" w14:textId="77777777" w:rsidR="00797756" w:rsidRPr="00964115" w:rsidRDefault="00797756" w:rsidP="00797756">
      <w:pPr>
        <w:spacing w:after="0" w:line="240" w:lineRule="auto"/>
        <w:rPr>
          <w:rFonts w:ascii="Times New Roman" w:eastAsia="Calibri" w:hAnsi="Times New Roman" w:cs="Times New Roman"/>
          <w:lang w:val="lt-LT"/>
        </w:rPr>
      </w:pPr>
    </w:p>
    <w:p w14:paraId="6F94B333" w14:textId="77777777" w:rsidR="00797756" w:rsidRPr="00964115" w:rsidRDefault="00797756" w:rsidP="00797756">
      <w:pPr>
        <w:spacing w:after="0" w:line="240" w:lineRule="auto"/>
        <w:rPr>
          <w:rFonts w:ascii="Times New Roman" w:eastAsia="Calibri" w:hAnsi="Times New Roman" w:cs="Times New Roman"/>
          <w:b/>
          <w:lang w:val="lt-LT"/>
        </w:rPr>
      </w:pPr>
      <w:bookmarkStart w:id="47" w:name="_Toc129243120"/>
      <w:bookmarkStart w:id="48" w:name="_Toc129243245"/>
      <w:r w:rsidRPr="00964115">
        <w:rPr>
          <w:rFonts w:ascii="Times New Roman" w:eastAsia="Calibri" w:hAnsi="Times New Roman" w:cs="Times New Roman"/>
          <w:b/>
          <w:lang w:val="lt-LT"/>
        </w:rPr>
        <w:t>6.5</w:t>
      </w:r>
      <w:r w:rsidRPr="00964115">
        <w:rPr>
          <w:rFonts w:ascii="Times New Roman" w:eastAsia="Calibri" w:hAnsi="Times New Roman" w:cs="Times New Roman"/>
          <w:b/>
          <w:lang w:val="lt-LT"/>
        </w:rPr>
        <w:tab/>
        <w:t>Talpyklės pobūdis ir jos turinys</w:t>
      </w:r>
      <w:bookmarkEnd w:id="47"/>
      <w:bookmarkEnd w:id="48"/>
    </w:p>
    <w:p w14:paraId="6F94B334" w14:textId="77777777" w:rsidR="00797756" w:rsidRPr="00964115" w:rsidRDefault="00797756" w:rsidP="00797756">
      <w:pPr>
        <w:spacing w:after="0" w:line="240" w:lineRule="auto"/>
        <w:rPr>
          <w:rFonts w:ascii="Times New Roman" w:eastAsia="Calibri" w:hAnsi="Times New Roman" w:cs="Times New Roman"/>
          <w:lang w:val="lt-LT"/>
        </w:rPr>
      </w:pPr>
    </w:p>
    <w:p w14:paraId="6F94B335"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Didelio tankio polietileno buteliukai, kuriuose yra silikagelio džioviklio, su vaikų sunkiai atidaromu arba paprastu polipropileno uždoriu, turinčiu pirmojo atidarymo metu nuplėšiamą apsauginę plombą. Paketėlio su džiovikliu valgyti negalima.</w:t>
      </w:r>
    </w:p>
    <w:p w14:paraId="6F94B336" w14:textId="77777777" w:rsidR="00797756" w:rsidRPr="00964115" w:rsidRDefault="00797756" w:rsidP="00797756">
      <w:pPr>
        <w:spacing w:after="0" w:line="240" w:lineRule="auto"/>
        <w:rPr>
          <w:rFonts w:ascii="Times New Roman" w:eastAsia="Calibri" w:hAnsi="Times New Roman" w:cs="Times New Roman"/>
          <w:lang w:val="lt-LT"/>
        </w:rPr>
      </w:pPr>
    </w:p>
    <w:p w14:paraId="6F94B33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Pakuotės dydžiai: 6, </w:t>
      </w:r>
      <w:r w:rsidR="00562BF1" w:rsidRPr="00964115">
        <w:rPr>
          <w:rFonts w:ascii="Times New Roman" w:eastAsia="Calibri" w:hAnsi="Times New Roman" w:cs="Times New Roman"/>
          <w:lang w:val="lt-LT"/>
        </w:rPr>
        <w:t xml:space="preserve">10, </w:t>
      </w:r>
      <w:r w:rsidRPr="00964115">
        <w:rPr>
          <w:rFonts w:ascii="Times New Roman" w:eastAsia="Calibri" w:hAnsi="Times New Roman" w:cs="Times New Roman"/>
          <w:lang w:val="lt-LT"/>
        </w:rPr>
        <w:t>20, 30, 60, 100, 180 arba 500 modifikuoto atpalaidavimo tablečių.</w:t>
      </w:r>
    </w:p>
    <w:p w14:paraId="6F94B338" w14:textId="77777777" w:rsidR="00797756" w:rsidRPr="00964115" w:rsidRDefault="00797756" w:rsidP="00797756">
      <w:pPr>
        <w:spacing w:after="0" w:line="240" w:lineRule="auto"/>
        <w:rPr>
          <w:rFonts w:ascii="Times New Roman" w:eastAsia="Calibri" w:hAnsi="Times New Roman" w:cs="Times New Roman"/>
          <w:lang w:val="lt-LT"/>
        </w:rPr>
      </w:pPr>
    </w:p>
    <w:p w14:paraId="6F94B33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Aliuminio / aliuminio lizdinių plokštelių pakuotė.</w:t>
      </w:r>
    </w:p>
    <w:p w14:paraId="6F94B33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Pakuotės dydžiai: 10, 20, 30, 60 arba 100 modifikuoto atpalaidavimo tablečių.</w:t>
      </w:r>
    </w:p>
    <w:p w14:paraId="6F94B33B" w14:textId="77777777" w:rsidR="00797756" w:rsidRPr="00964115" w:rsidRDefault="00797756" w:rsidP="00797756">
      <w:pPr>
        <w:spacing w:after="0" w:line="240" w:lineRule="auto"/>
        <w:rPr>
          <w:rFonts w:ascii="Times New Roman" w:eastAsia="Calibri" w:hAnsi="Times New Roman" w:cs="Times New Roman"/>
          <w:lang w:val="lt-LT"/>
        </w:rPr>
      </w:pPr>
    </w:p>
    <w:p w14:paraId="6F94B33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Gali būti tiekiamos ne visų dydžių pakuotės.</w:t>
      </w:r>
    </w:p>
    <w:p w14:paraId="6F94B33D" w14:textId="77777777" w:rsidR="00797756" w:rsidRPr="00964115" w:rsidRDefault="00797756" w:rsidP="00797756">
      <w:pPr>
        <w:spacing w:after="0" w:line="240" w:lineRule="auto"/>
        <w:rPr>
          <w:rFonts w:ascii="Times New Roman" w:eastAsia="Calibri" w:hAnsi="Times New Roman" w:cs="Times New Roman"/>
          <w:lang w:val="lt-LT"/>
        </w:rPr>
      </w:pPr>
    </w:p>
    <w:p w14:paraId="6F94B33E" w14:textId="77777777" w:rsidR="00797756" w:rsidRPr="00964115" w:rsidRDefault="00797756" w:rsidP="00797756">
      <w:pPr>
        <w:spacing w:after="0" w:line="240" w:lineRule="auto"/>
        <w:rPr>
          <w:rFonts w:ascii="Times New Roman" w:eastAsia="Calibri" w:hAnsi="Times New Roman" w:cs="Times New Roman"/>
          <w:b/>
          <w:lang w:val="lt-LT"/>
        </w:rPr>
      </w:pPr>
      <w:bookmarkStart w:id="49" w:name="_Toc129243121"/>
      <w:bookmarkStart w:id="50" w:name="_Toc129243246"/>
      <w:r w:rsidRPr="00964115">
        <w:rPr>
          <w:rFonts w:ascii="Times New Roman" w:eastAsia="Calibri" w:hAnsi="Times New Roman" w:cs="Times New Roman"/>
          <w:b/>
          <w:lang w:val="lt-LT"/>
        </w:rPr>
        <w:t>6.6</w:t>
      </w:r>
      <w:r w:rsidRPr="00964115">
        <w:rPr>
          <w:rFonts w:ascii="Times New Roman" w:eastAsia="Calibri" w:hAnsi="Times New Roman" w:cs="Times New Roman"/>
          <w:b/>
          <w:lang w:val="lt-LT"/>
        </w:rPr>
        <w:tab/>
        <w:t>Specialūs reikalavimai atliekoms tvarkyti</w:t>
      </w:r>
      <w:bookmarkEnd w:id="49"/>
      <w:bookmarkEnd w:id="50"/>
    </w:p>
    <w:p w14:paraId="6F94B33F" w14:textId="77777777" w:rsidR="00797756" w:rsidRPr="00964115" w:rsidRDefault="00797756" w:rsidP="00797756">
      <w:pPr>
        <w:spacing w:after="0" w:line="240" w:lineRule="auto"/>
        <w:rPr>
          <w:rFonts w:ascii="Times New Roman" w:eastAsia="Calibri" w:hAnsi="Times New Roman" w:cs="Times New Roman"/>
          <w:lang w:val="lt-LT"/>
        </w:rPr>
      </w:pPr>
    </w:p>
    <w:p w14:paraId="6F94B34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Specialių reikalavimų nėra.</w:t>
      </w:r>
    </w:p>
    <w:p w14:paraId="6F94B341" w14:textId="77777777" w:rsidR="00797756" w:rsidRPr="00964115" w:rsidRDefault="00797756" w:rsidP="00797756">
      <w:pPr>
        <w:spacing w:after="0" w:line="240" w:lineRule="auto"/>
        <w:rPr>
          <w:rFonts w:ascii="Times New Roman" w:eastAsia="Calibri" w:hAnsi="Times New Roman" w:cs="Times New Roman"/>
          <w:lang w:val="lt-LT"/>
        </w:rPr>
      </w:pPr>
    </w:p>
    <w:p w14:paraId="6F94B342" w14:textId="77777777" w:rsidR="00797756" w:rsidRPr="00964115" w:rsidRDefault="00797756" w:rsidP="00797756">
      <w:pPr>
        <w:spacing w:after="0" w:line="240" w:lineRule="auto"/>
        <w:rPr>
          <w:rFonts w:ascii="Times New Roman" w:eastAsia="Calibri" w:hAnsi="Times New Roman" w:cs="Times New Roman"/>
          <w:lang w:val="lt-LT"/>
        </w:rPr>
      </w:pPr>
    </w:p>
    <w:p w14:paraId="6F94B343"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7.</w:t>
      </w:r>
      <w:r w:rsidRPr="00964115">
        <w:rPr>
          <w:rFonts w:ascii="Times New Roman" w:eastAsia="Calibri" w:hAnsi="Times New Roman" w:cs="Times New Roman"/>
          <w:b/>
          <w:lang w:val="lt-LT"/>
        </w:rPr>
        <w:tab/>
        <w:t>REGISTRUOTOJAS</w:t>
      </w:r>
    </w:p>
    <w:p w14:paraId="6F94B344" w14:textId="77777777" w:rsidR="00797756" w:rsidRPr="00964115" w:rsidRDefault="00797756" w:rsidP="00797756">
      <w:pPr>
        <w:spacing w:after="0" w:line="240" w:lineRule="auto"/>
        <w:rPr>
          <w:rFonts w:ascii="Times New Roman" w:eastAsia="Calibri" w:hAnsi="Times New Roman" w:cs="Times New Roman"/>
          <w:lang w:val="lt-LT"/>
        </w:rPr>
      </w:pPr>
    </w:p>
    <w:p w14:paraId="20861C67" w14:textId="05AF17EF" w:rsidR="00553848" w:rsidRDefault="00553848" w:rsidP="00797756">
      <w:pPr>
        <w:spacing w:after="0" w:line="240" w:lineRule="auto"/>
        <w:ind w:left="567" w:hanging="567"/>
        <w:rPr>
          <w:rFonts w:ascii="Times New Roman" w:hAnsi="Times New Roman" w:cs="Times New Roman"/>
        </w:rPr>
      </w:pPr>
      <w:r w:rsidRPr="00553848">
        <w:rPr>
          <w:rFonts w:ascii="Times New Roman" w:hAnsi="Times New Roman" w:cs="Times New Roman"/>
        </w:rPr>
        <w:t>Grünenthal GmbH</w:t>
      </w:r>
    </w:p>
    <w:p w14:paraId="0C4E6854" w14:textId="1CB08954" w:rsidR="00553848" w:rsidRDefault="00553848" w:rsidP="00797756">
      <w:pPr>
        <w:spacing w:after="0" w:line="240" w:lineRule="auto"/>
        <w:ind w:left="567" w:hanging="567"/>
        <w:rPr>
          <w:rFonts w:ascii="Times New Roman" w:hAnsi="Times New Roman" w:cs="Times New Roman"/>
        </w:rPr>
      </w:pPr>
      <w:r w:rsidRPr="00553848">
        <w:rPr>
          <w:rFonts w:ascii="Times New Roman" w:hAnsi="Times New Roman" w:cs="Times New Roman"/>
        </w:rPr>
        <w:t xml:space="preserve">Zieglerstrasse 6 </w:t>
      </w:r>
    </w:p>
    <w:p w14:paraId="18BD2126" w14:textId="58FA3D97" w:rsidR="00553848" w:rsidRDefault="00553848" w:rsidP="00797756">
      <w:pPr>
        <w:spacing w:after="0" w:line="240" w:lineRule="auto"/>
        <w:ind w:left="567" w:hanging="567"/>
        <w:rPr>
          <w:rFonts w:ascii="Times New Roman" w:hAnsi="Times New Roman" w:cs="Times New Roman"/>
        </w:rPr>
      </w:pPr>
      <w:r w:rsidRPr="00553848">
        <w:rPr>
          <w:rFonts w:ascii="Times New Roman" w:hAnsi="Times New Roman" w:cs="Times New Roman"/>
        </w:rPr>
        <w:t xml:space="preserve">52078 Aachen </w:t>
      </w:r>
    </w:p>
    <w:p w14:paraId="6F94B349" w14:textId="0056B07B" w:rsidR="00797756" w:rsidRPr="00553848" w:rsidRDefault="00553848" w:rsidP="00797756">
      <w:pPr>
        <w:spacing w:after="0" w:line="240" w:lineRule="auto"/>
        <w:ind w:left="567" w:hanging="567"/>
        <w:rPr>
          <w:rFonts w:ascii="Times New Roman" w:eastAsia="Calibri" w:hAnsi="Times New Roman" w:cs="Times New Roman"/>
          <w:lang w:val="lt-LT"/>
        </w:rPr>
      </w:pPr>
      <w:r w:rsidRPr="00553848">
        <w:rPr>
          <w:rFonts w:ascii="Times New Roman" w:hAnsi="Times New Roman" w:cs="Times New Roman"/>
        </w:rPr>
        <w:t>Vokietija</w:t>
      </w:r>
    </w:p>
    <w:p w14:paraId="6F94B34A" w14:textId="09E67927" w:rsidR="00797756" w:rsidRDefault="00797756" w:rsidP="00797756">
      <w:pPr>
        <w:spacing w:after="0" w:line="240" w:lineRule="auto"/>
        <w:ind w:left="567" w:hanging="567"/>
        <w:rPr>
          <w:rFonts w:ascii="Times New Roman" w:eastAsia="Calibri" w:hAnsi="Times New Roman" w:cs="Times New Roman"/>
          <w:lang w:val="lt-LT"/>
        </w:rPr>
      </w:pPr>
    </w:p>
    <w:p w14:paraId="69C27BD9" w14:textId="77777777" w:rsidR="00553848" w:rsidRPr="00964115" w:rsidRDefault="00553848" w:rsidP="00797756">
      <w:pPr>
        <w:spacing w:after="0" w:line="240" w:lineRule="auto"/>
        <w:ind w:left="567" w:hanging="567"/>
        <w:rPr>
          <w:rFonts w:ascii="Times New Roman" w:eastAsia="Calibri" w:hAnsi="Times New Roman" w:cs="Times New Roman"/>
          <w:lang w:val="lt-LT"/>
        </w:rPr>
      </w:pPr>
    </w:p>
    <w:p w14:paraId="6F94B34B"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8.</w:t>
      </w:r>
      <w:r w:rsidRPr="00964115">
        <w:rPr>
          <w:rFonts w:ascii="Times New Roman" w:eastAsia="Calibri" w:hAnsi="Times New Roman" w:cs="Times New Roman"/>
          <w:b/>
          <w:lang w:val="lt-LT"/>
        </w:rPr>
        <w:tab/>
        <w:t>REGISTRACIJOS PAŽYMĖJIMO NUMERIS (-IAI)</w:t>
      </w:r>
    </w:p>
    <w:p w14:paraId="6F94B34C" w14:textId="77777777" w:rsidR="00797756" w:rsidRPr="00964115" w:rsidRDefault="00797756" w:rsidP="00797756">
      <w:pPr>
        <w:spacing w:after="0" w:line="240" w:lineRule="auto"/>
        <w:ind w:left="567" w:hanging="567"/>
        <w:rPr>
          <w:rFonts w:ascii="Times New Roman" w:eastAsia="Calibri" w:hAnsi="Times New Roman" w:cs="Times New Roman"/>
          <w:lang w:val="lt-LT"/>
        </w:rPr>
      </w:pPr>
    </w:p>
    <w:tbl>
      <w:tblPr>
        <w:tblW w:w="9498" w:type="dxa"/>
        <w:tblInd w:w="-5" w:type="dxa"/>
        <w:tblLook w:val="04A0" w:firstRow="1" w:lastRow="0" w:firstColumn="1" w:lastColumn="0" w:noHBand="0" w:noVBand="1"/>
      </w:tblPr>
      <w:tblGrid>
        <w:gridCol w:w="4819"/>
        <w:gridCol w:w="4679"/>
      </w:tblGrid>
      <w:tr w:rsidR="00797756" w:rsidRPr="00964115" w14:paraId="6F94B35C" w14:textId="77777777" w:rsidTr="0021048B">
        <w:tc>
          <w:tcPr>
            <w:tcW w:w="4819" w:type="dxa"/>
            <w:shd w:val="clear" w:color="auto" w:fill="auto"/>
          </w:tcPr>
          <w:p w14:paraId="6F94B34D" w14:textId="77777777" w:rsidR="00797756" w:rsidRPr="00964115" w:rsidRDefault="00797756" w:rsidP="00797756">
            <w:pPr>
              <w:spacing w:after="0" w:line="240" w:lineRule="auto"/>
              <w:ind w:left="567" w:hanging="567"/>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Buteliukas:</w:t>
            </w:r>
          </w:p>
          <w:p w14:paraId="6F94B34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N6 - LT/1/10/2302/001 </w:t>
            </w:r>
          </w:p>
          <w:p w14:paraId="6F94B34F" w14:textId="77777777" w:rsidR="00AA5A89" w:rsidRPr="00964115" w:rsidRDefault="00AA5A89"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N10 - </w:t>
            </w:r>
            <w:r w:rsidR="00097B95" w:rsidRPr="00964115">
              <w:rPr>
                <w:rFonts w:ascii="Times New Roman" w:eastAsia="Calibri" w:hAnsi="Times New Roman" w:cs="Times New Roman"/>
                <w:lang w:val="lt-LT"/>
              </w:rPr>
              <w:t>LT/1/10/2302/013</w:t>
            </w:r>
          </w:p>
          <w:p w14:paraId="6F94B35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N20 - LT/1/10/2302/002 </w:t>
            </w:r>
          </w:p>
          <w:p w14:paraId="6F94B35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N30 - LT/1/10/2302/003 </w:t>
            </w:r>
          </w:p>
          <w:p w14:paraId="6F94B35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N60 - LT/1/10/2302/004 </w:t>
            </w:r>
          </w:p>
          <w:p w14:paraId="6F94B35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N100 - LT/1/10/2302/005 </w:t>
            </w:r>
          </w:p>
          <w:p w14:paraId="6F94B354"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N180 - LT/1/10/2302/006 </w:t>
            </w:r>
          </w:p>
          <w:p w14:paraId="6F94B355"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lang w:val="lt-LT"/>
              </w:rPr>
              <w:t xml:space="preserve">N500 - LT/1/10/2302/007 </w:t>
            </w:r>
          </w:p>
        </w:tc>
        <w:tc>
          <w:tcPr>
            <w:tcW w:w="4679" w:type="dxa"/>
            <w:shd w:val="clear" w:color="auto" w:fill="auto"/>
          </w:tcPr>
          <w:p w14:paraId="6F94B356"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Lizdinė plokštelė:</w:t>
            </w:r>
          </w:p>
          <w:p w14:paraId="6F94B35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N10 - LT/1/10/2302/008 </w:t>
            </w:r>
          </w:p>
          <w:p w14:paraId="6F94B35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N20 - LT/1/10/2302/009 </w:t>
            </w:r>
          </w:p>
          <w:p w14:paraId="6F94B35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N30 - LT/1/10/2302/010 </w:t>
            </w:r>
          </w:p>
          <w:p w14:paraId="6F94B35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N60 - LT/1/10/2302/011 </w:t>
            </w:r>
          </w:p>
          <w:p w14:paraId="6F94B35B" w14:textId="77777777" w:rsidR="00797756" w:rsidRPr="00964115" w:rsidRDefault="00797756" w:rsidP="00797756">
            <w:pPr>
              <w:spacing w:after="0" w:line="240" w:lineRule="auto"/>
              <w:ind w:left="567" w:hanging="567"/>
              <w:rPr>
                <w:rFonts w:ascii="Times New Roman" w:eastAsia="Calibri" w:hAnsi="Times New Roman" w:cs="Times New Roman"/>
                <w:u w:val="single"/>
                <w:lang w:val="lt-LT"/>
              </w:rPr>
            </w:pPr>
            <w:r w:rsidRPr="00964115">
              <w:rPr>
                <w:rFonts w:ascii="Times New Roman" w:eastAsia="Calibri" w:hAnsi="Times New Roman" w:cs="Times New Roman"/>
                <w:lang w:val="lt-LT"/>
              </w:rPr>
              <w:t xml:space="preserve">N100 - LT/1/10/2302/012 </w:t>
            </w:r>
          </w:p>
        </w:tc>
      </w:tr>
    </w:tbl>
    <w:p w14:paraId="6F94B35D" w14:textId="77777777" w:rsidR="00797756" w:rsidRPr="00964115" w:rsidRDefault="00797756" w:rsidP="00797756">
      <w:pPr>
        <w:spacing w:after="0" w:line="240" w:lineRule="auto"/>
        <w:ind w:left="567" w:hanging="567"/>
        <w:rPr>
          <w:rFonts w:ascii="Times New Roman" w:eastAsia="Calibri" w:hAnsi="Times New Roman" w:cs="Times New Roman"/>
          <w:u w:val="single"/>
          <w:lang w:val="lt-LT"/>
        </w:rPr>
      </w:pPr>
    </w:p>
    <w:p w14:paraId="6F94B35E" w14:textId="77777777" w:rsidR="00797756" w:rsidRPr="00964115" w:rsidRDefault="00797756" w:rsidP="00797756">
      <w:pPr>
        <w:spacing w:after="0" w:line="240" w:lineRule="auto"/>
        <w:ind w:left="567" w:hanging="567"/>
        <w:rPr>
          <w:rFonts w:ascii="Times New Roman" w:eastAsia="Calibri" w:hAnsi="Times New Roman" w:cs="Times New Roman"/>
          <w:lang w:val="lt-LT"/>
        </w:rPr>
      </w:pPr>
    </w:p>
    <w:p w14:paraId="6F94B35F"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9.</w:t>
      </w:r>
      <w:r w:rsidRPr="00964115">
        <w:rPr>
          <w:rFonts w:ascii="Times New Roman" w:eastAsia="Calibri" w:hAnsi="Times New Roman" w:cs="Times New Roman"/>
          <w:b/>
          <w:lang w:val="lt-LT"/>
        </w:rPr>
        <w:tab/>
        <w:t>REGISTRAVIMO / PERREGISTRAVIMO DATA</w:t>
      </w:r>
    </w:p>
    <w:p w14:paraId="6F94B360" w14:textId="77777777" w:rsidR="00797756" w:rsidRPr="00964115" w:rsidRDefault="00797756" w:rsidP="00797756">
      <w:pPr>
        <w:spacing w:after="0" w:line="240" w:lineRule="auto"/>
        <w:ind w:left="567" w:hanging="567"/>
        <w:rPr>
          <w:rFonts w:ascii="Times New Roman" w:eastAsia="Calibri" w:hAnsi="Times New Roman" w:cs="Times New Roman"/>
          <w:b/>
          <w:caps/>
          <w:lang w:val="lt-LT"/>
        </w:rPr>
      </w:pPr>
    </w:p>
    <w:p w14:paraId="6F94B361" w14:textId="77777777" w:rsidR="00797756" w:rsidRPr="00964115" w:rsidRDefault="00797756" w:rsidP="00797756">
      <w:pPr>
        <w:spacing w:after="0" w:line="240" w:lineRule="auto"/>
        <w:ind w:left="567" w:hanging="567"/>
        <w:rPr>
          <w:rFonts w:ascii="Times New Roman" w:eastAsia="Calibri" w:hAnsi="Times New Roman" w:cs="Times New Roman"/>
          <w:caps/>
          <w:lang w:val="lt-LT"/>
        </w:rPr>
      </w:pPr>
      <w:r w:rsidRPr="00964115">
        <w:rPr>
          <w:rFonts w:ascii="Times New Roman" w:eastAsia="Calibri" w:hAnsi="Times New Roman" w:cs="Times New Roman"/>
          <w:caps/>
          <w:lang w:val="lt-LT"/>
        </w:rPr>
        <w:t>R</w:t>
      </w:r>
      <w:r w:rsidRPr="00964115">
        <w:rPr>
          <w:rFonts w:ascii="Times New Roman" w:eastAsia="Calibri" w:hAnsi="Times New Roman" w:cs="Times New Roman"/>
          <w:lang w:val="lt-LT"/>
        </w:rPr>
        <w:t xml:space="preserve">egistravimo data </w:t>
      </w:r>
      <w:r w:rsidRPr="00964115">
        <w:rPr>
          <w:rFonts w:ascii="Times New Roman" w:eastAsia="Calibri" w:hAnsi="Times New Roman" w:cs="Times New Roman"/>
          <w:caps/>
          <w:lang w:val="lt-LT"/>
        </w:rPr>
        <w:t xml:space="preserve">2011 </w:t>
      </w:r>
      <w:r w:rsidRPr="00964115">
        <w:rPr>
          <w:rFonts w:ascii="Times New Roman" w:eastAsia="Calibri" w:hAnsi="Times New Roman" w:cs="Times New Roman"/>
          <w:lang w:val="lt-LT"/>
        </w:rPr>
        <w:t>m. sausio 26 d.</w:t>
      </w:r>
    </w:p>
    <w:p w14:paraId="6F94B36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Paskutinio perregistravimo data </w:t>
      </w:r>
      <w:r w:rsidRPr="00964115">
        <w:rPr>
          <w:rFonts w:ascii="Times New Roman" w:eastAsia="Calibri" w:hAnsi="Times New Roman" w:cs="Times New Roman"/>
          <w:szCs w:val="24"/>
          <w:lang w:val="lt-LT"/>
        </w:rPr>
        <w:t>2016 m. lapkričio 10 d.</w:t>
      </w:r>
    </w:p>
    <w:p w14:paraId="6F94B363" w14:textId="77777777" w:rsidR="00797756" w:rsidRPr="00964115" w:rsidRDefault="00797756" w:rsidP="00797756">
      <w:pPr>
        <w:spacing w:after="0" w:line="240" w:lineRule="auto"/>
        <w:ind w:left="567" w:hanging="567"/>
        <w:rPr>
          <w:rFonts w:ascii="Times New Roman" w:eastAsia="Calibri" w:hAnsi="Times New Roman" w:cs="Times New Roman"/>
          <w:lang w:val="lt-LT"/>
        </w:rPr>
      </w:pPr>
    </w:p>
    <w:p w14:paraId="6F94B364" w14:textId="77777777" w:rsidR="00797756" w:rsidRPr="00964115" w:rsidRDefault="00797756" w:rsidP="00797756">
      <w:pPr>
        <w:spacing w:after="0" w:line="240" w:lineRule="auto"/>
        <w:ind w:left="567" w:hanging="567"/>
        <w:rPr>
          <w:rFonts w:ascii="Times New Roman" w:eastAsia="Calibri" w:hAnsi="Times New Roman" w:cs="Times New Roman"/>
          <w:lang w:val="lt-LT"/>
        </w:rPr>
      </w:pPr>
    </w:p>
    <w:p w14:paraId="6F94B365"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10.</w:t>
      </w:r>
      <w:r w:rsidRPr="00964115">
        <w:rPr>
          <w:rFonts w:ascii="Times New Roman" w:eastAsia="Calibri" w:hAnsi="Times New Roman" w:cs="Times New Roman"/>
          <w:b/>
          <w:lang w:val="lt-LT"/>
        </w:rPr>
        <w:tab/>
        <w:t>TEKSTO PERŽIŪROS DATA</w:t>
      </w:r>
    </w:p>
    <w:p w14:paraId="6F94B366" w14:textId="77777777" w:rsidR="00797756" w:rsidRPr="00964115" w:rsidRDefault="00797756" w:rsidP="00797756">
      <w:pPr>
        <w:spacing w:after="0" w:line="240" w:lineRule="auto"/>
        <w:ind w:left="567" w:hanging="567"/>
        <w:rPr>
          <w:rFonts w:ascii="Times New Roman" w:eastAsia="Calibri" w:hAnsi="Times New Roman" w:cs="Times New Roman"/>
          <w:b/>
          <w:caps/>
          <w:lang w:val="lt-LT"/>
        </w:rPr>
      </w:pPr>
    </w:p>
    <w:p w14:paraId="39E5D046" w14:textId="040E8D60" w:rsidR="001E3801" w:rsidRDefault="007A3DE6" w:rsidP="00797756">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2023 m. liepos 6 d.</w:t>
      </w:r>
    </w:p>
    <w:p w14:paraId="3D52550C" w14:textId="77777777" w:rsidR="00CB7213" w:rsidRDefault="00CB7213" w:rsidP="00797756">
      <w:pPr>
        <w:spacing w:after="0" w:line="240" w:lineRule="auto"/>
        <w:rPr>
          <w:rFonts w:ascii="Times New Roman" w:eastAsia="Calibri" w:hAnsi="Times New Roman" w:cs="Times New Roman"/>
          <w:lang w:val="lt-LT"/>
        </w:rPr>
      </w:pPr>
    </w:p>
    <w:p w14:paraId="6F94B368" w14:textId="4BA9BF06"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Išsami informacija apie šį vaistinį preparatą pateikiama Valstybinės vaistų kontrolės tarnybos prie Lietuvos Respublikos sveikatos apsaugos ministerijos tinklalapyje </w:t>
      </w:r>
      <w:hyperlink r:id="rId11" w:history="1">
        <w:r w:rsidRPr="00964115">
          <w:rPr>
            <w:rFonts w:ascii="Times New Roman" w:eastAsia="Calibri" w:hAnsi="Times New Roman" w:cs="Times New Roman"/>
            <w:color w:val="0000FF"/>
            <w:u w:val="single"/>
            <w:lang w:val="lt-LT"/>
          </w:rPr>
          <w:t>http://www.vvkt.lt</w:t>
        </w:r>
      </w:hyperlink>
      <w:r w:rsidRPr="00964115">
        <w:rPr>
          <w:rFonts w:ascii="Times New Roman" w:eastAsia="Calibri" w:hAnsi="Times New Roman" w:cs="Times New Roman"/>
          <w:lang w:val="lt-LT"/>
        </w:rPr>
        <w:t>.</w:t>
      </w:r>
    </w:p>
    <w:p w14:paraId="6F94B369"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r w:rsidRPr="00964115">
        <w:rPr>
          <w:rFonts w:ascii="Times New Roman" w:eastAsia="Calibri" w:hAnsi="Times New Roman" w:cs="Times New Roman"/>
          <w:b/>
          <w:lang w:val="lt-LT"/>
        </w:rPr>
        <w:br w:type="page"/>
      </w:r>
    </w:p>
    <w:p w14:paraId="6F94B36A"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36B"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36C"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6D"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6E"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6F"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0"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1"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2"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3"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4"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5"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6"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7"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8"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9"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A"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B"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C"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D"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E"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7F"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80"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81" w14:textId="77777777" w:rsidR="00797756" w:rsidRPr="00964115" w:rsidRDefault="00797756" w:rsidP="00797756">
      <w:pPr>
        <w:spacing w:after="0" w:line="240" w:lineRule="auto"/>
        <w:jc w:val="center"/>
        <w:rPr>
          <w:rFonts w:ascii="Times New Roman" w:eastAsia="Calibri" w:hAnsi="Times New Roman" w:cs="Times New Roman"/>
          <w:b/>
          <w:lang w:val="lt-LT"/>
        </w:rPr>
      </w:pPr>
      <w:bookmarkStart w:id="51" w:name="_Toc129243128"/>
      <w:bookmarkStart w:id="52" w:name="_Toc129243253"/>
      <w:r w:rsidRPr="00964115">
        <w:rPr>
          <w:rFonts w:ascii="Times New Roman" w:eastAsia="Calibri" w:hAnsi="Times New Roman" w:cs="Times New Roman"/>
          <w:b/>
          <w:lang w:val="lt-LT"/>
        </w:rPr>
        <w:t>II PRIEDAS</w:t>
      </w:r>
      <w:bookmarkEnd w:id="51"/>
      <w:bookmarkEnd w:id="52"/>
    </w:p>
    <w:p w14:paraId="6F94B382" w14:textId="77777777" w:rsidR="00797756" w:rsidRPr="00964115" w:rsidRDefault="00797756" w:rsidP="00797756">
      <w:pPr>
        <w:spacing w:after="0" w:line="240" w:lineRule="auto"/>
        <w:rPr>
          <w:rFonts w:ascii="Times New Roman" w:eastAsia="Calibri" w:hAnsi="Times New Roman" w:cs="Times New Roman"/>
          <w:lang w:val="lt-LT"/>
        </w:rPr>
      </w:pPr>
    </w:p>
    <w:p w14:paraId="6F94B383" w14:textId="77777777" w:rsidR="00797756" w:rsidRPr="00964115" w:rsidRDefault="00797756" w:rsidP="00797756">
      <w:pPr>
        <w:spacing w:after="0" w:line="240" w:lineRule="auto"/>
        <w:jc w:val="center"/>
        <w:rPr>
          <w:rFonts w:ascii="Times New Roman" w:eastAsia="Calibri" w:hAnsi="Times New Roman" w:cs="Times New Roman"/>
          <w:b/>
          <w:caps/>
          <w:lang w:val="lt-LT"/>
        </w:rPr>
      </w:pPr>
      <w:r w:rsidRPr="00964115">
        <w:rPr>
          <w:rFonts w:ascii="Times New Roman" w:eastAsia="Calibri" w:hAnsi="Times New Roman" w:cs="Times New Roman"/>
          <w:b/>
          <w:caps/>
          <w:lang w:val="lt-LT"/>
        </w:rPr>
        <w:t>Registracijos SĄLYGOS</w:t>
      </w:r>
    </w:p>
    <w:p w14:paraId="6F94B384"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85" w14:textId="77777777" w:rsidR="00797756" w:rsidRPr="00964115" w:rsidRDefault="00797756" w:rsidP="00797756">
      <w:pPr>
        <w:spacing w:after="0" w:line="240" w:lineRule="auto"/>
        <w:ind w:left="1701" w:right="1418" w:hanging="709"/>
        <w:rPr>
          <w:rFonts w:ascii="Times New Roman" w:eastAsia="Calibri" w:hAnsi="Times New Roman" w:cs="Times New Roman"/>
          <w:b/>
          <w:highlight w:val="yellow"/>
          <w:lang w:val="lt-LT"/>
        </w:rPr>
      </w:pPr>
      <w:r w:rsidRPr="00964115">
        <w:rPr>
          <w:rFonts w:ascii="Times New Roman" w:eastAsia="Calibri" w:hAnsi="Times New Roman" w:cs="Times New Roman"/>
          <w:b/>
          <w:lang w:val="lt-LT"/>
        </w:rPr>
        <w:t>A.</w:t>
      </w:r>
      <w:r w:rsidRPr="00964115">
        <w:rPr>
          <w:rFonts w:ascii="Times New Roman" w:eastAsia="Calibri" w:hAnsi="Times New Roman" w:cs="Times New Roman"/>
          <w:b/>
          <w:lang w:val="lt-LT"/>
        </w:rPr>
        <w:tab/>
        <w:t>GAMINTOJAS (-AI), ATSAKINGAS (-I) UŽ SERIJŲ IŠLEIDIMĄ</w:t>
      </w:r>
    </w:p>
    <w:p w14:paraId="6F94B386" w14:textId="77777777" w:rsidR="00797756" w:rsidRPr="00964115" w:rsidRDefault="00797756" w:rsidP="00797756">
      <w:pPr>
        <w:spacing w:after="0" w:line="240" w:lineRule="auto"/>
        <w:ind w:left="1701" w:right="1418" w:hanging="709"/>
        <w:rPr>
          <w:rFonts w:ascii="Times New Roman" w:eastAsia="Calibri" w:hAnsi="Times New Roman" w:cs="Times New Roman"/>
          <w:b/>
          <w:lang w:val="lt-LT"/>
        </w:rPr>
      </w:pPr>
      <w:r w:rsidRPr="00964115">
        <w:rPr>
          <w:rFonts w:ascii="Times New Roman" w:eastAsia="Calibri" w:hAnsi="Times New Roman" w:cs="Times New Roman"/>
          <w:b/>
          <w:lang w:val="lt-LT"/>
        </w:rPr>
        <w:t>B.</w:t>
      </w:r>
      <w:r w:rsidRPr="00964115">
        <w:rPr>
          <w:rFonts w:ascii="Times New Roman" w:eastAsia="Calibri" w:hAnsi="Times New Roman" w:cs="Times New Roman"/>
          <w:b/>
          <w:lang w:val="lt-LT"/>
        </w:rPr>
        <w:tab/>
        <w:t>TIEKIMO IR VARTOJIMO SĄLYGOS AR APRIBOJIMAI</w:t>
      </w:r>
    </w:p>
    <w:p w14:paraId="6F94B387" w14:textId="77777777" w:rsidR="00797756" w:rsidRPr="00964115" w:rsidRDefault="00797756" w:rsidP="00797756">
      <w:pPr>
        <w:spacing w:after="0" w:line="240" w:lineRule="auto"/>
        <w:rPr>
          <w:rFonts w:ascii="Times New Roman" w:eastAsia="Calibri" w:hAnsi="Times New Roman" w:cs="Times New Roman"/>
          <w:lang w:val="lt-LT"/>
        </w:rPr>
      </w:pPr>
    </w:p>
    <w:p w14:paraId="6F94B388" w14:textId="77777777" w:rsidR="00797756" w:rsidRPr="00964115" w:rsidRDefault="00797756" w:rsidP="00797756">
      <w:p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br w:type="page"/>
      </w:r>
      <w:r w:rsidRPr="00964115">
        <w:rPr>
          <w:rFonts w:ascii="Times New Roman" w:eastAsia="Calibri" w:hAnsi="Times New Roman" w:cs="Times New Roman"/>
          <w:b/>
          <w:lang w:val="lt-LT"/>
        </w:rPr>
        <w:t>A.</w:t>
      </w:r>
      <w:r w:rsidRPr="00964115">
        <w:rPr>
          <w:rFonts w:ascii="Times New Roman" w:eastAsia="Calibri" w:hAnsi="Times New Roman" w:cs="Times New Roman"/>
          <w:b/>
          <w:lang w:val="lt-LT"/>
        </w:rPr>
        <w:tab/>
        <w:t xml:space="preserve">GAMINTOJAS (-AI), ATSAKINGAS (-I) UŽ SERIJŲ IŠLEIDIMĄ </w:t>
      </w:r>
    </w:p>
    <w:p w14:paraId="6F94B389" w14:textId="77777777" w:rsidR="00797756" w:rsidRPr="00964115" w:rsidRDefault="00797756" w:rsidP="00797756">
      <w:pPr>
        <w:spacing w:after="0" w:line="240" w:lineRule="auto"/>
        <w:rPr>
          <w:rFonts w:ascii="Times New Roman" w:eastAsia="Calibri" w:hAnsi="Times New Roman" w:cs="Times New Roman"/>
          <w:highlight w:val="yellow"/>
          <w:lang w:val="lt-LT"/>
        </w:rPr>
      </w:pPr>
    </w:p>
    <w:p w14:paraId="6F94B38A" w14:textId="77777777" w:rsidR="00797756" w:rsidRPr="00964115" w:rsidRDefault="00797756" w:rsidP="00797756">
      <w:pPr>
        <w:tabs>
          <w:tab w:val="left" w:pos="567"/>
        </w:tabs>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u w:val="single"/>
          <w:lang w:val="lt-LT"/>
        </w:rPr>
        <w:t>Gamintojo (-ų), atsakingo (-ų) už serijų išleidimą, pavadinimas (-ai) ir adresas (-ai)</w:t>
      </w:r>
    </w:p>
    <w:p w14:paraId="6F94B391" w14:textId="77777777" w:rsidR="0021048B" w:rsidRPr="005C4455" w:rsidRDefault="0021048B" w:rsidP="005C4455">
      <w:pPr>
        <w:numPr>
          <w:ilvl w:val="12"/>
          <w:numId w:val="0"/>
        </w:numPr>
        <w:spacing w:after="0" w:line="240" w:lineRule="auto"/>
        <w:ind w:right="-2"/>
        <w:rPr>
          <w:rFonts w:ascii="Times New Roman" w:hAnsi="Times New Roman"/>
          <w:lang w:val="lt-LT"/>
        </w:rPr>
      </w:pPr>
    </w:p>
    <w:p w14:paraId="6F94B392" w14:textId="77777777" w:rsidR="0021048B" w:rsidRPr="00964115" w:rsidRDefault="0021048B" w:rsidP="0021048B">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Grünenthal GmbH</w:t>
      </w:r>
    </w:p>
    <w:p w14:paraId="6F94B393" w14:textId="77777777" w:rsidR="0021048B" w:rsidRPr="00964115" w:rsidRDefault="0021048B" w:rsidP="0021048B">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Zieglerstrasse 6</w:t>
      </w:r>
    </w:p>
    <w:p w14:paraId="6F94B394" w14:textId="77777777" w:rsidR="0021048B" w:rsidRPr="00964115" w:rsidRDefault="0021048B" w:rsidP="0021048B">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52078 Aachen</w:t>
      </w:r>
    </w:p>
    <w:p w14:paraId="6F94B395" w14:textId="77777777" w:rsidR="0021048B" w:rsidRPr="00964115" w:rsidRDefault="0021048B" w:rsidP="0021048B">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Vokietija</w:t>
      </w:r>
    </w:p>
    <w:p w14:paraId="6F94B396" w14:textId="77777777" w:rsidR="00E325CF" w:rsidRPr="00964115" w:rsidRDefault="00E325CF" w:rsidP="00507F26">
      <w:pPr>
        <w:spacing w:after="0" w:line="240" w:lineRule="auto"/>
        <w:rPr>
          <w:rFonts w:ascii="Times New Roman" w:eastAsia="Calibri" w:hAnsi="Times New Roman" w:cs="Times New Roman"/>
          <w:lang w:val="lt-LT"/>
        </w:rPr>
      </w:pPr>
    </w:p>
    <w:p w14:paraId="6F94B399" w14:textId="77777777" w:rsidR="00797756" w:rsidRPr="00964115" w:rsidRDefault="00797756" w:rsidP="00797756">
      <w:pPr>
        <w:spacing w:after="0" w:line="240" w:lineRule="auto"/>
        <w:rPr>
          <w:rFonts w:ascii="Times New Roman" w:eastAsia="Calibri" w:hAnsi="Times New Roman" w:cs="Times New Roman"/>
          <w:highlight w:val="yellow"/>
          <w:lang w:val="lt-LT"/>
        </w:rPr>
      </w:pPr>
    </w:p>
    <w:p w14:paraId="6F94B39A"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B.</w:t>
      </w:r>
      <w:r w:rsidRPr="00964115">
        <w:rPr>
          <w:rFonts w:ascii="Times New Roman" w:eastAsia="Calibri" w:hAnsi="Times New Roman" w:cs="Times New Roman"/>
          <w:b/>
          <w:lang w:val="lt-LT"/>
        </w:rPr>
        <w:tab/>
      </w:r>
      <w:bookmarkStart w:id="53" w:name="_Toc129243130"/>
      <w:bookmarkStart w:id="54" w:name="_Toc129243255"/>
      <w:r w:rsidRPr="00964115">
        <w:rPr>
          <w:rFonts w:ascii="Times New Roman" w:eastAsia="Calibri" w:hAnsi="Times New Roman" w:cs="Times New Roman"/>
          <w:b/>
          <w:lang w:val="lt-LT"/>
        </w:rPr>
        <w:t>TIEKIMO IR VARTOJIMO SĄLYGOS AR APRIBOJIMAI</w:t>
      </w:r>
      <w:bookmarkEnd w:id="53"/>
      <w:bookmarkEnd w:id="54"/>
    </w:p>
    <w:p w14:paraId="6F94B39B" w14:textId="77777777" w:rsidR="00797756" w:rsidRPr="00964115" w:rsidRDefault="00797756" w:rsidP="00797756">
      <w:pPr>
        <w:spacing w:after="0" w:line="240" w:lineRule="auto"/>
        <w:rPr>
          <w:rFonts w:ascii="Times New Roman" w:eastAsia="Calibri" w:hAnsi="Times New Roman" w:cs="Times New Roman"/>
          <w:lang w:val="lt-LT"/>
        </w:rPr>
      </w:pPr>
    </w:p>
    <w:p w14:paraId="6F94B39C"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Receptinis vaistinis preparatas.</w:t>
      </w:r>
    </w:p>
    <w:p w14:paraId="6F94B39D" w14:textId="77777777" w:rsidR="00797756" w:rsidRPr="00964115" w:rsidRDefault="00797756" w:rsidP="00797756">
      <w:pPr>
        <w:numPr>
          <w:ilvl w:val="12"/>
          <w:numId w:val="0"/>
        </w:numPr>
        <w:spacing w:after="0" w:line="240" w:lineRule="auto"/>
        <w:rPr>
          <w:rFonts w:ascii="Times New Roman" w:eastAsia="Calibri" w:hAnsi="Times New Roman" w:cs="Times New Roman"/>
          <w:highlight w:val="yellow"/>
          <w:lang w:val="lt-LT"/>
        </w:rPr>
      </w:pPr>
    </w:p>
    <w:p w14:paraId="6F94B39E" w14:textId="77777777" w:rsidR="00797756" w:rsidRPr="00964115" w:rsidRDefault="00797756" w:rsidP="00797756">
      <w:pPr>
        <w:spacing w:after="0" w:line="240" w:lineRule="auto"/>
        <w:jc w:val="center"/>
        <w:rPr>
          <w:rFonts w:ascii="Times New Roman" w:eastAsia="Calibri" w:hAnsi="Times New Roman" w:cs="Times New Roman"/>
          <w:lang w:val="lt-LT"/>
        </w:rPr>
      </w:pPr>
      <w:r w:rsidRPr="00964115">
        <w:rPr>
          <w:rFonts w:ascii="Times New Roman" w:eastAsia="Calibri" w:hAnsi="Times New Roman" w:cs="Times New Roman"/>
          <w:lang w:val="lt-LT"/>
        </w:rPr>
        <w:br w:type="page"/>
      </w:r>
    </w:p>
    <w:p w14:paraId="6F94B39F"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0"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1"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2"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3"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4"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5"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6"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7"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8"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9"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A"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B"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C"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D"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E"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AF"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B0"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B1"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B2"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B3"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3B4"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3B5"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3B6"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r w:rsidRPr="00964115">
        <w:rPr>
          <w:rFonts w:ascii="Times New Roman" w:eastAsia="Calibri" w:hAnsi="Times New Roman" w:cs="Times New Roman"/>
          <w:b/>
          <w:lang w:val="lt-LT"/>
        </w:rPr>
        <w:t>III PRIEDAS</w:t>
      </w:r>
    </w:p>
    <w:p w14:paraId="6F94B3B7" w14:textId="77777777" w:rsidR="00797756" w:rsidRPr="00964115" w:rsidRDefault="00797756" w:rsidP="00797756">
      <w:pPr>
        <w:spacing w:after="0" w:line="240" w:lineRule="auto"/>
        <w:jc w:val="center"/>
        <w:rPr>
          <w:rFonts w:ascii="Times New Roman" w:eastAsia="Calibri" w:hAnsi="Times New Roman" w:cs="Times New Roman"/>
          <w:b/>
          <w:lang w:val="lt-LT"/>
        </w:rPr>
      </w:pPr>
    </w:p>
    <w:p w14:paraId="6F94B3B8"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r w:rsidRPr="00964115">
        <w:rPr>
          <w:rFonts w:ascii="Times New Roman" w:eastAsia="Calibri" w:hAnsi="Times New Roman" w:cs="Times New Roman"/>
          <w:b/>
          <w:lang w:val="lt-LT"/>
        </w:rPr>
        <w:t>ŽENKLINIMAS IR PAKUOTĖS LAPELIS</w:t>
      </w:r>
    </w:p>
    <w:p w14:paraId="6F94B3B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br w:type="page"/>
      </w:r>
    </w:p>
    <w:p w14:paraId="6F94B3BA" w14:textId="77777777" w:rsidR="00797756" w:rsidRPr="00964115" w:rsidRDefault="00797756" w:rsidP="00797756">
      <w:pPr>
        <w:spacing w:after="0" w:line="240" w:lineRule="auto"/>
        <w:rPr>
          <w:rFonts w:ascii="Times New Roman" w:eastAsia="Calibri" w:hAnsi="Times New Roman" w:cs="Times New Roman"/>
          <w:lang w:val="lt-LT"/>
        </w:rPr>
      </w:pPr>
    </w:p>
    <w:p w14:paraId="6F94B3BB" w14:textId="77777777" w:rsidR="00797756" w:rsidRPr="00964115" w:rsidRDefault="00797756" w:rsidP="00797756">
      <w:pPr>
        <w:spacing w:after="0" w:line="240" w:lineRule="auto"/>
        <w:rPr>
          <w:rFonts w:ascii="Times New Roman" w:eastAsia="Calibri" w:hAnsi="Times New Roman" w:cs="Times New Roman"/>
          <w:lang w:val="lt-LT"/>
        </w:rPr>
      </w:pPr>
    </w:p>
    <w:p w14:paraId="6F94B3BC" w14:textId="77777777" w:rsidR="00797756" w:rsidRPr="00964115" w:rsidRDefault="00797756" w:rsidP="00797756">
      <w:pPr>
        <w:spacing w:after="0" w:line="240" w:lineRule="auto"/>
        <w:rPr>
          <w:rFonts w:ascii="Times New Roman" w:eastAsia="Calibri" w:hAnsi="Times New Roman" w:cs="Times New Roman"/>
          <w:lang w:val="lt-LT"/>
        </w:rPr>
      </w:pPr>
    </w:p>
    <w:p w14:paraId="6F94B3BD" w14:textId="77777777" w:rsidR="00797756" w:rsidRPr="00964115" w:rsidRDefault="00797756" w:rsidP="00797756">
      <w:pPr>
        <w:spacing w:after="0" w:line="240" w:lineRule="auto"/>
        <w:rPr>
          <w:rFonts w:ascii="Times New Roman" w:eastAsia="Calibri" w:hAnsi="Times New Roman" w:cs="Times New Roman"/>
          <w:lang w:val="lt-LT"/>
        </w:rPr>
      </w:pPr>
    </w:p>
    <w:p w14:paraId="6F94B3BE" w14:textId="77777777" w:rsidR="00797756" w:rsidRPr="00964115" w:rsidRDefault="00797756" w:rsidP="00797756">
      <w:pPr>
        <w:spacing w:after="0" w:line="240" w:lineRule="auto"/>
        <w:rPr>
          <w:rFonts w:ascii="Times New Roman" w:eastAsia="Calibri" w:hAnsi="Times New Roman" w:cs="Times New Roman"/>
          <w:lang w:val="lt-LT"/>
        </w:rPr>
      </w:pPr>
    </w:p>
    <w:p w14:paraId="6F94B3BF" w14:textId="77777777" w:rsidR="00797756" w:rsidRPr="00964115" w:rsidRDefault="00797756" w:rsidP="00797756">
      <w:pPr>
        <w:spacing w:after="0" w:line="240" w:lineRule="auto"/>
        <w:rPr>
          <w:rFonts w:ascii="Times New Roman" w:eastAsia="Calibri" w:hAnsi="Times New Roman" w:cs="Times New Roman"/>
          <w:lang w:val="lt-LT"/>
        </w:rPr>
      </w:pPr>
    </w:p>
    <w:p w14:paraId="6F94B3C0" w14:textId="77777777" w:rsidR="00797756" w:rsidRPr="00964115" w:rsidRDefault="00797756" w:rsidP="00797756">
      <w:pPr>
        <w:spacing w:after="0" w:line="240" w:lineRule="auto"/>
        <w:rPr>
          <w:rFonts w:ascii="Times New Roman" w:eastAsia="Calibri" w:hAnsi="Times New Roman" w:cs="Times New Roman"/>
          <w:lang w:val="lt-LT"/>
        </w:rPr>
      </w:pPr>
    </w:p>
    <w:p w14:paraId="6F94B3C1" w14:textId="77777777" w:rsidR="00797756" w:rsidRPr="00964115" w:rsidRDefault="00797756" w:rsidP="00797756">
      <w:pPr>
        <w:spacing w:after="0" w:line="240" w:lineRule="auto"/>
        <w:rPr>
          <w:rFonts w:ascii="Times New Roman" w:eastAsia="Calibri" w:hAnsi="Times New Roman" w:cs="Times New Roman"/>
          <w:lang w:val="lt-LT"/>
        </w:rPr>
      </w:pPr>
    </w:p>
    <w:p w14:paraId="6F94B3C2" w14:textId="77777777" w:rsidR="00797756" w:rsidRPr="00964115" w:rsidRDefault="00797756" w:rsidP="00797756">
      <w:pPr>
        <w:spacing w:after="0" w:line="240" w:lineRule="auto"/>
        <w:rPr>
          <w:rFonts w:ascii="Times New Roman" w:eastAsia="Calibri" w:hAnsi="Times New Roman" w:cs="Times New Roman"/>
          <w:lang w:val="lt-LT"/>
        </w:rPr>
      </w:pPr>
    </w:p>
    <w:p w14:paraId="6F94B3C3" w14:textId="77777777" w:rsidR="00797756" w:rsidRPr="00964115" w:rsidRDefault="00797756" w:rsidP="00797756">
      <w:pPr>
        <w:spacing w:after="0" w:line="240" w:lineRule="auto"/>
        <w:rPr>
          <w:rFonts w:ascii="Times New Roman" w:eastAsia="Calibri" w:hAnsi="Times New Roman" w:cs="Times New Roman"/>
          <w:lang w:val="lt-LT"/>
        </w:rPr>
      </w:pPr>
    </w:p>
    <w:p w14:paraId="6F94B3C4" w14:textId="77777777" w:rsidR="00797756" w:rsidRPr="00964115" w:rsidRDefault="00797756" w:rsidP="00797756">
      <w:pPr>
        <w:spacing w:after="0" w:line="240" w:lineRule="auto"/>
        <w:rPr>
          <w:rFonts w:ascii="Times New Roman" w:eastAsia="Calibri" w:hAnsi="Times New Roman" w:cs="Times New Roman"/>
          <w:lang w:val="lt-LT"/>
        </w:rPr>
      </w:pPr>
    </w:p>
    <w:p w14:paraId="6F94B3C5" w14:textId="77777777" w:rsidR="00797756" w:rsidRPr="00964115" w:rsidRDefault="00797756" w:rsidP="00797756">
      <w:pPr>
        <w:spacing w:after="0" w:line="240" w:lineRule="auto"/>
        <w:rPr>
          <w:rFonts w:ascii="Times New Roman" w:eastAsia="Calibri" w:hAnsi="Times New Roman" w:cs="Times New Roman"/>
          <w:lang w:val="lt-LT"/>
        </w:rPr>
      </w:pPr>
    </w:p>
    <w:p w14:paraId="6F94B3C6" w14:textId="77777777" w:rsidR="00797756" w:rsidRPr="00964115" w:rsidRDefault="00797756" w:rsidP="00797756">
      <w:pPr>
        <w:spacing w:after="0" w:line="240" w:lineRule="auto"/>
        <w:rPr>
          <w:rFonts w:ascii="Times New Roman" w:eastAsia="Calibri" w:hAnsi="Times New Roman" w:cs="Times New Roman"/>
          <w:lang w:val="lt-LT"/>
        </w:rPr>
      </w:pPr>
    </w:p>
    <w:p w14:paraId="6F94B3C7" w14:textId="77777777" w:rsidR="00797756" w:rsidRPr="00964115" w:rsidRDefault="00797756" w:rsidP="00797756">
      <w:pPr>
        <w:spacing w:after="0" w:line="240" w:lineRule="auto"/>
        <w:rPr>
          <w:rFonts w:ascii="Times New Roman" w:eastAsia="Calibri" w:hAnsi="Times New Roman" w:cs="Times New Roman"/>
          <w:lang w:val="lt-LT"/>
        </w:rPr>
      </w:pPr>
    </w:p>
    <w:p w14:paraId="6F94B3C8" w14:textId="77777777" w:rsidR="00797756" w:rsidRPr="00964115" w:rsidRDefault="00797756" w:rsidP="00797756">
      <w:pPr>
        <w:spacing w:after="0" w:line="240" w:lineRule="auto"/>
        <w:rPr>
          <w:rFonts w:ascii="Times New Roman" w:eastAsia="Calibri" w:hAnsi="Times New Roman" w:cs="Times New Roman"/>
          <w:lang w:val="lt-LT"/>
        </w:rPr>
      </w:pPr>
    </w:p>
    <w:p w14:paraId="6F94B3C9" w14:textId="77777777" w:rsidR="00797756" w:rsidRPr="00964115" w:rsidRDefault="00797756" w:rsidP="00797756">
      <w:pPr>
        <w:spacing w:after="0" w:line="240" w:lineRule="auto"/>
        <w:rPr>
          <w:rFonts w:ascii="Times New Roman" w:eastAsia="Calibri" w:hAnsi="Times New Roman" w:cs="Times New Roman"/>
          <w:lang w:val="lt-LT"/>
        </w:rPr>
      </w:pPr>
    </w:p>
    <w:p w14:paraId="6F94B3CA" w14:textId="77777777" w:rsidR="00797756" w:rsidRPr="00964115" w:rsidRDefault="00797756" w:rsidP="00797756">
      <w:pPr>
        <w:spacing w:after="0" w:line="240" w:lineRule="auto"/>
        <w:rPr>
          <w:rFonts w:ascii="Times New Roman" w:eastAsia="Calibri" w:hAnsi="Times New Roman" w:cs="Times New Roman"/>
          <w:lang w:val="lt-LT"/>
        </w:rPr>
      </w:pPr>
    </w:p>
    <w:p w14:paraId="6F94B3CB" w14:textId="77777777" w:rsidR="00797756" w:rsidRPr="00964115" w:rsidRDefault="00797756" w:rsidP="00797756">
      <w:pPr>
        <w:spacing w:after="0" w:line="240" w:lineRule="auto"/>
        <w:rPr>
          <w:rFonts w:ascii="Times New Roman" w:eastAsia="Calibri" w:hAnsi="Times New Roman" w:cs="Times New Roman"/>
          <w:lang w:val="lt-LT"/>
        </w:rPr>
      </w:pPr>
    </w:p>
    <w:p w14:paraId="6F94B3CC" w14:textId="77777777" w:rsidR="00797756" w:rsidRPr="00964115" w:rsidRDefault="00797756" w:rsidP="00797756">
      <w:pPr>
        <w:spacing w:after="0" w:line="240" w:lineRule="auto"/>
        <w:rPr>
          <w:rFonts w:ascii="Times New Roman" w:eastAsia="Calibri" w:hAnsi="Times New Roman" w:cs="Times New Roman"/>
          <w:lang w:val="lt-LT"/>
        </w:rPr>
      </w:pPr>
    </w:p>
    <w:p w14:paraId="6F94B3CD" w14:textId="77777777" w:rsidR="00797756" w:rsidRPr="00964115" w:rsidRDefault="00797756" w:rsidP="00797756">
      <w:pPr>
        <w:spacing w:after="0" w:line="240" w:lineRule="auto"/>
        <w:rPr>
          <w:rFonts w:ascii="Times New Roman" w:eastAsia="Calibri" w:hAnsi="Times New Roman" w:cs="Times New Roman"/>
          <w:lang w:val="lt-LT"/>
        </w:rPr>
      </w:pPr>
    </w:p>
    <w:p w14:paraId="6F94B3CE" w14:textId="77777777" w:rsidR="00797756" w:rsidRPr="00964115" w:rsidRDefault="00797756" w:rsidP="00797756">
      <w:pPr>
        <w:spacing w:after="0" w:line="240" w:lineRule="auto"/>
        <w:rPr>
          <w:rFonts w:ascii="Times New Roman" w:eastAsia="Calibri" w:hAnsi="Times New Roman" w:cs="Times New Roman"/>
          <w:lang w:val="lt-LT"/>
        </w:rPr>
      </w:pPr>
    </w:p>
    <w:p w14:paraId="6F94B3CF"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3D0" w14:textId="77777777" w:rsidR="00797756" w:rsidRPr="00964115" w:rsidRDefault="00797756" w:rsidP="00797756">
      <w:pPr>
        <w:spacing w:after="0" w:line="240" w:lineRule="auto"/>
        <w:jc w:val="center"/>
        <w:outlineLvl w:val="0"/>
        <w:rPr>
          <w:rFonts w:ascii="Times New Roman" w:eastAsia="Calibri" w:hAnsi="Times New Roman" w:cs="Times New Roman"/>
          <w:lang w:val="lt-LT"/>
        </w:rPr>
      </w:pPr>
      <w:r w:rsidRPr="00964115">
        <w:rPr>
          <w:rFonts w:ascii="Times New Roman" w:eastAsia="Calibri" w:hAnsi="Times New Roman" w:cs="Times New Roman"/>
          <w:b/>
          <w:lang w:val="lt-LT"/>
        </w:rPr>
        <w:t>A. ŽENKLINIMAS</w:t>
      </w:r>
    </w:p>
    <w:p w14:paraId="6F94B3D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br w:type="page"/>
      </w:r>
    </w:p>
    <w:p w14:paraId="6F94B3D2"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INFORMACIJA ANT IŠORINĖS PAKUOTĖS</w:t>
      </w:r>
    </w:p>
    <w:p w14:paraId="6F94B3D3"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p>
    <w:p w14:paraId="6F94B3D4" w14:textId="77777777" w:rsidR="00797756" w:rsidRPr="00964115" w:rsidRDefault="00797756" w:rsidP="00797756">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Calibri" w:hAnsi="Times New Roman" w:cs="Times New Roman"/>
          <w:b/>
          <w:lang w:val="lt-LT"/>
        </w:rPr>
      </w:pPr>
      <w:r w:rsidRPr="00964115">
        <w:rPr>
          <w:rFonts w:ascii="Times New Roman" w:eastAsia="Calibri" w:hAnsi="Times New Roman" w:cs="Times New Roman"/>
          <w:b/>
          <w:lang w:val="lt-LT"/>
        </w:rPr>
        <w:t>Buteliuko dėžutė</w:t>
      </w:r>
    </w:p>
    <w:p w14:paraId="6F94B3D5" w14:textId="77777777" w:rsidR="00797756" w:rsidRPr="00964115" w:rsidRDefault="00797756" w:rsidP="00797756">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Calibri" w:hAnsi="Times New Roman" w:cs="Times New Roman"/>
          <w:b/>
          <w:lang w:val="lt-LT"/>
        </w:rPr>
      </w:pPr>
      <w:r w:rsidRPr="00964115">
        <w:rPr>
          <w:rFonts w:ascii="Times New Roman" w:eastAsia="Calibri" w:hAnsi="Times New Roman" w:cs="Times New Roman"/>
          <w:b/>
          <w:lang w:val="lt-LT"/>
        </w:rPr>
        <w:t>Lizdinių plokštelių dėžutė</w:t>
      </w:r>
    </w:p>
    <w:p w14:paraId="6F94B3D6" w14:textId="77777777" w:rsidR="00797756" w:rsidRPr="00964115" w:rsidRDefault="00797756" w:rsidP="00797756">
      <w:pPr>
        <w:spacing w:after="0" w:line="240" w:lineRule="auto"/>
        <w:rPr>
          <w:rFonts w:ascii="Times New Roman" w:eastAsia="Calibri" w:hAnsi="Times New Roman" w:cs="Times New Roman"/>
          <w:lang w:val="lt-LT"/>
        </w:rPr>
      </w:pPr>
    </w:p>
    <w:p w14:paraId="6F94B3D7" w14:textId="77777777" w:rsidR="00797756" w:rsidRPr="00964115" w:rsidRDefault="00797756" w:rsidP="00797756">
      <w:pPr>
        <w:spacing w:after="0" w:line="240" w:lineRule="auto"/>
        <w:rPr>
          <w:rFonts w:ascii="Times New Roman" w:eastAsia="Calibri" w:hAnsi="Times New Roman" w:cs="Times New Roman"/>
          <w:lang w:val="lt-LT"/>
        </w:rPr>
      </w:pPr>
    </w:p>
    <w:p w14:paraId="6F94B3D8"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w:t>
      </w:r>
      <w:r w:rsidRPr="00964115">
        <w:rPr>
          <w:rFonts w:ascii="Times New Roman" w:eastAsia="Times New Roman" w:hAnsi="Times New Roman" w:cs="Times New Roman"/>
          <w:b/>
          <w:lang w:val="lt-LT" w:eastAsia="lt-LT"/>
        </w:rPr>
        <w:tab/>
        <w:t>VAISTINIO PREPARATO PAVADINIMAS</w:t>
      </w:r>
    </w:p>
    <w:p w14:paraId="6F94B3D9" w14:textId="77777777" w:rsidR="00797756" w:rsidRPr="00964115" w:rsidRDefault="00797756" w:rsidP="00797756">
      <w:pPr>
        <w:spacing w:after="0" w:line="240" w:lineRule="auto"/>
        <w:rPr>
          <w:rFonts w:ascii="Times New Roman" w:eastAsia="Calibri" w:hAnsi="Times New Roman" w:cs="Times New Roman"/>
          <w:lang w:val="lt-LT"/>
        </w:rPr>
      </w:pPr>
    </w:p>
    <w:p w14:paraId="6F94B3DA"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Vimovo 500 mg/20 mg modifikuoto atpalaidavimo tabletės</w:t>
      </w:r>
    </w:p>
    <w:p w14:paraId="6F94B3DB"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3DC" w14:textId="77777777" w:rsidR="00797756" w:rsidRPr="00964115" w:rsidRDefault="00C758E9"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w:t>
      </w:r>
      <w:r w:rsidR="00797756" w:rsidRPr="00964115">
        <w:rPr>
          <w:rFonts w:ascii="Times New Roman" w:eastAsia="Calibri" w:hAnsi="Times New Roman" w:cs="Times New Roman"/>
          <w:lang w:val="lt-LT"/>
        </w:rPr>
        <w:t xml:space="preserve">aproxenum / </w:t>
      </w:r>
      <w:r w:rsidRPr="00964115">
        <w:rPr>
          <w:rFonts w:ascii="Times New Roman" w:eastAsia="Calibri" w:hAnsi="Times New Roman" w:cs="Times New Roman"/>
          <w:lang w:val="lt-LT"/>
        </w:rPr>
        <w:t>e</w:t>
      </w:r>
      <w:r w:rsidR="00797756" w:rsidRPr="00964115">
        <w:rPr>
          <w:rFonts w:ascii="Times New Roman" w:eastAsia="Calibri" w:hAnsi="Times New Roman" w:cs="Times New Roman"/>
          <w:lang w:val="lt-LT"/>
        </w:rPr>
        <w:t xml:space="preserve">someprazolum </w:t>
      </w:r>
    </w:p>
    <w:p w14:paraId="6F94B3DD" w14:textId="77777777" w:rsidR="00797756" w:rsidRPr="00964115" w:rsidRDefault="00797756" w:rsidP="00797756">
      <w:pPr>
        <w:spacing w:after="0" w:line="240" w:lineRule="auto"/>
        <w:rPr>
          <w:rFonts w:ascii="Times New Roman" w:eastAsia="Calibri" w:hAnsi="Times New Roman" w:cs="Times New Roman"/>
          <w:lang w:val="lt-LT"/>
        </w:rPr>
      </w:pPr>
    </w:p>
    <w:p w14:paraId="6F94B3DE" w14:textId="77777777" w:rsidR="00797756" w:rsidRPr="00964115" w:rsidRDefault="00797756" w:rsidP="00797756">
      <w:pPr>
        <w:spacing w:after="0" w:line="240" w:lineRule="auto"/>
        <w:rPr>
          <w:rFonts w:ascii="Times New Roman" w:eastAsia="Calibri" w:hAnsi="Times New Roman" w:cs="Times New Roman"/>
          <w:lang w:val="lt-LT"/>
        </w:rPr>
      </w:pPr>
    </w:p>
    <w:p w14:paraId="6F94B3DF"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2.</w:t>
      </w:r>
      <w:r w:rsidRPr="00964115">
        <w:rPr>
          <w:rFonts w:ascii="Times New Roman" w:eastAsia="Times New Roman" w:hAnsi="Times New Roman" w:cs="Times New Roman"/>
          <w:b/>
          <w:lang w:val="lt-LT" w:eastAsia="lt-LT"/>
        </w:rPr>
        <w:tab/>
      </w:r>
      <w:r w:rsidRPr="00964115">
        <w:rPr>
          <w:rFonts w:ascii="Times New Roman" w:eastAsia="Times New Roman" w:hAnsi="Times New Roman" w:cs="Times New Roman"/>
          <w:b/>
          <w:snapToGrid w:val="0"/>
          <w:szCs w:val="24"/>
          <w:lang w:val="lt-LT"/>
        </w:rPr>
        <w:t>VEIKLIOJI (-IOS) MEDŽIAGA (-OS) IR JOS (-Ų) KIEKIS (-IAI)</w:t>
      </w:r>
    </w:p>
    <w:p w14:paraId="6F94B3E0" w14:textId="77777777" w:rsidR="00797756" w:rsidRPr="00964115" w:rsidRDefault="00797756" w:rsidP="00797756">
      <w:pPr>
        <w:spacing w:after="0" w:line="240" w:lineRule="auto"/>
        <w:rPr>
          <w:rFonts w:ascii="Times New Roman" w:eastAsia="Calibri" w:hAnsi="Times New Roman" w:cs="Times New Roman"/>
          <w:lang w:val="lt-LT"/>
        </w:rPr>
      </w:pPr>
    </w:p>
    <w:p w14:paraId="6F94B3E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Kiekvienoje modifikuoto atpalaidavimo tabletėje yra 500 mg naprokseno ir 20 mg ezomeprazolo (magnio druskos trihidrato pavidalu).</w:t>
      </w:r>
    </w:p>
    <w:p w14:paraId="6F94B3E2" w14:textId="77777777" w:rsidR="00797756" w:rsidRPr="00964115" w:rsidRDefault="00797756" w:rsidP="00797756">
      <w:pPr>
        <w:spacing w:after="0" w:line="240" w:lineRule="auto"/>
        <w:rPr>
          <w:rFonts w:ascii="Times New Roman" w:eastAsia="Calibri" w:hAnsi="Times New Roman" w:cs="Times New Roman"/>
          <w:lang w:val="lt-LT"/>
        </w:rPr>
      </w:pPr>
    </w:p>
    <w:p w14:paraId="6F94B3E3" w14:textId="77777777" w:rsidR="00797756" w:rsidRPr="00964115" w:rsidRDefault="00797756" w:rsidP="00797756">
      <w:pPr>
        <w:spacing w:after="0" w:line="240" w:lineRule="auto"/>
        <w:rPr>
          <w:rFonts w:ascii="Times New Roman" w:eastAsia="Calibri" w:hAnsi="Times New Roman" w:cs="Times New Roman"/>
          <w:lang w:val="lt-LT"/>
        </w:rPr>
      </w:pPr>
    </w:p>
    <w:p w14:paraId="6F94B3E4"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3.</w:t>
      </w:r>
      <w:r w:rsidRPr="00964115">
        <w:rPr>
          <w:rFonts w:ascii="Times New Roman" w:eastAsia="Times New Roman" w:hAnsi="Times New Roman" w:cs="Times New Roman"/>
          <w:b/>
          <w:lang w:val="lt-LT" w:eastAsia="lt-LT"/>
        </w:rPr>
        <w:tab/>
        <w:t>PAGALBINIŲ MEDŽIAGŲ SĄRAŠAS</w:t>
      </w:r>
    </w:p>
    <w:p w14:paraId="6F94B3E5" w14:textId="77777777" w:rsidR="00797756" w:rsidRPr="00964115" w:rsidRDefault="00797756" w:rsidP="00797756">
      <w:pPr>
        <w:spacing w:after="0" w:line="240" w:lineRule="auto"/>
        <w:rPr>
          <w:rFonts w:ascii="Times New Roman" w:eastAsia="Calibri" w:hAnsi="Times New Roman" w:cs="Times New Roman"/>
          <w:lang w:val="lt-LT"/>
        </w:rPr>
      </w:pPr>
    </w:p>
    <w:p w14:paraId="6F94B3E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Sudėtyje taip pat yra metilo parahidroksibenzoato (E218) ir propilo parahidroksibenzoato (E216).</w:t>
      </w:r>
    </w:p>
    <w:p w14:paraId="6F94B3E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Daugiau informacijos pateikta pakuotės lapelyje.</w:t>
      </w:r>
    </w:p>
    <w:p w14:paraId="6F94B3E8" w14:textId="77777777" w:rsidR="00797756" w:rsidRPr="00964115" w:rsidRDefault="00797756" w:rsidP="00797756">
      <w:pPr>
        <w:spacing w:after="0" w:line="240" w:lineRule="auto"/>
        <w:rPr>
          <w:rFonts w:ascii="Times New Roman" w:eastAsia="Calibri" w:hAnsi="Times New Roman" w:cs="Times New Roman"/>
          <w:lang w:val="lt-LT"/>
        </w:rPr>
      </w:pPr>
    </w:p>
    <w:p w14:paraId="6F94B3E9" w14:textId="77777777" w:rsidR="00797756" w:rsidRPr="00964115" w:rsidRDefault="00797756" w:rsidP="00797756">
      <w:pPr>
        <w:spacing w:after="0" w:line="240" w:lineRule="auto"/>
        <w:rPr>
          <w:rFonts w:ascii="Times New Roman" w:eastAsia="Calibri" w:hAnsi="Times New Roman" w:cs="Times New Roman"/>
          <w:lang w:val="lt-LT"/>
        </w:rPr>
      </w:pPr>
    </w:p>
    <w:p w14:paraId="6F94B3EA"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4.</w:t>
      </w:r>
      <w:r w:rsidRPr="00964115">
        <w:rPr>
          <w:rFonts w:ascii="Times New Roman" w:eastAsia="Times New Roman" w:hAnsi="Times New Roman" w:cs="Times New Roman"/>
          <w:b/>
          <w:lang w:val="lt-LT" w:eastAsia="lt-LT"/>
        </w:rPr>
        <w:tab/>
        <w:t>FARMACINĖ FORMA IR KIEKIS PAKUOTĖJE</w:t>
      </w:r>
    </w:p>
    <w:p w14:paraId="6F94B3EB" w14:textId="77777777" w:rsidR="00797756" w:rsidRPr="00964115" w:rsidRDefault="00797756" w:rsidP="00797756">
      <w:pPr>
        <w:spacing w:after="0" w:line="240" w:lineRule="auto"/>
        <w:rPr>
          <w:rFonts w:ascii="Times New Roman" w:eastAsia="Calibri" w:hAnsi="Times New Roman" w:cs="Times New Roman"/>
          <w:lang w:val="lt-LT"/>
        </w:rPr>
      </w:pPr>
    </w:p>
    <w:p w14:paraId="6F94B3EC"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Modifikuoto atpalaidavimo tabletės</w:t>
      </w:r>
    </w:p>
    <w:p w14:paraId="6F94B3ED"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3EE"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highlight w:val="lightGray"/>
          <w:lang w:val="lt-LT"/>
        </w:rPr>
        <w:t>Buteliukas:</w:t>
      </w:r>
    </w:p>
    <w:p w14:paraId="6F94B3EF" w14:textId="77777777" w:rsidR="00562BF1"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6 tabletės</w:t>
      </w:r>
    </w:p>
    <w:p w14:paraId="6F94B3F0" w14:textId="77777777" w:rsidR="00562BF1" w:rsidRPr="00964115" w:rsidRDefault="00562BF1"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10 tablečių</w:t>
      </w:r>
    </w:p>
    <w:p w14:paraId="6F94B3F1"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20 tablečių</w:t>
      </w:r>
    </w:p>
    <w:p w14:paraId="6F94B3F2"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30 tablečių</w:t>
      </w:r>
    </w:p>
    <w:p w14:paraId="6F94B3F3"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60 tablečių</w:t>
      </w:r>
    </w:p>
    <w:p w14:paraId="6F94B3F4"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100 tablečių</w:t>
      </w:r>
    </w:p>
    <w:p w14:paraId="6F94B3F5"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180 tablečių</w:t>
      </w:r>
    </w:p>
    <w:p w14:paraId="6F94B3F6"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highlight w:val="lightGray"/>
          <w:lang w:val="lt-LT"/>
        </w:rPr>
        <w:t>500 tablečių</w:t>
      </w:r>
    </w:p>
    <w:p w14:paraId="6F94B3F7"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3F8"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highlight w:val="lightGray"/>
          <w:lang w:val="lt-LT"/>
        </w:rPr>
        <w:t>Lizdinė plokštelė:</w:t>
      </w:r>
    </w:p>
    <w:p w14:paraId="6F94B3F9"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10 tablečių</w:t>
      </w:r>
    </w:p>
    <w:p w14:paraId="6F94B3FA"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20 tablečių</w:t>
      </w:r>
    </w:p>
    <w:p w14:paraId="6F94B3FB"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30 tablečių</w:t>
      </w:r>
    </w:p>
    <w:p w14:paraId="6F94B3FC"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60 tablečių</w:t>
      </w:r>
    </w:p>
    <w:p w14:paraId="6F94B3F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highlight w:val="lightGray"/>
          <w:lang w:val="lt-LT"/>
        </w:rPr>
        <w:t>100 tablečių</w:t>
      </w:r>
    </w:p>
    <w:p w14:paraId="6F94B3FE" w14:textId="77777777" w:rsidR="00797756" w:rsidRPr="00964115" w:rsidRDefault="00797756" w:rsidP="00797756">
      <w:pPr>
        <w:spacing w:after="0" w:line="240" w:lineRule="auto"/>
        <w:rPr>
          <w:rFonts w:ascii="Times New Roman" w:eastAsia="Calibri" w:hAnsi="Times New Roman" w:cs="Times New Roman"/>
          <w:lang w:val="lt-LT"/>
        </w:rPr>
      </w:pPr>
    </w:p>
    <w:p w14:paraId="6F94B3FF" w14:textId="77777777" w:rsidR="00797756" w:rsidRPr="00964115" w:rsidRDefault="00797756" w:rsidP="00797756">
      <w:pPr>
        <w:spacing w:after="0" w:line="240" w:lineRule="auto"/>
        <w:rPr>
          <w:rFonts w:ascii="Times New Roman" w:eastAsia="Calibri" w:hAnsi="Times New Roman" w:cs="Times New Roman"/>
          <w:lang w:val="lt-LT"/>
        </w:rPr>
      </w:pPr>
    </w:p>
    <w:p w14:paraId="6F94B400"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5.</w:t>
      </w:r>
      <w:r w:rsidRPr="00964115">
        <w:rPr>
          <w:rFonts w:ascii="Times New Roman" w:eastAsia="Times New Roman" w:hAnsi="Times New Roman" w:cs="Times New Roman"/>
          <w:b/>
          <w:lang w:val="lt-LT" w:eastAsia="lt-LT"/>
        </w:rPr>
        <w:tab/>
        <w:t>VARTOJIMO METODAS IR BŪDAS (-AI)</w:t>
      </w:r>
    </w:p>
    <w:p w14:paraId="6F94B401" w14:textId="77777777" w:rsidR="00797756" w:rsidRPr="00964115" w:rsidRDefault="00797756" w:rsidP="00797756">
      <w:pPr>
        <w:spacing w:after="0" w:line="240" w:lineRule="auto"/>
        <w:rPr>
          <w:rFonts w:ascii="Times New Roman" w:eastAsia="Calibri" w:hAnsi="Times New Roman" w:cs="Times New Roman"/>
          <w:lang w:val="lt-LT"/>
        </w:rPr>
      </w:pPr>
    </w:p>
    <w:p w14:paraId="6F94B40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Vartoti per burną.</w:t>
      </w:r>
    </w:p>
    <w:p w14:paraId="6F94B40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Prieš vartojimą perskaitykite pakuotės lapelį.</w:t>
      </w:r>
    </w:p>
    <w:p w14:paraId="6F94B404"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Nurykite tabletę nepažeistą, užgerdami vandeniu. Tabletės negalima smulkinti, kramtyti ar traiškyti.</w:t>
      </w:r>
    </w:p>
    <w:p w14:paraId="6F94B405" w14:textId="77777777" w:rsidR="00797756" w:rsidRPr="00964115" w:rsidRDefault="00797756" w:rsidP="00797756">
      <w:pPr>
        <w:spacing w:after="0" w:line="240" w:lineRule="auto"/>
        <w:rPr>
          <w:rFonts w:ascii="Times New Roman" w:eastAsia="Calibri" w:hAnsi="Times New Roman" w:cs="Times New Roman"/>
          <w:lang w:val="lt-LT"/>
        </w:rPr>
      </w:pPr>
    </w:p>
    <w:p w14:paraId="6F94B406" w14:textId="77777777" w:rsidR="00797756" w:rsidRPr="00964115" w:rsidRDefault="00797756" w:rsidP="00797756">
      <w:pPr>
        <w:spacing w:after="0" w:line="240" w:lineRule="auto"/>
        <w:rPr>
          <w:rFonts w:ascii="Times New Roman" w:eastAsia="Calibri" w:hAnsi="Times New Roman" w:cs="Times New Roman"/>
          <w:lang w:val="lt-LT"/>
        </w:rPr>
      </w:pPr>
    </w:p>
    <w:p w14:paraId="6F94B407" w14:textId="77777777" w:rsidR="00797756" w:rsidRPr="00964115" w:rsidRDefault="00797756" w:rsidP="00BD68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b/>
          <w:lang w:val="lt-LT"/>
        </w:rPr>
      </w:pPr>
      <w:r w:rsidRPr="00964115">
        <w:rPr>
          <w:rFonts w:ascii="Times New Roman" w:eastAsia="Times New Roman" w:hAnsi="Times New Roman" w:cs="Times New Roman"/>
          <w:b/>
          <w:lang w:val="lt-LT" w:eastAsia="lt-LT"/>
        </w:rPr>
        <w:t>6.</w:t>
      </w:r>
      <w:r w:rsidRPr="00964115">
        <w:rPr>
          <w:rFonts w:ascii="Times New Roman" w:eastAsia="Times New Roman" w:hAnsi="Times New Roman" w:cs="Times New Roman"/>
          <w:b/>
          <w:lang w:val="lt-LT" w:eastAsia="lt-LT"/>
        </w:rPr>
        <w:tab/>
        <w:t>SPECIALUS ĮSPĖJIMAS, KAD VAISTINĮ PREPARATĄ BŪTINA LAIKYTI VAIKAMS NEPASTEBIMOJE IR NEPASIEKIAMOJE VIETOJE</w:t>
      </w:r>
    </w:p>
    <w:p w14:paraId="6F94B408" w14:textId="77777777" w:rsidR="00797756" w:rsidRPr="00964115" w:rsidRDefault="00797756" w:rsidP="00797756">
      <w:pPr>
        <w:spacing w:after="0" w:line="240" w:lineRule="auto"/>
        <w:rPr>
          <w:rFonts w:ascii="Times New Roman" w:eastAsia="Calibri" w:hAnsi="Times New Roman" w:cs="Times New Roman"/>
          <w:lang w:val="lt-LT"/>
        </w:rPr>
      </w:pPr>
    </w:p>
    <w:p w14:paraId="6F94B40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Laikyti vaikams nepastebimoje ir nepasiekiamoje vietoje.</w:t>
      </w:r>
    </w:p>
    <w:p w14:paraId="6F94B40A" w14:textId="77777777" w:rsidR="00797756" w:rsidRPr="00964115" w:rsidRDefault="00797756" w:rsidP="00797756">
      <w:pPr>
        <w:spacing w:after="0" w:line="240" w:lineRule="auto"/>
        <w:rPr>
          <w:rFonts w:ascii="Times New Roman" w:eastAsia="Calibri" w:hAnsi="Times New Roman" w:cs="Times New Roman"/>
          <w:lang w:val="lt-LT"/>
        </w:rPr>
      </w:pPr>
    </w:p>
    <w:p w14:paraId="6F94B40B" w14:textId="77777777" w:rsidR="00797756" w:rsidRPr="00964115" w:rsidRDefault="00797756" w:rsidP="00797756">
      <w:pPr>
        <w:spacing w:after="0" w:line="240" w:lineRule="auto"/>
        <w:rPr>
          <w:rFonts w:ascii="Times New Roman" w:eastAsia="Calibri" w:hAnsi="Times New Roman" w:cs="Times New Roman"/>
          <w:lang w:val="lt-LT"/>
        </w:rPr>
      </w:pPr>
    </w:p>
    <w:p w14:paraId="6F94B40C"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7.</w:t>
      </w:r>
      <w:r w:rsidRPr="00964115">
        <w:rPr>
          <w:rFonts w:ascii="Times New Roman" w:eastAsia="Times New Roman" w:hAnsi="Times New Roman" w:cs="Times New Roman"/>
          <w:b/>
          <w:lang w:val="lt-LT" w:eastAsia="lt-LT"/>
        </w:rPr>
        <w:tab/>
        <w:t>KITAS (-I) SPECIALUS (-ŪS) ĮSPĖJIMAS (-AI) (JEI REIKIA)</w:t>
      </w:r>
    </w:p>
    <w:p w14:paraId="6F94B40D" w14:textId="77777777" w:rsidR="00797756" w:rsidRPr="00964115" w:rsidRDefault="00797756" w:rsidP="00797756">
      <w:pPr>
        <w:spacing w:after="0" w:line="240" w:lineRule="auto"/>
        <w:rPr>
          <w:rFonts w:ascii="Times New Roman" w:eastAsia="Calibri" w:hAnsi="Times New Roman" w:cs="Times New Roman"/>
          <w:lang w:val="lt-LT"/>
        </w:rPr>
      </w:pPr>
    </w:p>
    <w:p w14:paraId="6F94B40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Paketėlio su džiovikliu valgyti negalima.</w:t>
      </w:r>
    </w:p>
    <w:p w14:paraId="6F94B40F" w14:textId="77777777" w:rsidR="00797756" w:rsidRPr="00964115" w:rsidRDefault="00797756" w:rsidP="00797756">
      <w:pPr>
        <w:spacing w:after="0" w:line="240" w:lineRule="auto"/>
        <w:rPr>
          <w:rFonts w:ascii="Times New Roman" w:eastAsia="Calibri" w:hAnsi="Times New Roman" w:cs="Times New Roman"/>
          <w:lang w:val="lt-LT"/>
        </w:rPr>
      </w:pPr>
    </w:p>
    <w:p w14:paraId="6F94B410" w14:textId="77777777" w:rsidR="00797756" w:rsidRPr="00964115" w:rsidRDefault="00797756" w:rsidP="00797756">
      <w:pPr>
        <w:spacing w:after="0" w:line="240" w:lineRule="auto"/>
        <w:rPr>
          <w:rFonts w:ascii="Times New Roman" w:eastAsia="Calibri" w:hAnsi="Times New Roman" w:cs="Times New Roman"/>
          <w:lang w:val="lt-LT"/>
        </w:rPr>
      </w:pPr>
    </w:p>
    <w:p w14:paraId="6F94B411"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8.</w:t>
      </w:r>
      <w:r w:rsidRPr="00964115">
        <w:rPr>
          <w:rFonts w:ascii="Times New Roman" w:eastAsia="Times New Roman" w:hAnsi="Times New Roman" w:cs="Times New Roman"/>
          <w:b/>
          <w:lang w:val="lt-LT" w:eastAsia="lt-LT"/>
        </w:rPr>
        <w:tab/>
        <w:t>TINKAMUMO LAIKAS</w:t>
      </w:r>
    </w:p>
    <w:p w14:paraId="6F94B412" w14:textId="77777777" w:rsidR="00797756" w:rsidRPr="00964115" w:rsidRDefault="00797756" w:rsidP="00797756">
      <w:pPr>
        <w:spacing w:after="0" w:line="240" w:lineRule="auto"/>
        <w:rPr>
          <w:rFonts w:ascii="Times New Roman" w:eastAsia="Calibri" w:hAnsi="Times New Roman" w:cs="Times New Roman"/>
          <w:lang w:val="lt-LT"/>
        </w:rPr>
      </w:pPr>
    </w:p>
    <w:p w14:paraId="6F94B413" w14:textId="77777777" w:rsidR="00797756" w:rsidRPr="00964115" w:rsidRDefault="00C758E9"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EXP </w:t>
      </w:r>
      <w:r w:rsidR="00797756" w:rsidRPr="00964115">
        <w:rPr>
          <w:rFonts w:ascii="Times New Roman" w:eastAsia="Calibri" w:hAnsi="Times New Roman" w:cs="Times New Roman"/>
          <w:lang w:val="lt-LT"/>
        </w:rPr>
        <w:t>MMMM-mm</w:t>
      </w:r>
    </w:p>
    <w:p w14:paraId="6F94B414" w14:textId="77777777" w:rsidR="00797756" w:rsidRPr="00964115" w:rsidRDefault="00797756" w:rsidP="00797756">
      <w:pPr>
        <w:spacing w:after="0" w:line="240" w:lineRule="auto"/>
        <w:rPr>
          <w:rFonts w:ascii="Times New Roman" w:eastAsia="Calibri" w:hAnsi="Times New Roman" w:cs="Times New Roman"/>
          <w:lang w:val="lt-LT"/>
        </w:rPr>
      </w:pPr>
    </w:p>
    <w:p w14:paraId="6F94B415" w14:textId="77777777" w:rsidR="00797756" w:rsidRPr="00964115" w:rsidRDefault="00797756" w:rsidP="00797756">
      <w:pPr>
        <w:spacing w:after="0" w:line="240" w:lineRule="auto"/>
        <w:rPr>
          <w:rFonts w:ascii="Times New Roman" w:eastAsia="Calibri" w:hAnsi="Times New Roman" w:cs="Times New Roman"/>
          <w:lang w:val="lt-LT"/>
        </w:rPr>
      </w:pPr>
    </w:p>
    <w:p w14:paraId="6F94B416"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9.</w:t>
      </w:r>
      <w:r w:rsidRPr="00964115">
        <w:rPr>
          <w:rFonts w:ascii="Times New Roman" w:eastAsia="Times New Roman" w:hAnsi="Times New Roman" w:cs="Times New Roman"/>
          <w:b/>
          <w:lang w:val="lt-LT" w:eastAsia="lt-LT"/>
        </w:rPr>
        <w:tab/>
        <w:t>SPECIALIOS LAIKYMO SĄLYGOS</w:t>
      </w:r>
    </w:p>
    <w:p w14:paraId="6F94B417" w14:textId="77777777" w:rsidR="00797756" w:rsidRPr="00964115" w:rsidRDefault="00797756" w:rsidP="00797756">
      <w:pPr>
        <w:spacing w:after="0" w:line="240" w:lineRule="auto"/>
        <w:rPr>
          <w:rFonts w:ascii="Times New Roman" w:eastAsia="Calibri" w:hAnsi="Times New Roman" w:cs="Times New Roman"/>
          <w:lang w:val="lt-LT"/>
        </w:rPr>
      </w:pPr>
    </w:p>
    <w:p w14:paraId="6F94B41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Laikyti ne aukštesnėje kaip 30 °C temperatūroje.</w:t>
      </w:r>
    </w:p>
    <w:p w14:paraId="6F94B419" w14:textId="77777777" w:rsidR="00797756" w:rsidRPr="00964115" w:rsidRDefault="00797756" w:rsidP="00797756">
      <w:pPr>
        <w:spacing w:after="0" w:line="240" w:lineRule="auto"/>
        <w:rPr>
          <w:rFonts w:ascii="Times New Roman" w:eastAsia="Calibri" w:hAnsi="Times New Roman" w:cs="Times New Roman"/>
          <w:lang w:val="lt-LT"/>
        </w:rPr>
      </w:pPr>
    </w:p>
    <w:p w14:paraId="6F94B41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highlight w:val="lightGray"/>
          <w:lang w:val="lt-LT"/>
        </w:rPr>
        <w:t>Buteliukas</w:t>
      </w:r>
      <w:r w:rsidRPr="00964115">
        <w:rPr>
          <w:rFonts w:ascii="Times New Roman" w:eastAsia="Calibri" w:hAnsi="Times New Roman" w:cs="Times New Roman"/>
          <w:lang w:val="lt-LT"/>
        </w:rPr>
        <w:t>: Laikyti gamintojo pakuotėje. Buteliuką laikyti sandarų, kad preparatas būtų apsaugotas nuo drėgmės.</w:t>
      </w:r>
    </w:p>
    <w:p w14:paraId="6F94B41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highlight w:val="lightGray"/>
          <w:lang w:val="lt-LT"/>
        </w:rPr>
        <w:t xml:space="preserve">Lizdinė plokštelė: </w:t>
      </w:r>
      <w:r w:rsidRPr="00964115">
        <w:rPr>
          <w:rFonts w:ascii="Times New Roman" w:eastAsia="Calibri" w:hAnsi="Times New Roman" w:cs="Times New Roman"/>
          <w:lang w:val="lt-LT"/>
        </w:rPr>
        <w:t>Laikyti gamintojo pakuotėje, kad preparatas būtų apsaugotas nuo drėgmės.</w:t>
      </w:r>
    </w:p>
    <w:p w14:paraId="6F94B41C" w14:textId="77777777" w:rsidR="00797756" w:rsidRPr="00964115" w:rsidRDefault="00797756" w:rsidP="00797756">
      <w:pPr>
        <w:spacing w:after="0" w:line="240" w:lineRule="auto"/>
        <w:rPr>
          <w:rFonts w:ascii="Times New Roman" w:eastAsia="Calibri" w:hAnsi="Times New Roman" w:cs="Times New Roman"/>
          <w:lang w:val="lt-LT"/>
        </w:rPr>
      </w:pPr>
    </w:p>
    <w:p w14:paraId="6F94B41D" w14:textId="77777777" w:rsidR="00797756" w:rsidRPr="00964115" w:rsidRDefault="00797756" w:rsidP="00797756">
      <w:pPr>
        <w:spacing w:after="0" w:line="240" w:lineRule="auto"/>
        <w:rPr>
          <w:rFonts w:ascii="Times New Roman" w:eastAsia="Calibri" w:hAnsi="Times New Roman" w:cs="Times New Roman"/>
          <w:lang w:val="lt-LT"/>
        </w:rPr>
      </w:pPr>
    </w:p>
    <w:p w14:paraId="6F94B41E" w14:textId="77777777" w:rsidR="00797756" w:rsidRPr="00964115" w:rsidRDefault="00797756" w:rsidP="00BD68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jc w:val="both"/>
        <w:rPr>
          <w:rFonts w:ascii="Times New Roman" w:hAnsi="Times New Roman"/>
          <w:b/>
          <w:lang w:val="lt-LT"/>
        </w:rPr>
      </w:pPr>
      <w:r w:rsidRPr="00964115">
        <w:rPr>
          <w:rFonts w:ascii="Times New Roman" w:eastAsia="Times New Roman" w:hAnsi="Times New Roman" w:cs="Times New Roman"/>
          <w:b/>
          <w:lang w:val="lt-LT" w:eastAsia="lt-LT"/>
        </w:rPr>
        <w:t>10.</w:t>
      </w:r>
      <w:r w:rsidRPr="00964115">
        <w:rPr>
          <w:rFonts w:ascii="Times New Roman" w:eastAsia="Times New Roman" w:hAnsi="Times New Roman" w:cs="Times New Roman"/>
          <w:b/>
          <w:lang w:val="lt-LT" w:eastAsia="lt-LT"/>
        </w:rPr>
        <w:tab/>
        <w:t xml:space="preserve">SPECIALIOS ATSARGUMO PRIEMONĖS DĖL NESUVARTOTO </w:t>
      </w:r>
      <w:r w:rsidRPr="00964115">
        <w:rPr>
          <w:rFonts w:ascii="Times New Roman" w:eastAsia="Times New Roman" w:hAnsi="Times New Roman" w:cs="Times New Roman"/>
          <w:b/>
          <w:bCs/>
          <w:lang w:val="lt-LT" w:eastAsia="lt-LT"/>
        </w:rPr>
        <w:t xml:space="preserve">VAISTINIO PREPARATO AR JO ATLIEKŲ </w:t>
      </w:r>
      <w:r w:rsidRPr="00964115">
        <w:rPr>
          <w:rFonts w:ascii="Times New Roman" w:eastAsia="Times New Roman" w:hAnsi="Times New Roman" w:cs="Times New Roman"/>
          <w:b/>
          <w:lang w:val="lt-LT" w:eastAsia="lt-LT"/>
        </w:rPr>
        <w:t>TVARKYMO (JEI REIKIA)</w:t>
      </w:r>
    </w:p>
    <w:p w14:paraId="6F94B41F" w14:textId="77777777" w:rsidR="00797756" w:rsidRPr="00964115" w:rsidRDefault="00797756" w:rsidP="00797756">
      <w:pPr>
        <w:spacing w:after="0" w:line="240" w:lineRule="auto"/>
        <w:rPr>
          <w:rFonts w:ascii="Times New Roman" w:eastAsia="Calibri" w:hAnsi="Times New Roman" w:cs="Times New Roman"/>
          <w:lang w:val="lt-LT"/>
        </w:rPr>
      </w:pPr>
    </w:p>
    <w:p w14:paraId="6F94B420" w14:textId="77777777" w:rsidR="00797756" w:rsidRPr="00964115" w:rsidRDefault="00797756" w:rsidP="00797756">
      <w:pPr>
        <w:spacing w:after="0" w:line="240" w:lineRule="auto"/>
        <w:rPr>
          <w:rFonts w:ascii="Times New Roman" w:eastAsia="Calibri" w:hAnsi="Times New Roman" w:cs="Times New Roman"/>
          <w:lang w:val="lt-LT"/>
        </w:rPr>
      </w:pPr>
    </w:p>
    <w:p w14:paraId="6F94B421"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11.</w:t>
      </w:r>
      <w:r w:rsidRPr="00964115">
        <w:rPr>
          <w:rFonts w:ascii="Times New Roman" w:eastAsia="Times New Roman" w:hAnsi="Times New Roman" w:cs="Times New Roman"/>
          <w:b/>
          <w:lang w:val="lt-LT" w:eastAsia="lt-LT"/>
        </w:rPr>
        <w:tab/>
        <w:t>REGISTRUOTOJO PAVADINIMAS IR ADRESAS</w:t>
      </w:r>
    </w:p>
    <w:p w14:paraId="6F94B422" w14:textId="77777777" w:rsidR="00797756" w:rsidRPr="00964115" w:rsidRDefault="00797756" w:rsidP="00797756">
      <w:pPr>
        <w:spacing w:after="0" w:line="240" w:lineRule="auto"/>
        <w:rPr>
          <w:rFonts w:ascii="Times New Roman" w:eastAsia="Calibri" w:hAnsi="Times New Roman" w:cs="Times New Roman"/>
          <w:lang w:val="lt-LT"/>
        </w:rPr>
      </w:pPr>
    </w:p>
    <w:p w14:paraId="1BB0DA38"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Grünenthal GmbH</w:t>
      </w:r>
    </w:p>
    <w:p w14:paraId="6AB064CB"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 xml:space="preserve">Zieglerstrasse 6 </w:t>
      </w:r>
    </w:p>
    <w:p w14:paraId="0C17A068"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 xml:space="preserve">52078 Aachen </w:t>
      </w:r>
    </w:p>
    <w:p w14:paraId="01717566" w14:textId="77777777" w:rsidR="00553848" w:rsidRPr="00553848" w:rsidRDefault="00553848" w:rsidP="00553848">
      <w:pPr>
        <w:spacing w:after="0" w:line="240" w:lineRule="auto"/>
        <w:ind w:left="567" w:hanging="567"/>
        <w:rPr>
          <w:rFonts w:ascii="Times New Roman" w:eastAsia="Calibri" w:hAnsi="Times New Roman" w:cs="Times New Roman"/>
          <w:lang w:val="lt-LT"/>
        </w:rPr>
      </w:pPr>
      <w:r w:rsidRPr="00553848">
        <w:rPr>
          <w:rFonts w:ascii="Times New Roman" w:hAnsi="Times New Roman" w:cs="Times New Roman"/>
        </w:rPr>
        <w:t>Vokietija</w:t>
      </w:r>
    </w:p>
    <w:p w14:paraId="6F94B427"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428" w14:textId="77777777" w:rsidR="00797756" w:rsidRPr="00964115" w:rsidRDefault="00797756" w:rsidP="00797756">
      <w:pPr>
        <w:spacing w:after="0" w:line="240" w:lineRule="auto"/>
        <w:rPr>
          <w:rFonts w:ascii="Times New Roman" w:eastAsia="Calibri" w:hAnsi="Times New Roman" w:cs="Times New Roman"/>
          <w:lang w:val="lt-LT"/>
        </w:rPr>
      </w:pPr>
    </w:p>
    <w:p w14:paraId="6F94B429"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12.</w:t>
      </w:r>
      <w:r w:rsidRPr="00964115">
        <w:rPr>
          <w:rFonts w:ascii="Times New Roman" w:eastAsia="Times New Roman" w:hAnsi="Times New Roman" w:cs="Times New Roman"/>
          <w:b/>
          <w:lang w:val="lt-LT" w:eastAsia="lt-LT"/>
        </w:rPr>
        <w:tab/>
        <w:t>REGISTRACIJOS PAŽYMĖJIMO NUMERIS (-IAI)</w:t>
      </w:r>
    </w:p>
    <w:p w14:paraId="6F94B42A" w14:textId="77777777" w:rsidR="00797756" w:rsidRPr="00964115" w:rsidRDefault="00797756" w:rsidP="00797756">
      <w:pPr>
        <w:spacing w:after="0" w:line="240" w:lineRule="auto"/>
        <w:rPr>
          <w:rFonts w:ascii="Times New Roman" w:eastAsia="Calibri" w:hAnsi="Times New Roman" w:cs="Times New Roman"/>
          <w:lang w:val="lt-LT"/>
        </w:rPr>
      </w:pPr>
    </w:p>
    <w:p w14:paraId="6F94B42B" w14:textId="77777777" w:rsidR="00797756" w:rsidRPr="00964115" w:rsidRDefault="00797756" w:rsidP="00797756">
      <w:pPr>
        <w:spacing w:after="0" w:line="240" w:lineRule="auto"/>
        <w:ind w:left="567" w:hanging="567"/>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Buteliukas:</w:t>
      </w:r>
    </w:p>
    <w:p w14:paraId="6F94B42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N6 - LT/1/10/2302/001 </w:t>
      </w:r>
    </w:p>
    <w:p w14:paraId="6F94B42D" w14:textId="77777777" w:rsidR="007A0DF0" w:rsidRPr="00964115" w:rsidRDefault="007A0DF0"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N10 -</w:t>
      </w:r>
      <w:r w:rsidR="00595D2D" w:rsidRPr="00964115">
        <w:rPr>
          <w:lang w:val="lt-LT"/>
        </w:rPr>
        <w:t xml:space="preserve"> </w:t>
      </w:r>
      <w:r w:rsidR="00595D2D" w:rsidRPr="00964115">
        <w:rPr>
          <w:rFonts w:ascii="Times New Roman" w:eastAsia="Calibri" w:hAnsi="Times New Roman" w:cs="Times New Roman"/>
          <w:lang w:val="lt-LT"/>
        </w:rPr>
        <w:t>LT/1/10/2302/013</w:t>
      </w:r>
    </w:p>
    <w:p w14:paraId="6F94B42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N20 - LT/1/10/2302/002 </w:t>
      </w:r>
    </w:p>
    <w:p w14:paraId="6F94B42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N30 - LT/1/10/2302/003 </w:t>
      </w:r>
    </w:p>
    <w:p w14:paraId="6F94B43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N60 - LT/1/10/2302/004 </w:t>
      </w:r>
    </w:p>
    <w:p w14:paraId="6F94B43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N100 - LT/1/10/2302/005 </w:t>
      </w:r>
    </w:p>
    <w:p w14:paraId="6F94B43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N180 - LT/1/10/2302/006 </w:t>
      </w:r>
    </w:p>
    <w:p w14:paraId="6F94B43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N500 - LT/1/10/2302/007 </w:t>
      </w:r>
    </w:p>
    <w:p w14:paraId="6F94B434" w14:textId="77777777" w:rsidR="00797756" w:rsidRPr="00964115" w:rsidRDefault="00797756" w:rsidP="00797756">
      <w:pPr>
        <w:spacing w:after="0" w:line="240" w:lineRule="auto"/>
        <w:rPr>
          <w:rFonts w:ascii="Times New Roman" w:eastAsia="Calibri" w:hAnsi="Times New Roman" w:cs="Times New Roman"/>
          <w:lang w:val="lt-LT"/>
        </w:rPr>
      </w:pPr>
    </w:p>
    <w:p w14:paraId="6F94B435" w14:textId="77777777" w:rsidR="00797756" w:rsidRPr="00964115" w:rsidRDefault="00797756" w:rsidP="00797756">
      <w:pPr>
        <w:spacing w:after="0" w:line="240" w:lineRule="auto"/>
        <w:rPr>
          <w:rFonts w:ascii="Times New Roman" w:eastAsia="Calibri" w:hAnsi="Times New Roman" w:cs="Times New Roman"/>
          <w:u w:val="single"/>
          <w:lang w:val="lt-LT"/>
        </w:rPr>
      </w:pPr>
      <w:r w:rsidRPr="00964115">
        <w:rPr>
          <w:rFonts w:ascii="Times New Roman" w:eastAsia="Calibri" w:hAnsi="Times New Roman" w:cs="Times New Roman"/>
          <w:u w:val="single"/>
          <w:lang w:val="lt-LT"/>
        </w:rPr>
        <w:t>Lizdinė plokštelė:</w:t>
      </w:r>
    </w:p>
    <w:p w14:paraId="6F94B43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N10 - LT/1/10/2302/008 </w:t>
      </w:r>
    </w:p>
    <w:p w14:paraId="6F94B43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N20 - LT/1/10/2302/009 </w:t>
      </w:r>
    </w:p>
    <w:p w14:paraId="6F94B43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N30 - LT/1/10/2302/010 </w:t>
      </w:r>
    </w:p>
    <w:p w14:paraId="6F94B43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N60 - LT/1/10/2302/011 </w:t>
      </w:r>
    </w:p>
    <w:p w14:paraId="6F94B43A" w14:textId="77777777" w:rsidR="00797756" w:rsidRPr="00964115" w:rsidRDefault="00797756" w:rsidP="00797756">
      <w:p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 xml:space="preserve">N100 - LT/1/10/2302/012 </w:t>
      </w:r>
    </w:p>
    <w:p w14:paraId="6F94B43B" w14:textId="77777777" w:rsidR="00797756" w:rsidRPr="00964115" w:rsidRDefault="00797756" w:rsidP="00797756">
      <w:pPr>
        <w:spacing w:after="0" w:line="240" w:lineRule="auto"/>
        <w:rPr>
          <w:rFonts w:ascii="Times New Roman" w:eastAsia="Calibri" w:hAnsi="Times New Roman" w:cs="Times New Roman"/>
          <w:lang w:val="lt-LT"/>
        </w:rPr>
      </w:pPr>
    </w:p>
    <w:p w14:paraId="6F94B43C" w14:textId="77777777" w:rsidR="00797756" w:rsidRPr="00964115" w:rsidRDefault="00797756" w:rsidP="00797756">
      <w:pPr>
        <w:spacing w:after="0" w:line="240" w:lineRule="auto"/>
        <w:rPr>
          <w:rFonts w:ascii="Times New Roman" w:eastAsia="Calibri" w:hAnsi="Times New Roman" w:cs="Times New Roman"/>
          <w:lang w:val="lt-LT"/>
        </w:rPr>
      </w:pPr>
    </w:p>
    <w:p w14:paraId="6F94B43D"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13.</w:t>
      </w:r>
      <w:r w:rsidRPr="00964115">
        <w:rPr>
          <w:rFonts w:ascii="Times New Roman" w:eastAsia="Times New Roman" w:hAnsi="Times New Roman" w:cs="Times New Roman"/>
          <w:b/>
          <w:lang w:val="lt-LT" w:eastAsia="lt-LT"/>
        </w:rPr>
        <w:tab/>
        <w:t>SERIJOS NUMERIS</w:t>
      </w:r>
    </w:p>
    <w:p w14:paraId="6F94B43E" w14:textId="77777777" w:rsidR="00797756" w:rsidRPr="00964115" w:rsidRDefault="00797756" w:rsidP="00797756">
      <w:pPr>
        <w:spacing w:after="0" w:line="240" w:lineRule="auto"/>
        <w:rPr>
          <w:rFonts w:ascii="Times New Roman" w:eastAsia="Calibri" w:hAnsi="Times New Roman" w:cs="Times New Roman"/>
          <w:lang w:val="lt-LT"/>
        </w:rPr>
      </w:pPr>
    </w:p>
    <w:p w14:paraId="6F94B43F" w14:textId="77777777" w:rsidR="00797756" w:rsidRPr="00964115" w:rsidRDefault="00C758E9"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Lot</w:t>
      </w:r>
    </w:p>
    <w:p w14:paraId="6F94B440" w14:textId="77777777" w:rsidR="00797756" w:rsidRPr="00964115" w:rsidRDefault="00797756" w:rsidP="00797756">
      <w:pPr>
        <w:spacing w:after="0" w:line="240" w:lineRule="auto"/>
        <w:rPr>
          <w:rFonts w:ascii="Times New Roman" w:eastAsia="Calibri" w:hAnsi="Times New Roman" w:cs="Times New Roman"/>
          <w:lang w:val="lt-LT"/>
        </w:rPr>
      </w:pPr>
    </w:p>
    <w:p w14:paraId="6F94B441" w14:textId="77777777" w:rsidR="00797756" w:rsidRPr="00964115" w:rsidRDefault="00797756" w:rsidP="00797756">
      <w:pPr>
        <w:spacing w:after="0" w:line="240" w:lineRule="auto"/>
        <w:rPr>
          <w:rFonts w:ascii="Times New Roman" w:eastAsia="Calibri" w:hAnsi="Times New Roman" w:cs="Times New Roman"/>
          <w:lang w:val="lt-LT"/>
        </w:rPr>
      </w:pPr>
    </w:p>
    <w:p w14:paraId="6F94B442"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14.</w:t>
      </w:r>
      <w:r w:rsidRPr="00964115">
        <w:rPr>
          <w:rFonts w:ascii="Times New Roman" w:eastAsia="Times New Roman" w:hAnsi="Times New Roman" w:cs="Times New Roman"/>
          <w:b/>
          <w:lang w:val="lt-LT" w:eastAsia="lt-LT"/>
        </w:rPr>
        <w:tab/>
        <w:t>PARDAVIMO (IŠDAVIMO) TVARKA</w:t>
      </w:r>
    </w:p>
    <w:p w14:paraId="6F94B443" w14:textId="77777777" w:rsidR="00797756" w:rsidRPr="00964115" w:rsidRDefault="00797756" w:rsidP="00797756">
      <w:pPr>
        <w:spacing w:after="0" w:line="240" w:lineRule="auto"/>
        <w:rPr>
          <w:rFonts w:ascii="Times New Roman" w:eastAsia="Calibri" w:hAnsi="Times New Roman" w:cs="Times New Roman"/>
          <w:lang w:val="lt-LT"/>
        </w:rPr>
      </w:pPr>
    </w:p>
    <w:p w14:paraId="6F94B444" w14:textId="0B5333BE"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Receptinis vaist</w:t>
      </w:r>
      <w:r w:rsidR="001E0B7E">
        <w:rPr>
          <w:rFonts w:ascii="Times New Roman" w:eastAsia="Calibri" w:hAnsi="Times New Roman" w:cs="Times New Roman"/>
          <w:lang w:val="lt-LT"/>
        </w:rPr>
        <w:t>as</w:t>
      </w:r>
    </w:p>
    <w:p w14:paraId="6F94B445" w14:textId="77777777" w:rsidR="00797756" w:rsidRPr="00964115" w:rsidRDefault="00797756" w:rsidP="00797756">
      <w:pPr>
        <w:spacing w:after="0" w:line="240" w:lineRule="auto"/>
        <w:rPr>
          <w:rFonts w:ascii="Times New Roman" w:eastAsia="Calibri" w:hAnsi="Times New Roman" w:cs="Times New Roman"/>
          <w:lang w:val="lt-LT"/>
        </w:rPr>
      </w:pPr>
    </w:p>
    <w:p w14:paraId="6F94B446" w14:textId="77777777" w:rsidR="00797756" w:rsidRPr="00964115" w:rsidRDefault="00797756" w:rsidP="00797756">
      <w:pPr>
        <w:spacing w:after="0" w:line="240" w:lineRule="auto"/>
        <w:rPr>
          <w:rFonts w:ascii="Times New Roman" w:eastAsia="Calibri" w:hAnsi="Times New Roman" w:cs="Times New Roman"/>
          <w:lang w:val="lt-LT"/>
        </w:rPr>
      </w:pPr>
    </w:p>
    <w:p w14:paraId="6F94B447"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15.</w:t>
      </w:r>
      <w:r w:rsidRPr="00964115">
        <w:rPr>
          <w:rFonts w:ascii="Times New Roman" w:eastAsia="Times New Roman" w:hAnsi="Times New Roman" w:cs="Times New Roman"/>
          <w:b/>
          <w:lang w:val="lt-LT" w:eastAsia="lt-LT"/>
        </w:rPr>
        <w:tab/>
        <w:t>VARTOJIMO INSTRUKCIJA</w:t>
      </w:r>
    </w:p>
    <w:p w14:paraId="6F94B448" w14:textId="77777777" w:rsidR="00797756" w:rsidRPr="00964115" w:rsidRDefault="00797756" w:rsidP="00797756">
      <w:pPr>
        <w:spacing w:after="0" w:line="240" w:lineRule="auto"/>
        <w:rPr>
          <w:rFonts w:ascii="Times New Roman" w:eastAsia="Calibri" w:hAnsi="Times New Roman" w:cs="Times New Roman"/>
          <w:lang w:val="lt-LT"/>
        </w:rPr>
      </w:pPr>
    </w:p>
    <w:p w14:paraId="6F94B449" w14:textId="77777777" w:rsidR="00797756" w:rsidRPr="00964115" w:rsidRDefault="00797756" w:rsidP="00797756">
      <w:pPr>
        <w:spacing w:after="0" w:line="240" w:lineRule="auto"/>
        <w:rPr>
          <w:rFonts w:ascii="Times New Roman" w:eastAsia="Calibri" w:hAnsi="Times New Roman" w:cs="Times New Roman"/>
          <w:lang w:val="lt-LT"/>
        </w:rPr>
      </w:pPr>
    </w:p>
    <w:p w14:paraId="6F94B44A"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16.</w:t>
      </w:r>
      <w:r w:rsidRPr="00964115">
        <w:rPr>
          <w:rFonts w:ascii="Times New Roman" w:eastAsia="Times New Roman" w:hAnsi="Times New Roman" w:cs="Times New Roman"/>
          <w:b/>
          <w:lang w:val="lt-LT" w:eastAsia="lt-LT"/>
        </w:rPr>
        <w:tab/>
        <w:t xml:space="preserve">INFORMACIJA BRAILIO RAŠTU </w:t>
      </w:r>
    </w:p>
    <w:p w14:paraId="6F94B44B" w14:textId="77777777" w:rsidR="00797756" w:rsidRPr="00964115" w:rsidRDefault="00797756" w:rsidP="00797756">
      <w:pPr>
        <w:spacing w:after="0" w:line="240" w:lineRule="auto"/>
        <w:rPr>
          <w:rFonts w:ascii="Times New Roman" w:eastAsia="Calibri" w:hAnsi="Times New Roman" w:cs="Times New Roman"/>
          <w:lang w:val="lt-LT"/>
        </w:rPr>
      </w:pPr>
    </w:p>
    <w:p w14:paraId="6F94B44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w:t>
      </w:r>
    </w:p>
    <w:p w14:paraId="6F94B44D" w14:textId="77777777" w:rsidR="00797756" w:rsidRPr="00964115" w:rsidRDefault="00797756" w:rsidP="00797756">
      <w:pPr>
        <w:spacing w:after="0" w:line="240" w:lineRule="auto"/>
        <w:rPr>
          <w:rFonts w:ascii="Times New Roman" w:eastAsia="Calibri" w:hAnsi="Times New Roman" w:cs="Times New Roman"/>
          <w:lang w:val="lt-LT"/>
        </w:rPr>
      </w:pPr>
    </w:p>
    <w:p w14:paraId="6F94B44E" w14:textId="77777777" w:rsidR="00797756" w:rsidRPr="00964115" w:rsidRDefault="00797756" w:rsidP="00797756">
      <w:pPr>
        <w:spacing w:after="0" w:line="240" w:lineRule="auto"/>
        <w:rPr>
          <w:rFonts w:ascii="Times New Roman" w:eastAsia="Calibri" w:hAnsi="Times New Roman" w:cs="Times New Roman"/>
          <w:shd w:val="clear" w:color="auto" w:fill="CCCCCC"/>
          <w:lang w:val="lt-LT"/>
        </w:rPr>
      </w:pPr>
    </w:p>
    <w:p w14:paraId="6F94B44F"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17.</w:t>
      </w:r>
      <w:r w:rsidRPr="00964115">
        <w:rPr>
          <w:rFonts w:ascii="Times New Roman" w:eastAsia="Times New Roman" w:hAnsi="Times New Roman" w:cs="Times New Roman"/>
          <w:b/>
          <w:lang w:val="lt-LT" w:eastAsia="lt-LT"/>
        </w:rPr>
        <w:tab/>
        <w:t>UNIKALUS IDENTIFIKATORIUS – 2D BRŪKŠNINIS KODAS</w:t>
      </w:r>
    </w:p>
    <w:p w14:paraId="6F94B450" w14:textId="77777777" w:rsidR="00797756" w:rsidRPr="00964115" w:rsidRDefault="00797756" w:rsidP="00797756">
      <w:pPr>
        <w:spacing w:after="0" w:line="240" w:lineRule="auto"/>
        <w:rPr>
          <w:rFonts w:ascii="Times New Roman" w:eastAsia="Calibri" w:hAnsi="Times New Roman" w:cs="Times New Roman"/>
          <w:lang w:val="lt-LT"/>
        </w:rPr>
      </w:pPr>
    </w:p>
    <w:p w14:paraId="6F94B45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highlight w:val="lightGray"/>
          <w:lang w:val="lt-LT"/>
        </w:rPr>
        <w:t>2D brūkšninis kodas su nurodytu unikaliu identifikatoriumi</w:t>
      </w:r>
      <w:r w:rsidRPr="00964115">
        <w:rPr>
          <w:rFonts w:ascii="Times New Roman" w:eastAsia="Calibri" w:hAnsi="Times New Roman" w:cs="Times New Roman"/>
          <w:lang w:val="lt-LT"/>
        </w:rPr>
        <w:t>.</w:t>
      </w:r>
    </w:p>
    <w:p w14:paraId="6F94B452" w14:textId="77777777" w:rsidR="00797756" w:rsidRPr="00964115" w:rsidRDefault="00797756" w:rsidP="00797756">
      <w:pPr>
        <w:spacing w:after="0" w:line="240" w:lineRule="auto"/>
        <w:rPr>
          <w:rFonts w:ascii="Times New Roman" w:eastAsia="Calibri" w:hAnsi="Times New Roman" w:cs="Times New Roman"/>
          <w:lang w:val="lt-LT"/>
        </w:rPr>
      </w:pPr>
    </w:p>
    <w:p w14:paraId="6F94B453" w14:textId="77777777" w:rsidR="00797756" w:rsidRPr="00964115" w:rsidRDefault="00797756" w:rsidP="00797756">
      <w:pPr>
        <w:spacing w:after="0" w:line="240" w:lineRule="auto"/>
        <w:rPr>
          <w:rFonts w:ascii="Times New Roman" w:eastAsia="Calibri" w:hAnsi="Times New Roman" w:cs="Times New Roman"/>
          <w:lang w:val="lt-LT"/>
        </w:rPr>
      </w:pPr>
    </w:p>
    <w:p w14:paraId="6F94B454"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18.</w:t>
      </w:r>
      <w:r w:rsidRPr="00964115">
        <w:rPr>
          <w:rFonts w:ascii="Times New Roman" w:eastAsia="Times New Roman" w:hAnsi="Times New Roman" w:cs="Times New Roman"/>
          <w:b/>
          <w:lang w:val="lt-LT" w:eastAsia="lt-LT"/>
        </w:rPr>
        <w:tab/>
        <w:t>UNIKALUS IDENTIFIKATORIUS – ŽMONĖMS SUPRANTAMI DUOMENYS</w:t>
      </w:r>
    </w:p>
    <w:p w14:paraId="6F94B455" w14:textId="77777777" w:rsidR="00797756" w:rsidRPr="00964115" w:rsidRDefault="00797756" w:rsidP="00797756">
      <w:pPr>
        <w:spacing w:after="0" w:line="240" w:lineRule="auto"/>
        <w:rPr>
          <w:rFonts w:ascii="Times New Roman" w:eastAsia="Calibri" w:hAnsi="Times New Roman" w:cs="Times New Roman"/>
          <w:lang w:val="lt-LT"/>
        </w:rPr>
      </w:pPr>
    </w:p>
    <w:p w14:paraId="6F94B45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PC:</w:t>
      </w:r>
    </w:p>
    <w:p w14:paraId="6F94B45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SN:</w:t>
      </w:r>
    </w:p>
    <w:p w14:paraId="6F94B45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NN:</w:t>
      </w:r>
    </w:p>
    <w:p w14:paraId="6F94B45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br w:type="page"/>
      </w:r>
    </w:p>
    <w:p w14:paraId="6F94B45A"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INFORMACIJA ANT VIDINĖS PAKUOTĖS</w:t>
      </w:r>
    </w:p>
    <w:p w14:paraId="6F94B45B"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p>
    <w:p w14:paraId="6F94B45C" w14:textId="77777777" w:rsidR="00797756" w:rsidRPr="00964115" w:rsidRDefault="00797756" w:rsidP="00797756">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Calibri" w:hAnsi="Times New Roman" w:cs="Times New Roman"/>
          <w:b/>
          <w:lang w:val="lt-LT"/>
        </w:rPr>
      </w:pPr>
      <w:r w:rsidRPr="00964115">
        <w:rPr>
          <w:rFonts w:ascii="Times New Roman" w:eastAsia="Calibri" w:hAnsi="Times New Roman" w:cs="Times New Roman"/>
          <w:b/>
          <w:lang w:val="lt-LT"/>
        </w:rPr>
        <w:t>Buteliuko etiketė</w:t>
      </w:r>
    </w:p>
    <w:p w14:paraId="6F94B45D" w14:textId="77777777" w:rsidR="00797756" w:rsidRPr="00964115" w:rsidRDefault="00797756" w:rsidP="00797756">
      <w:pPr>
        <w:spacing w:after="0" w:line="240" w:lineRule="auto"/>
        <w:rPr>
          <w:rFonts w:ascii="Times New Roman" w:eastAsia="Calibri" w:hAnsi="Times New Roman" w:cs="Times New Roman"/>
          <w:lang w:val="lt-LT"/>
        </w:rPr>
      </w:pPr>
    </w:p>
    <w:p w14:paraId="6F94B45E" w14:textId="77777777" w:rsidR="00797756" w:rsidRPr="00964115" w:rsidRDefault="00797756" w:rsidP="00797756">
      <w:pPr>
        <w:spacing w:after="0" w:line="240" w:lineRule="auto"/>
        <w:rPr>
          <w:rFonts w:ascii="Times New Roman" w:eastAsia="Calibri" w:hAnsi="Times New Roman" w:cs="Times New Roman"/>
          <w:lang w:val="lt-LT"/>
        </w:rPr>
      </w:pPr>
    </w:p>
    <w:p w14:paraId="6F94B45F"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w:t>
      </w:r>
      <w:r w:rsidRPr="00964115">
        <w:rPr>
          <w:rFonts w:ascii="Times New Roman" w:eastAsia="Times New Roman" w:hAnsi="Times New Roman" w:cs="Times New Roman"/>
          <w:b/>
          <w:lang w:val="lt-LT" w:eastAsia="lt-LT"/>
        </w:rPr>
        <w:tab/>
        <w:t>VAISTINIO PREPARATO PAVADINIMAS</w:t>
      </w:r>
    </w:p>
    <w:p w14:paraId="6F94B460" w14:textId="77777777" w:rsidR="00797756" w:rsidRPr="00964115" w:rsidRDefault="00797756" w:rsidP="00797756">
      <w:pPr>
        <w:spacing w:after="0" w:line="240" w:lineRule="auto"/>
        <w:rPr>
          <w:rFonts w:ascii="Times New Roman" w:eastAsia="Calibri" w:hAnsi="Times New Roman" w:cs="Times New Roman"/>
          <w:lang w:val="lt-LT"/>
        </w:rPr>
      </w:pPr>
    </w:p>
    <w:p w14:paraId="6F94B461"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Vimovo 500 mg/20 mg modifikuoto atpalaidavimo tabletės</w:t>
      </w:r>
    </w:p>
    <w:p w14:paraId="6F94B462"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463" w14:textId="77777777" w:rsidR="00797756" w:rsidRPr="00964115" w:rsidRDefault="00C758E9"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w:t>
      </w:r>
      <w:r w:rsidR="00797756" w:rsidRPr="00964115">
        <w:rPr>
          <w:rFonts w:ascii="Times New Roman" w:eastAsia="Calibri" w:hAnsi="Times New Roman" w:cs="Times New Roman"/>
          <w:lang w:val="lt-LT"/>
        </w:rPr>
        <w:t xml:space="preserve">aproxenum / </w:t>
      </w:r>
      <w:r w:rsidRPr="00964115">
        <w:rPr>
          <w:rFonts w:ascii="Times New Roman" w:eastAsia="Calibri" w:hAnsi="Times New Roman" w:cs="Times New Roman"/>
          <w:lang w:val="lt-LT"/>
        </w:rPr>
        <w:t>e</w:t>
      </w:r>
      <w:r w:rsidR="00797756" w:rsidRPr="00964115">
        <w:rPr>
          <w:rFonts w:ascii="Times New Roman" w:eastAsia="Calibri" w:hAnsi="Times New Roman" w:cs="Times New Roman"/>
          <w:lang w:val="lt-LT"/>
        </w:rPr>
        <w:t xml:space="preserve">someprazolum </w:t>
      </w:r>
    </w:p>
    <w:p w14:paraId="6F94B464" w14:textId="77777777" w:rsidR="00797756" w:rsidRPr="00964115" w:rsidRDefault="00797756" w:rsidP="00797756">
      <w:pPr>
        <w:spacing w:after="0" w:line="240" w:lineRule="auto"/>
        <w:rPr>
          <w:rFonts w:ascii="Times New Roman" w:eastAsia="Calibri" w:hAnsi="Times New Roman" w:cs="Times New Roman"/>
          <w:lang w:val="lt-LT"/>
        </w:rPr>
      </w:pPr>
    </w:p>
    <w:p w14:paraId="6F94B465" w14:textId="77777777" w:rsidR="00797756" w:rsidRPr="00964115" w:rsidRDefault="00797756" w:rsidP="00797756">
      <w:pPr>
        <w:spacing w:after="0" w:line="240" w:lineRule="auto"/>
        <w:rPr>
          <w:rFonts w:ascii="Times New Roman" w:eastAsia="Calibri" w:hAnsi="Times New Roman" w:cs="Times New Roman"/>
          <w:lang w:val="lt-LT"/>
        </w:rPr>
      </w:pPr>
    </w:p>
    <w:p w14:paraId="6F94B466"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2.</w:t>
      </w:r>
      <w:r w:rsidRPr="00964115">
        <w:rPr>
          <w:rFonts w:ascii="Times New Roman" w:eastAsia="Times New Roman" w:hAnsi="Times New Roman" w:cs="Times New Roman"/>
          <w:b/>
          <w:lang w:val="lt-LT" w:eastAsia="lt-LT"/>
        </w:rPr>
        <w:tab/>
      </w:r>
      <w:r w:rsidRPr="00964115">
        <w:rPr>
          <w:rFonts w:ascii="Times New Roman" w:eastAsia="Times New Roman" w:hAnsi="Times New Roman" w:cs="Times New Roman"/>
          <w:b/>
          <w:snapToGrid w:val="0"/>
          <w:lang w:val="lt-LT"/>
        </w:rPr>
        <w:t>VEIKLIOJI (-IOS) MEDŽIAGA (-OS) IR JOS (-Ų) KIEKIS (-IAI)</w:t>
      </w:r>
    </w:p>
    <w:p w14:paraId="6F94B467" w14:textId="77777777" w:rsidR="00797756" w:rsidRPr="00964115" w:rsidRDefault="00797756" w:rsidP="00797756">
      <w:pPr>
        <w:spacing w:after="0" w:line="240" w:lineRule="auto"/>
        <w:rPr>
          <w:rFonts w:ascii="Times New Roman" w:eastAsia="Calibri" w:hAnsi="Times New Roman" w:cs="Times New Roman"/>
          <w:lang w:val="lt-LT"/>
        </w:rPr>
      </w:pPr>
    </w:p>
    <w:p w14:paraId="6F94B46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Kiekvienoje modifikuoto atpalaidavimo tabletėje yra 500 mg naprokseno ir 20 mg ezomeprazolo (magnio druskos trihidrato pavidalu).</w:t>
      </w:r>
    </w:p>
    <w:p w14:paraId="6F94B469" w14:textId="77777777" w:rsidR="00797756" w:rsidRPr="00964115" w:rsidRDefault="00797756" w:rsidP="00797756">
      <w:pPr>
        <w:spacing w:after="0" w:line="240" w:lineRule="auto"/>
        <w:rPr>
          <w:rFonts w:ascii="Times New Roman" w:eastAsia="Calibri" w:hAnsi="Times New Roman" w:cs="Times New Roman"/>
          <w:lang w:val="lt-LT"/>
        </w:rPr>
      </w:pPr>
    </w:p>
    <w:p w14:paraId="6F94B46A" w14:textId="77777777" w:rsidR="00797756" w:rsidRPr="00964115" w:rsidRDefault="00797756" w:rsidP="00797756">
      <w:pPr>
        <w:spacing w:after="0" w:line="240" w:lineRule="auto"/>
        <w:rPr>
          <w:rFonts w:ascii="Times New Roman" w:eastAsia="Calibri" w:hAnsi="Times New Roman" w:cs="Times New Roman"/>
          <w:lang w:val="lt-LT"/>
        </w:rPr>
      </w:pPr>
    </w:p>
    <w:p w14:paraId="6F94B46B"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3.</w:t>
      </w:r>
      <w:r w:rsidRPr="00964115">
        <w:rPr>
          <w:rFonts w:ascii="Times New Roman" w:eastAsia="Times New Roman" w:hAnsi="Times New Roman" w:cs="Times New Roman"/>
          <w:b/>
          <w:lang w:val="lt-LT" w:eastAsia="lt-LT"/>
        </w:rPr>
        <w:tab/>
        <w:t>PAGALBINIŲ MEDŽIAGŲ SĄRAŠAS</w:t>
      </w:r>
    </w:p>
    <w:p w14:paraId="6F94B46C" w14:textId="77777777" w:rsidR="00797756" w:rsidRPr="00964115" w:rsidRDefault="00797756" w:rsidP="00797756">
      <w:pPr>
        <w:spacing w:after="0" w:line="240" w:lineRule="auto"/>
        <w:rPr>
          <w:rFonts w:ascii="Times New Roman" w:eastAsia="Calibri" w:hAnsi="Times New Roman" w:cs="Times New Roman"/>
          <w:lang w:val="lt-LT"/>
        </w:rPr>
      </w:pPr>
    </w:p>
    <w:p w14:paraId="6F94B46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Sudėtyje taip pat yra metilo parahidroksibenzoato (E218) ir propilo parahidroksibenzoato (E216).</w:t>
      </w:r>
    </w:p>
    <w:p w14:paraId="6F94B46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Daugiau informacijos pateikta pakuotės lapelyje.</w:t>
      </w:r>
    </w:p>
    <w:p w14:paraId="6F94B46F" w14:textId="77777777" w:rsidR="00797756" w:rsidRPr="00964115" w:rsidRDefault="00797756" w:rsidP="00797756">
      <w:pPr>
        <w:spacing w:after="0" w:line="240" w:lineRule="auto"/>
        <w:rPr>
          <w:rFonts w:ascii="Times New Roman" w:eastAsia="Calibri" w:hAnsi="Times New Roman" w:cs="Times New Roman"/>
          <w:lang w:val="lt-LT"/>
        </w:rPr>
      </w:pPr>
    </w:p>
    <w:p w14:paraId="6F94B470" w14:textId="77777777" w:rsidR="00797756" w:rsidRPr="00964115" w:rsidRDefault="00797756" w:rsidP="00797756">
      <w:pPr>
        <w:spacing w:after="0" w:line="240" w:lineRule="auto"/>
        <w:rPr>
          <w:rFonts w:ascii="Times New Roman" w:eastAsia="Calibri" w:hAnsi="Times New Roman" w:cs="Times New Roman"/>
          <w:lang w:val="lt-LT"/>
        </w:rPr>
      </w:pPr>
    </w:p>
    <w:p w14:paraId="6F94B471"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4.</w:t>
      </w:r>
      <w:r w:rsidRPr="00964115">
        <w:rPr>
          <w:rFonts w:ascii="Times New Roman" w:eastAsia="Times New Roman" w:hAnsi="Times New Roman" w:cs="Times New Roman"/>
          <w:b/>
          <w:lang w:val="lt-LT" w:eastAsia="lt-LT"/>
        </w:rPr>
        <w:tab/>
        <w:t>FARMACINĖ FORMA IR KIEKIS PAKUOTĖJE</w:t>
      </w:r>
    </w:p>
    <w:p w14:paraId="6F94B472" w14:textId="77777777" w:rsidR="00797756" w:rsidRPr="00964115" w:rsidRDefault="00797756" w:rsidP="00797756">
      <w:pPr>
        <w:spacing w:after="0" w:line="240" w:lineRule="auto"/>
        <w:rPr>
          <w:rFonts w:ascii="Times New Roman" w:eastAsia="Calibri" w:hAnsi="Times New Roman" w:cs="Times New Roman"/>
          <w:lang w:val="lt-LT"/>
        </w:rPr>
      </w:pPr>
    </w:p>
    <w:p w14:paraId="6F94B473"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Modifikuoto atpalaidavimo tabletės</w:t>
      </w:r>
    </w:p>
    <w:p w14:paraId="6F94B474"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475"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6 tabletės</w:t>
      </w:r>
    </w:p>
    <w:p w14:paraId="6F94B476" w14:textId="77777777" w:rsidR="007A0DF0" w:rsidRPr="00964115" w:rsidRDefault="007A0DF0"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10 tablečių</w:t>
      </w:r>
    </w:p>
    <w:p w14:paraId="6F94B477"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20 tablečių</w:t>
      </w:r>
    </w:p>
    <w:p w14:paraId="6F94B478"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30 tablečių</w:t>
      </w:r>
    </w:p>
    <w:p w14:paraId="6F94B479"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60 tablečių</w:t>
      </w:r>
    </w:p>
    <w:p w14:paraId="6F94B47A"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100 tablečių</w:t>
      </w:r>
    </w:p>
    <w:p w14:paraId="6F94B47B" w14:textId="77777777" w:rsidR="00797756" w:rsidRPr="00964115" w:rsidRDefault="00797756" w:rsidP="00797756">
      <w:pPr>
        <w:spacing w:after="0" w:line="240" w:lineRule="auto"/>
        <w:jc w:val="both"/>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180 tablečių</w:t>
      </w:r>
    </w:p>
    <w:p w14:paraId="6F94B47C"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highlight w:val="lightGray"/>
          <w:lang w:val="lt-LT"/>
        </w:rPr>
        <w:t>500 tablečių</w:t>
      </w:r>
    </w:p>
    <w:p w14:paraId="6F94B47D" w14:textId="77777777" w:rsidR="00797756" w:rsidRPr="00964115" w:rsidRDefault="00797756" w:rsidP="00797756">
      <w:pPr>
        <w:spacing w:after="0" w:line="240" w:lineRule="auto"/>
        <w:jc w:val="both"/>
        <w:rPr>
          <w:rFonts w:ascii="Times New Roman" w:eastAsia="Calibri" w:hAnsi="Times New Roman" w:cs="Times New Roman"/>
          <w:lang w:val="lt-LT"/>
        </w:rPr>
      </w:pPr>
    </w:p>
    <w:p w14:paraId="6F94B47E" w14:textId="77777777" w:rsidR="00797756" w:rsidRPr="00964115" w:rsidRDefault="00797756" w:rsidP="00797756">
      <w:pPr>
        <w:spacing w:after="0" w:line="240" w:lineRule="auto"/>
        <w:rPr>
          <w:rFonts w:ascii="Times New Roman" w:eastAsia="Calibri" w:hAnsi="Times New Roman" w:cs="Times New Roman"/>
          <w:lang w:val="lt-LT"/>
        </w:rPr>
      </w:pPr>
    </w:p>
    <w:p w14:paraId="6F94B47F"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5.</w:t>
      </w:r>
      <w:r w:rsidRPr="00964115">
        <w:rPr>
          <w:rFonts w:ascii="Times New Roman" w:eastAsia="Times New Roman" w:hAnsi="Times New Roman" w:cs="Times New Roman"/>
          <w:b/>
          <w:lang w:val="lt-LT" w:eastAsia="lt-LT"/>
        </w:rPr>
        <w:tab/>
        <w:t>VARTOJIMO METODAS IR BŪDAS (-AI)</w:t>
      </w:r>
    </w:p>
    <w:p w14:paraId="6F94B480" w14:textId="77777777" w:rsidR="00797756" w:rsidRPr="00964115" w:rsidRDefault="00797756" w:rsidP="00797756">
      <w:pPr>
        <w:spacing w:after="0" w:line="240" w:lineRule="auto"/>
        <w:rPr>
          <w:rFonts w:ascii="Times New Roman" w:eastAsia="Calibri" w:hAnsi="Times New Roman" w:cs="Times New Roman"/>
          <w:lang w:val="lt-LT"/>
        </w:rPr>
      </w:pPr>
    </w:p>
    <w:p w14:paraId="6F94B48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Vartoti per burną.</w:t>
      </w:r>
    </w:p>
    <w:p w14:paraId="6F94B48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Prieš vartojimą perskaitykite pakuotės lapelį.</w:t>
      </w:r>
    </w:p>
    <w:p w14:paraId="6F94B483"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Nurykite tabletę nepažeistą, užgerdami vandeniu. Tabletės negalima smulkinti, kramtyti ar traiškyti.</w:t>
      </w:r>
    </w:p>
    <w:p w14:paraId="6F94B484" w14:textId="77777777" w:rsidR="00797756" w:rsidRPr="00964115" w:rsidRDefault="00797756" w:rsidP="00797756">
      <w:pPr>
        <w:spacing w:after="0" w:line="240" w:lineRule="auto"/>
        <w:rPr>
          <w:rFonts w:ascii="Times New Roman" w:eastAsia="Calibri" w:hAnsi="Times New Roman" w:cs="Times New Roman"/>
          <w:lang w:val="lt-LT"/>
        </w:rPr>
      </w:pPr>
    </w:p>
    <w:p w14:paraId="6F94B485" w14:textId="77777777" w:rsidR="00797756" w:rsidRPr="00964115" w:rsidRDefault="00797756" w:rsidP="00797756">
      <w:pPr>
        <w:spacing w:after="0" w:line="240" w:lineRule="auto"/>
        <w:rPr>
          <w:rFonts w:ascii="Times New Roman" w:eastAsia="Calibri" w:hAnsi="Times New Roman" w:cs="Times New Roman"/>
          <w:lang w:val="lt-LT"/>
        </w:rPr>
      </w:pPr>
    </w:p>
    <w:p w14:paraId="6F94B486" w14:textId="77777777" w:rsidR="00797756" w:rsidRPr="00964115" w:rsidRDefault="00797756" w:rsidP="00BD68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b/>
          <w:lang w:val="lt-LT"/>
        </w:rPr>
      </w:pPr>
      <w:r w:rsidRPr="00964115">
        <w:rPr>
          <w:rFonts w:ascii="Times New Roman" w:eastAsia="Times New Roman" w:hAnsi="Times New Roman" w:cs="Times New Roman"/>
          <w:b/>
          <w:lang w:val="lt-LT" w:eastAsia="lt-LT"/>
        </w:rPr>
        <w:t>6.</w:t>
      </w:r>
      <w:r w:rsidRPr="00964115">
        <w:rPr>
          <w:rFonts w:ascii="Times New Roman" w:eastAsia="Times New Roman" w:hAnsi="Times New Roman" w:cs="Times New Roman"/>
          <w:b/>
          <w:lang w:val="lt-LT" w:eastAsia="lt-LT"/>
        </w:rPr>
        <w:tab/>
        <w:t>SPECIALUS ĮSPĖJIMAS, KAD VAISTINĮ PREPARATĄ BŪTINA LAIKYTI VAIKAMS NEPASTEBIMOJE IR NEPASIEKIAMOJE VIETOJE</w:t>
      </w:r>
    </w:p>
    <w:p w14:paraId="6F94B487" w14:textId="77777777" w:rsidR="00797756" w:rsidRPr="00964115" w:rsidRDefault="00797756" w:rsidP="00797756">
      <w:pPr>
        <w:spacing w:after="0" w:line="240" w:lineRule="auto"/>
        <w:rPr>
          <w:rFonts w:ascii="Times New Roman" w:eastAsia="Calibri" w:hAnsi="Times New Roman" w:cs="Times New Roman"/>
          <w:lang w:val="lt-LT"/>
        </w:rPr>
      </w:pPr>
    </w:p>
    <w:p w14:paraId="6F94B48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Laikyti vaikams nepastebimoje ir nepasiekiamoje vietoje.</w:t>
      </w:r>
    </w:p>
    <w:p w14:paraId="6F94B489" w14:textId="77777777" w:rsidR="00797756" w:rsidRPr="00964115" w:rsidRDefault="00797756" w:rsidP="00797756">
      <w:pPr>
        <w:spacing w:after="0" w:line="240" w:lineRule="auto"/>
        <w:rPr>
          <w:rFonts w:ascii="Times New Roman" w:eastAsia="Calibri" w:hAnsi="Times New Roman" w:cs="Times New Roman"/>
          <w:lang w:val="lt-LT"/>
        </w:rPr>
      </w:pPr>
    </w:p>
    <w:p w14:paraId="6F94B48A" w14:textId="77777777" w:rsidR="00797756" w:rsidRPr="00964115" w:rsidRDefault="00797756" w:rsidP="00797756">
      <w:pPr>
        <w:spacing w:after="0" w:line="240" w:lineRule="auto"/>
        <w:rPr>
          <w:rFonts w:ascii="Times New Roman" w:eastAsia="Calibri" w:hAnsi="Times New Roman" w:cs="Times New Roman"/>
          <w:lang w:val="lt-LT"/>
        </w:rPr>
      </w:pPr>
    </w:p>
    <w:p w14:paraId="6F94B48B"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7.</w:t>
      </w:r>
      <w:r w:rsidRPr="00964115">
        <w:rPr>
          <w:rFonts w:ascii="Times New Roman" w:eastAsia="Times New Roman" w:hAnsi="Times New Roman" w:cs="Times New Roman"/>
          <w:b/>
          <w:lang w:val="lt-LT" w:eastAsia="lt-LT"/>
        </w:rPr>
        <w:tab/>
        <w:t>KITAS (-I) SPECIALUS (-ŪS) ĮSPĖJIMAS (-AI) (JEI REIKIA)</w:t>
      </w:r>
    </w:p>
    <w:p w14:paraId="6F94B48C" w14:textId="77777777" w:rsidR="00797756" w:rsidRPr="00964115" w:rsidRDefault="00797756" w:rsidP="00797756">
      <w:pPr>
        <w:spacing w:after="0" w:line="240" w:lineRule="auto"/>
        <w:rPr>
          <w:rFonts w:ascii="Times New Roman" w:eastAsia="Calibri" w:hAnsi="Times New Roman" w:cs="Times New Roman"/>
          <w:lang w:val="lt-LT"/>
        </w:rPr>
      </w:pPr>
    </w:p>
    <w:p w14:paraId="6F94B48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Paketėlio su džiovikliu valgyti negalima.</w:t>
      </w:r>
    </w:p>
    <w:p w14:paraId="6F94B48E" w14:textId="77777777" w:rsidR="00797756" w:rsidRPr="00964115" w:rsidRDefault="00797756" w:rsidP="00797756">
      <w:pPr>
        <w:spacing w:after="0" w:line="240" w:lineRule="auto"/>
        <w:rPr>
          <w:rFonts w:ascii="Times New Roman" w:eastAsia="Calibri" w:hAnsi="Times New Roman" w:cs="Times New Roman"/>
          <w:lang w:val="lt-LT"/>
        </w:rPr>
      </w:pPr>
    </w:p>
    <w:p w14:paraId="6F94B48F" w14:textId="77777777" w:rsidR="00797756" w:rsidRPr="00964115" w:rsidRDefault="00797756" w:rsidP="00797756">
      <w:pPr>
        <w:spacing w:after="0" w:line="240" w:lineRule="auto"/>
        <w:rPr>
          <w:rFonts w:ascii="Times New Roman" w:eastAsia="Calibri" w:hAnsi="Times New Roman" w:cs="Times New Roman"/>
          <w:lang w:val="lt-LT"/>
        </w:rPr>
      </w:pPr>
    </w:p>
    <w:p w14:paraId="6F94B490"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964115">
        <w:rPr>
          <w:rFonts w:ascii="Times New Roman" w:eastAsia="Times New Roman" w:hAnsi="Times New Roman" w:cs="Times New Roman"/>
          <w:b/>
          <w:lang w:val="lt-LT" w:eastAsia="lt-LT"/>
        </w:rPr>
        <w:t>8.</w:t>
      </w:r>
      <w:r w:rsidRPr="00964115">
        <w:rPr>
          <w:rFonts w:ascii="Times New Roman" w:eastAsia="Times New Roman" w:hAnsi="Times New Roman" w:cs="Times New Roman"/>
          <w:b/>
          <w:lang w:val="lt-LT" w:eastAsia="lt-LT"/>
        </w:rPr>
        <w:tab/>
        <w:t>TINKAMUMO LAIKAS</w:t>
      </w:r>
    </w:p>
    <w:p w14:paraId="6F94B491" w14:textId="77777777" w:rsidR="00797756" w:rsidRPr="00964115" w:rsidRDefault="00797756" w:rsidP="00797756">
      <w:pPr>
        <w:spacing w:after="0" w:line="240" w:lineRule="auto"/>
        <w:rPr>
          <w:rFonts w:ascii="Times New Roman" w:eastAsia="Calibri" w:hAnsi="Times New Roman" w:cs="Times New Roman"/>
          <w:lang w:val="lt-LT"/>
        </w:rPr>
      </w:pPr>
    </w:p>
    <w:p w14:paraId="6F94B492" w14:textId="77777777" w:rsidR="00797756" w:rsidRPr="00964115" w:rsidRDefault="00C758E9"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highlight w:val="lightGray"/>
          <w:lang w:val="lt-LT"/>
        </w:rPr>
        <w:t>EXP</w:t>
      </w:r>
      <w:r w:rsidR="00797756" w:rsidRPr="00964115">
        <w:rPr>
          <w:rFonts w:ascii="Times New Roman" w:eastAsia="Calibri" w:hAnsi="Times New Roman" w:cs="Times New Roman"/>
          <w:lang w:val="lt-LT"/>
        </w:rPr>
        <w:t xml:space="preserve"> MMMM-mm</w:t>
      </w:r>
    </w:p>
    <w:p w14:paraId="6F94B493" w14:textId="77777777" w:rsidR="00797756" w:rsidRPr="00964115" w:rsidRDefault="00797756" w:rsidP="00797756">
      <w:pPr>
        <w:spacing w:after="0" w:line="240" w:lineRule="auto"/>
        <w:rPr>
          <w:rFonts w:ascii="Times New Roman" w:eastAsia="Calibri" w:hAnsi="Times New Roman" w:cs="Times New Roman"/>
          <w:lang w:val="lt-LT"/>
        </w:rPr>
      </w:pPr>
    </w:p>
    <w:p w14:paraId="6F94B494" w14:textId="77777777" w:rsidR="00797756" w:rsidRPr="00964115" w:rsidRDefault="00797756" w:rsidP="00797756">
      <w:pPr>
        <w:spacing w:after="0" w:line="240" w:lineRule="auto"/>
        <w:rPr>
          <w:rFonts w:ascii="Times New Roman" w:eastAsia="Calibri" w:hAnsi="Times New Roman" w:cs="Times New Roman"/>
          <w:lang w:val="lt-LT"/>
        </w:rPr>
      </w:pPr>
    </w:p>
    <w:p w14:paraId="6F94B495"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9.</w:t>
      </w:r>
      <w:r w:rsidRPr="00964115">
        <w:rPr>
          <w:rFonts w:ascii="Times New Roman" w:eastAsia="Times New Roman" w:hAnsi="Times New Roman" w:cs="Times New Roman"/>
          <w:b/>
          <w:lang w:val="lt-LT" w:eastAsia="lt-LT"/>
        </w:rPr>
        <w:tab/>
        <w:t>SPECIALIOS LAIKYMO SĄLYGOS</w:t>
      </w:r>
    </w:p>
    <w:p w14:paraId="6F94B496" w14:textId="77777777" w:rsidR="00797756" w:rsidRPr="00964115" w:rsidRDefault="00797756" w:rsidP="00797756">
      <w:pPr>
        <w:spacing w:after="0" w:line="240" w:lineRule="auto"/>
        <w:rPr>
          <w:rFonts w:ascii="Times New Roman" w:eastAsia="Calibri" w:hAnsi="Times New Roman" w:cs="Times New Roman"/>
          <w:lang w:val="lt-LT"/>
        </w:rPr>
      </w:pPr>
    </w:p>
    <w:p w14:paraId="6F94B49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Laikyti ne aukštesnėje kaip 30 °C temperatūroje.</w:t>
      </w:r>
    </w:p>
    <w:p w14:paraId="6F94B498" w14:textId="77777777" w:rsidR="00797756" w:rsidRPr="00964115" w:rsidRDefault="00797756" w:rsidP="00797756">
      <w:pPr>
        <w:spacing w:after="0" w:line="240" w:lineRule="auto"/>
        <w:rPr>
          <w:rFonts w:ascii="Times New Roman" w:eastAsia="Calibri" w:hAnsi="Times New Roman" w:cs="Times New Roman"/>
          <w:lang w:val="lt-LT"/>
        </w:rPr>
      </w:pPr>
    </w:p>
    <w:p w14:paraId="6F94B49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Laikyti gamintojo pakuotėje. Buteliuką laikyti sandarų, kad preparatas būtų apsaugotas nuo drėgmės.</w:t>
      </w:r>
    </w:p>
    <w:p w14:paraId="6F94B49A" w14:textId="77777777" w:rsidR="00797756" w:rsidRPr="00964115" w:rsidRDefault="00797756" w:rsidP="00797756">
      <w:pPr>
        <w:spacing w:after="0" w:line="240" w:lineRule="auto"/>
        <w:rPr>
          <w:rFonts w:ascii="Times New Roman" w:eastAsia="Calibri" w:hAnsi="Times New Roman" w:cs="Times New Roman"/>
          <w:lang w:val="lt-LT"/>
        </w:rPr>
      </w:pPr>
    </w:p>
    <w:p w14:paraId="6F94B49B" w14:textId="77777777" w:rsidR="00797756" w:rsidRPr="00964115" w:rsidRDefault="00797756" w:rsidP="00797756">
      <w:pPr>
        <w:spacing w:after="0" w:line="240" w:lineRule="auto"/>
        <w:rPr>
          <w:rFonts w:ascii="Times New Roman" w:eastAsia="Calibri" w:hAnsi="Times New Roman" w:cs="Times New Roman"/>
          <w:lang w:val="lt-LT"/>
        </w:rPr>
      </w:pPr>
    </w:p>
    <w:p w14:paraId="6F94B49C" w14:textId="77777777" w:rsidR="00797756" w:rsidRPr="00964115" w:rsidRDefault="00797756" w:rsidP="00BD68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jc w:val="both"/>
        <w:rPr>
          <w:rFonts w:ascii="Times New Roman" w:hAnsi="Times New Roman"/>
          <w:b/>
          <w:lang w:val="lt-LT"/>
        </w:rPr>
      </w:pPr>
      <w:r w:rsidRPr="00964115">
        <w:rPr>
          <w:rFonts w:ascii="Times New Roman" w:eastAsia="Times New Roman" w:hAnsi="Times New Roman" w:cs="Times New Roman"/>
          <w:b/>
          <w:lang w:val="lt-LT" w:eastAsia="lt-LT"/>
        </w:rPr>
        <w:t>10.</w:t>
      </w:r>
      <w:r w:rsidRPr="00964115">
        <w:rPr>
          <w:rFonts w:ascii="Times New Roman" w:eastAsia="Times New Roman" w:hAnsi="Times New Roman" w:cs="Times New Roman"/>
          <w:b/>
          <w:lang w:val="lt-LT" w:eastAsia="lt-LT"/>
        </w:rPr>
        <w:tab/>
        <w:t xml:space="preserve">SPECIALIOS ATSARGUMO PRIEMONĖS DĖL NESUVARTOTO </w:t>
      </w:r>
      <w:r w:rsidRPr="00964115">
        <w:rPr>
          <w:rFonts w:ascii="Times New Roman" w:eastAsia="Times New Roman" w:hAnsi="Times New Roman" w:cs="Times New Roman"/>
          <w:b/>
          <w:bCs/>
          <w:lang w:val="lt-LT" w:eastAsia="lt-LT"/>
        </w:rPr>
        <w:t xml:space="preserve">VAISTINIO PREPARATO AR JO ATLIEKŲ </w:t>
      </w:r>
      <w:r w:rsidRPr="00964115">
        <w:rPr>
          <w:rFonts w:ascii="Times New Roman" w:eastAsia="Times New Roman" w:hAnsi="Times New Roman" w:cs="Times New Roman"/>
          <w:b/>
          <w:lang w:val="lt-LT" w:eastAsia="lt-LT"/>
        </w:rPr>
        <w:t>TVARKYMO (JEI REIKIA)</w:t>
      </w:r>
    </w:p>
    <w:p w14:paraId="6F94B49D" w14:textId="77777777" w:rsidR="00797756" w:rsidRPr="00964115" w:rsidRDefault="00797756" w:rsidP="00797756">
      <w:pPr>
        <w:spacing w:after="0" w:line="240" w:lineRule="auto"/>
        <w:rPr>
          <w:rFonts w:ascii="Times New Roman" w:eastAsia="Calibri" w:hAnsi="Times New Roman" w:cs="Times New Roman"/>
          <w:lang w:val="lt-LT"/>
        </w:rPr>
      </w:pPr>
    </w:p>
    <w:p w14:paraId="6F94B49E" w14:textId="77777777" w:rsidR="00797756" w:rsidRPr="00964115" w:rsidRDefault="00797756" w:rsidP="00797756">
      <w:pPr>
        <w:spacing w:after="0" w:line="240" w:lineRule="auto"/>
        <w:rPr>
          <w:rFonts w:ascii="Times New Roman" w:eastAsia="Calibri" w:hAnsi="Times New Roman" w:cs="Times New Roman"/>
          <w:lang w:val="lt-LT"/>
        </w:rPr>
      </w:pPr>
    </w:p>
    <w:p w14:paraId="6F94B49F"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11.</w:t>
      </w:r>
      <w:r w:rsidRPr="00964115">
        <w:rPr>
          <w:rFonts w:ascii="Times New Roman" w:eastAsia="Times New Roman" w:hAnsi="Times New Roman" w:cs="Times New Roman"/>
          <w:b/>
          <w:lang w:val="lt-LT" w:eastAsia="lt-LT"/>
        </w:rPr>
        <w:tab/>
        <w:t>REGISTRUOTOJO PAVADINIMAS IR ADRESAS</w:t>
      </w:r>
    </w:p>
    <w:p w14:paraId="6F94B4A0" w14:textId="77777777" w:rsidR="00797756" w:rsidRPr="00964115" w:rsidRDefault="00797756" w:rsidP="00797756">
      <w:pPr>
        <w:spacing w:after="0" w:line="240" w:lineRule="auto"/>
        <w:rPr>
          <w:rFonts w:ascii="Times New Roman" w:eastAsia="Calibri" w:hAnsi="Times New Roman" w:cs="Times New Roman"/>
          <w:lang w:val="lt-LT"/>
        </w:rPr>
      </w:pPr>
    </w:p>
    <w:p w14:paraId="5010FCB6"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Grünenthal GmbH</w:t>
      </w:r>
    </w:p>
    <w:p w14:paraId="36BBC429"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 xml:space="preserve">Zieglerstrasse 6 </w:t>
      </w:r>
    </w:p>
    <w:p w14:paraId="5C611DE7"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 xml:space="preserve">52078 Aachen </w:t>
      </w:r>
    </w:p>
    <w:p w14:paraId="14C50BED" w14:textId="77777777" w:rsidR="00553848" w:rsidRPr="00553848" w:rsidRDefault="00553848" w:rsidP="00553848">
      <w:pPr>
        <w:spacing w:after="0" w:line="240" w:lineRule="auto"/>
        <w:ind w:left="567" w:hanging="567"/>
        <w:rPr>
          <w:rFonts w:ascii="Times New Roman" w:eastAsia="Calibri" w:hAnsi="Times New Roman" w:cs="Times New Roman"/>
          <w:lang w:val="lt-LT"/>
        </w:rPr>
      </w:pPr>
      <w:r w:rsidRPr="00553848">
        <w:rPr>
          <w:rFonts w:ascii="Times New Roman" w:hAnsi="Times New Roman" w:cs="Times New Roman"/>
        </w:rPr>
        <w:t>Vokietija</w:t>
      </w:r>
    </w:p>
    <w:p w14:paraId="6F94B4A5"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4A6" w14:textId="77777777" w:rsidR="00797756" w:rsidRPr="00964115" w:rsidRDefault="00797756" w:rsidP="00797756">
      <w:pPr>
        <w:spacing w:after="0" w:line="240" w:lineRule="auto"/>
        <w:rPr>
          <w:rFonts w:ascii="Times New Roman" w:eastAsia="Calibri" w:hAnsi="Times New Roman" w:cs="Times New Roman"/>
          <w:lang w:val="lt-LT"/>
        </w:rPr>
      </w:pPr>
    </w:p>
    <w:p w14:paraId="6F94B4A7"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12.</w:t>
      </w:r>
      <w:r w:rsidRPr="00964115">
        <w:rPr>
          <w:rFonts w:ascii="Times New Roman" w:eastAsia="Times New Roman" w:hAnsi="Times New Roman" w:cs="Times New Roman"/>
          <w:b/>
          <w:lang w:val="lt-LT" w:eastAsia="lt-LT"/>
        </w:rPr>
        <w:tab/>
        <w:t xml:space="preserve">REGISTRACIJOS PAŽYMĖJIMO NUMERIS </w:t>
      </w:r>
    </w:p>
    <w:p w14:paraId="6F94B4A8" w14:textId="77777777" w:rsidR="00797756" w:rsidRPr="00964115" w:rsidRDefault="00797756" w:rsidP="00797756">
      <w:pPr>
        <w:spacing w:after="0" w:line="240" w:lineRule="auto"/>
        <w:rPr>
          <w:rFonts w:ascii="Times New Roman" w:eastAsia="Calibri" w:hAnsi="Times New Roman" w:cs="Times New Roman"/>
          <w:lang w:val="lt-LT"/>
        </w:rPr>
      </w:pPr>
    </w:p>
    <w:p w14:paraId="6F94B4A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N6 - LT/1/10/2302/001 </w:t>
      </w:r>
    </w:p>
    <w:p w14:paraId="6F94B4AA" w14:textId="77777777" w:rsidR="007A0DF0" w:rsidRPr="00964115" w:rsidRDefault="007A0DF0"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N10 - </w:t>
      </w:r>
      <w:r w:rsidR="00595D2D" w:rsidRPr="00964115">
        <w:rPr>
          <w:rFonts w:ascii="Times New Roman" w:eastAsia="Calibri" w:hAnsi="Times New Roman" w:cs="Times New Roman"/>
          <w:lang w:val="lt-LT"/>
        </w:rPr>
        <w:t>LT/1/10/2302/013</w:t>
      </w:r>
    </w:p>
    <w:p w14:paraId="6F94B4A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N20 - LT/1/10/2302/002 </w:t>
      </w:r>
    </w:p>
    <w:p w14:paraId="6F94B4A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N30 - LT/1/10/2302/003 </w:t>
      </w:r>
    </w:p>
    <w:p w14:paraId="6F94B4A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N60 - LT/1/10/2302/004 </w:t>
      </w:r>
    </w:p>
    <w:p w14:paraId="6F94B4A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N100 - LT/1/10/2302/005 </w:t>
      </w:r>
    </w:p>
    <w:p w14:paraId="6F94B4A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N180 - LT/1/10/2302/006 </w:t>
      </w:r>
    </w:p>
    <w:p w14:paraId="6F94B4B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N500 - LT/1/10/2302/007 </w:t>
      </w:r>
    </w:p>
    <w:p w14:paraId="6F94B4B1" w14:textId="77777777" w:rsidR="00797756" w:rsidRPr="00964115" w:rsidRDefault="00797756" w:rsidP="00797756">
      <w:pPr>
        <w:spacing w:after="0" w:line="240" w:lineRule="auto"/>
        <w:rPr>
          <w:rFonts w:ascii="Times New Roman" w:eastAsia="Calibri" w:hAnsi="Times New Roman" w:cs="Times New Roman"/>
          <w:lang w:val="lt-LT"/>
        </w:rPr>
      </w:pPr>
    </w:p>
    <w:p w14:paraId="6F94B4B2" w14:textId="77777777" w:rsidR="00797756" w:rsidRPr="00964115" w:rsidRDefault="00797756" w:rsidP="00797756">
      <w:pPr>
        <w:spacing w:after="0" w:line="240" w:lineRule="auto"/>
        <w:rPr>
          <w:rFonts w:ascii="Times New Roman" w:eastAsia="Calibri" w:hAnsi="Times New Roman" w:cs="Times New Roman"/>
          <w:lang w:val="lt-LT"/>
        </w:rPr>
      </w:pPr>
    </w:p>
    <w:p w14:paraId="6F94B4B3"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13.</w:t>
      </w:r>
      <w:r w:rsidRPr="00964115">
        <w:rPr>
          <w:rFonts w:ascii="Times New Roman" w:eastAsia="Times New Roman" w:hAnsi="Times New Roman" w:cs="Times New Roman"/>
          <w:b/>
          <w:lang w:val="lt-LT" w:eastAsia="lt-LT"/>
        </w:rPr>
        <w:tab/>
        <w:t>SERIJOS NUMERIS</w:t>
      </w:r>
    </w:p>
    <w:p w14:paraId="6F94B4B4" w14:textId="77777777" w:rsidR="00797756" w:rsidRPr="00964115" w:rsidRDefault="00797756" w:rsidP="00797756">
      <w:pPr>
        <w:spacing w:after="0" w:line="240" w:lineRule="auto"/>
        <w:rPr>
          <w:rFonts w:ascii="Times New Roman" w:eastAsia="Calibri" w:hAnsi="Times New Roman" w:cs="Times New Roman"/>
          <w:lang w:val="lt-LT"/>
        </w:rPr>
      </w:pPr>
    </w:p>
    <w:p w14:paraId="6F94B4B5" w14:textId="77777777" w:rsidR="00797756" w:rsidRPr="00964115" w:rsidRDefault="00C758E9" w:rsidP="00797756">
      <w:pPr>
        <w:spacing w:after="0" w:line="240" w:lineRule="auto"/>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Lot</w:t>
      </w:r>
    </w:p>
    <w:p w14:paraId="6F94B4B6" w14:textId="77777777" w:rsidR="00797756" w:rsidRPr="00964115" w:rsidRDefault="00797756" w:rsidP="00797756">
      <w:pPr>
        <w:spacing w:after="0" w:line="240" w:lineRule="auto"/>
        <w:rPr>
          <w:rFonts w:ascii="Times New Roman" w:eastAsia="Calibri" w:hAnsi="Times New Roman" w:cs="Times New Roman"/>
          <w:lang w:val="lt-LT"/>
        </w:rPr>
      </w:pPr>
    </w:p>
    <w:p w14:paraId="6F94B4B7" w14:textId="77777777" w:rsidR="00797756" w:rsidRPr="00964115" w:rsidRDefault="00797756" w:rsidP="00797756">
      <w:pPr>
        <w:spacing w:after="0" w:line="240" w:lineRule="auto"/>
        <w:rPr>
          <w:rFonts w:ascii="Times New Roman" w:eastAsia="Calibri" w:hAnsi="Times New Roman" w:cs="Times New Roman"/>
          <w:lang w:val="lt-LT"/>
        </w:rPr>
      </w:pPr>
    </w:p>
    <w:p w14:paraId="6F94B4B8"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14.</w:t>
      </w:r>
      <w:r w:rsidRPr="00964115">
        <w:rPr>
          <w:rFonts w:ascii="Times New Roman" w:eastAsia="Times New Roman" w:hAnsi="Times New Roman" w:cs="Times New Roman"/>
          <w:b/>
          <w:lang w:val="lt-LT" w:eastAsia="lt-LT"/>
        </w:rPr>
        <w:tab/>
        <w:t>PARDAVIMO (IŠDAVIMO) TVARKA</w:t>
      </w:r>
    </w:p>
    <w:p w14:paraId="6F94B4B9" w14:textId="77777777" w:rsidR="00797756" w:rsidRPr="00964115" w:rsidRDefault="00797756" w:rsidP="00797756">
      <w:pPr>
        <w:spacing w:after="0" w:line="240" w:lineRule="auto"/>
        <w:rPr>
          <w:rFonts w:ascii="Times New Roman" w:eastAsia="Calibri" w:hAnsi="Times New Roman" w:cs="Times New Roman"/>
          <w:lang w:val="lt-LT"/>
        </w:rPr>
      </w:pPr>
    </w:p>
    <w:p w14:paraId="6F94B4BA" w14:textId="11F4C962"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Receptinis </w:t>
      </w:r>
      <w:r w:rsidR="00A03AB2">
        <w:rPr>
          <w:rFonts w:ascii="Times New Roman" w:eastAsia="Calibri" w:hAnsi="Times New Roman" w:cs="Times New Roman"/>
          <w:lang w:val="lt-LT"/>
        </w:rPr>
        <w:t>vaistas</w:t>
      </w:r>
    </w:p>
    <w:p w14:paraId="6F94B4BB" w14:textId="77777777" w:rsidR="00797756" w:rsidRPr="00964115" w:rsidRDefault="00797756" w:rsidP="00797756">
      <w:pPr>
        <w:spacing w:after="0" w:line="240" w:lineRule="auto"/>
        <w:rPr>
          <w:rFonts w:ascii="Times New Roman" w:eastAsia="Calibri" w:hAnsi="Times New Roman" w:cs="Times New Roman"/>
          <w:lang w:val="lt-LT"/>
        </w:rPr>
      </w:pPr>
    </w:p>
    <w:p w14:paraId="6F94B4BC" w14:textId="77777777" w:rsidR="00797756" w:rsidRPr="00964115" w:rsidRDefault="00797756" w:rsidP="00797756">
      <w:pPr>
        <w:spacing w:after="0" w:line="240" w:lineRule="auto"/>
        <w:rPr>
          <w:rFonts w:ascii="Times New Roman" w:eastAsia="Calibri" w:hAnsi="Times New Roman" w:cs="Times New Roman"/>
          <w:lang w:val="lt-LT"/>
        </w:rPr>
      </w:pPr>
    </w:p>
    <w:p w14:paraId="6F94B4BD"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15.</w:t>
      </w:r>
      <w:r w:rsidRPr="00964115">
        <w:rPr>
          <w:rFonts w:ascii="Times New Roman" w:eastAsia="Times New Roman" w:hAnsi="Times New Roman" w:cs="Times New Roman"/>
          <w:b/>
          <w:lang w:val="lt-LT" w:eastAsia="lt-LT"/>
        </w:rPr>
        <w:tab/>
        <w:t>VARTOJIMO INSTRUKCIJA</w:t>
      </w:r>
    </w:p>
    <w:p w14:paraId="6F94B4BE" w14:textId="77777777" w:rsidR="00797756" w:rsidRPr="00964115" w:rsidRDefault="00797756" w:rsidP="00797756">
      <w:pPr>
        <w:spacing w:after="0" w:line="240" w:lineRule="auto"/>
        <w:rPr>
          <w:rFonts w:ascii="Times New Roman" w:eastAsia="Calibri" w:hAnsi="Times New Roman" w:cs="Times New Roman"/>
          <w:lang w:val="lt-LT"/>
        </w:rPr>
      </w:pPr>
    </w:p>
    <w:p w14:paraId="6F94B4BF" w14:textId="77777777" w:rsidR="00797756" w:rsidRPr="00964115" w:rsidRDefault="00797756" w:rsidP="00797756">
      <w:pPr>
        <w:spacing w:after="0" w:line="240" w:lineRule="auto"/>
        <w:rPr>
          <w:rFonts w:ascii="Times New Roman" w:eastAsia="Calibri" w:hAnsi="Times New Roman" w:cs="Times New Roman"/>
          <w:lang w:val="lt-LT"/>
        </w:rPr>
      </w:pPr>
    </w:p>
    <w:p w14:paraId="6F94B4C0"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16.</w:t>
      </w:r>
      <w:r w:rsidRPr="00964115">
        <w:rPr>
          <w:rFonts w:ascii="Times New Roman" w:eastAsia="Times New Roman" w:hAnsi="Times New Roman" w:cs="Times New Roman"/>
          <w:b/>
          <w:lang w:val="lt-LT" w:eastAsia="lt-LT"/>
        </w:rPr>
        <w:tab/>
        <w:t xml:space="preserve">INFORMACIJA BRAILIO RAŠTU </w:t>
      </w:r>
    </w:p>
    <w:p w14:paraId="6F94B4C1" w14:textId="77777777" w:rsidR="00797756" w:rsidRPr="00964115" w:rsidRDefault="00797756" w:rsidP="00797756">
      <w:pPr>
        <w:spacing w:after="0" w:line="240" w:lineRule="auto"/>
        <w:rPr>
          <w:rFonts w:ascii="Times New Roman" w:eastAsia="Calibri" w:hAnsi="Times New Roman" w:cs="Times New Roman"/>
          <w:lang w:val="lt-LT"/>
        </w:rPr>
      </w:pPr>
    </w:p>
    <w:p w14:paraId="6F94B4C2" w14:textId="77777777" w:rsidR="00797756" w:rsidRPr="00964115" w:rsidRDefault="00797756" w:rsidP="00797756">
      <w:pPr>
        <w:spacing w:after="0" w:line="240" w:lineRule="auto"/>
        <w:rPr>
          <w:rFonts w:ascii="Times New Roman" w:eastAsia="Calibri" w:hAnsi="Times New Roman" w:cs="Times New Roman"/>
          <w:shd w:val="clear" w:color="auto" w:fill="CCCCCC"/>
          <w:lang w:val="lt-LT"/>
        </w:rPr>
      </w:pPr>
    </w:p>
    <w:p w14:paraId="6F94B4C3"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17.</w:t>
      </w:r>
      <w:r w:rsidRPr="00964115">
        <w:rPr>
          <w:rFonts w:ascii="Times New Roman" w:eastAsia="Times New Roman" w:hAnsi="Times New Roman" w:cs="Times New Roman"/>
          <w:b/>
          <w:lang w:val="lt-LT" w:eastAsia="lt-LT"/>
        </w:rPr>
        <w:tab/>
        <w:t>UNIKALUS IDENTIFIKATORIUS – 2D BRŪKŠNINIS KODAS</w:t>
      </w:r>
    </w:p>
    <w:p w14:paraId="6F94B4C4" w14:textId="77777777" w:rsidR="00797756" w:rsidRPr="00964115" w:rsidRDefault="00797756" w:rsidP="00797756">
      <w:pPr>
        <w:spacing w:after="0" w:line="240" w:lineRule="auto"/>
        <w:rPr>
          <w:rFonts w:ascii="Times New Roman" w:eastAsia="Calibri" w:hAnsi="Times New Roman" w:cs="Times New Roman"/>
          <w:lang w:val="lt-LT"/>
        </w:rPr>
      </w:pPr>
    </w:p>
    <w:p w14:paraId="6F94B4C5" w14:textId="77777777" w:rsidR="00797756" w:rsidRPr="00964115" w:rsidRDefault="00797756" w:rsidP="00797756">
      <w:pPr>
        <w:spacing w:after="0" w:line="240" w:lineRule="auto"/>
        <w:rPr>
          <w:rFonts w:ascii="Times New Roman" w:eastAsia="Calibri" w:hAnsi="Times New Roman" w:cs="Times New Roman"/>
          <w:lang w:val="lt-LT"/>
        </w:rPr>
      </w:pPr>
    </w:p>
    <w:p w14:paraId="6F94B4C6"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18.</w:t>
      </w:r>
      <w:r w:rsidRPr="00964115">
        <w:rPr>
          <w:rFonts w:ascii="Times New Roman" w:eastAsia="Times New Roman" w:hAnsi="Times New Roman" w:cs="Times New Roman"/>
          <w:b/>
          <w:lang w:val="lt-LT" w:eastAsia="lt-LT"/>
        </w:rPr>
        <w:tab/>
        <w:t>UNIKALUS IDENTIFIKATORIUS – ŽMONĖMS SUPRANTAMI DUOMENYS</w:t>
      </w:r>
    </w:p>
    <w:p w14:paraId="6F94B4C7" w14:textId="77777777" w:rsidR="00797756" w:rsidRPr="00964115" w:rsidRDefault="00797756" w:rsidP="00797756">
      <w:pPr>
        <w:spacing w:after="0" w:line="240" w:lineRule="auto"/>
        <w:rPr>
          <w:rFonts w:ascii="Times New Roman" w:eastAsia="Calibri" w:hAnsi="Times New Roman" w:cs="Times New Roman"/>
          <w:lang w:val="lt-LT"/>
        </w:rPr>
      </w:pPr>
    </w:p>
    <w:p w14:paraId="6F94B4C8" w14:textId="77777777" w:rsidR="00797756" w:rsidRPr="00964115" w:rsidRDefault="00797756" w:rsidP="00797756">
      <w:pPr>
        <w:spacing w:after="0" w:line="240" w:lineRule="auto"/>
        <w:rPr>
          <w:rFonts w:ascii="Times New Roman" w:eastAsia="Calibri" w:hAnsi="Times New Roman" w:cs="Times New Roman"/>
          <w:lang w:val="lt-LT"/>
        </w:rPr>
      </w:pPr>
    </w:p>
    <w:p w14:paraId="6F94B4C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br w:type="page"/>
      </w:r>
    </w:p>
    <w:p w14:paraId="6F94B4CA"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964115">
        <w:rPr>
          <w:rFonts w:ascii="Times New Roman" w:eastAsia="Times New Roman" w:hAnsi="Times New Roman" w:cs="Times New Roman"/>
          <w:b/>
          <w:lang w:val="lt-LT" w:eastAsia="lt-LT"/>
        </w:rPr>
        <w:t xml:space="preserve">MINIMALI </w:t>
      </w:r>
      <w:r w:rsidRPr="00964115">
        <w:rPr>
          <w:rFonts w:ascii="Times New Roman" w:eastAsia="Times New Roman" w:hAnsi="Times New Roman" w:cs="Times New Roman"/>
          <w:b/>
          <w:caps/>
          <w:lang w:val="lt-LT" w:eastAsia="lt-LT"/>
        </w:rPr>
        <w:t xml:space="preserve">informacija ant </w:t>
      </w:r>
      <w:r w:rsidRPr="00964115">
        <w:rPr>
          <w:rFonts w:ascii="Times New Roman" w:eastAsia="Times New Roman" w:hAnsi="Times New Roman" w:cs="Times New Roman"/>
          <w:b/>
          <w:lang w:val="lt-LT" w:eastAsia="lt-LT"/>
        </w:rPr>
        <w:t>LIZDINIŲ PLOKŠTELIŲ ARBA DVISLUOKSNIŲ JUOSTELIŲ</w:t>
      </w:r>
    </w:p>
    <w:p w14:paraId="6F94B4CB"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p>
    <w:p w14:paraId="6F94B4CC"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Aliuminio lizdinė plokštelė</w:t>
      </w:r>
    </w:p>
    <w:p w14:paraId="6F94B4CD" w14:textId="77777777" w:rsidR="00797756" w:rsidRPr="00964115" w:rsidRDefault="00797756" w:rsidP="00797756">
      <w:pPr>
        <w:spacing w:after="0" w:line="240" w:lineRule="auto"/>
        <w:rPr>
          <w:rFonts w:ascii="Times New Roman" w:eastAsia="Calibri" w:hAnsi="Times New Roman" w:cs="Times New Roman"/>
          <w:lang w:val="lt-LT"/>
        </w:rPr>
      </w:pPr>
    </w:p>
    <w:p w14:paraId="6F94B4CE" w14:textId="77777777" w:rsidR="00797756" w:rsidRPr="00964115" w:rsidRDefault="00797756" w:rsidP="00797756">
      <w:pPr>
        <w:spacing w:after="0" w:line="240" w:lineRule="auto"/>
        <w:rPr>
          <w:rFonts w:ascii="Times New Roman" w:eastAsia="Calibri" w:hAnsi="Times New Roman" w:cs="Times New Roman"/>
          <w:lang w:val="lt-LT"/>
        </w:rPr>
      </w:pPr>
    </w:p>
    <w:p w14:paraId="6F94B4CF"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1.</w:t>
      </w:r>
      <w:r w:rsidRPr="00964115">
        <w:rPr>
          <w:rFonts w:ascii="Times New Roman" w:eastAsia="Times New Roman" w:hAnsi="Times New Roman" w:cs="Times New Roman"/>
          <w:b/>
          <w:lang w:val="lt-LT" w:eastAsia="lt-LT"/>
        </w:rPr>
        <w:tab/>
        <w:t>VAISTINIO PREPARATO PAVADINIMAS</w:t>
      </w:r>
    </w:p>
    <w:p w14:paraId="6F94B4D0" w14:textId="77777777" w:rsidR="00797756" w:rsidRPr="00964115" w:rsidRDefault="00797756" w:rsidP="00797756">
      <w:pPr>
        <w:spacing w:after="0" w:line="240" w:lineRule="auto"/>
        <w:rPr>
          <w:rFonts w:ascii="Times New Roman" w:eastAsia="Calibri" w:hAnsi="Times New Roman" w:cs="Times New Roman"/>
          <w:lang w:val="lt-LT"/>
        </w:rPr>
      </w:pPr>
    </w:p>
    <w:p w14:paraId="6F94B4D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500 mg/20 mg modifikuoto atpalaidavimo tabletės</w:t>
      </w:r>
    </w:p>
    <w:p w14:paraId="6F94B4D2" w14:textId="77777777" w:rsidR="00797756" w:rsidRPr="00964115" w:rsidRDefault="00797756" w:rsidP="00797756">
      <w:pPr>
        <w:spacing w:after="0" w:line="240" w:lineRule="auto"/>
        <w:rPr>
          <w:rFonts w:ascii="Times New Roman" w:eastAsia="Calibri" w:hAnsi="Times New Roman" w:cs="Times New Roman"/>
          <w:lang w:val="lt-LT"/>
        </w:rPr>
      </w:pPr>
    </w:p>
    <w:p w14:paraId="6F94B4D3" w14:textId="77777777" w:rsidR="00797756" w:rsidRPr="00964115" w:rsidRDefault="00C758E9"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w:t>
      </w:r>
      <w:r w:rsidR="00797756" w:rsidRPr="00964115">
        <w:rPr>
          <w:rFonts w:ascii="Times New Roman" w:eastAsia="Calibri" w:hAnsi="Times New Roman" w:cs="Times New Roman"/>
          <w:lang w:val="lt-LT"/>
        </w:rPr>
        <w:t>aproxenum/</w:t>
      </w:r>
      <w:r w:rsidRPr="00964115">
        <w:rPr>
          <w:rFonts w:ascii="Times New Roman" w:eastAsia="Calibri" w:hAnsi="Times New Roman" w:cs="Times New Roman"/>
          <w:lang w:val="lt-LT"/>
        </w:rPr>
        <w:t>e</w:t>
      </w:r>
      <w:r w:rsidR="00797756" w:rsidRPr="00964115">
        <w:rPr>
          <w:rFonts w:ascii="Times New Roman" w:eastAsia="Calibri" w:hAnsi="Times New Roman" w:cs="Times New Roman"/>
          <w:lang w:val="lt-LT"/>
        </w:rPr>
        <w:t>someprazolum</w:t>
      </w:r>
    </w:p>
    <w:p w14:paraId="6F94B4D4" w14:textId="77777777" w:rsidR="00797756" w:rsidRPr="00964115" w:rsidRDefault="00797756" w:rsidP="00797756">
      <w:pPr>
        <w:spacing w:after="0" w:line="240" w:lineRule="auto"/>
        <w:rPr>
          <w:rFonts w:ascii="Times New Roman" w:eastAsia="Calibri" w:hAnsi="Times New Roman" w:cs="Times New Roman"/>
          <w:lang w:val="lt-LT"/>
        </w:rPr>
      </w:pPr>
    </w:p>
    <w:p w14:paraId="6F94B4D5" w14:textId="77777777" w:rsidR="00797756" w:rsidRPr="00964115" w:rsidRDefault="00797756" w:rsidP="00797756">
      <w:pPr>
        <w:spacing w:after="0" w:line="240" w:lineRule="auto"/>
        <w:rPr>
          <w:rFonts w:ascii="Times New Roman" w:eastAsia="Calibri" w:hAnsi="Times New Roman" w:cs="Times New Roman"/>
          <w:lang w:val="lt-LT"/>
        </w:rPr>
      </w:pPr>
    </w:p>
    <w:p w14:paraId="6F94B4D6"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2.</w:t>
      </w:r>
      <w:r w:rsidRPr="00964115">
        <w:rPr>
          <w:rFonts w:ascii="Times New Roman" w:eastAsia="Times New Roman" w:hAnsi="Times New Roman" w:cs="Times New Roman"/>
          <w:b/>
          <w:lang w:val="lt-LT" w:eastAsia="lt-LT"/>
        </w:rPr>
        <w:tab/>
        <w:t>REGISTRUOTOJO PAVADINIMAS</w:t>
      </w:r>
    </w:p>
    <w:p w14:paraId="6F94B4D7" w14:textId="77777777" w:rsidR="00797756" w:rsidRPr="00964115" w:rsidRDefault="00797756" w:rsidP="00797756">
      <w:pPr>
        <w:spacing w:after="0" w:line="240" w:lineRule="auto"/>
        <w:rPr>
          <w:rFonts w:ascii="Times New Roman" w:eastAsia="Calibri" w:hAnsi="Times New Roman" w:cs="Times New Roman"/>
          <w:lang w:val="lt-LT"/>
        </w:rPr>
      </w:pPr>
    </w:p>
    <w:p w14:paraId="6CDB6AA0"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Grünenthal GmbH</w:t>
      </w:r>
    </w:p>
    <w:p w14:paraId="6F94B4D9" w14:textId="77777777" w:rsidR="00797756" w:rsidRPr="00964115" w:rsidRDefault="00797756" w:rsidP="00797756">
      <w:pPr>
        <w:spacing w:after="0" w:line="240" w:lineRule="auto"/>
        <w:rPr>
          <w:rFonts w:ascii="Times New Roman" w:eastAsia="Calibri" w:hAnsi="Times New Roman" w:cs="Times New Roman"/>
          <w:lang w:val="lt-LT"/>
        </w:rPr>
      </w:pPr>
    </w:p>
    <w:p w14:paraId="6F94B4DA" w14:textId="77777777" w:rsidR="00797756" w:rsidRPr="00964115" w:rsidRDefault="00797756" w:rsidP="00797756">
      <w:pPr>
        <w:spacing w:after="0" w:line="240" w:lineRule="auto"/>
        <w:rPr>
          <w:rFonts w:ascii="Times New Roman" w:eastAsia="Calibri" w:hAnsi="Times New Roman" w:cs="Times New Roman"/>
          <w:lang w:val="lt-LT"/>
        </w:rPr>
      </w:pPr>
    </w:p>
    <w:p w14:paraId="6F94B4DB"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3.</w:t>
      </w:r>
      <w:r w:rsidRPr="00964115">
        <w:rPr>
          <w:rFonts w:ascii="Times New Roman" w:eastAsia="Times New Roman" w:hAnsi="Times New Roman" w:cs="Times New Roman"/>
          <w:b/>
          <w:lang w:val="lt-LT" w:eastAsia="lt-LT"/>
        </w:rPr>
        <w:tab/>
        <w:t>TINKAMUMO LAIKAS</w:t>
      </w:r>
    </w:p>
    <w:p w14:paraId="6F94B4DC" w14:textId="77777777" w:rsidR="00797756" w:rsidRPr="00964115" w:rsidRDefault="00797756" w:rsidP="00797756">
      <w:pPr>
        <w:spacing w:after="0" w:line="240" w:lineRule="auto"/>
        <w:rPr>
          <w:rFonts w:ascii="Times New Roman" w:eastAsia="Calibri" w:hAnsi="Times New Roman" w:cs="Times New Roman"/>
          <w:lang w:val="lt-LT"/>
        </w:rPr>
      </w:pPr>
    </w:p>
    <w:p w14:paraId="6F94B4DD" w14:textId="77777777" w:rsidR="00797756" w:rsidRPr="00964115" w:rsidRDefault="00797756" w:rsidP="00797756">
      <w:pPr>
        <w:spacing w:after="0" w:line="240" w:lineRule="auto"/>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EXP</w:t>
      </w:r>
      <w:r w:rsidRPr="00964115">
        <w:rPr>
          <w:rFonts w:ascii="Times New Roman" w:eastAsia="Calibri" w:hAnsi="Times New Roman" w:cs="Times New Roman"/>
          <w:lang w:val="lt-LT"/>
        </w:rPr>
        <w:t xml:space="preserve"> MMMM-mm</w:t>
      </w:r>
    </w:p>
    <w:p w14:paraId="6F94B4DE" w14:textId="77777777" w:rsidR="00797756" w:rsidRPr="00964115" w:rsidRDefault="00797756" w:rsidP="00797756">
      <w:pPr>
        <w:spacing w:after="0" w:line="240" w:lineRule="auto"/>
        <w:rPr>
          <w:rFonts w:ascii="Times New Roman" w:eastAsia="Calibri" w:hAnsi="Times New Roman" w:cs="Times New Roman"/>
          <w:lang w:val="lt-LT"/>
        </w:rPr>
      </w:pPr>
    </w:p>
    <w:p w14:paraId="6F94B4DF" w14:textId="77777777" w:rsidR="00797756" w:rsidRPr="00964115" w:rsidRDefault="00797756" w:rsidP="00797756">
      <w:pPr>
        <w:spacing w:after="0" w:line="240" w:lineRule="auto"/>
        <w:rPr>
          <w:rFonts w:ascii="Times New Roman" w:eastAsia="Calibri" w:hAnsi="Times New Roman" w:cs="Times New Roman"/>
          <w:lang w:val="lt-LT"/>
        </w:rPr>
      </w:pPr>
    </w:p>
    <w:p w14:paraId="6F94B4E0"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4.</w:t>
      </w:r>
      <w:r w:rsidRPr="00964115">
        <w:rPr>
          <w:rFonts w:ascii="Times New Roman" w:eastAsia="Times New Roman" w:hAnsi="Times New Roman" w:cs="Times New Roman"/>
          <w:b/>
          <w:lang w:val="lt-LT" w:eastAsia="lt-LT"/>
        </w:rPr>
        <w:tab/>
        <w:t>SERIJOS NUMERIS</w:t>
      </w:r>
    </w:p>
    <w:p w14:paraId="6F94B4E1" w14:textId="77777777" w:rsidR="00797756" w:rsidRPr="00964115" w:rsidRDefault="00797756" w:rsidP="00797756">
      <w:pPr>
        <w:spacing w:after="0" w:line="240" w:lineRule="auto"/>
        <w:rPr>
          <w:rFonts w:ascii="Times New Roman" w:eastAsia="Calibri" w:hAnsi="Times New Roman" w:cs="Times New Roman"/>
          <w:lang w:val="lt-LT"/>
        </w:rPr>
      </w:pPr>
    </w:p>
    <w:p w14:paraId="6F94B4E2" w14:textId="77777777" w:rsidR="00797756" w:rsidRPr="00964115" w:rsidRDefault="00797756" w:rsidP="00797756">
      <w:pPr>
        <w:spacing w:after="0" w:line="240" w:lineRule="auto"/>
        <w:rPr>
          <w:rFonts w:ascii="Times New Roman" w:eastAsia="Calibri" w:hAnsi="Times New Roman" w:cs="Times New Roman"/>
          <w:highlight w:val="lightGray"/>
          <w:lang w:val="lt-LT"/>
        </w:rPr>
      </w:pPr>
      <w:r w:rsidRPr="00964115">
        <w:rPr>
          <w:rFonts w:ascii="Times New Roman" w:eastAsia="Calibri" w:hAnsi="Times New Roman" w:cs="Times New Roman"/>
          <w:highlight w:val="lightGray"/>
          <w:lang w:val="lt-LT"/>
        </w:rPr>
        <w:t>Lot</w:t>
      </w:r>
    </w:p>
    <w:p w14:paraId="6F94B4E3" w14:textId="77777777" w:rsidR="00797756" w:rsidRPr="00964115" w:rsidRDefault="00797756" w:rsidP="00797756">
      <w:pPr>
        <w:spacing w:after="0" w:line="240" w:lineRule="auto"/>
        <w:rPr>
          <w:rFonts w:ascii="Times New Roman" w:eastAsia="Calibri" w:hAnsi="Times New Roman" w:cs="Times New Roman"/>
          <w:lang w:val="lt-LT"/>
        </w:rPr>
      </w:pPr>
    </w:p>
    <w:p w14:paraId="6F94B4E4" w14:textId="77777777" w:rsidR="00797756" w:rsidRPr="00964115" w:rsidRDefault="00797756" w:rsidP="00797756">
      <w:pPr>
        <w:spacing w:after="0" w:line="240" w:lineRule="auto"/>
        <w:rPr>
          <w:rFonts w:ascii="Times New Roman" w:eastAsia="Calibri" w:hAnsi="Times New Roman" w:cs="Times New Roman"/>
          <w:lang w:val="lt-LT"/>
        </w:rPr>
      </w:pPr>
    </w:p>
    <w:p w14:paraId="6F94B4E5" w14:textId="77777777" w:rsidR="00797756" w:rsidRPr="00964115"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964115">
        <w:rPr>
          <w:rFonts w:ascii="Times New Roman" w:eastAsia="Times New Roman" w:hAnsi="Times New Roman" w:cs="Times New Roman"/>
          <w:b/>
          <w:lang w:val="lt-LT" w:eastAsia="lt-LT"/>
        </w:rPr>
        <w:t>5.</w:t>
      </w:r>
      <w:r w:rsidRPr="00964115">
        <w:rPr>
          <w:rFonts w:ascii="Times New Roman" w:eastAsia="Times New Roman" w:hAnsi="Times New Roman" w:cs="Times New Roman"/>
          <w:b/>
          <w:lang w:val="lt-LT" w:eastAsia="lt-LT"/>
        </w:rPr>
        <w:tab/>
        <w:t>KITA</w:t>
      </w:r>
    </w:p>
    <w:p w14:paraId="6F94B4E6" w14:textId="77777777" w:rsidR="00797756" w:rsidRPr="00964115" w:rsidRDefault="00797756" w:rsidP="00797756">
      <w:pPr>
        <w:spacing w:after="0" w:line="240" w:lineRule="auto"/>
        <w:jc w:val="center"/>
        <w:rPr>
          <w:rFonts w:ascii="Times New Roman" w:eastAsia="Calibri" w:hAnsi="Times New Roman" w:cs="Times New Roman"/>
          <w:lang w:val="lt-LT"/>
        </w:rPr>
      </w:pPr>
    </w:p>
    <w:p w14:paraId="6F94B4E7" w14:textId="77777777" w:rsidR="00797756" w:rsidRPr="00964115" w:rsidRDefault="00797756" w:rsidP="00797756">
      <w:pPr>
        <w:spacing w:after="0" w:line="240" w:lineRule="auto"/>
        <w:jc w:val="center"/>
        <w:rPr>
          <w:rFonts w:ascii="Times New Roman" w:eastAsia="Calibri" w:hAnsi="Times New Roman" w:cs="Times New Roman"/>
          <w:lang w:val="lt-LT"/>
        </w:rPr>
      </w:pPr>
      <w:r w:rsidRPr="00964115">
        <w:rPr>
          <w:rFonts w:ascii="Times New Roman" w:eastAsia="Calibri" w:hAnsi="Times New Roman" w:cs="Times New Roman"/>
          <w:lang w:val="lt-LT"/>
        </w:rPr>
        <w:br w:type="page"/>
      </w:r>
    </w:p>
    <w:p w14:paraId="6F94B4E8"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E9"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EA"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EB"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EC"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ED"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EE"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EF"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0"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1"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2"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3"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4"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5"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6"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7"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8"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9"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A"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B"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C"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D"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E" w14:textId="77777777" w:rsidR="00797756" w:rsidRPr="00964115" w:rsidRDefault="00797756" w:rsidP="00797756">
      <w:pPr>
        <w:spacing w:after="0" w:line="240" w:lineRule="auto"/>
        <w:jc w:val="center"/>
        <w:outlineLvl w:val="0"/>
        <w:rPr>
          <w:rFonts w:ascii="Times New Roman" w:eastAsia="Calibri" w:hAnsi="Times New Roman" w:cs="Times New Roman"/>
          <w:b/>
          <w:lang w:val="lt-LT"/>
        </w:rPr>
      </w:pPr>
    </w:p>
    <w:p w14:paraId="6F94B4FF" w14:textId="77777777" w:rsidR="00797756" w:rsidRPr="00964115" w:rsidRDefault="00797756" w:rsidP="00797756">
      <w:pPr>
        <w:spacing w:after="0" w:line="240" w:lineRule="auto"/>
        <w:jc w:val="center"/>
        <w:outlineLvl w:val="0"/>
        <w:rPr>
          <w:rFonts w:ascii="Times New Roman" w:eastAsia="Calibri" w:hAnsi="Times New Roman" w:cs="Times New Roman"/>
          <w:lang w:val="lt-LT"/>
        </w:rPr>
      </w:pPr>
      <w:r w:rsidRPr="00964115">
        <w:rPr>
          <w:rFonts w:ascii="Times New Roman" w:eastAsia="Calibri" w:hAnsi="Times New Roman" w:cs="Times New Roman"/>
          <w:b/>
          <w:lang w:val="lt-LT"/>
        </w:rPr>
        <w:t>B. PAKUOTĖS LAPELIS</w:t>
      </w:r>
    </w:p>
    <w:p w14:paraId="6F94B50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br w:type="page"/>
      </w:r>
    </w:p>
    <w:p w14:paraId="6F94B501" w14:textId="77777777" w:rsidR="00797756" w:rsidRPr="00964115" w:rsidRDefault="00797756" w:rsidP="00797756">
      <w:pPr>
        <w:spacing w:after="0" w:line="240" w:lineRule="auto"/>
        <w:jc w:val="center"/>
        <w:rPr>
          <w:rFonts w:ascii="Times New Roman" w:eastAsia="Calibri" w:hAnsi="Times New Roman" w:cs="Times New Roman"/>
          <w:lang w:val="lt-LT"/>
        </w:rPr>
      </w:pPr>
      <w:r w:rsidRPr="00964115">
        <w:rPr>
          <w:rFonts w:ascii="Times New Roman" w:eastAsia="Calibri" w:hAnsi="Times New Roman" w:cs="Times New Roman"/>
          <w:b/>
          <w:lang w:val="lt-LT"/>
        </w:rPr>
        <w:t>Pakuotės lapelis: informacija vartotojui</w:t>
      </w:r>
    </w:p>
    <w:p w14:paraId="6F94B502" w14:textId="77777777" w:rsidR="00797756" w:rsidRPr="00964115" w:rsidRDefault="00797756" w:rsidP="00797756">
      <w:pPr>
        <w:spacing w:after="0" w:line="240" w:lineRule="auto"/>
        <w:rPr>
          <w:rFonts w:ascii="Times New Roman" w:eastAsia="Calibri" w:hAnsi="Times New Roman" w:cs="Times New Roman"/>
          <w:lang w:val="lt-LT"/>
        </w:rPr>
      </w:pPr>
    </w:p>
    <w:p w14:paraId="6F94B503" w14:textId="77777777" w:rsidR="00797756" w:rsidRPr="00964115" w:rsidRDefault="00797756" w:rsidP="00797756">
      <w:pPr>
        <w:spacing w:after="0" w:line="240" w:lineRule="auto"/>
        <w:jc w:val="center"/>
        <w:rPr>
          <w:rFonts w:ascii="Times New Roman" w:eastAsia="Calibri" w:hAnsi="Times New Roman" w:cs="Times New Roman"/>
          <w:b/>
          <w:lang w:val="lt-LT"/>
        </w:rPr>
      </w:pPr>
      <w:r w:rsidRPr="00964115">
        <w:rPr>
          <w:rFonts w:ascii="Times New Roman" w:eastAsia="Calibri" w:hAnsi="Times New Roman" w:cs="Times New Roman"/>
          <w:b/>
          <w:lang w:val="lt-LT"/>
        </w:rPr>
        <w:t>Vimovo 500 mg/20 mg modifikuoto atpalaidavimo tabletės</w:t>
      </w:r>
    </w:p>
    <w:p w14:paraId="6F94B504" w14:textId="76DE6168" w:rsidR="00797756" w:rsidRPr="00964115" w:rsidRDefault="00A03AB2" w:rsidP="00797756">
      <w:pPr>
        <w:spacing w:after="0" w:line="240" w:lineRule="auto"/>
        <w:jc w:val="center"/>
        <w:rPr>
          <w:rFonts w:ascii="Times New Roman" w:eastAsia="Calibri" w:hAnsi="Times New Roman" w:cs="Times New Roman"/>
          <w:lang w:val="lt-LT"/>
        </w:rPr>
      </w:pPr>
      <w:r>
        <w:rPr>
          <w:rFonts w:ascii="Times New Roman" w:hAnsi="Times New Roman"/>
          <w:lang w:val="lt-LT"/>
        </w:rPr>
        <w:t>n</w:t>
      </w:r>
      <w:r w:rsidR="00507F26" w:rsidRPr="00964115">
        <w:rPr>
          <w:rFonts w:ascii="Times New Roman" w:hAnsi="Times New Roman"/>
          <w:lang w:val="lt-LT"/>
        </w:rPr>
        <w:t>aproksenas</w:t>
      </w:r>
      <w:r w:rsidR="00797756" w:rsidRPr="00964115">
        <w:rPr>
          <w:rFonts w:ascii="Times New Roman" w:eastAsia="Calibri" w:hAnsi="Times New Roman" w:cs="Times New Roman"/>
          <w:lang w:val="lt-LT"/>
        </w:rPr>
        <w:t xml:space="preserve"> ir ezomeprazolas</w:t>
      </w:r>
    </w:p>
    <w:p w14:paraId="6F94B505" w14:textId="77777777" w:rsidR="00797756" w:rsidRPr="00964115" w:rsidRDefault="00797756" w:rsidP="00797756">
      <w:pPr>
        <w:spacing w:after="0" w:line="240" w:lineRule="auto"/>
        <w:rPr>
          <w:rFonts w:ascii="Times New Roman" w:eastAsia="Calibri" w:hAnsi="Times New Roman" w:cs="Times New Roman"/>
          <w:lang w:val="lt-LT"/>
        </w:rPr>
      </w:pPr>
    </w:p>
    <w:p w14:paraId="6F94B506"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Atidžiai perskaitykite visą šį lapelį, prieš pradėdami vartoti vaistą, nes jame pateikiama Jums svarbi informacija.</w:t>
      </w:r>
    </w:p>
    <w:p w14:paraId="6F94B50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Neišmeskite šio lapelio, nes vėl gali prireikti jį perskaityti.</w:t>
      </w:r>
    </w:p>
    <w:p w14:paraId="6F94B508" w14:textId="77777777" w:rsidR="00797756" w:rsidRPr="00964115" w:rsidRDefault="00797756" w:rsidP="00797756">
      <w:pPr>
        <w:numPr>
          <w:ilvl w:val="0"/>
          <w:numId w:val="30"/>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Jeigu kiltų daugiau klausimų, kreipkitės į gydytoją arba vaistininką.</w:t>
      </w:r>
    </w:p>
    <w:p w14:paraId="6F94B509" w14:textId="77777777" w:rsidR="00797756" w:rsidRPr="00964115" w:rsidRDefault="00797756" w:rsidP="00797756">
      <w:pPr>
        <w:numPr>
          <w:ilvl w:val="0"/>
          <w:numId w:val="30"/>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14:paraId="6F94B50A" w14:textId="77777777" w:rsidR="00797756" w:rsidRPr="00964115" w:rsidRDefault="00797756" w:rsidP="00797756">
      <w:pPr>
        <w:numPr>
          <w:ilvl w:val="0"/>
          <w:numId w:val="30"/>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Jeigu pasireiškė šalutinis poveikis (net jeigu jis šiame lapelyje nenurodytas), kreipkitės į gydytoją arba vaistininką. Žr. 4 skyrių.</w:t>
      </w:r>
    </w:p>
    <w:p w14:paraId="6F94B50B" w14:textId="77777777" w:rsidR="00797756" w:rsidRPr="00964115" w:rsidRDefault="00797756" w:rsidP="00797756">
      <w:pPr>
        <w:spacing w:after="0" w:line="240" w:lineRule="auto"/>
        <w:rPr>
          <w:rFonts w:ascii="Times New Roman" w:eastAsia="Calibri" w:hAnsi="Times New Roman" w:cs="Times New Roman"/>
          <w:lang w:val="lt-LT"/>
        </w:rPr>
      </w:pPr>
    </w:p>
    <w:p w14:paraId="6F94B50C"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Apie ką rašoma šiame lapelyje?</w:t>
      </w:r>
    </w:p>
    <w:p w14:paraId="6F94B50D" w14:textId="77777777" w:rsidR="00797756" w:rsidRPr="00964115" w:rsidRDefault="00797756" w:rsidP="00797756">
      <w:pPr>
        <w:spacing w:after="0" w:line="240" w:lineRule="auto"/>
        <w:rPr>
          <w:rFonts w:ascii="Times New Roman" w:eastAsia="Calibri" w:hAnsi="Times New Roman" w:cs="Times New Roman"/>
          <w:lang w:val="lt-LT"/>
        </w:rPr>
      </w:pPr>
    </w:p>
    <w:p w14:paraId="6F94B50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1.</w:t>
      </w:r>
      <w:r w:rsidRPr="00964115">
        <w:rPr>
          <w:rFonts w:ascii="Times New Roman" w:eastAsia="Calibri" w:hAnsi="Times New Roman" w:cs="Times New Roman"/>
          <w:lang w:val="lt-LT"/>
        </w:rPr>
        <w:tab/>
        <w:t>Kas yra Vimovo ir kam jis vartojamas</w:t>
      </w:r>
    </w:p>
    <w:p w14:paraId="6F94B50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2.</w:t>
      </w:r>
      <w:r w:rsidRPr="00964115">
        <w:rPr>
          <w:rFonts w:ascii="Times New Roman" w:eastAsia="Calibri" w:hAnsi="Times New Roman" w:cs="Times New Roman"/>
          <w:lang w:val="lt-LT"/>
        </w:rPr>
        <w:tab/>
        <w:t>Kas žinotina prieš vartojant Vimovo</w:t>
      </w:r>
    </w:p>
    <w:p w14:paraId="6F94B51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3.</w:t>
      </w:r>
      <w:r w:rsidRPr="00964115">
        <w:rPr>
          <w:rFonts w:ascii="Times New Roman" w:eastAsia="Calibri" w:hAnsi="Times New Roman" w:cs="Times New Roman"/>
          <w:lang w:val="lt-LT"/>
        </w:rPr>
        <w:tab/>
        <w:t>Kaip vartoti Vimovo</w:t>
      </w:r>
    </w:p>
    <w:p w14:paraId="6F94B511"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4.</w:t>
      </w:r>
      <w:r w:rsidRPr="00964115">
        <w:rPr>
          <w:rFonts w:ascii="Times New Roman" w:eastAsia="Calibri" w:hAnsi="Times New Roman" w:cs="Times New Roman"/>
          <w:lang w:val="lt-LT"/>
        </w:rPr>
        <w:tab/>
        <w:t>Galimas šalutinis poveikis</w:t>
      </w:r>
    </w:p>
    <w:p w14:paraId="6F94B51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5.</w:t>
      </w:r>
      <w:r w:rsidRPr="00964115">
        <w:rPr>
          <w:rFonts w:ascii="Times New Roman" w:eastAsia="Calibri" w:hAnsi="Times New Roman" w:cs="Times New Roman"/>
          <w:lang w:val="lt-LT"/>
        </w:rPr>
        <w:tab/>
        <w:t>Kaip laikyti Vimovo</w:t>
      </w:r>
    </w:p>
    <w:p w14:paraId="6F94B51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6.</w:t>
      </w:r>
      <w:r w:rsidRPr="00964115">
        <w:rPr>
          <w:rFonts w:ascii="Times New Roman" w:eastAsia="Calibri" w:hAnsi="Times New Roman" w:cs="Times New Roman"/>
          <w:lang w:val="lt-LT"/>
        </w:rPr>
        <w:tab/>
        <w:t>Pakuotės turinys ir kita informacija</w:t>
      </w:r>
    </w:p>
    <w:p w14:paraId="6F94B514" w14:textId="77777777" w:rsidR="00797756" w:rsidRPr="00964115" w:rsidRDefault="00797756" w:rsidP="00797756">
      <w:pPr>
        <w:spacing w:after="0" w:line="240" w:lineRule="auto"/>
        <w:rPr>
          <w:rFonts w:ascii="Times New Roman" w:eastAsia="Calibri" w:hAnsi="Times New Roman" w:cs="Times New Roman"/>
          <w:lang w:val="lt-LT"/>
        </w:rPr>
      </w:pPr>
    </w:p>
    <w:p w14:paraId="6F94B515" w14:textId="77777777" w:rsidR="00797756" w:rsidRPr="00964115" w:rsidRDefault="00797756" w:rsidP="00797756">
      <w:pPr>
        <w:spacing w:after="0" w:line="240" w:lineRule="auto"/>
        <w:rPr>
          <w:rFonts w:ascii="Times New Roman" w:eastAsia="Calibri" w:hAnsi="Times New Roman" w:cs="Times New Roman"/>
          <w:lang w:val="lt-LT"/>
        </w:rPr>
      </w:pPr>
    </w:p>
    <w:p w14:paraId="6F94B516"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1. </w:t>
      </w:r>
      <w:r w:rsidRPr="00964115">
        <w:rPr>
          <w:rFonts w:ascii="Times New Roman" w:eastAsia="Calibri" w:hAnsi="Times New Roman" w:cs="Times New Roman"/>
          <w:b/>
          <w:lang w:val="lt-LT"/>
        </w:rPr>
        <w:tab/>
        <w:t>Kas yra Vimovo ir kam jis vartojamas</w:t>
      </w:r>
    </w:p>
    <w:p w14:paraId="6F94B517" w14:textId="77777777" w:rsidR="00797756" w:rsidRPr="00964115" w:rsidRDefault="00797756" w:rsidP="00797756">
      <w:pPr>
        <w:spacing w:after="0" w:line="240" w:lineRule="auto"/>
        <w:rPr>
          <w:rFonts w:ascii="Times New Roman" w:eastAsia="Calibri" w:hAnsi="Times New Roman" w:cs="Times New Roman"/>
          <w:lang w:val="lt-LT"/>
        </w:rPr>
      </w:pPr>
    </w:p>
    <w:p w14:paraId="6F94B51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Kas yra Vimovo?</w:t>
      </w:r>
    </w:p>
    <w:p w14:paraId="6F94B519"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Vimovo sudėtyje yra 2 skirtingi vaistai, vadinami naproksenu ir ezomeprazolu. Abu jie veikia skirtingai: </w:t>
      </w:r>
    </w:p>
    <w:p w14:paraId="6F94B51A" w14:textId="77777777" w:rsidR="00797756" w:rsidRPr="00964115" w:rsidRDefault="00797756" w:rsidP="00797756">
      <w:pPr>
        <w:numPr>
          <w:ilvl w:val="0"/>
          <w:numId w:val="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naproksenas priklauso nesteroidinių vaistų nuo uždegimo (NVNU) grupei. Jis malšina skausmą ir slopina uždegimą;</w:t>
      </w:r>
    </w:p>
    <w:p w14:paraId="6F94B51B" w14:textId="77777777" w:rsidR="00797756" w:rsidRPr="00964115" w:rsidRDefault="00797756" w:rsidP="00797756">
      <w:pPr>
        <w:numPr>
          <w:ilvl w:val="0"/>
          <w:numId w:val="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ezomeprazolas priklauso protonų siurblio inhibitoriais vadinamų vaistų grupei. Jis mažina rūgšties kiekį skrandyje.</w:t>
      </w:r>
    </w:p>
    <w:p w14:paraId="6F94B51C" w14:textId="77777777" w:rsidR="00797756" w:rsidRPr="00964115" w:rsidRDefault="00797756" w:rsidP="00797756">
      <w:pPr>
        <w:spacing w:after="0" w:line="240" w:lineRule="auto"/>
        <w:rPr>
          <w:rFonts w:ascii="Times New Roman" w:eastAsia="Calibri" w:hAnsi="Times New Roman" w:cs="Times New Roman"/>
          <w:lang w:val="lt-LT"/>
        </w:rPr>
      </w:pPr>
    </w:p>
    <w:p w14:paraId="6F94B51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Ezomeprazolas padeda sumažinti opų ir skrandžio sutrikimų riziką pacientams, kuriems reikia vartoti NVNU.</w:t>
      </w:r>
    </w:p>
    <w:p w14:paraId="6F94B51E" w14:textId="77777777" w:rsidR="00797756" w:rsidRPr="00964115" w:rsidRDefault="00797756" w:rsidP="00797756">
      <w:pPr>
        <w:spacing w:after="0" w:line="240" w:lineRule="auto"/>
        <w:rPr>
          <w:rFonts w:ascii="Times New Roman" w:eastAsia="Calibri" w:hAnsi="Times New Roman" w:cs="Times New Roman"/>
          <w:lang w:val="lt-LT"/>
        </w:rPr>
      </w:pPr>
    </w:p>
    <w:p w14:paraId="6F94B51F"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Kam vartojamas Vimovo?</w:t>
      </w:r>
    </w:p>
    <w:p w14:paraId="6F94B520"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Vimovo vartojamas šių ligų simptomams palengvinti suaugusiesiems:</w:t>
      </w:r>
    </w:p>
    <w:p w14:paraId="6F94B521" w14:textId="77777777" w:rsidR="00797756" w:rsidRPr="00964115" w:rsidRDefault="00797756" w:rsidP="00797756">
      <w:pPr>
        <w:numPr>
          <w:ilvl w:val="0"/>
          <w:numId w:val="5"/>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osteoartrito;</w:t>
      </w:r>
    </w:p>
    <w:p w14:paraId="6F94B522" w14:textId="77777777" w:rsidR="00797756" w:rsidRPr="00964115" w:rsidRDefault="00797756" w:rsidP="00797756">
      <w:pPr>
        <w:numPr>
          <w:ilvl w:val="0"/>
          <w:numId w:val="5"/>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reumatoidinio artrito;</w:t>
      </w:r>
    </w:p>
    <w:p w14:paraId="6F94B523" w14:textId="77777777" w:rsidR="00797756" w:rsidRPr="00964115" w:rsidRDefault="00797756" w:rsidP="00797756">
      <w:pPr>
        <w:numPr>
          <w:ilvl w:val="0"/>
          <w:numId w:val="5"/>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ankilozinio spondilito.</w:t>
      </w:r>
    </w:p>
    <w:p w14:paraId="6F94B524" w14:textId="77777777" w:rsidR="00797756" w:rsidRPr="00964115" w:rsidRDefault="00797756" w:rsidP="00797756">
      <w:pPr>
        <w:spacing w:after="0" w:line="240" w:lineRule="auto"/>
        <w:ind w:right="-2"/>
        <w:rPr>
          <w:rFonts w:ascii="Times New Roman" w:eastAsia="Calibri" w:hAnsi="Times New Roman" w:cs="Times New Roman"/>
          <w:lang w:val="lt-LT"/>
        </w:rPr>
      </w:pPr>
    </w:p>
    <w:p w14:paraId="6F94B525"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padeda malšinti skausmą, sumažinti patinimą, paraudimą ir karštį (uždegimą).</w:t>
      </w:r>
    </w:p>
    <w:p w14:paraId="6F94B526"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p>
    <w:p w14:paraId="6F94B527"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Šio vaisto skiriama tais atvejais, kai manoma, kad mažesnė NVNU dozė neturėtų numalšinti skausmo ir yra padidėjusi skrandžio ar pradinės plonosios žarnos dalies (dvylikapirštės žarnos) opos rizika vartojant NVNU.</w:t>
      </w:r>
    </w:p>
    <w:p w14:paraId="6F94B528" w14:textId="77777777" w:rsidR="00797756" w:rsidRPr="00964115" w:rsidRDefault="00797756" w:rsidP="00797756">
      <w:pPr>
        <w:spacing w:after="0" w:line="240" w:lineRule="auto"/>
        <w:rPr>
          <w:rFonts w:ascii="Times New Roman" w:eastAsia="Calibri" w:hAnsi="Times New Roman" w:cs="Times New Roman"/>
          <w:lang w:val="lt-LT"/>
        </w:rPr>
      </w:pPr>
    </w:p>
    <w:p w14:paraId="6F94B529" w14:textId="77777777" w:rsidR="00797756" w:rsidRPr="00964115" w:rsidRDefault="00797756" w:rsidP="00797756">
      <w:pPr>
        <w:spacing w:after="0" w:line="240" w:lineRule="auto"/>
        <w:rPr>
          <w:rFonts w:ascii="Times New Roman" w:eastAsia="Calibri" w:hAnsi="Times New Roman" w:cs="Times New Roman"/>
          <w:lang w:val="lt-LT"/>
        </w:rPr>
      </w:pPr>
    </w:p>
    <w:p w14:paraId="6F94B52A"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2.</w:t>
      </w:r>
      <w:r w:rsidRPr="00964115">
        <w:rPr>
          <w:rFonts w:ascii="Times New Roman" w:eastAsia="Calibri" w:hAnsi="Times New Roman" w:cs="Times New Roman"/>
          <w:b/>
          <w:lang w:val="lt-LT"/>
        </w:rPr>
        <w:tab/>
        <w:t>Kas žinotina prieš vartojant Vimovo</w:t>
      </w:r>
    </w:p>
    <w:p w14:paraId="6F94B52B" w14:textId="77777777" w:rsidR="00797756" w:rsidRPr="00964115" w:rsidRDefault="00797756" w:rsidP="00797756">
      <w:pPr>
        <w:spacing w:after="0" w:line="240" w:lineRule="auto"/>
        <w:rPr>
          <w:rFonts w:ascii="Times New Roman" w:eastAsia="Calibri" w:hAnsi="Times New Roman" w:cs="Times New Roman"/>
          <w:lang w:val="lt-LT"/>
        </w:rPr>
      </w:pPr>
    </w:p>
    <w:p w14:paraId="6F94B52C" w14:textId="297DD1A2"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Vimovo vartoti </w:t>
      </w:r>
      <w:r w:rsidR="002344DF">
        <w:rPr>
          <w:rFonts w:ascii="Times New Roman" w:eastAsia="Calibri" w:hAnsi="Times New Roman" w:cs="Times New Roman"/>
          <w:b/>
          <w:lang w:val="lt-LT"/>
        </w:rPr>
        <w:t>draudžiama</w:t>
      </w:r>
      <w:r w:rsidRPr="00964115">
        <w:rPr>
          <w:rFonts w:ascii="Times New Roman" w:eastAsia="Calibri" w:hAnsi="Times New Roman" w:cs="Times New Roman"/>
          <w:b/>
          <w:lang w:val="lt-LT"/>
        </w:rPr>
        <w:t>:</w:t>
      </w:r>
    </w:p>
    <w:p w14:paraId="6F94B52D"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yra alergija (padidėjęs jautrumas) naproksenui;</w:t>
      </w:r>
    </w:p>
    <w:p w14:paraId="6F94B52E"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yra alergija ezomeprazolui arba kitiems protonų siurblio inhibitoriams;</w:t>
      </w:r>
    </w:p>
    <w:p w14:paraId="6F94B52F"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yra alergija bet kuriai pagalbinei šio vaisto medžiagai (jos išvardytos 6 skyriuje);</w:t>
      </w:r>
    </w:p>
    <w:p w14:paraId="6F94B530"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vartojate vaistą, vadinamą atazanaviru arba nelfinaviru (jų skiriama ŽIV infekcijai gydyti);</w:t>
      </w:r>
    </w:p>
    <w:p w14:paraId="6F94B531"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acetilsalicilo rūgštis (aspirinas), naproksenas, kitas NVNU (pvz., ibuprofenas, diklofenakas) arba </w:t>
      </w:r>
      <w:r w:rsidRPr="00964115">
        <w:rPr>
          <w:rFonts w:ascii="Times New Roman" w:eastAsia="Calibri" w:hAnsi="Times New Roman" w:cs="Times New Roman"/>
          <w:color w:val="000000"/>
          <w:lang w:val="lt-LT"/>
        </w:rPr>
        <w:t xml:space="preserve">ciklooksigenazės-2 inhibitorius (pvz., celekoksibas, etorikoksibas) </w:t>
      </w:r>
      <w:r w:rsidRPr="00964115">
        <w:rPr>
          <w:rFonts w:ascii="Times New Roman" w:eastAsia="Calibri" w:hAnsi="Times New Roman" w:cs="Times New Roman"/>
          <w:lang w:val="lt-LT"/>
        </w:rPr>
        <w:t>buvo sukėlęs astmos (dusulio) priepuolį arba alerginę reakciją, pvz., niežulį arba odos išbėrimą (dilgėlinę);</w:t>
      </w:r>
    </w:p>
    <w:p w14:paraId="6F94B532"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paskutinius 3 nėštumo mėnesius;</w:t>
      </w:r>
    </w:p>
    <w:p w14:paraId="6F94B533"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Jūs sergate </w:t>
      </w:r>
      <w:r w:rsidRPr="00964115">
        <w:rPr>
          <w:rFonts w:ascii="Times New Roman" w:eastAsia="Calibri" w:hAnsi="Times New Roman" w:cs="Times New Roman"/>
          <w:b/>
          <w:lang w:val="lt-LT"/>
        </w:rPr>
        <w:t>sunkia</w:t>
      </w:r>
      <w:r w:rsidRPr="00964115">
        <w:rPr>
          <w:rFonts w:ascii="Times New Roman" w:eastAsia="Calibri" w:hAnsi="Times New Roman" w:cs="Times New Roman"/>
          <w:lang w:val="lt-LT"/>
        </w:rPr>
        <w:t xml:space="preserve"> kepenų, inkstų arba širdies liga;</w:t>
      </w:r>
    </w:p>
    <w:p w14:paraId="6F94B534"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Jūs sergate skrandžio arba žarnų opa;</w:t>
      </w:r>
    </w:p>
    <w:p w14:paraId="6F94B535"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Jūs sergate kraujavimu pasireiškiančia liga arba Jums pasireiškė stiprus ir netikėtas kraujavimas.</w:t>
      </w:r>
    </w:p>
    <w:p w14:paraId="6F94B536"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537"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Nevartokite Vimovo, jeigu turite kurią nors iš aukščiau išvardytų problemų. Jeigu dėl to abejojate, tai, prieš pradėdami vartoti Vimovo, papildomai pasitarkite su gydytoju arba vaistininku. </w:t>
      </w:r>
    </w:p>
    <w:p w14:paraId="6F94B538"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p>
    <w:p w14:paraId="6F94B539"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Įspėjimai ir atsargumo priemonės</w:t>
      </w:r>
    </w:p>
    <w:p w14:paraId="6F94B53A"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Prieš pradėdami vartoti Vimovo, pasitarkite su gydytoju arba vaistininku.</w:t>
      </w:r>
    </w:p>
    <w:p w14:paraId="6F94B53B"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p>
    <w:p w14:paraId="6F94B53C"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Vimovo gali maskuoti kitų ligų simptomus, todėl negalima vartoti šio vaisto ir būtina nedelsiant pasi</w:t>
      </w:r>
      <w:r w:rsidRPr="00964115">
        <w:rPr>
          <w:rFonts w:ascii="Times New Roman" w:eastAsia="Calibri" w:hAnsi="Times New Roman" w:cs="Times New Roman"/>
          <w:lang w:val="lt-LT"/>
        </w:rPr>
        <w:softHyphen/>
        <w:t>kon</w:t>
      </w:r>
      <w:r w:rsidRPr="00964115">
        <w:rPr>
          <w:rFonts w:ascii="Times New Roman" w:eastAsia="Calibri" w:hAnsi="Times New Roman" w:cs="Times New Roman"/>
          <w:lang w:val="lt-LT"/>
        </w:rPr>
        <w:softHyphen/>
        <w:t>sul</w:t>
      </w:r>
      <w:r w:rsidRPr="00964115">
        <w:rPr>
          <w:rFonts w:ascii="Times New Roman" w:eastAsia="Calibri" w:hAnsi="Times New Roman" w:cs="Times New Roman"/>
          <w:lang w:val="lt-LT"/>
        </w:rPr>
        <w:softHyphen/>
        <w:t>tuoti su gydytuoju, jeigu prieš pradedant jį vartoti arba jį vartojant pasireiškia kuris nors iš žemiau iš</w:t>
      </w:r>
      <w:r w:rsidRPr="00964115">
        <w:rPr>
          <w:rFonts w:ascii="Times New Roman" w:eastAsia="Calibri" w:hAnsi="Times New Roman" w:cs="Times New Roman"/>
          <w:lang w:val="lt-LT"/>
        </w:rPr>
        <w:softHyphen/>
        <w:t>var</w:t>
      </w:r>
      <w:r w:rsidRPr="00964115">
        <w:rPr>
          <w:rFonts w:ascii="Times New Roman" w:eastAsia="Calibri" w:hAnsi="Times New Roman" w:cs="Times New Roman"/>
          <w:lang w:val="lt-LT"/>
        </w:rPr>
        <w:softHyphen/>
        <w:t>dy</w:t>
      </w:r>
      <w:r w:rsidRPr="00964115">
        <w:rPr>
          <w:rFonts w:ascii="Times New Roman" w:eastAsia="Calibri" w:hAnsi="Times New Roman" w:cs="Times New Roman"/>
          <w:lang w:val="lt-LT"/>
        </w:rPr>
        <w:softHyphen/>
        <w:t>tų sutrikimų:</w:t>
      </w:r>
    </w:p>
    <w:p w14:paraId="6F94B53D"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be aiškios priežasties mažėja svoris arba sutrinka rijimas;</w:t>
      </w:r>
    </w:p>
    <w:p w14:paraId="6F94B53E"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pradedate vemti maistu arba krauju;</w:t>
      </w:r>
    </w:p>
    <w:p w14:paraId="6F94B53F"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tuštinatės juodomis arba su kraujo dėmėmis išmatomis.</w:t>
      </w:r>
    </w:p>
    <w:p w14:paraId="6F94B54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turite kurią nors iš aukščiau išvardytų problemų arba dėl to abejojate, tai, prieš pradėdami vartoti šį vaistą, papildomai pasitarkite su gydytoju arba vaistininku. </w:t>
      </w:r>
    </w:p>
    <w:p w14:paraId="6F94B541" w14:textId="77777777" w:rsidR="00797756" w:rsidRPr="00964115" w:rsidRDefault="00797756" w:rsidP="00797756">
      <w:pPr>
        <w:spacing w:after="0" w:line="240" w:lineRule="auto"/>
        <w:rPr>
          <w:rFonts w:ascii="Times New Roman" w:eastAsia="Calibri" w:hAnsi="Times New Roman" w:cs="Times New Roman"/>
          <w:lang w:val="lt-LT"/>
        </w:rPr>
      </w:pPr>
    </w:p>
    <w:p w14:paraId="6F94B54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Prieš pradėdami vartoti šį vaistą, papildomai pasitarkite su gydytoju ar vaistininku:</w:t>
      </w:r>
    </w:p>
    <w:p w14:paraId="6F94B543" w14:textId="77777777" w:rsidR="00797756" w:rsidRPr="00964115" w:rsidRDefault="00797756" w:rsidP="00797756">
      <w:pPr>
        <w:numPr>
          <w:ilvl w:val="0"/>
          <w:numId w:val="32"/>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 xml:space="preserve">jeigu Jūs sergate žarnų uždegimu (Krono </w:t>
      </w:r>
      <w:r w:rsidRPr="00964115">
        <w:rPr>
          <w:rFonts w:ascii="Times New Roman" w:eastAsia="Calibri" w:hAnsi="Times New Roman" w:cs="Times New Roman"/>
          <w:i/>
          <w:lang w:val="lt-LT"/>
        </w:rPr>
        <w:t>(Crohn)</w:t>
      </w:r>
      <w:r w:rsidRPr="00964115">
        <w:rPr>
          <w:rFonts w:ascii="Times New Roman" w:eastAsia="Calibri" w:hAnsi="Times New Roman" w:cs="Times New Roman"/>
          <w:lang w:val="lt-LT"/>
        </w:rPr>
        <w:t xml:space="preserve"> liga arba opiniu kolitu);</w:t>
      </w:r>
    </w:p>
    <w:p w14:paraId="6F94B544" w14:textId="77777777" w:rsidR="00797756" w:rsidRPr="00964115" w:rsidRDefault="00797756" w:rsidP="00797756">
      <w:pPr>
        <w:numPr>
          <w:ilvl w:val="0"/>
          <w:numId w:val="7"/>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nesveikos Jūsų kepenys ar inkstai arba esate senyvo amžiaus;</w:t>
      </w:r>
    </w:p>
    <w:p w14:paraId="6F94B545" w14:textId="77777777" w:rsidR="00797756" w:rsidRPr="00964115" w:rsidRDefault="00797756" w:rsidP="00797756">
      <w:pPr>
        <w:numPr>
          <w:ilvl w:val="0"/>
          <w:numId w:val="7"/>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vartojate kitų vaistų: kortikosteroidų per burną, varfarino, klopidogrelio, selektyvių serotonino reabsorbcijos inhibitorių, acetilsalicilo rūgšties (aspirino) arba NVNU, įskaitant ciklooksigenazės</w:t>
      </w:r>
      <w:r w:rsidRPr="00964115">
        <w:rPr>
          <w:rFonts w:ascii="Times New Roman" w:eastAsia="Calibri" w:hAnsi="Times New Roman" w:cs="Times New Roman"/>
          <w:lang w:val="lt-LT"/>
        </w:rPr>
        <w:noBreakHyphen/>
        <w:t>2 inhibitorius (žr. skyrių „Kiti vaistai ir Vimovo“);</w:t>
      </w:r>
    </w:p>
    <w:p w14:paraId="6F94B546" w14:textId="77777777" w:rsidR="00797756" w:rsidRPr="00964115" w:rsidRDefault="00797756" w:rsidP="00797756">
      <w:pPr>
        <w:numPr>
          <w:ilvl w:val="0"/>
          <w:numId w:val="7"/>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Jums kada nors pasireiškė odos reakcija po gydymo vaistu, panašiu į ezomeprazolą (jis yra Vimovo sudėtinė dalis), kuriuo mažinamas skrandžio rūgštingumas;</w:t>
      </w:r>
    </w:p>
    <w:p w14:paraId="6F94B547" w14:textId="77777777" w:rsidR="00797756" w:rsidRPr="00964115" w:rsidRDefault="00797756" w:rsidP="00797756">
      <w:pPr>
        <w:numPr>
          <w:ilvl w:val="0"/>
          <w:numId w:val="7"/>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jums bus atliekamas specialus kraujo tyrimas (dėl chromogranino A).</w:t>
      </w:r>
    </w:p>
    <w:p w14:paraId="6F94B548" w14:textId="77777777" w:rsidR="00797756" w:rsidRPr="00964115" w:rsidRDefault="00797756" w:rsidP="00797756">
      <w:pPr>
        <w:spacing w:after="0" w:line="240" w:lineRule="auto"/>
        <w:rPr>
          <w:rFonts w:ascii="Times New Roman" w:eastAsia="Calibri" w:hAnsi="Times New Roman" w:cs="Times New Roman"/>
          <w:lang w:val="lt-LT"/>
        </w:rPr>
      </w:pPr>
    </w:p>
    <w:p w14:paraId="6F94B549"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turite kurią nors iš aukščiau išvardytų problemų arba dėl to abejojate, tai, prieš pradėdami vartoti šį vaistą, papildomai pasitarkite su gydytoju arba vaistininku.</w:t>
      </w:r>
    </w:p>
    <w:p w14:paraId="6F94B54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 </w:t>
      </w:r>
    </w:p>
    <w:p w14:paraId="6F94B54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Jūs anksčiau sirgote skrandžio opa arba buvo kraujavimas, apie tai pasakykite gydytojui. Gydytojas paprašys pranešti jam apie Jums pasireiškusį bet kokį neįprastą simptomą, susijusį su skrandžiu (pvz., skausmą).</w:t>
      </w:r>
    </w:p>
    <w:p w14:paraId="6F94B54C" w14:textId="77777777" w:rsidR="00797756" w:rsidRPr="00964115" w:rsidRDefault="00797756" w:rsidP="00797756">
      <w:pPr>
        <w:spacing w:after="0" w:line="240" w:lineRule="auto"/>
        <w:rPr>
          <w:rFonts w:ascii="Times New Roman" w:eastAsia="Calibri" w:hAnsi="Times New Roman" w:cs="Times New Roman"/>
          <w:lang w:val="lt-LT"/>
        </w:rPr>
      </w:pPr>
    </w:p>
    <w:p w14:paraId="6F94B54D"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Tokie vaistai kaip Vimovo gali truputį padidinti širdies priepuolio (miokardo infarkto) ar insulto riziką. Rizika būna didesnė vartojant dideles dozes ir gydantis ilgai. Nevartokite didesnės šio vaisto dozės negu rekomenduojama ir ilgiau negu nurodyta.</w:t>
      </w:r>
    </w:p>
    <w:p w14:paraId="6F94B54E" w14:textId="77777777" w:rsidR="00797756" w:rsidRPr="00964115" w:rsidRDefault="00797756" w:rsidP="00797756">
      <w:pPr>
        <w:spacing w:after="0" w:line="240" w:lineRule="auto"/>
        <w:rPr>
          <w:rFonts w:ascii="Times New Roman" w:eastAsia="Calibri" w:hAnsi="Times New Roman" w:cs="Times New Roman"/>
          <w:lang w:val="lt-LT"/>
        </w:rPr>
      </w:pPr>
    </w:p>
    <w:p w14:paraId="6F94B54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Be to, prieš pradėdami vartoti šį vaistą, papildomai pasitarkite su gydytoju, jeigu nesveika Jūsų širdis, buvo ištikęs insultas arba manote, kad Jums gali būti padidėjusi šių sutrikimų rizika. Šių sutrikimų rizika gali būti didesnė jeigu:</w:t>
      </w:r>
    </w:p>
    <w:p w14:paraId="6F94B550"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padidėjęs kraujospūdis;</w:t>
      </w:r>
    </w:p>
    <w:p w14:paraId="6F94B551"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sutrikusi kraujotaka arba buvo ištikusi trombozė;</w:t>
      </w:r>
    </w:p>
    <w:p w14:paraId="6F94B552"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sergate cukriniu diabetu;</w:t>
      </w:r>
    </w:p>
    <w:p w14:paraId="6F94B553"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padidėjusi cholesterolio koncentracija Jūsų kraujyje;</w:t>
      </w:r>
    </w:p>
    <w:p w14:paraId="6F94B554" w14:textId="77777777" w:rsidR="00797756" w:rsidRPr="00964115" w:rsidRDefault="00797756" w:rsidP="00797756">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rūkote.</w:t>
      </w:r>
    </w:p>
    <w:p w14:paraId="6F94B555" w14:textId="77777777" w:rsidR="00797756" w:rsidRPr="00964115" w:rsidRDefault="00797756" w:rsidP="00797756">
      <w:pPr>
        <w:spacing w:after="0" w:line="240" w:lineRule="auto"/>
        <w:rPr>
          <w:rFonts w:ascii="Times New Roman" w:eastAsia="Calibri" w:hAnsi="Times New Roman" w:cs="Times New Roman"/>
          <w:lang w:val="lt-LT"/>
        </w:rPr>
      </w:pPr>
    </w:p>
    <w:p w14:paraId="6F94B55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Vartojant protonų siurblio inhibitorių (jų yra Vimovo sudėtyje), ypač ilgiau kaip 1 metus, gali truputį padidėti šlaunikaulio, riešo ir stuburo lūžių rizika. Jeigu sergate osteoporoze arba vartojate kortikosteroidų, kurie taip pat gali padidinti osteoporozės riziką, apie tai pasakykite gydytojui.</w:t>
      </w:r>
    </w:p>
    <w:p w14:paraId="6F94B557" w14:textId="77777777" w:rsidR="00797756" w:rsidRPr="00964115" w:rsidRDefault="00797756" w:rsidP="00797756">
      <w:pPr>
        <w:spacing w:after="0" w:line="240" w:lineRule="auto"/>
        <w:rPr>
          <w:rFonts w:ascii="Times New Roman" w:eastAsia="Calibri" w:hAnsi="Times New Roman" w:cs="Times New Roman"/>
          <w:lang w:val="lt-LT"/>
        </w:rPr>
      </w:pPr>
    </w:p>
    <w:p w14:paraId="6F94B558" w14:textId="77777777" w:rsidR="00797756" w:rsidRPr="00964115" w:rsidRDefault="00797756" w:rsidP="00797756">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Jeigu Jums išbertų odą, ypač saulės apšviestose vietose, kuo skubiau pasakykite apie tai savo gydytojui, kadangi Jums gali tekti nutraukti gydymą Vimovo. Taip pat nepamirškite pasakyti, jeigu Jums pasireiškia bet koks kitas neigiamas poveikis, kaip antai sąnarių skausmas.</w:t>
      </w:r>
    </w:p>
    <w:p w14:paraId="6F94B559" w14:textId="68FD4763" w:rsidR="00797756" w:rsidRDefault="00797756" w:rsidP="00797756">
      <w:pPr>
        <w:spacing w:after="0" w:line="240" w:lineRule="auto"/>
        <w:rPr>
          <w:rFonts w:ascii="Times New Roman" w:eastAsia="Calibri" w:hAnsi="Times New Roman" w:cs="Times New Roman"/>
          <w:lang w:val="lt-LT"/>
        </w:rPr>
      </w:pPr>
    </w:p>
    <w:p w14:paraId="1905B74A" w14:textId="77777777" w:rsidR="001F23A0" w:rsidRPr="001F23A0" w:rsidRDefault="001F23A0" w:rsidP="001F23A0">
      <w:pPr>
        <w:spacing w:after="0" w:line="240" w:lineRule="auto"/>
        <w:rPr>
          <w:rFonts w:ascii="Times New Roman" w:eastAsia="Calibri" w:hAnsi="Times New Roman" w:cs="Times New Roman"/>
          <w:lang w:val="lt-LT"/>
        </w:rPr>
      </w:pPr>
      <w:r w:rsidRPr="001F23A0">
        <w:rPr>
          <w:rFonts w:ascii="Times New Roman" w:eastAsia="Calibri" w:hAnsi="Times New Roman" w:cs="Times New Roman"/>
          <w:lang w:val="lt-LT"/>
        </w:rPr>
        <w:t>Pacientams, vartojusiems ezomeprazolo, pasitaikė sunkaus odos išbėrimo atvejų (taip pat žr. 4 skyrių). Tai gali būti burnos ertmės, gerklės, nosies ir lytinių organų opos bei konjunktyvitas (jam pasireiškus, parausta ir patinsta akys). Šių sunkaus pobūdžio odos išbėrimų dažnai atsiranda po į gripą panašių simptomų, pvz., karščiavimo, galvos ir kūno skausmų. Išbėrimas gali apimti didelę kūno dalį, kartu gali susidaryti pūslių ir luptis oda.</w:t>
      </w:r>
    </w:p>
    <w:p w14:paraId="0B55442A" w14:textId="77777777" w:rsidR="001F23A0" w:rsidRPr="001F23A0" w:rsidRDefault="001F23A0" w:rsidP="001F23A0">
      <w:pPr>
        <w:spacing w:after="0" w:line="240" w:lineRule="auto"/>
        <w:rPr>
          <w:rFonts w:ascii="Times New Roman" w:eastAsia="Calibri" w:hAnsi="Times New Roman" w:cs="Times New Roman"/>
          <w:lang w:val="lt-LT"/>
        </w:rPr>
      </w:pPr>
    </w:p>
    <w:p w14:paraId="5ACB2482" w14:textId="573A4FDB" w:rsidR="00187DA4" w:rsidRDefault="001F23A0" w:rsidP="001F23A0">
      <w:pPr>
        <w:spacing w:after="0" w:line="240" w:lineRule="auto"/>
        <w:rPr>
          <w:rFonts w:ascii="Times New Roman" w:eastAsia="Calibri" w:hAnsi="Times New Roman" w:cs="Times New Roman"/>
          <w:lang w:val="lt-LT"/>
        </w:rPr>
      </w:pPr>
      <w:r w:rsidRPr="001F23A0">
        <w:rPr>
          <w:rFonts w:ascii="Times New Roman" w:eastAsia="Calibri" w:hAnsi="Times New Roman" w:cs="Times New Roman"/>
          <w:lang w:val="lt-LT"/>
        </w:rPr>
        <w:t>Jeigu vartojant šį vaistą ar per kelias savaites vėliau Jus išbertų arba pasireikštų kuris nors iš šių odos pažeidimo simptomų, tai nedelsdami nutraukite šio vaisto vartojimą ir kreipkitės į gydytoją.</w:t>
      </w:r>
    </w:p>
    <w:p w14:paraId="73167326" w14:textId="77777777" w:rsidR="001F23A0" w:rsidRDefault="001F23A0" w:rsidP="001F23A0">
      <w:pPr>
        <w:spacing w:after="0" w:line="240" w:lineRule="auto"/>
        <w:rPr>
          <w:rFonts w:ascii="Times New Roman" w:eastAsia="Calibri" w:hAnsi="Times New Roman" w:cs="Times New Roman"/>
          <w:lang w:val="lt-LT"/>
        </w:rPr>
      </w:pPr>
    </w:p>
    <w:p w14:paraId="43F2D710" w14:textId="77777777" w:rsidR="007A3DE6" w:rsidRDefault="007A3DE6" w:rsidP="007A3DE6">
      <w:pPr>
        <w:spacing w:after="0" w:line="240" w:lineRule="auto"/>
        <w:rPr>
          <w:rFonts w:ascii="Times New Roman" w:eastAsia="Calibri" w:hAnsi="Times New Roman" w:cs="Times New Roman"/>
          <w:lang w:val="lt-LT"/>
        </w:rPr>
      </w:pPr>
      <w:r w:rsidRPr="00AC1F00">
        <w:rPr>
          <w:rFonts w:ascii="Times New Roman" w:eastAsia="Calibri" w:hAnsi="Times New Roman" w:cs="Times New Roman"/>
          <w:lang w:val="lt-LT"/>
        </w:rPr>
        <w:t xml:space="preserve">Vartojant </w:t>
      </w:r>
      <w:r>
        <w:rPr>
          <w:rFonts w:ascii="Times New Roman" w:eastAsia="Calibri" w:hAnsi="Times New Roman" w:cs="Times New Roman"/>
          <w:lang w:val="lt-LT"/>
        </w:rPr>
        <w:t>Vimovo</w:t>
      </w:r>
      <w:r w:rsidRPr="00AC1F00">
        <w:rPr>
          <w:rFonts w:ascii="Times New Roman" w:eastAsia="Calibri" w:hAnsi="Times New Roman" w:cs="Times New Roman"/>
          <w:lang w:val="lt-LT"/>
        </w:rPr>
        <w:t xml:space="preserve"> gali pasireikšti inkstų uždegimas. Tarp jo požymių ir simptomų gali būti sumažėjęs šlapimo kiekis arba kraujas šlapime ir (arba) padidėjusio jautrumo reakcijos tokios kaip karščiavimas, išbėrimas ir sąnarių sustingimas. Apie tokius požymius turite pranešti gydančiajam gydytojui.</w:t>
      </w:r>
    </w:p>
    <w:p w14:paraId="4AC79C0C" w14:textId="77777777" w:rsidR="007A3DE6" w:rsidRPr="00964115" w:rsidRDefault="007A3DE6" w:rsidP="001F23A0">
      <w:pPr>
        <w:spacing w:after="0" w:line="240" w:lineRule="auto"/>
        <w:rPr>
          <w:rFonts w:ascii="Times New Roman" w:eastAsia="Calibri" w:hAnsi="Times New Roman" w:cs="Times New Roman"/>
          <w:lang w:val="lt-LT"/>
        </w:rPr>
      </w:pPr>
    </w:p>
    <w:p w14:paraId="6F94B55A"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Vaikams ir paaugliams</w:t>
      </w:r>
    </w:p>
    <w:p w14:paraId="6F94B55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Vaikams ir paaugliams iki 18 metų Vimovo vartoti nerekomenduojama.</w:t>
      </w:r>
    </w:p>
    <w:p w14:paraId="6F94B55C" w14:textId="77777777" w:rsidR="00797756" w:rsidRPr="00964115" w:rsidRDefault="00797756" w:rsidP="00797756">
      <w:pPr>
        <w:spacing w:after="0" w:line="240" w:lineRule="auto"/>
        <w:rPr>
          <w:rFonts w:ascii="Times New Roman" w:eastAsia="Calibri" w:hAnsi="Times New Roman" w:cs="Times New Roman"/>
          <w:lang w:val="lt-LT"/>
        </w:rPr>
      </w:pPr>
    </w:p>
    <w:p w14:paraId="6F94B55D"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Kiti vaistai ir Vimovo</w:t>
      </w:r>
    </w:p>
    <w:p w14:paraId="6F94B55E"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vartojate ar neseniai vartojote kitų vaistų, įskaitant įsigytus be recepto ir augalinius, arba dėl to nesate tikri, apie tai pasakykite gydytojui arba vaistininkui. Tai svarbu dėl to, kad Vimovo gali keisti kai kurių kitų vaistų poveikį, o kai kurie kiti vaistai – Vimovo poveikį.</w:t>
      </w:r>
    </w:p>
    <w:p w14:paraId="6F94B55F"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560"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Negerkite šio vaisto ir pasakykite gydytojui arba vaistininkui, jeigu vartojate:</w:t>
      </w:r>
    </w:p>
    <w:p w14:paraId="6F94B561" w14:textId="77777777" w:rsidR="00797756" w:rsidRPr="00964115" w:rsidRDefault="00797756" w:rsidP="00797756">
      <w:pPr>
        <w:numPr>
          <w:ilvl w:val="1"/>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atazanavirą arba nelfinavirą (šių vaistų skiriama ŽIV infekcijai gydyti).</w:t>
      </w:r>
    </w:p>
    <w:p w14:paraId="6F94B562"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563"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Pasakykite gydytojui arba vaistininkui, jeigu vartojate kurio nors iš šių vaistų:</w:t>
      </w:r>
    </w:p>
    <w:p w14:paraId="6F94B564" w14:textId="4C4BC472"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acetilsalicilo rūgšties (aspirino) </w:t>
      </w:r>
      <w:r w:rsidR="00291510" w:rsidRPr="00964115">
        <w:rPr>
          <w:rFonts w:ascii="Times New Roman" w:eastAsia="Calibri" w:hAnsi="Times New Roman" w:cs="Times New Roman"/>
          <w:lang w:val="lt-LT"/>
        </w:rPr>
        <w:t xml:space="preserve">– vaisto, vartojamo skausmui malšinti arba siekiant išvengti krešulių susidarymo </w:t>
      </w:r>
      <w:r w:rsidRPr="00964115">
        <w:rPr>
          <w:rFonts w:ascii="Times New Roman" w:eastAsia="Calibri" w:hAnsi="Times New Roman" w:cs="Times New Roman"/>
          <w:lang w:val="lt-LT"/>
        </w:rPr>
        <w:t>(</w:t>
      </w:r>
      <w:r w:rsidR="00291510" w:rsidRPr="00964115">
        <w:rPr>
          <w:rFonts w:ascii="Times New Roman" w:eastAsia="Calibri" w:hAnsi="Times New Roman" w:cs="Times New Roman"/>
          <w:lang w:val="lt-LT"/>
        </w:rPr>
        <w:t xml:space="preserve">vis dėlto </w:t>
      </w:r>
      <w:r w:rsidRPr="00964115">
        <w:rPr>
          <w:rFonts w:ascii="Times New Roman" w:eastAsia="Calibri" w:hAnsi="Times New Roman" w:cs="Times New Roman"/>
          <w:lang w:val="lt-LT"/>
        </w:rPr>
        <w:t>kartu su maža acetilsalicilo rūgšties doze</w:t>
      </w:r>
      <w:r w:rsidR="00291510" w:rsidRPr="00964115">
        <w:rPr>
          <w:rFonts w:ascii="Times New Roman" w:eastAsia="Calibri" w:hAnsi="Times New Roman" w:cs="Times New Roman"/>
          <w:lang w:val="lt-LT"/>
        </w:rPr>
        <w:t xml:space="preserve"> Vimovo galima vartoti</w:t>
      </w:r>
      <w:r w:rsidRPr="00964115">
        <w:rPr>
          <w:rFonts w:ascii="Times New Roman" w:eastAsia="Calibri" w:hAnsi="Times New Roman" w:cs="Times New Roman"/>
          <w:lang w:val="lt-LT"/>
        </w:rPr>
        <w:t>);</w:t>
      </w:r>
    </w:p>
    <w:p w14:paraId="6F94B565"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kitų NVNU, įskaitant ciklooksigenazės</w:t>
      </w:r>
      <w:r w:rsidRPr="00964115">
        <w:rPr>
          <w:rFonts w:ascii="Times New Roman" w:eastAsia="Calibri" w:hAnsi="Times New Roman" w:cs="Times New Roman"/>
          <w:lang w:val="lt-LT"/>
        </w:rPr>
        <w:noBreakHyphen/>
        <w:t>2 inhibitorius;</w:t>
      </w:r>
    </w:p>
    <w:p w14:paraId="6F94B566" w14:textId="77777777" w:rsidR="00797756" w:rsidRPr="00964115" w:rsidRDefault="00797756" w:rsidP="00797756">
      <w:pPr>
        <w:numPr>
          <w:ilvl w:val="0"/>
          <w:numId w:val="9"/>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tam tikrų kitų vaistų, pvz., ketokonazolo, itrakonazolo, pozakonazolo arba vorikonazolo (jų skiriama grybelių sukeltoms infekcinėms ligoms gydyti);</w:t>
      </w:r>
    </w:p>
    <w:p w14:paraId="6F94B567" w14:textId="77777777" w:rsidR="00797756" w:rsidRPr="00964115" w:rsidRDefault="00797756" w:rsidP="00797756">
      <w:pPr>
        <w:numPr>
          <w:ilvl w:val="0"/>
          <w:numId w:val="9"/>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erlotinibo arba kito tos pačios grupės vaisto nuo vėžio;</w:t>
      </w:r>
    </w:p>
    <w:p w14:paraId="6F94B568" w14:textId="77777777" w:rsidR="00797756" w:rsidRPr="00964115" w:rsidRDefault="00797756" w:rsidP="00797756">
      <w:pPr>
        <w:numPr>
          <w:ilvl w:val="0"/>
          <w:numId w:val="9"/>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kolestiramino (jo skiriama cholesterolio koncentracijai mažinti);</w:t>
      </w:r>
    </w:p>
    <w:p w14:paraId="6F94B569" w14:textId="77777777" w:rsidR="00797756" w:rsidRPr="00964115" w:rsidRDefault="00797756" w:rsidP="00797756">
      <w:pPr>
        <w:numPr>
          <w:ilvl w:val="0"/>
          <w:numId w:val="9"/>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chinolonų grupės antibiotikų (infekcinėms ligoms gydyti), pvz., ciprofloksacino arba moksifloksacino;</w:t>
      </w:r>
    </w:p>
    <w:p w14:paraId="6F94B56A" w14:textId="77777777" w:rsidR="00797756" w:rsidRPr="00964115" w:rsidRDefault="00797756" w:rsidP="00797756">
      <w:pPr>
        <w:numPr>
          <w:ilvl w:val="0"/>
          <w:numId w:val="9"/>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klaritromicino (jo skiriama infekcinėms ligoms gydyti);</w:t>
      </w:r>
    </w:p>
    <w:p w14:paraId="6F94B56B"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diazepamo (jo skiriama nerimui šalinti, raumenims atpalaiduoti ir epilepsijai gydyti);</w:t>
      </w:r>
    </w:p>
    <w:p w14:paraId="6F94B56C"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hidantoinų, pvz., fenitoino (jų skiriama epilepsijai gydyti). </w:t>
      </w:r>
    </w:p>
    <w:p w14:paraId="6F94B56D"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ličio (jo skiriama kai kurių rūšių depresijai gydyti);</w:t>
      </w:r>
    </w:p>
    <w:p w14:paraId="6F94B56E"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metotreksato (jo skiriama reumatoidiniam artritui, žvynelinei ir vėžiui gydyti);</w:t>
      </w:r>
    </w:p>
    <w:p w14:paraId="6F94B56F"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probenecido (jo skiriama podagrai gydyti);</w:t>
      </w:r>
    </w:p>
    <w:p w14:paraId="6F94B570"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selektyvių serotonino reabsorbcijos inhibitorių (jų skiriama didžiajai depresijai ir nerimo sutrikimui gydyti);</w:t>
      </w:r>
    </w:p>
    <w:p w14:paraId="6F94B571"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ciklosporino arba takrolimuzo (jų skiriama imuninėms reakcijoms slopinti);</w:t>
      </w:r>
    </w:p>
    <w:p w14:paraId="6F94B572"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digoksino (jo skiriama širdies ligoms gydyti);</w:t>
      </w:r>
    </w:p>
    <w:p w14:paraId="6F94B573"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sulfonilkarbamidų, pvz., glimepirido (geriamųjų vaistų cukraus koncentracijai kraujyje reguliuoti sergant cukriniu diabetu);</w:t>
      </w:r>
    </w:p>
    <w:p w14:paraId="6F94B574"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vaistų padidėjusiam kraujospūdžiui mažinti: diuretikų (pvz., furozemido arba hidrochlorotiazido), angiotenziną konvertuojančio fermento inhibitorių (pvz., enalaprilio), angiotenzino II receptorių antagonistų (pvz., losartano) arba beta adrenoblokatorių (pvz., propranololio);</w:t>
      </w:r>
    </w:p>
    <w:p w14:paraId="6F94B575"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kortikosteroidų, pvz., hidrokortizono ar prednizolono (jų skiriama uždegimui slopinti);</w:t>
      </w:r>
    </w:p>
    <w:p w14:paraId="6F94B576"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kraujo krešėjimą slopinančių vaistų, pvz., varfarino, dikumarolio, heparino arba klopidogrelio;</w:t>
      </w:r>
    </w:p>
    <w:p w14:paraId="6F94B577"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rifampicino (jis vartojamas tuberkuliozei gydyti);</w:t>
      </w:r>
    </w:p>
    <w:p w14:paraId="6F94B578"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jonažolės (</w:t>
      </w:r>
      <w:r w:rsidRPr="00964115">
        <w:rPr>
          <w:rFonts w:ascii="Times New Roman" w:eastAsia="Calibri" w:hAnsi="Times New Roman" w:cs="Times New Roman"/>
          <w:i/>
          <w:lang w:val="lt-LT"/>
        </w:rPr>
        <w:t>Hypericum perforatum</w:t>
      </w:r>
      <w:r w:rsidRPr="00964115">
        <w:rPr>
          <w:rFonts w:ascii="Times New Roman" w:eastAsia="Calibri" w:hAnsi="Times New Roman" w:cs="Times New Roman"/>
          <w:lang w:val="lt-LT"/>
        </w:rPr>
        <w:t>) preparatų (jų vartojama lengvai depresijai gydyti);</w:t>
      </w:r>
    </w:p>
    <w:p w14:paraId="6F94B579" w14:textId="77777777" w:rsidR="00797756" w:rsidRPr="00964115" w:rsidRDefault="00797756" w:rsidP="00797756">
      <w:pPr>
        <w:numPr>
          <w:ilvl w:val="0"/>
          <w:numId w:val="9"/>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cilostazolo (jo vartojama malšinti kojų skausmui, pasireiškusiam dėl sutrikusios kraujotakos).</w:t>
      </w:r>
    </w:p>
    <w:p w14:paraId="6F94B57A" w14:textId="77777777" w:rsidR="00797756" w:rsidRPr="00964115" w:rsidRDefault="00797756" w:rsidP="00797756">
      <w:pPr>
        <w:spacing w:after="0" w:line="240" w:lineRule="auto"/>
        <w:ind w:right="-2"/>
        <w:rPr>
          <w:rFonts w:ascii="Times New Roman" w:eastAsia="Calibri" w:hAnsi="Times New Roman" w:cs="Times New Roman"/>
          <w:lang w:val="lt-LT"/>
        </w:rPr>
      </w:pPr>
    </w:p>
    <w:p w14:paraId="6F94B57B" w14:textId="77777777" w:rsidR="00797756" w:rsidRPr="00964115" w:rsidRDefault="00797756" w:rsidP="00797756">
      <w:p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Jeigu turite kurią nors iš aukščiau išvardytų problemų arba dėl to abejojate, tai prieš pradėdami vartoti Vimovo papildomai pasitarkite su gydytoju arba vaistininku.</w:t>
      </w:r>
    </w:p>
    <w:p w14:paraId="6F94B57C" w14:textId="77777777" w:rsidR="00797756" w:rsidRPr="00964115" w:rsidRDefault="00797756" w:rsidP="00797756">
      <w:pPr>
        <w:spacing w:after="0" w:line="240" w:lineRule="auto"/>
        <w:rPr>
          <w:rFonts w:ascii="Times New Roman" w:eastAsia="Calibri" w:hAnsi="Times New Roman" w:cs="Times New Roman"/>
          <w:lang w:val="lt-LT"/>
        </w:rPr>
      </w:pPr>
    </w:p>
    <w:p w14:paraId="6F94B57D"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Vimovo vartojimas su maistu ir gėrimais</w:t>
      </w:r>
    </w:p>
    <w:p w14:paraId="6F94B57E" w14:textId="77777777" w:rsidR="00797756" w:rsidRPr="00964115" w:rsidRDefault="00797756" w:rsidP="00797756">
      <w:pPr>
        <w:numPr>
          <w:ilvl w:val="12"/>
          <w:numId w:val="0"/>
        </w:numPr>
        <w:tabs>
          <w:tab w:val="left" w:pos="1290"/>
        </w:tabs>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Valgio metu Vimovo vartoti negalima, kadangi maistas gali susilpninti Vimovo poveikį. Gerkite šias tabletes ne mažiau kaip 30 min. prieš valgį.</w:t>
      </w:r>
    </w:p>
    <w:p w14:paraId="6F94B57F" w14:textId="77777777" w:rsidR="00797756" w:rsidRPr="00964115" w:rsidRDefault="00797756" w:rsidP="00797756">
      <w:pPr>
        <w:spacing w:after="0" w:line="240" w:lineRule="auto"/>
        <w:rPr>
          <w:rFonts w:ascii="Times New Roman" w:eastAsia="Calibri" w:hAnsi="Times New Roman" w:cs="Times New Roman"/>
          <w:lang w:val="lt-LT"/>
        </w:rPr>
      </w:pPr>
    </w:p>
    <w:p w14:paraId="6F94B580" w14:textId="77777777" w:rsidR="00797756"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Nėštumas, žindymo laikotarpis ir vaisingumas</w:t>
      </w:r>
    </w:p>
    <w:p w14:paraId="73E0EF04" w14:textId="7CCBE1D0" w:rsidR="0089061E" w:rsidRDefault="00614338"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lang w:val="lt-LT"/>
        </w:rPr>
        <w:t>Jeigu esate nėščia</w:t>
      </w:r>
      <w:r>
        <w:rPr>
          <w:rFonts w:ascii="Times New Roman" w:eastAsia="Calibri" w:hAnsi="Times New Roman" w:cs="Times New Roman"/>
          <w:lang w:val="lt-LT"/>
        </w:rPr>
        <w:t xml:space="preserve"> </w:t>
      </w:r>
      <w:r w:rsidRPr="00964115">
        <w:rPr>
          <w:rFonts w:ascii="Times New Roman" w:eastAsia="Calibri" w:hAnsi="Times New Roman" w:cs="Times New Roman"/>
          <w:lang w:val="lt-LT"/>
        </w:rPr>
        <w:t>arba žindote kūdikį</w:t>
      </w:r>
      <w:r>
        <w:rPr>
          <w:rFonts w:ascii="Times New Roman" w:eastAsia="Calibri" w:hAnsi="Times New Roman" w:cs="Times New Roman"/>
          <w:lang w:val="lt-LT"/>
        </w:rPr>
        <w:t xml:space="preserve">, </w:t>
      </w:r>
      <w:r w:rsidR="00C35738" w:rsidRPr="00C35738">
        <w:rPr>
          <w:rFonts w:ascii="Times New Roman" w:eastAsia="Calibri" w:hAnsi="Times New Roman" w:cs="Times New Roman"/>
          <w:lang w:val="lt-LT"/>
        </w:rPr>
        <w:t>manote, kad galbūt esate nėščia</w:t>
      </w:r>
      <w:r w:rsidR="00C35738">
        <w:rPr>
          <w:rFonts w:ascii="Times New Roman" w:eastAsia="Calibri" w:hAnsi="Times New Roman" w:cs="Times New Roman"/>
          <w:lang w:val="lt-LT"/>
        </w:rPr>
        <w:t>,</w:t>
      </w:r>
      <w:r w:rsidR="00C84834">
        <w:rPr>
          <w:rFonts w:ascii="Times New Roman" w:eastAsia="Calibri" w:hAnsi="Times New Roman" w:cs="Times New Roman"/>
          <w:lang w:val="lt-LT"/>
        </w:rPr>
        <w:t xml:space="preserve"> arba </w:t>
      </w:r>
      <w:r w:rsidR="00C84834" w:rsidRPr="00964115">
        <w:rPr>
          <w:rFonts w:ascii="Times New Roman" w:eastAsia="Calibri" w:hAnsi="Times New Roman" w:cs="Times New Roman"/>
          <w:lang w:val="lt-LT"/>
        </w:rPr>
        <w:t>planuojate pastoti</w:t>
      </w:r>
      <w:r w:rsidR="00B438AE">
        <w:rPr>
          <w:rFonts w:ascii="Times New Roman" w:eastAsia="Calibri" w:hAnsi="Times New Roman" w:cs="Times New Roman"/>
          <w:lang w:val="lt-LT"/>
        </w:rPr>
        <w:t xml:space="preserve">, </w:t>
      </w:r>
      <w:r w:rsidR="00C63146">
        <w:rPr>
          <w:rFonts w:ascii="Times New Roman" w:eastAsia="Calibri" w:hAnsi="Times New Roman" w:cs="Times New Roman"/>
          <w:lang w:val="lt-LT"/>
        </w:rPr>
        <w:t xml:space="preserve">tai </w:t>
      </w:r>
      <w:r w:rsidR="00B438AE" w:rsidRPr="00964115">
        <w:rPr>
          <w:rFonts w:ascii="Times New Roman" w:eastAsia="Calibri" w:hAnsi="Times New Roman" w:cs="Times New Roman"/>
          <w:lang w:val="lt-LT"/>
        </w:rPr>
        <w:t xml:space="preserve">prieš </w:t>
      </w:r>
      <w:r w:rsidR="00C63146">
        <w:rPr>
          <w:rFonts w:ascii="Times New Roman" w:eastAsia="Calibri" w:hAnsi="Times New Roman" w:cs="Times New Roman"/>
          <w:lang w:val="lt-LT"/>
        </w:rPr>
        <w:t>vartodama</w:t>
      </w:r>
      <w:r w:rsidR="00B438AE" w:rsidRPr="00964115">
        <w:rPr>
          <w:rFonts w:ascii="Times New Roman" w:eastAsia="Calibri" w:hAnsi="Times New Roman" w:cs="Times New Roman"/>
          <w:lang w:val="lt-LT"/>
        </w:rPr>
        <w:t xml:space="preserve"> </w:t>
      </w:r>
      <w:r w:rsidR="00B438AE">
        <w:rPr>
          <w:rFonts w:ascii="Times New Roman" w:eastAsia="Calibri" w:hAnsi="Times New Roman" w:cs="Times New Roman"/>
          <w:lang w:val="lt-LT"/>
        </w:rPr>
        <w:t>šį</w:t>
      </w:r>
      <w:r w:rsidR="00B438AE" w:rsidRPr="00964115">
        <w:rPr>
          <w:rFonts w:ascii="Times New Roman" w:eastAsia="Calibri" w:hAnsi="Times New Roman" w:cs="Times New Roman"/>
          <w:lang w:val="lt-LT"/>
        </w:rPr>
        <w:t xml:space="preserve"> vaistą, pasikonsultuokite su gydytoju arba vaistininku.</w:t>
      </w:r>
      <w:r w:rsidR="00B438AE">
        <w:rPr>
          <w:rFonts w:ascii="Times New Roman" w:eastAsia="Calibri" w:hAnsi="Times New Roman" w:cs="Times New Roman"/>
          <w:lang w:val="lt-LT"/>
        </w:rPr>
        <w:br/>
      </w:r>
    </w:p>
    <w:p w14:paraId="4787A9AB" w14:textId="5F3EECAB" w:rsidR="0089061E" w:rsidRPr="00E253AF" w:rsidRDefault="008D255B" w:rsidP="00797756">
      <w:pPr>
        <w:spacing w:after="0" w:line="240" w:lineRule="auto"/>
        <w:rPr>
          <w:rFonts w:ascii="Times New Roman" w:eastAsia="Calibri" w:hAnsi="Times New Roman" w:cs="Times New Roman"/>
          <w:bCs/>
          <w:i/>
          <w:iCs/>
          <w:lang w:val="lt-LT"/>
        </w:rPr>
      </w:pPr>
      <w:r w:rsidRPr="00E253AF">
        <w:rPr>
          <w:rFonts w:ascii="Times New Roman" w:eastAsia="Calibri" w:hAnsi="Times New Roman" w:cs="Times New Roman"/>
          <w:bCs/>
          <w:i/>
          <w:iCs/>
          <w:lang w:val="lt-LT"/>
        </w:rPr>
        <w:t>Nėštumas</w:t>
      </w:r>
    </w:p>
    <w:p w14:paraId="5FD7695D" w14:textId="7DFC0DB9" w:rsidR="00041EB0" w:rsidRDefault="00797756" w:rsidP="004C00EB">
      <w:pPr>
        <w:spacing w:after="0" w:line="240" w:lineRule="auto"/>
        <w:ind w:right="-2"/>
        <w:rPr>
          <w:rFonts w:ascii="Times New Roman" w:eastAsia="Calibri" w:hAnsi="Times New Roman" w:cs="Times New Roman"/>
          <w:lang w:val="lt-LT"/>
        </w:rPr>
      </w:pPr>
      <w:r w:rsidRPr="00E253AF">
        <w:rPr>
          <w:rFonts w:ascii="Times New Roman" w:eastAsia="Calibri" w:hAnsi="Times New Roman" w:cs="Times New Roman"/>
          <w:u w:val="single"/>
          <w:lang w:val="lt-LT"/>
        </w:rPr>
        <w:t>Vimovo negalima vartoti paskutinius 3 nėštumo mėnesius</w:t>
      </w:r>
      <w:r w:rsidR="00C35FAC" w:rsidRPr="00E253AF">
        <w:rPr>
          <w:rFonts w:ascii="Times New Roman" w:eastAsia="Calibri" w:hAnsi="Times New Roman" w:cs="Times New Roman"/>
          <w:u w:val="single"/>
          <w:lang w:val="lt-LT"/>
        </w:rPr>
        <w:t xml:space="preserve">, </w:t>
      </w:r>
      <w:r w:rsidR="0011528B" w:rsidRPr="00E253AF">
        <w:rPr>
          <w:rFonts w:ascii="Times New Roman" w:eastAsia="Calibri" w:hAnsi="Times New Roman" w:cs="Times New Roman"/>
          <w:u w:val="single"/>
          <w:lang w:val="lt-LT"/>
        </w:rPr>
        <w:t>nes tai gali pakenkti vaisiui (būsimam kūdikiui) arba sukelti problemų gimdymo metu.</w:t>
      </w:r>
      <w:r w:rsidR="002C2347">
        <w:rPr>
          <w:rFonts w:ascii="Times New Roman" w:eastAsia="Calibri" w:hAnsi="Times New Roman" w:cs="Times New Roman"/>
          <w:lang w:val="lt-LT"/>
        </w:rPr>
        <w:t xml:space="preserve"> </w:t>
      </w:r>
      <w:r w:rsidR="002C2347" w:rsidRPr="002C2347">
        <w:rPr>
          <w:rFonts w:ascii="Times New Roman" w:eastAsia="Calibri" w:hAnsi="Times New Roman" w:cs="Times New Roman"/>
          <w:lang w:val="lt-LT"/>
        </w:rPr>
        <w:t>Šis vaistas vaisiui gali sukelti inkstų ir širdies sutrikimų.</w:t>
      </w:r>
      <w:r w:rsidR="00D16B67">
        <w:rPr>
          <w:rFonts w:ascii="Times New Roman" w:eastAsia="Calibri" w:hAnsi="Times New Roman" w:cs="Times New Roman"/>
          <w:lang w:val="lt-LT"/>
        </w:rPr>
        <w:t xml:space="preserve"> </w:t>
      </w:r>
      <w:r w:rsidR="00D16B67" w:rsidRPr="00D16B67">
        <w:rPr>
          <w:rFonts w:ascii="Times New Roman" w:eastAsia="Calibri" w:hAnsi="Times New Roman" w:cs="Times New Roman"/>
          <w:lang w:val="lt-LT"/>
        </w:rPr>
        <w:t>Jis gali turėti įtakos Jūsų ir Jūsų kūdikio polinkiui kraujuoti ir pavėlinti gimdymą arba pailginti jo trukmę</w:t>
      </w:r>
      <w:r w:rsidR="008A2BF7">
        <w:rPr>
          <w:rFonts w:ascii="Times New Roman" w:eastAsia="Calibri" w:hAnsi="Times New Roman" w:cs="Times New Roman"/>
          <w:lang w:val="lt-LT"/>
        </w:rPr>
        <w:t>.</w:t>
      </w:r>
      <w:r w:rsidR="00672E07">
        <w:rPr>
          <w:rFonts w:ascii="Times New Roman" w:eastAsia="Calibri" w:hAnsi="Times New Roman" w:cs="Times New Roman"/>
          <w:lang w:val="lt-LT"/>
        </w:rPr>
        <w:t xml:space="preserve"> </w:t>
      </w:r>
      <w:r w:rsidR="00892B36" w:rsidRPr="00E253AF">
        <w:rPr>
          <w:rFonts w:ascii="Times New Roman" w:eastAsia="Calibri" w:hAnsi="Times New Roman" w:cs="Times New Roman"/>
          <w:u w:val="single"/>
          <w:lang w:val="lt-LT"/>
        </w:rPr>
        <w:t xml:space="preserve">Pirmuosius 6 nėštumo mėnesius </w:t>
      </w:r>
      <w:r w:rsidR="003C703D" w:rsidRPr="00E253AF">
        <w:rPr>
          <w:rFonts w:ascii="Times New Roman" w:eastAsia="Calibri" w:hAnsi="Times New Roman" w:cs="Times New Roman"/>
          <w:u w:val="single"/>
          <w:lang w:val="lt-LT"/>
        </w:rPr>
        <w:t>Vimovo</w:t>
      </w:r>
      <w:r w:rsidR="00892B36" w:rsidRPr="00E253AF">
        <w:rPr>
          <w:rFonts w:ascii="Times New Roman" w:eastAsia="Calibri" w:hAnsi="Times New Roman" w:cs="Times New Roman"/>
          <w:u w:val="single"/>
          <w:lang w:val="lt-LT"/>
        </w:rPr>
        <w:t xml:space="preserve"> vartoti negalima, nebent tai neabejotinai būtina ir taip pataria gydytojas</w:t>
      </w:r>
      <w:r w:rsidR="003C703D" w:rsidRPr="00E253AF">
        <w:rPr>
          <w:rFonts w:ascii="Times New Roman" w:eastAsia="Calibri" w:hAnsi="Times New Roman" w:cs="Times New Roman"/>
          <w:u w:val="single"/>
          <w:lang w:val="lt-LT"/>
        </w:rPr>
        <w:t>.</w:t>
      </w:r>
      <w:r w:rsidR="004C00EB">
        <w:rPr>
          <w:rFonts w:ascii="Times New Roman" w:eastAsia="Calibri" w:hAnsi="Times New Roman" w:cs="Times New Roman"/>
          <w:lang w:val="lt-LT"/>
        </w:rPr>
        <w:t xml:space="preserve"> </w:t>
      </w:r>
      <w:r w:rsidR="004C41B9" w:rsidRPr="004C41B9">
        <w:rPr>
          <w:rFonts w:ascii="Times New Roman" w:eastAsia="Calibri" w:hAnsi="Times New Roman" w:cs="Times New Roman"/>
          <w:lang w:val="lt-LT"/>
        </w:rPr>
        <w:t>Jeigu šiuo laikotarpiu arba tuo metu, kai bandote pastoti, jums reikia gydymo šiuo vaistu, varto</w:t>
      </w:r>
      <w:r w:rsidR="005629E7">
        <w:rPr>
          <w:rFonts w:ascii="Times New Roman" w:eastAsia="Calibri" w:hAnsi="Times New Roman" w:cs="Times New Roman"/>
          <w:lang w:val="lt-LT"/>
        </w:rPr>
        <w:t>ti treikia</w:t>
      </w:r>
      <w:r w:rsidR="004C41B9" w:rsidRPr="004C41B9">
        <w:rPr>
          <w:rFonts w:ascii="Times New Roman" w:eastAsia="Calibri" w:hAnsi="Times New Roman" w:cs="Times New Roman"/>
          <w:lang w:val="lt-LT"/>
        </w:rPr>
        <w:t xml:space="preserve"> mažiausią jo dozę ir kaip įmanoma trumpiau.</w:t>
      </w:r>
      <w:r w:rsidR="004C41B9">
        <w:rPr>
          <w:rFonts w:ascii="Times New Roman" w:eastAsia="Calibri" w:hAnsi="Times New Roman" w:cs="Times New Roman"/>
          <w:lang w:val="lt-LT"/>
        </w:rPr>
        <w:t xml:space="preserve"> </w:t>
      </w:r>
      <w:r w:rsidR="005629E7">
        <w:rPr>
          <w:rFonts w:ascii="Times New Roman" w:eastAsia="Calibri" w:hAnsi="Times New Roman" w:cs="Times New Roman"/>
          <w:lang w:val="lt-LT"/>
        </w:rPr>
        <w:t>Jei p</w:t>
      </w:r>
      <w:r w:rsidR="00041EB0" w:rsidRPr="00041EB0">
        <w:rPr>
          <w:rFonts w:ascii="Times New Roman" w:eastAsia="Calibri" w:hAnsi="Times New Roman" w:cs="Times New Roman"/>
          <w:lang w:val="lt-LT"/>
        </w:rPr>
        <w:t xml:space="preserve">o 20-os nėštumo savaitės </w:t>
      </w:r>
      <w:r w:rsidR="00041EB0">
        <w:rPr>
          <w:rFonts w:ascii="Times New Roman" w:eastAsia="Calibri" w:hAnsi="Times New Roman" w:cs="Times New Roman"/>
          <w:lang w:val="lt-LT"/>
        </w:rPr>
        <w:t>Vimovo</w:t>
      </w:r>
      <w:r w:rsidR="00041EB0" w:rsidRPr="00041EB0">
        <w:rPr>
          <w:rFonts w:ascii="Times New Roman" w:eastAsia="Calibri" w:hAnsi="Times New Roman" w:cs="Times New Roman"/>
          <w:lang w:val="lt-LT"/>
        </w:rPr>
        <w:t xml:space="preserve"> </w:t>
      </w:r>
      <w:r w:rsidR="005629E7" w:rsidRPr="00041EB0">
        <w:rPr>
          <w:rFonts w:ascii="Times New Roman" w:eastAsia="Calibri" w:hAnsi="Times New Roman" w:cs="Times New Roman"/>
          <w:lang w:val="lt-LT"/>
        </w:rPr>
        <w:t>vartojama daugiau kaip kelias dienas</w:t>
      </w:r>
      <w:r w:rsidR="005629E7">
        <w:rPr>
          <w:rFonts w:ascii="Times New Roman" w:eastAsia="Calibri" w:hAnsi="Times New Roman" w:cs="Times New Roman"/>
          <w:lang w:val="lt-LT"/>
        </w:rPr>
        <w:t>, jis</w:t>
      </w:r>
      <w:r w:rsidR="005629E7" w:rsidRPr="00041EB0">
        <w:rPr>
          <w:rFonts w:ascii="Times New Roman" w:eastAsia="Calibri" w:hAnsi="Times New Roman" w:cs="Times New Roman"/>
          <w:lang w:val="lt-LT"/>
        </w:rPr>
        <w:t xml:space="preserve"> </w:t>
      </w:r>
      <w:r w:rsidR="00041EB0" w:rsidRPr="00041EB0">
        <w:rPr>
          <w:rFonts w:ascii="Times New Roman" w:eastAsia="Calibri" w:hAnsi="Times New Roman" w:cs="Times New Roman"/>
          <w:lang w:val="lt-LT"/>
        </w:rPr>
        <w:t xml:space="preserve">gali sukelti vaisiui inkstų sutrikimų, </w:t>
      </w:r>
      <w:r w:rsidR="005629E7">
        <w:rPr>
          <w:rFonts w:ascii="Times New Roman" w:eastAsia="Calibri" w:hAnsi="Times New Roman" w:cs="Times New Roman"/>
          <w:lang w:val="lt-LT"/>
        </w:rPr>
        <w:t>dėl kurių</w:t>
      </w:r>
      <w:r w:rsidR="00041EB0" w:rsidRPr="00041EB0">
        <w:rPr>
          <w:rFonts w:ascii="Times New Roman" w:eastAsia="Calibri" w:hAnsi="Times New Roman" w:cs="Times New Roman"/>
          <w:lang w:val="lt-LT"/>
        </w:rPr>
        <w:t xml:space="preserve"> gali sumažėti vaisiaus vandenų (oligohidramnionas)</w:t>
      </w:r>
      <w:r w:rsidR="005629E7">
        <w:rPr>
          <w:rFonts w:ascii="Times New Roman" w:eastAsia="Calibri" w:hAnsi="Times New Roman" w:cs="Times New Roman"/>
          <w:lang w:val="lt-LT"/>
        </w:rPr>
        <w:t xml:space="preserve"> arba susiaurėti kraujagyslė vaisiaus širdyje (ductus arteriosus)</w:t>
      </w:r>
      <w:r w:rsidR="00041EB0" w:rsidRPr="00041EB0">
        <w:rPr>
          <w:rFonts w:ascii="Times New Roman" w:eastAsia="Calibri" w:hAnsi="Times New Roman" w:cs="Times New Roman"/>
          <w:lang w:val="lt-LT"/>
        </w:rPr>
        <w:t>. Jeigu gydymą reikia tęsti ilgiau nei kelias dienas, gydytojas gali rekomenduoti atlikti papildomą stebėseną.</w:t>
      </w:r>
    </w:p>
    <w:p w14:paraId="1A112334" w14:textId="77777777" w:rsidR="004C00EB" w:rsidRDefault="004C00EB" w:rsidP="004C00EB">
      <w:pPr>
        <w:spacing w:after="0" w:line="240" w:lineRule="auto"/>
        <w:ind w:right="-2"/>
        <w:rPr>
          <w:rFonts w:ascii="Times New Roman" w:eastAsia="Calibri" w:hAnsi="Times New Roman" w:cs="Times New Roman"/>
          <w:lang w:val="lt-LT"/>
        </w:rPr>
      </w:pPr>
    </w:p>
    <w:p w14:paraId="1DDCEA9E" w14:textId="1C1B2038" w:rsidR="004C00EB" w:rsidRPr="00E253AF" w:rsidRDefault="007C79AF" w:rsidP="00E253AF">
      <w:pPr>
        <w:spacing w:after="0" w:line="240" w:lineRule="auto"/>
        <w:ind w:right="-2"/>
        <w:rPr>
          <w:rFonts w:ascii="Times New Roman" w:eastAsia="Calibri" w:hAnsi="Times New Roman" w:cs="Times New Roman"/>
          <w:i/>
          <w:iCs/>
          <w:lang w:val="lt-LT"/>
        </w:rPr>
      </w:pPr>
      <w:r w:rsidRPr="00E253AF">
        <w:rPr>
          <w:rFonts w:ascii="Times New Roman" w:eastAsia="Calibri" w:hAnsi="Times New Roman" w:cs="Times New Roman"/>
          <w:i/>
          <w:iCs/>
          <w:lang w:val="lt-LT"/>
        </w:rPr>
        <w:t>Žindymo laikotarpis</w:t>
      </w:r>
    </w:p>
    <w:p w14:paraId="6F94B583" w14:textId="77777777" w:rsidR="00797756" w:rsidRPr="00964115" w:rsidRDefault="00797756" w:rsidP="00E253AF">
      <w:p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Negalima vartoti Vimovo kūdikio žindymo laikotarpiu, kadangi nedidelis šio vaisto kiekis gali patekti į Jūsų pieną. Taip pat Vimovo nevartokite, jeigu planuojate žindyti kūdikį.</w:t>
      </w:r>
    </w:p>
    <w:p w14:paraId="2469565E" w14:textId="77777777" w:rsidR="00BB6568" w:rsidRPr="00E253AF" w:rsidRDefault="00BB6568" w:rsidP="00797756">
      <w:pPr>
        <w:numPr>
          <w:ilvl w:val="12"/>
          <w:numId w:val="0"/>
        </w:numPr>
        <w:spacing w:after="0" w:line="240" w:lineRule="auto"/>
        <w:rPr>
          <w:rFonts w:ascii="Times New Roman" w:eastAsia="Calibri" w:hAnsi="Times New Roman" w:cs="Times New Roman"/>
          <w:i/>
          <w:iCs/>
          <w:lang w:val="lt-LT"/>
        </w:rPr>
      </w:pPr>
    </w:p>
    <w:p w14:paraId="12C6C922" w14:textId="657C2BB5" w:rsidR="00BB6568" w:rsidRPr="00E253AF" w:rsidRDefault="00BB6568" w:rsidP="00797756">
      <w:pPr>
        <w:numPr>
          <w:ilvl w:val="12"/>
          <w:numId w:val="0"/>
        </w:numPr>
        <w:spacing w:after="0" w:line="240" w:lineRule="auto"/>
        <w:rPr>
          <w:rFonts w:ascii="Times New Roman" w:eastAsia="Calibri" w:hAnsi="Times New Roman" w:cs="Times New Roman"/>
          <w:i/>
          <w:iCs/>
          <w:lang w:val="lt-LT"/>
        </w:rPr>
      </w:pPr>
      <w:r w:rsidRPr="00E253AF">
        <w:rPr>
          <w:rFonts w:ascii="Times New Roman" w:eastAsia="Calibri" w:hAnsi="Times New Roman" w:cs="Times New Roman"/>
          <w:i/>
          <w:iCs/>
          <w:lang w:val="lt-LT"/>
        </w:rPr>
        <w:t>Vaisingumas</w:t>
      </w:r>
    </w:p>
    <w:p w14:paraId="6F94B584" w14:textId="49A76AEB" w:rsidR="00797756" w:rsidRPr="00964115" w:rsidRDefault="00797756" w:rsidP="00797756">
      <w:pPr>
        <w:numPr>
          <w:ilvl w:val="12"/>
          <w:numId w:val="0"/>
        </w:numPr>
        <w:spacing w:after="0" w:line="240" w:lineRule="auto"/>
        <w:rPr>
          <w:rFonts w:ascii="Times New Roman" w:eastAsia="Calibri" w:hAnsi="Times New Roman" w:cs="Times New Roman"/>
          <w:b/>
          <w:lang w:val="lt-LT"/>
        </w:rPr>
      </w:pPr>
      <w:r w:rsidRPr="00964115">
        <w:rPr>
          <w:rFonts w:ascii="Times New Roman" w:eastAsia="Calibri" w:hAnsi="Times New Roman" w:cs="Times New Roman"/>
          <w:lang w:val="lt-LT"/>
        </w:rPr>
        <w:t>Vartojant Vimovo gali būti sunkiau pastoti. Jeigu planuojate pastoti arba Jums sunku pastoti, apie tai pasakykite gydytojui.</w:t>
      </w:r>
    </w:p>
    <w:p w14:paraId="6F94B585" w14:textId="77777777" w:rsidR="00797756" w:rsidRPr="00964115" w:rsidRDefault="00797756" w:rsidP="00797756">
      <w:pPr>
        <w:spacing w:after="0" w:line="240" w:lineRule="auto"/>
        <w:rPr>
          <w:rFonts w:ascii="Times New Roman" w:eastAsia="Calibri" w:hAnsi="Times New Roman" w:cs="Times New Roman"/>
          <w:lang w:val="lt-LT"/>
        </w:rPr>
      </w:pPr>
    </w:p>
    <w:p w14:paraId="6F94B586"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b/>
          <w:lang w:val="lt-LT"/>
        </w:rPr>
        <w:t>Vairavimas ir mechanizmų valdymas</w:t>
      </w:r>
    </w:p>
    <w:p w14:paraId="6F94B58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Vartojant Vimovo, gali svaigti galva arba regėjimas pasidaryti neryškus. Taip atsitikus negalima vairuoti, valdyti mechanizmų ar mašinų.</w:t>
      </w:r>
    </w:p>
    <w:p w14:paraId="6F94B588" w14:textId="77777777" w:rsidR="00797756" w:rsidRPr="00964115" w:rsidRDefault="00797756" w:rsidP="00797756">
      <w:pPr>
        <w:spacing w:after="0" w:line="240" w:lineRule="auto"/>
        <w:rPr>
          <w:rFonts w:ascii="Times New Roman" w:eastAsia="Calibri" w:hAnsi="Times New Roman" w:cs="Times New Roman"/>
          <w:lang w:val="lt-LT"/>
        </w:rPr>
      </w:pPr>
    </w:p>
    <w:p w14:paraId="6F94B589" w14:textId="77777777" w:rsidR="00797756" w:rsidRPr="00964115" w:rsidRDefault="00797756" w:rsidP="00797756">
      <w:pPr>
        <w:numPr>
          <w:ilvl w:val="12"/>
          <w:numId w:val="0"/>
        </w:num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Vimovo sudėtyje yra metilparahidroksibenzoato (E218) ir propilparahidroksibenzoato (E216)</w:t>
      </w:r>
    </w:p>
    <w:p w14:paraId="6F94B58A" w14:textId="77777777" w:rsidR="00797756" w:rsidRPr="00964115" w:rsidRDefault="00797756" w:rsidP="00797756">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Šios medžiagos gali sukelti alerginių reakcijų, kurių gali pasireikšti ne iš karto.</w:t>
      </w:r>
    </w:p>
    <w:p w14:paraId="6F94B58B" w14:textId="6A36F1D0"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br/>
      </w:r>
      <w:r w:rsidR="00291510" w:rsidRPr="00964115">
        <w:rPr>
          <w:rFonts w:ascii="Times New Roman" w:eastAsia="Calibri" w:hAnsi="Times New Roman" w:cs="Times New Roman"/>
          <w:lang w:val="lt-LT"/>
        </w:rPr>
        <w:t xml:space="preserve">VIMOVO tabletėje yra mažiau kaip </w:t>
      </w:r>
      <w:r w:rsidR="002344DF" w:rsidRPr="00964115">
        <w:rPr>
          <w:rFonts w:ascii="Times New Roman" w:eastAsia="Calibri" w:hAnsi="Times New Roman" w:cs="Times New Roman"/>
          <w:lang w:val="lt-LT"/>
        </w:rPr>
        <w:t>1</w:t>
      </w:r>
      <w:r w:rsidR="002344DF">
        <w:rPr>
          <w:rFonts w:ascii="Times New Roman" w:eastAsia="Calibri" w:hAnsi="Times New Roman" w:cs="Times New Roman"/>
          <w:lang w:val="lt-LT"/>
        </w:rPr>
        <w:t> </w:t>
      </w:r>
      <w:r w:rsidR="00291510" w:rsidRPr="00964115">
        <w:rPr>
          <w:rFonts w:ascii="Times New Roman" w:eastAsia="Calibri" w:hAnsi="Times New Roman" w:cs="Times New Roman"/>
          <w:lang w:val="lt-LT"/>
        </w:rPr>
        <w:t>mmol (</w:t>
      </w:r>
      <w:r w:rsidR="002344DF" w:rsidRPr="00964115">
        <w:rPr>
          <w:rFonts w:ascii="Times New Roman" w:eastAsia="Calibri" w:hAnsi="Times New Roman" w:cs="Times New Roman"/>
          <w:lang w:val="lt-LT"/>
        </w:rPr>
        <w:t>23</w:t>
      </w:r>
      <w:r w:rsidR="002344DF">
        <w:rPr>
          <w:rFonts w:ascii="Times New Roman" w:eastAsia="Calibri" w:hAnsi="Times New Roman" w:cs="Times New Roman"/>
          <w:lang w:val="lt-LT"/>
        </w:rPr>
        <w:t> </w:t>
      </w:r>
      <w:r w:rsidR="00291510" w:rsidRPr="00964115">
        <w:rPr>
          <w:rFonts w:ascii="Times New Roman" w:eastAsia="Calibri" w:hAnsi="Times New Roman" w:cs="Times New Roman"/>
          <w:lang w:val="lt-LT"/>
        </w:rPr>
        <w:t>mg) natrio, t. y. jis beveik neturi reikšmės.</w:t>
      </w:r>
    </w:p>
    <w:p w14:paraId="6F94B58C" w14:textId="77777777" w:rsidR="00291510" w:rsidRPr="00964115" w:rsidRDefault="00291510" w:rsidP="00797756">
      <w:pPr>
        <w:spacing w:after="0" w:line="240" w:lineRule="auto"/>
        <w:rPr>
          <w:rFonts w:ascii="Times New Roman" w:eastAsia="Calibri" w:hAnsi="Times New Roman" w:cs="Times New Roman"/>
          <w:lang w:val="lt-LT"/>
        </w:rPr>
      </w:pPr>
    </w:p>
    <w:p w14:paraId="6F94B58D" w14:textId="77777777" w:rsidR="00291510" w:rsidRPr="00964115" w:rsidRDefault="00291510" w:rsidP="00797756">
      <w:pPr>
        <w:spacing w:after="0" w:line="240" w:lineRule="auto"/>
        <w:rPr>
          <w:rFonts w:ascii="Times New Roman" w:eastAsia="Calibri" w:hAnsi="Times New Roman" w:cs="Times New Roman"/>
          <w:lang w:val="lt-LT"/>
        </w:rPr>
      </w:pPr>
    </w:p>
    <w:p w14:paraId="6F94B58E"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3. </w:t>
      </w:r>
      <w:r w:rsidRPr="00964115">
        <w:rPr>
          <w:rFonts w:ascii="Times New Roman" w:eastAsia="Calibri" w:hAnsi="Times New Roman" w:cs="Times New Roman"/>
          <w:b/>
          <w:lang w:val="lt-LT"/>
        </w:rPr>
        <w:tab/>
        <w:t>Kaip vartoti Vimovo</w:t>
      </w:r>
    </w:p>
    <w:p w14:paraId="6F94B58F" w14:textId="77777777" w:rsidR="00797756" w:rsidRPr="00964115" w:rsidRDefault="00797756" w:rsidP="00797756">
      <w:pPr>
        <w:spacing w:after="0" w:line="240" w:lineRule="auto"/>
        <w:rPr>
          <w:rFonts w:ascii="Times New Roman" w:eastAsia="Calibri" w:hAnsi="Times New Roman" w:cs="Times New Roman"/>
          <w:lang w:val="lt-LT"/>
        </w:rPr>
      </w:pPr>
    </w:p>
    <w:p w14:paraId="6F94B59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Visada vartokite šį vaistą tiksliai kaip nurodė gydytojas. Jeigu abejojate, kreipkitės į gydytoją arba vaistininką.</w:t>
      </w:r>
    </w:p>
    <w:p w14:paraId="6F94B591" w14:textId="77777777" w:rsidR="00797756" w:rsidRPr="00964115" w:rsidRDefault="00797756" w:rsidP="00797756">
      <w:pPr>
        <w:spacing w:after="0" w:line="240" w:lineRule="auto"/>
        <w:rPr>
          <w:rFonts w:ascii="Times New Roman" w:eastAsia="Calibri" w:hAnsi="Times New Roman" w:cs="Times New Roman"/>
          <w:lang w:val="lt-LT"/>
        </w:rPr>
      </w:pPr>
    </w:p>
    <w:p w14:paraId="6F94B592"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Šio vaisto vartojimas</w:t>
      </w:r>
    </w:p>
    <w:p w14:paraId="6F94B593" w14:textId="77777777" w:rsidR="00797756" w:rsidRPr="00964115" w:rsidRDefault="00797756" w:rsidP="00797756">
      <w:pPr>
        <w:numPr>
          <w:ilvl w:val="0"/>
          <w:numId w:val="3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Tabletę reikia nuryti nepažeistą, užgeriant vandeniu. Jos negalima smulkinti, kramtyti ar traiškyti. Gerti tabletę nepažeistą svarbu norint užtikrinti jos tinkamą veikimą. </w:t>
      </w:r>
    </w:p>
    <w:p w14:paraId="6F94B594" w14:textId="77777777" w:rsidR="00797756" w:rsidRPr="00964115" w:rsidRDefault="00797756" w:rsidP="00797756">
      <w:pPr>
        <w:numPr>
          <w:ilvl w:val="0"/>
          <w:numId w:val="3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Šias tabletes reikia gerti ne mažiau kaip 30 min. prieš valgį.</w:t>
      </w:r>
    </w:p>
    <w:p w14:paraId="6F94B595" w14:textId="77777777" w:rsidR="00797756" w:rsidRPr="00964115" w:rsidRDefault="00797756" w:rsidP="00797756">
      <w:pPr>
        <w:numPr>
          <w:ilvl w:val="0"/>
          <w:numId w:val="3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šį vaistą vartojate ilgai (ypač jeigu ilgiau kaip vienerius metus), Jūsų būklę stebės gydytojas.</w:t>
      </w:r>
    </w:p>
    <w:p w14:paraId="6F94B596" w14:textId="77777777" w:rsidR="00797756" w:rsidRPr="00964115" w:rsidRDefault="00797756" w:rsidP="00797756">
      <w:pPr>
        <w:spacing w:after="0" w:line="240" w:lineRule="auto"/>
        <w:rPr>
          <w:rFonts w:ascii="Times New Roman" w:eastAsia="Calibri" w:hAnsi="Times New Roman" w:cs="Times New Roman"/>
          <w:lang w:val="lt-LT"/>
        </w:rPr>
      </w:pPr>
    </w:p>
    <w:p w14:paraId="6F94B597"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Kiek vaisto vartoti</w:t>
      </w:r>
    </w:p>
    <w:p w14:paraId="6F94B598" w14:textId="77777777" w:rsidR="00797756" w:rsidRPr="00964115" w:rsidRDefault="00797756" w:rsidP="00797756">
      <w:pPr>
        <w:numPr>
          <w:ilvl w:val="0"/>
          <w:numId w:val="3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Gerkite po vieną tabletę 2 kartus per parą tiek laiko, kiek nurodė gydytojas.</w:t>
      </w:r>
    </w:p>
    <w:p w14:paraId="6F94B599" w14:textId="77777777" w:rsidR="00797756" w:rsidRPr="00964115" w:rsidRDefault="00797756" w:rsidP="00797756">
      <w:pPr>
        <w:numPr>
          <w:ilvl w:val="0"/>
          <w:numId w:val="3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Gaminamos tik 500 mg / 20 mg Vimovo tabletės. Jeigu gydytojas manys, kad tokia dozė Jums netinka, tai paskirs Jums kitą vaistą.</w:t>
      </w:r>
    </w:p>
    <w:p w14:paraId="6F94B59A" w14:textId="77777777" w:rsidR="00797756" w:rsidRPr="00964115" w:rsidRDefault="00797756" w:rsidP="00797756">
      <w:pPr>
        <w:spacing w:after="0" w:line="240" w:lineRule="auto"/>
        <w:rPr>
          <w:rFonts w:ascii="Times New Roman" w:eastAsia="Calibri" w:hAnsi="Times New Roman" w:cs="Times New Roman"/>
          <w:lang w:val="lt-LT"/>
        </w:rPr>
      </w:pPr>
    </w:p>
    <w:p w14:paraId="6F94B59B"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Pavartojus per didelę Vimovo dozę</w:t>
      </w:r>
    </w:p>
    <w:p w14:paraId="6F94B59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Išgėrę per didelę Vimovo dozę, tuojau pat pasikonsultuokite su gydytoju arba vaistininku. Perdozavimo simptomai gali būti letargija, svaigulys, </w:t>
      </w:r>
      <w:r w:rsidRPr="00964115">
        <w:rPr>
          <w:rFonts w:ascii="Times New Roman" w:eastAsia="Calibri" w:hAnsi="Times New Roman" w:cs="Times New Roman"/>
          <w:bCs/>
          <w:lang w:val="lt-LT"/>
        </w:rPr>
        <w:t>mieguistumas</w:t>
      </w:r>
      <w:r w:rsidRPr="00964115">
        <w:rPr>
          <w:rFonts w:ascii="Times New Roman" w:eastAsia="Calibri" w:hAnsi="Times New Roman" w:cs="Times New Roman"/>
          <w:lang w:val="lt-LT"/>
        </w:rPr>
        <w:t>, skausmas ir (arba) diskomfortas viršutinėje pilvo dalyje, rėmuo, nevirškinimas, pykinimas, kepenų sutrikimai (nustatomi tiriant kraują), inkstų sutrikimai (jie gali būti sunkūs), padidėjęs rūgšties kiekis kraujyje, minčių susipainiojimas, vėmimas, kraujavimas iš skrandžio ar žarnų, padidėjęs kraujospūdis, pasunkėjęs kvėpavimas, koma, ūminės alerginės reakcijos (dėl jų gali pasireikšti dusulys, išberti odą, patinti veidas ir/ar gerklė, ištikti kolapsas) ir nekontroliuojami kūno judesiai.</w:t>
      </w:r>
    </w:p>
    <w:p w14:paraId="6F94B59D" w14:textId="77777777" w:rsidR="00797756" w:rsidRPr="00964115" w:rsidRDefault="00797756" w:rsidP="00797756">
      <w:pPr>
        <w:spacing w:after="0" w:line="240" w:lineRule="auto"/>
        <w:rPr>
          <w:rFonts w:ascii="Times New Roman" w:eastAsia="Calibri" w:hAnsi="Times New Roman" w:cs="Times New Roman"/>
          <w:lang w:val="lt-LT"/>
        </w:rPr>
      </w:pPr>
    </w:p>
    <w:p w14:paraId="6F94B59E"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Pamiršus pavartoti Vimovo</w:t>
      </w:r>
    </w:p>
    <w:p w14:paraId="6F94B59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Užmirštą dozę išgerkite iš karto prisiminę. Vis dėlto jeigu jau beveik laikas gerti kitą dozę, tai užmirštąją praleiskite. </w:t>
      </w:r>
    </w:p>
    <w:p w14:paraId="6F94B5A0" w14:textId="77777777" w:rsidR="00797756" w:rsidRPr="00964115" w:rsidRDefault="00797756" w:rsidP="00797756">
      <w:p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Negalima vartoti dvigubos dozės (dviejų dozių iš karto) norint kompensuoti praleistą dozę.</w:t>
      </w:r>
    </w:p>
    <w:p w14:paraId="6F94B5A1" w14:textId="77777777" w:rsidR="00797756" w:rsidRPr="00964115" w:rsidRDefault="00797756" w:rsidP="00797756">
      <w:pPr>
        <w:spacing w:after="0" w:line="240" w:lineRule="auto"/>
        <w:rPr>
          <w:rFonts w:ascii="Times New Roman" w:eastAsia="Calibri" w:hAnsi="Times New Roman" w:cs="Times New Roman"/>
          <w:lang w:val="lt-LT"/>
        </w:rPr>
      </w:pPr>
    </w:p>
    <w:p w14:paraId="6F94B5A2"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kiltų daugiau klausimų dėl šio vaisto vartojimo, kreipkitės į gydytoją arba vaistininką.</w:t>
      </w:r>
    </w:p>
    <w:p w14:paraId="6F94B5A3" w14:textId="77777777" w:rsidR="00797756" w:rsidRPr="00964115" w:rsidRDefault="00797756" w:rsidP="00797756">
      <w:pPr>
        <w:spacing w:after="0" w:line="240" w:lineRule="auto"/>
        <w:rPr>
          <w:rFonts w:ascii="Times New Roman" w:eastAsia="Calibri" w:hAnsi="Times New Roman" w:cs="Times New Roman"/>
          <w:lang w:val="lt-LT"/>
        </w:rPr>
      </w:pPr>
    </w:p>
    <w:p w14:paraId="6F94B5A4" w14:textId="77777777" w:rsidR="00797756" w:rsidRPr="00964115" w:rsidRDefault="00797756" w:rsidP="00797756">
      <w:pPr>
        <w:spacing w:after="0" w:line="240" w:lineRule="auto"/>
        <w:rPr>
          <w:rFonts w:ascii="Times New Roman" w:eastAsia="Calibri" w:hAnsi="Times New Roman" w:cs="Times New Roman"/>
          <w:lang w:val="lt-LT"/>
        </w:rPr>
      </w:pPr>
    </w:p>
    <w:p w14:paraId="6F94B5A5"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4.</w:t>
      </w:r>
      <w:r w:rsidRPr="00964115">
        <w:rPr>
          <w:rFonts w:ascii="Times New Roman" w:eastAsia="Calibri" w:hAnsi="Times New Roman" w:cs="Times New Roman"/>
          <w:b/>
          <w:lang w:val="lt-LT"/>
        </w:rPr>
        <w:tab/>
        <w:t xml:space="preserve"> Galimas šalutinis poveikis</w:t>
      </w:r>
    </w:p>
    <w:p w14:paraId="6F94B5A6" w14:textId="77777777" w:rsidR="00797756" w:rsidRPr="00964115" w:rsidRDefault="00797756" w:rsidP="00797756">
      <w:pPr>
        <w:spacing w:after="0" w:line="240" w:lineRule="auto"/>
        <w:rPr>
          <w:rFonts w:ascii="Times New Roman" w:eastAsia="Calibri" w:hAnsi="Times New Roman" w:cs="Times New Roman"/>
          <w:lang w:val="lt-LT"/>
        </w:rPr>
      </w:pPr>
    </w:p>
    <w:p w14:paraId="6F94B5A7"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Šis vaistas, kaip ir visi kiti, gali sukelti šalutinį poveikį, nors jis pasireiškia ne visiems žmonėms. Vartojant šį vaistą gali pasireikšti toliau išvardytas šalutinis poveikis.</w:t>
      </w:r>
    </w:p>
    <w:p w14:paraId="6F94B5A8" w14:textId="77777777" w:rsidR="00797756" w:rsidRPr="00964115" w:rsidRDefault="00797756" w:rsidP="00797756">
      <w:pPr>
        <w:numPr>
          <w:ilvl w:val="12"/>
          <w:numId w:val="0"/>
        </w:numPr>
        <w:spacing w:after="0" w:line="240" w:lineRule="auto"/>
        <w:ind w:right="-29"/>
        <w:rPr>
          <w:rFonts w:ascii="Times New Roman" w:eastAsia="Calibri" w:hAnsi="Times New Roman" w:cs="Times New Roman"/>
          <w:lang w:val="lt-LT"/>
        </w:rPr>
      </w:pPr>
    </w:p>
    <w:p w14:paraId="6F94B5A9" w14:textId="77777777" w:rsidR="00797756" w:rsidRPr="00964115" w:rsidRDefault="00797756" w:rsidP="00797756">
      <w:pPr>
        <w:numPr>
          <w:ilvl w:val="12"/>
          <w:numId w:val="0"/>
        </w:num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Nutraukite Vimovo vartojimą ir nedelsdami kreipkitės į gydytoją, pastebėję bent vieną iš toliau išvardytų sunkių šalutinių poveikių, kadangi Jums gali būti būtina skubi gydytojo pagalba:</w:t>
      </w:r>
    </w:p>
    <w:p w14:paraId="6F94B5AA" w14:textId="77777777" w:rsidR="00797756" w:rsidRPr="00964115" w:rsidRDefault="00797756" w:rsidP="00797756">
      <w:pPr>
        <w:numPr>
          <w:ilvl w:val="0"/>
          <w:numId w:val="12"/>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staiga prasidėjęs dusulys, lūpų, liežuvio, gerklės ar viso kūno tinimas, išbėrimas, alpimas ar pasunkėjęs rijimas (sunki alerginė reakcija);</w:t>
      </w:r>
    </w:p>
    <w:p w14:paraId="128CFE95" w14:textId="09972DA1" w:rsidR="00D218F5" w:rsidRPr="00D218F5" w:rsidRDefault="00D218F5" w:rsidP="00D218F5">
      <w:pPr>
        <w:pStyle w:val="Sraopastraipa"/>
        <w:numPr>
          <w:ilvl w:val="0"/>
          <w:numId w:val="12"/>
        </w:numPr>
        <w:rPr>
          <w:rFonts w:eastAsia="Calibri"/>
          <w:lang w:val="lt-LT"/>
        </w:rPr>
      </w:pPr>
      <w:r w:rsidRPr="00D218F5">
        <w:rPr>
          <w:rFonts w:eastAsia="Calibri"/>
          <w:lang w:val="lt-LT"/>
        </w:rPr>
        <w:t xml:space="preserve">staiga prasidėjusį sunkaus pobūdžio išbėrimą arba odos paraudimą su pūslėmis ar lupimusi (tai gali atsitikti ir per kelias savaites baigus vartoti šį vaistą). Be to, gali atsirasti sunkaus pobūdžio pūslių ir prasidėti kraujavimas lūpose, akyse, burnos ar nosies ertmėje ir lytiniuose organuose. Odos išbėrimas gali progresuoti iki sunkaus išplitusio odos pažeidimo (epidermio ir paviršinės gleivinės lupimosi), kurio pasekmės gali būti pavojingos gyvybei. Tai gali būti daugiaformė eritema, Stivenso-Džonsono (Stevens-Johnson) sindromas, toksinė epidermio nekrolizė arba reakcija į vaistą su eozinofilija ir sisteminiais simptomais. Šie sutrikimai yra labai reti (gali pasireikšti </w:t>
      </w:r>
      <w:r w:rsidR="00DF78A6">
        <w:rPr>
          <w:rFonts w:eastAsia="Calibri"/>
          <w:lang w:val="lt-LT"/>
        </w:rPr>
        <w:t>rečiau</w:t>
      </w:r>
      <w:r w:rsidR="00307BB3">
        <w:rPr>
          <w:rFonts w:eastAsia="Calibri"/>
          <w:lang w:val="lt-LT"/>
        </w:rPr>
        <w:t xml:space="preserve"> kaip</w:t>
      </w:r>
      <w:r w:rsidRPr="00D218F5">
        <w:rPr>
          <w:rFonts w:eastAsia="Calibri"/>
          <w:lang w:val="lt-LT"/>
        </w:rPr>
        <w:t xml:space="preserve"> 1 iš 10</w:t>
      </w:r>
      <w:r w:rsidR="00307BB3">
        <w:rPr>
          <w:rFonts w:eastAsia="Calibri"/>
          <w:lang w:val="lt-LT"/>
        </w:rPr>
        <w:t> </w:t>
      </w:r>
      <w:r w:rsidRPr="00D218F5">
        <w:rPr>
          <w:rFonts w:eastAsia="Calibri"/>
          <w:lang w:val="lt-LT"/>
        </w:rPr>
        <w:t xml:space="preserve">000 </w:t>
      </w:r>
      <w:r w:rsidR="00307BB3">
        <w:rPr>
          <w:rFonts w:eastAsia="Calibri"/>
          <w:lang w:val="lt-LT"/>
        </w:rPr>
        <w:t>asmenų</w:t>
      </w:r>
      <w:r w:rsidRPr="00D218F5">
        <w:rPr>
          <w:rFonts w:eastAsia="Calibri"/>
          <w:lang w:val="lt-LT"/>
        </w:rPr>
        <w:t>)</w:t>
      </w:r>
      <w:r>
        <w:rPr>
          <w:rFonts w:eastAsia="Calibri"/>
          <w:lang w:val="lt-LT"/>
        </w:rPr>
        <w:t>;</w:t>
      </w:r>
    </w:p>
    <w:p w14:paraId="6F94B5AC" w14:textId="77777777" w:rsidR="00797756" w:rsidRPr="00964115" w:rsidRDefault="00797756" w:rsidP="00797756">
      <w:pPr>
        <w:numPr>
          <w:ilvl w:val="0"/>
          <w:numId w:val="12"/>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pageltusi oda ar akių obuoliai, patamsėjęs šlapimas ir nuovargis (šie simptomai ga</w:t>
      </w:r>
      <w:r w:rsidRPr="00964115">
        <w:rPr>
          <w:rFonts w:ascii="Times New Roman" w:eastAsia="Calibri" w:hAnsi="Times New Roman" w:cs="Times New Roman"/>
          <w:lang w:val="lt-LT"/>
        </w:rPr>
        <w:softHyphen/>
        <w:t>li rodyti sutrikusią kepenų funkciją);</w:t>
      </w:r>
    </w:p>
    <w:p w14:paraId="6F94B5AD" w14:textId="77777777" w:rsidR="00797756" w:rsidRPr="00964115" w:rsidRDefault="00797756" w:rsidP="00797756">
      <w:pPr>
        <w:numPr>
          <w:ilvl w:val="0"/>
          <w:numId w:val="12"/>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 xml:space="preserve">tokie vaistai kaip Vimovo gali šiek tiek padidinti miokardo infarkto (širdies priepuolio) ar insulto riziką. Jų požymiai yra krūtinės skausmas, plintantis į kaklą, pečius ir žemyn kaire ranka, sutrikusi orientacija, raumenų silpnumas ar nejautra, kurie gali apimti tik vieną kūno pusę; </w:t>
      </w:r>
    </w:p>
    <w:p w14:paraId="6F94B5AE" w14:textId="77777777" w:rsidR="00797756" w:rsidRPr="00964115" w:rsidRDefault="00797756" w:rsidP="00797756">
      <w:pPr>
        <w:numPr>
          <w:ilvl w:val="0"/>
          <w:numId w:val="12"/>
        </w:num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juodos lipnios išmatos arba viduriavimas krauju;</w:t>
      </w:r>
    </w:p>
    <w:p w14:paraId="6F94B5AF" w14:textId="77777777" w:rsidR="00797756" w:rsidRPr="00964115" w:rsidRDefault="00797756" w:rsidP="00797756">
      <w:pPr>
        <w:numPr>
          <w:ilvl w:val="0"/>
          <w:numId w:val="12"/>
        </w:num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kraujas arba panašios į kavos tirščius juodos dėmės vėmaluose.</w:t>
      </w:r>
    </w:p>
    <w:p w14:paraId="6F94B5B0" w14:textId="77777777" w:rsidR="00797756" w:rsidRPr="00964115" w:rsidRDefault="00797756" w:rsidP="00797756">
      <w:pPr>
        <w:numPr>
          <w:ilvl w:val="12"/>
          <w:numId w:val="0"/>
        </w:numPr>
        <w:spacing w:after="0" w:line="240" w:lineRule="auto"/>
        <w:ind w:right="-29"/>
        <w:rPr>
          <w:rFonts w:ascii="Times New Roman" w:eastAsia="Calibri" w:hAnsi="Times New Roman" w:cs="Times New Roman"/>
          <w:lang w:val="lt-LT"/>
        </w:rPr>
      </w:pPr>
    </w:p>
    <w:p w14:paraId="6F94B5B1" w14:textId="77777777" w:rsidR="00797756" w:rsidRPr="00964115" w:rsidRDefault="00797756" w:rsidP="00797756">
      <w:pPr>
        <w:numPr>
          <w:ilvl w:val="12"/>
          <w:numId w:val="0"/>
        </w:num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Kiek įmanoma greičiau pasakykite gydytojui, jeigu Jums pasireikštų kuris nors iš toliau išvardytų šalutinių poveikių.</w:t>
      </w:r>
    </w:p>
    <w:p w14:paraId="6F94B5B2" w14:textId="77777777" w:rsidR="00797756" w:rsidRPr="00964115" w:rsidRDefault="00797756" w:rsidP="00797756">
      <w:pPr>
        <w:numPr>
          <w:ilvl w:val="12"/>
          <w:numId w:val="0"/>
        </w:numPr>
        <w:spacing w:after="0" w:line="240" w:lineRule="auto"/>
        <w:ind w:right="-29"/>
        <w:rPr>
          <w:rFonts w:ascii="Times New Roman" w:eastAsia="Calibri" w:hAnsi="Times New Roman" w:cs="Times New Roman"/>
          <w:lang w:val="lt-LT"/>
        </w:rPr>
      </w:pPr>
    </w:p>
    <w:p w14:paraId="6F94B5B3"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Retais atvejais Vimovo gali paveikti baltuosius kraujo kūnelius ir susilpninti imunitetą.</w:t>
      </w:r>
    </w:p>
    <w:p w14:paraId="6F94B5B4" w14:textId="77777777" w:rsidR="00797756" w:rsidRPr="00964115" w:rsidRDefault="00797756" w:rsidP="00797756">
      <w:pPr>
        <w:spacing w:after="0" w:line="240" w:lineRule="auto"/>
        <w:rPr>
          <w:rFonts w:ascii="Times New Roman" w:eastAsia="Calibri" w:hAnsi="Times New Roman" w:cs="Times New Roman"/>
          <w:lang w:val="lt-LT"/>
        </w:rPr>
      </w:pPr>
    </w:p>
    <w:p w14:paraId="6F94B5B5"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Jeigu Jums pasireikštų infekcinė liga, kurios simptomai yra karščiavimas ir </w:t>
      </w:r>
      <w:r w:rsidRPr="00964115">
        <w:rPr>
          <w:rFonts w:ascii="Times New Roman" w:eastAsia="Calibri" w:hAnsi="Times New Roman" w:cs="Times New Roman"/>
          <w:b/>
          <w:lang w:val="lt-LT"/>
        </w:rPr>
        <w:t xml:space="preserve">labai </w:t>
      </w:r>
      <w:r w:rsidRPr="00964115">
        <w:rPr>
          <w:rFonts w:ascii="Times New Roman" w:eastAsia="Calibri" w:hAnsi="Times New Roman" w:cs="Times New Roman"/>
          <w:lang w:val="lt-LT"/>
        </w:rPr>
        <w:t>pablogėjusi</w:t>
      </w:r>
      <w:r w:rsidRPr="00964115">
        <w:rPr>
          <w:rFonts w:ascii="Times New Roman" w:eastAsia="Calibri" w:hAnsi="Times New Roman" w:cs="Times New Roman"/>
          <w:b/>
          <w:lang w:val="lt-LT"/>
        </w:rPr>
        <w:t xml:space="preserve"> </w:t>
      </w:r>
      <w:r w:rsidRPr="00964115">
        <w:rPr>
          <w:rFonts w:ascii="Times New Roman" w:eastAsia="Calibri" w:hAnsi="Times New Roman" w:cs="Times New Roman"/>
          <w:lang w:val="lt-LT"/>
        </w:rPr>
        <w:t>bendra būklė arba</w:t>
      </w:r>
      <w:r w:rsidRPr="00964115">
        <w:rPr>
          <w:rFonts w:ascii="Times New Roman" w:eastAsia="Calibri" w:hAnsi="Times New Roman" w:cs="Times New Roman"/>
          <w:b/>
          <w:lang w:val="lt-LT"/>
        </w:rPr>
        <w:t xml:space="preserve"> </w:t>
      </w:r>
      <w:r w:rsidRPr="00964115">
        <w:rPr>
          <w:rFonts w:ascii="Times New Roman" w:eastAsia="Calibri" w:hAnsi="Times New Roman" w:cs="Times New Roman"/>
          <w:lang w:val="lt-LT"/>
        </w:rPr>
        <w:t>karščiavimas ir lokalios infekcijos simptomai (kaklo, gerklės ar burnos ertmės skausmas arba pasunkėjęs šlapinimasis), tai kiek įmanoma greičiau pasikonsultuokite su gydytuoju, kad jis galėtų atlikti kraujo tyrimą ir ištirti, ar neišnyko baltieji kraujo kūneliai (t.y. ar nepasireiškė agranulocitozė). Svarbu nepamiršti gydytojui pasakyti, kad vartojate šį vaistą.</w:t>
      </w:r>
    </w:p>
    <w:p w14:paraId="6F94B5B6"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5B7"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b/>
          <w:lang w:val="lt-LT"/>
        </w:rPr>
      </w:pPr>
      <w:r w:rsidRPr="00964115">
        <w:rPr>
          <w:rFonts w:ascii="Times New Roman" w:eastAsia="Calibri" w:hAnsi="Times New Roman" w:cs="Times New Roman"/>
          <w:b/>
          <w:lang w:val="lt-LT"/>
        </w:rPr>
        <w:t>Kitas galimas šalutinis poveikis išvardytas toliau.</w:t>
      </w:r>
    </w:p>
    <w:p w14:paraId="6F94B5B8"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5B9" w14:textId="56A116D7" w:rsidR="00797756" w:rsidRPr="00964115" w:rsidRDefault="00307BB3" w:rsidP="00797756">
      <w:pPr>
        <w:numPr>
          <w:ilvl w:val="12"/>
          <w:numId w:val="0"/>
        </w:numPr>
        <w:spacing w:after="0" w:line="240" w:lineRule="auto"/>
        <w:ind w:right="-2"/>
        <w:jc w:val="both"/>
        <w:rPr>
          <w:rFonts w:ascii="Times New Roman" w:eastAsia="Calibri" w:hAnsi="Times New Roman" w:cs="Times New Roman"/>
          <w:b/>
          <w:lang w:val="lt-LT"/>
        </w:rPr>
      </w:pPr>
      <w:r w:rsidRPr="00964115">
        <w:rPr>
          <w:rFonts w:ascii="Times New Roman" w:eastAsia="Calibri" w:hAnsi="Times New Roman" w:cs="Times New Roman"/>
          <w:b/>
          <w:lang w:val="lt-LT"/>
        </w:rPr>
        <w:t>Dažn</w:t>
      </w:r>
      <w:r>
        <w:rPr>
          <w:rFonts w:ascii="Times New Roman" w:eastAsia="Calibri" w:hAnsi="Times New Roman" w:cs="Times New Roman"/>
          <w:b/>
          <w:lang w:val="lt-LT"/>
        </w:rPr>
        <w:t>i šalutinio poveikio reiškiniai</w:t>
      </w:r>
      <w:r w:rsidRPr="00964115">
        <w:rPr>
          <w:rFonts w:ascii="Times New Roman" w:eastAsia="Calibri" w:hAnsi="Times New Roman" w:cs="Times New Roman"/>
          <w:lang w:val="lt-LT"/>
        </w:rPr>
        <w:t xml:space="preserve"> </w:t>
      </w:r>
      <w:r w:rsidR="00797756" w:rsidRPr="00964115">
        <w:rPr>
          <w:rFonts w:ascii="Times New Roman" w:eastAsia="Calibri" w:hAnsi="Times New Roman" w:cs="Times New Roman"/>
          <w:b/>
          <w:lang w:val="lt-LT"/>
        </w:rPr>
        <w:t xml:space="preserve">(gali pasireikšti rečiau kaip 1 iš 10 </w:t>
      </w:r>
      <w:r>
        <w:rPr>
          <w:rFonts w:ascii="Times New Roman" w:eastAsia="Calibri" w:hAnsi="Times New Roman" w:cs="Times New Roman"/>
          <w:b/>
          <w:lang w:val="lt-LT"/>
        </w:rPr>
        <w:t>asmenų</w:t>
      </w:r>
      <w:r w:rsidR="00797756" w:rsidRPr="00964115">
        <w:rPr>
          <w:rFonts w:ascii="Times New Roman" w:eastAsia="Calibri" w:hAnsi="Times New Roman" w:cs="Times New Roman"/>
          <w:b/>
          <w:lang w:val="lt-LT"/>
        </w:rPr>
        <w:t>)</w:t>
      </w:r>
    </w:p>
    <w:p w14:paraId="6F94B5BA"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Galvos skausmas.</w:t>
      </w:r>
    </w:p>
    <w:p w14:paraId="6F94B5BB"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Nuovargis.</w:t>
      </w:r>
    </w:p>
    <w:p w14:paraId="6F94B5BC"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Troškulys.</w:t>
      </w:r>
    </w:p>
    <w:p w14:paraId="6F94B5BD"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Bloga nuotaika.</w:t>
      </w:r>
    </w:p>
    <w:p w14:paraId="6F94B5BE"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Oro stoka.</w:t>
      </w:r>
    </w:p>
    <w:p w14:paraId="6F94B5BF"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Padidėjęs prakaitavimas.</w:t>
      </w:r>
    </w:p>
    <w:p w14:paraId="6F94B5C0"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Odos niežulys ir odos išbėrimas. </w:t>
      </w:r>
    </w:p>
    <w:p w14:paraId="6F94B5C1"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Galvos svaigimas (</w:t>
      </w:r>
      <w:r w:rsidRPr="00964115">
        <w:rPr>
          <w:rFonts w:ascii="Times New Roman" w:eastAsia="Calibri" w:hAnsi="Times New Roman" w:cs="Times New Roman"/>
          <w:i/>
          <w:spacing w:val="-2"/>
          <w:lang w:val="lt-LT"/>
        </w:rPr>
        <w:t>vertigo</w:t>
      </w:r>
      <w:r w:rsidRPr="00964115">
        <w:rPr>
          <w:rFonts w:ascii="Times New Roman" w:eastAsia="Calibri" w:hAnsi="Times New Roman" w:cs="Times New Roman"/>
          <w:spacing w:val="-2"/>
          <w:lang w:val="lt-LT"/>
        </w:rPr>
        <w:t>).</w:t>
      </w:r>
    </w:p>
    <w:p w14:paraId="6F94B5C2"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Raudonos, purpurinės ar kitokios dėmės ar kraujosruvos odoje.</w:t>
      </w:r>
    </w:p>
    <w:p w14:paraId="6F94B5C3"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spacing w:val="-2"/>
          <w:lang w:val="lt-LT"/>
        </w:rPr>
        <w:t xml:space="preserve">Pykinimas ar vėmimas. </w:t>
      </w:r>
    </w:p>
    <w:p w14:paraId="6F94B5C4"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Juntamas širdies plakimas (palpitacija).</w:t>
      </w:r>
    </w:p>
    <w:p w14:paraId="6F94B5C5"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Sutrikęs miegas (nemiga).</w:t>
      </w:r>
    </w:p>
    <w:p w14:paraId="6F94B5C6"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Sutrikusi klausa ar triukšmas ausyse.</w:t>
      </w:r>
    </w:p>
    <w:p w14:paraId="6F94B5C7"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Svaigulys, mieguistumas ar apsvaigimas.</w:t>
      </w:r>
    </w:p>
    <w:p w14:paraId="6F94B5C8"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Plaštakų, pėdų ir kulkšnių patinimas (edema).</w:t>
      </w:r>
    </w:p>
    <w:p w14:paraId="6F94B5C9"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lang w:val="lt-LT"/>
        </w:rPr>
        <w:t>Burnos ertmės uždegimas.</w:t>
      </w:r>
    </w:p>
    <w:p w14:paraId="6F94B5CA"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Regos sutrikimai.</w:t>
      </w:r>
    </w:p>
    <w:p w14:paraId="6F94B5CB"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Viduriavimas, skrandžio skausmas, rėmuo, nevirškinimas, vidurių užkietėjimas, dujų išėjimas.</w:t>
      </w:r>
    </w:p>
    <w:p w14:paraId="6F94B5CC"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Skrandžio arba pradinės plonosios žarnos dalies (dvylikapirštės žarnos) opa.</w:t>
      </w:r>
    </w:p>
    <w:p w14:paraId="6F94B5CD"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Skrandžio gleivinės uždegimas (gastritas).</w:t>
      </w:r>
    </w:p>
    <w:p w14:paraId="6F94B5CE"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Gerybiniai skrandžio polipai.</w:t>
      </w:r>
    </w:p>
    <w:p w14:paraId="6F94B5CF" w14:textId="77777777" w:rsidR="00797756" w:rsidRPr="00964115" w:rsidRDefault="00797756" w:rsidP="00797756">
      <w:pPr>
        <w:tabs>
          <w:tab w:val="left" w:pos="-720"/>
        </w:tabs>
        <w:suppressAutoHyphens/>
        <w:spacing w:after="0" w:line="240" w:lineRule="auto"/>
        <w:jc w:val="both"/>
        <w:rPr>
          <w:rFonts w:ascii="Times New Roman" w:eastAsia="Calibri" w:hAnsi="Times New Roman" w:cs="Times New Roman"/>
          <w:lang w:val="lt-LT"/>
        </w:rPr>
      </w:pPr>
    </w:p>
    <w:p w14:paraId="6F94B5D0" w14:textId="6BD2D217" w:rsidR="00797756" w:rsidRPr="00964115" w:rsidRDefault="00307BB3" w:rsidP="00797756">
      <w:pPr>
        <w:numPr>
          <w:ilvl w:val="12"/>
          <w:numId w:val="0"/>
        </w:numPr>
        <w:spacing w:after="0" w:line="240" w:lineRule="auto"/>
        <w:ind w:right="-2"/>
        <w:jc w:val="both"/>
        <w:rPr>
          <w:rFonts w:ascii="Times New Roman" w:eastAsia="Calibri" w:hAnsi="Times New Roman" w:cs="Times New Roman"/>
          <w:b/>
          <w:lang w:val="lt-LT"/>
        </w:rPr>
      </w:pPr>
      <w:r w:rsidRPr="00964115">
        <w:rPr>
          <w:rFonts w:ascii="Times New Roman" w:eastAsia="Calibri" w:hAnsi="Times New Roman" w:cs="Times New Roman"/>
          <w:b/>
          <w:lang w:val="lt-LT"/>
        </w:rPr>
        <w:t>Nedažn</w:t>
      </w:r>
      <w:r>
        <w:rPr>
          <w:rFonts w:ascii="Times New Roman" w:eastAsia="Calibri" w:hAnsi="Times New Roman" w:cs="Times New Roman"/>
          <w:b/>
          <w:lang w:val="lt-LT"/>
        </w:rPr>
        <w:t>i</w:t>
      </w:r>
      <w:r w:rsidR="00F12079">
        <w:rPr>
          <w:rFonts w:ascii="Times New Roman" w:eastAsia="Calibri" w:hAnsi="Times New Roman" w:cs="Times New Roman"/>
          <w:b/>
          <w:lang w:val="lt-LT"/>
        </w:rPr>
        <w:t>, re</w:t>
      </w:r>
      <w:r w:rsidR="00CE2B34">
        <w:rPr>
          <w:rFonts w:ascii="Times New Roman" w:eastAsia="Calibri" w:hAnsi="Times New Roman" w:cs="Times New Roman"/>
          <w:b/>
          <w:lang w:val="lt-LT"/>
        </w:rPr>
        <w:t>ti arba labai reti</w:t>
      </w:r>
      <w:r>
        <w:rPr>
          <w:rFonts w:ascii="Times New Roman" w:eastAsia="Calibri" w:hAnsi="Times New Roman" w:cs="Times New Roman"/>
          <w:b/>
          <w:lang w:val="lt-LT"/>
        </w:rPr>
        <w:t xml:space="preserve"> </w:t>
      </w:r>
      <w:r w:rsidRPr="00307BB3">
        <w:rPr>
          <w:rFonts w:ascii="Times New Roman" w:eastAsia="Calibri" w:hAnsi="Times New Roman" w:cs="Times New Roman"/>
          <w:b/>
          <w:lang w:val="lt-LT"/>
        </w:rPr>
        <w:t>šalutinio poveikio reiškiniai</w:t>
      </w:r>
      <w:r w:rsidR="00797756" w:rsidRPr="00964115">
        <w:rPr>
          <w:rFonts w:ascii="Times New Roman" w:eastAsia="Calibri" w:hAnsi="Times New Roman" w:cs="Times New Roman"/>
          <w:b/>
          <w:lang w:val="lt-LT"/>
        </w:rPr>
        <w:t xml:space="preserve"> (gali pasireikšti rečiau kaip 1 iš 100 </w:t>
      </w:r>
      <w:r w:rsidR="00CE2B34">
        <w:rPr>
          <w:rFonts w:ascii="Times New Roman" w:eastAsia="Calibri" w:hAnsi="Times New Roman" w:cs="Times New Roman"/>
          <w:b/>
          <w:lang w:val="lt-LT"/>
        </w:rPr>
        <w:t xml:space="preserve">arba </w:t>
      </w:r>
      <w:r>
        <w:rPr>
          <w:rFonts w:ascii="Times New Roman" w:eastAsia="Calibri" w:hAnsi="Times New Roman" w:cs="Times New Roman"/>
          <w:b/>
          <w:lang w:val="lt-LT"/>
        </w:rPr>
        <w:t>asmenų</w:t>
      </w:r>
      <w:r w:rsidR="00CE2B34">
        <w:rPr>
          <w:rFonts w:ascii="Times New Roman" w:eastAsia="Calibri" w:hAnsi="Times New Roman" w:cs="Times New Roman"/>
          <w:b/>
          <w:lang w:val="lt-LT"/>
        </w:rPr>
        <w:t xml:space="preserve"> arba dar rečiau</w:t>
      </w:r>
      <w:r w:rsidR="00797756" w:rsidRPr="00964115">
        <w:rPr>
          <w:rFonts w:ascii="Times New Roman" w:eastAsia="Calibri" w:hAnsi="Times New Roman" w:cs="Times New Roman"/>
          <w:b/>
          <w:lang w:val="lt-LT"/>
        </w:rPr>
        <w:t>)</w:t>
      </w:r>
    </w:p>
    <w:p w14:paraId="6F94B5D1"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Burnos ertmės perštėjimas ar opelės.</w:t>
      </w:r>
    </w:p>
    <w:p w14:paraId="6F94B5D2"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Regos sutrikimai, pvz., neaiškus matymas, konjunktyvitas ar akių skausmas.</w:t>
      </w:r>
    </w:p>
    <w:p w14:paraId="6F94B5D3"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Keisti sapnai.</w:t>
      </w:r>
    </w:p>
    <w:p w14:paraId="6F94B5D4"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Mieguistumas.</w:t>
      </w:r>
    </w:p>
    <w:p w14:paraId="6F94B5D5"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Padidėjęs cukraus (gliukozės) kiekis kraujyje. Jo simptomai gali būti troškulys ir padidėjęs šlapimo kiekis.</w:t>
      </w:r>
    </w:p>
    <w:p w14:paraId="6F94B5D6"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Sumažėjęs cukraus (gliukozės) kiekis kraujyje. Jo simptomai gali būti alkis ar silpnumas, prakaitavimas ir dažni širdies susitraukimai.</w:t>
      </w:r>
    </w:p>
    <w:p w14:paraId="6F94B5D7"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Koma.</w:t>
      </w:r>
    </w:p>
    <w:p w14:paraId="6F94B5D8"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Kraujagyslių uždegimas.</w:t>
      </w:r>
    </w:p>
    <w:p w14:paraId="6F94B5D9"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Skrandžio ar žarnų perforacija (prakiurimas).</w:t>
      </w:r>
    </w:p>
    <w:p w14:paraId="6F94B5DA"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Sisteminė raudonoji vilkligė – liga, kuria sergant imuninė sistema puola savo organizmo audinius, todėl skauda sąnarius, išberia odą, karščiuojama.</w:t>
      </w:r>
    </w:p>
    <w:p w14:paraId="6F94B5DB"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Limfmazgių padidėjimas.</w:t>
      </w:r>
    </w:p>
    <w:p w14:paraId="6F94B5DC"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Šlaunikaulio, riešo ar stuburo lūžiai (ilgai vartojant dideles Vimovo dozes).</w:t>
      </w:r>
    </w:p>
    <w:p w14:paraId="6F94B5DD"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Karščiavimas.</w:t>
      </w:r>
    </w:p>
    <w:p w14:paraId="6F94B5DE"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Alpimas.</w:t>
      </w:r>
    </w:p>
    <w:p w14:paraId="6F94B5DF" w14:textId="77777777" w:rsidR="00797756" w:rsidRPr="00964115"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lang w:val="lt-LT"/>
        </w:rPr>
        <w:t>Sausa burna.</w:t>
      </w:r>
    </w:p>
    <w:p w14:paraId="6F94B5E0"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Agresyvumas.</w:t>
      </w:r>
    </w:p>
    <w:p w14:paraId="6F94B5E1"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Pablogėjusi klausa.</w:t>
      </w:r>
    </w:p>
    <w:p w14:paraId="6F94B5E2"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Astmos priepuolis.</w:t>
      </w:r>
    </w:p>
    <w:p w14:paraId="6F94B5E3"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Traukuliai. </w:t>
      </w:r>
    </w:p>
    <w:p w14:paraId="6F94B5E4"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Menstruaciniai sutrikimai.</w:t>
      </w:r>
    </w:p>
    <w:p w14:paraId="6F94B5E5"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Svorio pokyčiai.</w:t>
      </w:r>
    </w:p>
    <w:p w14:paraId="6F94B5E6"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Plaukų slinkimas (alopecija).</w:t>
      </w:r>
    </w:p>
    <w:p w14:paraId="6F94B5E7" w14:textId="77777777" w:rsidR="00797756" w:rsidRPr="00964115" w:rsidRDefault="00797756" w:rsidP="00797756">
      <w:pPr>
        <w:numPr>
          <w:ilvl w:val="0"/>
          <w:numId w:val="13"/>
        </w:numPr>
        <w:spacing w:after="0" w:line="240" w:lineRule="auto"/>
        <w:ind w:right="-2"/>
        <w:jc w:val="both"/>
        <w:rPr>
          <w:rFonts w:ascii="Times New Roman" w:eastAsia="Calibri" w:hAnsi="Times New Roman" w:cs="Times New Roman"/>
          <w:b/>
          <w:lang w:val="lt-LT"/>
        </w:rPr>
      </w:pPr>
      <w:r w:rsidRPr="00964115">
        <w:rPr>
          <w:rFonts w:ascii="Times New Roman" w:eastAsia="Calibri" w:hAnsi="Times New Roman" w:cs="Times New Roman"/>
          <w:lang w:val="lt-LT"/>
        </w:rPr>
        <w:t>Dilgėlinė.</w:t>
      </w:r>
    </w:p>
    <w:p w14:paraId="6F94B5E8"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Sąnarių skausmas.</w:t>
      </w:r>
    </w:p>
    <w:p w14:paraId="6F94B5E9"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Krūtų padidėjimas (vyrams).</w:t>
      </w:r>
    </w:p>
    <w:p w14:paraId="6F94B5EA"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Liežuvio perštėjimas ar patinimas.</w:t>
      </w:r>
    </w:p>
    <w:p w14:paraId="6F94B5EB"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Raumenų trūkčiojimas ar drebulys.</w:t>
      </w:r>
    </w:p>
    <w:p w14:paraId="6F94B5EC" w14:textId="77777777" w:rsidR="00797756" w:rsidRPr="00964115"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lang w:val="lt-LT"/>
        </w:rPr>
        <w:t>Apetito sutrikimai ar skonio pokyčiai.</w:t>
      </w:r>
    </w:p>
    <w:p w14:paraId="6F94B5ED" w14:textId="77777777" w:rsidR="00797756" w:rsidRPr="00964115"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spacing w:val="-2"/>
          <w:lang w:val="lt-LT"/>
        </w:rPr>
        <w:t xml:space="preserve">Raumenų silpnumas ar skausmas. </w:t>
      </w:r>
    </w:p>
    <w:p w14:paraId="6F94B5EE"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Pailgėjęs kraujo krešėjimo laikas.</w:t>
      </w:r>
    </w:p>
    <w:p w14:paraId="6F94B5EF"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Pasunkėjęs pastojimas.</w:t>
      </w:r>
    </w:p>
    <w:p w14:paraId="6F94B5F0"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Karščiavimas, paraudimas ar kiti infekcijos požymiai.</w:t>
      </w:r>
    </w:p>
    <w:p w14:paraId="6F94B5F1"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Nereguliarūs, reti ar labai dažni širdies susitraukimai.</w:t>
      </w:r>
    </w:p>
    <w:p w14:paraId="6F94B5F2" w14:textId="77777777" w:rsidR="00797756" w:rsidRPr="00964115"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lang w:val="lt-LT"/>
        </w:rPr>
        <w:t>Dilgčiojimo (badymo) pojūtis.</w:t>
      </w:r>
    </w:p>
    <w:p w14:paraId="6F94B5F3" w14:textId="77777777" w:rsidR="00797756" w:rsidRPr="00964115"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spacing w:val="-2"/>
          <w:lang w:val="lt-LT"/>
        </w:rPr>
        <w:t>Pablogėjusi atmintis ar dėmesio sutelkimas.</w:t>
      </w:r>
    </w:p>
    <w:p w14:paraId="6F94B5F4"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Psichomotorinis sujaudinimas, minčių susipainiojimas, nerimas ar nervingumas.</w:t>
      </w:r>
    </w:p>
    <w:p w14:paraId="6F94B5F5"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Prasta bendra savijauta, silpnumas ir energijos stoka. </w:t>
      </w:r>
    </w:p>
    <w:p w14:paraId="6F94B5F6"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Kai kurių kūno dalių patinimas ir skausmingumas dėl jose susikaupusio vandens. </w:t>
      </w:r>
    </w:p>
    <w:p w14:paraId="6F94B5F7" w14:textId="77777777" w:rsidR="00797756" w:rsidRPr="00964115"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Aukštas ar žemas kraujospūdis (galimas alpimas, svaigulys).</w:t>
      </w:r>
    </w:p>
    <w:p w14:paraId="6F94B5F8" w14:textId="77777777" w:rsidR="00797756" w:rsidRPr="00964115" w:rsidRDefault="00797756" w:rsidP="00797756">
      <w:pPr>
        <w:numPr>
          <w:ilvl w:val="0"/>
          <w:numId w:val="14"/>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Odos išbėrimas,</w:t>
      </w:r>
      <w:r w:rsidRPr="00964115">
        <w:rPr>
          <w:rFonts w:ascii="Times New Roman" w:eastAsia="Calibri" w:hAnsi="Times New Roman" w:cs="Times New Roman"/>
          <w:lang w:val="lt-LT"/>
        </w:rPr>
        <w:t xml:space="preserve"> pūslių susidarymas, odos jautrumo saulės šviesai padidėjimas.</w:t>
      </w:r>
    </w:p>
    <w:p w14:paraId="6F94B5F9" w14:textId="77777777" w:rsidR="00797756" w:rsidRPr="00964115" w:rsidRDefault="00797756" w:rsidP="00797756">
      <w:pPr>
        <w:numPr>
          <w:ilvl w:val="0"/>
          <w:numId w:val="14"/>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Matymas, jautimas ar girdėjimas to, ko nėra (haliucinacijos).</w:t>
      </w:r>
    </w:p>
    <w:p w14:paraId="6F94B5FA" w14:textId="77777777" w:rsidR="00797756" w:rsidRPr="00964115" w:rsidRDefault="00797756" w:rsidP="00797756">
      <w:pPr>
        <w:numPr>
          <w:ilvl w:val="0"/>
          <w:numId w:val="1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Pakitę kraujo tyrimų (pvz., rodančių kepenų funkciją) duomenys (daugiau gali paaiškinti gydytojas).</w:t>
      </w:r>
    </w:p>
    <w:p w14:paraId="6F94B5FB" w14:textId="77777777" w:rsidR="00797756" w:rsidRPr="00964115" w:rsidRDefault="00797756" w:rsidP="00797756">
      <w:pPr>
        <w:numPr>
          <w:ilvl w:val="0"/>
          <w:numId w:val="1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Infekcija, vadinama pienlige (ją sukelia grybeliai, kurie gali pažeisti žarnas).</w:t>
      </w:r>
    </w:p>
    <w:p w14:paraId="6F94B5FC" w14:textId="77777777" w:rsidR="00797756" w:rsidRPr="00964115" w:rsidRDefault="00797756" w:rsidP="00797756">
      <w:pPr>
        <w:numPr>
          <w:ilvl w:val="0"/>
          <w:numId w:val="13"/>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Kraujas šlapime ir kitokie inkstų sutrikimai (gali skaudėti nugarą).</w:t>
      </w:r>
    </w:p>
    <w:p w14:paraId="6F94B5FD" w14:textId="77777777" w:rsidR="00797756" w:rsidRPr="00964115"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Pasunkėjęs kvėpavimas, kuris gali palaipsniui sunkėti toliau (tai gali būti plaučių uždegimo ar pasireiškiančio plaučių paburkimo požymis).</w:t>
      </w:r>
    </w:p>
    <w:p w14:paraId="6F94B5FE" w14:textId="77777777" w:rsidR="00797756" w:rsidRPr="00964115" w:rsidRDefault="00797756" w:rsidP="00797756">
      <w:pPr>
        <w:numPr>
          <w:ilvl w:val="0"/>
          <w:numId w:val="13"/>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Sumažėjusi natrio koncentracija kraujyje (dėl to gali pasireikšti silpnumas, vėmimas ir mėšlungis). </w:t>
      </w:r>
    </w:p>
    <w:p w14:paraId="6F94B5FF" w14:textId="77777777" w:rsidR="00797756" w:rsidRPr="00964115" w:rsidRDefault="00797756" w:rsidP="00797756">
      <w:pPr>
        <w:numPr>
          <w:ilvl w:val="0"/>
          <w:numId w:val="13"/>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Meningito simptomai, pvz., karščiavimas, pykinimas ar vėmimas, sustingęs kaklas, galvos skausmas, jautrumas ryškiai šviesai ir sutrikusi orientacija.</w:t>
      </w:r>
    </w:p>
    <w:p w14:paraId="6F94B600" w14:textId="77777777" w:rsidR="00797756" w:rsidRPr="00964115"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Kasos sutrikimai (juos gali rodyti į nugarą plintantis skrandžio skausmas).</w:t>
      </w:r>
    </w:p>
    <w:p w14:paraId="6F94B601" w14:textId="77777777" w:rsidR="00797756" w:rsidRPr="00964115"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Blyškios išmatos (jos rodo sunkų kepenų pažeidimą – hepatitą, dėl kurio gali ištikti kepenų nepakankamumas, pasireikšti smegenų sutrikimų).</w:t>
      </w:r>
    </w:p>
    <w:p w14:paraId="6F94B602" w14:textId="77777777" w:rsidR="00797756" w:rsidRPr="00964115"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Storosios žarnos uždegimas (kolitas) arba uždegiminės žarnų ligos (pvz., Krono (</w:t>
      </w:r>
      <w:r w:rsidRPr="00964115">
        <w:rPr>
          <w:rFonts w:ascii="Times New Roman" w:eastAsia="Calibri" w:hAnsi="Times New Roman" w:cs="Times New Roman"/>
          <w:i/>
          <w:spacing w:val="-2"/>
          <w:lang w:val="lt-LT"/>
        </w:rPr>
        <w:t>Crohn</w:t>
      </w:r>
      <w:r w:rsidRPr="00964115">
        <w:rPr>
          <w:rFonts w:ascii="Times New Roman" w:eastAsia="Calibri" w:hAnsi="Times New Roman" w:cs="Times New Roman"/>
          <w:spacing w:val="-2"/>
          <w:lang w:val="lt-LT"/>
        </w:rPr>
        <w:t>) ligos ar opinio kolito) pasunkėjimas, kurių požymiai yra skrandžio skausmas, viduriavimas, vėmimas ir svorio mažėjimas.</w:t>
      </w:r>
    </w:p>
    <w:p w14:paraId="6F94B603" w14:textId="77777777" w:rsidR="00797756" w:rsidRPr="00964115" w:rsidRDefault="00797756" w:rsidP="00797756">
      <w:pPr>
        <w:numPr>
          <w:ilvl w:val="0"/>
          <w:numId w:val="13"/>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Kraujo sutrikimai, pvz., raudonųjų kraujo ląstelių (mažakraujystė), baltųjų kraujo ląstelių ar kraujo plokštelių kiekio sumažėjimas, dėl kurio gali pasireikšti silpnumas, atsirasti kraujosruvų, prasidėti karščiavimas, stiprus šaltkrėtis, skaudėti gerklę, padidėti infekcijų tikimybė.</w:t>
      </w:r>
    </w:p>
    <w:p w14:paraId="6F94B604" w14:textId="77777777" w:rsidR="00797756" w:rsidRPr="00964115"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Padidėjęs tam tikrų baltųjų kraujo ląstelių kiekis (eozinofilija).</w:t>
      </w:r>
    </w:p>
    <w:p w14:paraId="6F94B605" w14:textId="77777777" w:rsidR="00797756" w:rsidRPr="00964115"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Visų kraujo ląstelių stygius (pancitopenija).</w:t>
      </w:r>
    </w:p>
    <w:p w14:paraId="6F94B606" w14:textId="77777777" w:rsidR="00797756" w:rsidRPr="00964115"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Kraują pumpuojančios širdies veiklos susilpnėjimas ar kraujagyslių pažeidimas (jų požymiai gali būti nuovargis, oro trūkumas, alpimas, krūtinės skausmas ar bendras skausmas).</w:t>
      </w:r>
    </w:p>
    <w:p w14:paraId="6F94B607" w14:textId="77777777" w:rsidR="00797756" w:rsidRPr="00964115" w:rsidRDefault="00797756" w:rsidP="00797756">
      <w:pPr>
        <w:tabs>
          <w:tab w:val="left" w:pos="-720"/>
        </w:tabs>
        <w:suppressAutoHyphens/>
        <w:spacing w:after="0" w:line="240" w:lineRule="auto"/>
        <w:rPr>
          <w:rFonts w:ascii="Times New Roman" w:eastAsia="Calibri" w:hAnsi="Times New Roman" w:cs="Times New Roman"/>
          <w:lang w:val="lt-LT"/>
        </w:rPr>
      </w:pPr>
    </w:p>
    <w:p w14:paraId="6F94B608" w14:textId="28557D60" w:rsidR="00797756" w:rsidRPr="00964115" w:rsidRDefault="00307BB3" w:rsidP="00797756">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 xml:space="preserve">Šalutinio </w:t>
      </w:r>
      <w:r w:rsidR="00CA5215">
        <w:rPr>
          <w:rFonts w:ascii="Times New Roman" w:eastAsia="Calibri" w:hAnsi="Times New Roman" w:cs="Times New Roman"/>
          <w:b/>
          <w:lang w:val="lt-LT"/>
        </w:rPr>
        <w:t>poveikio reiškiniai, kurių d</w:t>
      </w:r>
      <w:r w:rsidR="00797756" w:rsidRPr="00964115">
        <w:rPr>
          <w:rFonts w:ascii="Times New Roman" w:eastAsia="Calibri" w:hAnsi="Times New Roman" w:cs="Times New Roman"/>
          <w:b/>
          <w:lang w:val="lt-LT"/>
        </w:rPr>
        <w:t xml:space="preserve">ažnis nežinomas (negali būti </w:t>
      </w:r>
      <w:r w:rsidR="00CA5215">
        <w:rPr>
          <w:rFonts w:ascii="Times New Roman" w:eastAsia="Calibri" w:hAnsi="Times New Roman" w:cs="Times New Roman"/>
          <w:b/>
          <w:lang w:val="lt-LT"/>
        </w:rPr>
        <w:t>apskaičiuotas</w:t>
      </w:r>
      <w:r w:rsidR="00CA5215" w:rsidRPr="00964115">
        <w:rPr>
          <w:rFonts w:ascii="Times New Roman" w:eastAsia="Calibri" w:hAnsi="Times New Roman" w:cs="Times New Roman"/>
          <w:b/>
          <w:lang w:val="lt-LT"/>
        </w:rPr>
        <w:t xml:space="preserve"> </w:t>
      </w:r>
      <w:r w:rsidR="00797756" w:rsidRPr="00964115">
        <w:rPr>
          <w:rFonts w:ascii="Times New Roman" w:eastAsia="Calibri" w:hAnsi="Times New Roman" w:cs="Times New Roman"/>
          <w:b/>
          <w:lang w:val="lt-LT"/>
        </w:rPr>
        <w:t>pagal turimus duomenis)</w:t>
      </w:r>
    </w:p>
    <w:p w14:paraId="6F94B609" w14:textId="77777777" w:rsidR="00797756" w:rsidRPr="00964115" w:rsidRDefault="00797756" w:rsidP="00797756">
      <w:pPr>
        <w:numPr>
          <w:ilvl w:val="0"/>
          <w:numId w:val="23"/>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Jeigu vartojate Vimovo ilgiau kaip 3 mėn., gali sumažėti magnio kiekis Jūsų kraujyje. Dėl to gali pasireikšti nuovargis, nevalingų raumenų susitraukimų, sutrikti orientacija, prasidėti traukuliai, svaigti galva, padažnėti širdies ritmas. Jeigu pajustumėte kurį nors iš šių simptomų, nedelsdami apie tai pasakykite gydytojui. Sumažėjus magnio kiekiui taip pat gali sumažėti kalio ar kalcio kiekis kraujyje. Gydytojas gali nuspręsti reguliariai tirti magnio kiekį Jūsų kraujyje.</w:t>
      </w:r>
    </w:p>
    <w:p w14:paraId="6F94B60A" w14:textId="77777777" w:rsidR="00797756" w:rsidRPr="00964115" w:rsidRDefault="00797756" w:rsidP="00797756">
      <w:pPr>
        <w:numPr>
          <w:ilvl w:val="0"/>
          <w:numId w:val="23"/>
        </w:numPr>
        <w:tabs>
          <w:tab w:val="left" w:pos="-720"/>
        </w:tabs>
        <w:suppressAutoHyphens/>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Išbėrimas, galintis pasireikšti kartu su sąnarių skausmu.</w:t>
      </w:r>
    </w:p>
    <w:p w14:paraId="6F94B60B" w14:textId="77777777" w:rsidR="00797756" w:rsidRPr="00964115" w:rsidRDefault="00797756" w:rsidP="00797756">
      <w:pPr>
        <w:spacing w:after="0" w:line="240" w:lineRule="auto"/>
        <w:ind w:right="-2"/>
        <w:rPr>
          <w:rFonts w:ascii="Times New Roman" w:eastAsia="Calibri" w:hAnsi="Times New Roman" w:cs="Times New Roman"/>
          <w:lang w:val="lt-LT"/>
        </w:rPr>
      </w:pPr>
    </w:p>
    <w:p w14:paraId="6F94B60C" w14:textId="073E131C" w:rsidR="00797756" w:rsidRPr="00964115" w:rsidRDefault="00797756" w:rsidP="00797756">
      <w:p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b/>
          <w:lang w:val="lt-LT"/>
        </w:rPr>
        <w:t xml:space="preserve">Nerimauti dėl šio galimų </w:t>
      </w:r>
      <w:r w:rsidR="00CA5215" w:rsidRPr="00964115">
        <w:rPr>
          <w:rFonts w:ascii="Times New Roman" w:eastAsia="Calibri" w:hAnsi="Times New Roman" w:cs="Times New Roman"/>
          <w:b/>
          <w:lang w:val="lt-LT"/>
        </w:rPr>
        <w:t>šalutini</w:t>
      </w:r>
      <w:r w:rsidR="00CA5215">
        <w:rPr>
          <w:rFonts w:ascii="Times New Roman" w:eastAsia="Calibri" w:hAnsi="Times New Roman" w:cs="Times New Roman"/>
          <w:b/>
          <w:lang w:val="lt-LT"/>
        </w:rPr>
        <w:t>o poveikio reiškinių</w:t>
      </w:r>
      <w:r w:rsidRPr="00964115">
        <w:rPr>
          <w:rFonts w:ascii="Times New Roman" w:eastAsia="Calibri" w:hAnsi="Times New Roman" w:cs="Times New Roman"/>
          <w:b/>
          <w:lang w:val="lt-LT"/>
        </w:rPr>
        <w:t xml:space="preserve"> sąrašo nereikėtų</w:t>
      </w:r>
      <w:r w:rsidRPr="00964115">
        <w:rPr>
          <w:rFonts w:ascii="Times New Roman" w:eastAsia="Calibri" w:hAnsi="Times New Roman" w:cs="Times New Roman"/>
          <w:lang w:val="lt-LT"/>
        </w:rPr>
        <w:t>, kadangi Jums jų gali nepasireikšti.</w:t>
      </w:r>
    </w:p>
    <w:p w14:paraId="6F94B60D" w14:textId="77777777" w:rsidR="00797756" w:rsidRPr="00964115" w:rsidRDefault="00797756" w:rsidP="00797756">
      <w:pPr>
        <w:spacing w:after="0" w:line="240" w:lineRule="auto"/>
        <w:ind w:right="-2"/>
        <w:rPr>
          <w:rFonts w:ascii="Times New Roman" w:eastAsia="Calibri" w:hAnsi="Times New Roman" w:cs="Times New Roman"/>
          <w:lang w:val="lt-LT"/>
        </w:rPr>
      </w:pPr>
    </w:p>
    <w:p w14:paraId="6F94B60E"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Pranešimas apie šalutinį poveikį</w:t>
      </w:r>
    </w:p>
    <w:p w14:paraId="6F94B60F" w14:textId="5651D07F" w:rsidR="00797756" w:rsidRPr="00964115" w:rsidRDefault="00797756" w:rsidP="00797756">
      <w:pPr>
        <w:spacing w:after="0" w:line="240" w:lineRule="auto"/>
        <w:ind w:right="-449"/>
        <w:rPr>
          <w:rFonts w:ascii="Times New Roman" w:eastAsia="Calibri" w:hAnsi="Times New Roman" w:cs="Times New Roman"/>
          <w:lang w:val="lt-LT"/>
        </w:rPr>
      </w:pPr>
      <w:r w:rsidRPr="00964115">
        <w:rPr>
          <w:rFonts w:ascii="Times New Roman" w:eastAsia="Calibri" w:hAnsi="Times New Roman" w:cs="Times New Roman"/>
          <w:lang w:val="lt-LT"/>
        </w:rPr>
        <w:t xml:space="preserve">Jeigu pasireiškė šalutinis poveikis, įskaitant šiame lapelyje nenurodytą, pasakykite gydytojui arba vaistininkui. </w:t>
      </w:r>
      <w:r w:rsidR="005A3897" w:rsidRPr="005A3897">
        <w:rPr>
          <w:rFonts w:ascii="Times New Roman" w:eastAsia="Calibri" w:hAnsi="Times New Roman" w:cs="Times New Roman"/>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6F94B610" w14:textId="77777777" w:rsidR="00797756" w:rsidRPr="00964115" w:rsidRDefault="00797756" w:rsidP="00797756">
      <w:pPr>
        <w:spacing w:after="0" w:line="240" w:lineRule="auto"/>
        <w:ind w:right="-449"/>
        <w:rPr>
          <w:rFonts w:ascii="Times New Roman" w:eastAsia="Calibri" w:hAnsi="Times New Roman" w:cs="Times New Roman"/>
          <w:lang w:val="lt-LT"/>
        </w:rPr>
      </w:pPr>
    </w:p>
    <w:p w14:paraId="6F94B611" w14:textId="77777777" w:rsidR="00797756" w:rsidRPr="00964115" w:rsidRDefault="00797756" w:rsidP="00797756">
      <w:pPr>
        <w:spacing w:after="0" w:line="240" w:lineRule="auto"/>
        <w:rPr>
          <w:rFonts w:ascii="Times New Roman" w:eastAsia="Calibri" w:hAnsi="Times New Roman" w:cs="Times New Roman"/>
          <w:lang w:val="lt-LT"/>
        </w:rPr>
      </w:pPr>
    </w:p>
    <w:p w14:paraId="6F94B612"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5.</w:t>
      </w:r>
      <w:r w:rsidRPr="00964115">
        <w:rPr>
          <w:rFonts w:ascii="Times New Roman" w:eastAsia="Calibri" w:hAnsi="Times New Roman" w:cs="Times New Roman"/>
          <w:b/>
          <w:lang w:val="lt-LT"/>
        </w:rPr>
        <w:tab/>
        <w:t>Kaip laikyti Vimovo</w:t>
      </w:r>
    </w:p>
    <w:p w14:paraId="6F94B613" w14:textId="77777777" w:rsidR="00797756" w:rsidRPr="00964115" w:rsidRDefault="00797756" w:rsidP="00797756">
      <w:pPr>
        <w:spacing w:after="0" w:line="240" w:lineRule="auto"/>
        <w:rPr>
          <w:rFonts w:ascii="Times New Roman" w:eastAsia="Calibri" w:hAnsi="Times New Roman" w:cs="Times New Roman"/>
          <w:lang w:val="lt-LT"/>
        </w:rPr>
      </w:pPr>
    </w:p>
    <w:p w14:paraId="6F94B614" w14:textId="77777777" w:rsidR="00797756" w:rsidRPr="00964115" w:rsidRDefault="00797756" w:rsidP="00797756">
      <w:pPr>
        <w:numPr>
          <w:ilvl w:val="12"/>
          <w:numId w:val="0"/>
        </w:numPr>
        <w:tabs>
          <w:tab w:val="left" w:pos="1296"/>
        </w:tabs>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Šį vaistą laikykite vaikams nepastebimoje ir nepasiekiamoje vietoje.</w:t>
      </w:r>
    </w:p>
    <w:p w14:paraId="6F94B615" w14:textId="77777777" w:rsidR="00797756" w:rsidRPr="00964115" w:rsidRDefault="00797756" w:rsidP="00797756">
      <w:pPr>
        <w:spacing w:after="0" w:line="240" w:lineRule="auto"/>
        <w:rPr>
          <w:rFonts w:ascii="Times New Roman" w:eastAsia="Calibri" w:hAnsi="Times New Roman" w:cs="Times New Roman"/>
          <w:lang w:val="lt-LT"/>
        </w:rPr>
      </w:pPr>
    </w:p>
    <w:p w14:paraId="6F94B616"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Ant dėžutės, buteliuko arba lizdinės plokštelės po „Tinka iki/EXP“ nurodytam tinkamumo laikui pasibaigus, šio vaisto vartoti negalima. Vaistas tinkamas vartoti iki paskutinės nurodyto mėnesio dienos.</w:t>
      </w:r>
    </w:p>
    <w:p w14:paraId="6F94B617" w14:textId="77777777" w:rsidR="00797756" w:rsidRPr="00964115" w:rsidRDefault="00797756" w:rsidP="00797756">
      <w:pPr>
        <w:spacing w:after="0" w:line="240" w:lineRule="auto"/>
        <w:rPr>
          <w:rFonts w:ascii="Times New Roman" w:eastAsia="Calibri" w:hAnsi="Times New Roman" w:cs="Times New Roman"/>
          <w:lang w:val="lt-LT"/>
        </w:rPr>
      </w:pPr>
    </w:p>
    <w:p w14:paraId="6F94B61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Laikyti ne aukštesnėje kaip 30 °C temperatūroje.</w:t>
      </w:r>
    </w:p>
    <w:p w14:paraId="6F94B619" w14:textId="77777777" w:rsidR="00797756" w:rsidRPr="00964115" w:rsidRDefault="00797756" w:rsidP="00797756">
      <w:pPr>
        <w:spacing w:after="0" w:line="240" w:lineRule="auto"/>
        <w:rPr>
          <w:rFonts w:ascii="Times New Roman" w:eastAsia="Calibri" w:hAnsi="Times New Roman" w:cs="Times New Roman"/>
          <w:lang w:val="lt-LT"/>
        </w:rPr>
      </w:pPr>
    </w:p>
    <w:p w14:paraId="6F94B61A"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Buteliukas. Laikyti gamintojo pakuotėje. Buteliuką laikyti sandarų, kad preparatas būtų apsaugotas nuo drėgmės.</w:t>
      </w:r>
    </w:p>
    <w:p w14:paraId="6F94B61B"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61C"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Lizdinės plokštelės. Laikyti gamintojo pakuotėje, kad preparatas būtų apsaugotas nuo drėgmės.</w:t>
      </w:r>
    </w:p>
    <w:p w14:paraId="6F94B61D" w14:textId="77777777" w:rsidR="00797756" w:rsidRPr="00964115" w:rsidRDefault="00797756" w:rsidP="00797756">
      <w:pPr>
        <w:spacing w:after="0" w:line="240" w:lineRule="auto"/>
        <w:rPr>
          <w:rFonts w:ascii="Times New Roman" w:eastAsia="Calibri" w:hAnsi="Times New Roman" w:cs="Times New Roman"/>
          <w:lang w:val="lt-LT"/>
        </w:rPr>
      </w:pPr>
    </w:p>
    <w:p w14:paraId="6F94B61E"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6F94B61F"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620"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621" w14:textId="77777777" w:rsidR="00797756" w:rsidRPr="00964115" w:rsidRDefault="00797756" w:rsidP="00797756">
      <w:pPr>
        <w:numPr>
          <w:ilvl w:val="12"/>
          <w:numId w:val="0"/>
        </w:numPr>
        <w:tabs>
          <w:tab w:val="left" w:pos="540"/>
        </w:tabs>
        <w:spacing w:after="0" w:line="240" w:lineRule="auto"/>
        <w:ind w:right="-2"/>
        <w:rPr>
          <w:rFonts w:ascii="Times New Roman" w:eastAsia="Calibri" w:hAnsi="Times New Roman" w:cs="Times New Roman"/>
          <w:b/>
          <w:lang w:val="lt-LT"/>
        </w:rPr>
      </w:pPr>
      <w:r w:rsidRPr="00964115">
        <w:rPr>
          <w:rFonts w:ascii="Times New Roman" w:eastAsia="Calibri" w:hAnsi="Times New Roman" w:cs="Times New Roman"/>
          <w:b/>
          <w:lang w:val="lt-LT"/>
        </w:rPr>
        <w:t>6.</w:t>
      </w:r>
      <w:r w:rsidRPr="00964115">
        <w:rPr>
          <w:rFonts w:ascii="Times New Roman" w:eastAsia="Calibri" w:hAnsi="Times New Roman" w:cs="Times New Roman"/>
          <w:b/>
          <w:lang w:val="lt-LT"/>
        </w:rPr>
        <w:tab/>
        <w:t>Pakuotės turinys ir kita informacija</w:t>
      </w:r>
    </w:p>
    <w:p w14:paraId="6F94B622" w14:textId="77777777" w:rsidR="00797756" w:rsidRPr="00964115" w:rsidRDefault="00797756" w:rsidP="00797756">
      <w:pPr>
        <w:spacing w:after="0" w:line="240" w:lineRule="auto"/>
        <w:rPr>
          <w:rFonts w:ascii="Times New Roman" w:eastAsia="Calibri" w:hAnsi="Times New Roman" w:cs="Times New Roman"/>
          <w:lang w:val="lt-LT"/>
        </w:rPr>
      </w:pPr>
    </w:p>
    <w:p w14:paraId="6F94B623"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Vimovo sudėtis</w:t>
      </w:r>
    </w:p>
    <w:p w14:paraId="6F94B624" w14:textId="77777777" w:rsidR="00797756" w:rsidRPr="00964115" w:rsidRDefault="00797756" w:rsidP="00797756">
      <w:pPr>
        <w:numPr>
          <w:ilvl w:val="0"/>
          <w:numId w:val="27"/>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Veikliosios medžiagos yra naproksenas (500 mg) ir ezomeprazolas (20 mg).</w:t>
      </w:r>
    </w:p>
    <w:p w14:paraId="6F94B625" w14:textId="77777777" w:rsidR="00797756" w:rsidRPr="00964115" w:rsidRDefault="00797756" w:rsidP="00797756">
      <w:pPr>
        <w:numPr>
          <w:ilvl w:val="1"/>
          <w:numId w:val="27"/>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Pagalbinės medžiagos tabletės branduolyje yra kroskarmeliozės natrio druska, magnio stearatas, povidonas K90, koloidinis bevandenis silicio dioksidas, tabletės plėvelėje – karnaubo vaškas, glicerolio monostearatas 40-55, hipromeliozė (2910 tipo, 3 mPas, 6 mPas ir 50 mPas), geltonasis ir juodasis geležies oksidai (E172), makrogolis 8000, metakrilo rūgšties ir etilakrilato 1:1 kopolimero 30 % dispersija, metilo parahidroksibenzoatas (E218), polidekstrozė, polisorbatas 80, propilenglikolis, propilo parahidroksibenzoatas (E216), natrio laurilsulfatas, titano dioksidas (E171), trietilo citratas.</w:t>
      </w:r>
    </w:p>
    <w:p w14:paraId="6F94B626" w14:textId="77777777" w:rsidR="00797756" w:rsidRPr="00964115" w:rsidRDefault="00797756" w:rsidP="00797756">
      <w:pPr>
        <w:spacing w:after="0" w:line="240" w:lineRule="auto"/>
        <w:rPr>
          <w:rFonts w:ascii="Times New Roman" w:eastAsia="Calibri" w:hAnsi="Times New Roman" w:cs="Times New Roman"/>
          <w:lang w:val="lt-LT"/>
        </w:rPr>
      </w:pPr>
    </w:p>
    <w:p w14:paraId="6F94B627" w14:textId="77777777" w:rsidR="00797756" w:rsidRPr="00964115" w:rsidRDefault="00797756" w:rsidP="00797756">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Vimovo išvaizda ir kiekis pakuotėje</w:t>
      </w:r>
    </w:p>
    <w:p w14:paraId="6F94B628"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18 x 9,5 mm dydžio ovali geltona tabletė, ant kurios juodais dažais užrašyta „500/20“.</w:t>
      </w:r>
    </w:p>
    <w:p w14:paraId="6F94B629" w14:textId="77777777" w:rsidR="00797756" w:rsidRPr="00964115" w:rsidRDefault="00797756" w:rsidP="00797756">
      <w:pPr>
        <w:spacing w:after="0" w:line="240" w:lineRule="auto"/>
        <w:rPr>
          <w:rFonts w:ascii="Times New Roman" w:eastAsia="Calibri" w:hAnsi="Times New Roman" w:cs="Times New Roman"/>
          <w:lang w:val="lt-LT"/>
        </w:rPr>
      </w:pPr>
    </w:p>
    <w:p w14:paraId="6F94B62A"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Buteliukas</w:t>
      </w:r>
    </w:p>
    <w:p w14:paraId="6F94B62B"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Pakuotės dydžiai: 6, </w:t>
      </w:r>
      <w:r w:rsidR="007A0DF0" w:rsidRPr="00964115">
        <w:rPr>
          <w:rFonts w:ascii="Times New Roman" w:eastAsia="Calibri" w:hAnsi="Times New Roman" w:cs="Times New Roman"/>
          <w:lang w:val="lt-LT"/>
        </w:rPr>
        <w:t xml:space="preserve">10, </w:t>
      </w:r>
      <w:r w:rsidRPr="00964115">
        <w:rPr>
          <w:rFonts w:ascii="Times New Roman" w:eastAsia="Calibri" w:hAnsi="Times New Roman" w:cs="Times New Roman"/>
          <w:lang w:val="lt-LT"/>
        </w:rPr>
        <w:t>20, 30, 60, 100, 180 arba 500 modifikuoto atpalaidavimo tablečių.</w:t>
      </w:r>
    </w:p>
    <w:p w14:paraId="6F94B62C"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Buteliukuose yra silikagelio džiovikio, kad tabletės išliktų sausos. Paketėlio su džiovikliu valgyti negalima.</w:t>
      </w:r>
    </w:p>
    <w:p w14:paraId="6F94B62D" w14:textId="77777777" w:rsidR="00797756" w:rsidRPr="00964115" w:rsidRDefault="00797756" w:rsidP="00797756">
      <w:pPr>
        <w:spacing w:after="0" w:line="240" w:lineRule="auto"/>
        <w:rPr>
          <w:rFonts w:ascii="Times New Roman" w:eastAsia="Calibri" w:hAnsi="Times New Roman" w:cs="Times New Roman"/>
          <w:lang w:val="lt-LT"/>
        </w:rPr>
      </w:pPr>
    </w:p>
    <w:p w14:paraId="6F94B62E" w14:textId="77777777" w:rsidR="00797756" w:rsidRPr="00964115" w:rsidRDefault="00797756" w:rsidP="00797756">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Aliumininių lizdinių plokštelių pakuotė</w:t>
      </w:r>
    </w:p>
    <w:p w14:paraId="6F94B62F"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Pakuotės dydžiai: 10, 20, 30, 60 arba 100 modifikuoto atpalaidavimo tablečių.</w:t>
      </w:r>
    </w:p>
    <w:p w14:paraId="6F94B630" w14:textId="77777777" w:rsidR="00797756" w:rsidRPr="00964115" w:rsidRDefault="00797756" w:rsidP="00797756">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Gali būti tiekiamos ne visų dydžių pakuotės.</w:t>
      </w:r>
    </w:p>
    <w:p w14:paraId="6F94B631" w14:textId="77777777" w:rsidR="00797756" w:rsidRPr="00964115" w:rsidRDefault="00797756" w:rsidP="00797756">
      <w:pPr>
        <w:spacing w:after="0" w:line="240" w:lineRule="auto"/>
        <w:rPr>
          <w:rFonts w:ascii="Times New Roman" w:eastAsia="Calibri" w:hAnsi="Times New Roman" w:cs="Times New Roman"/>
          <w:lang w:val="lt-LT"/>
        </w:rPr>
      </w:pPr>
    </w:p>
    <w:p w14:paraId="6F94B632"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b/>
          <w:lang w:val="lt-LT"/>
        </w:rPr>
      </w:pPr>
      <w:r w:rsidRPr="00964115">
        <w:rPr>
          <w:rFonts w:ascii="Times New Roman" w:eastAsia="Calibri" w:hAnsi="Times New Roman" w:cs="Times New Roman"/>
          <w:b/>
          <w:lang w:val="lt-LT"/>
        </w:rPr>
        <w:t>Registruotojas ir gamintojai</w:t>
      </w:r>
    </w:p>
    <w:p w14:paraId="6F94B633"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634"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i/>
          <w:lang w:val="lt-LT"/>
        </w:rPr>
      </w:pPr>
      <w:r w:rsidRPr="00964115">
        <w:rPr>
          <w:rFonts w:ascii="Times New Roman" w:eastAsia="Calibri" w:hAnsi="Times New Roman" w:cs="Times New Roman"/>
          <w:i/>
          <w:lang w:val="lt-LT"/>
        </w:rPr>
        <w:t>Registruotojas</w:t>
      </w:r>
    </w:p>
    <w:p w14:paraId="2AA8CEE6"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Grünenthal GmbH</w:t>
      </w:r>
    </w:p>
    <w:p w14:paraId="29161B55"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 xml:space="preserve">Zieglerstrasse 6 </w:t>
      </w:r>
    </w:p>
    <w:p w14:paraId="5023542F" w14:textId="77777777" w:rsidR="00553848" w:rsidRDefault="00553848" w:rsidP="00553848">
      <w:pPr>
        <w:spacing w:after="0" w:line="240" w:lineRule="auto"/>
        <w:ind w:left="567" w:hanging="567"/>
        <w:rPr>
          <w:rFonts w:ascii="Times New Roman" w:hAnsi="Times New Roman" w:cs="Times New Roman"/>
        </w:rPr>
      </w:pPr>
      <w:r w:rsidRPr="00553848">
        <w:rPr>
          <w:rFonts w:ascii="Times New Roman" w:hAnsi="Times New Roman" w:cs="Times New Roman"/>
        </w:rPr>
        <w:t xml:space="preserve">52078 Aachen </w:t>
      </w:r>
    </w:p>
    <w:p w14:paraId="766173C6" w14:textId="77777777" w:rsidR="00553848" w:rsidRPr="00553848" w:rsidRDefault="00553848" w:rsidP="00553848">
      <w:pPr>
        <w:spacing w:after="0" w:line="240" w:lineRule="auto"/>
        <w:ind w:left="567" w:hanging="567"/>
        <w:rPr>
          <w:rFonts w:ascii="Times New Roman" w:eastAsia="Calibri" w:hAnsi="Times New Roman" w:cs="Times New Roman"/>
          <w:lang w:val="lt-LT"/>
        </w:rPr>
      </w:pPr>
      <w:r w:rsidRPr="00553848">
        <w:rPr>
          <w:rFonts w:ascii="Times New Roman" w:hAnsi="Times New Roman" w:cs="Times New Roman"/>
        </w:rPr>
        <w:t>Vokietija</w:t>
      </w:r>
    </w:p>
    <w:p w14:paraId="6F94B639"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63A"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i/>
          <w:lang w:val="lt-LT"/>
        </w:rPr>
      </w:pPr>
      <w:r w:rsidRPr="00964115">
        <w:rPr>
          <w:rFonts w:ascii="Times New Roman" w:eastAsia="Calibri" w:hAnsi="Times New Roman" w:cs="Times New Roman"/>
          <w:i/>
          <w:lang w:val="lt-LT"/>
        </w:rPr>
        <w:t>Gamintojai</w:t>
      </w:r>
    </w:p>
    <w:p w14:paraId="6F94B640"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p>
    <w:p w14:paraId="6F94B641"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Grünenthal GmbH</w:t>
      </w:r>
    </w:p>
    <w:p w14:paraId="6F94B642"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Zieglerstrasse 6</w:t>
      </w:r>
    </w:p>
    <w:p w14:paraId="6F94B643"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52078 Aachen</w:t>
      </w:r>
    </w:p>
    <w:p w14:paraId="6F94B644" w14:textId="77777777" w:rsidR="00797756" w:rsidRPr="00964115" w:rsidRDefault="00797756" w:rsidP="00797756">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Vokietija</w:t>
      </w:r>
    </w:p>
    <w:p w14:paraId="6F94B64D" w14:textId="77777777" w:rsidR="00797756" w:rsidRPr="003762AD" w:rsidRDefault="00797756" w:rsidP="003175B4">
      <w:pPr>
        <w:spacing w:after="0" w:line="240" w:lineRule="auto"/>
        <w:rPr>
          <w:rFonts w:ascii="Times New Roman" w:eastAsia="Calibri" w:hAnsi="Times New Roman" w:cs="Times New Roman"/>
          <w:lang w:val="lt-LT"/>
        </w:rPr>
      </w:pPr>
    </w:p>
    <w:p w14:paraId="6F94B64F" w14:textId="1949FA7D" w:rsidR="00797756" w:rsidRPr="003762AD" w:rsidRDefault="00797756" w:rsidP="003175B4">
      <w:pPr>
        <w:numPr>
          <w:ilvl w:val="12"/>
          <w:numId w:val="0"/>
        </w:numPr>
        <w:tabs>
          <w:tab w:val="left" w:pos="567"/>
        </w:tabs>
        <w:spacing w:after="0" w:line="240" w:lineRule="auto"/>
        <w:ind w:right="-2"/>
        <w:rPr>
          <w:rFonts w:ascii="Times New Roman" w:eastAsia="Calibri" w:hAnsi="Times New Roman" w:cs="Times New Roman"/>
          <w:lang w:val="lt-LT"/>
        </w:rPr>
      </w:pPr>
      <w:r w:rsidRPr="003762AD">
        <w:rPr>
          <w:rFonts w:ascii="Times New Roman" w:eastAsia="Calibri" w:hAnsi="Times New Roman" w:cs="Times New Roman"/>
          <w:b/>
          <w:lang w:val="lt-LT"/>
        </w:rPr>
        <w:t>Šis vaistas E</w:t>
      </w:r>
      <w:r w:rsidR="00CA5215">
        <w:rPr>
          <w:rFonts w:ascii="Times New Roman" w:eastAsia="Calibri" w:hAnsi="Times New Roman" w:cs="Times New Roman"/>
          <w:b/>
          <w:lang w:val="lt-LT"/>
        </w:rPr>
        <w:t>uropos ekonominės erdvės</w:t>
      </w:r>
      <w:r w:rsidRPr="003762AD">
        <w:rPr>
          <w:rFonts w:ascii="Times New Roman" w:eastAsia="Calibri" w:hAnsi="Times New Roman" w:cs="Times New Roman"/>
          <w:b/>
          <w:lang w:val="lt-LT"/>
        </w:rPr>
        <w:t xml:space="preserve"> valstybėse narėse </w:t>
      </w:r>
      <w:r w:rsidR="00494F81">
        <w:rPr>
          <w:rFonts w:ascii="Times New Roman" w:eastAsia="Calibri" w:hAnsi="Times New Roman" w:cs="Times New Roman"/>
          <w:b/>
          <w:lang w:val="lt-LT"/>
        </w:rPr>
        <w:t>ir Jungtinėje Karalystėje (Šiaurės Airijoje)</w:t>
      </w:r>
      <w:r w:rsidR="00726E42">
        <w:rPr>
          <w:rFonts w:ascii="Times New Roman" w:eastAsia="Calibri" w:hAnsi="Times New Roman" w:cs="Times New Roman"/>
          <w:b/>
          <w:lang w:val="lt-LT"/>
        </w:rPr>
        <w:t xml:space="preserve"> </w:t>
      </w:r>
      <w:r w:rsidRPr="003762AD">
        <w:rPr>
          <w:rFonts w:ascii="Times New Roman" w:eastAsia="Calibri" w:hAnsi="Times New Roman" w:cs="Times New Roman"/>
          <w:b/>
          <w:lang w:val="lt-LT"/>
        </w:rPr>
        <w:t>registruotas tokiais pavadinimais</w:t>
      </w:r>
      <w:r w:rsidRPr="003762AD">
        <w:rPr>
          <w:rFonts w:ascii="Times New Roman" w:eastAsia="Calibri" w:hAnsi="Times New Roman" w:cs="Times New Roman"/>
          <w:lang w:val="lt-LT"/>
        </w:rPr>
        <w:t>:</w:t>
      </w:r>
    </w:p>
    <w:p w14:paraId="539C8249" w14:textId="77777777" w:rsidR="008810A5" w:rsidRPr="003762AD" w:rsidRDefault="008810A5" w:rsidP="003175B4">
      <w:pPr>
        <w:pStyle w:val="Pagrindinistekstas"/>
        <w:spacing w:after="0"/>
        <w:rPr>
          <w:b/>
        </w:rPr>
      </w:pPr>
    </w:p>
    <w:tbl>
      <w:tblPr>
        <w:tblStyle w:val="Lentelstinklelis"/>
        <w:tblW w:w="0" w:type="auto"/>
        <w:tblLook w:val="04A0" w:firstRow="1" w:lastRow="0" w:firstColumn="1" w:lastColumn="0" w:noHBand="0" w:noVBand="1"/>
      </w:tblPr>
      <w:tblGrid>
        <w:gridCol w:w="5080"/>
        <w:gridCol w:w="3980"/>
      </w:tblGrid>
      <w:tr w:rsidR="00D63642" w:rsidRPr="003762AD" w14:paraId="3B2B70BC" w14:textId="77777777" w:rsidTr="00D63642">
        <w:tc>
          <w:tcPr>
            <w:tcW w:w="5482" w:type="dxa"/>
          </w:tcPr>
          <w:p w14:paraId="363F075B" w14:textId="6DE5C791" w:rsidR="008810A5" w:rsidRPr="00301552" w:rsidRDefault="003762AD" w:rsidP="003175B4">
            <w:pPr>
              <w:pStyle w:val="Pagrindinistekstas"/>
              <w:spacing w:after="0"/>
              <w:rPr>
                <w:b/>
                <w:sz w:val="22"/>
                <w:szCs w:val="22"/>
              </w:rPr>
            </w:pPr>
            <w:r w:rsidRPr="00301552">
              <w:rPr>
                <w:b/>
                <w:sz w:val="22"/>
                <w:szCs w:val="22"/>
              </w:rPr>
              <w:t>Valstybė narė</w:t>
            </w:r>
          </w:p>
        </w:tc>
        <w:tc>
          <w:tcPr>
            <w:tcW w:w="4278" w:type="dxa"/>
          </w:tcPr>
          <w:p w14:paraId="2B0A09EC" w14:textId="5F5E9EE5" w:rsidR="008810A5" w:rsidRPr="00301552" w:rsidRDefault="003762AD" w:rsidP="003175B4">
            <w:pPr>
              <w:pStyle w:val="Pagrindinistekstas"/>
              <w:spacing w:after="0"/>
              <w:rPr>
                <w:b/>
                <w:sz w:val="22"/>
                <w:szCs w:val="22"/>
              </w:rPr>
            </w:pPr>
            <w:r w:rsidRPr="00301552">
              <w:rPr>
                <w:b/>
                <w:sz w:val="22"/>
                <w:szCs w:val="22"/>
              </w:rPr>
              <w:t>Vaistinio preparato pabadinimas</w:t>
            </w:r>
          </w:p>
        </w:tc>
      </w:tr>
      <w:tr w:rsidR="00D63642" w:rsidRPr="003762AD" w14:paraId="7A8F3B68" w14:textId="77777777" w:rsidTr="00D63642">
        <w:tc>
          <w:tcPr>
            <w:tcW w:w="5482" w:type="dxa"/>
          </w:tcPr>
          <w:p w14:paraId="27298892" w14:textId="0ECB2C0E" w:rsidR="008810A5" w:rsidRPr="00301552" w:rsidRDefault="00964115" w:rsidP="003175B4">
            <w:pPr>
              <w:pStyle w:val="Pagrindinistekstas"/>
              <w:spacing w:after="0"/>
              <w:rPr>
                <w:rFonts w:eastAsia="Calibri"/>
                <w:sz w:val="22"/>
                <w:szCs w:val="22"/>
              </w:rPr>
            </w:pPr>
            <w:r w:rsidRPr="00301552">
              <w:rPr>
                <w:rFonts w:eastAsia="Calibri"/>
                <w:sz w:val="22"/>
                <w:szCs w:val="22"/>
              </w:rPr>
              <w:t xml:space="preserve">Austrija, Belgija, Bulgarija, Danija, Estija, Suomija, </w:t>
            </w:r>
            <w:r w:rsidR="002949A3" w:rsidRPr="00301552">
              <w:rPr>
                <w:rFonts w:eastAsia="Calibri"/>
                <w:sz w:val="22"/>
                <w:szCs w:val="22"/>
              </w:rPr>
              <w:t xml:space="preserve">Vokietija, </w:t>
            </w:r>
            <w:r w:rsidRPr="00301552">
              <w:rPr>
                <w:rFonts w:eastAsia="Calibri"/>
                <w:sz w:val="22"/>
                <w:szCs w:val="22"/>
              </w:rPr>
              <w:t>Airija, Italija, Latvija, Lietuva, Liuksemburgas, Nyderlandai, Norvegija, Portugalija, Rumunija, Ispanija, Švedija, Jungtinė Karalystė</w:t>
            </w:r>
            <w:r w:rsidR="003762AD" w:rsidRPr="00301552">
              <w:rPr>
                <w:rFonts w:eastAsia="Calibri"/>
                <w:sz w:val="22"/>
                <w:szCs w:val="22"/>
              </w:rPr>
              <w:t xml:space="preserve"> (Š</w:t>
            </w:r>
            <w:r w:rsidR="00494F81">
              <w:rPr>
                <w:rFonts w:eastAsia="Calibri"/>
                <w:sz w:val="22"/>
                <w:szCs w:val="22"/>
              </w:rPr>
              <w:t>iaurės</w:t>
            </w:r>
            <w:r w:rsidR="003762AD" w:rsidRPr="00301552">
              <w:rPr>
                <w:rFonts w:eastAsia="Calibri"/>
                <w:sz w:val="22"/>
                <w:szCs w:val="22"/>
              </w:rPr>
              <w:t xml:space="preserve"> Airija)</w:t>
            </w:r>
          </w:p>
        </w:tc>
        <w:tc>
          <w:tcPr>
            <w:tcW w:w="4278" w:type="dxa"/>
          </w:tcPr>
          <w:p w14:paraId="7F69026E" w14:textId="77777777" w:rsidR="008810A5" w:rsidRPr="00301552" w:rsidRDefault="008810A5" w:rsidP="003175B4">
            <w:pPr>
              <w:pStyle w:val="Pagrindinistekstas"/>
              <w:spacing w:after="0"/>
              <w:rPr>
                <w:bCs/>
                <w:sz w:val="22"/>
                <w:szCs w:val="22"/>
              </w:rPr>
            </w:pPr>
            <w:r w:rsidRPr="00301552">
              <w:rPr>
                <w:bCs/>
                <w:sz w:val="22"/>
                <w:szCs w:val="22"/>
              </w:rPr>
              <w:t>Vimovo</w:t>
            </w:r>
          </w:p>
        </w:tc>
      </w:tr>
    </w:tbl>
    <w:p w14:paraId="7F93EED6" w14:textId="77777777" w:rsidR="008810A5" w:rsidRPr="003762AD" w:rsidRDefault="008810A5" w:rsidP="003175B4">
      <w:pPr>
        <w:numPr>
          <w:ilvl w:val="12"/>
          <w:numId w:val="0"/>
        </w:numPr>
        <w:spacing w:after="0" w:line="240" w:lineRule="auto"/>
        <w:ind w:right="-2"/>
        <w:rPr>
          <w:rFonts w:ascii="Times New Roman" w:eastAsia="Calibri" w:hAnsi="Times New Roman" w:cs="Times New Roman"/>
          <w:lang w:val="lt-LT"/>
        </w:rPr>
      </w:pPr>
    </w:p>
    <w:p w14:paraId="6F94B653" w14:textId="39D51D0D" w:rsidR="00797756" w:rsidRPr="003762AD" w:rsidRDefault="00797756" w:rsidP="003175B4">
      <w:pPr>
        <w:spacing w:after="0" w:line="240" w:lineRule="auto"/>
        <w:rPr>
          <w:rFonts w:ascii="Times New Roman" w:eastAsia="Calibri" w:hAnsi="Times New Roman" w:cs="Times New Roman"/>
          <w:b/>
          <w:lang w:val="lt-LT"/>
        </w:rPr>
      </w:pPr>
      <w:r w:rsidRPr="003762AD">
        <w:rPr>
          <w:rFonts w:ascii="Times New Roman" w:eastAsia="Calibri" w:hAnsi="Times New Roman" w:cs="Times New Roman"/>
          <w:b/>
          <w:lang w:val="lt-LT"/>
        </w:rPr>
        <w:t>Šis pakuotės lapelis paskutinį kartą peržiūrėtas</w:t>
      </w:r>
      <w:r w:rsidR="002B5AC9">
        <w:rPr>
          <w:rFonts w:ascii="Times New Roman" w:eastAsia="Calibri" w:hAnsi="Times New Roman" w:cs="Times New Roman"/>
          <w:b/>
          <w:lang w:val="lt-LT"/>
        </w:rPr>
        <w:t xml:space="preserve"> </w:t>
      </w:r>
      <w:r w:rsidR="007A3DE6">
        <w:rPr>
          <w:rFonts w:ascii="Times New Roman" w:eastAsia="Calibri" w:hAnsi="Times New Roman" w:cs="Times New Roman"/>
          <w:b/>
          <w:lang w:val="lt-LT"/>
        </w:rPr>
        <w:t>2023-0</w:t>
      </w:r>
      <w:r w:rsidR="000C59A0">
        <w:rPr>
          <w:rFonts w:ascii="Times New Roman" w:eastAsia="Calibri" w:hAnsi="Times New Roman" w:cs="Times New Roman"/>
          <w:b/>
          <w:lang w:val="lt-LT"/>
        </w:rPr>
        <w:t>9</w:t>
      </w:r>
      <w:r w:rsidR="007A3DE6">
        <w:rPr>
          <w:rFonts w:ascii="Times New Roman" w:eastAsia="Calibri" w:hAnsi="Times New Roman" w:cs="Times New Roman"/>
          <w:b/>
          <w:lang w:val="lt-LT"/>
        </w:rPr>
        <w:t>-0</w:t>
      </w:r>
      <w:r w:rsidR="000C59A0">
        <w:rPr>
          <w:rFonts w:ascii="Times New Roman" w:eastAsia="Calibri" w:hAnsi="Times New Roman" w:cs="Times New Roman"/>
          <w:b/>
          <w:lang w:val="lt-LT"/>
        </w:rPr>
        <w:t>5</w:t>
      </w:r>
      <w:r w:rsidR="002B5AC9">
        <w:rPr>
          <w:rFonts w:ascii="Times New Roman" w:eastAsia="Calibri" w:hAnsi="Times New Roman" w:cs="Times New Roman"/>
          <w:b/>
          <w:lang w:val="lt-LT"/>
        </w:rPr>
        <w:t>.</w:t>
      </w:r>
    </w:p>
    <w:p w14:paraId="6F94B654" w14:textId="77777777" w:rsidR="00054A9D" w:rsidRPr="003762AD" w:rsidRDefault="00054A9D" w:rsidP="003175B4">
      <w:pPr>
        <w:spacing w:after="0" w:line="240" w:lineRule="auto"/>
        <w:rPr>
          <w:rFonts w:ascii="Times New Roman" w:eastAsia="Calibri" w:hAnsi="Times New Roman" w:cs="Times New Roman"/>
          <w:b/>
          <w:lang w:val="lt-LT"/>
        </w:rPr>
      </w:pPr>
    </w:p>
    <w:p w14:paraId="6F94B655" w14:textId="77777777" w:rsidR="00797756" w:rsidRPr="003762AD" w:rsidRDefault="00797756" w:rsidP="003175B4">
      <w:pPr>
        <w:spacing w:after="0" w:line="240" w:lineRule="auto"/>
        <w:rPr>
          <w:rFonts w:ascii="Times New Roman" w:eastAsia="Calibri" w:hAnsi="Times New Roman" w:cs="Times New Roman"/>
          <w:lang w:val="lt-LT"/>
        </w:rPr>
      </w:pPr>
      <w:r w:rsidRPr="003762AD">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hyperlink r:id="rId12" w:history="1">
        <w:r w:rsidRPr="003762AD">
          <w:rPr>
            <w:rFonts w:ascii="Times New Roman" w:eastAsia="SimSun" w:hAnsi="Times New Roman" w:cs="Times New Roman"/>
            <w:snapToGrid w:val="0"/>
            <w:color w:val="0000FF"/>
            <w:szCs w:val="20"/>
            <w:u w:val="single"/>
            <w:lang w:val="lt-LT"/>
          </w:rPr>
          <w:t>http://www.vvkt.lt/</w:t>
        </w:r>
      </w:hyperlink>
      <w:r w:rsidRPr="003762AD">
        <w:rPr>
          <w:rFonts w:ascii="Times New Roman" w:eastAsia="Calibri" w:hAnsi="Times New Roman" w:cs="Times New Roman"/>
          <w:lang w:val="lt-LT"/>
        </w:rPr>
        <w:t xml:space="preserve">. </w:t>
      </w:r>
    </w:p>
    <w:p w14:paraId="6F94B656" w14:textId="77777777" w:rsidR="00797756" w:rsidRPr="003762AD" w:rsidRDefault="00797756" w:rsidP="003175B4">
      <w:pPr>
        <w:spacing w:after="0" w:line="240" w:lineRule="auto"/>
        <w:rPr>
          <w:rFonts w:ascii="Times New Roman" w:eastAsia="Calibri" w:hAnsi="Times New Roman" w:cs="Times New Roman"/>
          <w:lang w:val="lt-LT"/>
        </w:rPr>
      </w:pPr>
    </w:p>
    <w:p w14:paraId="6F94B657" w14:textId="77777777" w:rsidR="00797756" w:rsidRPr="00964115" w:rsidRDefault="00797756" w:rsidP="00797756">
      <w:pPr>
        <w:spacing w:after="0" w:line="240" w:lineRule="auto"/>
        <w:rPr>
          <w:rFonts w:ascii="Times New Roman" w:eastAsia="Calibri" w:hAnsi="Times New Roman" w:cs="Times New Roman"/>
          <w:lang w:val="lt-LT"/>
        </w:rPr>
      </w:pPr>
    </w:p>
    <w:p w14:paraId="6F94B658" w14:textId="77777777" w:rsidR="00562B31" w:rsidRPr="00964115" w:rsidRDefault="00562B31">
      <w:pPr>
        <w:rPr>
          <w:lang w:val="lt-LT"/>
        </w:rPr>
      </w:pPr>
    </w:p>
    <w:sectPr w:rsidR="00562B31" w:rsidRPr="00964115" w:rsidSect="00910112">
      <w:headerReference w:type="default" r:id="rId13"/>
      <w:footerReference w:type="even" r:id="rId14"/>
      <w:footerReference w:type="default" r:id="rId15"/>
      <w:pgSz w:w="11906" w:h="16838" w:code="9"/>
      <w:pgMar w:top="1134" w:right="1418" w:bottom="1134" w:left="1418" w:header="737" w:footer="737" w:gutter="0"/>
      <w:pgNumType w:start="1"/>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C9693D" w14:textId="77777777" w:rsidR="00C80D82" w:rsidRDefault="00C80D82">
      <w:pPr>
        <w:spacing w:after="0" w:line="240" w:lineRule="auto"/>
      </w:pPr>
      <w:r>
        <w:separator/>
      </w:r>
    </w:p>
  </w:endnote>
  <w:endnote w:type="continuationSeparator" w:id="0">
    <w:p w14:paraId="18CDAD13" w14:textId="77777777" w:rsidR="00C80D82" w:rsidRDefault="00C80D82">
      <w:pPr>
        <w:spacing w:after="0" w:line="240" w:lineRule="auto"/>
      </w:pPr>
      <w:r>
        <w:continuationSeparator/>
      </w:r>
    </w:p>
  </w:endnote>
  <w:endnote w:type="continuationNotice" w:id="1">
    <w:p w14:paraId="24CA5FE3" w14:textId="77777777" w:rsidR="00C80D82" w:rsidRDefault="00C80D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4B660" w14:textId="77777777" w:rsidR="00CB7213" w:rsidRDefault="00CB7213" w:rsidP="0021048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rPr>
      <w:fldChar w:fldCharType="end"/>
    </w:r>
  </w:p>
  <w:p w14:paraId="6F94B661" w14:textId="77777777" w:rsidR="00CB7213" w:rsidRDefault="00CB7213" w:rsidP="0021048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4B662" w14:textId="2513CF9E" w:rsidR="00CB7213" w:rsidRPr="00C73506" w:rsidRDefault="00CB7213">
    <w:pPr>
      <w:pStyle w:val="Porat"/>
      <w:jc w:val="center"/>
      <w:rPr>
        <w:sz w:val="22"/>
        <w:szCs w:val="22"/>
      </w:rPr>
    </w:pPr>
    <w:r w:rsidRPr="00C73506">
      <w:rPr>
        <w:sz w:val="22"/>
        <w:szCs w:val="22"/>
      </w:rPr>
      <w:fldChar w:fldCharType="begin"/>
    </w:r>
    <w:r w:rsidRPr="00C73506">
      <w:rPr>
        <w:sz w:val="22"/>
        <w:szCs w:val="22"/>
      </w:rPr>
      <w:instrText xml:space="preserve"> PAGE   \* MERGEFORMAT </w:instrText>
    </w:r>
    <w:r w:rsidRPr="00C73506">
      <w:rPr>
        <w:sz w:val="22"/>
        <w:szCs w:val="22"/>
      </w:rPr>
      <w:fldChar w:fldCharType="separate"/>
    </w:r>
    <w:r w:rsidR="00A56788">
      <w:rPr>
        <w:noProof/>
        <w:sz w:val="22"/>
        <w:szCs w:val="22"/>
      </w:rPr>
      <w:t>28</w:t>
    </w:r>
    <w:r w:rsidRPr="00C73506">
      <w:rPr>
        <w:noProof/>
        <w:sz w:val="22"/>
        <w:szCs w:val="22"/>
      </w:rPr>
      <w:fldChar w:fldCharType="end"/>
    </w:r>
  </w:p>
  <w:p w14:paraId="6F94B663" w14:textId="77777777" w:rsidR="00CB7213" w:rsidRDefault="00CB7213" w:rsidP="0021048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1D1666" w14:textId="77777777" w:rsidR="00C80D82" w:rsidRDefault="00C80D82">
      <w:pPr>
        <w:spacing w:after="0" w:line="240" w:lineRule="auto"/>
      </w:pPr>
      <w:r>
        <w:separator/>
      </w:r>
    </w:p>
  </w:footnote>
  <w:footnote w:type="continuationSeparator" w:id="0">
    <w:p w14:paraId="68E9531B" w14:textId="77777777" w:rsidR="00C80D82" w:rsidRDefault="00C80D82">
      <w:pPr>
        <w:spacing w:after="0" w:line="240" w:lineRule="auto"/>
      </w:pPr>
      <w:r>
        <w:continuationSeparator/>
      </w:r>
    </w:p>
  </w:footnote>
  <w:footnote w:type="continuationNotice" w:id="1">
    <w:p w14:paraId="018C24CC" w14:textId="77777777" w:rsidR="00C80D82" w:rsidRDefault="00C80D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4F514B" w14:textId="77777777" w:rsidR="00CB7213" w:rsidRDefault="00CB72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B2725D"/>
    <w:multiLevelType w:val="hybridMultilevel"/>
    <w:tmpl w:val="4954A46E"/>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CA1C53"/>
    <w:multiLevelType w:val="hybridMultilevel"/>
    <w:tmpl w:val="BC8CD780"/>
    <w:lvl w:ilvl="0" w:tplc="176CD680">
      <w:start w:val="1"/>
      <w:numFmt w:val="bullet"/>
      <w:lvlText w:val=""/>
      <w:lvlJc w:val="left"/>
      <w:pPr>
        <w:tabs>
          <w:tab w:val="num" w:pos="567"/>
        </w:tabs>
        <w:ind w:left="567" w:hanging="567"/>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0F6E97"/>
    <w:multiLevelType w:val="hybridMultilevel"/>
    <w:tmpl w:val="A752A3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81A0E72"/>
    <w:multiLevelType w:val="hybridMultilevel"/>
    <w:tmpl w:val="1E5AABE8"/>
    <w:lvl w:ilvl="0" w:tplc="5DB8E628">
      <w:start w:val="1"/>
      <w:numFmt w:val="bullet"/>
      <w:lvlText w:val=""/>
      <w:lvlJc w:val="left"/>
      <w:pPr>
        <w:tabs>
          <w:tab w:val="num" w:pos="567"/>
        </w:tabs>
        <w:ind w:left="567" w:hanging="567"/>
      </w:pPr>
      <w:rPr>
        <w:rFonts w:ascii="Symbol" w:hAnsi="Symbol" w:cs="Times New Roman" w:hint="default"/>
      </w:rPr>
    </w:lvl>
    <w:lvl w:ilvl="1" w:tplc="2E76DB88">
      <w:start w:val="1"/>
      <w:numFmt w:val="bullet"/>
      <w:lvlText w:val=""/>
      <w:lvlJc w:val="left"/>
      <w:pPr>
        <w:tabs>
          <w:tab w:val="num" w:pos="1287"/>
        </w:tabs>
        <w:ind w:left="1287" w:hanging="567"/>
      </w:pPr>
      <w:rPr>
        <w:rFonts w:ascii="Symbol" w:hAnsi="Symbol"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AD13518"/>
    <w:multiLevelType w:val="hybridMultilevel"/>
    <w:tmpl w:val="32B6C914"/>
    <w:lvl w:ilvl="0" w:tplc="08090001">
      <w:start w:val="1"/>
      <w:numFmt w:val="bullet"/>
      <w:lvlText w:val=""/>
      <w:lvlJc w:val="left"/>
      <w:pPr>
        <w:ind w:left="1004" w:hanging="360"/>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1D4D6A"/>
    <w:multiLevelType w:val="hybridMultilevel"/>
    <w:tmpl w:val="5CC697C8"/>
    <w:lvl w:ilvl="0" w:tplc="04270001">
      <w:start w:val="1"/>
      <w:numFmt w:val="bullet"/>
      <w:lvlText w:val=""/>
      <w:lvlJc w:val="left"/>
      <w:pPr>
        <w:ind w:left="885" w:hanging="360"/>
      </w:pPr>
      <w:rPr>
        <w:rFonts w:ascii="Symbol" w:hAnsi="Symbol" w:hint="default"/>
      </w:rPr>
    </w:lvl>
    <w:lvl w:ilvl="1" w:tplc="04270003" w:tentative="1">
      <w:start w:val="1"/>
      <w:numFmt w:val="bullet"/>
      <w:lvlText w:val="o"/>
      <w:lvlJc w:val="left"/>
      <w:pPr>
        <w:ind w:left="1605" w:hanging="360"/>
      </w:pPr>
      <w:rPr>
        <w:rFonts w:ascii="Courier New" w:hAnsi="Courier New" w:cs="Courier New" w:hint="default"/>
      </w:rPr>
    </w:lvl>
    <w:lvl w:ilvl="2" w:tplc="04270005" w:tentative="1">
      <w:start w:val="1"/>
      <w:numFmt w:val="bullet"/>
      <w:lvlText w:val=""/>
      <w:lvlJc w:val="left"/>
      <w:pPr>
        <w:ind w:left="2325" w:hanging="360"/>
      </w:pPr>
      <w:rPr>
        <w:rFonts w:ascii="Wingdings" w:hAnsi="Wingdings" w:hint="default"/>
      </w:rPr>
    </w:lvl>
    <w:lvl w:ilvl="3" w:tplc="04270001" w:tentative="1">
      <w:start w:val="1"/>
      <w:numFmt w:val="bullet"/>
      <w:lvlText w:val=""/>
      <w:lvlJc w:val="left"/>
      <w:pPr>
        <w:ind w:left="3045" w:hanging="360"/>
      </w:pPr>
      <w:rPr>
        <w:rFonts w:ascii="Symbol" w:hAnsi="Symbol" w:hint="default"/>
      </w:rPr>
    </w:lvl>
    <w:lvl w:ilvl="4" w:tplc="04270003" w:tentative="1">
      <w:start w:val="1"/>
      <w:numFmt w:val="bullet"/>
      <w:lvlText w:val="o"/>
      <w:lvlJc w:val="left"/>
      <w:pPr>
        <w:ind w:left="3765" w:hanging="360"/>
      </w:pPr>
      <w:rPr>
        <w:rFonts w:ascii="Courier New" w:hAnsi="Courier New" w:cs="Courier New" w:hint="default"/>
      </w:rPr>
    </w:lvl>
    <w:lvl w:ilvl="5" w:tplc="04270005" w:tentative="1">
      <w:start w:val="1"/>
      <w:numFmt w:val="bullet"/>
      <w:lvlText w:val=""/>
      <w:lvlJc w:val="left"/>
      <w:pPr>
        <w:ind w:left="4485" w:hanging="360"/>
      </w:pPr>
      <w:rPr>
        <w:rFonts w:ascii="Wingdings" w:hAnsi="Wingdings" w:hint="default"/>
      </w:rPr>
    </w:lvl>
    <w:lvl w:ilvl="6" w:tplc="04270001" w:tentative="1">
      <w:start w:val="1"/>
      <w:numFmt w:val="bullet"/>
      <w:lvlText w:val=""/>
      <w:lvlJc w:val="left"/>
      <w:pPr>
        <w:ind w:left="5205" w:hanging="360"/>
      </w:pPr>
      <w:rPr>
        <w:rFonts w:ascii="Symbol" w:hAnsi="Symbol" w:hint="default"/>
      </w:rPr>
    </w:lvl>
    <w:lvl w:ilvl="7" w:tplc="04270003" w:tentative="1">
      <w:start w:val="1"/>
      <w:numFmt w:val="bullet"/>
      <w:lvlText w:val="o"/>
      <w:lvlJc w:val="left"/>
      <w:pPr>
        <w:ind w:left="5925" w:hanging="360"/>
      </w:pPr>
      <w:rPr>
        <w:rFonts w:ascii="Courier New" w:hAnsi="Courier New" w:cs="Courier New" w:hint="default"/>
      </w:rPr>
    </w:lvl>
    <w:lvl w:ilvl="8" w:tplc="04270005" w:tentative="1">
      <w:start w:val="1"/>
      <w:numFmt w:val="bullet"/>
      <w:lvlText w:val=""/>
      <w:lvlJc w:val="left"/>
      <w:pPr>
        <w:ind w:left="6645" w:hanging="360"/>
      </w:pPr>
      <w:rPr>
        <w:rFonts w:ascii="Wingdings" w:hAnsi="Wingdings" w:hint="default"/>
      </w:rPr>
    </w:lvl>
  </w:abstractNum>
  <w:abstractNum w:abstractNumId="7" w15:restartNumberingAfterBreak="0">
    <w:nsid w:val="1542319A"/>
    <w:multiLevelType w:val="hybridMultilevel"/>
    <w:tmpl w:val="20B2AE6E"/>
    <w:lvl w:ilvl="0" w:tplc="08090001">
      <w:start w:val="1"/>
      <w:numFmt w:val="bullet"/>
      <w:lvlText w:val=""/>
      <w:lvlJc w:val="left"/>
      <w:pPr>
        <w:ind w:left="360" w:hanging="360"/>
      </w:pPr>
      <w:rPr>
        <w:rFonts w:ascii="Symbol" w:hAnsi="Symbo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Times New Roman" w:hint="default"/>
      </w:rPr>
    </w:lvl>
    <w:lvl w:ilvl="3" w:tplc="08090001">
      <w:start w:val="1"/>
      <w:numFmt w:val="bullet"/>
      <w:lvlText w:val=""/>
      <w:lvlJc w:val="left"/>
      <w:pPr>
        <w:ind w:left="2520" w:hanging="360"/>
      </w:pPr>
      <w:rPr>
        <w:rFonts w:ascii="Symbol" w:hAnsi="Symbol" w:cs="Times New Roman"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Times New Roman" w:hint="default"/>
      </w:rPr>
    </w:lvl>
    <w:lvl w:ilvl="6" w:tplc="08090001">
      <w:start w:val="1"/>
      <w:numFmt w:val="bullet"/>
      <w:lvlText w:val=""/>
      <w:lvlJc w:val="left"/>
      <w:pPr>
        <w:ind w:left="4680" w:hanging="360"/>
      </w:pPr>
      <w:rPr>
        <w:rFonts w:ascii="Symbol" w:hAnsi="Symbol" w:cs="Times New Roman"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Times New Roman" w:hint="default"/>
      </w:rPr>
    </w:lvl>
  </w:abstractNum>
  <w:abstractNum w:abstractNumId="8" w15:restartNumberingAfterBreak="0">
    <w:nsid w:val="16724744"/>
    <w:multiLevelType w:val="hybridMultilevel"/>
    <w:tmpl w:val="91A87AD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90F0AAD"/>
    <w:multiLevelType w:val="hybridMultilevel"/>
    <w:tmpl w:val="A0C06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C36B40"/>
    <w:multiLevelType w:val="hybridMultilevel"/>
    <w:tmpl w:val="AE86BDD8"/>
    <w:lvl w:ilvl="0" w:tplc="5DB8E62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C02229"/>
    <w:multiLevelType w:val="hybridMultilevel"/>
    <w:tmpl w:val="61545D4A"/>
    <w:lvl w:ilvl="0" w:tplc="ABC2DFFE">
      <w:start w:val="1"/>
      <w:numFmt w:val="bullet"/>
      <w:lvlText w:val=""/>
      <w:lvlJc w:val="left"/>
      <w:pPr>
        <w:tabs>
          <w:tab w:val="num" w:pos="601"/>
        </w:tabs>
        <w:ind w:left="601" w:hanging="567"/>
      </w:pPr>
      <w:rPr>
        <w:rFonts w:ascii="Symbol" w:hAnsi="Symbol" w:cs="Times New Roman" w:hint="default"/>
      </w:rPr>
    </w:lvl>
    <w:lvl w:ilvl="1" w:tplc="04090003" w:tentative="1">
      <w:start w:val="1"/>
      <w:numFmt w:val="bullet"/>
      <w:lvlText w:val="o"/>
      <w:lvlJc w:val="left"/>
      <w:pPr>
        <w:tabs>
          <w:tab w:val="num" w:pos="1474"/>
        </w:tabs>
        <w:ind w:left="1474" w:hanging="360"/>
      </w:pPr>
      <w:rPr>
        <w:rFonts w:ascii="Courier New" w:hAnsi="Courier New" w:hint="default"/>
      </w:rPr>
    </w:lvl>
    <w:lvl w:ilvl="2" w:tplc="04090005" w:tentative="1">
      <w:start w:val="1"/>
      <w:numFmt w:val="bullet"/>
      <w:lvlText w:val=""/>
      <w:lvlJc w:val="left"/>
      <w:pPr>
        <w:tabs>
          <w:tab w:val="num" w:pos="2194"/>
        </w:tabs>
        <w:ind w:left="2194" w:hanging="360"/>
      </w:pPr>
      <w:rPr>
        <w:rFonts w:ascii="Wingdings" w:hAnsi="Wingdings" w:hint="default"/>
      </w:rPr>
    </w:lvl>
    <w:lvl w:ilvl="3" w:tplc="04090001" w:tentative="1">
      <w:start w:val="1"/>
      <w:numFmt w:val="bullet"/>
      <w:lvlText w:val=""/>
      <w:lvlJc w:val="left"/>
      <w:pPr>
        <w:tabs>
          <w:tab w:val="num" w:pos="2914"/>
        </w:tabs>
        <w:ind w:left="2914" w:hanging="360"/>
      </w:pPr>
      <w:rPr>
        <w:rFonts w:ascii="Symbol" w:hAnsi="Symbol" w:hint="default"/>
      </w:rPr>
    </w:lvl>
    <w:lvl w:ilvl="4" w:tplc="04090003" w:tentative="1">
      <w:start w:val="1"/>
      <w:numFmt w:val="bullet"/>
      <w:lvlText w:val="o"/>
      <w:lvlJc w:val="left"/>
      <w:pPr>
        <w:tabs>
          <w:tab w:val="num" w:pos="3634"/>
        </w:tabs>
        <w:ind w:left="3634" w:hanging="360"/>
      </w:pPr>
      <w:rPr>
        <w:rFonts w:ascii="Courier New" w:hAnsi="Courier New" w:hint="default"/>
      </w:rPr>
    </w:lvl>
    <w:lvl w:ilvl="5" w:tplc="04090005" w:tentative="1">
      <w:start w:val="1"/>
      <w:numFmt w:val="bullet"/>
      <w:lvlText w:val=""/>
      <w:lvlJc w:val="left"/>
      <w:pPr>
        <w:tabs>
          <w:tab w:val="num" w:pos="4354"/>
        </w:tabs>
        <w:ind w:left="4354" w:hanging="360"/>
      </w:pPr>
      <w:rPr>
        <w:rFonts w:ascii="Wingdings" w:hAnsi="Wingdings" w:hint="default"/>
      </w:rPr>
    </w:lvl>
    <w:lvl w:ilvl="6" w:tplc="04090001" w:tentative="1">
      <w:start w:val="1"/>
      <w:numFmt w:val="bullet"/>
      <w:lvlText w:val=""/>
      <w:lvlJc w:val="left"/>
      <w:pPr>
        <w:tabs>
          <w:tab w:val="num" w:pos="5074"/>
        </w:tabs>
        <w:ind w:left="5074" w:hanging="360"/>
      </w:pPr>
      <w:rPr>
        <w:rFonts w:ascii="Symbol" w:hAnsi="Symbol" w:hint="default"/>
      </w:rPr>
    </w:lvl>
    <w:lvl w:ilvl="7" w:tplc="04090003" w:tentative="1">
      <w:start w:val="1"/>
      <w:numFmt w:val="bullet"/>
      <w:lvlText w:val="o"/>
      <w:lvlJc w:val="left"/>
      <w:pPr>
        <w:tabs>
          <w:tab w:val="num" w:pos="5794"/>
        </w:tabs>
        <w:ind w:left="5794" w:hanging="360"/>
      </w:pPr>
      <w:rPr>
        <w:rFonts w:ascii="Courier New" w:hAnsi="Courier New" w:hint="default"/>
      </w:rPr>
    </w:lvl>
    <w:lvl w:ilvl="8" w:tplc="04090005" w:tentative="1">
      <w:start w:val="1"/>
      <w:numFmt w:val="bullet"/>
      <w:lvlText w:val=""/>
      <w:lvlJc w:val="left"/>
      <w:pPr>
        <w:tabs>
          <w:tab w:val="num" w:pos="6514"/>
        </w:tabs>
        <w:ind w:left="6514" w:hanging="360"/>
      </w:pPr>
      <w:rPr>
        <w:rFonts w:ascii="Wingdings" w:hAnsi="Wingdings" w:hint="default"/>
      </w:rPr>
    </w:lvl>
  </w:abstractNum>
  <w:abstractNum w:abstractNumId="12" w15:restartNumberingAfterBreak="0">
    <w:nsid w:val="28EB6F0D"/>
    <w:multiLevelType w:val="hybridMultilevel"/>
    <w:tmpl w:val="1AEE5BD6"/>
    <w:lvl w:ilvl="0" w:tplc="ABC2DFFE">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3" w15:restartNumberingAfterBreak="0">
    <w:nsid w:val="2C9B6D70"/>
    <w:multiLevelType w:val="hybridMultilevel"/>
    <w:tmpl w:val="83E2D502"/>
    <w:lvl w:ilvl="0" w:tplc="5DB8E62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A27EDB"/>
    <w:multiLevelType w:val="hybridMultilevel"/>
    <w:tmpl w:val="187CAB24"/>
    <w:lvl w:ilvl="0" w:tplc="3500C244">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440605"/>
    <w:multiLevelType w:val="hybridMultilevel"/>
    <w:tmpl w:val="C614A002"/>
    <w:lvl w:ilvl="0" w:tplc="2E76DB8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5954ED4"/>
    <w:multiLevelType w:val="hybridMultilevel"/>
    <w:tmpl w:val="A6687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7A0359D"/>
    <w:multiLevelType w:val="hybridMultilevel"/>
    <w:tmpl w:val="08D2AD5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BA158EC"/>
    <w:multiLevelType w:val="hybridMultilevel"/>
    <w:tmpl w:val="55AC0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8E7EE7"/>
    <w:multiLevelType w:val="hybridMultilevel"/>
    <w:tmpl w:val="421EE78A"/>
    <w:lvl w:ilvl="0" w:tplc="24A2BA46">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896403"/>
    <w:multiLevelType w:val="hybridMultilevel"/>
    <w:tmpl w:val="311C4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F75E93"/>
    <w:multiLevelType w:val="hybridMultilevel"/>
    <w:tmpl w:val="7744C5D2"/>
    <w:lvl w:ilvl="0" w:tplc="63D43C32">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3" w15:restartNumberingAfterBreak="0">
    <w:nsid w:val="56AF32F1"/>
    <w:multiLevelType w:val="hybridMultilevel"/>
    <w:tmpl w:val="6FBE3EE4"/>
    <w:lvl w:ilvl="0" w:tplc="176CD680">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8B56C73"/>
    <w:multiLevelType w:val="hybridMultilevel"/>
    <w:tmpl w:val="D8A6F2AE"/>
    <w:lvl w:ilvl="0" w:tplc="EF94C522">
      <w:start w:val="2"/>
      <w:numFmt w:val="decimal"/>
      <w:lvlText w:val="%1."/>
      <w:lvlJc w:val="left"/>
      <w:pPr>
        <w:tabs>
          <w:tab w:val="num" w:pos="570"/>
        </w:tabs>
        <w:ind w:left="570" w:hanging="570"/>
      </w:pPr>
      <w:rPr>
        <w:rFonts w:hint="default"/>
      </w:rPr>
    </w:lvl>
    <w:lvl w:ilvl="1" w:tplc="2E76DB88">
      <w:start w:val="1"/>
      <w:numFmt w:val="bullet"/>
      <w:lvlText w:val=""/>
      <w:lvlJc w:val="left"/>
      <w:pPr>
        <w:tabs>
          <w:tab w:val="num" w:pos="567"/>
        </w:tabs>
        <w:ind w:left="567" w:hanging="567"/>
      </w:pPr>
      <w:rPr>
        <w:rFonts w:ascii="Symbol" w:hAnsi="Symbol"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E3D16DC"/>
    <w:multiLevelType w:val="hybridMultilevel"/>
    <w:tmpl w:val="70E2EF48"/>
    <w:lvl w:ilvl="0" w:tplc="ABC2DFFE">
      <w:start w:val="1"/>
      <w:numFmt w:val="bullet"/>
      <w:lvlText w:val=""/>
      <w:lvlJc w:val="left"/>
      <w:pPr>
        <w:tabs>
          <w:tab w:val="num" w:pos="601"/>
        </w:tabs>
        <w:ind w:left="601" w:hanging="567"/>
      </w:pPr>
      <w:rPr>
        <w:rFonts w:ascii="Symbol" w:hAnsi="Symbol" w:cs="Times New Roman" w:hint="default"/>
      </w:rPr>
    </w:lvl>
    <w:lvl w:ilvl="1" w:tplc="04090003" w:tentative="1">
      <w:start w:val="1"/>
      <w:numFmt w:val="bullet"/>
      <w:lvlText w:val="o"/>
      <w:lvlJc w:val="left"/>
      <w:pPr>
        <w:tabs>
          <w:tab w:val="num" w:pos="1474"/>
        </w:tabs>
        <w:ind w:left="1474" w:hanging="360"/>
      </w:pPr>
      <w:rPr>
        <w:rFonts w:ascii="Courier New" w:hAnsi="Courier New" w:hint="default"/>
      </w:rPr>
    </w:lvl>
    <w:lvl w:ilvl="2" w:tplc="04090005" w:tentative="1">
      <w:start w:val="1"/>
      <w:numFmt w:val="bullet"/>
      <w:lvlText w:val=""/>
      <w:lvlJc w:val="left"/>
      <w:pPr>
        <w:tabs>
          <w:tab w:val="num" w:pos="2194"/>
        </w:tabs>
        <w:ind w:left="2194" w:hanging="360"/>
      </w:pPr>
      <w:rPr>
        <w:rFonts w:ascii="Wingdings" w:hAnsi="Wingdings" w:hint="default"/>
      </w:rPr>
    </w:lvl>
    <w:lvl w:ilvl="3" w:tplc="04090001" w:tentative="1">
      <w:start w:val="1"/>
      <w:numFmt w:val="bullet"/>
      <w:lvlText w:val=""/>
      <w:lvlJc w:val="left"/>
      <w:pPr>
        <w:tabs>
          <w:tab w:val="num" w:pos="2914"/>
        </w:tabs>
        <w:ind w:left="2914" w:hanging="360"/>
      </w:pPr>
      <w:rPr>
        <w:rFonts w:ascii="Symbol" w:hAnsi="Symbol" w:hint="default"/>
      </w:rPr>
    </w:lvl>
    <w:lvl w:ilvl="4" w:tplc="04090003" w:tentative="1">
      <w:start w:val="1"/>
      <w:numFmt w:val="bullet"/>
      <w:lvlText w:val="o"/>
      <w:lvlJc w:val="left"/>
      <w:pPr>
        <w:tabs>
          <w:tab w:val="num" w:pos="3634"/>
        </w:tabs>
        <w:ind w:left="3634" w:hanging="360"/>
      </w:pPr>
      <w:rPr>
        <w:rFonts w:ascii="Courier New" w:hAnsi="Courier New" w:hint="default"/>
      </w:rPr>
    </w:lvl>
    <w:lvl w:ilvl="5" w:tplc="04090005" w:tentative="1">
      <w:start w:val="1"/>
      <w:numFmt w:val="bullet"/>
      <w:lvlText w:val=""/>
      <w:lvlJc w:val="left"/>
      <w:pPr>
        <w:tabs>
          <w:tab w:val="num" w:pos="4354"/>
        </w:tabs>
        <w:ind w:left="4354" w:hanging="360"/>
      </w:pPr>
      <w:rPr>
        <w:rFonts w:ascii="Wingdings" w:hAnsi="Wingdings" w:hint="default"/>
      </w:rPr>
    </w:lvl>
    <w:lvl w:ilvl="6" w:tplc="04090001" w:tentative="1">
      <w:start w:val="1"/>
      <w:numFmt w:val="bullet"/>
      <w:lvlText w:val=""/>
      <w:lvlJc w:val="left"/>
      <w:pPr>
        <w:tabs>
          <w:tab w:val="num" w:pos="5074"/>
        </w:tabs>
        <w:ind w:left="5074" w:hanging="360"/>
      </w:pPr>
      <w:rPr>
        <w:rFonts w:ascii="Symbol" w:hAnsi="Symbol" w:hint="default"/>
      </w:rPr>
    </w:lvl>
    <w:lvl w:ilvl="7" w:tplc="04090003" w:tentative="1">
      <w:start w:val="1"/>
      <w:numFmt w:val="bullet"/>
      <w:lvlText w:val="o"/>
      <w:lvlJc w:val="left"/>
      <w:pPr>
        <w:tabs>
          <w:tab w:val="num" w:pos="5794"/>
        </w:tabs>
        <w:ind w:left="5794" w:hanging="360"/>
      </w:pPr>
      <w:rPr>
        <w:rFonts w:ascii="Courier New" w:hAnsi="Courier New" w:hint="default"/>
      </w:rPr>
    </w:lvl>
    <w:lvl w:ilvl="8" w:tplc="04090005" w:tentative="1">
      <w:start w:val="1"/>
      <w:numFmt w:val="bullet"/>
      <w:lvlText w:val=""/>
      <w:lvlJc w:val="left"/>
      <w:pPr>
        <w:tabs>
          <w:tab w:val="num" w:pos="6514"/>
        </w:tabs>
        <w:ind w:left="6514" w:hanging="360"/>
      </w:pPr>
      <w:rPr>
        <w:rFonts w:ascii="Wingdings" w:hAnsi="Wingdings" w:hint="default"/>
      </w:rPr>
    </w:lvl>
  </w:abstractNum>
  <w:abstractNum w:abstractNumId="26" w15:restartNumberingAfterBreak="0">
    <w:nsid w:val="5EC91AD9"/>
    <w:multiLevelType w:val="hybridMultilevel"/>
    <w:tmpl w:val="37FAE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F52490"/>
    <w:multiLevelType w:val="hybridMultilevel"/>
    <w:tmpl w:val="C5A4C9DC"/>
    <w:lvl w:ilvl="0" w:tplc="08090001">
      <w:start w:val="1"/>
      <w:numFmt w:val="bullet"/>
      <w:lvlText w:val=""/>
      <w:lvlJc w:val="left"/>
      <w:pPr>
        <w:ind w:left="720" w:hanging="360"/>
      </w:pPr>
      <w:rPr>
        <w:rFonts w:ascii="Symbol"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Times New Roman" w:hint="default"/>
      </w:rPr>
    </w:lvl>
    <w:lvl w:ilvl="3" w:tplc="08090001">
      <w:start w:val="1"/>
      <w:numFmt w:val="bullet"/>
      <w:lvlText w:val=""/>
      <w:lvlJc w:val="left"/>
      <w:pPr>
        <w:ind w:left="2880" w:hanging="360"/>
      </w:pPr>
      <w:rPr>
        <w:rFonts w:ascii="Symbol" w:hAnsi="Symbol" w:cs="Times New Roman"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Times New Roman" w:hint="default"/>
      </w:rPr>
    </w:lvl>
    <w:lvl w:ilvl="6" w:tplc="08090001">
      <w:start w:val="1"/>
      <w:numFmt w:val="bullet"/>
      <w:lvlText w:val=""/>
      <w:lvlJc w:val="left"/>
      <w:pPr>
        <w:ind w:left="5040" w:hanging="360"/>
      </w:pPr>
      <w:rPr>
        <w:rFonts w:ascii="Symbol" w:hAnsi="Symbol" w:cs="Times New Roman"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Times New Roman" w:hint="default"/>
      </w:rPr>
    </w:lvl>
  </w:abstractNum>
  <w:abstractNum w:abstractNumId="28" w15:restartNumberingAfterBreak="0">
    <w:nsid w:val="63207DD9"/>
    <w:multiLevelType w:val="hybridMultilevel"/>
    <w:tmpl w:val="841215B8"/>
    <w:lvl w:ilvl="0" w:tplc="176CD680">
      <w:start w:val="1"/>
      <w:numFmt w:val="bullet"/>
      <w:lvlText w:val=""/>
      <w:lvlJc w:val="left"/>
      <w:pPr>
        <w:tabs>
          <w:tab w:val="num" w:pos="567"/>
        </w:tabs>
        <w:ind w:left="567" w:hanging="567"/>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37A087E"/>
    <w:multiLevelType w:val="hybridMultilevel"/>
    <w:tmpl w:val="FDB46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FC7BEC"/>
    <w:multiLevelType w:val="hybridMultilevel"/>
    <w:tmpl w:val="C246AFB8"/>
    <w:lvl w:ilvl="0" w:tplc="ABC2DFFE">
      <w:start w:val="1"/>
      <w:numFmt w:val="bullet"/>
      <w:lvlText w:val=""/>
      <w:lvlJc w:val="left"/>
      <w:pPr>
        <w:tabs>
          <w:tab w:val="num" w:pos="567"/>
        </w:tabs>
        <w:ind w:left="567" w:hanging="567"/>
      </w:pPr>
      <w:rPr>
        <w:rFonts w:ascii="Symbol" w:hAnsi="Symbol" w:cs="Times New Roman" w:hint="default"/>
      </w:rPr>
    </w:lvl>
    <w:lvl w:ilvl="1" w:tplc="04090001">
      <w:start w:val="1"/>
      <w:numFmt w:val="bullet"/>
      <w:lvlText w:val=""/>
      <w:lvlJc w:val="left"/>
      <w:pPr>
        <w:tabs>
          <w:tab w:val="num" w:pos="1440"/>
        </w:tabs>
        <w:ind w:left="1440" w:hanging="360"/>
      </w:pPr>
      <w:rPr>
        <w:rFonts w:ascii="Symbol" w:hAnsi="Symbol" w:cs="Times New Roman"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31" w15:restartNumberingAfterBreak="0">
    <w:nsid w:val="6BEF089E"/>
    <w:multiLevelType w:val="hybridMultilevel"/>
    <w:tmpl w:val="8D929EDC"/>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50473BE"/>
    <w:multiLevelType w:val="hybridMultilevel"/>
    <w:tmpl w:val="036216F6"/>
    <w:lvl w:ilvl="0" w:tplc="2E76DB8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7F54248"/>
    <w:multiLevelType w:val="hybridMultilevel"/>
    <w:tmpl w:val="F6884AD6"/>
    <w:lvl w:ilvl="0" w:tplc="FFFFFFFF">
      <w:start w:val="1"/>
      <w:numFmt w:val="bullet"/>
      <w:lvlText w:val="-"/>
      <w:lvlJc w:val="left"/>
      <w:pPr>
        <w:tabs>
          <w:tab w:val="num" w:pos="570"/>
        </w:tabs>
        <w:ind w:left="570" w:hanging="570"/>
      </w:pPr>
      <w:rPr>
        <w:rFonts w:hint="default"/>
      </w:rPr>
    </w:lvl>
    <w:lvl w:ilvl="1" w:tplc="FFFFFFFF">
      <w:start w:val="1"/>
      <w:numFmt w:val="bullet"/>
      <w:lvlText w:val="-"/>
      <w:lvlJc w:val="left"/>
      <w:pPr>
        <w:tabs>
          <w:tab w:val="num" w:pos="567"/>
        </w:tabs>
        <w:ind w:left="567" w:hanging="567"/>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5"/>
  </w:num>
  <w:num w:numId="2">
    <w:abstractNumId w:val="18"/>
  </w:num>
  <w:num w:numId="3">
    <w:abstractNumId w:val="22"/>
  </w:num>
  <w:num w:numId="4">
    <w:abstractNumId w:val="4"/>
  </w:num>
  <w:num w:numId="5">
    <w:abstractNumId w:val="7"/>
  </w:num>
  <w:num w:numId="6">
    <w:abstractNumId w:val="24"/>
  </w:num>
  <w:num w:numId="7">
    <w:abstractNumId w:val="32"/>
  </w:num>
  <w:num w:numId="8">
    <w:abstractNumId w:val="16"/>
  </w:num>
  <w:num w:numId="9">
    <w:abstractNumId w:val="23"/>
  </w:num>
  <w:num w:numId="10">
    <w:abstractNumId w:val="13"/>
  </w:num>
  <w:num w:numId="11">
    <w:abstractNumId w:val="10"/>
  </w:num>
  <w:num w:numId="12">
    <w:abstractNumId w:val="20"/>
  </w:num>
  <w:num w:numId="13">
    <w:abstractNumId w:val="30"/>
  </w:num>
  <w:num w:numId="14">
    <w:abstractNumId w:val="12"/>
  </w:num>
  <w:num w:numId="15">
    <w:abstractNumId w:val="27"/>
  </w:num>
  <w:num w:numId="16">
    <w:abstractNumId w:val="8"/>
  </w:num>
  <w:num w:numId="17">
    <w:abstractNumId w:val="3"/>
  </w:num>
  <w:num w:numId="18">
    <w:abstractNumId w:val="14"/>
  </w:num>
  <w:num w:numId="19">
    <w:abstractNumId w:val="5"/>
  </w:num>
  <w:num w:numId="20">
    <w:abstractNumId w:val="25"/>
  </w:num>
  <w:num w:numId="21">
    <w:abstractNumId w:val="11"/>
  </w:num>
  <w:num w:numId="2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3">
    <w:abstractNumId w:val="26"/>
  </w:num>
  <w:num w:numId="24">
    <w:abstractNumId w:val="6"/>
  </w:num>
  <w:num w:numId="25">
    <w:abstractNumId w:val="19"/>
  </w:num>
  <w:num w:numId="26">
    <w:abstractNumId w:val="21"/>
  </w:num>
  <w:num w:numId="27">
    <w:abstractNumId w:val="33"/>
  </w:num>
  <w:num w:numId="28">
    <w:abstractNumId w:val="9"/>
  </w:num>
  <w:num w:numId="29">
    <w:abstractNumId w:val="17"/>
  </w:num>
  <w:num w:numId="30">
    <w:abstractNumId w:val="31"/>
  </w:num>
  <w:num w:numId="31">
    <w:abstractNumId w:val="1"/>
  </w:num>
  <w:num w:numId="32">
    <w:abstractNumId w:val="29"/>
  </w:num>
  <w:num w:numId="33">
    <w:abstractNumId w:val="2"/>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756"/>
    <w:rsid w:val="000144F2"/>
    <w:rsid w:val="000218E4"/>
    <w:rsid w:val="00041EB0"/>
    <w:rsid w:val="00054A9D"/>
    <w:rsid w:val="00071F31"/>
    <w:rsid w:val="00073805"/>
    <w:rsid w:val="0009637C"/>
    <w:rsid w:val="00097B95"/>
    <w:rsid w:val="000A009F"/>
    <w:rsid w:val="000A4059"/>
    <w:rsid w:val="000C59A0"/>
    <w:rsid w:val="000C6D60"/>
    <w:rsid w:val="000D1610"/>
    <w:rsid w:val="000E2D37"/>
    <w:rsid w:val="0011528B"/>
    <w:rsid w:val="001222D9"/>
    <w:rsid w:val="00142968"/>
    <w:rsid w:val="00155B64"/>
    <w:rsid w:val="001739BD"/>
    <w:rsid w:val="00187DA4"/>
    <w:rsid w:val="00194847"/>
    <w:rsid w:val="001E0B7E"/>
    <w:rsid w:val="001E3801"/>
    <w:rsid w:val="001F23A0"/>
    <w:rsid w:val="0021048B"/>
    <w:rsid w:val="0021190D"/>
    <w:rsid w:val="002344DF"/>
    <w:rsid w:val="00236288"/>
    <w:rsid w:val="00247B71"/>
    <w:rsid w:val="00287B2C"/>
    <w:rsid w:val="00291510"/>
    <w:rsid w:val="002949A3"/>
    <w:rsid w:val="002A0899"/>
    <w:rsid w:val="002A6FEC"/>
    <w:rsid w:val="002B5971"/>
    <w:rsid w:val="002B5AC9"/>
    <w:rsid w:val="002C2347"/>
    <w:rsid w:val="002D51E9"/>
    <w:rsid w:val="002F23F8"/>
    <w:rsid w:val="002F49EF"/>
    <w:rsid w:val="00300AE2"/>
    <w:rsid w:val="00301552"/>
    <w:rsid w:val="00304B18"/>
    <w:rsid w:val="00307BB3"/>
    <w:rsid w:val="003175B4"/>
    <w:rsid w:val="00331383"/>
    <w:rsid w:val="00336959"/>
    <w:rsid w:val="00341C13"/>
    <w:rsid w:val="003762AD"/>
    <w:rsid w:val="003C703D"/>
    <w:rsid w:val="003D145E"/>
    <w:rsid w:val="003E260F"/>
    <w:rsid w:val="003F4D32"/>
    <w:rsid w:val="004006BA"/>
    <w:rsid w:val="004343BC"/>
    <w:rsid w:val="0049028B"/>
    <w:rsid w:val="00494F81"/>
    <w:rsid w:val="004B33AE"/>
    <w:rsid w:val="004C00EB"/>
    <w:rsid w:val="004C41B9"/>
    <w:rsid w:val="00507F26"/>
    <w:rsid w:val="00533CC0"/>
    <w:rsid w:val="00543CA6"/>
    <w:rsid w:val="00545993"/>
    <w:rsid w:val="00553848"/>
    <w:rsid w:val="005629E7"/>
    <w:rsid w:val="00562B31"/>
    <w:rsid w:val="00562BF1"/>
    <w:rsid w:val="0056337D"/>
    <w:rsid w:val="00564A00"/>
    <w:rsid w:val="0056591B"/>
    <w:rsid w:val="00574BFE"/>
    <w:rsid w:val="00593B5A"/>
    <w:rsid w:val="00595D2D"/>
    <w:rsid w:val="005A2F14"/>
    <w:rsid w:val="005A3897"/>
    <w:rsid w:val="005B1304"/>
    <w:rsid w:val="005C4455"/>
    <w:rsid w:val="005D4539"/>
    <w:rsid w:val="005E3CE0"/>
    <w:rsid w:val="006052F9"/>
    <w:rsid w:val="00614338"/>
    <w:rsid w:val="00615D8C"/>
    <w:rsid w:val="00622009"/>
    <w:rsid w:val="006557FE"/>
    <w:rsid w:val="00672E07"/>
    <w:rsid w:val="0068294D"/>
    <w:rsid w:val="00694A4D"/>
    <w:rsid w:val="006E1F37"/>
    <w:rsid w:val="006F4877"/>
    <w:rsid w:val="00726E42"/>
    <w:rsid w:val="00752B33"/>
    <w:rsid w:val="0075420A"/>
    <w:rsid w:val="007742C0"/>
    <w:rsid w:val="007879E1"/>
    <w:rsid w:val="00797756"/>
    <w:rsid w:val="007A0DF0"/>
    <w:rsid w:val="007A3DE6"/>
    <w:rsid w:val="007A4362"/>
    <w:rsid w:val="007C79AF"/>
    <w:rsid w:val="00806703"/>
    <w:rsid w:val="00816ED4"/>
    <w:rsid w:val="008429EF"/>
    <w:rsid w:val="00842B5E"/>
    <w:rsid w:val="00843F61"/>
    <w:rsid w:val="00856F09"/>
    <w:rsid w:val="008748A4"/>
    <w:rsid w:val="008810A5"/>
    <w:rsid w:val="0089061E"/>
    <w:rsid w:val="00892B36"/>
    <w:rsid w:val="008A2BF7"/>
    <w:rsid w:val="008C0508"/>
    <w:rsid w:val="008D255B"/>
    <w:rsid w:val="00910112"/>
    <w:rsid w:val="00964115"/>
    <w:rsid w:val="0097043D"/>
    <w:rsid w:val="0098131F"/>
    <w:rsid w:val="00981DE5"/>
    <w:rsid w:val="00990B93"/>
    <w:rsid w:val="009935DE"/>
    <w:rsid w:val="009E1711"/>
    <w:rsid w:val="009E51FC"/>
    <w:rsid w:val="00A03AB2"/>
    <w:rsid w:val="00A160DF"/>
    <w:rsid w:val="00A271FE"/>
    <w:rsid w:val="00A41A12"/>
    <w:rsid w:val="00A475AC"/>
    <w:rsid w:val="00A56788"/>
    <w:rsid w:val="00A732A9"/>
    <w:rsid w:val="00A836BE"/>
    <w:rsid w:val="00AA5A89"/>
    <w:rsid w:val="00AD51C0"/>
    <w:rsid w:val="00AE5B93"/>
    <w:rsid w:val="00B02A19"/>
    <w:rsid w:val="00B229B9"/>
    <w:rsid w:val="00B24DD7"/>
    <w:rsid w:val="00B438AE"/>
    <w:rsid w:val="00B655B3"/>
    <w:rsid w:val="00B672E5"/>
    <w:rsid w:val="00B71F09"/>
    <w:rsid w:val="00BB6568"/>
    <w:rsid w:val="00BD6828"/>
    <w:rsid w:val="00C112D0"/>
    <w:rsid w:val="00C22F21"/>
    <w:rsid w:val="00C27FF4"/>
    <w:rsid w:val="00C35738"/>
    <w:rsid w:val="00C35FAC"/>
    <w:rsid w:val="00C63146"/>
    <w:rsid w:val="00C670FA"/>
    <w:rsid w:val="00C7187F"/>
    <w:rsid w:val="00C71DA4"/>
    <w:rsid w:val="00C758E9"/>
    <w:rsid w:val="00C80D82"/>
    <w:rsid w:val="00C822F2"/>
    <w:rsid w:val="00C84834"/>
    <w:rsid w:val="00C93AC7"/>
    <w:rsid w:val="00C9749F"/>
    <w:rsid w:val="00CA5215"/>
    <w:rsid w:val="00CA617A"/>
    <w:rsid w:val="00CB7213"/>
    <w:rsid w:val="00CC1BAD"/>
    <w:rsid w:val="00CC64C7"/>
    <w:rsid w:val="00CD1DF5"/>
    <w:rsid w:val="00CE2B34"/>
    <w:rsid w:val="00CF41AA"/>
    <w:rsid w:val="00CF7327"/>
    <w:rsid w:val="00D16B67"/>
    <w:rsid w:val="00D21622"/>
    <w:rsid w:val="00D218F5"/>
    <w:rsid w:val="00D2728A"/>
    <w:rsid w:val="00D63642"/>
    <w:rsid w:val="00D742A6"/>
    <w:rsid w:val="00D80D9A"/>
    <w:rsid w:val="00DD4BA8"/>
    <w:rsid w:val="00DF78A6"/>
    <w:rsid w:val="00E253AF"/>
    <w:rsid w:val="00E325CF"/>
    <w:rsid w:val="00ED5D23"/>
    <w:rsid w:val="00ED7D21"/>
    <w:rsid w:val="00EE2487"/>
    <w:rsid w:val="00EF28B5"/>
    <w:rsid w:val="00F12079"/>
    <w:rsid w:val="00F142D3"/>
    <w:rsid w:val="00F2035B"/>
    <w:rsid w:val="00F46D16"/>
    <w:rsid w:val="00F65FC1"/>
    <w:rsid w:val="00F72825"/>
    <w:rsid w:val="00F747C8"/>
    <w:rsid w:val="00F95FBC"/>
    <w:rsid w:val="00FA01B1"/>
    <w:rsid w:val="00FA2987"/>
    <w:rsid w:val="00FD3047"/>
    <w:rsid w:val="00FE76FE"/>
    <w:rsid w:val="22B811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4A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1"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D145E"/>
  </w:style>
  <w:style w:type="paragraph" w:styleId="Antrat1">
    <w:name w:val="heading 1"/>
    <w:basedOn w:val="prastasis"/>
    <w:next w:val="prastasis"/>
    <w:link w:val="Antrat1Diagrama"/>
    <w:qFormat/>
    <w:rsid w:val="00797756"/>
    <w:pPr>
      <w:spacing w:after="240" w:line="240" w:lineRule="auto"/>
      <w:outlineLvl w:val="0"/>
    </w:pPr>
    <w:rPr>
      <w:rFonts w:ascii="Times New Roman" w:eastAsia="Times New Roman" w:hAnsi="Times New Roman" w:cs="Times New Roman"/>
      <w:sz w:val="32"/>
      <w:szCs w:val="24"/>
      <w:lang w:val="lt-LT"/>
    </w:rPr>
  </w:style>
  <w:style w:type="paragraph" w:styleId="Antrat2">
    <w:name w:val="heading 2"/>
    <w:basedOn w:val="prastasis"/>
    <w:next w:val="prastasis"/>
    <w:link w:val="Antrat2Diagrama"/>
    <w:qFormat/>
    <w:rsid w:val="00797756"/>
    <w:pPr>
      <w:spacing w:after="120" w:line="240" w:lineRule="auto"/>
      <w:outlineLvl w:val="1"/>
    </w:pPr>
    <w:rPr>
      <w:rFonts w:ascii="Times New Roman" w:eastAsia="Times New Roman" w:hAnsi="Times New Roman" w:cs="Times New Roman"/>
      <w:bCs/>
      <w:sz w:val="28"/>
      <w:szCs w:val="26"/>
      <w:lang w:val="lt-LT"/>
    </w:rPr>
  </w:style>
  <w:style w:type="paragraph" w:styleId="Antrat3">
    <w:name w:val="heading 3"/>
    <w:basedOn w:val="prastasis"/>
    <w:next w:val="prastasis"/>
    <w:link w:val="Antrat3Diagrama"/>
    <w:qFormat/>
    <w:rsid w:val="00797756"/>
    <w:pPr>
      <w:spacing w:after="120" w:line="240" w:lineRule="auto"/>
      <w:outlineLvl w:val="2"/>
    </w:pPr>
    <w:rPr>
      <w:rFonts w:ascii="Times New Roman" w:eastAsia="Times New Roman" w:hAnsi="Times New Roman" w:cs="Times New Roman"/>
      <w:bCs/>
      <w:sz w:val="24"/>
      <w:szCs w:val="24"/>
      <w:lang w:val="lt-LT"/>
    </w:rPr>
  </w:style>
  <w:style w:type="paragraph" w:styleId="Antrat4">
    <w:name w:val="heading 4"/>
    <w:basedOn w:val="prastasis"/>
    <w:next w:val="prastasis"/>
    <w:link w:val="Antrat4Diagrama"/>
    <w:uiPriority w:val="1"/>
    <w:qFormat/>
    <w:rsid w:val="00797756"/>
    <w:pPr>
      <w:spacing w:after="0" w:line="240" w:lineRule="auto"/>
      <w:outlineLvl w:val="3"/>
    </w:pPr>
    <w:rPr>
      <w:rFonts w:ascii="Times New Roman" w:eastAsia="Times New Roman" w:hAnsi="Times New Roman" w:cs="Times New Roman"/>
      <w:bCs/>
      <w:iCs/>
      <w:sz w:val="24"/>
      <w:szCs w:val="24"/>
      <w:lang w:val="lt-LT"/>
    </w:rPr>
  </w:style>
  <w:style w:type="paragraph" w:styleId="Antrat5">
    <w:name w:val="heading 5"/>
    <w:basedOn w:val="prastasis"/>
    <w:next w:val="prastasis"/>
    <w:link w:val="Antrat5Diagrama"/>
    <w:uiPriority w:val="1"/>
    <w:qFormat/>
    <w:rsid w:val="00797756"/>
    <w:pPr>
      <w:spacing w:after="0" w:line="240" w:lineRule="auto"/>
      <w:outlineLvl w:val="4"/>
    </w:pPr>
    <w:rPr>
      <w:rFonts w:ascii="Times New Roman" w:eastAsia="Times New Roman" w:hAnsi="Times New Roman" w:cs="Times New Roman"/>
      <w:i/>
      <w:sz w:val="24"/>
      <w:szCs w:val="24"/>
      <w:lang w:val="lt-LT"/>
    </w:rPr>
  </w:style>
  <w:style w:type="paragraph" w:styleId="Antrat6">
    <w:name w:val="heading 6"/>
    <w:basedOn w:val="prastasis"/>
    <w:next w:val="prastasis"/>
    <w:link w:val="Antrat6Diagrama"/>
    <w:qFormat/>
    <w:rsid w:val="00797756"/>
    <w:pPr>
      <w:spacing w:after="0" w:line="240" w:lineRule="auto"/>
      <w:outlineLvl w:val="5"/>
    </w:pPr>
    <w:rPr>
      <w:rFonts w:ascii="Times New Roman" w:eastAsia="Times New Roman" w:hAnsi="Times New Roman" w:cs="Times New Roman"/>
      <w:i/>
      <w:iCs/>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A-Heading1">
    <w:name w:val="A-Heading 1"/>
    <w:basedOn w:val="prastasis"/>
    <w:link w:val="A-Heading1Char"/>
    <w:qFormat/>
    <w:rsid w:val="00287B2C"/>
    <w:pPr>
      <w:tabs>
        <w:tab w:val="left" w:pos="567"/>
      </w:tabs>
      <w:spacing w:after="0" w:line="260" w:lineRule="exact"/>
      <w:jc w:val="center"/>
    </w:pPr>
    <w:rPr>
      <w:b/>
    </w:rPr>
  </w:style>
  <w:style w:type="character" w:customStyle="1" w:styleId="A-Heading1Char">
    <w:name w:val="A-Heading 1 Char"/>
    <w:basedOn w:val="Numatytasispastraiposriftas"/>
    <w:link w:val="A-Heading1"/>
    <w:rsid w:val="00287B2C"/>
    <w:rPr>
      <w:b/>
    </w:rPr>
  </w:style>
  <w:style w:type="character" w:customStyle="1" w:styleId="Antrat1Diagrama">
    <w:name w:val="Antraštė 1 Diagrama"/>
    <w:basedOn w:val="Numatytasispastraiposriftas"/>
    <w:link w:val="Antrat1"/>
    <w:rsid w:val="00797756"/>
    <w:rPr>
      <w:rFonts w:ascii="Times New Roman" w:eastAsia="Times New Roman" w:hAnsi="Times New Roman" w:cs="Times New Roman"/>
      <w:sz w:val="32"/>
      <w:szCs w:val="24"/>
      <w:lang w:val="lt-LT"/>
    </w:rPr>
  </w:style>
  <w:style w:type="character" w:customStyle="1" w:styleId="Antrat2Diagrama">
    <w:name w:val="Antraštė 2 Diagrama"/>
    <w:basedOn w:val="Numatytasispastraiposriftas"/>
    <w:link w:val="Antrat2"/>
    <w:rsid w:val="00797756"/>
    <w:rPr>
      <w:rFonts w:ascii="Times New Roman" w:eastAsia="Times New Roman" w:hAnsi="Times New Roman" w:cs="Times New Roman"/>
      <w:bCs/>
      <w:sz w:val="28"/>
      <w:szCs w:val="26"/>
      <w:lang w:val="lt-LT"/>
    </w:rPr>
  </w:style>
  <w:style w:type="character" w:customStyle="1" w:styleId="Antrat3Diagrama">
    <w:name w:val="Antraštė 3 Diagrama"/>
    <w:basedOn w:val="Numatytasispastraiposriftas"/>
    <w:link w:val="Antrat3"/>
    <w:rsid w:val="00797756"/>
    <w:rPr>
      <w:rFonts w:ascii="Times New Roman" w:eastAsia="Times New Roman" w:hAnsi="Times New Roman" w:cs="Times New Roman"/>
      <w:bCs/>
      <w:sz w:val="24"/>
      <w:szCs w:val="24"/>
      <w:lang w:val="lt-LT"/>
    </w:rPr>
  </w:style>
  <w:style w:type="character" w:customStyle="1" w:styleId="Antrat4Diagrama">
    <w:name w:val="Antraštė 4 Diagrama"/>
    <w:basedOn w:val="Numatytasispastraiposriftas"/>
    <w:link w:val="Antrat4"/>
    <w:uiPriority w:val="1"/>
    <w:rsid w:val="00797756"/>
    <w:rPr>
      <w:rFonts w:ascii="Times New Roman" w:eastAsia="Times New Roman" w:hAnsi="Times New Roman" w:cs="Times New Roman"/>
      <w:bCs/>
      <w:iCs/>
      <w:sz w:val="24"/>
      <w:szCs w:val="24"/>
      <w:lang w:val="lt-LT"/>
    </w:rPr>
  </w:style>
  <w:style w:type="character" w:customStyle="1" w:styleId="Antrat5Diagrama">
    <w:name w:val="Antraštė 5 Diagrama"/>
    <w:basedOn w:val="Numatytasispastraiposriftas"/>
    <w:link w:val="Antrat5"/>
    <w:uiPriority w:val="1"/>
    <w:rsid w:val="00797756"/>
    <w:rPr>
      <w:rFonts w:ascii="Times New Roman" w:eastAsia="Times New Roman" w:hAnsi="Times New Roman" w:cs="Times New Roman"/>
      <w:i/>
      <w:sz w:val="24"/>
      <w:szCs w:val="24"/>
      <w:lang w:val="lt-LT"/>
    </w:rPr>
  </w:style>
  <w:style w:type="character" w:customStyle="1" w:styleId="Antrat6Diagrama">
    <w:name w:val="Antraštė 6 Diagrama"/>
    <w:basedOn w:val="Numatytasispastraiposriftas"/>
    <w:link w:val="Antrat6"/>
    <w:rsid w:val="00797756"/>
    <w:rPr>
      <w:rFonts w:ascii="Times New Roman" w:eastAsia="Times New Roman" w:hAnsi="Times New Roman" w:cs="Times New Roman"/>
      <w:i/>
      <w:iCs/>
      <w:sz w:val="24"/>
      <w:szCs w:val="24"/>
      <w:lang w:val="lt-LT"/>
    </w:rPr>
  </w:style>
  <w:style w:type="character" w:styleId="Hipersaitas">
    <w:name w:val="Hyperlink"/>
    <w:rsid w:val="00797756"/>
    <w:rPr>
      <w:color w:val="0000FF"/>
      <w:u w:val="single"/>
    </w:rPr>
  </w:style>
  <w:style w:type="paragraph" w:customStyle="1" w:styleId="PI-1EMEASMCA">
    <w:name w:val="PI-1 EMEA_SMCA"/>
    <w:basedOn w:val="Antrat2"/>
    <w:autoRedefine/>
    <w:rsid w:val="00797756"/>
    <w:pPr>
      <w:tabs>
        <w:tab w:val="left" w:pos="540"/>
        <w:tab w:val="left" w:pos="567"/>
        <w:tab w:val="left" w:pos="900"/>
      </w:tabs>
      <w:spacing w:after="0"/>
      <w:ind w:left="567" w:hanging="567"/>
      <w:jc w:val="both"/>
    </w:pPr>
    <w:rPr>
      <w:b/>
      <w:bCs w:val="0"/>
      <w:sz w:val="22"/>
      <w:szCs w:val="22"/>
    </w:rPr>
  </w:style>
  <w:style w:type="paragraph" w:customStyle="1" w:styleId="PI-1labEMEASMCA">
    <w:name w:val="PI-1_lab EMEA_SMCA"/>
    <w:basedOn w:val="prastasis"/>
    <w:link w:val="PI-1labEMEASMCAChar"/>
    <w:autoRedefine/>
    <w:rsid w:val="0079775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lang w:val="lt-LT" w:eastAsia="lt-LT"/>
    </w:rPr>
  </w:style>
  <w:style w:type="character" w:customStyle="1" w:styleId="PI-1labEMEASMCAChar">
    <w:name w:val="PI-1_lab EMEA_SMCA Char"/>
    <w:link w:val="PI-1labEMEASMCA"/>
    <w:rsid w:val="00797756"/>
    <w:rPr>
      <w:rFonts w:ascii="Times New Roman" w:eastAsia="Times New Roman" w:hAnsi="Times New Roman" w:cs="Times New Roman"/>
      <w:b/>
      <w:noProof/>
      <w:sz w:val="20"/>
      <w:lang w:val="lt-LT" w:eastAsia="lt-LT"/>
    </w:rPr>
  </w:style>
  <w:style w:type="paragraph" w:customStyle="1" w:styleId="PI-2EMEASMCA">
    <w:name w:val="PI-2 EMEA_SMCA"/>
    <w:basedOn w:val="Antrat3"/>
    <w:autoRedefine/>
    <w:rsid w:val="00797756"/>
    <w:pPr>
      <w:keepLines/>
      <w:spacing w:after="0"/>
      <w:ind w:left="540" w:hanging="540"/>
    </w:pPr>
    <w:rPr>
      <w:b/>
      <w:bCs w:val="0"/>
      <w:kern w:val="28"/>
      <w:sz w:val="22"/>
      <w:szCs w:val="22"/>
    </w:rPr>
  </w:style>
  <w:style w:type="paragraph" w:customStyle="1" w:styleId="BTEMEASMCA">
    <w:name w:val="BT EMEA_SMCA"/>
    <w:basedOn w:val="prastasis"/>
    <w:link w:val="BTEMEASMCAChar"/>
    <w:autoRedefine/>
    <w:rsid w:val="00797756"/>
    <w:pPr>
      <w:spacing w:after="0" w:line="240" w:lineRule="auto"/>
      <w:jc w:val="both"/>
    </w:pPr>
    <w:rPr>
      <w:rFonts w:ascii="Times New Roman" w:eastAsia="Times New Roman" w:hAnsi="Times New Roman" w:cs="Times New Roman"/>
      <w:i/>
      <w:noProof/>
      <w:lang w:val="lt-LT" w:eastAsia="lt-LT"/>
    </w:rPr>
  </w:style>
  <w:style w:type="character" w:customStyle="1" w:styleId="BTEMEASMCAChar">
    <w:name w:val="BT EMEA_SMCA Char"/>
    <w:link w:val="BTEMEASMCA"/>
    <w:rsid w:val="00797756"/>
    <w:rPr>
      <w:rFonts w:ascii="Times New Roman" w:eastAsia="Times New Roman" w:hAnsi="Times New Roman" w:cs="Times New Roman"/>
      <w:i/>
      <w:noProof/>
      <w:lang w:val="lt-LT" w:eastAsia="lt-LT"/>
    </w:rPr>
  </w:style>
  <w:style w:type="paragraph" w:customStyle="1" w:styleId="TTEMEASMCA">
    <w:name w:val="TT EMEA_SMCA"/>
    <w:basedOn w:val="Antrat1"/>
    <w:link w:val="TTEMEASMCAChar"/>
    <w:autoRedefine/>
    <w:rsid w:val="00797756"/>
    <w:pPr>
      <w:tabs>
        <w:tab w:val="left" w:pos="567"/>
      </w:tabs>
      <w:spacing w:after="0"/>
      <w:ind w:left="567" w:hanging="567"/>
      <w:jc w:val="center"/>
    </w:pPr>
    <w:rPr>
      <w:caps/>
      <w:sz w:val="20"/>
      <w:lang w:val="en-US" w:eastAsia="lt-LT"/>
    </w:rPr>
  </w:style>
  <w:style w:type="character" w:customStyle="1" w:styleId="TTEMEASMCAChar">
    <w:name w:val="TT EMEA_SMCA Char"/>
    <w:link w:val="TTEMEASMCA"/>
    <w:rsid w:val="00797756"/>
    <w:rPr>
      <w:rFonts w:ascii="Times New Roman" w:eastAsia="Times New Roman" w:hAnsi="Times New Roman" w:cs="Times New Roman"/>
      <w:caps/>
      <w:sz w:val="20"/>
      <w:szCs w:val="24"/>
      <w:lang w:val="en-US" w:eastAsia="lt-LT"/>
    </w:rPr>
  </w:style>
  <w:style w:type="paragraph" w:customStyle="1" w:styleId="BTAnIIEMEASMCA">
    <w:name w:val="BT(AnII) EMEA_SMCA"/>
    <w:basedOn w:val="Debesliotekstas"/>
    <w:autoRedefine/>
    <w:rsid w:val="00797756"/>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797756"/>
    <w:pPr>
      <w:spacing w:after="0" w:line="240" w:lineRule="auto"/>
    </w:pPr>
    <w:rPr>
      <w:rFonts w:ascii="Tahoma" w:eastAsia="Times New Roman" w:hAnsi="Tahoma" w:cs="Times New Roman"/>
      <w:sz w:val="16"/>
      <w:szCs w:val="16"/>
      <w:lang w:val="lt-LT" w:eastAsia="lt-LT"/>
    </w:rPr>
  </w:style>
  <w:style w:type="character" w:customStyle="1" w:styleId="DebesliotekstasDiagrama">
    <w:name w:val="Debesėlio tekstas Diagrama"/>
    <w:basedOn w:val="Numatytasispastraiposriftas"/>
    <w:link w:val="Debesliotekstas"/>
    <w:semiHidden/>
    <w:rsid w:val="00797756"/>
    <w:rPr>
      <w:rFonts w:ascii="Tahoma" w:eastAsia="Times New Roman" w:hAnsi="Tahoma" w:cs="Times New Roman"/>
      <w:sz w:val="16"/>
      <w:szCs w:val="16"/>
      <w:lang w:val="lt-LT" w:eastAsia="lt-LT"/>
    </w:rPr>
  </w:style>
  <w:style w:type="paragraph" w:customStyle="1" w:styleId="BT-EMEASMCA">
    <w:name w:val="BT- EMEA_SMCA"/>
    <w:basedOn w:val="BTEMEASMCA"/>
    <w:autoRedefine/>
    <w:rsid w:val="000218E4"/>
    <w:pPr>
      <w:numPr>
        <w:numId w:val="1"/>
      </w:numPr>
      <w:tabs>
        <w:tab w:val="clear" w:pos="720"/>
        <w:tab w:val="num" w:pos="360"/>
      </w:tabs>
      <w:ind w:left="0" w:firstLine="0"/>
    </w:pPr>
    <w:rPr>
      <w:lang w:eastAsia="en-US"/>
    </w:rPr>
  </w:style>
  <w:style w:type="paragraph" w:customStyle="1" w:styleId="BTbEMEASMCA">
    <w:name w:val="BT(b) EMEA_SMCA"/>
    <w:basedOn w:val="BTEMEASMCA"/>
    <w:autoRedefine/>
    <w:rsid w:val="00797756"/>
    <w:rPr>
      <w:b/>
      <w:lang w:eastAsia="en-US"/>
    </w:rPr>
  </w:style>
  <w:style w:type="paragraph" w:customStyle="1" w:styleId="BTbeEMEASMCA">
    <w:name w:val="BT(be) EMEA_SMCA"/>
    <w:basedOn w:val="BTEMEASMCA"/>
    <w:autoRedefine/>
    <w:rsid w:val="00797756"/>
    <w:pPr>
      <w:jc w:val="center"/>
    </w:pPr>
    <w:rPr>
      <w:b/>
      <w:lang w:eastAsia="en-US"/>
    </w:rPr>
  </w:style>
  <w:style w:type="paragraph" w:customStyle="1" w:styleId="BTeEMEASMCA">
    <w:name w:val="BT(e) EMEA_SMCA"/>
    <w:basedOn w:val="BTEMEASMCA"/>
    <w:autoRedefine/>
    <w:rsid w:val="00797756"/>
    <w:pPr>
      <w:jc w:val="center"/>
    </w:pPr>
    <w:rPr>
      <w:lang w:eastAsia="en-US"/>
    </w:rPr>
  </w:style>
  <w:style w:type="paragraph" w:customStyle="1" w:styleId="BTgEMEASMCA">
    <w:name w:val="BT(g) EMEA_SMCA"/>
    <w:basedOn w:val="BTEMEASMCA"/>
    <w:link w:val="BTgEMEASMCAChar"/>
    <w:autoRedefine/>
    <w:rsid w:val="00797756"/>
    <w:rPr>
      <w:i w:val="0"/>
      <w:color w:val="008000"/>
    </w:rPr>
  </w:style>
  <w:style w:type="character" w:customStyle="1" w:styleId="BTgEMEASMCAChar">
    <w:name w:val="BT(g) EMEA_SMCA Char"/>
    <w:link w:val="BTgEMEASMCA"/>
    <w:rsid w:val="00797756"/>
    <w:rPr>
      <w:rFonts w:ascii="Times New Roman" w:eastAsia="Times New Roman" w:hAnsi="Times New Roman" w:cs="Times New Roman"/>
      <w:noProof/>
      <w:color w:val="008000"/>
      <w:lang w:val="lt-LT" w:eastAsia="lt-LT"/>
    </w:rPr>
  </w:style>
  <w:style w:type="character" w:customStyle="1" w:styleId="DokumentostruktraDiagrama">
    <w:name w:val="Dokumento struktūra Diagrama"/>
    <w:link w:val="Dokumentostruktra"/>
    <w:semiHidden/>
    <w:rsid w:val="00797756"/>
    <w:rPr>
      <w:rFonts w:ascii="Tahoma" w:hAnsi="Tahoma" w:cs="Tahoma"/>
      <w:shd w:val="clear" w:color="auto" w:fill="000080"/>
    </w:rPr>
  </w:style>
  <w:style w:type="paragraph" w:styleId="Dokumentostruktra">
    <w:name w:val="Document Map"/>
    <w:basedOn w:val="prastasis"/>
    <w:link w:val="DokumentostruktraDiagrama"/>
    <w:semiHidden/>
    <w:rsid w:val="00797756"/>
    <w:pPr>
      <w:shd w:val="clear" w:color="auto" w:fill="000080"/>
      <w:spacing w:after="0" w:line="240" w:lineRule="auto"/>
    </w:pPr>
    <w:rPr>
      <w:rFonts w:ascii="Tahoma" w:hAnsi="Tahoma" w:cs="Tahoma"/>
    </w:rPr>
  </w:style>
  <w:style w:type="character" w:customStyle="1" w:styleId="DocumentMapChar1">
    <w:name w:val="Document Map Char1"/>
    <w:basedOn w:val="Numatytasispastraiposriftas"/>
    <w:uiPriority w:val="99"/>
    <w:semiHidden/>
    <w:rsid w:val="00797756"/>
    <w:rPr>
      <w:rFonts w:ascii="Segoe UI" w:hAnsi="Segoe UI" w:cs="Segoe UI"/>
      <w:sz w:val="16"/>
      <w:szCs w:val="16"/>
    </w:rPr>
  </w:style>
  <w:style w:type="character" w:customStyle="1" w:styleId="Pagrindiniotekstotrauka2Diagrama">
    <w:name w:val="Pagrindinio teksto įtrauka 2 Diagrama"/>
    <w:link w:val="Pagrindiniotekstotrauka2"/>
    <w:rsid w:val="00797756"/>
    <w:rPr>
      <w:b/>
      <w:bCs/>
      <w:color w:val="0000FF"/>
      <w:lang w:val="en-US"/>
    </w:rPr>
  </w:style>
  <w:style w:type="paragraph" w:styleId="Pagrindiniotekstotrauka2">
    <w:name w:val="Body Text Indent 2"/>
    <w:basedOn w:val="prastasis"/>
    <w:link w:val="Pagrindiniotekstotrauka2Diagrama"/>
    <w:rsid w:val="0079775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b/>
      <w:bCs/>
      <w:color w:val="0000FF"/>
      <w:lang w:val="en-US"/>
    </w:rPr>
  </w:style>
  <w:style w:type="character" w:customStyle="1" w:styleId="BodyTextIndent2Char1">
    <w:name w:val="Body Text Indent 2 Char1"/>
    <w:basedOn w:val="Numatytasispastraiposriftas"/>
    <w:uiPriority w:val="99"/>
    <w:semiHidden/>
    <w:rsid w:val="00797756"/>
  </w:style>
  <w:style w:type="paragraph" w:styleId="Porat">
    <w:name w:val="footer"/>
    <w:basedOn w:val="prastasis"/>
    <w:link w:val="PoratDiagrama"/>
    <w:rsid w:val="00797756"/>
    <w:pPr>
      <w:tabs>
        <w:tab w:val="center" w:pos="4819"/>
        <w:tab w:val="right" w:pos="9638"/>
      </w:tabs>
      <w:spacing w:after="0" w:line="240" w:lineRule="auto"/>
    </w:pPr>
    <w:rPr>
      <w:rFonts w:ascii="Times New Roman" w:eastAsia="Times New Roman" w:hAnsi="Times New Roman" w:cs="Times New Roman"/>
      <w:sz w:val="24"/>
      <w:szCs w:val="20"/>
      <w:lang w:val="lt-LT" w:eastAsia="lt-LT"/>
    </w:rPr>
  </w:style>
  <w:style w:type="character" w:customStyle="1" w:styleId="PoratDiagrama">
    <w:name w:val="Poraštė Diagrama"/>
    <w:basedOn w:val="Numatytasispastraiposriftas"/>
    <w:link w:val="Porat"/>
    <w:rsid w:val="00797756"/>
    <w:rPr>
      <w:rFonts w:ascii="Times New Roman" w:eastAsia="Times New Roman" w:hAnsi="Times New Roman" w:cs="Times New Roman"/>
      <w:sz w:val="24"/>
      <w:szCs w:val="20"/>
      <w:lang w:val="lt-LT" w:eastAsia="lt-LT"/>
    </w:rPr>
  </w:style>
  <w:style w:type="character" w:styleId="Puslapionumeris">
    <w:name w:val="page number"/>
    <w:rsid w:val="00797756"/>
  </w:style>
  <w:style w:type="character" w:styleId="Emfaz">
    <w:name w:val="Emphasis"/>
    <w:qFormat/>
    <w:rsid w:val="00797756"/>
    <w:rPr>
      <w:i/>
      <w:iCs/>
    </w:rPr>
  </w:style>
  <w:style w:type="paragraph" w:customStyle="1" w:styleId="A-TableText">
    <w:name w:val="A-Table Text"/>
    <w:rsid w:val="00797756"/>
    <w:pPr>
      <w:spacing w:before="60" w:after="60" w:line="240" w:lineRule="auto"/>
    </w:pPr>
    <w:rPr>
      <w:rFonts w:ascii="Times New Roman" w:eastAsia="Times New Roman" w:hAnsi="Times New Roman" w:cs="Times New Roman"/>
    </w:rPr>
  </w:style>
  <w:style w:type="paragraph" w:customStyle="1" w:styleId="A-TableHeader">
    <w:name w:val="A-Table Header"/>
    <w:next w:val="A-TableText"/>
    <w:rsid w:val="00797756"/>
    <w:pPr>
      <w:keepNext/>
      <w:spacing w:before="60" w:after="60" w:line="240" w:lineRule="auto"/>
    </w:pPr>
    <w:rPr>
      <w:rFonts w:ascii="Times New Roman" w:eastAsia="Times New Roman" w:hAnsi="Times New Roman" w:cs="Times New Roman"/>
      <w:b/>
      <w:bCs/>
    </w:rPr>
  </w:style>
  <w:style w:type="paragraph" w:customStyle="1" w:styleId="A-TableTitle">
    <w:name w:val="A-Table Title"/>
    <w:next w:val="prastasis"/>
    <w:rsid w:val="00797756"/>
    <w:pPr>
      <w:keepNext/>
      <w:tabs>
        <w:tab w:val="left" w:pos="1418"/>
      </w:tabs>
      <w:spacing w:after="120" w:line="280" w:lineRule="atLeast"/>
      <w:ind w:left="1411" w:hanging="1411"/>
    </w:pPr>
    <w:rPr>
      <w:rFonts w:ascii="Times New Roman" w:eastAsia="Times New Roman" w:hAnsi="Times New Roman" w:cs="Times New Roman"/>
      <w:b/>
      <w:bCs/>
      <w:sz w:val="24"/>
      <w:szCs w:val="24"/>
    </w:rPr>
  </w:style>
  <w:style w:type="paragraph" w:customStyle="1" w:styleId="Sraopastraipa1">
    <w:name w:val="Sąrašo pastraipa1"/>
    <w:basedOn w:val="prastasis"/>
    <w:qFormat/>
    <w:rsid w:val="00797756"/>
    <w:pPr>
      <w:tabs>
        <w:tab w:val="left" w:pos="567"/>
      </w:tabs>
      <w:spacing w:after="0" w:line="260" w:lineRule="exact"/>
      <w:ind w:left="720"/>
    </w:pPr>
    <w:rPr>
      <w:rFonts w:ascii="Times New Roman" w:eastAsia="Times New Roman" w:hAnsi="Times New Roman" w:cs="Times New Roman"/>
    </w:rPr>
  </w:style>
  <w:style w:type="paragraph" w:styleId="Pagrindinistekstas">
    <w:name w:val="Body Text"/>
    <w:basedOn w:val="prastasis"/>
    <w:link w:val="PagrindinistekstasDiagrama"/>
    <w:rsid w:val="00797756"/>
    <w:pPr>
      <w:spacing w:after="120" w:line="240" w:lineRule="auto"/>
    </w:pPr>
    <w:rPr>
      <w:rFonts w:ascii="Times New Roman" w:eastAsia="Times New Roman" w:hAnsi="Times New Roman" w:cs="Times New Roman"/>
      <w:sz w:val="24"/>
      <w:szCs w:val="20"/>
      <w:lang w:val="lt-LT" w:eastAsia="lt-LT"/>
    </w:rPr>
  </w:style>
  <w:style w:type="character" w:customStyle="1" w:styleId="PagrindinistekstasDiagrama">
    <w:name w:val="Pagrindinis tekstas Diagrama"/>
    <w:basedOn w:val="Numatytasispastraiposriftas"/>
    <w:link w:val="Pagrindinistekstas"/>
    <w:rsid w:val="00797756"/>
    <w:rPr>
      <w:rFonts w:ascii="Times New Roman" w:eastAsia="Times New Roman" w:hAnsi="Times New Roman" w:cs="Times New Roman"/>
      <w:sz w:val="24"/>
      <w:szCs w:val="20"/>
      <w:lang w:val="lt-LT" w:eastAsia="lt-LT"/>
    </w:rPr>
  </w:style>
  <w:style w:type="character" w:customStyle="1" w:styleId="AntratsDiagrama">
    <w:name w:val="Antraštės Diagrama"/>
    <w:link w:val="Antrats"/>
    <w:uiPriority w:val="99"/>
    <w:rsid w:val="00797756"/>
    <w:rPr>
      <w:rFonts w:eastAsia="Times New Roman"/>
      <w:sz w:val="24"/>
    </w:rPr>
  </w:style>
  <w:style w:type="paragraph" w:styleId="Antrats">
    <w:name w:val="header"/>
    <w:basedOn w:val="prastasis"/>
    <w:link w:val="AntratsDiagrama"/>
    <w:uiPriority w:val="99"/>
    <w:unhideWhenUsed/>
    <w:rsid w:val="00797756"/>
    <w:pPr>
      <w:tabs>
        <w:tab w:val="center" w:pos="4819"/>
        <w:tab w:val="right" w:pos="9638"/>
      </w:tabs>
      <w:spacing w:after="0" w:line="240" w:lineRule="auto"/>
    </w:pPr>
    <w:rPr>
      <w:rFonts w:eastAsia="Times New Roman"/>
      <w:sz w:val="24"/>
    </w:rPr>
  </w:style>
  <w:style w:type="character" w:customStyle="1" w:styleId="HeaderChar1">
    <w:name w:val="Header Char1"/>
    <w:basedOn w:val="Numatytasispastraiposriftas"/>
    <w:uiPriority w:val="99"/>
    <w:semiHidden/>
    <w:rsid w:val="00797756"/>
  </w:style>
  <w:style w:type="character" w:customStyle="1" w:styleId="KomentarotekstasDiagrama">
    <w:name w:val="Komentaro tekstas Diagrama"/>
    <w:link w:val="Komentarotekstas"/>
    <w:semiHidden/>
    <w:rsid w:val="00797756"/>
    <w:rPr>
      <w:rFonts w:eastAsia="Times New Roman"/>
    </w:rPr>
  </w:style>
  <w:style w:type="paragraph" w:styleId="Komentarotekstas">
    <w:name w:val="annotation text"/>
    <w:basedOn w:val="prastasis"/>
    <w:link w:val="KomentarotekstasDiagrama"/>
    <w:semiHidden/>
    <w:rsid w:val="00797756"/>
    <w:pPr>
      <w:spacing w:after="0" w:line="240" w:lineRule="auto"/>
    </w:pPr>
    <w:rPr>
      <w:rFonts w:eastAsia="Times New Roman"/>
    </w:rPr>
  </w:style>
  <w:style w:type="character" w:customStyle="1" w:styleId="CommentTextChar1">
    <w:name w:val="Comment Text Char1"/>
    <w:basedOn w:val="Numatytasispastraiposriftas"/>
    <w:uiPriority w:val="99"/>
    <w:semiHidden/>
    <w:rsid w:val="00797756"/>
    <w:rPr>
      <w:sz w:val="20"/>
      <w:szCs w:val="20"/>
    </w:rPr>
  </w:style>
  <w:style w:type="character" w:customStyle="1" w:styleId="KomentarotemaDiagrama">
    <w:name w:val="Komentaro tema Diagrama"/>
    <w:link w:val="Komentarotema"/>
    <w:semiHidden/>
    <w:rsid w:val="00797756"/>
    <w:rPr>
      <w:rFonts w:eastAsia="Times New Roman"/>
      <w:b/>
      <w:bCs/>
      <w:lang w:val="lt-LT"/>
    </w:rPr>
  </w:style>
  <w:style w:type="paragraph" w:styleId="Komentarotema">
    <w:name w:val="annotation subject"/>
    <w:basedOn w:val="Komentarotekstas"/>
    <w:next w:val="Komentarotekstas"/>
    <w:link w:val="KomentarotemaDiagrama"/>
    <w:semiHidden/>
    <w:rsid w:val="00797756"/>
    <w:rPr>
      <w:b/>
      <w:bCs/>
      <w:lang w:val="lt-LT"/>
    </w:rPr>
  </w:style>
  <w:style w:type="character" w:customStyle="1" w:styleId="CommentSubjectChar1">
    <w:name w:val="Comment Subject Char1"/>
    <w:basedOn w:val="CommentTextChar1"/>
    <w:uiPriority w:val="99"/>
    <w:semiHidden/>
    <w:rsid w:val="00797756"/>
    <w:rPr>
      <w:b/>
      <w:bCs/>
      <w:sz w:val="20"/>
      <w:szCs w:val="20"/>
    </w:rPr>
  </w:style>
  <w:style w:type="paragraph" w:styleId="Paprastasistekstas">
    <w:name w:val="Plain Text"/>
    <w:basedOn w:val="prastasis"/>
    <w:link w:val="PaprastasistekstasDiagrama"/>
    <w:uiPriority w:val="99"/>
    <w:unhideWhenUsed/>
    <w:rsid w:val="00797756"/>
    <w:pPr>
      <w:spacing w:after="0" w:line="240" w:lineRule="auto"/>
    </w:pPr>
    <w:rPr>
      <w:rFonts w:ascii="Consolas" w:eastAsia="Times New Roman" w:hAnsi="Consolas" w:cs="Times New Roman"/>
      <w:sz w:val="21"/>
      <w:szCs w:val="21"/>
      <w:lang w:val="lt-LT"/>
    </w:rPr>
  </w:style>
  <w:style w:type="character" w:customStyle="1" w:styleId="PaprastasistekstasDiagrama">
    <w:name w:val="Paprastasis tekstas Diagrama"/>
    <w:basedOn w:val="Numatytasispastraiposriftas"/>
    <w:link w:val="Paprastasistekstas"/>
    <w:uiPriority w:val="99"/>
    <w:rsid w:val="00797756"/>
    <w:rPr>
      <w:rFonts w:ascii="Consolas" w:eastAsia="Times New Roman" w:hAnsi="Consolas" w:cs="Times New Roman"/>
      <w:sz w:val="21"/>
      <w:szCs w:val="21"/>
      <w:lang w:val="lt-LT"/>
    </w:rPr>
  </w:style>
  <w:style w:type="character" w:styleId="Komentaronuoroda">
    <w:name w:val="annotation reference"/>
    <w:semiHidden/>
    <w:rsid w:val="00797756"/>
    <w:rPr>
      <w:sz w:val="16"/>
      <w:szCs w:val="16"/>
    </w:rPr>
  </w:style>
  <w:style w:type="paragraph" w:styleId="Sraopastraipa">
    <w:name w:val="List Paragraph"/>
    <w:basedOn w:val="prastasis"/>
    <w:qFormat/>
    <w:rsid w:val="00797756"/>
    <w:pPr>
      <w:tabs>
        <w:tab w:val="left" w:pos="567"/>
      </w:tabs>
      <w:spacing w:after="0" w:line="260" w:lineRule="exact"/>
      <w:ind w:left="720"/>
    </w:pPr>
    <w:rPr>
      <w:rFonts w:ascii="Times New Roman" w:eastAsia="Times New Roman" w:hAnsi="Times New Roman" w:cs="Times New Roman"/>
    </w:rPr>
  </w:style>
  <w:style w:type="table" w:styleId="Lentelstinklelis">
    <w:name w:val="Table Grid"/>
    <w:basedOn w:val="prastojilentel"/>
    <w:uiPriority w:val="39"/>
    <w:rsid w:val="00797756"/>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0218E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98602">
      <w:bodyDiv w:val="1"/>
      <w:marLeft w:val="0"/>
      <w:marRight w:val="0"/>
      <w:marTop w:val="0"/>
      <w:marBottom w:val="0"/>
      <w:divBdr>
        <w:top w:val="none" w:sz="0" w:space="0" w:color="auto"/>
        <w:left w:val="none" w:sz="0" w:space="0" w:color="auto"/>
        <w:bottom w:val="none" w:sz="0" w:space="0" w:color="auto"/>
        <w:right w:val="none" w:sz="0" w:space="0" w:color="auto"/>
      </w:divBdr>
    </w:div>
    <w:div w:id="206338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14" ma:contentTypeDescription="Create a new document." ma:contentTypeScope="" ma:versionID="176210bf9c72478b75e22a01a8d902b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340248b6585e86409da619038582fe4a"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3f4546c-f6f8-48ea-a8a2-ed4995f0972f">
      <Terms xmlns="http://schemas.microsoft.com/office/infopath/2007/PartnerControls"/>
    </lcf76f155ced4ddcb4097134ff3c332f>
    <TaxCatchAll xmlns="82d6c8fa-9de3-4664-a790-4fc04974759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7" ma:contentTypeDescription="Create a new document." ma:contentTypeScope="" ma:versionID="c78e15f7794c7eca3374ce4ad8a07d4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178d2ae77cbf9350f90c42adb54e0b9f"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2431CE-19BD-4C7B-B45E-046ABB59726F}">
  <ds:schemaRefs>
    <ds:schemaRef ds:uri="http://schemas.microsoft.com/sharepoint/v3/contenttype/forms"/>
  </ds:schemaRefs>
</ds:datastoreItem>
</file>

<file path=customXml/itemProps2.xml><?xml version="1.0" encoding="utf-8"?>
<ds:datastoreItem xmlns:ds="http://schemas.openxmlformats.org/officeDocument/2006/customXml" ds:itemID="{9C10B3F6-6EB5-4313-93E9-27574C8725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FAC18A-B613-4301-B565-B31DCC657C31}">
  <ds:schemaRefs>
    <ds:schemaRef ds:uri="http://schemas.openxmlformats.org/package/2006/metadata/core-properties"/>
    <ds:schemaRef ds:uri="http://schemas.microsoft.com/office/2006/documentManagement/types"/>
    <ds:schemaRef ds:uri="http://schemas.microsoft.com/office/2006/metadata/properties"/>
    <ds:schemaRef ds:uri="http://schemas.microsoft.com/office/infopath/2007/PartnerControls"/>
    <ds:schemaRef ds:uri="http://purl.org/dc/dcmitype/"/>
    <ds:schemaRef ds:uri="23f4546c-f6f8-48ea-a8a2-ed4995f0972f"/>
    <ds:schemaRef ds:uri="http://purl.org/dc/elements/1.1/"/>
    <ds:schemaRef ds:uri="http://purl.org/dc/terms/"/>
    <ds:schemaRef ds:uri="82d6c8fa-9de3-4664-a790-4fc049747599"/>
    <ds:schemaRef ds:uri="http://www.w3.org/XML/1998/namespace"/>
  </ds:schemaRefs>
</ds:datastoreItem>
</file>

<file path=customXml/itemProps4.xml><?xml version="1.0" encoding="utf-8"?>
<ds:datastoreItem xmlns:ds="http://schemas.openxmlformats.org/officeDocument/2006/customXml" ds:itemID="{6730421F-BE53-4D67-AA0F-34D0726AB5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64225</Words>
  <Characters>36609</Characters>
  <Application>Microsoft Office Word</Application>
  <DocSecurity>4</DocSecurity>
  <Lines>305</Lines>
  <Paragraphs>201</Paragraphs>
  <ScaleCrop>false</ScaleCrop>
  <HeadingPairs>
    <vt:vector size="8" baseType="variant">
      <vt:variant>
        <vt:lpstr>Pavadinimas</vt:lpstr>
      </vt:variant>
      <vt:variant>
        <vt:i4>1</vt:i4>
      </vt:variant>
      <vt:variant>
        <vt:lpstr>Antraštės</vt:lpstr>
      </vt:variant>
      <vt:variant>
        <vt:i4>33</vt:i4>
      </vt:variant>
      <vt:variant>
        <vt:lpstr>Title</vt:lpstr>
      </vt:variant>
      <vt:variant>
        <vt:i4>1</vt:i4>
      </vt:variant>
      <vt:variant>
        <vt:lpstr>Headings</vt:lpstr>
      </vt:variant>
      <vt:variant>
        <vt:i4>33</vt:i4>
      </vt:variant>
    </vt:vector>
  </HeadingPairs>
  <TitlesOfParts>
    <vt:vector size="68" baseType="lpstr">
      <vt:lpstr/>
      <vt:lpstr/>
      <vt:lpstr/>
      <vt:lpstr/>
      <vt:lpstr/>
      <vt:lpstr/>
      <vt:lpstr>III PRIEDAS</vt:lpstr>
      <vt:lpstr>ŽENKLINIMAS IR PAKUOTĖS LAPELIS</vt:lpstr>
      <vt:lpstr/>
      <vt:lpstr>A. ŽENKLINIMAS</vt:lpstr>
      <vt:lpstr/>
      <vt:lpstr/>
      <vt:lpstr/>
      <vt:lpstr/>
      <vt:lpstr/>
      <vt:lpstr/>
      <vt:lpstr/>
      <vt:lpstr/>
      <vt:lpstr/>
      <vt:lpstr/>
      <vt:lpstr/>
      <vt:lpstr/>
      <vt:lpstr/>
      <vt:lpstr/>
      <vt:lpstr/>
      <vt:lpstr/>
      <vt:lpstr/>
      <vt:lpstr/>
      <vt:lpstr/>
      <vt:lpstr/>
      <vt:lpstr/>
      <vt:lpstr/>
      <vt:lpstr/>
      <vt:lpstr>B. PAKUOTĖS LAPELIS</vt:lpstr>
      <vt:lpstr/>
      <vt:lpstr/>
      <vt:lpstr/>
      <vt:lpstr/>
      <vt:lpstr/>
      <vt:lpstr/>
      <vt:lpstr>III PRIEDAS</vt:lpstr>
      <vt:lpstr>ŽENKLINIMAS IR PAKUOTĖS LAPELIS</vt:lpstr>
      <vt:lpstr/>
      <vt:lpstr>A. ŽENKLINIMAS</vt:lpstr>
      <vt:lpstr/>
      <vt:lpstr/>
      <vt:lpstr/>
      <vt:lpstr/>
      <vt:lpstr/>
      <vt:lpstr/>
      <vt:lpstr/>
      <vt:lpstr/>
      <vt:lpstr/>
      <vt:lpstr/>
      <vt:lpstr/>
      <vt:lpstr/>
      <vt:lpstr/>
      <vt:lpstr/>
      <vt:lpstr/>
      <vt:lpstr/>
      <vt:lpstr/>
      <vt:lpstr/>
      <vt:lpstr/>
      <vt:lpstr/>
      <vt:lpstr/>
      <vt:lpstr/>
      <vt:lpstr/>
      <vt:lpstr>B. PAKUOTĖS LAPELIS</vt:lpstr>
    </vt:vector>
  </TitlesOfParts>
  <Company/>
  <LinksUpToDate>false</LinksUpToDate>
  <CharactersWithSpaces>100633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2023-12-13T06:39:00Z</dcterms:created>
  <dcterms:modified xsi:type="dcterms:W3CDTF">2023-12-13T06:39:00Z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0x010100C7225FB10449F04EB910E96B11F7EB45</vt:lpwstr>
  </property>
  <property fmtid="{D5CDD505-2E9C-101B-9397-08002B2CF9AE}" pid="3" name="MediaServiceImageTags">
    <vt:lpwstr/>
  </property>
</Properties>
</file>