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jc w:val="center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A. ŽENKLINIMAS</w:t>
      </w: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hd w:val="clear" w:color="auto" w:fill="FFFFFF"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INFORMACIJA ANT IŠORINĖS PAKUOTĖS</w:t>
      </w: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KARTONO DĖŽUTĖ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1.</w:t>
      </w:r>
      <w:r w:rsidRPr="0024019E">
        <w:rPr>
          <w:b/>
          <w:noProof/>
          <w:szCs w:val="22"/>
          <w:lang w:val="lt-LT"/>
        </w:rPr>
        <w:tab/>
        <w:t>VAISTINIO PREPARATO PAVADINIMAS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Vermox 100 mg tabletės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Mebendazolas</w:t>
      </w:r>
    </w:p>
    <w:p w:rsidR="00041FBE" w:rsidRPr="0024019E" w:rsidRDefault="00041FBE" w:rsidP="00041FBE">
      <w:pPr>
        <w:rPr>
          <w:noProof/>
          <w:szCs w:val="22"/>
          <w:lang w:val="lt-LT"/>
        </w:rPr>
      </w:pPr>
    </w:p>
    <w:p w:rsidR="00041FBE" w:rsidRPr="0024019E" w:rsidRDefault="00041FBE" w:rsidP="00041FBE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  <w:lang w:val="lt-LT"/>
        </w:rPr>
      </w:pPr>
      <w:r w:rsidRPr="0024019E">
        <w:rPr>
          <w:rFonts w:ascii="Times New Roman" w:hAnsi="Times New Roman"/>
          <w:sz w:val="22"/>
          <w:szCs w:val="22"/>
          <w:lang w:val="lt-LT"/>
        </w:rPr>
        <w:t>2.</w:t>
      </w:r>
      <w:r w:rsidRPr="0024019E">
        <w:rPr>
          <w:rFonts w:ascii="Times New Roman" w:hAnsi="Times New Roman"/>
          <w:sz w:val="22"/>
          <w:szCs w:val="22"/>
          <w:lang w:val="lt-LT"/>
        </w:rPr>
        <w:tab/>
        <w:t xml:space="preserve">VEIKLIOJI (-IOS) MEDŽIAGA (-OS) IR JOS (-Ų) KIEKIS (-IAI) 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Kiekvienoje tabletėje yra 100 mg mebendazolo.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24019E">
        <w:rPr>
          <w:b/>
          <w:noProof/>
          <w:szCs w:val="22"/>
          <w:lang w:val="lt-LT"/>
        </w:rPr>
        <w:t>3.</w:t>
      </w:r>
      <w:r w:rsidRPr="0024019E">
        <w:rPr>
          <w:b/>
          <w:noProof/>
          <w:szCs w:val="22"/>
          <w:lang w:val="lt-LT"/>
        </w:rPr>
        <w:tab/>
        <w:t>PAGALBINIŲ MEDŽIAGŲ SĄRAŠAS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szCs w:val="22"/>
          <w:lang w:val="lt-LT"/>
        </w:rPr>
      </w:pPr>
      <w:r w:rsidRPr="0024019E">
        <w:rPr>
          <w:noProof/>
          <w:szCs w:val="22"/>
          <w:lang w:val="lt-LT"/>
        </w:rPr>
        <w:t>Sudėtyje yra saulėlydžio geltonojo FCF (</w:t>
      </w:r>
      <w:r w:rsidRPr="0024019E">
        <w:rPr>
          <w:szCs w:val="22"/>
          <w:lang w:val="lt-LT"/>
        </w:rPr>
        <w:t>E110).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4.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szCs w:val="22"/>
          <w:lang w:val="lt-LT"/>
        </w:rPr>
        <w:t>FARMACINĖ</w:t>
      </w:r>
      <w:r w:rsidRPr="0024019E">
        <w:rPr>
          <w:b/>
          <w:noProof/>
          <w:szCs w:val="22"/>
          <w:lang w:val="lt-LT"/>
        </w:rPr>
        <w:t xml:space="preserve"> FORMA IR KIEKIS PAKUOTĖJE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6 tabletės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24019E">
        <w:rPr>
          <w:b/>
          <w:noProof/>
          <w:szCs w:val="22"/>
          <w:lang w:val="lt-LT"/>
        </w:rPr>
        <w:t>5.</w:t>
      </w:r>
      <w:r w:rsidRPr="0024019E">
        <w:rPr>
          <w:b/>
          <w:noProof/>
          <w:szCs w:val="22"/>
          <w:lang w:val="lt-LT"/>
        </w:rPr>
        <w:tab/>
        <w:t xml:space="preserve">VARTOJIMO METODAS IR BŪDAS </w:t>
      </w:r>
      <w:r w:rsidRPr="0024019E">
        <w:rPr>
          <w:b/>
          <w:szCs w:val="22"/>
          <w:lang w:val="lt-LT"/>
        </w:rPr>
        <w:t>(-AI)</w:t>
      </w:r>
    </w:p>
    <w:p w:rsidR="00041FBE" w:rsidRPr="0024019E" w:rsidRDefault="00041FBE" w:rsidP="00041FBE">
      <w:pPr>
        <w:spacing w:line="240" w:lineRule="auto"/>
        <w:rPr>
          <w:i/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 xml:space="preserve">Vartoti per burną. 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Prieš vartojimą perskaitykite pakuotės lapelį.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6.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bCs/>
          <w:noProof/>
          <w:szCs w:val="22"/>
          <w:lang w:val="lt-LT"/>
        </w:rPr>
        <w:t>SPECIALUS ĮSPĖJIMAS, KAD VAISTINĮ PREPARATĄ BŪTINA LAIKYTI VAIKAMS NEPASTEBIMOJE IR NEPASIEKIAMOJE VIETOJE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Style w:val="Pagrindinistekstas"/>
        <w:tabs>
          <w:tab w:val="left" w:pos="567"/>
        </w:tabs>
        <w:rPr>
          <w:i w:val="0"/>
          <w:iCs/>
          <w:noProof/>
          <w:color w:val="auto"/>
          <w:szCs w:val="22"/>
          <w:lang w:val="lt-LT"/>
        </w:rPr>
      </w:pPr>
      <w:r w:rsidRPr="0024019E">
        <w:rPr>
          <w:i w:val="0"/>
          <w:iCs/>
          <w:noProof/>
          <w:color w:val="auto"/>
          <w:szCs w:val="22"/>
          <w:lang w:val="lt-LT"/>
        </w:rPr>
        <w:t>Laikyti vaikams nepastebimoje ir nepasiekiamoje vietoje.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24019E">
        <w:rPr>
          <w:b/>
          <w:noProof/>
          <w:szCs w:val="22"/>
          <w:lang w:val="lt-LT"/>
        </w:rPr>
        <w:t>7.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bCs/>
          <w:noProof/>
          <w:szCs w:val="22"/>
          <w:lang w:val="lt-LT"/>
        </w:rPr>
        <w:t>KITAS (-I) SPECIALUS (-ŪS) ĮSPĖJIMAS (-AI) (JEI REIKIA)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24019E">
        <w:rPr>
          <w:b/>
          <w:noProof/>
          <w:szCs w:val="22"/>
          <w:lang w:val="lt-LT"/>
        </w:rPr>
        <w:t>8.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bCs/>
          <w:noProof/>
          <w:szCs w:val="22"/>
          <w:lang w:val="lt-LT"/>
        </w:rPr>
        <w:t>TINKAMUMO LAIKAS</w:t>
      </w:r>
    </w:p>
    <w:p w:rsidR="00041FBE" w:rsidRPr="0024019E" w:rsidRDefault="00041FBE" w:rsidP="00041FBE">
      <w:pPr>
        <w:spacing w:line="240" w:lineRule="auto"/>
        <w:rPr>
          <w:i/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iCs/>
          <w:noProof/>
          <w:szCs w:val="22"/>
          <w:lang w:val="lt-LT"/>
        </w:rPr>
      </w:pPr>
      <w:r w:rsidRPr="0024019E">
        <w:rPr>
          <w:iCs/>
          <w:noProof/>
          <w:szCs w:val="22"/>
          <w:lang w:val="lt-LT"/>
        </w:rPr>
        <w:t>Tinka iki: mm/MMMM.</w:t>
      </w:r>
    </w:p>
    <w:p w:rsidR="00041FBE" w:rsidRPr="0024019E" w:rsidRDefault="00041FBE" w:rsidP="00041FBE">
      <w:pPr>
        <w:spacing w:line="240" w:lineRule="auto"/>
        <w:rPr>
          <w:iCs/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9.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caps/>
          <w:noProof/>
          <w:szCs w:val="22"/>
          <w:lang w:val="lt-LT"/>
        </w:rPr>
        <w:t>SPECIALIOS laikymo sąlygos</w:t>
      </w:r>
    </w:p>
    <w:p w:rsidR="00041FBE" w:rsidRPr="0024019E" w:rsidRDefault="00041FBE" w:rsidP="00041FBE">
      <w:pPr>
        <w:spacing w:line="240" w:lineRule="auto"/>
        <w:rPr>
          <w:iCs/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10.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caps/>
          <w:noProof/>
          <w:szCs w:val="22"/>
          <w:lang w:val="lt-LT"/>
        </w:rPr>
        <w:t>specialios atsargumo priemonės</w:t>
      </w:r>
      <w:r w:rsidRPr="0024019E">
        <w:rPr>
          <w:b/>
          <w:szCs w:val="22"/>
          <w:lang w:val="lt-LT"/>
        </w:rPr>
        <w:t xml:space="preserve"> DĖL NESUVARTOTO </w:t>
      </w:r>
      <w:r w:rsidRPr="0024019E">
        <w:rPr>
          <w:b/>
          <w:bCs/>
          <w:caps/>
          <w:noProof/>
          <w:szCs w:val="22"/>
          <w:lang w:val="lt-LT"/>
        </w:rPr>
        <w:t xml:space="preserve">VAISTINIO PREPARATO </w:t>
      </w:r>
      <w:r w:rsidRPr="0024019E">
        <w:rPr>
          <w:b/>
          <w:szCs w:val="22"/>
          <w:lang w:val="lt-LT"/>
        </w:rPr>
        <w:t>AR JO ATLIEKŲ TVARKYMO</w:t>
      </w:r>
      <w:r w:rsidRPr="0024019E">
        <w:rPr>
          <w:caps/>
          <w:noProof/>
          <w:szCs w:val="22"/>
          <w:lang w:val="lt-LT"/>
        </w:rPr>
        <w:t xml:space="preserve"> </w:t>
      </w:r>
      <w:r w:rsidRPr="0024019E">
        <w:rPr>
          <w:b/>
          <w:caps/>
          <w:noProof/>
          <w:szCs w:val="22"/>
          <w:lang w:val="lt-LT"/>
        </w:rPr>
        <w:t>(jei reikia)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11.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szCs w:val="22"/>
          <w:lang w:val="lt-LT"/>
        </w:rPr>
        <w:t>LYGIAGRETUS IMPORTUOTOJAS</w:t>
      </w:r>
    </w:p>
    <w:p w:rsidR="00041FBE" w:rsidRPr="0024019E" w:rsidRDefault="00041FBE" w:rsidP="00041FBE">
      <w:pPr>
        <w:keepNext/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Lygiagretus importuotojas UAB „Lex ano“.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12.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szCs w:val="22"/>
          <w:lang w:val="lt-LT"/>
        </w:rPr>
        <w:t xml:space="preserve">LYGIAGRETAUS IMPORTO </w:t>
      </w:r>
      <w:r w:rsidRPr="0024019E">
        <w:rPr>
          <w:b/>
          <w:caps/>
          <w:noProof/>
          <w:szCs w:val="22"/>
          <w:lang w:val="lt-LT"/>
        </w:rPr>
        <w:t xml:space="preserve"> numeris</w:t>
      </w:r>
      <w:r w:rsidRPr="0024019E">
        <w:rPr>
          <w:b/>
          <w:noProof/>
          <w:szCs w:val="22"/>
          <w:lang w:val="lt-LT"/>
        </w:rPr>
        <w:t xml:space="preserve"> 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proofErr w:type="spellStart"/>
      <w:r w:rsidRPr="0099321F">
        <w:rPr>
          <w:szCs w:val="22"/>
        </w:rPr>
        <w:t>Lyg.imp.Nr</w:t>
      </w:r>
      <w:proofErr w:type="spellEnd"/>
      <w:r w:rsidRPr="0099321F">
        <w:rPr>
          <w:szCs w:val="22"/>
        </w:rPr>
        <w:t xml:space="preserve">.: </w:t>
      </w:r>
      <w:r w:rsidRPr="0024019E">
        <w:rPr>
          <w:noProof/>
          <w:szCs w:val="22"/>
          <w:lang w:val="lt-LT"/>
        </w:rPr>
        <w:t>LT/L/09/0015/001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13.</w:t>
      </w:r>
      <w:r w:rsidRPr="0024019E">
        <w:rPr>
          <w:b/>
          <w:noProof/>
          <w:szCs w:val="22"/>
          <w:lang w:val="lt-LT"/>
        </w:rPr>
        <w:tab/>
        <w:t>SERIJOS NUMERIS</w:t>
      </w:r>
    </w:p>
    <w:p w:rsidR="00041FBE" w:rsidRPr="0024019E" w:rsidRDefault="00041FBE" w:rsidP="00041FBE">
      <w:pPr>
        <w:spacing w:line="240" w:lineRule="auto"/>
        <w:rPr>
          <w:i/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iCs/>
          <w:noProof/>
          <w:szCs w:val="22"/>
          <w:lang w:val="lt-LT"/>
        </w:rPr>
      </w:pPr>
      <w:r w:rsidRPr="0024019E">
        <w:rPr>
          <w:iCs/>
          <w:noProof/>
          <w:szCs w:val="22"/>
          <w:lang w:val="lt-LT"/>
        </w:rPr>
        <w:t>Serija</w:t>
      </w:r>
      <w:r>
        <w:rPr>
          <w:iCs/>
          <w:noProof/>
          <w:szCs w:val="22"/>
          <w:lang w:val="lt-LT"/>
        </w:rPr>
        <w:t>: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14.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szCs w:val="22"/>
          <w:lang w:val="lt-LT"/>
        </w:rPr>
        <w:t>PARDAVIMO (IŠDAVIMO)</w:t>
      </w:r>
      <w:r w:rsidRPr="0024019E">
        <w:rPr>
          <w:b/>
          <w:caps/>
          <w:noProof/>
          <w:szCs w:val="22"/>
          <w:lang w:val="lt-LT"/>
        </w:rPr>
        <w:t xml:space="preserve"> tvarka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Receptinis vaistas</w:t>
      </w:r>
      <w:r>
        <w:rPr>
          <w:noProof/>
          <w:szCs w:val="22"/>
          <w:lang w:val="lt-LT"/>
        </w:rPr>
        <w:t>.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15.</w:t>
      </w:r>
      <w:r w:rsidRPr="0024019E">
        <w:rPr>
          <w:b/>
          <w:noProof/>
          <w:szCs w:val="22"/>
          <w:lang w:val="lt-LT"/>
        </w:rPr>
        <w:tab/>
      </w:r>
      <w:r w:rsidRPr="0024019E">
        <w:rPr>
          <w:b/>
          <w:caps/>
          <w:noProof/>
          <w:szCs w:val="22"/>
          <w:lang w:val="lt-LT"/>
        </w:rPr>
        <w:t>vartojimo instrukcijA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16.</w:t>
      </w:r>
      <w:r w:rsidRPr="0024019E">
        <w:rPr>
          <w:b/>
          <w:noProof/>
          <w:szCs w:val="22"/>
          <w:lang w:val="lt-LT"/>
        </w:rPr>
        <w:tab/>
        <w:t>INFORMACIJA BRAILIO RAŠTU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rPr>
          <w:bCs/>
          <w:noProof/>
          <w:szCs w:val="22"/>
          <w:lang w:val="lt-LT"/>
        </w:rPr>
      </w:pPr>
      <w:r>
        <w:rPr>
          <w:bCs/>
          <w:noProof/>
          <w:szCs w:val="22"/>
          <w:lang w:val="lt-LT"/>
        </w:rPr>
        <w:t>v</w:t>
      </w:r>
      <w:r w:rsidRPr="0024019E">
        <w:rPr>
          <w:bCs/>
          <w:noProof/>
          <w:szCs w:val="22"/>
          <w:lang w:val="lt-LT"/>
        </w:rPr>
        <w:t>ermox 100 mg</w:t>
      </w:r>
    </w:p>
    <w:p w:rsidR="00041FBE" w:rsidRPr="0024019E" w:rsidRDefault="00041FBE" w:rsidP="00041FBE">
      <w:pPr>
        <w:pStyle w:val="BTEMEASMCA"/>
        <w:spacing w:before="0"/>
      </w:pPr>
    </w:p>
    <w:p w:rsidR="00041FBE" w:rsidRPr="0024019E" w:rsidRDefault="00041FBE" w:rsidP="00041FBE">
      <w:pPr>
        <w:pStyle w:val="Sraopastraipa"/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650"/>
        <w:outlineLvl w:val="0"/>
        <w:rPr>
          <w:i/>
          <w:noProof/>
          <w:szCs w:val="22"/>
          <w:lang w:eastAsia="lt-LT" w:bidi="lt-LT"/>
        </w:rPr>
      </w:pPr>
      <w:r w:rsidRPr="0024019E">
        <w:rPr>
          <w:b/>
          <w:noProof/>
          <w:szCs w:val="22"/>
          <w:lang w:eastAsia="lt-LT" w:bidi="lt-LT"/>
        </w:rPr>
        <w:t>UNIKALUS IDENTIFIKATORIUS – 2D BRŪKŠNINIS KODAS</w:t>
      </w:r>
    </w:p>
    <w:p w:rsidR="00041FBE" w:rsidRPr="0024019E" w:rsidRDefault="00041FBE" w:rsidP="00041FBE">
      <w:pPr>
        <w:pStyle w:val="BTEMEASMCA"/>
        <w:spacing w:before="0"/>
        <w:rPr>
          <w:noProof w:val="0"/>
        </w:rPr>
      </w:pPr>
    </w:p>
    <w:p w:rsidR="00041FBE" w:rsidRPr="0024019E" w:rsidRDefault="00041FBE" w:rsidP="00041FBE">
      <w:pPr>
        <w:rPr>
          <w:noProof/>
          <w:szCs w:val="22"/>
          <w:shd w:val="clear" w:color="auto" w:fill="CCCCCC"/>
          <w:lang w:val="lt-LT" w:eastAsia="lt-LT" w:bidi="lt-LT"/>
        </w:rPr>
      </w:pPr>
      <w:r w:rsidRPr="0024019E">
        <w:rPr>
          <w:noProof/>
          <w:szCs w:val="22"/>
          <w:highlight w:val="lightGray"/>
          <w:lang w:val="lt-LT" w:eastAsia="lt-LT" w:bidi="lt-LT"/>
        </w:rPr>
        <w:t>&lt;2D brūkšninis kodas su nurodytu unikaliu identifikatoriumi.&gt;</w:t>
      </w: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noProof/>
          <w:szCs w:val="22"/>
          <w:highlight w:val="lightGray"/>
          <w:lang w:val="lt-LT" w:eastAsia="lt-LT" w:bidi="lt-LT"/>
        </w:rPr>
      </w:pPr>
      <w:r w:rsidRPr="0024019E">
        <w:rPr>
          <w:noProof/>
          <w:szCs w:val="22"/>
          <w:highlight w:val="lightGray"/>
          <w:lang w:val="lt-LT" w:eastAsia="lt-LT" w:bidi="lt-LT"/>
        </w:rPr>
        <w:t xml:space="preserve">&lt;Duomenys nebūtini.&gt; </w:t>
      </w:r>
    </w:p>
    <w:p w:rsidR="00041FBE" w:rsidRPr="0024019E" w:rsidRDefault="00041FBE" w:rsidP="00041FBE">
      <w:pPr>
        <w:rPr>
          <w:noProof/>
          <w:szCs w:val="22"/>
          <w:lang w:val="lt-LT" w:eastAsia="lt-LT" w:bidi="lt-LT"/>
        </w:rPr>
      </w:pPr>
    </w:p>
    <w:p w:rsidR="00041FBE" w:rsidRPr="0024019E" w:rsidRDefault="00041FBE" w:rsidP="00041FBE">
      <w:pPr>
        <w:pStyle w:val="Sraopastraipa"/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650"/>
        <w:outlineLvl w:val="0"/>
        <w:rPr>
          <w:i/>
          <w:noProof/>
          <w:szCs w:val="22"/>
          <w:lang w:eastAsia="lt-LT" w:bidi="lt-LT"/>
        </w:rPr>
      </w:pPr>
      <w:r w:rsidRPr="0024019E">
        <w:rPr>
          <w:b/>
          <w:noProof/>
          <w:szCs w:val="22"/>
          <w:lang w:eastAsia="lt-LT" w:bidi="lt-LT"/>
        </w:rPr>
        <w:t>UNIKALUS IDENTIFIKATORIUS – ŽMONĖMS SUPRANTAMI DUOMENYS</w:t>
      </w:r>
    </w:p>
    <w:p w:rsidR="00041FBE" w:rsidRPr="0024019E" w:rsidRDefault="00041FBE" w:rsidP="00041FBE">
      <w:pPr>
        <w:rPr>
          <w:noProof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color w:val="008000"/>
          <w:szCs w:val="22"/>
          <w:highlight w:val="lightGray"/>
          <w:lang w:val="lt-LT" w:eastAsia="lt-LT" w:bidi="lt-LT"/>
        </w:rPr>
      </w:pPr>
      <w:r w:rsidRPr="0024019E">
        <w:rPr>
          <w:szCs w:val="22"/>
          <w:highlight w:val="lightGray"/>
          <w:lang w:val="lt-LT" w:eastAsia="lt-LT" w:bidi="lt-LT"/>
        </w:rPr>
        <w:t xml:space="preserve">&lt; PC: {numeris} </w:t>
      </w:r>
      <w:r w:rsidRPr="0024019E">
        <w:rPr>
          <w:color w:val="008000"/>
          <w:szCs w:val="22"/>
          <w:highlight w:val="lightGray"/>
          <w:lang w:val="lt-LT" w:eastAsia="lt-LT" w:bidi="lt-LT"/>
        </w:rPr>
        <w:t>[preparato kodas]</w:t>
      </w:r>
    </w:p>
    <w:p w:rsidR="00041FBE" w:rsidRPr="0024019E" w:rsidRDefault="00041FBE" w:rsidP="00041FBE">
      <w:pPr>
        <w:rPr>
          <w:szCs w:val="22"/>
          <w:highlight w:val="lightGray"/>
          <w:lang w:val="lt-LT" w:eastAsia="lt-LT" w:bidi="lt-LT"/>
        </w:rPr>
      </w:pPr>
      <w:r w:rsidRPr="0024019E">
        <w:rPr>
          <w:szCs w:val="22"/>
          <w:highlight w:val="lightGray"/>
          <w:lang w:val="lt-LT" w:eastAsia="lt-LT" w:bidi="lt-LT"/>
        </w:rPr>
        <w:t xml:space="preserve">SN: {numeris} </w:t>
      </w:r>
      <w:r w:rsidRPr="0024019E">
        <w:rPr>
          <w:color w:val="008000"/>
          <w:szCs w:val="22"/>
          <w:highlight w:val="lightGray"/>
          <w:lang w:val="lt-LT" w:eastAsia="lt-LT" w:bidi="lt-LT"/>
        </w:rPr>
        <w:t>[nuoseklusis numeris]</w:t>
      </w:r>
    </w:p>
    <w:p w:rsidR="00041FBE" w:rsidRPr="0024019E" w:rsidRDefault="00041FBE" w:rsidP="00041FBE">
      <w:pPr>
        <w:rPr>
          <w:szCs w:val="22"/>
          <w:lang w:val="lt-LT" w:eastAsia="lt-LT" w:bidi="lt-LT"/>
        </w:rPr>
      </w:pPr>
      <w:r w:rsidRPr="0024019E">
        <w:rPr>
          <w:szCs w:val="22"/>
          <w:highlight w:val="lightGray"/>
          <w:lang w:val="lt-LT" w:eastAsia="lt-LT" w:bidi="lt-LT"/>
        </w:rPr>
        <w:t xml:space="preserve">NN: {numeris} </w:t>
      </w:r>
      <w:r w:rsidRPr="0024019E">
        <w:rPr>
          <w:color w:val="008000"/>
          <w:szCs w:val="22"/>
          <w:highlight w:val="lightGray"/>
          <w:lang w:val="lt-LT" w:eastAsia="lt-LT" w:bidi="lt-LT"/>
        </w:rPr>
        <w:t>[nacionalinis kompensacijos rūšies kodas arba kitas nacionalinis vaistinio preparato identifikacinis numeris]&gt;</w:t>
      </w: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  <w:r w:rsidRPr="0024019E">
        <w:rPr>
          <w:noProof/>
          <w:szCs w:val="22"/>
          <w:highlight w:val="lightGray"/>
          <w:shd w:val="clear" w:color="auto" w:fill="CCCCCC"/>
          <w:lang w:val="lt-LT" w:eastAsia="lt-LT" w:bidi="lt-LT"/>
        </w:rPr>
        <w:t>&lt;Duomenys nebūtini.&gt;</w:t>
      </w: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noProof/>
          <w:vanish/>
          <w:szCs w:val="22"/>
          <w:lang w:val="lt-LT" w:eastAsia="lt-LT" w:bidi="lt-LT"/>
        </w:rPr>
      </w:pPr>
    </w:p>
    <w:p w:rsidR="00041FBE" w:rsidRPr="0024019E" w:rsidRDefault="00041FBE" w:rsidP="00041FBE">
      <w:pPr>
        <w:rPr>
          <w:bCs/>
          <w:noProof/>
          <w:szCs w:val="22"/>
          <w:lang w:val="lt-LT"/>
        </w:rPr>
      </w:pPr>
    </w:p>
    <w:p w:rsidR="00041FBE" w:rsidRPr="0024019E" w:rsidRDefault="00041FBE" w:rsidP="00041FBE">
      <w:pPr>
        <w:rPr>
          <w:bCs/>
          <w:noProof/>
          <w:szCs w:val="22"/>
          <w:lang w:val="lt-LT"/>
        </w:rPr>
      </w:pPr>
      <w:r w:rsidRPr="0024019E">
        <w:rPr>
          <w:rFonts w:eastAsia="MS Mincho"/>
          <w:szCs w:val="22"/>
          <w:lang w:val="lt-LT"/>
        </w:rPr>
        <w:t xml:space="preserve">------------------------------------------------------------------------------------------------------------------------------- </w:t>
      </w:r>
      <w:bookmarkStart w:id="0" w:name="_Hlk492474603"/>
      <w:r w:rsidRPr="0024019E">
        <w:rPr>
          <w:rFonts w:eastAsia="Batang"/>
          <w:color w:val="000000"/>
          <w:szCs w:val="22"/>
          <w:lang w:val="lt-LT"/>
        </w:rPr>
        <w:t>Gamintojas:</w:t>
      </w:r>
      <w:r w:rsidRPr="0024019E">
        <w:rPr>
          <w:szCs w:val="22"/>
          <w:lang w:val="lt-LT"/>
        </w:rPr>
        <w:t xml:space="preserve"> </w:t>
      </w:r>
      <w:bookmarkEnd w:id="0"/>
      <w:r w:rsidRPr="0024019E">
        <w:rPr>
          <w:bCs/>
          <w:noProof/>
          <w:szCs w:val="22"/>
          <w:lang w:val="lt-LT"/>
        </w:rPr>
        <w:t xml:space="preserve"> </w:t>
      </w:r>
      <w:proofErr w:type="spellStart"/>
      <w:r w:rsidRPr="0024019E">
        <w:rPr>
          <w:szCs w:val="22"/>
          <w:lang w:val="lt-LT"/>
        </w:rPr>
        <w:t>Famar</w:t>
      </w:r>
      <w:proofErr w:type="spellEnd"/>
      <w:r w:rsidRPr="0024019E">
        <w:rPr>
          <w:szCs w:val="22"/>
          <w:lang w:val="lt-LT"/>
        </w:rPr>
        <w:t xml:space="preserve"> A.B.E. </w:t>
      </w:r>
      <w:proofErr w:type="spellStart"/>
      <w:r w:rsidRPr="0024019E">
        <w:rPr>
          <w:szCs w:val="22"/>
          <w:lang w:val="lt-LT"/>
        </w:rPr>
        <w:t>Factory</w:t>
      </w:r>
      <w:proofErr w:type="spellEnd"/>
      <w:r w:rsidRPr="0024019E">
        <w:rPr>
          <w:szCs w:val="22"/>
          <w:lang w:val="lt-LT"/>
        </w:rPr>
        <w:t xml:space="preserve">, B' </w:t>
      </w:r>
      <w:proofErr w:type="spellStart"/>
      <w:r w:rsidRPr="0024019E">
        <w:rPr>
          <w:szCs w:val="22"/>
          <w:lang w:val="lt-LT"/>
        </w:rPr>
        <w:t>Anthousis</w:t>
      </w:r>
      <w:proofErr w:type="spellEnd"/>
      <w:r w:rsidRPr="0024019E">
        <w:rPr>
          <w:szCs w:val="22"/>
          <w:lang w:val="lt-LT"/>
        </w:rPr>
        <w:t xml:space="preserve"> </w:t>
      </w:r>
      <w:proofErr w:type="spellStart"/>
      <w:r w:rsidRPr="0024019E">
        <w:rPr>
          <w:szCs w:val="22"/>
          <w:lang w:val="lt-LT"/>
        </w:rPr>
        <w:t>Avenue</w:t>
      </w:r>
      <w:proofErr w:type="spellEnd"/>
      <w:r w:rsidRPr="0024019E">
        <w:rPr>
          <w:szCs w:val="22"/>
          <w:lang w:val="lt-LT"/>
        </w:rPr>
        <w:t xml:space="preserve">, </w:t>
      </w:r>
      <w:proofErr w:type="spellStart"/>
      <w:r w:rsidRPr="0024019E">
        <w:rPr>
          <w:szCs w:val="22"/>
          <w:lang w:val="lt-LT"/>
        </w:rPr>
        <w:t>Pc</w:t>
      </w:r>
      <w:proofErr w:type="spellEnd"/>
      <w:r w:rsidRPr="0024019E">
        <w:rPr>
          <w:szCs w:val="22"/>
          <w:lang w:val="lt-LT"/>
        </w:rPr>
        <w:t xml:space="preserve"> 153 44 </w:t>
      </w:r>
      <w:proofErr w:type="spellStart"/>
      <w:r w:rsidRPr="0024019E">
        <w:rPr>
          <w:szCs w:val="22"/>
          <w:lang w:val="lt-LT"/>
        </w:rPr>
        <w:t>Anthousa</w:t>
      </w:r>
      <w:proofErr w:type="spellEnd"/>
      <w:r w:rsidRPr="0024019E">
        <w:rPr>
          <w:szCs w:val="22"/>
          <w:lang w:val="lt-LT"/>
        </w:rPr>
        <w:t xml:space="preserve">, </w:t>
      </w:r>
      <w:proofErr w:type="spellStart"/>
      <w:r w:rsidRPr="0024019E">
        <w:rPr>
          <w:szCs w:val="22"/>
          <w:lang w:val="lt-LT"/>
        </w:rPr>
        <w:t>Attica</w:t>
      </w:r>
      <w:proofErr w:type="spellEnd"/>
      <w:r w:rsidRPr="0024019E">
        <w:rPr>
          <w:szCs w:val="22"/>
          <w:lang w:val="lt-LT"/>
        </w:rPr>
        <w:t>, Graikija.</w:t>
      </w:r>
    </w:p>
    <w:p w:rsidR="00041FBE" w:rsidRPr="0024019E" w:rsidRDefault="00041FBE" w:rsidP="00041FBE">
      <w:pPr>
        <w:rPr>
          <w:bCs/>
          <w:noProof/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  <w:r w:rsidRPr="0024019E">
        <w:rPr>
          <w:szCs w:val="22"/>
          <w:lang w:val="lt-LT"/>
        </w:rPr>
        <w:t>Perpakavo BĮ UAB „</w:t>
      </w:r>
      <w:proofErr w:type="spellStart"/>
      <w:r w:rsidRPr="0024019E">
        <w:rPr>
          <w:szCs w:val="22"/>
          <w:lang w:val="lt-LT"/>
        </w:rPr>
        <w:t>Norfachema</w:t>
      </w:r>
      <w:proofErr w:type="spellEnd"/>
      <w:r w:rsidRPr="0024019E">
        <w:rPr>
          <w:szCs w:val="22"/>
          <w:lang w:val="lt-LT"/>
        </w:rPr>
        <w:t>“.</w:t>
      </w:r>
    </w:p>
    <w:p w:rsidR="00041FBE" w:rsidRPr="0024019E" w:rsidRDefault="00041FBE" w:rsidP="00041FBE">
      <w:pPr>
        <w:rPr>
          <w:szCs w:val="22"/>
          <w:lang w:val="lt-LT"/>
        </w:rPr>
      </w:pPr>
      <w:r w:rsidRPr="0024019E">
        <w:rPr>
          <w:szCs w:val="22"/>
          <w:highlight w:val="lightGray"/>
          <w:lang w:val="lt-LT"/>
        </w:rPr>
        <w:t>Perpakavo UAB „Entafarma“.</w:t>
      </w: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pStyle w:val="BTEMEASMCA"/>
        <w:spacing w:before="0"/>
      </w:pPr>
      <w:r w:rsidRPr="0024019E">
        <w:t>Perpak.serija:</w:t>
      </w:r>
    </w:p>
    <w:p w:rsidR="00041FBE" w:rsidRPr="0024019E" w:rsidRDefault="00041FBE" w:rsidP="00041FBE">
      <w:pPr>
        <w:rPr>
          <w:szCs w:val="22"/>
          <w:lang w:val="lt-LT"/>
        </w:rPr>
      </w:pPr>
      <w:r w:rsidRPr="0024019E">
        <w:rPr>
          <w:szCs w:val="22"/>
          <w:lang w:val="lt-LT"/>
        </w:rPr>
        <w:br w:type="page"/>
      </w: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jc w:val="center"/>
        <w:outlineLvl w:val="0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B. PAKUOTĖS LAPELIS</w:t>
      </w: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PAKUOTĖS LAPELIS: INFORMACIJA VARTOTOJUI</w:t>
      </w:r>
    </w:p>
    <w:p w:rsidR="00041FBE" w:rsidRPr="0024019E" w:rsidRDefault="00041FBE" w:rsidP="00041FBE">
      <w:pPr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24019E">
        <w:rPr>
          <w:b/>
          <w:bCs/>
          <w:noProof/>
          <w:szCs w:val="22"/>
          <w:lang w:val="lt-LT"/>
        </w:rPr>
        <w:t>Vermox 100 mg tabletės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jc w:val="center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Mebendazolas</w:t>
      </w:r>
    </w:p>
    <w:p w:rsidR="00041FBE" w:rsidRPr="0024019E" w:rsidRDefault="00041FBE" w:rsidP="00041FBE">
      <w:pPr>
        <w:spacing w:line="240" w:lineRule="auto"/>
        <w:jc w:val="center"/>
        <w:rPr>
          <w:noProof/>
          <w:szCs w:val="22"/>
          <w:lang w:val="lt-LT"/>
        </w:rPr>
      </w:pPr>
    </w:p>
    <w:p w:rsidR="00041FBE" w:rsidRPr="001B392D" w:rsidRDefault="00041FBE" w:rsidP="00041FBE">
      <w:pPr>
        <w:pStyle w:val="BTbEMEASMCA"/>
        <w:rPr>
          <w:noProof w:val="0"/>
        </w:rPr>
      </w:pPr>
      <w:r w:rsidRPr="001B392D">
        <w:rPr>
          <w:noProof w:val="0"/>
        </w:rPr>
        <w:lastRenderedPageBreak/>
        <w:t>Atidžiai perskaitykite visą šį lapelį, prieš pradėdami vartoti vaistą</w:t>
      </w:r>
      <w:r>
        <w:rPr>
          <w:noProof w:val="0"/>
        </w:rPr>
        <w:t xml:space="preserve">, </w:t>
      </w:r>
      <w:r w:rsidRPr="005E4E6B">
        <w:rPr>
          <w:noProof w:val="0"/>
        </w:rPr>
        <w:t>nes jame pateikiama Jums svarbi informacija</w:t>
      </w:r>
      <w:r w:rsidRPr="001B392D">
        <w:rPr>
          <w:noProof w:val="0"/>
        </w:rPr>
        <w:t>.</w:t>
      </w:r>
    </w:p>
    <w:p w:rsidR="00041FBE" w:rsidRPr="001B392D" w:rsidRDefault="00041FBE" w:rsidP="00041FBE">
      <w:pPr>
        <w:pStyle w:val="BT-EMEASMCA"/>
        <w:tabs>
          <w:tab w:val="clear" w:pos="360"/>
        </w:tabs>
        <w:rPr>
          <w:noProof w:val="0"/>
        </w:rPr>
      </w:pPr>
      <w:r w:rsidRPr="001B392D">
        <w:rPr>
          <w:noProof w:val="0"/>
        </w:rPr>
        <w:t>Neišmeskite šio lapelio, nes vėl gali prireikti jį perskaityti.</w:t>
      </w:r>
    </w:p>
    <w:p w:rsidR="00041FBE" w:rsidRPr="001B392D" w:rsidRDefault="00041FBE" w:rsidP="00041FBE">
      <w:pPr>
        <w:pStyle w:val="BT-EMEASMCA"/>
        <w:tabs>
          <w:tab w:val="clear" w:pos="360"/>
        </w:tabs>
        <w:rPr>
          <w:noProof w:val="0"/>
        </w:rPr>
      </w:pPr>
      <w:r w:rsidRPr="001B392D">
        <w:rPr>
          <w:noProof w:val="0"/>
        </w:rPr>
        <w:t>Jeigu kiltų daugiau klausimų, kreipkitės į gydytoją arba vaistininką.</w:t>
      </w:r>
    </w:p>
    <w:p w:rsidR="00041FBE" w:rsidRPr="001B392D" w:rsidRDefault="00041FBE" w:rsidP="00041FBE">
      <w:pPr>
        <w:pStyle w:val="BT-EMEASMCA"/>
        <w:tabs>
          <w:tab w:val="clear" w:pos="360"/>
        </w:tabs>
        <w:rPr>
          <w:noProof w:val="0"/>
        </w:rPr>
      </w:pPr>
      <w:r w:rsidRPr="001B392D">
        <w:rPr>
          <w:noProof w:val="0"/>
        </w:rPr>
        <w:t>Šis vaistas skirtas</w:t>
      </w:r>
      <w:r>
        <w:rPr>
          <w:noProof w:val="0"/>
        </w:rPr>
        <w:t xml:space="preserve"> tik</w:t>
      </w:r>
      <w:r w:rsidRPr="001B392D">
        <w:rPr>
          <w:noProof w:val="0"/>
        </w:rPr>
        <w:t xml:space="preserve"> Jums, todėl kitiems žmonėms jo duoti negalima. Vaistas gali jiems pakenkti (net tiems, kurių ligos </w:t>
      </w:r>
      <w:r>
        <w:rPr>
          <w:noProof w:val="0"/>
        </w:rPr>
        <w:t>požymiai</w:t>
      </w:r>
      <w:r w:rsidRPr="001B392D">
        <w:rPr>
          <w:noProof w:val="0"/>
        </w:rPr>
        <w:t xml:space="preserve"> yra tokie patys kaip Jūsų).</w:t>
      </w:r>
    </w:p>
    <w:p w:rsidR="00041FBE" w:rsidRPr="00970E08" w:rsidRDefault="00041FBE" w:rsidP="00041FBE">
      <w:pPr>
        <w:pStyle w:val="BT-EMEASMCA"/>
        <w:tabs>
          <w:tab w:val="clear" w:pos="360"/>
        </w:tabs>
        <w:rPr>
          <w:noProof w:val="0"/>
        </w:rPr>
      </w:pPr>
      <w:r w:rsidRPr="001B392D">
        <w:rPr>
          <w:noProof w:val="0"/>
        </w:rPr>
        <w:t xml:space="preserve">Jeigu pasireiškė šalutinis poveikis </w:t>
      </w:r>
      <w:r w:rsidRPr="00153901">
        <w:t xml:space="preserve">(net jeigu jis šiame lapelyje nenurodytas), </w:t>
      </w:r>
      <w:r>
        <w:t xml:space="preserve">krepkitės į gydytoją arba </w:t>
      </w:r>
      <w:r w:rsidRPr="00970E08">
        <w:t>vaistininką. Žr. 4 skyrių.</w:t>
      </w:r>
      <w:r>
        <w:t xml:space="preserve"> 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Apie ką rašoma šiame lapelyje?</w:t>
      </w: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1.</w:t>
      </w:r>
      <w:r w:rsidRPr="0024019E">
        <w:rPr>
          <w:noProof/>
          <w:szCs w:val="22"/>
          <w:lang w:val="lt-LT"/>
        </w:rPr>
        <w:tab/>
        <w:t>Kas yra Vermox ir kam jis vartojamas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2.</w:t>
      </w:r>
      <w:r w:rsidRPr="0024019E">
        <w:rPr>
          <w:noProof/>
          <w:szCs w:val="22"/>
          <w:lang w:val="lt-LT"/>
        </w:rPr>
        <w:tab/>
        <w:t>Kas žinotina prieš vartojant Vermox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3.</w:t>
      </w:r>
      <w:r w:rsidRPr="0024019E">
        <w:rPr>
          <w:noProof/>
          <w:szCs w:val="22"/>
          <w:lang w:val="lt-LT"/>
        </w:rPr>
        <w:tab/>
        <w:t>Kaip vartoti Vermox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4.</w:t>
      </w:r>
      <w:r w:rsidRPr="0024019E">
        <w:rPr>
          <w:noProof/>
          <w:szCs w:val="22"/>
          <w:lang w:val="lt-LT"/>
        </w:rPr>
        <w:tab/>
        <w:t>Galimas šalutinis poveikis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5.</w:t>
      </w:r>
      <w:r w:rsidRPr="0024019E">
        <w:rPr>
          <w:noProof/>
          <w:szCs w:val="22"/>
          <w:lang w:val="lt-LT"/>
        </w:rPr>
        <w:tab/>
        <w:t>Kaip laikyti Vermox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6.</w:t>
      </w:r>
      <w:r w:rsidRPr="0024019E">
        <w:rPr>
          <w:noProof/>
          <w:szCs w:val="22"/>
          <w:lang w:val="lt-LT"/>
        </w:rPr>
        <w:tab/>
        <w:t>Pakuotės turinys ir kita informacija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1.</w:t>
      </w:r>
      <w:r w:rsidRPr="0024019E">
        <w:rPr>
          <w:b/>
          <w:noProof/>
          <w:szCs w:val="22"/>
          <w:lang w:val="lt-LT"/>
        </w:rPr>
        <w:tab/>
        <w:t>KAS YRA VERMOX IR KAM JIS VARTOJAMAS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szCs w:val="22"/>
          <w:lang w:val="lt-LT"/>
        </w:rPr>
      </w:pP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 yra parazitines kirmėles veikiantis vaistas. Juo gydomos kirmėlinės ligos, sukeltos šių kirmėlių rūšių:</w:t>
      </w:r>
    </w:p>
    <w:p w:rsidR="00041FBE" w:rsidRPr="0024019E" w:rsidRDefault="00041FBE" w:rsidP="00041FBE">
      <w:pPr>
        <w:numPr>
          <w:ilvl w:val="0"/>
          <w:numId w:val="2"/>
        </w:numPr>
        <w:spacing w:line="240" w:lineRule="auto"/>
        <w:rPr>
          <w:i/>
          <w:szCs w:val="22"/>
          <w:lang w:val="lt-LT"/>
        </w:rPr>
      </w:pPr>
      <w:r w:rsidRPr="0024019E">
        <w:rPr>
          <w:szCs w:val="22"/>
          <w:lang w:val="lt-LT"/>
        </w:rPr>
        <w:t>spalinių (</w:t>
      </w:r>
      <w:proofErr w:type="spellStart"/>
      <w:r w:rsidRPr="0024019E">
        <w:rPr>
          <w:i/>
          <w:szCs w:val="22"/>
          <w:lang w:val="lt-LT"/>
        </w:rPr>
        <w:t>Enterobius</w:t>
      </w:r>
      <w:proofErr w:type="spellEnd"/>
      <w:r w:rsidRPr="0024019E">
        <w:rPr>
          <w:i/>
          <w:szCs w:val="22"/>
          <w:lang w:val="lt-LT"/>
        </w:rPr>
        <w:t xml:space="preserve"> </w:t>
      </w:r>
      <w:proofErr w:type="spellStart"/>
      <w:r w:rsidRPr="0024019E">
        <w:rPr>
          <w:i/>
          <w:szCs w:val="22"/>
          <w:lang w:val="lt-LT"/>
        </w:rPr>
        <w:t>vermicularis</w:t>
      </w:r>
      <w:proofErr w:type="spellEnd"/>
      <w:r w:rsidRPr="0024019E">
        <w:rPr>
          <w:i/>
          <w:szCs w:val="22"/>
          <w:lang w:val="lt-LT"/>
        </w:rPr>
        <w:t>);</w:t>
      </w:r>
    </w:p>
    <w:p w:rsidR="00041FBE" w:rsidRPr="0024019E" w:rsidRDefault="00041FBE" w:rsidP="00041FBE">
      <w:pPr>
        <w:numPr>
          <w:ilvl w:val="0"/>
          <w:numId w:val="2"/>
        </w:numPr>
        <w:spacing w:line="240" w:lineRule="auto"/>
        <w:rPr>
          <w:i/>
          <w:szCs w:val="22"/>
          <w:lang w:val="lt-LT"/>
        </w:rPr>
      </w:pPr>
      <w:proofErr w:type="spellStart"/>
      <w:r w:rsidRPr="0024019E">
        <w:rPr>
          <w:szCs w:val="22"/>
          <w:lang w:val="lt-LT"/>
        </w:rPr>
        <w:t>plaukagalvių</w:t>
      </w:r>
      <w:proofErr w:type="spellEnd"/>
      <w:r w:rsidRPr="0024019E">
        <w:rPr>
          <w:szCs w:val="22"/>
          <w:lang w:val="lt-LT"/>
        </w:rPr>
        <w:t xml:space="preserve"> (</w:t>
      </w:r>
      <w:proofErr w:type="spellStart"/>
      <w:r w:rsidRPr="0024019E">
        <w:rPr>
          <w:i/>
          <w:szCs w:val="22"/>
          <w:lang w:val="lt-LT"/>
        </w:rPr>
        <w:t>Trichuris</w:t>
      </w:r>
      <w:proofErr w:type="spellEnd"/>
      <w:r w:rsidRPr="0024019E">
        <w:rPr>
          <w:i/>
          <w:szCs w:val="22"/>
          <w:lang w:val="lt-LT"/>
        </w:rPr>
        <w:t xml:space="preserve"> </w:t>
      </w:r>
      <w:proofErr w:type="spellStart"/>
      <w:r w:rsidRPr="0024019E">
        <w:rPr>
          <w:i/>
          <w:szCs w:val="22"/>
          <w:lang w:val="lt-LT"/>
        </w:rPr>
        <w:t>trichiura</w:t>
      </w:r>
      <w:proofErr w:type="spellEnd"/>
      <w:r w:rsidRPr="0024019E">
        <w:rPr>
          <w:i/>
          <w:szCs w:val="22"/>
          <w:lang w:val="lt-LT"/>
        </w:rPr>
        <w:t>);</w:t>
      </w:r>
    </w:p>
    <w:p w:rsidR="00041FBE" w:rsidRPr="0024019E" w:rsidRDefault="00041FBE" w:rsidP="00041FBE">
      <w:pPr>
        <w:numPr>
          <w:ilvl w:val="0"/>
          <w:numId w:val="2"/>
        </w:numPr>
        <w:spacing w:line="240" w:lineRule="auto"/>
        <w:rPr>
          <w:i/>
          <w:szCs w:val="22"/>
          <w:lang w:val="lt-LT"/>
        </w:rPr>
      </w:pPr>
      <w:r w:rsidRPr="0024019E">
        <w:rPr>
          <w:szCs w:val="22"/>
          <w:lang w:val="lt-LT" w:eastAsia="lt-LT"/>
        </w:rPr>
        <w:t xml:space="preserve">spiralinės </w:t>
      </w:r>
      <w:proofErr w:type="spellStart"/>
      <w:r w:rsidRPr="0024019E">
        <w:rPr>
          <w:szCs w:val="22"/>
          <w:lang w:val="lt-LT" w:eastAsia="lt-LT"/>
        </w:rPr>
        <w:t>trichinos</w:t>
      </w:r>
      <w:proofErr w:type="spellEnd"/>
      <w:r w:rsidRPr="0024019E">
        <w:rPr>
          <w:szCs w:val="22"/>
          <w:lang w:val="lt-LT" w:eastAsia="lt-LT"/>
        </w:rPr>
        <w:t xml:space="preserve"> (</w:t>
      </w:r>
      <w:proofErr w:type="spellStart"/>
      <w:r w:rsidRPr="0024019E">
        <w:rPr>
          <w:i/>
          <w:szCs w:val="22"/>
          <w:lang w:val="lt-LT" w:eastAsia="lt-LT"/>
        </w:rPr>
        <w:t>Trichinella</w:t>
      </w:r>
      <w:proofErr w:type="spellEnd"/>
      <w:r w:rsidRPr="0024019E">
        <w:rPr>
          <w:i/>
          <w:szCs w:val="22"/>
          <w:lang w:val="lt-LT" w:eastAsia="lt-LT"/>
        </w:rPr>
        <w:t xml:space="preserve"> </w:t>
      </w:r>
      <w:proofErr w:type="spellStart"/>
      <w:r w:rsidRPr="0024019E">
        <w:rPr>
          <w:i/>
          <w:szCs w:val="22"/>
          <w:lang w:val="lt-LT" w:eastAsia="lt-LT"/>
        </w:rPr>
        <w:t>spiralis</w:t>
      </w:r>
      <w:proofErr w:type="spellEnd"/>
      <w:r w:rsidRPr="0024019E">
        <w:rPr>
          <w:szCs w:val="22"/>
          <w:lang w:val="lt-LT" w:eastAsia="lt-LT"/>
        </w:rPr>
        <w:t>,</w:t>
      </w:r>
      <w:r w:rsidRPr="0024019E">
        <w:rPr>
          <w:i/>
          <w:szCs w:val="22"/>
          <w:lang w:val="lt-LT" w:eastAsia="lt-LT"/>
        </w:rPr>
        <w:t xml:space="preserve"> </w:t>
      </w:r>
      <w:proofErr w:type="spellStart"/>
      <w:r w:rsidRPr="0024019E">
        <w:rPr>
          <w:i/>
          <w:szCs w:val="22"/>
          <w:lang w:val="lt-LT" w:eastAsia="lt-LT"/>
        </w:rPr>
        <w:t>Trichuris</w:t>
      </w:r>
      <w:proofErr w:type="spellEnd"/>
      <w:r w:rsidRPr="0024019E">
        <w:rPr>
          <w:i/>
          <w:szCs w:val="22"/>
          <w:lang w:val="lt-LT" w:eastAsia="lt-LT"/>
        </w:rPr>
        <w:t xml:space="preserve"> </w:t>
      </w:r>
      <w:proofErr w:type="spellStart"/>
      <w:r w:rsidRPr="0024019E">
        <w:rPr>
          <w:i/>
          <w:szCs w:val="22"/>
          <w:lang w:val="lt-LT" w:eastAsia="lt-LT"/>
        </w:rPr>
        <w:t>spiralis</w:t>
      </w:r>
      <w:proofErr w:type="spellEnd"/>
      <w:r w:rsidRPr="0024019E">
        <w:rPr>
          <w:szCs w:val="22"/>
          <w:lang w:val="lt-LT" w:eastAsia="lt-LT"/>
        </w:rPr>
        <w:t>)</w:t>
      </w:r>
      <w:r>
        <w:rPr>
          <w:szCs w:val="22"/>
          <w:lang w:val="lt-LT" w:eastAsia="lt-LT"/>
        </w:rPr>
        <w:t>;</w:t>
      </w:r>
    </w:p>
    <w:p w:rsidR="00041FBE" w:rsidRPr="0024019E" w:rsidRDefault="00041FBE" w:rsidP="00041FBE">
      <w:pPr>
        <w:numPr>
          <w:ilvl w:val="0"/>
          <w:numId w:val="2"/>
        </w:numPr>
        <w:jc w:val="both"/>
        <w:rPr>
          <w:szCs w:val="22"/>
          <w:lang w:val="lt-LT" w:eastAsia="lt-LT"/>
        </w:rPr>
      </w:pPr>
      <w:proofErr w:type="spellStart"/>
      <w:r w:rsidRPr="0024019E">
        <w:rPr>
          <w:szCs w:val="22"/>
          <w:lang w:val="lt-LT" w:eastAsia="lt-LT"/>
        </w:rPr>
        <w:t>strongilų</w:t>
      </w:r>
      <w:proofErr w:type="spellEnd"/>
      <w:r w:rsidRPr="0024019E">
        <w:rPr>
          <w:i/>
          <w:szCs w:val="22"/>
          <w:lang w:val="lt-LT" w:eastAsia="lt-LT"/>
        </w:rPr>
        <w:t xml:space="preserve"> </w:t>
      </w:r>
      <w:r w:rsidRPr="0024019E">
        <w:rPr>
          <w:szCs w:val="22"/>
          <w:lang w:val="lt-LT" w:eastAsia="lt-LT"/>
        </w:rPr>
        <w:t>(</w:t>
      </w:r>
      <w:proofErr w:type="spellStart"/>
      <w:r w:rsidRPr="0024019E">
        <w:rPr>
          <w:i/>
          <w:szCs w:val="22"/>
          <w:lang w:val="lt-LT" w:eastAsia="lt-LT"/>
        </w:rPr>
        <w:t>Trichostrongylus</w:t>
      </w:r>
      <w:proofErr w:type="spellEnd"/>
      <w:r w:rsidRPr="0024019E">
        <w:rPr>
          <w:szCs w:val="22"/>
          <w:lang w:val="lt-LT" w:eastAsia="lt-LT"/>
        </w:rPr>
        <w:t xml:space="preserve">); </w:t>
      </w:r>
    </w:p>
    <w:p w:rsidR="00041FBE" w:rsidRPr="0024019E" w:rsidRDefault="00041FBE" w:rsidP="00041FBE">
      <w:pPr>
        <w:numPr>
          <w:ilvl w:val="0"/>
          <w:numId w:val="2"/>
        </w:numPr>
        <w:spacing w:line="240" w:lineRule="auto"/>
        <w:rPr>
          <w:i/>
          <w:szCs w:val="22"/>
          <w:lang w:val="lt-LT"/>
        </w:rPr>
      </w:pPr>
      <w:proofErr w:type="spellStart"/>
      <w:r w:rsidRPr="0024019E">
        <w:rPr>
          <w:szCs w:val="22"/>
          <w:lang w:val="lt-LT"/>
        </w:rPr>
        <w:t>askaridžių</w:t>
      </w:r>
      <w:proofErr w:type="spellEnd"/>
      <w:r w:rsidRPr="0024019E">
        <w:rPr>
          <w:szCs w:val="22"/>
          <w:lang w:val="lt-LT"/>
        </w:rPr>
        <w:t xml:space="preserve"> (</w:t>
      </w:r>
      <w:proofErr w:type="spellStart"/>
      <w:r w:rsidRPr="0024019E">
        <w:rPr>
          <w:i/>
          <w:szCs w:val="22"/>
          <w:lang w:val="lt-LT"/>
        </w:rPr>
        <w:t>Ascaris</w:t>
      </w:r>
      <w:proofErr w:type="spellEnd"/>
      <w:r w:rsidRPr="0024019E">
        <w:rPr>
          <w:i/>
          <w:szCs w:val="22"/>
          <w:lang w:val="lt-LT"/>
        </w:rPr>
        <w:t xml:space="preserve"> </w:t>
      </w:r>
      <w:proofErr w:type="spellStart"/>
      <w:r w:rsidRPr="0024019E">
        <w:rPr>
          <w:i/>
          <w:szCs w:val="22"/>
          <w:lang w:val="lt-LT"/>
        </w:rPr>
        <w:t>lumbricoides</w:t>
      </w:r>
      <w:proofErr w:type="spellEnd"/>
      <w:r w:rsidRPr="0024019E">
        <w:rPr>
          <w:i/>
          <w:szCs w:val="22"/>
          <w:lang w:val="lt-LT"/>
        </w:rPr>
        <w:t>);</w:t>
      </w:r>
    </w:p>
    <w:p w:rsidR="00041FBE" w:rsidRPr="0024019E" w:rsidRDefault="00041FBE" w:rsidP="00041FBE">
      <w:pPr>
        <w:numPr>
          <w:ilvl w:val="0"/>
          <w:numId w:val="2"/>
        </w:numPr>
        <w:spacing w:line="240" w:lineRule="auto"/>
        <w:rPr>
          <w:noProof/>
          <w:szCs w:val="22"/>
          <w:lang w:val="lt-LT"/>
        </w:rPr>
      </w:pPr>
      <w:r w:rsidRPr="0024019E">
        <w:rPr>
          <w:szCs w:val="22"/>
          <w:lang w:val="lt-LT"/>
        </w:rPr>
        <w:t xml:space="preserve">dvylikapirštės žarnos </w:t>
      </w:r>
      <w:proofErr w:type="spellStart"/>
      <w:r w:rsidRPr="0024019E">
        <w:rPr>
          <w:szCs w:val="22"/>
          <w:lang w:val="lt-LT"/>
        </w:rPr>
        <w:t>kreivagalvių</w:t>
      </w:r>
      <w:proofErr w:type="spellEnd"/>
      <w:r w:rsidRPr="0024019E">
        <w:rPr>
          <w:szCs w:val="22"/>
          <w:lang w:val="lt-LT"/>
        </w:rPr>
        <w:t xml:space="preserve"> arba amerikinių </w:t>
      </w:r>
      <w:proofErr w:type="spellStart"/>
      <w:r w:rsidRPr="0024019E">
        <w:rPr>
          <w:szCs w:val="22"/>
          <w:lang w:val="lt-LT"/>
        </w:rPr>
        <w:t>nekatorių</w:t>
      </w:r>
      <w:proofErr w:type="spellEnd"/>
      <w:r w:rsidRPr="0024019E">
        <w:rPr>
          <w:szCs w:val="22"/>
          <w:lang w:val="lt-LT"/>
        </w:rPr>
        <w:t xml:space="preserve"> (</w:t>
      </w:r>
      <w:proofErr w:type="spellStart"/>
      <w:r w:rsidRPr="0024019E">
        <w:rPr>
          <w:i/>
          <w:szCs w:val="22"/>
          <w:lang w:val="lt-LT"/>
        </w:rPr>
        <w:t>Ancylostoma</w:t>
      </w:r>
      <w:proofErr w:type="spellEnd"/>
      <w:r w:rsidRPr="0024019E">
        <w:rPr>
          <w:i/>
          <w:szCs w:val="22"/>
          <w:lang w:val="lt-LT"/>
        </w:rPr>
        <w:t xml:space="preserve"> </w:t>
      </w:r>
      <w:proofErr w:type="spellStart"/>
      <w:r w:rsidRPr="0024019E">
        <w:rPr>
          <w:i/>
          <w:szCs w:val="22"/>
          <w:lang w:val="lt-LT"/>
        </w:rPr>
        <w:t>duodenale</w:t>
      </w:r>
      <w:proofErr w:type="spellEnd"/>
      <w:r>
        <w:rPr>
          <w:i/>
          <w:szCs w:val="22"/>
          <w:lang w:val="lt-LT"/>
        </w:rPr>
        <w:t>,</w:t>
      </w:r>
      <w:r w:rsidRPr="0024019E">
        <w:rPr>
          <w:i/>
          <w:szCs w:val="22"/>
          <w:lang w:val="lt-LT"/>
        </w:rPr>
        <w:t xml:space="preserve"> </w:t>
      </w:r>
      <w:proofErr w:type="spellStart"/>
      <w:r w:rsidRPr="0024019E">
        <w:rPr>
          <w:i/>
          <w:szCs w:val="22"/>
          <w:lang w:val="lt-LT"/>
        </w:rPr>
        <w:t>Necator</w:t>
      </w:r>
      <w:proofErr w:type="spellEnd"/>
      <w:r w:rsidRPr="0024019E">
        <w:rPr>
          <w:i/>
          <w:szCs w:val="22"/>
          <w:lang w:val="lt-LT"/>
        </w:rPr>
        <w:t xml:space="preserve"> </w:t>
      </w:r>
      <w:proofErr w:type="spellStart"/>
      <w:r w:rsidRPr="0024019E">
        <w:rPr>
          <w:i/>
          <w:szCs w:val="22"/>
          <w:lang w:val="lt-LT"/>
        </w:rPr>
        <w:t>americanus</w:t>
      </w:r>
      <w:proofErr w:type="spellEnd"/>
      <w:r w:rsidRPr="0024019E">
        <w:rPr>
          <w:szCs w:val="22"/>
          <w:lang w:val="lt-LT"/>
        </w:rPr>
        <w:t>).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2.</w:t>
      </w:r>
      <w:r w:rsidRPr="0024019E">
        <w:rPr>
          <w:b/>
          <w:noProof/>
          <w:szCs w:val="22"/>
          <w:lang w:val="lt-LT"/>
        </w:rPr>
        <w:tab/>
        <w:t>KAS ŽINOTINA PRIEŠ VARTOJANT VERMOX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b/>
          <w:caps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Vermox</w:t>
      </w:r>
      <w:r w:rsidRPr="0024019E">
        <w:rPr>
          <w:b/>
          <w:bCs/>
          <w:noProof/>
          <w:szCs w:val="22"/>
          <w:lang w:val="lt-LT"/>
        </w:rPr>
        <w:t xml:space="preserve"> vartoti negalima:</w:t>
      </w:r>
    </w:p>
    <w:p w:rsidR="00041FBE" w:rsidRPr="0024019E" w:rsidRDefault="00041FBE" w:rsidP="00041FBE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jeigu yra alergija mebendazolui arba bet kuriai pagalbinei šio vaisto medžiagai (jos išvardytos 6 skyriuje);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b/>
          <w:bCs/>
          <w:noProof/>
          <w:szCs w:val="22"/>
          <w:lang w:val="lt-LT"/>
        </w:rPr>
      </w:pPr>
      <w:r w:rsidRPr="0024019E">
        <w:rPr>
          <w:b/>
          <w:bCs/>
          <w:noProof/>
          <w:szCs w:val="22"/>
          <w:lang w:val="lt-LT"/>
        </w:rPr>
        <w:t xml:space="preserve">Įspėjimai ir atsargumo priemonės </w:t>
      </w:r>
    </w:p>
    <w:p w:rsidR="00041FBE" w:rsidRPr="0024019E" w:rsidRDefault="00041FBE" w:rsidP="00041FBE">
      <w:pPr>
        <w:ind w:left="567" w:hanging="567"/>
        <w:rPr>
          <w:b/>
          <w:bCs/>
          <w:noProof/>
          <w:szCs w:val="22"/>
          <w:lang w:val="lt-LT"/>
        </w:rPr>
      </w:pPr>
      <w:r w:rsidRPr="0024019E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>.</w:t>
      </w:r>
    </w:p>
    <w:p w:rsidR="00041FBE" w:rsidRPr="0024019E" w:rsidRDefault="00041FBE" w:rsidP="00041FBE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-</w:t>
      </w:r>
      <w:r w:rsidRPr="0024019E">
        <w:rPr>
          <w:noProof/>
          <w:szCs w:val="22"/>
          <w:lang w:val="lt-LT"/>
        </w:rPr>
        <w:tab/>
      </w:r>
      <w:r w:rsidRPr="0024019E">
        <w:rPr>
          <w:szCs w:val="22"/>
          <w:lang w:val="lt-LT"/>
        </w:rPr>
        <w:t xml:space="preserve">jaunesnius nei </w:t>
      </w:r>
      <w:r>
        <w:rPr>
          <w:szCs w:val="22"/>
          <w:lang w:val="lt-LT"/>
        </w:rPr>
        <w:t>2</w:t>
      </w:r>
      <w:r w:rsidRPr="0024019E">
        <w:rPr>
          <w:szCs w:val="22"/>
          <w:lang w:val="lt-LT"/>
        </w:rPr>
        <w:t xml:space="preserve"> metų vaikus gydyti </w:t>
      </w: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 galima tik</w:t>
      </w:r>
      <w:r>
        <w:rPr>
          <w:szCs w:val="22"/>
          <w:lang w:val="lt-LT"/>
        </w:rPr>
        <w:t xml:space="preserve"> </w:t>
      </w:r>
      <w:r w:rsidRPr="0024019E">
        <w:rPr>
          <w:szCs w:val="22"/>
          <w:lang w:val="lt-LT"/>
        </w:rPr>
        <w:t>gydytojo leidimu.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Kiti vaistai ir Vermox</w:t>
      </w:r>
    </w:p>
    <w:p w:rsidR="00041FBE" w:rsidRPr="0081792E" w:rsidRDefault="00041FBE" w:rsidP="00041FBE">
      <w:pPr>
        <w:pStyle w:val="Pagrindinistekstas"/>
        <w:rPr>
          <w:i w:val="0"/>
          <w:color w:val="000000"/>
          <w:szCs w:val="22"/>
          <w:lang w:val="lt-LT"/>
        </w:rPr>
      </w:pPr>
      <w:r w:rsidRPr="0081792E">
        <w:rPr>
          <w:i w:val="0"/>
          <w:color w:val="000000"/>
          <w:szCs w:val="22"/>
          <w:lang w:val="lt-LT"/>
        </w:rPr>
        <w:t xml:space="preserve">Jeigu vartojate ar neseniai vartojote kitų vaistų arba dėl to nesate tikri, apie tai pasakykite gydytojui arba vaistininkui. </w:t>
      </w: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</w:p>
    <w:p w:rsidR="00041FBE" w:rsidRPr="00F5692D" w:rsidRDefault="00041FBE" w:rsidP="00041FBE">
      <w:pPr>
        <w:rPr>
          <w:noProof/>
          <w:szCs w:val="22"/>
          <w:lang w:val="lt-LT"/>
        </w:rPr>
      </w:pPr>
      <w:r w:rsidRPr="00F5692D">
        <w:rPr>
          <w:szCs w:val="22"/>
          <w:lang w:val="lt-LT"/>
        </w:rPr>
        <w:t xml:space="preserve">Jeigu vartojate </w:t>
      </w:r>
      <w:proofErr w:type="spellStart"/>
      <w:r w:rsidRPr="00F5692D">
        <w:rPr>
          <w:szCs w:val="22"/>
          <w:lang w:val="lt-LT"/>
        </w:rPr>
        <w:t>cimetidino</w:t>
      </w:r>
      <w:proofErr w:type="spellEnd"/>
      <w:r w:rsidRPr="00F5692D">
        <w:rPr>
          <w:szCs w:val="22"/>
          <w:lang w:val="lt-LT"/>
        </w:rPr>
        <w:t xml:space="preserve"> (skrandžio rūgšties kiekį mažinančio </w:t>
      </w:r>
      <w:r>
        <w:rPr>
          <w:szCs w:val="22"/>
          <w:lang w:val="lt-LT"/>
        </w:rPr>
        <w:t>vaisto</w:t>
      </w:r>
      <w:r w:rsidRPr="00F5692D">
        <w:rPr>
          <w:szCs w:val="22"/>
          <w:lang w:val="lt-LT"/>
        </w:rPr>
        <w:t xml:space="preserve">), informuokite apie tai gydytoją, kadangi gali tekti keisti </w:t>
      </w:r>
      <w:proofErr w:type="spellStart"/>
      <w:r w:rsidRPr="00F5692D">
        <w:rPr>
          <w:szCs w:val="22"/>
          <w:lang w:val="lt-LT"/>
        </w:rPr>
        <w:t>Vermox</w:t>
      </w:r>
      <w:proofErr w:type="spellEnd"/>
      <w:r w:rsidRPr="00F5692D">
        <w:rPr>
          <w:szCs w:val="22"/>
          <w:lang w:val="lt-LT"/>
        </w:rPr>
        <w:t xml:space="preserve"> dozę.</w:t>
      </w:r>
    </w:p>
    <w:p w:rsidR="00041FBE" w:rsidRPr="0024019E" w:rsidRDefault="00041FBE" w:rsidP="00041FBE">
      <w:pPr>
        <w:rPr>
          <w:noProof/>
          <w:szCs w:val="22"/>
          <w:lang w:val="lt-LT"/>
        </w:rPr>
      </w:pPr>
    </w:p>
    <w:p w:rsidR="00041FBE" w:rsidRPr="0024019E" w:rsidRDefault="00041FBE" w:rsidP="00041FBE">
      <w:pPr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Negalima vienu metu vartoti Vermox (mebendazolas) ir metronidazolo (vaisto bakterinėms ir pirmuonių sukeltoms ligomis gydyti).</w:t>
      </w:r>
    </w:p>
    <w:p w:rsidR="00041FBE" w:rsidRPr="0024019E" w:rsidRDefault="00041FBE" w:rsidP="00041FBE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keepNext/>
        <w:numPr>
          <w:ilvl w:val="12"/>
          <w:numId w:val="0"/>
        </w:numPr>
        <w:tabs>
          <w:tab w:val="left" w:pos="1290"/>
        </w:tabs>
        <w:spacing w:line="240" w:lineRule="auto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lastRenderedPageBreak/>
        <w:t>Vermox vartojimas su maistu ir gėrimais</w:t>
      </w:r>
    </w:p>
    <w:p w:rsidR="00041FBE" w:rsidRPr="0024019E" w:rsidRDefault="00041FBE" w:rsidP="00041FBE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 galima gerti ir ne valgio metu. Juo gydantis laikytis specialios dietos arba vartoti vidurius laisvinančių vaistų nereikia.</w:t>
      </w:r>
    </w:p>
    <w:p w:rsidR="00041FBE" w:rsidRPr="0024019E" w:rsidRDefault="00041FBE" w:rsidP="00041FBE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Nėštumas ir žindymo laikotarpis</w:t>
      </w:r>
    </w:p>
    <w:p w:rsidR="00041FBE" w:rsidRPr="0024019E" w:rsidRDefault="00041FBE" w:rsidP="00041FBE">
      <w:pPr>
        <w:numPr>
          <w:ilvl w:val="12"/>
          <w:numId w:val="0"/>
        </w:numPr>
        <w:rPr>
          <w:szCs w:val="22"/>
          <w:lang w:val="lt-LT"/>
        </w:rPr>
      </w:pPr>
      <w:r w:rsidRPr="0024019E">
        <w:rPr>
          <w:szCs w:val="22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:rsidR="00041FBE" w:rsidRPr="00F5692D" w:rsidRDefault="00041FBE" w:rsidP="00041FBE">
      <w:pPr>
        <w:numPr>
          <w:ilvl w:val="12"/>
          <w:numId w:val="0"/>
        </w:numPr>
        <w:rPr>
          <w:szCs w:val="22"/>
          <w:lang w:val="lt-LT"/>
        </w:rPr>
      </w:pPr>
      <w:r w:rsidRPr="00F5692D">
        <w:rPr>
          <w:szCs w:val="22"/>
          <w:lang w:val="lt-LT"/>
        </w:rPr>
        <w:t xml:space="preserve">Nėštumo ir žindymo laikotarpiu </w:t>
      </w:r>
      <w:proofErr w:type="spellStart"/>
      <w:r>
        <w:rPr>
          <w:szCs w:val="22"/>
          <w:lang w:val="lt-LT"/>
        </w:rPr>
        <w:t>Vermox</w:t>
      </w:r>
      <w:proofErr w:type="spellEnd"/>
      <w:r>
        <w:rPr>
          <w:szCs w:val="22"/>
          <w:lang w:val="lt-LT"/>
        </w:rPr>
        <w:t xml:space="preserve"> </w:t>
      </w:r>
      <w:r w:rsidRPr="00F5692D">
        <w:rPr>
          <w:szCs w:val="22"/>
          <w:lang w:val="lt-LT"/>
        </w:rPr>
        <w:t>galima vartoti tik išimtinais atvejais, gydytojui specialiai skyrus.</w:t>
      </w:r>
    </w:p>
    <w:p w:rsidR="00041FBE" w:rsidRPr="00555839" w:rsidRDefault="00041FBE" w:rsidP="00041FBE">
      <w:pPr>
        <w:pStyle w:val="Pagrindinistekstas"/>
        <w:rPr>
          <w:i w:val="0"/>
          <w:color w:val="000000"/>
          <w:szCs w:val="22"/>
        </w:rPr>
      </w:pPr>
      <w:proofErr w:type="spellStart"/>
      <w:r w:rsidRPr="00555839">
        <w:rPr>
          <w:i w:val="0"/>
          <w:color w:val="000000"/>
          <w:szCs w:val="22"/>
        </w:rPr>
        <w:t>Žindyvėms</w:t>
      </w:r>
      <w:proofErr w:type="spellEnd"/>
      <w:r w:rsidRPr="00555839">
        <w:rPr>
          <w:i w:val="0"/>
          <w:color w:val="000000"/>
          <w:szCs w:val="22"/>
        </w:rPr>
        <w:t xml:space="preserve"> </w:t>
      </w:r>
      <w:proofErr w:type="spellStart"/>
      <w:r w:rsidRPr="00555839">
        <w:rPr>
          <w:i w:val="0"/>
          <w:color w:val="000000"/>
          <w:szCs w:val="22"/>
        </w:rPr>
        <w:t>Vermox</w:t>
      </w:r>
      <w:proofErr w:type="spellEnd"/>
      <w:r w:rsidRPr="00555839">
        <w:rPr>
          <w:i w:val="0"/>
          <w:color w:val="000000"/>
          <w:szCs w:val="22"/>
        </w:rPr>
        <w:t xml:space="preserve"> </w:t>
      </w:r>
      <w:proofErr w:type="spellStart"/>
      <w:r w:rsidRPr="00555839">
        <w:rPr>
          <w:i w:val="0"/>
          <w:color w:val="000000"/>
          <w:szCs w:val="22"/>
        </w:rPr>
        <w:t>vartoti</w:t>
      </w:r>
      <w:proofErr w:type="spellEnd"/>
      <w:r w:rsidRPr="00555839">
        <w:rPr>
          <w:i w:val="0"/>
          <w:color w:val="000000"/>
          <w:szCs w:val="22"/>
        </w:rPr>
        <w:t xml:space="preserve"> </w:t>
      </w:r>
      <w:proofErr w:type="spellStart"/>
      <w:r w:rsidRPr="00555839">
        <w:rPr>
          <w:i w:val="0"/>
          <w:color w:val="000000"/>
          <w:szCs w:val="22"/>
        </w:rPr>
        <w:t>nerekomenduojama</w:t>
      </w:r>
      <w:proofErr w:type="spellEnd"/>
      <w:r w:rsidRPr="00555839">
        <w:rPr>
          <w:i w:val="0"/>
          <w:color w:val="000000"/>
          <w:szCs w:val="22"/>
        </w:rPr>
        <w:t>.</w:t>
      </w:r>
    </w:p>
    <w:p w:rsidR="00041FBE" w:rsidRPr="0024019E" w:rsidRDefault="00041FBE" w:rsidP="00041FBE">
      <w:pPr>
        <w:rPr>
          <w:noProof/>
          <w:szCs w:val="22"/>
          <w:lang w:val="lt-LT"/>
        </w:rPr>
      </w:pP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Vairavimas ir mechanizmų valdymas</w:t>
      </w:r>
    </w:p>
    <w:p w:rsidR="00041FBE" w:rsidRPr="0024019E" w:rsidRDefault="00041FBE" w:rsidP="00041FBE">
      <w:pPr>
        <w:jc w:val="both"/>
        <w:rPr>
          <w:szCs w:val="22"/>
          <w:lang w:val="lt-LT"/>
        </w:rPr>
      </w:pP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 gebėjimo vairuoti ir valdyti mechanizmus neveikia.</w:t>
      </w:r>
    </w:p>
    <w:p w:rsidR="00041FBE" w:rsidRDefault="00041FBE" w:rsidP="00041FBE">
      <w:pPr>
        <w:ind w:left="567" w:hanging="567"/>
        <w:rPr>
          <w:szCs w:val="22"/>
          <w:lang w:val="lt-LT"/>
        </w:rPr>
      </w:pPr>
    </w:p>
    <w:p w:rsidR="00041FBE" w:rsidRPr="00555839" w:rsidRDefault="00041FBE" w:rsidP="00041FBE">
      <w:pPr>
        <w:pStyle w:val="Pagrindinistekstas"/>
        <w:rPr>
          <w:b/>
          <w:i w:val="0"/>
          <w:color w:val="000000"/>
          <w:szCs w:val="22"/>
        </w:rPr>
      </w:pPr>
      <w:proofErr w:type="spellStart"/>
      <w:r w:rsidRPr="00555839">
        <w:rPr>
          <w:b/>
          <w:i w:val="0"/>
          <w:color w:val="000000"/>
          <w:szCs w:val="22"/>
        </w:rPr>
        <w:t>Vermox</w:t>
      </w:r>
      <w:proofErr w:type="spellEnd"/>
      <w:r w:rsidRPr="00555839">
        <w:rPr>
          <w:b/>
          <w:i w:val="0"/>
          <w:color w:val="000000"/>
          <w:szCs w:val="22"/>
        </w:rPr>
        <w:t xml:space="preserve"> </w:t>
      </w:r>
      <w:proofErr w:type="spellStart"/>
      <w:r w:rsidRPr="00555839">
        <w:rPr>
          <w:b/>
          <w:i w:val="0"/>
          <w:color w:val="000000"/>
          <w:szCs w:val="22"/>
        </w:rPr>
        <w:t>sudėtyje</w:t>
      </w:r>
      <w:proofErr w:type="spellEnd"/>
      <w:r w:rsidRPr="00555839">
        <w:rPr>
          <w:b/>
          <w:i w:val="0"/>
          <w:color w:val="000000"/>
          <w:szCs w:val="22"/>
        </w:rPr>
        <w:t xml:space="preserve"> </w:t>
      </w:r>
      <w:proofErr w:type="spellStart"/>
      <w:r w:rsidRPr="00555839">
        <w:rPr>
          <w:b/>
          <w:i w:val="0"/>
          <w:color w:val="000000"/>
          <w:szCs w:val="22"/>
        </w:rPr>
        <w:t>yra</w:t>
      </w:r>
      <w:proofErr w:type="spellEnd"/>
      <w:r w:rsidRPr="00555839">
        <w:rPr>
          <w:b/>
          <w:i w:val="0"/>
          <w:color w:val="000000"/>
          <w:szCs w:val="22"/>
        </w:rPr>
        <w:t xml:space="preserve"> </w:t>
      </w:r>
      <w:r w:rsidRPr="00555839">
        <w:rPr>
          <w:b/>
          <w:i w:val="0"/>
          <w:color w:val="000000"/>
          <w:szCs w:val="22"/>
          <w:lang w:val="lt-LT" w:eastAsia="lt-LT"/>
        </w:rPr>
        <w:t>saulėlydžio geltonojo Ε110</w:t>
      </w:r>
    </w:p>
    <w:p w:rsidR="00041FBE" w:rsidRPr="0024019E" w:rsidRDefault="00041FBE" w:rsidP="00041FBE">
      <w:pPr>
        <w:jc w:val="both"/>
        <w:rPr>
          <w:szCs w:val="22"/>
          <w:lang w:val="lt-LT" w:eastAsia="lt-LT"/>
        </w:rPr>
      </w:pPr>
      <w:proofErr w:type="spellStart"/>
      <w:r w:rsidRPr="0024019E">
        <w:rPr>
          <w:szCs w:val="22"/>
          <w:lang w:val="lt-LT" w:eastAsia="lt-LT"/>
        </w:rPr>
        <w:t>Vermox</w:t>
      </w:r>
      <w:proofErr w:type="spellEnd"/>
      <w:r w:rsidRPr="0024019E">
        <w:rPr>
          <w:szCs w:val="22"/>
          <w:lang w:val="lt-LT" w:eastAsia="lt-LT"/>
        </w:rPr>
        <w:t xml:space="preserve"> tablečių sudėtyje yra saulėlydžio geltonojo Ε110, kuris gali sukelti alerginių reakcijų.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3.</w:t>
      </w:r>
      <w:r w:rsidRPr="0024019E">
        <w:rPr>
          <w:b/>
          <w:noProof/>
          <w:szCs w:val="22"/>
          <w:lang w:val="lt-LT"/>
        </w:rPr>
        <w:tab/>
        <w:t>KAIP VARTOTI VERMOX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4019E">
        <w:rPr>
          <w:szCs w:val="22"/>
          <w:lang w:val="lt-LT"/>
        </w:rPr>
        <w:t xml:space="preserve">Visada vartokite šį vaistą tiksliai kaip nurodė gydytojas arba vaistininkas. Jeigu abejojate, kreipkitės į gydytoją arba vaistininką. </w:t>
      </w:r>
    </w:p>
    <w:p w:rsidR="00041FBE" w:rsidRPr="0024019E" w:rsidRDefault="00041FBE" w:rsidP="00041FBE">
      <w:pPr>
        <w:rPr>
          <w:noProof/>
          <w:szCs w:val="22"/>
          <w:lang w:val="lt-LT"/>
        </w:rPr>
      </w:pPr>
    </w:p>
    <w:p w:rsidR="00041FBE" w:rsidRPr="0081792E" w:rsidRDefault="00041FBE" w:rsidP="00041FBE">
      <w:pPr>
        <w:pStyle w:val="Pagrindinistekstas"/>
        <w:rPr>
          <w:i w:val="0"/>
          <w:color w:val="000000"/>
          <w:szCs w:val="22"/>
          <w:lang w:val="lt-LT"/>
        </w:rPr>
      </w:pPr>
      <w:r w:rsidRPr="0081792E">
        <w:rPr>
          <w:i w:val="0"/>
          <w:color w:val="000000"/>
          <w:szCs w:val="22"/>
          <w:lang w:val="lt-LT"/>
        </w:rPr>
        <w:t>Dozę ir gydymo trukmę nustato gydytojas, atsižvelgdamas į kirmėlių rūšį. Rekomenduojamos dozės nurodytos toliau.</w:t>
      </w:r>
    </w:p>
    <w:p w:rsidR="00041FBE" w:rsidRPr="0024019E" w:rsidRDefault="00041FBE" w:rsidP="00041FBE">
      <w:pPr>
        <w:spacing w:line="240" w:lineRule="auto"/>
        <w:jc w:val="both"/>
        <w:rPr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szCs w:val="22"/>
          <w:lang w:val="lt-LT"/>
        </w:rPr>
      </w:pPr>
      <w:r w:rsidRPr="0024019E">
        <w:rPr>
          <w:szCs w:val="22"/>
          <w:lang w:val="lt-LT"/>
        </w:rPr>
        <w:t xml:space="preserve">Vyresniems nei </w:t>
      </w:r>
      <w:r>
        <w:rPr>
          <w:szCs w:val="22"/>
          <w:lang w:val="lt-LT"/>
        </w:rPr>
        <w:t>2</w:t>
      </w:r>
      <w:r w:rsidRPr="0024019E">
        <w:rPr>
          <w:szCs w:val="22"/>
          <w:lang w:val="lt-LT"/>
        </w:rPr>
        <w:t xml:space="preserve"> metų vaikams tinka suaugusio žmogaus dozė. </w:t>
      </w:r>
    </w:p>
    <w:p w:rsidR="00041FBE" w:rsidRPr="0024019E" w:rsidRDefault="00041FBE" w:rsidP="00041FBE">
      <w:pPr>
        <w:spacing w:line="240" w:lineRule="auto"/>
        <w:jc w:val="both"/>
        <w:rPr>
          <w:b/>
          <w:i/>
          <w:szCs w:val="22"/>
          <w:lang w:val="lt-LT"/>
        </w:rPr>
      </w:pPr>
    </w:p>
    <w:p w:rsidR="00041FBE" w:rsidRPr="0024019E" w:rsidRDefault="00041FBE" w:rsidP="00041FBE">
      <w:pPr>
        <w:pStyle w:val="Antrat7"/>
        <w:tabs>
          <w:tab w:val="clear" w:pos="-720"/>
          <w:tab w:val="clear" w:pos="4536"/>
        </w:tabs>
        <w:suppressAutoHyphens w:val="0"/>
        <w:spacing w:line="240" w:lineRule="auto"/>
        <w:rPr>
          <w:bCs/>
          <w:szCs w:val="22"/>
          <w:u w:val="single"/>
          <w:lang w:val="lt-LT"/>
        </w:rPr>
      </w:pPr>
      <w:r w:rsidRPr="0024019E">
        <w:rPr>
          <w:bCs/>
          <w:szCs w:val="22"/>
          <w:u w:val="single"/>
          <w:lang w:val="lt-LT"/>
        </w:rPr>
        <w:t>Spalinių sukelta liga</w:t>
      </w:r>
    </w:p>
    <w:p w:rsidR="00041FBE" w:rsidRPr="0024019E" w:rsidRDefault="00041FBE" w:rsidP="00041FBE">
      <w:pPr>
        <w:spacing w:line="240" w:lineRule="auto"/>
        <w:jc w:val="both"/>
        <w:rPr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szCs w:val="22"/>
          <w:lang w:val="lt-LT"/>
        </w:rPr>
      </w:pPr>
      <w:r w:rsidRPr="0024019E">
        <w:rPr>
          <w:szCs w:val="22"/>
          <w:lang w:val="lt-LT"/>
        </w:rPr>
        <w:t>Gydymo pradžioje reikia išgerti 1 tabletę. Kadangi po pirmos dozės žūsta tik kirmėlės, bet ne jų kiaušinėliai, iš kurių išauga naujos kirmėlės, todėl tokią pat dozę reikia pakartotinai gerti po 2 savaičių, kad kirmėlės būtų visiškai sunaikintos.</w:t>
      </w:r>
    </w:p>
    <w:p w:rsidR="00041FBE" w:rsidRPr="0024019E" w:rsidRDefault="00041FBE" w:rsidP="00041FBE">
      <w:pPr>
        <w:pStyle w:val="EMEAEnBodyText"/>
        <w:tabs>
          <w:tab w:val="left" w:pos="567"/>
        </w:tabs>
        <w:spacing w:before="0" w:after="0"/>
        <w:rPr>
          <w:bCs/>
          <w:iCs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bCs/>
          <w:i/>
          <w:szCs w:val="22"/>
          <w:u w:val="single"/>
          <w:lang w:val="lt-LT"/>
        </w:rPr>
      </w:pPr>
      <w:proofErr w:type="spellStart"/>
      <w:r w:rsidRPr="0024019E">
        <w:rPr>
          <w:bCs/>
          <w:i/>
          <w:szCs w:val="22"/>
          <w:u w:val="single"/>
          <w:lang w:val="lt-LT"/>
        </w:rPr>
        <w:t>Plaukagalvių</w:t>
      </w:r>
      <w:proofErr w:type="spellEnd"/>
      <w:r w:rsidRPr="0024019E">
        <w:rPr>
          <w:bCs/>
          <w:i/>
          <w:szCs w:val="22"/>
          <w:u w:val="single"/>
          <w:lang w:val="lt-LT"/>
        </w:rPr>
        <w:t xml:space="preserve">, </w:t>
      </w:r>
      <w:proofErr w:type="spellStart"/>
      <w:r w:rsidRPr="0024019E">
        <w:rPr>
          <w:bCs/>
          <w:i/>
          <w:szCs w:val="22"/>
          <w:u w:val="single"/>
          <w:lang w:val="lt-LT"/>
        </w:rPr>
        <w:t>askaridžių</w:t>
      </w:r>
      <w:proofErr w:type="spellEnd"/>
      <w:r w:rsidRPr="0024019E">
        <w:rPr>
          <w:bCs/>
          <w:i/>
          <w:szCs w:val="22"/>
          <w:u w:val="single"/>
          <w:lang w:val="lt-LT"/>
        </w:rPr>
        <w:t xml:space="preserve">, dvylikapirštės žarnos </w:t>
      </w:r>
      <w:proofErr w:type="spellStart"/>
      <w:r w:rsidRPr="0024019E">
        <w:rPr>
          <w:bCs/>
          <w:i/>
          <w:szCs w:val="22"/>
          <w:u w:val="single"/>
          <w:lang w:val="lt-LT"/>
        </w:rPr>
        <w:t>kreivagalvių</w:t>
      </w:r>
      <w:proofErr w:type="spellEnd"/>
      <w:r w:rsidRPr="0024019E">
        <w:rPr>
          <w:bCs/>
          <w:i/>
          <w:szCs w:val="22"/>
          <w:u w:val="single"/>
          <w:lang w:val="lt-LT"/>
        </w:rPr>
        <w:t xml:space="preserve">, amerikinių </w:t>
      </w:r>
      <w:proofErr w:type="spellStart"/>
      <w:r w:rsidRPr="0024019E">
        <w:rPr>
          <w:bCs/>
          <w:i/>
          <w:szCs w:val="22"/>
          <w:u w:val="single"/>
          <w:lang w:val="lt-LT"/>
        </w:rPr>
        <w:t>nekatorių</w:t>
      </w:r>
      <w:proofErr w:type="spellEnd"/>
      <w:r w:rsidRPr="0024019E">
        <w:rPr>
          <w:bCs/>
          <w:i/>
          <w:szCs w:val="22"/>
          <w:u w:val="single"/>
          <w:lang w:val="lt-LT"/>
        </w:rPr>
        <w:t xml:space="preserve"> arba kelių kirmėlių rūšių sukelta liga</w:t>
      </w:r>
    </w:p>
    <w:p w:rsidR="00041FBE" w:rsidRPr="0024019E" w:rsidRDefault="00041FBE" w:rsidP="00041FBE">
      <w:pPr>
        <w:spacing w:line="240" w:lineRule="auto"/>
        <w:rPr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szCs w:val="22"/>
          <w:lang w:val="lt-LT"/>
        </w:rPr>
      </w:pPr>
      <w:r w:rsidRPr="0024019E">
        <w:rPr>
          <w:szCs w:val="22"/>
          <w:lang w:val="lt-LT"/>
        </w:rPr>
        <w:t xml:space="preserve">Tris dienas iš eilės ryte ir vakare reikia gerti po 1 tabletę. </w:t>
      </w:r>
    </w:p>
    <w:p w:rsidR="00041FBE" w:rsidRPr="0024019E" w:rsidRDefault="00041FBE" w:rsidP="00041FBE">
      <w:pPr>
        <w:spacing w:line="240" w:lineRule="auto"/>
        <w:jc w:val="both"/>
        <w:rPr>
          <w:b/>
          <w:i/>
          <w:szCs w:val="22"/>
          <w:lang w:val="lt-LT"/>
        </w:rPr>
      </w:pPr>
    </w:p>
    <w:p w:rsidR="00041FBE" w:rsidRPr="0024019E" w:rsidRDefault="00041FBE" w:rsidP="00041FBE">
      <w:pPr>
        <w:keepNext/>
        <w:ind w:left="567" w:hanging="567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Ką daryti pavartojus per didelę Vermox dozę?</w:t>
      </w:r>
    </w:p>
    <w:p w:rsidR="00041FBE" w:rsidRPr="0024019E" w:rsidRDefault="00041FBE" w:rsidP="00041FBE">
      <w:pPr>
        <w:keepNext/>
        <w:tabs>
          <w:tab w:val="left" w:pos="0"/>
        </w:tabs>
        <w:rPr>
          <w:szCs w:val="22"/>
          <w:lang w:val="lt-LT"/>
        </w:rPr>
      </w:pPr>
      <w:r w:rsidRPr="0024019E">
        <w:rPr>
          <w:szCs w:val="22"/>
          <w:lang w:val="lt-LT"/>
        </w:rPr>
        <w:t xml:space="preserve">Vartojant didesnes už rekomenduojamą </w:t>
      </w: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 dozes arba </w:t>
      </w: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 vartojant ilgą laiką, gali pasireikšti kraujo, inkstų ar kepenų veiklos sutrikimai, kurie kartais gali būti sunkūs. Taip pat gali pasireikšti plikimas, kuris kai kuriais </w:t>
      </w:r>
      <w:r w:rsidRPr="0024019E">
        <w:rPr>
          <w:szCs w:val="22"/>
          <w:lang w:val="lt-LT" w:eastAsia="lt-LT"/>
        </w:rPr>
        <w:t>atvejais gali būti ir negrįžtamas.</w:t>
      </w:r>
    </w:p>
    <w:p w:rsidR="00041FBE" w:rsidRPr="0024019E" w:rsidRDefault="00041FBE" w:rsidP="00041FBE">
      <w:pPr>
        <w:keepNext/>
        <w:tabs>
          <w:tab w:val="left" w:pos="0"/>
        </w:tabs>
        <w:rPr>
          <w:szCs w:val="22"/>
          <w:lang w:val="lt-LT"/>
        </w:rPr>
      </w:pPr>
    </w:p>
    <w:p w:rsidR="00041FBE" w:rsidRPr="0024019E" w:rsidRDefault="00041FBE" w:rsidP="00041FBE">
      <w:pPr>
        <w:keepNext/>
        <w:tabs>
          <w:tab w:val="left" w:pos="0"/>
        </w:tabs>
        <w:rPr>
          <w:b/>
          <w:noProof/>
          <w:szCs w:val="22"/>
          <w:lang w:val="lt-LT"/>
        </w:rPr>
      </w:pPr>
      <w:r w:rsidRPr="0024019E">
        <w:rPr>
          <w:szCs w:val="22"/>
          <w:lang w:val="lt-LT"/>
        </w:rPr>
        <w:t xml:space="preserve">Išgėrus per daug </w:t>
      </w: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, gali atsirasti skrandžio spazmų, pykinimas, vėmimas ir viduriavimas. Tokiu atveju reikia kreiptis į Jūsų gydytoją,  kuris gali rekomenduoti gerti aktyvintosios anglies, kadangi ji </w:t>
      </w:r>
      <w:proofErr w:type="spellStart"/>
      <w:r w:rsidRPr="0024019E">
        <w:rPr>
          <w:szCs w:val="22"/>
          <w:lang w:val="lt-LT"/>
        </w:rPr>
        <w:t>adsorbuoja</w:t>
      </w:r>
      <w:proofErr w:type="spellEnd"/>
      <w:r w:rsidRPr="0024019E">
        <w:rPr>
          <w:szCs w:val="22"/>
          <w:lang w:val="lt-LT"/>
        </w:rPr>
        <w:t xml:space="preserve"> skrandyje esantį </w:t>
      </w: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>.</w:t>
      </w: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</w:p>
    <w:p w:rsidR="00041FBE" w:rsidRPr="0024019E" w:rsidRDefault="00041FBE" w:rsidP="00041FBE">
      <w:pPr>
        <w:pStyle w:val="Antrat9"/>
        <w:spacing w:line="240" w:lineRule="auto"/>
        <w:rPr>
          <w:b w:val="0"/>
          <w:bCs/>
          <w:iCs/>
          <w:szCs w:val="22"/>
          <w:u w:val="single"/>
          <w:lang w:val="lt-LT"/>
        </w:rPr>
      </w:pPr>
      <w:r w:rsidRPr="0024019E">
        <w:rPr>
          <w:b w:val="0"/>
          <w:bCs/>
          <w:iCs/>
          <w:szCs w:val="22"/>
          <w:u w:val="single"/>
          <w:lang w:val="lt-LT"/>
        </w:rPr>
        <w:t>Informacija gydytojui</w:t>
      </w:r>
    </w:p>
    <w:p w:rsidR="00041FBE" w:rsidRPr="0024019E" w:rsidRDefault="00041FBE" w:rsidP="00041FBE">
      <w:pPr>
        <w:spacing w:line="240" w:lineRule="auto"/>
        <w:jc w:val="both"/>
        <w:rPr>
          <w:i/>
          <w:szCs w:val="22"/>
          <w:lang w:val="lt-LT"/>
        </w:rPr>
      </w:pPr>
    </w:p>
    <w:p w:rsidR="00041FBE" w:rsidRPr="0024019E" w:rsidRDefault="00041FBE" w:rsidP="00041FBE">
      <w:pPr>
        <w:pStyle w:val="EMEAEnBodyText"/>
        <w:tabs>
          <w:tab w:val="left" w:pos="567"/>
        </w:tabs>
        <w:spacing w:before="0" w:after="0"/>
        <w:rPr>
          <w:i/>
          <w:szCs w:val="22"/>
          <w:lang w:val="lt-LT"/>
        </w:rPr>
      </w:pPr>
      <w:r w:rsidRPr="0024019E">
        <w:rPr>
          <w:i/>
          <w:szCs w:val="22"/>
          <w:lang w:val="lt-LT"/>
        </w:rPr>
        <w:t>Perdozavimo gydymas</w:t>
      </w:r>
    </w:p>
    <w:p w:rsidR="00041FBE" w:rsidRPr="0024019E" w:rsidRDefault="00041FBE" w:rsidP="00041FBE">
      <w:pPr>
        <w:spacing w:line="240" w:lineRule="auto"/>
        <w:jc w:val="both"/>
        <w:rPr>
          <w:i/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Specifinio priešnuodžio nėra.</w:t>
      </w:r>
    </w:p>
    <w:p w:rsidR="00041FBE" w:rsidRPr="0024019E" w:rsidRDefault="00041FBE" w:rsidP="00041FBE">
      <w:pPr>
        <w:pStyle w:val="EMEAEnBodyText"/>
        <w:tabs>
          <w:tab w:val="left" w:pos="567"/>
        </w:tabs>
        <w:spacing w:before="0" w:after="0"/>
        <w:rPr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Jei reikia, galima duoti gerti aktyvintosios anglies.</w:t>
      </w:r>
    </w:p>
    <w:p w:rsidR="00041FBE" w:rsidRPr="0024019E" w:rsidRDefault="00041FBE" w:rsidP="00041FBE">
      <w:pPr>
        <w:spacing w:line="240" w:lineRule="auto"/>
        <w:ind w:left="567" w:hanging="567"/>
        <w:rPr>
          <w:noProof/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Pirmomis valandomis po apsinuodijimo galima išplauti skrandį.</w:t>
      </w:r>
    </w:p>
    <w:p w:rsidR="00041FBE" w:rsidRPr="0024019E" w:rsidRDefault="00041FBE" w:rsidP="00041FBE">
      <w:pPr>
        <w:ind w:left="567" w:hanging="567"/>
        <w:rPr>
          <w:b/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keepNext/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24019E">
        <w:rPr>
          <w:b/>
          <w:caps/>
          <w:noProof/>
          <w:szCs w:val="22"/>
          <w:lang w:val="lt-LT"/>
        </w:rPr>
        <w:t>4.</w:t>
      </w:r>
      <w:r w:rsidRPr="0024019E">
        <w:rPr>
          <w:b/>
          <w:caps/>
          <w:noProof/>
          <w:szCs w:val="22"/>
          <w:lang w:val="lt-LT"/>
        </w:rPr>
        <w:tab/>
        <w:t xml:space="preserve">galimAS </w:t>
      </w:r>
      <w:r w:rsidRPr="0024019E">
        <w:rPr>
          <w:b/>
          <w:noProof/>
          <w:szCs w:val="22"/>
          <w:lang w:val="lt-LT"/>
        </w:rPr>
        <w:t xml:space="preserve">ŠALUTINIS </w:t>
      </w:r>
      <w:r w:rsidRPr="0024019E">
        <w:rPr>
          <w:b/>
          <w:caps/>
          <w:noProof/>
          <w:szCs w:val="22"/>
          <w:lang w:val="lt-LT"/>
        </w:rPr>
        <w:t>poveikiS</w:t>
      </w:r>
    </w:p>
    <w:p w:rsidR="00041FBE" w:rsidRPr="0024019E" w:rsidRDefault="00041FBE" w:rsidP="00041FBE">
      <w:pPr>
        <w:keepNext/>
        <w:ind w:left="567" w:hanging="567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24019E">
        <w:rPr>
          <w:szCs w:val="22"/>
          <w:lang w:val="lt-LT"/>
        </w:rPr>
        <w:t>Šis vaistas, kaip ir visi kiti, gali sukelti šalutinį poveikį, nors jis pasireiškia ne visiems žmonėms.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</w:p>
    <w:p w:rsidR="00041FBE" w:rsidRPr="0081792E" w:rsidRDefault="00041FBE" w:rsidP="00041FBE">
      <w:pPr>
        <w:pStyle w:val="Pagrindinistekstas"/>
        <w:rPr>
          <w:i w:val="0"/>
          <w:color w:val="000000"/>
          <w:szCs w:val="22"/>
        </w:rPr>
      </w:pPr>
      <w:r w:rsidRPr="0081792E">
        <w:rPr>
          <w:i w:val="0"/>
          <w:color w:val="000000"/>
          <w:szCs w:val="22"/>
          <w:lang w:val="lt-LT"/>
        </w:rPr>
        <w:t xml:space="preserve">Gydymo </w:t>
      </w:r>
      <w:proofErr w:type="spellStart"/>
      <w:r w:rsidRPr="0081792E">
        <w:rPr>
          <w:i w:val="0"/>
          <w:color w:val="000000"/>
          <w:szCs w:val="22"/>
          <w:lang w:val="lt-LT"/>
        </w:rPr>
        <w:t>Vermox</w:t>
      </w:r>
      <w:proofErr w:type="spellEnd"/>
      <w:r w:rsidRPr="0081792E">
        <w:rPr>
          <w:i w:val="0"/>
          <w:color w:val="000000"/>
          <w:szCs w:val="22"/>
          <w:lang w:val="lt-LT"/>
        </w:rPr>
        <w:t xml:space="preserve"> metu </w:t>
      </w:r>
      <w:proofErr w:type="spellStart"/>
      <w:r w:rsidRPr="0081792E">
        <w:rPr>
          <w:i w:val="0"/>
          <w:color w:val="000000"/>
          <w:szCs w:val="22"/>
        </w:rPr>
        <w:t>gali</w:t>
      </w:r>
      <w:proofErr w:type="spellEnd"/>
      <w:r w:rsidRPr="0081792E">
        <w:rPr>
          <w:i w:val="0"/>
          <w:color w:val="000000"/>
          <w:szCs w:val="22"/>
        </w:rPr>
        <w:t xml:space="preserve"> </w:t>
      </w:r>
      <w:proofErr w:type="spellStart"/>
      <w:r w:rsidRPr="0081792E">
        <w:rPr>
          <w:i w:val="0"/>
          <w:color w:val="000000"/>
          <w:szCs w:val="22"/>
        </w:rPr>
        <w:t>pasireikšti</w:t>
      </w:r>
      <w:proofErr w:type="spellEnd"/>
      <w:r w:rsidRPr="0081792E">
        <w:rPr>
          <w:i w:val="0"/>
          <w:color w:val="000000"/>
          <w:szCs w:val="22"/>
        </w:rPr>
        <w:t xml:space="preserve"> </w:t>
      </w:r>
      <w:proofErr w:type="spellStart"/>
      <w:r w:rsidRPr="0081792E">
        <w:rPr>
          <w:i w:val="0"/>
          <w:color w:val="000000"/>
          <w:szCs w:val="22"/>
        </w:rPr>
        <w:t>toliau</w:t>
      </w:r>
      <w:proofErr w:type="spellEnd"/>
      <w:r w:rsidRPr="0081792E">
        <w:rPr>
          <w:i w:val="0"/>
          <w:color w:val="000000"/>
          <w:szCs w:val="22"/>
        </w:rPr>
        <w:t xml:space="preserve"> </w:t>
      </w:r>
      <w:proofErr w:type="spellStart"/>
      <w:r w:rsidRPr="0081792E">
        <w:rPr>
          <w:i w:val="0"/>
          <w:color w:val="000000"/>
          <w:szCs w:val="22"/>
        </w:rPr>
        <w:t>išvardintas</w:t>
      </w:r>
      <w:proofErr w:type="spellEnd"/>
      <w:r w:rsidRPr="0081792E">
        <w:rPr>
          <w:i w:val="0"/>
          <w:color w:val="000000"/>
          <w:szCs w:val="22"/>
        </w:rPr>
        <w:t xml:space="preserve"> </w:t>
      </w:r>
      <w:proofErr w:type="spellStart"/>
      <w:r w:rsidRPr="0081792E">
        <w:rPr>
          <w:i w:val="0"/>
          <w:color w:val="000000"/>
          <w:szCs w:val="22"/>
        </w:rPr>
        <w:t>šalutinis</w:t>
      </w:r>
      <w:proofErr w:type="spellEnd"/>
      <w:r w:rsidRPr="0081792E">
        <w:rPr>
          <w:i w:val="0"/>
          <w:color w:val="000000"/>
          <w:szCs w:val="22"/>
        </w:rPr>
        <w:t xml:space="preserve"> </w:t>
      </w:r>
      <w:proofErr w:type="spellStart"/>
      <w:r w:rsidRPr="0081792E">
        <w:rPr>
          <w:i w:val="0"/>
          <w:color w:val="000000"/>
          <w:szCs w:val="22"/>
        </w:rPr>
        <w:t>poveikis</w:t>
      </w:r>
      <w:proofErr w:type="spellEnd"/>
      <w:r w:rsidRPr="0081792E">
        <w:rPr>
          <w:i w:val="0"/>
          <w:color w:val="000000"/>
          <w:szCs w:val="22"/>
        </w:rPr>
        <w:t>:</w:t>
      </w:r>
    </w:p>
    <w:p w:rsidR="00041FBE" w:rsidRPr="0024019E" w:rsidRDefault="00041FBE" w:rsidP="00041FBE">
      <w:pPr>
        <w:tabs>
          <w:tab w:val="left" w:pos="0"/>
        </w:tabs>
        <w:spacing w:line="240" w:lineRule="auto"/>
        <w:rPr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galvos svaigimas, traukuliai;</w:t>
      </w:r>
    </w:p>
    <w:p w:rsidR="00041FBE" w:rsidRPr="0024019E" w:rsidRDefault="00041FBE" w:rsidP="00041FBE">
      <w:pPr>
        <w:tabs>
          <w:tab w:val="left" w:pos="709"/>
        </w:tabs>
        <w:jc w:val="both"/>
        <w:rPr>
          <w:szCs w:val="22"/>
          <w:lang w:val="lt-LT" w:eastAsia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s</w:t>
      </w:r>
      <w:r w:rsidRPr="0024019E">
        <w:rPr>
          <w:szCs w:val="22"/>
          <w:lang w:val="lt-LT" w:eastAsia="lt-LT"/>
        </w:rPr>
        <w:t>krandžio skausmas, nemalonūs pojūčiai pilve, vidurių pūtimas ir viduriavimas;</w:t>
      </w:r>
    </w:p>
    <w:p w:rsidR="00041FBE" w:rsidRPr="0024019E" w:rsidRDefault="00041FBE" w:rsidP="00041FBE">
      <w:pPr>
        <w:pStyle w:val="EMEAEnBodyText"/>
        <w:tabs>
          <w:tab w:val="left" w:pos="567"/>
        </w:tabs>
        <w:spacing w:before="0" w:after="0"/>
        <w:ind w:left="567" w:hanging="567"/>
        <w:jc w:val="left"/>
        <w:rPr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 xml:space="preserve">odos išbėrimas, </w:t>
      </w:r>
      <w:r w:rsidRPr="0024019E">
        <w:rPr>
          <w:szCs w:val="22"/>
          <w:lang w:val="lt-LT" w:eastAsia="lt-LT"/>
        </w:rPr>
        <w:t xml:space="preserve">toksinė epidermio </w:t>
      </w:r>
      <w:proofErr w:type="spellStart"/>
      <w:r w:rsidRPr="0024019E">
        <w:rPr>
          <w:szCs w:val="22"/>
          <w:lang w:val="lt-LT" w:eastAsia="lt-LT"/>
        </w:rPr>
        <w:t>nekrolizė</w:t>
      </w:r>
      <w:proofErr w:type="spellEnd"/>
      <w:r w:rsidRPr="0024019E">
        <w:rPr>
          <w:szCs w:val="22"/>
          <w:lang w:val="lt-LT" w:eastAsia="lt-LT"/>
        </w:rPr>
        <w:t>,</w:t>
      </w:r>
      <w:r w:rsidRPr="0024019E">
        <w:rPr>
          <w:iCs/>
          <w:szCs w:val="22"/>
          <w:lang w:val="lt-LT" w:eastAsia="lt-LT"/>
        </w:rPr>
        <w:t xml:space="preserve"> </w:t>
      </w:r>
      <w:proofErr w:type="spellStart"/>
      <w:r w:rsidRPr="0024019E">
        <w:rPr>
          <w:iCs/>
          <w:szCs w:val="22"/>
          <w:lang w:val="lt-LT" w:eastAsia="lt-LT"/>
        </w:rPr>
        <w:t>Stivenso</w:t>
      </w:r>
      <w:proofErr w:type="spellEnd"/>
      <w:r w:rsidRPr="0024019E">
        <w:rPr>
          <w:iCs/>
          <w:szCs w:val="22"/>
          <w:lang w:val="lt-LT" w:eastAsia="lt-LT"/>
        </w:rPr>
        <w:noBreakHyphen/>
        <w:t xml:space="preserve">Džonsono sindromas, </w:t>
      </w:r>
      <w:proofErr w:type="spellStart"/>
      <w:r w:rsidRPr="0024019E">
        <w:rPr>
          <w:iCs/>
          <w:szCs w:val="22"/>
          <w:lang w:val="lt-LT" w:eastAsia="lt-LT"/>
        </w:rPr>
        <w:t>angioneurozinė</w:t>
      </w:r>
      <w:proofErr w:type="spellEnd"/>
      <w:r w:rsidRPr="0024019E">
        <w:rPr>
          <w:iCs/>
          <w:szCs w:val="22"/>
          <w:lang w:val="lt-LT" w:eastAsia="lt-LT"/>
        </w:rPr>
        <w:t xml:space="preserve"> edema;</w:t>
      </w:r>
    </w:p>
    <w:p w:rsidR="00041FBE" w:rsidRPr="0024019E" w:rsidRDefault="00041FBE" w:rsidP="00041FBE">
      <w:pPr>
        <w:pStyle w:val="EMEAEnBodyText"/>
        <w:tabs>
          <w:tab w:val="left" w:pos="567"/>
        </w:tabs>
        <w:spacing w:before="0" w:after="0"/>
        <w:ind w:left="567" w:hanging="567"/>
        <w:jc w:val="left"/>
        <w:rPr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dilgėlinė;</w:t>
      </w:r>
    </w:p>
    <w:p w:rsidR="00041FBE" w:rsidRPr="0024019E" w:rsidRDefault="00041FBE" w:rsidP="00041FBE">
      <w:pPr>
        <w:tabs>
          <w:tab w:val="left" w:pos="709"/>
        </w:tabs>
        <w:jc w:val="both"/>
        <w:rPr>
          <w:szCs w:val="22"/>
          <w:lang w:val="lt-LT" w:eastAsia="lt-LT"/>
        </w:rPr>
      </w:pPr>
      <w:r w:rsidRPr="0024019E">
        <w:rPr>
          <w:szCs w:val="22"/>
          <w:lang w:val="lt-LT" w:eastAsia="lt-LT"/>
        </w:rPr>
        <w:t xml:space="preserve">- </w:t>
      </w:r>
      <w:r w:rsidRPr="0024019E">
        <w:rPr>
          <w:szCs w:val="22"/>
          <w:lang w:val="lt-LT" w:eastAsia="lt-LT"/>
        </w:rPr>
        <w:tab/>
        <w:t>plaukų slinkimas, kuris tam tikrais atvejais gali būti nuolatinis;</w:t>
      </w:r>
    </w:p>
    <w:p w:rsidR="00041FBE" w:rsidRPr="0024019E" w:rsidRDefault="00041FBE" w:rsidP="00041FBE">
      <w:pPr>
        <w:tabs>
          <w:tab w:val="left" w:pos="709"/>
        </w:tabs>
        <w:ind w:left="567" w:hanging="567"/>
        <w:jc w:val="both"/>
        <w:rPr>
          <w:szCs w:val="22"/>
          <w:lang w:val="lt-LT" w:eastAsia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</w:r>
      <w:r w:rsidRPr="0024019E">
        <w:rPr>
          <w:szCs w:val="22"/>
          <w:lang w:val="lt-LT" w:eastAsia="lt-LT"/>
        </w:rPr>
        <w:t xml:space="preserve">sutrikimai kraujyje ir kepenyse, tokie kaip </w:t>
      </w:r>
      <w:proofErr w:type="spellStart"/>
      <w:r w:rsidRPr="0024019E">
        <w:rPr>
          <w:szCs w:val="22"/>
          <w:lang w:val="lt-LT" w:eastAsia="lt-LT"/>
        </w:rPr>
        <w:t>neutropenija</w:t>
      </w:r>
      <w:proofErr w:type="spellEnd"/>
      <w:r w:rsidRPr="0024019E">
        <w:rPr>
          <w:szCs w:val="22"/>
          <w:lang w:val="lt-LT" w:eastAsia="lt-LT"/>
        </w:rPr>
        <w:t>, hepatitas ir nefiziologiniai kepenų funkcijos tyrimo pakitimai.</w:t>
      </w:r>
    </w:p>
    <w:p w:rsidR="00041FBE" w:rsidRPr="0024019E" w:rsidRDefault="00041FBE" w:rsidP="00041FBE">
      <w:pPr>
        <w:pStyle w:val="EMEAEnBodyText"/>
        <w:tabs>
          <w:tab w:val="left" w:pos="567"/>
        </w:tabs>
        <w:spacing w:before="0" w:after="0"/>
        <w:ind w:left="567" w:hanging="567"/>
        <w:jc w:val="left"/>
        <w:rPr>
          <w:szCs w:val="22"/>
          <w:lang w:val="lt-LT"/>
        </w:rPr>
      </w:pPr>
    </w:p>
    <w:p w:rsidR="00041FBE" w:rsidRPr="0024019E" w:rsidRDefault="00041FBE" w:rsidP="00041FBE">
      <w:pPr>
        <w:pStyle w:val="EMEAEnBodyText"/>
        <w:tabs>
          <w:tab w:val="left" w:pos="0"/>
          <w:tab w:val="left" w:pos="567"/>
        </w:tabs>
        <w:spacing w:before="0" w:after="0"/>
        <w:ind w:left="567" w:hanging="567"/>
        <w:jc w:val="left"/>
        <w:rPr>
          <w:szCs w:val="22"/>
          <w:lang w:val="lt-LT"/>
        </w:rPr>
      </w:pPr>
    </w:p>
    <w:p w:rsidR="00041FBE" w:rsidRPr="0024019E" w:rsidRDefault="00041FBE" w:rsidP="00041FBE">
      <w:pPr>
        <w:pStyle w:val="EMEAEnBodyText"/>
        <w:tabs>
          <w:tab w:val="left" w:pos="0"/>
          <w:tab w:val="left" w:pos="567"/>
        </w:tabs>
        <w:spacing w:before="0" w:after="0"/>
        <w:ind w:left="567" w:hanging="567"/>
        <w:jc w:val="left"/>
        <w:rPr>
          <w:szCs w:val="22"/>
          <w:lang w:val="lt-LT"/>
        </w:rPr>
      </w:pPr>
      <w:r w:rsidRPr="0024019E">
        <w:rPr>
          <w:szCs w:val="22"/>
          <w:lang w:val="lt-LT"/>
        </w:rPr>
        <w:t xml:space="preserve">Jeigu atsiranda toliau išvardytų simptomų, </w:t>
      </w:r>
      <w:r w:rsidRPr="004161DF">
        <w:rPr>
          <w:b/>
          <w:bCs/>
          <w:szCs w:val="22"/>
          <w:lang w:val="lt-LT"/>
        </w:rPr>
        <w:t>nedelsdami kreipkitės į gydytoją</w:t>
      </w:r>
      <w:r w:rsidRPr="004161DF">
        <w:rPr>
          <w:bCs/>
          <w:szCs w:val="22"/>
          <w:lang w:val="lt-LT"/>
        </w:rPr>
        <w:t>:</w:t>
      </w:r>
    </w:p>
    <w:p w:rsidR="00041FBE" w:rsidRPr="0024019E" w:rsidRDefault="00041FBE" w:rsidP="00041FBE">
      <w:pPr>
        <w:pStyle w:val="EMEAEnBodyText"/>
        <w:tabs>
          <w:tab w:val="left" w:pos="0"/>
          <w:tab w:val="left" w:pos="567"/>
        </w:tabs>
        <w:spacing w:before="0" w:after="0"/>
        <w:ind w:left="567" w:hanging="567"/>
        <w:jc w:val="left"/>
        <w:rPr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sunkus odos sutrikimas, pasireiškiantis išbėrimais, pūslelėmis odoje ir opomis burnoje, akyse ar išangės – lytinių organų srityje, kartu su karščiavimu;</w:t>
      </w:r>
    </w:p>
    <w:p w:rsidR="00041FBE" w:rsidRPr="0024019E" w:rsidRDefault="00041FBE" w:rsidP="00041FBE">
      <w:pPr>
        <w:pStyle w:val="EMEAEnBodyText"/>
        <w:tabs>
          <w:tab w:val="left" w:pos="0"/>
          <w:tab w:val="left" w:pos="567"/>
        </w:tabs>
        <w:spacing w:before="0" w:after="0"/>
        <w:ind w:left="567" w:hanging="567"/>
        <w:jc w:val="left"/>
        <w:rPr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>sunki padidėjusio jautrumo reakcija, kuri pasireiškia netrukus po vaisto pavartojimo ir kuriai tarp kitų galimų simptomų gali būti būdinga dilgėlinė, niežulys, paraudimas, nualpimas ir pasunkėjęs kvėpavimas;</w:t>
      </w:r>
    </w:p>
    <w:p w:rsidR="00041FBE" w:rsidRPr="0024019E" w:rsidRDefault="00041FBE" w:rsidP="00041FBE">
      <w:pPr>
        <w:tabs>
          <w:tab w:val="left" w:pos="0"/>
        </w:tabs>
        <w:spacing w:line="240" w:lineRule="auto"/>
        <w:ind w:left="567" w:hanging="567"/>
        <w:rPr>
          <w:szCs w:val="22"/>
          <w:lang w:val="lt-LT"/>
        </w:rPr>
      </w:pPr>
      <w:r w:rsidRPr="0024019E">
        <w:rPr>
          <w:szCs w:val="22"/>
          <w:lang w:val="lt-LT"/>
        </w:rPr>
        <w:t>-</w:t>
      </w:r>
      <w:r w:rsidRPr="0024019E">
        <w:rPr>
          <w:szCs w:val="22"/>
          <w:lang w:val="lt-LT"/>
        </w:rPr>
        <w:tab/>
        <w:t xml:space="preserve">buvo pranešta apie pacientams, įskaitant kūdikius, pasireiškusius traukulius (priepuolius). Jaunesnius nei </w:t>
      </w:r>
      <w:r>
        <w:rPr>
          <w:szCs w:val="22"/>
          <w:lang w:val="lt-LT"/>
        </w:rPr>
        <w:t>2</w:t>
      </w:r>
      <w:r w:rsidRPr="0024019E">
        <w:rPr>
          <w:szCs w:val="22"/>
          <w:lang w:val="lt-LT"/>
        </w:rPr>
        <w:t xml:space="preserve"> metų vaikus gydyti </w:t>
      </w:r>
      <w:proofErr w:type="spellStart"/>
      <w:r w:rsidRPr="0024019E">
        <w:rPr>
          <w:szCs w:val="22"/>
          <w:lang w:val="lt-LT"/>
        </w:rPr>
        <w:t>Vermox</w:t>
      </w:r>
      <w:proofErr w:type="spellEnd"/>
      <w:r w:rsidRPr="0024019E">
        <w:rPr>
          <w:szCs w:val="22"/>
          <w:lang w:val="lt-LT"/>
        </w:rPr>
        <w:t xml:space="preserve"> galima tik gydytojo leidimu.</w:t>
      </w:r>
    </w:p>
    <w:p w:rsidR="00041FBE" w:rsidRPr="0024019E" w:rsidRDefault="00041FBE" w:rsidP="00041FBE">
      <w:pPr>
        <w:ind w:left="567" w:hanging="567"/>
        <w:rPr>
          <w:noProof/>
          <w:szCs w:val="22"/>
          <w:lang w:val="lt-LT"/>
        </w:rPr>
      </w:pPr>
    </w:p>
    <w:p w:rsidR="00041FBE" w:rsidRPr="0081792E" w:rsidRDefault="00041FBE" w:rsidP="00041FBE">
      <w:pPr>
        <w:rPr>
          <w:b/>
          <w:noProof/>
          <w:snapToGrid w:val="0"/>
          <w:color w:val="000000"/>
          <w:szCs w:val="22"/>
          <w:lang w:val="lt-LT"/>
        </w:rPr>
      </w:pPr>
    </w:p>
    <w:p w:rsidR="00041FBE" w:rsidRPr="0081792E" w:rsidRDefault="00041FBE" w:rsidP="00041FBE">
      <w:pPr>
        <w:rPr>
          <w:b/>
          <w:snapToGrid w:val="0"/>
          <w:color w:val="000000"/>
          <w:szCs w:val="22"/>
          <w:lang w:val="lt-LT"/>
        </w:rPr>
      </w:pPr>
      <w:r w:rsidRPr="0081792E">
        <w:rPr>
          <w:b/>
          <w:noProof/>
          <w:snapToGrid w:val="0"/>
          <w:color w:val="000000"/>
          <w:szCs w:val="22"/>
          <w:lang w:val="lt-LT"/>
        </w:rPr>
        <w:t>Pranešimas apie šalutinį poveikį</w:t>
      </w:r>
    </w:p>
    <w:p w:rsidR="00041FBE" w:rsidRPr="0081792E" w:rsidRDefault="00041FBE" w:rsidP="00041FBE">
      <w:pPr>
        <w:pStyle w:val="Pagrindinistekstas"/>
        <w:rPr>
          <w:b/>
          <w:i w:val="0"/>
          <w:color w:val="000000"/>
          <w:szCs w:val="22"/>
          <w:lang w:val="lt-LT"/>
        </w:rPr>
      </w:pPr>
      <w:r w:rsidRPr="0081792E">
        <w:rPr>
          <w:i w:val="0"/>
          <w:snapToGrid w:val="0"/>
          <w:color w:val="000000"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81792E">
        <w:rPr>
          <w:i w:val="0"/>
          <w:snapToGrid w:val="0"/>
          <w:color w:val="000000"/>
          <w:szCs w:val="22"/>
          <w:lang w:val="lt-LT" w:eastAsia="zh-CN"/>
        </w:rPr>
        <w:t>elefonu 8 800 73568</w:t>
      </w:r>
      <w:r w:rsidRPr="0081792E">
        <w:rPr>
          <w:i w:val="0"/>
          <w:snapToGrid w:val="0"/>
          <w:color w:val="000000"/>
          <w:szCs w:val="22"/>
          <w:lang w:val="lt-LT"/>
        </w:rPr>
        <w:t xml:space="preserve"> arba užpildyti interneto svetainėje</w:t>
      </w:r>
      <w:r w:rsidRPr="0024019E">
        <w:rPr>
          <w:i w:val="0"/>
          <w:snapToGrid w:val="0"/>
          <w:szCs w:val="22"/>
          <w:lang w:val="lt-LT"/>
        </w:rPr>
        <w:t xml:space="preserve"> </w:t>
      </w:r>
      <w:hyperlink r:id="rId5" w:history="1">
        <w:r w:rsidRPr="0024019E">
          <w:rPr>
            <w:rFonts w:eastAsia="SimSun"/>
            <w:i w:val="0"/>
            <w:snapToGrid w:val="0"/>
            <w:color w:val="0000FF"/>
            <w:szCs w:val="22"/>
            <w:u w:val="single"/>
            <w:lang w:val="lt-LT"/>
          </w:rPr>
          <w:t>www.vvkt.lt</w:t>
        </w:r>
      </w:hyperlink>
      <w:r w:rsidRPr="0024019E">
        <w:rPr>
          <w:i w:val="0"/>
          <w:snapToGrid w:val="0"/>
          <w:szCs w:val="22"/>
          <w:lang w:val="lt-LT"/>
        </w:rPr>
        <w:t xml:space="preserve"> </w:t>
      </w:r>
      <w:r w:rsidRPr="0081792E">
        <w:rPr>
          <w:i w:val="0"/>
          <w:snapToGrid w:val="0"/>
          <w:color w:val="000000"/>
          <w:szCs w:val="22"/>
          <w:lang w:val="lt-LT"/>
        </w:rPr>
        <w:t xml:space="preserve">esančią formą ir pateikti ją Valstybinei vaistų kontrolės tarnybai prie Lietuvos Respublikos sveikatos apsaugos ministerijos vienu iš šių būdų: raštu (adresu Žirmūnų g. 139A, LT-09120 Vilnius), </w:t>
      </w:r>
      <w:r w:rsidRPr="0081792E">
        <w:rPr>
          <w:i w:val="0"/>
          <w:snapToGrid w:val="0"/>
          <w:color w:val="000000"/>
          <w:szCs w:val="22"/>
          <w:lang w:val="lt-LT" w:eastAsia="zh-CN"/>
        </w:rPr>
        <w:t xml:space="preserve">nemokamu </w:t>
      </w:r>
      <w:r w:rsidRPr="0081792E">
        <w:rPr>
          <w:i w:val="0"/>
          <w:snapToGrid w:val="0"/>
          <w:color w:val="000000"/>
          <w:szCs w:val="22"/>
          <w:lang w:val="lt-LT"/>
        </w:rPr>
        <w:t>fakso numeriu 8 800 20131</w:t>
      </w:r>
      <w:r w:rsidRPr="0081792E">
        <w:rPr>
          <w:i w:val="0"/>
          <w:snapToGrid w:val="0"/>
          <w:color w:val="000000"/>
          <w:szCs w:val="22"/>
          <w:lang w:val="lt-LT" w:eastAsia="zh-CN"/>
        </w:rPr>
        <w:t xml:space="preserve">, </w:t>
      </w:r>
      <w:r w:rsidRPr="0081792E">
        <w:rPr>
          <w:i w:val="0"/>
          <w:snapToGrid w:val="0"/>
          <w:color w:val="000000"/>
          <w:szCs w:val="22"/>
          <w:lang w:val="lt-LT"/>
        </w:rPr>
        <w:t>el. paštu</w:t>
      </w:r>
      <w:r w:rsidRPr="0024019E">
        <w:rPr>
          <w:i w:val="0"/>
          <w:snapToGrid w:val="0"/>
          <w:szCs w:val="22"/>
          <w:lang w:val="lt-LT"/>
        </w:rPr>
        <w:t xml:space="preserve"> </w:t>
      </w:r>
      <w:hyperlink r:id="rId6" w:history="1">
        <w:r w:rsidRPr="0024019E">
          <w:rPr>
            <w:rFonts w:eastAsia="SimSun"/>
            <w:i w:val="0"/>
            <w:snapToGrid w:val="0"/>
            <w:color w:val="0000FF"/>
            <w:szCs w:val="22"/>
            <w:u w:val="single"/>
            <w:lang w:val="lt-LT"/>
          </w:rPr>
          <w:t>NepageidaujamaR@vvkt.lt</w:t>
        </w:r>
      </w:hyperlink>
      <w:r w:rsidRPr="0024019E">
        <w:rPr>
          <w:i w:val="0"/>
          <w:snapToGrid w:val="0"/>
          <w:szCs w:val="22"/>
          <w:lang w:val="lt-LT"/>
        </w:rPr>
        <w:t xml:space="preserve">, </w:t>
      </w:r>
      <w:r w:rsidRPr="0081792E">
        <w:rPr>
          <w:i w:val="0"/>
          <w:snapToGrid w:val="0"/>
          <w:color w:val="000000"/>
          <w:szCs w:val="22"/>
          <w:lang w:val="lt-LT"/>
        </w:rPr>
        <w:t>taip pat per Valstybinės vaistų kontrolės tarnybos prie Lietuvos Respublikos sveikatos apsaugos ministerijos interneto svetainę (adresu</w:t>
      </w:r>
      <w:r w:rsidRPr="0024019E">
        <w:rPr>
          <w:i w:val="0"/>
          <w:snapToGrid w:val="0"/>
          <w:szCs w:val="22"/>
          <w:lang w:val="lt-LT"/>
        </w:rPr>
        <w:t xml:space="preserve"> </w:t>
      </w:r>
      <w:hyperlink r:id="rId7" w:history="1">
        <w:r w:rsidRPr="0024019E">
          <w:rPr>
            <w:rFonts w:eastAsia="SimSun"/>
            <w:i w:val="0"/>
            <w:snapToGrid w:val="0"/>
            <w:color w:val="0000FF"/>
            <w:szCs w:val="22"/>
            <w:u w:val="single"/>
            <w:lang w:val="lt-LT"/>
          </w:rPr>
          <w:t>http://www.vvkt.lt</w:t>
        </w:r>
      </w:hyperlink>
      <w:r w:rsidRPr="0024019E">
        <w:rPr>
          <w:i w:val="0"/>
          <w:snapToGrid w:val="0"/>
          <w:szCs w:val="22"/>
          <w:lang w:val="lt-LT"/>
        </w:rPr>
        <w:t>)</w:t>
      </w:r>
      <w:r w:rsidRPr="0081792E">
        <w:rPr>
          <w:i w:val="0"/>
          <w:snapToGrid w:val="0"/>
          <w:color w:val="000000"/>
          <w:szCs w:val="22"/>
          <w:lang w:val="lt-LT"/>
        </w:rPr>
        <w:t>. Pranešdami apie šalutinį poveikį galite mums padėti gauti daugiau informacijos apie šio vaisto saugumą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left="567" w:right="-2" w:hanging="567"/>
        <w:rPr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5.</w:t>
      </w:r>
      <w:r w:rsidRPr="0024019E">
        <w:rPr>
          <w:b/>
          <w:noProof/>
          <w:szCs w:val="22"/>
          <w:lang w:val="lt-LT"/>
        </w:rPr>
        <w:tab/>
        <w:t>KAIP LAIKYTI VERMOX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4019E">
        <w:rPr>
          <w:szCs w:val="22"/>
          <w:lang w:val="lt-LT"/>
        </w:rPr>
        <w:t>Šį vaistą laikykite vaikams nepastebimoje ir nepasiekiamoje vietoje.</w:t>
      </w: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Šiam vaistiniam preparatui specialių laikymo sąlygų nereikia.</w:t>
      </w:r>
    </w:p>
    <w:p w:rsidR="00041FB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B392D">
        <w:t xml:space="preserve">Ant </w:t>
      </w:r>
      <w:proofErr w:type="spellStart"/>
      <w:r w:rsidRPr="001B392D">
        <w:t>dėžutės</w:t>
      </w:r>
      <w:proofErr w:type="spellEnd"/>
      <w:r w:rsidRPr="001B392D">
        <w:t xml:space="preserve"> </w:t>
      </w:r>
      <w:proofErr w:type="spellStart"/>
      <w:r w:rsidRPr="001B392D">
        <w:t>ir</w:t>
      </w:r>
      <w:proofErr w:type="spellEnd"/>
      <w:r w:rsidRPr="001B392D">
        <w:t xml:space="preserve"> </w:t>
      </w:r>
      <w:proofErr w:type="spellStart"/>
      <w:r w:rsidRPr="001B392D">
        <w:t>lizdinės</w:t>
      </w:r>
      <w:proofErr w:type="spellEnd"/>
      <w:r w:rsidRPr="001B392D">
        <w:t xml:space="preserve"> </w:t>
      </w:r>
      <w:proofErr w:type="spellStart"/>
      <w:r w:rsidRPr="001B392D">
        <w:t>plokštelės</w:t>
      </w:r>
      <w:proofErr w:type="spellEnd"/>
      <w:r w:rsidRPr="001B392D">
        <w:t xml:space="preserve"> </w:t>
      </w:r>
      <w:proofErr w:type="spellStart"/>
      <w:r w:rsidRPr="001B392D">
        <w:t>po</w:t>
      </w:r>
      <w:proofErr w:type="spellEnd"/>
      <w:r w:rsidRPr="001B392D">
        <w:t xml:space="preserve"> „</w:t>
      </w:r>
      <w:proofErr w:type="spellStart"/>
      <w:r w:rsidRPr="001B392D">
        <w:t>Tinka</w:t>
      </w:r>
      <w:proofErr w:type="spellEnd"/>
      <w:r w:rsidRPr="001B392D">
        <w:t xml:space="preserve"> </w:t>
      </w:r>
      <w:proofErr w:type="spellStart"/>
      <w:r w:rsidRPr="001B392D">
        <w:t>iki</w:t>
      </w:r>
      <w:proofErr w:type="spellEnd"/>
      <w:r>
        <w:t>/</w:t>
      </w:r>
      <w:proofErr w:type="gramStart"/>
      <w:r w:rsidRPr="001B392D">
        <w:t>EXP“</w:t>
      </w:r>
      <w:r>
        <w:t xml:space="preserve"> </w:t>
      </w:r>
      <w:proofErr w:type="spellStart"/>
      <w:r w:rsidRPr="001B392D">
        <w:t>nurodytam</w:t>
      </w:r>
      <w:proofErr w:type="spellEnd"/>
      <w:proofErr w:type="gramEnd"/>
      <w:r w:rsidRPr="001B392D">
        <w:t xml:space="preserve"> </w:t>
      </w:r>
      <w:proofErr w:type="spellStart"/>
      <w:r w:rsidRPr="001B392D">
        <w:t>tinkamumo</w:t>
      </w:r>
      <w:proofErr w:type="spellEnd"/>
      <w:r w:rsidRPr="001B392D">
        <w:t xml:space="preserve"> </w:t>
      </w:r>
      <w:proofErr w:type="spellStart"/>
      <w:r w:rsidRPr="001B392D">
        <w:t>laikui</w:t>
      </w:r>
      <w:proofErr w:type="spellEnd"/>
      <w:r w:rsidRPr="001B392D">
        <w:t xml:space="preserve"> </w:t>
      </w:r>
      <w:proofErr w:type="spellStart"/>
      <w:r w:rsidRPr="001B392D">
        <w:t>pasibaigus</w:t>
      </w:r>
      <w:proofErr w:type="spellEnd"/>
      <w:r w:rsidRPr="001B392D">
        <w:t xml:space="preserve">,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vaisto</w:t>
      </w:r>
      <w:proofErr w:type="spellEnd"/>
      <w:r w:rsidRPr="001B392D">
        <w:t xml:space="preserve"> </w:t>
      </w:r>
      <w:proofErr w:type="spellStart"/>
      <w:r w:rsidRPr="001B392D">
        <w:t>vartoti</w:t>
      </w:r>
      <w:proofErr w:type="spellEnd"/>
      <w:r w:rsidRPr="001B392D">
        <w:t xml:space="preserve"> </w:t>
      </w:r>
      <w:proofErr w:type="spellStart"/>
      <w:r w:rsidRPr="001B392D">
        <w:t>negalima</w:t>
      </w:r>
      <w:proofErr w:type="spellEnd"/>
      <w:r w:rsidRPr="001B392D">
        <w:t>.</w:t>
      </w:r>
      <w:r w:rsidRPr="004161DF">
        <w:rPr>
          <w:szCs w:val="22"/>
          <w:lang w:val="lt-LT"/>
        </w:rPr>
        <w:t xml:space="preserve"> </w:t>
      </w:r>
      <w:r w:rsidRPr="0024019E">
        <w:rPr>
          <w:szCs w:val="22"/>
          <w:lang w:val="lt-LT"/>
        </w:rPr>
        <w:t>Vaistas tinkamas vartoti iki paskutinės nurodyto mėnesio dienos.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  <w:r w:rsidRPr="0024019E">
        <w:rPr>
          <w:szCs w:val="22"/>
          <w:lang w:val="lt-LT"/>
        </w:rPr>
        <w:t>Vaistų negalima išmesti į kanalizaciją arba su buitinėmis atliekomis. Kaip išmesti  nereikalingus vaistus, klauskite vaistininko. Šios priemonės padės apsaugoti aplinką.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  <w:lang w:val="lt-LT"/>
        </w:rPr>
      </w:pPr>
    </w:p>
    <w:p w:rsidR="00041FBE" w:rsidRPr="0024019E" w:rsidRDefault="00041FBE" w:rsidP="00041FBE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  <w:lang w:val="lt-LT"/>
        </w:rPr>
      </w:pPr>
      <w:r w:rsidRPr="0024019E">
        <w:rPr>
          <w:b/>
          <w:noProof/>
          <w:szCs w:val="22"/>
          <w:lang w:val="lt-LT"/>
        </w:rPr>
        <w:t>6.</w:t>
      </w:r>
      <w:r w:rsidRPr="0024019E">
        <w:rPr>
          <w:b/>
          <w:noProof/>
          <w:szCs w:val="22"/>
          <w:lang w:val="lt-LT"/>
        </w:rPr>
        <w:tab/>
        <w:t>PAKUOTĖS TURINYS IR KITA INFORMACIJA</w:t>
      </w:r>
    </w:p>
    <w:p w:rsidR="00041FBE" w:rsidRPr="0024019E" w:rsidRDefault="00041FBE" w:rsidP="00041FBE">
      <w:pPr>
        <w:keepNext/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041FBE" w:rsidRPr="0024019E" w:rsidRDefault="00041FBE" w:rsidP="00041FBE">
      <w:pPr>
        <w:keepNext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lt-LT"/>
        </w:rPr>
      </w:pPr>
      <w:r w:rsidRPr="0024019E">
        <w:rPr>
          <w:b/>
          <w:bCs/>
          <w:noProof/>
          <w:szCs w:val="22"/>
          <w:lang w:val="lt-LT"/>
        </w:rPr>
        <w:t>Vermox sudėtis</w:t>
      </w:r>
    </w:p>
    <w:p w:rsidR="00041FBE" w:rsidRPr="0024019E" w:rsidRDefault="00041FBE" w:rsidP="00041FBE">
      <w:pPr>
        <w:keepNext/>
        <w:numPr>
          <w:ilvl w:val="0"/>
          <w:numId w:val="1"/>
        </w:numPr>
        <w:spacing w:line="240" w:lineRule="auto"/>
        <w:ind w:left="567" w:hanging="567"/>
        <w:rPr>
          <w:i/>
          <w:iCs/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>Veiklioji medžiaga yra mebendazolas.</w:t>
      </w:r>
      <w:r w:rsidRPr="0024019E">
        <w:rPr>
          <w:szCs w:val="22"/>
          <w:lang w:val="lt-LT"/>
        </w:rPr>
        <w:t xml:space="preserve"> Kiekvienoje tabletėje yra 100 mg </w:t>
      </w:r>
      <w:proofErr w:type="spellStart"/>
      <w:r w:rsidRPr="0024019E">
        <w:rPr>
          <w:szCs w:val="22"/>
          <w:lang w:val="lt-LT"/>
        </w:rPr>
        <w:t>mebendazolo</w:t>
      </w:r>
      <w:proofErr w:type="spellEnd"/>
      <w:r w:rsidRPr="0024019E">
        <w:rPr>
          <w:szCs w:val="22"/>
          <w:lang w:val="lt-LT"/>
        </w:rPr>
        <w:t>.</w:t>
      </w:r>
    </w:p>
    <w:p w:rsidR="00041FBE" w:rsidRPr="0024019E" w:rsidRDefault="00041FBE" w:rsidP="00041FBE">
      <w:pPr>
        <w:keepNext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24019E">
        <w:rPr>
          <w:noProof/>
          <w:szCs w:val="22"/>
          <w:lang w:val="lt-LT"/>
        </w:rPr>
        <w:t xml:space="preserve">Pagalbinės medžiagos yra </w:t>
      </w:r>
      <w:proofErr w:type="spellStart"/>
      <w:r w:rsidRPr="0024019E">
        <w:rPr>
          <w:szCs w:val="22"/>
          <w:lang w:val="lt-LT"/>
        </w:rPr>
        <w:t>mikrokristalinė</w:t>
      </w:r>
      <w:proofErr w:type="spellEnd"/>
      <w:r w:rsidRPr="0024019E">
        <w:rPr>
          <w:szCs w:val="22"/>
          <w:lang w:val="lt-LT"/>
        </w:rPr>
        <w:t xml:space="preserve"> celiuliozė, </w:t>
      </w:r>
      <w:proofErr w:type="spellStart"/>
      <w:r w:rsidRPr="0024019E">
        <w:rPr>
          <w:szCs w:val="22"/>
          <w:lang w:val="lt-LT"/>
        </w:rPr>
        <w:t>karboksimetilkrakmolo</w:t>
      </w:r>
      <w:proofErr w:type="spellEnd"/>
      <w:r w:rsidRPr="0024019E">
        <w:rPr>
          <w:szCs w:val="22"/>
          <w:lang w:val="lt-LT"/>
        </w:rPr>
        <w:t xml:space="preserve"> A natrio druska, talkas, kukurūzų krakmolas, sacharino natrio druska, magnio </w:t>
      </w:r>
      <w:proofErr w:type="spellStart"/>
      <w:r w:rsidRPr="0024019E">
        <w:rPr>
          <w:szCs w:val="22"/>
          <w:lang w:val="lt-LT"/>
        </w:rPr>
        <w:t>stearatas</w:t>
      </w:r>
      <w:proofErr w:type="spellEnd"/>
      <w:r w:rsidRPr="0024019E">
        <w:rPr>
          <w:szCs w:val="22"/>
          <w:lang w:val="lt-LT"/>
        </w:rPr>
        <w:t xml:space="preserve">, </w:t>
      </w:r>
      <w:proofErr w:type="spellStart"/>
      <w:r w:rsidRPr="0024019E">
        <w:rPr>
          <w:szCs w:val="22"/>
          <w:lang w:val="lt-LT"/>
        </w:rPr>
        <w:t>hidrintas</w:t>
      </w:r>
      <w:proofErr w:type="spellEnd"/>
      <w:r w:rsidRPr="0024019E">
        <w:rPr>
          <w:szCs w:val="22"/>
          <w:lang w:val="lt-LT"/>
        </w:rPr>
        <w:t xml:space="preserve"> augalinis aliejus, apelsinų kvapo medžiaga, bevandenis koloidinis silicio dioksidas, natrio </w:t>
      </w:r>
      <w:proofErr w:type="spellStart"/>
      <w:r w:rsidRPr="0024019E">
        <w:rPr>
          <w:szCs w:val="22"/>
          <w:lang w:val="lt-LT"/>
        </w:rPr>
        <w:t>laurilsulfatas</w:t>
      </w:r>
      <w:proofErr w:type="spellEnd"/>
      <w:r w:rsidRPr="0024019E">
        <w:rPr>
          <w:szCs w:val="22"/>
          <w:lang w:val="lt-LT"/>
        </w:rPr>
        <w:t xml:space="preserve"> ir saulėlydžio geltonasis FCF </w:t>
      </w:r>
      <w:r w:rsidRPr="0024019E">
        <w:rPr>
          <w:noProof/>
          <w:szCs w:val="22"/>
          <w:lang w:val="lt-LT"/>
        </w:rPr>
        <w:t>(</w:t>
      </w:r>
      <w:r w:rsidRPr="0024019E">
        <w:rPr>
          <w:szCs w:val="22"/>
          <w:lang w:val="lt-LT"/>
        </w:rPr>
        <w:t>E110).</w:t>
      </w:r>
    </w:p>
    <w:p w:rsidR="00041FBE" w:rsidRPr="0024019E" w:rsidRDefault="00041FBE" w:rsidP="00041FBE">
      <w:p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keepNext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lt-LT"/>
        </w:rPr>
      </w:pPr>
      <w:r w:rsidRPr="0024019E">
        <w:rPr>
          <w:b/>
          <w:bCs/>
          <w:noProof/>
          <w:szCs w:val="22"/>
          <w:lang w:val="lt-LT"/>
        </w:rPr>
        <w:t>Vermox išvaizda ir kiekis pakuotėje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24019E">
        <w:rPr>
          <w:noProof/>
          <w:szCs w:val="22"/>
          <w:lang w:val="lt-LT"/>
        </w:rPr>
        <w:t xml:space="preserve">Vermox 100 mg tabletės yra švelniai </w:t>
      </w:r>
      <w:r w:rsidRPr="0024019E">
        <w:rPr>
          <w:szCs w:val="22"/>
          <w:lang w:val="lt-LT"/>
        </w:rPr>
        <w:t>oranžinės spalvos, kurių vienoje pusėje yra užrašas JANSSEN, o kitoje pusėje – užrašas „Me/100“</w:t>
      </w:r>
      <w:r w:rsidRPr="0024019E">
        <w:rPr>
          <w:noProof/>
          <w:szCs w:val="22"/>
          <w:lang w:val="lt-LT"/>
        </w:rPr>
        <w:t>.</w:t>
      </w:r>
      <w:r w:rsidRPr="0024019E">
        <w:rPr>
          <w:spacing w:val="-2"/>
          <w:szCs w:val="22"/>
          <w:lang w:val="lt-LT"/>
        </w:rPr>
        <w:t xml:space="preserve"> </w:t>
      </w:r>
      <w:r w:rsidRPr="0024019E">
        <w:rPr>
          <w:szCs w:val="22"/>
          <w:lang w:val="lt-LT"/>
        </w:rPr>
        <w:t>Vagelė skirta tik tabletei perlaužti, kad būtų lengviau nuryti, bet ne jai padalyti į lygias dozes.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spacing w:val="-2"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24019E">
        <w:rPr>
          <w:spacing w:val="-2"/>
          <w:szCs w:val="22"/>
          <w:lang w:val="lt-LT"/>
        </w:rPr>
        <w:t xml:space="preserve">Tabletės yra supakuotos į lizdinę plokštelę (6 tabletės), kuri įdėta į kartono dėžutę. 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lt-LT"/>
        </w:rPr>
      </w:pPr>
      <w:r w:rsidRPr="0024019E">
        <w:rPr>
          <w:b/>
          <w:bCs/>
          <w:noProof/>
          <w:szCs w:val="22"/>
          <w:lang w:val="lt-LT"/>
        </w:rPr>
        <w:t>Gamintojas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24019E">
        <w:rPr>
          <w:szCs w:val="22"/>
          <w:lang w:val="lt-LT"/>
        </w:rPr>
        <w:t>FAMAR SA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24019E">
        <w:rPr>
          <w:szCs w:val="22"/>
          <w:lang w:val="lt-LT"/>
        </w:rPr>
        <w:t xml:space="preserve">B‘ </w:t>
      </w:r>
      <w:proofErr w:type="spellStart"/>
      <w:r w:rsidRPr="0024019E">
        <w:rPr>
          <w:szCs w:val="22"/>
          <w:lang w:val="lt-LT"/>
        </w:rPr>
        <w:t>Anthousis</w:t>
      </w:r>
      <w:proofErr w:type="spellEnd"/>
      <w:r w:rsidRPr="0024019E">
        <w:rPr>
          <w:szCs w:val="22"/>
          <w:lang w:val="lt-LT"/>
        </w:rPr>
        <w:t xml:space="preserve"> </w:t>
      </w:r>
      <w:proofErr w:type="spellStart"/>
      <w:r w:rsidRPr="0024019E">
        <w:rPr>
          <w:szCs w:val="22"/>
          <w:lang w:val="lt-LT"/>
        </w:rPr>
        <w:t>Avenue</w:t>
      </w:r>
      <w:proofErr w:type="spellEnd"/>
      <w:r w:rsidRPr="0024019E">
        <w:rPr>
          <w:szCs w:val="22"/>
          <w:lang w:val="lt-LT"/>
        </w:rPr>
        <w:t xml:space="preserve">, PC 153 44 </w:t>
      </w:r>
      <w:proofErr w:type="spellStart"/>
      <w:r w:rsidRPr="0024019E">
        <w:rPr>
          <w:szCs w:val="22"/>
          <w:lang w:val="lt-LT"/>
        </w:rPr>
        <w:t>Anthousa</w:t>
      </w:r>
      <w:proofErr w:type="spellEnd"/>
      <w:r w:rsidRPr="0024019E">
        <w:rPr>
          <w:szCs w:val="22"/>
          <w:lang w:val="lt-LT"/>
        </w:rPr>
        <w:t xml:space="preserve">, </w:t>
      </w:r>
      <w:proofErr w:type="spellStart"/>
      <w:r w:rsidRPr="0024019E">
        <w:rPr>
          <w:szCs w:val="22"/>
          <w:lang w:val="lt-LT"/>
        </w:rPr>
        <w:t>Attica</w:t>
      </w:r>
      <w:proofErr w:type="spellEnd"/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24019E">
        <w:rPr>
          <w:szCs w:val="22"/>
          <w:lang w:val="lt-LT"/>
        </w:rPr>
        <w:t>Graikija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ind w:left="567" w:hanging="567"/>
        <w:rPr>
          <w:b/>
          <w:szCs w:val="22"/>
          <w:lang w:val="lt-LT"/>
        </w:rPr>
      </w:pPr>
      <w:r w:rsidRPr="0024019E">
        <w:rPr>
          <w:b/>
          <w:szCs w:val="22"/>
          <w:lang w:val="lt-LT"/>
        </w:rPr>
        <w:t xml:space="preserve">Lygiagretus importuotojas </w:t>
      </w:r>
    </w:p>
    <w:p w:rsidR="00041FBE" w:rsidRPr="0024019E" w:rsidRDefault="00041FBE" w:rsidP="00041FBE">
      <w:pPr>
        <w:spacing w:line="240" w:lineRule="auto"/>
        <w:ind w:left="567" w:hanging="567"/>
        <w:rPr>
          <w:szCs w:val="22"/>
          <w:lang w:val="lt-LT"/>
        </w:rPr>
      </w:pPr>
      <w:r w:rsidRPr="0024019E">
        <w:rPr>
          <w:szCs w:val="22"/>
          <w:lang w:val="lt-LT"/>
        </w:rPr>
        <w:t>UAB “</w:t>
      </w:r>
      <w:proofErr w:type="spellStart"/>
      <w:r w:rsidRPr="0024019E">
        <w:rPr>
          <w:szCs w:val="22"/>
          <w:lang w:val="lt-LT"/>
        </w:rPr>
        <w:t>Lex</w:t>
      </w:r>
      <w:proofErr w:type="spellEnd"/>
      <w:r w:rsidRPr="0024019E">
        <w:rPr>
          <w:szCs w:val="22"/>
          <w:lang w:val="lt-LT"/>
        </w:rPr>
        <w:t xml:space="preserve"> ano”</w:t>
      </w:r>
    </w:p>
    <w:p w:rsidR="00041FBE" w:rsidRPr="0024019E" w:rsidRDefault="00041FBE" w:rsidP="00041FBE">
      <w:pPr>
        <w:spacing w:line="240" w:lineRule="auto"/>
        <w:ind w:left="567" w:hanging="567"/>
        <w:rPr>
          <w:szCs w:val="22"/>
          <w:lang w:val="lt-LT"/>
        </w:rPr>
      </w:pPr>
      <w:r w:rsidRPr="0024019E">
        <w:rPr>
          <w:szCs w:val="22"/>
          <w:lang w:val="lt-LT"/>
        </w:rPr>
        <w:t>Naugarduko g. 3, LT-03231 Vilnius</w:t>
      </w:r>
    </w:p>
    <w:p w:rsidR="00041FBE" w:rsidRPr="0024019E" w:rsidRDefault="00041FBE" w:rsidP="00041FBE">
      <w:pPr>
        <w:spacing w:line="240" w:lineRule="auto"/>
        <w:ind w:left="567" w:hanging="567"/>
        <w:rPr>
          <w:szCs w:val="22"/>
          <w:lang w:val="lt-LT"/>
        </w:rPr>
      </w:pPr>
      <w:r w:rsidRPr="0024019E">
        <w:rPr>
          <w:szCs w:val="22"/>
          <w:lang w:val="lt-LT"/>
        </w:rPr>
        <w:t>Lietuva</w:t>
      </w: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ind w:left="567" w:hanging="567"/>
        <w:rPr>
          <w:b/>
          <w:szCs w:val="22"/>
          <w:lang w:val="lt-LT"/>
        </w:rPr>
      </w:pPr>
      <w:r w:rsidRPr="0024019E">
        <w:rPr>
          <w:b/>
          <w:szCs w:val="22"/>
          <w:lang w:val="lt-LT"/>
        </w:rPr>
        <w:t xml:space="preserve">Perpakavo </w:t>
      </w:r>
    </w:p>
    <w:p w:rsidR="00041FBE" w:rsidRPr="0024019E" w:rsidRDefault="00041FBE" w:rsidP="00041FBE">
      <w:pPr>
        <w:spacing w:line="240" w:lineRule="auto"/>
        <w:ind w:left="567" w:hanging="567"/>
        <w:rPr>
          <w:szCs w:val="22"/>
          <w:lang w:val="lt-LT"/>
        </w:rPr>
      </w:pPr>
      <w:r w:rsidRPr="0024019E">
        <w:rPr>
          <w:szCs w:val="22"/>
          <w:lang w:val="lt-LT"/>
        </w:rPr>
        <w:t>BĮ UAB “</w:t>
      </w:r>
      <w:proofErr w:type="spellStart"/>
      <w:r w:rsidRPr="0024019E">
        <w:rPr>
          <w:szCs w:val="22"/>
          <w:lang w:val="lt-LT"/>
        </w:rPr>
        <w:t>Norfachema</w:t>
      </w:r>
      <w:proofErr w:type="spellEnd"/>
      <w:r w:rsidRPr="0024019E">
        <w:rPr>
          <w:szCs w:val="22"/>
          <w:lang w:val="lt-LT"/>
        </w:rPr>
        <w:t>”</w:t>
      </w:r>
    </w:p>
    <w:p w:rsidR="00041FBE" w:rsidRPr="0024019E" w:rsidRDefault="00041FBE" w:rsidP="00041FBE">
      <w:pPr>
        <w:spacing w:line="240" w:lineRule="auto"/>
        <w:ind w:left="567" w:hanging="567"/>
        <w:rPr>
          <w:szCs w:val="22"/>
          <w:lang w:val="lt-LT"/>
        </w:rPr>
      </w:pPr>
      <w:r w:rsidRPr="0024019E">
        <w:rPr>
          <w:szCs w:val="22"/>
          <w:lang w:val="lt-LT"/>
        </w:rPr>
        <w:t>Vytauto g. 6, Jonava</w:t>
      </w:r>
    </w:p>
    <w:p w:rsidR="00041FBE" w:rsidRPr="0024019E" w:rsidRDefault="00041FBE" w:rsidP="00041FBE">
      <w:pPr>
        <w:spacing w:line="240" w:lineRule="auto"/>
        <w:ind w:left="567" w:hanging="567"/>
        <w:rPr>
          <w:szCs w:val="22"/>
          <w:lang w:val="lt-LT"/>
        </w:rPr>
      </w:pPr>
      <w:r w:rsidRPr="0024019E">
        <w:rPr>
          <w:szCs w:val="22"/>
          <w:lang w:val="lt-LT"/>
        </w:rPr>
        <w:t>Lietuva</w:t>
      </w:r>
    </w:p>
    <w:p w:rsidR="00041FBE" w:rsidRDefault="00041FBE" w:rsidP="00041FBE">
      <w:pPr>
        <w:ind w:left="567" w:hanging="567"/>
        <w:rPr>
          <w:szCs w:val="22"/>
          <w:lang w:val="lt-LT"/>
        </w:rPr>
      </w:pPr>
    </w:p>
    <w:p w:rsidR="00041FBE" w:rsidRPr="0099321F" w:rsidRDefault="00041FBE" w:rsidP="00041FBE">
      <w:pPr>
        <w:rPr>
          <w:bCs/>
          <w:iCs/>
          <w:szCs w:val="22"/>
        </w:rPr>
      </w:pPr>
      <w:proofErr w:type="spellStart"/>
      <w:r w:rsidRPr="0099321F">
        <w:rPr>
          <w:bCs/>
          <w:iCs/>
          <w:szCs w:val="22"/>
        </w:rPr>
        <w:t>arba</w:t>
      </w:r>
      <w:proofErr w:type="spellEnd"/>
    </w:p>
    <w:p w:rsidR="00041FBE" w:rsidRPr="0099321F" w:rsidRDefault="00041FBE" w:rsidP="00041FBE">
      <w:pPr>
        <w:rPr>
          <w:bCs/>
          <w:iCs/>
          <w:szCs w:val="22"/>
        </w:rPr>
      </w:pPr>
    </w:p>
    <w:p w:rsidR="00041FBE" w:rsidRPr="0099321F" w:rsidRDefault="00041FBE" w:rsidP="00041FBE">
      <w:pPr>
        <w:rPr>
          <w:bCs/>
          <w:iCs/>
          <w:szCs w:val="22"/>
        </w:rPr>
      </w:pPr>
      <w:r w:rsidRPr="0099321F">
        <w:rPr>
          <w:bCs/>
          <w:iCs/>
          <w:szCs w:val="22"/>
        </w:rPr>
        <w:t>UAB „</w:t>
      </w:r>
      <w:proofErr w:type="spellStart"/>
      <w:proofErr w:type="gramStart"/>
      <w:r w:rsidRPr="0099321F">
        <w:rPr>
          <w:bCs/>
          <w:iCs/>
          <w:szCs w:val="22"/>
        </w:rPr>
        <w:t>Entafarma</w:t>
      </w:r>
      <w:proofErr w:type="spellEnd"/>
      <w:r w:rsidRPr="0099321F">
        <w:rPr>
          <w:bCs/>
          <w:iCs/>
          <w:szCs w:val="22"/>
        </w:rPr>
        <w:t>“</w:t>
      </w:r>
      <w:proofErr w:type="gramEnd"/>
    </w:p>
    <w:p w:rsidR="00041FBE" w:rsidRPr="0099321F" w:rsidRDefault="00041FBE" w:rsidP="00041FBE">
      <w:pPr>
        <w:rPr>
          <w:bCs/>
          <w:iCs/>
          <w:szCs w:val="22"/>
        </w:rPr>
      </w:pPr>
      <w:proofErr w:type="spellStart"/>
      <w:r w:rsidRPr="0099321F">
        <w:rPr>
          <w:bCs/>
          <w:iCs/>
          <w:szCs w:val="22"/>
        </w:rPr>
        <w:t>Klonėnų</w:t>
      </w:r>
      <w:proofErr w:type="spellEnd"/>
      <w:r w:rsidRPr="0099321F">
        <w:rPr>
          <w:bCs/>
          <w:iCs/>
          <w:szCs w:val="22"/>
        </w:rPr>
        <w:t xml:space="preserve"> vs. 1</w:t>
      </w:r>
    </w:p>
    <w:p w:rsidR="00041FBE" w:rsidRPr="0099321F" w:rsidRDefault="00041FBE" w:rsidP="00041FBE">
      <w:pPr>
        <w:rPr>
          <w:bCs/>
          <w:iCs/>
          <w:szCs w:val="22"/>
        </w:rPr>
      </w:pPr>
      <w:proofErr w:type="spellStart"/>
      <w:r w:rsidRPr="0099321F">
        <w:rPr>
          <w:bCs/>
          <w:iCs/>
          <w:szCs w:val="22"/>
        </w:rPr>
        <w:t>Širvintų</w:t>
      </w:r>
      <w:proofErr w:type="spellEnd"/>
      <w:r w:rsidRPr="0099321F">
        <w:rPr>
          <w:bCs/>
          <w:iCs/>
          <w:szCs w:val="22"/>
        </w:rPr>
        <w:t xml:space="preserve"> r. sav.</w:t>
      </w:r>
    </w:p>
    <w:p w:rsidR="00041FBE" w:rsidRPr="0099321F" w:rsidRDefault="00041FBE" w:rsidP="00041FBE">
      <w:pPr>
        <w:rPr>
          <w:bCs/>
          <w:iCs/>
          <w:szCs w:val="22"/>
        </w:rPr>
      </w:pPr>
      <w:proofErr w:type="spellStart"/>
      <w:r w:rsidRPr="0099321F">
        <w:rPr>
          <w:bCs/>
          <w:iCs/>
          <w:szCs w:val="22"/>
        </w:rPr>
        <w:t>Lietuva</w:t>
      </w:r>
      <w:proofErr w:type="spellEnd"/>
    </w:p>
    <w:p w:rsidR="00041FBE" w:rsidRPr="0024019E" w:rsidRDefault="00041FBE" w:rsidP="00041FBE">
      <w:pPr>
        <w:ind w:left="567" w:hanging="567"/>
        <w:rPr>
          <w:szCs w:val="22"/>
          <w:lang w:val="lt-LT"/>
        </w:rPr>
      </w:pPr>
      <w:bookmarkStart w:id="1" w:name="_GoBack"/>
      <w:bookmarkEnd w:id="1"/>
    </w:p>
    <w:p w:rsidR="00041FBE" w:rsidRPr="0024019E" w:rsidRDefault="00041FBE" w:rsidP="00041FBE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Registruotojas</w:t>
      </w:r>
      <w:r w:rsidRPr="0024019E">
        <w:rPr>
          <w:szCs w:val="22"/>
          <w:lang w:val="lt-LT"/>
        </w:rPr>
        <w:t xml:space="preserve"> eksportuojančioje valstybėje yra </w:t>
      </w:r>
      <w:proofErr w:type="spellStart"/>
      <w:r w:rsidRPr="0024019E">
        <w:rPr>
          <w:szCs w:val="22"/>
          <w:lang w:val="lt-LT"/>
        </w:rPr>
        <w:t>Janssen</w:t>
      </w:r>
      <w:proofErr w:type="spellEnd"/>
      <w:r w:rsidRPr="0024019E">
        <w:rPr>
          <w:szCs w:val="22"/>
          <w:lang w:val="lt-LT"/>
        </w:rPr>
        <w:t xml:space="preserve"> - </w:t>
      </w:r>
      <w:proofErr w:type="spellStart"/>
      <w:r w:rsidRPr="0024019E">
        <w:rPr>
          <w:szCs w:val="22"/>
          <w:lang w:val="lt-LT"/>
        </w:rPr>
        <w:t>Cilag</w:t>
      </w:r>
      <w:proofErr w:type="spellEnd"/>
      <w:r w:rsidRPr="0024019E">
        <w:rPr>
          <w:szCs w:val="22"/>
          <w:lang w:val="lt-LT"/>
        </w:rPr>
        <w:t xml:space="preserve"> </w:t>
      </w:r>
      <w:proofErr w:type="spellStart"/>
      <w:r w:rsidRPr="0024019E">
        <w:rPr>
          <w:szCs w:val="22"/>
          <w:lang w:val="lt-LT"/>
        </w:rPr>
        <w:t>Pharmaceuticals</w:t>
      </w:r>
      <w:proofErr w:type="spellEnd"/>
      <w:r w:rsidRPr="0024019E">
        <w:rPr>
          <w:szCs w:val="22"/>
          <w:lang w:val="lt-LT"/>
        </w:rPr>
        <w:t xml:space="preserve"> A.E.B.E., 56 Irinis </w:t>
      </w:r>
      <w:proofErr w:type="spellStart"/>
      <w:r w:rsidRPr="0024019E">
        <w:rPr>
          <w:szCs w:val="22"/>
          <w:lang w:val="lt-LT"/>
        </w:rPr>
        <w:t>Avenue</w:t>
      </w:r>
      <w:proofErr w:type="spellEnd"/>
      <w:r w:rsidRPr="0024019E">
        <w:rPr>
          <w:szCs w:val="22"/>
          <w:lang w:val="lt-LT"/>
        </w:rPr>
        <w:t xml:space="preserve">, PC. 15121 </w:t>
      </w:r>
      <w:proofErr w:type="spellStart"/>
      <w:r w:rsidRPr="0024019E">
        <w:rPr>
          <w:szCs w:val="22"/>
          <w:lang w:val="lt-LT"/>
        </w:rPr>
        <w:t>Pefki</w:t>
      </w:r>
      <w:proofErr w:type="spellEnd"/>
      <w:r w:rsidRPr="0024019E">
        <w:rPr>
          <w:szCs w:val="22"/>
          <w:lang w:val="lt-LT"/>
        </w:rPr>
        <w:t xml:space="preserve"> </w:t>
      </w:r>
      <w:proofErr w:type="spellStart"/>
      <w:r w:rsidRPr="0024019E">
        <w:rPr>
          <w:szCs w:val="22"/>
          <w:lang w:val="lt-LT"/>
        </w:rPr>
        <w:t>Attika</w:t>
      </w:r>
      <w:proofErr w:type="spellEnd"/>
      <w:r w:rsidRPr="0024019E">
        <w:rPr>
          <w:szCs w:val="22"/>
          <w:lang w:val="lt-LT"/>
        </w:rPr>
        <w:t>, Graikija.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  <w:lang w:val="lt-LT"/>
        </w:rPr>
      </w:pPr>
      <w:r w:rsidRPr="0024019E">
        <w:rPr>
          <w:b/>
          <w:bCs/>
          <w:szCs w:val="22"/>
          <w:lang w:val="lt-LT"/>
        </w:rPr>
        <w:t xml:space="preserve">Šis pakuotės </w:t>
      </w:r>
      <w:r w:rsidRPr="0024019E">
        <w:rPr>
          <w:b/>
          <w:szCs w:val="22"/>
          <w:lang w:val="lt-LT"/>
        </w:rPr>
        <w:t xml:space="preserve">lapelis paskutinį kartą peržiūrėtas </w:t>
      </w:r>
      <w:r w:rsidRPr="0024019E">
        <w:rPr>
          <w:b/>
          <w:noProof/>
          <w:szCs w:val="22"/>
          <w:lang w:val="lt-LT"/>
        </w:rPr>
        <w:t>201</w:t>
      </w:r>
      <w:r w:rsidR="007C5B04">
        <w:rPr>
          <w:b/>
          <w:noProof/>
          <w:szCs w:val="22"/>
          <w:lang w:val="lt-LT"/>
        </w:rPr>
        <w:t>8</w:t>
      </w:r>
      <w:r w:rsidRPr="0024019E">
        <w:rPr>
          <w:b/>
          <w:noProof/>
          <w:szCs w:val="22"/>
          <w:lang w:val="lt-LT"/>
        </w:rPr>
        <w:t>-</w:t>
      </w:r>
      <w:r w:rsidR="007C5B04">
        <w:rPr>
          <w:b/>
          <w:noProof/>
          <w:szCs w:val="22"/>
          <w:lang w:val="lt-LT"/>
        </w:rPr>
        <w:t>01</w:t>
      </w:r>
      <w:r w:rsidRPr="0024019E">
        <w:rPr>
          <w:b/>
          <w:noProof/>
          <w:szCs w:val="22"/>
          <w:lang w:val="lt-LT"/>
        </w:rPr>
        <w:t>-</w:t>
      </w:r>
      <w:r w:rsidR="007C5B04">
        <w:rPr>
          <w:b/>
          <w:noProof/>
          <w:szCs w:val="22"/>
          <w:lang w:val="lt-LT"/>
        </w:rPr>
        <w:t>09</w:t>
      </w: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041FBE" w:rsidRPr="0024019E" w:rsidRDefault="00041FBE" w:rsidP="00041FBE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24019E">
        <w:rPr>
          <w:szCs w:val="22"/>
          <w:lang w:val="lt-LT"/>
        </w:rPr>
        <w:t xml:space="preserve">Naujausia pakuotės lapelio redakcija pateikiama Valstybinės vaistų kontrolės tarnybos prie Lietuvos Respublikos sveikatos apsaugos ministerijos interneto svetainėje </w:t>
      </w:r>
      <w:hyperlink r:id="rId8" w:history="1">
        <w:r w:rsidRPr="0024019E">
          <w:rPr>
            <w:rStyle w:val="Hipersaitas"/>
            <w:szCs w:val="22"/>
            <w:lang w:val="lt-LT"/>
          </w:rPr>
          <w:t>http://www.vvkt.lt/</w:t>
        </w:r>
      </w:hyperlink>
      <w:r w:rsidRPr="0024019E">
        <w:rPr>
          <w:szCs w:val="22"/>
          <w:lang w:val="lt-LT"/>
        </w:rPr>
        <w:t>.</w:t>
      </w: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041FBE" w:rsidRPr="0024019E" w:rsidRDefault="00041FBE" w:rsidP="00041FBE">
      <w:pPr>
        <w:rPr>
          <w:szCs w:val="22"/>
          <w:lang w:val="lt-LT"/>
        </w:rPr>
      </w:pPr>
    </w:p>
    <w:p w:rsidR="00CC3A31" w:rsidRDefault="00CC3A31"/>
    <w:sectPr w:rsidR="00CC3A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F02CEA"/>
    <w:multiLevelType w:val="hybridMultilevel"/>
    <w:tmpl w:val="6D9A1BAC"/>
    <w:lvl w:ilvl="0" w:tplc="E968D84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7772"/>
    <w:multiLevelType w:val="hybridMultilevel"/>
    <w:tmpl w:val="D00859D8"/>
    <w:lvl w:ilvl="0" w:tplc="62BC1D6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CB7"/>
    <w:multiLevelType w:val="hybridMultilevel"/>
    <w:tmpl w:val="CA6E81BE"/>
    <w:lvl w:ilvl="0" w:tplc="9A0AF9E0">
      <w:start w:val="17"/>
      <w:numFmt w:val="decimal"/>
      <w:lvlText w:val="%1."/>
      <w:lvlJc w:val="left"/>
      <w:pPr>
        <w:ind w:left="16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BE"/>
    <w:rsid w:val="00041FBE"/>
    <w:rsid w:val="00786DE5"/>
    <w:rsid w:val="007C5B04"/>
    <w:rsid w:val="00CC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CCEA"/>
  <w15:chartTrackingRefBased/>
  <w15:docId w15:val="{B1525DB2-A401-4CB6-B597-0CBD185F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41FB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1FB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7">
    <w:name w:val="heading 7"/>
    <w:basedOn w:val="prastasis"/>
    <w:next w:val="prastasis"/>
    <w:link w:val="Antrat7Diagrama"/>
    <w:qFormat/>
    <w:rsid w:val="00041FB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9">
    <w:name w:val="heading 9"/>
    <w:basedOn w:val="prastasis"/>
    <w:next w:val="prastasis"/>
    <w:link w:val="Antrat9Diagrama"/>
    <w:qFormat/>
    <w:rsid w:val="00041FBE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1FBE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041FB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041FBE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rsid w:val="00041FBE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41FBE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EMEAEnBodyText">
    <w:name w:val="EMEA En Body Text"/>
    <w:basedOn w:val="prastasis"/>
    <w:rsid w:val="00041FBE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semiHidden/>
    <w:rsid w:val="00041FBE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041FBE"/>
    <w:pPr>
      <w:tabs>
        <w:tab w:val="clear" w:pos="567"/>
      </w:tabs>
      <w:spacing w:before="120" w:line="240" w:lineRule="auto"/>
    </w:pPr>
    <w:rPr>
      <w:noProof/>
      <w:szCs w:val="22"/>
      <w:lang w:val="lt-LT" w:eastAsia="lt-LT"/>
    </w:rPr>
  </w:style>
  <w:style w:type="character" w:customStyle="1" w:styleId="BTEMEASMCAChar">
    <w:name w:val="BT EMEA_SMCA Char"/>
    <w:link w:val="BTEMEASMCA"/>
    <w:locked/>
    <w:rsid w:val="00041FBE"/>
    <w:rPr>
      <w:rFonts w:ascii="Times New Roman" w:eastAsia="Times New Roman" w:hAnsi="Times New Roman" w:cs="Times New Roman"/>
      <w:noProof/>
      <w:lang w:eastAsia="lt-LT"/>
    </w:rPr>
  </w:style>
  <w:style w:type="paragraph" w:styleId="Sraopastraipa">
    <w:name w:val="List Paragraph"/>
    <w:basedOn w:val="prastasis"/>
    <w:uiPriority w:val="34"/>
    <w:qFormat/>
    <w:rsid w:val="00041FBE"/>
    <w:pPr>
      <w:tabs>
        <w:tab w:val="clear" w:pos="567"/>
      </w:tabs>
      <w:spacing w:line="240" w:lineRule="auto"/>
      <w:ind w:left="720"/>
      <w:contextualSpacing/>
    </w:pPr>
    <w:rPr>
      <w:rFonts w:eastAsia="Calibri"/>
      <w:lang w:val="lt-LT"/>
    </w:rPr>
  </w:style>
  <w:style w:type="paragraph" w:customStyle="1" w:styleId="BT-EMEASMCA">
    <w:name w:val="BT- EMEA_SMCA"/>
    <w:basedOn w:val="BTEMEASMCA"/>
    <w:autoRedefine/>
    <w:rsid w:val="00041FBE"/>
    <w:pPr>
      <w:numPr>
        <w:numId w:val="4"/>
      </w:numPr>
      <w:tabs>
        <w:tab w:val="clear" w:pos="720"/>
        <w:tab w:val="num" w:pos="360"/>
        <w:tab w:val="num" w:pos="567"/>
      </w:tabs>
      <w:spacing w:before="0"/>
      <w:ind w:left="567" w:hanging="567"/>
    </w:pPr>
    <w:rPr>
      <w:lang w:eastAsia="en-US"/>
    </w:rPr>
  </w:style>
  <w:style w:type="paragraph" w:customStyle="1" w:styleId="BTbEMEASMCA">
    <w:name w:val="BT(b) EMEA_SMCA"/>
    <w:basedOn w:val="BTEMEASMCA"/>
    <w:autoRedefine/>
    <w:rsid w:val="00041FBE"/>
    <w:pPr>
      <w:spacing w:before="0"/>
    </w:pPr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6846</Words>
  <Characters>3903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30</vt:i4>
      </vt:variant>
    </vt:vector>
  </HeadingPairs>
  <TitlesOfParts>
    <vt:vector size="31" baseType="lpstr">
      <vt:lpstr/>
      <vt:lpstr>A. ŽENKLINIMAS</vt:lpstr>
      <vt:lpstr>1.	VAISTINIO PREPARATO PAVADINIMAS</vt:lpstr>
      <vt:lpstr>        2.	VEIKLIOJI (-IOS) MEDŽIAGA (-OS) IR JOS (-Ų) KIEKIS (-IAI) 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LYGIAGRETUS IMPORTUOTOJAS</vt:lpstr>
      <vt:lpstr>12.	LYGIAGRETAUS IMPORTO  numeris </vt:lpstr>
      <vt:lpstr>13.	SERIJOS NUMERIS</vt:lpstr>
      <vt:lpstr>14.	PARDAVIMO (IŠDAVIMO) tvarka</vt:lpstr>
      <vt:lpstr>15.	vartojimo instrukcijA</vt:lpstr>
      <vt:lpstr>16.	INFORMACIJA BRAILIO RAŠTU</vt:lpstr>
      <vt:lpstr>UNIKALUS IDENTIFIKATORIUS – 2D BRŪKŠNINIS KODAS</vt:lpstr>
      <vt:lpstr>UNIKALUS IDENTIFIKATORIUS – ŽMONĖMS SUPRANTAMI DUOMENYS</vt:lpstr>
      <vt:lpstr>B. PAKUOTĖS LAPELIS</vt:lpstr>
      <vt:lpstr>PAKUOTĖS LAPELIS: INFORMACIJA VARTOTOJUI</vt:lpstr>
      <vt:lpstr/>
      <vt:lpstr/>
      <vt:lpstr>1.	KAS YRA VERMOX IR KAM JIS VARTOJAMAS</vt:lpstr>
      <vt:lpstr>2.	KAS ŽINOTINA PRIEŠ VARTOJANT VERMOX</vt:lpstr>
      <vt:lpstr>3.	KAIP VARTOTI VERMOX</vt:lpstr>
      <vt:lpstr>4.	galimAS ŠALUTINIS poveikiS</vt:lpstr>
      <vt:lpstr>Šis pakuotės lapelis paskutinį kartą peržiūrėtas 2013-03-29</vt:lpstr>
      <vt:lpstr/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Gediminas Ruša</cp:lastModifiedBy>
  <cp:revision>2</cp:revision>
  <dcterms:created xsi:type="dcterms:W3CDTF">2017-12-21T07:43:00Z</dcterms:created>
  <dcterms:modified xsi:type="dcterms:W3CDTF">2018-01-11T09:37:00Z</dcterms:modified>
</cp:coreProperties>
</file>