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48283" w14:textId="77777777" w:rsidR="0052287E" w:rsidRPr="003F7446" w:rsidRDefault="0052287E" w:rsidP="0052287E">
      <w:pPr>
        <w:pStyle w:val="Default"/>
        <w:rPr>
          <w:sz w:val="22"/>
          <w:szCs w:val="22"/>
          <w:lang w:val="lt-LT"/>
        </w:rPr>
      </w:pPr>
    </w:p>
    <w:p w14:paraId="10CFBFFF" w14:textId="77777777" w:rsidR="0052287E" w:rsidRPr="003F7446" w:rsidRDefault="0052287E" w:rsidP="0052287E">
      <w:pPr>
        <w:pStyle w:val="Default"/>
        <w:ind w:left="560"/>
        <w:jc w:val="center"/>
        <w:rPr>
          <w:sz w:val="22"/>
          <w:szCs w:val="22"/>
          <w:lang w:val="lt-LT"/>
        </w:rPr>
      </w:pPr>
    </w:p>
    <w:p w14:paraId="0D055C67" w14:textId="77777777" w:rsidR="0052287E" w:rsidRPr="003F7446" w:rsidRDefault="0052287E" w:rsidP="0052287E">
      <w:pPr>
        <w:pStyle w:val="Default"/>
        <w:ind w:left="560"/>
        <w:jc w:val="center"/>
        <w:rPr>
          <w:sz w:val="22"/>
          <w:szCs w:val="22"/>
          <w:lang w:val="lt-LT"/>
        </w:rPr>
      </w:pPr>
    </w:p>
    <w:p w14:paraId="21B688D4" w14:textId="77777777" w:rsidR="0052287E" w:rsidRPr="003F7446" w:rsidRDefault="0052287E" w:rsidP="0052287E">
      <w:pPr>
        <w:pStyle w:val="Default"/>
        <w:ind w:left="560"/>
        <w:jc w:val="center"/>
        <w:rPr>
          <w:sz w:val="22"/>
          <w:szCs w:val="22"/>
          <w:lang w:val="lt-LT"/>
        </w:rPr>
      </w:pPr>
    </w:p>
    <w:p w14:paraId="72ABE356" w14:textId="77777777" w:rsidR="0052287E" w:rsidRPr="003F7446" w:rsidRDefault="0052287E" w:rsidP="0052287E">
      <w:pPr>
        <w:pStyle w:val="Default"/>
        <w:ind w:left="560"/>
        <w:jc w:val="center"/>
        <w:rPr>
          <w:sz w:val="22"/>
          <w:szCs w:val="22"/>
          <w:lang w:val="lt-LT"/>
        </w:rPr>
      </w:pPr>
    </w:p>
    <w:p w14:paraId="473D4E88" w14:textId="77777777" w:rsidR="0052287E" w:rsidRPr="003F7446" w:rsidRDefault="0052287E" w:rsidP="0052287E">
      <w:pPr>
        <w:pStyle w:val="Default"/>
        <w:ind w:left="560"/>
        <w:jc w:val="center"/>
        <w:rPr>
          <w:sz w:val="22"/>
          <w:szCs w:val="22"/>
          <w:lang w:val="lt-LT"/>
        </w:rPr>
      </w:pPr>
    </w:p>
    <w:p w14:paraId="15FA8DA7" w14:textId="77777777" w:rsidR="0052287E" w:rsidRPr="003F7446" w:rsidRDefault="0052287E" w:rsidP="0052287E">
      <w:pPr>
        <w:pStyle w:val="Default"/>
        <w:ind w:left="560"/>
        <w:jc w:val="center"/>
        <w:rPr>
          <w:sz w:val="22"/>
          <w:szCs w:val="22"/>
          <w:lang w:val="lt-LT"/>
        </w:rPr>
      </w:pPr>
    </w:p>
    <w:p w14:paraId="4818F5C4" w14:textId="77777777" w:rsidR="0052287E" w:rsidRPr="003F7446" w:rsidRDefault="0052287E" w:rsidP="0052287E">
      <w:pPr>
        <w:pStyle w:val="Default"/>
        <w:ind w:left="560"/>
        <w:jc w:val="center"/>
        <w:rPr>
          <w:sz w:val="22"/>
          <w:szCs w:val="22"/>
          <w:lang w:val="lt-LT"/>
        </w:rPr>
      </w:pPr>
    </w:p>
    <w:p w14:paraId="00993F97" w14:textId="77777777" w:rsidR="0052287E" w:rsidRPr="003F7446" w:rsidRDefault="0052287E" w:rsidP="0052287E">
      <w:pPr>
        <w:pStyle w:val="Default"/>
        <w:ind w:left="560"/>
        <w:jc w:val="center"/>
        <w:rPr>
          <w:sz w:val="22"/>
          <w:szCs w:val="22"/>
          <w:lang w:val="lt-LT"/>
        </w:rPr>
      </w:pPr>
    </w:p>
    <w:p w14:paraId="1229401A" w14:textId="77777777" w:rsidR="0052287E" w:rsidRPr="003F7446" w:rsidRDefault="0052287E" w:rsidP="0052287E">
      <w:pPr>
        <w:pStyle w:val="Default"/>
        <w:ind w:left="560"/>
        <w:jc w:val="center"/>
        <w:rPr>
          <w:sz w:val="22"/>
          <w:szCs w:val="22"/>
          <w:lang w:val="lt-LT"/>
        </w:rPr>
      </w:pPr>
    </w:p>
    <w:p w14:paraId="538CDA6C" w14:textId="77777777" w:rsidR="0052287E" w:rsidRPr="003F7446" w:rsidRDefault="0052287E" w:rsidP="0052287E">
      <w:pPr>
        <w:pStyle w:val="Default"/>
        <w:ind w:left="560"/>
        <w:jc w:val="center"/>
        <w:rPr>
          <w:sz w:val="22"/>
          <w:szCs w:val="22"/>
          <w:lang w:val="lt-LT"/>
        </w:rPr>
      </w:pPr>
    </w:p>
    <w:p w14:paraId="5DA43052" w14:textId="77777777" w:rsidR="0052287E" w:rsidRPr="003F7446" w:rsidRDefault="0052287E" w:rsidP="0052287E">
      <w:pPr>
        <w:pStyle w:val="Default"/>
        <w:ind w:left="560"/>
        <w:jc w:val="center"/>
        <w:rPr>
          <w:sz w:val="22"/>
          <w:szCs w:val="22"/>
          <w:lang w:val="lt-LT"/>
        </w:rPr>
      </w:pPr>
    </w:p>
    <w:p w14:paraId="7EDE9C17" w14:textId="77777777" w:rsidR="0052287E" w:rsidRPr="003F7446" w:rsidRDefault="0052287E" w:rsidP="0052287E">
      <w:pPr>
        <w:pStyle w:val="Default"/>
        <w:ind w:left="560"/>
        <w:jc w:val="center"/>
        <w:rPr>
          <w:sz w:val="22"/>
          <w:szCs w:val="22"/>
          <w:lang w:val="lt-LT"/>
        </w:rPr>
      </w:pPr>
    </w:p>
    <w:p w14:paraId="3D172A8C" w14:textId="77777777" w:rsidR="0052287E" w:rsidRPr="003F7446" w:rsidRDefault="0052287E" w:rsidP="0052287E">
      <w:pPr>
        <w:pStyle w:val="Default"/>
        <w:ind w:left="560"/>
        <w:jc w:val="center"/>
        <w:rPr>
          <w:sz w:val="22"/>
          <w:szCs w:val="22"/>
          <w:lang w:val="lt-LT"/>
        </w:rPr>
      </w:pPr>
    </w:p>
    <w:p w14:paraId="3CC81101" w14:textId="77777777" w:rsidR="0052287E" w:rsidRPr="003F7446" w:rsidRDefault="0052287E" w:rsidP="0052287E">
      <w:pPr>
        <w:pStyle w:val="Default"/>
        <w:ind w:left="560"/>
        <w:jc w:val="center"/>
        <w:rPr>
          <w:sz w:val="22"/>
          <w:szCs w:val="22"/>
          <w:lang w:val="lt-LT"/>
        </w:rPr>
      </w:pPr>
    </w:p>
    <w:p w14:paraId="62412C87" w14:textId="77777777" w:rsidR="0052287E" w:rsidRPr="003F7446" w:rsidRDefault="0052287E" w:rsidP="0052287E">
      <w:pPr>
        <w:pStyle w:val="Default"/>
        <w:ind w:left="560"/>
        <w:jc w:val="center"/>
        <w:rPr>
          <w:sz w:val="22"/>
          <w:szCs w:val="22"/>
          <w:lang w:val="lt-LT"/>
        </w:rPr>
      </w:pPr>
    </w:p>
    <w:p w14:paraId="795616B9" w14:textId="77777777" w:rsidR="0052287E" w:rsidRPr="003F7446" w:rsidRDefault="0052287E" w:rsidP="0052287E">
      <w:pPr>
        <w:pStyle w:val="Default"/>
        <w:ind w:left="560"/>
        <w:jc w:val="center"/>
        <w:rPr>
          <w:sz w:val="22"/>
          <w:szCs w:val="22"/>
          <w:lang w:val="lt-LT"/>
        </w:rPr>
      </w:pPr>
    </w:p>
    <w:p w14:paraId="76B2B5AF" w14:textId="77777777" w:rsidR="0052287E" w:rsidRPr="003F7446" w:rsidRDefault="0052287E" w:rsidP="0052287E">
      <w:pPr>
        <w:pStyle w:val="Default"/>
        <w:ind w:left="560"/>
        <w:jc w:val="center"/>
        <w:rPr>
          <w:sz w:val="22"/>
          <w:szCs w:val="22"/>
          <w:lang w:val="lt-LT"/>
        </w:rPr>
      </w:pPr>
    </w:p>
    <w:p w14:paraId="40F0EBCB" w14:textId="77777777" w:rsidR="0052287E" w:rsidRPr="003F7446" w:rsidRDefault="0052287E" w:rsidP="0052287E">
      <w:pPr>
        <w:pStyle w:val="Default"/>
        <w:ind w:left="560"/>
        <w:jc w:val="center"/>
        <w:rPr>
          <w:sz w:val="22"/>
          <w:szCs w:val="22"/>
          <w:lang w:val="lt-LT"/>
        </w:rPr>
      </w:pPr>
    </w:p>
    <w:p w14:paraId="75928FE7" w14:textId="77777777" w:rsidR="0052287E" w:rsidRPr="003F7446" w:rsidRDefault="0052287E" w:rsidP="0052287E">
      <w:pPr>
        <w:pStyle w:val="Default"/>
        <w:ind w:left="560"/>
        <w:jc w:val="center"/>
        <w:rPr>
          <w:sz w:val="22"/>
          <w:szCs w:val="22"/>
          <w:lang w:val="lt-LT"/>
        </w:rPr>
      </w:pPr>
    </w:p>
    <w:p w14:paraId="12A783DC" w14:textId="77777777" w:rsidR="0052287E" w:rsidRPr="003F7446" w:rsidRDefault="0052287E" w:rsidP="0052287E">
      <w:pPr>
        <w:pStyle w:val="Default"/>
        <w:ind w:left="560"/>
        <w:jc w:val="center"/>
        <w:rPr>
          <w:sz w:val="22"/>
          <w:szCs w:val="22"/>
          <w:lang w:val="lt-LT"/>
        </w:rPr>
      </w:pPr>
    </w:p>
    <w:p w14:paraId="3F7A5AF9" w14:textId="77777777" w:rsidR="0052287E" w:rsidRPr="003F7446" w:rsidRDefault="0052287E" w:rsidP="0052287E">
      <w:pPr>
        <w:pStyle w:val="Default"/>
        <w:ind w:left="560"/>
        <w:jc w:val="center"/>
        <w:rPr>
          <w:sz w:val="22"/>
          <w:szCs w:val="22"/>
          <w:lang w:val="lt-LT"/>
        </w:rPr>
      </w:pPr>
    </w:p>
    <w:p w14:paraId="5400EA4F" w14:textId="77777777" w:rsidR="0052287E" w:rsidRPr="003F7446" w:rsidRDefault="0052287E" w:rsidP="0052287E">
      <w:pPr>
        <w:pStyle w:val="Default"/>
        <w:ind w:left="560"/>
        <w:jc w:val="center"/>
        <w:rPr>
          <w:sz w:val="22"/>
          <w:szCs w:val="22"/>
          <w:lang w:val="lt-LT"/>
        </w:rPr>
      </w:pPr>
    </w:p>
    <w:p w14:paraId="4229A919" w14:textId="77777777" w:rsidR="0052287E" w:rsidRPr="003F7446" w:rsidRDefault="0052287E" w:rsidP="0052287E">
      <w:pPr>
        <w:pStyle w:val="Default"/>
        <w:jc w:val="center"/>
        <w:rPr>
          <w:b/>
          <w:bCs/>
          <w:sz w:val="22"/>
          <w:szCs w:val="22"/>
          <w:lang w:val="lt-LT"/>
        </w:rPr>
      </w:pPr>
      <w:r w:rsidRPr="003F7446">
        <w:rPr>
          <w:b/>
          <w:bCs/>
          <w:sz w:val="22"/>
          <w:szCs w:val="22"/>
          <w:lang w:val="lt-LT"/>
        </w:rPr>
        <w:t xml:space="preserve">I PRIEDAS </w:t>
      </w:r>
    </w:p>
    <w:p w14:paraId="5348FA19" w14:textId="77777777" w:rsidR="0052287E" w:rsidRPr="003F7446" w:rsidRDefault="0052287E" w:rsidP="0052287E">
      <w:pPr>
        <w:pStyle w:val="Default"/>
        <w:ind w:left="560"/>
        <w:jc w:val="center"/>
        <w:rPr>
          <w:sz w:val="22"/>
          <w:szCs w:val="22"/>
          <w:lang w:val="lt-LT"/>
        </w:rPr>
      </w:pPr>
    </w:p>
    <w:p w14:paraId="31AF7F01" w14:textId="77777777" w:rsidR="0052287E" w:rsidRPr="003F7446" w:rsidRDefault="0052287E" w:rsidP="0052287E">
      <w:pPr>
        <w:pStyle w:val="Default"/>
        <w:jc w:val="center"/>
        <w:rPr>
          <w:sz w:val="22"/>
          <w:szCs w:val="22"/>
          <w:lang w:val="lt-LT"/>
        </w:rPr>
      </w:pPr>
      <w:r w:rsidRPr="003F7446">
        <w:rPr>
          <w:b/>
          <w:bCs/>
          <w:sz w:val="22"/>
          <w:szCs w:val="22"/>
          <w:lang w:val="lt-LT"/>
        </w:rPr>
        <w:t xml:space="preserve">PREPARATO CHARAKTERISTIKŲ SANTRAUKA </w:t>
      </w:r>
    </w:p>
    <w:p w14:paraId="34A80EBF" w14:textId="77777777" w:rsidR="0052287E" w:rsidRPr="003F7446" w:rsidRDefault="0052287E" w:rsidP="0052287E">
      <w:pPr>
        <w:pStyle w:val="Default"/>
        <w:tabs>
          <w:tab w:val="left" w:pos="567"/>
        </w:tabs>
        <w:rPr>
          <w:color w:val="auto"/>
          <w:sz w:val="22"/>
          <w:szCs w:val="22"/>
          <w:lang w:val="lt-LT"/>
        </w:rPr>
      </w:pPr>
      <w:r w:rsidRPr="003F7446">
        <w:rPr>
          <w:sz w:val="22"/>
          <w:szCs w:val="22"/>
        </w:rPr>
        <w:br w:type="page"/>
      </w:r>
      <w:r w:rsidRPr="003F7446">
        <w:rPr>
          <w:b/>
          <w:bCs/>
          <w:color w:val="auto"/>
          <w:sz w:val="22"/>
          <w:szCs w:val="22"/>
          <w:lang w:val="lt-LT"/>
        </w:rPr>
        <w:lastRenderedPageBreak/>
        <w:t>1.</w:t>
      </w:r>
      <w:r w:rsidRPr="003F7446">
        <w:rPr>
          <w:b/>
          <w:bCs/>
          <w:color w:val="auto"/>
          <w:sz w:val="22"/>
          <w:szCs w:val="22"/>
          <w:lang w:val="lt-LT"/>
        </w:rPr>
        <w:tab/>
        <w:t xml:space="preserve">VAISTINIO PREPARATO PAVADINIMAS </w:t>
      </w:r>
    </w:p>
    <w:p w14:paraId="2E4A96DF" w14:textId="77777777" w:rsidR="0052287E" w:rsidRPr="003F7446" w:rsidRDefault="0052287E" w:rsidP="0052287E">
      <w:pPr>
        <w:pStyle w:val="Default"/>
        <w:rPr>
          <w:color w:val="auto"/>
          <w:sz w:val="22"/>
          <w:szCs w:val="22"/>
          <w:lang w:val="lt-LT"/>
        </w:rPr>
      </w:pPr>
    </w:p>
    <w:p w14:paraId="7E8AA88C" w14:textId="77777777" w:rsidR="0052287E" w:rsidRPr="003F7446" w:rsidRDefault="0052287E" w:rsidP="0052287E">
      <w:pPr>
        <w:pStyle w:val="Default"/>
        <w:rPr>
          <w:color w:val="auto"/>
          <w:sz w:val="22"/>
          <w:szCs w:val="22"/>
          <w:lang w:val="lt-LT"/>
        </w:rPr>
      </w:pPr>
      <w:proofErr w:type="spellStart"/>
      <w:r w:rsidRPr="003F7446">
        <w:rPr>
          <w:color w:val="auto"/>
          <w:sz w:val="22"/>
          <w:szCs w:val="22"/>
          <w:lang w:val="lt-LT"/>
        </w:rPr>
        <w:t>Mycophenolate</w:t>
      </w:r>
      <w:proofErr w:type="spellEnd"/>
      <w:r w:rsidRPr="003F7446">
        <w:rPr>
          <w:color w:val="auto"/>
          <w:sz w:val="22"/>
          <w:szCs w:val="22"/>
          <w:lang w:val="lt-LT"/>
        </w:rPr>
        <w:t xml:space="preserve"> </w:t>
      </w:r>
      <w:proofErr w:type="spellStart"/>
      <w:r w:rsidRPr="003F7446">
        <w:rPr>
          <w:color w:val="auto"/>
          <w:sz w:val="22"/>
          <w:szCs w:val="22"/>
          <w:lang w:val="lt-LT"/>
        </w:rPr>
        <w:t>mofetil</w:t>
      </w:r>
      <w:proofErr w:type="spellEnd"/>
      <w:r w:rsidRPr="003F7446">
        <w:rPr>
          <w:color w:val="auto"/>
          <w:sz w:val="22"/>
          <w:szCs w:val="22"/>
          <w:lang w:val="lt-LT"/>
        </w:rPr>
        <w:t xml:space="preserve"> </w:t>
      </w:r>
      <w:proofErr w:type="spellStart"/>
      <w:r w:rsidRPr="003F7446">
        <w:rPr>
          <w:color w:val="auto"/>
          <w:sz w:val="22"/>
          <w:szCs w:val="22"/>
          <w:lang w:val="lt-LT"/>
        </w:rPr>
        <w:t>Ranbaxy</w:t>
      </w:r>
      <w:proofErr w:type="spellEnd"/>
      <w:r w:rsidRPr="003F7446">
        <w:rPr>
          <w:color w:val="auto"/>
          <w:sz w:val="22"/>
          <w:szCs w:val="22"/>
          <w:lang w:val="lt-LT"/>
        </w:rPr>
        <w:t xml:space="preserve"> 500 mg plėvele dengtos tabletės </w:t>
      </w:r>
    </w:p>
    <w:p w14:paraId="28710443" w14:textId="77777777" w:rsidR="0052287E" w:rsidRPr="003F7446" w:rsidRDefault="0052287E" w:rsidP="0052287E">
      <w:pPr>
        <w:pStyle w:val="Default"/>
        <w:rPr>
          <w:color w:val="auto"/>
          <w:sz w:val="22"/>
          <w:szCs w:val="22"/>
          <w:lang w:val="lt-LT"/>
        </w:rPr>
      </w:pPr>
    </w:p>
    <w:p w14:paraId="12BD4C7E" w14:textId="77777777" w:rsidR="0052287E" w:rsidRPr="003F7446" w:rsidRDefault="0052287E" w:rsidP="0052287E">
      <w:pPr>
        <w:pStyle w:val="Default"/>
        <w:rPr>
          <w:color w:val="auto"/>
          <w:sz w:val="22"/>
          <w:szCs w:val="22"/>
          <w:lang w:val="lt-LT"/>
        </w:rPr>
      </w:pPr>
    </w:p>
    <w:p w14:paraId="032C4290" w14:textId="77777777" w:rsidR="0052287E" w:rsidRPr="003F7446" w:rsidRDefault="0052287E" w:rsidP="0052287E">
      <w:pPr>
        <w:pStyle w:val="Default"/>
        <w:ind w:left="560" w:hanging="560"/>
        <w:rPr>
          <w:color w:val="auto"/>
          <w:sz w:val="22"/>
          <w:szCs w:val="22"/>
          <w:lang w:val="lt-LT"/>
        </w:rPr>
      </w:pPr>
      <w:r w:rsidRPr="003F7446">
        <w:rPr>
          <w:b/>
          <w:bCs/>
          <w:color w:val="auto"/>
          <w:sz w:val="22"/>
          <w:szCs w:val="22"/>
          <w:lang w:val="lt-LT"/>
        </w:rPr>
        <w:t>2.</w:t>
      </w:r>
      <w:r w:rsidRPr="003F7446">
        <w:rPr>
          <w:b/>
          <w:bCs/>
          <w:color w:val="auto"/>
          <w:sz w:val="22"/>
          <w:szCs w:val="22"/>
          <w:lang w:val="lt-LT"/>
        </w:rPr>
        <w:tab/>
        <w:t xml:space="preserve">KOKYBINĖ IR KIEKYBINĖ SUDĖTIS </w:t>
      </w:r>
    </w:p>
    <w:p w14:paraId="5402380C" w14:textId="77777777" w:rsidR="0052287E" w:rsidRPr="003F7446" w:rsidRDefault="0052287E" w:rsidP="0052287E">
      <w:pPr>
        <w:pStyle w:val="Default"/>
        <w:ind w:left="560" w:hanging="560"/>
        <w:rPr>
          <w:color w:val="auto"/>
          <w:sz w:val="22"/>
          <w:szCs w:val="22"/>
          <w:lang w:val="lt-LT"/>
        </w:rPr>
      </w:pPr>
    </w:p>
    <w:p w14:paraId="742D04DE" w14:textId="77777777" w:rsidR="0052287E" w:rsidRPr="003F7446" w:rsidRDefault="0052287E" w:rsidP="0052287E">
      <w:pPr>
        <w:pStyle w:val="Default"/>
        <w:ind w:left="561" w:hanging="561"/>
        <w:rPr>
          <w:color w:val="auto"/>
          <w:sz w:val="22"/>
          <w:szCs w:val="22"/>
          <w:lang w:val="lt-LT"/>
        </w:rPr>
      </w:pPr>
      <w:r w:rsidRPr="003F7446">
        <w:rPr>
          <w:color w:val="auto"/>
          <w:sz w:val="22"/>
          <w:szCs w:val="22"/>
          <w:lang w:val="lt-LT"/>
        </w:rPr>
        <w:t xml:space="preserve">Kiekvienoje plėvele dengtoje tabletėje yra 500 mg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mofetilio</w:t>
      </w:r>
      <w:proofErr w:type="spellEnd"/>
      <w:r w:rsidRPr="003F7446">
        <w:rPr>
          <w:color w:val="auto"/>
          <w:sz w:val="22"/>
          <w:szCs w:val="22"/>
          <w:lang w:val="lt-LT"/>
        </w:rPr>
        <w:t xml:space="preserve">. </w:t>
      </w:r>
    </w:p>
    <w:p w14:paraId="7E20A7B0" w14:textId="77777777" w:rsidR="0052287E" w:rsidRPr="003F7446" w:rsidRDefault="0052287E" w:rsidP="0052287E">
      <w:pPr>
        <w:pStyle w:val="Default"/>
        <w:ind w:left="561" w:hanging="561"/>
        <w:rPr>
          <w:color w:val="auto"/>
          <w:sz w:val="22"/>
          <w:szCs w:val="22"/>
          <w:lang w:val="lt-LT"/>
        </w:rPr>
      </w:pPr>
    </w:p>
    <w:p w14:paraId="45CE12A2" w14:textId="77777777" w:rsidR="0052287E" w:rsidRPr="003F7446" w:rsidRDefault="0052287E" w:rsidP="0052287E">
      <w:pPr>
        <w:pStyle w:val="Default"/>
        <w:ind w:left="561" w:hanging="561"/>
        <w:rPr>
          <w:color w:val="auto"/>
          <w:sz w:val="22"/>
          <w:szCs w:val="22"/>
          <w:lang w:val="lt-LT"/>
        </w:rPr>
      </w:pPr>
      <w:r w:rsidRPr="003F7446">
        <w:rPr>
          <w:color w:val="auto"/>
          <w:sz w:val="22"/>
          <w:szCs w:val="22"/>
          <w:lang w:val="lt-LT"/>
        </w:rPr>
        <w:t xml:space="preserve">Visos pagalbinės medžiagos išvardytos 6.1 skyriuje. </w:t>
      </w:r>
    </w:p>
    <w:p w14:paraId="0DADA8E5" w14:textId="77777777" w:rsidR="0052287E" w:rsidRPr="003F7446" w:rsidRDefault="0052287E" w:rsidP="0052287E">
      <w:pPr>
        <w:pStyle w:val="Default"/>
        <w:ind w:left="560" w:hanging="560"/>
        <w:rPr>
          <w:color w:val="auto"/>
          <w:sz w:val="22"/>
          <w:szCs w:val="22"/>
          <w:lang w:val="lt-LT"/>
        </w:rPr>
      </w:pPr>
    </w:p>
    <w:p w14:paraId="5A351D13" w14:textId="77777777" w:rsidR="0052287E" w:rsidRPr="003F7446" w:rsidRDefault="0052287E" w:rsidP="0052287E">
      <w:pPr>
        <w:pStyle w:val="Default"/>
        <w:ind w:left="560" w:hanging="560"/>
        <w:rPr>
          <w:color w:val="auto"/>
          <w:sz w:val="22"/>
          <w:szCs w:val="22"/>
          <w:lang w:val="lt-LT"/>
        </w:rPr>
      </w:pPr>
    </w:p>
    <w:p w14:paraId="42A95179" w14:textId="77777777" w:rsidR="0052287E" w:rsidRPr="003F7446" w:rsidRDefault="0052287E" w:rsidP="0052287E">
      <w:pPr>
        <w:pStyle w:val="Default"/>
        <w:ind w:left="560" w:hanging="560"/>
        <w:rPr>
          <w:color w:val="auto"/>
          <w:sz w:val="22"/>
          <w:szCs w:val="22"/>
          <w:lang w:val="lt-LT"/>
        </w:rPr>
      </w:pPr>
      <w:r w:rsidRPr="003F7446">
        <w:rPr>
          <w:b/>
          <w:bCs/>
          <w:color w:val="auto"/>
          <w:sz w:val="22"/>
          <w:szCs w:val="22"/>
          <w:lang w:val="lt-LT"/>
        </w:rPr>
        <w:t>3.</w:t>
      </w:r>
      <w:r w:rsidRPr="003F7446">
        <w:rPr>
          <w:b/>
          <w:bCs/>
          <w:color w:val="auto"/>
          <w:sz w:val="22"/>
          <w:szCs w:val="22"/>
          <w:lang w:val="lt-LT"/>
        </w:rPr>
        <w:tab/>
        <w:t xml:space="preserve">FARMACINĖ FORMA </w:t>
      </w:r>
    </w:p>
    <w:p w14:paraId="74A75430" w14:textId="77777777" w:rsidR="0052287E" w:rsidRPr="003F7446" w:rsidRDefault="0052287E" w:rsidP="0052287E">
      <w:pPr>
        <w:pStyle w:val="Default"/>
        <w:rPr>
          <w:color w:val="auto"/>
          <w:sz w:val="22"/>
          <w:szCs w:val="22"/>
          <w:lang w:val="lt-LT"/>
        </w:rPr>
      </w:pPr>
    </w:p>
    <w:p w14:paraId="5255AF58" w14:textId="77777777" w:rsidR="0052287E" w:rsidRPr="003F7446" w:rsidRDefault="0052287E" w:rsidP="0052287E">
      <w:pPr>
        <w:pStyle w:val="Default"/>
        <w:rPr>
          <w:color w:val="auto"/>
          <w:sz w:val="22"/>
          <w:szCs w:val="22"/>
          <w:lang w:val="lt-LT"/>
        </w:rPr>
      </w:pPr>
      <w:r w:rsidRPr="003F7446">
        <w:rPr>
          <w:color w:val="auto"/>
          <w:sz w:val="22"/>
          <w:szCs w:val="22"/>
          <w:lang w:val="lt-LT"/>
        </w:rPr>
        <w:t>Plėvele dengta tabletė.</w:t>
      </w:r>
    </w:p>
    <w:p w14:paraId="3C34B130" w14:textId="77777777" w:rsidR="0052287E" w:rsidRPr="003F7446" w:rsidRDefault="0052287E" w:rsidP="0052287E">
      <w:pPr>
        <w:pStyle w:val="Default"/>
        <w:rPr>
          <w:color w:val="auto"/>
          <w:sz w:val="22"/>
          <w:szCs w:val="22"/>
          <w:lang w:val="lt-LT"/>
        </w:rPr>
      </w:pPr>
    </w:p>
    <w:p w14:paraId="4C7E5FB2" w14:textId="77777777" w:rsidR="0052287E" w:rsidRPr="003F7446" w:rsidRDefault="0052287E" w:rsidP="0052287E">
      <w:pPr>
        <w:pStyle w:val="Default"/>
        <w:rPr>
          <w:color w:val="auto"/>
          <w:sz w:val="22"/>
          <w:szCs w:val="22"/>
          <w:lang w:val="lt-LT"/>
        </w:rPr>
      </w:pPr>
      <w:r w:rsidRPr="003F7446">
        <w:rPr>
          <w:color w:val="auto"/>
          <w:sz w:val="22"/>
          <w:szCs w:val="22"/>
          <w:lang w:val="lt-LT"/>
        </w:rPr>
        <w:t>Tabletės yra šviesiai violetinės arba violetinės spalvos, kapsulės formos, dengtos plėvele. Vienoje jų pusėje įspausta RG66, o kita pusė lygi.</w:t>
      </w:r>
    </w:p>
    <w:p w14:paraId="272A00AA" w14:textId="77777777" w:rsidR="0052287E" w:rsidRPr="003F7446" w:rsidRDefault="0052287E" w:rsidP="0052287E">
      <w:pPr>
        <w:pStyle w:val="Default"/>
        <w:rPr>
          <w:color w:val="auto"/>
          <w:sz w:val="22"/>
          <w:szCs w:val="22"/>
          <w:lang w:val="lt-LT"/>
        </w:rPr>
      </w:pPr>
    </w:p>
    <w:p w14:paraId="11683ACC" w14:textId="77777777" w:rsidR="0052287E" w:rsidRPr="003F7446" w:rsidRDefault="0052287E" w:rsidP="0052287E">
      <w:pPr>
        <w:pStyle w:val="Default"/>
        <w:rPr>
          <w:color w:val="auto"/>
          <w:sz w:val="22"/>
          <w:szCs w:val="22"/>
          <w:lang w:val="lt-LT"/>
        </w:rPr>
      </w:pPr>
    </w:p>
    <w:p w14:paraId="66A4710F" w14:textId="77777777" w:rsidR="0052287E" w:rsidRPr="003F7446" w:rsidRDefault="0052287E" w:rsidP="0052287E">
      <w:pPr>
        <w:pStyle w:val="Default"/>
        <w:ind w:left="560" w:hanging="560"/>
        <w:rPr>
          <w:b/>
          <w:bCs/>
          <w:color w:val="auto"/>
          <w:sz w:val="22"/>
          <w:szCs w:val="22"/>
          <w:lang w:val="lt-LT"/>
        </w:rPr>
      </w:pPr>
      <w:r w:rsidRPr="003F7446">
        <w:rPr>
          <w:b/>
          <w:bCs/>
          <w:color w:val="auto"/>
          <w:sz w:val="22"/>
          <w:szCs w:val="22"/>
          <w:lang w:val="lt-LT"/>
        </w:rPr>
        <w:t>4.</w:t>
      </w:r>
      <w:r w:rsidRPr="003F7446">
        <w:rPr>
          <w:b/>
          <w:bCs/>
          <w:color w:val="auto"/>
          <w:sz w:val="22"/>
          <w:szCs w:val="22"/>
          <w:lang w:val="lt-LT"/>
        </w:rPr>
        <w:tab/>
        <w:t xml:space="preserve">KLINIKINĖ INFORMACIJA </w:t>
      </w:r>
    </w:p>
    <w:p w14:paraId="4D923B31" w14:textId="77777777" w:rsidR="0052287E" w:rsidRPr="003F7446" w:rsidRDefault="0052287E" w:rsidP="0052287E">
      <w:pPr>
        <w:pStyle w:val="Default"/>
        <w:ind w:left="560" w:hanging="560"/>
        <w:rPr>
          <w:color w:val="auto"/>
          <w:sz w:val="22"/>
          <w:szCs w:val="22"/>
          <w:lang w:val="lt-LT"/>
        </w:rPr>
      </w:pPr>
    </w:p>
    <w:p w14:paraId="7DF5B278" w14:textId="77777777" w:rsidR="0052287E" w:rsidRPr="003F7446" w:rsidRDefault="0052287E" w:rsidP="0052287E">
      <w:pPr>
        <w:pStyle w:val="Default"/>
        <w:ind w:left="560" w:hanging="560"/>
        <w:rPr>
          <w:b/>
          <w:bCs/>
          <w:color w:val="auto"/>
          <w:sz w:val="22"/>
          <w:szCs w:val="22"/>
          <w:lang w:val="lt-LT"/>
        </w:rPr>
      </w:pPr>
      <w:r w:rsidRPr="003F7446">
        <w:rPr>
          <w:b/>
          <w:bCs/>
          <w:color w:val="auto"/>
          <w:sz w:val="22"/>
          <w:szCs w:val="22"/>
          <w:lang w:val="lt-LT"/>
        </w:rPr>
        <w:t>4.1</w:t>
      </w:r>
      <w:r w:rsidRPr="003F7446">
        <w:rPr>
          <w:b/>
          <w:bCs/>
          <w:color w:val="auto"/>
          <w:sz w:val="22"/>
          <w:szCs w:val="22"/>
          <w:lang w:val="lt-LT"/>
        </w:rPr>
        <w:tab/>
        <w:t xml:space="preserve">Terapinės indikacijos </w:t>
      </w:r>
    </w:p>
    <w:p w14:paraId="55CCA678" w14:textId="77777777" w:rsidR="0052287E" w:rsidRPr="003F7446" w:rsidRDefault="0052287E" w:rsidP="0052287E">
      <w:pPr>
        <w:pStyle w:val="Default"/>
        <w:ind w:left="560" w:hanging="560"/>
        <w:rPr>
          <w:color w:val="auto"/>
          <w:sz w:val="22"/>
          <w:szCs w:val="22"/>
          <w:lang w:val="lt-LT"/>
        </w:rPr>
      </w:pPr>
    </w:p>
    <w:p w14:paraId="271B339E" w14:textId="77777777" w:rsidR="0052287E" w:rsidRPr="003F7446" w:rsidRDefault="0052287E" w:rsidP="0052287E">
      <w:pPr>
        <w:pStyle w:val="Default"/>
        <w:rPr>
          <w:color w:val="auto"/>
          <w:sz w:val="22"/>
          <w:szCs w:val="22"/>
          <w:lang w:val="lt-LT"/>
        </w:rPr>
      </w:pPr>
      <w:proofErr w:type="spellStart"/>
      <w:r w:rsidRPr="003F7446">
        <w:rPr>
          <w:color w:val="auto"/>
          <w:sz w:val="22"/>
          <w:szCs w:val="22"/>
          <w:lang w:val="lt-LT"/>
        </w:rPr>
        <w:t>Mycophenolate</w:t>
      </w:r>
      <w:proofErr w:type="spellEnd"/>
      <w:r w:rsidRPr="003F7446">
        <w:rPr>
          <w:color w:val="auto"/>
          <w:sz w:val="22"/>
          <w:szCs w:val="22"/>
          <w:lang w:val="lt-LT"/>
        </w:rPr>
        <w:t xml:space="preserve"> </w:t>
      </w:r>
      <w:proofErr w:type="spellStart"/>
      <w:r w:rsidRPr="003F7446">
        <w:rPr>
          <w:color w:val="auto"/>
          <w:sz w:val="22"/>
          <w:szCs w:val="22"/>
          <w:lang w:val="lt-LT"/>
        </w:rPr>
        <w:t>mofetil</w:t>
      </w:r>
      <w:proofErr w:type="spellEnd"/>
      <w:r w:rsidRPr="003F7446">
        <w:rPr>
          <w:color w:val="auto"/>
          <w:sz w:val="22"/>
          <w:szCs w:val="22"/>
          <w:lang w:val="lt-LT"/>
        </w:rPr>
        <w:t xml:space="preserve"> </w:t>
      </w:r>
      <w:proofErr w:type="spellStart"/>
      <w:r w:rsidRPr="003F7446">
        <w:rPr>
          <w:color w:val="auto"/>
          <w:sz w:val="22"/>
          <w:szCs w:val="22"/>
          <w:lang w:val="lt-LT"/>
        </w:rPr>
        <w:t>Ranbaxy</w:t>
      </w:r>
      <w:proofErr w:type="spellEnd"/>
      <w:r w:rsidRPr="003F7446">
        <w:rPr>
          <w:color w:val="auto"/>
          <w:sz w:val="22"/>
          <w:szCs w:val="22"/>
          <w:lang w:val="lt-LT"/>
        </w:rPr>
        <w:t xml:space="preserve"> skiriamas kartu su </w:t>
      </w:r>
      <w:proofErr w:type="spellStart"/>
      <w:r w:rsidRPr="003F7446">
        <w:rPr>
          <w:color w:val="auto"/>
          <w:sz w:val="22"/>
          <w:szCs w:val="22"/>
          <w:lang w:val="lt-LT"/>
        </w:rPr>
        <w:t>ciklosporinu</w:t>
      </w:r>
      <w:proofErr w:type="spellEnd"/>
      <w:r w:rsidRPr="003F7446">
        <w:rPr>
          <w:color w:val="auto"/>
          <w:sz w:val="22"/>
          <w:szCs w:val="22"/>
          <w:lang w:val="lt-LT"/>
        </w:rPr>
        <w:t xml:space="preserve"> ir kortikosteroidais </w:t>
      </w:r>
      <w:proofErr w:type="spellStart"/>
      <w:r w:rsidRPr="003F7446">
        <w:rPr>
          <w:color w:val="auto"/>
          <w:sz w:val="22"/>
          <w:szCs w:val="22"/>
          <w:lang w:val="lt-LT"/>
        </w:rPr>
        <w:t>transplantato</w:t>
      </w:r>
      <w:proofErr w:type="spellEnd"/>
      <w:r w:rsidRPr="003F7446">
        <w:rPr>
          <w:color w:val="auto"/>
          <w:sz w:val="22"/>
          <w:szCs w:val="22"/>
          <w:lang w:val="lt-LT"/>
        </w:rPr>
        <w:t xml:space="preserve"> ūminio atmetimo profilaktikai pacientams, kuriems persodinti alogeniniai inkstai, širdis arba kepenys. </w:t>
      </w:r>
    </w:p>
    <w:p w14:paraId="59980F0F" w14:textId="77777777" w:rsidR="0052287E" w:rsidRPr="003F7446" w:rsidRDefault="0052287E" w:rsidP="0052287E">
      <w:pPr>
        <w:pStyle w:val="Default"/>
        <w:rPr>
          <w:color w:val="auto"/>
          <w:sz w:val="22"/>
          <w:szCs w:val="22"/>
          <w:lang w:val="lt-LT"/>
        </w:rPr>
      </w:pPr>
    </w:p>
    <w:p w14:paraId="3986AA69" w14:textId="77777777" w:rsidR="0052287E" w:rsidRPr="003F7446" w:rsidRDefault="0052287E" w:rsidP="0052287E">
      <w:pPr>
        <w:pStyle w:val="Default"/>
        <w:ind w:left="560" w:hanging="560"/>
        <w:rPr>
          <w:b/>
          <w:bCs/>
          <w:color w:val="auto"/>
          <w:sz w:val="22"/>
          <w:szCs w:val="22"/>
          <w:lang w:val="lt-LT"/>
        </w:rPr>
      </w:pPr>
      <w:r w:rsidRPr="003F7446">
        <w:rPr>
          <w:b/>
          <w:bCs/>
          <w:color w:val="auto"/>
          <w:sz w:val="22"/>
          <w:szCs w:val="22"/>
          <w:lang w:val="lt-LT"/>
        </w:rPr>
        <w:t>4.2</w:t>
      </w:r>
      <w:r w:rsidRPr="003F7446">
        <w:rPr>
          <w:b/>
          <w:bCs/>
          <w:color w:val="auto"/>
          <w:sz w:val="22"/>
          <w:szCs w:val="22"/>
          <w:lang w:val="lt-LT"/>
        </w:rPr>
        <w:tab/>
        <w:t xml:space="preserve">Dozavimas ir vartojimo metodas </w:t>
      </w:r>
    </w:p>
    <w:p w14:paraId="7E445090" w14:textId="77777777" w:rsidR="0052287E" w:rsidRPr="003F7446" w:rsidRDefault="0052287E" w:rsidP="0052287E">
      <w:pPr>
        <w:pStyle w:val="Default"/>
        <w:ind w:left="560" w:hanging="560"/>
        <w:rPr>
          <w:color w:val="auto"/>
          <w:sz w:val="22"/>
          <w:szCs w:val="22"/>
          <w:lang w:val="lt-LT"/>
        </w:rPr>
      </w:pPr>
    </w:p>
    <w:p w14:paraId="1DD39D06"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Pradėti gydyti </w:t>
      </w:r>
      <w:proofErr w:type="spellStart"/>
      <w:r w:rsidRPr="003F7446">
        <w:rPr>
          <w:color w:val="auto"/>
          <w:sz w:val="22"/>
          <w:szCs w:val="22"/>
          <w:lang w:val="lt-LT"/>
        </w:rPr>
        <w:t>Mycophenolate</w:t>
      </w:r>
      <w:proofErr w:type="spellEnd"/>
      <w:r w:rsidRPr="003F7446">
        <w:rPr>
          <w:color w:val="auto"/>
          <w:sz w:val="22"/>
          <w:szCs w:val="22"/>
          <w:lang w:val="lt-LT"/>
        </w:rPr>
        <w:t xml:space="preserve"> </w:t>
      </w:r>
      <w:proofErr w:type="spellStart"/>
      <w:r w:rsidRPr="003F7446">
        <w:rPr>
          <w:color w:val="auto"/>
          <w:sz w:val="22"/>
          <w:szCs w:val="22"/>
          <w:lang w:val="lt-LT"/>
        </w:rPr>
        <w:t>mofetil</w:t>
      </w:r>
      <w:proofErr w:type="spellEnd"/>
      <w:r w:rsidRPr="003F7446">
        <w:rPr>
          <w:color w:val="auto"/>
          <w:sz w:val="22"/>
          <w:szCs w:val="22"/>
          <w:lang w:val="lt-LT"/>
        </w:rPr>
        <w:t xml:space="preserve"> </w:t>
      </w:r>
      <w:proofErr w:type="spellStart"/>
      <w:r w:rsidRPr="003F7446">
        <w:rPr>
          <w:color w:val="auto"/>
          <w:sz w:val="22"/>
          <w:szCs w:val="22"/>
          <w:lang w:val="lt-LT"/>
        </w:rPr>
        <w:t>Ranbaxy</w:t>
      </w:r>
      <w:proofErr w:type="spellEnd"/>
      <w:r w:rsidRPr="003F7446">
        <w:rPr>
          <w:color w:val="auto"/>
          <w:sz w:val="22"/>
          <w:szCs w:val="22"/>
          <w:lang w:val="lt-LT"/>
        </w:rPr>
        <w:t xml:space="preserve"> ir tęsti gydymą gali tik tinkamos kvalifikacijos transplantacijos specialistai. </w:t>
      </w:r>
    </w:p>
    <w:p w14:paraId="5A3BBAA2" w14:textId="77777777" w:rsidR="0052287E" w:rsidRPr="003F7446" w:rsidRDefault="0052287E" w:rsidP="0052287E">
      <w:pPr>
        <w:pStyle w:val="Default"/>
        <w:ind w:left="560" w:hanging="560"/>
        <w:rPr>
          <w:color w:val="auto"/>
          <w:sz w:val="22"/>
          <w:szCs w:val="22"/>
          <w:u w:val="single"/>
          <w:lang w:val="lt-LT"/>
        </w:rPr>
      </w:pPr>
    </w:p>
    <w:p w14:paraId="4073AF52" w14:textId="77777777" w:rsidR="0052287E" w:rsidRPr="003F7446" w:rsidRDefault="0052287E" w:rsidP="0052287E">
      <w:pPr>
        <w:pStyle w:val="Default"/>
        <w:ind w:left="560" w:hanging="560"/>
        <w:rPr>
          <w:color w:val="auto"/>
          <w:sz w:val="22"/>
          <w:szCs w:val="22"/>
          <w:lang w:val="lt-LT"/>
        </w:rPr>
      </w:pPr>
      <w:r w:rsidRPr="003F7446">
        <w:rPr>
          <w:color w:val="auto"/>
          <w:sz w:val="22"/>
          <w:szCs w:val="22"/>
          <w:u w:val="single"/>
          <w:lang w:val="lt-LT"/>
        </w:rPr>
        <w:t>Dozavimas persodinus inkstą</w:t>
      </w:r>
      <w:r w:rsidRPr="003F7446">
        <w:rPr>
          <w:color w:val="auto"/>
          <w:sz w:val="22"/>
          <w:szCs w:val="22"/>
          <w:lang w:val="lt-LT"/>
        </w:rPr>
        <w:t xml:space="preserve">: </w:t>
      </w:r>
    </w:p>
    <w:p w14:paraId="3119A7CB" w14:textId="77777777" w:rsidR="0052287E" w:rsidRPr="003F7446" w:rsidRDefault="0052287E" w:rsidP="0052287E">
      <w:pPr>
        <w:pStyle w:val="Default"/>
        <w:rPr>
          <w:color w:val="auto"/>
          <w:sz w:val="22"/>
          <w:szCs w:val="22"/>
          <w:u w:val="single"/>
          <w:lang w:val="lt-LT"/>
        </w:rPr>
      </w:pPr>
    </w:p>
    <w:p w14:paraId="4046E9C4" w14:textId="77777777" w:rsidR="0052287E" w:rsidRPr="003F7446" w:rsidRDefault="0052287E" w:rsidP="0052287E">
      <w:pPr>
        <w:pStyle w:val="Default"/>
        <w:rPr>
          <w:color w:val="auto"/>
          <w:sz w:val="22"/>
          <w:szCs w:val="22"/>
          <w:lang w:val="lt-LT"/>
        </w:rPr>
      </w:pPr>
      <w:r w:rsidRPr="003F7446">
        <w:rPr>
          <w:color w:val="auto"/>
          <w:sz w:val="22"/>
          <w:szCs w:val="22"/>
          <w:u w:val="single"/>
          <w:lang w:val="lt-LT"/>
        </w:rPr>
        <w:t>Suaugusiesiems</w:t>
      </w:r>
      <w:r w:rsidRPr="003F7446">
        <w:rPr>
          <w:color w:val="auto"/>
          <w:sz w:val="22"/>
          <w:szCs w:val="22"/>
          <w:lang w:val="lt-LT"/>
        </w:rPr>
        <w:t xml:space="preserve">: geriamąjį </w:t>
      </w:r>
      <w:proofErr w:type="spellStart"/>
      <w:r w:rsidRPr="003F7446">
        <w:rPr>
          <w:color w:val="auto"/>
          <w:sz w:val="22"/>
          <w:szCs w:val="22"/>
          <w:lang w:val="lt-LT"/>
        </w:rPr>
        <w:t>Mycophenolate</w:t>
      </w:r>
      <w:proofErr w:type="spellEnd"/>
      <w:r w:rsidRPr="003F7446">
        <w:rPr>
          <w:color w:val="auto"/>
          <w:sz w:val="22"/>
          <w:szCs w:val="22"/>
          <w:lang w:val="lt-LT"/>
        </w:rPr>
        <w:t xml:space="preserve"> </w:t>
      </w:r>
      <w:proofErr w:type="spellStart"/>
      <w:r w:rsidRPr="003F7446">
        <w:rPr>
          <w:color w:val="auto"/>
          <w:sz w:val="22"/>
          <w:szCs w:val="22"/>
          <w:lang w:val="lt-LT"/>
        </w:rPr>
        <w:t>mofetil</w:t>
      </w:r>
      <w:proofErr w:type="spellEnd"/>
      <w:r w:rsidRPr="003F7446">
        <w:rPr>
          <w:color w:val="auto"/>
          <w:sz w:val="22"/>
          <w:szCs w:val="22"/>
          <w:lang w:val="lt-LT"/>
        </w:rPr>
        <w:t xml:space="preserve"> </w:t>
      </w:r>
      <w:proofErr w:type="spellStart"/>
      <w:r w:rsidRPr="003F7446">
        <w:rPr>
          <w:color w:val="auto"/>
          <w:sz w:val="22"/>
          <w:szCs w:val="22"/>
          <w:lang w:val="lt-LT"/>
        </w:rPr>
        <w:t>Ranbaxy</w:t>
      </w:r>
      <w:proofErr w:type="spellEnd"/>
      <w:r w:rsidRPr="003F7446">
        <w:rPr>
          <w:color w:val="auto"/>
          <w:sz w:val="22"/>
          <w:szCs w:val="22"/>
          <w:lang w:val="lt-LT"/>
        </w:rPr>
        <w:t xml:space="preserve"> reikia pradėti vartoti per 72 valandas po transplantacijos. Pacientams, kuriems persodintas inkstas rekomenduojama gerti po 1 g du kartus per parą (paros dozė yra 2 g). </w:t>
      </w:r>
    </w:p>
    <w:p w14:paraId="7B82E7EE" w14:textId="77777777" w:rsidR="0052287E" w:rsidRPr="003F7446" w:rsidRDefault="0052287E" w:rsidP="0052287E">
      <w:pPr>
        <w:pStyle w:val="Default"/>
        <w:rPr>
          <w:color w:val="auto"/>
          <w:sz w:val="22"/>
          <w:szCs w:val="22"/>
          <w:u w:val="single"/>
          <w:lang w:val="lt-LT"/>
        </w:rPr>
      </w:pPr>
    </w:p>
    <w:p w14:paraId="68088C98" w14:textId="77777777" w:rsidR="0052287E" w:rsidRPr="003F7446" w:rsidRDefault="0052287E" w:rsidP="0052287E">
      <w:pPr>
        <w:pStyle w:val="Default"/>
        <w:rPr>
          <w:color w:val="auto"/>
          <w:sz w:val="22"/>
          <w:szCs w:val="22"/>
          <w:lang w:val="lt-LT"/>
        </w:rPr>
      </w:pPr>
      <w:r w:rsidRPr="003F7446">
        <w:rPr>
          <w:color w:val="auto"/>
          <w:sz w:val="22"/>
          <w:szCs w:val="22"/>
          <w:u w:val="single"/>
          <w:lang w:val="lt-LT"/>
        </w:rPr>
        <w:t>Vaikams ir paaugliams (nuo 2 iki 18 metų)</w:t>
      </w:r>
      <w:r w:rsidRPr="003F7446">
        <w:rPr>
          <w:color w:val="auto"/>
          <w:sz w:val="22"/>
          <w:szCs w:val="22"/>
          <w:lang w:val="lt-LT"/>
        </w:rPr>
        <w:t xml:space="preserve">: rekomenduojama </w:t>
      </w:r>
      <w:proofErr w:type="spellStart"/>
      <w:r w:rsidRPr="003F7446">
        <w:rPr>
          <w:color w:val="auto"/>
          <w:sz w:val="22"/>
          <w:szCs w:val="22"/>
          <w:lang w:val="lt-LT"/>
        </w:rPr>
        <w:t>Mycophenolate</w:t>
      </w:r>
      <w:proofErr w:type="spellEnd"/>
      <w:r w:rsidRPr="003F7446">
        <w:rPr>
          <w:color w:val="auto"/>
          <w:sz w:val="22"/>
          <w:szCs w:val="22"/>
          <w:lang w:val="lt-LT"/>
        </w:rPr>
        <w:t xml:space="preserve"> </w:t>
      </w:r>
      <w:proofErr w:type="spellStart"/>
      <w:r w:rsidRPr="003F7446">
        <w:rPr>
          <w:color w:val="auto"/>
          <w:sz w:val="22"/>
          <w:szCs w:val="22"/>
          <w:lang w:val="lt-LT"/>
        </w:rPr>
        <w:t>mofetil</w:t>
      </w:r>
      <w:proofErr w:type="spellEnd"/>
      <w:r w:rsidRPr="003F7446">
        <w:rPr>
          <w:color w:val="auto"/>
          <w:sz w:val="22"/>
          <w:szCs w:val="22"/>
          <w:lang w:val="lt-LT"/>
        </w:rPr>
        <w:t xml:space="preserve"> </w:t>
      </w:r>
      <w:proofErr w:type="spellStart"/>
      <w:r w:rsidRPr="003F7446">
        <w:rPr>
          <w:color w:val="auto"/>
          <w:sz w:val="22"/>
          <w:szCs w:val="22"/>
          <w:lang w:val="lt-LT"/>
        </w:rPr>
        <w:t>Ranbaxy</w:t>
      </w:r>
      <w:proofErr w:type="spellEnd"/>
      <w:r w:rsidRPr="003F7446">
        <w:rPr>
          <w:color w:val="auto"/>
          <w:sz w:val="22"/>
          <w:szCs w:val="22"/>
          <w:lang w:val="lt-LT"/>
        </w:rPr>
        <w:t xml:space="preserve"> dozė –gerti po 600 mg/m</w:t>
      </w:r>
      <w:r w:rsidRPr="003F7446">
        <w:rPr>
          <w:color w:val="auto"/>
          <w:sz w:val="22"/>
          <w:szCs w:val="22"/>
          <w:vertAlign w:val="superscript"/>
          <w:lang w:val="lt-LT"/>
        </w:rPr>
        <w:t xml:space="preserve">2 </w:t>
      </w:r>
      <w:r w:rsidRPr="003F7446">
        <w:rPr>
          <w:color w:val="auto"/>
          <w:sz w:val="22"/>
          <w:szCs w:val="22"/>
          <w:lang w:val="lt-LT"/>
        </w:rPr>
        <w:t>du kartus per parą (iki didžiausios 2 g per parą dozės). Tik pacientams, kurių kūno paviršiaus plotas didesnis nei 1,5 m</w:t>
      </w:r>
      <w:r w:rsidRPr="003F7446">
        <w:rPr>
          <w:color w:val="auto"/>
          <w:sz w:val="22"/>
          <w:szCs w:val="22"/>
          <w:vertAlign w:val="superscript"/>
          <w:lang w:val="lt-LT"/>
        </w:rPr>
        <w:t>2</w:t>
      </w:r>
      <w:r w:rsidRPr="003F7446">
        <w:rPr>
          <w:color w:val="auto"/>
          <w:sz w:val="22"/>
          <w:szCs w:val="22"/>
          <w:lang w:val="lt-LT"/>
        </w:rPr>
        <w:t xml:space="preserve">, galima skirti </w:t>
      </w:r>
      <w:proofErr w:type="spellStart"/>
      <w:r w:rsidRPr="003F7446">
        <w:rPr>
          <w:color w:val="auto"/>
          <w:sz w:val="22"/>
          <w:szCs w:val="22"/>
          <w:lang w:val="lt-LT"/>
        </w:rPr>
        <w:t>Mycophenolate</w:t>
      </w:r>
      <w:proofErr w:type="spellEnd"/>
      <w:r w:rsidRPr="003F7446">
        <w:rPr>
          <w:color w:val="auto"/>
          <w:sz w:val="22"/>
          <w:szCs w:val="22"/>
          <w:lang w:val="lt-LT"/>
        </w:rPr>
        <w:t xml:space="preserve"> </w:t>
      </w:r>
      <w:proofErr w:type="spellStart"/>
      <w:r w:rsidRPr="003F7446">
        <w:rPr>
          <w:color w:val="auto"/>
          <w:sz w:val="22"/>
          <w:szCs w:val="22"/>
          <w:lang w:val="lt-LT"/>
        </w:rPr>
        <w:t>mofetil</w:t>
      </w:r>
      <w:proofErr w:type="spellEnd"/>
      <w:r w:rsidRPr="003F7446">
        <w:rPr>
          <w:color w:val="auto"/>
          <w:sz w:val="22"/>
          <w:szCs w:val="22"/>
          <w:lang w:val="lt-LT"/>
        </w:rPr>
        <w:t xml:space="preserve"> </w:t>
      </w:r>
      <w:proofErr w:type="spellStart"/>
      <w:r w:rsidRPr="003F7446">
        <w:rPr>
          <w:color w:val="auto"/>
          <w:sz w:val="22"/>
          <w:szCs w:val="22"/>
          <w:lang w:val="lt-LT"/>
        </w:rPr>
        <w:t>Ranbaxy</w:t>
      </w:r>
      <w:proofErr w:type="spellEnd"/>
      <w:r w:rsidRPr="003F7446">
        <w:rPr>
          <w:color w:val="auto"/>
          <w:sz w:val="22"/>
          <w:szCs w:val="22"/>
          <w:lang w:val="lt-LT"/>
        </w:rPr>
        <w:t xml:space="preserve"> plėvele dengtų tablečių po 1 g du kartus per parą (paros dozė – 2 g). Kadangi šios amžiaus grupės pacientams, palyginti su suaugusiaisiais, kai kurių nepageidaujamų reakcijų pasitaiko dažniau (žr. 4.8 skyrių), gali tekti vaisto dozę laikinai sumažinti arba visai nutraukti vaisto vartojimą. Į tai turi būti atkreiptas dėmesys, taip pat reikia įvertinti reikšmingus klinikinius veiksnius, įskaitant ir reakcijos sunkumą. </w:t>
      </w:r>
    </w:p>
    <w:p w14:paraId="2B069C3B" w14:textId="77777777" w:rsidR="0052287E" w:rsidRPr="003F7446" w:rsidRDefault="0052287E" w:rsidP="0052287E">
      <w:pPr>
        <w:pStyle w:val="Default"/>
        <w:rPr>
          <w:color w:val="auto"/>
          <w:sz w:val="22"/>
          <w:szCs w:val="22"/>
          <w:u w:val="single"/>
          <w:lang w:val="lt-LT"/>
        </w:rPr>
      </w:pPr>
    </w:p>
    <w:p w14:paraId="37A44453" w14:textId="77777777" w:rsidR="0052287E" w:rsidRPr="003F7446" w:rsidRDefault="0052287E" w:rsidP="0052287E">
      <w:pPr>
        <w:pStyle w:val="Default"/>
        <w:rPr>
          <w:color w:val="auto"/>
          <w:sz w:val="22"/>
          <w:szCs w:val="22"/>
          <w:lang w:val="lt-LT"/>
        </w:rPr>
      </w:pPr>
      <w:r w:rsidRPr="003F7446">
        <w:rPr>
          <w:color w:val="auto"/>
          <w:sz w:val="22"/>
          <w:szCs w:val="22"/>
          <w:u w:val="single"/>
          <w:lang w:val="lt-LT"/>
        </w:rPr>
        <w:t>Mažiems vaikams (&lt; 2 metų amžiaus)</w:t>
      </w:r>
      <w:r w:rsidRPr="003F7446">
        <w:rPr>
          <w:color w:val="auto"/>
          <w:sz w:val="22"/>
          <w:szCs w:val="22"/>
          <w:lang w:val="lt-LT"/>
        </w:rPr>
        <w:t xml:space="preserve">: jaunesniems nei 2 metų vaikams yra mažai duomenų apie vaisto saugumą ir veiksmingumą. Dėl šios priežasties paruošti dozavimo rekomendacijų negalima, todėl šiai amžiaus grupei vaisto skirti nerekomenduojama. </w:t>
      </w:r>
    </w:p>
    <w:p w14:paraId="33DDE32B" w14:textId="77777777" w:rsidR="0052287E" w:rsidRPr="003F7446" w:rsidRDefault="0052287E" w:rsidP="0052287E">
      <w:pPr>
        <w:pStyle w:val="Default"/>
        <w:rPr>
          <w:color w:val="auto"/>
          <w:sz w:val="22"/>
          <w:szCs w:val="22"/>
          <w:u w:val="single"/>
          <w:lang w:val="lt-LT"/>
        </w:rPr>
      </w:pPr>
    </w:p>
    <w:p w14:paraId="6260B93E" w14:textId="77777777" w:rsidR="0052287E" w:rsidRPr="003F7446" w:rsidRDefault="0052287E" w:rsidP="0052287E">
      <w:pPr>
        <w:pStyle w:val="Default"/>
        <w:rPr>
          <w:color w:val="auto"/>
          <w:sz w:val="22"/>
          <w:szCs w:val="22"/>
          <w:lang w:val="lt-LT"/>
        </w:rPr>
      </w:pPr>
      <w:r w:rsidRPr="003F7446">
        <w:rPr>
          <w:color w:val="auto"/>
          <w:sz w:val="22"/>
          <w:szCs w:val="22"/>
          <w:u w:val="single"/>
          <w:lang w:val="lt-LT"/>
        </w:rPr>
        <w:t>Dozavimas po širdies transplantacijos</w:t>
      </w:r>
      <w:r w:rsidRPr="003F7446">
        <w:rPr>
          <w:color w:val="auto"/>
          <w:sz w:val="22"/>
          <w:szCs w:val="22"/>
          <w:lang w:val="lt-LT"/>
        </w:rPr>
        <w:t xml:space="preserve">: </w:t>
      </w:r>
    </w:p>
    <w:p w14:paraId="33AF6A72" w14:textId="77777777" w:rsidR="0052287E" w:rsidRPr="003F7446" w:rsidRDefault="0052287E" w:rsidP="0052287E">
      <w:pPr>
        <w:pStyle w:val="Default"/>
        <w:rPr>
          <w:color w:val="auto"/>
          <w:sz w:val="22"/>
          <w:szCs w:val="22"/>
          <w:u w:val="single"/>
          <w:lang w:val="lt-LT"/>
        </w:rPr>
      </w:pPr>
    </w:p>
    <w:p w14:paraId="6B9378F8" w14:textId="77777777" w:rsidR="0052287E" w:rsidRPr="003F7446" w:rsidRDefault="0052287E" w:rsidP="0052287E">
      <w:pPr>
        <w:pStyle w:val="Default"/>
        <w:rPr>
          <w:color w:val="auto"/>
          <w:sz w:val="22"/>
          <w:szCs w:val="22"/>
          <w:lang w:val="lt-LT"/>
        </w:rPr>
      </w:pPr>
      <w:r w:rsidRPr="003F7446">
        <w:rPr>
          <w:color w:val="auto"/>
          <w:sz w:val="22"/>
          <w:szCs w:val="22"/>
          <w:u w:val="single"/>
          <w:lang w:val="lt-LT"/>
        </w:rPr>
        <w:lastRenderedPageBreak/>
        <w:t>Suaugusiesiems</w:t>
      </w:r>
      <w:r w:rsidRPr="003F7446">
        <w:rPr>
          <w:color w:val="auto"/>
          <w:sz w:val="22"/>
          <w:szCs w:val="22"/>
          <w:lang w:val="lt-LT"/>
        </w:rPr>
        <w:t xml:space="preserve">: geriamąjį </w:t>
      </w:r>
      <w:proofErr w:type="spellStart"/>
      <w:r w:rsidRPr="003F7446">
        <w:rPr>
          <w:color w:val="auto"/>
          <w:sz w:val="22"/>
          <w:szCs w:val="22"/>
          <w:lang w:val="lt-LT"/>
        </w:rPr>
        <w:t>Mycophenolate</w:t>
      </w:r>
      <w:proofErr w:type="spellEnd"/>
      <w:r w:rsidRPr="003F7446">
        <w:rPr>
          <w:color w:val="auto"/>
          <w:sz w:val="22"/>
          <w:szCs w:val="22"/>
          <w:lang w:val="lt-LT"/>
        </w:rPr>
        <w:t xml:space="preserve"> </w:t>
      </w:r>
      <w:proofErr w:type="spellStart"/>
      <w:r w:rsidRPr="003F7446">
        <w:rPr>
          <w:color w:val="auto"/>
          <w:sz w:val="22"/>
          <w:szCs w:val="22"/>
          <w:lang w:val="lt-LT"/>
        </w:rPr>
        <w:t>mofetil</w:t>
      </w:r>
      <w:proofErr w:type="spellEnd"/>
      <w:r w:rsidRPr="003F7446">
        <w:rPr>
          <w:color w:val="auto"/>
          <w:sz w:val="22"/>
          <w:szCs w:val="22"/>
          <w:lang w:val="lt-LT"/>
        </w:rPr>
        <w:t xml:space="preserve"> </w:t>
      </w:r>
      <w:proofErr w:type="spellStart"/>
      <w:r w:rsidRPr="003F7446">
        <w:rPr>
          <w:color w:val="auto"/>
          <w:sz w:val="22"/>
          <w:szCs w:val="22"/>
          <w:lang w:val="lt-LT"/>
        </w:rPr>
        <w:t>Ranbaxy</w:t>
      </w:r>
      <w:proofErr w:type="spellEnd"/>
      <w:r w:rsidRPr="003F7446">
        <w:rPr>
          <w:color w:val="auto"/>
          <w:sz w:val="22"/>
          <w:szCs w:val="22"/>
          <w:lang w:val="lt-LT"/>
        </w:rPr>
        <w:t xml:space="preserve"> reikia pradėti vartoti per 5 paras po transplantacijos. Rekomenduojama dozė po širdies transplantacijos – po 1,5 g du kartus per parą (paros dozės – 3 g). </w:t>
      </w:r>
    </w:p>
    <w:p w14:paraId="1394AEF8" w14:textId="77777777" w:rsidR="0052287E" w:rsidRPr="003F7446" w:rsidRDefault="0052287E" w:rsidP="0052287E">
      <w:pPr>
        <w:pStyle w:val="Default"/>
        <w:rPr>
          <w:color w:val="auto"/>
          <w:sz w:val="22"/>
          <w:szCs w:val="22"/>
          <w:u w:val="single"/>
          <w:lang w:val="lt-LT"/>
        </w:rPr>
      </w:pPr>
    </w:p>
    <w:p w14:paraId="4A0910B9" w14:textId="77777777" w:rsidR="0052287E" w:rsidRPr="003F7446" w:rsidRDefault="0052287E" w:rsidP="0052287E">
      <w:pPr>
        <w:pStyle w:val="Default"/>
        <w:rPr>
          <w:color w:val="auto"/>
          <w:sz w:val="22"/>
          <w:szCs w:val="22"/>
          <w:lang w:val="lt-LT"/>
        </w:rPr>
      </w:pPr>
      <w:r w:rsidRPr="003F7446">
        <w:rPr>
          <w:color w:val="auto"/>
          <w:sz w:val="22"/>
          <w:szCs w:val="22"/>
          <w:u w:val="single"/>
          <w:lang w:val="lt-LT"/>
        </w:rPr>
        <w:t>Vaikams</w:t>
      </w:r>
      <w:r w:rsidRPr="003F7446">
        <w:rPr>
          <w:color w:val="auto"/>
          <w:sz w:val="22"/>
          <w:szCs w:val="22"/>
          <w:lang w:val="lt-LT"/>
        </w:rPr>
        <w:t xml:space="preserve">: nėra duomenų apie vaisto vartojimą vaikams po širdies persodinimo. </w:t>
      </w:r>
    </w:p>
    <w:p w14:paraId="58D35EA0" w14:textId="77777777" w:rsidR="0052287E" w:rsidRPr="003F7446" w:rsidRDefault="0052287E" w:rsidP="0052287E">
      <w:pPr>
        <w:pStyle w:val="Default"/>
        <w:rPr>
          <w:color w:val="auto"/>
          <w:sz w:val="22"/>
          <w:szCs w:val="22"/>
          <w:lang w:val="lt-LT"/>
        </w:rPr>
      </w:pPr>
    </w:p>
    <w:p w14:paraId="3FE1FCA9" w14:textId="77777777" w:rsidR="0052287E" w:rsidRPr="003F7446" w:rsidRDefault="0052287E" w:rsidP="0052287E">
      <w:pPr>
        <w:pStyle w:val="Default"/>
        <w:rPr>
          <w:color w:val="auto"/>
          <w:sz w:val="22"/>
          <w:szCs w:val="22"/>
          <w:lang w:val="lt-LT"/>
        </w:rPr>
      </w:pPr>
      <w:r w:rsidRPr="003F7446">
        <w:rPr>
          <w:color w:val="auto"/>
          <w:sz w:val="22"/>
          <w:szCs w:val="22"/>
          <w:u w:val="single"/>
          <w:lang w:val="lt-LT"/>
        </w:rPr>
        <w:t>Dozavimas po kepenų transplantacijos</w:t>
      </w:r>
      <w:r w:rsidRPr="003F7446">
        <w:rPr>
          <w:color w:val="auto"/>
          <w:sz w:val="22"/>
          <w:szCs w:val="22"/>
          <w:lang w:val="lt-LT"/>
        </w:rPr>
        <w:t xml:space="preserve">: </w:t>
      </w:r>
    </w:p>
    <w:p w14:paraId="5BA6C5BF" w14:textId="77777777" w:rsidR="0052287E" w:rsidRPr="003F7446" w:rsidRDefault="0052287E" w:rsidP="0052287E">
      <w:pPr>
        <w:pStyle w:val="Default"/>
        <w:rPr>
          <w:color w:val="auto"/>
          <w:sz w:val="22"/>
          <w:szCs w:val="22"/>
          <w:u w:val="single"/>
          <w:lang w:val="lt-LT"/>
        </w:rPr>
      </w:pPr>
    </w:p>
    <w:p w14:paraId="27FD0EE0" w14:textId="77777777" w:rsidR="0052287E" w:rsidRPr="003F7446" w:rsidRDefault="0052287E" w:rsidP="0052287E">
      <w:pPr>
        <w:pStyle w:val="Default"/>
        <w:rPr>
          <w:color w:val="auto"/>
          <w:sz w:val="22"/>
          <w:szCs w:val="22"/>
          <w:lang w:val="lt-LT"/>
        </w:rPr>
      </w:pPr>
      <w:r w:rsidRPr="003F7446">
        <w:rPr>
          <w:color w:val="auto"/>
          <w:sz w:val="22"/>
          <w:szCs w:val="22"/>
          <w:u w:val="single"/>
          <w:lang w:val="lt-LT"/>
        </w:rPr>
        <w:t>Suaugusiesiems</w:t>
      </w:r>
      <w:r w:rsidRPr="003F7446">
        <w:rPr>
          <w:color w:val="auto"/>
          <w:sz w:val="22"/>
          <w:szCs w:val="22"/>
          <w:lang w:val="lt-LT"/>
        </w:rPr>
        <w:t xml:space="preserve">: pirmąsias 4 paras po kepenų transplantacijos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mofetilio</w:t>
      </w:r>
      <w:proofErr w:type="spellEnd"/>
      <w:r w:rsidRPr="003F7446">
        <w:rPr>
          <w:color w:val="auto"/>
          <w:sz w:val="22"/>
          <w:szCs w:val="22"/>
          <w:lang w:val="lt-LT"/>
        </w:rPr>
        <w:t xml:space="preserve"> reikia lašinti į veną. Reikia pradėti skirti gerti vaisto, kaip galima greičiau kai tik pacientas gali jį toleruoti. Pacientams, kuriems atlikta kepenų transplantacija, rekomenduojama vartoti per burną po 1,5 g du kartus per parą (paros dozė – 3 g). </w:t>
      </w:r>
    </w:p>
    <w:p w14:paraId="32305CBA" w14:textId="77777777" w:rsidR="0052287E" w:rsidRPr="003F7446" w:rsidRDefault="0052287E" w:rsidP="0052287E">
      <w:pPr>
        <w:pStyle w:val="Default"/>
        <w:rPr>
          <w:color w:val="auto"/>
          <w:sz w:val="22"/>
          <w:szCs w:val="22"/>
          <w:u w:val="single"/>
          <w:lang w:val="lt-LT"/>
        </w:rPr>
      </w:pPr>
    </w:p>
    <w:p w14:paraId="04620BA3" w14:textId="77777777" w:rsidR="0052287E" w:rsidRPr="003F7446" w:rsidRDefault="0052287E" w:rsidP="0052287E">
      <w:pPr>
        <w:pStyle w:val="Default"/>
        <w:rPr>
          <w:color w:val="auto"/>
          <w:sz w:val="22"/>
          <w:szCs w:val="22"/>
          <w:lang w:val="lt-LT"/>
        </w:rPr>
      </w:pPr>
      <w:r w:rsidRPr="003F7446">
        <w:rPr>
          <w:color w:val="auto"/>
          <w:sz w:val="22"/>
          <w:szCs w:val="22"/>
          <w:u w:val="single"/>
          <w:lang w:val="lt-LT"/>
        </w:rPr>
        <w:t>Vaikams</w:t>
      </w:r>
      <w:r w:rsidRPr="003F7446">
        <w:rPr>
          <w:color w:val="auto"/>
          <w:sz w:val="22"/>
          <w:szCs w:val="22"/>
          <w:lang w:val="lt-LT"/>
        </w:rPr>
        <w:t xml:space="preserve">: nėra duomenų apie vaisto vartojimą vaikams, kuriems atlikta kepenų transplantacija. </w:t>
      </w:r>
    </w:p>
    <w:p w14:paraId="40652B4E" w14:textId="77777777" w:rsidR="0052287E" w:rsidRPr="003F7446" w:rsidRDefault="0052287E" w:rsidP="0052287E">
      <w:pPr>
        <w:pStyle w:val="Default"/>
        <w:rPr>
          <w:color w:val="auto"/>
          <w:sz w:val="22"/>
          <w:szCs w:val="22"/>
          <w:u w:val="single"/>
          <w:lang w:val="lt-LT"/>
        </w:rPr>
      </w:pPr>
    </w:p>
    <w:p w14:paraId="043B26EE" w14:textId="77777777" w:rsidR="0052287E" w:rsidRPr="003F7446" w:rsidRDefault="0052287E" w:rsidP="0052287E">
      <w:pPr>
        <w:pStyle w:val="Default"/>
        <w:rPr>
          <w:color w:val="auto"/>
          <w:sz w:val="22"/>
          <w:szCs w:val="22"/>
          <w:lang w:val="lt-LT"/>
        </w:rPr>
      </w:pPr>
      <w:r w:rsidRPr="003F7446">
        <w:rPr>
          <w:color w:val="auto"/>
          <w:sz w:val="22"/>
          <w:szCs w:val="22"/>
          <w:u w:val="single"/>
          <w:lang w:val="lt-LT"/>
        </w:rPr>
        <w:t>Vartojimas senyviems (≥ 65 metų amžiaus) pacientams</w:t>
      </w:r>
      <w:r w:rsidRPr="003F7446">
        <w:rPr>
          <w:color w:val="auto"/>
          <w:sz w:val="22"/>
          <w:szCs w:val="22"/>
          <w:lang w:val="lt-LT"/>
        </w:rPr>
        <w:t xml:space="preserve">: po inkstų transplantacijos rekomenduojama dozė – po 1 g du kartus per parą, o po 1,5 g du kartus per parą po širdies arba kepenų transplantacijos.  </w:t>
      </w:r>
    </w:p>
    <w:p w14:paraId="6C5138E6" w14:textId="77777777" w:rsidR="0052287E" w:rsidRPr="003F7446" w:rsidRDefault="0052287E" w:rsidP="0052287E">
      <w:pPr>
        <w:pStyle w:val="Default"/>
        <w:rPr>
          <w:color w:val="auto"/>
          <w:sz w:val="22"/>
          <w:szCs w:val="22"/>
          <w:u w:val="single"/>
          <w:lang w:val="lt-LT"/>
        </w:rPr>
      </w:pPr>
    </w:p>
    <w:p w14:paraId="0300B17D" w14:textId="77777777" w:rsidR="0052287E" w:rsidRPr="003F7446" w:rsidRDefault="0052287E" w:rsidP="0052287E">
      <w:pPr>
        <w:pStyle w:val="Default"/>
        <w:rPr>
          <w:color w:val="auto"/>
          <w:sz w:val="22"/>
          <w:szCs w:val="22"/>
          <w:lang w:val="lt-LT"/>
        </w:rPr>
      </w:pPr>
      <w:r w:rsidRPr="003F7446">
        <w:rPr>
          <w:color w:val="auto"/>
          <w:sz w:val="22"/>
          <w:szCs w:val="22"/>
          <w:u w:val="single"/>
          <w:lang w:val="lt-LT"/>
        </w:rPr>
        <w:t>Vartojimas, kai yra sunkus inkstų funkcijos sutrikimas</w:t>
      </w:r>
      <w:r w:rsidRPr="003F7446">
        <w:rPr>
          <w:color w:val="auto"/>
          <w:sz w:val="22"/>
          <w:szCs w:val="22"/>
          <w:lang w:val="lt-LT"/>
        </w:rPr>
        <w:t>: pacientams, po inksto transplantacijos, kuriems yra sunkus lėtinis inkstų nepakankamumas (</w:t>
      </w:r>
      <w:proofErr w:type="spellStart"/>
      <w:r w:rsidRPr="003F7446">
        <w:rPr>
          <w:color w:val="auto"/>
          <w:sz w:val="22"/>
          <w:szCs w:val="22"/>
          <w:lang w:val="lt-LT"/>
        </w:rPr>
        <w:t>glomerulų</w:t>
      </w:r>
      <w:proofErr w:type="spellEnd"/>
      <w:r w:rsidRPr="003F7446">
        <w:rPr>
          <w:color w:val="auto"/>
          <w:sz w:val="22"/>
          <w:szCs w:val="22"/>
          <w:lang w:val="lt-LT"/>
        </w:rPr>
        <w:t xml:space="preserve"> filtracijos greitis &lt; 25 ml/min/1,73 m</w:t>
      </w:r>
      <w:r w:rsidRPr="003F7446">
        <w:rPr>
          <w:color w:val="auto"/>
          <w:sz w:val="22"/>
          <w:szCs w:val="22"/>
          <w:vertAlign w:val="superscript"/>
          <w:lang w:val="lt-LT"/>
        </w:rPr>
        <w:t>2</w:t>
      </w:r>
      <w:r w:rsidRPr="003F7446">
        <w:rPr>
          <w:color w:val="auto"/>
          <w:sz w:val="22"/>
          <w:szCs w:val="22"/>
          <w:lang w:val="lt-LT"/>
        </w:rPr>
        <w:t xml:space="preserve">), išskyrus periodą tuoj po transplantacijos, reikėtų vengti skirti didesnes negu 1 g du kartus per parą dozes. Taip pat šiuos pacientus būtina atidžiai stebėti. Jeigu pacientams po transplantacijos transplantuotas inkstas iš karto nefunkcionuoja, dozių keisti nereikia (žr. 5.2 skyrių). Duomenų apie sergančius sunkiu lėtiniu inkstų nepakankamumu pacientus, kuriems transplantuota širdis arba kepenys, nėra. </w:t>
      </w:r>
    </w:p>
    <w:p w14:paraId="4CA5CB78" w14:textId="77777777" w:rsidR="0052287E" w:rsidRPr="003F7446" w:rsidRDefault="0052287E" w:rsidP="0052287E">
      <w:pPr>
        <w:pStyle w:val="Default"/>
        <w:rPr>
          <w:color w:val="auto"/>
          <w:sz w:val="22"/>
          <w:szCs w:val="22"/>
          <w:u w:val="single"/>
          <w:lang w:val="lt-LT"/>
        </w:rPr>
      </w:pPr>
    </w:p>
    <w:p w14:paraId="0F7BAA3E" w14:textId="77777777" w:rsidR="0052287E" w:rsidRPr="003F7446" w:rsidRDefault="0052287E" w:rsidP="0052287E">
      <w:pPr>
        <w:pStyle w:val="Default"/>
        <w:rPr>
          <w:color w:val="auto"/>
          <w:sz w:val="22"/>
          <w:szCs w:val="22"/>
          <w:lang w:val="lt-LT"/>
        </w:rPr>
      </w:pPr>
      <w:r w:rsidRPr="003F7446">
        <w:rPr>
          <w:color w:val="auto"/>
          <w:sz w:val="22"/>
          <w:szCs w:val="22"/>
          <w:u w:val="single"/>
          <w:lang w:val="lt-LT"/>
        </w:rPr>
        <w:t>Vartojimas, esant sunkiam kepenų funkcijos sutrikimui</w:t>
      </w:r>
      <w:r w:rsidRPr="003F7446">
        <w:rPr>
          <w:color w:val="auto"/>
          <w:sz w:val="22"/>
          <w:szCs w:val="22"/>
          <w:lang w:val="lt-LT"/>
        </w:rPr>
        <w:t xml:space="preserve">: pacientams po inksto transplantacijos, kurie serga sunkia </w:t>
      </w:r>
      <w:proofErr w:type="spellStart"/>
      <w:r w:rsidRPr="003F7446">
        <w:rPr>
          <w:color w:val="auto"/>
          <w:sz w:val="22"/>
          <w:szCs w:val="22"/>
          <w:lang w:val="lt-LT"/>
        </w:rPr>
        <w:t>parenchimine</w:t>
      </w:r>
      <w:proofErr w:type="spellEnd"/>
      <w:r w:rsidRPr="003F7446">
        <w:rPr>
          <w:color w:val="auto"/>
          <w:sz w:val="22"/>
          <w:szCs w:val="22"/>
          <w:lang w:val="lt-LT"/>
        </w:rPr>
        <w:t xml:space="preserve"> kepenų liga, dozės koreguoti nereikia. Apie pacientus, kuriems persodinta širdis ir kurie serga sunkia </w:t>
      </w:r>
      <w:proofErr w:type="spellStart"/>
      <w:r w:rsidRPr="003F7446">
        <w:rPr>
          <w:color w:val="auto"/>
          <w:sz w:val="22"/>
          <w:szCs w:val="22"/>
          <w:lang w:val="lt-LT"/>
        </w:rPr>
        <w:t>parenchimine</w:t>
      </w:r>
      <w:proofErr w:type="spellEnd"/>
      <w:r w:rsidRPr="003F7446">
        <w:rPr>
          <w:color w:val="auto"/>
          <w:sz w:val="22"/>
          <w:szCs w:val="22"/>
          <w:lang w:val="lt-LT"/>
        </w:rPr>
        <w:t xml:space="preserve"> kepenų liga, duomenų nėra. </w:t>
      </w:r>
    </w:p>
    <w:p w14:paraId="163EC95E" w14:textId="77777777" w:rsidR="0052287E" w:rsidRPr="003F7446" w:rsidRDefault="0052287E" w:rsidP="0052287E">
      <w:pPr>
        <w:pStyle w:val="Default"/>
        <w:rPr>
          <w:color w:val="auto"/>
          <w:sz w:val="22"/>
          <w:szCs w:val="22"/>
          <w:u w:val="single"/>
          <w:lang w:val="lt-LT"/>
        </w:rPr>
      </w:pPr>
    </w:p>
    <w:p w14:paraId="01BFE183" w14:textId="77777777" w:rsidR="0052287E" w:rsidRPr="003F7446" w:rsidRDefault="0052287E" w:rsidP="0052287E">
      <w:pPr>
        <w:pStyle w:val="Default"/>
        <w:rPr>
          <w:color w:val="auto"/>
          <w:sz w:val="22"/>
          <w:szCs w:val="22"/>
          <w:lang w:val="lt-LT"/>
        </w:rPr>
      </w:pPr>
      <w:r w:rsidRPr="003F7446">
        <w:rPr>
          <w:color w:val="auto"/>
          <w:sz w:val="22"/>
          <w:szCs w:val="22"/>
          <w:u w:val="single"/>
          <w:lang w:val="lt-LT"/>
        </w:rPr>
        <w:t>Atmetimo epizodų gydymas</w:t>
      </w:r>
      <w:r w:rsidRPr="003F7446">
        <w:rPr>
          <w:color w:val="auto"/>
          <w:sz w:val="22"/>
          <w:szCs w:val="22"/>
          <w:lang w:val="lt-LT"/>
        </w:rPr>
        <w:t>: MFR (</w:t>
      </w:r>
      <w:proofErr w:type="spellStart"/>
      <w:r w:rsidRPr="003F7446">
        <w:rPr>
          <w:color w:val="auto"/>
          <w:sz w:val="22"/>
          <w:szCs w:val="22"/>
          <w:lang w:val="lt-LT"/>
        </w:rPr>
        <w:t>mikofenolio</w:t>
      </w:r>
      <w:proofErr w:type="spellEnd"/>
      <w:r w:rsidRPr="003F7446">
        <w:rPr>
          <w:color w:val="auto"/>
          <w:sz w:val="22"/>
          <w:szCs w:val="22"/>
          <w:lang w:val="lt-LT"/>
        </w:rPr>
        <w:t xml:space="preserve"> rūgštis) yra aktyvus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mofetilio</w:t>
      </w:r>
      <w:proofErr w:type="spellEnd"/>
      <w:r w:rsidRPr="003F7446">
        <w:rPr>
          <w:color w:val="auto"/>
          <w:sz w:val="22"/>
          <w:szCs w:val="22"/>
          <w:lang w:val="lt-LT"/>
        </w:rPr>
        <w:t xml:space="preserve"> metabolitas. Persodinto inksto atmetimas neįtakoja MFR </w:t>
      </w:r>
      <w:proofErr w:type="spellStart"/>
      <w:r w:rsidRPr="003F7446">
        <w:rPr>
          <w:color w:val="auto"/>
          <w:sz w:val="22"/>
          <w:szCs w:val="22"/>
          <w:lang w:val="lt-LT"/>
        </w:rPr>
        <w:t>farmakokinetikos</w:t>
      </w:r>
      <w:proofErr w:type="spellEnd"/>
      <w:r w:rsidRPr="003F7446">
        <w:rPr>
          <w:color w:val="auto"/>
          <w:sz w:val="22"/>
          <w:szCs w:val="22"/>
          <w:lang w:val="lt-LT"/>
        </w:rPr>
        <w:t xml:space="preserve">, todėl nereikia mažinti </w:t>
      </w:r>
      <w:proofErr w:type="spellStart"/>
      <w:r w:rsidRPr="003F7446">
        <w:rPr>
          <w:sz w:val="22"/>
          <w:szCs w:val="22"/>
          <w:lang w:val="lt-LT" w:eastAsia="fr-FR"/>
        </w:rPr>
        <w:t>Mycophenolate</w:t>
      </w:r>
      <w:proofErr w:type="spellEnd"/>
      <w:r w:rsidRPr="003F7446">
        <w:rPr>
          <w:sz w:val="22"/>
          <w:szCs w:val="22"/>
          <w:lang w:val="lt-LT" w:eastAsia="fr-FR"/>
        </w:rPr>
        <w:t xml:space="preserve"> </w:t>
      </w:r>
      <w:proofErr w:type="spellStart"/>
      <w:r w:rsidRPr="003F7446">
        <w:rPr>
          <w:sz w:val="22"/>
          <w:szCs w:val="22"/>
          <w:lang w:val="lt-LT" w:eastAsia="fr-FR"/>
        </w:rPr>
        <w:t>mofetil</w:t>
      </w:r>
      <w:proofErr w:type="spellEnd"/>
      <w:r w:rsidRPr="003F7446">
        <w:rPr>
          <w:sz w:val="22"/>
          <w:szCs w:val="22"/>
          <w:lang w:val="lt-LT" w:eastAsia="fr-FR"/>
        </w:rPr>
        <w:t xml:space="preserve"> </w:t>
      </w:r>
      <w:proofErr w:type="spellStart"/>
      <w:r w:rsidRPr="003F7446">
        <w:rPr>
          <w:sz w:val="22"/>
          <w:szCs w:val="22"/>
          <w:lang w:val="lt-LT" w:eastAsia="fr-FR"/>
        </w:rPr>
        <w:t>Ranbaxy</w:t>
      </w:r>
      <w:proofErr w:type="spellEnd"/>
      <w:r w:rsidRPr="003F7446">
        <w:rPr>
          <w:noProof/>
          <w:sz w:val="22"/>
          <w:szCs w:val="22"/>
          <w:lang w:val="lt-LT"/>
        </w:rPr>
        <w:t xml:space="preserve"> </w:t>
      </w:r>
      <w:r w:rsidRPr="003F7446">
        <w:rPr>
          <w:color w:val="auto"/>
          <w:sz w:val="22"/>
          <w:szCs w:val="22"/>
          <w:lang w:val="lt-LT"/>
        </w:rPr>
        <w:t xml:space="preserve">dozės ir nereikia laikinai nustoti jo vartoti. Po transplantuotos širdies atmetimo epizodo </w:t>
      </w:r>
      <w:proofErr w:type="spellStart"/>
      <w:r w:rsidRPr="003F7446">
        <w:rPr>
          <w:sz w:val="22"/>
          <w:szCs w:val="22"/>
          <w:lang w:val="lt-LT" w:eastAsia="fr-FR"/>
        </w:rPr>
        <w:t>Mycophenolate</w:t>
      </w:r>
      <w:proofErr w:type="spellEnd"/>
      <w:r w:rsidRPr="003F7446">
        <w:rPr>
          <w:sz w:val="22"/>
          <w:szCs w:val="22"/>
          <w:lang w:val="lt-LT" w:eastAsia="fr-FR"/>
        </w:rPr>
        <w:t xml:space="preserve"> </w:t>
      </w:r>
      <w:proofErr w:type="spellStart"/>
      <w:r w:rsidRPr="003F7446">
        <w:rPr>
          <w:sz w:val="22"/>
          <w:szCs w:val="22"/>
          <w:lang w:val="lt-LT" w:eastAsia="fr-FR"/>
        </w:rPr>
        <w:t>mofetil</w:t>
      </w:r>
      <w:proofErr w:type="spellEnd"/>
      <w:r w:rsidRPr="003F7446">
        <w:rPr>
          <w:sz w:val="22"/>
          <w:szCs w:val="22"/>
          <w:lang w:val="lt-LT" w:eastAsia="fr-FR"/>
        </w:rPr>
        <w:t xml:space="preserve"> </w:t>
      </w:r>
      <w:proofErr w:type="spellStart"/>
      <w:r w:rsidRPr="003F7446">
        <w:rPr>
          <w:sz w:val="22"/>
          <w:szCs w:val="22"/>
          <w:lang w:val="lt-LT" w:eastAsia="fr-FR"/>
        </w:rPr>
        <w:t>Ranbaxy</w:t>
      </w:r>
      <w:proofErr w:type="spellEnd"/>
      <w:r w:rsidRPr="003F7446">
        <w:rPr>
          <w:sz w:val="22"/>
          <w:szCs w:val="22"/>
          <w:lang w:val="lt-LT" w:eastAsia="fr-FR"/>
        </w:rPr>
        <w:t xml:space="preserve"> dozės koreguoti nereikia</w:t>
      </w:r>
      <w:r w:rsidRPr="003F7446">
        <w:rPr>
          <w:color w:val="auto"/>
          <w:sz w:val="22"/>
          <w:szCs w:val="22"/>
          <w:lang w:val="lt-LT"/>
        </w:rPr>
        <w:t xml:space="preserve">. </w:t>
      </w:r>
      <w:proofErr w:type="spellStart"/>
      <w:r w:rsidRPr="003F7446">
        <w:rPr>
          <w:color w:val="auto"/>
          <w:sz w:val="22"/>
          <w:szCs w:val="22"/>
          <w:lang w:val="lt-LT"/>
        </w:rPr>
        <w:t>Farmakokinetinių</w:t>
      </w:r>
      <w:proofErr w:type="spellEnd"/>
      <w:r w:rsidRPr="003F7446">
        <w:rPr>
          <w:color w:val="auto"/>
          <w:sz w:val="22"/>
          <w:szCs w:val="22"/>
          <w:lang w:val="lt-LT"/>
        </w:rPr>
        <w:t xml:space="preserve"> duomenų, kai pasireiškia persodintų kepenų atmetimo reakcija, nėra. </w:t>
      </w:r>
    </w:p>
    <w:p w14:paraId="393B0135" w14:textId="77777777" w:rsidR="0052287E" w:rsidRPr="003F7446" w:rsidRDefault="0052287E" w:rsidP="0052287E">
      <w:pPr>
        <w:pStyle w:val="Default"/>
        <w:ind w:left="560" w:hanging="560"/>
        <w:rPr>
          <w:b/>
          <w:bCs/>
          <w:color w:val="auto"/>
          <w:sz w:val="22"/>
          <w:szCs w:val="22"/>
          <w:lang w:val="lt-LT"/>
        </w:rPr>
      </w:pPr>
    </w:p>
    <w:p w14:paraId="27AA24F3" w14:textId="77777777" w:rsidR="0052287E" w:rsidRPr="003F7446" w:rsidRDefault="0052287E" w:rsidP="0052287E">
      <w:pPr>
        <w:pStyle w:val="Default"/>
        <w:ind w:left="560" w:hanging="560"/>
        <w:rPr>
          <w:color w:val="auto"/>
          <w:sz w:val="22"/>
          <w:szCs w:val="22"/>
          <w:lang w:val="lt-LT"/>
        </w:rPr>
      </w:pPr>
      <w:r w:rsidRPr="003F7446">
        <w:rPr>
          <w:b/>
          <w:bCs/>
          <w:color w:val="auto"/>
          <w:sz w:val="22"/>
          <w:szCs w:val="22"/>
          <w:lang w:val="lt-LT"/>
        </w:rPr>
        <w:t>4.3</w:t>
      </w:r>
      <w:r w:rsidRPr="003F7446">
        <w:rPr>
          <w:b/>
          <w:bCs/>
          <w:color w:val="auto"/>
          <w:sz w:val="22"/>
          <w:szCs w:val="22"/>
          <w:lang w:val="lt-LT"/>
        </w:rPr>
        <w:tab/>
        <w:t xml:space="preserve">Kontraindikacijos </w:t>
      </w:r>
    </w:p>
    <w:p w14:paraId="45584ED3" w14:textId="77777777" w:rsidR="0052287E" w:rsidRPr="003F7446" w:rsidRDefault="0052287E" w:rsidP="0052287E">
      <w:pPr>
        <w:pStyle w:val="Default"/>
        <w:rPr>
          <w:color w:val="auto"/>
          <w:sz w:val="22"/>
          <w:szCs w:val="22"/>
          <w:lang w:val="lt-LT"/>
        </w:rPr>
      </w:pPr>
    </w:p>
    <w:p w14:paraId="67D4D89B" w14:textId="4BAA0094" w:rsidR="0052287E" w:rsidRPr="003F7446" w:rsidRDefault="0052287E" w:rsidP="0052287E">
      <w:pPr>
        <w:pStyle w:val="Default"/>
        <w:rPr>
          <w:color w:val="auto"/>
          <w:sz w:val="22"/>
          <w:szCs w:val="22"/>
          <w:lang w:val="lt-LT"/>
        </w:rPr>
      </w:pPr>
      <w:r w:rsidRPr="003F7446">
        <w:rPr>
          <w:color w:val="auto"/>
          <w:sz w:val="22"/>
          <w:szCs w:val="22"/>
          <w:lang w:val="lt-LT"/>
        </w:rPr>
        <w:t xml:space="preserve">Pasitaikė padidėjusio jautrumo reakcijų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mofetiliui</w:t>
      </w:r>
      <w:proofErr w:type="spellEnd"/>
      <w:r w:rsidRPr="003F7446">
        <w:rPr>
          <w:color w:val="auto"/>
          <w:sz w:val="22"/>
          <w:szCs w:val="22"/>
          <w:lang w:val="lt-LT"/>
        </w:rPr>
        <w:t xml:space="preserve"> (žr. 4.8 skyrių). Dėl šios priežasties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mofetilio</w:t>
      </w:r>
      <w:proofErr w:type="spellEnd"/>
      <w:r w:rsidRPr="003F7446">
        <w:rPr>
          <w:color w:val="auto"/>
          <w:sz w:val="22"/>
          <w:szCs w:val="22"/>
          <w:lang w:val="lt-LT"/>
        </w:rPr>
        <w:t xml:space="preserve"> negalima vartoti pacientams, kurių jautrumas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mofetiliui</w:t>
      </w:r>
      <w:proofErr w:type="spellEnd"/>
      <w:r w:rsidR="00BB561F" w:rsidRPr="003F7446">
        <w:rPr>
          <w:color w:val="auto"/>
          <w:sz w:val="22"/>
          <w:szCs w:val="22"/>
          <w:lang w:val="lt-LT"/>
        </w:rPr>
        <w:t xml:space="preserve">, </w:t>
      </w:r>
      <w:proofErr w:type="spellStart"/>
      <w:r w:rsidRPr="003F7446">
        <w:rPr>
          <w:color w:val="auto"/>
          <w:sz w:val="22"/>
          <w:szCs w:val="22"/>
          <w:lang w:val="lt-LT"/>
        </w:rPr>
        <w:t>mikofenolio</w:t>
      </w:r>
      <w:proofErr w:type="spellEnd"/>
      <w:r w:rsidRPr="003F7446">
        <w:rPr>
          <w:color w:val="auto"/>
          <w:sz w:val="22"/>
          <w:szCs w:val="22"/>
          <w:lang w:val="lt-LT"/>
        </w:rPr>
        <w:t xml:space="preserve"> rūgščiai</w:t>
      </w:r>
      <w:r w:rsidR="00BB561F" w:rsidRPr="003F7446">
        <w:rPr>
          <w:sz w:val="22"/>
          <w:szCs w:val="22"/>
          <w:lang w:val="lt-LT"/>
        </w:rPr>
        <w:t xml:space="preserve"> </w:t>
      </w:r>
      <w:r w:rsidR="00BB561F" w:rsidRPr="003F7446">
        <w:rPr>
          <w:color w:val="auto"/>
          <w:sz w:val="22"/>
          <w:szCs w:val="22"/>
          <w:lang w:val="lt-LT"/>
        </w:rPr>
        <w:t>arba bet kuriai 6.1 skyriuje nurodytai pagalbinei medžiagai</w:t>
      </w:r>
      <w:r w:rsidRPr="003F7446">
        <w:rPr>
          <w:color w:val="auto"/>
          <w:sz w:val="22"/>
          <w:szCs w:val="22"/>
          <w:lang w:val="lt-LT"/>
        </w:rPr>
        <w:t xml:space="preserve"> yra padidėjęs. </w:t>
      </w:r>
    </w:p>
    <w:p w14:paraId="6B8697FC" w14:textId="77777777" w:rsidR="0052287E" w:rsidRPr="003F7446" w:rsidRDefault="0052287E" w:rsidP="0052287E">
      <w:pPr>
        <w:pStyle w:val="Default"/>
        <w:rPr>
          <w:color w:val="auto"/>
          <w:sz w:val="22"/>
          <w:szCs w:val="22"/>
          <w:lang w:val="lt-LT"/>
        </w:rPr>
      </w:pPr>
    </w:p>
    <w:p w14:paraId="25818B0C" w14:textId="77777777" w:rsidR="0052287E" w:rsidRPr="003F7446" w:rsidRDefault="0052287E" w:rsidP="0052287E">
      <w:pPr>
        <w:pStyle w:val="Default"/>
        <w:rPr>
          <w:color w:val="auto"/>
          <w:sz w:val="22"/>
          <w:szCs w:val="22"/>
          <w:lang w:val="lt-LT"/>
        </w:rPr>
      </w:pP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mofetilio</w:t>
      </w:r>
      <w:proofErr w:type="spellEnd"/>
      <w:r w:rsidRPr="003F7446">
        <w:rPr>
          <w:color w:val="auto"/>
          <w:sz w:val="22"/>
          <w:szCs w:val="22"/>
          <w:lang w:val="lt-LT"/>
        </w:rPr>
        <w:t xml:space="preserve"> negalima vartoti moterims, kurios maitina </w:t>
      </w:r>
      <w:proofErr w:type="spellStart"/>
      <w:r w:rsidRPr="003F7446">
        <w:rPr>
          <w:color w:val="auto"/>
          <w:sz w:val="22"/>
          <w:szCs w:val="22"/>
          <w:lang w:val="lt-LT"/>
        </w:rPr>
        <w:t>krūtimi(žr</w:t>
      </w:r>
      <w:proofErr w:type="spellEnd"/>
      <w:r w:rsidRPr="003F7446">
        <w:rPr>
          <w:color w:val="auto"/>
          <w:sz w:val="22"/>
          <w:szCs w:val="22"/>
          <w:lang w:val="lt-LT"/>
        </w:rPr>
        <w:t xml:space="preserve">. 4.6 skyrių). </w:t>
      </w:r>
    </w:p>
    <w:p w14:paraId="75BFFF6E" w14:textId="77777777" w:rsidR="0052287E" w:rsidRPr="003F7446" w:rsidRDefault="0052287E" w:rsidP="0052287E">
      <w:pPr>
        <w:pStyle w:val="Default"/>
        <w:rPr>
          <w:color w:val="auto"/>
          <w:sz w:val="22"/>
          <w:szCs w:val="22"/>
          <w:lang w:val="lt-LT"/>
        </w:rPr>
      </w:pPr>
    </w:p>
    <w:p w14:paraId="61B72861"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Informacija apie vaisto vartojimą nėštumo metu ir kontraceptinių priemonių poreikį išdėstyta 4.6 skyriuje. </w:t>
      </w:r>
    </w:p>
    <w:p w14:paraId="4A94F02C" w14:textId="77777777" w:rsidR="0052287E" w:rsidRPr="003F7446" w:rsidRDefault="0052287E" w:rsidP="0052287E">
      <w:pPr>
        <w:pStyle w:val="Default"/>
        <w:ind w:left="560" w:hanging="560"/>
        <w:rPr>
          <w:b/>
          <w:bCs/>
          <w:color w:val="auto"/>
          <w:sz w:val="22"/>
          <w:szCs w:val="22"/>
          <w:lang w:val="lt-LT"/>
        </w:rPr>
      </w:pPr>
    </w:p>
    <w:p w14:paraId="4ECEA725" w14:textId="77777777" w:rsidR="0052287E" w:rsidRPr="003F7446" w:rsidRDefault="0052287E" w:rsidP="0052287E">
      <w:pPr>
        <w:pStyle w:val="Default"/>
        <w:ind w:left="560" w:hanging="560"/>
        <w:rPr>
          <w:color w:val="auto"/>
          <w:sz w:val="22"/>
          <w:szCs w:val="22"/>
          <w:lang w:val="lt-LT"/>
        </w:rPr>
      </w:pPr>
      <w:r w:rsidRPr="003F7446">
        <w:rPr>
          <w:b/>
          <w:bCs/>
          <w:color w:val="auto"/>
          <w:sz w:val="22"/>
          <w:szCs w:val="22"/>
          <w:lang w:val="lt-LT"/>
        </w:rPr>
        <w:t>4.4</w:t>
      </w:r>
      <w:r w:rsidRPr="003F7446">
        <w:rPr>
          <w:b/>
          <w:bCs/>
          <w:color w:val="auto"/>
          <w:sz w:val="22"/>
          <w:szCs w:val="22"/>
          <w:lang w:val="lt-LT"/>
        </w:rPr>
        <w:tab/>
        <w:t xml:space="preserve">Specialūs įspėjimai ir atsargumo priemonės </w:t>
      </w:r>
    </w:p>
    <w:p w14:paraId="68EF0424" w14:textId="77777777" w:rsidR="0052287E" w:rsidRPr="003F7446" w:rsidRDefault="0052287E" w:rsidP="0052287E">
      <w:pPr>
        <w:pStyle w:val="Default"/>
        <w:rPr>
          <w:color w:val="auto"/>
          <w:sz w:val="22"/>
          <w:szCs w:val="22"/>
          <w:lang w:val="lt-LT"/>
        </w:rPr>
      </w:pPr>
    </w:p>
    <w:p w14:paraId="347EC0C8"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Pacientams, gydomiems </w:t>
      </w:r>
      <w:proofErr w:type="spellStart"/>
      <w:r w:rsidRPr="003F7446">
        <w:rPr>
          <w:color w:val="auto"/>
          <w:sz w:val="22"/>
          <w:szCs w:val="22"/>
          <w:lang w:val="lt-LT"/>
        </w:rPr>
        <w:t>imunosupresantais</w:t>
      </w:r>
      <w:proofErr w:type="spellEnd"/>
      <w:r w:rsidRPr="003F7446">
        <w:rPr>
          <w:color w:val="auto"/>
          <w:sz w:val="22"/>
          <w:szCs w:val="22"/>
          <w:lang w:val="lt-LT"/>
        </w:rPr>
        <w:t xml:space="preserve"> bei vaistinių preparatų deriniais, įskaitant </w:t>
      </w:r>
      <w:proofErr w:type="spellStart"/>
      <w:r w:rsidRPr="003F7446">
        <w:rPr>
          <w:color w:val="auto"/>
          <w:sz w:val="22"/>
          <w:szCs w:val="22"/>
          <w:lang w:val="lt-LT"/>
        </w:rPr>
        <w:t>mikofenolatą</w:t>
      </w:r>
      <w:proofErr w:type="spellEnd"/>
      <w:r w:rsidRPr="003F7446">
        <w:rPr>
          <w:color w:val="auto"/>
          <w:sz w:val="22"/>
          <w:szCs w:val="22"/>
          <w:lang w:val="lt-LT"/>
        </w:rPr>
        <w:t>, yra didesnė rizika susirgti limfoma ir kitais piktybiniais, ypač odos, navikais (žr. 4.8 skyrių). Atrodo, kad šis pavojus labiau priklauso nuo imunosupresinio poveikio intensyvumo ir trukmės negu nuo kurio nors specifinio vaisto vartojimo. Norint iki minimumo sumažinti odos vėžio pavojų, patartina riboti kūno ekspoziciją saulės ir UV spinduliams. Pacientai turi dėvėti apsauginius drabužius ir naudoti veiksmingas nuo saulės spindulių apsaugančias priemones.</w:t>
      </w:r>
    </w:p>
    <w:p w14:paraId="7DB67B1D" w14:textId="77777777" w:rsidR="00BB561F" w:rsidRPr="003F7446" w:rsidRDefault="00BB561F" w:rsidP="0052287E">
      <w:pPr>
        <w:pStyle w:val="Default"/>
        <w:rPr>
          <w:color w:val="auto"/>
          <w:sz w:val="22"/>
          <w:szCs w:val="22"/>
          <w:lang w:val="lt-LT"/>
        </w:rPr>
      </w:pPr>
    </w:p>
    <w:p w14:paraId="5C9E0C28" w14:textId="77777777" w:rsidR="0052287E" w:rsidRPr="003F7446" w:rsidRDefault="0052287E" w:rsidP="0052287E">
      <w:pPr>
        <w:pStyle w:val="Default"/>
        <w:rPr>
          <w:color w:val="auto"/>
          <w:sz w:val="22"/>
          <w:szCs w:val="22"/>
          <w:lang w:val="lt-LT"/>
        </w:rPr>
      </w:pPr>
      <w:proofErr w:type="spellStart"/>
      <w:r w:rsidRPr="003F7446">
        <w:rPr>
          <w:color w:val="auto"/>
          <w:sz w:val="22"/>
          <w:szCs w:val="22"/>
          <w:lang w:val="lt-LT"/>
        </w:rPr>
        <w:t>Mycophenolate</w:t>
      </w:r>
      <w:proofErr w:type="spellEnd"/>
      <w:r w:rsidRPr="003F7446">
        <w:rPr>
          <w:color w:val="auto"/>
          <w:sz w:val="22"/>
          <w:szCs w:val="22"/>
          <w:lang w:val="lt-LT"/>
        </w:rPr>
        <w:t xml:space="preserve"> </w:t>
      </w:r>
      <w:proofErr w:type="spellStart"/>
      <w:r w:rsidRPr="003F7446">
        <w:rPr>
          <w:color w:val="auto"/>
          <w:sz w:val="22"/>
          <w:szCs w:val="22"/>
          <w:lang w:val="lt-LT"/>
        </w:rPr>
        <w:t>mofetil</w:t>
      </w:r>
      <w:proofErr w:type="spellEnd"/>
      <w:r w:rsidRPr="003F7446">
        <w:rPr>
          <w:color w:val="auto"/>
          <w:sz w:val="22"/>
          <w:szCs w:val="22"/>
          <w:lang w:val="lt-LT"/>
        </w:rPr>
        <w:t xml:space="preserve"> </w:t>
      </w:r>
      <w:proofErr w:type="spellStart"/>
      <w:r w:rsidRPr="003F7446">
        <w:rPr>
          <w:color w:val="auto"/>
          <w:sz w:val="22"/>
          <w:szCs w:val="22"/>
          <w:lang w:val="lt-LT"/>
        </w:rPr>
        <w:t>Ranbaxy</w:t>
      </w:r>
      <w:proofErr w:type="spellEnd"/>
      <w:r w:rsidRPr="003F7446">
        <w:rPr>
          <w:color w:val="auto"/>
          <w:sz w:val="22"/>
          <w:szCs w:val="22"/>
          <w:lang w:val="lt-LT"/>
        </w:rPr>
        <w:t xml:space="preserve"> vartojančius pacientus reikia įspėti, kad atsiradus bet kokių infekcijos požymių, netikėtoms kraujosruvoms, kraujavimui ar bet kuriems kitiems kaulų čiulpų slopinimo požymiams, pacientai turi nedelsiant apie tai pranešti savo gydytojui. </w:t>
      </w:r>
    </w:p>
    <w:p w14:paraId="364547DA" w14:textId="77777777" w:rsidR="0052287E" w:rsidRPr="003F7446" w:rsidRDefault="0052287E" w:rsidP="0052287E">
      <w:pPr>
        <w:pStyle w:val="Default"/>
        <w:rPr>
          <w:color w:val="auto"/>
          <w:sz w:val="22"/>
          <w:szCs w:val="22"/>
          <w:lang w:val="lt-LT"/>
        </w:rPr>
      </w:pPr>
    </w:p>
    <w:p w14:paraId="1AE25090" w14:textId="2C818DDA" w:rsidR="0052287E" w:rsidRPr="003F7446" w:rsidRDefault="0052287E" w:rsidP="002F1072">
      <w:pPr>
        <w:pStyle w:val="Default"/>
        <w:rPr>
          <w:color w:val="auto"/>
          <w:sz w:val="22"/>
          <w:szCs w:val="22"/>
          <w:lang w:val="lt-LT"/>
        </w:rPr>
      </w:pPr>
      <w:r w:rsidRPr="003F7446">
        <w:rPr>
          <w:color w:val="auto"/>
          <w:sz w:val="22"/>
          <w:szCs w:val="22"/>
          <w:lang w:val="lt-LT"/>
        </w:rPr>
        <w:t xml:space="preserve">Pacientams, kurie gydomi </w:t>
      </w:r>
      <w:proofErr w:type="spellStart"/>
      <w:r w:rsidRPr="003F7446">
        <w:rPr>
          <w:color w:val="auto"/>
          <w:sz w:val="22"/>
          <w:szCs w:val="22"/>
          <w:lang w:val="lt-LT"/>
        </w:rPr>
        <w:t>imunosupresantais</w:t>
      </w:r>
      <w:proofErr w:type="spellEnd"/>
      <w:r w:rsidRPr="003F7446">
        <w:rPr>
          <w:color w:val="auto"/>
          <w:sz w:val="22"/>
          <w:szCs w:val="22"/>
          <w:lang w:val="lt-LT"/>
        </w:rPr>
        <w:t xml:space="preserve">, įskaitant </w:t>
      </w:r>
      <w:proofErr w:type="spellStart"/>
      <w:r w:rsidRPr="003F7446">
        <w:rPr>
          <w:color w:val="auto"/>
          <w:sz w:val="22"/>
          <w:szCs w:val="22"/>
          <w:lang w:val="lt-LT"/>
        </w:rPr>
        <w:t>Mycophenolate</w:t>
      </w:r>
      <w:proofErr w:type="spellEnd"/>
      <w:r w:rsidRPr="003F7446">
        <w:rPr>
          <w:color w:val="auto"/>
          <w:sz w:val="22"/>
          <w:szCs w:val="22"/>
          <w:lang w:val="lt-LT"/>
        </w:rPr>
        <w:t xml:space="preserve"> </w:t>
      </w:r>
      <w:proofErr w:type="spellStart"/>
      <w:r w:rsidRPr="003F7446">
        <w:rPr>
          <w:color w:val="auto"/>
          <w:sz w:val="22"/>
          <w:szCs w:val="22"/>
          <w:lang w:val="lt-LT"/>
        </w:rPr>
        <w:t>mofetil</w:t>
      </w:r>
      <w:proofErr w:type="spellEnd"/>
      <w:r w:rsidRPr="003F7446">
        <w:rPr>
          <w:color w:val="auto"/>
          <w:sz w:val="22"/>
          <w:szCs w:val="22"/>
          <w:lang w:val="lt-LT"/>
        </w:rPr>
        <w:t xml:space="preserve"> </w:t>
      </w:r>
      <w:proofErr w:type="spellStart"/>
      <w:r w:rsidRPr="003F7446">
        <w:rPr>
          <w:color w:val="auto"/>
          <w:sz w:val="22"/>
          <w:szCs w:val="22"/>
          <w:lang w:val="lt-LT"/>
        </w:rPr>
        <w:t>Ranbaxy</w:t>
      </w:r>
      <w:proofErr w:type="spellEnd"/>
      <w:r w:rsidRPr="003F7446">
        <w:rPr>
          <w:color w:val="auto"/>
          <w:sz w:val="22"/>
          <w:szCs w:val="22"/>
          <w:lang w:val="lt-LT"/>
        </w:rPr>
        <w:t xml:space="preserve">, padidėja oportunistinių infekcijų (bakterinės, grybelinės, virusinės ir pirmuonių), mirtimi galinčių pasibaigti infekcijų ir sepsio rizika (žr. 4.8 skyrių). </w:t>
      </w:r>
      <w:r w:rsidR="002F1072" w:rsidRPr="003F7446">
        <w:rPr>
          <w:color w:val="auto"/>
          <w:sz w:val="22"/>
          <w:szCs w:val="22"/>
          <w:lang w:val="lt-LT"/>
        </w:rPr>
        <w:t xml:space="preserve">Tokios infekcijos apima latentinių virusinių infekcijų, pvz. hepatito B ar hepatito C </w:t>
      </w:r>
      <w:proofErr w:type="spellStart"/>
      <w:r w:rsidR="002F1072" w:rsidRPr="003F7446">
        <w:rPr>
          <w:color w:val="auto"/>
          <w:sz w:val="22"/>
          <w:szCs w:val="22"/>
          <w:lang w:val="lt-LT"/>
        </w:rPr>
        <w:t>reaktyvaciją</w:t>
      </w:r>
      <w:proofErr w:type="spellEnd"/>
      <w:r w:rsidR="002F1072" w:rsidRPr="003F7446">
        <w:rPr>
          <w:color w:val="auto"/>
          <w:sz w:val="22"/>
          <w:szCs w:val="22"/>
          <w:lang w:val="lt-LT"/>
        </w:rPr>
        <w:t xml:space="preserve"> atsinaujinimą) ir infekcijas, sukeliamas </w:t>
      </w:r>
      <w:proofErr w:type="spellStart"/>
      <w:r w:rsidR="002F1072" w:rsidRPr="003F7446">
        <w:rPr>
          <w:color w:val="auto"/>
          <w:sz w:val="22"/>
          <w:szCs w:val="22"/>
          <w:lang w:val="lt-LT"/>
        </w:rPr>
        <w:t>poliomos</w:t>
      </w:r>
      <w:proofErr w:type="spellEnd"/>
      <w:r w:rsidR="002F1072" w:rsidRPr="003F7446">
        <w:rPr>
          <w:color w:val="auto"/>
          <w:sz w:val="22"/>
          <w:szCs w:val="22"/>
          <w:lang w:val="lt-LT"/>
        </w:rPr>
        <w:t xml:space="preserve"> virusų (su BK virusu susijusi </w:t>
      </w:r>
      <w:proofErr w:type="spellStart"/>
      <w:r w:rsidR="002F1072" w:rsidRPr="003F7446">
        <w:rPr>
          <w:color w:val="auto"/>
          <w:sz w:val="22"/>
          <w:szCs w:val="22"/>
          <w:lang w:val="lt-LT"/>
        </w:rPr>
        <w:t>nefropatija</w:t>
      </w:r>
      <w:proofErr w:type="spellEnd"/>
      <w:r w:rsidR="002F1072" w:rsidRPr="003F7446">
        <w:rPr>
          <w:color w:val="auto"/>
          <w:sz w:val="22"/>
          <w:szCs w:val="22"/>
          <w:lang w:val="lt-LT"/>
        </w:rPr>
        <w:t xml:space="preserve">, su JC virusu susijusi progresuojanti </w:t>
      </w:r>
      <w:proofErr w:type="spellStart"/>
      <w:r w:rsidR="002F1072" w:rsidRPr="003F7446">
        <w:rPr>
          <w:color w:val="auto"/>
          <w:sz w:val="22"/>
          <w:szCs w:val="22"/>
          <w:lang w:val="lt-LT"/>
        </w:rPr>
        <w:t>daugiažidininė</w:t>
      </w:r>
      <w:proofErr w:type="spellEnd"/>
      <w:r w:rsidR="002F1072" w:rsidRPr="003F7446">
        <w:rPr>
          <w:color w:val="auto"/>
          <w:sz w:val="22"/>
          <w:szCs w:val="22"/>
          <w:lang w:val="lt-LT"/>
        </w:rPr>
        <w:t xml:space="preserve"> </w:t>
      </w:r>
      <w:proofErr w:type="spellStart"/>
      <w:r w:rsidR="002F1072" w:rsidRPr="003F7446">
        <w:rPr>
          <w:color w:val="auto"/>
          <w:sz w:val="22"/>
          <w:szCs w:val="22"/>
          <w:lang w:val="lt-LT"/>
        </w:rPr>
        <w:t>leukoencefalopatija</w:t>
      </w:r>
      <w:proofErr w:type="spellEnd"/>
      <w:r w:rsidR="002F1072" w:rsidRPr="003F7446">
        <w:rPr>
          <w:color w:val="auto"/>
          <w:sz w:val="22"/>
          <w:szCs w:val="22"/>
          <w:lang w:val="lt-LT"/>
        </w:rPr>
        <w:t xml:space="preserve"> (PDL)). Buvo gauta pranešimų apie atsinaujinusio hepatito atvejus hepatito B ar hepatito C nešiotojams, gydytiems </w:t>
      </w:r>
      <w:proofErr w:type="spellStart"/>
      <w:r w:rsidR="002F1072" w:rsidRPr="003F7446">
        <w:rPr>
          <w:color w:val="auto"/>
          <w:sz w:val="22"/>
          <w:szCs w:val="22"/>
          <w:lang w:val="lt-LT"/>
        </w:rPr>
        <w:t>imunosupresantais</w:t>
      </w:r>
      <w:proofErr w:type="spellEnd"/>
      <w:r w:rsidR="002F1072" w:rsidRPr="003F7446">
        <w:rPr>
          <w:color w:val="auto"/>
          <w:sz w:val="22"/>
          <w:szCs w:val="22"/>
          <w:lang w:val="lt-LT"/>
        </w:rPr>
        <w:t xml:space="preserve">. </w:t>
      </w:r>
      <w:r w:rsidRPr="003F7446">
        <w:rPr>
          <w:color w:val="auto"/>
          <w:sz w:val="22"/>
          <w:szCs w:val="22"/>
          <w:lang w:val="lt-LT"/>
        </w:rPr>
        <w:t xml:space="preserve">Šios infekcijos dažnai yra susijusios su didele </w:t>
      </w:r>
      <w:proofErr w:type="spellStart"/>
      <w:r w:rsidRPr="003F7446">
        <w:rPr>
          <w:color w:val="auto"/>
          <w:sz w:val="22"/>
          <w:szCs w:val="22"/>
          <w:lang w:val="lt-LT"/>
        </w:rPr>
        <w:t>imunosupresantų</w:t>
      </w:r>
      <w:proofErr w:type="spellEnd"/>
      <w:r w:rsidRPr="003F7446">
        <w:rPr>
          <w:color w:val="auto"/>
          <w:sz w:val="22"/>
          <w:szCs w:val="22"/>
          <w:lang w:val="lt-LT"/>
        </w:rPr>
        <w:t xml:space="preserve"> ekspozicija ir gali sukelti sunkias arba mirtinas būkles. Pacientams, kurių imuninė sistema nuslopinta ir kuriems pablogėja inkstų funkcija arba atsiranda neurologinių simptomų, diferencinės diagnostikos metu šios infekcijos turi būti apsvarstomos. </w:t>
      </w:r>
    </w:p>
    <w:p w14:paraId="77395A08" w14:textId="77777777" w:rsidR="002F1072" w:rsidRPr="003F7446" w:rsidRDefault="002F1072" w:rsidP="002F1072">
      <w:pPr>
        <w:pStyle w:val="Default"/>
        <w:rPr>
          <w:color w:val="auto"/>
          <w:sz w:val="22"/>
          <w:szCs w:val="22"/>
          <w:lang w:val="lt-LT"/>
        </w:rPr>
      </w:pPr>
    </w:p>
    <w:p w14:paraId="6E3FEE2C" w14:textId="77777777" w:rsidR="005652C9" w:rsidRPr="003F7446" w:rsidRDefault="00562AF9" w:rsidP="002F1072">
      <w:pPr>
        <w:pStyle w:val="Default"/>
        <w:rPr>
          <w:color w:val="auto"/>
          <w:sz w:val="22"/>
          <w:szCs w:val="22"/>
          <w:lang w:val="lt-LT"/>
        </w:rPr>
      </w:pPr>
      <w:r w:rsidRPr="003F7446">
        <w:rPr>
          <w:color w:val="auto"/>
          <w:sz w:val="22"/>
          <w:szCs w:val="22"/>
          <w:lang w:val="lt-LT"/>
        </w:rPr>
        <w:t xml:space="preserve">Yra buvę pranešimų apie </w:t>
      </w:r>
      <w:proofErr w:type="spellStart"/>
      <w:r w:rsidRPr="003F7446">
        <w:rPr>
          <w:color w:val="auto"/>
          <w:sz w:val="22"/>
          <w:szCs w:val="22"/>
          <w:lang w:val="lt-LT"/>
        </w:rPr>
        <w:t>hipogamaglobulinemi</w:t>
      </w:r>
      <w:r w:rsidR="003122F8" w:rsidRPr="003F7446">
        <w:rPr>
          <w:color w:val="auto"/>
          <w:sz w:val="22"/>
          <w:szCs w:val="22"/>
          <w:lang w:val="lt-LT"/>
        </w:rPr>
        <w:t>jos</w:t>
      </w:r>
      <w:proofErr w:type="spellEnd"/>
      <w:r w:rsidR="003122F8" w:rsidRPr="003F7446">
        <w:rPr>
          <w:color w:val="auto"/>
          <w:sz w:val="22"/>
          <w:szCs w:val="22"/>
          <w:lang w:val="lt-LT"/>
        </w:rPr>
        <w:t xml:space="preserve"> atvejus </w:t>
      </w:r>
      <w:r w:rsidRPr="003F7446">
        <w:rPr>
          <w:color w:val="auto"/>
          <w:sz w:val="22"/>
          <w:szCs w:val="22"/>
          <w:lang w:val="lt-LT"/>
        </w:rPr>
        <w:t xml:space="preserve">kartu su pasikartojančiomis infekcijomis pacientams </w:t>
      </w:r>
      <w:r w:rsidR="005652C9" w:rsidRPr="003F7446">
        <w:rPr>
          <w:color w:val="auto"/>
          <w:sz w:val="22"/>
          <w:szCs w:val="22"/>
          <w:lang w:val="lt-LT"/>
        </w:rPr>
        <w:t xml:space="preserve">vartojusiems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mofetilo</w:t>
      </w:r>
      <w:proofErr w:type="spellEnd"/>
      <w:r w:rsidRPr="003F7446">
        <w:rPr>
          <w:color w:val="auto"/>
          <w:sz w:val="22"/>
          <w:szCs w:val="22"/>
          <w:lang w:val="lt-LT"/>
        </w:rPr>
        <w:t xml:space="preserve"> kartu su kitais </w:t>
      </w:r>
      <w:proofErr w:type="spellStart"/>
      <w:r w:rsidRPr="003F7446">
        <w:rPr>
          <w:color w:val="auto"/>
          <w:sz w:val="22"/>
          <w:szCs w:val="22"/>
          <w:lang w:val="lt-LT"/>
        </w:rPr>
        <w:t>imunosupresantais</w:t>
      </w:r>
      <w:proofErr w:type="spellEnd"/>
      <w:r w:rsidRPr="003F7446">
        <w:rPr>
          <w:color w:val="auto"/>
          <w:sz w:val="22"/>
          <w:szCs w:val="22"/>
          <w:lang w:val="lt-LT"/>
        </w:rPr>
        <w:t>. Kai kuri</w:t>
      </w:r>
      <w:r w:rsidR="005652C9" w:rsidRPr="003F7446">
        <w:rPr>
          <w:color w:val="auto"/>
          <w:sz w:val="22"/>
          <w:szCs w:val="22"/>
          <w:lang w:val="lt-LT"/>
        </w:rPr>
        <w:t xml:space="preserve">ais iš šių atvejų pakeitus </w:t>
      </w:r>
      <w:proofErr w:type="spellStart"/>
      <w:r w:rsidR="005652C9" w:rsidRPr="003F7446">
        <w:rPr>
          <w:color w:val="auto"/>
          <w:sz w:val="22"/>
          <w:szCs w:val="22"/>
          <w:lang w:val="lt-LT"/>
        </w:rPr>
        <w:t>mikofenolato</w:t>
      </w:r>
      <w:proofErr w:type="spellEnd"/>
      <w:r w:rsidR="005652C9" w:rsidRPr="003F7446">
        <w:rPr>
          <w:color w:val="auto"/>
          <w:sz w:val="22"/>
          <w:szCs w:val="22"/>
          <w:lang w:val="lt-LT"/>
        </w:rPr>
        <w:t xml:space="preserve"> </w:t>
      </w:r>
      <w:proofErr w:type="spellStart"/>
      <w:r w:rsidR="005652C9" w:rsidRPr="003F7446">
        <w:rPr>
          <w:color w:val="auto"/>
          <w:sz w:val="22"/>
          <w:szCs w:val="22"/>
          <w:lang w:val="lt-LT"/>
        </w:rPr>
        <w:t>mofetilio</w:t>
      </w:r>
      <w:proofErr w:type="spellEnd"/>
      <w:r w:rsidR="005652C9" w:rsidRPr="003F7446">
        <w:rPr>
          <w:color w:val="auto"/>
          <w:sz w:val="22"/>
          <w:szCs w:val="22"/>
          <w:lang w:val="lt-LT"/>
        </w:rPr>
        <w:t xml:space="preserve"> skyrimą alternatyviais </w:t>
      </w:r>
      <w:proofErr w:type="spellStart"/>
      <w:r w:rsidR="005652C9" w:rsidRPr="003F7446">
        <w:rPr>
          <w:color w:val="auto"/>
          <w:sz w:val="22"/>
          <w:szCs w:val="22"/>
          <w:lang w:val="lt-LT"/>
        </w:rPr>
        <w:t>imunosupresantais</w:t>
      </w:r>
      <w:proofErr w:type="spellEnd"/>
      <w:r w:rsidR="005652C9" w:rsidRPr="003F7446">
        <w:rPr>
          <w:color w:val="auto"/>
          <w:sz w:val="22"/>
          <w:szCs w:val="22"/>
          <w:lang w:val="lt-LT"/>
        </w:rPr>
        <w:t xml:space="preserve">, </w:t>
      </w:r>
      <w:proofErr w:type="spellStart"/>
      <w:r w:rsidR="005652C9" w:rsidRPr="003F7446">
        <w:rPr>
          <w:color w:val="auto"/>
          <w:sz w:val="22"/>
          <w:szCs w:val="22"/>
          <w:lang w:val="lt-LT"/>
        </w:rPr>
        <w:t>IgG</w:t>
      </w:r>
      <w:proofErr w:type="spellEnd"/>
      <w:r w:rsidR="005652C9" w:rsidRPr="003F7446">
        <w:rPr>
          <w:color w:val="auto"/>
          <w:sz w:val="22"/>
          <w:szCs w:val="22"/>
          <w:lang w:val="lt-LT"/>
        </w:rPr>
        <w:t xml:space="preserve"> koncentracija grįžo į normos ribas. Pacientų</w:t>
      </w:r>
      <w:r w:rsidRPr="003F7446">
        <w:rPr>
          <w:color w:val="auto"/>
          <w:sz w:val="22"/>
          <w:szCs w:val="22"/>
          <w:lang w:val="lt-LT"/>
        </w:rPr>
        <w:t>, kuriems pasireiškia</w:t>
      </w:r>
      <w:r w:rsidR="005652C9" w:rsidRPr="003F7446">
        <w:rPr>
          <w:color w:val="auto"/>
          <w:sz w:val="22"/>
          <w:szCs w:val="22"/>
          <w:lang w:val="lt-LT"/>
        </w:rPr>
        <w:t xml:space="preserve"> pasikartojančios infekcijos, imunoglobulinų koncentracija kraujo serume turi būti nuolat stebima. </w:t>
      </w:r>
      <w:r w:rsidR="00622201" w:rsidRPr="003F7446">
        <w:rPr>
          <w:color w:val="auto"/>
          <w:sz w:val="22"/>
          <w:szCs w:val="22"/>
          <w:lang w:val="lt-LT"/>
        </w:rPr>
        <w:t xml:space="preserve">Ilgalaikės, kliniškai reikšmingos </w:t>
      </w:r>
      <w:proofErr w:type="spellStart"/>
      <w:r w:rsidR="00622201" w:rsidRPr="003F7446">
        <w:rPr>
          <w:color w:val="auto"/>
          <w:sz w:val="22"/>
          <w:szCs w:val="22"/>
          <w:lang w:val="lt-LT"/>
        </w:rPr>
        <w:t>hipogamaglobulinemijos</w:t>
      </w:r>
      <w:proofErr w:type="spellEnd"/>
      <w:r w:rsidR="00622201" w:rsidRPr="003F7446">
        <w:rPr>
          <w:color w:val="auto"/>
          <w:sz w:val="22"/>
          <w:szCs w:val="22"/>
          <w:lang w:val="lt-LT"/>
        </w:rPr>
        <w:t xml:space="preserve"> atveju, atsižvelgiant į </w:t>
      </w:r>
      <w:proofErr w:type="spellStart"/>
      <w:r w:rsidR="00622201" w:rsidRPr="003F7446">
        <w:rPr>
          <w:color w:val="auto"/>
          <w:sz w:val="22"/>
          <w:szCs w:val="22"/>
          <w:lang w:val="lt-LT"/>
        </w:rPr>
        <w:t>mikofenolatinės</w:t>
      </w:r>
      <w:proofErr w:type="spellEnd"/>
      <w:r w:rsidR="00622201" w:rsidRPr="003F7446">
        <w:rPr>
          <w:color w:val="auto"/>
          <w:sz w:val="22"/>
          <w:szCs w:val="22"/>
          <w:lang w:val="lt-LT"/>
        </w:rPr>
        <w:t xml:space="preserve"> rūgšties poveikį T ir B limfocitams, turi būti imtasi tinkamų medicininių priemonių. </w:t>
      </w:r>
    </w:p>
    <w:p w14:paraId="25A10532" w14:textId="77777777" w:rsidR="00562AF9" w:rsidRPr="003F7446" w:rsidRDefault="00562AF9" w:rsidP="002F1072">
      <w:pPr>
        <w:pStyle w:val="Default"/>
        <w:rPr>
          <w:color w:val="auto"/>
          <w:sz w:val="22"/>
          <w:szCs w:val="22"/>
          <w:highlight w:val="yellow"/>
          <w:lang w:val="lt-LT"/>
        </w:rPr>
      </w:pPr>
    </w:p>
    <w:p w14:paraId="2D5128B4" w14:textId="77777777" w:rsidR="00820BAF" w:rsidRPr="003F7446" w:rsidRDefault="00820BAF" w:rsidP="002F1072">
      <w:pPr>
        <w:pStyle w:val="Default"/>
        <w:rPr>
          <w:color w:val="auto"/>
          <w:sz w:val="22"/>
          <w:szCs w:val="22"/>
          <w:highlight w:val="yellow"/>
          <w:lang w:val="lt-LT"/>
        </w:rPr>
      </w:pPr>
      <w:r w:rsidRPr="003F7446">
        <w:rPr>
          <w:color w:val="auto"/>
          <w:sz w:val="22"/>
          <w:szCs w:val="22"/>
          <w:lang w:val="lt-LT"/>
        </w:rPr>
        <w:t xml:space="preserve">Yra buvę pranešimų apie </w:t>
      </w:r>
      <w:proofErr w:type="spellStart"/>
      <w:r w:rsidRPr="003F7446">
        <w:rPr>
          <w:color w:val="auto"/>
          <w:sz w:val="22"/>
          <w:szCs w:val="22"/>
          <w:lang w:val="lt-LT"/>
        </w:rPr>
        <w:t>bronchestazės</w:t>
      </w:r>
      <w:proofErr w:type="spellEnd"/>
      <w:r w:rsidRPr="003F7446">
        <w:rPr>
          <w:color w:val="auto"/>
          <w:sz w:val="22"/>
          <w:szCs w:val="22"/>
          <w:lang w:val="lt-LT"/>
        </w:rPr>
        <w:t xml:space="preserve"> atvejus suaugusiems ir vaikams, vartojusiems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mofetilo</w:t>
      </w:r>
      <w:proofErr w:type="spellEnd"/>
      <w:r w:rsidRPr="003F7446">
        <w:rPr>
          <w:color w:val="auto"/>
          <w:sz w:val="22"/>
          <w:szCs w:val="22"/>
          <w:lang w:val="lt-LT"/>
        </w:rPr>
        <w:t xml:space="preserve"> kartu su kitais </w:t>
      </w:r>
      <w:proofErr w:type="spellStart"/>
      <w:r w:rsidRPr="003F7446">
        <w:rPr>
          <w:color w:val="auto"/>
          <w:sz w:val="22"/>
          <w:szCs w:val="22"/>
          <w:lang w:val="lt-LT"/>
        </w:rPr>
        <w:t>imunosupresantais</w:t>
      </w:r>
      <w:proofErr w:type="spellEnd"/>
      <w:r w:rsidRPr="003F7446">
        <w:rPr>
          <w:color w:val="auto"/>
          <w:sz w:val="22"/>
          <w:szCs w:val="22"/>
          <w:lang w:val="lt-LT"/>
        </w:rPr>
        <w:t xml:space="preserve">. Kai kuriais iš šių atvejų pakeitus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mofetilio</w:t>
      </w:r>
      <w:proofErr w:type="spellEnd"/>
      <w:r w:rsidRPr="003F7446">
        <w:rPr>
          <w:color w:val="auto"/>
          <w:sz w:val="22"/>
          <w:szCs w:val="22"/>
          <w:lang w:val="lt-LT"/>
        </w:rPr>
        <w:t xml:space="preserve"> skyrimą alternatyviais </w:t>
      </w:r>
      <w:proofErr w:type="spellStart"/>
      <w:r w:rsidRPr="003F7446">
        <w:rPr>
          <w:color w:val="auto"/>
          <w:sz w:val="22"/>
          <w:szCs w:val="22"/>
          <w:lang w:val="lt-LT"/>
        </w:rPr>
        <w:t>imunosupresantais</w:t>
      </w:r>
      <w:proofErr w:type="spellEnd"/>
      <w:r w:rsidRPr="003F7446">
        <w:rPr>
          <w:color w:val="auto"/>
          <w:sz w:val="22"/>
          <w:szCs w:val="22"/>
          <w:lang w:val="lt-LT"/>
        </w:rPr>
        <w:t xml:space="preserve">, kvėpavimo funkcija atsistatė. </w:t>
      </w:r>
      <w:proofErr w:type="spellStart"/>
      <w:r w:rsidR="000D41B1" w:rsidRPr="003F7446">
        <w:rPr>
          <w:color w:val="auto"/>
          <w:sz w:val="22"/>
          <w:szCs w:val="22"/>
          <w:lang w:val="lt-LT"/>
        </w:rPr>
        <w:t>Bronchestazės</w:t>
      </w:r>
      <w:proofErr w:type="spellEnd"/>
      <w:r w:rsidR="000D41B1" w:rsidRPr="003F7446">
        <w:rPr>
          <w:color w:val="auto"/>
          <w:sz w:val="22"/>
          <w:szCs w:val="22"/>
          <w:lang w:val="lt-LT"/>
        </w:rPr>
        <w:t xml:space="preserve"> rizika gali būti susieta su </w:t>
      </w:r>
      <w:proofErr w:type="spellStart"/>
      <w:r w:rsidR="000D41B1" w:rsidRPr="003F7446">
        <w:rPr>
          <w:color w:val="auto"/>
          <w:sz w:val="22"/>
          <w:szCs w:val="22"/>
          <w:lang w:val="lt-LT"/>
        </w:rPr>
        <w:t>hipogamaglobulinemija</w:t>
      </w:r>
      <w:proofErr w:type="spellEnd"/>
      <w:r w:rsidR="000D41B1" w:rsidRPr="003F7446">
        <w:rPr>
          <w:color w:val="auto"/>
          <w:sz w:val="22"/>
          <w:szCs w:val="22"/>
          <w:lang w:val="lt-LT"/>
        </w:rPr>
        <w:t xml:space="preserve"> arba tiesioginiu poveikiu plaučiams. </w:t>
      </w:r>
      <w:r w:rsidR="002C544E" w:rsidRPr="003F7446">
        <w:rPr>
          <w:color w:val="auto"/>
          <w:sz w:val="22"/>
          <w:szCs w:val="22"/>
          <w:lang w:val="lt-LT"/>
        </w:rPr>
        <w:t xml:space="preserve">Taip pat buvo pavienių pranešimų apie </w:t>
      </w:r>
      <w:proofErr w:type="spellStart"/>
      <w:r w:rsidR="002C544E" w:rsidRPr="003F7446">
        <w:rPr>
          <w:color w:val="auto"/>
          <w:sz w:val="22"/>
          <w:szCs w:val="22"/>
          <w:lang w:val="lt-LT"/>
        </w:rPr>
        <w:t>intersticinės</w:t>
      </w:r>
      <w:proofErr w:type="spellEnd"/>
      <w:r w:rsidR="002C544E" w:rsidRPr="003F7446">
        <w:rPr>
          <w:color w:val="auto"/>
          <w:sz w:val="22"/>
          <w:szCs w:val="22"/>
          <w:lang w:val="lt-LT"/>
        </w:rPr>
        <w:t xml:space="preserve"> plaučių ligos ir plaučių fibrozės atvejus, kai kurie iš jų buvo mirtini (žr. 4.8 skyrių). Rekomenduojama stebėti pacientus, kuriems pasireiškia nuolatiniai simptomai plaučiuose, tokie kaip kosulys ir dusulys. </w:t>
      </w:r>
    </w:p>
    <w:p w14:paraId="1D935D8E" w14:textId="77777777" w:rsidR="0052287E" w:rsidRPr="003F7446" w:rsidRDefault="0052287E" w:rsidP="0052287E">
      <w:pPr>
        <w:pStyle w:val="Default"/>
        <w:rPr>
          <w:color w:val="auto"/>
          <w:sz w:val="22"/>
          <w:szCs w:val="22"/>
          <w:lang w:val="lt-LT"/>
        </w:rPr>
      </w:pPr>
    </w:p>
    <w:p w14:paraId="3978D419" w14:textId="77777777" w:rsidR="0052287E" w:rsidRPr="003F7446" w:rsidRDefault="0052287E" w:rsidP="0052287E">
      <w:pPr>
        <w:pStyle w:val="Default"/>
        <w:rPr>
          <w:i/>
          <w:iCs/>
          <w:color w:val="auto"/>
          <w:sz w:val="22"/>
          <w:szCs w:val="22"/>
          <w:lang w:val="lt-LT"/>
        </w:rPr>
      </w:pPr>
      <w:r w:rsidRPr="003F7446">
        <w:rPr>
          <w:color w:val="auto"/>
          <w:sz w:val="22"/>
          <w:szCs w:val="22"/>
          <w:lang w:val="lt-LT"/>
        </w:rPr>
        <w:t xml:space="preserve">Pacientus, kuriems skiriama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mofetilio</w:t>
      </w:r>
      <w:proofErr w:type="spellEnd"/>
      <w:r w:rsidRPr="003F7446">
        <w:rPr>
          <w:color w:val="auto"/>
          <w:sz w:val="22"/>
          <w:szCs w:val="22"/>
          <w:lang w:val="lt-LT"/>
        </w:rPr>
        <w:t xml:space="preserve">, reikia nuolat stebėti, ar jiems neišsivystė </w:t>
      </w:r>
      <w:proofErr w:type="spellStart"/>
      <w:r w:rsidRPr="003F7446">
        <w:rPr>
          <w:color w:val="auto"/>
          <w:sz w:val="22"/>
          <w:szCs w:val="22"/>
          <w:lang w:val="lt-LT"/>
        </w:rPr>
        <w:t>neutropenija</w:t>
      </w:r>
      <w:proofErr w:type="spellEnd"/>
      <w:r w:rsidRPr="003F7446">
        <w:rPr>
          <w:color w:val="auto"/>
          <w:sz w:val="22"/>
          <w:szCs w:val="22"/>
          <w:lang w:val="lt-LT"/>
        </w:rPr>
        <w:t xml:space="preserve">, kuri gali būti susijusi su pačiu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mofetiliu</w:t>
      </w:r>
      <w:proofErr w:type="spellEnd"/>
      <w:r w:rsidRPr="003F7446">
        <w:rPr>
          <w:color w:val="auto"/>
          <w:sz w:val="22"/>
          <w:szCs w:val="22"/>
          <w:lang w:val="lt-LT"/>
        </w:rPr>
        <w:t xml:space="preserve">, kitais kartu vartojamais vaistais, virusinėmis infekcijomis arba kurių nors šių priežasčių deriniu. Per pirmąjį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mofetilio</w:t>
      </w:r>
      <w:proofErr w:type="spellEnd"/>
      <w:r w:rsidRPr="003F7446">
        <w:rPr>
          <w:color w:val="auto"/>
          <w:sz w:val="22"/>
          <w:szCs w:val="22"/>
          <w:lang w:val="lt-LT"/>
        </w:rPr>
        <w:t xml:space="preserve"> vartojimo mėnesį visų kraujo ląstelių skaičių reikia tirti kiekvieną savaitę, antrąjį ir trečiąjį gydymo mėnesius –  po du kartus per mėnesį, toliau visus pirmuosius gydymo metus –  vieną kartą per mėnesį. Jei išsivysto </w:t>
      </w:r>
      <w:proofErr w:type="spellStart"/>
      <w:r w:rsidRPr="003F7446">
        <w:rPr>
          <w:color w:val="auto"/>
          <w:sz w:val="22"/>
          <w:szCs w:val="22"/>
          <w:lang w:val="lt-LT"/>
        </w:rPr>
        <w:t>neutropenija</w:t>
      </w:r>
      <w:proofErr w:type="spellEnd"/>
      <w:r w:rsidRPr="003F7446">
        <w:rPr>
          <w:color w:val="auto"/>
          <w:sz w:val="22"/>
          <w:szCs w:val="22"/>
          <w:lang w:val="lt-LT"/>
        </w:rPr>
        <w:t xml:space="preserve"> (absoliutus </w:t>
      </w:r>
      <w:proofErr w:type="spellStart"/>
      <w:r w:rsidRPr="003F7446">
        <w:rPr>
          <w:color w:val="auto"/>
          <w:sz w:val="22"/>
          <w:szCs w:val="22"/>
          <w:lang w:val="lt-LT"/>
        </w:rPr>
        <w:t>neutrofilų</w:t>
      </w:r>
      <w:proofErr w:type="spellEnd"/>
      <w:r w:rsidRPr="003F7446">
        <w:rPr>
          <w:color w:val="auto"/>
          <w:sz w:val="22"/>
          <w:szCs w:val="22"/>
          <w:lang w:val="lt-LT"/>
        </w:rPr>
        <w:t xml:space="preserve"> skaičius &lt; 1,3 x 10</w:t>
      </w:r>
      <w:r w:rsidRPr="003F7446">
        <w:rPr>
          <w:color w:val="auto"/>
          <w:sz w:val="22"/>
          <w:szCs w:val="22"/>
          <w:vertAlign w:val="superscript"/>
          <w:lang w:val="lt-LT"/>
        </w:rPr>
        <w:t>3</w:t>
      </w:r>
      <w:r w:rsidRPr="003F7446">
        <w:rPr>
          <w:color w:val="auto"/>
          <w:sz w:val="22"/>
          <w:szCs w:val="22"/>
          <w:lang w:val="lt-LT"/>
        </w:rPr>
        <w:t>/</w:t>
      </w:r>
      <w:proofErr w:type="spellStart"/>
      <w:r w:rsidRPr="003F7446">
        <w:rPr>
          <w:color w:val="auto"/>
          <w:sz w:val="22"/>
          <w:szCs w:val="22"/>
          <w:lang w:val="lt-LT"/>
        </w:rPr>
        <w:t>μl</w:t>
      </w:r>
      <w:proofErr w:type="spellEnd"/>
      <w:r w:rsidRPr="003F7446">
        <w:rPr>
          <w:color w:val="auto"/>
          <w:sz w:val="22"/>
          <w:szCs w:val="22"/>
          <w:lang w:val="lt-LT"/>
        </w:rPr>
        <w:t xml:space="preserve">), gali tekti kurį laiką nutraukti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mofetilio</w:t>
      </w:r>
      <w:proofErr w:type="spellEnd"/>
      <w:r w:rsidRPr="003F7446">
        <w:rPr>
          <w:color w:val="auto"/>
          <w:sz w:val="22"/>
          <w:szCs w:val="22"/>
          <w:lang w:val="lt-LT"/>
        </w:rPr>
        <w:t xml:space="preserve"> vartojimą arba visai jo nebevartoti</w:t>
      </w:r>
      <w:r w:rsidRPr="003F7446">
        <w:rPr>
          <w:i/>
          <w:iCs/>
          <w:color w:val="auto"/>
          <w:sz w:val="22"/>
          <w:szCs w:val="22"/>
          <w:lang w:val="lt-LT"/>
        </w:rPr>
        <w:t xml:space="preserve">. </w:t>
      </w:r>
    </w:p>
    <w:p w14:paraId="6B6D8FCE" w14:textId="77777777" w:rsidR="0052287E" w:rsidRPr="003F7446" w:rsidRDefault="0052287E" w:rsidP="0052287E">
      <w:pPr>
        <w:pStyle w:val="Default"/>
        <w:rPr>
          <w:color w:val="auto"/>
          <w:sz w:val="22"/>
          <w:szCs w:val="22"/>
          <w:lang w:val="lt-LT"/>
        </w:rPr>
      </w:pPr>
    </w:p>
    <w:p w14:paraId="6532D209"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Gydant pacientus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mofetiliu</w:t>
      </w:r>
      <w:proofErr w:type="spellEnd"/>
      <w:r w:rsidRPr="003F7446">
        <w:rPr>
          <w:color w:val="auto"/>
          <w:sz w:val="22"/>
          <w:szCs w:val="22"/>
          <w:lang w:val="lt-LT"/>
        </w:rPr>
        <w:t xml:space="preserve"> ir kitų </w:t>
      </w:r>
      <w:proofErr w:type="spellStart"/>
      <w:r w:rsidRPr="003F7446">
        <w:rPr>
          <w:color w:val="auto"/>
          <w:sz w:val="22"/>
          <w:szCs w:val="22"/>
          <w:lang w:val="lt-LT"/>
        </w:rPr>
        <w:t>imunosupresantų</w:t>
      </w:r>
      <w:proofErr w:type="spellEnd"/>
      <w:r w:rsidRPr="003F7446">
        <w:rPr>
          <w:color w:val="auto"/>
          <w:sz w:val="22"/>
          <w:szCs w:val="22"/>
          <w:lang w:val="lt-LT"/>
        </w:rPr>
        <w:t xml:space="preserve"> deriniu buvo gauta pranešimų apie grynos </w:t>
      </w:r>
      <w:proofErr w:type="spellStart"/>
      <w:r w:rsidRPr="003F7446">
        <w:rPr>
          <w:color w:val="auto"/>
          <w:sz w:val="22"/>
          <w:szCs w:val="22"/>
          <w:lang w:val="lt-LT"/>
        </w:rPr>
        <w:t>eritropoezės</w:t>
      </w:r>
      <w:proofErr w:type="spellEnd"/>
      <w:r w:rsidRPr="003F7446">
        <w:rPr>
          <w:color w:val="auto"/>
          <w:sz w:val="22"/>
          <w:szCs w:val="22"/>
          <w:lang w:val="lt-LT"/>
        </w:rPr>
        <w:t xml:space="preserve"> ląstelių </w:t>
      </w:r>
      <w:proofErr w:type="spellStart"/>
      <w:r w:rsidRPr="003F7446">
        <w:rPr>
          <w:color w:val="auto"/>
          <w:sz w:val="22"/>
          <w:szCs w:val="22"/>
          <w:lang w:val="lt-LT"/>
        </w:rPr>
        <w:t>aplazijos</w:t>
      </w:r>
      <w:proofErr w:type="spellEnd"/>
      <w:r w:rsidRPr="003F7446">
        <w:rPr>
          <w:color w:val="auto"/>
          <w:sz w:val="22"/>
          <w:szCs w:val="22"/>
          <w:lang w:val="lt-LT"/>
        </w:rPr>
        <w:t xml:space="preserve"> (GELA) atvejus.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mofetilio</w:t>
      </w:r>
      <w:proofErr w:type="spellEnd"/>
      <w:r w:rsidRPr="003F7446">
        <w:rPr>
          <w:color w:val="auto"/>
          <w:sz w:val="22"/>
          <w:szCs w:val="22"/>
          <w:lang w:val="lt-LT"/>
        </w:rPr>
        <w:t xml:space="preserve"> sukeliamos GELA mechanizmas nežinomas. Sumažinus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mofetilio</w:t>
      </w:r>
      <w:proofErr w:type="spellEnd"/>
      <w:r w:rsidRPr="003F7446">
        <w:rPr>
          <w:color w:val="auto"/>
          <w:sz w:val="22"/>
          <w:szCs w:val="22"/>
          <w:lang w:val="lt-LT"/>
        </w:rPr>
        <w:t xml:space="preserve"> dozę arba jo nebeskiriant GELA gali išnykti. Keisti gydymą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mofetiliu</w:t>
      </w:r>
      <w:proofErr w:type="spellEnd"/>
      <w:r w:rsidRPr="003F7446">
        <w:rPr>
          <w:color w:val="auto"/>
          <w:sz w:val="22"/>
          <w:szCs w:val="22"/>
          <w:lang w:val="lt-LT"/>
        </w:rPr>
        <w:t xml:space="preserve"> galima pradėti tik tinkamai prižiūrint pacientus, kuriems persodintas organas, kad būtų galima iki minimumo sumažinti </w:t>
      </w:r>
      <w:proofErr w:type="spellStart"/>
      <w:r w:rsidRPr="003F7446">
        <w:rPr>
          <w:color w:val="auto"/>
          <w:sz w:val="22"/>
          <w:szCs w:val="22"/>
          <w:lang w:val="lt-LT"/>
        </w:rPr>
        <w:t>transplantato</w:t>
      </w:r>
      <w:proofErr w:type="spellEnd"/>
      <w:r w:rsidRPr="003F7446">
        <w:rPr>
          <w:color w:val="auto"/>
          <w:sz w:val="22"/>
          <w:szCs w:val="22"/>
          <w:lang w:val="lt-LT"/>
        </w:rPr>
        <w:t xml:space="preserve"> atmetimo riziką (žr. 4.8 skyrių). </w:t>
      </w:r>
    </w:p>
    <w:p w14:paraId="69B09B61" w14:textId="77777777" w:rsidR="0052287E" w:rsidRPr="003F7446" w:rsidRDefault="0052287E" w:rsidP="0052287E">
      <w:pPr>
        <w:pStyle w:val="Default"/>
        <w:rPr>
          <w:color w:val="auto"/>
          <w:sz w:val="22"/>
          <w:szCs w:val="22"/>
          <w:lang w:val="lt-LT"/>
        </w:rPr>
      </w:pPr>
    </w:p>
    <w:p w14:paraId="3745B899"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Pacientams reikia patarti, kad gydant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mofetiliu</w:t>
      </w:r>
      <w:proofErr w:type="spellEnd"/>
      <w:r w:rsidRPr="003F7446">
        <w:rPr>
          <w:color w:val="auto"/>
          <w:sz w:val="22"/>
          <w:szCs w:val="22"/>
          <w:lang w:val="lt-LT"/>
        </w:rPr>
        <w:t xml:space="preserve"> skiepijimas gali būti mažiau veiksmingas, be to, reikėtų vengti skiepytis gyvomis susilpnintomis vakcinomis (žr. 4.5 skyrių). Gali būti naudinga skiepytis nuo gripo. Vakciną skiriantis gydytojas turėtų remtis skiepijimo nuo gripo vietinėmis tos šalies rekomendacijomis. </w:t>
      </w:r>
    </w:p>
    <w:p w14:paraId="08C78FB1" w14:textId="77777777" w:rsidR="0052287E" w:rsidRPr="003F7446" w:rsidRDefault="0052287E" w:rsidP="0052287E">
      <w:pPr>
        <w:pStyle w:val="Default"/>
        <w:rPr>
          <w:color w:val="auto"/>
          <w:sz w:val="22"/>
          <w:szCs w:val="22"/>
          <w:lang w:val="lt-LT"/>
        </w:rPr>
      </w:pPr>
    </w:p>
    <w:p w14:paraId="6AE01F10" w14:textId="77777777" w:rsidR="0052287E" w:rsidRPr="003F7446" w:rsidRDefault="0052287E" w:rsidP="0052287E">
      <w:pPr>
        <w:pStyle w:val="Default"/>
        <w:rPr>
          <w:color w:val="auto"/>
          <w:sz w:val="22"/>
          <w:szCs w:val="22"/>
          <w:lang w:val="lt-LT"/>
        </w:rPr>
      </w:pPr>
      <w:r w:rsidRPr="003F7446">
        <w:rPr>
          <w:color w:val="auto"/>
          <w:sz w:val="22"/>
          <w:szCs w:val="22"/>
          <w:lang w:val="lt-LT"/>
        </w:rPr>
        <w:lastRenderedPageBreak/>
        <w:t xml:space="preserve">Kadangi su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mofetilio</w:t>
      </w:r>
      <w:proofErr w:type="spellEnd"/>
      <w:r w:rsidRPr="003F7446">
        <w:rPr>
          <w:color w:val="auto"/>
          <w:sz w:val="22"/>
          <w:szCs w:val="22"/>
          <w:lang w:val="lt-LT"/>
        </w:rPr>
        <w:t xml:space="preserve"> vartojimu siejamas dažnesnis nepageidaujamas poveikis virškinimo sistemai, įskaitant nedažnus virškinimo trakto išopėjimo, kraujavimo ir perforacijos atvejus,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mofetilio</w:t>
      </w:r>
      <w:proofErr w:type="spellEnd"/>
      <w:r w:rsidRPr="003F7446">
        <w:rPr>
          <w:color w:val="auto"/>
          <w:sz w:val="22"/>
          <w:szCs w:val="22"/>
          <w:lang w:val="lt-LT"/>
        </w:rPr>
        <w:t xml:space="preserve"> reikia atsargiai skirti pacientams, sergantiems aktyvia sunkia virškinimo sistemos liga. </w:t>
      </w:r>
    </w:p>
    <w:p w14:paraId="331497A2" w14:textId="77777777" w:rsidR="0052287E" w:rsidRPr="003F7446" w:rsidRDefault="0052287E" w:rsidP="0052287E">
      <w:pPr>
        <w:pStyle w:val="Default"/>
        <w:rPr>
          <w:color w:val="auto"/>
          <w:sz w:val="22"/>
          <w:szCs w:val="22"/>
          <w:lang w:val="lt-LT"/>
        </w:rPr>
      </w:pPr>
    </w:p>
    <w:p w14:paraId="3809EE34" w14:textId="77777777" w:rsidR="0052287E" w:rsidRPr="003F7446" w:rsidRDefault="0052287E" w:rsidP="0052287E">
      <w:pPr>
        <w:pStyle w:val="Default"/>
        <w:rPr>
          <w:color w:val="auto"/>
          <w:sz w:val="22"/>
          <w:szCs w:val="22"/>
          <w:lang w:val="lt-LT"/>
        </w:rPr>
      </w:pPr>
      <w:proofErr w:type="spellStart"/>
      <w:r w:rsidRPr="003F7446">
        <w:rPr>
          <w:color w:val="auto"/>
          <w:sz w:val="22"/>
          <w:szCs w:val="22"/>
          <w:lang w:val="lt-LT"/>
        </w:rPr>
        <w:t>Mkofenolato</w:t>
      </w:r>
      <w:proofErr w:type="spellEnd"/>
      <w:r w:rsidRPr="003F7446">
        <w:rPr>
          <w:color w:val="auto"/>
          <w:sz w:val="22"/>
          <w:szCs w:val="22"/>
          <w:lang w:val="lt-LT"/>
        </w:rPr>
        <w:t xml:space="preserve"> </w:t>
      </w:r>
      <w:proofErr w:type="spellStart"/>
      <w:r w:rsidRPr="003F7446">
        <w:rPr>
          <w:color w:val="auto"/>
          <w:sz w:val="22"/>
          <w:szCs w:val="22"/>
          <w:lang w:val="lt-LT"/>
        </w:rPr>
        <w:t>mofetilis</w:t>
      </w:r>
      <w:proofErr w:type="spellEnd"/>
      <w:r w:rsidRPr="003F7446">
        <w:rPr>
          <w:color w:val="auto"/>
          <w:sz w:val="22"/>
          <w:szCs w:val="22"/>
          <w:lang w:val="lt-LT"/>
        </w:rPr>
        <w:t xml:space="preserve"> yra IMFDH (</w:t>
      </w:r>
      <w:proofErr w:type="spellStart"/>
      <w:r w:rsidRPr="003F7446">
        <w:rPr>
          <w:color w:val="auto"/>
          <w:sz w:val="22"/>
          <w:szCs w:val="22"/>
          <w:lang w:val="lt-LT"/>
        </w:rPr>
        <w:t>inozino</w:t>
      </w:r>
      <w:proofErr w:type="spellEnd"/>
      <w:r w:rsidRPr="003F7446">
        <w:rPr>
          <w:color w:val="auto"/>
          <w:sz w:val="22"/>
          <w:szCs w:val="22"/>
          <w:lang w:val="lt-LT"/>
        </w:rPr>
        <w:t xml:space="preserve"> </w:t>
      </w:r>
      <w:proofErr w:type="spellStart"/>
      <w:r w:rsidRPr="003F7446">
        <w:rPr>
          <w:color w:val="auto"/>
          <w:sz w:val="22"/>
          <w:szCs w:val="22"/>
          <w:lang w:val="lt-LT"/>
        </w:rPr>
        <w:t>monofosfatdehidrogenazės</w:t>
      </w:r>
      <w:proofErr w:type="spellEnd"/>
      <w:r w:rsidRPr="003F7446">
        <w:rPr>
          <w:color w:val="auto"/>
          <w:sz w:val="22"/>
          <w:szCs w:val="22"/>
          <w:lang w:val="lt-LT"/>
        </w:rPr>
        <w:t xml:space="preserve">) slopintojas. Teoriškai, reikėtų vengti jo skirti pacientams, sergantiems reta paveldima </w:t>
      </w:r>
      <w:proofErr w:type="spellStart"/>
      <w:r w:rsidRPr="003F7446">
        <w:rPr>
          <w:color w:val="auto"/>
          <w:sz w:val="22"/>
          <w:szCs w:val="22"/>
          <w:lang w:val="lt-LT"/>
        </w:rPr>
        <w:t>hipoksantino-guanino</w:t>
      </w:r>
      <w:proofErr w:type="spellEnd"/>
      <w:r w:rsidRPr="003F7446">
        <w:rPr>
          <w:color w:val="auto"/>
          <w:sz w:val="22"/>
          <w:szCs w:val="22"/>
          <w:lang w:val="lt-LT"/>
        </w:rPr>
        <w:t xml:space="preserve"> </w:t>
      </w:r>
      <w:proofErr w:type="spellStart"/>
      <w:r w:rsidRPr="003F7446">
        <w:rPr>
          <w:color w:val="auto"/>
          <w:sz w:val="22"/>
          <w:szCs w:val="22"/>
          <w:lang w:val="lt-LT"/>
        </w:rPr>
        <w:t>fosforiboziltransferazės</w:t>
      </w:r>
      <w:proofErr w:type="spellEnd"/>
      <w:r w:rsidRPr="003F7446">
        <w:rPr>
          <w:color w:val="auto"/>
          <w:sz w:val="22"/>
          <w:szCs w:val="22"/>
          <w:lang w:val="lt-LT"/>
        </w:rPr>
        <w:t xml:space="preserve"> (HGFRT) stoka, pvz., </w:t>
      </w:r>
      <w:proofErr w:type="spellStart"/>
      <w:r w:rsidRPr="003F7446">
        <w:rPr>
          <w:i/>
          <w:iCs/>
          <w:color w:val="auto"/>
          <w:sz w:val="22"/>
          <w:szCs w:val="22"/>
          <w:lang w:val="lt-LT"/>
        </w:rPr>
        <w:t>Lesch-Nyhan</w:t>
      </w:r>
      <w:proofErr w:type="spellEnd"/>
      <w:r w:rsidRPr="003F7446">
        <w:rPr>
          <w:color w:val="auto"/>
          <w:sz w:val="22"/>
          <w:szCs w:val="22"/>
          <w:lang w:val="lt-LT"/>
        </w:rPr>
        <w:t xml:space="preserve"> ir </w:t>
      </w:r>
      <w:proofErr w:type="spellStart"/>
      <w:r w:rsidRPr="003F7446">
        <w:rPr>
          <w:i/>
          <w:iCs/>
          <w:color w:val="auto"/>
          <w:sz w:val="22"/>
          <w:szCs w:val="22"/>
          <w:lang w:val="lt-LT"/>
        </w:rPr>
        <w:t>Kelley-Seegmiller</w:t>
      </w:r>
      <w:proofErr w:type="spellEnd"/>
      <w:r w:rsidRPr="003F7446">
        <w:rPr>
          <w:color w:val="auto"/>
          <w:sz w:val="22"/>
          <w:szCs w:val="22"/>
          <w:lang w:val="lt-LT"/>
        </w:rPr>
        <w:t xml:space="preserve"> sindromais. </w:t>
      </w:r>
    </w:p>
    <w:p w14:paraId="70041E40" w14:textId="77777777" w:rsidR="0052287E" w:rsidRPr="003F7446" w:rsidRDefault="0052287E" w:rsidP="0052287E">
      <w:pPr>
        <w:pStyle w:val="Default"/>
        <w:rPr>
          <w:color w:val="auto"/>
          <w:sz w:val="22"/>
          <w:szCs w:val="22"/>
          <w:lang w:val="lt-LT"/>
        </w:rPr>
      </w:pPr>
    </w:p>
    <w:p w14:paraId="69096386"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Nerekomenduojama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mofetilio</w:t>
      </w:r>
      <w:proofErr w:type="spellEnd"/>
      <w:r w:rsidRPr="003F7446">
        <w:rPr>
          <w:color w:val="auto"/>
          <w:sz w:val="22"/>
          <w:szCs w:val="22"/>
          <w:lang w:val="lt-LT"/>
        </w:rPr>
        <w:t xml:space="preserve"> vartoti kartu su </w:t>
      </w:r>
      <w:proofErr w:type="spellStart"/>
      <w:r w:rsidRPr="003F7446">
        <w:rPr>
          <w:color w:val="auto"/>
          <w:sz w:val="22"/>
          <w:szCs w:val="22"/>
          <w:lang w:val="lt-LT"/>
        </w:rPr>
        <w:t>azatioprinu</w:t>
      </w:r>
      <w:proofErr w:type="spellEnd"/>
      <w:r w:rsidRPr="003F7446">
        <w:rPr>
          <w:color w:val="auto"/>
          <w:sz w:val="22"/>
          <w:szCs w:val="22"/>
          <w:lang w:val="lt-LT"/>
        </w:rPr>
        <w:t>, nes šio derinio vartojimas neištirtas.</w:t>
      </w:r>
    </w:p>
    <w:p w14:paraId="283C09A3"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 </w:t>
      </w:r>
    </w:p>
    <w:p w14:paraId="224A72A8"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Atsižvelgiant į tai, kad </w:t>
      </w:r>
      <w:proofErr w:type="spellStart"/>
      <w:r w:rsidRPr="003F7446">
        <w:rPr>
          <w:color w:val="auto"/>
          <w:sz w:val="22"/>
          <w:szCs w:val="22"/>
          <w:lang w:val="lt-LT"/>
        </w:rPr>
        <w:t>kolestiraminas</w:t>
      </w:r>
      <w:proofErr w:type="spellEnd"/>
      <w:r w:rsidRPr="003F7446">
        <w:rPr>
          <w:color w:val="auto"/>
          <w:sz w:val="22"/>
          <w:szCs w:val="22"/>
          <w:lang w:val="lt-LT"/>
        </w:rPr>
        <w:t xml:space="preserve"> reikšmingai sumažina MFR AUC, kartu su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mofetiliu</w:t>
      </w:r>
      <w:proofErr w:type="spellEnd"/>
      <w:r w:rsidRPr="003F7446">
        <w:rPr>
          <w:color w:val="auto"/>
          <w:sz w:val="22"/>
          <w:szCs w:val="22"/>
          <w:lang w:val="lt-LT"/>
        </w:rPr>
        <w:t xml:space="preserve"> atsargiai skirti tų vaistinių preparatų, kurie dalyvauja </w:t>
      </w:r>
      <w:proofErr w:type="spellStart"/>
      <w:r w:rsidRPr="003F7446">
        <w:rPr>
          <w:color w:val="auto"/>
          <w:sz w:val="22"/>
          <w:szCs w:val="22"/>
          <w:lang w:val="lt-LT"/>
        </w:rPr>
        <w:t>enterohepatinėje</w:t>
      </w:r>
      <w:proofErr w:type="spellEnd"/>
      <w:r w:rsidRPr="003F7446">
        <w:rPr>
          <w:color w:val="auto"/>
          <w:sz w:val="22"/>
          <w:szCs w:val="22"/>
          <w:lang w:val="lt-LT"/>
        </w:rPr>
        <w:t xml:space="preserve"> </w:t>
      </w:r>
      <w:proofErr w:type="spellStart"/>
      <w:r w:rsidRPr="003F7446">
        <w:rPr>
          <w:color w:val="auto"/>
          <w:sz w:val="22"/>
          <w:szCs w:val="22"/>
          <w:lang w:val="lt-LT"/>
        </w:rPr>
        <w:t>recirkuliacije</w:t>
      </w:r>
      <w:proofErr w:type="spellEnd"/>
      <w:r w:rsidRPr="003F7446">
        <w:rPr>
          <w:color w:val="auto"/>
          <w:sz w:val="22"/>
          <w:szCs w:val="22"/>
          <w:lang w:val="lt-LT"/>
        </w:rPr>
        <w:t xml:space="preserve">, dėl galimo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mofetilio</w:t>
      </w:r>
      <w:proofErr w:type="spellEnd"/>
      <w:r w:rsidRPr="003F7446">
        <w:rPr>
          <w:color w:val="auto"/>
          <w:sz w:val="22"/>
          <w:szCs w:val="22"/>
          <w:lang w:val="lt-LT"/>
        </w:rPr>
        <w:t xml:space="preserve"> veiksmingumo sumažėjimo. </w:t>
      </w:r>
    </w:p>
    <w:p w14:paraId="1D1D529A" w14:textId="77777777" w:rsidR="0052287E" w:rsidRPr="003F7446" w:rsidRDefault="0052287E" w:rsidP="0052287E">
      <w:pPr>
        <w:pStyle w:val="Default"/>
        <w:rPr>
          <w:color w:val="auto"/>
          <w:sz w:val="22"/>
          <w:szCs w:val="22"/>
          <w:lang w:val="lt-LT"/>
        </w:rPr>
      </w:pPr>
    </w:p>
    <w:p w14:paraId="08F6A0EF"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Rizika: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mofetilio</w:t>
      </w:r>
      <w:proofErr w:type="spellEnd"/>
      <w:r w:rsidRPr="003F7446">
        <w:rPr>
          <w:color w:val="auto"/>
          <w:sz w:val="22"/>
          <w:szCs w:val="22"/>
          <w:lang w:val="lt-LT"/>
        </w:rPr>
        <w:t xml:space="preserve"> vartojimo kartu su </w:t>
      </w:r>
      <w:proofErr w:type="spellStart"/>
      <w:r w:rsidRPr="003F7446">
        <w:rPr>
          <w:color w:val="auto"/>
          <w:sz w:val="22"/>
          <w:szCs w:val="22"/>
          <w:lang w:val="lt-LT"/>
        </w:rPr>
        <w:t>takrolimuzu</w:t>
      </w:r>
      <w:proofErr w:type="spellEnd"/>
      <w:r w:rsidRPr="003F7446">
        <w:rPr>
          <w:color w:val="auto"/>
          <w:sz w:val="22"/>
          <w:szCs w:val="22"/>
          <w:lang w:val="lt-LT"/>
        </w:rPr>
        <w:t xml:space="preserve"> arba </w:t>
      </w:r>
      <w:proofErr w:type="spellStart"/>
      <w:r w:rsidRPr="003F7446">
        <w:rPr>
          <w:color w:val="auto"/>
          <w:sz w:val="22"/>
          <w:szCs w:val="22"/>
          <w:lang w:val="lt-LT"/>
        </w:rPr>
        <w:t>sirolimuzu</w:t>
      </w:r>
      <w:proofErr w:type="spellEnd"/>
      <w:r w:rsidRPr="003F7446">
        <w:rPr>
          <w:color w:val="auto"/>
          <w:sz w:val="22"/>
          <w:szCs w:val="22"/>
          <w:lang w:val="lt-LT"/>
        </w:rPr>
        <w:t xml:space="preserve"> nauda nenustatyta (žr. taip pat 4.5 skyrių). </w:t>
      </w:r>
    </w:p>
    <w:p w14:paraId="7888B322" w14:textId="77777777" w:rsidR="0052287E" w:rsidRPr="003F7446" w:rsidRDefault="0052287E" w:rsidP="0052287E">
      <w:pPr>
        <w:pStyle w:val="Default"/>
        <w:ind w:left="560" w:hanging="560"/>
        <w:rPr>
          <w:b/>
          <w:bCs/>
          <w:color w:val="auto"/>
          <w:sz w:val="22"/>
          <w:szCs w:val="22"/>
          <w:lang w:val="lt-LT"/>
        </w:rPr>
      </w:pPr>
    </w:p>
    <w:p w14:paraId="2F4D160A" w14:textId="77777777" w:rsidR="0052287E" w:rsidRPr="003F7446" w:rsidRDefault="0052287E" w:rsidP="0052287E">
      <w:pPr>
        <w:pStyle w:val="Default"/>
        <w:ind w:left="560" w:hanging="560"/>
        <w:rPr>
          <w:color w:val="auto"/>
          <w:sz w:val="22"/>
          <w:szCs w:val="22"/>
          <w:lang w:val="lt-LT"/>
        </w:rPr>
      </w:pPr>
      <w:r w:rsidRPr="003F7446">
        <w:rPr>
          <w:b/>
          <w:bCs/>
          <w:color w:val="auto"/>
          <w:sz w:val="22"/>
          <w:szCs w:val="22"/>
          <w:lang w:val="lt-LT"/>
        </w:rPr>
        <w:t>4.5</w:t>
      </w:r>
      <w:r w:rsidRPr="003F7446">
        <w:rPr>
          <w:b/>
          <w:bCs/>
          <w:color w:val="auto"/>
          <w:sz w:val="22"/>
          <w:szCs w:val="22"/>
          <w:lang w:val="lt-LT"/>
        </w:rPr>
        <w:tab/>
        <w:t xml:space="preserve">Sąveika su kitais vaistiniais preparatais ir kitokia sąveika </w:t>
      </w:r>
    </w:p>
    <w:p w14:paraId="3B534CAF" w14:textId="77777777" w:rsidR="0052287E" w:rsidRPr="003F7446" w:rsidRDefault="0052287E" w:rsidP="0052287E">
      <w:pPr>
        <w:pStyle w:val="Default"/>
        <w:rPr>
          <w:color w:val="auto"/>
          <w:sz w:val="22"/>
          <w:szCs w:val="22"/>
          <w:lang w:val="lt-LT"/>
        </w:rPr>
      </w:pPr>
    </w:p>
    <w:p w14:paraId="05B1A141"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Sąveikos tyrimai atlikti tik suaugusiesiems. </w:t>
      </w:r>
    </w:p>
    <w:p w14:paraId="0A83FFA0" w14:textId="77777777" w:rsidR="0052287E" w:rsidRPr="003F7446" w:rsidRDefault="0052287E" w:rsidP="0052287E">
      <w:pPr>
        <w:pStyle w:val="Default"/>
        <w:rPr>
          <w:color w:val="auto"/>
          <w:sz w:val="22"/>
          <w:szCs w:val="22"/>
          <w:u w:val="single"/>
          <w:lang w:val="lt-LT"/>
        </w:rPr>
      </w:pPr>
    </w:p>
    <w:p w14:paraId="04F25BC5" w14:textId="77777777" w:rsidR="0052287E" w:rsidRPr="003F7446" w:rsidRDefault="0052287E" w:rsidP="0052287E">
      <w:pPr>
        <w:pStyle w:val="Default"/>
        <w:rPr>
          <w:color w:val="auto"/>
          <w:sz w:val="22"/>
          <w:szCs w:val="22"/>
          <w:lang w:val="lt-LT"/>
        </w:rPr>
      </w:pPr>
      <w:proofErr w:type="spellStart"/>
      <w:r w:rsidRPr="003F7446">
        <w:rPr>
          <w:color w:val="auto"/>
          <w:sz w:val="22"/>
          <w:szCs w:val="22"/>
          <w:u w:val="single"/>
          <w:lang w:val="lt-LT"/>
        </w:rPr>
        <w:t>Acikloviras</w:t>
      </w:r>
      <w:proofErr w:type="spellEnd"/>
      <w:r w:rsidRPr="003F7446">
        <w:rPr>
          <w:color w:val="auto"/>
          <w:sz w:val="22"/>
          <w:szCs w:val="22"/>
          <w:lang w:val="lt-LT"/>
        </w:rPr>
        <w:t xml:space="preserve">: kuomet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mofetilio</w:t>
      </w:r>
      <w:proofErr w:type="spellEnd"/>
      <w:r w:rsidRPr="003F7446">
        <w:rPr>
          <w:color w:val="auto"/>
          <w:sz w:val="22"/>
          <w:szCs w:val="22"/>
          <w:lang w:val="lt-LT"/>
        </w:rPr>
        <w:t xml:space="preserve"> vartojama kartu su </w:t>
      </w:r>
      <w:proofErr w:type="spellStart"/>
      <w:r w:rsidRPr="003F7446">
        <w:rPr>
          <w:color w:val="auto"/>
          <w:sz w:val="22"/>
          <w:szCs w:val="22"/>
          <w:lang w:val="lt-LT"/>
        </w:rPr>
        <w:t>acikloviru</w:t>
      </w:r>
      <w:proofErr w:type="spellEnd"/>
      <w:r w:rsidRPr="003F7446">
        <w:rPr>
          <w:color w:val="auto"/>
          <w:sz w:val="22"/>
          <w:szCs w:val="22"/>
          <w:lang w:val="lt-LT"/>
        </w:rPr>
        <w:t xml:space="preserve">, </w:t>
      </w:r>
      <w:proofErr w:type="spellStart"/>
      <w:r w:rsidRPr="003F7446">
        <w:rPr>
          <w:color w:val="auto"/>
          <w:sz w:val="22"/>
          <w:szCs w:val="22"/>
          <w:lang w:val="lt-LT"/>
        </w:rPr>
        <w:t>acikloviro</w:t>
      </w:r>
      <w:proofErr w:type="spellEnd"/>
      <w:r w:rsidRPr="003F7446">
        <w:rPr>
          <w:color w:val="auto"/>
          <w:sz w:val="22"/>
          <w:szCs w:val="22"/>
          <w:lang w:val="lt-LT"/>
        </w:rPr>
        <w:t xml:space="preserve"> koncentracijos kraujo plazmoje būna didesnės, negu vartojant vien tik </w:t>
      </w:r>
      <w:proofErr w:type="spellStart"/>
      <w:r w:rsidRPr="003F7446">
        <w:rPr>
          <w:color w:val="auto"/>
          <w:sz w:val="22"/>
          <w:szCs w:val="22"/>
          <w:lang w:val="lt-LT"/>
        </w:rPr>
        <w:t>acikloviro</w:t>
      </w:r>
      <w:proofErr w:type="spellEnd"/>
      <w:r w:rsidRPr="003F7446">
        <w:rPr>
          <w:color w:val="auto"/>
          <w:sz w:val="22"/>
          <w:szCs w:val="22"/>
          <w:lang w:val="lt-LT"/>
        </w:rPr>
        <w:t xml:space="preserve">. MFRG (MFR </w:t>
      </w:r>
      <w:proofErr w:type="spellStart"/>
      <w:r w:rsidRPr="003F7446">
        <w:rPr>
          <w:color w:val="auto"/>
          <w:sz w:val="22"/>
          <w:szCs w:val="22"/>
          <w:lang w:val="lt-LT"/>
        </w:rPr>
        <w:t>fenolio</w:t>
      </w:r>
      <w:proofErr w:type="spellEnd"/>
      <w:r w:rsidRPr="003F7446">
        <w:rPr>
          <w:color w:val="auto"/>
          <w:sz w:val="22"/>
          <w:szCs w:val="22"/>
          <w:lang w:val="lt-LT"/>
        </w:rPr>
        <w:t xml:space="preserve"> </w:t>
      </w:r>
      <w:proofErr w:type="spellStart"/>
      <w:r w:rsidRPr="003F7446">
        <w:rPr>
          <w:color w:val="auto"/>
          <w:sz w:val="22"/>
          <w:szCs w:val="22"/>
          <w:lang w:val="lt-LT"/>
        </w:rPr>
        <w:t>gliukuronido</w:t>
      </w:r>
      <w:proofErr w:type="spellEnd"/>
      <w:r w:rsidRPr="003F7446">
        <w:rPr>
          <w:color w:val="auto"/>
          <w:sz w:val="22"/>
          <w:szCs w:val="22"/>
          <w:lang w:val="lt-LT"/>
        </w:rPr>
        <w:t xml:space="preserve">) </w:t>
      </w:r>
      <w:proofErr w:type="spellStart"/>
      <w:r w:rsidRPr="003F7446">
        <w:rPr>
          <w:color w:val="auto"/>
          <w:sz w:val="22"/>
          <w:szCs w:val="22"/>
          <w:lang w:val="lt-LT"/>
        </w:rPr>
        <w:t>farmakokinetika</w:t>
      </w:r>
      <w:proofErr w:type="spellEnd"/>
      <w:r w:rsidRPr="003F7446">
        <w:rPr>
          <w:color w:val="auto"/>
          <w:sz w:val="22"/>
          <w:szCs w:val="22"/>
          <w:lang w:val="lt-LT"/>
        </w:rPr>
        <w:t xml:space="preserve"> pakinta minimaliai (MFRG padaugėja 8 %) ir, manoma, jog šie pokyčiai nėra kliniškai reikšmingi. Kadangi sergant inkstų nepakankamumu MFRG, kaip ir </w:t>
      </w:r>
      <w:proofErr w:type="spellStart"/>
      <w:r w:rsidRPr="003F7446">
        <w:rPr>
          <w:color w:val="auto"/>
          <w:sz w:val="22"/>
          <w:szCs w:val="22"/>
          <w:lang w:val="lt-LT"/>
        </w:rPr>
        <w:t>acikloviro</w:t>
      </w:r>
      <w:proofErr w:type="spellEnd"/>
      <w:r w:rsidRPr="003F7446">
        <w:rPr>
          <w:color w:val="auto"/>
          <w:sz w:val="22"/>
          <w:szCs w:val="22"/>
          <w:lang w:val="lt-LT"/>
        </w:rPr>
        <w:t xml:space="preserve">, koncentracija plazmoje didėja, gali būti, kad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mofetilis</w:t>
      </w:r>
      <w:proofErr w:type="spellEnd"/>
      <w:r w:rsidRPr="003F7446">
        <w:rPr>
          <w:color w:val="auto"/>
          <w:sz w:val="22"/>
          <w:szCs w:val="22"/>
          <w:lang w:val="lt-LT"/>
        </w:rPr>
        <w:t xml:space="preserve"> ir </w:t>
      </w:r>
      <w:proofErr w:type="spellStart"/>
      <w:r w:rsidRPr="003F7446">
        <w:rPr>
          <w:color w:val="auto"/>
          <w:sz w:val="22"/>
          <w:szCs w:val="22"/>
          <w:lang w:val="lt-LT"/>
        </w:rPr>
        <w:t>acikloviras</w:t>
      </w:r>
      <w:proofErr w:type="spellEnd"/>
      <w:r w:rsidRPr="003F7446">
        <w:rPr>
          <w:color w:val="auto"/>
          <w:sz w:val="22"/>
          <w:szCs w:val="22"/>
          <w:lang w:val="lt-LT"/>
        </w:rPr>
        <w:t xml:space="preserve"> arba jo pirmtakas, pvz., </w:t>
      </w:r>
      <w:proofErr w:type="spellStart"/>
      <w:r w:rsidRPr="003F7446">
        <w:rPr>
          <w:color w:val="auto"/>
          <w:sz w:val="22"/>
          <w:szCs w:val="22"/>
          <w:lang w:val="lt-LT"/>
        </w:rPr>
        <w:t>valacikloviras</w:t>
      </w:r>
      <w:proofErr w:type="spellEnd"/>
      <w:r w:rsidRPr="003F7446">
        <w:rPr>
          <w:color w:val="auto"/>
          <w:sz w:val="22"/>
          <w:szCs w:val="22"/>
          <w:lang w:val="lt-LT"/>
        </w:rPr>
        <w:t xml:space="preserve">, konkuruoja dėl sekrecijos inkstų kanalėliuose, ir dėl to abiejų vaistų koncentracijos gali ir toliau didėti. </w:t>
      </w:r>
    </w:p>
    <w:p w14:paraId="60B74259" w14:textId="77777777" w:rsidR="002C544E" w:rsidRPr="003F7446" w:rsidRDefault="002C544E" w:rsidP="0052287E">
      <w:pPr>
        <w:pStyle w:val="Default"/>
        <w:rPr>
          <w:color w:val="auto"/>
          <w:sz w:val="22"/>
          <w:szCs w:val="22"/>
          <w:lang w:val="lt-LT"/>
        </w:rPr>
      </w:pPr>
    </w:p>
    <w:p w14:paraId="7179297E" w14:textId="77777777" w:rsidR="00DC4942" w:rsidRPr="003F7446" w:rsidRDefault="00DC4942" w:rsidP="00DC4942">
      <w:pPr>
        <w:jc w:val="both"/>
        <w:rPr>
          <w:szCs w:val="22"/>
        </w:rPr>
      </w:pPr>
      <w:proofErr w:type="spellStart"/>
      <w:r w:rsidRPr="003F7446">
        <w:rPr>
          <w:szCs w:val="22"/>
          <w:u w:val="single"/>
        </w:rPr>
        <w:t>Antacidai</w:t>
      </w:r>
      <w:proofErr w:type="spellEnd"/>
      <w:r w:rsidRPr="003F7446">
        <w:rPr>
          <w:szCs w:val="22"/>
          <w:u w:val="single"/>
        </w:rPr>
        <w:t xml:space="preserve"> ir protonų siurblio inhibitoriai (PSI): </w:t>
      </w:r>
      <w:r w:rsidRPr="003F7446">
        <w:rPr>
          <w:szCs w:val="22"/>
        </w:rPr>
        <w:t xml:space="preserve">sumažėjusi ekspozicija </w:t>
      </w:r>
      <w:proofErr w:type="spellStart"/>
      <w:r w:rsidRPr="003F7446">
        <w:rPr>
          <w:szCs w:val="22"/>
        </w:rPr>
        <w:t>mikofenolio</w:t>
      </w:r>
      <w:proofErr w:type="spellEnd"/>
      <w:r w:rsidRPr="003F7446">
        <w:rPr>
          <w:szCs w:val="22"/>
        </w:rPr>
        <w:t xml:space="preserve"> rūgštimi (MFR) yra stebėta kartu su </w:t>
      </w:r>
      <w:proofErr w:type="spellStart"/>
      <w:r w:rsidRPr="003F7446">
        <w:rPr>
          <w:szCs w:val="22"/>
        </w:rPr>
        <w:t>mikofenolato</w:t>
      </w:r>
      <w:proofErr w:type="spellEnd"/>
      <w:r w:rsidRPr="003F7446">
        <w:rPr>
          <w:szCs w:val="22"/>
        </w:rPr>
        <w:t xml:space="preserve"> </w:t>
      </w:r>
      <w:proofErr w:type="spellStart"/>
      <w:r w:rsidRPr="003F7446">
        <w:rPr>
          <w:szCs w:val="22"/>
        </w:rPr>
        <w:t>mofetiliu</w:t>
      </w:r>
      <w:proofErr w:type="spellEnd"/>
      <w:r w:rsidRPr="003F7446">
        <w:rPr>
          <w:szCs w:val="22"/>
        </w:rPr>
        <w:t xml:space="preserve"> vartojant </w:t>
      </w:r>
      <w:proofErr w:type="spellStart"/>
      <w:r w:rsidRPr="003F7446">
        <w:rPr>
          <w:szCs w:val="22"/>
        </w:rPr>
        <w:t>antacidinius</w:t>
      </w:r>
      <w:proofErr w:type="spellEnd"/>
      <w:r w:rsidRPr="003F7446">
        <w:rPr>
          <w:szCs w:val="22"/>
        </w:rPr>
        <w:t xml:space="preserve"> vaistinius preparatus, tokius kaip magnio ar aliuminio </w:t>
      </w:r>
      <w:proofErr w:type="spellStart"/>
      <w:r w:rsidRPr="003F7446">
        <w:rPr>
          <w:szCs w:val="22"/>
        </w:rPr>
        <w:t>hidroksidai</w:t>
      </w:r>
      <w:proofErr w:type="spellEnd"/>
      <w:r w:rsidRPr="003F7446">
        <w:rPr>
          <w:szCs w:val="22"/>
        </w:rPr>
        <w:t xml:space="preserve">, ar PSI, įskaitant </w:t>
      </w:r>
      <w:proofErr w:type="spellStart"/>
      <w:r w:rsidRPr="003F7446">
        <w:rPr>
          <w:szCs w:val="22"/>
        </w:rPr>
        <w:t>lanzoprazolą</w:t>
      </w:r>
      <w:proofErr w:type="spellEnd"/>
      <w:r w:rsidRPr="003F7446">
        <w:rPr>
          <w:szCs w:val="22"/>
        </w:rPr>
        <w:t xml:space="preserve"> ir </w:t>
      </w:r>
      <w:proofErr w:type="spellStart"/>
      <w:r w:rsidRPr="003F7446">
        <w:rPr>
          <w:szCs w:val="22"/>
        </w:rPr>
        <w:t>pantoprazolą</w:t>
      </w:r>
      <w:proofErr w:type="spellEnd"/>
      <w:r w:rsidRPr="003F7446">
        <w:rPr>
          <w:szCs w:val="22"/>
        </w:rPr>
        <w:t xml:space="preserve">. Lyginant </w:t>
      </w:r>
      <w:proofErr w:type="spellStart"/>
      <w:r w:rsidRPr="003F7446">
        <w:rPr>
          <w:szCs w:val="22"/>
        </w:rPr>
        <w:t>transplantato</w:t>
      </w:r>
      <w:proofErr w:type="spellEnd"/>
      <w:r w:rsidRPr="003F7446">
        <w:rPr>
          <w:szCs w:val="22"/>
        </w:rPr>
        <w:t xml:space="preserve"> atmetimo ar persodinto organo praradimo dažnius tarp </w:t>
      </w:r>
      <w:proofErr w:type="spellStart"/>
      <w:r w:rsidRPr="003F7446">
        <w:rPr>
          <w:szCs w:val="22"/>
        </w:rPr>
        <w:t>mikofenolato</w:t>
      </w:r>
      <w:proofErr w:type="spellEnd"/>
      <w:r w:rsidRPr="003F7446">
        <w:rPr>
          <w:szCs w:val="22"/>
        </w:rPr>
        <w:t xml:space="preserve"> </w:t>
      </w:r>
      <w:proofErr w:type="spellStart"/>
      <w:r w:rsidRPr="003F7446">
        <w:rPr>
          <w:szCs w:val="22"/>
        </w:rPr>
        <w:t>mofetiliu</w:t>
      </w:r>
      <w:proofErr w:type="spellEnd"/>
      <w:r w:rsidRPr="003F7446">
        <w:rPr>
          <w:szCs w:val="22"/>
        </w:rPr>
        <w:t xml:space="preserve"> gydomų pacientų, vartojančių PSI, ir </w:t>
      </w:r>
      <w:proofErr w:type="spellStart"/>
      <w:r w:rsidRPr="003F7446">
        <w:rPr>
          <w:szCs w:val="22"/>
        </w:rPr>
        <w:t>mikofenolato</w:t>
      </w:r>
      <w:proofErr w:type="spellEnd"/>
      <w:r w:rsidRPr="003F7446">
        <w:rPr>
          <w:szCs w:val="22"/>
        </w:rPr>
        <w:t xml:space="preserve"> </w:t>
      </w:r>
      <w:proofErr w:type="spellStart"/>
      <w:r w:rsidRPr="003F7446">
        <w:rPr>
          <w:szCs w:val="22"/>
        </w:rPr>
        <w:t>mofetiliu</w:t>
      </w:r>
      <w:proofErr w:type="spellEnd"/>
      <w:r w:rsidRPr="003F7446">
        <w:rPr>
          <w:szCs w:val="22"/>
        </w:rPr>
        <w:t xml:space="preserve"> gydomų pacientų, nevartojančių PSI, reikšmingų skirtumų nepastebėta. Šie duomenys palaiko minėtų radinių </w:t>
      </w:r>
      <w:proofErr w:type="spellStart"/>
      <w:r w:rsidRPr="003F7446">
        <w:rPr>
          <w:szCs w:val="22"/>
        </w:rPr>
        <w:t>ekstrapoliavimą</w:t>
      </w:r>
      <w:proofErr w:type="spellEnd"/>
      <w:r w:rsidRPr="003F7446">
        <w:rPr>
          <w:szCs w:val="22"/>
        </w:rPr>
        <w:t xml:space="preserve"> visiems </w:t>
      </w:r>
      <w:proofErr w:type="spellStart"/>
      <w:r w:rsidRPr="003F7446">
        <w:rPr>
          <w:szCs w:val="22"/>
        </w:rPr>
        <w:t>antacidiniams</w:t>
      </w:r>
      <w:proofErr w:type="spellEnd"/>
      <w:r w:rsidRPr="003F7446">
        <w:rPr>
          <w:szCs w:val="22"/>
        </w:rPr>
        <w:t xml:space="preserve"> vaistiniams preparatams, nes ekspozicijos sumažėjimas </w:t>
      </w:r>
      <w:proofErr w:type="spellStart"/>
      <w:r w:rsidRPr="003F7446">
        <w:rPr>
          <w:szCs w:val="22"/>
        </w:rPr>
        <w:t>mikofenolato</w:t>
      </w:r>
      <w:proofErr w:type="spellEnd"/>
      <w:r w:rsidRPr="003F7446">
        <w:rPr>
          <w:szCs w:val="22"/>
        </w:rPr>
        <w:t xml:space="preserve"> </w:t>
      </w:r>
      <w:proofErr w:type="spellStart"/>
      <w:r w:rsidRPr="003F7446">
        <w:rPr>
          <w:szCs w:val="22"/>
        </w:rPr>
        <w:t>mofetilį</w:t>
      </w:r>
      <w:proofErr w:type="spellEnd"/>
      <w:r w:rsidRPr="003F7446">
        <w:rPr>
          <w:szCs w:val="22"/>
        </w:rPr>
        <w:t xml:space="preserve"> vartojus kartu su magnio ar aliuminio </w:t>
      </w:r>
      <w:proofErr w:type="spellStart"/>
      <w:r w:rsidRPr="003F7446">
        <w:rPr>
          <w:szCs w:val="22"/>
        </w:rPr>
        <w:t>hidroksidais</w:t>
      </w:r>
      <w:proofErr w:type="spellEnd"/>
      <w:r w:rsidRPr="003F7446">
        <w:rPr>
          <w:szCs w:val="22"/>
        </w:rPr>
        <w:t xml:space="preserve"> yra žymiai mažesnis, nei </w:t>
      </w:r>
      <w:proofErr w:type="spellStart"/>
      <w:r w:rsidRPr="003F7446">
        <w:rPr>
          <w:szCs w:val="22"/>
        </w:rPr>
        <w:t>mikofenolato</w:t>
      </w:r>
      <w:proofErr w:type="spellEnd"/>
      <w:r w:rsidRPr="003F7446">
        <w:rPr>
          <w:szCs w:val="22"/>
        </w:rPr>
        <w:t xml:space="preserve"> </w:t>
      </w:r>
      <w:proofErr w:type="spellStart"/>
      <w:r w:rsidRPr="003F7446">
        <w:rPr>
          <w:szCs w:val="22"/>
        </w:rPr>
        <w:t>mofetilį</w:t>
      </w:r>
      <w:proofErr w:type="spellEnd"/>
      <w:r w:rsidRPr="003F7446">
        <w:rPr>
          <w:szCs w:val="22"/>
        </w:rPr>
        <w:t xml:space="preserve"> vartojus kartu su PSI.</w:t>
      </w:r>
    </w:p>
    <w:p w14:paraId="5039CCD2" w14:textId="77777777" w:rsidR="0052287E" w:rsidRPr="003F7446" w:rsidRDefault="0052287E" w:rsidP="0052287E">
      <w:pPr>
        <w:pStyle w:val="Default"/>
        <w:rPr>
          <w:color w:val="auto"/>
          <w:sz w:val="22"/>
          <w:szCs w:val="22"/>
          <w:u w:val="single"/>
          <w:lang w:val="lt-LT"/>
        </w:rPr>
      </w:pPr>
    </w:p>
    <w:p w14:paraId="54736C7B" w14:textId="77777777" w:rsidR="0052287E" w:rsidRPr="003F7446" w:rsidRDefault="0052287E" w:rsidP="0052287E">
      <w:pPr>
        <w:pStyle w:val="Default"/>
        <w:rPr>
          <w:color w:val="auto"/>
          <w:sz w:val="22"/>
          <w:szCs w:val="22"/>
          <w:lang w:val="lt-LT"/>
        </w:rPr>
      </w:pPr>
      <w:proofErr w:type="spellStart"/>
      <w:r w:rsidRPr="003F7446">
        <w:rPr>
          <w:color w:val="auto"/>
          <w:sz w:val="22"/>
          <w:szCs w:val="22"/>
          <w:u w:val="single"/>
          <w:lang w:val="lt-LT"/>
        </w:rPr>
        <w:t>Kolestiraminas</w:t>
      </w:r>
      <w:proofErr w:type="spellEnd"/>
      <w:r w:rsidRPr="003F7446">
        <w:rPr>
          <w:color w:val="auto"/>
          <w:sz w:val="22"/>
          <w:szCs w:val="22"/>
          <w:lang w:val="lt-LT"/>
        </w:rPr>
        <w:t xml:space="preserve">: sveikiems asmenims, 4 paras vartojusiems po 4 g </w:t>
      </w:r>
      <w:proofErr w:type="spellStart"/>
      <w:r w:rsidRPr="003F7446">
        <w:rPr>
          <w:color w:val="auto"/>
          <w:sz w:val="22"/>
          <w:szCs w:val="22"/>
          <w:lang w:val="lt-LT"/>
        </w:rPr>
        <w:t>kolestiramino</w:t>
      </w:r>
      <w:proofErr w:type="spellEnd"/>
      <w:r w:rsidRPr="003F7446">
        <w:rPr>
          <w:color w:val="auto"/>
          <w:sz w:val="22"/>
          <w:szCs w:val="22"/>
          <w:lang w:val="lt-LT"/>
        </w:rPr>
        <w:t xml:space="preserve"> po tris kartus per parą, išgėrus vienkartinę 1,5 g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mofetilio</w:t>
      </w:r>
      <w:proofErr w:type="spellEnd"/>
      <w:r w:rsidRPr="003F7446">
        <w:rPr>
          <w:color w:val="auto"/>
          <w:sz w:val="22"/>
          <w:szCs w:val="22"/>
          <w:lang w:val="lt-LT"/>
        </w:rPr>
        <w:t xml:space="preserve"> dozę, MFR AUC sumažėjo 40 % (žr. 4.4 ir 5.2 skyrius). Šiuos vaistus kartu vartoti reikia atsargiai, nes gali sumažėti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mofetilio</w:t>
      </w:r>
      <w:proofErr w:type="spellEnd"/>
      <w:r w:rsidRPr="003F7446">
        <w:rPr>
          <w:color w:val="auto"/>
          <w:sz w:val="22"/>
          <w:szCs w:val="22"/>
          <w:lang w:val="lt-LT"/>
        </w:rPr>
        <w:t xml:space="preserve"> veiksmingumas. </w:t>
      </w:r>
    </w:p>
    <w:p w14:paraId="6B157C81"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 </w:t>
      </w:r>
    </w:p>
    <w:p w14:paraId="32564831" w14:textId="77777777" w:rsidR="0052287E" w:rsidRPr="003F7446" w:rsidRDefault="0052287E" w:rsidP="0052287E">
      <w:pPr>
        <w:pStyle w:val="Default"/>
        <w:rPr>
          <w:color w:val="auto"/>
          <w:sz w:val="22"/>
          <w:szCs w:val="22"/>
          <w:lang w:val="lt-LT"/>
        </w:rPr>
      </w:pPr>
      <w:r w:rsidRPr="003F7446">
        <w:rPr>
          <w:color w:val="auto"/>
          <w:sz w:val="22"/>
          <w:szCs w:val="22"/>
          <w:u w:val="single"/>
          <w:lang w:val="lt-LT"/>
        </w:rPr>
        <w:t xml:space="preserve">Vaistiniai preparatai, turintys dalyvaujantys </w:t>
      </w:r>
      <w:proofErr w:type="spellStart"/>
      <w:r w:rsidRPr="003F7446">
        <w:rPr>
          <w:color w:val="auto"/>
          <w:sz w:val="22"/>
          <w:szCs w:val="22"/>
          <w:u w:val="single"/>
          <w:lang w:val="lt-LT"/>
        </w:rPr>
        <w:t>enterohepatinėje</w:t>
      </w:r>
      <w:proofErr w:type="spellEnd"/>
      <w:r w:rsidRPr="003F7446">
        <w:rPr>
          <w:color w:val="auto"/>
          <w:sz w:val="22"/>
          <w:szCs w:val="22"/>
          <w:u w:val="single"/>
          <w:lang w:val="lt-LT"/>
        </w:rPr>
        <w:t xml:space="preserve"> cirkuliacijoje:</w:t>
      </w:r>
      <w:r w:rsidRPr="003F7446">
        <w:rPr>
          <w:color w:val="auto"/>
          <w:sz w:val="22"/>
          <w:szCs w:val="22"/>
          <w:lang w:val="lt-LT"/>
        </w:rPr>
        <w:t xml:space="preserve"> vaistinius preparatus, kurie dalyvauja </w:t>
      </w:r>
      <w:proofErr w:type="spellStart"/>
      <w:r w:rsidRPr="003F7446">
        <w:rPr>
          <w:color w:val="auto"/>
          <w:sz w:val="22"/>
          <w:szCs w:val="22"/>
          <w:lang w:val="lt-LT"/>
        </w:rPr>
        <w:t>enterohepatinėje</w:t>
      </w:r>
      <w:proofErr w:type="spellEnd"/>
      <w:r w:rsidRPr="003F7446">
        <w:rPr>
          <w:color w:val="auto"/>
          <w:sz w:val="22"/>
          <w:szCs w:val="22"/>
          <w:lang w:val="lt-LT"/>
        </w:rPr>
        <w:t xml:space="preserve"> cirkuliacijoje, kartu vartoti reikia atsargiai, nes jie gali sumažinti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mofetilio</w:t>
      </w:r>
      <w:proofErr w:type="spellEnd"/>
      <w:r w:rsidRPr="003F7446">
        <w:rPr>
          <w:color w:val="auto"/>
          <w:sz w:val="22"/>
          <w:szCs w:val="22"/>
          <w:lang w:val="lt-LT"/>
        </w:rPr>
        <w:t xml:space="preserve"> veiksmingumą. </w:t>
      </w:r>
    </w:p>
    <w:p w14:paraId="331C45DC" w14:textId="77777777" w:rsidR="0052287E" w:rsidRPr="003F7446" w:rsidRDefault="0052287E" w:rsidP="0052287E">
      <w:pPr>
        <w:pStyle w:val="Default"/>
        <w:rPr>
          <w:color w:val="auto"/>
          <w:sz w:val="22"/>
          <w:szCs w:val="22"/>
          <w:u w:val="single"/>
          <w:lang w:val="lt-LT"/>
        </w:rPr>
      </w:pPr>
    </w:p>
    <w:p w14:paraId="5EB0DC64" w14:textId="77777777" w:rsidR="0052287E" w:rsidRPr="003F7446" w:rsidRDefault="0052287E" w:rsidP="0052287E">
      <w:pPr>
        <w:pStyle w:val="Default"/>
        <w:rPr>
          <w:color w:val="auto"/>
          <w:sz w:val="22"/>
          <w:szCs w:val="22"/>
          <w:lang w:val="lt-LT"/>
        </w:rPr>
      </w:pPr>
      <w:proofErr w:type="spellStart"/>
      <w:r w:rsidRPr="003F7446">
        <w:rPr>
          <w:color w:val="auto"/>
          <w:sz w:val="22"/>
          <w:szCs w:val="22"/>
          <w:u w:val="single"/>
          <w:lang w:val="lt-LT"/>
        </w:rPr>
        <w:t>Ciklosporinas</w:t>
      </w:r>
      <w:proofErr w:type="spellEnd"/>
      <w:r w:rsidRPr="003F7446">
        <w:rPr>
          <w:color w:val="auto"/>
          <w:sz w:val="22"/>
          <w:szCs w:val="22"/>
          <w:u w:val="single"/>
          <w:lang w:val="lt-LT"/>
        </w:rPr>
        <w:t xml:space="preserve"> A</w:t>
      </w:r>
      <w:r w:rsidRPr="003F7446">
        <w:rPr>
          <w:color w:val="auto"/>
          <w:sz w:val="22"/>
          <w:szCs w:val="22"/>
          <w:lang w:val="lt-LT"/>
        </w:rPr>
        <w:t xml:space="preserve">: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mofetilis</w:t>
      </w:r>
      <w:proofErr w:type="spellEnd"/>
      <w:r w:rsidRPr="003F7446">
        <w:rPr>
          <w:color w:val="auto"/>
          <w:sz w:val="22"/>
          <w:szCs w:val="22"/>
          <w:lang w:val="lt-LT"/>
        </w:rPr>
        <w:t xml:space="preserve"> </w:t>
      </w:r>
      <w:proofErr w:type="spellStart"/>
      <w:r w:rsidRPr="003F7446">
        <w:rPr>
          <w:color w:val="auto"/>
          <w:sz w:val="22"/>
          <w:szCs w:val="22"/>
          <w:lang w:val="lt-LT"/>
        </w:rPr>
        <w:t>ciklosporino</w:t>
      </w:r>
      <w:proofErr w:type="spellEnd"/>
      <w:r w:rsidRPr="003F7446">
        <w:rPr>
          <w:color w:val="auto"/>
          <w:sz w:val="22"/>
          <w:szCs w:val="22"/>
          <w:lang w:val="lt-LT"/>
        </w:rPr>
        <w:t xml:space="preserve"> A (</w:t>
      </w:r>
      <w:proofErr w:type="spellStart"/>
      <w:r w:rsidRPr="003F7446">
        <w:rPr>
          <w:color w:val="auto"/>
          <w:sz w:val="22"/>
          <w:szCs w:val="22"/>
          <w:lang w:val="lt-LT"/>
        </w:rPr>
        <w:t>CsA</w:t>
      </w:r>
      <w:proofErr w:type="spellEnd"/>
      <w:r w:rsidRPr="003F7446">
        <w:rPr>
          <w:color w:val="auto"/>
          <w:sz w:val="22"/>
          <w:szCs w:val="22"/>
          <w:lang w:val="lt-LT"/>
        </w:rPr>
        <w:t xml:space="preserve">) </w:t>
      </w:r>
      <w:proofErr w:type="spellStart"/>
      <w:r w:rsidRPr="003F7446">
        <w:rPr>
          <w:color w:val="auto"/>
          <w:sz w:val="22"/>
          <w:szCs w:val="22"/>
          <w:lang w:val="lt-LT"/>
        </w:rPr>
        <w:t>farmakokinetikos</w:t>
      </w:r>
      <w:proofErr w:type="spellEnd"/>
      <w:r w:rsidRPr="003F7446">
        <w:rPr>
          <w:color w:val="auto"/>
          <w:sz w:val="22"/>
          <w:szCs w:val="22"/>
          <w:lang w:val="lt-LT"/>
        </w:rPr>
        <w:t xml:space="preserve"> neįtakojo. </w:t>
      </w:r>
    </w:p>
    <w:p w14:paraId="4203CF81"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Priešingai, jeigu kartu vartoto </w:t>
      </w:r>
      <w:proofErr w:type="spellStart"/>
      <w:r w:rsidRPr="003F7446">
        <w:rPr>
          <w:color w:val="auto"/>
          <w:sz w:val="22"/>
          <w:szCs w:val="22"/>
          <w:lang w:val="lt-LT"/>
        </w:rPr>
        <w:t>ciklosporino</w:t>
      </w:r>
      <w:proofErr w:type="spellEnd"/>
      <w:r w:rsidRPr="003F7446">
        <w:rPr>
          <w:color w:val="auto"/>
          <w:sz w:val="22"/>
          <w:szCs w:val="22"/>
          <w:lang w:val="lt-LT"/>
        </w:rPr>
        <w:t xml:space="preserve"> daugiau nebeskiriama, galima tikėtis, kad MFR AUC padidės apie 30%. </w:t>
      </w:r>
    </w:p>
    <w:p w14:paraId="273C6646" w14:textId="77777777" w:rsidR="0052287E" w:rsidRPr="003F7446" w:rsidRDefault="0052287E" w:rsidP="0052287E">
      <w:pPr>
        <w:pStyle w:val="Default"/>
        <w:rPr>
          <w:color w:val="auto"/>
          <w:sz w:val="22"/>
          <w:szCs w:val="22"/>
          <w:u w:val="single"/>
          <w:lang w:val="lt-LT"/>
        </w:rPr>
      </w:pPr>
    </w:p>
    <w:p w14:paraId="532C602C" w14:textId="77777777" w:rsidR="0052287E" w:rsidRPr="003F7446" w:rsidRDefault="0052287E" w:rsidP="0052287E">
      <w:pPr>
        <w:rPr>
          <w:szCs w:val="22"/>
        </w:rPr>
      </w:pPr>
      <w:proofErr w:type="spellStart"/>
      <w:r w:rsidRPr="003F7446">
        <w:rPr>
          <w:szCs w:val="22"/>
          <w:u w:val="single"/>
        </w:rPr>
        <w:t>Gancikloviras</w:t>
      </w:r>
      <w:proofErr w:type="spellEnd"/>
      <w:r w:rsidRPr="003F7446">
        <w:rPr>
          <w:szCs w:val="22"/>
          <w:u w:val="single"/>
        </w:rPr>
        <w:t>: r</w:t>
      </w:r>
      <w:r w:rsidRPr="003F7446">
        <w:rPr>
          <w:szCs w:val="22"/>
        </w:rPr>
        <w:t xml:space="preserve">emiantis vienos išgertos rekomenduojamos </w:t>
      </w:r>
      <w:proofErr w:type="spellStart"/>
      <w:r w:rsidRPr="003F7446">
        <w:rPr>
          <w:szCs w:val="22"/>
        </w:rPr>
        <w:t>mikofenolato</w:t>
      </w:r>
      <w:proofErr w:type="spellEnd"/>
      <w:r w:rsidRPr="003F7446">
        <w:rPr>
          <w:szCs w:val="22"/>
        </w:rPr>
        <w:t xml:space="preserve"> dozės ir vienos į veną pavartotos </w:t>
      </w:r>
      <w:proofErr w:type="spellStart"/>
      <w:r w:rsidRPr="003F7446">
        <w:rPr>
          <w:szCs w:val="22"/>
        </w:rPr>
        <w:t>gancikloviro</w:t>
      </w:r>
      <w:proofErr w:type="spellEnd"/>
      <w:r w:rsidRPr="003F7446">
        <w:rPr>
          <w:szCs w:val="22"/>
        </w:rPr>
        <w:t xml:space="preserve"> dozės tyrimų duomenimis ir žinoma inkstų funkcijos sutrikimo įtaka </w:t>
      </w:r>
      <w:proofErr w:type="spellStart"/>
      <w:r w:rsidRPr="003F7446">
        <w:rPr>
          <w:szCs w:val="22"/>
        </w:rPr>
        <w:t>mikofenolato</w:t>
      </w:r>
      <w:proofErr w:type="spellEnd"/>
      <w:r w:rsidRPr="003F7446">
        <w:rPr>
          <w:szCs w:val="22"/>
        </w:rPr>
        <w:t xml:space="preserve"> </w:t>
      </w:r>
      <w:proofErr w:type="spellStart"/>
      <w:r w:rsidRPr="003F7446">
        <w:rPr>
          <w:szCs w:val="22"/>
        </w:rPr>
        <w:t>mofetilio</w:t>
      </w:r>
      <w:proofErr w:type="spellEnd"/>
      <w:r w:rsidRPr="003F7446">
        <w:rPr>
          <w:szCs w:val="22"/>
        </w:rPr>
        <w:t xml:space="preserve"> (žr. 4.2 skyrių) ir </w:t>
      </w:r>
      <w:proofErr w:type="spellStart"/>
      <w:r w:rsidRPr="003F7446">
        <w:rPr>
          <w:szCs w:val="22"/>
        </w:rPr>
        <w:t>gancikloviro</w:t>
      </w:r>
      <w:proofErr w:type="spellEnd"/>
      <w:r w:rsidRPr="003F7446">
        <w:rPr>
          <w:szCs w:val="22"/>
        </w:rPr>
        <w:t xml:space="preserve"> </w:t>
      </w:r>
      <w:proofErr w:type="spellStart"/>
      <w:r w:rsidRPr="003F7446">
        <w:rPr>
          <w:szCs w:val="22"/>
        </w:rPr>
        <w:t>farmakokinetikai</w:t>
      </w:r>
      <w:proofErr w:type="spellEnd"/>
      <w:r w:rsidRPr="003F7446">
        <w:rPr>
          <w:szCs w:val="22"/>
        </w:rPr>
        <w:t xml:space="preserve">, galima tikėtis, jog  šių vaistinių preparatų vartojant kartu </w:t>
      </w:r>
      <w:r w:rsidRPr="003F7446">
        <w:rPr>
          <w:szCs w:val="22"/>
        </w:rPr>
        <w:lastRenderedPageBreak/>
        <w:t xml:space="preserve">(jie konkuruoja dėl sekrecijos į inkstų kanalėlius), padidės MFR, MFRG ir </w:t>
      </w:r>
      <w:proofErr w:type="spellStart"/>
      <w:r w:rsidRPr="003F7446">
        <w:rPr>
          <w:szCs w:val="22"/>
        </w:rPr>
        <w:t>gancikloviro</w:t>
      </w:r>
      <w:proofErr w:type="spellEnd"/>
      <w:r w:rsidRPr="003F7446">
        <w:rPr>
          <w:szCs w:val="22"/>
        </w:rPr>
        <w:t xml:space="preserve"> koncentracija kraujo plazmoje. Nesitikima, jog reikšmingai pakistų MFR </w:t>
      </w:r>
      <w:proofErr w:type="spellStart"/>
      <w:r w:rsidRPr="003F7446">
        <w:rPr>
          <w:szCs w:val="22"/>
        </w:rPr>
        <w:t>farmakokinetika</w:t>
      </w:r>
      <w:proofErr w:type="spellEnd"/>
      <w:r w:rsidRPr="003F7446">
        <w:rPr>
          <w:szCs w:val="22"/>
        </w:rPr>
        <w:t xml:space="preserve">, todėl </w:t>
      </w:r>
      <w:proofErr w:type="spellStart"/>
      <w:r w:rsidRPr="003F7446">
        <w:rPr>
          <w:szCs w:val="22"/>
        </w:rPr>
        <w:t>mikofenolato</w:t>
      </w:r>
      <w:proofErr w:type="spellEnd"/>
      <w:r w:rsidRPr="003F7446">
        <w:rPr>
          <w:szCs w:val="22"/>
        </w:rPr>
        <w:t xml:space="preserve"> </w:t>
      </w:r>
      <w:proofErr w:type="spellStart"/>
      <w:r w:rsidRPr="003F7446">
        <w:rPr>
          <w:szCs w:val="22"/>
        </w:rPr>
        <w:t>mofetilio</w:t>
      </w:r>
      <w:proofErr w:type="spellEnd"/>
      <w:r w:rsidRPr="003F7446">
        <w:rPr>
          <w:szCs w:val="22"/>
        </w:rPr>
        <w:t xml:space="preserve"> dozės keisti nebūtina. Pacientus, kurių inkstų funkcija sutrikusi, gydant </w:t>
      </w:r>
      <w:proofErr w:type="spellStart"/>
      <w:r w:rsidRPr="003F7446">
        <w:rPr>
          <w:szCs w:val="22"/>
          <w:lang w:eastAsia="fr-FR"/>
        </w:rPr>
        <w:t>Mycophenolate</w:t>
      </w:r>
      <w:proofErr w:type="spellEnd"/>
      <w:r w:rsidRPr="003F7446">
        <w:rPr>
          <w:szCs w:val="22"/>
          <w:lang w:eastAsia="fr-FR"/>
        </w:rPr>
        <w:t xml:space="preserve"> </w:t>
      </w:r>
      <w:proofErr w:type="spellStart"/>
      <w:r w:rsidRPr="003F7446">
        <w:rPr>
          <w:szCs w:val="22"/>
          <w:lang w:eastAsia="fr-FR"/>
        </w:rPr>
        <w:t>mofetil</w:t>
      </w:r>
      <w:proofErr w:type="spellEnd"/>
      <w:r w:rsidRPr="003F7446">
        <w:rPr>
          <w:szCs w:val="22"/>
          <w:lang w:eastAsia="fr-FR"/>
        </w:rPr>
        <w:t xml:space="preserve"> </w:t>
      </w:r>
      <w:proofErr w:type="spellStart"/>
      <w:r w:rsidRPr="003F7446">
        <w:rPr>
          <w:szCs w:val="22"/>
          <w:lang w:eastAsia="fr-FR"/>
        </w:rPr>
        <w:t>Ranbaxy</w:t>
      </w:r>
      <w:proofErr w:type="spellEnd"/>
      <w:r w:rsidRPr="003F7446">
        <w:rPr>
          <w:noProof/>
          <w:szCs w:val="22"/>
        </w:rPr>
        <w:t xml:space="preserve"> </w:t>
      </w:r>
      <w:r w:rsidRPr="003F7446">
        <w:rPr>
          <w:szCs w:val="22"/>
        </w:rPr>
        <w:t xml:space="preserve">ir </w:t>
      </w:r>
      <w:proofErr w:type="spellStart"/>
      <w:r w:rsidRPr="003F7446">
        <w:rPr>
          <w:szCs w:val="22"/>
        </w:rPr>
        <w:t>gancikloviro</w:t>
      </w:r>
      <w:proofErr w:type="spellEnd"/>
      <w:r w:rsidRPr="003F7446">
        <w:rPr>
          <w:szCs w:val="22"/>
        </w:rPr>
        <w:t xml:space="preserve"> arba jo pirmtako, pvz., </w:t>
      </w:r>
      <w:proofErr w:type="spellStart"/>
      <w:r w:rsidRPr="003F7446">
        <w:rPr>
          <w:szCs w:val="22"/>
        </w:rPr>
        <w:t>valgancikloviro</w:t>
      </w:r>
      <w:proofErr w:type="spellEnd"/>
      <w:r w:rsidRPr="003F7446">
        <w:rPr>
          <w:szCs w:val="22"/>
        </w:rPr>
        <w:t xml:space="preserve">, deriniu reikia laikytis rekomenduojamos </w:t>
      </w:r>
      <w:proofErr w:type="spellStart"/>
      <w:r w:rsidRPr="003F7446">
        <w:rPr>
          <w:szCs w:val="22"/>
        </w:rPr>
        <w:t>gancikloviro</w:t>
      </w:r>
      <w:proofErr w:type="spellEnd"/>
      <w:r w:rsidRPr="003F7446">
        <w:rPr>
          <w:szCs w:val="22"/>
        </w:rPr>
        <w:t xml:space="preserve"> dozės ir atidžiai pacientą stebėti.</w:t>
      </w:r>
    </w:p>
    <w:p w14:paraId="68726288" w14:textId="77777777" w:rsidR="0052287E" w:rsidRPr="003F7446" w:rsidRDefault="0052287E" w:rsidP="0052287E">
      <w:pPr>
        <w:rPr>
          <w:szCs w:val="22"/>
        </w:rPr>
      </w:pPr>
    </w:p>
    <w:p w14:paraId="073AE07D" w14:textId="77777777" w:rsidR="0052287E" w:rsidRPr="003F7446" w:rsidRDefault="0052287E" w:rsidP="0052287E">
      <w:pPr>
        <w:rPr>
          <w:szCs w:val="22"/>
        </w:rPr>
      </w:pPr>
      <w:r w:rsidRPr="003F7446">
        <w:rPr>
          <w:szCs w:val="22"/>
          <w:u w:val="single"/>
        </w:rPr>
        <w:t>Geriamieji kontraceptikai:</w:t>
      </w:r>
      <w:r w:rsidRPr="003F7446">
        <w:rPr>
          <w:szCs w:val="22"/>
        </w:rPr>
        <w:t xml:space="preserve"> </w:t>
      </w:r>
      <w:proofErr w:type="spellStart"/>
      <w:r w:rsidRPr="003F7446">
        <w:rPr>
          <w:szCs w:val="22"/>
        </w:rPr>
        <w:t>mikofenolato</w:t>
      </w:r>
      <w:proofErr w:type="spellEnd"/>
      <w:r w:rsidRPr="003F7446">
        <w:rPr>
          <w:szCs w:val="22"/>
        </w:rPr>
        <w:t xml:space="preserve"> </w:t>
      </w:r>
      <w:proofErr w:type="spellStart"/>
      <w:r w:rsidRPr="003F7446">
        <w:rPr>
          <w:szCs w:val="22"/>
        </w:rPr>
        <w:t>mofetilis</w:t>
      </w:r>
      <w:proofErr w:type="spellEnd"/>
      <w:r w:rsidRPr="003F7446">
        <w:rPr>
          <w:szCs w:val="22"/>
        </w:rPr>
        <w:t xml:space="preserve"> kartu vartojamų geriamųjų kontraceptikų </w:t>
      </w:r>
      <w:proofErr w:type="spellStart"/>
      <w:r w:rsidRPr="003F7446">
        <w:rPr>
          <w:szCs w:val="22"/>
        </w:rPr>
        <w:t>farmakokinetikos</w:t>
      </w:r>
      <w:proofErr w:type="spellEnd"/>
      <w:r w:rsidRPr="003F7446">
        <w:rPr>
          <w:szCs w:val="22"/>
        </w:rPr>
        <w:t xml:space="preserve"> ir farmakodinamikos neveikia (žr. 5.2 skyrių). </w:t>
      </w:r>
    </w:p>
    <w:p w14:paraId="78C2D028" w14:textId="77777777" w:rsidR="0052287E" w:rsidRPr="003F7446" w:rsidRDefault="0052287E" w:rsidP="0052287E">
      <w:pPr>
        <w:rPr>
          <w:szCs w:val="22"/>
        </w:rPr>
      </w:pPr>
    </w:p>
    <w:p w14:paraId="64B889F0" w14:textId="77777777" w:rsidR="0052287E" w:rsidRPr="003F7446" w:rsidRDefault="0052287E" w:rsidP="0052287E">
      <w:pPr>
        <w:rPr>
          <w:szCs w:val="22"/>
        </w:rPr>
      </w:pPr>
      <w:proofErr w:type="spellStart"/>
      <w:r w:rsidRPr="003F7446">
        <w:rPr>
          <w:szCs w:val="22"/>
          <w:u w:val="single"/>
        </w:rPr>
        <w:t>Rifampicinas</w:t>
      </w:r>
      <w:proofErr w:type="spellEnd"/>
      <w:r w:rsidRPr="003F7446">
        <w:rPr>
          <w:szCs w:val="22"/>
          <w:u w:val="single"/>
        </w:rPr>
        <w:t xml:space="preserve">: </w:t>
      </w:r>
      <w:r w:rsidRPr="003F7446">
        <w:rPr>
          <w:szCs w:val="22"/>
        </w:rPr>
        <w:t xml:space="preserve">pacientų, kurie nevartoja </w:t>
      </w:r>
      <w:proofErr w:type="spellStart"/>
      <w:r w:rsidRPr="003F7446">
        <w:rPr>
          <w:szCs w:val="22"/>
        </w:rPr>
        <w:t>ciklosporino</w:t>
      </w:r>
      <w:proofErr w:type="spellEnd"/>
      <w:r w:rsidRPr="003F7446">
        <w:rPr>
          <w:szCs w:val="22"/>
        </w:rPr>
        <w:t xml:space="preserve"> ir yra gydomi </w:t>
      </w:r>
      <w:proofErr w:type="spellStart"/>
      <w:r w:rsidRPr="003F7446">
        <w:rPr>
          <w:szCs w:val="22"/>
        </w:rPr>
        <w:t>mikofenolato</w:t>
      </w:r>
      <w:proofErr w:type="spellEnd"/>
      <w:r w:rsidRPr="003F7446">
        <w:rPr>
          <w:szCs w:val="22"/>
        </w:rPr>
        <w:t xml:space="preserve"> </w:t>
      </w:r>
      <w:proofErr w:type="spellStart"/>
      <w:r w:rsidRPr="003F7446">
        <w:rPr>
          <w:szCs w:val="22"/>
        </w:rPr>
        <w:t>mofetilio</w:t>
      </w:r>
      <w:proofErr w:type="spellEnd"/>
      <w:r w:rsidRPr="003F7446">
        <w:rPr>
          <w:szCs w:val="22"/>
        </w:rPr>
        <w:t xml:space="preserve"> ir </w:t>
      </w:r>
      <w:proofErr w:type="spellStart"/>
      <w:r w:rsidRPr="003F7446">
        <w:rPr>
          <w:szCs w:val="22"/>
        </w:rPr>
        <w:t>rifampicino</w:t>
      </w:r>
      <w:proofErr w:type="spellEnd"/>
      <w:r w:rsidRPr="003F7446">
        <w:rPr>
          <w:szCs w:val="22"/>
        </w:rPr>
        <w:t xml:space="preserve"> deriniu, jų organizme MFR ekspozicija sumažėjo 18 - 70</w:t>
      </w:r>
      <w:r w:rsidRPr="003F7446">
        <w:rPr>
          <w:szCs w:val="22"/>
        </w:rPr>
        <w:sym w:font="Symbol" w:char="F025"/>
      </w:r>
      <w:r w:rsidRPr="003F7446">
        <w:rPr>
          <w:szCs w:val="22"/>
        </w:rPr>
        <w:t xml:space="preserve"> (AUC</w:t>
      </w:r>
      <w:r w:rsidRPr="003F7446">
        <w:rPr>
          <w:szCs w:val="22"/>
          <w:vertAlign w:val="subscript"/>
        </w:rPr>
        <w:t>0-12 val.</w:t>
      </w:r>
      <w:r w:rsidRPr="003F7446">
        <w:rPr>
          <w:szCs w:val="22"/>
        </w:rPr>
        <w:t xml:space="preserve">). Gydant šiuo deriniu, rekomenduojama kontroliuoti MFR ekspoziciją ir esant reikalui parinkti tinkamą </w:t>
      </w:r>
      <w:proofErr w:type="spellStart"/>
      <w:r w:rsidRPr="003F7446">
        <w:rPr>
          <w:szCs w:val="22"/>
        </w:rPr>
        <w:t>mikofenolato</w:t>
      </w:r>
      <w:proofErr w:type="spellEnd"/>
      <w:r w:rsidRPr="003F7446">
        <w:rPr>
          <w:szCs w:val="22"/>
        </w:rPr>
        <w:t xml:space="preserve"> </w:t>
      </w:r>
      <w:proofErr w:type="spellStart"/>
      <w:r w:rsidRPr="003F7446">
        <w:rPr>
          <w:szCs w:val="22"/>
        </w:rPr>
        <w:t>mofetilio</w:t>
      </w:r>
      <w:proofErr w:type="spellEnd"/>
      <w:r w:rsidRPr="003F7446">
        <w:rPr>
          <w:szCs w:val="22"/>
        </w:rPr>
        <w:t xml:space="preserve"> dozę, kad būtų galima išlaikyti klinikinį veiksmingumą. </w:t>
      </w:r>
    </w:p>
    <w:p w14:paraId="16909C53" w14:textId="77777777" w:rsidR="0052287E" w:rsidRPr="003F7446" w:rsidRDefault="0052287E" w:rsidP="0052287E">
      <w:pPr>
        <w:rPr>
          <w:szCs w:val="22"/>
        </w:rPr>
      </w:pPr>
    </w:p>
    <w:p w14:paraId="44C9D15A" w14:textId="77777777" w:rsidR="0052287E" w:rsidRPr="003F7446" w:rsidRDefault="0052287E" w:rsidP="0052287E">
      <w:pPr>
        <w:rPr>
          <w:szCs w:val="22"/>
        </w:rPr>
      </w:pPr>
      <w:proofErr w:type="spellStart"/>
      <w:r w:rsidRPr="003F7446">
        <w:rPr>
          <w:szCs w:val="22"/>
          <w:u w:val="single"/>
        </w:rPr>
        <w:t>Sirolimuzas</w:t>
      </w:r>
      <w:proofErr w:type="spellEnd"/>
      <w:r w:rsidRPr="003F7446">
        <w:rPr>
          <w:szCs w:val="22"/>
          <w:u w:val="single"/>
        </w:rPr>
        <w:t>: p</w:t>
      </w:r>
      <w:r w:rsidRPr="003F7446">
        <w:rPr>
          <w:szCs w:val="22"/>
        </w:rPr>
        <w:t xml:space="preserve">acientams, po inksto transplantacijos, gydant </w:t>
      </w:r>
      <w:proofErr w:type="spellStart"/>
      <w:r w:rsidRPr="003F7446">
        <w:rPr>
          <w:szCs w:val="22"/>
        </w:rPr>
        <w:t>mikofenolato</w:t>
      </w:r>
      <w:proofErr w:type="spellEnd"/>
      <w:r w:rsidRPr="003F7446">
        <w:rPr>
          <w:szCs w:val="22"/>
        </w:rPr>
        <w:t xml:space="preserve"> </w:t>
      </w:r>
      <w:proofErr w:type="spellStart"/>
      <w:r w:rsidRPr="003F7446">
        <w:rPr>
          <w:szCs w:val="22"/>
        </w:rPr>
        <w:t>mofetilio</w:t>
      </w:r>
      <w:proofErr w:type="spellEnd"/>
      <w:r w:rsidRPr="003F7446">
        <w:rPr>
          <w:szCs w:val="22"/>
        </w:rPr>
        <w:t xml:space="preserve"> ir </w:t>
      </w:r>
      <w:proofErr w:type="spellStart"/>
      <w:r w:rsidRPr="003F7446">
        <w:rPr>
          <w:szCs w:val="22"/>
        </w:rPr>
        <w:t>CsA</w:t>
      </w:r>
      <w:proofErr w:type="spellEnd"/>
      <w:r w:rsidRPr="003F7446">
        <w:rPr>
          <w:szCs w:val="22"/>
        </w:rPr>
        <w:t xml:space="preserve"> sumažėjo MFR ekspozicija 30 - 50</w:t>
      </w:r>
      <w:r w:rsidRPr="003F7446">
        <w:rPr>
          <w:szCs w:val="22"/>
        </w:rPr>
        <w:sym w:font="Symbol" w:char="F025"/>
      </w:r>
      <w:r w:rsidRPr="003F7446">
        <w:rPr>
          <w:szCs w:val="22"/>
        </w:rPr>
        <w:t xml:space="preserve">, palyginti su pacientais, gydomiems </w:t>
      </w:r>
      <w:proofErr w:type="spellStart"/>
      <w:r w:rsidRPr="003F7446">
        <w:rPr>
          <w:szCs w:val="22"/>
        </w:rPr>
        <w:t>sirolimuzu</w:t>
      </w:r>
      <w:proofErr w:type="spellEnd"/>
      <w:r w:rsidRPr="003F7446">
        <w:rPr>
          <w:szCs w:val="22"/>
        </w:rPr>
        <w:t xml:space="preserve"> ir tokia pačia </w:t>
      </w:r>
      <w:proofErr w:type="spellStart"/>
      <w:r w:rsidRPr="003F7446">
        <w:rPr>
          <w:szCs w:val="22"/>
        </w:rPr>
        <w:t>mikofenolato</w:t>
      </w:r>
      <w:proofErr w:type="spellEnd"/>
      <w:r w:rsidRPr="003F7446">
        <w:rPr>
          <w:szCs w:val="22"/>
        </w:rPr>
        <w:t xml:space="preserve"> </w:t>
      </w:r>
      <w:proofErr w:type="spellStart"/>
      <w:r w:rsidRPr="003F7446">
        <w:rPr>
          <w:szCs w:val="22"/>
        </w:rPr>
        <w:t>mofetilio</w:t>
      </w:r>
      <w:proofErr w:type="spellEnd"/>
      <w:r w:rsidRPr="003F7446">
        <w:rPr>
          <w:szCs w:val="22"/>
        </w:rPr>
        <w:t xml:space="preserve"> doze (žr. taip pat 4.4 skyrių). </w:t>
      </w:r>
    </w:p>
    <w:p w14:paraId="0D714230" w14:textId="77777777" w:rsidR="0052287E" w:rsidRPr="003F7446" w:rsidRDefault="0052287E" w:rsidP="0052287E">
      <w:pPr>
        <w:rPr>
          <w:szCs w:val="22"/>
        </w:rPr>
      </w:pPr>
    </w:p>
    <w:p w14:paraId="4D04F2C5" w14:textId="77777777" w:rsidR="0052287E" w:rsidRPr="003F7446" w:rsidRDefault="0052287E" w:rsidP="0052287E">
      <w:pPr>
        <w:rPr>
          <w:szCs w:val="22"/>
        </w:rPr>
      </w:pPr>
      <w:proofErr w:type="spellStart"/>
      <w:r w:rsidRPr="003F7446">
        <w:rPr>
          <w:szCs w:val="22"/>
          <w:u w:val="single"/>
        </w:rPr>
        <w:t>Sevelameras</w:t>
      </w:r>
      <w:proofErr w:type="spellEnd"/>
      <w:r w:rsidRPr="003F7446">
        <w:rPr>
          <w:szCs w:val="22"/>
          <w:u w:val="single"/>
        </w:rPr>
        <w:t>:</w:t>
      </w:r>
      <w:r w:rsidRPr="003F7446">
        <w:rPr>
          <w:szCs w:val="22"/>
        </w:rPr>
        <w:t xml:space="preserve"> gydant </w:t>
      </w:r>
      <w:proofErr w:type="spellStart"/>
      <w:r w:rsidRPr="003F7446">
        <w:rPr>
          <w:szCs w:val="22"/>
        </w:rPr>
        <w:t>mikofenolato</w:t>
      </w:r>
      <w:proofErr w:type="spellEnd"/>
      <w:r w:rsidRPr="003F7446">
        <w:rPr>
          <w:szCs w:val="22"/>
        </w:rPr>
        <w:t xml:space="preserve"> </w:t>
      </w:r>
      <w:proofErr w:type="spellStart"/>
      <w:r w:rsidRPr="003F7446">
        <w:rPr>
          <w:szCs w:val="22"/>
        </w:rPr>
        <w:t>mofetiliu</w:t>
      </w:r>
      <w:proofErr w:type="spellEnd"/>
      <w:r w:rsidRPr="003F7446">
        <w:rPr>
          <w:szCs w:val="22"/>
        </w:rPr>
        <w:t xml:space="preserve"> kartu su </w:t>
      </w:r>
      <w:proofErr w:type="spellStart"/>
      <w:r w:rsidRPr="003F7446">
        <w:rPr>
          <w:szCs w:val="22"/>
        </w:rPr>
        <w:t>sevelameru</w:t>
      </w:r>
      <w:proofErr w:type="spellEnd"/>
      <w:r w:rsidRPr="003F7446">
        <w:rPr>
          <w:szCs w:val="22"/>
        </w:rPr>
        <w:t xml:space="preserve">, didžiausia MFR koncentracija kraujo plazmoje (angl. </w:t>
      </w:r>
      <w:proofErr w:type="spellStart"/>
      <w:r w:rsidRPr="003F7446">
        <w:rPr>
          <w:szCs w:val="22"/>
        </w:rPr>
        <w:t>C</w:t>
      </w:r>
      <w:r w:rsidRPr="003F7446">
        <w:rPr>
          <w:szCs w:val="22"/>
          <w:vertAlign w:val="subscript"/>
        </w:rPr>
        <w:t>max</w:t>
      </w:r>
      <w:proofErr w:type="spellEnd"/>
      <w:r w:rsidRPr="003F7446">
        <w:rPr>
          <w:szCs w:val="22"/>
        </w:rPr>
        <w:t>) ir AUC sumažėjo atitinkamai 30</w:t>
      </w:r>
      <w:r w:rsidRPr="003F7446">
        <w:rPr>
          <w:szCs w:val="22"/>
        </w:rPr>
        <w:sym w:font="Symbol" w:char="F025"/>
      </w:r>
      <w:r w:rsidRPr="003F7446">
        <w:rPr>
          <w:szCs w:val="22"/>
        </w:rPr>
        <w:t xml:space="preserve"> ir 25</w:t>
      </w:r>
      <w:r w:rsidRPr="003F7446">
        <w:rPr>
          <w:szCs w:val="22"/>
        </w:rPr>
        <w:sym w:font="Symbol" w:char="F025"/>
      </w:r>
      <w:r w:rsidRPr="003F7446">
        <w:rPr>
          <w:szCs w:val="22"/>
        </w:rPr>
        <w:t xml:space="preserve">, tačiau kliniškai reikšmingų pasekmių (pvz., </w:t>
      </w:r>
      <w:proofErr w:type="spellStart"/>
      <w:r w:rsidRPr="003F7446">
        <w:rPr>
          <w:szCs w:val="22"/>
        </w:rPr>
        <w:t>transplantato</w:t>
      </w:r>
      <w:proofErr w:type="spellEnd"/>
      <w:r w:rsidRPr="003F7446">
        <w:rPr>
          <w:szCs w:val="22"/>
        </w:rPr>
        <w:t xml:space="preserve"> atmetimo) nebuvo. Tačiau  </w:t>
      </w:r>
      <w:proofErr w:type="spellStart"/>
      <w:r w:rsidRPr="003F7446">
        <w:rPr>
          <w:szCs w:val="22"/>
        </w:rPr>
        <w:t>mikofenolato</w:t>
      </w:r>
      <w:proofErr w:type="spellEnd"/>
      <w:r w:rsidRPr="003F7446">
        <w:rPr>
          <w:szCs w:val="22"/>
        </w:rPr>
        <w:t xml:space="preserve"> </w:t>
      </w:r>
      <w:proofErr w:type="spellStart"/>
      <w:r w:rsidRPr="003F7446">
        <w:rPr>
          <w:szCs w:val="22"/>
        </w:rPr>
        <w:t>mofetilio</w:t>
      </w:r>
      <w:proofErr w:type="spellEnd"/>
      <w:r w:rsidRPr="003F7446">
        <w:rPr>
          <w:szCs w:val="22"/>
        </w:rPr>
        <w:t xml:space="preserve"> rekomenduojama gerti likus valandai iki </w:t>
      </w:r>
      <w:proofErr w:type="spellStart"/>
      <w:r w:rsidRPr="003F7446">
        <w:rPr>
          <w:szCs w:val="22"/>
        </w:rPr>
        <w:t>sevelamero</w:t>
      </w:r>
      <w:proofErr w:type="spellEnd"/>
      <w:r w:rsidRPr="003F7446">
        <w:rPr>
          <w:szCs w:val="22"/>
        </w:rPr>
        <w:t xml:space="preserve"> vartojimo arba praėjus 3 valandoms po pavartojimo, kad sumažėtų įtaka MFR absorbcijai. Duomenų apie </w:t>
      </w:r>
      <w:proofErr w:type="spellStart"/>
      <w:r w:rsidRPr="003F7446">
        <w:rPr>
          <w:szCs w:val="22"/>
        </w:rPr>
        <w:t>mikofenolato</w:t>
      </w:r>
      <w:proofErr w:type="spellEnd"/>
      <w:r w:rsidRPr="003F7446">
        <w:rPr>
          <w:szCs w:val="22"/>
        </w:rPr>
        <w:t xml:space="preserve"> </w:t>
      </w:r>
      <w:proofErr w:type="spellStart"/>
      <w:r w:rsidRPr="003F7446">
        <w:rPr>
          <w:szCs w:val="22"/>
        </w:rPr>
        <w:t>mofetilio</w:t>
      </w:r>
      <w:proofErr w:type="spellEnd"/>
      <w:r w:rsidRPr="003F7446">
        <w:rPr>
          <w:szCs w:val="22"/>
        </w:rPr>
        <w:t xml:space="preserve"> sąveiką su kitokiais negu </w:t>
      </w:r>
      <w:proofErr w:type="spellStart"/>
      <w:r w:rsidRPr="003F7446">
        <w:rPr>
          <w:szCs w:val="22"/>
        </w:rPr>
        <w:t>sevelameras</w:t>
      </w:r>
      <w:proofErr w:type="spellEnd"/>
      <w:r w:rsidRPr="003F7446">
        <w:rPr>
          <w:szCs w:val="22"/>
        </w:rPr>
        <w:t xml:space="preserve"> fosfatų rišikliais, nėra.</w:t>
      </w:r>
    </w:p>
    <w:p w14:paraId="51E24668" w14:textId="77777777" w:rsidR="0052287E" w:rsidRPr="003F7446" w:rsidRDefault="0052287E" w:rsidP="0052287E">
      <w:pPr>
        <w:rPr>
          <w:szCs w:val="22"/>
        </w:rPr>
      </w:pPr>
    </w:p>
    <w:p w14:paraId="70B3F1A0" w14:textId="77777777" w:rsidR="0052287E" w:rsidRPr="003F7446" w:rsidRDefault="0052287E" w:rsidP="0052287E">
      <w:pPr>
        <w:rPr>
          <w:szCs w:val="22"/>
        </w:rPr>
      </w:pPr>
      <w:proofErr w:type="spellStart"/>
      <w:r w:rsidRPr="003F7446">
        <w:rPr>
          <w:szCs w:val="22"/>
          <w:u w:val="single"/>
        </w:rPr>
        <w:t>Trimetoprimas</w:t>
      </w:r>
      <w:proofErr w:type="spellEnd"/>
      <w:r w:rsidRPr="003F7446">
        <w:rPr>
          <w:szCs w:val="22"/>
          <w:u w:val="single"/>
        </w:rPr>
        <w:t xml:space="preserve"> ir </w:t>
      </w:r>
      <w:proofErr w:type="spellStart"/>
      <w:r w:rsidRPr="003F7446">
        <w:rPr>
          <w:szCs w:val="22"/>
          <w:u w:val="single"/>
        </w:rPr>
        <w:t>sulfametoksazolas</w:t>
      </w:r>
      <w:proofErr w:type="spellEnd"/>
      <w:r w:rsidRPr="003F7446">
        <w:rPr>
          <w:szCs w:val="22"/>
        </w:rPr>
        <w:t>: nepastebėta poveikio biologiniam MFR pasisavinimui.</w:t>
      </w:r>
    </w:p>
    <w:p w14:paraId="42496BE7" w14:textId="77777777" w:rsidR="0052287E" w:rsidRPr="003F7446" w:rsidRDefault="0052287E" w:rsidP="0052287E">
      <w:pPr>
        <w:rPr>
          <w:szCs w:val="22"/>
        </w:rPr>
      </w:pPr>
    </w:p>
    <w:p w14:paraId="15BD6299" w14:textId="77777777" w:rsidR="0052287E" w:rsidRPr="003F7446" w:rsidRDefault="0052287E" w:rsidP="0052287E">
      <w:pPr>
        <w:rPr>
          <w:szCs w:val="22"/>
        </w:rPr>
      </w:pPr>
      <w:proofErr w:type="spellStart"/>
      <w:r w:rsidRPr="003F7446">
        <w:rPr>
          <w:szCs w:val="22"/>
          <w:u w:val="single"/>
        </w:rPr>
        <w:t>Norfloksacinas</w:t>
      </w:r>
      <w:proofErr w:type="spellEnd"/>
      <w:r w:rsidRPr="003F7446">
        <w:rPr>
          <w:szCs w:val="22"/>
          <w:u w:val="single"/>
        </w:rPr>
        <w:t xml:space="preserve"> ir </w:t>
      </w:r>
      <w:proofErr w:type="spellStart"/>
      <w:r w:rsidRPr="003F7446">
        <w:rPr>
          <w:szCs w:val="22"/>
          <w:u w:val="single"/>
        </w:rPr>
        <w:t>metronidazolas</w:t>
      </w:r>
      <w:proofErr w:type="spellEnd"/>
      <w:r w:rsidRPr="003F7446">
        <w:rPr>
          <w:szCs w:val="22"/>
          <w:u w:val="single"/>
        </w:rPr>
        <w:t>:</w:t>
      </w:r>
      <w:r w:rsidRPr="003F7446">
        <w:rPr>
          <w:szCs w:val="22"/>
        </w:rPr>
        <w:t xml:space="preserve"> sveikų savanorių, kurie </w:t>
      </w:r>
      <w:proofErr w:type="spellStart"/>
      <w:r w:rsidRPr="003F7446">
        <w:rPr>
          <w:szCs w:val="22"/>
        </w:rPr>
        <w:t>mikofenolato</w:t>
      </w:r>
      <w:proofErr w:type="spellEnd"/>
      <w:r w:rsidRPr="003F7446">
        <w:rPr>
          <w:szCs w:val="22"/>
        </w:rPr>
        <w:t xml:space="preserve"> </w:t>
      </w:r>
      <w:proofErr w:type="spellStart"/>
      <w:r w:rsidRPr="003F7446">
        <w:rPr>
          <w:szCs w:val="22"/>
        </w:rPr>
        <w:t>mofetilio</w:t>
      </w:r>
      <w:proofErr w:type="spellEnd"/>
      <w:r w:rsidRPr="003F7446">
        <w:rPr>
          <w:szCs w:val="22"/>
        </w:rPr>
        <w:t xml:space="preserve"> vartojo kartu su </w:t>
      </w:r>
      <w:proofErr w:type="spellStart"/>
      <w:r w:rsidRPr="003F7446">
        <w:rPr>
          <w:szCs w:val="22"/>
        </w:rPr>
        <w:t>norfloksacinu</w:t>
      </w:r>
      <w:proofErr w:type="spellEnd"/>
      <w:r w:rsidRPr="003F7446">
        <w:rPr>
          <w:szCs w:val="22"/>
        </w:rPr>
        <w:t xml:space="preserve"> arba </w:t>
      </w:r>
      <w:proofErr w:type="spellStart"/>
      <w:r w:rsidRPr="003F7446">
        <w:rPr>
          <w:szCs w:val="22"/>
        </w:rPr>
        <w:t>metronidazolu</w:t>
      </w:r>
      <w:proofErr w:type="spellEnd"/>
      <w:r w:rsidRPr="003F7446">
        <w:rPr>
          <w:szCs w:val="22"/>
        </w:rPr>
        <w:t xml:space="preserve">, organizme reikšmingos sąveikos nepastebėta. Tačiau kartu vartojant </w:t>
      </w:r>
      <w:proofErr w:type="spellStart"/>
      <w:r w:rsidRPr="003F7446">
        <w:rPr>
          <w:szCs w:val="22"/>
        </w:rPr>
        <w:t>norfloksacino</w:t>
      </w:r>
      <w:proofErr w:type="spellEnd"/>
      <w:r w:rsidRPr="003F7446">
        <w:rPr>
          <w:szCs w:val="22"/>
        </w:rPr>
        <w:t xml:space="preserve"> ir </w:t>
      </w:r>
      <w:proofErr w:type="spellStart"/>
      <w:r w:rsidRPr="003F7446">
        <w:rPr>
          <w:szCs w:val="22"/>
        </w:rPr>
        <w:t>metronidazolo</w:t>
      </w:r>
      <w:proofErr w:type="spellEnd"/>
      <w:r w:rsidRPr="003F7446">
        <w:rPr>
          <w:szCs w:val="22"/>
        </w:rPr>
        <w:t xml:space="preserve"> pavartojus vieną </w:t>
      </w:r>
      <w:proofErr w:type="spellStart"/>
      <w:r w:rsidRPr="003F7446">
        <w:rPr>
          <w:szCs w:val="22"/>
        </w:rPr>
        <w:t>mikofenolato</w:t>
      </w:r>
      <w:proofErr w:type="spellEnd"/>
      <w:r w:rsidRPr="003F7446">
        <w:rPr>
          <w:szCs w:val="22"/>
        </w:rPr>
        <w:t xml:space="preserve"> </w:t>
      </w:r>
      <w:proofErr w:type="spellStart"/>
      <w:r w:rsidRPr="003F7446">
        <w:rPr>
          <w:szCs w:val="22"/>
        </w:rPr>
        <w:t>mofetilio</w:t>
      </w:r>
      <w:proofErr w:type="spellEnd"/>
      <w:r w:rsidRPr="003F7446">
        <w:rPr>
          <w:szCs w:val="22"/>
        </w:rPr>
        <w:t xml:space="preserve"> dozę, MFR ekspozicija sumažėjo maždaug 30</w:t>
      </w:r>
      <w:r w:rsidRPr="003F7446">
        <w:rPr>
          <w:szCs w:val="22"/>
        </w:rPr>
        <w:sym w:font="Symbol" w:char="F025"/>
      </w:r>
      <w:r w:rsidRPr="003F7446">
        <w:rPr>
          <w:szCs w:val="22"/>
        </w:rPr>
        <w:t>.</w:t>
      </w:r>
    </w:p>
    <w:p w14:paraId="1D7C4DB8" w14:textId="77777777" w:rsidR="0052287E" w:rsidRPr="003F7446" w:rsidRDefault="0052287E" w:rsidP="0052287E">
      <w:pPr>
        <w:rPr>
          <w:szCs w:val="22"/>
        </w:rPr>
      </w:pPr>
    </w:p>
    <w:p w14:paraId="44BE3FEB" w14:textId="77777777" w:rsidR="0052287E" w:rsidRPr="003F7446" w:rsidRDefault="0052287E" w:rsidP="0052287E">
      <w:pPr>
        <w:autoSpaceDE w:val="0"/>
        <w:rPr>
          <w:color w:val="000000"/>
          <w:szCs w:val="22"/>
        </w:rPr>
      </w:pPr>
      <w:proofErr w:type="spellStart"/>
      <w:r w:rsidRPr="003F7446">
        <w:rPr>
          <w:bCs/>
          <w:color w:val="000000"/>
          <w:szCs w:val="22"/>
          <w:u w:val="single"/>
        </w:rPr>
        <w:t>Ciprofloksacinas</w:t>
      </w:r>
      <w:proofErr w:type="spellEnd"/>
      <w:r w:rsidRPr="003F7446">
        <w:rPr>
          <w:bCs/>
          <w:color w:val="000000"/>
          <w:szCs w:val="22"/>
          <w:u w:val="single"/>
        </w:rPr>
        <w:t xml:space="preserve"> ir </w:t>
      </w:r>
      <w:proofErr w:type="spellStart"/>
      <w:r w:rsidRPr="003F7446">
        <w:rPr>
          <w:bCs/>
          <w:color w:val="000000"/>
          <w:szCs w:val="22"/>
          <w:u w:val="single"/>
        </w:rPr>
        <w:t>amoksicilinas</w:t>
      </w:r>
      <w:proofErr w:type="spellEnd"/>
      <w:r w:rsidRPr="003F7446">
        <w:rPr>
          <w:bCs/>
          <w:color w:val="000000"/>
          <w:szCs w:val="22"/>
          <w:u w:val="single"/>
        </w:rPr>
        <w:t xml:space="preserve"> kartu su </w:t>
      </w:r>
      <w:proofErr w:type="spellStart"/>
      <w:r w:rsidRPr="003F7446">
        <w:rPr>
          <w:bCs/>
          <w:color w:val="000000"/>
          <w:szCs w:val="22"/>
          <w:u w:val="single"/>
        </w:rPr>
        <w:t>klavulano</w:t>
      </w:r>
      <w:proofErr w:type="spellEnd"/>
      <w:r w:rsidRPr="003F7446">
        <w:rPr>
          <w:bCs/>
          <w:color w:val="000000"/>
          <w:szCs w:val="22"/>
          <w:u w:val="single"/>
        </w:rPr>
        <w:t xml:space="preserve"> rūgštimi</w:t>
      </w:r>
      <w:r w:rsidRPr="003F7446">
        <w:rPr>
          <w:bCs/>
          <w:color w:val="000000"/>
          <w:szCs w:val="22"/>
        </w:rPr>
        <w:t>: yra duomenų</w:t>
      </w:r>
      <w:r w:rsidRPr="003F7446">
        <w:rPr>
          <w:color w:val="000000"/>
          <w:szCs w:val="22"/>
        </w:rPr>
        <w:t xml:space="preserve">, kad, transplantuoto inksto recipientams pradėjus vartoti geriamojo </w:t>
      </w:r>
      <w:proofErr w:type="spellStart"/>
      <w:r w:rsidRPr="003F7446">
        <w:rPr>
          <w:color w:val="000000"/>
          <w:szCs w:val="22"/>
        </w:rPr>
        <w:t>ciprofloksacino</w:t>
      </w:r>
      <w:proofErr w:type="spellEnd"/>
      <w:r w:rsidRPr="003F7446">
        <w:rPr>
          <w:color w:val="000000"/>
          <w:szCs w:val="22"/>
        </w:rPr>
        <w:t xml:space="preserve"> arba </w:t>
      </w:r>
      <w:proofErr w:type="spellStart"/>
      <w:r w:rsidRPr="003F7446">
        <w:rPr>
          <w:color w:val="000000"/>
          <w:szCs w:val="22"/>
        </w:rPr>
        <w:t>amoksicilino</w:t>
      </w:r>
      <w:proofErr w:type="spellEnd"/>
      <w:r w:rsidRPr="003F7446">
        <w:rPr>
          <w:color w:val="000000"/>
          <w:szCs w:val="22"/>
        </w:rPr>
        <w:t xml:space="preserve"> ir </w:t>
      </w:r>
      <w:proofErr w:type="spellStart"/>
      <w:r w:rsidRPr="003F7446">
        <w:rPr>
          <w:color w:val="000000"/>
          <w:szCs w:val="22"/>
        </w:rPr>
        <w:t>klavulano</w:t>
      </w:r>
      <w:proofErr w:type="spellEnd"/>
      <w:r w:rsidRPr="003F7446">
        <w:rPr>
          <w:color w:val="000000"/>
          <w:szCs w:val="22"/>
        </w:rPr>
        <w:t xml:space="preserve"> rūgšties derinio, artimiausiomis dienomis MFR koncentracija, kuri būna prieš kitą vaisto dozę, sumažėja apie 50%. Toliau vartojant antibiotikų, šis poveikis turi tendencija silpnėti ir, nustojus jų vartoti, per keletą parų išnyksta. Koncentracijos pokyčiai prieš kitą dozę nebūtinai tiksliai parodo bendros MFR ekspozicijos pakitimus. Dėl to, jei nėra </w:t>
      </w:r>
      <w:proofErr w:type="spellStart"/>
      <w:r w:rsidRPr="003F7446">
        <w:rPr>
          <w:color w:val="000000"/>
          <w:szCs w:val="22"/>
        </w:rPr>
        <w:t>transplantato</w:t>
      </w:r>
      <w:proofErr w:type="spellEnd"/>
      <w:r w:rsidRPr="003F7446">
        <w:rPr>
          <w:color w:val="000000"/>
          <w:szCs w:val="22"/>
        </w:rPr>
        <w:t xml:space="preserve"> funkcijos sutrikimo požymių, </w:t>
      </w:r>
      <w:proofErr w:type="spellStart"/>
      <w:r w:rsidRPr="003F7446">
        <w:rPr>
          <w:color w:val="000000"/>
          <w:szCs w:val="22"/>
        </w:rPr>
        <w:t>mikofenolato</w:t>
      </w:r>
      <w:proofErr w:type="spellEnd"/>
      <w:r w:rsidRPr="003F7446">
        <w:rPr>
          <w:color w:val="000000"/>
          <w:szCs w:val="22"/>
        </w:rPr>
        <w:t xml:space="preserve"> dozės keisti paprastai nebūtina. Tačiau antibiotikais metu ir trumpai tuoj pat nugydymo jais pabaigos pacientai turi būti atidžiai kliniškai tiriami. </w:t>
      </w:r>
    </w:p>
    <w:p w14:paraId="51A6FD6D" w14:textId="77777777" w:rsidR="0052287E" w:rsidRPr="003F7446" w:rsidRDefault="0052287E" w:rsidP="0052287E">
      <w:pPr>
        <w:rPr>
          <w:szCs w:val="22"/>
        </w:rPr>
      </w:pPr>
    </w:p>
    <w:p w14:paraId="0E551D63" w14:textId="77777777" w:rsidR="0052287E" w:rsidRPr="003F7446" w:rsidRDefault="0052287E" w:rsidP="0052287E">
      <w:pPr>
        <w:rPr>
          <w:szCs w:val="22"/>
        </w:rPr>
      </w:pPr>
      <w:proofErr w:type="spellStart"/>
      <w:r w:rsidRPr="003F7446">
        <w:rPr>
          <w:szCs w:val="22"/>
          <w:u w:val="single"/>
        </w:rPr>
        <w:t>Takrolimuzas</w:t>
      </w:r>
      <w:proofErr w:type="spellEnd"/>
      <w:r w:rsidRPr="003F7446">
        <w:rPr>
          <w:szCs w:val="22"/>
          <w:u w:val="single"/>
        </w:rPr>
        <w:t>:</w:t>
      </w:r>
      <w:r w:rsidRPr="003F7446">
        <w:rPr>
          <w:szCs w:val="22"/>
        </w:rPr>
        <w:t xml:space="preserve"> pacientų, kurie po kepenų transplantacijos buvo pradėti gydyti </w:t>
      </w:r>
      <w:proofErr w:type="spellStart"/>
      <w:r w:rsidRPr="003F7446">
        <w:rPr>
          <w:szCs w:val="22"/>
        </w:rPr>
        <w:t>mikofenolato</w:t>
      </w:r>
      <w:proofErr w:type="spellEnd"/>
      <w:r w:rsidRPr="003F7446">
        <w:rPr>
          <w:szCs w:val="22"/>
        </w:rPr>
        <w:t xml:space="preserve"> </w:t>
      </w:r>
      <w:proofErr w:type="spellStart"/>
      <w:r w:rsidRPr="003F7446">
        <w:rPr>
          <w:szCs w:val="22"/>
        </w:rPr>
        <w:t>mofetilio</w:t>
      </w:r>
      <w:proofErr w:type="spellEnd"/>
      <w:r w:rsidRPr="003F7446">
        <w:rPr>
          <w:szCs w:val="22"/>
        </w:rPr>
        <w:t xml:space="preserve"> ir </w:t>
      </w:r>
      <w:proofErr w:type="spellStart"/>
      <w:r w:rsidRPr="003F7446">
        <w:rPr>
          <w:szCs w:val="22"/>
        </w:rPr>
        <w:t>takrolimuzo</w:t>
      </w:r>
      <w:proofErr w:type="spellEnd"/>
      <w:r w:rsidRPr="003F7446">
        <w:rPr>
          <w:szCs w:val="22"/>
        </w:rPr>
        <w:t xml:space="preserve"> deriniu, jų organizme aktyvaus </w:t>
      </w:r>
      <w:proofErr w:type="spellStart"/>
      <w:r w:rsidRPr="003F7446">
        <w:rPr>
          <w:szCs w:val="22"/>
        </w:rPr>
        <w:t>mikofenolato</w:t>
      </w:r>
      <w:proofErr w:type="spellEnd"/>
      <w:r w:rsidRPr="003F7446">
        <w:rPr>
          <w:szCs w:val="22"/>
        </w:rPr>
        <w:t xml:space="preserve"> </w:t>
      </w:r>
      <w:proofErr w:type="spellStart"/>
      <w:r w:rsidRPr="003F7446">
        <w:rPr>
          <w:szCs w:val="22"/>
        </w:rPr>
        <w:t>mofetilio</w:t>
      </w:r>
      <w:proofErr w:type="spellEnd"/>
      <w:r w:rsidRPr="003F7446">
        <w:rPr>
          <w:szCs w:val="22"/>
        </w:rPr>
        <w:t xml:space="preserve"> metabolito MFR AUC ir </w:t>
      </w:r>
      <w:proofErr w:type="spellStart"/>
      <w:r w:rsidRPr="003F7446">
        <w:rPr>
          <w:szCs w:val="22"/>
        </w:rPr>
        <w:t>C</w:t>
      </w:r>
      <w:r w:rsidRPr="003F7446">
        <w:rPr>
          <w:szCs w:val="22"/>
          <w:vertAlign w:val="subscript"/>
        </w:rPr>
        <w:t>max</w:t>
      </w:r>
      <w:proofErr w:type="spellEnd"/>
      <w:r w:rsidRPr="003F7446">
        <w:rPr>
          <w:szCs w:val="22"/>
        </w:rPr>
        <w:t xml:space="preserve"> reikšmingai nekito. Priešingai - </w:t>
      </w:r>
      <w:proofErr w:type="spellStart"/>
      <w:r w:rsidRPr="003F7446">
        <w:rPr>
          <w:szCs w:val="22"/>
        </w:rPr>
        <w:t>takrolimuzo</w:t>
      </w:r>
      <w:proofErr w:type="spellEnd"/>
      <w:r w:rsidRPr="003F7446">
        <w:rPr>
          <w:szCs w:val="22"/>
        </w:rPr>
        <w:t xml:space="preserve"> AUC padidėjo maždaug 20</w:t>
      </w:r>
      <w:r w:rsidRPr="003F7446">
        <w:rPr>
          <w:szCs w:val="22"/>
        </w:rPr>
        <w:sym w:font="Symbol" w:char="F025"/>
      </w:r>
      <w:r w:rsidRPr="003F7446">
        <w:rPr>
          <w:szCs w:val="22"/>
        </w:rPr>
        <w:t xml:space="preserve">, </w:t>
      </w:r>
      <w:proofErr w:type="spellStart"/>
      <w:r w:rsidRPr="003F7446">
        <w:rPr>
          <w:szCs w:val="22"/>
        </w:rPr>
        <w:t>takrolimuzą</w:t>
      </w:r>
      <w:proofErr w:type="spellEnd"/>
      <w:r w:rsidRPr="003F7446">
        <w:rPr>
          <w:szCs w:val="22"/>
        </w:rPr>
        <w:t xml:space="preserve"> vartojančių pacientų organizme po kartotinių </w:t>
      </w:r>
      <w:proofErr w:type="spellStart"/>
      <w:r w:rsidRPr="003F7446">
        <w:rPr>
          <w:szCs w:val="22"/>
        </w:rPr>
        <w:t>mikofenolato</w:t>
      </w:r>
      <w:proofErr w:type="spellEnd"/>
      <w:r w:rsidRPr="003F7446">
        <w:rPr>
          <w:szCs w:val="22"/>
        </w:rPr>
        <w:t xml:space="preserve"> </w:t>
      </w:r>
      <w:proofErr w:type="spellStart"/>
      <w:r w:rsidRPr="003F7446">
        <w:rPr>
          <w:szCs w:val="22"/>
        </w:rPr>
        <w:t>mofetilio</w:t>
      </w:r>
      <w:proofErr w:type="spellEnd"/>
      <w:r w:rsidRPr="003F7446">
        <w:rPr>
          <w:szCs w:val="22"/>
        </w:rPr>
        <w:t xml:space="preserve"> dozių (1,5 mg 2 kartus per parą). Tačiau nepanašu, jog pacientams po inksto transplantacijos </w:t>
      </w:r>
      <w:proofErr w:type="spellStart"/>
      <w:r w:rsidRPr="003F7446">
        <w:rPr>
          <w:szCs w:val="22"/>
        </w:rPr>
        <w:t>mikofenolato</w:t>
      </w:r>
      <w:proofErr w:type="spellEnd"/>
      <w:r w:rsidRPr="003F7446">
        <w:rPr>
          <w:szCs w:val="22"/>
        </w:rPr>
        <w:t xml:space="preserve"> </w:t>
      </w:r>
      <w:proofErr w:type="spellStart"/>
      <w:r w:rsidRPr="003F7446">
        <w:rPr>
          <w:szCs w:val="22"/>
        </w:rPr>
        <w:t>mofetilis</w:t>
      </w:r>
      <w:proofErr w:type="spellEnd"/>
      <w:r w:rsidRPr="003F7446">
        <w:rPr>
          <w:szCs w:val="22"/>
        </w:rPr>
        <w:t xml:space="preserve"> keistų </w:t>
      </w:r>
      <w:proofErr w:type="spellStart"/>
      <w:r w:rsidRPr="003F7446">
        <w:rPr>
          <w:szCs w:val="22"/>
        </w:rPr>
        <w:t>takrolimuzo</w:t>
      </w:r>
      <w:proofErr w:type="spellEnd"/>
      <w:r w:rsidRPr="003F7446">
        <w:rPr>
          <w:szCs w:val="22"/>
        </w:rPr>
        <w:t xml:space="preserve"> koncentraciją kraujyje (žr. 4.4 skyrių). </w:t>
      </w:r>
    </w:p>
    <w:p w14:paraId="725509D2" w14:textId="77777777" w:rsidR="0052287E" w:rsidRPr="003F7446" w:rsidRDefault="0052287E" w:rsidP="0052287E">
      <w:pPr>
        <w:rPr>
          <w:szCs w:val="22"/>
        </w:rPr>
      </w:pPr>
    </w:p>
    <w:p w14:paraId="4366B998" w14:textId="77777777" w:rsidR="0052287E" w:rsidRPr="003F7446" w:rsidRDefault="0052287E" w:rsidP="0052287E">
      <w:pPr>
        <w:rPr>
          <w:szCs w:val="22"/>
        </w:rPr>
      </w:pPr>
      <w:r w:rsidRPr="003F7446">
        <w:rPr>
          <w:szCs w:val="22"/>
          <w:u w:val="single"/>
        </w:rPr>
        <w:t>Kitokios sąveikos:</w:t>
      </w:r>
      <w:r w:rsidRPr="003F7446">
        <w:rPr>
          <w:szCs w:val="22"/>
        </w:rPr>
        <w:t xml:space="preserve"> beždžionėms vartojant </w:t>
      </w:r>
      <w:proofErr w:type="spellStart"/>
      <w:r w:rsidRPr="003F7446">
        <w:rPr>
          <w:szCs w:val="22"/>
        </w:rPr>
        <w:t>probenecido</w:t>
      </w:r>
      <w:proofErr w:type="spellEnd"/>
      <w:r w:rsidRPr="003F7446">
        <w:rPr>
          <w:szCs w:val="22"/>
        </w:rPr>
        <w:t xml:space="preserve"> kartu su </w:t>
      </w:r>
      <w:proofErr w:type="spellStart"/>
      <w:r w:rsidRPr="003F7446">
        <w:rPr>
          <w:szCs w:val="22"/>
        </w:rPr>
        <w:t>mikofenolato</w:t>
      </w:r>
      <w:proofErr w:type="spellEnd"/>
      <w:r w:rsidRPr="003F7446">
        <w:rPr>
          <w:szCs w:val="22"/>
        </w:rPr>
        <w:t xml:space="preserve"> </w:t>
      </w:r>
      <w:proofErr w:type="spellStart"/>
      <w:r w:rsidRPr="003F7446">
        <w:rPr>
          <w:szCs w:val="22"/>
        </w:rPr>
        <w:t>mofetiliu</w:t>
      </w:r>
      <w:proofErr w:type="spellEnd"/>
      <w:r w:rsidRPr="003F7446">
        <w:rPr>
          <w:szCs w:val="22"/>
        </w:rPr>
        <w:t xml:space="preserve"> lėmė MFRG AUC padidėjo 3 kartus. Taigi, kitos medžiagos, kurios eliminuojamos </w:t>
      </w:r>
      <w:proofErr w:type="spellStart"/>
      <w:r w:rsidRPr="003F7446">
        <w:rPr>
          <w:szCs w:val="22"/>
        </w:rPr>
        <w:t>sekretuojant</w:t>
      </w:r>
      <w:proofErr w:type="spellEnd"/>
      <w:r w:rsidRPr="003F7446">
        <w:rPr>
          <w:szCs w:val="22"/>
        </w:rPr>
        <w:t xml:space="preserve"> į inkstų kanalėlius, gali konkuruoti su MFRG dėl išsiskyrimo, todėl gali padidėti MFRG ir kitų medžiagų, kurios išskiriamos sekrecijos į inkstų kanalėlius būdu, koncentracija kraujo plazmoje. </w:t>
      </w:r>
    </w:p>
    <w:p w14:paraId="56EAE33E" w14:textId="77777777" w:rsidR="0052287E" w:rsidRPr="003F7446" w:rsidRDefault="0052287E" w:rsidP="0052287E">
      <w:pPr>
        <w:rPr>
          <w:szCs w:val="22"/>
        </w:rPr>
      </w:pPr>
    </w:p>
    <w:p w14:paraId="0C1CB85D" w14:textId="77777777" w:rsidR="0052287E" w:rsidRPr="003F7446" w:rsidRDefault="0052287E" w:rsidP="0052287E">
      <w:pPr>
        <w:rPr>
          <w:szCs w:val="22"/>
        </w:rPr>
      </w:pPr>
      <w:r w:rsidRPr="003F7446">
        <w:rPr>
          <w:szCs w:val="22"/>
          <w:u w:val="single"/>
        </w:rPr>
        <w:lastRenderedPageBreak/>
        <w:t>Gyvosios vakcinos: p</w:t>
      </w:r>
      <w:r w:rsidRPr="003F7446">
        <w:rPr>
          <w:szCs w:val="22"/>
        </w:rPr>
        <w:t xml:space="preserve">acientų, kurių imuninis atsakas sutrikęs, gyvosiomis vakcinomis skiepyti negalima. Antikūnų atsakas į kitas vakcinas gali būti sumažėjęs (žr. taip pat 4.4 skyrių). </w:t>
      </w:r>
    </w:p>
    <w:p w14:paraId="44D97E68" w14:textId="77777777" w:rsidR="0052287E" w:rsidRPr="003F7446" w:rsidRDefault="0052287E" w:rsidP="0052287E">
      <w:pPr>
        <w:pStyle w:val="Default"/>
        <w:ind w:left="560" w:hanging="560"/>
        <w:rPr>
          <w:b/>
          <w:bCs/>
          <w:color w:val="auto"/>
          <w:sz w:val="22"/>
          <w:szCs w:val="22"/>
          <w:lang w:val="lt-LT"/>
        </w:rPr>
      </w:pPr>
    </w:p>
    <w:p w14:paraId="66D34594" w14:textId="24E9318F" w:rsidR="0052287E" w:rsidRPr="003F7446" w:rsidRDefault="0052287E" w:rsidP="0052287E">
      <w:pPr>
        <w:pStyle w:val="Default"/>
        <w:ind w:left="560" w:hanging="560"/>
        <w:rPr>
          <w:color w:val="auto"/>
          <w:sz w:val="22"/>
          <w:szCs w:val="22"/>
          <w:lang w:val="lt-LT"/>
        </w:rPr>
      </w:pPr>
      <w:r w:rsidRPr="003F7446">
        <w:rPr>
          <w:b/>
          <w:bCs/>
          <w:color w:val="auto"/>
          <w:sz w:val="22"/>
          <w:szCs w:val="22"/>
          <w:lang w:val="lt-LT"/>
        </w:rPr>
        <w:t>4.6</w:t>
      </w:r>
      <w:r w:rsidRPr="003F7446">
        <w:rPr>
          <w:b/>
          <w:bCs/>
          <w:color w:val="auto"/>
          <w:sz w:val="22"/>
          <w:szCs w:val="22"/>
          <w:lang w:val="lt-LT"/>
        </w:rPr>
        <w:tab/>
      </w:r>
      <w:r w:rsidR="00F146C9" w:rsidRPr="003F7446">
        <w:rPr>
          <w:b/>
          <w:bCs/>
          <w:color w:val="auto"/>
          <w:sz w:val="22"/>
          <w:szCs w:val="22"/>
          <w:lang w:val="lt-LT"/>
        </w:rPr>
        <w:t>Vaisingumas, n</w:t>
      </w:r>
      <w:r w:rsidRPr="003F7446">
        <w:rPr>
          <w:b/>
          <w:bCs/>
          <w:color w:val="auto"/>
          <w:sz w:val="22"/>
          <w:szCs w:val="22"/>
          <w:lang w:val="lt-LT"/>
        </w:rPr>
        <w:t xml:space="preserve">ėštumo ir žindymo laikotarpis </w:t>
      </w:r>
    </w:p>
    <w:p w14:paraId="52212AE3" w14:textId="77777777" w:rsidR="00F146C9" w:rsidRPr="003F7446" w:rsidRDefault="00F146C9" w:rsidP="00F146C9">
      <w:pPr>
        <w:pStyle w:val="Default"/>
        <w:rPr>
          <w:color w:val="auto"/>
          <w:sz w:val="22"/>
          <w:szCs w:val="22"/>
          <w:u w:val="single"/>
          <w:lang w:val="lt-LT"/>
        </w:rPr>
      </w:pPr>
      <w:r w:rsidRPr="003F7446">
        <w:rPr>
          <w:color w:val="auto"/>
          <w:sz w:val="22"/>
          <w:szCs w:val="22"/>
          <w:u w:val="single"/>
          <w:lang w:val="lt-LT"/>
        </w:rPr>
        <w:t>Nėštumas</w:t>
      </w:r>
    </w:p>
    <w:p w14:paraId="5D77246C"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Rekomenduojama neskirti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mofetilio</w:t>
      </w:r>
      <w:proofErr w:type="spellEnd"/>
      <w:r w:rsidRPr="003F7446">
        <w:rPr>
          <w:color w:val="auto"/>
          <w:sz w:val="22"/>
          <w:szCs w:val="22"/>
          <w:lang w:val="lt-LT"/>
        </w:rPr>
        <w:t xml:space="preserve"> tol, kol nebus gautas neigiamas nėštumo mėginys. Prieš pradedant gydyti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mofetiliu</w:t>
      </w:r>
      <w:proofErr w:type="spellEnd"/>
      <w:r w:rsidRPr="003F7446">
        <w:rPr>
          <w:color w:val="auto"/>
          <w:sz w:val="22"/>
          <w:szCs w:val="22"/>
          <w:lang w:val="lt-LT"/>
        </w:rPr>
        <w:t xml:space="preserve">, gydymo metu ir dar šešias savaites baigus gydyti, būtina naudoti veiksmingas kontraceptines priemones (žr. 4.5 skyrių). Pacientus reikia įspėti, kad pastojimo atveju, reikia nedelsiant pasitarti su gydytoju. </w:t>
      </w:r>
    </w:p>
    <w:p w14:paraId="3EBD3AE5" w14:textId="77777777" w:rsidR="0052287E" w:rsidRPr="003F7446" w:rsidRDefault="0052287E" w:rsidP="0052287E">
      <w:pPr>
        <w:pStyle w:val="Default"/>
        <w:rPr>
          <w:color w:val="auto"/>
          <w:sz w:val="22"/>
          <w:szCs w:val="22"/>
          <w:lang w:val="lt-LT"/>
        </w:rPr>
      </w:pPr>
    </w:p>
    <w:p w14:paraId="7C894019" w14:textId="77777777" w:rsidR="0052287E" w:rsidRPr="003F7446" w:rsidRDefault="0052287E" w:rsidP="0052287E">
      <w:pPr>
        <w:rPr>
          <w:szCs w:val="22"/>
        </w:rPr>
      </w:pPr>
      <w:r w:rsidRPr="003F7446">
        <w:rPr>
          <w:szCs w:val="22"/>
        </w:rPr>
        <w:t xml:space="preserve">Nėštumo laikotarpiu </w:t>
      </w:r>
      <w:proofErr w:type="spellStart"/>
      <w:r w:rsidRPr="003F7446">
        <w:rPr>
          <w:szCs w:val="22"/>
        </w:rPr>
        <w:t>mikofenolato</w:t>
      </w:r>
      <w:proofErr w:type="spellEnd"/>
      <w:r w:rsidRPr="003F7446">
        <w:rPr>
          <w:szCs w:val="22"/>
        </w:rPr>
        <w:t xml:space="preserve"> </w:t>
      </w:r>
      <w:proofErr w:type="spellStart"/>
      <w:r w:rsidRPr="003F7446">
        <w:rPr>
          <w:szCs w:val="22"/>
        </w:rPr>
        <w:t>mofetilio</w:t>
      </w:r>
      <w:proofErr w:type="spellEnd"/>
      <w:r w:rsidRPr="003F7446">
        <w:rPr>
          <w:szCs w:val="22"/>
        </w:rPr>
        <w:t xml:space="preserve"> vartoti nerekomenduojama, jis laikomas tik atsarginiu vaistiniu preparatu pacientėms, kurioms nėra labiau tinkamo alternatyvaus gydymo būdo.</w:t>
      </w:r>
    </w:p>
    <w:p w14:paraId="386D0847" w14:textId="77777777" w:rsidR="0052287E" w:rsidRPr="003F7446" w:rsidRDefault="0052287E" w:rsidP="0052287E">
      <w:pPr>
        <w:rPr>
          <w:szCs w:val="22"/>
        </w:rPr>
      </w:pPr>
      <w:r w:rsidRPr="003F7446">
        <w:rPr>
          <w:szCs w:val="22"/>
        </w:rPr>
        <w:t xml:space="preserve">Nėščioms moterims </w:t>
      </w:r>
      <w:proofErr w:type="spellStart"/>
      <w:r w:rsidRPr="003F7446">
        <w:rPr>
          <w:szCs w:val="22"/>
        </w:rPr>
        <w:t>mikofenolato</w:t>
      </w:r>
      <w:proofErr w:type="spellEnd"/>
      <w:r w:rsidRPr="003F7446">
        <w:rPr>
          <w:szCs w:val="22"/>
        </w:rPr>
        <w:t xml:space="preserve"> </w:t>
      </w:r>
      <w:proofErr w:type="spellStart"/>
      <w:r w:rsidRPr="003F7446">
        <w:rPr>
          <w:szCs w:val="22"/>
        </w:rPr>
        <w:t>mofetilio</w:t>
      </w:r>
      <w:proofErr w:type="spellEnd"/>
      <w:r w:rsidRPr="003F7446">
        <w:rPr>
          <w:szCs w:val="22"/>
        </w:rPr>
        <w:t xml:space="preserve"> galima skirti tik nustačius, kad nauda moteriai bus didesnė už galimą riziką vaisiui. Duomenų apie </w:t>
      </w:r>
      <w:proofErr w:type="spellStart"/>
      <w:r w:rsidRPr="003F7446">
        <w:rPr>
          <w:szCs w:val="22"/>
        </w:rPr>
        <w:t>mikofenolato</w:t>
      </w:r>
      <w:proofErr w:type="spellEnd"/>
      <w:r w:rsidRPr="003F7446">
        <w:rPr>
          <w:szCs w:val="22"/>
        </w:rPr>
        <w:t xml:space="preserve"> </w:t>
      </w:r>
      <w:proofErr w:type="spellStart"/>
      <w:r w:rsidRPr="003F7446">
        <w:rPr>
          <w:szCs w:val="22"/>
        </w:rPr>
        <w:t>mofetilio</w:t>
      </w:r>
      <w:proofErr w:type="spellEnd"/>
      <w:r w:rsidRPr="003F7446">
        <w:rPr>
          <w:szCs w:val="22"/>
        </w:rPr>
        <w:t xml:space="preserve"> skyrimą nėščioms moterims yra mažai. Tačiau vaikams, kurių motinos nėštumo metu </w:t>
      </w:r>
      <w:proofErr w:type="spellStart"/>
      <w:r w:rsidRPr="003F7446">
        <w:rPr>
          <w:szCs w:val="22"/>
        </w:rPr>
        <w:t>mikofenolato</w:t>
      </w:r>
      <w:proofErr w:type="spellEnd"/>
      <w:r w:rsidRPr="003F7446">
        <w:rPr>
          <w:szCs w:val="22"/>
        </w:rPr>
        <w:t xml:space="preserve"> </w:t>
      </w:r>
      <w:proofErr w:type="spellStart"/>
      <w:r w:rsidRPr="003F7446">
        <w:rPr>
          <w:szCs w:val="22"/>
        </w:rPr>
        <w:t>mofetilio</w:t>
      </w:r>
      <w:proofErr w:type="spellEnd"/>
      <w:r w:rsidRPr="003F7446">
        <w:rPr>
          <w:szCs w:val="22"/>
        </w:rPr>
        <w:t xml:space="preserve"> vartojo kartu su kitais </w:t>
      </w:r>
      <w:proofErr w:type="spellStart"/>
      <w:r w:rsidRPr="003F7446">
        <w:rPr>
          <w:szCs w:val="22"/>
        </w:rPr>
        <w:t>imunosupresantais</w:t>
      </w:r>
      <w:proofErr w:type="spellEnd"/>
      <w:r w:rsidRPr="003F7446">
        <w:rPr>
          <w:szCs w:val="22"/>
        </w:rPr>
        <w:t xml:space="preserve">, buvo apsigimimų, įskaitant ausų sklaidos trūkumus, pvz., išorinės ar vidurinės ausies dalies nenormalią formą arba nebuvimą. </w:t>
      </w:r>
      <w:proofErr w:type="spellStart"/>
      <w:r w:rsidRPr="003F7446">
        <w:rPr>
          <w:szCs w:val="22"/>
        </w:rPr>
        <w:t>Mikofenolato</w:t>
      </w:r>
      <w:proofErr w:type="spellEnd"/>
      <w:r w:rsidRPr="003F7446">
        <w:rPr>
          <w:szCs w:val="22"/>
        </w:rPr>
        <w:t xml:space="preserve"> </w:t>
      </w:r>
      <w:proofErr w:type="spellStart"/>
      <w:r w:rsidRPr="003F7446">
        <w:rPr>
          <w:szCs w:val="22"/>
        </w:rPr>
        <w:t>mofetiliu</w:t>
      </w:r>
      <w:proofErr w:type="spellEnd"/>
      <w:r w:rsidRPr="003F7446">
        <w:rPr>
          <w:szCs w:val="22"/>
        </w:rPr>
        <w:t xml:space="preserve"> gydomoms moterims pasitaikė savaiminių abortų. Su gyvūnais atlikti tyrimai parodė toksinį poveikį reprodukcijai (žr. 5.3 skyrių).</w:t>
      </w:r>
    </w:p>
    <w:p w14:paraId="49E355BF" w14:textId="77777777" w:rsidR="0052287E" w:rsidRPr="003F7446" w:rsidRDefault="0052287E" w:rsidP="0052287E">
      <w:pPr>
        <w:rPr>
          <w:szCs w:val="22"/>
        </w:rPr>
      </w:pPr>
    </w:p>
    <w:p w14:paraId="315D64F1" w14:textId="77777777" w:rsidR="00F146C9" w:rsidRPr="003F7446" w:rsidRDefault="00F146C9" w:rsidP="00C83F01">
      <w:pPr>
        <w:pStyle w:val="Default"/>
        <w:rPr>
          <w:sz w:val="22"/>
          <w:szCs w:val="22"/>
          <w:u w:val="single"/>
          <w:lang w:val="lt-LT"/>
        </w:rPr>
      </w:pPr>
      <w:r w:rsidRPr="003F7446">
        <w:rPr>
          <w:color w:val="auto"/>
          <w:sz w:val="22"/>
          <w:szCs w:val="22"/>
          <w:u w:val="single"/>
          <w:lang w:val="lt-LT"/>
        </w:rPr>
        <w:t>Žindymas</w:t>
      </w:r>
    </w:p>
    <w:p w14:paraId="66F6423F" w14:textId="77777777" w:rsidR="0052287E" w:rsidRPr="003F7446" w:rsidRDefault="0052287E" w:rsidP="0052287E">
      <w:pPr>
        <w:pStyle w:val="Default"/>
        <w:rPr>
          <w:sz w:val="22"/>
          <w:szCs w:val="22"/>
          <w:lang w:val="lt-LT"/>
        </w:rPr>
      </w:pPr>
      <w:r w:rsidRPr="003F7446">
        <w:rPr>
          <w:sz w:val="22"/>
          <w:szCs w:val="22"/>
          <w:lang w:val="lt-LT"/>
        </w:rPr>
        <w:t xml:space="preserve">Nustatyta, kad žindymo laikotarpiu </w:t>
      </w:r>
      <w:proofErr w:type="spellStart"/>
      <w:r w:rsidRPr="003F7446">
        <w:rPr>
          <w:sz w:val="22"/>
          <w:szCs w:val="22"/>
          <w:lang w:val="lt-LT"/>
        </w:rPr>
        <w:t>mikofenolato</w:t>
      </w:r>
      <w:proofErr w:type="spellEnd"/>
      <w:r w:rsidRPr="003F7446">
        <w:rPr>
          <w:sz w:val="22"/>
          <w:szCs w:val="22"/>
          <w:lang w:val="lt-LT"/>
        </w:rPr>
        <w:t xml:space="preserve"> </w:t>
      </w:r>
      <w:proofErr w:type="spellStart"/>
      <w:r w:rsidRPr="003F7446">
        <w:rPr>
          <w:sz w:val="22"/>
          <w:szCs w:val="22"/>
          <w:lang w:val="lt-LT"/>
        </w:rPr>
        <w:t>mofetilio</w:t>
      </w:r>
      <w:proofErr w:type="spellEnd"/>
      <w:r w:rsidRPr="003F7446">
        <w:rPr>
          <w:sz w:val="22"/>
          <w:szCs w:val="22"/>
          <w:lang w:val="lt-LT"/>
        </w:rPr>
        <w:t xml:space="preserve"> išsiskiria su žiurkių pienu. Nežinoma, ar jo patenka į moters pieną. Kadangi krūtimi maitinamiems kūdikiams </w:t>
      </w:r>
      <w:proofErr w:type="spellStart"/>
      <w:r w:rsidRPr="003F7446">
        <w:rPr>
          <w:sz w:val="22"/>
          <w:szCs w:val="22"/>
          <w:lang w:val="lt-LT"/>
        </w:rPr>
        <w:t>mikofenolato</w:t>
      </w:r>
      <w:proofErr w:type="spellEnd"/>
      <w:r w:rsidRPr="003F7446">
        <w:rPr>
          <w:sz w:val="22"/>
          <w:szCs w:val="22"/>
          <w:lang w:val="lt-LT"/>
        </w:rPr>
        <w:t xml:space="preserve"> </w:t>
      </w:r>
      <w:proofErr w:type="spellStart"/>
      <w:r w:rsidRPr="003F7446">
        <w:rPr>
          <w:sz w:val="22"/>
          <w:szCs w:val="22"/>
          <w:lang w:val="lt-LT"/>
        </w:rPr>
        <w:t>mofetilis</w:t>
      </w:r>
      <w:proofErr w:type="spellEnd"/>
      <w:r w:rsidRPr="003F7446">
        <w:rPr>
          <w:sz w:val="22"/>
          <w:szCs w:val="22"/>
          <w:lang w:val="lt-LT"/>
        </w:rPr>
        <w:t xml:space="preserve"> gali sukelti sunkių nepageidaujamų reakcijų, </w:t>
      </w:r>
      <w:proofErr w:type="spellStart"/>
      <w:r w:rsidRPr="003F7446">
        <w:rPr>
          <w:sz w:val="22"/>
          <w:szCs w:val="22"/>
          <w:lang w:val="lt-LT"/>
        </w:rPr>
        <w:t>mikofenolato</w:t>
      </w:r>
      <w:proofErr w:type="spellEnd"/>
      <w:r w:rsidRPr="003F7446">
        <w:rPr>
          <w:sz w:val="22"/>
          <w:szCs w:val="22"/>
          <w:lang w:val="lt-LT"/>
        </w:rPr>
        <w:t xml:space="preserve"> </w:t>
      </w:r>
      <w:proofErr w:type="spellStart"/>
      <w:r w:rsidRPr="003F7446">
        <w:rPr>
          <w:sz w:val="22"/>
          <w:szCs w:val="22"/>
          <w:lang w:val="lt-LT"/>
        </w:rPr>
        <w:t>mofetilio</w:t>
      </w:r>
      <w:proofErr w:type="spellEnd"/>
      <w:r w:rsidRPr="003F7446">
        <w:rPr>
          <w:sz w:val="22"/>
          <w:szCs w:val="22"/>
          <w:lang w:val="lt-LT"/>
        </w:rPr>
        <w:t xml:space="preserve"> žindančioms moterims skirti draudžiama (žr. 4.3 skyrių).</w:t>
      </w:r>
    </w:p>
    <w:p w14:paraId="10585CC8" w14:textId="77777777" w:rsidR="0052287E" w:rsidRPr="003F7446" w:rsidRDefault="0052287E" w:rsidP="0052287E">
      <w:pPr>
        <w:pStyle w:val="Default"/>
        <w:ind w:left="560" w:hanging="560"/>
        <w:rPr>
          <w:b/>
          <w:bCs/>
          <w:color w:val="auto"/>
          <w:sz w:val="22"/>
          <w:szCs w:val="22"/>
          <w:lang w:val="lt-LT"/>
        </w:rPr>
      </w:pPr>
    </w:p>
    <w:p w14:paraId="28EC1BBB" w14:textId="77777777" w:rsidR="0052287E" w:rsidRPr="003F7446" w:rsidRDefault="0052287E" w:rsidP="0052287E">
      <w:pPr>
        <w:pStyle w:val="Default"/>
        <w:ind w:left="560" w:hanging="560"/>
        <w:rPr>
          <w:color w:val="auto"/>
          <w:sz w:val="22"/>
          <w:szCs w:val="22"/>
          <w:lang w:val="lt-LT"/>
        </w:rPr>
      </w:pPr>
      <w:r w:rsidRPr="003F7446">
        <w:rPr>
          <w:b/>
          <w:bCs/>
          <w:color w:val="auto"/>
          <w:sz w:val="22"/>
          <w:szCs w:val="22"/>
          <w:lang w:val="lt-LT"/>
        </w:rPr>
        <w:t>4.7</w:t>
      </w:r>
      <w:r w:rsidRPr="003F7446">
        <w:rPr>
          <w:b/>
          <w:bCs/>
          <w:color w:val="auto"/>
          <w:sz w:val="22"/>
          <w:szCs w:val="22"/>
          <w:lang w:val="lt-LT"/>
        </w:rPr>
        <w:tab/>
        <w:t xml:space="preserve">Poveikis gebėjimui vairuoti ir valdyti mechanizmus </w:t>
      </w:r>
    </w:p>
    <w:p w14:paraId="04F09BD2" w14:textId="77777777" w:rsidR="0052287E" w:rsidRPr="003F7446" w:rsidRDefault="0052287E" w:rsidP="0052287E">
      <w:pPr>
        <w:pStyle w:val="Default"/>
        <w:rPr>
          <w:color w:val="auto"/>
          <w:sz w:val="22"/>
          <w:szCs w:val="22"/>
          <w:lang w:val="lt-LT"/>
        </w:rPr>
      </w:pPr>
    </w:p>
    <w:p w14:paraId="1D967453"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Poveikis gebėjimui vairuoti ir valdyti mechanizmus netirtas. Vertinant pagal </w:t>
      </w:r>
      <w:proofErr w:type="spellStart"/>
      <w:r w:rsidRPr="003F7446">
        <w:rPr>
          <w:color w:val="auto"/>
          <w:sz w:val="22"/>
          <w:szCs w:val="22"/>
          <w:lang w:val="lt-LT"/>
        </w:rPr>
        <w:t>farmakodinamines</w:t>
      </w:r>
      <w:proofErr w:type="spellEnd"/>
      <w:r w:rsidRPr="003F7446">
        <w:rPr>
          <w:color w:val="auto"/>
          <w:sz w:val="22"/>
          <w:szCs w:val="22"/>
          <w:lang w:val="lt-LT"/>
        </w:rPr>
        <w:t xml:space="preserve"> vaisto savybes ir praneštas nepageidaujamas reakcijas, toks poveikis mažai tikėtinas. </w:t>
      </w:r>
    </w:p>
    <w:p w14:paraId="2FF94E00" w14:textId="77777777" w:rsidR="0052287E" w:rsidRPr="003F7446" w:rsidRDefault="0052287E" w:rsidP="0052287E">
      <w:pPr>
        <w:pStyle w:val="Default"/>
        <w:ind w:left="560" w:hanging="560"/>
        <w:rPr>
          <w:b/>
          <w:bCs/>
          <w:color w:val="auto"/>
          <w:sz w:val="22"/>
          <w:szCs w:val="22"/>
          <w:lang w:val="lt-LT"/>
        </w:rPr>
      </w:pPr>
    </w:p>
    <w:p w14:paraId="0A32122C" w14:textId="77777777" w:rsidR="0052287E" w:rsidRPr="003F7446" w:rsidRDefault="0052287E" w:rsidP="0052287E">
      <w:pPr>
        <w:pStyle w:val="Default"/>
        <w:ind w:left="560" w:hanging="560"/>
        <w:rPr>
          <w:b/>
          <w:bCs/>
          <w:color w:val="auto"/>
          <w:sz w:val="22"/>
          <w:szCs w:val="22"/>
          <w:lang w:val="lt-LT"/>
        </w:rPr>
      </w:pPr>
      <w:r w:rsidRPr="003F7446">
        <w:rPr>
          <w:b/>
          <w:bCs/>
          <w:color w:val="auto"/>
          <w:sz w:val="22"/>
          <w:szCs w:val="22"/>
          <w:lang w:val="lt-LT"/>
        </w:rPr>
        <w:t>4.8</w:t>
      </w:r>
      <w:r w:rsidRPr="003F7446">
        <w:rPr>
          <w:b/>
          <w:bCs/>
          <w:color w:val="auto"/>
          <w:sz w:val="22"/>
          <w:szCs w:val="22"/>
          <w:lang w:val="lt-LT"/>
        </w:rPr>
        <w:tab/>
        <w:t xml:space="preserve">Nepageidaujamas poveikis </w:t>
      </w:r>
    </w:p>
    <w:p w14:paraId="3DEFCFFE" w14:textId="77777777" w:rsidR="0052287E" w:rsidRPr="003F7446" w:rsidRDefault="0052287E" w:rsidP="0052287E">
      <w:pPr>
        <w:pStyle w:val="Default"/>
        <w:ind w:left="560" w:hanging="560"/>
        <w:rPr>
          <w:color w:val="auto"/>
          <w:sz w:val="22"/>
          <w:szCs w:val="22"/>
          <w:lang w:val="lt-LT"/>
        </w:rPr>
      </w:pPr>
    </w:p>
    <w:p w14:paraId="340B0AFB" w14:textId="77777777" w:rsidR="0052287E" w:rsidRPr="003F7446" w:rsidRDefault="0052287E" w:rsidP="0052287E">
      <w:pPr>
        <w:pStyle w:val="Default"/>
        <w:rPr>
          <w:color w:val="auto"/>
          <w:sz w:val="22"/>
          <w:szCs w:val="22"/>
          <w:lang w:val="lt-LT"/>
        </w:rPr>
      </w:pPr>
      <w:r w:rsidRPr="003F7446">
        <w:rPr>
          <w:color w:val="auto"/>
          <w:sz w:val="22"/>
          <w:szCs w:val="22"/>
          <w:u w:val="single"/>
          <w:lang w:val="lt-LT"/>
        </w:rPr>
        <w:t>Toliau aprašomos klinikinių tyrimų metu pastebėtos nepageidaujamos reakcijos</w:t>
      </w:r>
      <w:r w:rsidRPr="003F7446">
        <w:rPr>
          <w:color w:val="auto"/>
          <w:sz w:val="22"/>
          <w:szCs w:val="22"/>
          <w:lang w:val="lt-LT"/>
        </w:rPr>
        <w:t xml:space="preserve">: </w:t>
      </w:r>
    </w:p>
    <w:p w14:paraId="26B11281"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Pagrindinės nepageidaujamos reakcijos, susijusios su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mofetiliu</w:t>
      </w:r>
      <w:proofErr w:type="spellEnd"/>
      <w:r w:rsidRPr="003F7446">
        <w:rPr>
          <w:color w:val="auto"/>
          <w:sz w:val="22"/>
          <w:szCs w:val="22"/>
          <w:lang w:val="lt-LT"/>
        </w:rPr>
        <w:t xml:space="preserve">, vartojamu kartu su </w:t>
      </w:r>
      <w:proofErr w:type="spellStart"/>
      <w:r w:rsidRPr="003F7446">
        <w:rPr>
          <w:color w:val="auto"/>
          <w:sz w:val="22"/>
          <w:szCs w:val="22"/>
          <w:lang w:val="lt-LT"/>
        </w:rPr>
        <w:t>ciklosporinu</w:t>
      </w:r>
      <w:proofErr w:type="spellEnd"/>
      <w:r w:rsidRPr="003F7446">
        <w:rPr>
          <w:color w:val="auto"/>
          <w:sz w:val="22"/>
          <w:szCs w:val="22"/>
          <w:lang w:val="lt-LT"/>
        </w:rPr>
        <w:t xml:space="preserve"> ir kortikosteroidais, yra viduriavimas, </w:t>
      </w:r>
      <w:proofErr w:type="spellStart"/>
      <w:r w:rsidRPr="003F7446">
        <w:rPr>
          <w:color w:val="auto"/>
          <w:sz w:val="22"/>
          <w:szCs w:val="22"/>
          <w:lang w:val="lt-LT"/>
        </w:rPr>
        <w:t>leukopenija</w:t>
      </w:r>
      <w:proofErr w:type="spellEnd"/>
      <w:r w:rsidRPr="003F7446">
        <w:rPr>
          <w:color w:val="auto"/>
          <w:sz w:val="22"/>
          <w:szCs w:val="22"/>
          <w:lang w:val="lt-LT"/>
        </w:rPr>
        <w:t xml:space="preserve">, sepsis ir vėmimas, taip pat dažnesnės kai kurių tipų infekcijos (žr. 4.4 skyrių). </w:t>
      </w:r>
    </w:p>
    <w:p w14:paraId="721FB81A" w14:textId="77777777" w:rsidR="0052287E" w:rsidRPr="003F7446" w:rsidRDefault="0052287E" w:rsidP="0052287E">
      <w:pPr>
        <w:pStyle w:val="Default"/>
        <w:rPr>
          <w:color w:val="auto"/>
          <w:sz w:val="22"/>
          <w:szCs w:val="22"/>
          <w:u w:val="single"/>
          <w:lang w:val="lt-LT"/>
        </w:rPr>
      </w:pPr>
    </w:p>
    <w:p w14:paraId="45E6A419" w14:textId="77777777" w:rsidR="0052287E" w:rsidRPr="003F7446" w:rsidRDefault="0052287E" w:rsidP="0052287E">
      <w:pPr>
        <w:pStyle w:val="Default"/>
        <w:rPr>
          <w:color w:val="auto"/>
          <w:sz w:val="22"/>
          <w:szCs w:val="22"/>
          <w:lang w:val="lt-LT"/>
        </w:rPr>
      </w:pPr>
      <w:r w:rsidRPr="003F7446">
        <w:rPr>
          <w:color w:val="auto"/>
          <w:sz w:val="22"/>
          <w:szCs w:val="22"/>
          <w:u w:val="single"/>
          <w:lang w:val="lt-LT"/>
        </w:rPr>
        <w:t>Piktybiniai susirgimai</w:t>
      </w:r>
      <w:r w:rsidRPr="003F7446">
        <w:rPr>
          <w:color w:val="auto"/>
          <w:sz w:val="22"/>
          <w:szCs w:val="22"/>
          <w:lang w:val="lt-LT"/>
        </w:rPr>
        <w:t xml:space="preserve">: </w:t>
      </w:r>
    </w:p>
    <w:p w14:paraId="3C32273A" w14:textId="77777777" w:rsidR="0052287E" w:rsidRPr="003F7446" w:rsidRDefault="0052287E" w:rsidP="0052287E">
      <w:pPr>
        <w:rPr>
          <w:szCs w:val="22"/>
        </w:rPr>
      </w:pPr>
      <w:r w:rsidRPr="003F7446">
        <w:rPr>
          <w:szCs w:val="22"/>
        </w:rPr>
        <w:t xml:space="preserve">Pacientams, gydomiems </w:t>
      </w:r>
      <w:proofErr w:type="spellStart"/>
      <w:r w:rsidRPr="003F7446">
        <w:rPr>
          <w:szCs w:val="22"/>
        </w:rPr>
        <w:t>imunosupresantais</w:t>
      </w:r>
      <w:proofErr w:type="spellEnd"/>
      <w:r w:rsidRPr="003F7446">
        <w:rPr>
          <w:szCs w:val="22"/>
        </w:rPr>
        <w:t xml:space="preserve">, jų deriniais, įskaitant </w:t>
      </w:r>
      <w:proofErr w:type="spellStart"/>
      <w:r w:rsidRPr="003F7446">
        <w:rPr>
          <w:szCs w:val="22"/>
        </w:rPr>
        <w:t>mikofenolato</w:t>
      </w:r>
      <w:proofErr w:type="spellEnd"/>
      <w:r w:rsidRPr="003F7446">
        <w:rPr>
          <w:szCs w:val="22"/>
        </w:rPr>
        <w:t xml:space="preserve"> </w:t>
      </w:r>
      <w:proofErr w:type="spellStart"/>
      <w:r w:rsidRPr="003F7446">
        <w:rPr>
          <w:szCs w:val="22"/>
        </w:rPr>
        <w:t>mofetilį</w:t>
      </w:r>
      <w:proofErr w:type="spellEnd"/>
      <w:r w:rsidRPr="003F7446">
        <w:rPr>
          <w:szCs w:val="22"/>
        </w:rPr>
        <w:t xml:space="preserve">, yra didesnis limfomos ir kitokių piktybinių navikų, ypač odos, pasireiškimo pavojus (žr. 4.4 skyrių). </w:t>
      </w:r>
      <w:proofErr w:type="spellStart"/>
      <w:r w:rsidRPr="003F7446">
        <w:rPr>
          <w:szCs w:val="22"/>
        </w:rPr>
        <w:t>Limfoproliferacinė</w:t>
      </w:r>
      <w:proofErr w:type="spellEnd"/>
      <w:r w:rsidRPr="003F7446">
        <w:rPr>
          <w:szCs w:val="22"/>
        </w:rPr>
        <w:t xml:space="preserve"> liga arba limfoma išsivystė 0,6</w:t>
      </w:r>
      <w:r w:rsidRPr="003F7446">
        <w:rPr>
          <w:szCs w:val="22"/>
        </w:rPr>
        <w:sym w:font="Symbol" w:char="F025"/>
      </w:r>
      <w:r w:rsidRPr="003F7446">
        <w:rPr>
          <w:szCs w:val="22"/>
        </w:rPr>
        <w:t xml:space="preserve"> pacientų, kurie kontroliuojamų klinikinių tyrimų metu buvo gydomi </w:t>
      </w:r>
      <w:proofErr w:type="spellStart"/>
      <w:r w:rsidRPr="003F7446">
        <w:rPr>
          <w:szCs w:val="22"/>
        </w:rPr>
        <w:t>mikofenolato</w:t>
      </w:r>
      <w:proofErr w:type="spellEnd"/>
      <w:r w:rsidRPr="003F7446">
        <w:rPr>
          <w:szCs w:val="22"/>
        </w:rPr>
        <w:t xml:space="preserve"> </w:t>
      </w:r>
      <w:proofErr w:type="spellStart"/>
      <w:r w:rsidRPr="003F7446">
        <w:rPr>
          <w:szCs w:val="22"/>
        </w:rPr>
        <w:t>mofetiliu</w:t>
      </w:r>
      <w:proofErr w:type="spellEnd"/>
      <w:r w:rsidRPr="003F7446">
        <w:rPr>
          <w:szCs w:val="22"/>
        </w:rPr>
        <w:t xml:space="preserve"> (2 g arba 3 g paros doze) ir kartu kitais </w:t>
      </w:r>
      <w:proofErr w:type="spellStart"/>
      <w:r w:rsidRPr="003F7446">
        <w:rPr>
          <w:szCs w:val="22"/>
        </w:rPr>
        <w:t>imunosupresantais</w:t>
      </w:r>
      <w:proofErr w:type="spellEnd"/>
      <w:r w:rsidRPr="003F7446">
        <w:rPr>
          <w:szCs w:val="22"/>
        </w:rPr>
        <w:t xml:space="preserve"> po inksto (paros dozė </w:t>
      </w:r>
      <w:r w:rsidRPr="003F7446">
        <w:rPr>
          <w:szCs w:val="22"/>
        </w:rPr>
        <w:sym w:font="Symbol" w:char="F02D"/>
      </w:r>
      <w:r w:rsidRPr="003F7446">
        <w:rPr>
          <w:szCs w:val="22"/>
        </w:rPr>
        <w:t xml:space="preserve"> 2 g), širdies ar kepenų transplantacijos ir stebimi mažiausiai vienerius metus. Odos </w:t>
      </w:r>
      <w:proofErr w:type="spellStart"/>
      <w:r w:rsidRPr="003F7446">
        <w:rPr>
          <w:szCs w:val="22"/>
        </w:rPr>
        <w:t>karcinoma</w:t>
      </w:r>
      <w:proofErr w:type="spellEnd"/>
      <w:r w:rsidRPr="003F7446">
        <w:rPr>
          <w:szCs w:val="22"/>
        </w:rPr>
        <w:t>, ne melanoma, išsivystė 3,6</w:t>
      </w:r>
      <w:r w:rsidRPr="003F7446">
        <w:rPr>
          <w:szCs w:val="22"/>
        </w:rPr>
        <w:sym w:font="Symbol" w:char="F025"/>
      </w:r>
      <w:r w:rsidRPr="003F7446">
        <w:rPr>
          <w:szCs w:val="22"/>
        </w:rPr>
        <w:t xml:space="preserve"> pacientų, kitokių piktybinių navikų išsivystė 1,1</w:t>
      </w:r>
      <w:r w:rsidRPr="003F7446">
        <w:rPr>
          <w:szCs w:val="22"/>
        </w:rPr>
        <w:sym w:font="Symbol" w:char="F025"/>
      </w:r>
      <w:r w:rsidRPr="003F7446">
        <w:rPr>
          <w:szCs w:val="22"/>
        </w:rPr>
        <w:t xml:space="preserve">. Trijų metų saugumo tyrimo duomenimis, pacientams, kuriems persodinti inkstai arba širdis, tyrimai neparodė nelaukto piktybinių auglių dažnio pokyčio, palyginti su vienerių metų tyrimo duomenimis. Pacientai, kuriems persodintos kepenys, buvo stebėti mažiausiai vienerius metus, tačiau mažiau negu 3 metus. </w:t>
      </w:r>
    </w:p>
    <w:p w14:paraId="6B17B53C" w14:textId="77777777" w:rsidR="0052287E" w:rsidRPr="003F7446" w:rsidRDefault="0052287E" w:rsidP="0052287E">
      <w:pPr>
        <w:pStyle w:val="Default"/>
        <w:rPr>
          <w:color w:val="auto"/>
          <w:sz w:val="22"/>
          <w:szCs w:val="22"/>
          <w:u w:val="single"/>
          <w:lang w:val="lt-LT"/>
        </w:rPr>
      </w:pPr>
    </w:p>
    <w:p w14:paraId="07909E7C" w14:textId="77777777" w:rsidR="0052287E" w:rsidRPr="003F7446" w:rsidRDefault="0052287E" w:rsidP="0052287E">
      <w:pPr>
        <w:pStyle w:val="Default"/>
        <w:rPr>
          <w:color w:val="auto"/>
          <w:sz w:val="22"/>
          <w:szCs w:val="22"/>
          <w:lang w:val="lt-LT"/>
        </w:rPr>
      </w:pPr>
      <w:r w:rsidRPr="003F7446">
        <w:rPr>
          <w:color w:val="auto"/>
          <w:sz w:val="22"/>
          <w:szCs w:val="22"/>
          <w:u w:val="single"/>
          <w:lang w:val="lt-LT"/>
        </w:rPr>
        <w:t>Oportunistinės infekcijos</w:t>
      </w:r>
      <w:r w:rsidRPr="003F7446">
        <w:rPr>
          <w:color w:val="auto"/>
          <w:sz w:val="22"/>
          <w:szCs w:val="22"/>
          <w:lang w:val="lt-LT"/>
        </w:rPr>
        <w:t xml:space="preserve">: </w:t>
      </w:r>
    </w:p>
    <w:p w14:paraId="521CACE0"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Po visų transplantacijų pacientams padidėja oportunistinių infekcijų išsivystymo pavojus. Šis pavojus tuo didesnis, kuo daugiau vartojama </w:t>
      </w:r>
      <w:proofErr w:type="spellStart"/>
      <w:r w:rsidRPr="003F7446">
        <w:rPr>
          <w:color w:val="auto"/>
          <w:sz w:val="22"/>
          <w:szCs w:val="22"/>
          <w:lang w:val="lt-LT"/>
        </w:rPr>
        <w:t>imunosupresantų</w:t>
      </w:r>
      <w:proofErr w:type="spellEnd"/>
      <w:r w:rsidRPr="003F7446">
        <w:rPr>
          <w:color w:val="auto"/>
          <w:sz w:val="22"/>
          <w:szCs w:val="22"/>
          <w:lang w:val="lt-LT"/>
        </w:rPr>
        <w:t xml:space="preserve"> (žr. 4.4 skyrių). Kontroliuojamus klinikinių tyrimų metu ir mažiausiai vienerius metus po transplantacijos stebint pacientus, vartojančius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mofetilio</w:t>
      </w:r>
      <w:proofErr w:type="spellEnd"/>
      <w:r w:rsidRPr="003F7446">
        <w:rPr>
          <w:color w:val="auto"/>
          <w:sz w:val="22"/>
          <w:szCs w:val="22"/>
          <w:lang w:val="lt-LT"/>
        </w:rPr>
        <w:t xml:space="preserve"> (po 2 g arba 3 g per parą) kartu su kitais </w:t>
      </w:r>
      <w:proofErr w:type="spellStart"/>
      <w:r w:rsidRPr="003F7446">
        <w:rPr>
          <w:color w:val="auto"/>
          <w:sz w:val="22"/>
          <w:szCs w:val="22"/>
          <w:lang w:val="lt-LT"/>
        </w:rPr>
        <w:t>imunosupresantais</w:t>
      </w:r>
      <w:proofErr w:type="spellEnd"/>
      <w:r w:rsidRPr="003F7446">
        <w:rPr>
          <w:color w:val="auto"/>
          <w:sz w:val="22"/>
          <w:szCs w:val="22"/>
          <w:lang w:val="lt-LT"/>
        </w:rPr>
        <w:t xml:space="preserve"> po inksto (vartota 2 g), širdies ir </w:t>
      </w:r>
      <w:r w:rsidRPr="003F7446">
        <w:rPr>
          <w:color w:val="auto"/>
          <w:sz w:val="22"/>
          <w:szCs w:val="22"/>
          <w:lang w:val="lt-LT"/>
        </w:rPr>
        <w:lastRenderedPageBreak/>
        <w:t xml:space="preserve">kepenų persodinimo, dažniausiai pasireiškė odos ir gleivinių </w:t>
      </w:r>
      <w:proofErr w:type="spellStart"/>
      <w:r w:rsidRPr="003F7446">
        <w:rPr>
          <w:i/>
          <w:color w:val="auto"/>
          <w:sz w:val="22"/>
          <w:szCs w:val="22"/>
          <w:lang w:val="lt-LT"/>
        </w:rPr>
        <w:t>Candida</w:t>
      </w:r>
      <w:proofErr w:type="spellEnd"/>
      <w:r w:rsidRPr="003F7446">
        <w:rPr>
          <w:color w:val="auto"/>
          <w:sz w:val="22"/>
          <w:szCs w:val="22"/>
          <w:lang w:val="lt-LT"/>
        </w:rPr>
        <w:t xml:space="preserve"> infekcija, </w:t>
      </w:r>
      <w:proofErr w:type="spellStart"/>
      <w:r w:rsidRPr="003F7446">
        <w:rPr>
          <w:color w:val="auto"/>
          <w:sz w:val="22"/>
          <w:szCs w:val="22"/>
          <w:lang w:val="lt-LT"/>
        </w:rPr>
        <w:t>citomegaloviruso</w:t>
      </w:r>
      <w:proofErr w:type="spellEnd"/>
      <w:r w:rsidRPr="003F7446">
        <w:rPr>
          <w:color w:val="auto"/>
          <w:sz w:val="22"/>
          <w:szCs w:val="22"/>
          <w:lang w:val="lt-LT"/>
        </w:rPr>
        <w:t xml:space="preserve"> (CMV) </w:t>
      </w:r>
      <w:proofErr w:type="spellStart"/>
      <w:r w:rsidRPr="003F7446">
        <w:rPr>
          <w:color w:val="auto"/>
          <w:sz w:val="22"/>
          <w:szCs w:val="22"/>
          <w:lang w:val="lt-LT"/>
        </w:rPr>
        <w:t>viremija</w:t>
      </w:r>
      <w:proofErr w:type="spellEnd"/>
      <w:r w:rsidRPr="003F7446">
        <w:rPr>
          <w:color w:val="auto"/>
          <w:sz w:val="22"/>
          <w:szCs w:val="22"/>
          <w:lang w:val="lt-LT"/>
        </w:rPr>
        <w:t xml:space="preserve">/sindromas ir </w:t>
      </w:r>
      <w:proofErr w:type="spellStart"/>
      <w:r w:rsidRPr="003F7446">
        <w:rPr>
          <w:i/>
          <w:color w:val="auto"/>
          <w:sz w:val="22"/>
          <w:szCs w:val="22"/>
          <w:lang w:val="lt-LT"/>
        </w:rPr>
        <w:t>Herpes</w:t>
      </w:r>
      <w:proofErr w:type="spellEnd"/>
      <w:r w:rsidRPr="003F7446">
        <w:rPr>
          <w:i/>
          <w:color w:val="auto"/>
          <w:sz w:val="22"/>
          <w:szCs w:val="22"/>
          <w:lang w:val="lt-LT"/>
        </w:rPr>
        <w:t xml:space="preserve"> </w:t>
      </w:r>
      <w:proofErr w:type="spellStart"/>
      <w:r w:rsidRPr="003F7446">
        <w:rPr>
          <w:i/>
          <w:color w:val="auto"/>
          <w:sz w:val="22"/>
          <w:szCs w:val="22"/>
          <w:lang w:val="lt-LT"/>
        </w:rPr>
        <w:t>simplex</w:t>
      </w:r>
      <w:proofErr w:type="spellEnd"/>
      <w:r w:rsidRPr="003F7446">
        <w:rPr>
          <w:color w:val="auto"/>
          <w:sz w:val="22"/>
          <w:szCs w:val="22"/>
          <w:lang w:val="lt-LT"/>
        </w:rPr>
        <w:t xml:space="preserve"> infekcija. CMV </w:t>
      </w:r>
      <w:proofErr w:type="spellStart"/>
      <w:r w:rsidRPr="003F7446">
        <w:rPr>
          <w:color w:val="auto"/>
          <w:sz w:val="22"/>
          <w:szCs w:val="22"/>
          <w:lang w:val="lt-LT"/>
        </w:rPr>
        <w:t>viremija</w:t>
      </w:r>
      <w:proofErr w:type="spellEnd"/>
      <w:r w:rsidRPr="003F7446">
        <w:rPr>
          <w:color w:val="auto"/>
          <w:sz w:val="22"/>
          <w:szCs w:val="22"/>
          <w:lang w:val="lt-LT"/>
        </w:rPr>
        <w:t xml:space="preserve">/sindromas pasireiškė 13,5 % pacientų. </w:t>
      </w:r>
    </w:p>
    <w:p w14:paraId="3120DF33" w14:textId="77777777" w:rsidR="0052287E" w:rsidRPr="003F7446" w:rsidRDefault="0052287E" w:rsidP="0052287E">
      <w:pPr>
        <w:pStyle w:val="Default"/>
        <w:rPr>
          <w:color w:val="auto"/>
          <w:sz w:val="22"/>
          <w:szCs w:val="22"/>
          <w:u w:val="single"/>
          <w:lang w:val="lt-LT"/>
        </w:rPr>
      </w:pPr>
    </w:p>
    <w:p w14:paraId="551F687D" w14:textId="77777777" w:rsidR="0052287E" w:rsidRPr="003F7446" w:rsidRDefault="0052287E" w:rsidP="0052287E">
      <w:pPr>
        <w:pStyle w:val="Default"/>
        <w:rPr>
          <w:color w:val="auto"/>
          <w:sz w:val="22"/>
          <w:szCs w:val="22"/>
          <w:lang w:val="lt-LT"/>
        </w:rPr>
      </w:pPr>
      <w:r w:rsidRPr="003F7446">
        <w:rPr>
          <w:color w:val="auto"/>
          <w:sz w:val="22"/>
          <w:szCs w:val="22"/>
          <w:u w:val="single"/>
          <w:lang w:val="lt-LT"/>
        </w:rPr>
        <w:t>Vaikams ir paaugliams (2–18 metų amžiaus)</w:t>
      </w:r>
      <w:r w:rsidRPr="003F7446">
        <w:rPr>
          <w:color w:val="auto"/>
          <w:sz w:val="22"/>
          <w:szCs w:val="22"/>
          <w:lang w:val="lt-LT"/>
        </w:rPr>
        <w:t xml:space="preserve">: </w:t>
      </w:r>
    </w:p>
    <w:p w14:paraId="30F86FC2"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Klinikinio tyrimo duomenimis, kurio metu 92 vaikams ir paaugliams (2–18 metų amžiaus) buvo duodama gerti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mofetilio</w:t>
      </w:r>
      <w:proofErr w:type="spellEnd"/>
      <w:r w:rsidRPr="003F7446">
        <w:rPr>
          <w:color w:val="auto"/>
          <w:sz w:val="22"/>
          <w:szCs w:val="22"/>
          <w:lang w:val="lt-LT"/>
        </w:rPr>
        <w:t xml:space="preserve"> po 600 mg/m</w:t>
      </w:r>
      <w:r w:rsidRPr="003F7446">
        <w:rPr>
          <w:color w:val="auto"/>
          <w:sz w:val="22"/>
          <w:szCs w:val="22"/>
          <w:vertAlign w:val="superscript"/>
          <w:lang w:val="lt-LT"/>
        </w:rPr>
        <w:t xml:space="preserve">2 </w:t>
      </w:r>
      <w:r w:rsidRPr="003F7446">
        <w:rPr>
          <w:color w:val="auto"/>
          <w:sz w:val="22"/>
          <w:szCs w:val="22"/>
          <w:lang w:val="lt-LT"/>
        </w:rPr>
        <w:t xml:space="preserve">du kartus per parą, nepageidaujamų reakcijų tipas ir dažnis paprastai buvo panašus kaip suaugusių pacientų, vartojančių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mofetilio</w:t>
      </w:r>
      <w:proofErr w:type="spellEnd"/>
      <w:r w:rsidRPr="003F7446">
        <w:rPr>
          <w:color w:val="auto"/>
          <w:sz w:val="22"/>
          <w:szCs w:val="22"/>
          <w:lang w:val="lt-LT"/>
        </w:rPr>
        <w:t xml:space="preserve"> po 1 g du kartus per parą. Tačiau, palyginti su poveikiu suaugusiems pacientams, vaikams, ypač jaunesniems nei 6 metų amžiaus, dažniau pasitaikė šie su gydymu susiję nepageidaujami reiškiniai: viduriavimas, sepsis, </w:t>
      </w:r>
      <w:proofErr w:type="spellStart"/>
      <w:r w:rsidRPr="003F7446">
        <w:rPr>
          <w:color w:val="auto"/>
          <w:sz w:val="22"/>
          <w:szCs w:val="22"/>
          <w:lang w:val="lt-LT"/>
        </w:rPr>
        <w:t>leukopenija</w:t>
      </w:r>
      <w:proofErr w:type="spellEnd"/>
      <w:r w:rsidRPr="003F7446">
        <w:rPr>
          <w:color w:val="auto"/>
          <w:sz w:val="22"/>
          <w:szCs w:val="22"/>
          <w:lang w:val="lt-LT"/>
        </w:rPr>
        <w:t xml:space="preserve">, anemija ir infekcinės ligos. </w:t>
      </w:r>
    </w:p>
    <w:p w14:paraId="45E431FA" w14:textId="77777777" w:rsidR="0052287E" w:rsidRPr="003F7446" w:rsidRDefault="0052287E" w:rsidP="0052287E">
      <w:pPr>
        <w:pStyle w:val="Default"/>
        <w:rPr>
          <w:color w:val="auto"/>
          <w:sz w:val="22"/>
          <w:szCs w:val="22"/>
          <w:u w:val="single"/>
          <w:lang w:val="lt-LT"/>
        </w:rPr>
      </w:pPr>
    </w:p>
    <w:p w14:paraId="5E5E2F1E" w14:textId="77777777" w:rsidR="0052287E" w:rsidRPr="003F7446" w:rsidRDefault="0052287E" w:rsidP="0052287E">
      <w:pPr>
        <w:pStyle w:val="Default"/>
        <w:rPr>
          <w:color w:val="auto"/>
          <w:sz w:val="22"/>
          <w:szCs w:val="22"/>
          <w:lang w:val="lt-LT"/>
        </w:rPr>
      </w:pPr>
      <w:r w:rsidRPr="003F7446">
        <w:rPr>
          <w:color w:val="auto"/>
          <w:sz w:val="22"/>
          <w:szCs w:val="22"/>
          <w:u w:val="single"/>
          <w:lang w:val="lt-LT"/>
        </w:rPr>
        <w:t>Senyviems (≥ 65 metų amžiaus) pacientams</w:t>
      </w:r>
      <w:r w:rsidRPr="003F7446">
        <w:rPr>
          <w:color w:val="auto"/>
          <w:sz w:val="22"/>
          <w:szCs w:val="22"/>
          <w:lang w:val="lt-LT"/>
        </w:rPr>
        <w:t xml:space="preserve">: </w:t>
      </w:r>
    </w:p>
    <w:p w14:paraId="5E426FEF" w14:textId="77777777" w:rsidR="0052287E" w:rsidRPr="003F7446" w:rsidRDefault="0052287E" w:rsidP="0052287E">
      <w:pPr>
        <w:rPr>
          <w:szCs w:val="22"/>
        </w:rPr>
      </w:pPr>
      <w:r w:rsidRPr="003F7446">
        <w:rPr>
          <w:szCs w:val="22"/>
        </w:rPr>
        <w:t xml:space="preserve">Senyviems pacientams (≥ 65 metų amžiaus) bendrai gali būti padidėjęs nepageidaujamų reakcijų pavojus dėl </w:t>
      </w:r>
      <w:proofErr w:type="spellStart"/>
      <w:r w:rsidRPr="003F7446">
        <w:rPr>
          <w:szCs w:val="22"/>
        </w:rPr>
        <w:t>imunosupresijos</w:t>
      </w:r>
      <w:proofErr w:type="spellEnd"/>
      <w:r w:rsidRPr="003F7446">
        <w:rPr>
          <w:szCs w:val="22"/>
        </w:rPr>
        <w:t xml:space="preserve">. Senyviems žmonėms, gydomiems </w:t>
      </w:r>
      <w:proofErr w:type="spellStart"/>
      <w:r w:rsidRPr="003F7446">
        <w:rPr>
          <w:szCs w:val="22"/>
        </w:rPr>
        <w:t>mikofenolato</w:t>
      </w:r>
      <w:proofErr w:type="spellEnd"/>
      <w:r w:rsidRPr="003F7446">
        <w:rPr>
          <w:szCs w:val="22"/>
        </w:rPr>
        <w:t xml:space="preserve"> </w:t>
      </w:r>
      <w:proofErr w:type="spellStart"/>
      <w:r w:rsidRPr="003F7446">
        <w:rPr>
          <w:szCs w:val="22"/>
        </w:rPr>
        <w:t>mofetiliu</w:t>
      </w:r>
      <w:proofErr w:type="spellEnd"/>
      <w:r w:rsidRPr="003F7446">
        <w:rPr>
          <w:szCs w:val="22"/>
        </w:rPr>
        <w:t xml:space="preserve">, kaip dalimi kompleksinio imunosupresinio gydymo, gali būti didesnis infekcinės ligos (įskaitant </w:t>
      </w:r>
      <w:proofErr w:type="spellStart"/>
      <w:r w:rsidRPr="003F7446">
        <w:rPr>
          <w:szCs w:val="22"/>
        </w:rPr>
        <w:t>citomegalovirusų</w:t>
      </w:r>
      <w:proofErr w:type="spellEnd"/>
      <w:r w:rsidRPr="003F7446">
        <w:rPr>
          <w:szCs w:val="22"/>
        </w:rPr>
        <w:t xml:space="preserve"> sukeliamą invazinę audinių ligą), galimai ir virškinimo trakto </w:t>
      </w:r>
      <w:proofErr w:type="spellStart"/>
      <w:r w:rsidRPr="003F7446">
        <w:rPr>
          <w:szCs w:val="22"/>
        </w:rPr>
        <w:t>hemoragijos</w:t>
      </w:r>
      <w:proofErr w:type="spellEnd"/>
      <w:r w:rsidRPr="003F7446">
        <w:rPr>
          <w:szCs w:val="22"/>
        </w:rPr>
        <w:t xml:space="preserve"> bei plaučių edemos pavojus, palyginus su jaunesniais suaugusiais žmonėmis. </w:t>
      </w:r>
    </w:p>
    <w:p w14:paraId="35CCFC17" w14:textId="77777777" w:rsidR="0052287E" w:rsidRPr="003F7446" w:rsidRDefault="0052287E" w:rsidP="0052287E">
      <w:pPr>
        <w:rPr>
          <w:szCs w:val="22"/>
        </w:rPr>
      </w:pPr>
    </w:p>
    <w:p w14:paraId="13EFD726" w14:textId="77777777" w:rsidR="0052287E" w:rsidRPr="003F7446" w:rsidRDefault="0052287E" w:rsidP="0052287E">
      <w:pPr>
        <w:rPr>
          <w:szCs w:val="22"/>
          <w:u w:val="single"/>
        </w:rPr>
      </w:pPr>
      <w:r w:rsidRPr="003F7446">
        <w:rPr>
          <w:szCs w:val="22"/>
          <w:u w:val="single"/>
        </w:rPr>
        <w:t>Kitokios nepageidaujamos reakcijos</w:t>
      </w:r>
    </w:p>
    <w:p w14:paraId="731D89A5" w14:textId="77777777" w:rsidR="0052287E" w:rsidRPr="003F7446" w:rsidRDefault="0052287E" w:rsidP="0052287E">
      <w:pPr>
        <w:rPr>
          <w:szCs w:val="22"/>
        </w:rPr>
      </w:pPr>
      <w:r w:rsidRPr="003F7446">
        <w:rPr>
          <w:szCs w:val="22"/>
        </w:rPr>
        <w:t xml:space="preserve">Nepageidaujamos reakcijos, kurios gal būt arba tikriausiai susijusios su </w:t>
      </w:r>
      <w:proofErr w:type="spellStart"/>
      <w:r w:rsidRPr="003F7446">
        <w:rPr>
          <w:szCs w:val="22"/>
        </w:rPr>
        <w:t>mikofenolato</w:t>
      </w:r>
      <w:proofErr w:type="spellEnd"/>
      <w:r w:rsidRPr="003F7446">
        <w:rPr>
          <w:szCs w:val="22"/>
        </w:rPr>
        <w:t xml:space="preserve"> </w:t>
      </w:r>
      <w:proofErr w:type="spellStart"/>
      <w:r w:rsidRPr="003F7446">
        <w:rPr>
          <w:szCs w:val="22"/>
        </w:rPr>
        <w:t>mofetiliu</w:t>
      </w:r>
      <w:proofErr w:type="spellEnd"/>
      <w:r w:rsidRPr="003F7446">
        <w:rPr>
          <w:szCs w:val="22"/>
        </w:rPr>
        <w:t xml:space="preserve"> ir kurios kontroliuojamų klinikinių tyrimų metu pasireiškė </w:t>
      </w:r>
      <w:r w:rsidRPr="003F7446">
        <w:rPr>
          <w:szCs w:val="22"/>
        </w:rPr>
        <w:sym w:font="Symbol" w:char="F0B3"/>
      </w:r>
      <w:r w:rsidRPr="003F7446">
        <w:rPr>
          <w:szCs w:val="22"/>
        </w:rPr>
        <w:t xml:space="preserve"> 1/10 arba nuo </w:t>
      </w:r>
      <w:r w:rsidRPr="003F7446">
        <w:rPr>
          <w:szCs w:val="22"/>
        </w:rPr>
        <w:sym w:font="Symbol" w:char="F0B3"/>
      </w:r>
      <w:r w:rsidRPr="003F7446">
        <w:rPr>
          <w:szCs w:val="22"/>
        </w:rPr>
        <w:t xml:space="preserve"> 1/100 iki &lt; 1/10 pacientų, </w:t>
      </w:r>
      <w:proofErr w:type="spellStart"/>
      <w:r w:rsidRPr="003F7446">
        <w:rPr>
          <w:szCs w:val="22"/>
        </w:rPr>
        <w:t>mikofenolato</w:t>
      </w:r>
      <w:proofErr w:type="spellEnd"/>
      <w:r w:rsidRPr="003F7446">
        <w:rPr>
          <w:szCs w:val="22"/>
        </w:rPr>
        <w:t xml:space="preserve"> </w:t>
      </w:r>
      <w:proofErr w:type="spellStart"/>
      <w:r w:rsidRPr="003F7446">
        <w:rPr>
          <w:szCs w:val="22"/>
        </w:rPr>
        <w:t>mofetiliu</w:t>
      </w:r>
      <w:proofErr w:type="spellEnd"/>
      <w:r w:rsidRPr="003F7446">
        <w:rPr>
          <w:szCs w:val="22"/>
        </w:rPr>
        <w:t xml:space="preserve"> gydytų po inkstų (2 g paros doze), širdies ar kepenų persodinimo, išvardytos žemiau esančioje lentelėje.</w:t>
      </w:r>
    </w:p>
    <w:p w14:paraId="4F366BA9" w14:textId="77777777" w:rsidR="00F146C9" w:rsidRPr="003F7446" w:rsidRDefault="00F146C9" w:rsidP="0052287E">
      <w:pPr>
        <w:rPr>
          <w:szCs w:val="22"/>
        </w:rPr>
      </w:pPr>
    </w:p>
    <w:p w14:paraId="75CD21CF" w14:textId="77777777" w:rsidR="0052287E" w:rsidRPr="003F7446" w:rsidRDefault="0052287E" w:rsidP="0052287E">
      <w:pPr>
        <w:pStyle w:val="Default"/>
        <w:rPr>
          <w:b/>
          <w:bCs/>
          <w:color w:val="auto"/>
          <w:sz w:val="22"/>
          <w:szCs w:val="22"/>
          <w:lang w:val="lt-LT"/>
        </w:rPr>
      </w:pPr>
      <w:r w:rsidRPr="003F7446">
        <w:rPr>
          <w:b/>
          <w:bCs/>
          <w:color w:val="auto"/>
          <w:sz w:val="22"/>
          <w:szCs w:val="22"/>
          <w:lang w:val="lt-LT"/>
        </w:rPr>
        <w:t xml:space="preserve">Nepageidaujamos reakcijos, kurios tikriausiai arba galbūt susijusios su </w:t>
      </w:r>
      <w:proofErr w:type="spellStart"/>
      <w:r w:rsidRPr="003F7446">
        <w:rPr>
          <w:b/>
          <w:color w:val="auto"/>
          <w:sz w:val="22"/>
          <w:szCs w:val="22"/>
          <w:lang w:val="lt-LT"/>
        </w:rPr>
        <w:t>mikofenolato</w:t>
      </w:r>
      <w:proofErr w:type="spellEnd"/>
      <w:r w:rsidRPr="003F7446">
        <w:rPr>
          <w:b/>
          <w:color w:val="auto"/>
          <w:sz w:val="22"/>
          <w:szCs w:val="22"/>
          <w:lang w:val="lt-LT"/>
        </w:rPr>
        <w:t xml:space="preserve"> </w:t>
      </w:r>
      <w:proofErr w:type="spellStart"/>
      <w:r w:rsidRPr="003F7446">
        <w:rPr>
          <w:b/>
          <w:color w:val="auto"/>
          <w:sz w:val="22"/>
          <w:szCs w:val="22"/>
          <w:lang w:val="lt-LT"/>
        </w:rPr>
        <w:t>mofetiliu</w:t>
      </w:r>
      <w:proofErr w:type="spellEnd"/>
      <w:r w:rsidRPr="003F7446">
        <w:rPr>
          <w:b/>
          <w:bCs/>
          <w:color w:val="auto"/>
          <w:sz w:val="22"/>
          <w:szCs w:val="22"/>
          <w:lang w:val="lt-LT"/>
        </w:rPr>
        <w:t xml:space="preserve"> ir aprašomos klinikiniuose tyrimuose dalyvavusiems pacientams, kurie po inkstų, širdies ir kepenų persodinimo buvo gydyti </w:t>
      </w:r>
      <w:proofErr w:type="spellStart"/>
      <w:r w:rsidRPr="003F7446">
        <w:rPr>
          <w:b/>
          <w:color w:val="auto"/>
          <w:sz w:val="22"/>
          <w:szCs w:val="22"/>
          <w:lang w:val="lt-LT"/>
        </w:rPr>
        <w:t>mikofenolato</w:t>
      </w:r>
      <w:proofErr w:type="spellEnd"/>
      <w:r w:rsidRPr="003F7446">
        <w:rPr>
          <w:b/>
          <w:color w:val="auto"/>
          <w:sz w:val="22"/>
          <w:szCs w:val="22"/>
          <w:lang w:val="lt-LT"/>
        </w:rPr>
        <w:t xml:space="preserve"> </w:t>
      </w:r>
      <w:proofErr w:type="spellStart"/>
      <w:r w:rsidRPr="003F7446">
        <w:rPr>
          <w:b/>
          <w:color w:val="auto"/>
          <w:sz w:val="22"/>
          <w:szCs w:val="22"/>
          <w:lang w:val="lt-LT"/>
        </w:rPr>
        <w:t>mofetiliu</w:t>
      </w:r>
      <w:proofErr w:type="spellEnd"/>
      <w:r w:rsidRPr="003F7446">
        <w:rPr>
          <w:b/>
          <w:bCs/>
          <w:color w:val="auto"/>
          <w:sz w:val="22"/>
          <w:szCs w:val="22"/>
          <w:lang w:val="lt-LT"/>
        </w:rPr>
        <w:t xml:space="preserve">, </w:t>
      </w:r>
      <w:proofErr w:type="spellStart"/>
      <w:r w:rsidRPr="003F7446">
        <w:rPr>
          <w:b/>
          <w:bCs/>
          <w:color w:val="auto"/>
          <w:sz w:val="22"/>
          <w:szCs w:val="22"/>
          <w:lang w:val="lt-LT"/>
        </w:rPr>
        <w:t>ciklosporino</w:t>
      </w:r>
      <w:proofErr w:type="spellEnd"/>
      <w:r w:rsidRPr="003F7446">
        <w:rPr>
          <w:b/>
          <w:bCs/>
          <w:color w:val="auto"/>
          <w:sz w:val="22"/>
          <w:szCs w:val="22"/>
          <w:lang w:val="lt-LT"/>
        </w:rPr>
        <w:t xml:space="preserve"> ir kortikosteroidų deriniu </w:t>
      </w:r>
    </w:p>
    <w:p w14:paraId="59970639" w14:textId="77777777" w:rsidR="0052287E" w:rsidRPr="003F7446" w:rsidRDefault="0052287E" w:rsidP="0052287E">
      <w:pPr>
        <w:pStyle w:val="Default"/>
        <w:rPr>
          <w:b/>
          <w:bCs/>
          <w:color w:val="auto"/>
          <w:sz w:val="22"/>
          <w:szCs w:val="22"/>
          <w:lang w:val="lt-LT"/>
        </w:rPr>
      </w:pPr>
    </w:p>
    <w:p w14:paraId="11D694A6" w14:textId="77777777" w:rsidR="0052287E" w:rsidRPr="003F7446" w:rsidRDefault="0052287E" w:rsidP="0052287E">
      <w:pPr>
        <w:pStyle w:val="Default"/>
        <w:rPr>
          <w:color w:val="auto"/>
          <w:sz w:val="22"/>
          <w:szCs w:val="22"/>
          <w:lang w:val="lt-LT"/>
        </w:rPr>
      </w:pPr>
      <w:r w:rsidRPr="003F7446">
        <w:rPr>
          <w:color w:val="auto"/>
          <w:sz w:val="22"/>
          <w:szCs w:val="22"/>
          <w:lang w:val="lt-LT"/>
        </w:rPr>
        <w:t>Organų sistemų klasėse nepageidaujamas poveikis išvardytas atsižvelgiant į jo dažnį, taikant tokią klasifikaciją: labai dažnas (≥ 1/10); dažnas (≥ 1/100 - &lt; 1/10); nedažnas (≥1/1000 - &lt;1/100); retas (≥1/10000 - &lt;1/1000); labai retas (&lt;1/10000); nežinomas (iš turimų duomenų apskaičiuoti negalima). Kiekvieno dažnio grupėje nepageidaujamas poveikis pateikiamas mažėjančio sunkumo tvarka.</w:t>
      </w:r>
    </w:p>
    <w:p w14:paraId="701152E8" w14:textId="77777777" w:rsidR="0052287E" w:rsidRPr="003F7446" w:rsidRDefault="0052287E" w:rsidP="0052287E">
      <w:pPr>
        <w:pStyle w:val="Default"/>
        <w:rPr>
          <w:color w:val="auto"/>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980"/>
        <w:gridCol w:w="4499"/>
      </w:tblGrid>
      <w:tr w:rsidR="0052287E" w:rsidRPr="003F7446" w14:paraId="7692B532" w14:textId="77777777" w:rsidTr="008912E3">
        <w:tc>
          <w:tcPr>
            <w:tcW w:w="4788" w:type="dxa"/>
            <w:gridSpan w:val="2"/>
            <w:tcBorders>
              <w:top w:val="single" w:sz="4" w:space="0" w:color="auto"/>
              <w:left w:val="single" w:sz="4" w:space="0" w:color="auto"/>
              <w:bottom w:val="single" w:sz="4" w:space="0" w:color="auto"/>
              <w:right w:val="single" w:sz="4" w:space="0" w:color="auto"/>
            </w:tcBorders>
            <w:hideMark/>
          </w:tcPr>
          <w:p w14:paraId="63A68DBC" w14:textId="77777777" w:rsidR="0052287E" w:rsidRPr="003F7446" w:rsidRDefault="0052287E">
            <w:pPr>
              <w:jc w:val="center"/>
              <w:rPr>
                <w:szCs w:val="22"/>
              </w:rPr>
            </w:pPr>
            <w:r w:rsidRPr="003F7446">
              <w:rPr>
                <w:szCs w:val="22"/>
              </w:rPr>
              <w:t>Organų sistemų klasė</w:t>
            </w:r>
          </w:p>
        </w:tc>
        <w:tc>
          <w:tcPr>
            <w:tcW w:w="4499" w:type="dxa"/>
            <w:tcBorders>
              <w:top w:val="single" w:sz="4" w:space="0" w:color="auto"/>
              <w:left w:val="single" w:sz="4" w:space="0" w:color="auto"/>
              <w:bottom w:val="single" w:sz="4" w:space="0" w:color="auto"/>
              <w:right w:val="single" w:sz="4" w:space="0" w:color="auto"/>
            </w:tcBorders>
            <w:hideMark/>
          </w:tcPr>
          <w:p w14:paraId="07983E17" w14:textId="77777777" w:rsidR="0052287E" w:rsidRPr="003F7446" w:rsidRDefault="0052287E">
            <w:pPr>
              <w:rPr>
                <w:szCs w:val="22"/>
              </w:rPr>
            </w:pPr>
            <w:r w:rsidRPr="003F7446">
              <w:rPr>
                <w:szCs w:val="22"/>
              </w:rPr>
              <w:t>Nepageidaujamos reakcijos</w:t>
            </w:r>
          </w:p>
        </w:tc>
      </w:tr>
      <w:tr w:rsidR="0052287E" w:rsidRPr="003F7446" w14:paraId="2F86AAE7" w14:textId="77777777" w:rsidTr="008912E3">
        <w:tc>
          <w:tcPr>
            <w:tcW w:w="2808" w:type="dxa"/>
            <w:tcBorders>
              <w:top w:val="single" w:sz="4" w:space="0" w:color="auto"/>
              <w:left w:val="single" w:sz="4" w:space="0" w:color="auto"/>
              <w:bottom w:val="single" w:sz="4" w:space="0" w:color="auto"/>
              <w:right w:val="single" w:sz="4" w:space="0" w:color="auto"/>
            </w:tcBorders>
            <w:hideMark/>
          </w:tcPr>
          <w:p w14:paraId="753E2BE2" w14:textId="77777777" w:rsidR="0052287E" w:rsidRPr="003F7446" w:rsidRDefault="0052287E">
            <w:pPr>
              <w:rPr>
                <w:szCs w:val="22"/>
              </w:rPr>
            </w:pPr>
            <w:r w:rsidRPr="003F7446">
              <w:rPr>
                <w:szCs w:val="22"/>
              </w:rPr>
              <w:t xml:space="preserve">Infekcijos ir </w:t>
            </w:r>
            <w:proofErr w:type="spellStart"/>
            <w:r w:rsidRPr="003F7446">
              <w:rPr>
                <w:szCs w:val="22"/>
              </w:rPr>
              <w:t>infestacijos</w:t>
            </w:r>
            <w:proofErr w:type="spellEnd"/>
          </w:p>
        </w:tc>
        <w:tc>
          <w:tcPr>
            <w:tcW w:w="1980" w:type="dxa"/>
            <w:tcBorders>
              <w:top w:val="single" w:sz="4" w:space="0" w:color="auto"/>
              <w:left w:val="single" w:sz="4" w:space="0" w:color="auto"/>
              <w:bottom w:val="single" w:sz="4" w:space="0" w:color="auto"/>
              <w:right w:val="single" w:sz="4" w:space="0" w:color="auto"/>
            </w:tcBorders>
          </w:tcPr>
          <w:p w14:paraId="6D266C84" w14:textId="77777777" w:rsidR="0052287E" w:rsidRPr="003F7446" w:rsidRDefault="0052287E">
            <w:pPr>
              <w:rPr>
                <w:szCs w:val="22"/>
              </w:rPr>
            </w:pPr>
            <w:r w:rsidRPr="003F7446">
              <w:rPr>
                <w:szCs w:val="22"/>
              </w:rPr>
              <w:t>Labai dažni</w:t>
            </w:r>
          </w:p>
          <w:p w14:paraId="761E080C" w14:textId="77777777" w:rsidR="0052287E" w:rsidRPr="003F7446" w:rsidRDefault="0052287E">
            <w:pPr>
              <w:rPr>
                <w:szCs w:val="22"/>
              </w:rPr>
            </w:pPr>
          </w:p>
          <w:p w14:paraId="7927BD8D" w14:textId="77777777" w:rsidR="0052287E" w:rsidRPr="003F7446" w:rsidRDefault="0052287E">
            <w:pPr>
              <w:rPr>
                <w:szCs w:val="22"/>
              </w:rPr>
            </w:pPr>
          </w:p>
          <w:p w14:paraId="049FBA8B" w14:textId="77777777" w:rsidR="0052287E" w:rsidRPr="003F7446" w:rsidRDefault="0052287E">
            <w:pPr>
              <w:rPr>
                <w:szCs w:val="22"/>
              </w:rPr>
            </w:pPr>
          </w:p>
          <w:p w14:paraId="7EC424C2" w14:textId="77777777" w:rsidR="0052287E" w:rsidRPr="003F7446" w:rsidRDefault="0052287E">
            <w:pPr>
              <w:rPr>
                <w:szCs w:val="22"/>
              </w:rPr>
            </w:pPr>
            <w:r w:rsidRPr="003F7446">
              <w:rPr>
                <w:szCs w:val="22"/>
              </w:rPr>
              <w:t>Dažni</w:t>
            </w:r>
          </w:p>
        </w:tc>
        <w:tc>
          <w:tcPr>
            <w:tcW w:w="4499" w:type="dxa"/>
            <w:tcBorders>
              <w:top w:val="single" w:sz="4" w:space="0" w:color="auto"/>
              <w:left w:val="single" w:sz="4" w:space="0" w:color="auto"/>
              <w:bottom w:val="single" w:sz="4" w:space="0" w:color="auto"/>
              <w:right w:val="single" w:sz="4" w:space="0" w:color="auto"/>
            </w:tcBorders>
          </w:tcPr>
          <w:p w14:paraId="45C32482" w14:textId="77777777" w:rsidR="0052287E" w:rsidRPr="003F7446" w:rsidRDefault="0052287E">
            <w:pPr>
              <w:rPr>
                <w:szCs w:val="22"/>
              </w:rPr>
            </w:pPr>
            <w:r w:rsidRPr="003F7446">
              <w:rPr>
                <w:szCs w:val="22"/>
              </w:rPr>
              <w:t>Sepsis, virškinimo trakto kandidamikozė, infekcinė šlapimo organų liga, paprastoji pūslelinė, juostinė pūslelinė</w:t>
            </w:r>
          </w:p>
          <w:p w14:paraId="6A5C56C8" w14:textId="77777777" w:rsidR="0052287E" w:rsidRPr="003F7446" w:rsidRDefault="0052287E">
            <w:pPr>
              <w:rPr>
                <w:szCs w:val="22"/>
              </w:rPr>
            </w:pPr>
          </w:p>
          <w:p w14:paraId="737A2266" w14:textId="77777777" w:rsidR="0052287E" w:rsidRPr="003F7446" w:rsidRDefault="0052287E">
            <w:pPr>
              <w:rPr>
                <w:szCs w:val="22"/>
              </w:rPr>
            </w:pPr>
            <w:r w:rsidRPr="003F7446">
              <w:rPr>
                <w:szCs w:val="22"/>
              </w:rPr>
              <w:t xml:space="preserve">Pneumonija, gripas, infekcinė kvėpavimo organų liga, kvėpavimo organų kandidamikozė, infekcinė virškinimo trakto liga, kandidamikozė, </w:t>
            </w:r>
            <w:proofErr w:type="spellStart"/>
            <w:r w:rsidRPr="003F7446">
              <w:rPr>
                <w:szCs w:val="22"/>
              </w:rPr>
              <w:t>gastroenteritas</w:t>
            </w:r>
            <w:proofErr w:type="spellEnd"/>
            <w:r w:rsidRPr="003F7446">
              <w:rPr>
                <w:szCs w:val="22"/>
              </w:rPr>
              <w:t xml:space="preserve">, infekcija, bronchitas, </w:t>
            </w:r>
            <w:proofErr w:type="spellStart"/>
            <w:r w:rsidRPr="003F7446">
              <w:rPr>
                <w:szCs w:val="22"/>
              </w:rPr>
              <w:t>faringitas</w:t>
            </w:r>
            <w:proofErr w:type="spellEnd"/>
            <w:r w:rsidRPr="003F7446">
              <w:rPr>
                <w:szCs w:val="22"/>
              </w:rPr>
              <w:t>, sinusitas, grybelinė odos liga, odos kandidamikozė, makšties kandidamikozė, rinitas</w:t>
            </w:r>
          </w:p>
        </w:tc>
      </w:tr>
      <w:tr w:rsidR="0052287E" w:rsidRPr="003F7446" w14:paraId="19C2C721" w14:textId="77777777" w:rsidTr="008912E3">
        <w:tc>
          <w:tcPr>
            <w:tcW w:w="2808" w:type="dxa"/>
            <w:tcBorders>
              <w:top w:val="single" w:sz="4" w:space="0" w:color="auto"/>
              <w:left w:val="single" w:sz="4" w:space="0" w:color="auto"/>
              <w:bottom w:val="single" w:sz="4" w:space="0" w:color="auto"/>
              <w:right w:val="single" w:sz="4" w:space="0" w:color="auto"/>
            </w:tcBorders>
            <w:hideMark/>
          </w:tcPr>
          <w:p w14:paraId="5C571F88" w14:textId="77777777" w:rsidR="0052287E" w:rsidRPr="003F7446" w:rsidRDefault="0052287E">
            <w:pPr>
              <w:rPr>
                <w:szCs w:val="22"/>
              </w:rPr>
            </w:pPr>
            <w:r w:rsidRPr="003F7446">
              <w:rPr>
                <w:szCs w:val="22"/>
              </w:rPr>
              <w:t>Gerybiniai, piktybiniai ir nepatikslinti navikai (tarp jų cistos ir polipai)</w:t>
            </w:r>
          </w:p>
        </w:tc>
        <w:tc>
          <w:tcPr>
            <w:tcW w:w="1980" w:type="dxa"/>
            <w:tcBorders>
              <w:top w:val="single" w:sz="4" w:space="0" w:color="auto"/>
              <w:left w:val="single" w:sz="4" w:space="0" w:color="auto"/>
              <w:bottom w:val="single" w:sz="4" w:space="0" w:color="auto"/>
              <w:right w:val="single" w:sz="4" w:space="0" w:color="auto"/>
            </w:tcBorders>
          </w:tcPr>
          <w:p w14:paraId="1561866A" w14:textId="77777777" w:rsidR="0052287E" w:rsidRPr="003F7446" w:rsidRDefault="0052287E">
            <w:pPr>
              <w:rPr>
                <w:szCs w:val="22"/>
              </w:rPr>
            </w:pPr>
            <w:r w:rsidRPr="003F7446">
              <w:rPr>
                <w:szCs w:val="22"/>
              </w:rPr>
              <w:t>Labai dažni</w:t>
            </w:r>
          </w:p>
          <w:p w14:paraId="596E5A76" w14:textId="77777777" w:rsidR="0052287E" w:rsidRPr="003F7446" w:rsidRDefault="0052287E">
            <w:pPr>
              <w:rPr>
                <w:szCs w:val="22"/>
              </w:rPr>
            </w:pPr>
          </w:p>
          <w:p w14:paraId="7991456B" w14:textId="77777777" w:rsidR="0052287E" w:rsidRPr="003F7446" w:rsidRDefault="0052287E">
            <w:pPr>
              <w:rPr>
                <w:szCs w:val="22"/>
              </w:rPr>
            </w:pPr>
            <w:r w:rsidRPr="003F7446">
              <w:rPr>
                <w:szCs w:val="22"/>
              </w:rPr>
              <w:t>Dažni</w:t>
            </w:r>
          </w:p>
        </w:tc>
        <w:tc>
          <w:tcPr>
            <w:tcW w:w="4499" w:type="dxa"/>
            <w:tcBorders>
              <w:top w:val="single" w:sz="4" w:space="0" w:color="auto"/>
              <w:left w:val="single" w:sz="4" w:space="0" w:color="auto"/>
              <w:bottom w:val="single" w:sz="4" w:space="0" w:color="auto"/>
              <w:right w:val="single" w:sz="4" w:space="0" w:color="auto"/>
            </w:tcBorders>
          </w:tcPr>
          <w:p w14:paraId="552110EE" w14:textId="77777777" w:rsidR="0052287E" w:rsidRPr="003F7446" w:rsidRDefault="0052287E">
            <w:pPr>
              <w:rPr>
                <w:szCs w:val="22"/>
              </w:rPr>
            </w:pPr>
            <w:r w:rsidRPr="003F7446">
              <w:rPr>
                <w:szCs w:val="22"/>
              </w:rPr>
              <w:t>–</w:t>
            </w:r>
          </w:p>
          <w:p w14:paraId="70936C6D" w14:textId="77777777" w:rsidR="0052287E" w:rsidRPr="003F7446" w:rsidRDefault="0052287E">
            <w:pPr>
              <w:rPr>
                <w:szCs w:val="22"/>
              </w:rPr>
            </w:pPr>
          </w:p>
          <w:p w14:paraId="62B37600" w14:textId="77777777" w:rsidR="0052287E" w:rsidRPr="003F7446" w:rsidRDefault="0052287E">
            <w:pPr>
              <w:rPr>
                <w:szCs w:val="22"/>
              </w:rPr>
            </w:pPr>
            <w:r w:rsidRPr="003F7446">
              <w:rPr>
                <w:szCs w:val="22"/>
              </w:rPr>
              <w:t xml:space="preserve">Odos vėžys, gerybinis odos navikas </w:t>
            </w:r>
          </w:p>
        </w:tc>
      </w:tr>
      <w:tr w:rsidR="0052287E" w:rsidRPr="003F7446" w14:paraId="4966C944" w14:textId="77777777" w:rsidTr="008912E3">
        <w:tc>
          <w:tcPr>
            <w:tcW w:w="2808" w:type="dxa"/>
            <w:tcBorders>
              <w:top w:val="single" w:sz="4" w:space="0" w:color="auto"/>
              <w:left w:val="single" w:sz="4" w:space="0" w:color="auto"/>
              <w:bottom w:val="single" w:sz="4" w:space="0" w:color="auto"/>
              <w:right w:val="single" w:sz="4" w:space="0" w:color="auto"/>
            </w:tcBorders>
            <w:hideMark/>
          </w:tcPr>
          <w:p w14:paraId="605DEA65" w14:textId="77777777" w:rsidR="0052287E" w:rsidRPr="003F7446" w:rsidRDefault="0052287E">
            <w:pPr>
              <w:rPr>
                <w:szCs w:val="22"/>
              </w:rPr>
            </w:pPr>
            <w:r w:rsidRPr="003F7446">
              <w:rPr>
                <w:szCs w:val="22"/>
              </w:rPr>
              <w:t>Kraujo ir limfinės sistemos sutrikimai</w:t>
            </w:r>
          </w:p>
        </w:tc>
        <w:tc>
          <w:tcPr>
            <w:tcW w:w="1980" w:type="dxa"/>
            <w:tcBorders>
              <w:top w:val="single" w:sz="4" w:space="0" w:color="auto"/>
              <w:left w:val="single" w:sz="4" w:space="0" w:color="auto"/>
              <w:bottom w:val="single" w:sz="4" w:space="0" w:color="auto"/>
              <w:right w:val="single" w:sz="4" w:space="0" w:color="auto"/>
            </w:tcBorders>
          </w:tcPr>
          <w:p w14:paraId="0DF60162" w14:textId="77777777" w:rsidR="0052287E" w:rsidRPr="003F7446" w:rsidRDefault="0052287E">
            <w:pPr>
              <w:rPr>
                <w:szCs w:val="22"/>
              </w:rPr>
            </w:pPr>
            <w:r w:rsidRPr="003F7446">
              <w:rPr>
                <w:szCs w:val="22"/>
              </w:rPr>
              <w:t>Labai dažni</w:t>
            </w:r>
          </w:p>
          <w:p w14:paraId="319FB42A" w14:textId="77777777" w:rsidR="0052287E" w:rsidRPr="003F7446" w:rsidRDefault="0052287E">
            <w:pPr>
              <w:rPr>
                <w:szCs w:val="22"/>
              </w:rPr>
            </w:pPr>
          </w:p>
          <w:p w14:paraId="56CF8580" w14:textId="77777777" w:rsidR="0052287E" w:rsidRPr="003F7446" w:rsidRDefault="0052287E">
            <w:pPr>
              <w:rPr>
                <w:szCs w:val="22"/>
              </w:rPr>
            </w:pPr>
            <w:r w:rsidRPr="003F7446">
              <w:rPr>
                <w:szCs w:val="22"/>
              </w:rPr>
              <w:t>Dažni</w:t>
            </w:r>
          </w:p>
        </w:tc>
        <w:tc>
          <w:tcPr>
            <w:tcW w:w="4499" w:type="dxa"/>
            <w:tcBorders>
              <w:top w:val="single" w:sz="4" w:space="0" w:color="auto"/>
              <w:left w:val="single" w:sz="4" w:space="0" w:color="auto"/>
              <w:bottom w:val="single" w:sz="4" w:space="0" w:color="auto"/>
              <w:right w:val="single" w:sz="4" w:space="0" w:color="auto"/>
            </w:tcBorders>
          </w:tcPr>
          <w:p w14:paraId="72415BF5" w14:textId="77777777" w:rsidR="0052287E" w:rsidRPr="003F7446" w:rsidRDefault="0052287E">
            <w:pPr>
              <w:rPr>
                <w:szCs w:val="22"/>
              </w:rPr>
            </w:pPr>
            <w:proofErr w:type="spellStart"/>
            <w:r w:rsidRPr="003F7446">
              <w:rPr>
                <w:szCs w:val="22"/>
              </w:rPr>
              <w:t>Leukopenija</w:t>
            </w:r>
            <w:proofErr w:type="spellEnd"/>
            <w:r w:rsidRPr="003F7446">
              <w:rPr>
                <w:szCs w:val="22"/>
              </w:rPr>
              <w:t xml:space="preserve">, </w:t>
            </w:r>
            <w:proofErr w:type="spellStart"/>
            <w:r w:rsidRPr="003F7446">
              <w:rPr>
                <w:szCs w:val="22"/>
              </w:rPr>
              <w:t>trombocitopenija</w:t>
            </w:r>
            <w:proofErr w:type="spellEnd"/>
            <w:r w:rsidRPr="003F7446">
              <w:rPr>
                <w:szCs w:val="22"/>
              </w:rPr>
              <w:t>, anemija</w:t>
            </w:r>
          </w:p>
          <w:p w14:paraId="5071CBC0" w14:textId="77777777" w:rsidR="0052287E" w:rsidRPr="003F7446" w:rsidRDefault="0052287E">
            <w:pPr>
              <w:rPr>
                <w:szCs w:val="22"/>
              </w:rPr>
            </w:pPr>
          </w:p>
          <w:p w14:paraId="38A2676E" w14:textId="77777777" w:rsidR="0052287E" w:rsidRPr="003F7446" w:rsidRDefault="0052287E">
            <w:pPr>
              <w:rPr>
                <w:szCs w:val="22"/>
              </w:rPr>
            </w:pPr>
            <w:proofErr w:type="spellStart"/>
            <w:r w:rsidRPr="003F7446">
              <w:rPr>
                <w:szCs w:val="22"/>
              </w:rPr>
              <w:t>Pancitopenija</w:t>
            </w:r>
            <w:proofErr w:type="spellEnd"/>
            <w:r w:rsidRPr="003F7446">
              <w:rPr>
                <w:szCs w:val="22"/>
              </w:rPr>
              <w:t xml:space="preserve">, </w:t>
            </w:r>
            <w:proofErr w:type="spellStart"/>
            <w:r w:rsidRPr="003F7446">
              <w:rPr>
                <w:szCs w:val="22"/>
              </w:rPr>
              <w:t>leukocitozė</w:t>
            </w:r>
            <w:proofErr w:type="spellEnd"/>
          </w:p>
        </w:tc>
      </w:tr>
      <w:tr w:rsidR="0052287E" w:rsidRPr="003F7446" w14:paraId="659D6C81" w14:textId="77777777" w:rsidTr="008912E3">
        <w:tc>
          <w:tcPr>
            <w:tcW w:w="2808" w:type="dxa"/>
            <w:tcBorders>
              <w:top w:val="single" w:sz="4" w:space="0" w:color="auto"/>
              <w:left w:val="single" w:sz="4" w:space="0" w:color="auto"/>
              <w:bottom w:val="single" w:sz="4" w:space="0" w:color="auto"/>
              <w:right w:val="single" w:sz="4" w:space="0" w:color="auto"/>
            </w:tcBorders>
            <w:hideMark/>
          </w:tcPr>
          <w:p w14:paraId="07441B89" w14:textId="77777777" w:rsidR="0052287E" w:rsidRPr="003F7446" w:rsidRDefault="0052287E">
            <w:pPr>
              <w:rPr>
                <w:szCs w:val="22"/>
              </w:rPr>
            </w:pPr>
            <w:r w:rsidRPr="003F7446">
              <w:rPr>
                <w:szCs w:val="22"/>
              </w:rPr>
              <w:t>Metabolizmo ir mitybos sutrikimai</w:t>
            </w:r>
          </w:p>
        </w:tc>
        <w:tc>
          <w:tcPr>
            <w:tcW w:w="1980" w:type="dxa"/>
            <w:tcBorders>
              <w:top w:val="single" w:sz="4" w:space="0" w:color="auto"/>
              <w:left w:val="single" w:sz="4" w:space="0" w:color="auto"/>
              <w:bottom w:val="single" w:sz="4" w:space="0" w:color="auto"/>
              <w:right w:val="single" w:sz="4" w:space="0" w:color="auto"/>
            </w:tcBorders>
          </w:tcPr>
          <w:p w14:paraId="5AE10479" w14:textId="77777777" w:rsidR="0052287E" w:rsidRPr="003F7446" w:rsidRDefault="0052287E">
            <w:pPr>
              <w:rPr>
                <w:szCs w:val="22"/>
              </w:rPr>
            </w:pPr>
            <w:r w:rsidRPr="003F7446">
              <w:rPr>
                <w:szCs w:val="22"/>
              </w:rPr>
              <w:t>Labai dažni</w:t>
            </w:r>
          </w:p>
          <w:p w14:paraId="05758E85" w14:textId="77777777" w:rsidR="0052287E" w:rsidRPr="003F7446" w:rsidRDefault="0052287E">
            <w:pPr>
              <w:rPr>
                <w:szCs w:val="22"/>
              </w:rPr>
            </w:pPr>
          </w:p>
          <w:p w14:paraId="09E941C3" w14:textId="77777777" w:rsidR="0052287E" w:rsidRPr="003F7446" w:rsidRDefault="0052287E">
            <w:pPr>
              <w:rPr>
                <w:szCs w:val="22"/>
              </w:rPr>
            </w:pPr>
            <w:r w:rsidRPr="003F7446">
              <w:rPr>
                <w:szCs w:val="22"/>
              </w:rPr>
              <w:lastRenderedPageBreak/>
              <w:t>Dažni</w:t>
            </w:r>
          </w:p>
        </w:tc>
        <w:tc>
          <w:tcPr>
            <w:tcW w:w="4499" w:type="dxa"/>
            <w:tcBorders>
              <w:top w:val="single" w:sz="4" w:space="0" w:color="auto"/>
              <w:left w:val="single" w:sz="4" w:space="0" w:color="auto"/>
              <w:bottom w:val="single" w:sz="4" w:space="0" w:color="auto"/>
              <w:right w:val="single" w:sz="4" w:space="0" w:color="auto"/>
            </w:tcBorders>
          </w:tcPr>
          <w:p w14:paraId="548C8737" w14:textId="77777777" w:rsidR="0052287E" w:rsidRPr="003F7446" w:rsidRDefault="0052287E">
            <w:pPr>
              <w:rPr>
                <w:szCs w:val="22"/>
              </w:rPr>
            </w:pPr>
            <w:r w:rsidRPr="003F7446">
              <w:rPr>
                <w:szCs w:val="22"/>
              </w:rPr>
              <w:lastRenderedPageBreak/>
              <w:t>–</w:t>
            </w:r>
          </w:p>
          <w:p w14:paraId="2E2C3DB8" w14:textId="77777777" w:rsidR="0052287E" w:rsidRPr="003F7446" w:rsidRDefault="0052287E">
            <w:pPr>
              <w:rPr>
                <w:szCs w:val="22"/>
              </w:rPr>
            </w:pPr>
          </w:p>
          <w:p w14:paraId="72489588" w14:textId="77777777" w:rsidR="0052287E" w:rsidRPr="003F7446" w:rsidRDefault="0052287E">
            <w:pPr>
              <w:rPr>
                <w:szCs w:val="22"/>
              </w:rPr>
            </w:pPr>
            <w:proofErr w:type="spellStart"/>
            <w:r w:rsidRPr="003F7446">
              <w:rPr>
                <w:szCs w:val="22"/>
              </w:rPr>
              <w:lastRenderedPageBreak/>
              <w:t>Acidozė</w:t>
            </w:r>
            <w:proofErr w:type="spellEnd"/>
            <w:r w:rsidRPr="003F7446">
              <w:rPr>
                <w:szCs w:val="22"/>
              </w:rPr>
              <w:t xml:space="preserve">, </w:t>
            </w:r>
            <w:proofErr w:type="spellStart"/>
            <w:r w:rsidRPr="003F7446">
              <w:rPr>
                <w:szCs w:val="22"/>
              </w:rPr>
              <w:t>hiperkalemija</w:t>
            </w:r>
            <w:proofErr w:type="spellEnd"/>
            <w:r w:rsidRPr="003F7446">
              <w:rPr>
                <w:szCs w:val="22"/>
              </w:rPr>
              <w:t xml:space="preserve">, </w:t>
            </w:r>
            <w:proofErr w:type="spellStart"/>
            <w:r w:rsidRPr="003F7446">
              <w:rPr>
                <w:szCs w:val="22"/>
              </w:rPr>
              <w:t>hipokalemija</w:t>
            </w:r>
            <w:proofErr w:type="spellEnd"/>
            <w:r w:rsidRPr="003F7446">
              <w:rPr>
                <w:szCs w:val="22"/>
              </w:rPr>
              <w:t xml:space="preserve">, hiperglikemija, </w:t>
            </w:r>
            <w:proofErr w:type="spellStart"/>
            <w:r w:rsidRPr="003F7446">
              <w:rPr>
                <w:szCs w:val="22"/>
              </w:rPr>
              <w:t>hipomagnezemija</w:t>
            </w:r>
            <w:proofErr w:type="spellEnd"/>
            <w:r w:rsidRPr="003F7446">
              <w:rPr>
                <w:szCs w:val="22"/>
              </w:rPr>
              <w:t xml:space="preserve">, </w:t>
            </w:r>
            <w:proofErr w:type="spellStart"/>
            <w:r w:rsidRPr="003F7446">
              <w:rPr>
                <w:szCs w:val="22"/>
              </w:rPr>
              <w:t>hipokalcemija</w:t>
            </w:r>
            <w:proofErr w:type="spellEnd"/>
            <w:r w:rsidRPr="003F7446">
              <w:rPr>
                <w:szCs w:val="22"/>
              </w:rPr>
              <w:t xml:space="preserve">, </w:t>
            </w:r>
            <w:proofErr w:type="spellStart"/>
            <w:r w:rsidRPr="003F7446">
              <w:rPr>
                <w:szCs w:val="22"/>
              </w:rPr>
              <w:t>hipercholesterolemija</w:t>
            </w:r>
            <w:proofErr w:type="spellEnd"/>
            <w:r w:rsidRPr="003F7446">
              <w:rPr>
                <w:szCs w:val="22"/>
              </w:rPr>
              <w:t xml:space="preserve">, </w:t>
            </w:r>
            <w:proofErr w:type="spellStart"/>
            <w:r w:rsidRPr="003F7446">
              <w:rPr>
                <w:szCs w:val="22"/>
              </w:rPr>
              <w:t>hiperlipidemija</w:t>
            </w:r>
            <w:proofErr w:type="spellEnd"/>
            <w:r w:rsidRPr="003F7446">
              <w:rPr>
                <w:szCs w:val="22"/>
              </w:rPr>
              <w:t xml:space="preserve">, </w:t>
            </w:r>
            <w:proofErr w:type="spellStart"/>
            <w:r w:rsidRPr="003F7446">
              <w:rPr>
                <w:szCs w:val="22"/>
              </w:rPr>
              <w:t>hipofosfatemija</w:t>
            </w:r>
            <w:proofErr w:type="spellEnd"/>
            <w:r w:rsidRPr="003F7446">
              <w:rPr>
                <w:szCs w:val="22"/>
              </w:rPr>
              <w:t xml:space="preserve">, </w:t>
            </w:r>
            <w:proofErr w:type="spellStart"/>
            <w:r w:rsidRPr="003F7446">
              <w:rPr>
                <w:szCs w:val="22"/>
              </w:rPr>
              <w:t>hiperurikemija</w:t>
            </w:r>
            <w:proofErr w:type="spellEnd"/>
            <w:r w:rsidRPr="003F7446">
              <w:rPr>
                <w:szCs w:val="22"/>
              </w:rPr>
              <w:t>, podagra, anoreksija</w:t>
            </w:r>
          </w:p>
        </w:tc>
      </w:tr>
      <w:tr w:rsidR="0052287E" w:rsidRPr="003F7446" w14:paraId="757CBA2C" w14:textId="77777777" w:rsidTr="008912E3">
        <w:tc>
          <w:tcPr>
            <w:tcW w:w="2808" w:type="dxa"/>
            <w:tcBorders>
              <w:top w:val="single" w:sz="4" w:space="0" w:color="auto"/>
              <w:left w:val="single" w:sz="4" w:space="0" w:color="auto"/>
              <w:bottom w:val="single" w:sz="4" w:space="0" w:color="auto"/>
              <w:right w:val="single" w:sz="4" w:space="0" w:color="auto"/>
            </w:tcBorders>
            <w:hideMark/>
          </w:tcPr>
          <w:p w14:paraId="6358727E" w14:textId="77777777" w:rsidR="0052287E" w:rsidRPr="003F7446" w:rsidRDefault="0052287E">
            <w:pPr>
              <w:rPr>
                <w:szCs w:val="22"/>
              </w:rPr>
            </w:pPr>
            <w:r w:rsidRPr="003F7446">
              <w:rPr>
                <w:szCs w:val="22"/>
              </w:rPr>
              <w:lastRenderedPageBreak/>
              <w:t>Psichikos sutrikimai</w:t>
            </w:r>
          </w:p>
        </w:tc>
        <w:tc>
          <w:tcPr>
            <w:tcW w:w="1980" w:type="dxa"/>
            <w:tcBorders>
              <w:top w:val="single" w:sz="4" w:space="0" w:color="auto"/>
              <w:left w:val="single" w:sz="4" w:space="0" w:color="auto"/>
              <w:bottom w:val="single" w:sz="4" w:space="0" w:color="auto"/>
              <w:right w:val="single" w:sz="4" w:space="0" w:color="auto"/>
            </w:tcBorders>
          </w:tcPr>
          <w:p w14:paraId="532D3F9D" w14:textId="77777777" w:rsidR="0052287E" w:rsidRPr="003F7446" w:rsidRDefault="0052287E">
            <w:pPr>
              <w:rPr>
                <w:szCs w:val="22"/>
              </w:rPr>
            </w:pPr>
            <w:r w:rsidRPr="003F7446">
              <w:rPr>
                <w:szCs w:val="22"/>
              </w:rPr>
              <w:t>Labai dažni</w:t>
            </w:r>
          </w:p>
          <w:p w14:paraId="09EE3CD6" w14:textId="77777777" w:rsidR="0052287E" w:rsidRPr="003F7446" w:rsidRDefault="0052287E">
            <w:pPr>
              <w:rPr>
                <w:szCs w:val="22"/>
              </w:rPr>
            </w:pPr>
          </w:p>
          <w:p w14:paraId="13A08635" w14:textId="77777777" w:rsidR="0052287E" w:rsidRPr="003F7446" w:rsidRDefault="0052287E">
            <w:pPr>
              <w:rPr>
                <w:szCs w:val="22"/>
              </w:rPr>
            </w:pPr>
            <w:r w:rsidRPr="003F7446">
              <w:rPr>
                <w:szCs w:val="22"/>
              </w:rPr>
              <w:t>Dažni</w:t>
            </w:r>
          </w:p>
        </w:tc>
        <w:tc>
          <w:tcPr>
            <w:tcW w:w="4499" w:type="dxa"/>
            <w:tcBorders>
              <w:top w:val="single" w:sz="4" w:space="0" w:color="auto"/>
              <w:left w:val="single" w:sz="4" w:space="0" w:color="auto"/>
              <w:bottom w:val="single" w:sz="4" w:space="0" w:color="auto"/>
              <w:right w:val="single" w:sz="4" w:space="0" w:color="auto"/>
            </w:tcBorders>
          </w:tcPr>
          <w:p w14:paraId="10495608" w14:textId="77777777" w:rsidR="0052287E" w:rsidRPr="003F7446" w:rsidRDefault="0052287E">
            <w:pPr>
              <w:rPr>
                <w:szCs w:val="22"/>
              </w:rPr>
            </w:pPr>
            <w:r w:rsidRPr="003F7446">
              <w:rPr>
                <w:szCs w:val="22"/>
              </w:rPr>
              <w:t>–</w:t>
            </w:r>
          </w:p>
          <w:p w14:paraId="68761BEA" w14:textId="77777777" w:rsidR="0052287E" w:rsidRPr="003F7446" w:rsidRDefault="0052287E">
            <w:pPr>
              <w:rPr>
                <w:szCs w:val="22"/>
              </w:rPr>
            </w:pPr>
          </w:p>
          <w:p w14:paraId="1619C3E4" w14:textId="77777777" w:rsidR="0052287E" w:rsidRPr="003F7446" w:rsidRDefault="0052287E">
            <w:pPr>
              <w:rPr>
                <w:szCs w:val="22"/>
              </w:rPr>
            </w:pPr>
            <w:r w:rsidRPr="003F7446">
              <w:rPr>
                <w:szCs w:val="22"/>
              </w:rPr>
              <w:t>Sujaudinimas, sumišimas, depresija, nerimas, nenormalus mąstymas, nemiga</w:t>
            </w:r>
          </w:p>
        </w:tc>
      </w:tr>
      <w:tr w:rsidR="0052287E" w:rsidRPr="003F7446" w14:paraId="2E101C7A" w14:textId="77777777" w:rsidTr="008912E3">
        <w:tc>
          <w:tcPr>
            <w:tcW w:w="2808" w:type="dxa"/>
            <w:tcBorders>
              <w:top w:val="single" w:sz="4" w:space="0" w:color="auto"/>
              <w:left w:val="single" w:sz="4" w:space="0" w:color="auto"/>
              <w:bottom w:val="single" w:sz="4" w:space="0" w:color="auto"/>
              <w:right w:val="single" w:sz="4" w:space="0" w:color="auto"/>
            </w:tcBorders>
            <w:hideMark/>
          </w:tcPr>
          <w:p w14:paraId="4CFF1A9A" w14:textId="77777777" w:rsidR="0052287E" w:rsidRPr="003F7446" w:rsidRDefault="0052287E">
            <w:pPr>
              <w:rPr>
                <w:szCs w:val="22"/>
              </w:rPr>
            </w:pPr>
            <w:r w:rsidRPr="003F7446">
              <w:rPr>
                <w:szCs w:val="22"/>
              </w:rPr>
              <w:t>Nervų sistemos sutrikimai</w:t>
            </w:r>
          </w:p>
        </w:tc>
        <w:tc>
          <w:tcPr>
            <w:tcW w:w="1980" w:type="dxa"/>
            <w:tcBorders>
              <w:top w:val="single" w:sz="4" w:space="0" w:color="auto"/>
              <w:left w:val="single" w:sz="4" w:space="0" w:color="auto"/>
              <w:bottom w:val="single" w:sz="4" w:space="0" w:color="auto"/>
              <w:right w:val="single" w:sz="4" w:space="0" w:color="auto"/>
            </w:tcBorders>
          </w:tcPr>
          <w:p w14:paraId="71AC6015" w14:textId="77777777" w:rsidR="0052287E" w:rsidRPr="003F7446" w:rsidRDefault="0052287E">
            <w:pPr>
              <w:rPr>
                <w:szCs w:val="22"/>
              </w:rPr>
            </w:pPr>
            <w:r w:rsidRPr="003F7446">
              <w:rPr>
                <w:szCs w:val="22"/>
              </w:rPr>
              <w:t>Labai dažni</w:t>
            </w:r>
          </w:p>
          <w:p w14:paraId="7CEEF32C" w14:textId="77777777" w:rsidR="0052287E" w:rsidRPr="003F7446" w:rsidRDefault="0052287E">
            <w:pPr>
              <w:rPr>
                <w:szCs w:val="22"/>
              </w:rPr>
            </w:pPr>
          </w:p>
          <w:p w14:paraId="75F3CE66" w14:textId="77777777" w:rsidR="0052287E" w:rsidRPr="003F7446" w:rsidRDefault="0052287E">
            <w:pPr>
              <w:rPr>
                <w:szCs w:val="22"/>
              </w:rPr>
            </w:pPr>
            <w:r w:rsidRPr="003F7446">
              <w:rPr>
                <w:szCs w:val="22"/>
              </w:rPr>
              <w:t>Dažni</w:t>
            </w:r>
          </w:p>
        </w:tc>
        <w:tc>
          <w:tcPr>
            <w:tcW w:w="4499" w:type="dxa"/>
            <w:tcBorders>
              <w:top w:val="single" w:sz="4" w:space="0" w:color="auto"/>
              <w:left w:val="single" w:sz="4" w:space="0" w:color="auto"/>
              <w:bottom w:val="single" w:sz="4" w:space="0" w:color="auto"/>
              <w:right w:val="single" w:sz="4" w:space="0" w:color="auto"/>
            </w:tcBorders>
          </w:tcPr>
          <w:p w14:paraId="25422328" w14:textId="77777777" w:rsidR="0052287E" w:rsidRPr="003F7446" w:rsidRDefault="0052287E">
            <w:pPr>
              <w:rPr>
                <w:szCs w:val="22"/>
              </w:rPr>
            </w:pPr>
            <w:r w:rsidRPr="003F7446">
              <w:rPr>
                <w:szCs w:val="22"/>
              </w:rPr>
              <w:t>–</w:t>
            </w:r>
          </w:p>
          <w:p w14:paraId="754B71FF" w14:textId="77777777" w:rsidR="0052287E" w:rsidRPr="003F7446" w:rsidRDefault="0052287E">
            <w:pPr>
              <w:rPr>
                <w:szCs w:val="22"/>
              </w:rPr>
            </w:pPr>
          </w:p>
          <w:p w14:paraId="6A6133E1" w14:textId="77777777" w:rsidR="0052287E" w:rsidRPr="003F7446" w:rsidRDefault="0052287E">
            <w:pPr>
              <w:rPr>
                <w:szCs w:val="22"/>
              </w:rPr>
            </w:pPr>
            <w:r w:rsidRPr="003F7446">
              <w:rPr>
                <w:szCs w:val="22"/>
              </w:rPr>
              <w:t xml:space="preserve">Traukuliai, hipertonija, </w:t>
            </w:r>
            <w:proofErr w:type="spellStart"/>
            <w:r w:rsidRPr="003F7446">
              <w:rPr>
                <w:szCs w:val="22"/>
              </w:rPr>
              <w:t>tremoras</w:t>
            </w:r>
            <w:proofErr w:type="spellEnd"/>
            <w:r w:rsidRPr="003F7446">
              <w:rPr>
                <w:szCs w:val="22"/>
              </w:rPr>
              <w:t xml:space="preserve">, mieguistumas, raumenų silpnumo sindromas, galvos svaigimas, galvos skausmas, </w:t>
            </w:r>
            <w:proofErr w:type="spellStart"/>
            <w:r w:rsidRPr="003F7446">
              <w:rPr>
                <w:szCs w:val="22"/>
              </w:rPr>
              <w:t>parestezija</w:t>
            </w:r>
            <w:proofErr w:type="spellEnd"/>
            <w:r w:rsidRPr="003F7446">
              <w:rPr>
                <w:szCs w:val="22"/>
              </w:rPr>
              <w:t>, skonio sutrikimas</w:t>
            </w:r>
          </w:p>
        </w:tc>
      </w:tr>
      <w:tr w:rsidR="0052287E" w:rsidRPr="003F7446" w14:paraId="6539C6FD" w14:textId="77777777" w:rsidTr="008912E3">
        <w:tc>
          <w:tcPr>
            <w:tcW w:w="2808" w:type="dxa"/>
            <w:tcBorders>
              <w:top w:val="single" w:sz="4" w:space="0" w:color="auto"/>
              <w:left w:val="single" w:sz="4" w:space="0" w:color="auto"/>
              <w:bottom w:val="single" w:sz="4" w:space="0" w:color="auto"/>
              <w:right w:val="single" w:sz="4" w:space="0" w:color="auto"/>
            </w:tcBorders>
            <w:hideMark/>
          </w:tcPr>
          <w:p w14:paraId="3B2130B7" w14:textId="77777777" w:rsidR="0052287E" w:rsidRPr="003F7446" w:rsidRDefault="0052287E">
            <w:pPr>
              <w:rPr>
                <w:szCs w:val="22"/>
              </w:rPr>
            </w:pPr>
            <w:r w:rsidRPr="003F7446">
              <w:rPr>
                <w:szCs w:val="22"/>
              </w:rPr>
              <w:t>Širdies sutrikimai</w:t>
            </w:r>
          </w:p>
        </w:tc>
        <w:tc>
          <w:tcPr>
            <w:tcW w:w="1980" w:type="dxa"/>
            <w:tcBorders>
              <w:top w:val="single" w:sz="4" w:space="0" w:color="auto"/>
              <w:left w:val="single" w:sz="4" w:space="0" w:color="auto"/>
              <w:bottom w:val="single" w:sz="4" w:space="0" w:color="auto"/>
              <w:right w:val="single" w:sz="4" w:space="0" w:color="auto"/>
            </w:tcBorders>
          </w:tcPr>
          <w:p w14:paraId="03569F65" w14:textId="77777777" w:rsidR="0052287E" w:rsidRPr="003F7446" w:rsidRDefault="0052287E">
            <w:pPr>
              <w:rPr>
                <w:szCs w:val="22"/>
              </w:rPr>
            </w:pPr>
            <w:r w:rsidRPr="003F7446">
              <w:rPr>
                <w:szCs w:val="22"/>
              </w:rPr>
              <w:t>Labai dažni</w:t>
            </w:r>
          </w:p>
          <w:p w14:paraId="2D2DA109" w14:textId="77777777" w:rsidR="0052287E" w:rsidRPr="003F7446" w:rsidRDefault="0052287E">
            <w:pPr>
              <w:rPr>
                <w:szCs w:val="22"/>
              </w:rPr>
            </w:pPr>
          </w:p>
          <w:p w14:paraId="4A87AAB7" w14:textId="77777777" w:rsidR="0052287E" w:rsidRPr="003F7446" w:rsidRDefault="0052287E">
            <w:pPr>
              <w:rPr>
                <w:szCs w:val="22"/>
              </w:rPr>
            </w:pPr>
            <w:r w:rsidRPr="003F7446">
              <w:rPr>
                <w:szCs w:val="22"/>
              </w:rPr>
              <w:t>Dažni</w:t>
            </w:r>
          </w:p>
        </w:tc>
        <w:tc>
          <w:tcPr>
            <w:tcW w:w="4499" w:type="dxa"/>
            <w:tcBorders>
              <w:top w:val="single" w:sz="4" w:space="0" w:color="auto"/>
              <w:left w:val="single" w:sz="4" w:space="0" w:color="auto"/>
              <w:bottom w:val="single" w:sz="4" w:space="0" w:color="auto"/>
              <w:right w:val="single" w:sz="4" w:space="0" w:color="auto"/>
            </w:tcBorders>
          </w:tcPr>
          <w:p w14:paraId="51ACFD28" w14:textId="77777777" w:rsidR="0052287E" w:rsidRPr="003F7446" w:rsidRDefault="0052287E">
            <w:pPr>
              <w:rPr>
                <w:szCs w:val="22"/>
              </w:rPr>
            </w:pPr>
            <w:r w:rsidRPr="003F7446">
              <w:rPr>
                <w:szCs w:val="22"/>
              </w:rPr>
              <w:t>–</w:t>
            </w:r>
          </w:p>
          <w:p w14:paraId="7478B6BA" w14:textId="77777777" w:rsidR="0052287E" w:rsidRPr="003F7446" w:rsidRDefault="0052287E">
            <w:pPr>
              <w:rPr>
                <w:szCs w:val="22"/>
              </w:rPr>
            </w:pPr>
          </w:p>
          <w:p w14:paraId="5606FD8C" w14:textId="77777777" w:rsidR="0052287E" w:rsidRPr="003F7446" w:rsidRDefault="0052287E">
            <w:pPr>
              <w:rPr>
                <w:szCs w:val="22"/>
              </w:rPr>
            </w:pPr>
            <w:proofErr w:type="spellStart"/>
            <w:r w:rsidRPr="003F7446">
              <w:rPr>
                <w:szCs w:val="22"/>
              </w:rPr>
              <w:t>Tachikardija</w:t>
            </w:r>
            <w:proofErr w:type="spellEnd"/>
          </w:p>
        </w:tc>
      </w:tr>
      <w:tr w:rsidR="0052287E" w:rsidRPr="003F7446" w14:paraId="050AABD7" w14:textId="77777777" w:rsidTr="008912E3">
        <w:tc>
          <w:tcPr>
            <w:tcW w:w="2808" w:type="dxa"/>
            <w:tcBorders>
              <w:top w:val="single" w:sz="4" w:space="0" w:color="auto"/>
              <w:left w:val="single" w:sz="4" w:space="0" w:color="auto"/>
              <w:bottom w:val="single" w:sz="4" w:space="0" w:color="auto"/>
              <w:right w:val="single" w:sz="4" w:space="0" w:color="auto"/>
            </w:tcBorders>
            <w:hideMark/>
          </w:tcPr>
          <w:p w14:paraId="7493BDA9" w14:textId="77777777" w:rsidR="0052287E" w:rsidRPr="003F7446" w:rsidRDefault="0052287E">
            <w:pPr>
              <w:rPr>
                <w:szCs w:val="22"/>
              </w:rPr>
            </w:pPr>
            <w:r w:rsidRPr="003F7446">
              <w:rPr>
                <w:szCs w:val="22"/>
              </w:rPr>
              <w:t>Kraujagyslių sutrikimai</w:t>
            </w:r>
          </w:p>
        </w:tc>
        <w:tc>
          <w:tcPr>
            <w:tcW w:w="1980" w:type="dxa"/>
            <w:tcBorders>
              <w:top w:val="single" w:sz="4" w:space="0" w:color="auto"/>
              <w:left w:val="single" w:sz="4" w:space="0" w:color="auto"/>
              <w:bottom w:val="single" w:sz="4" w:space="0" w:color="auto"/>
              <w:right w:val="single" w:sz="4" w:space="0" w:color="auto"/>
            </w:tcBorders>
          </w:tcPr>
          <w:p w14:paraId="62DFEFDB" w14:textId="77777777" w:rsidR="0052287E" w:rsidRPr="003F7446" w:rsidRDefault="0052287E">
            <w:pPr>
              <w:rPr>
                <w:szCs w:val="22"/>
              </w:rPr>
            </w:pPr>
            <w:r w:rsidRPr="003F7446">
              <w:rPr>
                <w:szCs w:val="22"/>
              </w:rPr>
              <w:t>Labai dažni</w:t>
            </w:r>
          </w:p>
          <w:p w14:paraId="4401A150" w14:textId="77777777" w:rsidR="0052287E" w:rsidRPr="003F7446" w:rsidRDefault="0052287E">
            <w:pPr>
              <w:rPr>
                <w:szCs w:val="22"/>
              </w:rPr>
            </w:pPr>
          </w:p>
          <w:p w14:paraId="0D966477" w14:textId="77777777" w:rsidR="0052287E" w:rsidRPr="003F7446" w:rsidRDefault="0052287E">
            <w:pPr>
              <w:rPr>
                <w:szCs w:val="22"/>
              </w:rPr>
            </w:pPr>
            <w:r w:rsidRPr="003F7446">
              <w:rPr>
                <w:szCs w:val="22"/>
              </w:rPr>
              <w:t>Dažni</w:t>
            </w:r>
          </w:p>
        </w:tc>
        <w:tc>
          <w:tcPr>
            <w:tcW w:w="4499" w:type="dxa"/>
            <w:tcBorders>
              <w:top w:val="single" w:sz="4" w:space="0" w:color="auto"/>
              <w:left w:val="single" w:sz="4" w:space="0" w:color="auto"/>
              <w:bottom w:val="single" w:sz="4" w:space="0" w:color="auto"/>
              <w:right w:val="single" w:sz="4" w:space="0" w:color="auto"/>
            </w:tcBorders>
          </w:tcPr>
          <w:p w14:paraId="5D98DA02" w14:textId="77777777" w:rsidR="0052287E" w:rsidRPr="003F7446" w:rsidRDefault="0052287E">
            <w:pPr>
              <w:rPr>
                <w:szCs w:val="22"/>
              </w:rPr>
            </w:pPr>
            <w:r w:rsidRPr="003F7446">
              <w:rPr>
                <w:szCs w:val="22"/>
              </w:rPr>
              <w:t>_</w:t>
            </w:r>
          </w:p>
          <w:p w14:paraId="4BF06215" w14:textId="77777777" w:rsidR="0052287E" w:rsidRPr="003F7446" w:rsidRDefault="0052287E">
            <w:pPr>
              <w:rPr>
                <w:szCs w:val="22"/>
              </w:rPr>
            </w:pPr>
          </w:p>
          <w:p w14:paraId="5FEF93EC" w14:textId="77777777" w:rsidR="0052287E" w:rsidRPr="003F7446" w:rsidRDefault="0052287E">
            <w:pPr>
              <w:rPr>
                <w:szCs w:val="22"/>
              </w:rPr>
            </w:pPr>
            <w:proofErr w:type="spellStart"/>
            <w:r w:rsidRPr="003F7446">
              <w:rPr>
                <w:szCs w:val="22"/>
              </w:rPr>
              <w:t>Hipotenzija</w:t>
            </w:r>
            <w:proofErr w:type="spellEnd"/>
            <w:r w:rsidRPr="003F7446">
              <w:rPr>
                <w:szCs w:val="22"/>
              </w:rPr>
              <w:t>, hipertenzija, kraujagyslių išsiplėtimas</w:t>
            </w:r>
          </w:p>
        </w:tc>
      </w:tr>
      <w:tr w:rsidR="0052287E" w:rsidRPr="003F7446" w14:paraId="4423B2DA" w14:textId="77777777" w:rsidTr="008912E3">
        <w:tc>
          <w:tcPr>
            <w:tcW w:w="2808" w:type="dxa"/>
            <w:tcBorders>
              <w:top w:val="single" w:sz="4" w:space="0" w:color="auto"/>
              <w:left w:val="single" w:sz="4" w:space="0" w:color="auto"/>
              <w:bottom w:val="single" w:sz="4" w:space="0" w:color="auto"/>
              <w:right w:val="single" w:sz="4" w:space="0" w:color="auto"/>
            </w:tcBorders>
            <w:hideMark/>
          </w:tcPr>
          <w:p w14:paraId="056F0830" w14:textId="77777777" w:rsidR="0052287E" w:rsidRPr="003F7446" w:rsidRDefault="0052287E">
            <w:pPr>
              <w:rPr>
                <w:szCs w:val="22"/>
              </w:rPr>
            </w:pPr>
            <w:r w:rsidRPr="003F7446">
              <w:rPr>
                <w:szCs w:val="22"/>
              </w:rPr>
              <w:t>Kvėpavimo sistemos, krūtinės ląstos ir tarpuplaučio sutrikimai</w:t>
            </w:r>
          </w:p>
        </w:tc>
        <w:tc>
          <w:tcPr>
            <w:tcW w:w="1980" w:type="dxa"/>
            <w:tcBorders>
              <w:top w:val="single" w:sz="4" w:space="0" w:color="auto"/>
              <w:left w:val="single" w:sz="4" w:space="0" w:color="auto"/>
              <w:bottom w:val="single" w:sz="4" w:space="0" w:color="auto"/>
              <w:right w:val="single" w:sz="4" w:space="0" w:color="auto"/>
            </w:tcBorders>
          </w:tcPr>
          <w:p w14:paraId="0F99CBF1" w14:textId="77777777" w:rsidR="0052287E" w:rsidRPr="003F7446" w:rsidRDefault="0052287E">
            <w:pPr>
              <w:rPr>
                <w:szCs w:val="22"/>
              </w:rPr>
            </w:pPr>
            <w:r w:rsidRPr="003F7446">
              <w:rPr>
                <w:szCs w:val="22"/>
              </w:rPr>
              <w:t>Labai dažni</w:t>
            </w:r>
          </w:p>
          <w:p w14:paraId="1A31A05D" w14:textId="77777777" w:rsidR="0052287E" w:rsidRPr="003F7446" w:rsidRDefault="0052287E">
            <w:pPr>
              <w:rPr>
                <w:szCs w:val="22"/>
              </w:rPr>
            </w:pPr>
          </w:p>
          <w:p w14:paraId="7CE1D205" w14:textId="77777777" w:rsidR="0052287E" w:rsidRPr="003F7446" w:rsidRDefault="0052287E">
            <w:pPr>
              <w:rPr>
                <w:szCs w:val="22"/>
              </w:rPr>
            </w:pPr>
            <w:r w:rsidRPr="003F7446">
              <w:rPr>
                <w:szCs w:val="22"/>
              </w:rPr>
              <w:t>Dažni</w:t>
            </w:r>
          </w:p>
        </w:tc>
        <w:tc>
          <w:tcPr>
            <w:tcW w:w="4499" w:type="dxa"/>
            <w:tcBorders>
              <w:top w:val="single" w:sz="4" w:space="0" w:color="auto"/>
              <w:left w:val="single" w:sz="4" w:space="0" w:color="auto"/>
              <w:bottom w:val="single" w:sz="4" w:space="0" w:color="auto"/>
              <w:right w:val="single" w:sz="4" w:space="0" w:color="auto"/>
            </w:tcBorders>
          </w:tcPr>
          <w:p w14:paraId="7E42F988" w14:textId="77777777" w:rsidR="0052287E" w:rsidRPr="003F7446" w:rsidRDefault="0052287E">
            <w:pPr>
              <w:rPr>
                <w:szCs w:val="22"/>
              </w:rPr>
            </w:pPr>
            <w:r w:rsidRPr="003F7446">
              <w:rPr>
                <w:szCs w:val="22"/>
              </w:rPr>
              <w:t>–</w:t>
            </w:r>
          </w:p>
          <w:p w14:paraId="6A6BD003" w14:textId="77777777" w:rsidR="0052287E" w:rsidRPr="003F7446" w:rsidRDefault="0052287E">
            <w:pPr>
              <w:rPr>
                <w:szCs w:val="22"/>
              </w:rPr>
            </w:pPr>
          </w:p>
          <w:p w14:paraId="4517FBCD" w14:textId="77777777" w:rsidR="0052287E" w:rsidRPr="003F7446" w:rsidRDefault="0052287E">
            <w:pPr>
              <w:rPr>
                <w:szCs w:val="22"/>
              </w:rPr>
            </w:pPr>
            <w:r w:rsidRPr="003F7446">
              <w:rPr>
                <w:szCs w:val="22"/>
              </w:rPr>
              <w:t>Skystis pleuros ertmėje, dusulys, kosulys</w:t>
            </w:r>
          </w:p>
        </w:tc>
      </w:tr>
      <w:tr w:rsidR="0052287E" w:rsidRPr="003F7446" w14:paraId="43626130" w14:textId="77777777" w:rsidTr="008912E3">
        <w:tc>
          <w:tcPr>
            <w:tcW w:w="2808" w:type="dxa"/>
            <w:tcBorders>
              <w:top w:val="single" w:sz="4" w:space="0" w:color="auto"/>
              <w:left w:val="single" w:sz="4" w:space="0" w:color="auto"/>
              <w:bottom w:val="single" w:sz="4" w:space="0" w:color="auto"/>
              <w:right w:val="single" w:sz="4" w:space="0" w:color="auto"/>
            </w:tcBorders>
            <w:hideMark/>
          </w:tcPr>
          <w:p w14:paraId="289124B2" w14:textId="77777777" w:rsidR="0052287E" w:rsidRPr="003F7446" w:rsidRDefault="0052287E">
            <w:pPr>
              <w:rPr>
                <w:szCs w:val="22"/>
              </w:rPr>
            </w:pPr>
            <w:r w:rsidRPr="003F7446">
              <w:rPr>
                <w:szCs w:val="22"/>
              </w:rPr>
              <w:t>Virškinimo traktas</w:t>
            </w:r>
          </w:p>
        </w:tc>
        <w:tc>
          <w:tcPr>
            <w:tcW w:w="1980" w:type="dxa"/>
            <w:tcBorders>
              <w:top w:val="single" w:sz="4" w:space="0" w:color="auto"/>
              <w:left w:val="single" w:sz="4" w:space="0" w:color="auto"/>
              <w:bottom w:val="single" w:sz="4" w:space="0" w:color="auto"/>
              <w:right w:val="single" w:sz="4" w:space="0" w:color="auto"/>
            </w:tcBorders>
          </w:tcPr>
          <w:p w14:paraId="63398FC9" w14:textId="77777777" w:rsidR="0052287E" w:rsidRPr="003F7446" w:rsidRDefault="0052287E">
            <w:pPr>
              <w:rPr>
                <w:szCs w:val="22"/>
              </w:rPr>
            </w:pPr>
            <w:r w:rsidRPr="003F7446">
              <w:rPr>
                <w:szCs w:val="22"/>
              </w:rPr>
              <w:t>Labai dažni</w:t>
            </w:r>
          </w:p>
          <w:p w14:paraId="324E0B08" w14:textId="77777777" w:rsidR="0052287E" w:rsidRPr="003F7446" w:rsidRDefault="0052287E">
            <w:pPr>
              <w:rPr>
                <w:szCs w:val="22"/>
              </w:rPr>
            </w:pPr>
          </w:p>
          <w:p w14:paraId="7709F2CB" w14:textId="77777777" w:rsidR="0052287E" w:rsidRPr="003F7446" w:rsidRDefault="0052287E">
            <w:pPr>
              <w:rPr>
                <w:szCs w:val="22"/>
              </w:rPr>
            </w:pPr>
          </w:p>
          <w:p w14:paraId="53B43B20" w14:textId="77777777" w:rsidR="0052287E" w:rsidRPr="003F7446" w:rsidRDefault="0052287E">
            <w:pPr>
              <w:rPr>
                <w:szCs w:val="22"/>
              </w:rPr>
            </w:pPr>
            <w:r w:rsidRPr="003F7446">
              <w:rPr>
                <w:szCs w:val="22"/>
              </w:rPr>
              <w:t>Dažni</w:t>
            </w:r>
          </w:p>
        </w:tc>
        <w:tc>
          <w:tcPr>
            <w:tcW w:w="4499" w:type="dxa"/>
            <w:tcBorders>
              <w:top w:val="single" w:sz="4" w:space="0" w:color="auto"/>
              <w:left w:val="single" w:sz="4" w:space="0" w:color="auto"/>
              <w:bottom w:val="single" w:sz="4" w:space="0" w:color="auto"/>
              <w:right w:val="single" w:sz="4" w:space="0" w:color="auto"/>
            </w:tcBorders>
          </w:tcPr>
          <w:p w14:paraId="444D0B53" w14:textId="77777777" w:rsidR="0052287E" w:rsidRPr="003F7446" w:rsidRDefault="0052287E">
            <w:pPr>
              <w:rPr>
                <w:szCs w:val="22"/>
              </w:rPr>
            </w:pPr>
            <w:r w:rsidRPr="003F7446">
              <w:rPr>
                <w:szCs w:val="22"/>
              </w:rPr>
              <w:t>Vėmimas, pilvo skausmas, viduriavimas, pykinimas</w:t>
            </w:r>
          </w:p>
          <w:p w14:paraId="5AB83AAE" w14:textId="77777777" w:rsidR="0052287E" w:rsidRPr="003F7446" w:rsidRDefault="0052287E">
            <w:pPr>
              <w:rPr>
                <w:szCs w:val="22"/>
              </w:rPr>
            </w:pPr>
          </w:p>
          <w:p w14:paraId="68B002A5" w14:textId="77777777" w:rsidR="0052287E" w:rsidRPr="003F7446" w:rsidRDefault="0052287E">
            <w:pPr>
              <w:rPr>
                <w:szCs w:val="22"/>
              </w:rPr>
            </w:pPr>
            <w:r w:rsidRPr="003F7446">
              <w:rPr>
                <w:szCs w:val="22"/>
              </w:rPr>
              <w:t xml:space="preserve">Virškinimo trakto </w:t>
            </w:r>
            <w:proofErr w:type="spellStart"/>
            <w:r w:rsidRPr="003F7446">
              <w:rPr>
                <w:szCs w:val="22"/>
              </w:rPr>
              <w:t>hemoragija</w:t>
            </w:r>
            <w:proofErr w:type="spellEnd"/>
            <w:r w:rsidRPr="003F7446">
              <w:rPr>
                <w:szCs w:val="22"/>
              </w:rPr>
              <w:t xml:space="preserve">, peritonitas, žarnų nepraeinamumas, kolitas, skrandžio opa, dvylikapirštės žarnos opa, gastritas, </w:t>
            </w:r>
            <w:proofErr w:type="spellStart"/>
            <w:r w:rsidRPr="003F7446">
              <w:rPr>
                <w:szCs w:val="22"/>
              </w:rPr>
              <w:t>ezofagitas</w:t>
            </w:r>
            <w:proofErr w:type="spellEnd"/>
            <w:r w:rsidRPr="003F7446">
              <w:rPr>
                <w:szCs w:val="22"/>
              </w:rPr>
              <w:t>, stomatitas, vidurių užkietėjimas, dispepsija, vidurių pūtimas, raugulys</w:t>
            </w:r>
          </w:p>
        </w:tc>
      </w:tr>
      <w:tr w:rsidR="0052287E" w:rsidRPr="003F7446" w14:paraId="2902ECEB" w14:textId="77777777" w:rsidTr="008912E3">
        <w:tc>
          <w:tcPr>
            <w:tcW w:w="2808" w:type="dxa"/>
            <w:tcBorders>
              <w:top w:val="single" w:sz="4" w:space="0" w:color="auto"/>
              <w:left w:val="single" w:sz="4" w:space="0" w:color="auto"/>
              <w:bottom w:val="single" w:sz="4" w:space="0" w:color="auto"/>
              <w:right w:val="single" w:sz="4" w:space="0" w:color="auto"/>
            </w:tcBorders>
            <w:hideMark/>
          </w:tcPr>
          <w:p w14:paraId="303741D5" w14:textId="77777777" w:rsidR="0052287E" w:rsidRPr="003F7446" w:rsidRDefault="0052287E">
            <w:pPr>
              <w:rPr>
                <w:szCs w:val="22"/>
              </w:rPr>
            </w:pPr>
            <w:r w:rsidRPr="003F7446">
              <w:rPr>
                <w:szCs w:val="22"/>
              </w:rPr>
              <w:t>Kepenų, tulžies pūslės ir latakų sutrikimai</w:t>
            </w:r>
          </w:p>
        </w:tc>
        <w:tc>
          <w:tcPr>
            <w:tcW w:w="1980" w:type="dxa"/>
            <w:tcBorders>
              <w:top w:val="single" w:sz="4" w:space="0" w:color="auto"/>
              <w:left w:val="single" w:sz="4" w:space="0" w:color="auto"/>
              <w:bottom w:val="single" w:sz="4" w:space="0" w:color="auto"/>
              <w:right w:val="single" w:sz="4" w:space="0" w:color="auto"/>
            </w:tcBorders>
          </w:tcPr>
          <w:p w14:paraId="52E56896" w14:textId="77777777" w:rsidR="0052287E" w:rsidRPr="003F7446" w:rsidRDefault="0052287E">
            <w:pPr>
              <w:rPr>
                <w:szCs w:val="22"/>
              </w:rPr>
            </w:pPr>
            <w:r w:rsidRPr="003F7446">
              <w:rPr>
                <w:szCs w:val="22"/>
              </w:rPr>
              <w:t>Labai dažni</w:t>
            </w:r>
          </w:p>
          <w:p w14:paraId="45EA2506" w14:textId="77777777" w:rsidR="0052287E" w:rsidRPr="003F7446" w:rsidRDefault="0052287E">
            <w:pPr>
              <w:rPr>
                <w:szCs w:val="22"/>
              </w:rPr>
            </w:pPr>
          </w:p>
          <w:p w14:paraId="429B2B8D" w14:textId="77777777" w:rsidR="0052287E" w:rsidRPr="003F7446" w:rsidRDefault="0052287E">
            <w:pPr>
              <w:rPr>
                <w:szCs w:val="22"/>
              </w:rPr>
            </w:pPr>
            <w:r w:rsidRPr="003F7446">
              <w:rPr>
                <w:szCs w:val="22"/>
              </w:rPr>
              <w:t>Dažni</w:t>
            </w:r>
          </w:p>
        </w:tc>
        <w:tc>
          <w:tcPr>
            <w:tcW w:w="4499" w:type="dxa"/>
            <w:tcBorders>
              <w:top w:val="single" w:sz="4" w:space="0" w:color="auto"/>
              <w:left w:val="single" w:sz="4" w:space="0" w:color="auto"/>
              <w:bottom w:val="single" w:sz="4" w:space="0" w:color="auto"/>
              <w:right w:val="single" w:sz="4" w:space="0" w:color="auto"/>
            </w:tcBorders>
          </w:tcPr>
          <w:p w14:paraId="55E287EE" w14:textId="77777777" w:rsidR="0052287E" w:rsidRPr="003F7446" w:rsidRDefault="0052287E">
            <w:pPr>
              <w:rPr>
                <w:szCs w:val="22"/>
              </w:rPr>
            </w:pPr>
            <w:r w:rsidRPr="003F7446">
              <w:rPr>
                <w:szCs w:val="22"/>
              </w:rPr>
              <w:t>–</w:t>
            </w:r>
          </w:p>
          <w:p w14:paraId="6E8588C7" w14:textId="77777777" w:rsidR="0052287E" w:rsidRPr="003F7446" w:rsidRDefault="0052287E">
            <w:pPr>
              <w:rPr>
                <w:szCs w:val="22"/>
              </w:rPr>
            </w:pPr>
          </w:p>
          <w:p w14:paraId="13DD39E6" w14:textId="77777777" w:rsidR="0052287E" w:rsidRPr="003F7446" w:rsidRDefault="0052287E">
            <w:pPr>
              <w:rPr>
                <w:szCs w:val="22"/>
              </w:rPr>
            </w:pPr>
            <w:r w:rsidRPr="003F7446">
              <w:rPr>
                <w:szCs w:val="22"/>
              </w:rPr>
              <w:t xml:space="preserve">Hepatitas, </w:t>
            </w:r>
            <w:proofErr w:type="spellStart"/>
            <w:r w:rsidRPr="003F7446">
              <w:rPr>
                <w:szCs w:val="22"/>
              </w:rPr>
              <w:t>gelta</w:t>
            </w:r>
            <w:proofErr w:type="spellEnd"/>
            <w:r w:rsidRPr="003F7446">
              <w:rPr>
                <w:szCs w:val="22"/>
              </w:rPr>
              <w:t xml:space="preserve">, </w:t>
            </w:r>
            <w:proofErr w:type="spellStart"/>
            <w:r w:rsidRPr="003F7446">
              <w:rPr>
                <w:szCs w:val="22"/>
              </w:rPr>
              <w:t>hiperbilirubinemija</w:t>
            </w:r>
            <w:proofErr w:type="spellEnd"/>
          </w:p>
        </w:tc>
      </w:tr>
      <w:tr w:rsidR="0052287E" w:rsidRPr="003F7446" w14:paraId="15BF7BA2" w14:textId="77777777" w:rsidTr="008912E3">
        <w:tc>
          <w:tcPr>
            <w:tcW w:w="2808" w:type="dxa"/>
            <w:tcBorders>
              <w:top w:val="single" w:sz="4" w:space="0" w:color="auto"/>
              <w:left w:val="single" w:sz="4" w:space="0" w:color="auto"/>
              <w:bottom w:val="single" w:sz="4" w:space="0" w:color="auto"/>
              <w:right w:val="single" w:sz="4" w:space="0" w:color="auto"/>
            </w:tcBorders>
            <w:hideMark/>
          </w:tcPr>
          <w:p w14:paraId="7047CE55" w14:textId="77777777" w:rsidR="0052287E" w:rsidRPr="003F7446" w:rsidRDefault="0052287E">
            <w:pPr>
              <w:rPr>
                <w:szCs w:val="22"/>
              </w:rPr>
            </w:pPr>
            <w:r w:rsidRPr="003F7446">
              <w:rPr>
                <w:szCs w:val="22"/>
              </w:rPr>
              <w:t>Odos ir poodinio audinio sutrikimai</w:t>
            </w:r>
          </w:p>
        </w:tc>
        <w:tc>
          <w:tcPr>
            <w:tcW w:w="1980" w:type="dxa"/>
            <w:tcBorders>
              <w:top w:val="single" w:sz="4" w:space="0" w:color="auto"/>
              <w:left w:val="single" w:sz="4" w:space="0" w:color="auto"/>
              <w:bottom w:val="single" w:sz="4" w:space="0" w:color="auto"/>
              <w:right w:val="single" w:sz="4" w:space="0" w:color="auto"/>
            </w:tcBorders>
          </w:tcPr>
          <w:p w14:paraId="0DC3805A" w14:textId="77777777" w:rsidR="0052287E" w:rsidRPr="003F7446" w:rsidRDefault="0052287E">
            <w:pPr>
              <w:rPr>
                <w:szCs w:val="22"/>
              </w:rPr>
            </w:pPr>
            <w:r w:rsidRPr="003F7446">
              <w:rPr>
                <w:szCs w:val="22"/>
              </w:rPr>
              <w:t>Labai dažni</w:t>
            </w:r>
          </w:p>
          <w:p w14:paraId="201FBEB6" w14:textId="77777777" w:rsidR="0052287E" w:rsidRPr="003F7446" w:rsidRDefault="0052287E">
            <w:pPr>
              <w:rPr>
                <w:szCs w:val="22"/>
              </w:rPr>
            </w:pPr>
          </w:p>
          <w:p w14:paraId="7CE40090" w14:textId="77777777" w:rsidR="0052287E" w:rsidRPr="003F7446" w:rsidRDefault="0052287E">
            <w:pPr>
              <w:rPr>
                <w:szCs w:val="22"/>
              </w:rPr>
            </w:pPr>
            <w:r w:rsidRPr="003F7446">
              <w:rPr>
                <w:szCs w:val="22"/>
              </w:rPr>
              <w:t>Dažni</w:t>
            </w:r>
          </w:p>
        </w:tc>
        <w:tc>
          <w:tcPr>
            <w:tcW w:w="4499" w:type="dxa"/>
            <w:tcBorders>
              <w:top w:val="single" w:sz="4" w:space="0" w:color="auto"/>
              <w:left w:val="single" w:sz="4" w:space="0" w:color="auto"/>
              <w:bottom w:val="single" w:sz="4" w:space="0" w:color="auto"/>
              <w:right w:val="single" w:sz="4" w:space="0" w:color="auto"/>
            </w:tcBorders>
          </w:tcPr>
          <w:p w14:paraId="51F69A35" w14:textId="77777777" w:rsidR="0052287E" w:rsidRPr="003F7446" w:rsidRDefault="0052287E">
            <w:pPr>
              <w:rPr>
                <w:szCs w:val="22"/>
              </w:rPr>
            </w:pPr>
            <w:r w:rsidRPr="003F7446">
              <w:rPr>
                <w:szCs w:val="22"/>
              </w:rPr>
              <w:t>–</w:t>
            </w:r>
          </w:p>
          <w:p w14:paraId="7C86D3DE" w14:textId="77777777" w:rsidR="0052287E" w:rsidRPr="003F7446" w:rsidRDefault="0052287E">
            <w:pPr>
              <w:rPr>
                <w:szCs w:val="22"/>
              </w:rPr>
            </w:pPr>
          </w:p>
          <w:p w14:paraId="5B7AEC13" w14:textId="77777777" w:rsidR="0052287E" w:rsidRPr="003F7446" w:rsidRDefault="0052287E">
            <w:pPr>
              <w:rPr>
                <w:szCs w:val="22"/>
              </w:rPr>
            </w:pPr>
            <w:r w:rsidRPr="003F7446">
              <w:rPr>
                <w:szCs w:val="22"/>
              </w:rPr>
              <w:t xml:space="preserve">Odos hipertrofija, išbėrimas, spuogai, </w:t>
            </w:r>
            <w:proofErr w:type="spellStart"/>
            <w:r w:rsidRPr="003F7446">
              <w:rPr>
                <w:szCs w:val="22"/>
              </w:rPr>
              <w:t>alopecija</w:t>
            </w:r>
            <w:proofErr w:type="spellEnd"/>
          </w:p>
        </w:tc>
      </w:tr>
      <w:tr w:rsidR="0052287E" w:rsidRPr="003F7446" w14:paraId="49BE6220" w14:textId="77777777" w:rsidTr="008912E3">
        <w:tc>
          <w:tcPr>
            <w:tcW w:w="2808" w:type="dxa"/>
            <w:tcBorders>
              <w:top w:val="single" w:sz="4" w:space="0" w:color="auto"/>
              <w:left w:val="single" w:sz="4" w:space="0" w:color="auto"/>
              <w:bottom w:val="single" w:sz="4" w:space="0" w:color="auto"/>
              <w:right w:val="single" w:sz="4" w:space="0" w:color="auto"/>
            </w:tcBorders>
            <w:hideMark/>
          </w:tcPr>
          <w:p w14:paraId="6DF6AA73" w14:textId="77777777" w:rsidR="0052287E" w:rsidRPr="003F7446" w:rsidRDefault="0052287E">
            <w:pPr>
              <w:rPr>
                <w:szCs w:val="22"/>
              </w:rPr>
            </w:pPr>
            <w:r w:rsidRPr="003F7446">
              <w:rPr>
                <w:szCs w:val="22"/>
              </w:rPr>
              <w:t>Skeleto, raumenų ir jungiamojo audinio sutrikimai</w:t>
            </w:r>
          </w:p>
        </w:tc>
        <w:tc>
          <w:tcPr>
            <w:tcW w:w="1980" w:type="dxa"/>
            <w:tcBorders>
              <w:top w:val="single" w:sz="4" w:space="0" w:color="auto"/>
              <w:left w:val="single" w:sz="4" w:space="0" w:color="auto"/>
              <w:bottom w:val="single" w:sz="4" w:space="0" w:color="auto"/>
              <w:right w:val="single" w:sz="4" w:space="0" w:color="auto"/>
            </w:tcBorders>
          </w:tcPr>
          <w:p w14:paraId="2AF5EB40" w14:textId="77777777" w:rsidR="0052287E" w:rsidRPr="003F7446" w:rsidRDefault="0052287E">
            <w:pPr>
              <w:rPr>
                <w:szCs w:val="22"/>
              </w:rPr>
            </w:pPr>
            <w:r w:rsidRPr="003F7446">
              <w:rPr>
                <w:szCs w:val="22"/>
              </w:rPr>
              <w:t>Labai dažni</w:t>
            </w:r>
          </w:p>
          <w:p w14:paraId="374EB843" w14:textId="77777777" w:rsidR="0052287E" w:rsidRPr="003F7446" w:rsidRDefault="0052287E">
            <w:pPr>
              <w:rPr>
                <w:szCs w:val="22"/>
              </w:rPr>
            </w:pPr>
          </w:p>
          <w:p w14:paraId="61FFBD27" w14:textId="77777777" w:rsidR="0052287E" w:rsidRPr="003F7446" w:rsidRDefault="0052287E">
            <w:pPr>
              <w:rPr>
                <w:szCs w:val="22"/>
              </w:rPr>
            </w:pPr>
            <w:r w:rsidRPr="003F7446">
              <w:rPr>
                <w:szCs w:val="22"/>
              </w:rPr>
              <w:t>Dažni</w:t>
            </w:r>
          </w:p>
        </w:tc>
        <w:tc>
          <w:tcPr>
            <w:tcW w:w="4499" w:type="dxa"/>
            <w:tcBorders>
              <w:top w:val="single" w:sz="4" w:space="0" w:color="auto"/>
              <w:left w:val="single" w:sz="4" w:space="0" w:color="auto"/>
              <w:bottom w:val="single" w:sz="4" w:space="0" w:color="auto"/>
              <w:right w:val="single" w:sz="4" w:space="0" w:color="auto"/>
            </w:tcBorders>
          </w:tcPr>
          <w:p w14:paraId="2B0860B4" w14:textId="77777777" w:rsidR="0052287E" w:rsidRPr="003F7446" w:rsidRDefault="0052287E">
            <w:pPr>
              <w:rPr>
                <w:szCs w:val="22"/>
              </w:rPr>
            </w:pPr>
            <w:r w:rsidRPr="003F7446">
              <w:rPr>
                <w:szCs w:val="22"/>
              </w:rPr>
              <w:t>–</w:t>
            </w:r>
          </w:p>
          <w:p w14:paraId="7B72A391" w14:textId="77777777" w:rsidR="0052287E" w:rsidRPr="003F7446" w:rsidRDefault="0052287E">
            <w:pPr>
              <w:rPr>
                <w:szCs w:val="22"/>
              </w:rPr>
            </w:pPr>
          </w:p>
          <w:p w14:paraId="77F9EB22" w14:textId="77777777" w:rsidR="0052287E" w:rsidRPr="003F7446" w:rsidRDefault="0052287E">
            <w:pPr>
              <w:rPr>
                <w:szCs w:val="22"/>
              </w:rPr>
            </w:pPr>
            <w:proofErr w:type="spellStart"/>
            <w:r w:rsidRPr="003F7446">
              <w:rPr>
                <w:szCs w:val="22"/>
              </w:rPr>
              <w:t>Artralgija</w:t>
            </w:r>
            <w:proofErr w:type="spellEnd"/>
          </w:p>
        </w:tc>
      </w:tr>
      <w:tr w:rsidR="0052287E" w:rsidRPr="003F7446" w14:paraId="5958B779" w14:textId="77777777" w:rsidTr="008912E3">
        <w:tc>
          <w:tcPr>
            <w:tcW w:w="2808" w:type="dxa"/>
            <w:tcBorders>
              <w:top w:val="single" w:sz="4" w:space="0" w:color="auto"/>
              <w:left w:val="single" w:sz="4" w:space="0" w:color="auto"/>
              <w:bottom w:val="single" w:sz="4" w:space="0" w:color="auto"/>
              <w:right w:val="single" w:sz="4" w:space="0" w:color="auto"/>
            </w:tcBorders>
            <w:hideMark/>
          </w:tcPr>
          <w:p w14:paraId="27C73952" w14:textId="77777777" w:rsidR="0052287E" w:rsidRPr="003F7446" w:rsidRDefault="0052287E">
            <w:pPr>
              <w:rPr>
                <w:szCs w:val="22"/>
              </w:rPr>
            </w:pPr>
            <w:r w:rsidRPr="003F7446">
              <w:rPr>
                <w:szCs w:val="22"/>
              </w:rPr>
              <w:t>Inkstų ir šlapimo takų sutrikimai</w:t>
            </w:r>
          </w:p>
        </w:tc>
        <w:tc>
          <w:tcPr>
            <w:tcW w:w="1980" w:type="dxa"/>
            <w:tcBorders>
              <w:top w:val="single" w:sz="4" w:space="0" w:color="auto"/>
              <w:left w:val="single" w:sz="4" w:space="0" w:color="auto"/>
              <w:bottom w:val="single" w:sz="4" w:space="0" w:color="auto"/>
              <w:right w:val="single" w:sz="4" w:space="0" w:color="auto"/>
            </w:tcBorders>
          </w:tcPr>
          <w:p w14:paraId="20EED482" w14:textId="77777777" w:rsidR="0052287E" w:rsidRPr="003F7446" w:rsidRDefault="0052287E">
            <w:pPr>
              <w:rPr>
                <w:szCs w:val="22"/>
              </w:rPr>
            </w:pPr>
            <w:r w:rsidRPr="003F7446">
              <w:rPr>
                <w:szCs w:val="22"/>
              </w:rPr>
              <w:t>Labai dažni</w:t>
            </w:r>
          </w:p>
          <w:p w14:paraId="055B5147" w14:textId="77777777" w:rsidR="0052287E" w:rsidRPr="003F7446" w:rsidRDefault="0052287E">
            <w:pPr>
              <w:rPr>
                <w:szCs w:val="22"/>
              </w:rPr>
            </w:pPr>
          </w:p>
          <w:p w14:paraId="1B49C04D" w14:textId="77777777" w:rsidR="0052287E" w:rsidRPr="003F7446" w:rsidRDefault="0052287E">
            <w:pPr>
              <w:rPr>
                <w:szCs w:val="22"/>
              </w:rPr>
            </w:pPr>
            <w:r w:rsidRPr="003F7446">
              <w:rPr>
                <w:szCs w:val="22"/>
              </w:rPr>
              <w:t>Dažni</w:t>
            </w:r>
          </w:p>
        </w:tc>
        <w:tc>
          <w:tcPr>
            <w:tcW w:w="4499" w:type="dxa"/>
            <w:tcBorders>
              <w:top w:val="single" w:sz="4" w:space="0" w:color="auto"/>
              <w:left w:val="single" w:sz="4" w:space="0" w:color="auto"/>
              <w:bottom w:val="single" w:sz="4" w:space="0" w:color="auto"/>
              <w:right w:val="single" w:sz="4" w:space="0" w:color="auto"/>
            </w:tcBorders>
          </w:tcPr>
          <w:p w14:paraId="77630397" w14:textId="77777777" w:rsidR="0052287E" w:rsidRPr="003F7446" w:rsidRDefault="0052287E">
            <w:pPr>
              <w:rPr>
                <w:szCs w:val="22"/>
              </w:rPr>
            </w:pPr>
            <w:r w:rsidRPr="003F7446">
              <w:rPr>
                <w:szCs w:val="22"/>
              </w:rPr>
              <w:t>–</w:t>
            </w:r>
          </w:p>
          <w:p w14:paraId="2C8DABD9" w14:textId="77777777" w:rsidR="0052287E" w:rsidRPr="003F7446" w:rsidRDefault="0052287E">
            <w:pPr>
              <w:rPr>
                <w:szCs w:val="22"/>
              </w:rPr>
            </w:pPr>
          </w:p>
          <w:p w14:paraId="52065E33" w14:textId="77777777" w:rsidR="0052287E" w:rsidRPr="003F7446" w:rsidRDefault="0052287E">
            <w:pPr>
              <w:rPr>
                <w:szCs w:val="22"/>
              </w:rPr>
            </w:pPr>
            <w:r w:rsidRPr="003F7446">
              <w:rPr>
                <w:szCs w:val="22"/>
              </w:rPr>
              <w:t>Inkstų funkcijos sutrikimas</w:t>
            </w:r>
          </w:p>
        </w:tc>
      </w:tr>
      <w:tr w:rsidR="0052287E" w:rsidRPr="003F7446" w14:paraId="3B48FA65" w14:textId="77777777" w:rsidTr="008912E3">
        <w:tc>
          <w:tcPr>
            <w:tcW w:w="2808" w:type="dxa"/>
            <w:tcBorders>
              <w:top w:val="single" w:sz="4" w:space="0" w:color="auto"/>
              <w:left w:val="single" w:sz="4" w:space="0" w:color="auto"/>
              <w:bottom w:val="single" w:sz="4" w:space="0" w:color="auto"/>
              <w:right w:val="single" w:sz="4" w:space="0" w:color="auto"/>
            </w:tcBorders>
            <w:hideMark/>
          </w:tcPr>
          <w:p w14:paraId="3B837AD8" w14:textId="77777777" w:rsidR="0052287E" w:rsidRPr="003F7446" w:rsidRDefault="0052287E">
            <w:pPr>
              <w:rPr>
                <w:szCs w:val="22"/>
              </w:rPr>
            </w:pPr>
            <w:r w:rsidRPr="003F7446">
              <w:rPr>
                <w:szCs w:val="22"/>
              </w:rPr>
              <w:t>Bendrieji sutrikimai ir vartojimo vietos pažeidimai</w:t>
            </w:r>
          </w:p>
        </w:tc>
        <w:tc>
          <w:tcPr>
            <w:tcW w:w="1980" w:type="dxa"/>
            <w:tcBorders>
              <w:top w:val="single" w:sz="4" w:space="0" w:color="auto"/>
              <w:left w:val="single" w:sz="4" w:space="0" w:color="auto"/>
              <w:bottom w:val="single" w:sz="4" w:space="0" w:color="auto"/>
              <w:right w:val="single" w:sz="4" w:space="0" w:color="auto"/>
            </w:tcBorders>
          </w:tcPr>
          <w:p w14:paraId="3E0C7ACC" w14:textId="77777777" w:rsidR="0052287E" w:rsidRPr="003F7446" w:rsidRDefault="0052287E">
            <w:pPr>
              <w:rPr>
                <w:szCs w:val="22"/>
              </w:rPr>
            </w:pPr>
            <w:r w:rsidRPr="003F7446">
              <w:rPr>
                <w:szCs w:val="22"/>
              </w:rPr>
              <w:t>Labai dažni</w:t>
            </w:r>
          </w:p>
          <w:p w14:paraId="7FCFC523" w14:textId="77777777" w:rsidR="0052287E" w:rsidRPr="003F7446" w:rsidRDefault="0052287E">
            <w:pPr>
              <w:rPr>
                <w:szCs w:val="22"/>
              </w:rPr>
            </w:pPr>
          </w:p>
          <w:p w14:paraId="60CAD888" w14:textId="77777777" w:rsidR="0052287E" w:rsidRPr="003F7446" w:rsidRDefault="0052287E">
            <w:pPr>
              <w:rPr>
                <w:szCs w:val="22"/>
              </w:rPr>
            </w:pPr>
            <w:r w:rsidRPr="003F7446">
              <w:rPr>
                <w:szCs w:val="22"/>
              </w:rPr>
              <w:t>Dažni</w:t>
            </w:r>
          </w:p>
        </w:tc>
        <w:tc>
          <w:tcPr>
            <w:tcW w:w="4499" w:type="dxa"/>
            <w:tcBorders>
              <w:top w:val="single" w:sz="4" w:space="0" w:color="auto"/>
              <w:left w:val="single" w:sz="4" w:space="0" w:color="auto"/>
              <w:bottom w:val="single" w:sz="4" w:space="0" w:color="auto"/>
              <w:right w:val="single" w:sz="4" w:space="0" w:color="auto"/>
            </w:tcBorders>
          </w:tcPr>
          <w:p w14:paraId="60E1CD52" w14:textId="77777777" w:rsidR="0052287E" w:rsidRPr="003F7446" w:rsidRDefault="0052287E">
            <w:pPr>
              <w:rPr>
                <w:szCs w:val="22"/>
              </w:rPr>
            </w:pPr>
            <w:r w:rsidRPr="003F7446">
              <w:rPr>
                <w:szCs w:val="22"/>
              </w:rPr>
              <w:t>–</w:t>
            </w:r>
          </w:p>
          <w:p w14:paraId="518E9C8D" w14:textId="77777777" w:rsidR="0052287E" w:rsidRPr="003F7446" w:rsidRDefault="0052287E">
            <w:pPr>
              <w:rPr>
                <w:szCs w:val="22"/>
              </w:rPr>
            </w:pPr>
          </w:p>
          <w:p w14:paraId="6718BE4A" w14:textId="77777777" w:rsidR="0052287E" w:rsidRPr="003F7446" w:rsidRDefault="0052287E">
            <w:pPr>
              <w:rPr>
                <w:szCs w:val="22"/>
              </w:rPr>
            </w:pPr>
            <w:r w:rsidRPr="003F7446">
              <w:rPr>
                <w:szCs w:val="22"/>
              </w:rPr>
              <w:t xml:space="preserve">Edema, karščiavimas, šalčio krėtimas, skausmas, negalavimas, </w:t>
            </w:r>
            <w:proofErr w:type="spellStart"/>
            <w:r w:rsidRPr="003F7446">
              <w:rPr>
                <w:szCs w:val="22"/>
              </w:rPr>
              <w:t>astenija</w:t>
            </w:r>
            <w:proofErr w:type="spellEnd"/>
          </w:p>
        </w:tc>
      </w:tr>
      <w:tr w:rsidR="0052287E" w:rsidRPr="003F7446" w14:paraId="2EFF88C1" w14:textId="77777777" w:rsidTr="008912E3">
        <w:tc>
          <w:tcPr>
            <w:tcW w:w="2808" w:type="dxa"/>
            <w:tcBorders>
              <w:top w:val="single" w:sz="4" w:space="0" w:color="auto"/>
              <w:left w:val="single" w:sz="4" w:space="0" w:color="auto"/>
              <w:bottom w:val="single" w:sz="4" w:space="0" w:color="auto"/>
              <w:right w:val="single" w:sz="4" w:space="0" w:color="auto"/>
            </w:tcBorders>
            <w:hideMark/>
          </w:tcPr>
          <w:p w14:paraId="79BAC28A" w14:textId="77777777" w:rsidR="0052287E" w:rsidRPr="003F7446" w:rsidRDefault="0052287E">
            <w:pPr>
              <w:rPr>
                <w:szCs w:val="22"/>
              </w:rPr>
            </w:pPr>
            <w:r w:rsidRPr="003F7446">
              <w:rPr>
                <w:szCs w:val="22"/>
              </w:rPr>
              <w:t>Tyrimai</w:t>
            </w:r>
          </w:p>
        </w:tc>
        <w:tc>
          <w:tcPr>
            <w:tcW w:w="1980" w:type="dxa"/>
            <w:tcBorders>
              <w:top w:val="single" w:sz="4" w:space="0" w:color="auto"/>
              <w:left w:val="single" w:sz="4" w:space="0" w:color="auto"/>
              <w:bottom w:val="single" w:sz="4" w:space="0" w:color="auto"/>
              <w:right w:val="single" w:sz="4" w:space="0" w:color="auto"/>
            </w:tcBorders>
          </w:tcPr>
          <w:p w14:paraId="0CC61DC6" w14:textId="77777777" w:rsidR="0052287E" w:rsidRPr="003F7446" w:rsidRDefault="0052287E">
            <w:pPr>
              <w:rPr>
                <w:szCs w:val="22"/>
              </w:rPr>
            </w:pPr>
            <w:r w:rsidRPr="003F7446">
              <w:rPr>
                <w:szCs w:val="22"/>
              </w:rPr>
              <w:t>Labai dažni</w:t>
            </w:r>
          </w:p>
          <w:p w14:paraId="2770EF4D" w14:textId="77777777" w:rsidR="0052287E" w:rsidRPr="003F7446" w:rsidRDefault="0052287E">
            <w:pPr>
              <w:rPr>
                <w:szCs w:val="22"/>
              </w:rPr>
            </w:pPr>
          </w:p>
          <w:p w14:paraId="3299238E" w14:textId="77777777" w:rsidR="0052287E" w:rsidRPr="003F7446" w:rsidRDefault="0052287E">
            <w:pPr>
              <w:rPr>
                <w:szCs w:val="22"/>
              </w:rPr>
            </w:pPr>
            <w:r w:rsidRPr="003F7446">
              <w:rPr>
                <w:szCs w:val="22"/>
              </w:rPr>
              <w:t>Dažni</w:t>
            </w:r>
          </w:p>
        </w:tc>
        <w:tc>
          <w:tcPr>
            <w:tcW w:w="4499" w:type="dxa"/>
            <w:tcBorders>
              <w:top w:val="single" w:sz="4" w:space="0" w:color="auto"/>
              <w:left w:val="single" w:sz="4" w:space="0" w:color="auto"/>
              <w:bottom w:val="single" w:sz="4" w:space="0" w:color="auto"/>
              <w:right w:val="single" w:sz="4" w:space="0" w:color="auto"/>
            </w:tcBorders>
          </w:tcPr>
          <w:p w14:paraId="37F5DC79" w14:textId="77777777" w:rsidR="0052287E" w:rsidRPr="003F7446" w:rsidRDefault="0052287E">
            <w:pPr>
              <w:rPr>
                <w:szCs w:val="22"/>
              </w:rPr>
            </w:pPr>
            <w:r w:rsidRPr="003F7446">
              <w:rPr>
                <w:szCs w:val="22"/>
              </w:rPr>
              <w:t>–</w:t>
            </w:r>
          </w:p>
          <w:p w14:paraId="6E17D849" w14:textId="77777777" w:rsidR="0052287E" w:rsidRPr="003F7446" w:rsidRDefault="0052287E">
            <w:pPr>
              <w:rPr>
                <w:szCs w:val="22"/>
              </w:rPr>
            </w:pPr>
          </w:p>
          <w:p w14:paraId="23D1498E" w14:textId="77777777" w:rsidR="0052287E" w:rsidRPr="003F7446" w:rsidRDefault="0052287E">
            <w:pPr>
              <w:rPr>
                <w:szCs w:val="22"/>
              </w:rPr>
            </w:pPr>
            <w:r w:rsidRPr="003F7446">
              <w:rPr>
                <w:szCs w:val="22"/>
              </w:rPr>
              <w:t xml:space="preserve">Kepenų fermentų kiekio kraujyje padidėjimas, </w:t>
            </w:r>
            <w:proofErr w:type="spellStart"/>
            <w:r w:rsidRPr="003F7446">
              <w:rPr>
                <w:szCs w:val="22"/>
              </w:rPr>
              <w:t>kreatinino</w:t>
            </w:r>
            <w:proofErr w:type="spellEnd"/>
            <w:r w:rsidRPr="003F7446">
              <w:rPr>
                <w:szCs w:val="22"/>
              </w:rPr>
              <w:t xml:space="preserve"> kiekio kraujyje padidėjimas, </w:t>
            </w:r>
            <w:proofErr w:type="spellStart"/>
            <w:r w:rsidRPr="003F7446">
              <w:rPr>
                <w:szCs w:val="22"/>
              </w:rPr>
              <w:t>laktatdehidrogenazės</w:t>
            </w:r>
            <w:proofErr w:type="spellEnd"/>
            <w:r w:rsidRPr="003F7446">
              <w:rPr>
                <w:szCs w:val="22"/>
              </w:rPr>
              <w:t xml:space="preserve"> kiekio kraujyje </w:t>
            </w:r>
            <w:r w:rsidRPr="003F7446">
              <w:rPr>
                <w:szCs w:val="22"/>
              </w:rPr>
              <w:lastRenderedPageBreak/>
              <w:t xml:space="preserve">padidėjimas, šlapalo kiekio kraujyje padidėjimas, šarminės </w:t>
            </w:r>
            <w:proofErr w:type="spellStart"/>
            <w:r w:rsidRPr="003F7446">
              <w:rPr>
                <w:szCs w:val="22"/>
              </w:rPr>
              <w:t>fosfatazės</w:t>
            </w:r>
            <w:proofErr w:type="spellEnd"/>
            <w:r w:rsidRPr="003F7446">
              <w:rPr>
                <w:szCs w:val="22"/>
              </w:rPr>
              <w:t xml:space="preserve"> kiekio kraujyje padidėjimas, kūno svorio sumažėjimas</w:t>
            </w:r>
          </w:p>
        </w:tc>
      </w:tr>
    </w:tbl>
    <w:p w14:paraId="1C2E287C" w14:textId="77777777" w:rsidR="0052287E" w:rsidRPr="003F7446" w:rsidRDefault="0052287E" w:rsidP="0052287E">
      <w:pPr>
        <w:pStyle w:val="Default"/>
        <w:rPr>
          <w:sz w:val="22"/>
          <w:szCs w:val="22"/>
          <w:lang w:val="lt-LT"/>
        </w:rPr>
      </w:pPr>
    </w:p>
    <w:p w14:paraId="31D3E4C1" w14:textId="77777777" w:rsidR="0052287E" w:rsidRPr="003F7446" w:rsidRDefault="0052287E" w:rsidP="0052287E">
      <w:pPr>
        <w:pStyle w:val="Default"/>
        <w:rPr>
          <w:sz w:val="22"/>
          <w:szCs w:val="22"/>
          <w:lang w:val="lt-LT"/>
        </w:rPr>
      </w:pPr>
      <w:r w:rsidRPr="003F7446">
        <w:rPr>
          <w:sz w:val="22"/>
          <w:szCs w:val="22"/>
          <w:lang w:val="lt-LT"/>
        </w:rPr>
        <w:t xml:space="preserve">Pastaba: 501 pacientas III fazės klinikinių tyrimų metu persodintų inkstų, širdies ir kepenų atmetimo reakcijai išvengti buvo gydomas po 2 g </w:t>
      </w:r>
      <w:proofErr w:type="spellStart"/>
      <w:r w:rsidRPr="003F7446">
        <w:rPr>
          <w:sz w:val="22"/>
          <w:szCs w:val="22"/>
          <w:lang w:val="lt-LT"/>
        </w:rPr>
        <w:t>mikofenolato</w:t>
      </w:r>
      <w:proofErr w:type="spellEnd"/>
      <w:r w:rsidRPr="003F7446">
        <w:rPr>
          <w:sz w:val="22"/>
          <w:szCs w:val="22"/>
          <w:lang w:val="lt-LT"/>
        </w:rPr>
        <w:t xml:space="preserve"> </w:t>
      </w:r>
      <w:proofErr w:type="spellStart"/>
      <w:r w:rsidRPr="003F7446">
        <w:rPr>
          <w:sz w:val="22"/>
          <w:szCs w:val="22"/>
          <w:lang w:val="lt-LT"/>
        </w:rPr>
        <w:t>mofetilio</w:t>
      </w:r>
      <w:proofErr w:type="spellEnd"/>
      <w:r w:rsidRPr="003F7446">
        <w:rPr>
          <w:sz w:val="22"/>
          <w:szCs w:val="22"/>
          <w:lang w:val="lt-LT"/>
        </w:rPr>
        <w:t xml:space="preserve"> per parą, o 289 pacientai gydomi po 3 g </w:t>
      </w:r>
      <w:proofErr w:type="spellStart"/>
      <w:r w:rsidRPr="003F7446">
        <w:rPr>
          <w:sz w:val="22"/>
          <w:szCs w:val="22"/>
          <w:lang w:val="lt-LT"/>
        </w:rPr>
        <w:t>mikofenolato</w:t>
      </w:r>
      <w:proofErr w:type="spellEnd"/>
      <w:r w:rsidRPr="003F7446">
        <w:rPr>
          <w:sz w:val="22"/>
          <w:szCs w:val="22"/>
          <w:lang w:val="lt-LT"/>
        </w:rPr>
        <w:t xml:space="preserve"> </w:t>
      </w:r>
      <w:proofErr w:type="spellStart"/>
      <w:r w:rsidRPr="003F7446">
        <w:rPr>
          <w:sz w:val="22"/>
          <w:szCs w:val="22"/>
          <w:lang w:val="lt-LT"/>
        </w:rPr>
        <w:t>mofetilio</w:t>
      </w:r>
      <w:proofErr w:type="spellEnd"/>
      <w:r w:rsidRPr="003F7446">
        <w:rPr>
          <w:sz w:val="22"/>
          <w:szCs w:val="22"/>
          <w:lang w:val="lt-LT"/>
        </w:rPr>
        <w:t xml:space="preserve"> per parą ir 277 pacientai gydomi po 2 g į veną, vėliau 3 g vartoti per burną </w:t>
      </w:r>
      <w:proofErr w:type="spellStart"/>
      <w:r w:rsidRPr="003F7446">
        <w:rPr>
          <w:sz w:val="22"/>
          <w:szCs w:val="22"/>
          <w:lang w:val="lt-LT"/>
        </w:rPr>
        <w:t>mikofenolato</w:t>
      </w:r>
      <w:proofErr w:type="spellEnd"/>
      <w:r w:rsidRPr="003F7446">
        <w:rPr>
          <w:sz w:val="22"/>
          <w:szCs w:val="22"/>
          <w:lang w:val="lt-LT"/>
        </w:rPr>
        <w:t xml:space="preserve"> </w:t>
      </w:r>
      <w:proofErr w:type="spellStart"/>
      <w:r w:rsidRPr="003F7446">
        <w:rPr>
          <w:sz w:val="22"/>
          <w:szCs w:val="22"/>
          <w:lang w:val="lt-LT"/>
        </w:rPr>
        <w:t>mofetilio</w:t>
      </w:r>
      <w:proofErr w:type="spellEnd"/>
      <w:r w:rsidRPr="003F7446">
        <w:rPr>
          <w:sz w:val="22"/>
          <w:szCs w:val="22"/>
          <w:lang w:val="lt-LT"/>
        </w:rPr>
        <w:t xml:space="preserve"> per parą. </w:t>
      </w:r>
    </w:p>
    <w:p w14:paraId="28FB936F" w14:textId="77777777" w:rsidR="0052287E" w:rsidRPr="003F7446" w:rsidRDefault="0052287E" w:rsidP="0052287E">
      <w:pPr>
        <w:pStyle w:val="Default"/>
        <w:rPr>
          <w:sz w:val="22"/>
          <w:szCs w:val="22"/>
          <w:u w:val="single"/>
          <w:lang w:val="lt-LT"/>
        </w:rPr>
      </w:pPr>
    </w:p>
    <w:p w14:paraId="5653E290" w14:textId="77777777" w:rsidR="0052287E" w:rsidRPr="003F7446" w:rsidRDefault="0052287E" w:rsidP="0052287E">
      <w:pPr>
        <w:pStyle w:val="Default"/>
        <w:rPr>
          <w:sz w:val="22"/>
          <w:szCs w:val="22"/>
          <w:lang w:val="lt-LT"/>
        </w:rPr>
      </w:pPr>
      <w:r w:rsidRPr="003F7446">
        <w:rPr>
          <w:sz w:val="22"/>
          <w:szCs w:val="22"/>
          <w:u w:val="single"/>
          <w:lang w:val="lt-LT"/>
        </w:rPr>
        <w:t>Nepageidaujamas poveikis, apibendrinantis nepageidaujamas reakcijas, nustatytas vaistiniam preparatui patekus į rinką</w:t>
      </w:r>
      <w:r w:rsidRPr="003F7446">
        <w:rPr>
          <w:sz w:val="22"/>
          <w:szCs w:val="22"/>
          <w:lang w:val="lt-LT"/>
        </w:rPr>
        <w:t xml:space="preserve">: </w:t>
      </w:r>
    </w:p>
    <w:p w14:paraId="6B2794F6" w14:textId="77777777" w:rsidR="0052287E" w:rsidRPr="003F7446" w:rsidRDefault="0052287E" w:rsidP="0052287E">
      <w:pPr>
        <w:pStyle w:val="Default"/>
        <w:rPr>
          <w:sz w:val="22"/>
          <w:szCs w:val="22"/>
          <w:lang w:val="lt-LT"/>
        </w:rPr>
      </w:pPr>
      <w:r w:rsidRPr="003F7446">
        <w:rPr>
          <w:sz w:val="22"/>
          <w:szCs w:val="22"/>
          <w:lang w:val="lt-LT"/>
        </w:rPr>
        <w:t xml:space="preserve">Nepageidaujamų reakcijų, apie kurias pranešama </w:t>
      </w:r>
      <w:proofErr w:type="spellStart"/>
      <w:r w:rsidRPr="003F7446">
        <w:rPr>
          <w:sz w:val="22"/>
          <w:szCs w:val="22"/>
          <w:lang w:val="lt-LT"/>
        </w:rPr>
        <w:t>mikofenolato</w:t>
      </w:r>
      <w:proofErr w:type="spellEnd"/>
      <w:r w:rsidRPr="003F7446">
        <w:rPr>
          <w:sz w:val="22"/>
          <w:szCs w:val="22"/>
          <w:lang w:val="lt-LT"/>
        </w:rPr>
        <w:t xml:space="preserve"> </w:t>
      </w:r>
      <w:proofErr w:type="spellStart"/>
      <w:r w:rsidRPr="003F7446">
        <w:rPr>
          <w:sz w:val="22"/>
          <w:szCs w:val="22"/>
          <w:lang w:val="lt-LT"/>
        </w:rPr>
        <w:t>mofetiliui</w:t>
      </w:r>
      <w:proofErr w:type="spellEnd"/>
      <w:r w:rsidRPr="003F7446">
        <w:rPr>
          <w:sz w:val="22"/>
          <w:szCs w:val="22"/>
          <w:lang w:val="lt-LT"/>
        </w:rPr>
        <w:t xml:space="preserve"> patekus į rinką pobūdis buvo panašus į tą, kuris pastebėtas atliekant kontroliuojamus tyrimus po inkstų, širdies ir kepenų persodinimo. Papildomos nepageidaujamos reakcijos, apie kurias pranešta vaistiniam preparatui jau suteikus rinkodaros teisę, aprašomos toliau, skliaustuose nurodant jų dažnį, jeigu jis žinomas. </w:t>
      </w:r>
    </w:p>
    <w:p w14:paraId="688A9BB9" w14:textId="77777777" w:rsidR="0052287E" w:rsidRPr="003F7446" w:rsidRDefault="0052287E" w:rsidP="0052287E">
      <w:pPr>
        <w:pStyle w:val="Default"/>
        <w:rPr>
          <w:sz w:val="22"/>
          <w:szCs w:val="22"/>
          <w:u w:val="single"/>
          <w:lang w:val="lt-LT"/>
        </w:rPr>
      </w:pPr>
    </w:p>
    <w:p w14:paraId="2884F9E0" w14:textId="77777777" w:rsidR="0052287E" w:rsidRPr="003F7446" w:rsidRDefault="0052287E" w:rsidP="0052287E">
      <w:pPr>
        <w:pStyle w:val="Default"/>
        <w:rPr>
          <w:color w:val="auto"/>
          <w:sz w:val="22"/>
          <w:szCs w:val="22"/>
          <w:u w:val="single"/>
          <w:lang w:val="lt-LT"/>
        </w:rPr>
      </w:pPr>
      <w:r w:rsidRPr="003F7446">
        <w:rPr>
          <w:sz w:val="22"/>
          <w:szCs w:val="22"/>
          <w:u w:val="single"/>
          <w:lang w:val="lt-LT"/>
        </w:rPr>
        <w:t>Skrandžio ir žarnyno sutrikimai</w:t>
      </w:r>
      <w:r w:rsidRPr="003F7446">
        <w:rPr>
          <w:sz w:val="22"/>
          <w:szCs w:val="22"/>
          <w:lang w:val="lt-LT"/>
        </w:rPr>
        <w:t xml:space="preserve">: dantenų </w:t>
      </w:r>
      <w:proofErr w:type="spellStart"/>
      <w:r w:rsidRPr="003F7446">
        <w:rPr>
          <w:sz w:val="22"/>
          <w:szCs w:val="22"/>
          <w:lang w:val="lt-LT"/>
        </w:rPr>
        <w:t>hiperplazija</w:t>
      </w:r>
      <w:proofErr w:type="spellEnd"/>
      <w:r w:rsidRPr="003F7446">
        <w:rPr>
          <w:sz w:val="22"/>
          <w:szCs w:val="22"/>
          <w:lang w:val="lt-LT"/>
        </w:rPr>
        <w:t xml:space="preserve"> (≥1/100 iki &lt;1/10), kolitas, įskaitant sukeltą </w:t>
      </w:r>
      <w:proofErr w:type="spellStart"/>
      <w:r w:rsidRPr="003F7446">
        <w:rPr>
          <w:sz w:val="22"/>
          <w:szCs w:val="22"/>
          <w:lang w:val="lt-LT"/>
        </w:rPr>
        <w:t>citomegaloviruso</w:t>
      </w:r>
      <w:proofErr w:type="spellEnd"/>
      <w:r w:rsidRPr="003F7446">
        <w:rPr>
          <w:sz w:val="22"/>
          <w:szCs w:val="22"/>
          <w:lang w:val="lt-LT"/>
        </w:rPr>
        <w:t xml:space="preserve"> (≥1/100 - &lt;1/10), pankreatitas (≥1/100 - &lt;1/10) ir žarnų </w:t>
      </w:r>
      <w:proofErr w:type="spellStart"/>
      <w:r w:rsidRPr="003F7446">
        <w:rPr>
          <w:sz w:val="22"/>
          <w:szCs w:val="22"/>
          <w:lang w:val="lt-LT"/>
        </w:rPr>
        <w:t>gaurelių</w:t>
      </w:r>
      <w:proofErr w:type="spellEnd"/>
      <w:r w:rsidRPr="003F7446">
        <w:rPr>
          <w:sz w:val="22"/>
          <w:szCs w:val="22"/>
          <w:lang w:val="lt-LT"/>
        </w:rPr>
        <w:t xml:space="preserve"> atrofija. </w:t>
      </w:r>
    </w:p>
    <w:p w14:paraId="1072CEE9" w14:textId="77777777" w:rsidR="0052287E" w:rsidRPr="003F7446" w:rsidRDefault="0052287E" w:rsidP="0052287E">
      <w:pPr>
        <w:pStyle w:val="Default"/>
        <w:rPr>
          <w:color w:val="auto"/>
          <w:sz w:val="22"/>
          <w:szCs w:val="22"/>
          <w:u w:val="single"/>
          <w:lang w:val="lt-LT"/>
        </w:rPr>
      </w:pPr>
    </w:p>
    <w:p w14:paraId="1F786D87" w14:textId="77777777" w:rsidR="0052287E" w:rsidRPr="003F7446" w:rsidRDefault="0052287E" w:rsidP="0052287E">
      <w:pPr>
        <w:pStyle w:val="Default"/>
        <w:rPr>
          <w:color w:val="auto"/>
          <w:sz w:val="22"/>
          <w:szCs w:val="22"/>
          <w:lang w:val="lt-LT"/>
        </w:rPr>
      </w:pPr>
      <w:r w:rsidRPr="003F7446">
        <w:rPr>
          <w:color w:val="auto"/>
          <w:sz w:val="22"/>
          <w:szCs w:val="22"/>
          <w:u w:val="single"/>
          <w:lang w:val="lt-LT"/>
        </w:rPr>
        <w:t xml:space="preserve">Su </w:t>
      </w:r>
      <w:proofErr w:type="spellStart"/>
      <w:r w:rsidRPr="003F7446">
        <w:rPr>
          <w:color w:val="auto"/>
          <w:sz w:val="22"/>
          <w:szCs w:val="22"/>
          <w:u w:val="single"/>
          <w:lang w:val="lt-LT"/>
        </w:rPr>
        <w:t>imunosupresija</w:t>
      </w:r>
      <w:proofErr w:type="spellEnd"/>
      <w:r w:rsidRPr="003F7446">
        <w:rPr>
          <w:color w:val="auto"/>
          <w:sz w:val="22"/>
          <w:szCs w:val="22"/>
          <w:u w:val="single"/>
          <w:lang w:val="lt-LT"/>
        </w:rPr>
        <w:t xml:space="preserve"> susiję sutrikimai</w:t>
      </w:r>
      <w:r w:rsidRPr="003F7446">
        <w:rPr>
          <w:color w:val="auto"/>
          <w:sz w:val="22"/>
          <w:szCs w:val="22"/>
          <w:lang w:val="lt-LT"/>
        </w:rPr>
        <w:t xml:space="preserve">: sunkios, gyvybei pavojingos infekcinės ligos, įskaitant meningitą, </w:t>
      </w:r>
      <w:proofErr w:type="spellStart"/>
      <w:r w:rsidRPr="003F7446">
        <w:rPr>
          <w:color w:val="auto"/>
          <w:sz w:val="22"/>
          <w:szCs w:val="22"/>
          <w:lang w:val="lt-LT"/>
        </w:rPr>
        <w:t>endokarditą</w:t>
      </w:r>
      <w:proofErr w:type="spellEnd"/>
      <w:r w:rsidRPr="003F7446">
        <w:rPr>
          <w:color w:val="auto"/>
          <w:sz w:val="22"/>
          <w:szCs w:val="22"/>
          <w:lang w:val="lt-LT"/>
        </w:rPr>
        <w:t xml:space="preserve">, tuberkuliozę ir atipinę </w:t>
      </w:r>
      <w:proofErr w:type="spellStart"/>
      <w:r w:rsidRPr="003F7446">
        <w:rPr>
          <w:color w:val="auto"/>
          <w:sz w:val="22"/>
          <w:szCs w:val="22"/>
          <w:lang w:val="lt-LT"/>
        </w:rPr>
        <w:t>mikobakterinę</w:t>
      </w:r>
      <w:proofErr w:type="spellEnd"/>
      <w:r w:rsidRPr="003F7446">
        <w:rPr>
          <w:color w:val="auto"/>
          <w:sz w:val="22"/>
          <w:szCs w:val="22"/>
          <w:lang w:val="lt-LT"/>
        </w:rPr>
        <w:t xml:space="preserve"> infekciją. Gauta pranešimų, kad </w:t>
      </w:r>
      <w:proofErr w:type="spellStart"/>
      <w:r w:rsidRPr="003F7446">
        <w:rPr>
          <w:color w:val="auto"/>
          <w:sz w:val="22"/>
          <w:szCs w:val="22"/>
          <w:lang w:val="lt-LT"/>
        </w:rPr>
        <w:t>imunosupresantais</w:t>
      </w:r>
      <w:proofErr w:type="spellEnd"/>
      <w:r w:rsidRPr="003F7446">
        <w:rPr>
          <w:color w:val="auto"/>
          <w:sz w:val="22"/>
          <w:szCs w:val="22"/>
          <w:lang w:val="lt-LT"/>
        </w:rPr>
        <w:t xml:space="preserve"> gydytiems pacientams, įskaitant ir gydytus </w:t>
      </w:r>
      <w:proofErr w:type="spellStart"/>
      <w:r w:rsidRPr="003F7446">
        <w:rPr>
          <w:sz w:val="22"/>
          <w:szCs w:val="22"/>
          <w:lang w:val="lt-LT"/>
        </w:rPr>
        <w:t>mikofenolato</w:t>
      </w:r>
      <w:proofErr w:type="spellEnd"/>
      <w:r w:rsidRPr="003F7446">
        <w:rPr>
          <w:sz w:val="22"/>
          <w:szCs w:val="22"/>
          <w:lang w:val="lt-LT"/>
        </w:rPr>
        <w:t xml:space="preserve"> </w:t>
      </w:r>
      <w:proofErr w:type="spellStart"/>
      <w:r w:rsidRPr="003F7446">
        <w:rPr>
          <w:sz w:val="22"/>
          <w:szCs w:val="22"/>
          <w:lang w:val="lt-LT"/>
        </w:rPr>
        <w:t>mofetiliui</w:t>
      </w:r>
      <w:proofErr w:type="spellEnd"/>
      <w:r w:rsidRPr="003F7446">
        <w:rPr>
          <w:color w:val="auto"/>
          <w:sz w:val="22"/>
          <w:szCs w:val="22"/>
          <w:lang w:val="lt-LT"/>
        </w:rPr>
        <w:t xml:space="preserve">, pastebėta su BK virusu susijusios </w:t>
      </w:r>
      <w:proofErr w:type="spellStart"/>
      <w:r w:rsidRPr="003F7446">
        <w:rPr>
          <w:color w:val="auto"/>
          <w:sz w:val="22"/>
          <w:szCs w:val="22"/>
          <w:lang w:val="lt-LT"/>
        </w:rPr>
        <w:t>nefropatijos</w:t>
      </w:r>
      <w:proofErr w:type="spellEnd"/>
      <w:r w:rsidRPr="003F7446">
        <w:rPr>
          <w:color w:val="auto"/>
          <w:sz w:val="22"/>
          <w:szCs w:val="22"/>
          <w:lang w:val="lt-LT"/>
        </w:rPr>
        <w:t xml:space="preserve">, taip pat su JC virusu susijusios progresuojančios </w:t>
      </w:r>
      <w:proofErr w:type="spellStart"/>
      <w:r w:rsidRPr="003F7446">
        <w:rPr>
          <w:color w:val="auto"/>
          <w:sz w:val="22"/>
          <w:szCs w:val="22"/>
          <w:lang w:val="lt-LT"/>
        </w:rPr>
        <w:t>daugiažidininės</w:t>
      </w:r>
      <w:proofErr w:type="spellEnd"/>
      <w:r w:rsidRPr="003F7446">
        <w:rPr>
          <w:color w:val="auto"/>
          <w:sz w:val="22"/>
          <w:szCs w:val="22"/>
          <w:lang w:val="lt-LT"/>
        </w:rPr>
        <w:t xml:space="preserve"> </w:t>
      </w:r>
      <w:proofErr w:type="spellStart"/>
      <w:r w:rsidRPr="003F7446">
        <w:rPr>
          <w:color w:val="auto"/>
          <w:sz w:val="22"/>
          <w:szCs w:val="22"/>
          <w:lang w:val="lt-LT"/>
        </w:rPr>
        <w:t>leukoencefalopatijos</w:t>
      </w:r>
      <w:proofErr w:type="spellEnd"/>
      <w:r w:rsidRPr="003F7446">
        <w:rPr>
          <w:color w:val="auto"/>
          <w:sz w:val="22"/>
          <w:szCs w:val="22"/>
          <w:lang w:val="lt-LT"/>
        </w:rPr>
        <w:t xml:space="preserve"> (PDL) atvejų. </w:t>
      </w:r>
    </w:p>
    <w:p w14:paraId="6A0EA650"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Aprašyta </w:t>
      </w:r>
      <w:proofErr w:type="spellStart"/>
      <w:r w:rsidRPr="003F7446">
        <w:rPr>
          <w:color w:val="auto"/>
          <w:sz w:val="22"/>
          <w:szCs w:val="22"/>
          <w:lang w:val="lt-LT"/>
        </w:rPr>
        <w:t>agranulocitozės</w:t>
      </w:r>
      <w:proofErr w:type="spellEnd"/>
      <w:r w:rsidRPr="003F7446">
        <w:rPr>
          <w:color w:val="auto"/>
          <w:sz w:val="22"/>
          <w:szCs w:val="22"/>
          <w:lang w:val="lt-LT"/>
        </w:rPr>
        <w:t xml:space="preserve"> (≥1/1000 - &lt;1/100) ir </w:t>
      </w:r>
      <w:proofErr w:type="spellStart"/>
      <w:r w:rsidRPr="003F7446">
        <w:rPr>
          <w:color w:val="auto"/>
          <w:sz w:val="22"/>
          <w:szCs w:val="22"/>
          <w:lang w:val="lt-LT"/>
        </w:rPr>
        <w:t>neutropenijos</w:t>
      </w:r>
      <w:proofErr w:type="spellEnd"/>
      <w:r w:rsidRPr="003F7446">
        <w:rPr>
          <w:color w:val="auto"/>
          <w:sz w:val="22"/>
          <w:szCs w:val="22"/>
          <w:lang w:val="lt-LT"/>
        </w:rPr>
        <w:t xml:space="preserve"> atvejų, todėl vartojančius </w:t>
      </w:r>
      <w:proofErr w:type="spellStart"/>
      <w:r w:rsidRPr="003F7446">
        <w:rPr>
          <w:sz w:val="22"/>
          <w:szCs w:val="22"/>
          <w:lang w:val="lt-LT"/>
        </w:rPr>
        <w:t>mikofenolato</w:t>
      </w:r>
      <w:proofErr w:type="spellEnd"/>
      <w:r w:rsidRPr="003F7446">
        <w:rPr>
          <w:sz w:val="22"/>
          <w:szCs w:val="22"/>
          <w:lang w:val="lt-LT"/>
        </w:rPr>
        <w:t xml:space="preserve"> </w:t>
      </w:r>
      <w:proofErr w:type="spellStart"/>
      <w:r w:rsidRPr="003F7446">
        <w:rPr>
          <w:sz w:val="22"/>
          <w:szCs w:val="22"/>
          <w:lang w:val="lt-LT"/>
        </w:rPr>
        <w:t>mofetilį</w:t>
      </w:r>
      <w:proofErr w:type="spellEnd"/>
      <w:r w:rsidRPr="003F7446">
        <w:rPr>
          <w:color w:val="auto"/>
          <w:sz w:val="22"/>
          <w:szCs w:val="22"/>
          <w:lang w:val="lt-LT"/>
        </w:rPr>
        <w:t xml:space="preserve"> pacientus patartina reguliariai stebėti (žr. 4.4 skyrių). Yra pranešimų, kad gydant pacientus </w:t>
      </w:r>
      <w:proofErr w:type="spellStart"/>
      <w:r w:rsidRPr="003F7446">
        <w:rPr>
          <w:sz w:val="22"/>
          <w:szCs w:val="22"/>
          <w:lang w:val="lt-LT"/>
        </w:rPr>
        <w:t>mikofenolato</w:t>
      </w:r>
      <w:proofErr w:type="spellEnd"/>
      <w:r w:rsidRPr="003F7446">
        <w:rPr>
          <w:sz w:val="22"/>
          <w:szCs w:val="22"/>
          <w:lang w:val="lt-LT"/>
        </w:rPr>
        <w:t xml:space="preserve"> </w:t>
      </w:r>
      <w:proofErr w:type="spellStart"/>
      <w:r w:rsidRPr="003F7446">
        <w:rPr>
          <w:sz w:val="22"/>
          <w:szCs w:val="22"/>
          <w:lang w:val="lt-LT"/>
        </w:rPr>
        <w:t>mofetiliu</w:t>
      </w:r>
      <w:proofErr w:type="spellEnd"/>
      <w:r w:rsidRPr="003F7446">
        <w:rPr>
          <w:color w:val="auto"/>
          <w:sz w:val="22"/>
          <w:szCs w:val="22"/>
          <w:lang w:val="lt-LT"/>
        </w:rPr>
        <w:t xml:space="preserve"> preparatu išryškėjo </w:t>
      </w:r>
      <w:proofErr w:type="spellStart"/>
      <w:r w:rsidRPr="003F7446">
        <w:rPr>
          <w:color w:val="auto"/>
          <w:sz w:val="22"/>
          <w:szCs w:val="22"/>
          <w:lang w:val="lt-LT"/>
        </w:rPr>
        <w:t>aplazinė</w:t>
      </w:r>
      <w:proofErr w:type="spellEnd"/>
      <w:r w:rsidRPr="003F7446">
        <w:rPr>
          <w:color w:val="auto"/>
          <w:sz w:val="22"/>
          <w:szCs w:val="22"/>
          <w:lang w:val="lt-LT"/>
        </w:rPr>
        <w:t xml:space="preserve"> anemija ir kaulų čiulpų funkcijos slopinimas; nuo to kai kurie pacientai mirė. </w:t>
      </w:r>
    </w:p>
    <w:p w14:paraId="4F0F35D6" w14:textId="77777777" w:rsidR="0052287E" w:rsidRPr="003F7446" w:rsidRDefault="0052287E" w:rsidP="0052287E">
      <w:pPr>
        <w:pStyle w:val="Default"/>
        <w:ind w:left="560" w:hanging="560"/>
        <w:rPr>
          <w:color w:val="auto"/>
          <w:sz w:val="22"/>
          <w:szCs w:val="22"/>
          <w:u w:val="single"/>
          <w:lang w:val="lt-LT"/>
        </w:rPr>
      </w:pPr>
    </w:p>
    <w:p w14:paraId="1591265D" w14:textId="77777777" w:rsidR="0052287E" w:rsidRPr="003F7446" w:rsidRDefault="0052287E" w:rsidP="0052287E">
      <w:pPr>
        <w:pStyle w:val="Default"/>
        <w:rPr>
          <w:color w:val="auto"/>
          <w:sz w:val="22"/>
          <w:szCs w:val="22"/>
          <w:u w:val="single"/>
          <w:lang w:val="lt-LT"/>
        </w:rPr>
      </w:pPr>
      <w:r w:rsidRPr="003F7446">
        <w:rPr>
          <w:color w:val="auto"/>
          <w:sz w:val="22"/>
          <w:szCs w:val="22"/>
          <w:u w:val="single"/>
          <w:lang w:val="lt-LT"/>
        </w:rPr>
        <w:t>Kraujo ir limfinės sistemos sutrikimai:</w:t>
      </w:r>
    </w:p>
    <w:p w14:paraId="7C798C88"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gydant pacientus </w:t>
      </w:r>
      <w:proofErr w:type="spellStart"/>
      <w:r w:rsidRPr="003F7446">
        <w:rPr>
          <w:sz w:val="22"/>
          <w:szCs w:val="22"/>
          <w:lang w:val="lt-LT"/>
        </w:rPr>
        <w:t>mikofenolato</w:t>
      </w:r>
      <w:proofErr w:type="spellEnd"/>
      <w:r w:rsidRPr="003F7446">
        <w:rPr>
          <w:sz w:val="22"/>
          <w:szCs w:val="22"/>
          <w:lang w:val="lt-LT"/>
        </w:rPr>
        <w:t xml:space="preserve"> </w:t>
      </w:r>
      <w:proofErr w:type="spellStart"/>
      <w:r w:rsidRPr="003F7446">
        <w:rPr>
          <w:sz w:val="22"/>
          <w:szCs w:val="22"/>
          <w:lang w:val="lt-LT"/>
        </w:rPr>
        <w:t>mofetiliu</w:t>
      </w:r>
      <w:proofErr w:type="spellEnd"/>
      <w:r w:rsidRPr="003F7446">
        <w:rPr>
          <w:sz w:val="22"/>
          <w:szCs w:val="22"/>
          <w:lang w:val="lt-LT"/>
        </w:rPr>
        <w:t xml:space="preserve"> </w:t>
      </w:r>
      <w:r w:rsidRPr="003F7446">
        <w:rPr>
          <w:color w:val="auto"/>
          <w:sz w:val="22"/>
          <w:szCs w:val="22"/>
          <w:lang w:val="lt-LT"/>
        </w:rPr>
        <w:t xml:space="preserve">gauta pranešimų apie grynos </w:t>
      </w:r>
      <w:proofErr w:type="spellStart"/>
      <w:r w:rsidRPr="003F7446">
        <w:rPr>
          <w:color w:val="auto"/>
          <w:sz w:val="22"/>
          <w:szCs w:val="22"/>
          <w:lang w:val="lt-LT"/>
        </w:rPr>
        <w:t>eritropoezės</w:t>
      </w:r>
      <w:proofErr w:type="spellEnd"/>
      <w:r w:rsidRPr="003F7446">
        <w:rPr>
          <w:color w:val="auto"/>
          <w:sz w:val="22"/>
          <w:szCs w:val="22"/>
          <w:lang w:val="lt-LT"/>
        </w:rPr>
        <w:t xml:space="preserve"> ląstelių </w:t>
      </w:r>
      <w:proofErr w:type="spellStart"/>
      <w:r w:rsidRPr="003F7446">
        <w:rPr>
          <w:color w:val="auto"/>
          <w:sz w:val="22"/>
          <w:szCs w:val="22"/>
          <w:lang w:val="lt-LT"/>
        </w:rPr>
        <w:t>aplazijos</w:t>
      </w:r>
      <w:proofErr w:type="spellEnd"/>
      <w:r w:rsidRPr="003F7446">
        <w:rPr>
          <w:color w:val="auto"/>
          <w:sz w:val="22"/>
          <w:szCs w:val="22"/>
          <w:lang w:val="lt-LT"/>
        </w:rPr>
        <w:t xml:space="preserve"> (GELA) atvejus (žr. 4.4 skyrių). </w:t>
      </w:r>
    </w:p>
    <w:p w14:paraId="5E1139F0"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Pacientams, gydytiems </w:t>
      </w:r>
      <w:proofErr w:type="spellStart"/>
      <w:r w:rsidRPr="003F7446">
        <w:rPr>
          <w:sz w:val="22"/>
          <w:szCs w:val="22"/>
          <w:lang w:val="lt-LT"/>
        </w:rPr>
        <w:t>mikofenolato</w:t>
      </w:r>
      <w:proofErr w:type="spellEnd"/>
      <w:r w:rsidRPr="003F7446">
        <w:rPr>
          <w:sz w:val="22"/>
          <w:szCs w:val="22"/>
          <w:lang w:val="lt-LT"/>
        </w:rPr>
        <w:t xml:space="preserve"> </w:t>
      </w:r>
      <w:proofErr w:type="spellStart"/>
      <w:r w:rsidRPr="003F7446">
        <w:rPr>
          <w:sz w:val="22"/>
          <w:szCs w:val="22"/>
          <w:lang w:val="lt-LT"/>
        </w:rPr>
        <w:t>mofetiliu</w:t>
      </w:r>
      <w:proofErr w:type="spellEnd"/>
      <w:r w:rsidRPr="003F7446">
        <w:rPr>
          <w:color w:val="auto"/>
          <w:sz w:val="22"/>
          <w:szCs w:val="22"/>
          <w:lang w:val="lt-LT"/>
        </w:rPr>
        <w:t xml:space="preserve">, pastebėti pavieniai pakitusios </w:t>
      </w:r>
      <w:proofErr w:type="spellStart"/>
      <w:r w:rsidRPr="003F7446">
        <w:rPr>
          <w:color w:val="auto"/>
          <w:sz w:val="22"/>
          <w:szCs w:val="22"/>
          <w:lang w:val="lt-LT"/>
        </w:rPr>
        <w:t>neutrofilų</w:t>
      </w:r>
      <w:proofErr w:type="spellEnd"/>
      <w:r w:rsidRPr="003F7446">
        <w:rPr>
          <w:color w:val="auto"/>
          <w:sz w:val="22"/>
          <w:szCs w:val="22"/>
          <w:lang w:val="lt-LT"/>
        </w:rPr>
        <w:t xml:space="preserve"> morfologijos, įskaitant įgytos </w:t>
      </w:r>
      <w:proofErr w:type="spellStart"/>
      <w:r w:rsidRPr="003F7446">
        <w:rPr>
          <w:i/>
          <w:color w:val="auto"/>
          <w:sz w:val="22"/>
          <w:szCs w:val="22"/>
          <w:lang w:val="lt-LT"/>
        </w:rPr>
        <w:t>Pelger-Huet</w:t>
      </w:r>
      <w:proofErr w:type="spellEnd"/>
      <w:r w:rsidRPr="003F7446">
        <w:rPr>
          <w:color w:val="auto"/>
          <w:sz w:val="22"/>
          <w:szCs w:val="22"/>
          <w:lang w:val="lt-LT"/>
        </w:rPr>
        <w:t xml:space="preserve"> anomalijos, atvejai. Šie pokyčiai nėra susiję su sutrikusia </w:t>
      </w:r>
      <w:proofErr w:type="spellStart"/>
      <w:r w:rsidRPr="003F7446">
        <w:rPr>
          <w:color w:val="auto"/>
          <w:sz w:val="22"/>
          <w:szCs w:val="22"/>
          <w:lang w:val="lt-LT"/>
        </w:rPr>
        <w:t>neutrofilų</w:t>
      </w:r>
      <w:proofErr w:type="spellEnd"/>
      <w:r w:rsidRPr="003F7446">
        <w:rPr>
          <w:color w:val="auto"/>
          <w:sz w:val="22"/>
          <w:szCs w:val="22"/>
          <w:lang w:val="lt-LT"/>
        </w:rPr>
        <w:t xml:space="preserve"> funkcija. Kraujo tyrimuose šie pokyčiai leidžia manyti, kad tai </w:t>
      </w:r>
      <w:proofErr w:type="spellStart"/>
      <w:r w:rsidRPr="003F7446">
        <w:rPr>
          <w:color w:val="auto"/>
          <w:sz w:val="22"/>
          <w:szCs w:val="22"/>
          <w:lang w:val="lt-LT"/>
        </w:rPr>
        <w:t>neutrofilų</w:t>
      </w:r>
      <w:proofErr w:type="spellEnd"/>
      <w:r w:rsidRPr="003F7446">
        <w:rPr>
          <w:color w:val="auto"/>
          <w:sz w:val="22"/>
          <w:szCs w:val="22"/>
          <w:lang w:val="lt-LT"/>
        </w:rPr>
        <w:t xml:space="preserve"> brandos „nuokrypis į kairę“, kurie gali būti klaidingai interpretuojami kaip infekcijos simptomas </w:t>
      </w:r>
      <w:proofErr w:type="spellStart"/>
      <w:r w:rsidRPr="003F7446">
        <w:rPr>
          <w:sz w:val="22"/>
          <w:szCs w:val="22"/>
          <w:lang w:val="lt-LT"/>
        </w:rPr>
        <w:t>mikofenolato</w:t>
      </w:r>
      <w:proofErr w:type="spellEnd"/>
      <w:r w:rsidRPr="003F7446">
        <w:rPr>
          <w:sz w:val="22"/>
          <w:szCs w:val="22"/>
          <w:lang w:val="lt-LT"/>
        </w:rPr>
        <w:t xml:space="preserve"> </w:t>
      </w:r>
      <w:proofErr w:type="spellStart"/>
      <w:r w:rsidRPr="003F7446">
        <w:rPr>
          <w:sz w:val="22"/>
          <w:szCs w:val="22"/>
          <w:lang w:val="lt-LT"/>
        </w:rPr>
        <w:t>mofetilį</w:t>
      </w:r>
      <w:proofErr w:type="spellEnd"/>
      <w:r w:rsidRPr="003F7446">
        <w:rPr>
          <w:sz w:val="22"/>
          <w:szCs w:val="22"/>
          <w:lang w:val="lt-LT"/>
        </w:rPr>
        <w:t xml:space="preserve"> </w:t>
      </w:r>
      <w:r w:rsidRPr="003F7446">
        <w:rPr>
          <w:color w:val="auto"/>
          <w:sz w:val="22"/>
          <w:szCs w:val="22"/>
          <w:lang w:val="lt-LT"/>
        </w:rPr>
        <w:t xml:space="preserve">gaunantiems pacientams, kuriems yra </w:t>
      </w:r>
      <w:proofErr w:type="spellStart"/>
      <w:r w:rsidRPr="003F7446">
        <w:rPr>
          <w:color w:val="auto"/>
          <w:sz w:val="22"/>
          <w:szCs w:val="22"/>
          <w:lang w:val="lt-LT"/>
        </w:rPr>
        <w:t>imunosupresija</w:t>
      </w:r>
      <w:proofErr w:type="spellEnd"/>
      <w:r w:rsidRPr="003F7446">
        <w:rPr>
          <w:color w:val="auto"/>
          <w:sz w:val="22"/>
          <w:szCs w:val="22"/>
          <w:lang w:val="lt-LT"/>
        </w:rPr>
        <w:t xml:space="preserve">. </w:t>
      </w:r>
    </w:p>
    <w:p w14:paraId="55E881D4" w14:textId="77777777" w:rsidR="00F146C9" w:rsidRPr="003F7446" w:rsidRDefault="00F146C9" w:rsidP="0052287E">
      <w:pPr>
        <w:pStyle w:val="Default"/>
        <w:rPr>
          <w:color w:val="auto"/>
          <w:sz w:val="22"/>
          <w:szCs w:val="22"/>
          <w:lang w:val="lt-LT"/>
        </w:rPr>
      </w:pPr>
    </w:p>
    <w:p w14:paraId="53C99375" w14:textId="77777777" w:rsidR="00F146C9" w:rsidRPr="003F7446" w:rsidRDefault="00FD40DC" w:rsidP="0052287E">
      <w:pPr>
        <w:pStyle w:val="Default"/>
        <w:rPr>
          <w:color w:val="auto"/>
          <w:sz w:val="22"/>
          <w:szCs w:val="22"/>
          <w:u w:val="single"/>
          <w:lang w:val="lt-LT"/>
        </w:rPr>
      </w:pPr>
      <w:r w:rsidRPr="003F7446">
        <w:rPr>
          <w:color w:val="auto"/>
          <w:sz w:val="22"/>
          <w:szCs w:val="22"/>
          <w:u w:val="single"/>
          <w:lang w:val="lt-LT"/>
        </w:rPr>
        <w:t>Imuninės sistemos sutrikimai:</w:t>
      </w:r>
    </w:p>
    <w:p w14:paraId="772AC97D" w14:textId="211EFF70" w:rsidR="00FD40DC" w:rsidRPr="003F7446" w:rsidRDefault="00D223E3" w:rsidP="0052287E">
      <w:pPr>
        <w:pStyle w:val="Default"/>
        <w:rPr>
          <w:color w:val="auto"/>
          <w:sz w:val="22"/>
          <w:szCs w:val="22"/>
          <w:lang w:val="lt-LT"/>
        </w:rPr>
      </w:pPr>
      <w:proofErr w:type="spellStart"/>
      <w:r w:rsidRPr="003F7446">
        <w:rPr>
          <w:color w:val="auto"/>
          <w:sz w:val="22"/>
          <w:szCs w:val="22"/>
          <w:lang w:val="lt-LT"/>
        </w:rPr>
        <w:t>Hipogama</w:t>
      </w:r>
      <w:r w:rsidR="008912E3" w:rsidRPr="003F7446">
        <w:rPr>
          <w:color w:val="auto"/>
          <w:sz w:val="22"/>
          <w:szCs w:val="22"/>
          <w:lang w:val="lt-LT"/>
        </w:rPr>
        <w:t>g</w:t>
      </w:r>
      <w:r w:rsidRPr="003F7446">
        <w:rPr>
          <w:color w:val="auto"/>
          <w:sz w:val="22"/>
          <w:szCs w:val="22"/>
          <w:lang w:val="lt-LT"/>
        </w:rPr>
        <w:t>lobulinemijos</w:t>
      </w:r>
      <w:proofErr w:type="spellEnd"/>
      <w:r w:rsidRPr="003F7446">
        <w:rPr>
          <w:color w:val="auto"/>
          <w:sz w:val="22"/>
          <w:szCs w:val="22"/>
          <w:lang w:val="lt-LT"/>
        </w:rPr>
        <w:t xml:space="preserve"> atvejai buvo nustatyti pacientams, gydytiems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mofetiliu</w:t>
      </w:r>
      <w:proofErr w:type="spellEnd"/>
      <w:r w:rsidRPr="003F7446">
        <w:rPr>
          <w:color w:val="auto"/>
          <w:sz w:val="22"/>
          <w:szCs w:val="22"/>
          <w:lang w:val="lt-LT"/>
        </w:rPr>
        <w:t xml:space="preserve"> kartu su kitais </w:t>
      </w:r>
      <w:proofErr w:type="spellStart"/>
      <w:r w:rsidRPr="003F7446">
        <w:rPr>
          <w:color w:val="auto"/>
          <w:sz w:val="22"/>
          <w:szCs w:val="22"/>
          <w:lang w:val="lt-LT"/>
        </w:rPr>
        <w:t>imunosupresantais</w:t>
      </w:r>
      <w:proofErr w:type="spellEnd"/>
      <w:r w:rsidRPr="003F7446">
        <w:rPr>
          <w:color w:val="auto"/>
          <w:sz w:val="22"/>
          <w:szCs w:val="22"/>
          <w:lang w:val="lt-LT"/>
        </w:rPr>
        <w:t xml:space="preserve">. </w:t>
      </w:r>
    </w:p>
    <w:p w14:paraId="3F80C662" w14:textId="77777777" w:rsidR="0052287E" w:rsidRPr="003F7446" w:rsidRDefault="0052287E" w:rsidP="0052287E">
      <w:pPr>
        <w:pStyle w:val="Default"/>
        <w:rPr>
          <w:color w:val="auto"/>
          <w:sz w:val="22"/>
          <w:szCs w:val="22"/>
          <w:u w:val="single"/>
          <w:lang w:val="lt-LT"/>
        </w:rPr>
      </w:pPr>
    </w:p>
    <w:p w14:paraId="4A476EC0" w14:textId="77777777" w:rsidR="0052287E" w:rsidRPr="003F7446" w:rsidRDefault="0052287E" w:rsidP="0052287E">
      <w:pPr>
        <w:pStyle w:val="Default"/>
        <w:rPr>
          <w:color w:val="auto"/>
          <w:sz w:val="22"/>
          <w:szCs w:val="22"/>
          <w:lang w:val="lt-LT"/>
        </w:rPr>
      </w:pPr>
      <w:r w:rsidRPr="003F7446">
        <w:rPr>
          <w:color w:val="auto"/>
          <w:sz w:val="22"/>
          <w:szCs w:val="22"/>
          <w:u w:val="single"/>
          <w:lang w:val="lt-LT"/>
        </w:rPr>
        <w:t>Padidėjęs jautrumas</w:t>
      </w:r>
      <w:r w:rsidRPr="003F7446">
        <w:rPr>
          <w:color w:val="auto"/>
          <w:sz w:val="22"/>
          <w:szCs w:val="22"/>
          <w:lang w:val="lt-LT"/>
        </w:rPr>
        <w:t xml:space="preserve">: pranešama apie padidėjusio jautrumo reakcijas, tarp jų </w:t>
      </w:r>
      <w:proofErr w:type="spellStart"/>
      <w:r w:rsidRPr="003F7446">
        <w:rPr>
          <w:color w:val="auto"/>
          <w:sz w:val="22"/>
          <w:szCs w:val="22"/>
          <w:lang w:val="lt-LT"/>
        </w:rPr>
        <w:t>angioneurozinę</w:t>
      </w:r>
      <w:proofErr w:type="spellEnd"/>
      <w:r w:rsidRPr="003F7446">
        <w:rPr>
          <w:color w:val="auto"/>
          <w:sz w:val="22"/>
          <w:szCs w:val="22"/>
          <w:lang w:val="lt-LT"/>
        </w:rPr>
        <w:t xml:space="preserve"> edemą ir anafilaksinę reakcija. </w:t>
      </w:r>
    </w:p>
    <w:p w14:paraId="31708ABA" w14:textId="77777777" w:rsidR="0052287E" w:rsidRPr="003F7446" w:rsidRDefault="0052287E" w:rsidP="0052287E">
      <w:pPr>
        <w:pStyle w:val="Default"/>
        <w:rPr>
          <w:color w:val="auto"/>
          <w:sz w:val="22"/>
          <w:szCs w:val="22"/>
          <w:u w:val="single"/>
          <w:lang w:val="lt-LT"/>
        </w:rPr>
      </w:pPr>
    </w:p>
    <w:p w14:paraId="4586C648" w14:textId="77777777" w:rsidR="0052287E" w:rsidRPr="003F7446" w:rsidRDefault="0052287E" w:rsidP="0052287E">
      <w:pPr>
        <w:pStyle w:val="Default"/>
        <w:rPr>
          <w:color w:val="auto"/>
          <w:sz w:val="22"/>
          <w:szCs w:val="22"/>
          <w:lang w:val="lt-LT"/>
        </w:rPr>
      </w:pPr>
      <w:r w:rsidRPr="003F7446">
        <w:rPr>
          <w:color w:val="auto"/>
          <w:sz w:val="22"/>
          <w:szCs w:val="22"/>
          <w:u w:val="single"/>
          <w:lang w:val="lt-LT"/>
        </w:rPr>
        <w:t>Įgimti sutrikimai</w:t>
      </w:r>
      <w:r w:rsidRPr="003F7446">
        <w:rPr>
          <w:color w:val="auto"/>
          <w:sz w:val="22"/>
          <w:szCs w:val="22"/>
          <w:lang w:val="lt-LT"/>
        </w:rPr>
        <w:t xml:space="preserve">: išsamiau apie tai žiūrėkite 4.6 skyriuje. </w:t>
      </w:r>
    </w:p>
    <w:p w14:paraId="5E718149" w14:textId="77777777" w:rsidR="0052287E" w:rsidRPr="003F7446" w:rsidRDefault="0052287E" w:rsidP="0052287E">
      <w:pPr>
        <w:pStyle w:val="Default"/>
        <w:rPr>
          <w:color w:val="auto"/>
          <w:sz w:val="22"/>
          <w:szCs w:val="22"/>
          <w:lang w:val="lt-LT"/>
        </w:rPr>
      </w:pPr>
    </w:p>
    <w:p w14:paraId="4379B226" w14:textId="77777777" w:rsidR="0052287E" w:rsidRPr="003F7446" w:rsidRDefault="0052287E" w:rsidP="0052287E">
      <w:pPr>
        <w:pStyle w:val="Default"/>
        <w:rPr>
          <w:color w:val="auto"/>
          <w:sz w:val="22"/>
          <w:szCs w:val="22"/>
          <w:lang w:val="lt-LT"/>
        </w:rPr>
      </w:pPr>
      <w:r w:rsidRPr="003F7446">
        <w:rPr>
          <w:color w:val="auto"/>
          <w:sz w:val="22"/>
          <w:szCs w:val="22"/>
          <w:u w:val="single"/>
          <w:lang w:val="lt-LT"/>
        </w:rPr>
        <w:t>Kvėpavimo sistemos, krūtinės ląstos ir tarpuplaučio sutrikimai:</w:t>
      </w:r>
      <w:r w:rsidRPr="003F7446">
        <w:rPr>
          <w:color w:val="auto"/>
          <w:sz w:val="22"/>
          <w:szCs w:val="22"/>
          <w:lang w:val="lt-LT"/>
        </w:rPr>
        <w:t xml:space="preserve"> gydant pacientus </w:t>
      </w:r>
      <w:proofErr w:type="spellStart"/>
      <w:r w:rsidRPr="003F7446">
        <w:rPr>
          <w:sz w:val="22"/>
          <w:szCs w:val="22"/>
          <w:lang w:val="lt-LT"/>
        </w:rPr>
        <w:t>mikofenolato</w:t>
      </w:r>
      <w:proofErr w:type="spellEnd"/>
      <w:r w:rsidRPr="003F7446">
        <w:rPr>
          <w:sz w:val="22"/>
          <w:szCs w:val="22"/>
          <w:lang w:val="lt-LT"/>
        </w:rPr>
        <w:t xml:space="preserve"> </w:t>
      </w:r>
      <w:proofErr w:type="spellStart"/>
      <w:r w:rsidRPr="003F7446">
        <w:rPr>
          <w:sz w:val="22"/>
          <w:szCs w:val="22"/>
          <w:lang w:val="lt-LT"/>
        </w:rPr>
        <w:t>mofetiliu</w:t>
      </w:r>
      <w:proofErr w:type="spellEnd"/>
      <w:r w:rsidRPr="003F7446">
        <w:rPr>
          <w:color w:val="auto"/>
          <w:sz w:val="22"/>
          <w:szCs w:val="22"/>
          <w:lang w:val="lt-LT"/>
        </w:rPr>
        <w:t xml:space="preserve"> ir kitų </w:t>
      </w:r>
      <w:proofErr w:type="spellStart"/>
      <w:r w:rsidRPr="003F7446">
        <w:rPr>
          <w:color w:val="auto"/>
          <w:sz w:val="22"/>
          <w:szCs w:val="22"/>
          <w:lang w:val="lt-LT"/>
        </w:rPr>
        <w:t>imunosupresantų</w:t>
      </w:r>
      <w:proofErr w:type="spellEnd"/>
      <w:r w:rsidRPr="003F7446">
        <w:rPr>
          <w:color w:val="auto"/>
          <w:sz w:val="22"/>
          <w:szCs w:val="22"/>
          <w:lang w:val="lt-LT"/>
        </w:rPr>
        <w:t xml:space="preserve"> deriniu, gauta pavienių pranešimų apie </w:t>
      </w:r>
      <w:proofErr w:type="spellStart"/>
      <w:r w:rsidRPr="003F7446">
        <w:rPr>
          <w:color w:val="auto"/>
          <w:sz w:val="22"/>
          <w:szCs w:val="22"/>
          <w:lang w:val="lt-LT"/>
        </w:rPr>
        <w:t>intersticinės</w:t>
      </w:r>
      <w:proofErr w:type="spellEnd"/>
      <w:r w:rsidRPr="003F7446">
        <w:rPr>
          <w:color w:val="auto"/>
          <w:sz w:val="22"/>
          <w:szCs w:val="22"/>
          <w:lang w:val="lt-LT"/>
        </w:rPr>
        <w:t xml:space="preserve"> plaučių ligos ir plaučių fibrozės atvejus, dėl ko kai kurie pacientai mirė. </w:t>
      </w:r>
    </w:p>
    <w:p w14:paraId="2EB43379" w14:textId="77777777" w:rsidR="0052287E" w:rsidRPr="003F7446" w:rsidRDefault="0052287E" w:rsidP="0052287E">
      <w:pPr>
        <w:pStyle w:val="Default"/>
        <w:ind w:left="560" w:hanging="560"/>
        <w:rPr>
          <w:b/>
          <w:bCs/>
          <w:color w:val="auto"/>
          <w:sz w:val="22"/>
          <w:szCs w:val="22"/>
          <w:lang w:val="lt-LT"/>
        </w:rPr>
      </w:pPr>
    </w:p>
    <w:p w14:paraId="5227705D" w14:textId="77777777" w:rsidR="0052287E" w:rsidRPr="003F7446" w:rsidRDefault="0052287E" w:rsidP="0052287E">
      <w:pPr>
        <w:pStyle w:val="Default"/>
        <w:ind w:left="560" w:hanging="560"/>
        <w:rPr>
          <w:color w:val="auto"/>
          <w:sz w:val="22"/>
          <w:szCs w:val="22"/>
          <w:lang w:val="lt-LT"/>
        </w:rPr>
      </w:pPr>
      <w:r w:rsidRPr="003F7446">
        <w:rPr>
          <w:b/>
          <w:bCs/>
          <w:color w:val="auto"/>
          <w:sz w:val="22"/>
          <w:szCs w:val="22"/>
          <w:lang w:val="lt-LT"/>
        </w:rPr>
        <w:t>4.9</w:t>
      </w:r>
      <w:r w:rsidRPr="003F7446">
        <w:rPr>
          <w:b/>
          <w:bCs/>
          <w:color w:val="auto"/>
          <w:sz w:val="22"/>
          <w:szCs w:val="22"/>
          <w:lang w:val="lt-LT"/>
        </w:rPr>
        <w:tab/>
        <w:t xml:space="preserve">Perdozavimas </w:t>
      </w:r>
    </w:p>
    <w:p w14:paraId="4E0E7D98" w14:textId="77777777" w:rsidR="0052287E" w:rsidRPr="003F7446" w:rsidRDefault="0052287E" w:rsidP="0052287E">
      <w:pPr>
        <w:pStyle w:val="Default"/>
        <w:rPr>
          <w:color w:val="auto"/>
          <w:sz w:val="22"/>
          <w:szCs w:val="22"/>
          <w:lang w:val="lt-LT"/>
        </w:rPr>
      </w:pPr>
    </w:p>
    <w:p w14:paraId="1CF519F2" w14:textId="77777777" w:rsidR="0052287E" w:rsidRPr="003F7446" w:rsidRDefault="0052287E" w:rsidP="0052287E">
      <w:pPr>
        <w:rPr>
          <w:szCs w:val="22"/>
        </w:rPr>
      </w:pPr>
      <w:r w:rsidRPr="003F7446">
        <w:rPr>
          <w:szCs w:val="22"/>
        </w:rPr>
        <w:lastRenderedPageBreak/>
        <w:t xml:space="preserve">Duomenys apie </w:t>
      </w:r>
      <w:proofErr w:type="spellStart"/>
      <w:r w:rsidRPr="003F7446">
        <w:rPr>
          <w:szCs w:val="22"/>
        </w:rPr>
        <w:t>mikofenolato</w:t>
      </w:r>
      <w:proofErr w:type="spellEnd"/>
      <w:r w:rsidRPr="003F7446">
        <w:rPr>
          <w:szCs w:val="22"/>
        </w:rPr>
        <w:t xml:space="preserve"> </w:t>
      </w:r>
      <w:proofErr w:type="spellStart"/>
      <w:r w:rsidRPr="003F7446">
        <w:rPr>
          <w:szCs w:val="22"/>
        </w:rPr>
        <w:t>mofetilio</w:t>
      </w:r>
      <w:proofErr w:type="spellEnd"/>
      <w:r w:rsidRPr="003F7446">
        <w:rPr>
          <w:szCs w:val="22"/>
        </w:rPr>
        <w:t xml:space="preserve"> perdozavimą sukaupti klinikinių tyrimų metu ir po to, kai vaistas pateko į rinką. Daugumoje šių atvejų nepageidaujamų reiškinių nenustatyta. Tais perdozavimo atvejais, kurių metu pasireiškė nepageidaujamų reiškinių, jie sutapo su žinomus vaistinio preparato saugumo duomenimis.</w:t>
      </w:r>
    </w:p>
    <w:p w14:paraId="01F117B5" w14:textId="77777777" w:rsidR="0052287E" w:rsidRPr="003F7446" w:rsidRDefault="0052287E" w:rsidP="0052287E">
      <w:pPr>
        <w:rPr>
          <w:szCs w:val="22"/>
        </w:rPr>
      </w:pPr>
    </w:p>
    <w:p w14:paraId="19273679" w14:textId="77777777" w:rsidR="0052287E" w:rsidRPr="003F7446" w:rsidRDefault="0052287E" w:rsidP="0052287E">
      <w:pPr>
        <w:rPr>
          <w:szCs w:val="22"/>
        </w:rPr>
      </w:pPr>
      <w:r w:rsidRPr="003F7446">
        <w:rPr>
          <w:szCs w:val="22"/>
        </w:rPr>
        <w:t xml:space="preserve">Tikėtina, kad </w:t>
      </w:r>
      <w:proofErr w:type="spellStart"/>
      <w:r w:rsidRPr="003F7446">
        <w:rPr>
          <w:szCs w:val="22"/>
        </w:rPr>
        <w:t>mikofenolato</w:t>
      </w:r>
      <w:proofErr w:type="spellEnd"/>
      <w:r w:rsidRPr="003F7446">
        <w:rPr>
          <w:szCs w:val="22"/>
        </w:rPr>
        <w:t xml:space="preserve"> </w:t>
      </w:r>
      <w:proofErr w:type="spellStart"/>
      <w:r w:rsidRPr="003F7446">
        <w:rPr>
          <w:szCs w:val="22"/>
        </w:rPr>
        <w:t>mofetilio</w:t>
      </w:r>
      <w:proofErr w:type="spellEnd"/>
      <w:r w:rsidRPr="003F7446">
        <w:rPr>
          <w:szCs w:val="22"/>
        </w:rPr>
        <w:t xml:space="preserve"> perdozavimas galbūt gali sukelti per stiprų imuninės sistemos slopinimą, didesnį imlumą infekcijai bei kaulų čiulpų slopinimą (žr. 4.4 skyrių). Jeigu pasireiškia </w:t>
      </w:r>
      <w:proofErr w:type="spellStart"/>
      <w:r w:rsidRPr="003F7446">
        <w:rPr>
          <w:szCs w:val="22"/>
        </w:rPr>
        <w:t>neutropenija</w:t>
      </w:r>
      <w:proofErr w:type="spellEnd"/>
      <w:r w:rsidRPr="003F7446">
        <w:rPr>
          <w:szCs w:val="22"/>
        </w:rPr>
        <w:t xml:space="preserve">, reikia nutraukti </w:t>
      </w:r>
      <w:proofErr w:type="spellStart"/>
      <w:r w:rsidRPr="003F7446">
        <w:rPr>
          <w:szCs w:val="22"/>
        </w:rPr>
        <w:t>mikofenolato</w:t>
      </w:r>
      <w:proofErr w:type="spellEnd"/>
      <w:r w:rsidRPr="003F7446">
        <w:rPr>
          <w:szCs w:val="22"/>
        </w:rPr>
        <w:t xml:space="preserve"> </w:t>
      </w:r>
      <w:proofErr w:type="spellStart"/>
      <w:r w:rsidRPr="003F7446">
        <w:rPr>
          <w:szCs w:val="22"/>
        </w:rPr>
        <w:t>mofetilio</w:t>
      </w:r>
      <w:proofErr w:type="spellEnd"/>
      <w:r w:rsidRPr="003F7446">
        <w:rPr>
          <w:szCs w:val="22"/>
        </w:rPr>
        <w:t xml:space="preserve"> vartojimą arba sumažinti dozę (žr. 4.4 skyrių).</w:t>
      </w:r>
    </w:p>
    <w:p w14:paraId="106190E3" w14:textId="77777777" w:rsidR="0052287E" w:rsidRPr="003F7446" w:rsidRDefault="0052287E" w:rsidP="0052287E">
      <w:pPr>
        <w:pStyle w:val="Text"/>
        <w:spacing w:before="0"/>
        <w:jc w:val="left"/>
        <w:rPr>
          <w:sz w:val="22"/>
          <w:szCs w:val="22"/>
        </w:rPr>
      </w:pPr>
      <w:r w:rsidRPr="003F7446">
        <w:rPr>
          <w:sz w:val="22"/>
          <w:szCs w:val="22"/>
        </w:rPr>
        <w:t xml:space="preserve">Nesitikima, kad hemodializės metu būtų galima pašalinti kliniškai reikšmingą MFR ar MFRG kiekį. Tulžies rūgščių </w:t>
      </w:r>
      <w:proofErr w:type="spellStart"/>
      <w:r w:rsidRPr="003F7446">
        <w:rPr>
          <w:sz w:val="22"/>
          <w:szCs w:val="22"/>
        </w:rPr>
        <w:t>sekvestrantai</w:t>
      </w:r>
      <w:proofErr w:type="spellEnd"/>
      <w:r w:rsidRPr="003F7446">
        <w:rPr>
          <w:sz w:val="22"/>
          <w:szCs w:val="22"/>
        </w:rPr>
        <w:t xml:space="preserve">, tokie kaip </w:t>
      </w:r>
      <w:proofErr w:type="spellStart"/>
      <w:r w:rsidRPr="003F7446">
        <w:rPr>
          <w:sz w:val="22"/>
          <w:szCs w:val="22"/>
        </w:rPr>
        <w:t>kolestiraminas</w:t>
      </w:r>
      <w:proofErr w:type="spellEnd"/>
      <w:r w:rsidRPr="003F7446">
        <w:rPr>
          <w:sz w:val="22"/>
          <w:szCs w:val="22"/>
        </w:rPr>
        <w:t xml:space="preserve">, mažina vaistinio preparato </w:t>
      </w:r>
      <w:proofErr w:type="spellStart"/>
      <w:r w:rsidRPr="003F7446">
        <w:rPr>
          <w:sz w:val="22"/>
          <w:szCs w:val="22"/>
        </w:rPr>
        <w:t>enterohepatinę</w:t>
      </w:r>
      <w:proofErr w:type="spellEnd"/>
      <w:r w:rsidRPr="003F7446">
        <w:rPr>
          <w:sz w:val="22"/>
          <w:szCs w:val="22"/>
        </w:rPr>
        <w:t xml:space="preserve"> cirkuliaciją, todėl sumažina MFR AUC.</w:t>
      </w:r>
    </w:p>
    <w:p w14:paraId="09FFFF2D" w14:textId="77777777" w:rsidR="0052287E" w:rsidRPr="003F7446" w:rsidRDefault="0052287E" w:rsidP="0052287E">
      <w:pPr>
        <w:pStyle w:val="Default"/>
        <w:rPr>
          <w:color w:val="auto"/>
          <w:sz w:val="22"/>
          <w:szCs w:val="22"/>
          <w:lang w:val="lt-LT"/>
        </w:rPr>
      </w:pPr>
    </w:p>
    <w:p w14:paraId="3CED295B" w14:textId="77777777" w:rsidR="00E13352" w:rsidRPr="003F7446" w:rsidRDefault="00E13352" w:rsidP="00E13352">
      <w:pPr>
        <w:tabs>
          <w:tab w:val="left" w:pos="567"/>
        </w:tabs>
        <w:autoSpaceDE w:val="0"/>
        <w:autoSpaceDN w:val="0"/>
        <w:adjustRightInd w:val="0"/>
        <w:spacing w:line="260" w:lineRule="exact"/>
        <w:jc w:val="both"/>
        <w:rPr>
          <w:snapToGrid w:val="0"/>
          <w:szCs w:val="22"/>
          <w:u w:val="single"/>
          <w:lang w:eastAsia="en-US"/>
        </w:rPr>
      </w:pPr>
      <w:r w:rsidRPr="003F7446">
        <w:rPr>
          <w:noProof/>
          <w:snapToGrid w:val="0"/>
          <w:szCs w:val="22"/>
          <w:u w:val="single"/>
          <w:lang w:eastAsia="en-US"/>
        </w:rPr>
        <w:t>Pranešimas apie įtariamas nepageidaujamas reakcijas</w:t>
      </w:r>
    </w:p>
    <w:p w14:paraId="715850E3" w14:textId="77777777" w:rsidR="00E13352" w:rsidRPr="003F7446" w:rsidRDefault="00E13352" w:rsidP="00E13352">
      <w:pPr>
        <w:tabs>
          <w:tab w:val="left" w:pos="567"/>
        </w:tabs>
        <w:autoSpaceDE w:val="0"/>
        <w:autoSpaceDN w:val="0"/>
        <w:adjustRightInd w:val="0"/>
        <w:spacing w:line="260" w:lineRule="exact"/>
        <w:jc w:val="both"/>
        <w:rPr>
          <w:noProof/>
          <w:snapToGrid w:val="0"/>
          <w:szCs w:val="22"/>
          <w:lang w:eastAsia="en-US"/>
        </w:rPr>
      </w:pPr>
      <w:r w:rsidRPr="003F7446">
        <w:rPr>
          <w:noProof/>
          <w:snapToGrid w:val="0"/>
          <w:szCs w:val="22"/>
          <w:lang w:eastAsia="en-US"/>
        </w:rPr>
        <w:t>Svarbu pranešti apie įtariamas nepageidaujamas reakcijas, pastebėtas po vaistinio preparato pateikimo į rinką, nes tai leidžia nuolat stebėti vaistinio preparato naudos ir rizikos santykį.</w:t>
      </w:r>
      <w:r w:rsidRPr="003F7446">
        <w:rPr>
          <w:snapToGrid w:val="0"/>
          <w:szCs w:val="22"/>
          <w:lang w:eastAsia="en-US"/>
        </w:rPr>
        <w:t xml:space="preserve"> </w:t>
      </w:r>
      <w:r w:rsidRPr="003F7446">
        <w:rPr>
          <w:noProof/>
          <w:snapToGrid w:val="0"/>
          <w:szCs w:val="22"/>
          <w:lang w:eastAsia="en-US"/>
        </w:rPr>
        <w:t>Sveikatos priežiūros specialistai turi pranešti apie bet kokias įtariamas nepageidaujamas reakcijas, užpildę interneto svetainėje http://</w:t>
      </w:r>
      <w:hyperlink r:id="rId8" w:history="1">
        <w:r w:rsidRPr="003F7446">
          <w:rPr>
            <w:rFonts w:eastAsia="SimSun"/>
            <w:noProof/>
            <w:snapToGrid w:val="0"/>
            <w:color w:val="0000FF"/>
            <w:szCs w:val="22"/>
            <w:u w:val="single"/>
            <w:lang w:eastAsia="en-US"/>
          </w:rPr>
          <w:t>www.vvkt.lt</w:t>
        </w:r>
      </w:hyperlink>
      <w:r w:rsidRPr="003F7446">
        <w:rPr>
          <w:noProof/>
          <w:snapToGrid w:val="0"/>
          <w:szCs w:val="22"/>
          <w:lang w:eastAsia="en-US"/>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3F7446">
          <w:rPr>
            <w:rFonts w:eastAsia="SimSun"/>
            <w:noProof/>
            <w:snapToGrid w:val="0"/>
            <w:color w:val="0000FF"/>
            <w:szCs w:val="22"/>
            <w:u w:val="single"/>
            <w:lang w:eastAsia="en-US"/>
          </w:rPr>
          <w:t>NepageidaujamaR@vvkt.lt</w:t>
        </w:r>
      </w:hyperlink>
      <w:r w:rsidRPr="003F7446">
        <w:rPr>
          <w:noProof/>
          <w:snapToGrid w:val="0"/>
          <w:szCs w:val="22"/>
          <w:lang w:eastAsia="en-US"/>
        </w:rPr>
        <w:t>.</w:t>
      </w:r>
    </w:p>
    <w:p w14:paraId="64240395" w14:textId="77777777" w:rsidR="00E13352" w:rsidRPr="003F7446" w:rsidRDefault="00E13352" w:rsidP="0052287E">
      <w:pPr>
        <w:pStyle w:val="Default"/>
        <w:rPr>
          <w:color w:val="auto"/>
          <w:sz w:val="22"/>
          <w:szCs w:val="22"/>
          <w:lang w:val="lt-LT"/>
        </w:rPr>
      </w:pPr>
    </w:p>
    <w:p w14:paraId="54AA535A" w14:textId="77777777" w:rsidR="0052287E" w:rsidRPr="003F7446" w:rsidRDefault="0052287E" w:rsidP="0052287E">
      <w:pPr>
        <w:pStyle w:val="Default"/>
        <w:rPr>
          <w:color w:val="auto"/>
          <w:sz w:val="22"/>
          <w:szCs w:val="22"/>
          <w:lang w:val="lt-LT"/>
        </w:rPr>
      </w:pPr>
    </w:p>
    <w:p w14:paraId="254C96F0" w14:textId="77777777" w:rsidR="0052287E" w:rsidRPr="003F7446" w:rsidRDefault="0052287E" w:rsidP="0052287E">
      <w:pPr>
        <w:pStyle w:val="Default"/>
        <w:ind w:left="560" w:hanging="560"/>
        <w:rPr>
          <w:color w:val="auto"/>
          <w:sz w:val="22"/>
          <w:szCs w:val="22"/>
          <w:lang w:val="lt-LT"/>
        </w:rPr>
      </w:pPr>
      <w:r w:rsidRPr="003F7446">
        <w:rPr>
          <w:b/>
          <w:bCs/>
          <w:color w:val="auto"/>
          <w:sz w:val="22"/>
          <w:szCs w:val="22"/>
          <w:lang w:val="lt-LT"/>
        </w:rPr>
        <w:t>5.</w:t>
      </w:r>
      <w:r w:rsidRPr="003F7446">
        <w:rPr>
          <w:b/>
          <w:bCs/>
          <w:color w:val="auto"/>
          <w:sz w:val="22"/>
          <w:szCs w:val="22"/>
          <w:lang w:val="lt-LT"/>
        </w:rPr>
        <w:tab/>
        <w:t xml:space="preserve">FARMAKOLOGINĖS SAVYBĖS </w:t>
      </w:r>
    </w:p>
    <w:p w14:paraId="0647369B" w14:textId="77777777" w:rsidR="0052287E" w:rsidRPr="003F7446" w:rsidRDefault="0052287E" w:rsidP="0052287E">
      <w:pPr>
        <w:pStyle w:val="Default"/>
        <w:ind w:left="560" w:hanging="560"/>
        <w:rPr>
          <w:b/>
          <w:bCs/>
          <w:color w:val="auto"/>
          <w:sz w:val="22"/>
          <w:szCs w:val="22"/>
          <w:lang w:val="lt-LT"/>
        </w:rPr>
      </w:pPr>
    </w:p>
    <w:p w14:paraId="75067B5F" w14:textId="77777777" w:rsidR="0052287E" w:rsidRPr="003F7446" w:rsidRDefault="0052287E" w:rsidP="0052287E">
      <w:pPr>
        <w:pStyle w:val="Default"/>
        <w:ind w:left="560" w:hanging="560"/>
        <w:rPr>
          <w:color w:val="auto"/>
          <w:sz w:val="22"/>
          <w:szCs w:val="22"/>
          <w:lang w:val="lt-LT"/>
        </w:rPr>
      </w:pPr>
      <w:r w:rsidRPr="003F7446">
        <w:rPr>
          <w:b/>
          <w:bCs/>
          <w:color w:val="auto"/>
          <w:sz w:val="22"/>
          <w:szCs w:val="22"/>
          <w:lang w:val="lt-LT"/>
        </w:rPr>
        <w:t>5.1</w:t>
      </w:r>
      <w:r w:rsidRPr="003F7446">
        <w:rPr>
          <w:b/>
          <w:bCs/>
          <w:color w:val="auto"/>
          <w:sz w:val="22"/>
          <w:szCs w:val="22"/>
          <w:lang w:val="lt-LT"/>
        </w:rPr>
        <w:tab/>
      </w:r>
      <w:proofErr w:type="spellStart"/>
      <w:r w:rsidRPr="003F7446">
        <w:rPr>
          <w:b/>
          <w:bCs/>
          <w:color w:val="auto"/>
          <w:sz w:val="22"/>
          <w:szCs w:val="22"/>
          <w:lang w:val="lt-LT"/>
        </w:rPr>
        <w:t>Farmakodinaminės</w:t>
      </w:r>
      <w:proofErr w:type="spellEnd"/>
      <w:r w:rsidRPr="003F7446">
        <w:rPr>
          <w:b/>
          <w:bCs/>
          <w:color w:val="auto"/>
          <w:sz w:val="22"/>
          <w:szCs w:val="22"/>
          <w:lang w:val="lt-LT"/>
        </w:rPr>
        <w:t xml:space="preserve"> savybės </w:t>
      </w:r>
    </w:p>
    <w:p w14:paraId="14B7EC04" w14:textId="77777777" w:rsidR="0052287E" w:rsidRPr="003F7446" w:rsidRDefault="0052287E" w:rsidP="0052287E">
      <w:pPr>
        <w:pStyle w:val="Default"/>
        <w:ind w:left="560" w:hanging="560"/>
        <w:rPr>
          <w:color w:val="auto"/>
          <w:sz w:val="22"/>
          <w:szCs w:val="22"/>
          <w:lang w:val="lt-LT"/>
        </w:rPr>
      </w:pPr>
    </w:p>
    <w:p w14:paraId="6EE61CB5" w14:textId="77777777" w:rsidR="0052287E" w:rsidRPr="003F7446" w:rsidRDefault="0052287E" w:rsidP="0052287E">
      <w:pPr>
        <w:pStyle w:val="Default"/>
        <w:ind w:left="560" w:hanging="560"/>
        <w:rPr>
          <w:color w:val="auto"/>
          <w:sz w:val="22"/>
          <w:szCs w:val="22"/>
          <w:lang w:val="lt-LT"/>
        </w:rPr>
      </w:pPr>
      <w:proofErr w:type="spellStart"/>
      <w:r w:rsidRPr="003F7446">
        <w:rPr>
          <w:color w:val="auto"/>
          <w:sz w:val="22"/>
          <w:szCs w:val="22"/>
          <w:lang w:val="lt-LT"/>
        </w:rPr>
        <w:t>Farmakoterapinė</w:t>
      </w:r>
      <w:proofErr w:type="spellEnd"/>
      <w:r w:rsidRPr="003F7446">
        <w:rPr>
          <w:color w:val="auto"/>
          <w:sz w:val="22"/>
          <w:szCs w:val="22"/>
          <w:lang w:val="lt-LT"/>
        </w:rPr>
        <w:t xml:space="preserve"> grupė – imunosupresiniai vaistai.</w:t>
      </w:r>
    </w:p>
    <w:p w14:paraId="0CE841FF" w14:textId="77777777" w:rsidR="0052287E" w:rsidRPr="003F7446" w:rsidRDefault="0052287E" w:rsidP="0052287E">
      <w:pPr>
        <w:pStyle w:val="Default"/>
        <w:ind w:left="560" w:hanging="560"/>
        <w:rPr>
          <w:color w:val="auto"/>
          <w:sz w:val="22"/>
          <w:szCs w:val="22"/>
          <w:lang w:val="lt-LT"/>
        </w:rPr>
      </w:pPr>
      <w:r w:rsidRPr="003F7446">
        <w:rPr>
          <w:color w:val="auto"/>
          <w:sz w:val="22"/>
          <w:szCs w:val="22"/>
          <w:lang w:val="lt-LT"/>
        </w:rPr>
        <w:t xml:space="preserve"> ATC kodas – L04AA06 </w:t>
      </w:r>
    </w:p>
    <w:p w14:paraId="45387907" w14:textId="77777777" w:rsidR="0052287E" w:rsidRPr="003F7446" w:rsidRDefault="0052287E" w:rsidP="0052287E">
      <w:pPr>
        <w:pStyle w:val="Default"/>
        <w:rPr>
          <w:color w:val="auto"/>
          <w:sz w:val="22"/>
          <w:szCs w:val="22"/>
          <w:lang w:val="lt-LT"/>
        </w:rPr>
      </w:pPr>
    </w:p>
    <w:p w14:paraId="2287CD86" w14:textId="77777777" w:rsidR="00E13352" w:rsidRPr="003F7446" w:rsidRDefault="00E13352" w:rsidP="0052287E">
      <w:pPr>
        <w:pStyle w:val="Default"/>
        <w:rPr>
          <w:color w:val="auto"/>
          <w:sz w:val="22"/>
          <w:szCs w:val="22"/>
          <w:u w:val="single"/>
          <w:lang w:val="lt-LT"/>
        </w:rPr>
      </w:pPr>
      <w:r w:rsidRPr="003F7446">
        <w:rPr>
          <w:color w:val="auto"/>
          <w:sz w:val="22"/>
          <w:szCs w:val="22"/>
          <w:u w:val="single"/>
          <w:lang w:val="lt-LT"/>
        </w:rPr>
        <w:t xml:space="preserve">Veikimo mechanizmas </w:t>
      </w:r>
    </w:p>
    <w:p w14:paraId="4EE44833" w14:textId="77777777" w:rsidR="0052287E" w:rsidRPr="003F7446" w:rsidRDefault="0052287E" w:rsidP="0052287E">
      <w:pPr>
        <w:pStyle w:val="Default"/>
        <w:rPr>
          <w:color w:val="auto"/>
          <w:sz w:val="22"/>
          <w:szCs w:val="22"/>
          <w:lang w:val="lt-LT"/>
        </w:rPr>
      </w:pP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mofetilis</w:t>
      </w:r>
      <w:proofErr w:type="spellEnd"/>
      <w:r w:rsidRPr="003F7446">
        <w:rPr>
          <w:color w:val="auto"/>
          <w:sz w:val="22"/>
          <w:szCs w:val="22"/>
          <w:lang w:val="lt-LT"/>
        </w:rPr>
        <w:t xml:space="preserve"> yra </w:t>
      </w:r>
      <w:proofErr w:type="spellStart"/>
      <w:r w:rsidRPr="003F7446">
        <w:rPr>
          <w:color w:val="auto"/>
          <w:sz w:val="22"/>
          <w:szCs w:val="22"/>
          <w:lang w:val="lt-LT"/>
        </w:rPr>
        <w:t>mikofenolio</w:t>
      </w:r>
      <w:proofErr w:type="spellEnd"/>
      <w:r w:rsidRPr="003F7446">
        <w:rPr>
          <w:color w:val="auto"/>
          <w:sz w:val="22"/>
          <w:szCs w:val="22"/>
          <w:lang w:val="lt-LT"/>
        </w:rPr>
        <w:t xml:space="preserve"> rūgšties (MFR) 2-morfolinetilo esteris. MFR yra stiprus, selektyvus, nekonkurencinis ir grįžtamas </w:t>
      </w:r>
      <w:proofErr w:type="spellStart"/>
      <w:r w:rsidRPr="003F7446">
        <w:rPr>
          <w:color w:val="auto"/>
          <w:sz w:val="22"/>
          <w:szCs w:val="22"/>
          <w:lang w:val="lt-LT"/>
        </w:rPr>
        <w:t>inozino</w:t>
      </w:r>
      <w:proofErr w:type="spellEnd"/>
      <w:r w:rsidRPr="003F7446">
        <w:rPr>
          <w:color w:val="auto"/>
          <w:sz w:val="22"/>
          <w:szCs w:val="22"/>
          <w:lang w:val="lt-LT"/>
        </w:rPr>
        <w:t xml:space="preserve"> </w:t>
      </w:r>
      <w:proofErr w:type="spellStart"/>
      <w:r w:rsidRPr="003F7446">
        <w:rPr>
          <w:color w:val="auto"/>
          <w:sz w:val="22"/>
          <w:szCs w:val="22"/>
          <w:lang w:val="lt-LT"/>
        </w:rPr>
        <w:t>monofosfatdehidrogenazės</w:t>
      </w:r>
      <w:proofErr w:type="spellEnd"/>
      <w:r w:rsidRPr="003F7446">
        <w:rPr>
          <w:color w:val="auto"/>
          <w:sz w:val="22"/>
          <w:szCs w:val="22"/>
          <w:lang w:val="lt-LT"/>
        </w:rPr>
        <w:t xml:space="preserve"> inhibitorius, todėl slopina </w:t>
      </w:r>
      <w:proofErr w:type="spellStart"/>
      <w:r w:rsidRPr="003F7446">
        <w:rPr>
          <w:color w:val="auto"/>
          <w:sz w:val="22"/>
          <w:szCs w:val="22"/>
          <w:lang w:val="lt-LT"/>
        </w:rPr>
        <w:t>guanozino</w:t>
      </w:r>
      <w:proofErr w:type="spellEnd"/>
      <w:r w:rsidRPr="003F7446">
        <w:rPr>
          <w:color w:val="auto"/>
          <w:sz w:val="22"/>
          <w:szCs w:val="22"/>
          <w:lang w:val="lt-LT"/>
        </w:rPr>
        <w:t xml:space="preserve"> </w:t>
      </w:r>
      <w:proofErr w:type="spellStart"/>
      <w:r w:rsidRPr="003F7446">
        <w:rPr>
          <w:color w:val="auto"/>
          <w:sz w:val="22"/>
          <w:szCs w:val="22"/>
          <w:lang w:val="lt-LT"/>
        </w:rPr>
        <w:t>nukleotido</w:t>
      </w:r>
      <w:proofErr w:type="spellEnd"/>
      <w:r w:rsidRPr="003F7446">
        <w:rPr>
          <w:color w:val="auto"/>
          <w:sz w:val="22"/>
          <w:szCs w:val="22"/>
          <w:lang w:val="lt-LT"/>
        </w:rPr>
        <w:t xml:space="preserve"> sintezę</w:t>
      </w:r>
      <w:r w:rsidRPr="003F7446">
        <w:rPr>
          <w:i/>
          <w:iCs/>
          <w:color w:val="auto"/>
          <w:sz w:val="22"/>
          <w:szCs w:val="22"/>
          <w:lang w:val="lt-LT"/>
        </w:rPr>
        <w:t xml:space="preserve"> </w:t>
      </w:r>
      <w:proofErr w:type="spellStart"/>
      <w:r w:rsidRPr="003F7446">
        <w:rPr>
          <w:i/>
          <w:iCs/>
          <w:color w:val="auto"/>
          <w:sz w:val="22"/>
          <w:szCs w:val="22"/>
          <w:lang w:val="lt-LT"/>
        </w:rPr>
        <w:t>de</w:t>
      </w:r>
      <w:proofErr w:type="spellEnd"/>
      <w:r w:rsidRPr="003F7446">
        <w:rPr>
          <w:i/>
          <w:iCs/>
          <w:color w:val="auto"/>
          <w:sz w:val="22"/>
          <w:szCs w:val="22"/>
          <w:lang w:val="lt-LT"/>
        </w:rPr>
        <w:t xml:space="preserve"> </w:t>
      </w:r>
      <w:proofErr w:type="spellStart"/>
      <w:r w:rsidRPr="003F7446">
        <w:rPr>
          <w:i/>
          <w:iCs/>
          <w:color w:val="auto"/>
          <w:sz w:val="22"/>
          <w:szCs w:val="22"/>
          <w:lang w:val="lt-LT"/>
        </w:rPr>
        <w:t>novo</w:t>
      </w:r>
      <w:proofErr w:type="spellEnd"/>
      <w:r w:rsidRPr="003F7446">
        <w:rPr>
          <w:color w:val="auto"/>
          <w:sz w:val="22"/>
          <w:szCs w:val="22"/>
          <w:lang w:val="lt-LT"/>
        </w:rPr>
        <w:t xml:space="preserve">, neįsijungdamas į DNR. Kadangi T ir B limfocitų </w:t>
      </w:r>
      <w:proofErr w:type="spellStart"/>
      <w:r w:rsidRPr="003F7446">
        <w:rPr>
          <w:color w:val="auto"/>
          <w:sz w:val="22"/>
          <w:szCs w:val="22"/>
          <w:lang w:val="lt-LT"/>
        </w:rPr>
        <w:t>proliferacija</w:t>
      </w:r>
      <w:proofErr w:type="spellEnd"/>
      <w:r w:rsidRPr="003F7446">
        <w:rPr>
          <w:color w:val="auto"/>
          <w:sz w:val="22"/>
          <w:szCs w:val="22"/>
          <w:lang w:val="lt-LT"/>
        </w:rPr>
        <w:t xml:space="preserve"> labai priklauso nuo </w:t>
      </w:r>
      <w:proofErr w:type="spellStart"/>
      <w:r w:rsidRPr="003F7446">
        <w:rPr>
          <w:color w:val="auto"/>
          <w:sz w:val="22"/>
          <w:szCs w:val="22"/>
          <w:lang w:val="lt-LT"/>
        </w:rPr>
        <w:t>purinų</w:t>
      </w:r>
      <w:proofErr w:type="spellEnd"/>
      <w:r w:rsidRPr="003F7446">
        <w:rPr>
          <w:color w:val="auto"/>
          <w:sz w:val="22"/>
          <w:szCs w:val="22"/>
          <w:lang w:val="lt-LT"/>
        </w:rPr>
        <w:t xml:space="preserve"> sintezės </w:t>
      </w:r>
      <w:proofErr w:type="spellStart"/>
      <w:r w:rsidRPr="003F7446">
        <w:rPr>
          <w:i/>
          <w:iCs/>
          <w:color w:val="auto"/>
          <w:sz w:val="22"/>
          <w:szCs w:val="22"/>
          <w:lang w:val="lt-LT"/>
        </w:rPr>
        <w:t>de</w:t>
      </w:r>
      <w:proofErr w:type="spellEnd"/>
      <w:r w:rsidRPr="003F7446">
        <w:rPr>
          <w:i/>
          <w:iCs/>
          <w:color w:val="auto"/>
          <w:sz w:val="22"/>
          <w:szCs w:val="22"/>
          <w:lang w:val="lt-LT"/>
        </w:rPr>
        <w:t xml:space="preserve"> </w:t>
      </w:r>
      <w:proofErr w:type="spellStart"/>
      <w:r w:rsidRPr="003F7446">
        <w:rPr>
          <w:i/>
          <w:iCs/>
          <w:color w:val="auto"/>
          <w:sz w:val="22"/>
          <w:szCs w:val="22"/>
          <w:lang w:val="lt-LT"/>
        </w:rPr>
        <w:t>novo</w:t>
      </w:r>
      <w:proofErr w:type="spellEnd"/>
      <w:r w:rsidRPr="003F7446">
        <w:rPr>
          <w:color w:val="auto"/>
          <w:sz w:val="22"/>
          <w:szCs w:val="22"/>
          <w:lang w:val="lt-LT"/>
        </w:rPr>
        <w:t xml:space="preserve">, o kitų tipų ląstelės gali naudotis kitais sintezės keliais, MFR </w:t>
      </w:r>
      <w:proofErr w:type="spellStart"/>
      <w:r w:rsidRPr="003F7446">
        <w:rPr>
          <w:color w:val="auto"/>
          <w:sz w:val="22"/>
          <w:szCs w:val="22"/>
          <w:lang w:val="lt-LT"/>
        </w:rPr>
        <w:t>citostatiškai</w:t>
      </w:r>
      <w:proofErr w:type="spellEnd"/>
      <w:r w:rsidRPr="003F7446">
        <w:rPr>
          <w:color w:val="auto"/>
          <w:sz w:val="22"/>
          <w:szCs w:val="22"/>
          <w:lang w:val="lt-LT"/>
        </w:rPr>
        <w:t xml:space="preserve"> stipriau veikia limfocitus negu kitas ląsteles. </w:t>
      </w:r>
    </w:p>
    <w:p w14:paraId="26B2A10C" w14:textId="77777777" w:rsidR="0052287E" w:rsidRPr="003F7446" w:rsidRDefault="0052287E" w:rsidP="0052287E">
      <w:pPr>
        <w:pStyle w:val="Default"/>
        <w:rPr>
          <w:b/>
          <w:bCs/>
          <w:color w:val="auto"/>
          <w:sz w:val="22"/>
          <w:szCs w:val="22"/>
          <w:lang w:val="lt-LT"/>
        </w:rPr>
      </w:pPr>
    </w:p>
    <w:p w14:paraId="2DD91F01" w14:textId="77777777" w:rsidR="0052287E" w:rsidRPr="003F7446" w:rsidRDefault="0052287E" w:rsidP="0052287E">
      <w:pPr>
        <w:pStyle w:val="Default"/>
        <w:rPr>
          <w:color w:val="auto"/>
          <w:sz w:val="22"/>
          <w:szCs w:val="22"/>
          <w:lang w:val="lt-LT"/>
        </w:rPr>
      </w:pPr>
      <w:r w:rsidRPr="003F7446">
        <w:rPr>
          <w:b/>
          <w:bCs/>
          <w:color w:val="auto"/>
          <w:sz w:val="22"/>
          <w:szCs w:val="22"/>
          <w:lang w:val="lt-LT"/>
        </w:rPr>
        <w:t>5.2</w:t>
      </w:r>
      <w:r w:rsidRPr="003F7446">
        <w:rPr>
          <w:b/>
          <w:bCs/>
          <w:color w:val="auto"/>
          <w:sz w:val="22"/>
          <w:szCs w:val="22"/>
          <w:lang w:val="lt-LT"/>
        </w:rPr>
        <w:tab/>
      </w:r>
      <w:proofErr w:type="spellStart"/>
      <w:r w:rsidRPr="003F7446">
        <w:rPr>
          <w:b/>
          <w:bCs/>
          <w:color w:val="auto"/>
          <w:sz w:val="22"/>
          <w:szCs w:val="22"/>
          <w:lang w:val="lt-LT"/>
        </w:rPr>
        <w:t>Farmakokinetinės</w:t>
      </w:r>
      <w:proofErr w:type="spellEnd"/>
      <w:r w:rsidRPr="003F7446">
        <w:rPr>
          <w:b/>
          <w:bCs/>
          <w:color w:val="auto"/>
          <w:sz w:val="22"/>
          <w:szCs w:val="22"/>
          <w:lang w:val="lt-LT"/>
        </w:rPr>
        <w:t xml:space="preserve"> savybės </w:t>
      </w:r>
    </w:p>
    <w:p w14:paraId="7D873470" w14:textId="77777777" w:rsidR="0052287E" w:rsidRPr="003F7446" w:rsidRDefault="0052287E" w:rsidP="0052287E">
      <w:pPr>
        <w:pStyle w:val="Default"/>
        <w:rPr>
          <w:color w:val="auto"/>
          <w:sz w:val="22"/>
          <w:szCs w:val="22"/>
          <w:lang w:val="lt-LT"/>
        </w:rPr>
      </w:pPr>
    </w:p>
    <w:p w14:paraId="46F3AD0A" w14:textId="77777777" w:rsidR="00E13352" w:rsidRPr="003F7446" w:rsidRDefault="00E13352" w:rsidP="0052287E">
      <w:pPr>
        <w:rPr>
          <w:szCs w:val="22"/>
          <w:u w:val="single"/>
        </w:rPr>
      </w:pPr>
      <w:r w:rsidRPr="003F7446">
        <w:rPr>
          <w:szCs w:val="22"/>
          <w:u w:val="single"/>
        </w:rPr>
        <w:t>Absorbcija</w:t>
      </w:r>
    </w:p>
    <w:p w14:paraId="0D423852" w14:textId="21850ABA" w:rsidR="0052287E" w:rsidRPr="003F7446" w:rsidRDefault="0052287E" w:rsidP="0052287E">
      <w:pPr>
        <w:rPr>
          <w:szCs w:val="22"/>
        </w:rPr>
      </w:pPr>
      <w:r w:rsidRPr="003F7446">
        <w:rPr>
          <w:szCs w:val="22"/>
        </w:rPr>
        <w:t xml:space="preserve">Išgertas </w:t>
      </w:r>
      <w:proofErr w:type="spellStart"/>
      <w:r w:rsidRPr="003F7446">
        <w:rPr>
          <w:szCs w:val="22"/>
        </w:rPr>
        <w:t>mikofenolato</w:t>
      </w:r>
      <w:proofErr w:type="spellEnd"/>
      <w:r w:rsidRPr="003F7446">
        <w:rPr>
          <w:szCs w:val="22"/>
        </w:rPr>
        <w:t xml:space="preserve"> </w:t>
      </w:r>
      <w:proofErr w:type="spellStart"/>
      <w:r w:rsidRPr="003F7446">
        <w:rPr>
          <w:szCs w:val="22"/>
        </w:rPr>
        <w:t>mofetilis</w:t>
      </w:r>
      <w:proofErr w:type="spellEnd"/>
      <w:r w:rsidRPr="003F7446">
        <w:rPr>
          <w:szCs w:val="22"/>
        </w:rPr>
        <w:t xml:space="preserve"> greitai ir ekstensyviai </w:t>
      </w:r>
      <w:proofErr w:type="spellStart"/>
      <w:r w:rsidRPr="003F7446">
        <w:rPr>
          <w:szCs w:val="22"/>
        </w:rPr>
        <w:t>rezorbuojamas</w:t>
      </w:r>
      <w:proofErr w:type="spellEnd"/>
      <w:r w:rsidRPr="003F7446">
        <w:rPr>
          <w:szCs w:val="22"/>
        </w:rPr>
        <w:t xml:space="preserve"> ir iki sisteminio metabolizmo, virsta aktyviu metabolitu – MFR. Remiantis persodinto inksto ūminio atmetimo slopinimo duomenimis, imunosupresinis </w:t>
      </w:r>
      <w:proofErr w:type="spellStart"/>
      <w:r w:rsidRPr="003F7446">
        <w:rPr>
          <w:szCs w:val="22"/>
        </w:rPr>
        <w:t>mikofenolato</w:t>
      </w:r>
      <w:proofErr w:type="spellEnd"/>
      <w:r w:rsidRPr="003F7446">
        <w:rPr>
          <w:szCs w:val="22"/>
        </w:rPr>
        <w:t xml:space="preserve"> </w:t>
      </w:r>
      <w:proofErr w:type="spellStart"/>
      <w:r w:rsidRPr="003F7446">
        <w:rPr>
          <w:szCs w:val="22"/>
        </w:rPr>
        <w:t>mofetilio</w:t>
      </w:r>
      <w:proofErr w:type="spellEnd"/>
      <w:r w:rsidRPr="003F7446">
        <w:rPr>
          <w:szCs w:val="22"/>
        </w:rPr>
        <w:t xml:space="preserve"> aktyvumas koreliuoja su MFR koncentracija. Atsižvelgiant į MFR AUC, vidutinis išgerto </w:t>
      </w:r>
      <w:proofErr w:type="spellStart"/>
      <w:r w:rsidRPr="003F7446">
        <w:rPr>
          <w:szCs w:val="22"/>
        </w:rPr>
        <w:t>mikofenolato</w:t>
      </w:r>
      <w:proofErr w:type="spellEnd"/>
      <w:r w:rsidRPr="003F7446">
        <w:rPr>
          <w:szCs w:val="22"/>
        </w:rPr>
        <w:t xml:space="preserve"> </w:t>
      </w:r>
      <w:proofErr w:type="spellStart"/>
      <w:r w:rsidRPr="003F7446">
        <w:rPr>
          <w:szCs w:val="22"/>
        </w:rPr>
        <w:t>mofetilio</w:t>
      </w:r>
      <w:proofErr w:type="spellEnd"/>
      <w:r w:rsidRPr="003F7446">
        <w:rPr>
          <w:szCs w:val="22"/>
        </w:rPr>
        <w:t xml:space="preserve"> biologinis prieinamumas yra 94</w:t>
      </w:r>
      <w:r w:rsidRPr="003F7446">
        <w:rPr>
          <w:szCs w:val="22"/>
        </w:rPr>
        <w:sym w:font="Symbol" w:char="F025"/>
      </w:r>
      <w:r w:rsidRPr="003F7446">
        <w:rPr>
          <w:szCs w:val="22"/>
        </w:rPr>
        <w:t xml:space="preserve">, lyginant su </w:t>
      </w:r>
      <w:proofErr w:type="spellStart"/>
      <w:r w:rsidRPr="003F7446">
        <w:rPr>
          <w:szCs w:val="22"/>
        </w:rPr>
        <w:t>injekuoto</w:t>
      </w:r>
      <w:proofErr w:type="spellEnd"/>
      <w:r w:rsidRPr="003F7446">
        <w:rPr>
          <w:szCs w:val="22"/>
        </w:rPr>
        <w:t xml:space="preserve"> į veną. Po inksto transplantacijos vartojusiems po 1,5 g </w:t>
      </w:r>
      <w:proofErr w:type="spellStart"/>
      <w:r w:rsidRPr="003F7446">
        <w:rPr>
          <w:szCs w:val="22"/>
        </w:rPr>
        <w:t>mikofenolato</w:t>
      </w:r>
      <w:proofErr w:type="spellEnd"/>
      <w:r w:rsidRPr="003F7446">
        <w:rPr>
          <w:szCs w:val="22"/>
        </w:rPr>
        <w:t xml:space="preserve"> </w:t>
      </w:r>
      <w:proofErr w:type="spellStart"/>
      <w:r w:rsidRPr="003F7446">
        <w:rPr>
          <w:szCs w:val="22"/>
        </w:rPr>
        <w:t>mofetilio</w:t>
      </w:r>
      <w:proofErr w:type="spellEnd"/>
      <w:r w:rsidRPr="003F7446">
        <w:rPr>
          <w:szCs w:val="22"/>
        </w:rPr>
        <w:t xml:space="preserve"> 2 kartus per parą pacientams, maistas absorbcijos dydžio (MFR AUC) neįtakojo, tačiau didžiausia MFR koncentracija kraujo plazmoje sumažėjo 40</w:t>
      </w:r>
      <w:r w:rsidRPr="003F7446">
        <w:rPr>
          <w:szCs w:val="22"/>
        </w:rPr>
        <w:sym w:font="Symbol" w:char="F025"/>
      </w:r>
      <w:r w:rsidRPr="003F7446">
        <w:rPr>
          <w:szCs w:val="22"/>
        </w:rPr>
        <w:t xml:space="preserve">. Išgėrus </w:t>
      </w:r>
      <w:proofErr w:type="spellStart"/>
      <w:r w:rsidRPr="003F7446">
        <w:rPr>
          <w:szCs w:val="22"/>
        </w:rPr>
        <w:t>mikofenolato</w:t>
      </w:r>
      <w:proofErr w:type="spellEnd"/>
      <w:r w:rsidRPr="003F7446">
        <w:rPr>
          <w:szCs w:val="22"/>
        </w:rPr>
        <w:t xml:space="preserve"> </w:t>
      </w:r>
      <w:proofErr w:type="spellStart"/>
      <w:r w:rsidRPr="003F7446">
        <w:rPr>
          <w:szCs w:val="22"/>
        </w:rPr>
        <w:t>mofetilio</w:t>
      </w:r>
      <w:proofErr w:type="spellEnd"/>
      <w:r w:rsidRPr="003F7446">
        <w:rPr>
          <w:szCs w:val="22"/>
        </w:rPr>
        <w:t xml:space="preserve">, sisteminė koncentracija kraujo plazmoje būna neišmatuojama. </w:t>
      </w:r>
    </w:p>
    <w:p w14:paraId="4077538B" w14:textId="77777777" w:rsidR="0052287E" w:rsidRPr="003F7446" w:rsidRDefault="0052287E" w:rsidP="0052287E">
      <w:pPr>
        <w:pStyle w:val="Default"/>
        <w:rPr>
          <w:color w:val="auto"/>
          <w:sz w:val="22"/>
          <w:szCs w:val="22"/>
          <w:lang w:val="lt-LT"/>
        </w:rPr>
      </w:pPr>
    </w:p>
    <w:p w14:paraId="3CCCC65A" w14:textId="77777777" w:rsidR="00E13352" w:rsidRPr="003F7446" w:rsidRDefault="00E13352" w:rsidP="0052287E">
      <w:pPr>
        <w:pStyle w:val="Default"/>
        <w:rPr>
          <w:color w:val="auto"/>
          <w:sz w:val="22"/>
          <w:szCs w:val="22"/>
          <w:u w:val="single"/>
          <w:lang w:val="lt-LT"/>
        </w:rPr>
      </w:pPr>
      <w:r w:rsidRPr="003F7446">
        <w:rPr>
          <w:color w:val="auto"/>
          <w:sz w:val="22"/>
          <w:szCs w:val="22"/>
          <w:u w:val="single"/>
          <w:lang w:val="lt-LT"/>
        </w:rPr>
        <w:t>Pasiskirstymas</w:t>
      </w:r>
    </w:p>
    <w:p w14:paraId="16E22FC8" w14:textId="07F93919" w:rsidR="0052287E" w:rsidRPr="003F7446" w:rsidRDefault="0052287E" w:rsidP="0052287E">
      <w:pPr>
        <w:pStyle w:val="Default"/>
        <w:rPr>
          <w:color w:val="auto"/>
          <w:sz w:val="22"/>
          <w:szCs w:val="22"/>
          <w:lang w:val="lt-LT"/>
        </w:rPr>
      </w:pPr>
      <w:r w:rsidRPr="003F7446">
        <w:rPr>
          <w:color w:val="auto"/>
          <w:sz w:val="22"/>
          <w:szCs w:val="22"/>
          <w:lang w:val="lt-LT"/>
        </w:rPr>
        <w:t xml:space="preserve">Suvartojus vaisto dozę ir po suvartojimo praėjus maždaug 6 – 12 valandų, MFR koncentracija dėl </w:t>
      </w:r>
      <w:proofErr w:type="spellStart"/>
      <w:r w:rsidRPr="003F7446">
        <w:rPr>
          <w:color w:val="auto"/>
          <w:sz w:val="22"/>
          <w:szCs w:val="22"/>
          <w:lang w:val="lt-LT"/>
        </w:rPr>
        <w:t>enterohepatinės</w:t>
      </w:r>
      <w:proofErr w:type="spellEnd"/>
      <w:r w:rsidRPr="003F7446">
        <w:rPr>
          <w:color w:val="auto"/>
          <w:sz w:val="22"/>
          <w:szCs w:val="22"/>
          <w:lang w:val="lt-LT"/>
        </w:rPr>
        <w:t xml:space="preserve"> </w:t>
      </w:r>
      <w:proofErr w:type="spellStart"/>
      <w:r w:rsidRPr="003F7446">
        <w:rPr>
          <w:color w:val="auto"/>
          <w:sz w:val="22"/>
          <w:szCs w:val="22"/>
          <w:lang w:val="lt-LT"/>
        </w:rPr>
        <w:t>recirkuliacijos</w:t>
      </w:r>
      <w:proofErr w:type="spellEnd"/>
      <w:r w:rsidRPr="003F7446">
        <w:rPr>
          <w:color w:val="auto"/>
          <w:sz w:val="22"/>
          <w:szCs w:val="22"/>
          <w:lang w:val="lt-LT"/>
        </w:rPr>
        <w:t xml:space="preserve"> paprastai padidėja antrą kartą. Kartu vartojant </w:t>
      </w:r>
      <w:proofErr w:type="spellStart"/>
      <w:r w:rsidRPr="003F7446">
        <w:rPr>
          <w:color w:val="auto"/>
          <w:sz w:val="22"/>
          <w:szCs w:val="22"/>
          <w:lang w:val="lt-LT"/>
        </w:rPr>
        <w:t>kolestiramino</w:t>
      </w:r>
      <w:proofErr w:type="spellEnd"/>
      <w:r w:rsidRPr="003F7446">
        <w:rPr>
          <w:color w:val="auto"/>
          <w:sz w:val="22"/>
          <w:szCs w:val="22"/>
          <w:lang w:val="lt-LT"/>
        </w:rPr>
        <w:t xml:space="preserve"> (po 4 g tris kartus per parą), MFR AUC sumažėja apie 40 %, </w:t>
      </w:r>
      <w:r w:rsidRPr="003F7446">
        <w:rPr>
          <w:sz w:val="22"/>
          <w:szCs w:val="22"/>
          <w:lang w:val="lt-LT"/>
        </w:rPr>
        <w:t>vadinasi, iš kepenų ir žarnyno kraujotakos rato sugrįžta reikšmingas kiekis.</w:t>
      </w:r>
      <w:r w:rsidR="00E13352" w:rsidRPr="003F7446">
        <w:rPr>
          <w:sz w:val="22"/>
          <w:szCs w:val="22"/>
          <w:lang w:val="lt-LT"/>
        </w:rPr>
        <w:t xml:space="preserve"> Kai MFR koncentracija pasiekia kliniškai reikšmingą ribą, 97</w:t>
      </w:r>
      <w:r w:rsidR="008912E3" w:rsidRPr="003F7446">
        <w:rPr>
          <w:sz w:val="22"/>
          <w:szCs w:val="22"/>
          <w:lang w:val="lt-LT"/>
        </w:rPr>
        <w:t>%</w:t>
      </w:r>
      <w:r w:rsidR="00E13352" w:rsidRPr="003F7446">
        <w:rPr>
          <w:sz w:val="22"/>
          <w:szCs w:val="22"/>
          <w:lang w:val="lt-LT"/>
        </w:rPr>
        <w:t xml:space="preserve"> MFR būna prisijungusio prie kraujo plazmos </w:t>
      </w:r>
      <w:proofErr w:type="spellStart"/>
      <w:r w:rsidR="00E13352" w:rsidRPr="003F7446">
        <w:rPr>
          <w:sz w:val="22"/>
          <w:szCs w:val="22"/>
          <w:lang w:val="lt-LT"/>
        </w:rPr>
        <w:t>albumino</w:t>
      </w:r>
      <w:proofErr w:type="spellEnd"/>
      <w:r w:rsidR="00E13352" w:rsidRPr="003F7446">
        <w:rPr>
          <w:sz w:val="22"/>
          <w:szCs w:val="22"/>
          <w:lang w:val="lt-LT"/>
        </w:rPr>
        <w:t>.</w:t>
      </w:r>
    </w:p>
    <w:p w14:paraId="7E4FD143" w14:textId="77777777" w:rsidR="0052287E" w:rsidRPr="003F7446" w:rsidRDefault="0052287E" w:rsidP="0052287E">
      <w:pPr>
        <w:pStyle w:val="Default"/>
        <w:rPr>
          <w:color w:val="auto"/>
          <w:sz w:val="22"/>
          <w:szCs w:val="22"/>
          <w:lang w:val="lt-LT"/>
        </w:rPr>
      </w:pPr>
    </w:p>
    <w:p w14:paraId="571BEDBA" w14:textId="77777777" w:rsidR="00E13352" w:rsidRPr="003F7446" w:rsidRDefault="00E13352" w:rsidP="0052287E">
      <w:pPr>
        <w:pStyle w:val="Default"/>
        <w:rPr>
          <w:color w:val="auto"/>
          <w:sz w:val="22"/>
          <w:szCs w:val="22"/>
          <w:u w:val="single"/>
          <w:lang w:val="lt-LT"/>
        </w:rPr>
      </w:pPr>
      <w:proofErr w:type="spellStart"/>
      <w:r w:rsidRPr="003F7446">
        <w:rPr>
          <w:color w:val="auto"/>
          <w:sz w:val="22"/>
          <w:szCs w:val="22"/>
          <w:u w:val="single"/>
          <w:lang w:val="lt-LT"/>
        </w:rPr>
        <w:t>Biotransformacija</w:t>
      </w:r>
      <w:proofErr w:type="spellEnd"/>
    </w:p>
    <w:p w14:paraId="657BD21C"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MFR daugiausia </w:t>
      </w:r>
      <w:proofErr w:type="spellStart"/>
      <w:r w:rsidRPr="003F7446">
        <w:rPr>
          <w:color w:val="auto"/>
          <w:sz w:val="22"/>
          <w:szCs w:val="22"/>
          <w:lang w:val="lt-LT"/>
        </w:rPr>
        <w:t>metabolizuojama</w:t>
      </w:r>
      <w:proofErr w:type="spellEnd"/>
      <w:r w:rsidRPr="003F7446">
        <w:rPr>
          <w:color w:val="auto"/>
          <w:sz w:val="22"/>
          <w:szCs w:val="22"/>
          <w:lang w:val="lt-LT"/>
        </w:rPr>
        <w:t xml:space="preserve"> į MFR </w:t>
      </w:r>
      <w:proofErr w:type="spellStart"/>
      <w:r w:rsidRPr="003F7446">
        <w:rPr>
          <w:color w:val="auto"/>
          <w:sz w:val="22"/>
          <w:szCs w:val="22"/>
          <w:lang w:val="lt-LT"/>
        </w:rPr>
        <w:t>fenolio</w:t>
      </w:r>
      <w:proofErr w:type="spellEnd"/>
      <w:r w:rsidRPr="003F7446">
        <w:rPr>
          <w:color w:val="auto"/>
          <w:sz w:val="22"/>
          <w:szCs w:val="22"/>
          <w:lang w:val="lt-LT"/>
        </w:rPr>
        <w:t xml:space="preserve"> </w:t>
      </w:r>
      <w:proofErr w:type="spellStart"/>
      <w:r w:rsidRPr="003F7446">
        <w:rPr>
          <w:color w:val="auto"/>
          <w:sz w:val="22"/>
          <w:szCs w:val="22"/>
          <w:lang w:val="lt-LT"/>
        </w:rPr>
        <w:t>gliukuronidą</w:t>
      </w:r>
      <w:proofErr w:type="spellEnd"/>
      <w:r w:rsidRPr="003F7446">
        <w:rPr>
          <w:color w:val="auto"/>
          <w:sz w:val="22"/>
          <w:szCs w:val="22"/>
          <w:lang w:val="lt-LT"/>
        </w:rPr>
        <w:t xml:space="preserve"> (MFRG) veikiant </w:t>
      </w:r>
      <w:proofErr w:type="spellStart"/>
      <w:r w:rsidRPr="003F7446">
        <w:rPr>
          <w:color w:val="auto"/>
          <w:sz w:val="22"/>
          <w:szCs w:val="22"/>
          <w:lang w:val="lt-LT"/>
        </w:rPr>
        <w:t>gliukuroniltransferazei</w:t>
      </w:r>
      <w:proofErr w:type="spellEnd"/>
      <w:r w:rsidRPr="003F7446">
        <w:rPr>
          <w:color w:val="auto"/>
          <w:sz w:val="22"/>
          <w:szCs w:val="22"/>
          <w:lang w:val="lt-LT"/>
        </w:rPr>
        <w:t xml:space="preserve">, kuris farmakologiškai nėra aktyvus. </w:t>
      </w:r>
    </w:p>
    <w:p w14:paraId="5A385855" w14:textId="77777777" w:rsidR="0052287E" w:rsidRPr="003F7446" w:rsidRDefault="0052287E" w:rsidP="0052287E">
      <w:pPr>
        <w:pStyle w:val="Default"/>
        <w:rPr>
          <w:color w:val="auto"/>
          <w:sz w:val="22"/>
          <w:szCs w:val="22"/>
          <w:lang w:val="lt-LT"/>
        </w:rPr>
      </w:pPr>
    </w:p>
    <w:p w14:paraId="3EA19EC1" w14:textId="77777777" w:rsidR="00E13352" w:rsidRPr="003F7446" w:rsidRDefault="00E13352" w:rsidP="0052287E">
      <w:pPr>
        <w:pStyle w:val="Default"/>
        <w:rPr>
          <w:color w:val="auto"/>
          <w:sz w:val="22"/>
          <w:szCs w:val="22"/>
          <w:u w:val="single"/>
          <w:lang w:val="lt-LT"/>
        </w:rPr>
      </w:pPr>
      <w:r w:rsidRPr="003F7446">
        <w:rPr>
          <w:color w:val="auto"/>
          <w:sz w:val="22"/>
          <w:szCs w:val="22"/>
          <w:u w:val="single"/>
          <w:lang w:val="lt-LT"/>
        </w:rPr>
        <w:t>Eliminacija</w:t>
      </w:r>
    </w:p>
    <w:p w14:paraId="59541ED7" w14:textId="77777777" w:rsidR="0052287E" w:rsidRPr="003F7446" w:rsidRDefault="0052287E" w:rsidP="0052287E">
      <w:pPr>
        <w:pStyle w:val="Text"/>
        <w:spacing w:before="0"/>
        <w:jc w:val="left"/>
        <w:rPr>
          <w:sz w:val="22"/>
          <w:szCs w:val="22"/>
        </w:rPr>
      </w:pPr>
      <w:r w:rsidRPr="003F7446">
        <w:rPr>
          <w:sz w:val="22"/>
          <w:szCs w:val="22"/>
        </w:rPr>
        <w:t>Pasiekus kliniškai reikšmingą koncentraciją MFR ir MFRG hemodializės metu nepasišalina. Tačiau, jeigu kraujo plazmoje yra didelė MFRG koncentracija (&gt;100 µ/ml), nedideli kiekiai MFRG yra pašalinami.</w:t>
      </w:r>
    </w:p>
    <w:p w14:paraId="0B2FF7F3" w14:textId="77777777" w:rsidR="0052287E" w:rsidRPr="003F7446" w:rsidRDefault="0052287E" w:rsidP="0052287E">
      <w:pPr>
        <w:pStyle w:val="Text"/>
        <w:spacing w:before="0"/>
        <w:jc w:val="left"/>
        <w:rPr>
          <w:sz w:val="22"/>
          <w:szCs w:val="22"/>
        </w:rPr>
      </w:pPr>
    </w:p>
    <w:p w14:paraId="4A47D096" w14:textId="77777777" w:rsidR="0052287E" w:rsidRPr="003F7446" w:rsidRDefault="0052287E" w:rsidP="0052287E">
      <w:pPr>
        <w:pStyle w:val="Text"/>
        <w:spacing w:before="0"/>
        <w:jc w:val="left"/>
        <w:rPr>
          <w:sz w:val="22"/>
          <w:szCs w:val="22"/>
        </w:rPr>
      </w:pPr>
      <w:r w:rsidRPr="003F7446">
        <w:rPr>
          <w:sz w:val="22"/>
          <w:szCs w:val="22"/>
        </w:rPr>
        <w:t xml:space="preserve">Ankstyvuoju periodu po inkstų, širdies ar kepenų transplantacijos (&lt; 40 parų po persodinimo) MFR AUC buvo maždaug 30 </w:t>
      </w:r>
      <w:r w:rsidRPr="003F7446">
        <w:rPr>
          <w:sz w:val="22"/>
          <w:szCs w:val="22"/>
        </w:rPr>
        <w:sym w:font="Symbol" w:char="F025"/>
      </w:r>
      <w:r w:rsidRPr="003F7446">
        <w:rPr>
          <w:sz w:val="22"/>
          <w:szCs w:val="22"/>
        </w:rPr>
        <w:t xml:space="preserve"> ir </w:t>
      </w:r>
      <w:proofErr w:type="spellStart"/>
      <w:r w:rsidRPr="003F7446">
        <w:rPr>
          <w:sz w:val="22"/>
          <w:szCs w:val="22"/>
        </w:rPr>
        <w:t>C</w:t>
      </w:r>
      <w:r w:rsidRPr="003F7446">
        <w:rPr>
          <w:sz w:val="22"/>
          <w:szCs w:val="22"/>
          <w:vertAlign w:val="subscript"/>
        </w:rPr>
        <w:t>max</w:t>
      </w:r>
      <w:proofErr w:type="spellEnd"/>
      <w:r w:rsidRPr="003F7446">
        <w:rPr>
          <w:sz w:val="22"/>
          <w:szCs w:val="22"/>
        </w:rPr>
        <w:t xml:space="preserve"> maždaug 40 </w:t>
      </w:r>
      <w:r w:rsidRPr="003F7446">
        <w:rPr>
          <w:sz w:val="22"/>
          <w:szCs w:val="22"/>
        </w:rPr>
        <w:sym w:font="Symbol" w:char="F025"/>
      </w:r>
      <w:r w:rsidRPr="003F7446">
        <w:rPr>
          <w:sz w:val="22"/>
          <w:szCs w:val="22"/>
        </w:rPr>
        <w:t xml:space="preserve"> mažesnė, negu pacientams vėlyvuoju periodu po transplantacijos (3 – 6 mėn. po persodinimo).</w:t>
      </w:r>
    </w:p>
    <w:p w14:paraId="4019E3E2" w14:textId="77777777" w:rsidR="0052287E" w:rsidRPr="003F7446" w:rsidRDefault="0052287E" w:rsidP="0052287E">
      <w:pPr>
        <w:pStyle w:val="Default"/>
        <w:rPr>
          <w:color w:val="auto"/>
          <w:sz w:val="22"/>
          <w:szCs w:val="22"/>
          <w:lang w:val="lt-LT"/>
        </w:rPr>
      </w:pPr>
    </w:p>
    <w:p w14:paraId="3C482354"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Ankstyvuoju </w:t>
      </w:r>
      <w:proofErr w:type="spellStart"/>
      <w:r w:rsidRPr="003F7446">
        <w:rPr>
          <w:color w:val="auto"/>
          <w:sz w:val="22"/>
          <w:szCs w:val="22"/>
          <w:lang w:val="lt-LT"/>
        </w:rPr>
        <w:t>potransplantaciniu</w:t>
      </w:r>
      <w:proofErr w:type="spellEnd"/>
      <w:r w:rsidRPr="003F7446">
        <w:rPr>
          <w:color w:val="auto"/>
          <w:sz w:val="22"/>
          <w:szCs w:val="22"/>
          <w:lang w:val="lt-LT"/>
        </w:rPr>
        <w:t xml:space="preserve"> periodu (&lt; 40 parų po transplantacijos) po inkstų, širdies ir kepenų persodinimo vidutiniai MFR AUC yra maždaug 30 % mažesni, o </w:t>
      </w:r>
      <w:proofErr w:type="spellStart"/>
      <w:r w:rsidRPr="003F7446">
        <w:rPr>
          <w:color w:val="auto"/>
          <w:sz w:val="22"/>
          <w:szCs w:val="22"/>
          <w:lang w:val="lt-LT"/>
        </w:rPr>
        <w:t>C</w:t>
      </w:r>
      <w:r w:rsidRPr="003F7446">
        <w:rPr>
          <w:color w:val="auto"/>
          <w:sz w:val="22"/>
          <w:szCs w:val="22"/>
          <w:vertAlign w:val="subscript"/>
          <w:lang w:val="lt-LT"/>
        </w:rPr>
        <w:t>max</w:t>
      </w:r>
      <w:proofErr w:type="spellEnd"/>
      <w:r w:rsidRPr="003F7446">
        <w:rPr>
          <w:color w:val="auto"/>
          <w:sz w:val="22"/>
          <w:szCs w:val="22"/>
          <w:vertAlign w:val="subscript"/>
          <w:lang w:val="lt-LT"/>
        </w:rPr>
        <w:t xml:space="preserve"> </w:t>
      </w:r>
      <w:r w:rsidRPr="003F7446">
        <w:rPr>
          <w:color w:val="auto"/>
          <w:sz w:val="22"/>
          <w:szCs w:val="22"/>
          <w:lang w:val="lt-LT"/>
        </w:rPr>
        <w:t xml:space="preserve">– maždaug 40 % mažesnės negu vėlyvuoju </w:t>
      </w:r>
      <w:proofErr w:type="spellStart"/>
      <w:r w:rsidRPr="003F7446">
        <w:rPr>
          <w:color w:val="auto"/>
          <w:sz w:val="22"/>
          <w:szCs w:val="22"/>
          <w:lang w:val="lt-LT"/>
        </w:rPr>
        <w:t>potransplantaciniu</w:t>
      </w:r>
      <w:proofErr w:type="spellEnd"/>
      <w:r w:rsidRPr="003F7446">
        <w:rPr>
          <w:color w:val="auto"/>
          <w:sz w:val="22"/>
          <w:szCs w:val="22"/>
          <w:lang w:val="lt-LT"/>
        </w:rPr>
        <w:t xml:space="preserve"> periodu (praėjus 3 – 6 mėnesiams po transplantacijos). </w:t>
      </w:r>
    </w:p>
    <w:p w14:paraId="36801945" w14:textId="77777777" w:rsidR="0052287E" w:rsidRPr="003F7446" w:rsidRDefault="0052287E" w:rsidP="0052287E">
      <w:pPr>
        <w:pStyle w:val="Default"/>
        <w:rPr>
          <w:color w:val="auto"/>
          <w:sz w:val="22"/>
          <w:szCs w:val="22"/>
          <w:u w:val="single"/>
          <w:lang w:val="lt-LT"/>
        </w:rPr>
      </w:pPr>
    </w:p>
    <w:p w14:paraId="6B56380B" w14:textId="77777777" w:rsidR="0052287E" w:rsidRPr="003F7446" w:rsidRDefault="0052287E" w:rsidP="0052287E">
      <w:pPr>
        <w:rPr>
          <w:szCs w:val="22"/>
          <w:u w:val="single"/>
        </w:rPr>
      </w:pPr>
      <w:r w:rsidRPr="003F7446">
        <w:rPr>
          <w:szCs w:val="22"/>
          <w:u w:val="single"/>
        </w:rPr>
        <w:t>Inkstų funkcijos sutrikimas</w:t>
      </w:r>
    </w:p>
    <w:p w14:paraId="65B0DEE0" w14:textId="77777777" w:rsidR="0052287E" w:rsidRPr="003F7446" w:rsidRDefault="0052287E" w:rsidP="0052287E">
      <w:pPr>
        <w:rPr>
          <w:szCs w:val="22"/>
        </w:rPr>
      </w:pPr>
      <w:r w:rsidRPr="003F7446">
        <w:rPr>
          <w:szCs w:val="22"/>
        </w:rPr>
        <w:t>Vienos dozės tyrimų (kiekvienoje grupėje buvo 6 asmenys) metu sunkiu lėtiniu inkstų funkcijos sutrikimu (</w:t>
      </w:r>
      <w:proofErr w:type="spellStart"/>
      <w:r w:rsidRPr="003F7446">
        <w:rPr>
          <w:szCs w:val="22"/>
        </w:rPr>
        <w:t>glomerulų</w:t>
      </w:r>
      <w:proofErr w:type="spellEnd"/>
      <w:r w:rsidRPr="003F7446">
        <w:rPr>
          <w:szCs w:val="22"/>
        </w:rPr>
        <w:t xml:space="preserve"> filtracijos greitis &lt; 25 ml/min./1,73 m</w:t>
      </w:r>
      <w:r w:rsidRPr="003F7446">
        <w:rPr>
          <w:szCs w:val="22"/>
          <w:vertAlign w:val="superscript"/>
        </w:rPr>
        <w:t>2</w:t>
      </w:r>
      <w:r w:rsidRPr="003F7446">
        <w:rPr>
          <w:szCs w:val="22"/>
        </w:rPr>
        <w:t>) sergančių pacientų kraujo plazmoje MFR AUC buvo 28 - 75</w:t>
      </w:r>
      <w:r w:rsidRPr="003F7446">
        <w:rPr>
          <w:szCs w:val="22"/>
        </w:rPr>
        <w:sym w:font="Symbol" w:char="F025"/>
      </w:r>
      <w:r w:rsidRPr="003F7446">
        <w:rPr>
          <w:szCs w:val="22"/>
        </w:rPr>
        <w:t xml:space="preserve"> didesnis, palyginus su pacientų, kurių inkstų funkcija normali arba mažiau sutrikusi. Pacientų, sergančių sunkiu inkstų funkcijos sutrikimu, organizme vidutinis vienos dozės MFRG AUC buvo 3 – 6 kartus didesnis negu pacientų, sergančių lengvu inkstų funkcijos sutrikimu arba kurių inkstų funkcija nepakitusi. Tai sutampa su žinoma MFRG eliminacija pro inkstus. Kartotinių </w:t>
      </w:r>
      <w:proofErr w:type="spellStart"/>
      <w:r w:rsidRPr="003F7446">
        <w:rPr>
          <w:szCs w:val="22"/>
        </w:rPr>
        <w:t>mikofenolato</w:t>
      </w:r>
      <w:proofErr w:type="spellEnd"/>
      <w:r w:rsidRPr="003F7446">
        <w:rPr>
          <w:szCs w:val="22"/>
        </w:rPr>
        <w:t xml:space="preserve"> </w:t>
      </w:r>
      <w:proofErr w:type="spellStart"/>
      <w:r w:rsidRPr="003F7446">
        <w:rPr>
          <w:szCs w:val="22"/>
        </w:rPr>
        <w:t>mofetilio</w:t>
      </w:r>
      <w:proofErr w:type="spellEnd"/>
      <w:r w:rsidRPr="003F7446">
        <w:rPr>
          <w:szCs w:val="22"/>
        </w:rPr>
        <w:t xml:space="preserve"> dozių </w:t>
      </w:r>
      <w:proofErr w:type="spellStart"/>
      <w:r w:rsidRPr="003F7446">
        <w:rPr>
          <w:szCs w:val="22"/>
        </w:rPr>
        <w:t>farmakokinetika</w:t>
      </w:r>
      <w:proofErr w:type="spellEnd"/>
      <w:r w:rsidRPr="003F7446">
        <w:rPr>
          <w:szCs w:val="22"/>
        </w:rPr>
        <w:t xml:space="preserve"> pacientų, sergančių sunkiu lėtiniu inkstų funkcijos sutrikimu, organizme netirta. Sunkiu lėtiniu inkstų funkcijos sutrikimu sergančių pacientų, kuriems persodinta širdis ar kepenys, organizme duomenų nėra.</w:t>
      </w:r>
    </w:p>
    <w:p w14:paraId="4D633255" w14:textId="77777777" w:rsidR="0052287E" w:rsidRPr="003F7446" w:rsidRDefault="0052287E" w:rsidP="0052287E">
      <w:pPr>
        <w:rPr>
          <w:szCs w:val="22"/>
        </w:rPr>
      </w:pPr>
    </w:p>
    <w:p w14:paraId="718EC37D" w14:textId="77777777" w:rsidR="0052287E" w:rsidRPr="003F7446" w:rsidRDefault="0052287E" w:rsidP="0052287E">
      <w:pPr>
        <w:rPr>
          <w:szCs w:val="22"/>
          <w:u w:val="single"/>
        </w:rPr>
      </w:pPr>
      <w:r w:rsidRPr="003F7446">
        <w:rPr>
          <w:szCs w:val="22"/>
          <w:u w:val="single"/>
        </w:rPr>
        <w:t xml:space="preserve">Vėluojanti inksto </w:t>
      </w:r>
      <w:proofErr w:type="spellStart"/>
      <w:r w:rsidRPr="003F7446">
        <w:rPr>
          <w:szCs w:val="22"/>
          <w:u w:val="single"/>
        </w:rPr>
        <w:t>transplantato</w:t>
      </w:r>
      <w:proofErr w:type="spellEnd"/>
      <w:r w:rsidRPr="003F7446">
        <w:rPr>
          <w:szCs w:val="22"/>
          <w:u w:val="single"/>
        </w:rPr>
        <w:t xml:space="preserve"> funkcija</w:t>
      </w:r>
    </w:p>
    <w:p w14:paraId="0CEE7FBC" w14:textId="77777777" w:rsidR="0052287E" w:rsidRPr="003F7446" w:rsidRDefault="0052287E" w:rsidP="0052287E">
      <w:pPr>
        <w:rPr>
          <w:szCs w:val="22"/>
        </w:rPr>
      </w:pPr>
      <w:r w:rsidRPr="003F7446">
        <w:rPr>
          <w:szCs w:val="22"/>
        </w:rPr>
        <w:t xml:space="preserve">Pacientų, kuriems po persodinimo inksto </w:t>
      </w:r>
      <w:proofErr w:type="spellStart"/>
      <w:r w:rsidRPr="003F7446">
        <w:rPr>
          <w:szCs w:val="22"/>
        </w:rPr>
        <w:t>transplantato</w:t>
      </w:r>
      <w:proofErr w:type="spellEnd"/>
      <w:r w:rsidRPr="003F7446">
        <w:rPr>
          <w:szCs w:val="22"/>
        </w:rPr>
        <w:t xml:space="preserve"> funkcija vėluoja, organizme vidutinis MFR AUC (0-12 val.) buvo panašus su pacientų, kuriems po persodinimo inksto </w:t>
      </w:r>
      <w:proofErr w:type="spellStart"/>
      <w:r w:rsidRPr="003F7446">
        <w:rPr>
          <w:szCs w:val="22"/>
        </w:rPr>
        <w:t>transplantato</w:t>
      </w:r>
      <w:proofErr w:type="spellEnd"/>
      <w:r w:rsidRPr="003F7446">
        <w:rPr>
          <w:szCs w:val="22"/>
        </w:rPr>
        <w:t xml:space="preserve"> funkcija buvo savalaikė. Vidutinis MFRG AUC (0-12 val.) buvo 2 – 3 kartus didesnis, negu pacientų, kuriems po persodinimo inksto </w:t>
      </w:r>
      <w:proofErr w:type="spellStart"/>
      <w:r w:rsidRPr="003F7446">
        <w:rPr>
          <w:szCs w:val="22"/>
        </w:rPr>
        <w:t>transplantato</w:t>
      </w:r>
      <w:proofErr w:type="spellEnd"/>
      <w:r w:rsidRPr="003F7446">
        <w:rPr>
          <w:szCs w:val="22"/>
        </w:rPr>
        <w:t xml:space="preserve"> funkcija nebuvo savalaikė. Pacientams, kuriems po inksto transplantacijos persodinto inksto funkcija vėlavo, kraujo plazmoje gali padidėti laisvos MFR frakcijos kiekis ir koncentracija. Nepanašu, kad galėtų prireikti keisti </w:t>
      </w:r>
      <w:proofErr w:type="spellStart"/>
      <w:r w:rsidRPr="003F7446">
        <w:rPr>
          <w:szCs w:val="22"/>
        </w:rPr>
        <w:t>mikofenolato</w:t>
      </w:r>
      <w:proofErr w:type="spellEnd"/>
      <w:r w:rsidRPr="003F7446">
        <w:rPr>
          <w:szCs w:val="22"/>
        </w:rPr>
        <w:t xml:space="preserve"> </w:t>
      </w:r>
      <w:proofErr w:type="spellStart"/>
      <w:r w:rsidRPr="003F7446">
        <w:rPr>
          <w:szCs w:val="22"/>
        </w:rPr>
        <w:t>mofetilio</w:t>
      </w:r>
      <w:proofErr w:type="spellEnd"/>
      <w:r w:rsidRPr="003F7446">
        <w:rPr>
          <w:szCs w:val="22"/>
        </w:rPr>
        <w:t xml:space="preserve"> dozę. </w:t>
      </w:r>
    </w:p>
    <w:p w14:paraId="34A70360" w14:textId="77777777" w:rsidR="0052287E" w:rsidRPr="003F7446" w:rsidRDefault="0052287E" w:rsidP="0052287E">
      <w:pPr>
        <w:rPr>
          <w:szCs w:val="22"/>
        </w:rPr>
      </w:pPr>
    </w:p>
    <w:p w14:paraId="06393692" w14:textId="77777777" w:rsidR="0052287E" w:rsidRPr="003F7446" w:rsidRDefault="0052287E" w:rsidP="0052287E">
      <w:pPr>
        <w:rPr>
          <w:szCs w:val="22"/>
          <w:u w:val="single"/>
        </w:rPr>
      </w:pPr>
      <w:r w:rsidRPr="003F7446">
        <w:rPr>
          <w:szCs w:val="22"/>
          <w:u w:val="single"/>
        </w:rPr>
        <w:t>Kepenų funkcijos sutrikimas</w:t>
      </w:r>
    </w:p>
    <w:p w14:paraId="5BEF3775" w14:textId="77777777" w:rsidR="0052287E" w:rsidRPr="003F7446" w:rsidRDefault="0052287E" w:rsidP="0052287E">
      <w:pPr>
        <w:rPr>
          <w:szCs w:val="22"/>
        </w:rPr>
      </w:pPr>
      <w:r w:rsidRPr="003F7446">
        <w:rPr>
          <w:szCs w:val="22"/>
        </w:rPr>
        <w:t xml:space="preserve">Alkoholine kepenų ciroze sergančių savanorių organizme kepenų </w:t>
      </w:r>
      <w:proofErr w:type="spellStart"/>
      <w:r w:rsidRPr="003F7446">
        <w:rPr>
          <w:szCs w:val="22"/>
        </w:rPr>
        <w:t>parenchimos</w:t>
      </w:r>
      <w:proofErr w:type="spellEnd"/>
      <w:r w:rsidRPr="003F7446">
        <w:rPr>
          <w:szCs w:val="22"/>
        </w:rPr>
        <w:t xml:space="preserve"> ligos MFR </w:t>
      </w:r>
      <w:proofErr w:type="spellStart"/>
      <w:r w:rsidRPr="003F7446">
        <w:rPr>
          <w:szCs w:val="22"/>
        </w:rPr>
        <w:t>gliukuronizacijos</w:t>
      </w:r>
      <w:proofErr w:type="spellEnd"/>
      <w:r w:rsidRPr="003F7446">
        <w:rPr>
          <w:szCs w:val="22"/>
        </w:rPr>
        <w:t xml:space="preserve"> proceso sąlyginai neįtakojo. Tikėtina, kad kepenų ligos įtaka šiam procesui priklauso nuo specifinės ligos. Tačiau esant kepenų liga, kurios metu vyrauja tulžies apykaitos sutrikimas, pvz., pirminė </w:t>
      </w:r>
      <w:proofErr w:type="spellStart"/>
      <w:r w:rsidRPr="003F7446">
        <w:rPr>
          <w:szCs w:val="22"/>
        </w:rPr>
        <w:t>biliarinė</w:t>
      </w:r>
      <w:proofErr w:type="spellEnd"/>
      <w:r w:rsidRPr="003F7446">
        <w:rPr>
          <w:szCs w:val="22"/>
        </w:rPr>
        <w:t xml:space="preserve"> cirozė, poveikis gali būti skirtingas. </w:t>
      </w:r>
    </w:p>
    <w:p w14:paraId="032F7B18" w14:textId="77777777" w:rsidR="0052287E" w:rsidRPr="003F7446" w:rsidRDefault="0052287E" w:rsidP="0052287E">
      <w:pPr>
        <w:rPr>
          <w:szCs w:val="22"/>
        </w:rPr>
      </w:pPr>
    </w:p>
    <w:p w14:paraId="4F91F74C" w14:textId="77777777" w:rsidR="0052287E" w:rsidRPr="003F7446" w:rsidRDefault="0052287E" w:rsidP="0052287E">
      <w:pPr>
        <w:rPr>
          <w:szCs w:val="22"/>
          <w:u w:val="single"/>
        </w:rPr>
      </w:pPr>
      <w:r w:rsidRPr="003F7446">
        <w:rPr>
          <w:szCs w:val="22"/>
          <w:u w:val="single"/>
        </w:rPr>
        <w:t>Vaikai ir paaugliai (2 – 18 metų)</w:t>
      </w:r>
    </w:p>
    <w:p w14:paraId="2DC90591" w14:textId="77777777" w:rsidR="0052287E" w:rsidRPr="003F7446" w:rsidRDefault="0052287E" w:rsidP="0052287E">
      <w:pPr>
        <w:rPr>
          <w:szCs w:val="22"/>
        </w:rPr>
      </w:pPr>
      <w:r w:rsidRPr="003F7446">
        <w:rPr>
          <w:szCs w:val="22"/>
        </w:rPr>
        <w:t>Tirti 49 vaikų, kurie po inksto persodinimo gėrė po 600 mg/m</w:t>
      </w:r>
      <w:r w:rsidRPr="003F7446">
        <w:rPr>
          <w:szCs w:val="22"/>
          <w:vertAlign w:val="superscript"/>
        </w:rPr>
        <w:t>2</w:t>
      </w:r>
      <w:r w:rsidRPr="003F7446">
        <w:rPr>
          <w:szCs w:val="22"/>
        </w:rPr>
        <w:t xml:space="preserve"> kūno paviršiaus </w:t>
      </w:r>
      <w:proofErr w:type="spellStart"/>
      <w:r w:rsidRPr="003F7446">
        <w:rPr>
          <w:szCs w:val="22"/>
        </w:rPr>
        <w:t>mikofenolato</w:t>
      </w:r>
      <w:proofErr w:type="spellEnd"/>
      <w:r w:rsidRPr="003F7446">
        <w:rPr>
          <w:szCs w:val="22"/>
        </w:rPr>
        <w:t xml:space="preserve"> </w:t>
      </w:r>
      <w:proofErr w:type="spellStart"/>
      <w:r w:rsidRPr="003F7446">
        <w:rPr>
          <w:szCs w:val="22"/>
        </w:rPr>
        <w:t>mofetilio</w:t>
      </w:r>
      <w:proofErr w:type="spellEnd"/>
      <w:r w:rsidRPr="003F7446">
        <w:rPr>
          <w:szCs w:val="22"/>
        </w:rPr>
        <w:t xml:space="preserve"> 2 kartus per parą, </w:t>
      </w:r>
      <w:proofErr w:type="spellStart"/>
      <w:r w:rsidRPr="003F7446">
        <w:rPr>
          <w:szCs w:val="22"/>
        </w:rPr>
        <w:t>farmakokinetikos</w:t>
      </w:r>
      <w:proofErr w:type="spellEnd"/>
      <w:r w:rsidRPr="003F7446">
        <w:rPr>
          <w:szCs w:val="22"/>
        </w:rPr>
        <w:t xml:space="preserve"> rodikliai jų organizme. Nuo tokios dozės jų organizme MFR AUC reikšmė buvo panaši į nustatytą suaugusių žmonių, kurie po inksto persodinimo ankstyvuoju ir vėlyvuoju periodu vartojo po 1 g </w:t>
      </w:r>
      <w:proofErr w:type="spellStart"/>
      <w:r w:rsidRPr="003F7446">
        <w:rPr>
          <w:szCs w:val="22"/>
        </w:rPr>
        <w:t>mikofenolato</w:t>
      </w:r>
      <w:proofErr w:type="spellEnd"/>
      <w:r w:rsidRPr="003F7446">
        <w:rPr>
          <w:szCs w:val="22"/>
        </w:rPr>
        <w:t xml:space="preserve"> </w:t>
      </w:r>
      <w:proofErr w:type="spellStart"/>
      <w:r w:rsidRPr="003F7446">
        <w:rPr>
          <w:szCs w:val="22"/>
        </w:rPr>
        <w:t>mofetilio</w:t>
      </w:r>
      <w:proofErr w:type="spellEnd"/>
      <w:r w:rsidRPr="003F7446">
        <w:rPr>
          <w:szCs w:val="22"/>
        </w:rPr>
        <w:t xml:space="preserve"> 2 kartus per parą, organizme. Visų amžiaus grupių pacientų organizme MFR AUC reikšmės ankstyvuoju ir vėlyvuoju periodu po transplantacijos buvo panašios. </w:t>
      </w:r>
    </w:p>
    <w:p w14:paraId="13E745D3" w14:textId="77777777" w:rsidR="0052287E" w:rsidRPr="003F7446" w:rsidRDefault="0052287E" w:rsidP="0052287E">
      <w:pPr>
        <w:rPr>
          <w:szCs w:val="22"/>
        </w:rPr>
      </w:pPr>
    </w:p>
    <w:p w14:paraId="2A6E6155" w14:textId="77777777" w:rsidR="0052287E" w:rsidRPr="003F7446" w:rsidRDefault="0052287E" w:rsidP="0052287E">
      <w:pPr>
        <w:rPr>
          <w:szCs w:val="22"/>
          <w:u w:val="single"/>
        </w:rPr>
      </w:pPr>
      <w:r w:rsidRPr="003F7446">
        <w:rPr>
          <w:szCs w:val="22"/>
          <w:u w:val="single"/>
        </w:rPr>
        <w:t>Senyvi (</w:t>
      </w:r>
      <w:r w:rsidRPr="003F7446">
        <w:rPr>
          <w:szCs w:val="22"/>
          <w:u w:val="single"/>
        </w:rPr>
        <w:sym w:font="Symbol" w:char="F0B3"/>
      </w:r>
      <w:r w:rsidRPr="003F7446">
        <w:rPr>
          <w:szCs w:val="22"/>
          <w:u w:val="single"/>
        </w:rPr>
        <w:t> 65 metų) žmonės</w:t>
      </w:r>
    </w:p>
    <w:p w14:paraId="6798BDC3" w14:textId="77777777" w:rsidR="0052287E" w:rsidRPr="003F7446" w:rsidRDefault="0052287E" w:rsidP="0052287E">
      <w:pPr>
        <w:rPr>
          <w:szCs w:val="22"/>
        </w:rPr>
      </w:pPr>
      <w:r w:rsidRPr="003F7446">
        <w:rPr>
          <w:szCs w:val="22"/>
        </w:rPr>
        <w:t xml:space="preserve">Senyvų pacientų organizme </w:t>
      </w:r>
      <w:proofErr w:type="spellStart"/>
      <w:r w:rsidRPr="003F7446">
        <w:rPr>
          <w:szCs w:val="22"/>
        </w:rPr>
        <w:t>mikofenolato</w:t>
      </w:r>
      <w:proofErr w:type="spellEnd"/>
      <w:r w:rsidRPr="003F7446">
        <w:rPr>
          <w:szCs w:val="22"/>
        </w:rPr>
        <w:t xml:space="preserve"> </w:t>
      </w:r>
      <w:proofErr w:type="spellStart"/>
      <w:r w:rsidRPr="003F7446">
        <w:rPr>
          <w:szCs w:val="22"/>
        </w:rPr>
        <w:t>mofetilio</w:t>
      </w:r>
      <w:proofErr w:type="spellEnd"/>
      <w:r w:rsidRPr="003F7446">
        <w:rPr>
          <w:szCs w:val="22"/>
        </w:rPr>
        <w:t xml:space="preserve"> </w:t>
      </w:r>
      <w:proofErr w:type="spellStart"/>
      <w:r w:rsidRPr="003F7446">
        <w:rPr>
          <w:szCs w:val="22"/>
        </w:rPr>
        <w:t>farmakokinetika</w:t>
      </w:r>
      <w:proofErr w:type="spellEnd"/>
      <w:r w:rsidRPr="003F7446">
        <w:rPr>
          <w:szCs w:val="22"/>
        </w:rPr>
        <w:t xml:space="preserve"> formaliai netirta. </w:t>
      </w:r>
    </w:p>
    <w:p w14:paraId="69B4D168" w14:textId="77777777" w:rsidR="0052287E" w:rsidRPr="003F7446" w:rsidRDefault="0052287E" w:rsidP="0052287E">
      <w:pPr>
        <w:rPr>
          <w:szCs w:val="22"/>
        </w:rPr>
      </w:pPr>
    </w:p>
    <w:p w14:paraId="58D26E61" w14:textId="77777777" w:rsidR="0052287E" w:rsidRPr="003F7446" w:rsidRDefault="0052287E" w:rsidP="0052287E">
      <w:pPr>
        <w:rPr>
          <w:szCs w:val="22"/>
          <w:u w:val="single"/>
        </w:rPr>
      </w:pPr>
      <w:r w:rsidRPr="003F7446">
        <w:rPr>
          <w:szCs w:val="22"/>
          <w:u w:val="single"/>
        </w:rPr>
        <w:t>Geriamieji kontraceptikai</w:t>
      </w:r>
    </w:p>
    <w:p w14:paraId="1BE152C9" w14:textId="77777777" w:rsidR="0052287E" w:rsidRPr="003F7446" w:rsidRDefault="0052287E" w:rsidP="0052287E">
      <w:pPr>
        <w:rPr>
          <w:szCs w:val="22"/>
        </w:rPr>
      </w:pPr>
      <w:proofErr w:type="spellStart"/>
      <w:r w:rsidRPr="003F7446">
        <w:rPr>
          <w:szCs w:val="22"/>
        </w:rPr>
        <w:lastRenderedPageBreak/>
        <w:t>Mikofenolato</w:t>
      </w:r>
      <w:proofErr w:type="spellEnd"/>
      <w:r w:rsidRPr="003F7446">
        <w:rPr>
          <w:szCs w:val="22"/>
        </w:rPr>
        <w:t xml:space="preserve"> </w:t>
      </w:r>
      <w:proofErr w:type="spellStart"/>
      <w:r w:rsidRPr="003F7446">
        <w:rPr>
          <w:szCs w:val="22"/>
        </w:rPr>
        <w:t>mofetilis</w:t>
      </w:r>
      <w:proofErr w:type="spellEnd"/>
      <w:r w:rsidRPr="003F7446">
        <w:rPr>
          <w:szCs w:val="22"/>
        </w:rPr>
        <w:t xml:space="preserve"> kartu vartojamų geriamųjų kontraceptikų </w:t>
      </w:r>
      <w:proofErr w:type="spellStart"/>
      <w:r w:rsidRPr="003F7446">
        <w:rPr>
          <w:szCs w:val="22"/>
        </w:rPr>
        <w:t>farmakokinetikos</w:t>
      </w:r>
      <w:proofErr w:type="spellEnd"/>
      <w:r w:rsidRPr="003F7446">
        <w:rPr>
          <w:szCs w:val="22"/>
        </w:rPr>
        <w:t xml:space="preserve"> neįtakojo (žr. 4.5 skyrių). Tyrimų, kurių metu 18 moterų, tris mėnesinių ciklus iš eilės kartu su </w:t>
      </w:r>
      <w:proofErr w:type="spellStart"/>
      <w:r w:rsidRPr="003F7446">
        <w:rPr>
          <w:szCs w:val="22"/>
        </w:rPr>
        <w:t>mikofenolato</w:t>
      </w:r>
      <w:proofErr w:type="spellEnd"/>
      <w:r w:rsidRPr="003F7446">
        <w:rPr>
          <w:szCs w:val="22"/>
        </w:rPr>
        <w:t xml:space="preserve"> </w:t>
      </w:r>
      <w:proofErr w:type="spellStart"/>
      <w:r w:rsidRPr="003F7446">
        <w:rPr>
          <w:szCs w:val="22"/>
        </w:rPr>
        <w:t>mofetiliu</w:t>
      </w:r>
      <w:proofErr w:type="spellEnd"/>
      <w:r w:rsidRPr="003F7446">
        <w:rPr>
          <w:szCs w:val="22"/>
        </w:rPr>
        <w:t xml:space="preserve"> (po 1 g 2 kartus per parą) vartojo geriamojo kontraceptiko, kuriame buvo </w:t>
      </w:r>
      <w:proofErr w:type="spellStart"/>
      <w:r w:rsidRPr="003F7446">
        <w:rPr>
          <w:szCs w:val="22"/>
        </w:rPr>
        <w:t>etinilestradiolio</w:t>
      </w:r>
      <w:proofErr w:type="spellEnd"/>
      <w:r w:rsidRPr="003F7446">
        <w:rPr>
          <w:szCs w:val="22"/>
        </w:rPr>
        <w:t xml:space="preserve"> (0,02 – 0,04 mg) ir </w:t>
      </w:r>
      <w:proofErr w:type="spellStart"/>
      <w:r w:rsidRPr="003F7446">
        <w:rPr>
          <w:szCs w:val="22"/>
        </w:rPr>
        <w:t>levonorgestrelio</w:t>
      </w:r>
      <w:proofErr w:type="spellEnd"/>
      <w:r w:rsidRPr="003F7446">
        <w:rPr>
          <w:szCs w:val="22"/>
        </w:rPr>
        <w:t xml:space="preserve"> (0,05 – 0,15 mg), </w:t>
      </w:r>
      <w:proofErr w:type="spellStart"/>
      <w:r w:rsidRPr="003F7446">
        <w:rPr>
          <w:szCs w:val="22"/>
        </w:rPr>
        <w:t>dezogestrelio</w:t>
      </w:r>
      <w:proofErr w:type="spellEnd"/>
      <w:r w:rsidRPr="003F7446">
        <w:rPr>
          <w:szCs w:val="22"/>
        </w:rPr>
        <w:t xml:space="preserve"> (0,15 mg) arba </w:t>
      </w:r>
      <w:proofErr w:type="spellStart"/>
      <w:r w:rsidRPr="003F7446">
        <w:rPr>
          <w:szCs w:val="22"/>
        </w:rPr>
        <w:t>gestodeno</w:t>
      </w:r>
      <w:proofErr w:type="spellEnd"/>
      <w:r w:rsidRPr="003F7446">
        <w:rPr>
          <w:szCs w:val="22"/>
        </w:rPr>
        <w:t xml:space="preserve"> (0,05 – 0,1 mg), ir kurioms nebuvo persodintas joks organas bei joms nebuvo skiriami jokie kiti </w:t>
      </w:r>
      <w:proofErr w:type="spellStart"/>
      <w:r w:rsidRPr="003F7446">
        <w:rPr>
          <w:szCs w:val="22"/>
        </w:rPr>
        <w:t>imunosupresantai</w:t>
      </w:r>
      <w:proofErr w:type="spellEnd"/>
      <w:r w:rsidRPr="003F7446">
        <w:rPr>
          <w:szCs w:val="22"/>
        </w:rPr>
        <w:t xml:space="preserve">, kliniškai reikšmingos </w:t>
      </w:r>
      <w:proofErr w:type="spellStart"/>
      <w:r w:rsidRPr="003F7446">
        <w:rPr>
          <w:szCs w:val="22"/>
        </w:rPr>
        <w:t>mikofenolato</w:t>
      </w:r>
      <w:proofErr w:type="spellEnd"/>
      <w:r w:rsidRPr="003F7446">
        <w:rPr>
          <w:szCs w:val="22"/>
        </w:rPr>
        <w:t xml:space="preserve"> </w:t>
      </w:r>
      <w:proofErr w:type="spellStart"/>
      <w:r w:rsidRPr="003F7446">
        <w:rPr>
          <w:szCs w:val="22"/>
        </w:rPr>
        <w:t>mofetilio</w:t>
      </w:r>
      <w:proofErr w:type="spellEnd"/>
      <w:r w:rsidRPr="003F7446">
        <w:rPr>
          <w:szCs w:val="22"/>
        </w:rPr>
        <w:t xml:space="preserve"> įtaka geriamųjų kontraceptikų sukeliamam ovuliacijos slopinimui nepasireiškė. LH, FSH ir progesterono kiekis kraujo serume reikšmingai nekito.    </w:t>
      </w:r>
    </w:p>
    <w:p w14:paraId="2E31B0CD" w14:textId="77777777" w:rsidR="0052287E" w:rsidRPr="003F7446" w:rsidRDefault="0052287E" w:rsidP="0052287E">
      <w:pPr>
        <w:pStyle w:val="Default"/>
        <w:ind w:left="560" w:hanging="560"/>
        <w:rPr>
          <w:b/>
          <w:bCs/>
          <w:color w:val="auto"/>
          <w:sz w:val="22"/>
          <w:szCs w:val="22"/>
          <w:lang w:val="lt-LT"/>
        </w:rPr>
      </w:pPr>
    </w:p>
    <w:p w14:paraId="435882C3" w14:textId="77777777" w:rsidR="0052287E" w:rsidRPr="003F7446" w:rsidRDefault="0052287E" w:rsidP="0052287E">
      <w:pPr>
        <w:pStyle w:val="Default"/>
        <w:ind w:left="560" w:hanging="560"/>
        <w:rPr>
          <w:color w:val="auto"/>
          <w:sz w:val="22"/>
          <w:szCs w:val="22"/>
          <w:lang w:val="lt-LT"/>
        </w:rPr>
      </w:pPr>
      <w:r w:rsidRPr="003F7446">
        <w:rPr>
          <w:b/>
          <w:bCs/>
          <w:color w:val="auto"/>
          <w:sz w:val="22"/>
          <w:szCs w:val="22"/>
          <w:lang w:val="lt-LT"/>
        </w:rPr>
        <w:t>5.3</w:t>
      </w:r>
      <w:r w:rsidRPr="003F7446">
        <w:rPr>
          <w:b/>
          <w:bCs/>
          <w:color w:val="auto"/>
          <w:sz w:val="22"/>
          <w:szCs w:val="22"/>
          <w:lang w:val="lt-LT"/>
        </w:rPr>
        <w:tab/>
      </w:r>
      <w:proofErr w:type="spellStart"/>
      <w:r w:rsidRPr="003F7446">
        <w:rPr>
          <w:b/>
          <w:bCs/>
          <w:color w:val="auto"/>
          <w:sz w:val="22"/>
          <w:szCs w:val="22"/>
          <w:lang w:val="lt-LT"/>
        </w:rPr>
        <w:t>Ikiklinikinių</w:t>
      </w:r>
      <w:proofErr w:type="spellEnd"/>
      <w:r w:rsidRPr="003F7446">
        <w:rPr>
          <w:b/>
          <w:bCs/>
          <w:color w:val="auto"/>
          <w:sz w:val="22"/>
          <w:szCs w:val="22"/>
          <w:lang w:val="lt-LT"/>
        </w:rPr>
        <w:t xml:space="preserve"> saugumo tyrimų duomenys </w:t>
      </w:r>
    </w:p>
    <w:p w14:paraId="359D47F6" w14:textId="77777777" w:rsidR="0052287E" w:rsidRPr="003F7446" w:rsidRDefault="0052287E" w:rsidP="0052287E">
      <w:pPr>
        <w:pStyle w:val="Default"/>
        <w:rPr>
          <w:color w:val="auto"/>
          <w:sz w:val="22"/>
          <w:szCs w:val="22"/>
          <w:lang w:val="lt-LT"/>
        </w:rPr>
      </w:pPr>
    </w:p>
    <w:p w14:paraId="6DDE6907"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Eksperimentinių tyrimų metu,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mofetilis</w:t>
      </w:r>
      <w:proofErr w:type="spellEnd"/>
      <w:r w:rsidRPr="003F7446">
        <w:rPr>
          <w:color w:val="auto"/>
          <w:sz w:val="22"/>
          <w:szCs w:val="22"/>
          <w:lang w:val="lt-LT"/>
        </w:rPr>
        <w:t xml:space="preserve"> neskatino atsirasti navikų. Didžiausia skirta dozė, kancerogeninio poveikio gyvūnams metu, sudarė maždaug 2 – 3 kartus didesnę vaisto ekspoziciją (AUC ar </w:t>
      </w:r>
      <w:proofErr w:type="spellStart"/>
      <w:r w:rsidRPr="003F7446">
        <w:rPr>
          <w:color w:val="auto"/>
          <w:sz w:val="22"/>
          <w:szCs w:val="22"/>
          <w:lang w:val="lt-LT"/>
        </w:rPr>
        <w:t>C</w:t>
      </w:r>
      <w:r w:rsidRPr="003F7446">
        <w:rPr>
          <w:color w:val="auto"/>
          <w:sz w:val="22"/>
          <w:szCs w:val="22"/>
          <w:vertAlign w:val="subscript"/>
          <w:lang w:val="lt-LT"/>
        </w:rPr>
        <w:t>max</w:t>
      </w:r>
      <w:proofErr w:type="spellEnd"/>
      <w:r w:rsidRPr="003F7446">
        <w:rPr>
          <w:color w:val="auto"/>
          <w:sz w:val="22"/>
          <w:szCs w:val="22"/>
          <w:lang w:val="lt-LT"/>
        </w:rPr>
        <w:t xml:space="preserve">) negu pacientams, po inkstų persodinimo vartojantiems rekomenduojamą 2 g per parą klinikinę dozę, ir 1,3 – 2 karto didesnę sisteminę ekspoziciją (AUC ar </w:t>
      </w:r>
      <w:proofErr w:type="spellStart"/>
      <w:r w:rsidRPr="003F7446">
        <w:rPr>
          <w:color w:val="auto"/>
          <w:sz w:val="22"/>
          <w:szCs w:val="22"/>
          <w:lang w:val="lt-LT"/>
        </w:rPr>
        <w:t>C</w:t>
      </w:r>
      <w:r w:rsidRPr="003F7446">
        <w:rPr>
          <w:color w:val="auto"/>
          <w:sz w:val="22"/>
          <w:szCs w:val="22"/>
          <w:vertAlign w:val="subscript"/>
          <w:lang w:val="lt-LT"/>
        </w:rPr>
        <w:t>max</w:t>
      </w:r>
      <w:proofErr w:type="spellEnd"/>
      <w:r w:rsidRPr="003F7446">
        <w:rPr>
          <w:color w:val="auto"/>
          <w:sz w:val="22"/>
          <w:szCs w:val="22"/>
          <w:lang w:val="lt-LT"/>
        </w:rPr>
        <w:t xml:space="preserve">), kuri buvo stebima po širdies persodinimo pacientams, vartojusiems rekomenduojamą 3 g per parą klinikinę dozę. </w:t>
      </w:r>
    </w:p>
    <w:p w14:paraId="08702862" w14:textId="77777777" w:rsidR="0052287E" w:rsidRPr="003F7446" w:rsidRDefault="0052287E" w:rsidP="0052287E">
      <w:pPr>
        <w:pStyle w:val="Default"/>
        <w:rPr>
          <w:color w:val="auto"/>
          <w:sz w:val="22"/>
          <w:szCs w:val="22"/>
          <w:lang w:val="lt-LT"/>
        </w:rPr>
      </w:pPr>
    </w:p>
    <w:p w14:paraId="51C9EE60"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Du </w:t>
      </w:r>
      <w:proofErr w:type="spellStart"/>
      <w:r w:rsidRPr="003F7446">
        <w:rPr>
          <w:color w:val="auto"/>
          <w:sz w:val="22"/>
          <w:szCs w:val="22"/>
          <w:lang w:val="lt-LT"/>
        </w:rPr>
        <w:t>genotoksiškumo</w:t>
      </w:r>
      <w:proofErr w:type="spellEnd"/>
      <w:r w:rsidRPr="003F7446">
        <w:rPr>
          <w:color w:val="auto"/>
          <w:sz w:val="22"/>
          <w:szCs w:val="22"/>
          <w:lang w:val="lt-LT"/>
        </w:rPr>
        <w:t xml:space="preserve"> tyrimai (</w:t>
      </w:r>
      <w:proofErr w:type="spellStart"/>
      <w:r w:rsidRPr="003F7446">
        <w:rPr>
          <w:i/>
          <w:iCs/>
          <w:color w:val="auto"/>
          <w:sz w:val="22"/>
          <w:szCs w:val="22"/>
          <w:lang w:val="lt-LT"/>
        </w:rPr>
        <w:t>in</w:t>
      </w:r>
      <w:proofErr w:type="spellEnd"/>
      <w:r w:rsidRPr="003F7446">
        <w:rPr>
          <w:i/>
          <w:iCs/>
          <w:color w:val="auto"/>
          <w:sz w:val="22"/>
          <w:szCs w:val="22"/>
          <w:lang w:val="lt-LT"/>
        </w:rPr>
        <w:t xml:space="preserve"> </w:t>
      </w:r>
      <w:proofErr w:type="spellStart"/>
      <w:r w:rsidRPr="003F7446">
        <w:rPr>
          <w:i/>
          <w:iCs/>
          <w:color w:val="auto"/>
          <w:sz w:val="22"/>
          <w:szCs w:val="22"/>
          <w:lang w:val="lt-LT"/>
        </w:rPr>
        <w:t>vitro</w:t>
      </w:r>
      <w:proofErr w:type="spellEnd"/>
      <w:r w:rsidRPr="003F7446">
        <w:rPr>
          <w:i/>
          <w:iCs/>
          <w:color w:val="auto"/>
          <w:sz w:val="22"/>
          <w:szCs w:val="22"/>
          <w:lang w:val="lt-LT"/>
        </w:rPr>
        <w:t xml:space="preserve"> </w:t>
      </w:r>
      <w:r w:rsidRPr="003F7446">
        <w:rPr>
          <w:color w:val="auto"/>
          <w:sz w:val="22"/>
          <w:szCs w:val="22"/>
          <w:lang w:val="lt-LT"/>
        </w:rPr>
        <w:t xml:space="preserve">pelių limfomos tyrimas ir </w:t>
      </w:r>
      <w:proofErr w:type="spellStart"/>
      <w:r w:rsidRPr="003F7446">
        <w:rPr>
          <w:i/>
          <w:iCs/>
          <w:color w:val="auto"/>
          <w:sz w:val="22"/>
          <w:szCs w:val="22"/>
          <w:lang w:val="lt-LT"/>
        </w:rPr>
        <w:t>in</w:t>
      </w:r>
      <w:proofErr w:type="spellEnd"/>
      <w:r w:rsidRPr="003F7446">
        <w:rPr>
          <w:i/>
          <w:iCs/>
          <w:color w:val="auto"/>
          <w:sz w:val="22"/>
          <w:szCs w:val="22"/>
          <w:lang w:val="lt-LT"/>
        </w:rPr>
        <w:t xml:space="preserve"> </w:t>
      </w:r>
      <w:proofErr w:type="spellStart"/>
      <w:r w:rsidRPr="003F7446">
        <w:rPr>
          <w:i/>
          <w:iCs/>
          <w:color w:val="auto"/>
          <w:sz w:val="22"/>
          <w:szCs w:val="22"/>
          <w:lang w:val="lt-LT"/>
        </w:rPr>
        <w:t>vivo</w:t>
      </w:r>
      <w:proofErr w:type="spellEnd"/>
      <w:r w:rsidRPr="003F7446">
        <w:rPr>
          <w:i/>
          <w:iCs/>
          <w:color w:val="auto"/>
          <w:sz w:val="22"/>
          <w:szCs w:val="22"/>
          <w:lang w:val="lt-LT"/>
        </w:rPr>
        <w:t xml:space="preserve"> </w:t>
      </w:r>
      <w:r w:rsidRPr="003F7446">
        <w:rPr>
          <w:color w:val="auto"/>
          <w:sz w:val="22"/>
          <w:szCs w:val="22"/>
          <w:lang w:val="lt-LT"/>
        </w:rPr>
        <w:t xml:space="preserve">pelių kaulų čiulpų </w:t>
      </w:r>
      <w:proofErr w:type="spellStart"/>
      <w:r w:rsidRPr="003F7446">
        <w:rPr>
          <w:color w:val="auto"/>
          <w:sz w:val="22"/>
          <w:szCs w:val="22"/>
          <w:lang w:val="lt-LT"/>
        </w:rPr>
        <w:t>mikrobranduolių</w:t>
      </w:r>
      <w:proofErr w:type="spellEnd"/>
      <w:r w:rsidRPr="003F7446">
        <w:rPr>
          <w:color w:val="auto"/>
          <w:sz w:val="22"/>
          <w:szCs w:val="22"/>
          <w:lang w:val="lt-LT"/>
        </w:rPr>
        <w:t xml:space="preserve"> testas) parodė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mofetilio</w:t>
      </w:r>
      <w:proofErr w:type="spellEnd"/>
      <w:r w:rsidRPr="003F7446">
        <w:rPr>
          <w:color w:val="auto"/>
          <w:sz w:val="22"/>
          <w:szCs w:val="22"/>
          <w:lang w:val="lt-LT"/>
        </w:rPr>
        <w:t xml:space="preserve"> potencialą sukelti chromosomų </w:t>
      </w:r>
      <w:proofErr w:type="spellStart"/>
      <w:r w:rsidRPr="003F7446">
        <w:rPr>
          <w:color w:val="auto"/>
          <w:sz w:val="22"/>
          <w:szCs w:val="22"/>
          <w:lang w:val="lt-LT"/>
        </w:rPr>
        <w:t>aberacijų</w:t>
      </w:r>
      <w:proofErr w:type="spellEnd"/>
      <w:r w:rsidRPr="003F7446">
        <w:rPr>
          <w:color w:val="auto"/>
          <w:sz w:val="22"/>
          <w:szCs w:val="22"/>
          <w:lang w:val="lt-LT"/>
        </w:rPr>
        <w:t xml:space="preserve">. Šis poveikis gali būti susijęs su vaisto </w:t>
      </w:r>
      <w:proofErr w:type="spellStart"/>
      <w:r w:rsidRPr="003F7446">
        <w:rPr>
          <w:color w:val="auto"/>
          <w:sz w:val="22"/>
          <w:szCs w:val="22"/>
          <w:lang w:val="lt-LT"/>
        </w:rPr>
        <w:t>farmakodinaminėmis</w:t>
      </w:r>
      <w:proofErr w:type="spellEnd"/>
      <w:r w:rsidRPr="003F7446">
        <w:rPr>
          <w:color w:val="auto"/>
          <w:sz w:val="22"/>
          <w:szCs w:val="22"/>
          <w:lang w:val="lt-LT"/>
        </w:rPr>
        <w:t xml:space="preserve"> savybėmis, t. y. nukleotidų sintezės jautriose ląstelėse slopinimu. Kiti </w:t>
      </w:r>
      <w:proofErr w:type="spellStart"/>
      <w:r w:rsidRPr="003F7446">
        <w:rPr>
          <w:i/>
          <w:iCs/>
          <w:color w:val="auto"/>
          <w:sz w:val="22"/>
          <w:szCs w:val="22"/>
          <w:lang w:val="lt-LT"/>
        </w:rPr>
        <w:t>in</w:t>
      </w:r>
      <w:proofErr w:type="spellEnd"/>
      <w:r w:rsidRPr="003F7446">
        <w:rPr>
          <w:i/>
          <w:iCs/>
          <w:color w:val="auto"/>
          <w:sz w:val="22"/>
          <w:szCs w:val="22"/>
          <w:lang w:val="lt-LT"/>
        </w:rPr>
        <w:t xml:space="preserve"> </w:t>
      </w:r>
      <w:proofErr w:type="spellStart"/>
      <w:r w:rsidRPr="003F7446">
        <w:rPr>
          <w:i/>
          <w:iCs/>
          <w:color w:val="auto"/>
          <w:sz w:val="22"/>
          <w:szCs w:val="22"/>
          <w:lang w:val="lt-LT"/>
        </w:rPr>
        <w:t>vitro</w:t>
      </w:r>
      <w:proofErr w:type="spellEnd"/>
      <w:r w:rsidRPr="003F7446">
        <w:rPr>
          <w:i/>
          <w:iCs/>
          <w:color w:val="auto"/>
          <w:sz w:val="22"/>
          <w:szCs w:val="22"/>
          <w:lang w:val="lt-LT"/>
        </w:rPr>
        <w:t xml:space="preserve"> </w:t>
      </w:r>
      <w:r w:rsidRPr="003F7446">
        <w:rPr>
          <w:color w:val="auto"/>
          <w:sz w:val="22"/>
          <w:szCs w:val="22"/>
          <w:lang w:val="lt-LT"/>
        </w:rPr>
        <w:t xml:space="preserve">mėginiai galintys aptikti genų mutacijas, </w:t>
      </w:r>
      <w:proofErr w:type="spellStart"/>
      <w:r w:rsidRPr="003F7446">
        <w:rPr>
          <w:color w:val="auto"/>
          <w:sz w:val="22"/>
          <w:szCs w:val="22"/>
          <w:lang w:val="lt-LT"/>
        </w:rPr>
        <w:t>genotoksinio</w:t>
      </w:r>
      <w:proofErr w:type="spellEnd"/>
      <w:r w:rsidRPr="003F7446">
        <w:rPr>
          <w:color w:val="auto"/>
          <w:sz w:val="22"/>
          <w:szCs w:val="22"/>
          <w:lang w:val="lt-LT"/>
        </w:rPr>
        <w:t xml:space="preserve"> aktyvumo neparodė. </w:t>
      </w:r>
    </w:p>
    <w:p w14:paraId="4ACAAA3F" w14:textId="77777777" w:rsidR="0052287E" w:rsidRPr="003F7446" w:rsidRDefault="0052287E" w:rsidP="0052287E">
      <w:pPr>
        <w:pStyle w:val="Default"/>
        <w:rPr>
          <w:color w:val="auto"/>
          <w:sz w:val="22"/>
          <w:szCs w:val="22"/>
          <w:lang w:val="lt-LT"/>
        </w:rPr>
      </w:pPr>
    </w:p>
    <w:p w14:paraId="5BF216C4" w14:textId="77777777" w:rsidR="0052287E" w:rsidRPr="003F7446" w:rsidRDefault="0052287E" w:rsidP="0052287E">
      <w:pPr>
        <w:pStyle w:val="Default"/>
        <w:rPr>
          <w:color w:val="auto"/>
          <w:sz w:val="22"/>
          <w:szCs w:val="22"/>
          <w:lang w:val="lt-LT"/>
        </w:rPr>
      </w:pP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mofetilis</w:t>
      </w:r>
      <w:proofErr w:type="spellEnd"/>
      <w:r w:rsidRPr="003F7446">
        <w:rPr>
          <w:color w:val="auto"/>
          <w:sz w:val="22"/>
          <w:szCs w:val="22"/>
          <w:lang w:val="lt-LT"/>
        </w:rPr>
        <w:t>, skiriamas vartoti per burną</w:t>
      </w:r>
      <w:r w:rsidRPr="003F7446">
        <w:rPr>
          <w:i/>
          <w:iCs/>
          <w:color w:val="auto"/>
          <w:sz w:val="22"/>
          <w:szCs w:val="22"/>
          <w:lang w:val="lt-LT"/>
        </w:rPr>
        <w:t xml:space="preserve"> </w:t>
      </w:r>
      <w:r w:rsidRPr="003F7446">
        <w:rPr>
          <w:color w:val="auto"/>
          <w:sz w:val="22"/>
          <w:szCs w:val="22"/>
          <w:lang w:val="lt-LT"/>
        </w:rPr>
        <w:t xml:space="preserve">iki 20 mg/kg </w:t>
      </w:r>
      <w:r w:rsidRPr="003F7446">
        <w:rPr>
          <w:color w:val="auto"/>
          <w:sz w:val="22"/>
          <w:szCs w:val="22"/>
          <w:vertAlign w:val="superscript"/>
          <w:lang w:val="lt-LT"/>
        </w:rPr>
        <w:t xml:space="preserve"> </w:t>
      </w:r>
      <w:r w:rsidRPr="003F7446">
        <w:rPr>
          <w:color w:val="auto"/>
          <w:sz w:val="22"/>
          <w:szCs w:val="22"/>
          <w:lang w:val="lt-LT"/>
        </w:rPr>
        <w:t>per parą, žiurkių patinų vaisingumo neveikė. Vaisto ekspozicija gyvūnų organizme, skiriant šią dozę, yra 2 – 3 kartus didesnė negu klinikinė ekspozicija, vartojant rekomenduojamą 2 g per parą gydomąją dozę pacientams po inksto persodinimo ir 1,3 – 2 kartus didesnė nei vartojant pacientams rekomenduojamą gydomąją 3 g per parą dozę po širdies persodinimo. Tiriant vaisto poveikį žiurkių patelių vaisingumui ir reprodukcijai nustatyta, kad skiriant vartoti per burną</w:t>
      </w:r>
      <w:r w:rsidRPr="003F7446">
        <w:rPr>
          <w:i/>
          <w:iCs/>
          <w:color w:val="auto"/>
          <w:sz w:val="22"/>
          <w:szCs w:val="22"/>
          <w:lang w:val="lt-LT"/>
        </w:rPr>
        <w:t xml:space="preserve"> </w:t>
      </w:r>
      <w:r w:rsidRPr="003F7446">
        <w:rPr>
          <w:color w:val="auto"/>
          <w:sz w:val="22"/>
          <w:szCs w:val="22"/>
          <w:lang w:val="lt-LT"/>
        </w:rPr>
        <w:t xml:space="preserve">4,5 mg/kg/ </w:t>
      </w:r>
      <w:r w:rsidRPr="003F7446">
        <w:rPr>
          <w:color w:val="auto"/>
          <w:sz w:val="22"/>
          <w:szCs w:val="22"/>
          <w:vertAlign w:val="superscript"/>
          <w:lang w:val="lt-LT"/>
        </w:rPr>
        <w:t xml:space="preserve"> </w:t>
      </w:r>
      <w:r w:rsidRPr="003F7446">
        <w:rPr>
          <w:color w:val="auto"/>
          <w:sz w:val="22"/>
          <w:szCs w:val="22"/>
          <w:lang w:val="lt-LT"/>
        </w:rPr>
        <w:t xml:space="preserve">per parą dozės sukėlė apsigimimų (įskaitant </w:t>
      </w:r>
      <w:proofErr w:type="spellStart"/>
      <w:r w:rsidRPr="003F7446">
        <w:rPr>
          <w:color w:val="auto"/>
          <w:sz w:val="22"/>
          <w:szCs w:val="22"/>
          <w:lang w:val="lt-LT"/>
        </w:rPr>
        <w:t>anoftalmiją</w:t>
      </w:r>
      <w:proofErr w:type="spellEnd"/>
      <w:r w:rsidRPr="003F7446">
        <w:rPr>
          <w:color w:val="auto"/>
          <w:sz w:val="22"/>
          <w:szCs w:val="22"/>
          <w:lang w:val="lt-LT"/>
        </w:rPr>
        <w:t xml:space="preserve">, </w:t>
      </w:r>
      <w:proofErr w:type="spellStart"/>
      <w:r w:rsidRPr="003F7446">
        <w:rPr>
          <w:color w:val="auto"/>
          <w:sz w:val="22"/>
          <w:szCs w:val="22"/>
          <w:lang w:val="lt-LT"/>
        </w:rPr>
        <w:t>agnatiją</w:t>
      </w:r>
      <w:proofErr w:type="spellEnd"/>
      <w:r w:rsidRPr="003F7446">
        <w:rPr>
          <w:color w:val="auto"/>
          <w:sz w:val="22"/>
          <w:szCs w:val="22"/>
          <w:lang w:val="lt-LT"/>
        </w:rPr>
        <w:t xml:space="preserve"> ir </w:t>
      </w:r>
      <w:proofErr w:type="spellStart"/>
      <w:r w:rsidRPr="003F7446">
        <w:rPr>
          <w:color w:val="auto"/>
          <w:sz w:val="22"/>
          <w:szCs w:val="22"/>
          <w:lang w:val="lt-LT"/>
        </w:rPr>
        <w:t>hidrocefaliją</w:t>
      </w:r>
      <w:proofErr w:type="spellEnd"/>
      <w:r w:rsidRPr="003F7446">
        <w:rPr>
          <w:color w:val="auto"/>
          <w:sz w:val="22"/>
          <w:szCs w:val="22"/>
          <w:lang w:val="lt-LT"/>
        </w:rPr>
        <w:t xml:space="preserve">) pirmosios kartos vadoje, bet pačių patelių </w:t>
      </w:r>
      <w:proofErr w:type="spellStart"/>
      <w:r w:rsidRPr="003F7446">
        <w:rPr>
          <w:color w:val="auto"/>
          <w:sz w:val="22"/>
          <w:szCs w:val="22"/>
          <w:lang w:val="lt-LT"/>
        </w:rPr>
        <w:t>toksiškai</w:t>
      </w:r>
      <w:proofErr w:type="spellEnd"/>
      <w:r w:rsidRPr="003F7446">
        <w:rPr>
          <w:color w:val="auto"/>
          <w:sz w:val="22"/>
          <w:szCs w:val="22"/>
          <w:lang w:val="lt-LT"/>
        </w:rPr>
        <w:t xml:space="preserve"> neveikė. Skiriant šią dozę, sisteminė ekspozicija vaistui atitiko 0,5 klinikinės ekspozicijos, skiriant rekomenduojamą gydomąją 2 g per parą dozę pacientams po inkstų persodinimo, ir maždaug 0,3 klinikinės ekspozicijos, vartojant rekomenduojamą gydomąją 3 g per parą dozę pacientams po širdies persodinimo. Jokio poveikio šių ar kitos kartos patelių vaisingumui, taip pat reprodukcijos rodikliams nenustatyta. </w:t>
      </w:r>
    </w:p>
    <w:p w14:paraId="71603BE9" w14:textId="77777777" w:rsidR="0052287E" w:rsidRPr="003F7446" w:rsidRDefault="0052287E" w:rsidP="0052287E">
      <w:pPr>
        <w:pStyle w:val="Default"/>
        <w:rPr>
          <w:color w:val="auto"/>
          <w:sz w:val="22"/>
          <w:szCs w:val="22"/>
          <w:lang w:val="lt-LT"/>
        </w:rPr>
      </w:pPr>
    </w:p>
    <w:p w14:paraId="13E74A44"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Tiriant sklaidos defektus sukeliantį poveikį žiurkėms ir triušiams, nustatyta, kad vaisiaus </w:t>
      </w:r>
      <w:proofErr w:type="spellStart"/>
      <w:r w:rsidRPr="003F7446">
        <w:rPr>
          <w:color w:val="auto"/>
          <w:sz w:val="22"/>
          <w:szCs w:val="22"/>
          <w:lang w:val="lt-LT"/>
        </w:rPr>
        <w:t>rezorbcijų</w:t>
      </w:r>
      <w:proofErr w:type="spellEnd"/>
      <w:r w:rsidRPr="003F7446">
        <w:rPr>
          <w:color w:val="auto"/>
          <w:sz w:val="22"/>
          <w:szCs w:val="22"/>
          <w:lang w:val="lt-LT"/>
        </w:rPr>
        <w:t xml:space="preserve"> ir apsigimimų (įskaitant </w:t>
      </w:r>
      <w:proofErr w:type="spellStart"/>
      <w:r w:rsidRPr="003F7446">
        <w:rPr>
          <w:color w:val="auto"/>
          <w:sz w:val="22"/>
          <w:szCs w:val="22"/>
          <w:lang w:val="lt-LT"/>
        </w:rPr>
        <w:t>anoftalmiją</w:t>
      </w:r>
      <w:proofErr w:type="spellEnd"/>
      <w:r w:rsidRPr="003F7446">
        <w:rPr>
          <w:color w:val="auto"/>
          <w:sz w:val="22"/>
          <w:szCs w:val="22"/>
          <w:lang w:val="lt-LT"/>
        </w:rPr>
        <w:t xml:space="preserve">, </w:t>
      </w:r>
      <w:proofErr w:type="spellStart"/>
      <w:r w:rsidRPr="003F7446">
        <w:rPr>
          <w:color w:val="auto"/>
          <w:sz w:val="22"/>
          <w:szCs w:val="22"/>
          <w:lang w:val="lt-LT"/>
        </w:rPr>
        <w:t>agnatiją</w:t>
      </w:r>
      <w:proofErr w:type="spellEnd"/>
      <w:r w:rsidRPr="003F7446">
        <w:rPr>
          <w:color w:val="auto"/>
          <w:sz w:val="22"/>
          <w:szCs w:val="22"/>
          <w:lang w:val="lt-LT"/>
        </w:rPr>
        <w:t xml:space="preserve"> ir </w:t>
      </w:r>
      <w:proofErr w:type="spellStart"/>
      <w:r w:rsidRPr="003F7446">
        <w:rPr>
          <w:color w:val="auto"/>
          <w:sz w:val="22"/>
          <w:szCs w:val="22"/>
          <w:lang w:val="lt-LT"/>
        </w:rPr>
        <w:t>hidrocefaliją</w:t>
      </w:r>
      <w:proofErr w:type="spellEnd"/>
      <w:r w:rsidRPr="003F7446">
        <w:rPr>
          <w:color w:val="auto"/>
          <w:sz w:val="22"/>
          <w:szCs w:val="22"/>
          <w:lang w:val="lt-LT"/>
        </w:rPr>
        <w:t xml:space="preserve">) buvo duodant žiurkėms po 6 mg/kg/ </w:t>
      </w:r>
      <w:r w:rsidRPr="003F7446">
        <w:rPr>
          <w:color w:val="auto"/>
          <w:sz w:val="22"/>
          <w:szCs w:val="22"/>
          <w:vertAlign w:val="superscript"/>
          <w:lang w:val="lt-LT"/>
        </w:rPr>
        <w:t xml:space="preserve"> </w:t>
      </w:r>
      <w:r w:rsidRPr="003F7446">
        <w:rPr>
          <w:color w:val="auto"/>
          <w:sz w:val="22"/>
          <w:szCs w:val="22"/>
          <w:lang w:val="lt-LT"/>
        </w:rPr>
        <w:t xml:space="preserve">per parą, o triušiams – po 90 mg/kg/ per parą (įskaitant širdies ir kraujagyslių, taip pat inkstų anomalijas, pvz., širdies ir inkstų </w:t>
      </w:r>
      <w:proofErr w:type="spellStart"/>
      <w:r w:rsidRPr="003F7446">
        <w:rPr>
          <w:color w:val="auto"/>
          <w:sz w:val="22"/>
          <w:szCs w:val="22"/>
          <w:lang w:val="lt-LT"/>
        </w:rPr>
        <w:t>ektopiją</w:t>
      </w:r>
      <w:proofErr w:type="spellEnd"/>
      <w:r w:rsidRPr="003F7446">
        <w:rPr>
          <w:color w:val="auto"/>
          <w:sz w:val="22"/>
          <w:szCs w:val="22"/>
          <w:lang w:val="lt-LT"/>
        </w:rPr>
        <w:t xml:space="preserve">, diafragmos ir bambos išvaržą), bet toksinio poveikio pačioms patelėms nebuvo. Sisteminė vaisto ekspozicija, esant šioms koncentracijoms, maždaug atitinka arba yra mažesnė nei 0,5 klinikinės ekspozicijos, vartojant rekomenduojamą gydomąją 2 g per parą dozę pacientams po inkstų persodinimo, ir maždaug </w:t>
      </w:r>
      <w:r w:rsidRPr="003F7446">
        <w:rPr>
          <w:sz w:val="22"/>
          <w:szCs w:val="22"/>
          <w:lang w:val="lt-LT"/>
        </w:rPr>
        <w:t xml:space="preserve">trečdalį </w:t>
      </w:r>
      <w:r w:rsidRPr="003F7446">
        <w:rPr>
          <w:color w:val="auto"/>
          <w:sz w:val="22"/>
          <w:szCs w:val="22"/>
          <w:lang w:val="lt-LT"/>
        </w:rPr>
        <w:t xml:space="preserve">tos klinikinės ekspozicijos, kuri susidaro pacientams vartojant rekomenduojamą gydomąją 3 g per parą dozę po širdies persodinimo. </w:t>
      </w:r>
    </w:p>
    <w:p w14:paraId="2B18C67B"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Žr. 4.6 skyrių. </w:t>
      </w:r>
    </w:p>
    <w:p w14:paraId="708323DD" w14:textId="77777777" w:rsidR="0052287E" w:rsidRPr="003F7446" w:rsidRDefault="0052287E" w:rsidP="0052287E">
      <w:pPr>
        <w:pStyle w:val="Default"/>
        <w:rPr>
          <w:color w:val="auto"/>
          <w:sz w:val="22"/>
          <w:szCs w:val="22"/>
          <w:lang w:val="lt-LT"/>
        </w:rPr>
      </w:pPr>
    </w:p>
    <w:p w14:paraId="7203C48D"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Tiriant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mofetilio</w:t>
      </w:r>
      <w:proofErr w:type="spellEnd"/>
      <w:r w:rsidRPr="003F7446">
        <w:rPr>
          <w:color w:val="auto"/>
          <w:sz w:val="22"/>
          <w:szCs w:val="22"/>
          <w:lang w:val="lt-LT"/>
        </w:rPr>
        <w:t xml:space="preserve"> toksinį poveikį žiurkėms, pelėms, šunims ir beždžionėms nustatyta, kad vaistas pirmiausiai veikia </w:t>
      </w:r>
      <w:proofErr w:type="spellStart"/>
      <w:r w:rsidRPr="003F7446">
        <w:rPr>
          <w:color w:val="auto"/>
          <w:sz w:val="22"/>
          <w:szCs w:val="22"/>
          <w:lang w:val="lt-LT"/>
        </w:rPr>
        <w:t>kraujodaros</w:t>
      </w:r>
      <w:proofErr w:type="spellEnd"/>
      <w:r w:rsidRPr="003F7446">
        <w:rPr>
          <w:color w:val="auto"/>
          <w:sz w:val="22"/>
          <w:szCs w:val="22"/>
          <w:lang w:val="lt-LT"/>
        </w:rPr>
        <w:t xml:space="preserve"> ir </w:t>
      </w:r>
      <w:proofErr w:type="spellStart"/>
      <w:r w:rsidRPr="003F7446">
        <w:rPr>
          <w:color w:val="auto"/>
          <w:sz w:val="22"/>
          <w:szCs w:val="22"/>
          <w:lang w:val="lt-LT"/>
        </w:rPr>
        <w:t>limfoidinę</w:t>
      </w:r>
      <w:proofErr w:type="spellEnd"/>
      <w:r w:rsidRPr="003F7446">
        <w:rPr>
          <w:color w:val="auto"/>
          <w:sz w:val="22"/>
          <w:szCs w:val="22"/>
          <w:lang w:val="lt-LT"/>
        </w:rPr>
        <w:t xml:space="preserve"> sistemas. Šis poveikis pasireiškė, kai sisteminė ekspozicija buvo tolygi arba mažesnė negu klinikinė ekspozicija po inkstų persodinimo pacientams vartojant rekomenduojamą 2 g paros dozę. Poveikis šunų virškinimo organų sistemai pastebėtas, kai organizmo vaisto ekspozicija buvo tolygi arba mažesnė nei klinikinė ekspozicija, vartojant rekomenduojamą dozę. Poveikis skrandžiui ir žarnynui bei inkstams, atitinkantis </w:t>
      </w:r>
      <w:proofErr w:type="spellStart"/>
      <w:r w:rsidRPr="003F7446">
        <w:rPr>
          <w:color w:val="auto"/>
          <w:sz w:val="22"/>
          <w:szCs w:val="22"/>
          <w:lang w:val="lt-LT"/>
        </w:rPr>
        <w:t>dehidraciją</w:t>
      </w:r>
      <w:proofErr w:type="spellEnd"/>
      <w:r w:rsidRPr="003F7446">
        <w:rPr>
          <w:color w:val="auto"/>
          <w:sz w:val="22"/>
          <w:szCs w:val="22"/>
          <w:lang w:val="lt-LT"/>
        </w:rPr>
        <w:t xml:space="preserve">, taip pat pastebėtas beždžionėms, skiriant joms didžiausią dozę (sisteminė vaisto ekspozicija atitiko arba didesnė negu klinikinė ekspozicija).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mofetilio</w:t>
      </w:r>
      <w:proofErr w:type="spellEnd"/>
      <w:r w:rsidRPr="003F7446">
        <w:rPr>
          <w:color w:val="auto"/>
          <w:sz w:val="22"/>
          <w:szCs w:val="22"/>
          <w:lang w:val="lt-LT"/>
        </w:rPr>
        <w:t xml:space="preserve"> </w:t>
      </w:r>
      <w:proofErr w:type="spellStart"/>
      <w:r w:rsidRPr="003F7446">
        <w:rPr>
          <w:color w:val="auto"/>
          <w:sz w:val="22"/>
          <w:szCs w:val="22"/>
          <w:lang w:val="lt-LT"/>
        </w:rPr>
        <w:t>ikiklinikinių</w:t>
      </w:r>
      <w:proofErr w:type="spellEnd"/>
      <w:r w:rsidRPr="003F7446">
        <w:rPr>
          <w:color w:val="auto"/>
          <w:sz w:val="22"/>
          <w:szCs w:val="22"/>
          <w:lang w:val="lt-LT"/>
        </w:rPr>
        <w:t xml:space="preserve"> tyrimų metu nustatytas </w:t>
      </w:r>
      <w:proofErr w:type="spellStart"/>
      <w:r w:rsidRPr="003F7446">
        <w:rPr>
          <w:color w:val="auto"/>
          <w:sz w:val="22"/>
          <w:szCs w:val="22"/>
          <w:lang w:val="lt-LT"/>
        </w:rPr>
        <w:t>toksiškumo</w:t>
      </w:r>
      <w:proofErr w:type="spellEnd"/>
      <w:r w:rsidRPr="003F7446">
        <w:rPr>
          <w:color w:val="auto"/>
          <w:sz w:val="22"/>
          <w:szCs w:val="22"/>
          <w:lang w:val="lt-LT"/>
        </w:rPr>
        <w:t xml:space="preserve"> pobūdis, panašu, jog atitinka šalutinį poveikį žmonėms, pastebėtą klinikinių tyrimų metu; šie tyrimai dabar teikia tinkamesnių duomenų apie vaisto saugumą pacientams (žr. 4.8 skyrių). </w:t>
      </w:r>
    </w:p>
    <w:p w14:paraId="15984B63" w14:textId="77777777" w:rsidR="0052287E" w:rsidRPr="003F7446" w:rsidRDefault="0052287E" w:rsidP="0052287E">
      <w:pPr>
        <w:pStyle w:val="Default"/>
        <w:ind w:left="560" w:hanging="560"/>
        <w:rPr>
          <w:b/>
          <w:bCs/>
          <w:color w:val="auto"/>
          <w:sz w:val="22"/>
          <w:szCs w:val="22"/>
          <w:lang w:val="lt-LT"/>
        </w:rPr>
      </w:pPr>
    </w:p>
    <w:p w14:paraId="0E90D9AD" w14:textId="77777777" w:rsidR="0052287E" w:rsidRPr="003F7446" w:rsidRDefault="0052287E" w:rsidP="0052287E">
      <w:pPr>
        <w:pStyle w:val="Default"/>
        <w:ind w:left="560" w:hanging="560"/>
        <w:rPr>
          <w:b/>
          <w:bCs/>
          <w:color w:val="auto"/>
          <w:sz w:val="22"/>
          <w:szCs w:val="22"/>
          <w:lang w:val="lt-LT"/>
        </w:rPr>
      </w:pPr>
    </w:p>
    <w:p w14:paraId="65FB8AFA" w14:textId="77777777" w:rsidR="0052287E" w:rsidRPr="003F7446" w:rsidRDefault="0052287E" w:rsidP="0052287E">
      <w:pPr>
        <w:pStyle w:val="Default"/>
        <w:ind w:left="560" w:hanging="560"/>
        <w:rPr>
          <w:color w:val="auto"/>
          <w:sz w:val="22"/>
          <w:szCs w:val="22"/>
          <w:lang w:val="lt-LT"/>
        </w:rPr>
      </w:pPr>
      <w:r w:rsidRPr="003F7446">
        <w:rPr>
          <w:b/>
          <w:bCs/>
          <w:color w:val="auto"/>
          <w:sz w:val="22"/>
          <w:szCs w:val="22"/>
          <w:lang w:val="lt-LT"/>
        </w:rPr>
        <w:t>6.</w:t>
      </w:r>
      <w:r w:rsidRPr="003F7446">
        <w:rPr>
          <w:b/>
          <w:bCs/>
          <w:color w:val="auto"/>
          <w:sz w:val="22"/>
          <w:szCs w:val="22"/>
          <w:lang w:val="lt-LT"/>
        </w:rPr>
        <w:tab/>
        <w:t xml:space="preserve">FARMACINĖ INFORMACIJA </w:t>
      </w:r>
    </w:p>
    <w:p w14:paraId="7E0F7D72" w14:textId="77777777" w:rsidR="0052287E" w:rsidRPr="003F7446" w:rsidRDefault="0052287E" w:rsidP="0052287E">
      <w:pPr>
        <w:pStyle w:val="Default"/>
        <w:ind w:left="560" w:hanging="560"/>
        <w:rPr>
          <w:b/>
          <w:bCs/>
          <w:color w:val="auto"/>
          <w:sz w:val="22"/>
          <w:szCs w:val="22"/>
          <w:lang w:val="lt-LT"/>
        </w:rPr>
      </w:pPr>
    </w:p>
    <w:p w14:paraId="334C7C72" w14:textId="77777777" w:rsidR="0052287E" w:rsidRPr="003F7446" w:rsidRDefault="0052287E" w:rsidP="0052287E">
      <w:pPr>
        <w:pStyle w:val="Default"/>
        <w:ind w:left="560" w:hanging="560"/>
        <w:rPr>
          <w:color w:val="auto"/>
          <w:sz w:val="22"/>
          <w:szCs w:val="22"/>
          <w:lang w:val="lt-LT"/>
        </w:rPr>
      </w:pPr>
      <w:r w:rsidRPr="003F7446">
        <w:rPr>
          <w:b/>
          <w:bCs/>
          <w:color w:val="auto"/>
          <w:sz w:val="22"/>
          <w:szCs w:val="22"/>
          <w:lang w:val="lt-LT"/>
        </w:rPr>
        <w:t>6.1</w:t>
      </w:r>
      <w:r w:rsidRPr="003F7446">
        <w:rPr>
          <w:b/>
          <w:bCs/>
          <w:color w:val="auto"/>
          <w:sz w:val="22"/>
          <w:szCs w:val="22"/>
          <w:lang w:val="lt-LT"/>
        </w:rPr>
        <w:tab/>
        <w:t xml:space="preserve">Pagalbinių medžiagų sąrašas </w:t>
      </w:r>
    </w:p>
    <w:p w14:paraId="184EE8F9" w14:textId="77777777" w:rsidR="0052287E" w:rsidRPr="003F7446" w:rsidRDefault="0052287E" w:rsidP="0052287E">
      <w:pPr>
        <w:pStyle w:val="Default"/>
        <w:rPr>
          <w:color w:val="auto"/>
          <w:sz w:val="22"/>
          <w:szCs w:val="22"/>
          <w:lang w:val="lt-LT"/>
        </w:rPr>
      </w:pPr>
    </w:p>
    <w:p w14:paraId="264C5DD8" w14:textId="77777777" w:rsidR="0052287E" w:rsidRPr="003F7446" w:rsidRDefault="0052287E" w:rsidP="0052287E">
      <w:pPr>
        <w:pStyle w:val="Default"/>
        <w:rPr>
          <w:color w:val="auto"/>
          <w:sz w:val="22"/>
          <w:szCs w:val="22"/>
          <w:u w:val="single"/>
          <w:lang w:val="lt-LT"/>
        </w:rPr>
      </w:pPr>
      <w:r w:rsidRPr="003F7446">
        <w:rPr>
          <w:color w:val="auto"/>
          <w:sz w:val="22"/>
          <w:szCs w:val="22"/>
          <w:u w:val="single"/>
          <w:lang w:val="lt-LT"/>
        </w:rPr>
        <w:t xml:space="preserve">Tabletės branduolys </w:t>
      </w:r>
    </w:p>
    <w:p w14:paraId="5AB8E296" w14:textId="77777777" w:rsidR="0052287E" w:rsidRPr="003F7446" w:rsidRDefault="0052287E" w:rsidP="0052287E">
      <w:pPr>
        <w:pStyle w:val="Default"/>
        <w:ind w:left="560" w:hanging="560"/>
        <w:rPr>
          <w:bCs/>
          <w:color w:val="auto"/>
          <w:sz w:val="22"/>
          <w:szCs w:val="22"/>
          <w:lang w:val="lt-LT"/>
        </w:rPr>
      </w:pPr>
      <w:proofErr w:type="spellStart"/>
      <w:r w:rsidRPr="003F7446">
        <w:rPr>
          <w:bCs/>
          <w:color w:val="auto"/>
          <w:sz w:val="22"/>
          <w:szCs w:val="22"/>
          <w:lang w:val="lt-LT"/>
        </w:rPr>
        <w:t>Mikrokristalinė</w:t>
      </w:r>
      <w:proofErr w:type="spellEnd"/>
      <w:r w:rsidRPr="003F7446">
        <w:rPr>
          <w:bCs/>
          <w:color w:val="auto"/>
          <w:sz w:val="22"/>
          <w:szCs w:val="22"/>
          <w:lang w:val="lt-LT"/>
        </w:rPr>
        <w:t xml:space="preserve"> celiuliozė</w:t>
      </w:r>
    </w:p>
    <w:p w14:paraId="01D97A66" w14:textId="77777777" w:rsidR="0052287E" w:rsidRPr="003F7446" w:rsidRDefault="0052287E" w:rsidP="0052287E">
      <w:pPr>
        <w:pStyle w:val="Default"/>
        <w:ind w:left="560" w:hanging="560"/>
        <w:rPr>
          <w:bCs/>
          <w:color w:val="auto"/>
          <w:sz w:val="22"/>
          <w:szCs w:val="22"/>
          <w:lang w:val="lt-LT"/>
        </w:rPr>
      </w:pPr>
      <w:proofErr w:type="spellStart"/>
      <w:r w:rsidRPr="003F7446">
        <w:rPr>
          <w:bCs/>
          <w:color w:val="auto"/>
          <w:sz w:val="22"/>
          <w:szCs w:val="22"/>
          <w:lang w:val="lt-LT"/>
        </w:rPr>
        <w:t>Povidonas</w:t>
      </w:r>
      <w:proofErr w:type="spellEnd"/>
      <w:r w:rsidRPr="003F7446">
        <w:rPr>
          <w:bCs/>
          <w:color w:val="auto"/>
          <w:sz w:val="22"/>
          <w:szCs w:val="22"/>
          <w:lang w:val="lt-LT"/>
        </w:rPr>
        <w:t xml:space="preserve"> K – 90</w:t>
      </w:r>
    </w:p>
    <w:p w14:paraId="0F394FBC" w14:textId="77777777" w:rsidR="0052287E" w:rsidRPr="003F7446" w:rsidRDefault="0052287E" w:rsidP="0052287E">
      <w:pPr>
        <w:pStyle w:val="Default"/>
        <w:ind w:left="560" w:hanging="560"/>
        <w:rPr>
          <w:bCs/>
          <w:color w:val="auto"/>
          <w:sz w:val="22"/>
          <w:szCs w:val="22"/>
          <w:lang w:val="lt-LT"/>
        </w:rPr>
      </w:pPr>
      <w:proofErr w:type="spellStart"/>
      <w:r w:rsidRPr="003F7446">
        <w:rPr>
          <w:bCs/>
          <w:color w:val="auto"/>
          <w:sz w:val="22"/>
          <w:szCs w:val="22"/>
          <w:lang w:val="lt-LT"/>
        </w:rPr>
        <w:t>Kroskarmeliozės</w:t>
      </w:r>
      <w:proofErr w:type="spellEnd"/>
      <w:r w:rsidRPr="003F7446">
        <w:rPr>
          <w:bCs/>
          <w:color w:val="auto"/>
          <w:sz w:val="22"/>
          <w:szCs w:val="22"/>
          <w:lang w:val="lt-LT"/>
        </w:rPr>
        <w:t xml:space="preserve"> natrio druska</w:t>
      </w:r>
    </w:p>
    <w:p w14:paraId="24B48703" w14:textId="77777777" w:rsidR="0052287E" w:rsidRPr="003F7446" w:rsidRDefault="0052287E" w:rsidP="0052287E">
      <w:pPr>
        <w:pStyle w:val="Default"/>
        <w:ind w:left="560" w:hanging="560"/>
        <w:rPr>
          <w:bCs/>
          <w:color w:val="auto"/>
          <w:sz w:val="22"/>
          <w:szCs w:val="22"/>
          <w:lang w:val="lt-LT"/>
        </w:rPr>
      </w:pPr>
      <w:r w:rsidRPr="003F7446">
        <w:rPr>
          <w:bCs/>
          <w:color w:val="auto"/>
          <w:sz w:val="22"/>
          <w:szCs w:val="22"/>
          <w:lang w:val="lt-LT"/>
        </w:rPr>
        <w:t xml:space="preserve">Magnio </w:t>
      </w:r>
      <w:proofErr w:type="spellStart"/>
      <w:r w:rsidRPr="003F7446">
        <w:rPr>
          <w:bCs/>
          <w:color w:val="auto"/>
          <w:sz w:val="22"/>
          <w:szCs w:val="22"/>
          <w:lang w:val="lt-LT"/>
        </w:rPr>
        <w:t>stearatas</w:t>
      </w:r>
      <w:proofErr w:type="spellEnd"/>
    </w:p>
    <w:p w14:paraId="3CAC52E9" w14:textId="77777777" w:rsidR="0052287E" w:rsidRPr="003F7446" w:rsidRDefault="0052287E" w:rsidP="0052287E">
      <w:pPr>
        <w:pStyle w:val="Default"/>
        <w:ind w:left="560" w:hanging="560"/>
        <w:rPr>
          <w:bCs/>
          <w:color w:val="auto"/>
          <w:sz w:val="22"/>
          <w:szCs w:val="22"/>
          <w:lang w:val="lt-LT"/>
        </w:rPr>
      </w:pPr>
      <w:r w:rsidRPr="003F7446">
        <w:rPr>
          <w:bCs/>
          <w:color w:val="auto"/>
          <w:sz w:val="22"/>
          <w:szCs w:val="22"/>
          <w:lang w:val="lt-LT"/>
        </w:rPr>
        <w:t>Bevandenis koloidinis silicio dioksidas</w:t>
      </w:r>
    </w:p>
    <w:p w14:paraId="39F57FCC" w14:textId="77777777" w:rsidR="0052287E" w:rsidRPr="003F7446" w:rsidRDefault="0052287E" w:rsidP="0052287E">
      <w:pPr>
        <w:pStyle w:val="Default"/>
        <w:ind w:left="560" w:hanging="560"/>
        <w:rPr>
          <w:bCs/>
          <w:color w:val="auto"/>
          <w:sz w:val="22"/>
          <w:szCs w:val="22"/>
          <w:lang w:val="lt-LT"/>
        </w:rPr>
      </w:pPr>
      <w:r w:rsidRPr="003F7446">
        <w:rPr>
          <w:bCs/>
          <w:color w:val="auto"/>
          <w:sz w:val="22"/>
          <w:szCs w:val="22"/>
          <w:lang w:val="lt-LT"/>
        </w:rPr>
        <w:t>Talkas</w:t>
      </w:r>
    </w:p>
    <w:p w14:paraId="1A349612" w14:textId="77777777" w:rsidR="0052287E" w:rsidRPr="003F7446" w:rsidRDefault="0052287E" w:rsidP="0052287E">
      <w:pPr>
        <w:pStyle w:val="Default"/>
        <w:ind w:left="560" w:hanging="560"/>
        <w:rPr>
          <w:bCs/>
          <w:color w:val="auto"/>
          <w:sz w:val="22"/>
          <w:szCs w:val="22"/>
          <w:lang w:val="lt-LT"/>
        </w:rPr>
      </w:pPr>
    </w:p>
    <w:p w14:paraId="6E6DE5A9" w14:textId="77777777" w:rsidR="0052287E" w:rsidRPr="003F7446" w:rsidRDefault="0052287E" w:rsidP="0052287E">
      <w:pPr>
        <w:pStyle w:val="Default"/>
        <w:ind w:left="560" w:hanging="560"/>
        <w:rPr>
          <w:bCs/>
          <w:color w:val="auto"/>
          <w:sz w:val="22"/>
          <w:szCs w:val="22"/>
          <w:u w:val="single"/>
          <w:lang w:val="lt-LT"/>
        </w:rPr>
      </w:pPr>
      <w:r w:rsidRPr="003F7446">
        <w:rPr>
          <w:bCs/>
          <w:color w:val="auto"/>
          <w:sz w:val="22"/>
          <w:szCs w:val="22"/>
          <w:u w:val="single"/>
          <w:lang w:val="lt-LT"/>
        </w:rPr>
        <w:t>Tabletės plėvelė</w:t>
      </w:r>
    </w:p>
    <w:p w14:paraId="09107C49" w14:textId="77777777" w:rsidR="0052287E" w:rsidRPr="003F7446" w:rsidRDefault="0052287E" w:rsidP="0052287E">
      <w:pPr>
        <w:pStyle w:val="Default"/>
        <w:ind w:left="560" w:hanging="560"/>
        <w:rPr>
          <w:bCs/>
          <w:color w:val="auto"/>
          <w:sz w:val="22"/>
          <w:szCs w:val="22"/>
          <w:lang w:val="lt-LT"/>
        </w:rPr>
      </w:pPr>
      <w:proofErr w:type="spellStart"/>
      <w:r w:rsidRPr="003F7446">
        <w:rPr>
          <w:bCs/>
          <w:color w:val="auto"/>
          <w:sz w:val="22"/>
          <w:szCs w:val="22"/>
          <w:lang w:val="lt-LT"/>
        </w:rPr>
        <w:t>Hipromeliozė</w:t>
      </w:r>
      <w:proofErr w:type="spellEnd"/>
    </w:p>
    <w:p w14:paraId="587CA19C" w14:textId="77777777" w:rsidR="0052287E" w:rsidRPr="003F7446" w:rsidRDefault="0052287E" w:rsidP="0052287E">
      <w:pPr>
        <w:pStyle w:val="Default"/>
        <w:ind w:left="560" w:hanging="560"/>
        <w:rPr>
          <w:bCs/>
          <w:color w:val="auto"/>
          <w:sz w:val="22"/>
          <w:szCs w:val="22"/>
          <w:lang w:val="lt-LT"/>
        </w:rPr>
      </w:pPr>
      <w:proofErr w:type="spellStart"/>
      <w:r w:rsidRPr="003F7446">
        <w:rPr>
          <w:bCs/>
          <w:color w:val="auto"/>
          <w:sz w:val="22"/>
          <w:szCs w:val="22"/>
          <w:lang w:val="lt-LT"/>
        </w:rPr>
        <w:t>Hidroksipropilceliuliozė</w:t>
      </w:r>
      <w:proofErr w:type="spellEnd"/>
    </w:p>
    <w:p w14:paraId="4050B424" w14:textId="77777777" w:rsidR="0052287E" w:rsidRPr="003F7446" w:rsidRDefault="0052287E" w:rsidP="0052287E">
      <w:pPr>
        <w:pStyle w:val="Default"/>
        <w:ind w:left="560" w:hanging="560"/>
        <w:rPr>
          <w:bCs/>
          <w:color w:val="auto"/>
          <w:sz w:val="22"/>
          <w:szCs w:val="22"/>
          <w:lang w:val="lt-LT"/>
        </w:rPr>
      </w:pPr>
      <w:r w:rsidRPr="003F7446">
        <w:rPr>
          <w:bCs/>
          <w:color w:val="auto"/>
          <w:sz w:val="22"/>
          <w:szCs w:val="22"/>
          <w:lang w:val="lt-LT"/>
        </w:rPr>
        <w:t>Titano dioksidas (E171)</w:t>
      </w:r>
    </w:p>
    <w:p w14:paraId="731B9414" w14:textId="77777777" w:rsidR="0052287E" w:rsidRPr="003F7446" w:rsidRDefault="0052287E" w:rsidP="0052287E">
      <w:pPr>
        <w:pStyle w:val="Default"/>
        <w:ind w:left="560" w:hanging="560"/>
        <w:rPr>
          <w:bCs/>
          <w:color w:val="auto"/>
          <w:sz w:val="22"/>
          <w:szCs w:val="22"/>
          <w:lang w:val="lt-LT"/>
        </w:rPr>
      </w:pPr>
      <w:proofErr w:type="spellStart"/>
      <w:r w:rsidRPr="003F7446">
        <w:rPr>
          <w:bCs/>
          <w:color w:val="auto"/>
          <w:sz w:val="22"/>
          <w:szCs w:val="22"/>
          <w:lang w:val="lt-LT"/>
        </w:rPr>
        <w:t>Makrogolis</w:t>
      </w:r>
      <w:proofErr w:type="spellEnd"/>
    </w:p>
    <w:p w14:paraId="040CBCA7" w14:textId="77777777" w:rsidR="0052287E" w:rsidRPr="003F7446" w:rsidRDefault="0052287E" w:rsidP="0052287E">
      <w:pPr>
        <w:pStyle w:val="Default"/>
        <w:ind w:left="560" w:hanging="560"/>
        <w:rPr>
          <w:bCs/>
          <w:color w:val="auto"/>
          <w:sz w:val="22"/>
          <w:szCs w:val="22"/>
          <w:lang w:val="lt-LT"/>
        </w:rPr>
      </w:pPr>
      <w:proofErr w:type="spellStart"/>
      <w:r w:rsidRPr="003F7446">
        <w:rPr>
          <w:bCs/>
          <w:color w:val="auto"/>
          <w:sz w:val="22"/>
          <w:szCs w:val="22"/>
          <w:lang w:val="lt-LT"/>
        </w:rPr>
        <w:t>Indigokarminas</w:t>
      </w:r>
      <w:proofErr w:type="spellEnd"/>
      <w:r w:rsidRPr="003F7446">
        <w:rPr>
          <w:bCs/>
          <w:color w:val="auto"/>
          <w:sz w:val="22"/>
          <w:szCs w:val="22"/>
          <w:lang w:val="lt-LT"/>
        </w:rPr>
        <w:t xml:space="preserve"> (E132)</w:t>
      </w:r>
    </w:p>
    <w:p w14:paraId="77AE1008" w14:textId="77777777" w:rsidR="0052287E" w:rsidRPr="003F7446" w:rsidRDefault="0052287E" w:rsidP="0052287E">
      <w:pPr>
        <w:pStyle w:val="Default"/>
        <w:ind w:left="560" w:hanging="560"/>
        <w:rPr>
          <w:bCs/>
          <w:color w:val="auto"/>
          <w:sz w:val="22"/>
          <w:szCs w:val="22"/>
          <w:lang w:val="lt-LT"/>
        </w:rPr>
      </w:pPr>
      <w:r w:rsidRPr="003F7446">
        <w:rPr>
          <w:bCs/>
          <w:color w:val="auto"/>
          <w:sz w:val="22"/>
          <w:szCs w:val="22"/>
          <w:lang w:val="lt-LT"/>
        </w:rPr>
        <w:t>Raudonasis geležies oksidas (E172)</w:t>
      </w:r>
    </w:p>
    <w:p w14:paraId="6BA9FA0A" w14:textId="77777777" w:rsidR="0052287E" w:rsidRPr="003F7446" w:rsidRDefault="0052287E" w:rsidP="0052287E">
      <w:pPr>
        <w:pStyle w:val="Default"/>
        <w:rPr>
          <w:b/>
          <w:bCs/>
          <w:color w:val="auto"/>
          <w:sz w:val="22"/>
          <w:szCs w:val="22"/>
          <w:lang w:val="lt-LT"/>
        </w:rPr>
      </w:pPr>
    </w:p>
    <w:p w14:paraId="72EA4AA4" w14:textId="77777777" w:rsidR="0052287E" w:rsidRPr="003F7446" w:rsidRDefault="0052287E" w:rsidP="0052287E">
      <w:pPr>
        <w:pStyle w:val="Default"/>
        <w:ind w:left="560" w:hanging="560"/>
        <w:rPr>
          <w:color w:val="auto"/>
          <w:sz w:val="22"/>
          <w:szCs w:val="22"/>
          <w:lang w:val="lt-LT"/>
        </w:rPr>
      </w:pPr>
      <w:r w:rsidRPr="003F7446">
        <w:rPr>
          <w:b/>
          <w:bCs/>
          <w:color w:val="auto"/>
          <w:sz w:val="22"/>
          <w:szCs w:val="22"/>
          <w:lang w:val="lt-LT"/>
        </w:rPr>
        <w:t>6.2</w:t>
      </w:r>
      <w:r w:rsidRPr="003F7446">
        <w:rPr>
          <w:b/>
          <w:bCs/>
          <w:color w:val="auto"/>
          <w:sz w:val="22"/>
          <w:szCs w:val="22"/>
          <w:lang w:val="lt-LT"/>
        </w:rPr>
        <w:tab/>
        <w:t xml:space="preserve">Nesuderinamumas </w:t>
      </w:r>
    </w:p>
    <w:p w14:paraId="213E5CE8" w14:textId="77777777" w:rsidR="0052287E" w:rsidRPr="003F7446" w:rsidRDefault="0052287E" w:rsidP="0052287E">
      <w:pPr>
        <w:pStyle w:val="Default"/>
        <w:ind w:left="560" w:hanging="560"/>
        <w:rPr>
          <w:color w:val="auto"/>
          <w:sz w:val="22"/>
          <w:szCs w:val="22"/>
          <w:lang w:val="lt-LT"/>
        </w:rPr>
      </w:pPr>
    </w:p>
    <w:p w14:paraId="707EF656" w14:textId="77777777" w:rsidR="0052287E" w:rsidRPr="003F7446" w:rsidRDefault="0052287E" w:rsidP="0052287E">
      <w:pPr>
        <w:pStyle w:val="Default"/>
        <w:ind w:left="560" w:hanging="560"/>
        <w:rPr>
          <w:color w:val="auto"/>
          <w:sz w:val="22"/>
          <w:szCs w:val="22"/>
          <w:lang w:val="lt-LT"/>
        </w:rPr>
      </w:pPr>
      <w:r w:rsidRPr="003F7446">
        <w:rPr>
          <w:color w:val="auto"/>
          <w:sz w:val="22"/>
          <w:szCs w:val="22"/>
          <w:lang w:val="lt-LT"/>
        </w:rPr>
        <w:t xml:space="preserve">Duomenys nebūtini. </w:t>
      </w:r>
    </w:p>
    <w:p w14:paraId="51BD3B13" w14:textId="77777777" w:rsidR="0052287E" w:rsidRPr="003F7446" w:rsidRDefault="0052287E" w:rsidP="0052287E">
      <w:pPr>
        <w:pStyle w:val="Default"/>
        <w:ind w:left="560" w:hanging="560"/>
        <w:rPr>
          <w:b/>
          <w:bCs/>
          <w:color w:val="auto"/>
          <w:sz w:val="22"/>
          <w:szCs w:val="22"/>
          <w:lang w:val="lt-LT"/>
        </w:rPr>
      </w:pPr>
    </w:p>
    <w:p w14:paraId="63902F3A" w14:textId="77777777" w:rsidR="0052287E" w:rsidRPr="003F7446" w:rsidRDefault="0052287E" w:rsidP="0052287E">
      <w:pPr>
        <w:pStyle w:val="Default"/>
        <w:ind w:left="560" w:hanging="560"/>
        <w:rPr>
          <w:color w:val="auto"/>
          <w:sz w:val="22"/>
          <w:szCs w:val="22"/>
          <w:lang w:val="lt-LT"/>
        </w:rPr>
      </w:pPr>
      <w:r w:rsidRPr="003F7446">
        <w:rPr>
          <w:b/>
          <w:bCs/>
          <w:color w:val="auto"/>
          <w:sz w:val="22"/>
          <w:szCs w:val="22"/>
          <w:lang w:val="lt-LT"/>
        </w:rPr>
        <w:t>6.3</w:t>
      </w:r>
      <w:r w:rsidRPr="003F7446">
        <w:rPr>
          <w:b/>
          <w:bCs/>
          <w:color w:val="auto"/>
          <w:sz w:val="22"/>
          <w:szCs w:val="22"/>
          <w:lang w:val="lt-LT"/>
        </w:rPr>
        <w:tab/>
        <w:t xml:space="preserve">Tinkamumo laikas </w:t>
      </w:r>
    </w:p>
    <w:p w14:paraId="2D70B06B" w14:textId="77777777" w:rsidR="0052287E" w:rsidRPr="003F7446" w:rsidRDefault="0052287E" w:rsidP="0052287E">
      <w:pPr>
        <w:pStyle w:val="Default"/>
        <w:ind w:left="560" w:hanging="560"/>
        <w:rPr>
          <w:color w:val="auto"/>
          <w:sz w:val="22"/>
          <w:szCs w:val="22"/>
          <w:lang w:val="lt-LT"/>
        </w:rPr>
      </w:pPr>
    </w:p>
    <w:p w14:paraId="572CC55F" w14:textId="77777777" w:rsidR="0052287E" w:rsidRPr="003F7446" w:rsidRDefault="0052287E" w:rsidP="0052287E">
      <w:pPr>
        <w:pStyle w:val="Default"/>
        <w:ind w:left="560" w:hanging="560"/>
        <w:rPr>
          <w:color w:val="auto"/>
          <w:sz w:val="22"/>
          <w:szCs w:val="22"/>
          <w:lang w:val="lt-LT"/>
        </w:rPr>
      </w:pPr>
      <w:r w:rsidRPr="003F7446">
        <w:rPr>
          <w:color w:val="auto"/>
          <w:sz w:val="22"/>
          <w:szCs w:val="22"/>
          <w:lang w:val="lt-LT"/>
        </w:rPr>
        <w:t xml:space="preserve">2 metai. </w:t>
      </w:r>
    </w:p>
    <w:p w14:paraId="6B9CB8CF" w14:textId="77777777" w:rsidR="0052287E" w:rsidRPr="003F7446" w:rsidRDefault="0052287E" w:rsidP="0052287E">
      <w:pPr>
        <w:pStyle w:val="Default"/>
        <w:ind w:left="560" w:hanging="560"/>
        <w:rPr>
          <w:b/>
          <w:bCs/>
          <w:color w:val="auto"/>
          <w:sz w:val="22"/>
          <w:szCs w:val="22"/>
          <w:lang w:val="lt-LT"/>
        </w:rPr>
      </w:pPr>
    </w:p>
    <w:p w14:paraId="766ABB3B" w14:textId="77777777" w:rsidR="0052287E" w:rsidRPr="003F7446" w:rsidRDefault="0052287E" w:rsidP="0052287E">
      <w:pPr>
        <w:pStyle w:val="Default"/>
        <w:ind w:left="560" w:hanging="560"/>
        <w:rPr>
          <w:color w:val="auto"/>
          <w:sz w:val="22"/>
          <w:szCs w:val="22"/>
          <w:lang w:val="lt-LT"/>
        </w:rPr>
      </w:pPr>
      <w:r w:rsidRPr="003F7446">
        <w:rPr>
          <w:b/>
          <w:bCs/>
          <w:color w:val="auto"/>
          <w:sz w:val="22"/>
          <w:szCs w:val="22"/>
          <w:lang w:val="lt-LT"/>
        </w:rPr>
        <w:t>6.4</w:t>
      </w:r>
      <w:r w:rsidRPr="003F7446">
        <w:rPr>
          <w:b/>
          <w:bCs/>
          <w:color w:val="auto"/>
          <w:sz w:val="22"/>
          <w:szCs w:val="22"/>
          <w:lang w:val="lt-LT"/>
        </w:rPr>
        <w:tab/>
        <w:t xml:space="preserve">Specialios laikymo sąlygos </w:t>
      </w:r>
    </w:p>
    <w:p w14:paraId="779DC522" w14:textId="77777777" w:rsidR="0052287E" w:rsidRPr="003F7446" w:rsidRDefault="0052287E" w:rsidP="0052287E">
      <w:pPr>
        <w:pStyle w:val="Default"/>
        <w:rPr>
          <w:color w:val="auto"/>
          <w:sz w:val="22"/>
          <w:szCs w:val="22"/>
          <w:lang w:val="lt-LT"/>
        </w:rPr>
      </w:pPr>
    </w:p>
    <w:p w14:paraId="7AA0AF8B"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Šiam vaistiniam preparatui specialių </w:t>
      </w:r>
      <w:proofErr w:type="spellStart"/>
      <w:r w:rsidRPr="003F7446">
        <w:rPr>
          <w:color w:val="auto"/>
          <w:sz w:val="22"/>
          <w:szCs w:val="22"/>
          <w:lang w:val="lt-LT"/>
        </w:rPr>
        <w:t>temperatūrinių</w:t>
      </w:r>
      <w:proofErr w:type="spellEnd"/>
      <w:r w:rsidRPr="003F7446">
        <w:rPr>
          <w:color w:val="auto"/>
          <w:sz w:val="22"/>
          <w:szCs w:val="22"/>
          <w:lang w:val="lt-LT"/>
        </w:rPr>
        <w:t xml:space="preserve"> laikymo sąlygų nereikia. Laikyti gamintojo pakuotėje, kad preparatas būtų apsaugotas nuo šviesos.</w:t>
      </w:r>
    </w:p>
    <w:p w14:paraId="017B73FE" w14:textId="77777777" w:rsidR="0052287E" w:rsidRPr="003F7446" w:rsidRDefault="0052287E" w:rsidP="0052287E">
      <w:pPr>
        <w:pStyle w:val="Default"/>
        <w:ind w:left="560" w:hanging="560"/>
        <w:rPr>
          <w:b/>
          <w:bCs/>
          <w:color w:val="auto"/>
          <w:sz w:val="22"/>
          <w:szCs w:val="22"/>
          <w:lang w:val="lt-LT"/>
        </w:rPr>
      </w:pPr>
    </w:p>
    <w:p w14:paraId="781D7A90" w14:textId="77777777" w:rsidR="0052287E" w:rsidRPr="003F7446" w:rsidRDefault="0052287E" w:rsidP="0052287E">
      <w:pPr>
        <w:pStyle w:val="Default"/>
        <w:ind w:left="560" w:hanging="560"/>
        <w:rPr>
          <w:color w:val="auto"/>
          <w:sz w:val="22"/>
          <w:szCs w:val="22"/>
          <w:lang w:val="lt-LT"/>
        </w:rPr>
      </w:pPr>
      <w:r w:rsidRPr="003F7446">
        <w:rPr>
          <w:b/>
          <w:bCs/>
          <w:color w:val="auto"/>
          <w:sz w:val="22"/>
          <w:szCs w:val="22"/>
          <w:lang w:val="lt-LT"/>
        </w:rPr>
        <w:t>6.5</w:t>
      </w:r>
      <w:r w:rsidRPr="003F7446">
        <w:rPr>
          <w:b/>
          <w:bCs/>
          <w:color w:val="auto"/>
          <w:sz w:val="22"/>
          <w:szCs w:val="22"/>
          <w:lang w:val="lt-LT"/>
        </w:rPr>
        <w:tab/>
        <w:t xml:space="preserve">Pakuotė ir jos turinys </w:t>
      </w:r>
    </w:p>
    <w:p w14:paraId="1DF3D55C" w14:textId="77777777" w:rsidR="0052287E" w:rsidRPr="003F7446" w:rsidRDefault="0052287E" w:rsidP="0052287E">
      <w:pPr>
        <w:pStyle w:val="Default"/>
        <w:rPr>
          <w:color w:val="auto"/>
          <w:sz w:val="22"/>
          <w:szCs w:val="22"/>
          <w:lang w:val="lt-LT"/>
        </w:rPr>
      </w:pPr>
    </w:p>
    <w:p w14:paraId="2E4CF0C8" w14:textId="77777777" w:rsidR="0052287E" w:rsidRPr="003F7446" w:rsidRDefault="0052287E" w:rsidP="0052287E">
      <w:pPr>
        <w:rPr>
          <w:color w:val="000000"/>
          <w:szCs w:val="22"/>
        </w:rPr>
      </w:pPr>
      <w:r w:rsidRPr="003F7446">
        <w:rPr>
          <w:color w:val="000000"/>
          <w:szCs w:val="22"/>
        </w:rPr>
        <w:t>Dėžutėje yra 50 ar 150 plėvele dengtų tablečių (PVC/PA/aliuminio) šaltu būdu suformuotose lizdinėse plokštelėse.</w:t>
      </w:r>
    </w:p>
    <w:p w14:paraId="58BDF1A3" w14:textId="77777777" w:rsidR="0052287E" w:rsidRPr="003F7446" w:rsidRDefault="0052287E" w:rsidP="0052287E">
      <w:pPr>
        <w:rPr>
          <w:szCs w:val="22"/>
        </w:rPr>
      </w:pPr>
    </w:p>
    <w:p w14:paraId="09EBD0E9" w14:textId="77777777" w:rsidR="0052287E" w:rsidRPr="003F7446" w:rsidRDefault="0052287E" w:rsidP="0052287E">
      <w:pPr>
        <w:autoSpaceDE w:val="0"/>
        <w:rPr>
          <w:color w:val="000000"/>
          <w:szCs w:val="22"/>
        </w:rPr>
      </w:pPr>
      <w:r w:rsidRPr="003F7446">
        <w:rPr>
          <w:color w:val="000000"/>
          <w:szCs w:val="22"/>
        </w:rPr>
        <w:t>Gali būti tiekiamos ne visų dydžių pakuotės.</w:t>
      </w:r>
    </w:p>
    <w:p w14:paraId="36BA3431" w14:textId="77777777" w:rsidR="0052287E" w:rsidRPr="003F7446" w:rsidRDefault="0052287E" w:rsidP="0052287E">
      <w:pPr>
        <w:pStyle w:val="Default"/>
        <w:ind w:left="560" w:hanging="560"/>
        <w:rPr>
          <w:sz w:val="22"/>
          <w:szCs w:val="22"/>
          <w:lang w:val="lt-LT"/>
        </w:rPr>
      </w:pPr>
    </w:p>
    <w:p w14:paraId="20710276" w14:textId="77777777" w:rsidR="0052287E" w:rsidRPr="003F7446" w:rsidRDefault="0052287E" w:rsidP="0052287E">
      <w:pPr>
        <w:pStyle w:val="Default"/>
        <w:ind w:left="560" w:hanging="560"/>
        <w:rPr>
          <w:color w:val="auto"/>
          <w:sz w:val="22"/>
          <w:szCs w:val="22"/>
          <w:lang w:val="lt-LT"/>
        </w:rPr>
      </w:pPr>
      <w:r w:rsidRPr="003F7446">
        <w:rPr>
          <w:b/>
          <w:bCs/>
          <w:color w:val="auto"/>
          <w:sz w:val="22"/>
          <w:szCs w:val="22"/>
          <w:lang w:val="lt-LT"/>
        </w:rPr>
        <w:t>6.6</w:t>
      </w:r>
      <w:r w:rsidRPr="003F7446">
        <w:rPr>
          <w:b/>
          <w:bCs/>
          <w:color w:val="auto"/>
          <w:sz w:val="22"/>
          <w:szCs w:val="22"/>
          <w:lang w:val="lt-LT"/>
        </w:rPr>
        <w:tab/>
        <w:t xml:space="preserve">Specialūs reikalavimai atliekoms tvarkyti </w:t>
      </w:r>
    </w:p>
    <w:p w14:paraId="2A78275C" w14:textId="77777777" w:rsidR="0052287E" w:rsidRPr="003F7446" w:rsidRDefault="0052287E" w:rsidP="0052287E">
      <w:pPr>
        <w:pStyle w:val="Default"/>
        <w:rPr>
          <w:color w:val="auto"/>
          <w:sz w:val="22"/>
          <w:szCs w:val="22"/>
          <w:lang w:val="lt-LT"/>
        </w:rPr>
      </w:pPr>
    </w:p>
    <w:p w14:paraId="5E8ABAA1"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Kadangi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mofetilis</w:t>
      </w:r>
      <w:proofErr w:type="spellEnd"/>
      <w:r w:rsidRPr="003F7446">
        <w:rPr>
          <w:color w:val="auto"/>
          <w:sz w:val="22"/>
          <w:szCs w:val="22"/>
          <w:lang w:val="lt-LT"/>
        </w:rPr>
        <w:t xml:space="preserve"> pasižymi </w:t>
      </w:r>
      <w:proofErr w:type="spellStart"/>
      <w:r w:rsidRPr="003F7446">
        <w:rPr>
          <w:color w:val="auto"/>
          <w:sz w:val="22"/>
          <w:szCs w:val="22"/>
          <w:lang w:val="lt-LT"/>
        </w:rPr>
        <w:t>teratogeniniu</w:t>
      </w:r>
      <w:proofErr w:type="spellEnd"/>
      <w:r w:rsidRPr="003F7446">
        <w:rPr>
          <w:color w:val="auto"/>
          <w:sz w:val="22"/>
          <w:szCs w:val="22"/>
          <w:lang w:val="lt-LT"/>
        </w:rPr>
        <w:t xml:space="preserve"> poveikiu žiurkėms ir triušiams, </w:t>
      </w:r>
      <w:proofErr w:type="spellStart"/>
      <w:r w:rsidRPr="003F7446">
        <w:rPr>
          <w:color w:val="auto"/>
          <w:sz w:val="22"/>
          <w:szCs w:val="22"/>
          <w:lang w:val="lt-LT"/>
        </w:rPr>
        <w:t>Mycophenolate</w:t>
      </w:r>
      <w:proofErr w:type="spellEnd"/>
      <w:r w:rsidRPr="003F7446">
        <w:rPr>
          <w:color w:val="auto"/>
          <w:sz w:val="22"/>
          <w:szCs w:val="22"/>
          <w:lang w:val="lt-LT"/>
        </w:rPr>
        <w:t xml:space="preserve"> </w:t>
      </w:r>
      <w:proofErr w:type="spellStart"/>
      <w:r w:rsidRPr="003F7446">
        <w:rPr>
          <w:color w:val="auto"/>
          <w:sz w:val="22"/>
          <w:szCs w:val="22"/>
          <w:lang w:val="lt-LT"/>
        </w:rPr>
        <w:t>mofetil</w:t>
      </w:r>
      <w:proofErr w:type="spellEnd"/>
      <w:r w:rsidRPr="003F7446">
        <w:rPr>
          <w:color w:val="auto"/>
          <w:sz w:val="22"/>
          <w:szCs w:val="22"/>
          <w:lang w:val="lt-LT"/>
        </w:rPr>
        <w:t xml:space="preserve"> </w:t>
      </w:r>
      <w:proofErr w:type="spellStart"/>
      <w:r w:rsidRPr="003F7446">
        <w:rPr>
          <w:color w:val="auto"/>
          <w:sz w:val="22"/>
          <w:szCs w:val="22"/>
          <w:lang w:val="lt-LT"/>
        </w:rPr>
        <w:t>Ranbaxy</w:t>
      </w:r>
      <w:proofErr w:type="spellEnd"/>
      <w:r w:rsidRPr="003F7446">
        <w:rPr>
          <w:color w:val="auto"/>
          <w:sz w:val="22"/>
          <w:szCs w:val="22"/>
          <w:lang w:val="lt-LT"/>
        </w:rPr>
        <w:t xml:space="preserve"> plėvele dengtų tablečių negalima laužyti. </w:t>
      </w:r>
    </w:p>
    <w:p w14:paraId="0B2693E6"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Nesuvartotą </w:t>
      </w:r>
      <w:r w:rsidR="00E13352" w:rsidRPr="003F7446">
        <w:rPr>
          <w:color w:val="auto"/>
          <w:sz w:val="22"/>
          <w:szCs w:val="22"/>
          <w:lang w:val="lt-LT"/>
        </w:rPr>
        <w:t xml:space="preserve">vaistinį </w:t>
      </w:r>
      <w:r w:rsidRPr="003F7446">
        <w:rPr>
          <w:color w:val="auto"/>
          <w:sz w:val="22"/>
          <w:szCs w:val="22"/>
          <w:lang w:val="lt-LT"/>
        </w:rPr>
        <w:t>preparatą ar atliekas reikia tvarkyti laikantis vietinių reikalavimų.</w:t>
      </w:r>
    </w:p>
    <w:p w14:paraId="62049720" w14:textId="77777777" w:rsidR="0052287E" w:rsidRPr="003F7446" w:rsidRDefault="0052287E" w:rsidP="0052287E">
      <w:pPr>
        <w:pStyle w:val="Default"/>
        <w:rPr>
          <w:color w:val="auto"/>
          <w:sz w:val="22"/>
          <w:szCs w:val="22"/>
          <w:lang w:val="lt-LT"/>
        </w:rPr>
      </w:pPr>
    </w:p>
    <w:p w14:paraId="652685C8" w14:textId="77777777" w:rsidR="0052287E" w:rsidRPr="003F7446" w:rsidRDefault="0052287E" w:rsidP="0052287E">
      <w:pPr>
        <w:pStyle w:val="Default"/>
        <w:rPr>
          <w:color w:val="auto"/>
          <w:sz w:val="22"/>
          <w:szCs w:val="22"/>
          <w:lang w:val="lt-LT"/>
        </w:rPr>
      </w:pPr>
    </w:p>
    <w:p w14:paraId="11E73DB9" w14:textId="77777777" w:rsidR="0052287E" w:rsidRPr="003F7446" w:rsidRDefault="0052287E" w:rsidP="0052287E">
      <w:pPr>
        <w:pStyle w:val="Default"/>
        <w:tabs>
          <w:tab w:val="left" w:pos="567"/>
        </w:tabs>
        <w:rPr>
          <w:color w:val="auto"/>
          <w:sz w:val="22"/>
          <w:szCs w:val="22"/>
          <w:lang w:val="lt-LT"/>
        </w:rPr>
      </w:pPr>
      <w:r w:rsidRPr="003F7446">
        <w:rPr>
          <w:b/>
          <w:bCs/>
          <w:color w:val="auto"/>
          <w:sz w:val="22"/>
          <w:szCs w:val="22"/>
          <w:lang w:val="lt-LT"/>
        </w:rPr>
        <w:t>7.</w:t>
      </w:r>
      <w:r w:rsidRPr="003F7446">
        <w:rPr>
          <w:b/>
          <w:bCs/>
          <w:color w:val="auto"/>
          <w:sz w:val="22"/>
          <w:szCs w:val="22"/>
          <w:lang w:val="lt-LT"/>
        </w:rPr>
        <w:tab/>
        <w:t xml:space="preserve">RINKODAROS TEISĖS TURĖTOJAS </w:t>
      </w:r>
    </w:p>
    <w:p w14:paraId="6F37A38B" w14:textId="77777777" w:rsidR="0052287E" w:rsidRPr="003F7446" w:rsidRDefault="0052287E" w:rsidP="0052287E">
      <w:pPr>
        <w:pStyle w:val="Default"/>
        <w:ind w:left="560" w:hanging="560"/>
        <w:rPr>
          <w:color w:val="auto"/>
          <w:sz w:val="22"/>
          <w:szCs w:val="22"/>
          <w:lang w:val="lt-LT"/>
        </w:rPr>
      </w:pPr>
    </w:p>
    <w:p w14:paraId="4489F452" w14:textId="77777777" w:rsidR="0052287E" w:rsidRPr="003F7446" w:rsidRDefault="0052287E" w:rsidP="0052287E">
      <w:pPr>
        <w:autoSpaceDE w:val="0"/>
        <w:autoSpaceDN w:val="0"/>
        <w:adjustRightInd w:val="0"/>
        <w:rPr>
          <w:bCs/>
          <w:szCs w:val="22"/>
        </w:rPr>
      </w:pPr>
      <w:proofErr w:type="spellStart"/>
      <w:r w:rsidRPr="003F7446">
        <w:rPr>
          <w:bCs/>
          <w:szCs w:val="22"/>
        </w:rPr>
        <w:t>Ranbaxy</w:t>
      </w:r>
      <w:proofErr w:type="spellEnd"/>
      <w:r w:rsidRPr="003F7446">
        <w:rPr>
          <w:bCs/>
          <w:szCs w:val="22"/>
        </w:rPr>
        <w:t xml:space="preserve"> UK Ltd.</w:t>
      </w:r>
    </w:p>
    <w:p w14:paraId="7B6ECC1F" w14:textId="77777777" w:rsidR="0052287E" w:rsidRPr="003F7446" w:rsidRDefault="0052287E" w:rsidP="0052287E">
      <w:pPr>
        <w:autoSpaceDE w:val="0"/>
        <w:autoSpaceDN w:val="0"/>
        <w:adjustRightInd w:val="0"/>
        <w:ind w:left="1296" w:hanging="1296"/>
        <w:rPr>
          <w:bCs/>
          <w:szCs w:val="22"/>
        </w:rPr>
      </w:pPr>
      <w:proofErr w:type="spellStart"/>
      <w:r w:rsidRPr="003F7446">
        <w:rPr>
          <w:bCs/>
          <w:szCs w:val="22"/>
        </w:rPr>
        <w:t>Building</w:t>
      </w:r>
      <w:proofErr w:type="spellEnd"/>
      <w:r w:rsidRPr="003F7446">
        <w:rPr>
          <w:bCs/>
          <w:szCs w:val="22"/>
        </w:rPr>
        <w:t xml:space="preserve"> 4 </w:t>
      </w:r>
      <w:proofErr w:type="spellStart"/>
      <w:r w:rsidRPr="003F7446">
        <w:rPr>
          <w:bCs/>
          <w:szCs w:val="22"/>
        </w:rPr>
        <w:t>Chiswick</w:t>
      </w:r>
      <w:proofErr w:type="spellEnd"/>
      <w:r w:rsidRPr="003F7446">
        <w:rPr>
          <w:bCs/>
          <w:szCs w:val="22"/>
        </w:rPr>
        <w:t xml:space="preserve"> </w:t>
      </w:r>
      <w:proofErr w:type="spellStart"/>
      <w:r w:rsidRPr="003F7446">
        <w:rPr>
          <w:bCs/>
          <w:szCs w:val="22"/>
        </w:rPr>
        <w:t>Park</w:t>
      </w:r>
      <w:proofErr w:type="spellEnd"/>
      <w:r w:rsidRPr="003F7446">
        <w:rPr>
          <w:bCs/>
          <w:szCs w:val="22"/>
        </w:rPr>
        <w:t xml:space="preserve">, </w:t>
      </w:r>
    </w:p>
    <w:p w14:paraId="6499B566" w14:textId="77777777" w:rsidR="0052287E" w:rsidRPr="003F7446" w:rsidRDefault="0052287E" w:rsidP="0052287E">
      <w:pPr>
        <w:autoSpaceDE w:val="0"/>
        <w:autoSpaceDN w:val="0"/>
        <w:adjustRightInd w:val="0"/>
        <w:ind w:left="1296" w:hanging="1296"/>
        <w:rPr>
          <w:rFonts w:eastAsia="MS Mincho"/>
          <w:bCs/>
          <w:szCs w:val="22"/>
          <w:lang w:eastAsia="ja-JP"/>
        </w:rPr>
      </w:pPr>
      <w:r w:rsidRPr="003F7446">
        <w:rPr>
          <w:rFonts w:eastAsia="MS Mincho"/>
          <w:bCs/>
          <w:szCs w:val="22"/>
          <w:lang w:eastAsia="ja-JP"/>
        </w:rPr>
        <w:lastRenderedPageBreak/>
        <w:t xml:space="preserve">566 </w:t>
      </w:r>
      <w:proofErr w:type="spellStart"/>
      <w:r w:rsidRPr="003F7446">
        <w:rPr>
          <w:rFonts w:eastAsia="MS Mincho"/>
          <w:bCs/>
          <w:szCs w:val="22"/>
          <w:lang w:eastAsia="ja-JP"/>
        </w:rPr>
        <w:t>Chiswick</w:t>
      </w:r>
      <w:proofErr w:type="spellEnd"/>
      <w:r w:rsidRPr="003F7446">
        <w:rPr>
          <w:rFonts w:eastAsia="MS Mincho"/>
          <w:bCs/>
          <w:szCs w:val="22"/>
          <w:lang w:eastAsia="ja-JP"/>
        </w:rPr>
        <w:t xml:space="preserve"> </w:t>
      </w:r>
      <w:proofErr w:type="spellStart"/>
      <w:r w:rsidRPr="003F7446">
        <w:rPr>
          <w:rFonts w:eastAsia="MS Mincho"/>
          <w:bCs/>
          <w:szCs w:val="22"/>
          <w:lang w:eastAsia="ja-JP"/>
        </w:rPr>
        <w:t>High</w:t>
      </w:r>
      <w:proofErr w:type="spellEnd"/>
      <w:r w:rsidRPr="003F7446">
        <w:rPr>
          <w:rFonts w:eastAsia="MS Mincho"/>
          <w:bCs/>
          <w:szCs w:val="22"/>
          <w:lang w:eastAsia="ja-JP"/>
        </w:rPr>
        <w:t xml:space="preserve"> </w:t>
      </w:r>
      <w:proofErr w:type="spellStart"/>
      <w:r w:rsidRPr="003F7446">
        <w:rPr>
          <w:rFonts w:eastAsia="MS Mincho"/>
          <w:bCs/>
          <w:szCs w:val="22"/>
          <w:lang w:eastAsia="ja-JP"/>
        </w:rPr>
        <w:t>Road</w:t>
      </w:r>
      <w:proofErr w:type="spellEnd"/>
    </w:p>
    <w:p w14:paraId="77D0F8DF" w14:textId="77777777" w:rsidR="0052287E" w:rsidRPr="003F7446" w:rsidRDefault="0052287E" w:rsidP="0052287E">
      <w:pPr>
        <w:autoSpaceDE w:val="0"/>
        <w:autoSpaceDN w:val="0"/>
        <w:adjustRightInd w:val="0"/>
        <w:rPr>
          <w:bCs/>
          <w:szCs w:val="22"/>
        </w:rPr>
      </w:pPr>
      <w:proofErr w:type="spellStart"/>
      <w:r w:rsidRPr="003F7446">
        <w:rPr>
          <w:bCs/>
          <w:szCs w:val="22"/>
        </w:rPr>
        <w:t>London</w:t>
      </w:r>
      <w:proofErr w:type="spellEnd"/>
      <w:r w:rsidRPr="003F7446">
        <w:rPr>
          <w:bCs/>
          <w:szCs w:val="22"/>
        </w:rPr>
        <w:t xml:space="preserve"> W4 5YE</w:t>
      </w:r>
    </w:p>
    <w:p w14:paraId="26E875A7" w14:textId="77777777" w:rsidR="0052287E" w:rsidRPr="003F7446" w:rsidRDefault="0052287E" w:rsidP="0052287E">
      <w:pPr>
        <w:pStyle w:val="BTEMEASMCA"/>
        <w:rPr>
          <w:rFonts w:ascii="Times New Roman" w:hAnsi="Times New Roman" w:cs="Times New Roman"/>
        </w:rPr>
      </w:pPr>
      <w:r w:rsidRPr="003F7446">
        <w:rPr>
          <w:rFonts w:ascii="Times New Roman" w:hAnsi="Times New Roman" w:cs="Times New Roman"/>
        </w:rPr>
        <w:t>Jungtinė Karalystė</w:t>
      </w:r>
    </w:p>
    <w:p w14:paraId="3EF65E36" w14:textId="77777777" w:rsidR="0052287E" w:rsidRPr="003F7446" w:rsidRDefault="0052287E" w:rsidP="0052287E">
      <w:pPr>
        <w:pStyle w:val="Default"/>
        <w:ind w:left="560" w:hanging="560"/>
        <w:rPr>
          <w:b/>
          <w:bCs/>
          <w:color w:val="auto"/>
          <w:sz w:val="22"/>
          <w:szCs w:val="22"/>
          <w:lang w:val="lt-LT"/>
        </w:rPr>
      </w:pPr>
    </w:p>
    <w:p w14:paraId="0C890F98" w14:textId="77777777" w:rsidR="0052287E" w:rsidRPr="003F7446" w:rsidRDefault="0052287E" w:rsidP="0052287E">
      <w:pPr>
        <w:pStyle w:val="Default"/>
        <w:ind w:left="560" w:hanging="560"/>
        <w:rPr>
          <w:b/>
          <w:bCs/>
          <w:color w:val="auto"/>
          <w:sz w:val="22"/>
          <w:szCs w:val="22"/>
          <w:lang w:val="lt-LT"/>
        </w:rPr>
      </w:pPr>
    </w:p>
    <w:p w14:paraId="0127E2C2" w14:textId="77777777" w:rsidR="0052287E" w:rsidRPr="003F7446" w:rsidRDefault="0052287E" w:rsidP="0052287E">
      <w:pPr>
        <w:pStyle w:val="Default"/>
        <w:ind w:left="560" w:hanging="560"/>
        <w:rPr>
          <w:color w:val="auto"/>
          <w:sz w:val="22"/>
          <w:szCs w:val="22"/>
          <w:lang w:val="lt-LT"/>
        </w:rPr>
      </w:pPr>
      <w:r w:rsidRPr="003F7446">
        <w:rPr>
          <w:b/>
          <w:bCs/>
          <w:color w:val="auto"/>
          <w:sz w:val="22"/>
          <w:szCs w:val="22"/>
          <w:lang w:val="lt-LT"/>
        </w:rPr>
        <w:t>8.</w:t>
      </w:r>
      <w:r w:rsidRPr="003F7446">
        <w:rPr>
          <w:b/>
          <w:bCs/>
          <w:color w:val="auto"/>
          <w:sz w:val="22"/>
          <w:szCs w:val="22"/>
          <w:lang w:val="lt-LT"/>
        </w:rPr>
        <w:tab/>
        <w:t xml:space="preserve">RINKODAROS TEISĖS NUMERIAI </w:t>
      </w:r>
    </w:p>
    <w:p w14:paraId="7232EA37" w14:textId="77777777" w:rsidR="0052287E" w:rsidRPr="003F7446" w:rsidRDefault="0052287E" w:rsidP="0052287E">
      <w:pPr>
        <w:pStyle w:val="Default"/>
        <w:ind w:left="560" w:hanging="560"/>
        <w:rPr>
          <w:color w:val="auto"/>
          <w:sz w:val="22"/>
          <w:szCs w:val="22"/>
          <w:lang w:val="lt-LT"/>
        </w:rPr>
      </w:pPr>
    </w:p>
    <w:p w14:paraId="26503399" w14:textId="77777777" w:rsidR="0052287E" w:rsidRPr="003F7446" w:rsidRDefault="0052287E" w:rsidP="0052287E">
      <w:pPr>
        <w:pStyle w:val="BTEMEASMCA"/>
        <w:rPr>
          <w:rFonts w:ascii="Times New Roman" w:hAnsi="Times New Roman" w:cs="Times New Roman"/>
          <w:lang w:val="lt-LT"/>
        </w:rPr>
      </w:pPr>
      <w:r w:rsidRPr="003F7446">
        <w:rPr>
          <w:rFonts w:ascii="Times New Roman" w:hAnsi="Times New Roman" w:cs="Times New Roman"/>
        </w:rPr>
        <w:t>N50 – LT/1/11/2503/001</w:t>
      </w:r>
    </w:p>
    <w:p w14:paraId="6DD83E16" w14:textId="77777777" w:rsidR="0052287E" w:rsidRPr="003F7446" w:rsidRDefault="0052287E" w:rsidP="0052287E">
      <w:pPr>
        <w:pStyle w:val="BTEMEASMCA"/>
        <w:rPr>
          <w:rFonts w:ascii="Times New Roman" w:hAnsi="Times New Roman" w:cs="Times New Roman"/>
        </w:rPr>
      </w:pPr>
      <w:r w:rsidRPr="003F7446">
        <w:rPr>
          <w:rFonts w:ascii="Times New Roman" w:hAnsi="Times New Roman" w:cs="Times New Roman"/>
        </w:rPr>
        <w:t>N150 – LT/1/11/2503/002</w:t>
      </w:r>
    </w:p>
    <w:p w14:paraId="1BD2B31A" w14:textId="77777777" w:rsidR="0052287E" w:rsidRPr="003F7446" w:rsidRDefault="0052287E" w:rsidP="0052287E">
      <w:pPr>
        <w:pStyle w:val="Default"/>
        <w:ind w:left="560" w:hanging="560"/>
        <w:rPr>
          <w:bCs/>
          <w:color w:val="auto"/>
          <w:sz w:val="22"/>
          <w:szCs w:val="22"/>
          <w:lang w:val="lt-LT"/>
        </w:rPr>
      </w:pPr>
    </w:p>
    <w:p w14:paraId="7D2DAF81" w14:textId="77777777" w:rsidR="0052287E" w:rsidRPr="003F7446" w:rsidRDefault="0052287E" w:rsidP="0052287E">
      <w:pPr>
        <w:pStyle w:val="Default"/>
        <w:ind w:left="560" w:hanging="560"/>
        <w:rPr>
          <w:b/>
          <w:bCs/>
          <w:color w:val="auto"/>
          <w:sz w:val="22"/>
          <w:szCs w:val="22"/>
          <w:lang w:val="lt-LT"/>
        </w:rPr>
      </w:pPr>
    </w:p>
    <w:p w14:paraId="5CB2D781" w14:textId="77777777" w:rsidR="0052287E" w:rsidRPr="003F7446" w:rsidRDefault="0052287E" w:rsidP="0052287E">
      <w:pPr>
        <w:pStyle w:val="Default"/>
        <w:ind w:left="560" w:hanging="560"/>
        <w:rPr>
          <w:color w:val="auto"/>
          <w:sz w:val="22"/>
          <w:szCs w:val="22"/>
          <w:lang w:val="lt-LT"/>
        </w:rPr>
      </w:pPr>
      <w:r w:rsidRPr="003F7446">
        <w:rPr>
          <w:b/>
          <w:bCs/>
          <w:color w:val="auto"/>
          <w:sz w:val="22"/>
          <w:szCs w:val="22"/>
          <w:lang w:val="lt-LT"/>
        </w:rPr>
        <w:t>9.</w:t>
      </w:r>
      <w:r w:rsidRPr="003F7446">
        <w:rPr>
          <w:b/>
          <w:bCs/>
          <w:color w:val="auto"/>
          <w:sz w:val="22"/>
          <w:szCs w:val="22"/>
          <w:lang w:val="lt-LT"/>
        </w:rPr>
        <w:tab/>
        <w:t xml:space="preserve">RINKODAROS TEISĖS SUTEIKIMO/ATNAUJINIMO DATA </w:t>
      </w:r>
    </w:p>
    <w:p w14:paraId="54026294" w14:textId="77777777" w:rsidR="0052287E" w:rsidRPr="003F7446" w:rsidRDefault="0052287E" w:rsidP="0052287E">
      <w:pPr>
        <w:pStyle w:val="Default"/>
        <w:rPr>
          <w:color w:val="auto"/>
          <w:sz w:val="22"/>
          <w:szCs w:val="22"/>
          <w:lang w:val="lt-LT"/>
        </w:rPr>
      </w:pPr>
    </w:p>
    <w:p w14:paraId="7A8CA51F" w14:textId="77777777" w:rsidR="0052287E" w:rsidRPr="003F7446" w:rsidRDefault="0052287E" w:rsidP="0052287E">
      <w:pPr>
        <w:pStyle w:val="Default"/>
        <w:ind w:left="560" w:hanging="560"/>
        <w:rPr>
          <w:bCs/>
          <w:color w:val="auto"/>
          <w:sz w:val="22"/>
          <w:szCs w:val="22"/>
          <w:lang w:val="lt-LT"/>
        </w:rPr>
      </w:pPr>
      <w:r w:rsidRPr="003F7446">
        <w:rPr>
          <w:bCs/>
          <w:color w:val="auto"/>
          <w:sz w:val="22"/>
          <w:szCs w:val="22"/>
          <w:lang w:val="lt-LT"/>
        </w:rPr>
        <w:t>2011-06-06</w:t>
      </w:r>
    </w:p>
    <w:p w14:paraId="00A7A2E8" w14:textId="77777777" w:rsidR="0052287E" w:rsidRPr="003F7446" w:rsidRDefault="0052287E" w:rsidP="0052287E">
      <w:pPr>
        <w:pStyle w:val="Default"/>
        <w:ind w:left="560" w:hanging="560"/>
        <w:rPr>
          <w:bCs/>
          <w:color w:val="auto"/>
          <w:sz w:val="22"/>
          <w:szCs w:val="22"/>
          <w:lang w:val="lt-LT"/>
        </w:rPr>
      </w:pPr>
    </w:p>
    <w:p w14:paraId="3A214F83" w14:textId="77777777" w:rsidR="0052287E" w:rsidRPr="003F7446" w:rsidRDefault="0052287E" w:rsidP="0052287E">
      <w:pPr>
        <w:pStyle w:val="Default"/>
        <w:ind w:left="560" w:hanging="560"/>
        <w:rPr>
          <w:b/>
          <w:bCs/>
          <w:color w:val="auto"/>
          <w:sz w:val="22"/>
          <w:szCs w:val="22"/>
          <w:lang w:val="lt-LT"/>
        </w:rPr>
      </w:pPr>
    </w:p>
    <w:p w14:paraId="2AF41508" w14:textId="77777777" w:rsidR="0052287E" w:rsidRPr="003F7446" w:rsidRDefault="0052287E" w:rsidP="0052287E">
      <w:pPr>
        <w:pStyle w:val="Default"/>
        <w:ind w:left="560" w:hanging="560"/>
        <w:rPr>
          <w:color w:val="auto"/>
          <w:sz w:val="22"/>
          <w:szCs w:val="22"/>
          <w:lang w:val="lt-LT"/>
        </w:rPr>
      </w:pPr>
      <w:r w:rsidRPr="003F7446">
        <w:rPr>
          <w:b/>
          <w:bCs/>
          <w:color w:val="auto"/>
          <w:sz w:val="22"/>
          <w:szCs w:val="22"/>
          <w:lang w:val="lt-LT"/>
        </w:rPr>
        <w:t>10.</w:t>
      </w:r>
      <w:r w:rsidRPr="003F7446">
        <w:rPr>
          <w:b/>
          <w:bCs/>
          <w:color w:val="auto"/>
          <w:sz w:val="22"/>
          <w:szCs w:val="22"/>
          <w:lang w:val="lt-LT"/>
        </w:rPr>
        <w:tab/>
        <w:t xml:space="preserve">TEKSTO PERŽIŪROS DATA </w:t>
      </w:r>
    </w:p>
    <w:p w14:paraId="70D79AF0" w14:textId="77777777" w:rsidR="0052287E" w:rsidRPr="003F7446" w:rsidRDefault="0052287E" w:rsidP="0052287E">
      <w:pPr>
        <w:pStyle w:val="Default"/>
        <w:rPr>
          <w:color w:val="auto"/>
          <w:sz w:val="22"/>
          <w:szCs w:val="22"/>
          <w:lang w:val="lt-LT"/>
        </w:rPr>
      </w:pPr>
    </w:p>
    <w:p w14:paraId="1A5FCA86" w14:textId="2F213F5F" w:rsidR="0052287E" w:rsidRPr="003F7446" w:rsidRDefault="006B535C" w:rsidP="0052287E">
      <w:pPr>
        <w:pStyle w:val="Default"/>
        <w:rPr>
          <w:color w:val="auto"/>
          <w:sz w:val="22"/>
          <w:szCs w:val="22"/>
          <w:lang w:val="lt-LT"/>
        </w:rPr>
      </w:pPr>
      <w:r w:rsidRPr="003F7446">
        <w:rPr>
          <w:b/>
          <w:color w:val="auto"/>
          <w:sz w:val="22"/>
          <w:szCs w:val="22"/>
          <w:lang w:val="lt-LT"/>
        </w:rPr>
        <w:t>2015-01-19</w:t>
      </w:r>
    </w:p>
    <w:p w14:paraId="67E9285B" w14:textId="77777777" w:rsidR="0052287E" w:rsidRPr="003F7446" w:rsidRDefault="0052287E" w:rsidP="0052287E">
      <w:pPr>
        <w:pStyle w:val="Default"/>
        <w:rPr>
          <w:color w:val="auto"/>
          <w:sz w:val="22"/>
          <w:szCs w:val="22"/>
          <w:lang w:val="lt-LT"/>
        </w:rPr>
      </w:pPr>
    </w:p>
    <w:p w14:paraId="727A5A9C" w14:textId="77777777" w:rsidR="008912E3" w:rsidRPr="003F7446" w:rsidRDefault="008912E3" w:rsidP="008912E3">
      <w:pPr>
        <w:pStyle w:val="Default"/>
        <w:rPr>
          <w:sz w:val="22"/>
          <w:szCs w:val="22"/>
          <w:lang w:val="lt-LT"/>
        </w:rPr>
      </w:pPr>
      <w:bookmarkStart w:id="0" w:name="OLE_LINK2"/>
      <w:bookmarkStart w:id="1" w:name="OLE_LINK1"/>
      <w:r w:rsidRPr="003F7446">
        <w:rPr>
          <w:sz w:val="22"/>
          <w:szCs w:val="22"/>
          <w:lang w:val="lt-LT"/>
        </w:rPr>
        <w:t>Išsami informacija apie šį vaistinį preparatą pateikiama Valstybinės vaistų kontrolės tarnybos prie Lietuvos Respublikos  sveikatos apsaugos ministerijos tinklalapyje</w:t>
      </w:r>
      <w:r w:rsidRPr="003F7446">
        <w:rPr>
          <w:i/>
          <w:sz w:val="22"/>
          <w:szCs w:val="22"/>
          <w:lang w:val="lt-LT"/>
        </w:rPr>
        <w:t xml:space="preserve"> </w:t>
      </w:r>
      <w:hyperlink r:id="rId10" w:history="1">
        <w:r w:rsidRPr="003F7446">
          <w:rPr>
            <w:rStyle w:val="Hipersaitas"/>
            <w:sz w:val="22"/>
            <w:szCs w:val="22"/>
            <w:lang w:val="lt-LT"/>
          </w:rPr>
          <w:t>http://www.vvkt.lt</w:t>
        </w:r>
      </w:hyperlink>
    </w:p>
    <w:bookmarkEnd w:id="0"/>
    <w:bookmarkEnd w:id="1"/>
    <w:p w14:paraId="754440E7" w14:textId="77777777" w:rsidR="0052287E" w:rsidRPr="003F7446" w:rsidRDefault="0052287E" w:rsidP="0052287E">
      <w:pPr>
        <w:pStyle w:val="Default"/>
        <w:rPr>
          <w:color w:val="0000FF"/>
          <w:sz w:val="22"/>
          <w:szCs w:val="22"/>
          <w:lang w:val="lt-LT"/>
        </w:rPr>
      </w:pPr>
    </w:p>
    <w:p w14:paraId="567AC997" w14:textId="77777777" w:rsidR="0052287E" w:rsidRPr="003F7446" w:rsidRDefault="0052287E" w:rsidP="0052287E">
      <w:pPr>
        <w:pStyle w:val="Default"/>
        <w:rPr>
          <w:color w:val="0000FF"/>
          <w:sz w:val="22"/>
          <w:szCs w:val="22"/>
          <w:lang w:val="lt-LT"/>
        </w:rPr>
      </w:pPr>
      <w:r w:rsidRPr="003F7446">
        <w:rPr>
          <w:color w:val="0000FF"/>
          <w:sz w:val="22"/>
          <w:szCs w:val="22"/>
          <w:lang w:val="lt-LT"/>
        </w:rPr>
        <w:br w:type="page"/>
      </w:r>
    </w:p>
    <w:p w14:paraId="3F948072" w14:textId="77777777" w:rsidR="0052287E" w:rsidRPr="003F7446" w:rsidRDefault="0052287E" w:rsidP="0052287E">
      <w:pPr>
        <w:pStyle w:val="TTEMEASMCA"/>
        <w:rPr>
          <w:rFonts w:ascii="Times New Roman" w:hAnsi="Times New Roman" w:cs="Times New Roman"/>
          <w:lang w:val="lt-LT"/>
        </w:rPr>
      </w:pPr>
      <w:bookmarkStart w:id="2" w:name="_Toc129243253"/>
      <w:bookmarkStart w:id="3" w:name="_Toc129243128"/>
    </w:p>
    <w:p w14:paraId="3F10600B" w14:textId="77777777" w:rsidR="0052287E" w:rsidRPr="003F7446" w:rsidRDefault="0052287E" w:rsidP="0052287E">
      <w:pPr>
        <w:pStyle w:val="TTEMEASMCA"/>
        <w:rPr>
          <w:rFonts w:ascii="Times New Roman" w:hAnsi="Times New Roman" w:cs="Times New Roman"/>
          <w:lang w:val="lt-LT"/>
        </w:rPr>
      </w:pPr>
    </w:p>
    <w:p w14:paraId="72415C89" w14:textId="77777777" w:rsidR="0052287E" w:rsidRPr="003F7446" w:rsidRDefault="0052287E" w:rsidP="0052287E">
      <w:pPr>
        <w:pStyle w:val="TTEMEASMCA"/>
        <w:rPr>
          <w:rFonts w:ascii="Times New Roman" w:hAnsi="Times New Roman" w:cs="Times New Roman"/>
          <w:lang w:val="lt-LT"/>
        </w:rPr>
      </w:pPr>
    </w:p>
    <w:p w14:paraId="5087EC1B" w14:textId="77777777" w:rsidR="0052287E" w:rsidRPr="003F7446" w:rsidRDefault="0052287E" w:rsidP="0052287E">
      <w:pPr>
        <w:pStyle w:val="TTEMEASMCA"/>
        <w:rPr>
          <w:rFonts w:ascii="Times New Roman" w:hAnsi="Times New Roman" w:cs="Times New Roman"/>
          <w:lang w:val="lt-LT"/>
        </w:rPr>
      </w:pPr>
    </w:p>
    <w:p w14:paraId="097996DD" w14:textId="77777777" w:rsidR="0052287E" w:rsidRPr="003F7446" w:rsidRDefault="0052287E" w:rsidP="0052287E">
      <w:pPr>
        <w:pStyle w:val="TTEMEASMCA"/>
        <w:rPr>
          <w:rFonts w:ascii="Times New Roman" w:hAnsi="Times New Roman" w:cs="Times New Roman"/>
          <w:lang w:val="lt-LT"/>
        </w:rPr>
      </w:pPr>
    </w:p>
    <w:p w14:paraId="189D419A" w14:textId="77777777" w:rsidR="0052287E" w:rsidRPr="003F7446" w:rsidRDefault="0052287E" w:rsidP="0052287E">
      <w:pPr>
        <w:pStyle w:val="TTEMEASMCA"/>
        <w:rPr>
          <w:rFonts w:ascii="Times New Roman" w:hAnsi="Times New Roman" w:cs="Times New Roman"/>
          <w:lang w:val="lt-LT"/>
        </w:rPr>
      </w:pPr>
    </w:p>
    <w:p w14:paraId="63EA75F4" w14:textId="77777777" w:rsidR="0052287E" w:rsidRPr="003F7446" w:rsidRDefault="0052287E" w:rsidP="0052287E">
      <w:pPr>
        <w:pStyle w:val="TTEMEASMCA"/>
        <w:rPr>
          <w:rFonts w:ascii="Times New Roman" w:hAnsi="Times New Roman" w:cs="Times New Roman"/>
          <w:lang w:val="lt-LT"/>
        </w:rPr>
      </w:pPr>
    </w:p>
    <w:p w14:paraId="34BBF6A5" w14:textId="77777777" w:rsidR="0052287E" w:rsidRPr="003F7446" w:rsidRDefault="0052287E" w:rsidP="0052287E">
      <w:pPr>
        <w:pStyle w:val="TTEMEASMCA"/>
        <w:rPr>
          <w:rFonts w:ascii="Times New Roman" w:hAnsi="Times New Roman" w:cs="Times New Roman"/>
          <w:lang w:val="lt-LT"/>
        </w:rPr>
      </w:pPr>
    </w:p>
    <w:p w14:paraId="29F1EC16" w14:textId="77777777" w:rsidR="0052287E" w:rsidRPr="003F7446" w:rsidRDefault="0052287E" w:rsidP="0052287E">
      <w:pPr>
        <w:pStyle w:val="TTEMEASMCA"/>
        <w:rPr>
          <w:rFonts w:ascii="Times New Roman" w:hAnsi="Times New Roman" w:cs="Times New Roman"/>
          <w:lang w:val="lt-LT"/>
        </w:rPr>
      </w:pPr>
    </w:p>
    <w:p w14:paraId="40FAE128" w14:textId="77777777" w:rsidR="0052287E" w:rsidRPr="003F7446" w:rsidRDefault="0052287E" w:rsidP="0052287E">
      <w:pPr>
        <w:pStyle w:val="TTEMEASMCA"/>
        <w:rPr>
          <w:rFonts w:ascii="Times New Roman" w:hAnsi="Times New Roman" w:cs="Times New Roman"/>
          <w:lang w:val="lt-LT"/>
        </w:rPr>
      </w:pPr>
    </w:p>
    <w:p w14:paraId="739C9B36" w14:textId="77777777" w:rsidR="0052287E" w:rsidRPr="003F7446" w:rsidRDefault="0052287E" w:rsidP="0052287E">
      <w:pPr>
        <w:pStyle w:val="TTEMEASMCA"/>
        <w:rPr>
          <w:rFonts w:ascii="Times New Roman" w:hAnsi="Times New Roman" w:cs="Times New Roman"/>
          <w:lang w:val="lt-LT"/>
        </w:rPr>
      </w:pPr>
    </w:p>
    <w:p w14:paraId="59FB6518" w14:textId="77777777" w:rsidR="0052287E" w:rsidRPr="003F7446" w:rsidRDefault="0052287E" w:rsidP="0052287E">
      <w:pPr>
        <w:pStyle w:val="TTEMEASMCA"/>
        <w:rPr>
          <w:rFonts w:ascii="Times New Roman" w:hAnsi="Times New Roman" w:cs="Times New Roman"/>
          <w:lang w:val="lt-LT"/>
        </w:rPr>
      </w:pPr>
    </w:p>
    <w:p w14:paraId="1C623AF0" w14:textId="77777777" w:rsidR="0052287E" w:rsidRPr="003F7446" w:rsidRDefault="0052287E" w:rsidP="0052287E">
      <w:pPr>
        <w:pStyle w:val="TTEMEASMCA"/>
        <w:rPr>
          <w:rFonts w:ascii="Times New Roman" w:hAnsi="Times New Roman" w:cs="Times New Roman"/>
          <w:lang w:val="lt-LT"/>
        </w:rPr>
      </w:pPr>
    </w:p>
    <w:p w14:paraId="7F7BCE45" w14:textId="77777777" w:rsidR="0052287E" w:rsidRPr="003F7446" w:rsidRDefault="0052287E" w:rsidP="0052287E">
      <w:pPr>
        <w:pStyle w:val="TTEMEASMCA"/>
        <w:rPr>
          <w:rFonts w:ascii="Times New Roman" w:hAnsi="Times New Roman" w:cs="Times New Roman"/>
          <w:lang w:val="lt-LT"/>
        </w:rPr>
      </w:pPr>
    </w:p>
    <w:p w14:paraId="4BA5190A" w14:textId="77777777" w:rsidR="0052287E" w:rsidRPr="003F7446" w:rsidRDefault="0052287E" w:rsidP="0052287E">
      <w:pPr>
        <w:pStyle w:val="TTEMEASMCA"/>
        <w:rPr>
          <w:rFonts w:ascii="Times New Roman" w:hAnsi="Times New Roman" w:cs="Times New Roman"/>
          <w:lang w:val="lt-LT"/>
        </w:rPr>
      </w:pPr>
    </w:p>
    <w:p w14:paraId="17BE64BC" w14:textId="77777777" w:rsidR="0052287E" w:rsidRPr="003F7446" w:rsidRDefault="0052287E" w:rsidP="0052287E">
      <w:pPr>
        <w:pStyle w:val="TTEMEASMCA"/>
        <w:rPr>
          <w:rFonts w:ascii="Times New Roman" w:hAnsi="Times New Roman" w:cs="Times New Roman"/>
          <w:lang w:val="lt-LT"/>
        </w:rPr>
      </w:pPr>
    </w:p>
    <w:p w14:paraId="7E2B3A70" w14:textId="77777777" w:rsidR="0052287E" w:rsidRPr="003F7446" w:rsidRDefault="0052287E" w:rsidP="0052287E">
      <w:pPr>
        <w:pStyle w:val="TTEMEASMCA"/>
        <w:rPr>
          <w:rFonts w:ascii="Times New Roman" w:hAnsi="Times New Roman" w:cs="Times New Roman"/>
          <w:lang w:val="lt-LT"/>
        </w:rPr>
      </w:pPr>
    </w:p>
    <w:p w14:paraId="5B6DD917" w14:textId="77777777" w:rsidR="0052287E" w:rsidRPr="003F7446" w:rsidRDefault="0052287E" w:rsidP="0052287E">
      <w:pPr>
        <w:pStyle w:val="TTEMEASMCA"/>
        <w:rPr>
          <w:rFonts w:ascii="Times New Roman" w:hAnsi="Times New Roman" w:cs="Times New Roman"/>
          <w:lang w:val="lt-LT"/>
        </w:rPr>
      </w:pPr>
    </w:p>
    <w:p w14:paraId="202E31AE" w14:textId="77777777" w:rsidR="0052287E" w:rsidRPr="003F7446" w:rsidRDefault="0052287E" w:rsidP="0052287E">
      <w:pPr>
        <w:pStyle w:val="TTEMEASMCA"/>
        <w:rPr>
          <w:rFonts w:ascii="Times New Roman" w:hAnsi="Times New Roman" w:cs="Times New Roman"/>
          <w:lang w:val="lt-LT"/>
        </w:rPr>
      </w:pPr>
    </w:p>
    <w:p w14:paraId="2734B063" w14:textId="77777777" w:rsidR="0052287E" w:rsidRPr="003F7446" w:rsidRDefault="0052287E" w:rsidP="0052287E">
      <w:pPr>
        <w:pStyle w:val="TTEMEASMCA"/>
        <w:rPr>
          <w:rFonts w:ascii="Times New Roman" w:hAnsi="Times New Roman" w:cs="Times New Roman"/>
          <w:lang w:val="lt-LT"/>
        </w:rPr>
      </w:pPr>
    </w:p>
    <w:p w14:paraId="2B5F8714" w14:textId="77777777" w:rsidR="0052287E" w:rsidRPr="003F7446" w:rsidRDefault="0052287E" w:rsidP="0052287E">
      <w:pPr>
        <w:pStyle w:val="TTEMEASMCA"/>
        <w:rPr>
          <w:rFonts w:ascii="Times New Roman" w:hAnsi="Times New Roman" w:cs="Times New Roman"/>
          <w:lang w:val="lt-LT"/>
        </w:rPr>
      </w:pPr>
    </w:p>
    <w:p w14:paraId="0ACDDE30" w14:textId="77777777" w:rsidR="0052287E" w:rsidRPr="003F7446" w:rsidRDefault="0052287E" w:rsidP="0052287E">
      <w:pPr>
        <w:pStyle w:val="TTEMEASMCA"/>
        <w:rPr>
          <w:rFonts w:ascii="Times New Roman" w:hAnsi="Times New Roman" w:cs="Times New Roman"/>
          <w:lang w:val="lt-LT"/>
        </w:rPr>
      </w:pPr>
    </w:p>
    <w:p w14:paraId="16D19BB3" w14:textId="77777777" w:rsidR="0052287E" w:rsidRPr="003F7446" w:rsidRDefault="0052287E" w:rsidP="0052287E">
      <w:pPr>
        <w:pStyle w:val="TTEMEASMCA"/>
        <w:rPr>
          <w:rFonts w:ascii="Times New Roman" w:hAnsi="Times New Roman" w:cs="Times New Roman"/>
          <w:lang w:val="lt-LT"/>
        </w:rPr>
      </w:pPr>
      <w:r w:rsidRPr="003F7446">
        <w:rPr>
          <w:rFonts w:ascii="Times New Roman" w:hAnsi="Times New Roman" w:cs="Times New Roman"/>
          <w:lang w:val="lt-LT"/>
        </w:rPr>
        <w:t>II PRIEDAS</w:t>
      </w:r>
      <w:bookmarkEnd w:id="2"/>
      <w:bookmarkEnd w:id="3"/>
    </w:p>
    <w:p w14:paraId="024EE7B7" w14:textId="77777777" w:rsidR="0052287E" w:rsidRPr="003F7446" w:rsidRDefault="0052287E" w:rsidP="0052287E">
      <w:pPr>
        <w:pStyle w:val="TTEMEASMCA"/>
        <w:rPr>
          <w:rFonts w:ascii="Times New Roman" w:hAnsi="Times New Roman" w:cs="Times New Roman"/>
          <w:lang w:val="lt-LT"/>
        </w:rPr>
      </w:pPr>
    </w:p>
    <w:p w14:paraId="281C081C" w14:textId="77777777" w:rsidR="0052287E" w:rsidRPr="003F7446" w:rsidRDefault="0052287E" w:rsidP="0052287E">
      <w:pPr>
        <w:pStyle w:val="TTEMEASMCA"/>
        <w:rPr>
          <w:rFonts w:ascii="Times New Roman" w:hAnsi="Times New Roman" w:cs="Times New Roman"/>
          <w:lang w:val="lt-LT"/>
        </w:rPr>
      </w:pPr>
      <w:r w:rsidRPr="003F7446">
        <w:rPr>
          <w:rFonts w:ascii="Times New Roman" w:hAnsi="Times New Roman" w:cs="Times New Roman"/>
          <w:lang w:val="lt-LT"/>
        </w:rPr>
        <w:t>RINKODAROS SĄLYGOS</w:t>
      </w:r>
    </w:p>
    <w:p w14:paraId="566FEF97" w14:textId="77777777" w:rsidR="0052287E" w:rsidRPr="003F7446" w:rsidRDefault="0052287E" w:rsidP="0052287E">
      <w:pPr>
        <w:pStyle w:val="BTEMEASMCA"/>
        <w:rPr>
          <w:rFonts w:ascii="Times New Roman" w:hAnsi="Times New Roman" w:cs="Times New Roman"/>
          <w:lang w:val="lt-LT"/>
        </w:rPr>
      </w:pPr>
    </w:p>
    <w:p w14:paraId="1F476766" w14:textId="77777777" w:rsidR="0052287E" w:rsidRPr="003F7446" w:rsidRDefault="0052287E" w:rsidP="0052287E">
      <w:pPr>
        <w:pStyle w:val="BTAnIIEMEASMCA"/>
        <w:rPr>
          <w:rFonts w:cs="Times New Roman"/>
          <w:highlight w:val="yellow"/>
          <w:lang w:val="lt-LT"/>
        </w:rPr>
      </w:pPr>
      <w:r w:rsidRPr="003F7446">
        <w:rPr>
          <w:rFonts w:cs="Times New Roman"/>
          <w:lang w:val="lt-LT"/>
        </w:rPr>
        <w:t>A.</w:t>
      </w:r>
      <w:r w:rsidRPr="003F7446">
        <w:rPr>
          <w:rFonts w:cs="Times New Roman"/>
          <w:lang w:val="lt-LT"/>
        </w:rPr>
        <w:tab/>
        <w:t>GAMYBOS LICENCIJOS TURĖTOJAS , ATSAKINGAS  UŽ SERIJŲ IŠLEIDIMĄ</w:t>
      </w:r>
    </w:p>
    <w:p w14:paraId="11566AFB" w14:textId="77777777" w:rsidR="0052287E" w:rsidRPr="003F7446" w:rsidRDefault="0052287E" w:rsidP="0052287E">
      <w:pPr>
        <w:pStyle w:val="BTEMEASMCA"/>
        <w:rPr>
          <w:rFonts w:ascii="Times New Roman" w:hAnsi="Times New Roman" w:cs="Times New Roman"/>
          <w:highlight w:val="yellow"/>
          <w:lang w:val="lt-LT"/>
        </w:rPr>
      </w:pPr>
    </w:p>
    <w:p w14:paraId="3B52D821" w14:textId="77777777" w:rsidR="0052287E" w:rsidRPr="003F7446" w:rsidRDefault="0052287E" w:rsidP="0052287E">
      <w:pPr>
        <w:pStyle w:val="BTAnIIEMEASMCA"/>
        <w:rPr>
          <w:rFonts w:cs="Times New Roman"/>
          <w:lang w:val="lt-LT"/>
        </w:rPr>
      </w:pPr>
      <w:r w:rsidRPr="003F7446">
        <w:rPr>
          <w:rFonts w:cs="Times New Roman"/>
          <w:lang w:val="lt-LT"/>
        </w:rPr>
        <w:t>B.</w:t>
      </w:r>
      <w:r w:rsidRPr="003F7446">
        <w:rPr>
          <w:rFonts w:cs="Times New Roman"/>
          <w:lang w:val="lt-LT"/>
        </w:rPr>
        <w:tab/>
        <w:t>RINKODAROS TEISĖS SĄLYGOS</w:t>
      </w:r>
    </w:p>
    <w:p w14:paraId="743A459F" w14:textId="77777777" w:rsidR="0052287E" w:rsidRPr="003F7446" w:rsidRDefault="0052287E" w:rsidP="0052287E">
      <w:pPr>
        <w:pStyle w:val="BTEMEASMCA"/>
        <w:rPr>
          <w:rFonts w:ascii="Times New Roman" w:hAnsi="Times New Roman" w:cs="Times New Roman"/>
          <w:highlight w:val="yellow"/>
          <w:lang w:val="lt-LT"/>
        </w:rPr>
      </w:pPr>
    </w:p>
    <w:p w14:paraId="7A8DEA95" w14:textId="77777777" w:rsidR="0052287E" w:rsidRPr="003F7446" w:rsidRDefault="0052287E" w:rsidP="0052287E">
      <w:pPr>
        <w:pStyle w:val="PI-1EMEASMCA"/>
      </w:pPr>
      <w:r w:rsidRPr="003F7446">
        <w:rPr>
          <w:b w:val="0"/>
        </w:rPr>
        <w:br w:type="page"/>
      </w:r>
      <w:r w:rsidRPr="003F7446">
        <w:lastRenderedPageBreak/>
        <w:t>A.</w:t>
      </w:r>
      <w:r w:rsidRPr="003F7446">
        <w:tab/>
        <w:t>GAMYBOS LICENCIJOS TURĖTOJAS, ATSAKINGAS UŽ SERIJŲ IŠLEIDIMĄ</w:t>
      </w:r>
    </w:p>
    <w:p w14:paraId="316D3FDB" w14:textId="77777777" w:rsidR="0052287E" w:rsidRPr="003F7446" w:rsidRDefault="0052287E" w:rsidP="0052287E">
      <w:pPr>
        <w:pStyle w:val="BTEMEASMCA"/>
        <w:rPr>
          <w:rFonts w:ascii="Times New Roman" w:hAnsi="Times New Roman" w:cs="Times New Roman"/>
          <w:noProof w:val="0"/>
          <w:highlight w:val="yellow"/>
          <w:lang w:val="lt-LT"/>
        </w:rPr>
      </w:pPr>
    </w:p>
    <w:p w14:paraId="4737736C" w14:textId="77777777" w:rsidR="0052287E" w:rsidRPr="003F7446" w:rsidRDefault="0052287E" w:rsidP="0052287E">
      <w:pPr>
        <w:pStyle w:val="BTuEMEASMCA"/>
        <w:rPr>
          <w:rFonts w:ascii="Times New Roman" w:hAnsi="Times New Roman" w:cs="Times New Roman"/>
          <w:lang w:val="lt-LT"/>
        </w:rPr>
      </w:pPr>
      <w:r w:rsidRPr="003F7446">
        <w:rPr>
          <w:rFonts w:ascii="Times New Roman" w:hAnsi="Times New Roman" w:cs="Times New Roman"/>
          <w:lang w:val="lt-LT"/>
        </w:rPr>
        <w:t>Gamintojo (-ų), atsakingo (-ų) už serijų išleidimą, pavadinimas (-ai) ir adresas (-ai)</w:t>
      </w:r>
    </w:p>
    <w:p w14:paraId="3553DF49" w14:textId="77777777" w:rsidR="0052287E" w:rsidRPr="003F7446" w:rsidRDefault="0052287E" w:rsidP="0052287E">
      <w:pPr>
        <w:pStyle w:val="BTEMEASMCA"/>
        <w:rPr>
          <w:rFonts w:ascii="Times New Roman" w:hAnsi="Times New Roman" w:cs="Times New Roman"/>
          <w:highlight w:val="yellow"/>
          <w:lang w:val="lt-LT"/>
        </w:rPr>
      </w:pPr>
    </w:p>
    <w:p w14:paraId="6DA9C052" w14:textId="77777777" w:rsidR="0052287E" w:rsidRPr="003F7446" w:rsidRDefault="0052287E" w:rsidP="0052287E">
      <w:pPr>
        <w:rPr>
          <w:szCs w:val="22"/>
        </w:rPr>
      </w:pPr>
      <w:proofErr w:type="spellStart"/>
      <w:r w:rsidRPr="003F7446">
        <w:rPr>
          <w:szCs w:val="22"/>
        </w:rPr>
        <w:t>Ranbaxy</w:t>
      </w:r>
      <w:proofErr w:type="spellEnd"/>
      <w:r w:rsidRPr="003F7446">
        <w:rPr>
          <w:szCs w:val="22"/>
        </w:rPr>
        <w:t xml:space="preserve"> </w:t>
      </w:r>
      <w:proofErr w:type="spellStart"/>
      <w:r w:rsidRPr="003F7446">
        <w:rPr>
          <w:szCs w:val="22"/>
        </w:rPr>
        <w:t>Ireland</w:t>
      </w:r>
      <w:proofErr w:type="spellEnd"/>
      <w:r w:rsidRPr="003F7446">
        <w:rPr>
          <w:szCs w:val="22"/>
        </w:rPr>
        <w:t xml:space="preserve"> </w:t>
      </w:r>
      <w:proofErr w:type="spellStart"/>
      <w:r w:rsidRPr="003F7446">
        <w:rPr>
          <w:szCs w:val="22"/>
        </w:rPr>
        <w:t>Limited</w:t>
      </w:r>
      <w:proofErr w:type="spellEnd"/>
    </w:p>
    <w:p w14:paraId="2443EA99" w14:textId="77777777" w:rsidR="0052287E" w:rsidRPr="003F7446" w:rsidRDefault="0052287E" w:rsidP="0052287E">
      <w:pPr>
        <w:rPr>
          <w:szCs w:val="22"/>
        </w:rPr>
      </w:pPr>
      <w:proofErr w:type="spellStart"/>
      <w:r w:rsidRPr="003F7446">
        <w:rPr>
          <w:szCs w:val="22"/>
        </w:rPr>
        <w:t>Spafield</w:t>
      </w:r>
      <w:proofErr w:type="spellEnd"/>
      <w:r w:rsidRPr="003F7446">
        <w:rPr>
          <w:szCs w:val="22"/>
        </w:rPr>
        <w:t xml:space="preserve">, </w:t>
      </w:r>
      <w:proofErr w:type="spellStart"/>
      <w:r w:rsidRPr="003F7446">
        <w:rPr>
          <w:szCs w:val="22"/>
        </w:rPr>
        <w:t>Cork</w:t>
      </w:r>
      <w:proofErr w:type="spellEnd"/>
      <w:r w:rsidRPr="003F7446">
        <w:rPr>
          <w:szCs w:val="22"/>
        </w:rPr>
        <w:t xml:space="preserve"> </w:t>
      </w:r>
      <w:proofErr w:type="spellStart"/>
      <w:r w:rsidRPr="003F7446">
        <w:rPr>
          <w:szCs w:val="22"/>
        </w:rPr>
        <w:t>Road</w:t>
      </w:r>
      <w:proofErr w:type="spellEnd"/>
    </w:p>
    <w:p w14:paraId="5C8BBD22" w14:textId="77777777" w:rsidR="0052287E" w:rsidRPr="003F7446" w:rsidRDefault="0052287E" w:rsidP="0052287E">
      <w:pPr>
        <w:rPr>
          <w:szCs w:val="22"/>
        </w:rPr>
      </w:pPr>
      <w:proofErr w:type="spellStart"/>
      <w:r w:rsidRPr="003F7446">
        <w:rPr>
          <w:szCs w:val="22"/>
        </w:rPr>
        <w:t>Cashel</w:t>
      </w:r>
      <w:proofErr w:type="spellEnd"/>
      <w:r w:rsidRPr="003F7446">
        <w:rPr>
          <w:szCs w:val="22"/>
        </w:rPr>
        <w:t xml:space="preserve">, </w:t>
      </w:r>
      <w:proofErr w:type="spellStart"/>
      <w:r w:rsidRPr="003F7446">
        <w:rPr>
          <w:szCs w:val="22"/>
        </w:rPr>
        <w:t>Co-Tipperary</w:t>
      </w:r>
      <w:proofErr w:type="spellEnd"/>
    </w:p>
    <w:p w14:paraId="77E39B1D" w14:textId="77777777" w:rsidR="0052287E" w:rsidRPr="003F7446" w:rsidRDefault="0052287E" w:rsidP="0052287E">
      <w:pPr>
        <w:rPr>
          <w:szCs w:val="22"/>
        </w:rPr>
      </w:pPr>
      <w:r w:rsidRPr="003F7446">
        <w:rPr>
          <w:szCs w:val="22"/>
        </w:rPr>
        <w:t>Airija</w:t>
      </w:r>
    </w:p>
    <w:p w14:paraId="71C29899" w14:textId="77777777" w:rsidR="0052287E" w:rsidRPr="003F7446" w:rsidRDefault="0052287E" w:rsidP="0052287E">
      <w:pPr>
        <w:rPr>
          <w:szCs w:val="22"/>
        </w:rPr>
      </w:pPr>
    </w:p>
    <w:p w14:paraId="51652988" w14:textId="77777777" w:rsidR="0052287E" w:rsidRPr="003F7446" w:rsidRDefault="0052287E" w:rsidP="0052287E">
      <w:pPr>
        <w:rPr>
          <w:szCs w:val="22"/>
        </w:rPr>
      </w:pPr>
      <w:r w:rsidRPr="003F7446">
        <w:rPr>
          <w:szCs w:val="22"/>
        </w:rPr>
        <w:t>arba</w:t>
      </w:r>
    </w:p>
    <w:p w14:paraId="30F71B4D" w14:textId="77777777" w:rsidR="0052287E" w:rsidRPr="003F7446" w:rsidRDefault="0052287E" w:rsidP="0052287E">
      <w:pPr>
        <w:rPr>
          <w:szCs w:val="22"/>
        </w:rPr>
      </w:pPr>
    </w:p>
    <w:p w14:paraId="12DF2B19" w14:textId="77777777" w:rsidR="0052287E" w:rsidRPr="003F7446" w:rsidRDefault="0052287E" w:rsidP="0052287E">
      <w:pPr>
        <w:rPr>
          <w:snapToGrid w:val="0"/>
          <w:color w:val="000000"/>
          <w:szCs w:val="22"/>
          <w:lang w:val="fr-FR"/>
        </w:rPr>
      </w:pPr>
      <w:r w:rsidRPr="003F7446">
        <w:rPr>
          <w:snapToGrid w:val="0"/>
          <w:color w:val="000000"/>
          <w:szCs w:val="22"/>
          <w:lang w:val="fr-FR"/>
        </w:rPr>
        <w:t>Ranbaxy Pharmacie Génériques</w:t>
      </w:r>
    </w:p>
    <w:p w14:paraId="1685148F" w14:textId="77777777" w:rsidR="0052287E" w:rsidRPr="003F7446" w:rsidRDefault="0052287E" w:rsidP="0052287E">
      <w:pPr>
        <w:rPr>
          <w:snapToGrid w:val="0"/>
          <w:color w:val="000000"/>
          <w:szCs w:val="22"/>
          <w:lang w:val="fr-FR"/>
        </w:rPr>
      </w:pPr>
      <w:r w:rsidRPr="003F7446">
        <w:rPr>
          <w:snapToGrid w:val="0"/>
          <w:color w:val="000000"/>
          <w:szCs w:val="22"/>
          <w:lang w:val="fr-FR"/>
        </w:rPr>
        <w:t>11-15 Quai de Dion Bouton</w:t>
      </w:r>
    </w:p>
    <w:p w14:paraId="0A726774" w14:textId="77777777" w:rsidR="0052287E" w:rsidRPr="003F7446" w:rsidRDefault="0052287E" w:rsidP="0052287E">
      <w:pPr>
        <w:rPr>
          <w:snapToGrid w:val="0"/>
          <w:color w:val="000000"/>
          <w:szCs w:val="22"/>
        </w:rPr>
      </w:pPr>
      <w:r w:rsidRPr="003F7446">
        <w:rPr>
          <w:snapToGrid w:val="0"/>
          <w:color w:val="000000"/>
          <w:szCs w:val="22"/>
        </w:rPr>
        <w:t xml:space="preserve">92800 </w:t>
      </w:r>
      <w:proofErr w:type="spellStart"/>
      <w:r w:rsidRPr="003F7446">
        <w:rPr>
          <w:snapToGrid w:val="0"/>
          <w:color w:val="000000"/>
          <w:szCs w:val="22"/>
        </w:rPr>
        <w:t>Puteaux</w:t>
      </w:r>
      <w:proofErr w:type="spellEnd"/>
    </w:p>
    <w:p w14:paraId="61F774C7" w14:textId="77777777" w:rsidR="0052287E" w:rsidRPr="003F7446" w:rsidRDefault="0052287E" w:rsidP="0052287E">
      <w:pPr>
        <w:rPr>
          <w:snapToGrid w:val="0"/>
          <w:color w:val="000000"/>
          <w:szCs w:val="22"/>
        </w:rPr>
      </w:pPr>
      <w:r w:rsidRPr="003F7446">
        <w:rPr>
          <w:snapToGrid w:val="0"/>
          <w:color w:val="000000"/>
          <w:szCs w:val="22"/>
        </w:rPr>
        <w:t>Prancūzija</w:t>
      </w:r>
    </w:p>
    <w:p w14:paraId="6D47D380" w14:textId="77777777" w:rsidR="0052287E" w:rsidRPr="003F7446" w:rsidRDefault="0052287E" w:rsidP="0052287E">
      <w:pPr>
        <w:rPr>
          <w:szCs w:val="22"/>
          <w:lang w:val="pt-PT"/>
        </w:rPr>
      </w:pPr>
    </w:p>
    <w:p w14:paraId="7789D433" w14:textId="77777777" w:rsidR="0052287E" w:rsidRPr="003F7446" w:rsidRDefault="0052287E" w:rsidP="0052287E">
      <w:pPr>
        <w:rPr>
          <w:szCs w:val="22"/>
        </w:rPr>
      </w:pPr>
      <w:r w:rsidRPr="003F7446">
        <w:rPr>
          <w:szCs w:val="22"/>
        </w:rPr>
        <w:t>arba</w:t>
      </w:r>
    </w:p>
    <w:p w14:paraId="7D9EAEB8" w14:textId="77777777" w:rsidR="0052287E" w:rsidRPr="003F7446" w:rsidRDefault="0052287E" w:rsidP="0052287E">
      <w:pPr>
        <w:rPr>
          <w:szCs w:val="22"/>
        </w:rPr>
      </w:pPr>
    </w:p>
    <w:p w14:paraId="4BA1D555" w14:textId="77777777" w:rsidR="0052287E" w:rsidRPr="003F7446" w:rsidRDefault="0052287E" w:rsidP="0052287E">
      <w:pPr>
        <w:rPr>
          <w:szCs w:val="22"/>
        </w:rPr>
      </w:pPr>
      <w:proofErr w:type="spellStart"/>
      <w:r w:rsidRPr="003F7446">
        <w:rPr>
          <w:szCs w:val="22"/>
        </w:rPr>
        <w:t>Terapia</w:t>
      </w:r>
      <w:proofErr w:type="spellEnd"/>
      <w:r w:rsidRPr="003F7446">
        <w:rPr>
          <w:szCs w:val="22"/>
        </w:rPr>
        <w:t xml:space="preserve"> S.A.</w:t>
      </w:r>
    </w:p>
    <w:p w14:paraId="1A820DE6" w14:textId="77777777" w:rsidR="0052287E" w:rsidRPr="003F7446" w:rsidRDefault="0052287E" w:rsidP="0052287E">
      <w:pPr>
        <w:rPr>
          <w:szCs w:val="22"/>
        </w:rPr>
      </w:pPr>
      <w:r w:rsidRPr="003F7446">
        <w:rPr>
          <w:szCs w:val="22"/>
        </w:rPr>
        <w:t xml:space="preserve">124 </w:t>
      </w:r>
      <w:proofErr w:type="spellStart"/>
      <w:r w:rsidRPr="003F7446">
        <w:rPr>
          <w:szCs w:val="22"/>
        </w:rPr>
        <w:t>Fabricii</w:t>
      </w:r>
      <w:proofErr w:type="spellEnd"/>
      <w:r w:rsidRPr="003F7446">
        <w:rPr>
          <w:szCs w:val="22"/>
        </w:rPr>
        <w:t xml:space="preserve"> </w:t>
      </w:r>
      <w:proofErr w:type="spellStart"/>
      <w:r w:rsidRPr="003F7446">
        <w:rPr>
          <w:szCs w:val="22"/>
        </w:rPr>
        <w:t>Street</w:t>
      </w:r>
      <w:proofErr w:type="spellEnd"/>
    </w:p>
    <w:p w14:paraId="0A5BF93D" w14:textId="77777777" w:rsidR="0052287E" w:rsidRPr="003F7446" w:rsidRDefault="0052287E" w:rsidP="0052287E">
      <w:pPr>
        <w:rPr>
          <w:szCs w:val="22"/>
        </w:rPr>
      </w:pPr>
      <w:proofErr w:type="spellStart"/>
      <w:r w:rsidRPr="003F7446">
        <w:rPr>
          <w:szCs w:val="22"/>
        </w:rPr>
        <w:t>Cluj</w:t>
      </w:r>
      <w:proofErr w:type="spellEnd"/>
      <w:r w:rsidRPr="003F7446">
        <w:rPr>
          <w:szCs w:val="22"/>
        </w:rPr>
        <w:t xml:space="preserve"> </w:t>
      </w:r>
      <w:proofErr w:type="spellStart"/>
      <w:r w:rsidRPr="003F7446">
        <w:rPr>
          <w:szCs w:val="22"/>
        </w:rPr>
        <w:t>Napoca</w:t>
      </w:r>
      <w:proofErr w:type="spellEnd"/>
    </w:p>
    <w:p w14:paraId="057553FC" w14:textId="77777777" w:rsidR="0052287E" w:rsidRPr="003F7446" w:rsidRDefault="0052287E" w:rsidP="0052287E">
      <w:pPr>
        <w:rPr>
          <w:szCs w:val="22"/>
        </w:rPr>
      </w:pPr>
      <w:r w:rsidRPr="003F7446">
        <w:rPr>
          <w:szCs w:val="22"/>
        </w:rPr>
        <w:t>Rumunija</w:t>
      </w:r>
    </w:p>
    <w:p w14:paraId="01238E38" w14:textId="77777777" w:rsidR="0052287E" w:rsidRPr="003F7446" w:rsidRDefault="0052287E" w:rsidP="0052287E">
      <w:pPr>
        <w:rPr>
          <w:szCs w:val="22"/>
        </w:rPr>
      </w:pPr>
    </w:p>
    <w:p w14:paraId="4C139924" w14:textId="77777777" w:rsidR="0052287E" w:rsidRPr="003F7446" w:rsidRDefault="0052287E" w:rsidP="0052287E">
      <w:pPr>
        <w:rPr>
          <w:szCs w:val="22"/>
        </w:rPr>
      </w:pPr>
      <w:r w:rsidRPr="003F7446">
        <w:rPr>
          <w:szCs w:val="22"/>
        </w:rPr>
        <w:t>arba</w:t>
      </w:r>
    </w:p>
    <w:p w14:paraId="26E6C6A8" w14:textId="77777777" w:rsidR="0052287E" w:rsidRPr="003F7446" w:rsidRDefault="0052287E" w:rsidP="0052287E">
      <w:pPr>
        <w:rPr>
          <w:szCs w:val="22"/>
        </w:rPr>
      </w:pPr>
    </w:p>
    <w:p w14:paraId="7E5FF265" w14:textId="77777777" w:rsidR="0052287E" w:rsidRPr="003F7446" w:rsidRDefault="0052287E" w:rsidP="0052287E">
      <w:pPr>
        <w:autoSpaceDE w:val="0"/>
        <w:autoSpaceDN w:val="0"/>
        <w:adjustRightInd w:val="0"/>
        <w:rPr>
          <w:szCs w:val="22"/>
          <w:lang w:eastAsia="fr-FR"/>
        </w:rPr>
      </w:pPr>
      <w:proofErr w:type="spellStart"/>
      <w:r w:rsidRPr="003F7446">
        <w:rPr>
          <w:szCs w:val="22"/>
          <w:lang w:eastAsia="fr-FR"/>
        </w:rPr>
        <w:t>Basics</w:t>
      </w:r>
      <w:proofErr w:type="spellEnd"/>
      <w:r w:rsidRPr="003F7446">
        <w:rPr>
          <w:szCs w:val="22"/>
          <w:lang w:eastAsia="fr-FR"/>
        </w:rPr>
        <w:t xml:space="preserve"> </w:t>
      </w:r>
      <w:proofErr w:type="spellStart"/>
      <w:r w:rsidRPr="003F7446">
        <w:rPr>
          <w:szCs w:val="22"/>
          <w:lang w:eastAsia="fr-FR"/>
        </w:rPr>
        <w:t>Gmbh</w:t>
      </w:r>
      <w:proofErr w:type="spellEnd"/>
    </w:p>
    <w:p w14:paraId="41E304F4" w14:textId="77777777" w:rsidR="0052287E" w:rsidRPr="003F7446" w:rsidRDefault="0052287E" w:rsidP="0052287E">
      <w:pPr>
        <w:autoSpaceDE w:val="0"/>
        <w:autoSpaceDN w:val="0"/>
        <w:adjustRightInd w:val="0"/>
        <w:rPr>
          <w:szCs w:val="22"/>
          <w:lang w:eastAsia="fr-FR"/>
        </w:rPr>
      </w:pPr>
      <w:proofErr w:type="spellStart"/>
      <w:r w:rsidRPr="003F7446">
        <w:rPr>
          <w:szCs w:val="22"/>
          <w:lang w:eastAsia="fr-FR"/>
        </w:rPr>
        <w:t>Hemmelrather</w:t>
      </w:r>
      <w:proofErr w:type="spellEnd"/>
      <w:r w:rsidRPr="003F7446">
        <w:rPr>
          <w:szCs w:val="22"/>
          <w:lang w:eastAsia="fr-FR"/>
        </w:rPr>
        <w:t xml:space="preserve"> </w:t>
      </w:r>
      <w:proofErr w:type="spellStart"/>
      <w:r w:rsidRPr="003F7446">
        <w:rPr>
          <w:szCs w:val="22"/>
          <w:lang w:eastAsia="fr-FR"/>
        </w:rPr>
        <w:t>Weg</w:t>
      </w:r>
      <w:proofErr w:type="spellEnd"/>
      <w:r w:rsidRPr="003F7446">
        <w:rPr>
          <w:szCs w:val="22"/>
          <w:lang w:eastAsia="fr-FR"/>
        </w:rPr>
        <w:t xml:space="preserve"> 201</w:t>
      </w:r>
    </w:p>
    <w:p w14:paraId="3D41CCA6" w14:textId="77777777" w:rsidR="0052287E" w:rsidRPr="003F7446" w:rsidRDefault="0052287E" w:rsidP="0052287E">
      <w:pPr>
        <w:autoSpaceDE w:val="0"/>
        <w:autoSpaceDN w:val="0"/>
        <w:adjustRightInd w:val="0"/>
        <w:rPr>
          <w:szCs w:val="22"/>
          <w:lang w:val="fr-FR" w:eastAsia="fr-FR"/>
        </w:rPr>
      </w:pPr>
      <w:r w:rsidRPr="003F7446">
        <w:rPr>
          <w:szCs w:val="22"/>
          <w:lang w:val="fr-FR" w:eastAsia="fr-FR"/>
        </w:rPr>
        <w:t>D-51377 Leverkusen</w:t>
      </w:r>
    </w:p>
    <w:p w14:paraId="2054C523" w14:textId="77777777" w:rsidR="0052287E" w:rsidRPr="003F7446" w:rsidRDefault="0052287E" w:rsidP="0052287E">
      <w:pPr>
        <w:autoSpaceDE w:val="0"/>
        <w:autoSpaceDN w:val="0"/>
        <w:adjustRightInd w:val="0"/>
        <w:rPr>
          <w:szCs w:val="22"/>
          <w:lang w:val="fr-FR" w:eastAsia="fr-FR"/>
        </w:rPr>
      </w:pPr>
      <w:r w:rsidRPr="003F7446">
        <w:rPr>
          <w:szCs w:val="22"/>
          <w:lang w:val="fr-FR" w:eastAsia="fr-FR"/>
        </w:rPr>
        <w:t>Vokietija</w:t>
      </w:r>
    </w:p>
    <w:p w14:paraId="6F1B9878" w14:textId="77777777" w:rsidR="0052287E" w:rsidRPr="003F7446" w:rsidRDefault="0052287E" w:rsidP="0052287E">
      <w:pPr>
        <w:rPr>
          <w:szCs w:val="22"/>
        </w:rPr>
      </w:pPr>
    </w:p>
    <w:p w14:paraId="10B51BBF" w14:textId="77777777" w:rsidR="0052287E" w:rsidRPr="003F7446" w:rsidRDefault="0052287E" w:rsidP="0052287E">
      <w:pPr>
        <w:pStyle w:val="BTEMEASMCA"/>
        <w:rPr>
          <w:rFonts w:ascii="Times New Roman" w:hAnsi="Times New Roman" w:cs="Times New Roman"/>
          <w:noProof w:val="0"/>
          <w:lang w:val="lt-LT"/>
        </w:rPr>
      </w:pPr>
      <w:r w:rsidRPr="003F7446">
        <w:rPr>
          <w:rFonts w:ascii="Times New Roman" w:hAnsi="Times New Roman" w:cs="Times New Roman"/>
          <w:noProof w:val="0"/>
          <w:lang w:val="lt-LT"/>
        </w:rPr>
        <w:t>Su pakuote pateikiamame lapelyje nurodomas gamintojo, atsakingo už konkrečios serijos išleidimą, pavadinimas ir adresas.</w:t>
      </w:r>
    </w:p>
    <w:p w14:paraId="0EF63473" w14:textId="77777777" w:rsidR="0052287E" w:rsidRPr="003F7446" w:rsidRDefault="0052287E" w:rsidP="0052287E">
      <w:pPr>
        <w:pStyle w:val="BTEMEASMCA"/>
        <w:rPr>
          <w:rFonts w:ascii="Times New Roman" w:hAnsi="Times New Roman" w:cs="Times New Roman"/>
          <w:noProof w:val="0"/>
          <w:highlight w:val="yellow"/>
          <w:lang w:val="lt-LT"/>
        </w:rPr>
      </w:pPr>
    </w:p>
    <w:p w14:paraId="1646CCE3" w14:textId="77777777" w:rsidR="0052287E" w:rsidRPr="003F7446" w:rsidRDefault="0052287E" w:rsidP="0052287E">
      <w:pPr>
        <w:pStyle w:val="BTEMEASMCA"/>
        <w:rPr>
          <w:rFonts w:ascii="Times New Roman" w:hAnsi="Times New Roman" w:cs="Times New Roman"/>
          <w:noProof w:val="0"/>
          <w:highlight w:val="yellow"/>
          <w:lang w:val="lt-LT"/>
        </w:rPr>
      </w:pPr>
    </w:p>
    <w:p w14:paraId="352EE147" w14:textId="77777777" w:rsidR="0052287E" w:rsidRPr="003F7446" w:rsidRDefault="0052287E" w:rsidP="0052287E">
      <w:pPr>
        <w:pStyle w:val="PI-1EMEASMCA"/>
      </w:pPr>
      <w:bookmarkStart w:id="4" w:name="_Toc129243254"/>
      <w:bookmarkStart w:id="5" w:name="_Toc129243129"/>
      <w:r w:rsidRPr="003F7446">
        <w:t>B.</w:t>
      </w:r>
      <w:r w:rsidRPr="003F7446">
        <w:tab/>
        <w:t>RINKODAROS TEISĖS SĄLYGOS</w:t>
      </w:r>
      <w:bookmarkEnd w:id="4"/>
      <w:bookmarkEnd w:id="5"/>
    </w:p>
    <w:p w14:paraId="62853F33" w14:textId="77777777" w:rsidR="0052287E" w:rsidRPr="003F7446" w:rsidRDefault="0052287E" w:rsidP="0052287E">
      <w:pPr>
        <w:pStyle w:val="BTEMEASMCA"/>
        <w:rPr>
          <w:rFonts w:ascii="Times New Roman" w:hAnsi="Times New Roman" w:cs="Times New Roman"/>
          <w:noProof w:val="0"/>
          <w:lang w:val="lt-LT"/>
        </w:rPr>
      </w:pPr>
    </w:p>
    <w:p w14:paraId="2CD682A3" w14:textId="77777777" w:rsidR="0052287E" w:rsidRPr="003F7446" w:rsidRDefault="0052287E" w:rsidP="0052287E">
      <w:pPr>
        <w:pStyle w:val="PI-2EMEASMCA"/>
      </w:pPr>
      <w:bookmarkStart w:id="6" w:name="_Toc129243255"/>
      <w:bookmarkStart w:id="7" w:name="_Toc129243130"/>
      <w:r w:rsidRPr="003F7446">
        <w:t>•</w:t>
      </w:r>
      <w:r w:rsidRPr="003F7446">
        <w:tab/>
        <w:t>TIEKIMO IR VARTOJIMO SĄLYGOS AR APRIBOJIMAI, TAIKOMI RINKODAROS TEISĖS TURĖTOJUI</w:t>
      </w:r>
      <w:bookmarkEnd w:id="6"/>
      <w:bookmarkEnd w:id="7"/>
    </w:p>
    <w:p w14:paraId="3C5E6B66" w14:textId="77777777" w:rsidR="0052287E" w:rsidRPr="003F7446" w:rsidRDefault="0052287E" w:rsidP="0052287E">
      <w:pPr>
        <w:pStyle w:val="BTEMEASMCA"/>
        <w:rPr>
          <w:rFonts w:ascii="Times New Roman" w:hAnsi="Times New Roman" w:cs="Times New Roman"/>
          <w:noProof w:val="0"/>
          <w:lang w:val="lt-LT"/>
        </w:rPr>
      </w:pPr>
    </w:p>
    <w:p w14:paraId="0D4B0D23" w14:textId="77777777" w:rsidR="0052287E" w:rsidRPr="003F7446" w:rsidRDefault="0052287E" w:rsidP="0052287E">
      <w:pPr>
        <w:pStyle w:val="BTEMEASMCA"/>
        <w:rPr>
          <w:rFonts w:ascii="Times New Roman" w:hAnsi="Times New Roman" w:cs="Times New Roman"/>
          <w:noProof w:val="0"/>
        </w:rPr>
      </w:pPr>
      <w:proofErr w:type="spellStart"/>
      <w:r w:rsidRPr="003F7446">
        <w:rPr>
          <w:rFonts w:ascii="Times New Roman" w:hAnsi="Times New Roman" w:cs="Times New Roman"/>
          <w:noProof w:val="0"/>
        </w:rPr>
        <w:t>Receptinis</w:t>
      </w:r>
      <w:proofErr w:type="spellEnd"/>
      <w:r w:rsidRPr="003F7446">
        <w:rPr>
          <w:rFonts w:ascii="Times New Roman" w:hAnsi="Times New Roman" w:cs="Times New Roman"/>
          <w:noProof w:val="0"/>
        </w:rPr>
        <w:t xml:space="preserve"> </w:t>
      </w:r>
      <w:proofErr w:type="spellStart"/>
      <w:r w:rsidRPr="003F7446">
        <w:rPr>
          <w:rFonts w:ascii="Times New Roman" w:hAnsi="Times New Roman" w:cs="Times New Roman"/>
          <w:noProof w:val="0"/>
        </w:rPr>
        <w:t>vaistinis</w:t>
      </w:r>
      <w:proofErr w:type="spellEnd"/>
      <w:r w:rsidRPr="003F7446">
        <w:rPr>
          <w:rFonts w:ascii="Times New Roman" w:hAnsi="Times New Roman" w:cs="Times New Roman"/>
          <w:noProof w:val="0"/>
        </w:rPr>
        <w:t xml:space="preserve"> </w:t>
      </w:r>
      <w:proofErr w:type="spellStart"/>
      <w:r w:rsidRPr="003F7446">
        <w:rPr>
          <w:rFonts w:ascii="Times New Roman" w:hAnsi="Times New Roman" w:cs="Times New Roman"/>
          <w:noProof w:val="0"/>
        </w:rPr>
        <w:t>preparatas</w:t>
      </w:r>
      <w:proofErr w:type="spellEnd"/>
    </w:p>
    <w:p w14:paraId="1343AC78" w14:textId="77777777" w:rsidR="0052287E" w:rsidRPr="003F7446" w:rsidRDefault="0052287E" w:rsidP="0052287E">
      <w:pPr>
        <w:pStyle w:val="BTEMEASMCA"/>
        <w:rPr>
          <w:rFonts w:ascii="Times New Roman" w:hAnsi="Times New Roman" w:cs="Times New Roman"/>
          <w:noProof w:val="0"/>
        </w:rPr>
      </w:pPr>
    </w:p>
    <w:p w14:paraId="263C2647" w14:textId="77777777" w:rsidR="0052287E" w:rsidRPr="003F7446" w:rsidRDefault="0052287E" w:rsidP="0052287E">
      <w:pPr>
        <w:pStyle w:val="PI-2EMEASMCA"/>
      </w:pPr>
      <w:bookmarkStart w:id="8" w:name="_Toc129243256"/>
      <w:bookmarkStart w:id="9" w:name="_Toc129243131"/>
      <w:r w:rsidRPr="003F7446">
        <w:t>•</w:t>
      </w:r>
      <w:r w:rsidRPr="003F7446">
        <w:tab/>
        <w:t>SĄLYGOS AR APRIBOJIMAI, SKIRTI SAUGIAM IR VEIKSMINGAM VAISTINIO PREPARATO VARTOJIMUI UŽTIKRINTI</w:t>
      </w:r>
      <w:bookmarkEnd w:id="8"/>
      <w:bookmarkEnd w:id="9"/>
    </w:p>
    <w:p w14:paraId="6C952B7C" w14:textId="77777777" w:rsidR="0052287E" w:rsidRPr="003F7446" w:rsidRDefault="0052287E" w:rsidP="0052287E">
      <w:pPr>
        <w:pStyle w:val="BTEMEASMCA"/>
        <w:rPr>
          <w:rFonts w:ascii="Times New Roman" w:hAnsi="Times New Roman" w:cs="Times New Roman"/>
          <w:noProof w:val="0"/>
        </w:rPr>
      </w:pPr>
    </w:p>
    <w:p w14:paraId="31B22F01" w14:textId="77777777" w:rsidR="0052287E" w:rsidRPr="003F7446" w:rsidRDefault="0052287E" w:rsidP="0052287E">
      <w:pPr>
        <w:pStyle w:val="BTEMEASMCA"/>
        <w:rPr>
          <w:rFonts w:ascii="Times New Roman" w:hAnsi="Times New Roman" w:cs="Times New Roman"/>
          <w:noProof w:val="0"/>
        </w:rPr>
      </w:pPr>
      <w:proofErr w:type="spellStart"/>
      <w:proofErr w:type="gramStart"/>
      <w:r w:rsidRPr="003F7446">
        <w:rPr>
          <w:rFonts w:ascii="Times New Roman" w:hAnsi="Times New Roman" w:cs="Times New Roman"/>
          <w:noProof w:val="0"/>
        </w:rPr>
        <w:t>Nebūtini</w:t>
      </w:r>
      <w:proofErr w:type="spellEnd"/>
      <w:r w:rsidRPr="003F7446">
        <w:rPr>
          <w:rFonts w:ascii="Times New Roman" w:hAnsi="Times New Roman" w:cs="Times New Roman"/>
          <w:noProof w:val="0"/>
        </w:rPr>
        <w:t>.</w:t>
      </w:r>
      <w:proofErr w:type="gramEnd"/>
    </w:p>
    <w:p w14:paraId="1BC2160D" w14:textId="77777777" w:rsidR="0052287E" w:rsidRPr="003F7446" w:rsidRDefault="0052287E" w:rsidP="0052287E">
      <w:pPr>
        <w:pStyle w:val="BTEMEASMCA"/>
        <w:rPr>
          <w:rFonts w:ascii="Times New Roman" w:hAnsi="Times New Roman" w:cs="Times New Roman"/>
          <w:noProof w:val="0"/>
        </w:rPr>
      </w:pPr>
    </w:p>
    <w:p w14:paraId="7FD4BEA5" w14:textId="77777777" w:rsidR="0052287E" w:rsidRPr="003F7446" w:rsidRDefault="0052287E" w:rsidP="0052287E">
      <w:pPr>
        <w:numPr>
          <w:ilvl w:val="0"/>
          <w:numId w:val="2"/>
        </w:numPr>
        <w:tabs>
          <w:tab w:val="left" w:pos="567"/>
        </w:tabs>
        <w:ind w:left="567" w:right="567" w:hanging="567"/>
        <w:rPr>
          <w:szCs w:val="22"/>
        </w:rPr>
      </w:pPr>
      <w:r w:rsidRPr="003F7446">
        <w:rPr>
          <w:b/>
          <w:szCs w:val="22"/>
        </w:rPr>
        <w:t>KITOS SĄLYGOS</w:t>
      </w:r>
    </w:p>
    <w:p w14:paraId="1FA2BC8D" w14:textId="77777777" w:rsidR="0052287E" w:rsidRPr="003F7446" w:rsidRDefault="0052287E" w:rsidP="0052287E">
      <w:pPr>
        <w:pStyle w:val="BTEMEASMCA"/>
        <w:rPr>
          <w:rFonts w:ascii="Times New Roman" w:hAnsi="Times New Roman" w:cs="Times New Roman"/>
          <w:noProof w:val="0"/>
        </w:rPr>
      </w:pPr>
    </w:p>
    <w:p w14:paraId="41282365" w14:textId="77777777" w:rsidR="0052287E" w:rsidRPr="003F7446" w:rsidRDefault="0052287E" w:rsidP="0052287E">
      <w:pPr>
        <w:pStyle w:val="BTEMEASMCA"/>
        <w:rPr>
          <w:rFonts w:ascii="Times New Roman" w:hAnsi="Times New Roman" w:cs="Times New Roman"/>
          <w:noProof w:val="0"/>
        </w:rPr>
      </w:pPr>
      <w:proofErr w:type="spellStart"/>
      <w:proofErr w:type="gramStart"/>
      <w:r w:rsidRPr="003F7446">
        <w:rPr>
          <w:rFonts w:ascii="Times New Roman" w:hAnsi="Times New Roman" w:cs="Times New Roman"/>
          <w:noProof w:val="0"/>
        </w:rPr>
        <w:t>Nėra</w:t>
      </w:r>
      <w:proofErr w:type="spellEnd"/>
      <w:r w:rsidRPr="003F7446">
        <w:rPr>
          <w:rFonts w:ascii="Times New Roman" w:hAnsi="Times New Roman" w:cs="Times New Roman"/>
          <w:noProof w:val="0"/>
        </w:rPr>
        <w:t>.</w:t>
      </w:r>
      <w:proofErr w:type="gramEnd"/>
    </w:p>
    <w:p w14:paraId="3BE2C00B" w14:textId="77777777" w:rsidR="0052287E" w:rsidRPr="003F7446" w:rsidRDefault="0052287E" w:rsidP="0052287E">
      <w:pPr>
        <w:pStyle w:val="BTEMEASMCA"/>
        <w:rPr>
          <w:rFonts w:ascii="Times New Roman" w:hAnsi="Times New Roman" w:cs="Times New Roman"/>
          <w:noProof w:val="0"/>
        </w:rPr>
      </w:pPr>
      <w:r w:rsidRPr="003F7446">
        <w:rPr>
          <w:rFonts w:ascii="Times New Roman" w:hAnsi="Times New Roman" w:cs="Times New Roman"/>
        </w:rPr>
        <w:br w:type="page"/>
      </w:r>
    </w:p>
    <w:p w14:paraId="04EE447C" w14:textId="77777777" w:rsidR="0052287E" w:rsidRPr="003F7446" w:rsidRDefault="0052287E" w:rsidP="0052287E">
      <w:pPr>
        <w:rPr>
          <w:szCs w:val="22"/>
        </w:rPr>
      </w:pPr>
    </w:p>
    <w:p w14:paraId="43C5FE65" w14:textId="77777777" w:rsidR="0052287E" w:rsidRPr="003F7446" w:rsidRDefault="0052287E" w:rsidP="0052287E">
      <w:pPr>
        <w:rPr>
          <w:szCs w:val="22"/>
        </w:rPr>
      </w:pPr>
    </w:p>
    <w:p w14:paraId="1DBD4F1F" w14:textId="77777777" w:rsidR="0052287E" w:rsidRPr="003F7446" w:rsidRDefault="0052287E" w:rsidP="0052287E">
      <w:pPr>
        <w:rPr>
          <w:szCs w:val="22"/>
        </w:rPr>
      </w:pPr>
    </w:p>
    <w:p w14:paraId="0291175B" w14:textId="77777777" w:rsidR="0052287E" w:rsidRPr="003F7446" w:rsidRDefault="0052287E" w:rsidP="0052287E">
      <w:pPr>
        <w:rPr>
          <w:szCs w:val="22"/>
        </w:rPr>
      </w:pPr>
    </w:p>
    <w:p w14:paraId="1339AF4A" w14:textId="77777777" w:rsidR="0052287E" w:rsidRPr="003F7446" w:rsidRDefault="0052287E" w:rsidP="0052287E">
      <w:pPr>
        <w:rPr>
          <w:szCs w:val="22"/>
        </w:rPr>
      </w:pPr>
    </w:p>
    <w:p w14:paraId="27066A53" w14:textId="77777777" w:rsidR="0052287E" w:rsidRPr="003F7446" w:rsidRDefault="0052287E" w:rsidP="0052287E">
      <w:pPr>
        <w:rPr>
          <w:szCs w:val="22"/>
        </w:rPr>
      </w:pPr>
    </w:p>
    <w:p w14:paraId="3C29C4B9" w14:textId="77777777" w:rsidR="0052287E" w:rsidRPr="003F7446" w:rsidRDefault="0052287E" w:rsidP="0052287E">
      <w:pPr>
        <w:rPr>
          <w:szCs w:val="22"/>
        </w:rPr>
      </w:pPr>
    </w:p>
    <w:p w14:paraId="296CCD7E" w14:textId="77777777" w:rsidR="0052287E" w:rsidRPr="003F7446" w:rsidRDefault="0052287E" w:rsidP="0052287E">
      <w:pPr>
        <w:rPr>
          <w:szCs w:val="22"/>
        </w:rPr>
      </w:pPr>
    </w:p>
    <w:p w14:paraId="4E141DE9" w14:textId="77777777" w:rsidR="0052287E" w:rsidRPr="003F7446" w:rsidRDefault="0052287E" w:rsidP="0052287E">
      <w:pPr>
        <w:rPr>
          <w:szCs w:val="22"/>
        </w:rPr>
      </w:pPr>
    </w:p>
    <w:p w14:paraId="74CC43E4" w14:textId="77777777" w:rsidR="0052287E" w:rsidRPr="003F7446" w:rsidRDefault="0052287E" w:rsidP="0052287E">
      <w:pPr>
        <w:rPr>
          <w:szCs w:val="22"/>
        </w:rPr>
      </w:pPr>
    </w:p>
    <w:p w14:paraId="5B557045" w14:textId="77777777" w:rsidR="0052287E" w:rsidRPr="003F7446" w:rsidRDefault="0052287E" w:rsidP="0052287E">
      <w:pPr>
        <w:rPr>
          <w:szCs w:val="22"/>
        </w:rPr>
      </w:pPr>
    </w:p>
    <w:p w14:paraId="77C0FD60" w14:textId="77777777" w:rsidR="0052287E" w:rsidRPr="003F7446" w:rsidRDefault="0052287E" w:rsidP="0052287E">
      <w:pPr>
        <w:rPr>
          <w:szCs w:val="22"/>
        </w:rPr>
      </w:pPr>
    </w:p>
    <w:p w14:paraId="41C544CF" w14:textId="77777777" w:rsidR="0052287E" w:rsidRPr="003F7446" w:rsidRDefault="0052287E" w:rsidP="0052287E">
      <w:pPr>
        <w:rPr>
          <w:szCs w:val="22"/>
        </w:rPr>
      </w:pPr>
    </w:p>
    <w:p w14:paraId="47ED99A2" w14:textId="77777777" w:rsidR="0052287E" w:rsidRPr="003F7446" w:rsidRDefault="0052287E" w:rsidP="0052287E">
      <w:pPr>
        <w:rPr>
          <w:szCs w:val="22"/>
        </w:rPr>
      </w:pPr>
    </w:p>
    <w:p w14:paraId="012BACEE" w14:textId="77777777" w:rsidR="0052287E" w:rsidRPr="003F7446" w:rsidRDefault="0052287E" w:rsidP="0052287E">
      <w:pPr>
        <w:ind w:left="567" w:hanging="567"/>
        <w:jc w:val="center"/>
        <w:rPr>
          <w:b/>
          <w:szCs w:val="22"/>
        </w:rPr>
      </w:pPr>
    </w:p>
    <w:p w14:paraId="0395C81C" w14:textId="77777777" w:rsidR="0052287E" w:rsidRPr="003F7446" w:rsidRDefault="0052287E" w:rsidP="0052287E">
      <w:pPr>
        <w:ind w:left="567" w:hanging="567"/>
        <w:jc w:val="center"/>
        <w:rPr>
          <w:b/>
          <w:szCs w:val="22"/>
        </w:rPr>
      </w:pPr>
    </w:p>
    <w:p w14:paraId="242A7CA4" w14:textId="77777777" w:rsidR="0052287E" w:rsidRPr="003F7446" w:rsidRDefault="0052287E" w:rsidP="0052287E">
      <w:pPr>
        <w:ind w:left="567" w:hanging="567"/>
        <w:jc w:val="center"/>
        <w:rPr>
          <w:b/>
          <w:szCs w:val="22"/>
        </w:rPr>
      </w:pPr>
    </w:p>
    <w:p w14:paraId="0CFC73D5" w14:textId="77777777" w:rsidR="0052287E" w:rsidRPr="003F7446" w:rsidRDefault="0052287E" w:rsidP="0052287E">
      <w:pPr>
        <w:ind w:left="567" w:hanging="567"/>
        <w:jc w:val="center"/>
        <w:rPr>
          <w:b/>
          <w:szCs w:val="22"/>
        </w:rPr>
      </w:pPr>
    </w:p>
    <w:p w14:paraId="4BF47B2C" w14:textId="77777777" w:rsidR="0052287E" w:rsidRPr="003F7446" w:rsidRDefault="0052287E" w:rsidP="0052287E">
      <w:pPr>
        <w:ind w:left="567" w:hanging="567"/>
        <w:jc w:val="center"/>
        <w:rPr>
          <w:b/>
          <w:szCs w:val="22"/>
        </w:rPr>
      </w:pPr>
    </w:p>
    <w:p w14:paraId="7D261F6F" w14:textId="77777777" w:rsidR="0052287E" w:rsidRPr="003F7446" w:rsidRDefault="0052287E" w:rsidP="0052287E">
      <w:pPr>
        <w:ind w:left="567" w:hanging="567"/>
        <w:jc w:val="center"/>
        <w:rPr>
          <w:b/>
          <w:szCs w:val="22"/>
        </w:rPr>
      </w:pPr>
    </w:p>
    <w:p w14:paraId="3A90E2C1" w14:textId="77777777" w:rsidR="0052287E" w:rsidRPr="003F7446" w:rsidRDefault="0052287E" w:rsidP="0052287E">
      <w:pPr>
        <w:ind w:left="567" w:hanging="567"/>
        <w:jc w:val="center"/>
        <w:rPr>
          <w:b/>
          <w:szCs w:val="22"/>
        </w:rPr>
      </w:pPr>
    </w:p>
    <w:p w14:paraId="6357E2A6" w14:textId="77777777" w:rsidR="0052287E" w:rsidRPr="003F7446" w:rsidRDefault="0052287E" w:rsidP="0052287E">
      <w:pPr>
        <w:ind w:left="567" w:hanging="567"/>
        <w:jc w:val="center"/>
        <w:rPr>
          <w:b/>
          <w:szCs w:val="22"/>
        </w:rPr>
      </w:pPr>
    </w:p>
    <w:p w14:paraId="3D9EE0A8" w14:textId="77777777" w:rsidR="0052287E" w:rsidRPr="003F7446" w:rsidRDefault="0052287E" w:rsidP="0052287E">
      <w:pPr>
        <w:ind w:left="567" w:hanging="567"/>
        <w:jc w:val="center"/>
        <w:rPr>
          <w:b/>
          <w:szCs w:val="22"/>
        </w:rPr>
      </w:pPr>
      <w:r w:rsidRPr="003F7446">
        <w:rPr>
          <w:b/>
          <w:szCs w:val="22"/>
        </w:rPr>
        <w:t>III PRIEDAS</w:t>
      </w:r>
    </w:p>
    <w:p w14:paraId="131D6B85" w14:textId="77777777" w:rsidR="0052287E" w:rsidRPr="003F7446" w:rsidRDefault="0052287E" w:rsidP="0052287E">
      <w:pPr>
        <w:ind w:left="567" w:hanging="567"/>
        <w:jc w:val="center"/>
        <w:rPr>
          <w:b/>
          <w:szCs w:val="22"/>
        </w:rPr>
      </w:pPr>
    </w:p>
    <w:p w14:paraId="6AB282AA" w14:textId="77777777" w:rsidR="0052287E" w:rsidRPr="003F7446" w:rsidRDefault="0052287E" w:rsidP="0052287E">
      <w:pPr>
        <w:ind w:left="567" w:hanging="567"/>
        <w:jc w:val="center"/>
        <w:rPr>
          <w:b/>
          <w:szCs w:val="22"/>
        </w:rPr>
      </w:pPr>
      <w:r w:rsidRPr="003F7446">
        <w:rPr>
          <w:b/>
          <w:szCs w:val="22"/>
        </w:rPr>
        <w:t>ŽENKLINIMAS IR PAKUOTĖS LAPELIS</w:t>
      </w:r>
    </w:p>
    <w:p w14:paraId="5D4B9A2F" w14:textId="77777777" w:rsidR="0052287E" w:rsidRPr="003F7446" w:rsidRDefault="0052287E" w:rsidP="0052287E">
      <w:pPr>
        <w:ind w:left="567" w:hanging="567"/>
        <w:rPr>
          <w:szCs w:val="22"/>
        </w:rPr>
      </w:pPr>
      <w:r w:rsidRPr="003F7446">
        <w:rPr>
          <w:szCs w:val="22"/>
        </w:rPr>
        <w:br w:type="page"/>
      </w:r>
    </w:p>
    <w:p w14:paraId="3866E287" w14:textId="77777777" w:rsidR="0052287E" w:rsidRPr="003F7446" w:rsidRDefault="0052287E" w:rsidP="0052287E">
      <w:pPr>
        <w:ind w:left="567" w:hanging="567"/>
        <w:rPr>
          <w:szCs w:val="22"/>
        </w:rPr>
      </w:pPr>
    </w:p>
    <w:p w14:paraId="5E0D2CA2" w14:textId="77777777" w:rsidR="0052287E" w:rsidRPr="003F7446" w:rsidRDefault="0052287E" w:rsidP="0052287E">
      <w:pPr>
        <w:ind w:left="567" w:hanging="567"/>
        <w:rPr>
          <w:szCs w:val="22"/>
        </w:rPr>
      </w:pPr>
    </w:p>
    <w:p w14:paraId="3A7629A7" w14:textId="77777777" w:rsidR="0052287E" w:rsidRPr="003F7446" w:rsidRDefault="0052287E" w:rsidP="0052287E">
      <w:pPr>
        <w:ind w:left="567" w:hanging="567"/>
        <w:rPr>
          <w:szCs w:val="22"/>
        </w:rPr>
      </w:pPr>
    </w:p>
    <w:p w14:paraId="6228CD99" w14:textId="77777777" w:rsidR="0052287E" w:rsidRPr="003F7446" w:rsidRDefault="0052287E" w:rsidP="0052287E">
      <w:pPr>
        <w:ind w:left="567" w:hanging="567"/>
        <w:rPr>
          <w:szCs w:val="22"/>
        </w:rPr>
      </w:pPr>
    </w:p>
    <w:p w14:paraId="52644FEE" w14:textId="77777777" w:rsidR="0052287E" w:rsidRPr="003F7446" w:rsidRDefault="0052287E" w:rsidP="0052287E">
      <w:pPr>
        <w:ind w:left="567" w:hanging="567"/>
        <w:rPr>
          <w:szCs w:val="22"/>
        </w:rPr>
      </w:pPr>
    </w:p>
    <w:p w14:paraId="6D5B4622" w14:textId="77777777" w:rsidR="0052287E" w:rsidRPr="003F7446" w:rsidRDefault="0052287E" w:rsidP="0052287E">
      <w:pPr>
        <w:ind w:left="567" w:hanging="567"/>
        <w:rPr>
          <w:szCs w:val="22"/>
        </w:rPr>
      </w:pPr>
    </w:p>
    <w:p w14:paraId="619E7D09" w14:textId="77777777" w:rsidR="0052287E" w:rsidRPr="003F7446" w:rsidRDefault="0052287E" w:rsidP="0052287E">
      <w:pPr>
        <w:ind w:left="567" w:hanging="567"/>
        <w:rPr>
          <w:szCs w:val="22"/>
        </w:rPr>
      </w:pPr>
    </w:p>
    <w:p w14:paraId="182FB7AF" w14:textId="77777777" w:rsidR="0052287E" w:rsidRPr="003F7446" w:rsidRDefault="0052287E" w:rsidP="0052287E">
      <w:pPr>
        <w:ind w:left="567" w:hanging="567"/>
        <w:rPr>
          <w:szCs w:val="22"/>
        </w:rPr>
      </w:pPr>
    </w:p>
    <w:p w14:paraId="79A68040" w14:textId="77777777" w:rsidR="0052287E" w:rsidRPr="003F7446" w:rsidRDefault="0052287E" w:rsidP="0052287E">
      <w:pPr>
        <w:ind w:left="567" w:hanging="567"/>
        <w:rPr>
          <w:szCs w:val="22"/>
        </w:rPr>
      </w:pPr>
    </w:p>
    <w:p w14:paraId="039302A0" w14:textId="77777777" w:rsidR="0052287E" w:rsidRPr="003F7446" w:rsidRDefault="0052287E" w:rsidP="0052287E">
      <w:pPr>
        <w:ind w:left="567" w:hanging="567"/>
        <w:rPr>
          <w:szCs w:val="22"/>
        </w:rPr>
      </w:pPr>
    </w:p>
    <w:p w14:paraId="39D872D7" w14:textId="77777777" w:rsidR="0052287E" w:rsidRPr="003F7446" w:rsidRDefault="0052287E" w:rsidP="0052287E">
      <w:pPr>
        <w:ind w:left="567" w:hanging="567"/>
        <w:rPr>
          <w:szCs w:val="22"/>
        </w:rPr>
      </w:pPr>
    </w:p>
    <w:p w14:paraId="3FBA7D38" w14:textId="77777777" w:rsidR="0052287E" w:rsidRPr="003F7446" w:rsidRDefault="0052287E" w:rsidP="0052287E">
      <w:pPr>
        <w:ind w:left="567" w:hanging="567"/>
        <w:rPr>
          <w:szCs w:val="22"/>
        </w:rPr>
      </w:pPr>
    </w:p>
    <w:p w14:paraId="7062A262" w14:textId="77777777" w:rsidR="0052287E" w:rsidRPr="003F7446" w:rsidRDefault="0052287E" w:rsidP="0052287E">
      <w:pPr>
        <w:ind w:left="567" w:hanging="567"/>
        <w:rPr>
          <w:szCs w:val="22"/>
        </w:rPr>
      </w:pPr>
    </w:p>
    <w:p w14:paraId="12FC9007" w14:textId="77777777" w:rsidR="0052287E" w:rsidRPr="003F7446" w:rsidRDefault="0052287E" w:rsidP="0052287E">
      <w:pPr>
        <w:ind w:left="567" w:hanging="567"/>
        <w:rPr>
          <w:szCs w:val="22"/>
        </w:rPr>
      </w:pPr>
    </w:p>
    <w:p w14:paraId="7E2E0AEC" w14:textId="77777777" w:rsidR="0052287E" w:rsidRPr="003F7446" w:rsidRDefault="0052287E" w:rsidP="0052287E">
      <w:pPr>
        <w:ind w:left="567" w:hanging="567"/>
        <w:rPr>
          <w:szCs w:val="22"/>
        </w:rPr>
      </w:pPr>
    </w:p>
    <w:p w14:paraId="4765EA48" w14:textId="77777777" w:rsidR="0052287E" w:rsidRPr="003F7446" w:rsidRDefault="0052287E" w:rsidP="0052287E">
      <w:pPr>
        <w:ind w:left="567" w:hanging="567"/>
        <w:rPr>
          <w:szCs w:val="22"/>
        </w:rPr>
      </w:pPr>
    </w:p>
    <w:p w14:paraId="2BD9B163" w14:textId="77777777" w:rsidR="0052287E" w:rsidRPr="003F7446" w:rsidRDefault="0052287E" w:rsidP="0052287E">
      <w:pPr>
        <w:ind w:left="567" w:hanging="567"/>
        <w:rPr>
          <w:szCs w:val="22"/>
        </w:rPr>
      </w:pPr>
    </w:p>
    <w:p w14:paraId="5976E5A6" w14:textId="77777777" w:rsidR="0052287E" w:rsidRPr="003F7446" w:rsidRDefault="0052287E" w:rsidP="0052287E">
      <w:pPr>
        <w:ind w:left="567" w:hanging="567"/>
        <w:rPr>
          <w:szCs w:val="22"/>
        </w:rPr>
      </w:pPr>
    </w:p>
    <w:p w14:paraId="41550478" w14:textId="77777777" w:rsidR="0052287E" w:rsidRPr="003F7446" w:rsidRDefault="0052287E" w:rsidP="0052287E">
      <w:pPr>
        <w:ind w:left="567" w:hanging="567"/>
        <w:rPr>
          <w:szCs w:val="22"/>
        </w:rPr>
      </w:pPr>
    </w:p>
    <w:p w14:paraId="75995066" w14:textId="77777777" w:rsidR="0052287E" w:rsidRPr="003F7446" w:rsidRDefault="0052287E" w:rsidP="0052287E">
      <w:pPr>
        <w:ind w:left="567" w:hanging="567"/>
        <w:rPr>
          <w:szCs w:val="22"/>
        </w:rPr>
      </w:pPr>
    </w:p>
    <w:p w14:paraId="15AE4CF9" w14:textId="77777777" w:rsidR="0052287E" w:rsidRPr="003F7446" w:rsidRDefault="0052287E" w:rsidP="0052287E">
      <w:pPr>
        <w:ind w:left="567" w:hanging="567"/>
        <w:rPr>
          <w:szCs w:val="22"/>
        </w:rPr>
      </w:pPr>
    </w:p>
    <w:p w14:paraId="5ACB9FEE" w14:textId="77777777" w:rsidR="0052287E" w:rsidRPr="003F7446" w:rsidRDefault="0052287E" w:rsidP="0052287E">
      <w:pPr>
        <w:ind w:left="567" w:hanging="567"/>
        <w:rPr>
          <w:szCs w:val="22"/>
        </w:rPr>
      </w:pPr>
    </w:p>
    <w:p w14:paraId="50C3657F" w14:textId="77777777" w:rsidR="0052287E" w:rsidRPr="003F7446" w:rsidRDefault="0052287E" w:rsidP="0052287E">
      <w:pPr>
        <w:ind w:left="567" w:hanging="567"/>
        <w:jc w:val="center"/>
        <w:rPr>
          <w:b/>
          <w:szCs w:val="22"/>
        </w:rPr>
      </w:pPr>
      <w:r w:rsidRPr="003F7446">
        <w:rPr>
          <w:b/>
          <w:szCs w:val="22"/>
        </w:rPr>
        <w:t>A. ŽENKLINIMAS</w:t>
      </w:r>
    </w:p>
    <w:p w14:paraId="73199286" w14:textId="77777777" w:rsidR="0052287E" w:rsidRPr="003F7446" w:rsidRDefault="0052287E" w:rsidP="0052287E">
      <w:pPr>
        <w:pBdr>
          <w:top w:val="single" w:sz="4" w:space="1" w:color="auto"/>
          <w:left w:val="single" w:sz="4" w:space="4" w:color="auto"/>
          <w:bottom w:val="single" w:sz="4" w:space="1" w:color="auto"/>
          <w:right w:val="single" w:sz="4" w:space="4" w:color="auto"/>
        </w:pBdr>
        <w:rPr>
          <w:b/>
          <w:caps/>
          <w:szCs w:val="22"/>
        </w:rPr>
      </w:pPr>
      <w:r w:rsidRPr="003F7446">
        <w:rPr>
          <w:szCs w:val="22"/>
        </w:rPr>
        <w:br w:type="page"/>
      </w:r>
      <w:r w:rsidRPr="003F7446">
        <w:rPr>
          <w:b/>
          <w:caps/>
          <w:szCs w:val="22"/>
        </w:rPr>
        <w:lastRenderedPageBreak/>
        <w:t xml:space="preserve">Informacija ant </w:t>
      </w:r>
      <w:r w:rsidRPr="003F7446">
        <w:rPr>
          <w:b/>
          <w:bCs/>
          <w:szCs w:val="22"/>
        </w:rPr>
        <w:t>IŠORINĖS</w:t>
      </w:r>
      <w:r w:rsidRPr="003F7446">
        <w:rPr>
          <w:szCs w:val="22"/>
        </w:rPr>
        <w:t xml:space="preserve"> </w:t>
      </w:r>
      <w:r w:rsidRPr="003F7446">
        <w:rPr>
          <w:b/>
          <w:caps/>
          <w:szCs w:val="22"/>
        </w:rPr>
        <w:t xml:space="preserve">pakuotės </w:t>
      </w:r>
    </w:p>
    <w:p w14:paraId="37171345" w14:textId="77777777" w:rsidR="0052287E" w:rsidRPr="003F7446" w:rsidRDefault="0052287E" w:rsidP="0052287E">
      <w:pPr>
        <w:pBdr>
          <w:top w:val="single" w:sz="4" w:space="1" w:color="auto"/>
          <w:left w:val="single" w:sz="4" w:space="4" w:color="auto"/>
          <w:bottom w:val="single" w:sz="4" w:space="1" w:color="auto"/>
          <w:right w:val="single" w:sz="4" w:space="4" w:color="auto"/>
        </w:pBdr>
        <w:ind w:left="567" w:hanging="567"/>
        <w:rPr>
          <w:szCs w:val="22"/>
        </w:rPr>
      </w:pPr>
    </w:p>
    <w:p w14:paraId="0B4B09D3" w14:textId="77777777" w:rsidR="0052287E" w:rsidRPr="003F7446" w:rsidRDefault="0052287E" w:rsidP="0052287E">
      <w:pPr>
        <w:pBdr>
          <w:top w:val="single" w:sz="4" w:space="1" w:color="auto"/>
          <w:left w:val="single" w:sz="4" w:space="4" w:color="auto"/>
          <w:bottom w:val="single" w:sz="4" w:space="1" w:color="auto"/>
          <w:right w:val="single" w:sz="4" w:space="4" w:color="auto"/>
        </w:pBdr>
        <w:ind w:left="567" w:hanging="567"/>
        <w:rPr>
          <w:b/>
          <w:caps/>
          <w:szCs w:val="22"/>
        </w:rPr>
      </w:pPr>
      <w:r w:rsidRPr="003F7446">
        <w:rPr>
          <w:b/>
          <w:caps/>
          <w:szCs w:val="22"/>
        </w:rPr>
        <w:t>KARTONO dėžutė</w:t>
      </w:r>
    </w:p>
    <w:p w14:paraId="58C48944" w14:textId="77777777" w:rsidR="0052287E" w:rsidRPr="003F7446" w:rsidRDefault="0052287E" w:rsidP="0052287E">
      <w:pPr>
        <w:ind w:left="567" w:hanging="567"/>
        <w:rPr>
          <w:szCs w:val="22"/>
        </w:rPr>
      </w:pPr>
    </w:p>
    <w:p w14:paraId="06D2D697" w14:textId="77777777" w:rsidR="0052287E" w:rsidRPr="003F7446" w:rsidRDefault="0052287E" w:rsidP="0052287E">
      <w:pPr>
        <w:ind w:left="567" w:hanging="567"/>
        <w:rPr>
          <w:szCs w:val="22"/>
        </w:rPr>
      </w:pPr>
    </w:p>
    <w:p w14:paraId="617F0D02" w14:textId="77777777" w:rsidR="0052287E" w:rsidRPr="003F7446" w:rsidRDefault="0052287E" w:rsidP="0052287E">
      <w:pPr>
        <w:pBdr>
          <w:top w:val="single" w:sz="4" w:space="1" w:color="auto"/>
          <w:left w:val="single" w:sz="4" w:space="4" w:color="auto"/>
          <w:bottom w:val="single" w:sz="4" w:space="1" w:color="auto"/>
          <w:right w:val="single" w:sz="4" w:space="4" w:color="auto"/>
        </w:pBdr>
        <w:ind w:left="567" w:hanging="567"/>
        <w:rPr>
          <w:b/>
          <w:caps/>
          <w:szCs w:val="22"/>
        </w:rPr>
      </w:pPr>
      <w:r w:rsidRPr="003F7446">
        <w:rPr>
          <w:b/>
          <w:caps/>
          <w:szCs w:val="22"/>
        </w:rPr>
        <w:t>1.</w:t>
      </w:r>
      <w:r w:rsidRPr="003F7446">
        <w:rPr>
          <w:b/>
          <w:caps/>
          <w:szCs w:val="22"/>
        </w:rPr>
        <w:tab/>
        <w:t>vaistinio preparato pavadinimas</w:t>
      </w:r>
    </w:p>
    <w:p w14:paraId="622301BB" w14:textId="77777777" w:rsidR="0052287E" w:rsidRPr="003F7446" w:rsidRDefault="0052287E" w:rsidP="0052287E">
      <w:pPr>
        <w:ind w:left="567" w:hanging="567"/>
        <w:rPr>
          <w:szCs w:val="22"/>
        </w:rPr>
      </w:pPr>
    </w:p>
    <w:p w14:paraId="7406545F" w14:textId="77777777" w:rsidR="0052287E" w:rsidRPr="003F7446" w:rsidRDefault="0052287E" w:rsidP="0052287E">
      <w:pPr>
        <w:pStyle w:val="Default"/>
        <w:rPr>
          <w:color w:val="auto"/>
          <w:sz w:val="22"/>
          <w:szCs w:val="22"/>
          <w:lang w:val="lt-LT"/>
        </w:rPr>
      </w:pPr>
      <w:proofErr w:type="spellStart"/>
      <w:r w:rsidRPr="003F7446">
        <w:rPr>
          <w:color w:val="auto"/>
          <w:sz w:val="22"/>
          <w:szCs w:val="22"/>
          <w:lang w:val="lt-LT"/>
        </w:rPr>
        <w:t>Mycophenolate</w:t>
      </w:r>
      <w:proofErr w:type="spellEnd"/>
      <w:r w:rsidRPr="003F7446">
        <w:rPr>
          <w:color w:val="auto"/>
          <w:sz w:val="22"/>
          <w:szCs w:val="22"/>
          <w:lang w:val="lt-LT"/>
        </w:rPr>
        <w:t xml:space="preserve"> </w:t>
      </w:r>
      <w:proofErr w:type="spellStart"/>
      <w:r w:rsidRPr="003F7446">
        <w:rPr>
          <w:color w:val="auto"/>
          <w:sz w:val="22"/>
          <w:szCs w:val="22"/>
          <w:lang w:val="lt-LT"/>
        </w:rPr>
        <w:t>mofetil</w:t>
      </w:r>
      <w:proofErr w:type="spellEnd"/>
      <w:r w:rsidRPr="003F7446">
        <w:rPr>
          <w:color w:val="auto"/>
          <w:sz w:val="22"/>
          <w:szCs w:val="22"/>
          <w:lang w:val="lt-LT"/>
        </w:rPr>
        <w:t xml:space="preserve"> </w:t>
      </w:r>
      <w:proofErr w:type="spellStart"/>
      <w:r w:rsidRPr="003F7446">
        <w:rPr>
          <w:color w:val="auto"/>
          <w:sz w:val="22"/>
          <w:szCs w:val="22"/>
          <w:lang w:val="lt-LT"/>
        </w:rPr>
        <w:t>Ranbaxy</w:t>
      </w:r>
      <w:proofErr w:type="spellEnd"/>
      <w:r w:rsidRPr="003F7446">
        <w:rPr>
          <w:color w:val="auto"/>
          <w:sz w:val="22"/>
          <w:szCs w:val="22"/>
          <w:lang w:val="lt-LT"/>
        </w:rPr>
        <w:t xml:space="preserve"> 500 mg plėvele dengtos tabletės</w:t>
      </w:r>
    </w:p>
    <w:p w14:paraId="31DFC0DD" w14:textId="77777777" w:rsidR="0052287E" w:rsidRPr="003F7446" w:rsidRDefault="0052287E" w:rsidP="0052287E">
      <w:pPr>
        <w:ind w:left="567" w:hanging="567"/>
        <w:rPr>
          <w:i/>
          <w:szCs w:val="22"/>
        </w:rPr>
      </w:pPr>
      <w:proofErr w:type="spellStart"/>
      <w:r w:rsidRPr="003F7446">
        <w:rPr>
          <w:i/>
          <w:szCs w:val="22"/>
        </w:rPr>
        <w:t>Mycophenolas</w:t>
      </w:r>
      <w:proofErr w:type="spellEnd"/>
      <w:r w:rsidRPr="003F7446">
        <w:rPr>
          <w:i/>
          <w:szCs w:val="22"/>
        </w:rPr>
        <w:t xml:space="preserve"> </w:t>
      </w:r>
      <w:proofErr w:type="spellStart"/>
      <w:r w:rsidRPr="003F7446">
        <w:rPr>
          <w:i/>
          <w:szCs w:val="22"/>
        </w:rPr>
        <w:t>mofetil</w:t>
      </w:r>
      <w:proofErr w:type="spellEnd"/>
    </w:p>
    <w:p w14:paraId="6FF6BDF7" w14:textId="77777777" w:rsidR="0052287E" w:rsidRPr="003F7446" w:rsidRDefault="0052287E" w:rsidP="0052287E">
      <w:pPr>
        <w:ind w:left="567" w:hanging="567"/>
        <w:rPr>
          <w:szCs w:val="22"/>
        </w:rPr>
      </w:pPr>
    </w:p>
    <w:p w14:paraId="67E2AB35" w14:textId="77777777" w:rsidR="0052287E" w:rsidRPr="003F7446" w:rsidRDefault="0052287E" w:rsidP="0052287E">
      <w:pPr>
        <w:ind w:left="567" w:hanging="567"/>
        <w:rPr>
          <w:szCs w:val="22"/>
        </w:rPr>
      </w:pPr>
    </w:p>
    <w:p w14:paraId="7DCF0178" w14:textId="77777777" w:rsidR="0052287E" w:rsidRPr="003F7446" w:rsidRDefault="0052287E" w:rsidP="0052287E">
      <w:pPr>
        <w:pBdr>
          <w:top w:val="single" w:sz="4" w:space="1" w:color="auto"/>
          <w:left w:val="single" w:sz="4" w:space="4" w:color="auto"/>
          <w:bottom w:val="single" w:sz="4" w:space="1" w:color="auto"/>
          <w:right w:val="single" w:sz="4" w:space="4" w:color="auto"/>
        </w:pBdr>
        <w:ind w:left="567" w:hanging="567"/>
        <w:rPr>
          <w:b/>
          <w:caps/>
          <w:szCs w:val="22"/>
        </w:rPr>
      </w:pPr>
      <w:r w:rsidRPr="003F7446">
        <w:rPr>
          <w:b/>
          <w:caps/>
          <w:szCs w:val="22"/>
        </w:rPr>
        <w:t>2.</w:t>
      </w:r>
      <w:r w:rsidRPr="003F7446">
        <w:rPr>
          <w:b/>
          <w:caps/>
          <w:szCs w:val="22"/>
        </w:rPr>
        <w:tab/>
        <w:t xml:space="preserve">veikliOJI medžiagA ir JOS kiekis </w:t>
      </w:r>
    </w:p>
    <w:p w14:paraId="0978440B" w14:textId="77777777" w:rsidR="0052287E" w:rsidRPr="003F7446" w:rsidRDefault="0052287E" w:rsidP="0052287E">
      <w:pPr>
        <w:ind w:left="567" w:hanging="567"/>
        <w:rPr>
          <w:caps/>
          <w:szCs w:val="22"/>
        </w:rPr>
      </w:pPr>
    </w:p>
    <w:p w14:paraId="65D71FC1" w14:textId="77777777" w:rsidR="0052287E" w:rsidRPr="003F7446" w:rsidRDefault="0052287E" w:rsidP="0052287E">
      <w:pPr>
        <w:ind w:left="567" w:hanging="567"/>
        <w:rPr>
          <w:caps/>
          <w:szCs w:val="22"/>
        </w:rPr>
      </w:pPr>
      <w:r w:rsidRPr="003F7446">
        <w:rPr>
          <w:szCs w:val="22"/>
        </w:rPr>
        <w:t xml:space="preserve">Kiekvienoje plėvele dengtoje tabletėje yra 500 mg </w:t>
      </w:r>
      <w:proofErr w:type="spellStart"/>
      <w:r w:rsidRPr="003F7446">
        <w:rPr>
          <w:szCs w:val="22"/>
        </w:rPr>
        <w:t>mikofenolato</w:t>
      </w:r>
      <w:proofErr w:type="spellEnd"/>
      <w:r w:rsidRPr="003F7446">
        <w:rPr>
          <w:szCs w:val="22"/>
        </w:rPr>
        <w:t xml:space="preserve"> </w:t>
      </w:r>
      <w:proofErr w:type="spellStart"/>
      <w:r w:rsidRPr="003F7446">
        <w:rPr>
          <w:szCs w:val="22"/>
        </w:rPr>
        <w:t>mofetilio</w:t>
      </w:r>
      <w:proofErr w:type="spellEnd"/>
      <w:r w:rsidRPr="003F7446">
        <w:rPr>
          <w:szCs w:val="22"/>
        </w:rPr>
        <w:t>.</w:t>
      </w:r>
    </w:p>
    <w:p w14:paraId="08EA0D14" w14:textId="77777777" w:rsidR="0052287E" w:rsidRPr="003F7446" w:rsidRDefault="0052287E" w:rsidP="0052287E">
      <w:pPr>
        <w:ind w:left="567" w:hanging="567"/>
        <w:rPr>
          <w:caps/>
          <w:szCs w:val="22"/>
        </w:rPr>
      </w:pPr>
    </w:p>
    <w:p w14:paraId="16046334" w14:textId="77777777" w:rsidR="0052287E" w:rsidRPr="003F7446" w:rsidRDefault="0052287E" w:rsidP="0052287E">
      <w:pPr>
        <w:ind w:left="567" w:hanging="567"/>
        <w:rPr>
          <w:caps/>
          <w:szCs w:val="22"/>
        </w:rPr>
      </w:pPr>
    </w:p>
    <w:p w14:paraId="415E7870" w14:textId="77777777" w:rsidR="0052287E" w:rsidRPr="003F7446" w:rsidRDefault="0052287E" w:rsidP="0052287E">
      <w:pPr>
        <w:pBdr>
          <w:top w:val="single" w:sz="4" w:space="1" w:color="auto"/>
          <w:left w:val="single" w:sz="4" w:space="4" w:color="auto"/>
          <w:bottom w:val="single" w:sz="4" w:space="1" w:color="auto"/>
          <w:right w:val="single" w:sz="4" w:space="4" w:color="auto"/>
        </w:pBdr>
        <w:ind w:left="567" w:hanging="567"/>
        <w:rPr>
          <w:b/>
          <w:caps/>
          <w:szCs w:val="22"/>
        </w:rPr>
      </w:pPr>
      <w:r w:rsidRPr="003F7446">
        <w:rPr>
          <w:b/>
          <w:caps/>
          <w:szCs w:val="22"/>
        </w:rPr>
        <w:t>3.</w:t>
      </w:r>
      <w:r w:rsidRPr="003F7446">
        <w:rPr>
          <w:b/>
          <w:caps/>
          <w:szCs w:val="22"/>
        </w:rPr>
        <w:tab/>
        <w:t>pagalbinių medžiagų sąrašas</w:t>
      </w:r>
    </w:p>
    <w:p w14:paraId="603F4384" w14:textId="77777777" w:rsidR="0052287E" w:rsidRPr="003F7446" w:rsidRDefault="0052287E" w:rsidP="0052287E">
      <w:pPr>
        <w:ind w:left="567" w:hanging="567"/>
        <w:rPr>
          <w:caps/>
          <w:szCs w:val="22"/>
        </w:rPr>
      </w:pPr>
    </w:p>
    <w:p w14:paraId="760E0F31" w14:textId="77777777" w:rsidR="0052287E" w:rsidRPr="003F7446" w:rsidRDefault="0052287E" w:rsidP="0052287E">
      <w:pPr>
        <w:ind w:left="567" w:hanging="567"/>
        <w:rPr>
          <w:caps/>
          <w:szCs w:val="22"/>
        </w:rPr>
      </w:pPr>
    </w:p>
    <w:p w14:paraId="1469CEC1" w14:textId="77777777" w:rsidR="0052287E" w:rsidRPr="003F7446" w:rsidRDefault="0052287E" w:rsidP="0052287E">
      <w:pPr>
        <w:pBdr>
          <w:top w:val="single" w:sz="4" w:space="1" w:color="auto"/>
          <w:left w:val="single" w:sz="4" w:space="4" w:color="auto"/>
          <w:bottom w:val="single" w:sz="4" w:space="1" w:color="auto"/>
          <w:right w:val="single" w:sz="4" w:space="4" w:color="auto"/>
        </w:pBdr>
        <w:ind w:left="567" w:hanging="567"/>
        <w:rPr>
          <w:b/>
          <w:caps/>
          <w:szCs w:val="22"/>
        </w:rPr>
      </w:pPr>
      <w:r w:rsidRPr="003F7446">
        <w:rPr>
          <w:b/>
          <w:caps/>
          <w:szCs w:val="22"/>
        </w:rPr>
        <w:t>4.</w:t>
      </w:r>
      <w:r w:rsidRPr="003F7446">
        <w:rPr>
          <w:b/>
          <w:caps/>
          <w:szCs w:val="22"/>
        </w:rPr>
        <w:tab/>
        <w:t>FARMACINĖ forma ir KIEKIS PAKUOTĖJE</w:t>
      </w:r>
    </w:p>
    <w:p w14:paraId="3A2D70A5" w14:textId="77777777" w:rsidR="0052287E" w:rsidRPr="003F7446" w:rsidRDefault="0052287E" w:rsidP="0052287E">
      <w:pPr>
        <w:ind w:left="567" w:hanging="567"/>
        <w:rPr>
          <w:caps/>
          <w:szCs w:val="22"/>
        </w:rPr>
      </w:pPr>
    </w:p>
    <w:p w14:paraId="7C473C0F" w14:textId="77777777" w:rsidR="0052287E" w:rsidRPr="003F7446" w:rsidRDefault="0052287E" w:rsidP="0052287E">
      <w:pPr>
        <w:ind w:left="567" w:hanging="567"/>
        <w:rPr>
          <w:szCs w:val="22"/>
        </w:rPr>
      </w:pPr>
      <w:r w:rsidRPr="003F7446">
        <w:rPr>
          <w:szCs w:val="22"/>
        </w:rPr>
        <w:t>Plėvele dengta tabletė.</w:t>
      </w:r>
    </w:p>
    <w:p w14:paraId="53D80EA6" w14:textId="77777777" w:rsidR="0052287E" w:rsidRPr="003F7446" w:rsidRDefault="0052287E" w:rsidP="0052287E">
      <w:pPr>
        <w:ind w:left="567" w:hanging="567"/>
        <w:rPr>
          <w:szCs w:val="22"/>
        </w:rPr>
      </w:pPr>
    </w:p>
    <w:p w14:paraId="22B6D23E" w14:textId="77777777" w:rsidR="0052287E" w:rsidRPr="003F7446" w:rsidRDefault="0052287E" w:rsidP="0052287E">
      <w:pPr>
        <w:ind w:left="567" w:hanging="567"/>
        <w:rPr>
          <w:szCs w:val="22"/>
        </w:rPr>
      </w:pPr>
      <w:r w:rsidRPr="003F7446">
        <w:rPr>
          <w:szCs w:val="22"/>
        </w:rPr>
        <w:t xml:space="preserve">50 plėvele dengtų tablečių </w:t>
      </w:r>
    </w:p>
    <w:p w14:paraId="5AAC697E" w14:textId="77777777" w:rsidR="0052287E" w:rsidRPr="003F7446" w:rsidRDefault="0052287E" w:rsidP="0052287E">
      <w:pPr>
        <w:ind w:left="567" w:hanging="567"/>
        <w:rPr>
          <w:szCs w:val="22"/>
        </w:rPr>
      </w:pPr>
      <w:r w:rsidRPr="003F7446">
        <w:rPr>
          <w:szCs w:val="22"/>
          <w:highlight w:val="lightGray"/>
        </w:rPr>
        <w:t>150 plėvele dengtų tablečių</w:t>
      </w:r>
    </w:p>
    <w:p w14:paraId="2357DFDE" w14:textId="77777777" w:rsidR="0052287E" w:rsidRPr="003F7446" w:rsidRDefault="0052287E" w:rsidP="0052287E">
      <w:pPr>
        <w:ind w:left="567" w:hanging="567"/>
        <w:rPr>
          <w:caps/>
          <w:szCs w:val="22"/>
        </w:rPr>
      </w:pPr>
    </w:p>
    <w:p w14:paraId="7D33F9FF" w14:textId="77777777" w:rsidR="0052287E" w:rsidRPr="003F7446" w:rsidRDefault="0052287E" w:rsidP="0052287E">
      <w:pPr>
        <w:ind w:left="567" w:hanging="567"/>
        <w:rPr>
          <w:caps/>
          <w:szCs w:val="22"/>
        </w:rPr>
      </w:pPr>
    </w:p>
    <w:p w14:paraId="4E0AAE3C" w14:textId="77777777" w:rsidR="0052287E" w:rsidRPr="003F7446" w:rsidRDefault="0052287E" w:rsidP="0052287E">
      <w:pPr>
        <w:pBdr>
          <w:top w:val="single" w:sz="4" w:space="1" w:color="auto"/>
          <w:left w:val="single" w:sz="4" w:space="4" w:color="auto"/>
          <w:bottom w:val="single" w:sz="4" w:space="1" w:color="auto"/>
          <w:right w:val="single" w:sz="4" w:space="4" w:color="auto"/>
        </w:pBdr>
        <w:ind w:left="567" w:hanging="567"/>
        <w:rPr>
          <w:b/>
          <w:caps/>
          <w:szCs w:val="22"/>
        </w:rPr>
      </w:pPr>
      <w:r w:rsidRPr="003F7446">
        <w:rPr>
          <w:b/>
          <w:caps/>
          <w:szCs w:val="22"/>
        </w:rPr>
        <w:t>5.</w:t>
      </w:r>
      <w:r w:rsidRPr="003F7446">
        <w:rPr>
          <w:b/>
          <w:caps/>
          <w:szCs w:val="22"/>
        </w:rPr>
        <w:tab/>
        <w:t>vartojimo METODAS IR būdas</w:t>
      </w:r>
    </w:p>
    <w:p w14:paraId="0ACB24B8" w14:textId="77777777" w:rsidR="0052287E" w:rsidRPr="003F7446" w:rsidRDefault="0052287E" w:rsidP="0052287E">
      <w:pPr>
        <w:ind w:left="567" w:hanging="567"/>
        <w:rPr>
          <w:caps/>
          <w:szCs w:val="22"/>
        </w:rPr>
      </w:pPr>
    </w:p>
    <w:p w14:paraId="2E4C500E" w14:textId="77777777" w:rsidR="0052287E" w:rsidRPr="003F7446" w:rsidRDefault="0052287E" w:rsidP="0052287E">
      <w:pPr>
        <w:ind w:left="567" w:hanging="567"/>
        <w:rPr>
          <w:szCs w:val="22"/>
        </w:rPr>
      </w:pPr>
      <w:r w:rsidRPr="003F7446">
        <w:rPr>
          <w:szCs w:val="22"/>
        </w:rPr>
        <w:t>Vartoti per burną.</w:t>
      </w:r>
    </w:p>
    <w:p w14:paraId="40A7FF2E" w14:textId="77777777" w:rsidR="0052287E" w:rsidRPr="003F7446" w:rsidRDefault="0052287E" w:rsidP="0052287E">
      <w:pPr>
        <w:ind w:left="567" w:hanging="567"/>
        <w:rPr>
          <w:caps/>
          <w:szCs w:val="22"/>
        </w:rPr>
      </w:pPr>
    </w:p>
    <w:p w14:paraId="07F5563D" w14:textId="77777777" w:rsidR="0052287E" w:rsidRPr="003F7446" w:rsidRDefault="0052287E" w:rsidP="0052287E">
      <w:pPr>
        <w:tabs>
          <w:tab w:val="left" w:pos="567"/>
        </w:tabs>
        <w:ind w:left="567" w:hanging="567"/>
        <w:rPr>
          <w:szCs w:val="22"/>
        </w:rPr>
      </w:pPr>
      <w:r w:rsidRPr="003F7446">
        <w:rPr>
          <w:szCs w:val="22"/>
        </w:rPr>
        <w:t>Prieš vartojimą perskaitykite pakuotės lapelį.</w:t>
      </w:r>
    </w:p>
    <w:p w14:paraId="69FA236C" w14:textId="77777777" w:rsidR="0052287E" w:rsidRPr="003F7446" w:rsidRDefault="0052287E" w:rsidP="0052287E">
      <w:pPr>
        <w:ind w:left="567" w:hanging="567"/>
        <w:rPr>
          <w:caps/>
          <w:szCs w:val="22"/>
        </w:rPr>
      </w:pPr>
    </w:p>
    <w:p w14:paraId="3C2DC817" w14:textId="77777777" w:rsidR="0052287E" w:rsidRPr="003F7446" w:rsidRDefault="0052287E" w:rsidP="0052287E">
      <w:pPr>
        <w:ind w:left="567" w:hanging="567"/>
        <w:rPr>
          <w:caps/>
          <w:szCs w:val="22"/>
        </w:rPr>
      </w:pPr>
    </w:p>
    <w:p w14:paraId="4361FCBD" w14:textId="072BCEF7" w:rsidR="0052287E" w:rsidRPr="003F7446" w:rsidRDefault="0052287E" w:rsidP="0052287E">
      <w:pPr>
        <w:pBdr>
          <w:top w:val="single" w:sz="4" w:space="1" w:color="auto"/>
          <w:left w:val="single" w:sz="4" w:space="4" w:color="auto"/>
          <w:bottom w:val="single" w:sz="4" w:space="1" w:color="auto"/>
          <w:right w:val="single" w:sz="4" w:space="4" w:color="auto"/>
        </w:pBdr>
        <w:ind w:left="567" w:hanging="567"/>
        <w:rPr>
          <w:b/>
          <w:caps/>
          <w:szCs w:val="22"/>
        </w:rPr>
      </w:pPr>
      <w:r w:rsidRPr="003F7446">
        <w:rPr>
          <w:b/>
          <w:caps/>
          <w:szCs w:val="22"/>
        </w:rPr>
        <w:t>6.</w:t>
      </w:r>
      <w:r w:rsidRPr="003F7446">
        <w:rPr>
          <w:b/>
          <w:caps/>
          <w:szCs w:val="22"/>
        </w:rPr>
        <w:tab/>
        <w:t>SPECIALUS Įspėjimas</w:t>
      </w:r>
      <w:r w:rsidRPr="003F7446">
        <w:rPr>
          <w:szCs w:val="22"/>
        </w:rPr>
        <w:t xml:space="preserve">, </w:t>
      </w:r>
      <w:r w:rsidRPr="003F7446">
        <w:rPr>
          <w:b/>
          <w:bCs/>
          <w:szCs w:val="22"/>
        </w:rPr>
        <w:t xml:space="preserve">KAD VAISTINĮ PREPARATĄ BŪTINA LAIKYTI </w:t>
      </w:r>
      <w:r w:rsidRPr="003F7446">
        <w:rPr>
          <w:b/>
          <w:caps/>
          <w:szCs w:val="22"/>
        </w:rPr>
        <w:t xml:space="preserve">vaikams nepastebimoje </w:t>
      </w:r>
      <w:r w:rsidR="00E13352" w:rsidRPr="003F7446">
        <w:rPr>
          <w:b/>
          <w:caps/>
          <w:szCs w:val="22"/>
        </w:rPr>
        <w:t xml:space="preserve">ir nepasiekiamoje </w:t>
      </w:r>
      <w:r w:rsidRPr="003F7446">
        <w:rPr>
          <w:b/>
          <w:caps/>
          <w:szCs w:val="22"/>
        </w:rPr>
        <w:t>vietoje</w:t>
      </w:r>
    </w:p>
    <w:p w14:paraId="2129A518" w14:textId="77777777" w:rsidR="0052287E" w:rsidRPr="003F7446" w:rsidRDefault="0052287E" w:rsidP="0052287E">
      <w:pPr>
        <w:ind w:left="567" w:hanging="567"/>
        <w:rPr>
          <w:szCs w:val="22"/>
        </w:rPr>
      </w:pPr>
    </w:p>
    <w:p w14:paraId="55AF59AB" w14:textId="36AF8C9C" w:rsidR="0052287E" w:rsidRPr="003F7446" w:rsidRDefault="0052287E" w:rsidP="0052287E">
      <w:pPr>
        <w:ind w:left="567" w:hanging="567"/>
        <w:rPr>
          <w:szCs w:val="22"/>
        </w:rPr>
      </w:pPr>
      <w:r w:rsidRPr="003F7446">
        <w:rPr>
          <w:szCs w:val="22"/>
        </w:rPr>
        <w:t xml:space="preserve">Laikyti vaikams </w:t>
      </w:r>
      <w:r w:rsidR="00E13352" w:rsidRPr="003F7446">
        <w:rPr>
          <w:szCs w:val="22"/>
        </w:rPr>
        <w:t xml:space="preserve">nepastebimoje ir </w:t>
      </w:r>
      <w:r w:rsidRPr="003F7446">
        <w:rPr>
          <w:szCs w:val="22"/>
        </w:rPr>
        <w:t>nepasiekiamoje vietoje.</w:t>
      </w:r>
    </w:p>
    <w:p w14:paraId="430FC7B1" w14:textId="77777777" w:rsidR="0052287E" w:rsidRPr="003F7446" w:rsidRDefault="0052287E" w:rsidP="0052287E">
      <w:pPr>
        <w:ind w:left="567" w:hanging="567"/>
        <w:rPr>
          <w:szCs w:val="22"/>
        </w:rPr>
      </w:pPr>
    </w:p>
    <w:p w14:paraId="4F6CB195" w14:textId="77777777" w:rsidR="0052287E" w:rsidRPr="003F7446" w:rsidRDefault="0052287E" w:rsidP="0052287E">
      <w:pPr>
        <w:ind w:left="567" w:hanging="567"/>
        <w:rPr>
          <w:szCs w:val="22"/>
        </w:rPr>
      </w:pPr>
    </w:p>
    <w:p w14:paraId="17E58AA1" w14:textId="77777777" w:rsidR="0052287E" w:rsidRPr="003F7446" w:rsidRDefault="0052287E" w:rsidP="0052287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3F7446">
        <w:rPr>
          <w:b/>
          <w:caps/>
          <w:szCs w:val="22"/>
        </w:rPr>
        <w:t>7.</w:t>
      </w:r>
      <w:r w:rsidRPr="003F7446">
        <w:rPr>
          <w:b/>
          <w:caps/>
          <w:szCs w:val="22"/>
        </w:rPr>
        <w:tab/>
        <w:t>kitas (-I) specialus (-ŪS) Įspėjimas (-AI) (jei reikia)</w:t>
      </w:r>
    </w:p>
    <w:p w14:paraId="5C0412BC" w14:textId="77777777" w:rsidR="0052287E" w:rsidRPr="003F7446" w:rsidRDefault="0052287E" w:rsidP="0052287E">
      <w:pPr>
        <w:ind w:left="567" w:hanging="567"/>
        <w:rPr>
          <w:caps/>
          <w:szCs w:val="22"/>
        </w:rPr>
      </w:pPr>
      <w:r w:rsidRPr="003F7446">
        <w:rPr>
          <w:caps/>
          <w:szCs w:val="22"/>
        </w:rPr>
        <w:t xml:space="preserve"> </w:t>
      </w:r>
    </w:p>
    <w:p w14:paraId="234FA4BE" w14:textId="77777777" w:rsidR="0052287E" w:rsidRPr="003F7446" w:rsidRDefault="0052287E" w:rsidP="0052287E">
      <w:pPr>
        <w:rPr>
          <w:szCs w:val="22"/>
        </w:rPr>
      </w:pPr>
      <w:r w:rsidRPr="003F7446">
        <w:rPr>
          <w:szCs w:val="22"/>
        </w:rPr>
        <w:t xml:space="preserve">Su </w:t>
      </w:r>
      <w:proofErr w:type="spellStart"/>
      <w:r w:rsidRPr="003F7446">
        <w:rPr>
          <w:szCs w:val="22"/>
        </w:rPr>
        <w:t>Mycophenolate</w:t>
      </w:r>
      <w:proofErr w:type="spellEnd"/>
      <w:r w:rsidRPr="003F7446">
        <w:rPr>
          <w:szCs w:val="22"/>
        </w:rPr>
        <w:t xml:space="preserve"> </w:t>
      </w:r>
      <w:proofErr w:type="spellStart"/>
      <w:r w:rsidRPr="003F7446">
        <w:rPr>
          <w:szCs w:val="22"/>
        </w:rPr>
        <w:t>mofetil</w:t>
      </w:r>
      <w:proofErr w:type="spellEnd"/>
      <w:r w:rsidRPr="003F7446">
        <w:rPr>
          <w:szCs w:val="22"/>
        </w:rPr>
        <w:t xml:space="preserve"> </w:t>
      </w:r>
      <w:proofErr w:type="spellStart"/>
      <w:r w:rsidRPr="003F7446">
        <w:rPr>
          <w:szCs w:val="22"/>
        </w:rPr>
        <w:t>Ranbaxy</w:t>
      </w:r>
      <w:proofErr w:type="spellEnd"/>
      <w:r w:rsidRPr="003F7446">
        <w:rPr>
          <w:szCs w:val="22"/>
        </w:rPr>
        <w:t xml:space="preserve"> plėvele dengtomis tabletėmis elkitės atsargiai. Nesulaužykite tablečių.</w:t>
      </w:r>
    </w:p>
    <w:p w14:paraId="416FDCD3" w14:textId="77777777" w:rsidR="0052287E" w:rsidRPr="003F7446" w:rsidRDefault="0052287E" w:rsidP="0052287E">
      <w:pPr>
        <w:rPr>
          <w:caps/>
          <w:szCs w:val="22"/>
        </w:rPr>
      </w:pPr>
    </w:p>
    <w:p w14:paraId="7B774F49" w14:textId="77777777" w:rsidR="0052287E" w:rsidRPr="003F7446" w:rsidRDefault="0052287E" w:rsidP="0052287E">
      <w:pPr>
        <w:rPr>
          <w:caps/>
          <w:szCs w:val="22"/>
        </w:rPr>
      </w:pPr>
    </w:p>
    <w:p w14:paraId="2B298C0C" w14:textId="77777777" w:rsidR="0052287E" w:rsidRPr="003F7446" w:rsidRDefault="0052287E" w:rsidP="0052287E">
      <w:pPr>
        <w:pBdr>
          <w:top w:val="single" w:sz="4" w:space="1" w:color="auto"/>
          <w:left w:val="single" w:sz="4" w:space="4" w:color="auto"/>
          <w:bottom w:val="single" w:sz="4" w:space="1" w:color="auto"/>
          <w:right w:val="single" w:sz="4" w:space="4" w:color="auto"/>
        </w:pBdr>
        <w:ind w:left="567" w:hanging="567"/>
        <w:rPr>
          <w:b/>
          <w:caps/>
          <w:szCs w:val="22"/>
        </w:rPr>
      </w:pPr>
      <w:r w:rsidRPr="003F7446">
        <w:rPr>
          <w:b/>
          <w:caps/>
          <w:szCs w:val="22"/>
        </w:rPr>
        <w:t>8.</w:t>
      </w:r>
      <w:r w:rsidRPr="003F7446">
        <w:rPr>
          <w:b/>
          <w:caps/>
          <w:szCs w:val="22"/>
        </w:rPr>
        <w:tab/>
        <w:t>tinkamumo laikas</w:t>
      </w:r>
    </w:p>
    <w:p w14:paraId="73EE6AD1" w14:textId="77777777" w:rsidR="0052287E" w:rsidRPr="003F7446" w:rsidRDefault="0052287E" w:rsidP="0052287E">
      <w:pPr>
        <w:ind w:left="567" w:hanging="567"/>
        <w:rPr>
          <w:szCs w:val="22"/>
        </w:rPr>
      </w:pPr>
    </w:p>
    <w:p w14:paraId="1C84D88D" w14:textId="07B1FCF7" w:rsidR="0052287E" w:rsidRPr="003F7446" w:rsidRDefault="0052287E" w:rsidP="0052287E">
      <w:pPr>
        <w:ind w:left="567" w:hanging="567"/>
        <w:rPr>
          <w:szCs w:val="22"/>
        </w:rPr>
      </w:pPr>
      <w:r w:rsidRPr="003F7446">
        <w:rPr>
          <w:szCs w:val="22"/>
        </w:rPr>
        <w:t>Tinka iki</w:t>
      </w:r>
      <w:r w:rsidR="00E13352" w:rsidRPr="003F7446">
        <w:rPr>
          <w:szCs w:val="22"/>
        </w:rPr>
        <w:t xml:space="preserve"> &lt;</w:t>
      </w:r>
      <w:r w:rsidRPr="003F7446">
        <w:rPr>
          <w:szCs w:val="22"/>
        </w:rPr>
        <w:t>mm/MMMM</w:t>
      </w:r>
      <w:r w:rsidR="00E13352" w:rsidRPr="003F7446">
        <w:rPr>
          <w:szCs w:val="22"/>
        </w:rPr>
        <w:t>&gt;</w:t>
      </w:r>
    </w:p>
    <w:p w14:paraId="2F74602E" w14:textId="77777777" w:rsidR="0052287E" w:rsidRPr="003F7446" w:rsidRDefault="0052287E" w:rsidP="0052287E">
      <w:pPr>
        <w:ind w:left="567" w:hanging="567"/>
        <w:rPr>
          <w:szCs w:val="22"/>
        </w:rPr>
      </w:pPr>
    </w:p>
    <w:p w14:paraId="1E9A9F14" w14:textId="77777777" w:rsidR="0052287E" w:rsidRPr="003F7446" w:rsidRDefault="0052287E" w:rsidP="0052287E">
      <w:pPr>
        <w:ind w:left="567" w:hanging="567"/>
        <w:rPr>
          <w:szCs w:val="22"/>
        </w:rPr>
      </w:pPr>
    </w:p>
    <w:p w14:paraId="2CD577FE" w14:textId="77777777" w:rsidR="0052287E" w:rsidRPr="003F7446" w:rsidRDefault="0052287E" w:rsidP="0052287E">
      <w:pPr>
        <w:pBdr>
          <w:top w:val="single" w:sz="4" w:space="1" w:color="auto"/>
          <w:left w:val="single" w:sz="4" w:space="4" w:color="auto"/>
          <w:bottom w:val="single" w:sz="4" w:space="1" w:color="auto"/>
          <w:right w:val="single" w:sz="4" w:space="4" w:color="auto"/>
        </w:pBdr>
        <w:ind w:left="567" w:hanging="567"/>
        <w:rPr>
          <w:b/>
          <w:caps/>
          <w:szCs w:val="22"/>
        </w:rPr>
      </w:pPr>
      <w:r w:rsidRPr="003F7446">
        <w:rPr>
          <w:b/>
          <w:caps/>
          <w:szCs w:val="22"/>
        </w:rPr>
        <w:lastRenderedPageBreak/>
        <w:t>9.</w:t>
      </w:r>
      <w:r w:rsidRPr="003F7446">
        <w:rPr>
          <w:b/>
          <w:caps/>
          <w:szCs w:val="22"/>
        </w:rPr>
        <w:tab/>
        <w:t>SPECIALIOS laikymo sąlygos</w:t>
      </w:r>
    </w:p>
    <w:p w14:paraId="146907D2" w14:textId="77777777" w:rsidR="0052287E" w:rsidRPr="003F7446" w:rsidRDefault="0052287E" w:rsidP="0052287E">
      <w:pPr>
        <w:ind w:left="567" w:hanging="567"/>
        <w:rPr>
          <w:szCs w:val="22"/>
        </w:rPr>
      </w:pPr>
    </w:p>
    <w:p w14:paraId="1C5DADC7"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Šiam vaistiniam preparatui specialių </w:t>
      </w:r>
      <w:proofErr w:type="spellStart"/>
      <w:r w:rsidRPr="003F7446">
        <w:rPr>
          <w:color w:val="auto"/>
          <w:sz w:val="22"/>
          <w:szCs w:val="22"/>
          <w:lang w:val="lt-LT"/>
        </w:rPr>
        <w:t>temperatūrinių</w:t>
      </w:r>
      <w:proofErr w:type="spellEnd"/>
      <w:r w:rsidRPr="003F7446">
        <w:rPr>
          <w:color w:val="auto"/>
          <w:sz w:val="22"/>
          <w:szCs w:val="22"/>
          <w:lang w:val="lt-LT"/>
        </w:rPr>
        <w:t xml:space="preserve"> laikymo sąlygų nereikia. Laikyti gamintojo pakuotėje, kad preparatas būtų apsaugotas nuo šviesos.</w:t>
      </w:r>
    </w:p>
    <w:p w14:paraId="50E05E65" w14:textId="77777777" w:rsidR="0052287E" w:rsidRPr="003F7446" w:rsidRDefault="0052287E" w:rsidP="0052287E">
      <w:pPr>
        <w:ind w:left="567" w:hanging="567"/>
        <w:rPr>
          <w:szCs w:val="22"/>
        </w:rPr>
      </w:pPr>
    </w:p>
    <w:p w14:paraId="4A921DE2" w14:textId="77777777" w:rsidR="0052287E" w:rsidRPr="003F7446" w:rsidRDefault="0052287E" w:rsidP="0052287E">
      <w:pPr>
        <w:ind w:left="567" w:hanging="567"/>
        <w:rPr>
          <w:szCs w:val="22"/>
        </w:rPr>
      </w:pPr>
    </w:p>
    <w:p w14:paraId="62915518" w14:textId="77777777" w:rsidR="0052287E" w:rsidRPr="003F7446" w:rsidRDefault="0052287E" w:rsidP="0052287E">
      <w:pPr>
        <w:pBdr>
          <w:top w:val="single" w:sz="4" w:space="1" w:color="auto"/>
          <w:left w:val="single" w:sz="4" w:space="4" w:color="auto"/>
          <w:bottom w:val="single" w:sz="4" w:space="1" w:color="auto"/>
          <w:right w:val="single" w:sz="4" w:space="4" w:color="auto"/>
        </w:pBdr>
        <w:ind w:left="567" w:hanging="567"/>
        <w:rPr>
          <w:caps/>
          <w:szCs w:val="22"/>
        </w:rPr>
      </w:pPr>
      <w:r w:rsidRPr="003F7446">
        <w:rPr>
          <w:b/>
          <w:caps/>
          <w:szCs w:val="22"/>
        </w:rPr>
        <w:t>10.</w:t>
      </w:r>
      <w:r w:rsidRPr="003F7446">
        <w:rPr>
          <w:b/>
          <w:caps/>
          <w:szCs w:val="22"/>
        </w:rPr>
        <w:tab/>
        <w:t xml:space="preserve">specialios atsargumo priemonės </w:t>
      </w:r>
      <w:r w:rsidRPr="003F7446">
        <w:rPr>
          <w:b/>
          <w:szCs w:val="22"/>
        </w:rPr>
        <w:t>DĖL NESUVARTOTO</w:t>
      </w:r>
      <w:r w:rsidRPr="003F7446">
        <w:rPr>
          <w:b/>
          <w:caps/>
          <w:szCs w:val="22"/>
        </w:rPr>
        <w:t xml:space="preserve"> VAISTINIO PREPARATO AR JO ATLIEKŲ TVARKYMO</w:t>
      </w:r>
      <w:r w:rsidRPr="003F7446">
        <w:rPr>
          <w:caps/>
          <w:szCs w:val="22"/>
        </w:rPr>
        <w:t xml:space="preserve"> </w:t>
      </w:r>
      <w:r w:rsidRPr="003F7446">
        <w:rPr>
          <w:b/>
          <w:caps/>
          <w:szCs w:val="22"/>
        </w:rPr>
        <w:t>(jei reikia)</w:t>
      </w:r>
    </w:p>
    <w:p w14:paraId="7C7A6C6E" w14:textId="77777777" w:rsidR="0052287E" w:rsidRPr="003F7446" w:rsidRDefault="0052287E" w:rsidP="0052287E">
      <w:pPr>
        <w:ind w:left="567" w:hanging="567"/>
        <w:rPr>
          <w:caps/>
          <w:szCs w:val="22"/>
        </w:rPr>
      </w:pPr>
    </w:p>
    <w:p w14:paraId="7F9EBBAE" w14:textId="77777777" w:rsidR="0052287E" w:rsidRPr="003F7446" w:rsidRDefault="0052287E" w:rsidP="0052287E">
      <w:pPr>
        <w:ind w:left="567" w:hanging="567"/>
        <w:rPr>
          <w:caps/>
          <w:szCs w:val="22"/>
        </w:rPr>
      </w:pPr>
      <w:r w:rsidRPr="003F7446">
        <w:rPr>
          <w:szCs w:val="22"/>
        </w:rPr>
        <w:t xml:space="preserve">Nesuvartotą </w:t>
      </w:r>
      <w:r w:rsidR="00E13352" w:rsidRPr="003F7446">
        <w:rPr>
          <w:szCs w:val="22"/>
        </w:rPr>
        <w:t xml:space="preserve">vaistinį </w:t>
      </w:r>
      <w:r w:rsidRPr="003F7446">
        <w:rPr>
          <w:szCs w:val="22"/>
        </w:rPr>
        <w:t>preparatą ar atliekas reikia tvarkyti laikantis vietinių reikalavimų.</w:t>
      </w:r>
    </w:p>
    <w:p w14:paraId="07930F01" w14:textId="77777777" w:rsidR="0052287E" w:rsidRPr="003F7446" w:rsidRDefault="0052287E" w:rsidP="0052287E">
      <w:pPr>
        <w:ind w:left="567" w:hanging="567"/>
        <w:rPr>
          <w:caps/>
          <w:szCs w:val="22"/>
        </w:rPr>
      </w:pPr>
    </w:p>
    <w:p w14:paraId="2FB35887" w14:textId="77777777" w:rsidR="0052287E" w:rsidRPr="003F7446" w:rsidRDefault="0052287E" w:rsidP="0052287E">
      <w:pPr>
        <w:ind w:left="567" w:hanging="567"/>
        <w:rPr>
          <w:caps/>
          <w:szCs w:val="22"/>
        </w:rPr>
      </w:pPr>
    </w:p>
    <w:p w14:paraId="0E58119B" w14:textId="77777777" w:rsidR="0052287E" w:rsidRPr="003F7446" w:rsidRDefault="0052287E" w:rsidP="0052287E">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3F7446">
        <w:rPr>
          <w:b/>
          <w:caps/>
          <w:szCs w:val="22"/>
        </w:rPr>
        <w:t>11.</w:t>
      </w:r>
      <w:r w:rsidRPr="003F7446">
        <w:rPr>
          <w:b/>
          <w:caps/>
          <w:szCs w:val="22"/>
        </w:rPr>
        <w:tab/>
        <w:t>RINKODAROS TEISĖS turėtojo pavadinimas ir adresas</w:t>
      </w:r>
    </w:p>
    <w:p w14:paraId="63A823A0" w14:textId="77777777" w:rsidR="0052287E" w:rsidRPr="003F7446" w:rsidRDefault="0052287E" w:rsidP="0052287E">
      <w:pPr>
        <w:rPr>
          <w:rFonts w:eastAsia="Arial Unicode MS"/>
          <w:szCs w:val="22"/>
        </w:rPr>
      </w:pPr>
    </w:p>
    <w:p w14:paraId="446B936E" w14:textId="77777777" w:rsidR="0052287E" w:rsidRPr="003F7446" w:rsidRDefault="0052287E" w:rsidP="0052287E">
      <w:pPr>
        <w:autoSpaceDE w:val="0"/>
        <w:autoSpaceDN w:val="0"/>
        <w:adjustRightInd w:val="0"/>
        <w:rPr>
          <w:bCs/>
          <w:szCs w:val="22"/>
        </w:rPr>
      </w:pPr>
      <w:proofErr w:type="spellStart"/>
      <w:r w:rsidRPr="003F7446">
        <w:rPr>
          <w:bCs/>
          <w:szCs w:val="22"/>
        </w:rPr>
        <w:t>Ranbaxy</w:t>
      </w:r>
      <w:proofErr w:type="spellEnd"/>
      <w:r w:rsidRPr="003F7446">
        <w:rPr>
          <w:bCs/>
          <w:szCs w:val="22"/>
        </w:rPr>
        <w:t xml:space="preserve"> UK Ltd.</w:t>
      </w:r>
    </w:p>
    <w:p w14:paraId="6E03C8C9" w14:textId="77777777" w:rsidR="0052287E" w:rsidRPr="003F7446" w:rsidRDefault="0052287E" w:rsidP="0052287E">
      <w:pPr>
        <w:autoSpaceDE w:val="0"/>
        <w:autoSpaceDN w:val="0"/>
        <w:adjustRightInd w:val="0"/>
        <w:ind w:left="1296" w:hanging="1296"/>
        <w:rPr>
          <w:bCs/>
          <w:szCs w:val="22"/>
        </w:rPr>
      </w:pPr>
      <w:proofErr w:type="spellStart"/>
      <w:r w:rsidRPr="003F7446">
        <w:rPr>
          <w:bCs/>
          <w:szCs w:val="22"/>
        </w:rPr>
        <w:t>Building</w:t>
      </w:r>
      <w:proofErr w:type="spellEnd"/>
      <w:r w:rsidRPr="003F7446">
        <w:rPr>
          <w:bCs/>
          <w:szCs w:val="22"/>
        </w:rPr>
        <w:t xml:space="preserve"> 4 </w:t>
      </w:r>
      <w:proofErr w:type="spellStart"/>
      <w:r w:rsidRPr="003F7446">
        <w:rPr>
          <w:bCs/>
          <w:szCs w:val="22"/>
        </w:rPr>
        <w:t>Chiswick</w:t>
      </w:r>
      <w:proofErr w:type="spellEnd"/>
      <w:r w:rsidRPr="003F7446">
        <w:rPr>
          <w:bCs/>
          <w:szCs w:val="22"/>
        </w:rPr>
        <w:t xml:space="preserve"> </w:t>
      </w:r>
      <w:proofErr w:type="spellStart"/>
      <w:r w:rsidRPr="003F7446">
        <w:rPr>
          <w:bCs/>
          <w:szCs w:val="22"/>
        </w:rPr>
        <w:t>Park</w:t>
      </w:r>
      <w:proofErr w:type="spellEnd"/>
    </w:p>
    <w:p w14:paraId="223AC174" w14:textId="77777777" w:rsidR="0052287E" w:rsidRPr="003F7446" w:rsidRDefault="0052287E" w:rsidP="0052287E">
      <w:pPr>
        <w:autoSpaceDE w:val="0"/>
        <w:autoSpaceDN w:val="0"/>
        <w:adjustRightInd w:val="0"/>
        <w:ind w:left="1296" w:hanging="1296"/>
        <w:rPr>
          <w:rFonts w:eastAsia="MS Mincho"/>
          <w:bCs/>
          <w:szCs w:val="22"/>
          <w:lang w:eastAsia="ja-JP"/>
        </w:rPr>
      </w:pPr>
      <w:r w:rsidRPr="003F7446">
        <w:rPr>
          <w:rFonts w:eastAsia="MS Mincho"/>
          <w:bCs/>
          <w:szCs w:val="22"/>
          <w:lang w:eastAsia="ja-JP"/>
        </w:rPr>
        <w:t xml:space="preserve">566 </w:t>
      </w:r>
      <w:proofErr w:type="spellStart"/>
      <w:r w:rsidRPr="003F7446">
        <w:rPr>
          <w:rFonts w:eastAsia="MS Mincho"/>
          <w:bCs/>
          <w:szCs w:val="22"/>
          <w:lang w:eastAsia="ja-JP"/>
        </w:rPr>
        <w:t>Chiswick</w:t>
      </w:r>
      <w:proofErr w:type="spellEnd"/>
      <w:r w:rsidRPr="003F7446">
        <w:rPr>
          <w:rFonts w:eastAsia="MS Mincho"/>
          <w:bCs/>
          <w:szCs w:val="22"/>
          <w:lang w:eastAsia="ja-JP"/>
        </w:rPr>
        <w:t xml:space="preserve"> </w:t>
      </w:r>
      <w:proofErr w:type="spellStart"/>
      <w:r w:rsidRPr="003F7446">
        <w:rPr>
          <w:rFonts w:eastAsia="MS Mincho"/>
          <w:bCs/>
          <w:szCs w:val="22"/>
          <w:lang w:eastAsia="ja-JP"/>
        </w:rPr>
        <w:t>High</w:t>
      </w:r>
      <w:proofErr w:type="spellEnd"/>
      <w:r w:rsidRPr="003F7446">
        <w:rPr>
          <w:rFonts w:eastAsia="MS Mincho"/>
          <w:bCs/>
          <w:szCs w:val="22"/>
          <w:lang w:eastAsia="ja-JP"/>
        </w:rPr>
        <w:t xml:space="preserve"> </w:t>
      </w:r>
      <w:proofErr w:type="spellStart"/>
      <w:r w:rsidRPr="003F7446">
        <w:rPr>
          <w:rFonts w:eastAsia="MS Mincho"/>
          <w:bCs/>
          <w:szCs w:val="22"/>
          <w:lang w:eastAsia="ja-JP"/>
        </w:rPr>
        <w:t>Road</w:t>
      </w:r>
      <w:proofErr w:type="spellEnd"/>
    </w:p>
    <w:p w14:paraId="431C517D" w14:textId="77777777" w:rsidR="0052287E" w:rsidRPr="003F7446" w:rsidRDefault="0052287E" w:rsidP="0052287E">
      <w:pPr>
        <w:autoSpaceDE w:val="0"/>
        <w:autoSpaceDN w:val="0"/>
        <w:adjustRightInd w:val="0"/>
        <w:rPr>
          <w:bCs/>
          <w:szCs w:val="22"/>
        </w:rPr>
      </w:pPr>
      <w:proofErr w:type="spellStart"/>
      <w:r w:rsidRPr="003F7446">
        <w:rPr>
          <w:bCs/>
          <w:szCs w:val="22"/>
        </w:rPr>
        <w:t>London</w:t>
      </w:r>
      <w:proofErr w:type="spellEnd"/>
      <w:r w:rsidRPr="003F7446">
        <w:rPr>
          <w:bCs/>
          <w:szCs w:val="22"/>
        </w:rPr>
        <w:t xml:space="preserve"> W4 5YE</w:t>
      </w:r>
    </w:p>
    <w:p w14:paraId="306EF3CA" w14:textId="77777777" w:rsidR="0052287E" w:rsidRPr="003F7446" w:rsidRDefault="0052287E" w:rsidP="0052287E">
      <w:pPr>
        <w:pStyle w:val="BTEMEASMCA"/>
        <w:rPr>
          <w:rFonts w:ascii="Times New Roman" w:hAnsi="Times New Roman" w:cs="Times New Roman"/>
        </w:rPr>
      </w:pPr>
      <w:r w:rsidRPr="003F7446">
        <w:rPr>
          <w:rFonts w:ascii="Times New Roman" w:hAnsi="Times New Roman" w:cs="Times New Roman"/>
        </w:rPr>
        <w:t>Jungtinė Karalystė</w:t>
      </w:r>
    </w:p>
    <w:p w14:paraId="2B8B5BE2" w14:textId="77777777" w:rsidR="0052287E" w:rsidRPr="003F7446" w:rsidRDefault="0052287E" w:rsidP="0052287E">
      <w:pPr>
        <w:ind w:left="567" w:hanging="567"/>
        <w:rPr>
          <w:caps/>
          <w:szCs w:val="22"/>
        </w:rPr>
      </w:pPr>
    </w:p>
    <w:p w14:paraId="1C50BC3A" w14:textId="77777777" w:rsidR="0052287E" w:rsidRPr="003F7446" w:rsidRDefault="0052287E" w:rsidP="0052287E">
      <w:pPr>
        <w:ind w:left="567" w:hanging="567"/>
        <w:rPr>
          <w:caps/>
          <w:szCs w:val="22"/>
        </w:rPr>
      </w:pPr>
    </w:p>
    <w:p w14:paraId="6051CFB7" w14:textId="77777777" w:rsidR="0052287E" w:rsidRPr="003F7446" w:rsidRDefault="0052287E" w:rsidP="0052287E">
      <w:pPr>
        <w:pBdr>
          <w:top w:val="single" w:sz="4" w:space="1" w:color="auto"/>
          <w:left w:val="single" w:sz="4" w:space="4" w:color="auto"/>
          <w:bottom w:val="single" w:sz="4" w:space="1" w:color="auto"/>
          <w:right w:val="single" w:sz="4" w:space="4" w:color="auto"/>
        </w:pBdr>
        <w:ind w:left="567" w:hanging="567"/>
        <w:rPr>
          <w:szCs w:val="22"/>
        </w:rPr>
      </w:pPr>
      <w:r w:rsidRPr="003F7446">
        <w:rPr>
          <w:b/>
          <w:caps/>
          <w:szCs w:val="22"/>
        </w:rPr>
        <w:t>12.</w:t>
      </w:r>
      <w:r w:rsidRPr="003F7446">
        <w:rPr>
          <w:b/>
          <w:caps/>
          <w:szCs w:val="22"/>
        </w:rPr>
        <w:tab/>
        <w:t>RINKODAROS TEISĖS numeris</w:t>
      </w:r>
    </w:p>
    <w:p w14:paraId="3D9A86BB" w14:textId="77777777" w:rsidR="0052287E" w:rsidRPr="003F7446" w:rsidRDefault="0052287E" w:rsidP="0052287E">
      <w:pPr>
        <w:ind w:left="567" w:hanging="567"/>
        <w:rPr>
          <w:szCs w:val="22"/>
        </w:rPr>
      </w:pPr>
    </w:p>
    <w:p w14:paraId="6C2F994F" w14:textId="77777777" w:rsidR="0052287E" w:rsidRPr="003F7446" w:rsidRDefault="0052287E" w:rsidP="0052287E">
      <w:pPr>
        <w:pStyle w:val="BTEMEASMCA"/>
        <w:rPr>
          <w:rFonts w:ascii="Times New Roman" w:hAnsi="Times New Roman" w:cs="Times New Roman"/>
        </w:rPr>
      </w:pPr>
      <w:r w:rsidRPr="003F7446">
        <w:rPr>
          <w:rFonts w:ascii="Times New Roman" w:hAnsi="Times New Roman" w:cs="Times New Roman"/>
        </w:rPr>
        <w:t>N50 – LT/1/11/2503/001</w:t>
      </w:r>
    </w:p>
    <w:p w14:paraId="791962AF" w14:textId="77777777" w:rsidR="0052287E" w:rsidRPr="003F7446" w:rsidRDefault="0052287E" w:rsidP="0052287E">
      <w:pPr>
        <w:pStyle w:val="BTEMEASMCA"/>
        <w:rPr>
          <w:rFonts w:ascii="Times New Roman" w:hAnsi="Times New Roman" w:cs="Times New Roman"/>
        </w:rPr>
      </w:pPr>
      <w:r w:rsidRPr="003F7446">
        <w:rPr>
          <w:rFonts w:ascii="Times New Roman" w:hAnsi="Times New Roman" w:cs="Times New Roman"/>
        </w:rPr>
        <w:t>N150 – LT/1/11/2503/002</w:t>
      </w:r>
    </w:p>
    <w:p w14:paraId="5DEBBE7F" w14:textId="77777777" w:rsidR="0052287E" w:rsidRPr="003F7446" w:rsidRDefault="0052287E" w:rsidP="0052287E">
      <w:pPr>
        <w:ind w:left="567" w:hanging="567"/>
        <w:rPr>
          <w:szCs w:val="22"/>
        </w:rPr>
      </w:pPr>
    </w:p>
    <w:p w14:paraId="37F7EFC5" w14:textId="77777777" w:rsidR="0052287E" w:rsidRPr="003F7446" w:rsidRDefault="0052287E" w:rsidP="0052287E">
      <w:pPr>
        <w:ind w:left="567" w:hanging="567"/>
        <w:rPr>
          <w:szCs w:val="22"/>
        </w:rPr>
      </w:pPr>
    </w:p>
    <w:p w14:paraId="3DB6260B" w14:textId="77777777" w:rsidR="0052287E" w:rsidRPr="003F7446" w:rsidRDefault="0052287E" w:rsidP="0052287E">
      <w:pPr>
        <w:pBdr>
          <w:top w:val="single" w:sz="4" w:space="1" w:color="auto"/>
          <w:left w:val="single" w:sz="4" w:space="4" w:color="auto"/>
          <w:bottom w:val="single" w:sz="4" w:space="1" w:color="auto"/>
          <w:right w:val="single" w:sz="4" w:space="4" w:color="auto"/>
        </w:pBdr>
        <w:ind w:left="567" w:hanging="567"/>
        <w:rPr>
          <w:b/>
          <w:caps/>
          <w:szCs w:val="22"/>
        </w:rPr>
      </w:pPr>
      <w:r w:rsidRPr="003F7446">
        <w:rPr>
          <w:b/>
          <w:caps/>
          <w:szCs w:val="22"/>
        </w:rPr>
        <w:t>13.</w:t>
      </w:r>
      <w:r w:rsidRPr="003F7446">
        <w:rPr>
          <w:b/>
          <w:caps/>
          <w:szCs w:val="22"/>
        </w:rPr>
        <w:tab/>
        <w:t>serijos numeris</w:t>
      </w:r>
    </w:p>
    <w:p w14:paraId="0FDE46CC" w14:textId="77777777" w:rsidR="0052287E" w:rsidRPr="003F7446" w:rsidRDefault="0052287E" w:rsidP="0052287E">
      <w:pPr>
        <w:ind w:left="567" w:hanging="567"/>
        <w:rPr>
          <w:szCs w:val="22"/>
        </w:rPr>
      </w:pPr>
    </w:p>
    <w:p w14:paraId="5D4EA892" w14:textId="77777777" w:rsidR="0052287E" w:rsidRPr="003F7446" w:rsidRDefault="0052287E" w:rsidP="0052287E">
      <w:pPr>
        <w:ind w:left="567" w:hanging="567"/>
        <w:rPr>
          <w:szCs w:val="22"/>
        </w:rPr>
      </w:pPr>
      <w:r w:rsidRPr="003F7446">
        <w:rPr>
          <w:szCs w:val="22"/>
        </w:rPr>
        <w:t>Serija:</w:t>
      </w:r>
    </w:p>
    <w:p w14:paraId="2DA5C62D" w14:textId="77777777" w:rsidR="0052287E" w:rsidRPr="003F7446" w:rsidRDefault="0052287E" w:rsidP="0052287E">
      <w:pPr>
        <w:ind w:left="567" w:hanging="567"/>
        <w:rPr>
          <w:szCs w:val="22"/>
        </w:rPr>
      </w:pPr>
    </w:p>
    <w:p w14:paraId="4BB07DB8" w14:textId="77777777" w:rsidR="0052287E" w:rsidRPr="003F7446" w:rsidRDefault="0052287E" w:rsidP="0052287E">
      <w:pPr>
        <w:ind w:left="567" w:hanging="567"/>
        <w:rPr>
          <w:szCs w:val="22"/>
        </w:rPr>
      </w:pPr>
    </w:p>
    <w:p w14:paraId="4CD3DFB9" w14:textId="77777777" w:rsidR="0052287E" w:rsidRPr="003F7446" w:rsidRDefault="0052287E" w:rsidP="0052287E">
      <w:pPr>
        <w:pBdr>
          <w:top w:val="single" w:sz="4" w:space="1" w:color="auto"/>
          <w:left w:val="single" w:sz="4" w:space="4" w:color="auto"/>
          <w:bottom w:val="single" w:sz="4" w:space="1" w:color="auto"/>
          <w:right w:val="single" w:sz="4" w:space="4" w:color="auto"/>
        </w:pBdr>
        <w:ind w:left="567" w:hanging="567"/>
        <w:rPr>
          <w:b/>
          <w:caps/>
          <w:szCs w:val="22"/>
        </w:rPr>
      </w:pPr>
      <w:r w:rsidRPr="003F7446">
        <w:rPr>
          <w:b/>
          <w:caps/>
          <w:szCs w:val="22"/>
        </w:rPr>
        <w:t>14.</w:t>
      </w:r>
      <w:r w:rsidRPr="003F7446">
        <w:rPr>
          <w:b/>
          <w:caps/>
          <w:szCs w:val="22"/>
        </w:rPr>
        <w:tab/>
        <w:t>PARDAVIMO (IŠDAVIMO) tvarka</w:t>
      </w:r>
    </w:p>
    <w:p w14:paraId="773A9AEA" w14:textId="77777777" w:rsidR="0052287E" w:rsidRPr="003F7446" w:rsidRDefault="0052287E" w:rsidP="0052287E">
      <w:pPr>
        <w:ind w:left="567" w:hanging="567"/>
        <w:rPr>
          <w:szCs w:val="22"/>
        </w:rPr>
      </w:pPr>
    </w:p>
    <w:p w14:paraId="1E55F3A1" w14:textId="77777777" w:rsidR="0052287E" w:rsidRPr="003F7446" w:rsidRDefault="0052287E" w:rsidP="0052287E">
      <w:pPr>
        <w:ind w:left="567" w:hanging="567"/>
        <w:rPr>
          <w:szCs w:val="22"/>
        </w:rPr>
      </w:pPr>
      <w:r w:rsidRPr="003F7446">
        <w:rPr>
          <w:szCs w:val="22"/>
        </w:rPr>
        <w:t>Receptinis vaistinis preparatas</w:t>
      </w:r>
    </w:p>
    <w:p w14:paraId="62701B43" w14:textId="77777777" w:rsidR="0052287E" w:rsidRPr="003F7446" w:rsidRDefault="0052287E" w:rsidP="0052287E">
      <w:pPr>
        <w:ind w:left="567" w:hanging="567"/>
        <w:rPr>
          <w:szCs w:val="22"/>
        </w:rPr>
      </w:pPr>
    </w:p>
    <w:p w14:paraId="01D2C6E4" w14:textId="77777777" w:rsidR="0052287E" w:rsidRPr="003F7446" w:rsidRDefault="0052287E" w:rsidP="0052287E">
      <w:pPr>
        <w:ind w:left="567" w:hanging="567"/>
        <w:rPr>
          <w:szCs w:val="22"/>
        </w:rPr>
      </w:pPr>
    </w:p>
    <w:p w14:paraId="0E24BB60" w14:textId="77777777" w:rsidR="0052287E" w:rsidRPr="003F7446" w:rsidRDefault="0052287E" w:rsidP="0052287E">
      <w:pPr>
        <w:pBdr>
          <w:top w:val="single" w:sz="4" w:space="1" w:color="auto"/>
          <w:left w:val="single" w:sz="4" w:space="4" w:color="auto"/>
          <w:bottom w:val="single" w:sz="4" w:space="1" w:color="auto"/>
          <w:right w:val="single" w:sz="4" w:space="4" w:color="auto"/>
        </w:pBdr>
        <w:ind w:left="567" w:hanging="567"/>
        <w:rPr>
          <w:b/>
          <w:caps/>
          <w:szCs w:val="22"/>
        </w:rPr>
      </w:pPr>
      <w:r w:rsidRPr="003F7446">
        <w:rPr>
          <w:b/>
          <w:caps/>
          <w:szCs w:val="22"/>
        </w:rPr>
        <w:t>15.</w:t>
      </w:r>
      <w:r w:rsidRPr="003F7446">
        <w:rPr>
          <w:b/>
          <w:caps/>
          <w:szCs w:val="22"/>
        </w:rPr>
        <w:tab/>
        <w:t>vartojimo instrukcijA</w:t>
      </w:r>
    </w:p>
    <w:p w14:paraId="3234FB3D" w14:textId="77777777" w:rsidR="0052287E" w:rsidRPr="003F7446" w:rsidRDefault="0052287E" w:rsidP="0052287E">
      <w:pPr>
        <w:ind w:left="567" w:hanging="567"/>
        <w:rPr>
          <w:szCs w:val="22"/>
        </w:rPr>
      </w:pPr>
    </w:p>
    <w:p w14:paraId="359727D5" w14:textId="77777777" w:rsidR="0052287E" w:rsidRPr="003F7446" w:rsidRDefault="0052287E" w:rsidP="0052287E">
      <w:pPr>
        <w:ind w:left="567" w:hanging="567"/>
        <w:rPr>
          <w:szCs w:val="22"/>
        </w:rPr>
      </w:pPr>
    </w:p>
    <w:p w14:paraId="02DFD399" w14:textId="77777777" w:rsidR="0052287E" w:rsidRPr="003F7446" w:rsidRDefault="0052287E" w:rsidP="0052287E">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3F7446">
        <w:rPr>
          <w:b/>
          <w:szCs w:val="22"/>
        </w:rPr>
        <w:t>16.</w:t>
      </w:r>
      <w:r w:rsidRPr="003F7446">
        <w:rPr>
          <w:b/>
          <w:szCs w:val="22"/>
        </w:rPr>
        <w:tab/>
        <w:t>INFORMACIJA BRAILIO RAŠTU</w:t>
      </w:r>
    </w:p>
    <w:p w14:paraId="5FC5576B" w14:textId="77777777" w:rsidR="0052287E" w:rsidRPr="003F7446" w:rsidRDefault="0052287E" w:rsidP="0052287E">
      <w:pPr>
        <w:rPr>
          <w:szCs w:val="22"/>
        </w:rPr>
      </w:pPr>
    </w:p>
    <w:p w14:paraId="30B77E9D" w14:textId="77777777" w:rsidR="0052287E" w:rsidRPr="003F7446" w:rsidRDefault="0052287E" w:rsidP="0052287E">
      <w:pPr>
        <w:rPr>
          <w:szCs w:val="22"/>
        </w:rPr>
      </w:pPr>
      <w:proofErr w:type="spellStart"/>
      <w:r w:rsidRPr="003F7446">
        <w:rPr>
          <w:szCs w:val="22"/>
        </w:rPr>
        <w:t>Mycophenolate</w:t>
      </w:r>
      <w:proofErr w:type="spellEnd"/>
      <w:r w:rsidRPr="003F7446">
        <w:rPr>
          <w:szCs w:val="22"/>
        </w:rPr>
        <w:t xml:space="preserve"> </w:t>
      </w:r>
      <w:proofErr w:type="spellStart"/>
      <w:r w:rsidRPr="003F7446">
        <w:rPr>
          <w:szCs w:val="22"/>
        </w:rPr>
        <w:t>mofetil</w:t>
      </w:r>
      <w:proofErr w:type="spellEnd"/>
      <w:r w:rsidRPr="003F7446">
        <w:rPr>
          <w:szCs w:val="22"/>
        </w:rPr>
        <w:t xml:space="preserve"> </w:t>
      </w:r>
      <w:proofErr w:type="spellStart"/>
      <w:r w:rsidRPr="003F7446">
        <w:rPr>
          <w:szCs w:val="22"/>
        </w:rPr>
        <w:t>ranbaxy</w:t>
      </w:r>
      <w:proofErr w:type="spellEnd"/>
      <w:r w:rsidRPr="003F7446">
        <w:rPr>
          <w:szCs w:val="22"/>
        </w:rPr>
        <w:t xml:space="preserve"> 500 mg</w:t>
      </w:r>
    </w:p>
    <w:p w14:paraId="0A81163E" w14:textId="77777777" w:rsidR="0052287E" w:rsidRPr="003F7446" w:rsidRDefault="0052287E" w:rsidP="0052287E">
      <w:pPr>
        <w:rPr>
          <w:szCs w:val="22"/>
        </w:rPr>
      </w:pPr>
      <w:r w:rsidRPr="003F7446">
        <w:rPr>
          <w:szCs w:val="22"/>
        </w:rPr>
        <w:br w:type="page"/>
      </w:r>
    </w:p>
    <w:p w14:paraId="153F0DC3" w14:textId="77777777" w:rsidR="0052287E" w:rsidRPr="003F7446" w:rsidRDefault="0052287E" w:rsidP="0052287E">
      <w:pPr>
        <w:pStyle w:val="Pagrindinistekstas"/>
        <w:pBdr>
          <w:top w:val="single" w:sz="4" w:space="1" w:color="auto"/>
          <w:left w:val="single" w:sz="4" w:space="4" w:color="auto"/>
          <w:bottom w:val="single" w:sz="4" w:space="1" w:color="auto"/>
          <w:right w:val="single" w:sz="4" w:space="4" w:color="auto"/>
        </w:pBdr>
        <w:spacing w:after="0"/>
        <w:rPr>
          <w:b/>
          <w:szCs w:val="22"/>
        </w:rPr>
      </w:pPr>
      <w:r w:rsidRPr="003F7446">
        <w:rPr>
          <w:b/>
          <w:szCs w:val="22"/>
        </w:rPr>
        <w:lastRenderedPageBreak/>
        <w:t>MINIMALI INFORMACIJA ANT LIZDINIŲ PLOKŠTELIŲ ARBA DVISLUOKSNIŲ JUOSTELIŲ</w:t>
      </w:r>
    </w:p>
    <w:p w14:paraId="2EFF9F06" w14:textId="77777777" w:rsidR="0052287E" w:rsidRPr="003F7446" w:rsidRDefault="0052287E" w:rsidP="0052287E">
      <w:pPr>
        <w:pStyle w:val="Pagrindinistekstas"/>
        <w:pBdr>
          <w:top w:val="single" w:sz="4" w:space="1" w:color="auto"/>
          <w:left w:val="single" w:sz="4" w:space="4" w:color="auto"/>
          <w:bottom w:val="single" w:sz="4" w:space="1" w:color="auto"/>
          <w:right w:val="single" w:sz="4" w:space="4" w:color="auto"/>
        </w:pBdr>
        <w:spacing w:after="0"/>
        <w:rPr>
          <w:b/>
          <w:szCs w:val="22"/>
        </w:rPr>
      </w:pPr>
    </w:p>
    <w:p w14:paraId="1F8470F7" w14:textId="77777777" w:rsidR="0052287E" w:rsidRPr="003F7446" w:rsidRDefault="0052287E" w:rsidP="0052287E">
      <w:pPr>
        <w:pStyle w:val="Pagrindinistekstas"/>
        <w:pBdr>
          <w:top w:val="single" w:sz="4" w:space="1" w:color="auto"/>
          <w:left w:val="single" w:sz="4" w:space="4" w:color="auto"/>
          <w:bottom w:val="single" w:sz="4" w:space="1" w:color="auto"/>
          <w:right w:val="single" w:sz="4" w:space="4" w:color="auto"/>
        </w:pBdr>
        <w:spacing w:after="0"/>
        <w:jc w:val="both"/>
        <w:rPr>
          <w:b/>
          <w:szCs w:val="22"/>
        </w:rPr>
      </w:pPr>
      <w:r w:rsidRPr="003F7446">
        <w:rPr>
          <w:b/>
          <w:szCs w:val="22"/>
        </w:rPr>
        <w:t>LIZDINĖ PLOKŠTELĖ</w:t>
      </w:r>
    </w:p>
    <w:p w14:paraId="36EE67A8" w14:textId="77777777" w:rsidR="0052287E" w:rsidRPr="003F7446" w:rsidRDefault="0052287E" w:rsidP="0052287E">
      <w:pPr>
        <w:pStyle w:val="Pagrindinistekstas"/>
        <w:spacing w:after="0"/>
        <w:jc w:val="both"/>
        <w:rPr>
          <w:szCs w:val="22"/>
        </w:rPr>
      </w:pPr>
    </w:p>
    <w:p w14:paraId="730B6D26" w14:textId="77777777" w:rsidR="0052287E" w:rsidRPr="003F7446" w:rsidRDefault="0052287E" w:rsidP="0052287E">
      <w:pPr>
        <w:pStyle w:val="Pagrindinistekstas"/>
        <w:spacing w:after="0"/>
        <w:jc w:val="both"/>
        <w:rPr>
          <w:szCs w:val="22"/>
        </w:rPr>
      </w:pPr>
    </w:p>
    <w:p w14:paraId="186731D5" w14:textId="77777777" w:rsidR="0052287E" w:rsidRPr="003F7446" w:rsidRDefault="0052287E" w:rsidP="0052287E">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rPr>
      </w:pPr>
      <w:r w:rsidRPr="003F7446">
        <w:rPr>
          <w:rFonts w:ascii="Times New Roman" w:hAnsi="Times New Roman" w:cs="Times New Roman"/>
          <w:sz w:val="22"/>
          <w:szCs w:val="22"/>
        </w:rPr>
        <w:t>1.</w:t>
      </w:r>
      <w:r w:rsidRPr="003F7446">
        <w:rPr>
          <w:rFonts w:ascii="Times New Roman" w:hAnsi="Times New Roman" w:cs="Times New Roman"/>
          <w:sz w:val="22"/>
          <w:szCs w:val="22"/>
        </w:rPr>
        <w:tab/>
        <w:t>VAISTINIO PREPARATO PAVADINIMAS</w:t>
      </w:r>
    </w:p>
    <w:p w14:paraId="49EF88ED" w14:textId="77777777" w:rsidR="0052287E" w:rsidRPr="003F7446" w:rsidRDefault="0052287E" w:rsidP="0052287E">
      <w:pPr>
        <w:pStyle w:val="Pagrindinistekstas"/>
        <w:spacing w:after="0"/>
        <w:jc w:val="both"/>
        <w:rPr>
          <w:szCs w:val="22"/>
        </w:rPr>
      </w:pPr>
    </w:p>
    <w:p w14:paraId="0564D00E" w14:textId="77777777" w:rsidR="0052287E" w:rsidRPr="003F7446" w:rsidRDefault="0052287E" w:rsidP="0052287E">
      <w:pPr>
        <w:pStyle w:val="Default"/>
        <w:rPr>
          <w:color w:val="auto"/>
          <w:sz w:val="22"/>
          <w:szCs w:val="22"/>
          <w:lang w:val="lt-LT"/>
        </w:rPr>
      </w:pPr>
      <w:proofErr w:type="spellStart"/>
      <w:r w:rsidRPr="003F7446">
        <w:rPr>
          <w:color w:val="auto"/>
          <w:sz w:val="22"/>
          <w:szCs w:val="22"/>
          <w:lang w:val="lt-LT"/>
        </w:rPr>
        <w:t>Mycophenolate</w:t>
      </w:r>
      <w:proofErr w:type="spellEnd"/>
      <w:r w:rsidRPr="003F7446">
        <w:rPr>
          <w:color w:val="auto"/>
          <w:sz w:val="22"/>
          <w:szCs w:val="22"/>
          <w:lang w:val="lt-LT"/>
        </w:rPr>
        <w:t xml:space="preserve"> </w:t>
      </w:r>
      <w:proofErr w:type="spellStart"/>
      <w:r w:rsidRPr="003F7446">
        <w:rPr>
          <w:color w:val="auto"/>
          <w:sz w:val="22"/>
          <w:szCs w:val="22"/>
          <w:lang w:val="lt-LT"/>
        </w:rPr>
        <w:t>mofetil</w:t>
      </w:r>
      <w:proofErr w:type="spellEnd"/>
      <w:r w:rsidRPr="003F7446">
        <w:rPr>
          <w:color w:val="auto"/>
          <w:sz w:val="22"/>
          <w:szCs w:val="22"/>
          <w:lang w:val="lt-LT"/>
        </w:rPr>
        <w:t xml:space="preserve"> </w:t>
      </w:r>
      <w:proofErr w:type="spellStart"/>
      <w:r w:rsidRPr="003F7446">
        <w:rPr>
          <w:color w:val="auto"/>
          <w:sz w:val="22"/>
          <w:szCs w:val="22"/>
          <w:lang w:val="lt-LT"/>
        </w:rPr>
        <w:t>Ranbaxy</w:t>
      </w:r>
      <w:proofErr w:type="spellEnd"/>
      <w:r w:rsidRPr="003F7446">
        <w:rPr>
          <w:color w:val="auto"/>
          <w:sz w:val="22"/>
          <w:szCs w:val="22"/>
          <w:lang w:val="lt-LT"/>
        </w:rPr>
        <w:t xml:space="preserve"> 500 mg plėvele dengtos tabletės </w:t>
      </w:r>
    </w:p>
    <w:p w14:paraId="078E6867" w14:textId="77777777" w:rsidR="0052287E" w:rsidRPr="003F7446" w:rsidRDefault="0052287E" w:rsidP="0052287E">
      <w:pPr>
        <w:ind w:left="567" w:hanging="567"/>
        <w:rPr>
          <w:szCs w:val="22"/>
        </w:rPr>
      </w:pPr>
      <w:proofErr w:type="spellStart"/>
      <w:r w:rsidRPr="003F7446">
        <w:rPr>
          <w:szCs w:val="22"/>
        </w:rPr>
        <w:t>Mycophenolas</w:t>
      </w:r>
      <w:proofErr w:type="spellEnd"/>
      <w:r w:rsidRPr="003F7446">
        <w:rPr>
          <w:szCs w:val="22"/>
        </w:rPr>
        <w:t xml:space="preserve"> </w:t>
      </w:r>
      <w:proofErr w:type="spellStart"/>
      <w:r w:rsidRPr="003F7446">
        <w:rPr>
          <w:szCs w:val="22"/>
        </w:rPr>
        <w:t>mofetil</w:t>
      </w:r>
      <w:proofErr w:type="spellEnd"/>
    </w:p>
    <w:p w14:paraId="7D47FD8C" w14:textId="77777777" w:rsidR="0052287E" w:rsidRPr="003F7446" w:rsidRDefault="0052287E" w:rsidP="0052287E">
      <w:pPr>
        <w:pStyle w:val="Pagrindinistekstas"/>
        <w:spacing w:after="0"/>
        <w:ind w:firstLine="2160"/>
        <w:jc w:val="both"/>
        <w:rPr>
          <w:szCs w:val="22"/>
        </w:rPr>
      </w:pPr>
      <w:r w:rsidRPr="003F7446">
        <w:rPr>
          <w:szCs w:val="22"/>
        </w:rPr>
        <w:t xml:space="preserve"> </w:t>
      </w:r>
    </w:p>
    <w:p w14:paraId="4DD6E4A9" w14:textId="77777777" w:rsidR="0052287E" w:rsidRPr="003F7446" w:rsidRDefault="0052287E" w:rsidP="0052287E">
      <w:pPr>
        <w:pStyle w:val="Pagrindinistekstas"/>
        <w:spacing w:after="0"/>
        <w:jc w:val="both"/>
        <w:rPr>
          <w:szCs w:val="22"/>
        </w:rPr>
      </w:pPr>
    </w:p>
    <w:p w14:paraId="480F0A86" w14:textId="77777777" w:rsidR="0052287E" w:rsidRPr="003F7446" w:rsidRDefault="0052287E" w:rsidP="0052287E">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rPr>
      </w:pPr>
      <w:r w:rsidRPr="003F7446">
        <w:rPr>
          <w:rFonts w:ascii="Times New Roman" w:hAnsi="Times New Roman" w:cs="Times New Roman"/>
          <w:sz w:val="22"/>
          <w:szCs w:val="22"/>
        </w:rPr>
        <w:t>2.</w:t>
      </w:r>
      <w:r w:rsidRPr="003F7446">
        <w:rPr>
          <w:rFonts w:ascii="Times New Roman" w:hAnsi="Times New Roman" w:cs="Times New Roman"/>
          <w:sz w:val="22"/>
          <w:szCs w:val="22"/>
        </w:rPr>
        <w:tab/>
        <w:t xml:space="preserve">RINKODAROS TEISĖS TURĖTOJO PAVADINIMAS </w:t>
      </w:r>
    </w:p>
    <w:p w14:paraId="04139C70" w14:textId="77777777" w:rsidR="0052287E" w:rsidRPr="003F7446" w:rsidRDefault="0052287E" w:rsidP="0052287E">
      <w:pPr>
        <w:pStyle w:val="Pagrindinistekstas"/>
        <w:spacing w:after="0"/>
        <w:jc w:val="both"/>
        <w:rPr>
          <w:szCs w:val="22"/>
        </w:rPr>
      </w:pPr>
    </w:p>
    <w:p w14:paraId="7F651B6C" w14:textId="77777777" w:rsidR="0052287E" w:rsidRPr="003F7446" w:rsidRDefault="0052287E" w:rsidP="0052287E">
      <w:pPr>
        <w:autoSpaceDE w:val="0"/>
        <w:autoSpaceDN w:val="0"/>
        <w:adjustRightInd w:val="0"/>
        <w:rPr>
          <w:bCs/>
          <w:szCs w:val="22"/>
        </w:rPr>
      </w:pPr>
      <w:proofErr w:type="spellStart"/>
      <w:r w:rsidRPr="003F7446">
        <w:rPr>
          <w:bCs/>
          <w:szCs w:val="22"/>
        </w:rPr>
        <w:t>Ranbaxy</w:t>
      </w:r>
      <w:proofErr w:type="spellEnd"/>
      <w:r w:rsidRPr="003F7446">
        <w:rPr>
          <w:bCs/>
          <w:szCs w:val="22"/>
        </w:rPr>
        <w:t xml:space="preserve"> UK Ltd.</w:t>
      </w:r>
    </w:p>
    <w:p w14:paraId="64D9FAEA" w14:textId="77777777" w:rsidR="0052287E" w:rsidRPr="003F7446" w:rsidRDefault="0052287E" w:rsidP="0052287E">
      <w:pPr>
        <w:pStyle w:val="Pagrindinistekstas"/>
        <w:spacing w:after="0"/>
        <w:jc w:val="both"/>
        <w:rPr>
          <w:szCs w:val="22"/>
        </w:rPr>
      </w:pPr>
    </w:p>
    <w:p w14:paraId="197BC671" w14:textId="77777777" w:rsidR="0052287E" w:rsidRPr="003F7446" w:rsidRDefault="0052287E" w:rsidP="0052287E">
      <w:pPr>
        <w:pStyle w:val="Pagrindinistekstas"/>
        <w:spacing w:after="0"/>
        <w:jc w:val="both"/>
        <w:rPr>
          <w:szCs w:val="22"/>
        </w:rPr>
      </w:pPr>
    </w:p>
    <w:p w14:paraId="3C7891F3" w14:textId="77777777" w:rsidR="0052287E" w:rsidRPr="003F7446" w:rsidRDefault="0052287E" w:rsidP="0052287E">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cs="Times New Roman"/>
          <w:sz w:val="22"/>
          <w:szCs w:val="22"/>
        </w:rPr>
      </w:pPr>
      <w:r w:rsidRPr="003F7446">
        <w:rPr>
          <w:rFonts w:ascii="Times New Roman" w:hAnsi="Times New Roman" w:cs="Times New Roman"/>
          <w:sz w:val="22"/>
          <w:szCs w:val="22"/>
        </w:rPr>
        <w:t>3.</w:t>
      </w:r>
      <w:r w:rsidRPr="003F7446">
        <w:rPr>
          <w:rFonts w:ascii="Times New Roman" w:hAnsi="Times New Roman" w:cs="Times New Roman"/>
          <w:sz w:val="22"/>
          <w:szCs w:val="22"/>
        </w:rPr>
        <w:tab/>
        <w:t>TINKAMUMO LAIKAS</w:t>
      </w:r>
    </w:p>
    <w:p w14:paraId="7883FA41" w14:textId="77777777" w:rsidR="0052287E" w:rsidRPr="003F7446" w:rsidRDefault="0052287E" w:rsidP="0052287E">
      <w:pPr>
        <w:pStyle w:val="Pagrindinistekstas"/>
        <w:spacing w:after="0"/>
        <w:jc w:val="both"/>
        <w:rPr>
          <w:szCs w:val="22"/>
        </w:rPr>
      </w:pPr>
    </w:p>
    <w:p w14:paraId="7A248DCA" w14:textId="77777777" w:rsidR="0052287E" w:rsidRPr="003F7446" w:rsidRDefault="0052287E" w:rsidP="0052287E">
      <w:pPr>
        <w:tabs>
          <w:tab w:val="left" w:pos="567"/>
        </w:tabs>
        <w:ind w:left="567" w:hanging="567"/>
        <w:outlineLvl w:val="0"/>
        <w:rPr>
          <w:szCs w:val="22"/>
        </w:rPr>
      </w:pPr>
      <w:r w:rsidRPr="003F7446">
        <w:rPr>
          <w:szCs w:val="22"/>
        </w:rPr>
        <w:t xml:space="preserve">EXP </w:t>
      </w:r>
      <w:r w:rsidR="00E13352" w:rsidRPr="003F7446">
        <w:rPr>
          <w:szCs w:val="22"/>
        </w:rPr>
        <w:t>&lt;</w:t>
      </w:r>
      <w:r w:rsidRPr="003F7446">
        <w:rPr>
          <w:szCs w:val="22"/>
        </w:rPr>
        <w:t>mm/MMMM</w:t>
      </w:r>
      <w:r w:rsidR="00E13352" w:rsidRPr="003F7446">
        <w:rPr>
          <w:szCs w:val="22"/>
        </w:rPr>
        <w:t>&gt;</w:t>
      </w:r>
    </w:p>
    <w:p w14:paraId="67607A16" w14:textId="77777777" w:rsidR="0052287E" w:rsidRPr="003F7446" w:rsidRDefault="0052287E" w:rsidP="0052287E">
      <w:pPr>
        <w:pStyle w:val="Pagrindinistekstas"/>
        <w:spacing w:after="0"/>
        <w:jc w:val="both"/>
        <w:rPr>
          <w:szCs w:val="22"/>
        </w:rPr>
      </w:pPr>
    </w:p>
    <w:p w14:paraId="7B3899FF" w14:textId="77777777" w:rsidR="0052287E" w:rsidRPr="003F7446" w:rsidRDefault="0052287E" w:rsidP="0052287E">
      <w:pPr>
        <w:pStyle w:val="Pagrindinistekstas"/>
        <w:spacing w:after="0"/>
        <w:jc w:val="both"/>
        <w:rPr>
          <w:szCs w:val="22"/>
        </w:rPr>
      </w:pPr>
    </w:p>
    <w:p w14:paraId="4578BD14" w14:textId="77777777" w:rsidR="0052287E" w:rsidRPr="003F7446" w:rsidRDefault="0052287E" w:rsidP="0052287E">
      <w:pPr>
        <w:pStyle w:val="Antrat3"/>
        <w:pBdr>
          <w:top w:val="single" w:sz="4" w:space="1" w:color="auto"/>
          <w:left w:val="single" w:sz="4" w:space="4" w:color="auto"/>
          <w:bottom w:val="single" w:sz="4" w:space="3" w:color="auto"/>
          <w:right w:val="single" w:sz="4" w:space="4" w:color="auto"/>
        </w:pBdr>
        <w:tabs>
          <w:tab w:val="left" w:pos="567"/>
        </w:tabs>
        <w:spacing w:before="0" w:after="0"/>
        <w:rPr>
          <w:rFonts w:ascii="Times New Roman" w:hAnsi="Times New Roman" w:cs="Times New Roman"/>
          <w:sz w:val="22"/>
          <w:szCs w:val="22"/>
        </w:rPr>
      </w:pPr>
      <w:r w:rsidRPr="003F7446">
        <w:rPr>
          <w:rFonts w:ascii="Times New Roman" w:hAnsi="Times New Roman" w:cs="Times New Roman"/>
          <w:sz w:val="22"/>
          <w:szCs w:val="22"/>
        </w:rPr>
        <w:t>4.</w:t>
      </w:r>
      <w:r w:rsidRPr="003F7446">
        <w:rPr>
          <w:rFonts w:ascii="Times New Roman" w:hAnsi="Times New Roman" w:cs="Times New Roman"/>
          <w:sz w:val="22"/>
          <w:szCs w:val="22"/>
        </w:rPr>
        <w:tab/>
        <w:t xml:space="preserve">SERIJOS NUMERIS </w:t>
      </w:r>
    </w:p>
    <w:p w14:paraId="43FA8268" w14:textId="77777777" w:rsidR="0052287E" w:rsidRPr="003F7446" w:rsidRDefault="0052287E" w:rsidP="0052287E">
      <w:pPr>
        <w:pStyle w:val="Pagrindinistekstas"/>
        <w:spacing w:after="0"/>
        <w:jc w:val="both"/>
        <w:rPr>
          <w:szCs w:val="22"/>
        </w:rPr>
      </w:pPr>
    </w:p>
    <w:p w14:paraId="7C6996F6" w14:textId="77777777" w:rsidR="0052287E" w:rsidRPr="003F7446" w:rsidRDefault="0052287E" w:rsidP="0052287E">
      <w:pPr>
        <w:pStyle w:val="Pagrindinistekstas"/>
        <w:spacing w:after="0"/>
        <w:jc w:val="both"/>
        <w:rPr>
          <w:szCs w:val="22"/>
        </w:rPr>
      </w:pPr>
      <w:r w:rsidRPr="003F7446">
        <w:rPr>
          <w:szCs w:val="22"/>
        </w:rPr>
        <w:t>Lot</w:t>
      </w:r>
    </w:p>
    <w:p w14:paraId="79D14AA2" w14:textId="77777777" w:rsidR="0052287E" w:rsidRPr="003F7446" w:rsidRDefault="0052287E" w:rsidP="0052287E">
      <w:pPr>
        <w:pStyle w:val="Pagrindinistekstas"/>
        <w:spacing w:after="0"/>
        <w:jc w:val="both"/>
        <w:rPr>
          <w:szCs w:val="22"/>
        </w:rPr>
      </w:pPr>
    </w:p>
    <w:p w14:paraId="6D291F03" w14:textId="77777777" w:rsidR="0052287E" w:rsidRPr="003F7446" w:rsidRDefault="0052287E" w:rsidP="0052287E">
      <w:pPr>
        <w:pStyle w:val="Pagrindinistekstas"/>
        <w:spacing w:after="0"/>
        <w:jc w:val="both"/>
        <w:rPr>
          <w:szCs w:val="22"/>
        </w:rPr>
      </w:pPr>
    </w:p>
    <w:p w14:paraId="5D97A129" w14:textId="77777777" w:rsidR="0052287E" w:rsidRPr="003F7446" w:rsidRDefault="0052287E" w:rsidP="0052287E">
      <w:pPr>
        <w:pStyle w:val="Pagrindinistekstas"/>
        <w:pBdr>
          <w:top w:val="single" w:sz="4" w:space="1" w:color="auto"/>
          <w:left w:val="single" w:sz="4" w:space="4" w:color="auto"/>
          <w:bottom w:val="single" w:sz="4" w:space="1" w:color="auto"/>
          <w:right w:val="single" w:sz="4" w:space="4" w:color="auto"/>
        </w:pBdr>
        <w:tabs>
          <w:tab w:val="left" w:pos="720"/>
          <w:tab w:val="left" w:pos="900"/>
        </w:tabs>
        <w:spacing w:after="0"/>
        <w:jc w:val="both"/>
        <w:rPr>
          <w:b/>
          <w:szCs w:val="22"/>
        </w:rPr>
      </w:pPr>
      <w:r w:rsidRPr="003F7446">
        <w:rPr>
          <w:b/>
          <w:szCs w:val="22"/>
        </w:rPr>
        <w:t>5.</w:t>
      </w:r>
      <w:r w:rsidRPr="003F7446">
        <w:rPr>
          <w:b/>
          <w:szCs w:val="22"/>
        </w:rPr>
        <w:tab/>
        <w:t>KITA</w:t>
      </w:r>
    </w:p>
    <w:p w14:paraId="1D0E9177" w14:textId="77777777" w:rsidR="0052287E" w:rsidRPr="003F7446" w:rsidRDefault="0052287E" w:rsidP="0052287E">
      <w:pPr>
        <w:pStyle w:val="Pagrindinistekstas"/>
        <w:spacing w:after="0"/>
        <w:jc w:val="both"/>
        <w:rPr>
          <w:szCs w:val="22"/>
        </w:rPr>
      </w:pPr>
    </w:p>
    <w:p w14:paraId="52EF4777" w14:textId="77777777" w:rsidR="0052287E" w:rsidRPr="003F7446" w:rsidRDefault="0052287E" w:rsidP="0052287E">
      <w:pPr>
        <w:ind w:left="567" w:hanging="567"/>
        <w:rPr>
          <w:szCs w:val="22"/>
        </w:rPr>
      </w:pPr>
      <w:r w:rsidRPr="003F7446">
        <w:rPr>
          <w:szCs w:val="22"/>
        </w:rPr>
        <w:br w:type="page"/>
      </w:r>
    </w:p>
    <w:p w14:paraId="409573C7" w14:textId="77777777" w:rsidR="0052287E" w:rsidRPr="003F7446" w:rsidRDefault="0052287E" w:rsidP="0052287E">
      <w:pPr>
        <w:ind w:left="567" w:hanging="567"/>
        <w:rPr>
          <w:szCs w:val="22"/>
        </w:rPr>
      </w:pPr>
    </w:p>
    <w:p w14:paraId="40876113" w14:textId="77777777" w:rsidR="0052287E" w:rsidRPr="003F7446" w:rsidRDefault="0052287E" w:rsidP="0052287E">
      <w:pPr>
        <w:ind w:left="567" w:hanging="567"/>
        <w:rPr>
          <w:szCs w:val="22"/>
        </w:rPr>
      </w:pPr>
    </w:p>
    <w:p w14:paraId="24A3F031" w14:textId="77777777" w:rsidR="0052287E" w:rsidRPr="003F7446" w:rsidRDefault="0052287E" w:rsidP="0052287E">
      <w:pPr>
        <w:ind w:left="567" w:hanging="567"/>
        <w:rPr>
          <w:szCs w:val="22"/>
        </w:rPr>
      </w:pPr>
    </w:p>
    <w:p w14:paraId="40425CEB" w14:textId="77777777" w:rsidR="0052287E" w:rsidRPr="003F7446" w:rsidRDefault="0052287E" w:rsidP="0052287E">
      <w:pPr>
        <w:ind w:left="567" w:hanging="567"/>
        <w:rPr>
          <w:szCs w:val="22"/>
        </w:rPr>
      </w:pPr>
    </w:p>
    <w:p w14:paraId="4CF38A66" w14:textId="77777777" w:rsidR="0052287E" w:rsidRPr="003F7446" w:rsidRDefault="0052287E" w:rsidP="0052287E">
      <w:pPr>
        <w:ind w:left="567" w:hanging="567"/>
        <w:rPr>
          <w:szCs w:val="22"/>
        </w:rPr>
      </w:pPr>
    </w:p>
    <w:p w14:paraId="36113B87" w14:textId="77777777" w:rsidR="0052287E" w:rsidRPr="003F7446" w:rsidRDefault="0052287E" w:rsidP="0052287E">
      <w:pPr>
        <w:ind w:left="567" w:hanging="567"/>
        <w:rPr>
          <w:szCs w:val="22"/>
        </w:rPr>
      </w:pPr>
    </w:p>
    <w:p w14:paraId="4E258707" w14:textId="77777777" w:rsidR="0052287E" w:rsidRPr="003F7446" w:rsidRDefault="0052287E" w:rsidP="0052287E">
      <w:pPr>
        <w:ind w:left="567" w:hanging="567"/>
        <w:rPr>
          <w:szCs w:val="22"/>
        </w:rPr>
      </w:pPr>
    </w:p>
    <w:p w14:paraId="10BA0158" w14:textId="77777777" w:rsidR="0052287E" w:rsidRPr="003F7446" w:rsidRDefault="0052287E" w:rsidP="0052287E">
      <w:pPr>
        <w:ind w:left="567" w:hanging="567"/>
        <w:rPr>
          <w:szCs w:val="22"/>
        </w:rPr>
      </w:pPr>
    </w:p>
    <w:p w14:paraId="4AD252BA" w14:textId="77777777" w:rsidR="0052287E" w:rsidRPr="003F7446" w:rsidRDefault="0052287E" w:rsidP="0052287E">
      <w:pPr>
        <w:ind w:left="567" w:hanging="567"/>
        <w:rPr>
          <w:szCs w:val="22"/>
        </w:rPr>
      </w:pPr>
    </w:p>
    <w:p w14:paraId="01BC8789" w14:textId="77777777" w:rsidR="0052287E" w:rsidRPr="003F7446" w:rsidRDefault="0052287E" w:rsidP="0052287E">
      <w:pPr>
        <w:ind w:left="567" w:hanging="567"/>
        <w:rPr>
          <w:szCs w:val="22"/>
        </w:rPr>
      </w:pPr>
    </w:p>
    <w:p w14:paraId="38A83DB4" w14:textId="77777777" w:rsidR="0052287E" w:rsidRPr="003F7446" w:rsidRDefault="0052287E" w:rsidP="0052287E">
      <w:pPr>
        <w:ind w:left="567" w:hanging="567"/>
        <w:rPr>
          <w:szCs w:val="22"/>
        </w:rPr>
      </w:pPr>
    </w:p>
    <w:p w14:paraId="2953FF4E" w14:textId="77777777" w:rsidR="0052287E" w:rsidRPr="003F7446" w:rsidRDefault="0052287E" w:rsidP="0052287E">
      <w:pPr>
        <w:ind w:left="567" w:hanging="567"/>
        <w:rPr>
          <w:szCs w:val="22"/>
        </w:rPr>
      </w:pPr>
    </w:p>
    <w:p w14:paraId="167626CF" w14:textId="77777777" w:rsidR="0052287E" w:rsidRPr="003F7446" w:rsidRDefault="0052287E" w:rsidP="0052287E">
      <w:pPr>
        <w:ind w:left="567" w:hanging="567"/>
        <w:rPr>
          <w:szCs w:val="22"/>
        </w:rPr>
      </w:pPr>
    </w:p>
    <w:p w14:paraId="4DBB9403" w14:textId="77777777" w:rsidR="0052287E" w:rsidRPr="003F7446" w:rsidRDefault="0052287E" w:rsidP="0052287E">
      <w:pPr>
        <w:ind w:left="567" w:hanging="567"/>
        <w:rPr>
          <w:szCs w:val="22"/>
        </w:rPr>
      </w:pPr>
    </w:p>
    <w:p w14:paraId="302A1580" w14:textId="77777777" w:rsidR="0052287E" w:rsidRPr="003F7446" w:rsidRDefault="0052287E" w:rsidP="0052287E">
      <w:pPr>
        <w:ind w:left="567" w:hanging="567"/>
        <w:rPr>
          <w:szCs w:val="22"/>
        </w:rPr>
      </w:pPr>
    </w:p>
    <w:p w14:paraId="5987A43E" w14:textId="77777777" w:rsidR="0052287E" w:rsidRPr="003F7446" w:rsidRDefault="0052287E" w:rsidP="0052287E">
      <w:pPr>
        <w:ind w:left="567" w:hanging="567"/>
        <w:rPr>
          <w:szCs w:val="22"/>
        </w:rPr>
      </w:pPr>
    </w:p>
    <w:p w14:paraId="43B4C912" w14:textId="77777777" w:rsidR="0052287E" w:rsidRPr="003F7446" w:rsidRDefault="0052287E" w:rsidP="0052287E">
      <w:pPr>
        <w:ind w:left="567" w:hanging="567"/>
        <w:rPr>
          <w:szCs w:val="22"/>
        </w:rPr>
      </w:pPr>
    </w:p>
    <w:p w14:paraId="09929C9F" w14:textId="77777777" w:rsidR="0052287E" w:rsidRPr="003F7446" w:rsidRDefault="0052287E" w:rsidP="0052287E">
      <w:pPr>
        <w:ind w:left="567" w:hanging="567"/>
        <w:rPr>
          <w:szCs w:val="22"/>
        </w:rPr>
      </w:pPr>
    </w:p>
    <w:p w14:paraId="588F3483" w14:textId="77777777" w:rsidR="0052287E" w:rsidRPr="003F7446" w:rsidRDefault="0052287E" w:rsidP="0052287E">
      <w:pPr>
        <w:ind w:left="567" w:hanging="567"/>
        <w:rPr>
          <w:szCs w:val="22"/>
        </w:rPr>
      </w:pPr>
    </w:p>
    <w:p w14:paraId="08DE5AA3" w14:textId="77777777" w:rsidR="0052287E" w:rsidRPr="003F7446" w:rsidRDefault="0052287E" w:rsidP="0052287E">
      <w:pPr>
        <w:ind w:left="567" w:hanging="567"/>
        <w:rPr>
          <w:szCs w:val="22"/>
        </w:rPr>
      </w:pPr>
    </w:p>
    <w:p w14:paraId="5547D8E9" w14:textId="77777777" w:rsidR="0052287E" w:rsidRPr="003F7446" w:rsidRDefault="0052287E" w:rsidP="0052287E">
      <w:pPr>
        <w:ind w:left="567" w:hanging="567"/>
        <w:rPr>
          <w:szCs w:val="22"/>
        </w:rPr>
      </w:pPr>
    </w:p>
    <w:p w14:paraId="4059373D" w14:textId="77777777" w:rsidR="0052287E" w:rsidRPr="003F7446" w:rsidRDefault="0052287E" w:rsidP="0052287E">
      <w:pPr>
        <w:ind w:left="567" w:hanging="567"/>
        <w:rPr>
          <w:szCs w:val="22"/>
        </w:rPr>
      </w:pPr>
    </w:p>
    <w:p w14:paraId="39A8FBC6" w14:textId="77777777" w:rsidR="0052287E" w:rsidRPr="003F7446" w:rsidRDefault="0052287E" w:rsidP="0052287E">
      <w:pPr>
        <w:ind w:left="567" w:hanging="567"/>
        <w:jc w:val="center"/>
        <w:rPr>
          <w:b/>
          <w:caps/>
          <w:szCs w:val="22"/>
        </w:rPr>
      </w:pPr>
      <w:r w:rsidRPr="003F7446">
        <w:rPr>
          <w:b/>
          <w:caps/>
          <w:szCs w:val="22"/>
        </w:rPr>
        <w:t xml:space="preserve">B. </w:t>
      </w:r>
      <w:r w:rsidRPr="003F7446">
        <w:rPr>
          <w:b/>
          <w:szCs w:val="22"/>
        </w:rPr>
        <w:t>PAKUOTĖS</w:t>
      </w:r>
      <w:r w:rsidRPr="003F7446">
        <w:rPr>
          <w:b/>
          <w:caps/>
          <w:szCs w:val="22"/>
        </w:rPr>
        <w:t xml:space="preserve"> lapelis</w:t>
      </w:r>
    </w:p>
    <w:p w14:paraId="22CFA1E4" w14:textId="77777777" w:rsidR="0052287E" w:rsidRPr="003F7446" w:rsidRDefault="0052287E" w:rsidP="0052287E">
      <w:pPr>
        <w:pStyle w:val="Default"/>
        <w:ind w:left="560" w:hanging="560"/>
        <w:jc w:val="center"/>
        <w:rPr>
          <w:b/>
          <w:bCs/>
          <w:sz w:val="22"/>
          <w:szCs w:val="22"/>
          <w:lang w:val="lt-LT"/>
        </w:rPr>
      </w:pPr>
      <w:r w:rsidRPr="003F7446">
        <w:rPr>
          <w:sz w:val="22"/>
          <w:szCs w:val="22"/>
        </w:rPr>
        <w:br w:type="page"/>
      </w:r>
      <w:r w:rsidR="00E13352" w:rsidRPr="003F7446">
        <w:rPr>
          <w:b/>
          <w:bCs/>
          <w:sz w:val="22"/>
          <w:szCs w:val="22"/>
          <w:lang w:val="lt-LT"/>
        </w:rPr>
        <w:lastRenderedPageBreak/>
        <w:t>Pakuotės lapelis: informacija vartotojui</w:t>
      </w:r>
    </w:p>
    <w:p w14:paraId="12825BD5" w14:textId="77777777" w:rsidR="0052287E" w:rsidRPr="003F7446" w:rsidRDefault="0052287E" w:rsidP="0052287E">
      <w:pPr>
        <w:pStyle w:val="Default"/>
        <w:ind w:left="560" w:hanging="560"/>
        <w:jc w:val="center"/>
        <w:rPr>
          <w:sz w:val="22"/>
          <w:szCs w:val="22"/>
          <w:lang w:val="lt-LT"/>
        </w:rPr>
      </w:pPr>
    </w:p>
    <w:p w14:paraId="2E09B01B" w14:textId="77777777" w:rsidR="0052287E" w:rsidRPr="003F7446" w:rsidRDefault="0052287E" w:rsidP="0052287E">
      <w:pPr>
        <w:pStyle w:val="Default"/>
        <w:jc w:val="center"/>
        <w:rPr>
          <w:sz w:val="22"/>
          <w:szCs w:val="22"/>
          <w:lang w:val="lt-LT"/>
        </w:rPr>
      </w:pPr>
      <w:proofErr w:type="spellStart"/>
      <w:r w:rsidRPr="003F7446">
        <w:rPr>
          <w:b/>
          <w:bCs/>
          <w:sz w:val="22"/>
          <w:szCs w:val="22"/>
          <w:lang w:val="lt-LT"/>
        </w:rPr>
        <w:t>Mycophenolate</w:t>
      </w:r>
      <w:proofErr w:type="spellEnd"/>
      <w:r w:rsidRPr="003F7446">
        <w:rPr>
          <w:b/>
          <w:bCs/>
          <w:sz w:val="22"/>
          <w:szCs w:val="22"/>
          <w:lang w:val="lt-LT"/>
        </w:rPr>
        <w:t xml:space="preserve"> </w:t>
      </w:r>
      <w:proofErr w:type="spellStart"/>
      <w:r w:rsidRPr="003F7446">
        <w:rPr>
          <w:b/>
          <w:bCs/>
          <w:sz w:val="22"/>
          <w:szCs w:val="22"/>
          <w:lang w:val="lt-LT"/>
        </w:rPr>
        <w:t>mofetil</w:t>
      </w:r>
      <w:proofErr w:type="spellEnd"/>
      <w:r w:rsidRPr="003F7446">
        <w:rPr>
          <w:b/>
          <w:bCs/>
          <w:sz w:val="22"/>
          <w:szCs w:val="22"/>
          <w:lang w:val="lt-LT"/>
        </w:rPr>
        <w:t xml:space="preserve"> </w:t>
      </w:r>
      <w:proofErr w:type="spellStart"/>
      <w:r w:rsidRPr="003F7446">
        <w:rPr>
          <w:b/>
          <w:bCs/>
          <w:sz w:val="22"/>
          <w:szCs w:val="22"/>
          <w:lang w:val="lt-LT"/>
        </w:rPr>
        <w:t>Ranbaxy</w:t>
      </w:r>
      <w:proofErr w:type="spellEnd"/>
      <w:r w:rsidRPr="003F7446">
        <w:rPr>
          <w:b/>
          <w:bCs/>
          <w:sz w:val="22"/>
          <w:szCs w:val="22"/>
          <w:lang w:val="lt-LT"/>
        </w:rPr>
        <w:t xml:space="preserve"> 500 mg plėvele dengtos tabletės </w:t>
      </w:r>
    </w:p>
    <w:p w14:paraId="44B5B85A" w14:textId="77777777" w:rsidR="0052287E" w:rsidRPr="003F7446" w:rsidRDefault="0052287E" w:rsidP="0052287E">
      <w:pPr>
        <w:pStyle w:val="Default"/>
        <w:ind w:left="560"/>
        <w:jc w:val="center"/>
        <w:rPr>
          <w:sz w:val="22"/>
          <w:szCs w:val="22"/>
          <w:lang w:val="lt-LT"/>
        </w:rPr>
      </w:pPr>
      <w:proofErr w:type="spellStart"/>
      <w:r w:rsidRPr="003F7446">
        <w:rPr>
          <w:sz w:val="22"/>
          <w:szCs w:val="22"/>
          <w:lang w:val="lt-LT"/>
        </w:rPr>
        <w:t>Mikofenolato</w:t>
      </w:r>
      <w:proofErr w:type="spellEnd"/>
      <w:r w:rsidRPr="003F7446">
        <w:rPr>
          <w:sz w:val="22"/>
          <w:szCs w:val="22"/>
          <w:lang w:val="lt-LT"/>
        </w:rPr>
        <w:t xml:space="preserve"> </w:t>
      </w:r>
      <w:proofErr w:type="spellStart"/>
      <w:r w:rsidRPr="003F7446">
        <w:rPr>
          <w:sz w:val="22"/>
          <w:szCs w:val="22"/>
          <w:lang w:val="lt-LT"/>
        </w:rPr>
        <w:t>mofetilis</w:t>
      </w:r>
      <w:proofErr w:type="spellEnd"/>
      <w:r w:rsidRPr="003F7446">
        <w:rPr>
          <w:sz w:val="22"/>
          <w:szCs w:val="22"/>
          <w:lang w:val="lt-LT"/>
        </w:rPr>
        <w:t xml:space="preserve"> </w:t>
      </w:r>
    </w:p>
    <w:p w14:paraId="0A6E258C" w14:textId="77777777" w:rsidR="0052287E" w:rsidRPr="003F7446" w:rsidRDefault="0052287E" w:rsidP="0052287E">
      <w:pPr>
        <w:pStyle w:val="Default"/>
        <w:ind w:left="560" w:hanging="560"/>
        <w:rPr>
          <w:b/>
          <w:bCs/>
          <w:sz w:val="22"/>
          <w:szCs w:val="22"/>
          <w:lang w:val="lt-LT"/>
        </w:rPr>
      </w:pPr>
    </w:p>
    <w:p w14:paraId="3EA31EF6" w14:textId="6B902F03" w:rsidR="00A97348" w:rsidRPr="003F7446" w:rsidRDefault="00A97348" w:rsidP="00A97348">
      <w:pPr>
        <w:pStyle w:val="Default"/>
        <w:ind w:left="560" w:hanging="560"/>
        <w:rPr>
          <w:b/>
          <w:sz w:val="22"/>
          <w:szCs w:val="22"/>
          <w:lang w:val="lt-LT"/>
        </w:rPr>
      </w:pPr>
      <w:r w:rsidRPr="003F7446">
        <w:rPr>
          <w:b/>
          <w:bCs/>
          <w:sz w:val="22"/>
          <w:szCs w:val="22"/>
          <w:lang w:val="lt-LT"/>
        </w:rPr>
        <w:t>Atidžiai perskaitykite visą šį lapelį, prieš pradėdami vartoti vaistą, nes jame pateikiama Jums svarbi informacija.</w:t>
      </w:r>
    </w:p>
    <w:p w14:paraId="12E79890" w14:textId="156883D3" w:rsidR="00A97348" w:rsidRPr="003F7446" w:rsidRDefault="00A97348" w:rsidP="00A97348">
      <w:pPr>
        <w:pStyle w:val="Default"/>
        <w:ind w:left="560" w:hanging="560"/>
        <w:rPr>
          <w:bCs/>
          <w:sz w:val="22"/>
          <w:szCs w:val="22"/>
          <w:lang w:val="lt-LT"/>
        </w:rPr>
      </w:pPr>
      <w:r w:rsidRPr="003F7446">
        <w:rPr>
          <w:bCs/>
          <w:sz w:val="22"/>
          <w:szCs w:val="22"/>
          <w:lang w:val="lt-LT"/>
        </w:rPr>
        <w:t>-</w:t>
      </w:r>
      <w:r w:rsidRPr="003F7446">
        <w:rPr>
          <w:bCs/>
          <w:sz w:val="22"/>
          <w:szCs w:val="22"/>
          <w:lang w:val="lt-LT"/>
        </w:rPr>
        <w:tab/>
        <w:t xml:space="preserve">Neišmeskite šio lapelio, nes vėl gali prireikti jį perskaityti. </w:t>
      </w:r>
    </w:p>
    <w:p w14:paraId="59D493F1" w14:textId="41F2761C" w:rsidR="00A97348" w:rsidRPr="003F7446" w:rsidRDefault="00A97348" w:rsidP="00A97348">
      <w:pPr>
        <w:pStyle w:val="Default"/>
        <w:ind w:left="560" w:hanging="560"/>
        <w:rPr>
          <w:bCs/>
          <w:sz w:val="22"/>
          <w:szCs w:val="22"/>
          <w:lang w:val="lt-LT"/>
        </w:rPr>
      </w:pPr>
      <w:r w:rsidRPr="003F7446">
        <w:rPr>
          <w:bCs/>
          <w:sz w:val="22"/>
          <w:szCs w:val="22"/>
          <w:lang w:val="lt-LT"/>
        </w:rPr>
        <w:t>-</w:t>
      </w:r>
      <w:r w:rsidRPr="003F7446">
        <w:rPr>
          <w:bCs/>
          <w:sz w:val="22"/>
          <w:szCs w:val="22"/>
          <w:lang w:val="lt-LT"/>
        </w:rPr>
        <w:tab/>
        <w:t>Jeigu kiltų daugiau klausimų, kreipkitės į gydytoją arba vaistininką.</w:t>
      </w:r>
    </w:p>
    <w:p w14:paraId="4B3C7744" w14:textId="7BCC6B43" w:rsidR="00A97348" w:rsidRPr="003F7446" w:rsidRDefault="00A97348" w:rsidP="008912E3">
      <w:pPr>
        <w:pStyle w:val="Default"/>
        <w:ind w:left="560" w:hanging="560"/>
        <w:rPr>
          <w:bCs/>
          <w:sz w:val="22"/>
          <w:szCs w:val="22"/>
          <w:lang w:val="lt-LT"/>
        </w:rPr>
      </w:pPr>
      <w:r w:rsidRPr="003F7446">
        <w:rPr>
          <w:bCs/>
          <w:sz w:val="22"/>
          <w:szCs w:val="22"/>
          <w:lang w:val="lt-LT"/>
        </w:rPr>
        <w:t>-</w:t>
      </w:r>
      <w:r w:rsidRPr="003F7446">
        <w:rPr>
          <w:bCs/>
          <w:sz w:val="22"/>
          <w:szCs w:val="22"/>
          <w:lang w:val="lt-LT"/>
        </w:rPr>
        <w:tab/>
        <w:t>Šis vaistas skirtas tik Jums, todėl kitiems žmonėms jo duoti negalima. Vaistas gali jiems pakenkti (net tiems, kurių ligos požymiai yra tokie patys kaip Jūsų).</w:t>
      </w:r>
    </w:p>
    <w:p w14:paraId="69B84910" w14:textId="647BBAA4" w:rsidR="0052287E" w:rsidRPr="003F7446" w:rsidRDefault="00A97348" w:rsidP="0052287E">
      <w:pPr>
        <w:pStyle w:val="Default"/>
        <w:rPr>
          <w:sz w:val="22"/>
          <w:szCs w:val="22"/>
          <w:lang w:val="lt-LT"/>
        </w:rPr>
      </w:pPr>
      <w:r w:rsidRPr="003F7446">
        <w:rPr>
          <w:sz w:val="22"/>
          <w:szCs w:val="22"/>
          <w:lang w:val="lt-LT"/>
        </w:rPr>
        <w:t>-</w:t>
      </w:r>
      <w:r w:rsidRPr="003F7446">
        <w:rPr>
          <w:bCs/>
          <w:sz w:val="22"/>
          <w:szCs w:val="22"/>
          <w:lang w:val="lt-LT"/>
        </w:rPr>
        <w:tab/>
      </w:r>
      <w:r w:rsidRPr="003F7446">
        <w:rPr>
          <w:sz w:val="22"/>
          <w:szCs w:val="22"/>
          <w:lang w:val="lt-LT"/>
        </w:rPr>
        <w:t xml:space="preserve">Jeigu pasireiškė šalutinis poveikis </w:t>
      </w:r>
      <w:r w:rsidRPr="003F7446">
        <w:rPr>
          <w:bCs/>
          <w:sz w:val="22"/>
          <w:szCs w:val="22"/>
          <w:lang w:val="lt-LT"/>
        </w:rPr>
        <w:t>(net jeigu jis</w:t>
      </w:r>
      <w:r w:rsidRPr="003F7446">
        <w:rPr>
          <w:sz w:val="22"/>
          <w:szCs w:val="22"/>
          <w:lang w:val="lt-LT"/>
        </w:rPr>
        <w:t xml:space="preserve"> šiame lapel</w:t>
      </w:r>
      <w:r w:rsidRPr="003F7446">
        <w:rPr>
          <w:bCs/>
          <w:sz w:val="22"/>
          <w:szCs w:val="22"/>
          <w:lang w:val="lt-LT"/>
        </w:rPr>
        <w:t xml:space="preserve">yje nenurodytas), kreipkitės į </w:t>
      </w:r>
      <w:r w:rsidR="00095E5A" w:rsidRPr="003F7446">
        <w:rPr>
          <w:bCs/>
          <w:sz w:val="22"/>
          <w:szCs w:val="22"/>
          <w:lang w:val="lt-LT"/>
        </w:rPr>
        <w:t xml:space="preserve">gydytoją </w:t>
      </w:r>
      <w:r w:rsidRPr="003F7446">
        <w:rPr>
          <w:bCs/>
          <w:sz w:val="22"/>
          <w:szCs w:val="22"/>
          <w:lang w:val="lt-LT"/>
        </w:rPr>
        <w:t>arba</w:t>
      </w:r>
      <w:r w:rsidR="00095E5A" w:rsidRPr="003F7446">
        <w:rPr>
          <w:bCs/>
          <w:sz w:val="22"/>
          <w:szCs w:val="22"/>
          <w:lang w:val="lt-LT"/>
        </w:rPr>
        <w:t xml:space="preserve"> vaistininką</w:t>
      </w:r>
      <w:r w:rsidRPr="003F7446">
        <w:rPr>
          <w:bCs/>
          <w:sz w:val="22"/>
          <w:szCs w:val="22"/>
          <w:lang w:val="lt-LT"/>
        </w:rPr>
        <w:t xml:space="preserve">. </w:t>
      </w:r>
      <w:proofErr w:type="spellStart"/>
      <w:proofErr w:type="gramStart"/>
      <w:r w:rsidRPr="003F7446">
        <w:rPr>
          <w:bCs/>
          <w:sz w:val="22"/>
          <w:szCs w:val="22"/>
        </w:rPr>
        <w:t>Žr</w:t>
      </w:r>
      <w:proofErr w:type="spellEnd"/>
      <w:r w:rsidRPr="003F7446">
        <w:rPr>
          <w:bCs/>
          <w:sz w:val="22"/>
          <w:szCs w:val="22"/>
        </w:rPr>
        <w:t xml:space="preserve">. 4 </w:t>
      </w:r>
      <w:proofErr w:type="spellStart"/>
      <w:r w:rsidRPr="003F7446">
        <w:rPr>
          <w:bCs/>
          <w:sz w:val="22"/>
          <w:szCs w:val="22"/>
        </w:rPr>
        <w:t>skyrių</w:t>
      </w:r>
      <w:proofErr w:type="spellEnd"/>
      <w:r w:rsidRPr="003F7446">
        <w:rPr>
          <w:bCs/>
          <w:sz w:val="22"/>
          <w:szCs w:val="22"/>
        </w:rPr>
        <w:t>.</w:t>
      </w:r>
      <w:proofErr w:type="gramEnd"/>
    </w:p>
    <w:p w14:paraId="5DD7D117" w14:textId="77777777" w:rsidR="0052287E" w:rsidRPr="003F7446" w:rsidRDefault="0052287E" w:rsidP="0052287E">
      <w:pPr>
        <w:pStyle w:val="Default"/>
        <w:ind w:left="560" w:hanging="560"/>
        <w:rPr>
          <w:b/>
          <w:bCs/>
          <w:sz w:val="22"/>
          <w:szCs w:val="22"/>
          <w:lang w:val="lt-LT"/>
        </w:rPr>
      </w:pPr>
    </w:p>
    <w:p w14:paraId="3B7D36DF" w14:textId="77777777" w:rsidR="0052287E" w:rsidRPr="003F7446" w:rsidRDefault="0052287E" w:rsidP="0052287E">
      <w:pPr>
        <w:pStyle w:val="Default"/>
        <w:ind w:left="560" w:hanging="560"/>
        <w:rPr>
          <w:b/>
          <w:bCs/>
          <w:sz w:val="22"/>
          <w:szCs w:val="22"/>
          <w:lang w:val="lt-LT"/>
        </w:rPr>
      </w:pPr>
    </w:p>
    <w:p w14:paraId="4DAEE8D8" w14:textId="77777777" w:rsidR="0052287E" w:rsidRPr="003F7446" w:rsidRDefault="0052287E" w:rsidP="0052287E">
      <w:pPr>
        <w:pStyle w:val="Default"/>
        <w:ind w:left="560" w:hanging="560"/>
        <w:rPr>
          <w:sz w:val="22"/>
          <w:szCs w:val="22"/>
          <w:lang w:val="lt-LT"/>
        </w:rPr>
      </w:pPr>
      <w:r w:rsidRPr="003F7446">
        <w:rPr>
          <w:b/>
          <w:bCs/>
          <w:sz w:val="22"/>
          <w:szCs w:val="22"/>
          <w:lang w:val="lt-LT"/>
        </w:rPr>
        <w:t xml:space="preserve">Lapelio turinys </w:t>
      </w:r>
    </w:p>
    <w:p w14:paraId="4A278C85" w14:textId="77777777" w:rsidR="0052287E" w:rsidRPr="003F7446" w:rsidRDefault="0052287E" w:rsidP="0052287E">
      <w:pPr>
        <w:pStyle w:val="Default"/>
        <w:ind w:left="560" w:hanging="560"/>
        <w:rPr>
          <w:sz w:val="22"/>
          <w:szCs w:val="22"/>
          <w:lang w:val="lt-LT"/>
        </w:rPr>
      </w:pPr>
      <w:r w:rsidRPr="003F7446">
        <w:rPr>
          <w:sz w:val="22"/>
          <w:szCs w:val="22"/>
          <w:lang w:val="lt-LT"/>
        </w:rPr>
        <w:t xml:space="preserve">1. Kas yra </w:t>
      </w:r>
      <w:proofErr w:type="spellStart"/>
      <w:r w:rsidRPr="003F7446">
        <w:rPr>
          <w:bCs/>
          <w:sz w:val="22"/>
          <w:szCs w:val="22"/>
          <w:lang w:val="lt-LT"/>
        </w:rPr>
        <w:t>Mycophenolate</w:t>
      </w:r>
      <w:proofErr w:type="spellEnd"/>
      <w:r w:rsidRPr="003F7446">
        <w:rPr>
          <w:bCs/>
          <w:sz w:val="22"/>
          <w:szCs w:val="22"/>
          <w:lang w:val="lt-LT"/>
        </w:rPr>
        <w:t xml:space="preserve"> </w:t>
      </w:r>
      <w:proofErr w:type="spellStart"/>
      <w:r w:rsidRPr="003F7446">
        <w:rPr>
          <w:bCs/>
          <w:sz w:val="22"/>
          <w:szCs w:val="22"/>
          <w:lang w:val="lt-LT"/>
        </w:rPr>
        <w:t>mofetil</w:t>
      </w:r>
      <w:proofErr w:type="spellEnd"/>
      <w:r w:rsidRPr="003F7446">
        <w:rPr>
          <w:bCs/>
          <w:sz w:val="22"/>
          <w:szCs w:val="22"/>
          <w:lang w:val="lt-LT"/>
        </w:rPr>
        <w:t xml:space="preserve"> </w:t>
      </w:r>
      <w:proofErr w:type="spellStart"/>
      <w:r w:rsidRPr="003F7446">
        <w:rPr>
          <w:bCs/>
          <w:sz w:val="22"/>
          <w:szCs w:val="22"/>
          <w:lang w:val="lt-LT"/>
        </w:rPr>
        <w:t>Ranbaxy</w:t>
      </w:r>
      <w:proofErr w:type="spellEnd"/>
      <w:r w:rsidRPr="003F7446">
        <w:rPr>
          <w:sz w:val="22"/>
          <w:szCs w:val="22"/>
          <w:lang w:val="lt-LT"/>
        </w:rPr>
        <w:t xml:space="preserve"> ir kam jis vartojamas </w:t>
      </w:r>
    </w:p>
    <w:p w14:paraId="6A46B34A" w14:textId="77777777" w:rsidR="0052287E" w:rsidRPr="003F7446" w:rsidRDefault="0052287E" w:rsidP="0052287E">
      <w:pPr>
        <w:pStyle w:val="Default"/>
        <w:ind w:left="560" w:hanging="560"/>
        <w:rPr>
          <w:sz w:val="22"/>
          <w:szCs w:val="22"/>
          <w:lang w:val="lt-LT"/>
        </w:rPr>
      </w:pPr>
      <w:r w:rsidRPr="003F7446">
        <w:rPr>
          <w:sz w:val="22"/>
          <w:szCs w:val="22"/>
          <w:lang w:val="lt-LT"/>
        </w:rPr>
        <w:t xml:space="preserve">2. Kas žinotina prieš vartojant </w:t>
      </w:r>
      <w:proofErr w:type="spellStart"/>
      <w:r w:rsidRPr="003F7446">
        <w:rPr>
          <w:bCs/>
          <w:sz w:val="22"/>
          <w:szCs w:val="22"/>
          <w:lang w:val="lt-LT"/>
        </w:rPr>
        <w:t>Mycophenolate</w:t>
      </w:r>
      <w:proofErr w:type="spellEnd"/>
      <w:r w:rsidRPr="003F7446">
        <w:rPr>
          <w:bCs/>
          <w:sz w:val="22"/>
          <w:szCs w:val="22"/>
          <w:lang w:val="lt-LT"/>
        </w:rPr>
        <w:t xml:space="preserve"> </w:t>
      </w:r>
      <w:proofErr w:type="spellStart"/>
      <w:r w:rsidRPr="003F7446">
        <w:rPr>
          <w:bCs/>
          <w:sz w:val="22"/>
          <w:szCs w:val="22"/>
          <w:lang w:val="lt-LT"/>
        </w:rPr>
        <w:t>mofetil</w:t>
      </w:r>
      <w:proofErr w:type="spellEnd"/>
      <w:r w:rsidRPr="003F7446">
        <w:rPr>
          <w:bCs/>
          <w:sz w:val="22"/>
          <w:szCs w:val="22"/>
          <w:lang w:val="lt-LT"/>
        </w:rPr>
        <w:t xml:space="preserve"> </w:t>
      </w:r>
      <w:proofErr w:type="spellStart"/>
      <w:r w:rsidRPr="003F7446">
        <w:rPr>
          <w:bCs/>
          <w:sz w:val="22"/>
          <w:szCs w:val="22"/>
          <w:lang w:val="lt-LT"/>
        </w:rPr>
        <w:t>Ranbaxy</w:t>
      </w:r>
      <w:proofErr w:type="spellEnd"/>
      <w:r w:rsidRPr="003F7446">
        <w:rPr>
          <w:sz w:val="22"/>
          <w:szCs w:val="22"/>
          <w:lang w:val="lt-LT"/>
        </w:rPr>
        <w:t xml:space="preserve"> </w:t>
      </w:r>
    </w:p>
    <w:p w14:paraId="35590A15" w14:textId="77777777" w:rsidR="0052287E" w:rsidRPr="003F7446" w:rsidRDefault="0052287E" w:rsidP="0052287E">
      <w:pPr>
        <w:pStyle w:val="Default"/>
        <w:ind w:left="560" w:hanging="560"/>
        <w:rPr>
          <w:sz w:val="22"/>
          <w:szCs w:val="22"/>
          <w:lang w:val="lt-LT"/>
        </w:rPr>
      </w:pPr>
      <w:r w:rsidRPr="003F7446">
        <w:rPr>
          <w:sz w:val="22"/>
          <w:szCs w:val="22"/>
          <w:lang w:val="lt-LT"/>
        </w:rPr>
        <w:t xml:space="preserve">3. Kaip vartoti </w:t>
      </w:r>
      <w:proofErr w:type="spellStart"/>
      <w:r w:rsidRPr="003F7446">
        <w:rPr>
          <w:bCs/>
          <w:sz w:val="22"/>
          <w:szCs w:val="22"/>
          <w:lang w:val="lt-LT"/>
        </w:rPr>
        <w:t>Mycophenolate</w:t>
      </w:r>
      <w:proofErr w:type="spellEnd"/>
      <w:r w:rsidRPr="003F7446">
        <w:rPr>
          <w:bCs/>
          <w:sz w:val="22"/>
          <w:szCs w:val="22"/>
          <w:lang w:val="lt-LT"/>
        </w:rPr>
        <w:t xml:space="preserve"> </w:t>
      </w:r>
      <w:proofErr w:type="spellStart"/>
      <w:r w:rsidRPr="003F7446">
        <w:rPr>
          <w:bCs/>
          <w:sz w:val="22"/>
          <w:szCs w:val="22"/>
          <w:lang w:val="lt-LT"/>
        </w:rPr>
        <w:t>mofetil</w:t>
      </w:r>
      <w:proofErr w:type="spellEnd"/>
      <w:r w:rsidRPr="003F7446">
        <w:rPr>
          <w:bCs/>
          <w:sz w:val="22"/>
          <w:szCs w:val="22"/>
          <w:lang w:val="lt-LT"/>
        </w:rPr>
        <w:t xml:space="preserve"> </w:t>
      </w:r>
      <w:proofErr w:type="spellStart"/>
      <w:r w:rsidRPr="003F7446">
        <w:rPr>
          <w:bCs/>
          <w:sz w:val="22"/>
          <w:szCs w:val="22"/>
          <w:lang w:val="lt-LT"/>
        </w:rPr>
        <w:t>Ranbaxy</w:t>
      </w:r>
      <w:proofErr w:type="spellEnd"/>
    </w:p>
    <w:p w14:paraId="33E48632" w14:textId="77777777" w:rsidR="0052287E" w:rsidRPr="003F7446" w:rsidRDefault="0052287E" w:rsidP="0052287E">
      <w:pPr>
        <w:pStyle w:val="Default"/>
        <w:ind w:left="560" w:hanging="560"/>
        <w:rPr>
          <w:sz w:val="22"/>
          <w:szCs w:val="22"/>
          <w:lang w:val="lt-LT"/>
        </w:rPr>
      </w:pPr>
      <w:r w:rsidRPr="003F7446">
        <w:rPr>
          <w:sz w:val="22"/>
          <w:szCs w:val="22"/>
          <w:lang w:val="lt-LT"/>
        </w:rPr>
        <w:t xml:space="preserve">4. Galimas šalutinis poveikis </w:t>
      </w:r>
    </w:p>
    <w:p w14:paraId="60FCF957" w14:textId="77777777" w:rsidR="0052287E" w:rsidRPr="003F7446" w:rsidRDefault="0052287E" w:rsidP="0052287E">
      <w:pPr>
        <w:pStyle w:val="Default"/>
        <w:ind w:left="560" w:hanging="560"/>
        <w:rPr>
          <w:sz w:val="22"/>
          <w:szCs w:val="22"/>
          <w:lang w:val="lt-LT"/>
        </w:rPr>
      </w:pPr>
      <w:r w:rsidRPr="003F7446">
        <w:rPr>
          <w:sz w:val="22"/>
          <w:szCs w:val="22"/>
          <w:lang w:val="lt-LT"/>
        </w:rPr>
        <w:t xml:space="preserve">5. Kaip laikyti </w:t>
      </w:r>
      <w:proofErr w:type="spellStart"/>
      <w:r w:rsidRPr="003F7446">
        <w:rPr>
          <w:bCs/>
          <w:sz w:val="22"/>
          <w:szCs w:val="22"/>
          <w:lang w:val="lt-LT"/>
        </w:rPr>
        <w:t>Mycophenolate</w:t>
      </w:r>
      <w:proofErr w:type="spellEnd"/>
      <w:r w:rsidRPr="003F7446">
        <w:rPr>
          <w:bCs/>
          <w:sz w:val="22"/>
          <w:szCs w:val="22"/>
          <w:lang w:val="lt-LT"/>
        </w:rPr>
        <w:t xml:space="preserve"> </w:t>
      </w:r>
      <w:proofErr w:type="spellStart"/>
      <w:r w:rsidRPr="003F7446">
        <w:rPr>
          <w:bCs/>
          <w:sz w:val="22"/>
          <w:szCs w:val="22"/>
          <w:lang w:val="lt-LT"/>
        </w:rPr>
        <w:t>mofetil</w:t>
      </w:r>
      <w:proofErr w:type="spellEnd"/>
      <w:r w:rsidRPr="003F7446">
        <w:rPr>
          <w:bCs/>
          <w:sz w:val="22"/>
          <w:szCs w:val="22"/>
          <w:lang w:val="lt-LT"/>
        </w:rPr>
        <w:t xml:space="preserve"> </w:t>
      </w:r>
      <w:proofErr w:type="spellStart"/>
      <w:r w:rsidRPr="003F7446">
        <w:rPr>
          <w:bCs/>
          <w:sz w:val="22"/>
          <w:szCs w:val="22"/>
          <w:lang w:val="lt-LT"/>
        </w:rPr>
        <w:t>Ranbaxy</w:t>
      </w:r>
      <w:proofErr w:type="spellEnd"/>
    </w:p>
    <w:p w14:paraId="63F65BE4" w14:textId="0C3D3C4F" w:rsidR="0052287E" w:rsidRPr="003F7446" w:rsidRDefault="0052287E" w:rsidP="0052287E">
      <w:pPr>
        <w:pStyle w:val="Default"/>
        <w:ind w:left="560" w:hanging="560"/>
        <w:rPr>
          <w:sz w:val="22"/>
          <w:szCs w:val="22"/>
          <w:lang w:val="lt-LT"/>
        </w:rPr>
      </w:pPr>
      <w:r w:rsidRPr="003F7446">
        <w:rPr>
          <w:sz w:val="22"/>
          <w:szCs w:val="22"/>
          <w:lang w:val="lt-LT"/>
        </w:rPr>
        <w:t xml:space="preserve">6. </w:t>
      </w:r>
      <w:r w:rsidR="003978A9" w:rsidRPr="003F7446">
        <w:rPr>
          <w:sz w:val="22"/>
          <w:szCs w:val="22"/>
          <w:lang w:val="lt-LT"/>
        </w:rPr>
        <w:t>Pakuotės turinys ir kita informacija</w:t>
      </w:r>
    </w:p>
    <w:p w14:paraId="7D301922" w14:textId="77777777" w:rsidR="0052287E" w:rsidRPr="003F7446" w:rsidRDefault="0052287E" w:rsidP="0052287E">
      <w:pPr>
        <w:pStyle w:val="Default"/>
        <w:ind w:left="560" w:hanging="560"/>
        <w:rPr>
          <w:b/>
          <w:bCs/>
          <w:sz w:val="22"/>
          <w:szCs w:val="22"/>
          <w:lang w:val="lt-LT"/>
        </w:rPr>
      </w:pPr>
    </w:p>
    <w:p w14:paraId="39412F5A" w14:textId="77777777" w:rsidR="0052287E" w:rsidRPr="003F7446" w:rsidRDefault="0052287E" w:rsidP="0052287E">
      <w:pPr>
        <w:pStyle w:val="Default"/>
        <w:ind w:left="560" w:hanging="560"/>
        <w:rPr>
          <w:b/>
          <w:bCs/>
          <w:sz w:val="22"/>
          <w:szCs w:val="22"/>
          <w:lang w:val="lt-LT"/>
        </w:rPr>
      </w:pPr>
    </w:p>
    <w:p w14:paraId="14C26F3B" w14:textId="094B20EB" w:rsidR="003978A9" w:rsidRPr="003F7446" w:rsidRDefault="003978A9" w:rsidP="003978A9">
      <w:pPr>
        <w:pStyle w:val="Default"/>
        <w:ind w:left="560" w:hanging="560"/>
        <w:rPr>
          <w:b/>
          <w:sz w:val="22"/>
          <w:szCs w:val="22"/>
          <w:lang w:val="lt-LT"/>
        </w:rPr>
      </w:pPr>
      <w:r w:rsidRPr="003F7446">
        <w:rPr>
          <w:b/>
          <w:bCs/>
          <w:sz w:val="22"/>
          <w:szCs w:val="22"/>
          <w:lang w:val="lt-LT"/>
        </w:rPr>
        <w:t xml:space="preserve">1. Kas yra </w:t>
      </w:r>
      <w:proofErr w:type="spellStart"/>
      <w:r w:rsidRPr="003F7446">
        <w:rPr>
          <w:b/>
          <w:bCs/>
          <w:sz w:val="22"/>
          <w:szCs w:val="22"/>
          <w:lang w:val="lt-LT"/>
        </w:rPr>
        <w:t>Mycophenolate</w:t>
      </w:r>
      <w:proofErr w:type="spellEnd"/>
      <w:r w:rsidRPr="003F7446">
        <w:rPr>
          <w:b/>
          <w:bCs/>
          <w:sz w:val="22"/>
          <w:szCs w:val="22"/>
          <w:lang w:val="lt-LT"/>
        </w:rPr>
        <w:t xml:space="preserve"> </w:t>
      </w:r>
      <w:proofErr w:type="spellStart"/>
      <w:r w:rsidRPr="003F7446">
        <w:rPr>
          <w:b/>
          <w:bCs/>
          <w:sz w:val="22"/>
          <w:szCs w:val="22"/>
          <w:lang w:val="lt-LT"/>
        </w:rPr>
        <w:t>mofetil</w:t>
      </w:r>
      <w:proofErr w:type="spellEnd"/>
      <w:r w:rsidRPr="003F7446">
        <w:rPr>
          <w:b/>
          <w:bCs/>
          <w:sz w:val="22"/>
          <w:szCs w:val="22"/>
          <w:lang w:val="lt-LT"/>
        </w:rPr>
        <w:t xml:space="preserve"> </w:t>
      </w:r>
      <w:proofErr w:type="spellStart"/>
      <w:r w:rsidRPr="003F7446">
        <w:rPr>
          <w:b/>
          <w:bCs/>
          <w:sz w:val="22"/>
          <w:szCs w:val="22"/>
          <w:lang w:val="lt-LT"/>
        </w:rPr>
        <w:t>Ranbaxy</w:t>
      </w:r>
      <w:proofErr w:type="spellEnd"/>
      <w:r w:rsidRPr="003F7446">
        <w:rPr>
          <w:b/>
          <w:bCs/>
          <w:sz w:val="22"/>
          <w:szCs w:val="22"/>
          <w:lang w:val="lt-LT"/>
        </w:rPr>
        <w:t xml:space="preserve"> ir kam jis vartojamas </w:t>
      </w:r>
    </w:p>
    <w:p w14:paraId="0231F49E" w14:textId="77777777" w:rsidR="0052287E" w:rsidRPr="003F7446" w:rsidRDefault="0052287E" w:rsidP="0052287E">
      <w:pPr>
        <w:pStyle w:val="Default"/>
        <w:rPr>
          <w:sz w:val="22"/>
          <w:szCs w:val="22"/>
          <w:lang w:val="lt-LT"/>
        </w:rPr>
      </w:pPr>
    </w:p>
    <w:p w14:paraId="5181FE21" w14:textId="77777777" w:rsidR="0052287E" w:rsidRPr="003F7446" w:rsidRDefault="0052287E" w:rsidP="0052287E">
      <w:pPr>
        <w:pStyle w:val="Default"/>
        <w:rPr>
          <w:sz w:val="22"/>
          <w:szCs w:val="22"/>
          <w:lang w:val="lt-LT"/>
        </w:rPr>
      </w:pPr>
      <w:proofErr w:type="spellStart"/>
      <w:r w:rsidRPr="003F7446">
        <w:rPr>
          <w:bCs/>
          <w:sz w:val="22"/>
          <w:szCs w:val="22"/>
          <w:lang w:val="lt-LT"/>
        </w:rPr>
        <w:t>Mikofenolato</w:t>
      </w:r>
      <w:proofErr w:type="spellEnd"/>
      <w:r w:rsidRPr="003F7446">
        <w:rPr>
          <w:bCs/>
          <w:sz w:val="22"/>
          <w:szCs w:val="22"/>
          <w:lang w:val="lt-LT"/>
        </w:rPr>
        <w:t xml:space="preserve"> </w:t>
      </w:r>
      <w:proofErr w:type="spellStart"/>
      <w:r w:rsidRPr="003F7446">
        <w:rPr>
          <w:bCs/>
          <w:sz w:val="22"/>
          <w:szCs w:val="22"/>
          <w:lang w:val="lt-LT"/>
        </w:rPr>
        <w:t>mofetilis</w:t>
      </w:r>
      <w:proofErr w:type="spellEnd"/>
      <w:r w:rsidRPr="003F7446">
        <w:rPr>
          <w:sz w:val="22"/>
          <w:szCs w:val="22"/>
          <w:lang w:val="lt-LT"/>
        </w:rPr>
        <w:t xml:space="preserve"> priklauso vaistų grupei vadinamai </w:t>
      </w:r>
      <w:proofErr w:type="spellStart"/>
      <w:r w:rsidRPr="003F7446">
        <w:rPr>
          <w:sz w:val="22"/>
          <w:szCs w:val="22"/>
          <w:lang w:val="lt-LT"/>
        </w:rPr>
        <w:t>imunosupresantais</w:t>
      </w:r>
      <w:proofErr w:type="spellEnd"/>
      <w:r w:rsidRPr="003F7446">
        <w:rPr>
          <w:sz w:val="22"/>
          <w:szCs w:val="22"/>
          <w:lang w:val="lt-LT"/>
        </w:rPr>
        <w:t xml:space="preserve">. </w:t>
      </w:r>
    </w:p>
    <w:p w14:paraId="02FF22B1" w14:textId="77777777" w:rsidR="0052287E" w:rsidRPr="003F7446" w:rsidRDefault="0052287E" w:rsidP="0052287E">
      <w:pPr>
        <w:pStyle w:val="Default"/>
        <w:rPr>
          <w:bCs/>
          <w:sz w:val="22"/>
          <w:szCs w:val="22"/>
          <w:lang w:val="lt-LT"/>
        </w:rPr>
      </w:pPr>
    </w:p>
    <w:p w14:paraId="10E29D98" w14:textId="77777777" w:rsidR="0052287E" w:rsidRPr="003F7446" w:rsidRDefault="0052287E" w:rsidP="0052287E">
      <w:pPr>
        <w:pStyle w:val="Default"/>
        <w:rPr>
          <w:sz w:val="22"/>
          <w:szCs w:val="22"/>
          <w:lang w:val="lt-LT"/>
        </w:rPr>
      </w:pPr>
      <w:r w:rsidRPr="003F7446">
        <w:rPr>
          <w:bCs/>
          <w:sz w:val="22"/>
          <w:szCs w:val="22"/>
          <w:lang w:val="lt-LT"/>
        </w:rPr>
        <w:t xml:space="preserve">Šis vaistas skiriamas </w:t>
      </w:r>
      <w:r w:rsidRPr="003F7446">
        <w:rPr>
          <w:sz w:val="22"/>
          <w:szCs w:val="22"/>
          <w:lang w:val="lt-LT"/>
        </w:rPr>
        <w:t xml:space="preserve">siekiant, kad Jūsų organizmas neatmestų persodinto inksto, širdies ar kepenų. </w:t>
      </w:r>
      <w:proofErr w:type="spellStart"/>
      <w:r w:rsidRPr="003F7446">
        <w:rPr>
          <w:bCs/>
          <w:sz w:val="22"/>
          <w:szCs w:val="22"/>
          <w:lang w:val="lt-LT"/>
        </w:rPr>
        <w:t>Mikofenolato</w:t>
      </w:r>
      <w:proofErr w:type="spellEnd"/>
      <w:r w:rsidRPr="003F7446">
        <w:rPr>
          <w:bCs/>
          <w:sz w:val="22"/>
          <w:szCs w:val="22"/>
          <w:lang w:val="lt-LT"/>
        </w:rPr>
        <w:t xml:space="preserve"> </w:t>
      </w:r>
      <w:proofErr w:type="spellStart"/>
      <w:r w:rsidRPr="003F7446">
        <w:rPr>
          <w:bCs/>
          <w:sz w:val="22"/>
          <w:szCs w:val="22"/>
          <w:lang w:val="lt-LT"/>
        </w:rPr>
        <w:t>mofetilis</w:t>
      </w:r>
      <w:proofErr w:type="spellEnd"/>
      <w:r w:rsidRPr="003F7446">
        <w:rPr>
          <w:sz w:val="22"/>
          <w:szCs w:val="22"/>
          <w:lang w:val="lt-LT"/>
        </w:rPr>
        <w:t xml:space="preserve"> </w:t>
      </w:r>
      <w:r w:rsidR="00454A29" w:rsidRPr="003F7446">
        <w:rPr>
          <w:sz w:val="22"/>
          <w:szCs w:val="22"/>
          <w:lang w:val="lt-LT"/>
        </w:rPr>
        <w:t xml:space="preserve">turėtų būti </w:t>
      </w:r>
      <w:r w:rsidRPr="003F7446">
        <w:rPr>
          <w:sz w:val="22"/>
          <w:szCs w:val="22"/>
          <w:lang w:val="lt-LT"/>
        </w:rPr>
        <w:t xml:space="preserve">vartojamas kartu su kitais vaistais, vadinamais </w:t>
      </w:r>
      <w:proofErr w:type="spellStart"/>
      <w:r w:rsidRPr="003F7446">
        <w:rPr>
          <w:sz w:val="22"/>
          <w:szCs w:val="22"/>
          <w:lang w:val="lt-LT"/>
        </w:rPr>
        <w:t>ciklosporinu</w:t>
      </w:r>
      <w:proofErr w:type="spellEnd"/>
      <w:r w:rsidRPr="003F7446">
        <w:rPr>
          <w:sz w:val="22"/>
          <w:szCs w:val="22"/>
          <w:lang w:val="lt-LT"/>
        </w:rPr>
        <w:t xml:space="preserve"> ir kortikosteroidais. </w:t>
      </w:r>
    </w:p>
    <w:p w14:paraId="60C49A06" w14:textId="77777777" w:rsidR="0052287E" w:rsidRPr="003F7446" w:rsidRDefault="0052287E" w:rsidP="0052287E">
      <w:pPr>
        <w:pStyle w:val="Default"/>
        <w:ind w:left="560" w:hanging="560"/>
        <w:rPr>
          <w:b/>
          <w:bCs/>
          <w:sz w:val="22"/>
          <w:szCs w:val="22"/>
          <w:lang w:val="lt-LT"/>
        </w:rPr>
      </w:pPr>
    </w:p>
    <w:p w14:paraId="7155C5CC" w14:textId="77777777" w:rsidR="0052287E" w:rsidRPr="003F7446" w:rsidRDefault="0052287E" w:rsidP="0052287E">
      <w:pPr>
        <w:pStyle w:val="Default"/>
        <w:ind w:left="560" w:hanging="560"/>
        <w:rPr>
          <w:b/>
          <w:bCs/>
          <w:sz w:val="22"/>
          <w:szCs w:val="22"/>
          <w:lang w:val="lt-LT"/>
        </w:rPr>
      </w:pPr>
    </w:p>
    <w:p w14:paraId="0292195A" w14:textId="77777777" w:rsidR="003978A9" w:rsidRPr="003F7446" w:rsidRDefault="003978A9" w:rsidP="003978A9">
      <w:pPr>
        <w:pStyle w:val="Default"/>
        <w:ind w:left="560" w:hanging="560"/>
        <w:rPr>
          <w:b/>
          <w:bCs/>
          <w:sz w:val="22"/>
          <w:szCs w:val="22"/>
          <w:lang w:val="lt-LT"/>
        </w:rPr>
      </w:pPr>
      <w:r w:rsidRPr="003F7446">
        <w:rPr>
          <w:b/>
          <w:bCs/>
          <w:sz w:val="22"/>
          <w:szCs w:val="22"/>
          <w:lang w:val="lt-LT"/>
        </w:rPr>
        <w:t xml:space="preserve">2. Kas žinotina prieš vartojant </w:t>
      </w:r>
      <w:proofErr w:type="spellStart"/>
      <w:r w:rsidRPr="003F7446">
        <w:rPr>
          <w:b/>
          <w:bCs/>
          <w:sz w:val="22"/>
          <w:szCs w:val="22"/>
          <w:lang w:val="lt-LT"/>
        </w:rPr>
        <w:t>Mycophenolate</w:t>
      </w:r>
      <w:proofErr w:type="spellEnd"/>
      <w:r w:rsidRPr="003F7446">
        <w:rPr>
          <w:b/>
          <w:bCs/>
          <w:sz w:val="22"/>
          <w:szCs w:val="22"/>
          <w:lang w:val="lt-LT"/>
        </w:rPr>
        <w:t xml:space="preserve"> </w:t>
      </w:r>
      <w:proofErr w:type="spellStart"/>
      <w:r w:rsidRPr="003F7446">
        <w:rPr>
          <w:b/>
          <w:bCs/>
          <w:sz w:val="22"/>
          <w:szCs w:val="22"/>
          <w:lang w:val="lt-LT"/>
        </w:rPr>
        <w:t>mofetil</w:t>
      </w:r>
      <w:proofErr w:type="spellEnd"/>
      <w:r w:rsidRPr="003F7446">
        <w:rPr>
          <w:b/>
          <w:bCs/>
          <w:sz w:val="22"/>
          <w:szCs w:val="22"/>
          <w:lang w:val="lt-LT"/>
        </w:rPr>
        <w:t xml:space="preserve"> </w:t>
      </w:r>
      <w:proofErr w:type="spellStart"/>
      <w:r w:rsidRPr="003F7446">
        <w:rPr>
          <w:b/>
          <w:bCs/>
          <w:sz w:val="22"/>
          <w:szCs w:val="22"/>
          <w:lang w:val="lt-LT"/>
        </w:rPr>
        <w:t>Ranbaxy</w:t>
      </w:r>
      <w:proofErr w:type="spellEnd"/>
      <w:r w:rsidRPr="003F7446">
        <w:rPr>
          <w:b/>
          <w:bCs/>
          <w:sz w:val="22"/>
          <w:szCs w:val="22"/>
          <w:lang w:val="lt-LT"/>
        </w:rPr>
        <w:t xml:space="preserve"> </w:t>
      </w:r>
    </w:p>
    <w:p w14:paraId="39E33716" w14:textId="77777777" w:rsidR="0052287E" w:rsidRPr="003F7446" w:rsidRDefault="0052287E" w:rsidP="0052287E">
      <w:pPr>
        <w:pStyle w:val="Default"/>
        <w:ind w:left="560" w:hanging="560"/>
        <w:rPr>
          <w:b/>
          <w:bCs/>
          <w:sz w:val="22"/>
          <w:szCs w:val="22"/>
          <w:lang w:val="lt-LT"/>
        </w:rPr>
      </w:pPr>
    </w:p>
    <w:p w14:paraId="5CC512F8" w14:textId="77777777" w:rsidR="0052287E" w:rsidRPr="003F7446" w:rsidRDefault="0052287E" w:rsidP="0052287E">
      <w:pPr>
        <w:pStyle w:val="Default"/>
        <w:ind w:left="560" w:hanging="560"/>
        <w:rPr>
          <w:b/>
          <w:bCs/>
          <w:sz w:val="22"/>
          <w:szCs w:val="22"/>
          <w:lang w:val="lt-LT"/>
        </w:rPr>
      </w:pPr>
      <w:proofErr w:type="spellStart"/>
      <w:r w:rsidRPr="003F7446">
        <w:rPr>
          <w:b/>
          <w:bCs/>
          <w:sz w:val="22"/>
          <w:szCs w:val="22"/>
          <w:lang w:val="lt-LT"/>
        </w:rPr>
        <w:t>Mycophenolate</w:t>
      </w:r>
      <w:proofErr w:type="spellEnd"/>
      <w:r w:rsidRPr="003F7446">
        <w:rPr>
          <w:b/>
          <w:bCs/>
          <w:sz w:val="22"/>
          <w:szCs w:val="22"/>
          <w:lang w:val="lt-LT"/>
        </w:rPr>
        <w:t xml:space="preserve"> </w:t>
      </w:r>
      <w:proofErr w:type="spellStart"/>
      <w:r w:rsidRPr="003F7446">
        <w:rPr>
          <w:b/>
          <w:bCs/>
          <w:sz w:val="22"/>
          <w:szCs w:val="22"/>
          <w:lang w:val="lt-LT"/>
        </w:rPr>
        <w:t>mofetil-Ranbaxy</w:t>
      </w:r>
      <w:proofErr w:type="spellEnd"/>
      <w:r w:rsidRPr="003F7446">
        <w:rPr>
          <w:b/>
          <w:bCs/>
          <w:sz w:val="22"/>
          <w:szCs w:val="22"/>
          <w:lang w:val="lt-LT"/>
        </w:rPr>
        <w:t xml:space="preserve"> vartoti negalima: </w:t>
      </w:r>
    </w:p>
    <w:p w14:paraId="0F75ABFB" w14:textId="77777777" w:rsidR="0052287E" w:rsidRPr="003F7446" w:rsidRDefault="0052287E" w:rsidP="0052287E">
      <w:pPr>
        <w:pStyle w:val="Default"/>
        <w:ind w:left="560" w:hanging="560"/>
        <w:rPr>
          <w:sz w:val="22"/>
          <w:szCs w:val="22"/>
          <w:lang w:val="lt-LT"/>
        </w:rPr>
      </w:pPr>
    </w:p>
    <w:p w14:paraId="305387A3" w14:textId="6D921109" w:rsidR="0052287E" w:rsidRPr="003F7446" w:rsidRDefault="0052287E" w:rsidP="0052287E">
      <w:pPr>
        <w:pStyle w:val="Default"/>
        <w:rPr>
          <w:sz w:val="22"/>
          <w:szCs w:val="22"/>
          <w:lang w:val="lt-LT"/>
        </w:rPr>
      </w:pPr>
      <w:r w:rsidRPr="003F7446">
        <w:rPr>
          <w:sz w:val="22"/>
          <w:szCs w:val="22"/>
          <w:lang w:val="lt-LT"/>
        </w:rPr>
        <w:t xml:space="preserve">- Jeigu Jums yra alergija </w:t>
      </w:r>
      <w:proofErr w:type="spellStart"/>
      <w:r w:rsidRPr="003F7446">
        <w:rPr>
          <w:sz w:val="22"/>
          <w:szCs w:val="22"/>
          <w:lang w:val="lt-LT"/>
        </w:rPr>
        <w:t>mikofenolato</w:t>
      </w:r>
      <w:proofErr w:type="spellEnd"/>
      <w:r w:rsidRPr="003F7446">
        <w:rPr>
          <w:sz w:val="22"/>
          <w:szCs w:val="22"/>
          <w:lang w:val="lt-LT"/>
        </w:rPr>
        <w:t xml:space="preserve"> </w:t>
      </w:r>
      <w:proofErr w:type="spellStart"/>
      <w:r w:rsidRPr="003F7446">
        <w:rPr>
          <w:sz w:val="22"/>
          <w:szCs w:val="22"/>
          <w:lang w:val="lt-LT"/>
        </w:rPr>
        <w:t>mofetiliui</w:t>
      </w:r>
      <w:proofErr w:type="spellEnd"/>
      <w:r w:rsidRPr="003F7446">
        <w:rPr>
          <w:sz w:val="22"/>
          <w:szCs w:val="22"/>
          <w:lang w:val="lt-LT"/>
        </w:rPr>
        <w:t xml:space="preserve">, </w:t>
      </w:r>
      <w:proofErr w:type="spellStart"/>
      <w:r w:rsidRPr="003F7446">
        <w:rPr>
          <w:sz w:val="22"/>
          <w:szCs w:val="22"/>
          <w:lang w:val="lt-LT"/>
        </w:rPr>
        <w:t>mikofenolio</w:t>
      </w:r>
      <w:proofErr w:type="spellEnd"/>
      <w:r w:rsidRPr="003F7446">
        <w:rPr>
          <w:sz w:val="22"/>
          <w:szCs w:val="22"/>
          <w:lang w:val="lt-LT"/>
        </w:rPr>
        <w:t xml:space="preserve"> rūgščiai arba bet kuriai pagalbinei </w:t>
      </w:r>
      <w:proofErr w:type="spellStart"/>
      <w:r w:rsidRPr="003F7446">
        <w:rPr>
          <w:bCs/>
          <w:sz w:val="22"/>
          <w:szCs w:val="22"/>
          <w:lang w:val="lt-LT"/>
        </w:rPr>
        <w:t>Mycophenolate</w:t>
      </w:r>
      <w:proofErr w:type="spellEnd"/>
      <w:r w:rsidRPr="003F7446">
        <w:rPr>
          <w:bCs/>
          <w:sz w:val="22"/>
          <w:szCs w:val="22"/>
          <w:lang w:val="lt-LT"/>
        </w:rPr>
        <w:t xml:space="preserve"> </w:t>
      </w:r>
      <w:proofErr w:type="spellStart"/>
      <w:r w:rsidRPr="003F7446">
        <w:rPr>
          <w:bCs/>
          <w:sz w:val="22"/>
          <w:szCs w:val="22"/>
          <w:lang w:val="lt-LT"/>
        </w:rPr>
        <w:t>mofetil</w:t>
      </w:r>
      <w:proofErr w:type="spellEnd"/>
      <w:r w:rsidRPr="003F7446">
        <w:rPr>
          <w:bCs/>
          <w:sz w:val="22"/>
          <w:szCs w:val="22"/>
          <w:lang w:val="lt-LT"/>
        </w:rPr>
        <w:t xml:space="preserve"> </w:t>
      </w:r>
      <w:proofErr w:type="spellStart"/>
      <w:r w:rsidRPr="003F7446">
        <w:rPr>
          <w:bCs/>
          <w:sz w:val="22"/>
          <w:szCs w:val="22"/>
          <w:lang w:val="lt-LT"/>
        </w:rPr>
        <w:t>Ranbaxy</w:t>
      </w:r>
      <w:proofErr w:type="spellEnd"/>
      <w:r w:rsidRPr="003F7446">
        <w:rPr>
          <w:sz w:val="22"/>
          <w:szCs w:val="22"/>
          <w:lang w:val="lt-LT"/>
        </w:rPr>
        <w:t xml:space="preserve"> medžiagai</w:t>
      </w:r>
      <w:r w:rsidR="00454A29" w:rsidRPr="003F7446">
        <w:rPr>
          <w:sz w:val="22"/>
          <w:szCs w:val="22"/>
          <w:lang w:val="lt-LT"/>
        </w:rPr>
        <w:t xml:space="preserve"> (jos išvardytos 6 skyriuje).</w:t>
      </w:r>
    </w:p>
    <w:p w14:paraId="0F874EAF" w14:textId="17A487AC" w:rsidR="0052287E" w:rsidRPr="003F7446" w:rsidRDefault="0052287E" w:rsidP="0052287E">
      <w:pPr>
        <w:pStyle w:val="Default"/>
        <w:rPr>
          <w:sz w:val="22"/>
          <w:szCs w:val="22"/>
          <w:lang w:val="lt-LT"/>
        </w:rPr>
      </w:pPr>
      <w:r w:rsidRPr="003F7446">
        <w:rPr>
          <w:sz w:val="22"/>
          <w:szCs w:val="22"/>
          <w:lang w:val="lt-LT"/>
        </w:rPr>
        <w:t xml:space="preserve">- Jeigu </w:t>
      </w:r>
      <w:r w:rsidR="00454A29" w:rsidRPr="003F7446">
        <w:rPr>
          <w:sz w:val="22"/>
          <w:szCs w:val="22"/>
          <w:lang w:val="lt-LT"/>
        </w:rPr>
        <w:t xml:space="preserve">laukiatės kūdikio ar </w:t>
      </w:r>
      <w:r w:rsidRPr="003F7446">
        <w:rPr>
          <w:sz w:val="22"/>
          <w:szCs w:val="22"/>
          <w:lang w:val="lt-LT"/>
        </w:rPr>
        <w:t xml:space="preserve">maitinate krūtimi. </w:t>
      </w:r>
    </w:p>
    <w:p w14:paraId="54E25A94" w14:textId="77777777" w:rsidR="0052287E" w:rsidRPr="003F7446" w:rsidRDefault="0052287E" w:rsidP="0052287E">
      <w:pPr>
        <w:pStyle w:val="Default"/>
        <w:ind w:left="560" w:hanging="560"/>
        <w:rPr>
          <w:b/>
          <w:bCs/>
          <w:sz w:val="22"/>
          <w:szCs w:val="22"/>
          <w:lang w:val="lt-LT"/>
        </w:rPr>
      </w:pPr>
    </w:p>
    <w:p w14:paraId="0AB9B2CA" w14:textId="72F9F4FF" w:rsidR="00454A29" w:rsidRPr="003F7446" w:rsidRDefault="00BA535D" w:rsidP="0052287E">
      <w:pPr>
        <w:pStyle w:val="Default"/>
        <w:ind w:left="560" w:hanging="560"/>
        <w:rPr>
          <w:bCs/>
          <w:sz w:val="22"/>
          <w:szCs w:val="22"/>
          <w:lang w:val="lt-LT"/>
        </w:rPr>
      </w:pPr>
      <w:r w:rsidRPr="003F7446">
        <w:rPr>
          <w:bCs/>
          <w:sz w:val="22"/>
          <w:szCs w:val="22"/>
          <w:lang w:val="lt-LT"/>
        </w:rPr>
        <w:t xml:space="preserve">Jei kuri nors iš anksčiau paminėtų būklių Jums tinka, nevartokite šio vaisto. Jei nesate tikri, prieš vartodami </w:t>
      </w:r>
      <w:proofErr w:type="spellStart"/>
      <w:r w:rsidRPr="003F7446">
        <w:rPr>
          <w:bCs/>
          <w:sz w:val="22"/>
          <w:szCs w:val="22"/>
          <w:lang w:val="lt-LT"/>
        </w:rPr>
        <w:t>Mycophenolate</w:t>
      </w:r>
      <w:proofErr w:type="spellEnd"/>
      <w:r w:rsidRPr="003F7446">
        <w:rPr>
          <w:bCs/>
          <w:sz w:val="22"/>
          <w:szCs w:val="22"/>
          <w:lang w:val="lt-LT"/>
        </w:rPr>
        <w:t xml:space="preserve"> </w:t>
      </w:r>
      <w:proofErr w:type="spellStart"/>
      <w:r w:rsidRPr="003F7446">
        <w:rPr>
          <w:bCs/>
          <w:sz w:val="22"/>
          <w:szCs w:val="22"/>
          <w:lang w:val="lt-LT"/>
        </w:rPr>
        <w:t>mofetil</w:t>
      </w:r>
      <w:proofErr w:type="spellEnd"/>
      <w:r w:rsidRPr="003F7446">
        <w:rPr>
          <w:bCs/>
          <w:sz w:val="22"/>
          <w:szCs w:val="22"/>
          <w:lang w:val="lt-LT"/>
        </w:rPr>
        <w:t xml:space="preserve"> </w:t>
      </w:r>
      <w:proofErr w:type="spellStart"/>
      <w:r w:rsidRPr="003F7446">
        <w:rPr>
          <w:bCs/>
          <w:sz w:val="22"/>
          <w:szCs w:val="22"/>
          <w:lang w:val="lt-LT"/>
        </w:rPr>
        <w:t>Ranbaxy</w:t>
      </w:r>
      <w:proofErr w:type="spellEnd"/>
      <w:r w:rsidRPr="003F7446">
        <w:rPr>
          <w:bCs/>
          <w:sz w:val="22"/>
          <w:szCs w:val="22"/>
          <w:lang w:val="lt-LT"/>
        </w:rPr>
        <w:t xml:space="preserve"> pasitarkite su gydytoju arba vaistininku. </w:t>
      </w:r>
    </w:p>
    <w:p w14:paraId="110CACC1" w14:textId="77777777" w:rsidR="00BA535D" w:rsidRPr="003F7446" w:rsidRDefault="00BA535D" w:rsidP="0052287E">
      <w:pPr>
        <w:pStyle w:val="Default"/>
        <w:ind w:left="560" w:hanging="560"/>
        <w:rPr>
          <w:bCs/>
          <w:sz w:val="22"/>
          <w:szCs w:val="22"/>
          <w:lang w:val="lt-LT"/>
        </w:rPr>
      </w:pPr>
    </w:p>
    <w:p w14:paraId="2E4C1286" w14:textId="7A38D118" w:rsidR="0052287E" w:rsidRPr="003F7446" w:rsidRDefault="00BA535D" w:rsidP="00C83F01">
      <w:pPr>
        <w:pStyle w:val="Default"/>
        <w:ind w:left="560" w:hanging="560"/>
        <w:rPr>
          <w:sz w:val="22"/>
          <w:szCs w:val="22"/>
          <w:lang w:val="lt-LT"/>
        </w:rPr>
      </w:pPr>
      <w:r w:rsidRPr="003F7446">
        <w:rPr>
          <w:b/>
          <w:bCs/>
          <w:sz w:val="22"/>
          <w:szCs w:val="22"/>
          <w:lang w:val="lt-LT"/>
        </w:rPr>
        <w:t>Įspėjimai ir atsargumo priemonės</w:t>
      </w:r>
    </w:p>
    <w:p w14:paraId="376F712D" w14:textId="70BA8CA9" w:rsidR="0052287E" w:rsidRPr="003F7446" w:rsidRDefault="0052287E" w:rsidP="0052287E">
      <w:pPr>
        <w:pStyle w:val="Default"/>
        <w:rPr>
          <w:sz w:val="22"/>
          <w:szCs w:val="22"/>
          <w:lang w:val="lt-LT"/>
        </w:rPr>
      </w:pPr>
      <w:r w:rsidRPr="003F7446">
        <w:rPr>
          <w:sz w:val="22"/>
          <w:szCs w:val="22"/>
          <w:lang w:val="lt-LT"/>
        </w:rPr>
        <w:t>Privalote nedelsianti informuoti savo gydytoją</w:t>
      </w:r>
      <w:r w:rsidR="00BA535D" w:rsidRPr="003F7446">
        <w:rPr>
          <w:sz w:val="22"/>
          <w:szCs w:val="22"/>
          <w:lang w:val="lt-LT"/>
        </w:rPr>
        <w:t xml:space="preserve"> prieš vartodami </w:t>
      </w:r>
      <w:proofErr w:type="spellStart"/>
      <w:r w:rsidR="00BA535D" w:rsidRPr="003F7446">
        <w:rPr>
          <w:sz w:val="22"/>
          <w:szCs w:val="22"/>
          <w:lang w:val="lt-LT"/>
        </w:rPr>
        <w:t>Mycophenolate</w:t>
      </w:r>
      <w:proofErr w:type="spellEnd"/>
      <w:r w:rsidR="00BA535D" w:rsidRPr="003F7446">
        <w:rPr>
          <w:sz w:val="22"/>
          <w:szCs w:val="22"/>
          <w:lang w:val="lt-LT"/>
        </w:rPr>
        <w:t xml:space="preserve"> </w:t>
      </w:r>
      <w:proofErr w:type="spellStart"/>
      <w:r w:rsidR="00BA535D" w:rsidRPr="003F7446">
        <w:rPr>
          <w:sz w:val="22"/>
          <w:szCs w:val="22"/>
          <w:lang w:val="lt-LT"/>
        </w:rPr>
        <w:t>mofetil</w:t>
      </w:r>
      <w:proofErr w:type="spellEnd"/>
      <w:r w:rsidR="00BA535D" w:rsidRPr="003F7446">
        <w:rPr>
          <w:sz w:val="22"/>
          <w:szCs w:val="22"/>
          <w:lang w:val="lt-LT"/>
        </w:rPr>
        <w:t xml:space="preserve"> </w:t>
      </w:r>
      <w:proofErr w:type="spellStart"/>
      <w:r w:rsidR="00BA535D" w:rsidRPr="003F7446">
        <w:rPr>
          <w:sz w:val="22"/>
          <w:szCs w:val="22"/>
          <w:lang w:val="lt-LT"/>
        </w:rPr>
        <w:t>Ranbaxy</w:t>
      </w:r>
      <w:proofErr w:type="spellEnd"/>
      <w:r w:rsidR="00BA535D" w:rsidRPr="003F7446">
        <w:rPr>
          <w:sz w:val="22"/>
          <w:szCs w:val="22"/>
          <w:lang w:val="lt-LT"/>
        </w:rPr>
        <w:t>:</w:t>
      </w:r>
    </w:p>
    <w:p w14:paraId="4955A4A9" w14:textId="24ABEDA4" w:rsidR="00BA535D" w:rsidRPr="003F7446" w:rsidRDefault="0052287E" w:rsidP="0052287E">
      <w:pPr>
        <w:pStyle w:val="Default"/>
        <w:rPr>
          <w:sz w:val="22"/>
          <w:szCs w:val="22"/>
          <w:lang w:val="lt-LT"/>
        </w:rPr>
      </w:pPr>
      <w:r w:rsidRPr="003F7446">
        <w:rPr>
          <w:sz w:val="22"/>
          <w:szCs w:val="22"/>
          <w:lang w:val="lt-LT"/>
        </w:rPr>
        <w:t xml:space="preserve">- </w:t>
      </w:r>
      <w:r w:rsidR="00BA535D" w:rsidRPr="003F7446">
        <w:rPr>
          <w:sz w:val="22"/>
          <w:szCs w:val="22"/>
          <w:lang w:val="lt-LT"/>
        </w:rPr>
        <w:t>j</w:t>
      </w:r>
      <w:r w:rsidRPr="003F7446">
        <w:rPr>
          <w:sz w:val="22"/>
          <w:szCs w:val="22"/>
          <w:lang w:val="lt-LT"/>
        </w:rPr>
        <w:t>eigu atsirado infekcijos požymių</w:t>
      </w:r>
      <w:r w:rsidR="00BA535D" w:rsidRPr="003F7446">
        <w:rPr>
          <w:sz w:val="22"/>
          <w:szCs w:val="22"/>
          <w:lang w:val="lt-LT"/>
        </w:rPr>
        <w:t xml:space="preserve">, tokių kaip </w:t>
      </w:r>
      <w:r w:rsidRPr="003F7446">
        <w:rPr>
          <w:sz w:val="22"/>
          <w:szCs w:val="22"/>
          <w:lang w:val="lt-LT"/>
        </w:rPr>
        <w:t>karščiavimas</w:t>
      </w:r>
      <w:r w:rsidR="00BA535D" w:rsidRPr="003F7446">
        <w:rPr>
          <w:sz w:val="22"/>
          <w:szCs w:val="22"/>
          <w:lang w:val="lt-LT"/>
        </w:rPr>
        <w:t xml:space="preserve"> ar gerklės </w:t>
      </w:r>
      <w:r w:rsidRPr="003F7446">
        <w:rPr>
          <w:sz w:val="22"/>
          <w:szCs w:val="22"/>
          <w:lang w:val="lt-LT"/>
        </w:rPr>
        <w:t>skausmas</w:t>
      </w:r>
      <w:r w:rsidR="00BA535D" w:rsidRPr="003F7446">
        <w:rPr>
          <w:sz w:val="22"/>
          <w:szCs w:val="22"/>
          <w:lang w:val="lt-LT"/>
        </w:rPr>
        <w:t>;</w:t>
      </w:r>
    </w:p>
    <w:p w14:paraId="759AD503" w14:textId="72C88477" w:rsidR="0052287E" w:rsidRPr="003F7446" w:rsidRDefault="00BA535D" w:rsidP="0052287E">
      <w:pPr>
        <w:pStyle w:val="Default"/>
        <w:rPr>
          <w:sz w:val="22"/>
          <w:szCs w:val="22"/>
          <w:lang w:val="lt-LT"/>
        </w:rPr>
      </w:pPr>
      <w:r w:rsidRPr="003F7446">
        <w:rPr>
          <w:sz w:val="22"/>
          <w:szCs w:val="22"/>
          <w:lang w:val="lt-LT"/>
        </w:rPr>
        <w:t xml:space="preserve">- jeigu atsirado </w:t>
      </w:r>
      <w:r w:rsidR="0052287E" w:rsidRPr="003F7446">
        <w:rPr>
          <w:sz w:val="22"/>
          <w:szCs w:val="22"/>
          <w:lang w:val="lt-LT"/>
        </w:rPr>
        <w:t>netikėtų mėlynių ir (arba) kraujavima</w:t>
      </w:r>
      <w:r w:rsidRPr="003F7446">
        <w:rPr>
          <w:sz w:val="22"/>
          <w:szCs w:val="22"/>
          <w:lang w:val="lt-LT"/>
        </w:rPr>
        <w:t>s;</w:t>
      </w:r>
    </w:p>
    <w:p w14:paraId="4FEACA53" w14:textId="110E2E80" w:rsidR="00BA535D" w:rsidRPr="003F7446" w:rsidRDefault="0052287E" w:rsidP="0052287E">
      <w:pPr>
        <w:pStyle w:val="Default"/>
        <w:rPr>
          <w:sz w:val="22"/>
          <w:szCs w:val="22"/>
          <w:lang w:val="lt-LT"/>
        </w:rPr>
      </w:pPr>
      <w:r w:rsidRPr="003F7446">
        <w:rPr>
          <w:sz w:val="22"/>
          <w:szCs w:val="22"/>
          <w:lang w:val="lt-LT"/>
        </w:rPr>
        <w:t xml:space="preserve">- </w:t>
      </w:r>
      <w:r w:rsidR="00BA535D" w:rsidRPr="003F7446">
        <w:rPr>
          <w:sz w:val="22"/>
          <w:szCs w:val="22"/>
          <w:lang w:val="lt-LT"/>
        </w:rPr>
        <w:t>j</w:t>
      </w:r>
      <w:r w:rsidRPr="003F7446">
        <w:rPr>
          <w:sz w:val="22"/>
          <w:szCs w:val="22"/>
          <w:lang w:val="lt-LT"/>
        </w:rPr>
        <w:t xml:space="preserve">eigu </w:t>
      </w:r>
      <w:r w:rsidR="00BA535D" w:rsidRPr="003F7446">
        <w:rPr>
          <w:sz w:val="22"/>
          <w:szCs w:val="22"/>
          <w:lang w:val="lt-LT"/>
        </w:rPr>
        <w:t>esate turėję</w:t>
      </w:r>
      <w:r w:rsidRPr="003F7446">
        <w:rPr>
          <w:sz w:val="22"/>
          <w:szCs w:val="22"/>
          <w:lang w:val="lt-LT"/>
        </w:rPr>
        <w:t xml:space="preserve"> virškinimo sistemos sutrikimų</w:t>
      </w:r>
      <w:r w:rsidR="00BA535D" w:rsidRPr="003F7446">
        <w:rPr>
          <w:sz w:val="22"/>
          <w:szCs w:val="22"/>
          <w:lang w:val="lt-LT"/>
        </w:rPr>
        <w:t xml:space="preserve">, tokių kaip </w:t>
      </w:r>
      <w:r w:rsidRPr="003F7446">
        <w:rPr>
          <w:sz w:val="22"/>
          <w:szCs w:val="22"/>
          <w:lang w:val="lt-LT"/>
        </w:rPr>
        <w:t>skrandžio op</w:t>
      </w:r>
      <w:r w:rsidR="00BA535D" w:rsidRPr="003F7446">
        <w:rPr>
          <w:sz w:val="22"/>
          <w:szCs w:val="22"/>
          <w:lang w:val="lt-LT"/>
        </w:rPr>
        <w:t>a;</w:t>
      </w:r>
    </w:p>
    <w:p w14:paraId="7D60C444" w14:textId="77777777" w:rsidR="00BA535D" w:rsidRPr="003F7446" w:rsidRDefault="00BA535D" w:rsidP="0052287E">
      <w:pPr>
        <w:pStyle w:val="Default"/>
        <w:rPr>
          <w:sz w:val="22"/>
          <w:szCs w:val="22"/>
          <w:lang w:val="lt-LT"/>
        </w:rPr>
      </w:pPr>
      <w:r w:rsidRPr="003F7446">
        <w:rPr>
          <w:sz w:val="22"/>
          <w:szCs w:val="22"/>
          <w:lang w:val="lt-LT"/>
        </w:rPr>
        <w:t xml:space="preserve">- jei planuojate pastoti ar pastojote vartodama </w:t>
      </w:r>
      <w:proofErr w:type="spellStart"/>
      <w:r w:rsidRPr="003F7446">
        <w:rPr>
          <w:sz w:val="22"/>
          <w:szCs w:val="22"/>
          <w:lang w:val="lt-LT"/>
        </w:rPr>
        <w:t>Mycophenolate</w:t>
      </w:r>
      <w:proofErr w:type="spellEnd"/>
      <w:r w:rsidRPr="003F7446">
        <w:rPr>
          <w:sz w:val="22"/>
          <w:szCs w:val="22"/>
          <w:lang w:val="lt-LT"/>
        </w:rPr>
        <w:t xml:space="preserve"> </w:t>
      </w:r>
      <w:proofErr w:type="spellStart"/>
      <w:r w:rsidRPr="003F7446">
        <w:rPr>
          <w:sz w:val="22"/>
          <w:szCs w:val="22"/>
          <w:lang w:val="lt-LT"/>
        </w:rPr>
        <w:t>mofetil</w:t>
      </w:r>
      <w:proofErr w:type="spellEnd"/>
      <w:r w:rsidRPr="003F7446">
        <w:rPr>
          <w:sz w:val="22"/>
          <w:szCs w:val="22"/>
          <w:lang w:val="lt-LT"/>
        </w:rPr>
        <w:t xml:space="preserve"> </w:t>
      </w:r>
      <w:proofErr w:type="spellStart"/>
      <w:r w:rsidRPr="003F7446">
        <w:rPr>
          <w:sz w:val="22"/>
          <w:szCs w:val="22"/>
          <w:lang w:val="lt-LT"/>
        </w:rPr>
        <w:t>Ranbaxy</w:t>
      </w:r>
      <w:proofErr w:type="spellEnd"/>
      <w:r w:rsidRPr="003F7446">
        <w:rPr>
          <w:sz w:val="22"/>
          <w:szCs w:val="22"/>
          <w:lang w:val="lt-LT"/>
        </w:rPr>
        <w:t>.</w:t>
      </w:r>
    </w:p>
    <w:p w14:paraId="0456570C" w14:textId="77777777" w:rsidR="00BA535D" w:rsidRPr="003F7446" w:rsidRDefault="00BA535D" w:rsidP="0052287E">
      <w:pPr>
        <w:pStyle w:val="Default"/>
        <w:rPr>
          <w:sz w:val="22"/>
          <w:szCs w:val="22"/>
          <w:lang w:val="lt-LT"/>
        </w:rPr>
      </w:pPr>
    </w:p>
    <w:p w14:paraId="7F562206" w14:textId="77777777" w:rsidR="00EE7574" w:rsidRPr="003F7446" w:rsidRDefault="00EE7574" w:rsidP="0052287E">
      <w:pPr>
        <w:pStyle w:val="Default"/>
        <w:rPr>
          <w:sz w:val="22"/>
          <w:szCs w:val="22"/>
          <w:lang w:val="lt-LT"/>
        </w:rPr>
      </w:pPr>
      <w:r w:rsidRPr="003F7446">
        <w:rPr>
          <w:sz w:val="22"/>
          <w:szCs w:val="22"/>
          <w:lang w:val="lt-LT"/>
        </w:rPr>
        <w:t xml:space="preserve">Jei kuri nors iš anksčiau paminėtų būklių Jums tinka (arba nesate tikri), prieš vartodami </w:t>
      </w:r>
      <w:proofErr w:type="spellStart"/>
      <w:r w:rsidRPr="003F7446">
        <w:rPr>
          <w:sz w:val="22"/>
          <w:szCs w:val="22"/>
          <w:lang w:val="lt-LT"/>
        </w:rPr>
        <w:t>Mycophenolate</w:t>
      </w:r>
      <w:proofErr w:type="spellEnd"/>
      <w:r w:rsidRPr="003F7446">
        <w:rPr>
          <w:sz w:val="22"/>
          <w:szCs w:val="22"/>
          <w:lang w:val="lt-LT"/>
        </w:rPr>
        <w:t xml:space="preserve"> </w:t>
      </w:r>
      <w:proofErr w:type="spellStart"/>
      <w:r w:rsidRPr="003F7446">
        <w:rPr>
          <w:sz w:val="22"/>
          <w:szCs w:val="22"/>
          <w:lang w:val="lt-LT"/>
        </w:rPr>
        <w:t>mofetil</w:t>
      </w:r>
      <w:proofErr w:type="spellEnd"/>
      <w:r w:rsidRPr="003F7446">
        <w:rPr>
          <w:sz w:val="22"/>
          <w:szCs w:val="22"/>
          <w:lang w:val="lt-LT"/>
        </w:rPr>
        <w:t xml:space="preserve"> </w:t>
      </w:r>
      <w:proofErr w:type="spellStart"/>
      <w:r w:rsidRPr="003F7446">
        <w:rPr>
          <w:sz w:val="22"/>
          <w:szCs w:val="22"/>
          <w:lang w:val="lt-LT"/>
        </w:rPr>
        <w:t>Ranbaxy</w:t>
      </w:r>
      <w:proofErr w:type="spellEnd"/>
      <w:r w:rsidRPr="003F7446">
        <w:rPr>
          <w:sz w:val="22"/>
          <w:szCs w:val="22"/>
          <w:lang w:val="lt-LT"/>
        </w:rPr>
        <w:t xml:space="preserve"> pasitarkite su gydytoju arba vaistininku. </w:t>
      </w:r>
    </w:p>
    <w:p w14:paraId="26644900" w14:textId="77777777" w:rsidR="001472AD" w:rsidRPr="003F7446" w:rsidRDefault="001472AD" w:rsidP="0052287E">
      <w:pPr>
        <w:pStyle w:val="Default"/>
        <w:rPr>
          <w:sz w:val="22"/>
          <w:szCs w:val="22"/>
          <w:lang w:val="lt-LT"/>
        </w:rPr>
      </w:pPr>
    </w:p>
    <w:p w14:paraId="7051528C" w14:textId="77777777" w:rsidR="0052287E" w:rsidRPr="003F7446" w:rsidRDefault="001472AD" w:rsidP="0052287E">
      <w:pPr>
        <w:pStyle w:val="Default"/>
        <w:rPr>
          <w:sz w:val="22"/>
          <w:szCs w:val="22"/>
          <w:lang w:val="lt-LT"/>
        </w:rPr>
      </w:pPr>
      <w:r w:rsidRPr="003F7446">
        <w:rPr>
          <w:b/>
          <w:sz w:val="22"/>
          <w:szCs w:val="22"/>
          <w:lang w:val="lt-LT"/>
        </w:rPr>
        <w:t>Saulės šviesos poveikis</w:t>
      </w:r>
    </w:p>
    <w:p w14:paraId="7AD8C4FC" w14:textId="19EEBF92" w:rsidR="00726BD3" w:rsidRPr="003F7446" w:rsidRDefault="0052287E" w:rsidP="0052287E">
      <w:pPr>
        <w:pStyle w:val="Default"/>
        <w:rPr>
          <w:sz w:val="22"/>
          <w:szCs w:val="22"/>
          <w:lang w:val="lt-LT"/>
        </w:rPr>
      </w:pPr>
      <w:proofErr w:type="spellStart"/>
      <w:r w:rsidRPr="003F7446">
        <w:rPr>
          <w:bCs/>
          <w:sz w:val="22"/>
          <w:szCs w:val="22"/>
          <w:lang w:val="lt-LT"/>
        </w:rPr>
        <w:t>Mycophenolate</w:t>
      </w:r>
      <w:proofErr w:type="spellEnd"/>
      <w:r w:rsidRPr="003F7446">
        <w:rPr>
          <w:bCs/>
          <w:sz w:val="22"/>
          <w:szCs w:val="22"/>
          <w:lang w:val="lt-LT"/>
        </w:rPr>
        <w:t xml:space="preserve"> </w:t>
      </w:r>
      <w:proofErr w:type="spellStart"/>
      <w:r w:rsidRPr="003F7446">
        <w:rPr>
          <w:bCs/>
          <w:sz w:val="22"/>
          <w:szCs w:val="22"/>
          <w:lang w:val="lt-LT"/>
        </w:rPr>
        <w:t>mofetil</w:t>
      </w:r>
      <w:proofErr w:type="spellEnd"/>
      <w:r w:rsidRPr="003F7446">
        <w:rPr>
          <w:bCs/>
          <w:sz w:val="22"/>
          <w:szCs w:val="22"/>
          <w:lang w:val="lt-LT"/>
        </w:rPr>
        <w:t xml:space="preserve"> </w:t>
      </w:r>
      <w:proofErr w:type="spellStart"/>
      <w:r w:rsidRPr="003F7446">
        <w:rPr>
          <w:bCs/>
          <w:sz w:val="22"/>
          <w:szCs w:val="22"/>
          <w:lang w:val="lt-LT"/>
        </w:rPr>
        <w:t>Ranbaxy</w:t>
      </w:r>
      <w:proofErr w:type="spellEnd"/>
      <w:r w:rsidRPr="003F7446">
        <w:rPr>
          <w:sz w:val="22"/>
          <w:szCs w:val="22"/>
          <w:lang w:val="lt-LT"/>
        </w:rPr>
        <w:t xml:space="preserve"> silpnina Jūsų organizmo apsaugą. Dėl šios priežasties padidėja odos vėžio pavojus, todėl turite riboti saulės ir UV (ultravioletinių) spindulių poveikį organizmui</w:t>
      </w:r>
      <w:r w:rsidR="00726BD3" w:rsidRPr="003F7446">
        <w:rPr>
          <w:sz w:val="22"/>
          <w:szCs w:val="22"/>
          <w:lang w:val="lt-LT"/>
        </w:rPr>
        <w:t>:</w:t>
      </w:r>
    </w:p>
    <w:p w14:paraId="6909E8C3" w14:textId="77777777" w:rsidR="00726BD3" w:rsidRPr="003F7446" w:rsidRDefault="0052287E" w:rsidP="00C83F01">
      <w:pPr>
        <w:pStyle w:val="Default"/>
        <w:numPr>
          <w:ilvl w:val="0"/>
          <w:numId w:val="5"/>
        </w:numPr>
        <w:rPr>
          <w:b/>
          <w:bCs/>
          <w:color w:val="auto"/>
          <w:sz w:val="22"/>
          <w:szCs w:val="22"/>
          <w:lang w:val="lt-LT"/>
        </w:rPr>
      </w:pPr>
      <w:r w:rsidRPr="003F7446">
        <w:rPr>
          <w:sz w:val="22"/>
          <w:szCs w:val="22"/>
          <w:lang w:val="lt-LT"/>
        </w:rPr>
        <w:t>turite vilkėti tinkamus apsauginius drabužius</w:t>
      </w:r>
      <w:r w:rsidR="00726BD3" w:rsidRPr="003F7446">
        <w:rPr>
          <w:sz w:val="22"/>
          <w:szCs w:val="22"/>
          <w:lang w:val="lt-LT"/>
        </w:rPr>
        <w:t>, uždengiančius galvą, kalą, rankas ir kojas;</w:t>
      </w:r>
    </w:p>
    <w:p w14:paraId="3C336C5D" w14:textId="77777777" w:rsidR="00726BD3" w:rsidRPr="003F7446" w:rsidRDefault="00726BD3" w:rsidP="00C83F01">
      <w:pPr>
        <w:pStyle w:val="Default"/>
        <w:numPr>
          <w:ilvl w:val="0"/>
          <w:numId w:val="5"/>
        </w:numPr>
        <w:rPr>
          <w:b/>
          <w:bCs/>
          <w:color w:val="auto"/>
          <w:sz w:val="22"/>
          <w:szCs w:val="22"/>
          <w:lang w:val="lt-LT"/>
        </w:rPr>
      </w:pPr>
      <w:r w:rsidRPr="003F7446">
        <w:rPr>
          <w:sz w:val="22"/>
          <w:szCs w:val="22"/>
          <w:lang w:val="lt-LT"/>
        </w:rPr>
        <w:t>turite</w:t>
      </w:r>
      <w:r w:rsidR="0052287E" w:rsidRPr="003F7446">
        <w:rPr>
          <w:sz w:val="22"/>
          <w:szCs w:val="22"/>
          <w:lang w:val="lt-LT"/>
        </w:rPr>
        <w:t xml:space="preserve"> naudoti </w:t>
      </w:r>
      <w:proofErr w:type="spellStart"/>
      <w:r w:rsidRPr="003F7446">
        <w:rPr>
          <w:sz w:val="22"/>
          <w:szCs w:val="22"/>
          <w:lang w:val="lt-LT"/>
        </w:rPr>
        <w:t>kemą</w:t>
      </w:r>
      <w:proofErr w:type="spellEnd"/>
      <w:r w:rsidRPr="003F7446">
        <w:rPr>
          <w:sz w:val="22"/>
          <w:szCs w:val="22"/>
          <w:lang w:val="lt-LT"/>
        </w:rPr>
        <w:t xml:space="preserve"> nuo saulės su stipriu ultravioletinių spindulių filtru. </w:t>
      </w:r>
    </w:p>
    <w:p w14:paraId="1BD0F85D" w14:textId="77777777" w:rsidR="00726BD3" w:rsidRPr="003F7446" w:rsidRDefault="00726BD3" w:rsidP="0052287E">
      <w:pPr>
        <w:pStyle w:val="Default"/>
        <w:rPr>
          <w:b/>
          <w:bCs/>
          <w:color w:val="auto"/>
          <w:sz w:val="22"/>
          <w:szCs w:val="22"/>
          <w:lang w:val="lt-LT"/>
        </w:rPr>
      </w:pPr>
    </w:p>
    <w:p w14:paraId="3AD4D3B0" w14:textId="77777777" w:rsidR="0052287E" w:rsidRPr="003F7446" w:rsidRDefault="0052287E" w:rsidP="0052287E">
      <w:pPr>
        <w:pStyle w:val="Default"/>
        <w:rPr>
          <w:color w:val="auto"/>
          <w:sz w:val="22"/>
          <w:szCs w:val="22"/>
          <w:lang w:val="lt-LT"/>
        </w:rPr>
      </w:pPr>
      <w:r w:rsidRPr="003F7446">
        <w:rPr>
          <w:b/>
          <w:bCs/>
          <w:color w:val="auto"/>
          <w:sz w:val="22"/>
          <w:szCs w:val="22"/>
          <w:lang w:val="lt-LT"/>
        </w:rPr>
        <w:t>Kit</w:t>
      </w:r>
      <w:r w:rsidR="00680FE6" w:rsidRPr="003F7446">
        <w:rPr>
          <w:b/>
          <w:bCs/>
          <w:color w:val="auto"/>
          <w:sz w:val="22"/>
          <w:szCs w:val="22"/>
          <w:lang w:val="lt-LT"/>
        </w:rPr>
        <w:t xml:space="preserve">i vaistai ir </w:t>
      </w:r>
      <w:proofErr w:type="spellStart"/>
      <w:r w:rsidR="00680FE6" w:rsidRPr="003F7446">
        <w:rPr>
          <w:b/>
          <w:bCs/>
          <w:color w:val="auto"/>
          <w:sz w:val="22"/>
          <w:szCs w:val="22"/>
          <w:lang w:val="lt-LT"/>
        </w:rPr>
        <w:t>Mycophenolate</w:t>
      </w:r>
      <w:proofErr w:type="spellEnd"/>
      <w:r w:rsidR="00680FE6" w:rsidRPr="003F7446">
        <w:rPr>
          <w:b/>
          <w:bCs/>
          <w:color w:val="auto"/>
          <w:sz w:val="22"/>
          <w:szCs w:val="22"/>
          <w:lang w:val="lt-LT"/>
        </w:rPr>
        <w:t xml:space="preserve"> </w:t>
      </w:r>
      <w:proofErr w:type="spellStart"/>
      <w:r w:rsidR="00680FE6" w:rsidRPr="003F7446">
        <w:rPr>
          <w:b/>
          <w:bCs/>
          <w:color w:val="auto"/>
          <w:sz w:val="22"/>
          <w:szCs w:val="22"/>
          <w:lang w:val="lt-LT"/>
        </w:rPr>
        <w:t>mofetil</w:t>
      </w:r>
      <w:proofErr w:type="spellEnd"/>
      <w:r w:rsidR="00680FE6" w:rsidRPr="003F7446">
        <w:rPr>
          <w:b/>
          <w:bCs/>
          <w:color w:val="auto"/>
          <w:sz w:val="22"/>
          <w:szCs w:val="22"/>
          <w:lang w:val="lt-LT"/>
        </w:rPr>
        <w:t xml:space="preserve"> </w:t>
      </w:r>
      <w:proofErr w:type="spellStart"/>
      <w:r w:rsidR="00680FE6" w:rsidRPr="003F7446">
        <w:rPr>
          <w:b/>
          <w:bCs/>
          <w:color w:val="auto"/>
          <w:sz w:val="22"/>
          <w:szCs w:val="22"/>
          <w:lang w:val="lt-LT"/>
        </w:rPr>
        <w:t>Ranbaxy</w:t>
      </w:r>
      <w:proofErr w:type="spellEnd"/>
    </w:p>
    <w:p w14:paraId="11C9E0DB" w14:textId="77777777" w:rsidR="006B097A" w:rsidRPr="003F7446" w:rsidRDefault="006B097A" w:rsidP="008912E3">
      <w:pPr>
        <w:jc w:val="both"/>
        <w:rPr>
          <w:b/>
          <w:szCs w:val="22"/>
        </w:rPr>
      </w:pPr>
      <w:r w:rsidRPr="003F7446">
        <w:rPr>
          <w:szCs w:val="22"/>
        </w:rPr>
        <w:t xml:space="preserve">Jeigu vartojate arba neseniai vartojote kitų vaistų, </w:t>
      </w:r>
      <w:r w:rsidRPr="003F7446">
        <w:rPr>
          <w:color w:val="262626"/>
          <w:szCs w:val="22"/>
        </w:rPr>
        <w:t>įskaitant įsigytus be recepto ir augalinius preparatus</w:t>
      </w:r>
      <w:r w:rsidRPr="003F7446">
        <w:rPr>
          <w:szCs w:val="22"/>
        </w:rPr>
        <w:t xml:space="preserve">, pasakykite gydytojui arba vaistininkui. Apie tai turite pranešti todėl, kad </w:t>
      </w:r>
      <w:proofErr w:type="spellStart"/>
      <w:r w:rsidRPr="003F7446">
        <w:rPr>
          <w:szCs w:val="22"/>
        </w:rPr>
        <w:t>Mycophenolate</w:t>
      </w:r>
      <w:proofErr w:type="spellEnd"/>
      <w:r w:rsidRPr="003F7446">
        <w:rPr>
          <w:szCs w:val="22"/>
        </w:rPr>
        <w:t xml:space="preserve"> </w:t>
      </w:r>
      <w:proofErr w:type="spellStart"/>
      <w:r w:rsidRPr="003F7446">
        <w:rPr>
          <w:szCs w:val="22"/>
        </w:rPr>
        <w:t>mofetil</w:t>
      </w:r>
      <w:proofErr w:type="spellEnd"/>
      <w:r w:rsidRPr="003F7446">
        <w:rPr>
          <w:szCs w:val="22"/>
        </w:rPr>
        <w:t xml:space="preserve"> </w:t>
      </w:r>
      <w:proofErr w:type="spellStart"/>
      <w:r w:rsidRPr="003F7446">
        <w:rPr>
          <w:szCs w:val="22"/>
        </w:rPr>
        <w:t>Ranbaxy</w:t>
      </w:r>
      <w:proofErr w:type="spellEnd"/>
      <w:r w:rsidRPr="003F7446">
        <w:rPr>
          <w:szCs w:val="22"/>
        </w:rPr>
        <w:t xml:space="preserve"> gali turėti įtakos kitų vaistų poveikiui. O kiti vaistai gali turėti įtakos </w:t>
      </w:r>
      <w:proofErr w:type="spellStart"/>
      <w:r w:rsidRPr="003F7446">
        <w:rPr>
          <w:szCs w:val="22"/>
        </w:rPr>
        <w:t>Mycophenolate</w:t>
      </w:r>
      <w:proofErr w:type="spellEnd"/>
      <w:r w:rsidRPr="003F7446">
        <w:rPr>
          <w:szCs w:val="22"/>
        </w:rPr>
        <w:t xml:space="preserve"> </w:t>
      </w:r>
      <w:proofErr w:type="spellStart"/>
      <w:r w:rsidRPr="003F7446">
        <w:rPr>
          <w:szCs w:val="22"/>
        </w:rPr>
        <w:t>mofetil</w:t>
      </w:r>
      <w:proofErr w:type="spellEnd"/>
      <w:r w:rsidRPr="003F7446">
        <w:rPr>
          <w:szCs w:val="22"/>
        </w:rPr>
        <w:t xml:space="preserve"> </w:t>
      </w:r>
      <w:proofErr w:type="spellStart"/>
      <w:r w:rsidRPr="003F7446">
        <w:rPr>
          <w:szCs w:val="22"/>
        </w:rPr>
        <w:t>Ranbaxy</w:t>
      </w:r>
      <w:proofErr w:type="spellEnd"/>
      <w:r w:rsidRPr="003F7446">
        <w:rPr>
          <w:szCs w:val="22"/>
        </w:rPr>
        <w:t xml:space="preserve"> poveikiui. </w:t>
      </w:r>
    </w:p>
    <w:p w14:paraId="08C3E3D7" w14:textId="4E88F0B0" w:rsidR="006B097A" w:rsidRPr="003F7446" w:rsidRDefault="006B097A" w:rsidP="006B097A">
      <w:pPr>
        <w:ind w:left="48"/>
        <w:jc w:val="both"/>
        <w:rPr>
          <w:szCs w:val="22"/>
        </w:rPr>
      </w:pPr>
      <w:r w:rsidRPr="003F7446">
        <w:rPr>
          <w:szCs w:val="22"/>
        </w:rPr>
        <w:t xml:space="preserve">Prieš pradėdami vartoti </w:t>
      </w:r>
      <w:proofErr w:type="spellStart"/>
      <w:r w:rsidRPr="003F7446">
        <w:rPr>
          <w:szCs w:val="22"/>
        </w:rPr>
        <w:t>Mycophenolate</w:t>
      </w:r>
      <w:proofErr w:type="spellEnd"/>
      <w:r w:rsidRPr="003F7446">
        <w:rPr>
          <w:szCs w:val="22"/>
        </w:rPr>
        <w:t xml:space="preserve"> </w:t>
      </w:r>
      <w:proofErr w:type="spellStart"/>
      <w:r w:rsidRPr="003F7446">
        <w:rPr>
          <w:szCs w:val="22"/>
        </w:rPr>
        <w:t>mofetil</w:t>
      </w:r>
      <w:proofErr w:type="spellEnd"/>
      <w:r w:rsidRPr="003F7446">
        <w:rPr>
          <w:szCs w:val="22"/>
        </w:rPr>
        <w:t xml:space="preserve"> </w:t>
      </w:r>
      <w:proofErr w:type="spellStart"/>
      <w:r w:rsidRPr="003F7446">
        <w:rPr>
          <w:szCs w:val="22"/>
        </w:rPr>
        <w:t>Ranbaxy</w:t>
      </w:r>
      <w:proofErr w:type="spellEnd"/>
      <w:r w:rsidRPr="003F7446">
        <w:rPr>
          <w:szCs w:val="22"/>
        </w:rPr>
        <w:t xml:space="preserve"> būtinai pasakykite gydytojui, jei vartojate kuriuos nors iš šių vaistų:</w:t>
      </w:r>
    </w:p>
    <w:p w14:paraId="5E085E02" w14:textId="235A698A" w:rsidR="006B097A" w:rsidRPr="003F7446" w:rsidRDefault="006B097A" w:rsidP="006B097A">
      <w:pPr>
        <w:ind w:left="567" w:hanging="519"/>
        <w:jc w:val="both"/>
        <w:rPr>
          <w:noProof/>
          <w:szCs w:val="22"/>
        </w:rPr>
      </w:pPr>
      <w:r w:rsidRPr="003F7446">
        <w:rPr>
          <w:noProof/>
          <w:szCs w:val="22"/>
        </w:rPr>
        <w:sym w:font="Symbol" w:char="F0B7"/>
      </w:r>
      <w:r w:rsidRPr="003F7446">
        <w:rPr>
          <w:noProof/>
          <w:szCs w:val="22"/>
        </w:rPr>
        <w:tab/>
        <w:t>azatiopriną</w:t>
      </w:r>
      <w:r w:rsidRPr="003F7446">
        <w:rPr>
          <w:szCs w:val="22"/>
        </w:rPr>
        <w:t xml:space="preserve"> arba kitus imunin</w:t>
      </w:r>
      <w:r w:rsidR="0031182B" w:rsidRPr="003F7446">
        <w:rPr>
          <w:szCs w:val="22"/>
        </w:rPr>
        <w:t xml:space="preserve">ę sistemą slopinančius vaistus - </w:t>
      </w:r>
      <w:r w:rsidRPr="003F7446">
        <w:rPr>
          <w:szCs w:val="22"/>
        </w:rPr>
        <w:t>jų skiriama pacientams p</w:t>
      </w:r>
      <w:r w:rsidR="0031182B" w:rsidRPr="003F7446">
        <w:rPr>
          <w:szCs w:val="22"/>
        </w:rPr>
        <w:t>o organo persodinimo operacijos;</w:t>
      </w:r>
    </w:p>
    <w:p w14:paraId="020B67B2" w14:textId="718D8B17" w:rsidR="006B097A" w:rsidRPr="003F7446" w:rsidRDefault="006B097A" w:rsidP="006B097A">
      <w:pPr>
        <w:ind w:left="48"/>
        <w:jc w:val="both"/>
        <w:rPr>
          <w:b/>
          <w:noProof/>
          <w:szCs w:val="22"/>
        </w:rPr>
      </w:pPr>
      <w:r w:rsidRPr="003F7446">
        <w:rPr>
          <w:b/>
          <w:noProof/>
          <w:szCs w:val="22"/>
        </w:rPr>
        <w:sym w:font="Symbol" w:char="F0B7"/>
      </w:r>
      <w:r w:rsidRPr="003F7446">
        <w:rPr>
          <w:b/>
          <w:noProof/>
          <w:szCs w:val="22"/>
        </w:rPr>
        <w:tab/>
      </w:r>
      <w:r w:rsidRPr="003F7446">
        <w:rPr>
          <w:noProof/>
          <w:szCs w:val="22"/>
        </w:rPr>
        <w:t>kolestiraminą</w:t>
      </w:r>
      <w:r w:rsidR="0031182B" w:rsidRPr="003F7446">
        <w:rPr>
          <w:b/>
          <w:szCs w:val="22"/>
        </w:rPr>
        <w:t xml:space="preserve"> - </w:t>
      </w:r>
      <w:r w:rsidRPr="003F7446">
        <w:rPr>
          <w:szCs w:val="22"/>
        </w:rPr>
        <w:t>vartojamo pacientams, kurių krau</w:t>
      </w:r>
      <w:r w:rsidR="0031182B" w:rsidRPr="003F7446">
        <w:rPr>
          <w:szCs w:val="22"/>
        </w:rPr>
        <w:t>jyje daug cholesterolio, gydyti;</w:t>
      </w:r>
      <w:r w:rsidRPr="003F7446">
        <w:rPr>
          <w:b/>
          <w:noProof/>
          <w:szCs w:val="22"/>
        </w:rPr>
        <w:t xml:space="preserve"> </w:t>
      </w:r>
    </w:p>
    <w:p w14:paraId="0A95B989" w14:textId="77777777" w:rsidR="006B097A" w:rsidRPr="003F7446" w:rsidRDefault="006B097A" w:rsidP="006B097A">
      <w:pPr>
        <w:ind w:left="48"/>
        <w:jc w:val="both"/>
        <w:rPr>
          <w:szCs w:val="22"/>
        </w:rPr>
      </w:pPr>
      <w:r w:rsidRPr="003F7446">
        <w:rPr>
          <w:b/>
          <w:noProof/>
          <w:szCs w:val="22"/>
        </w:rPr>
        <w:sym w:font="Symbol" w:char="F0B7"/>
      </w:r>
      <w:r w:rsidRPr="003F7446">
        <w:rPr>
          <w:b/>
          <w:noProof/>
          <w:szCs w:val="22"/>
        </w:rPr>
        <w:tab/>
      </w:r>
      <w:proofErr w:type="spellStart"/>
      <w:r w:rsidR="0031182B" w:rsidRPr="003F7446">
        <w:rPr>
          <w:szCs w:val="22"/>
        </w:rPr>
        <w:t>rifampiciną</w:t>
      </w:r>
      <w:proofErr w:type="spellEnd"/>
      <w:r w:rsidR="0031182B" w:rsidRPr="003F7446">
        <w:rPr>
          <w:szCs w:val="22"/>
        </w:rPr>
        <w:t xml:space="preserve"> - </w:t>
      </w:r>
      <w:r w:rsidRPr="003F7446">
        <w:rPr>
          <w:szCs w:val="22"/>
        </w:rPr>
        <w:t>antibiotikas, skiriamas infekcijų, pvz., tuberk</w:t>
      </w:r>
      <w:r w:rsidR="0031182B" w:rsidRPr="003F7446">
        <w:rPr>
          <w:szCs w:val="22"/>
        </w:rPr>
        <w:t>uliozės, prevencijai ir gydymui;</w:t>
      </w:r>
    </w:p>
    <w:p w14:paraId="2CFB7425" w14:textId="77777777" w:rsidR="006B097A" w:rsidRPr="003F7446" w:rsidRDefault="006B097A" w:rsidP="006B097A">
      <w:pPr>
        <w:ind w:left="567" w:hanging="519"/>
        <w:jc w:val="both"/>
        <w:rPr>
          <w:szCs w:val="22"/>
        </w:rPr>
      </w:pPr>
      <w:r w:rsidRPr="003F7446">
        <w:rPr>
          <w:b/>
          <w:noProof/>
          <w:szCs w:val="22"/>
        </w:rPr>
        <w:sym w:font="Symbol" w:char="F0B7"/>
      </w:r>
      <w:r w:rsidRPr="003F7446">
        <w:rPr>
          <w:b/>
          <w:noProof/>
          <w:szCs w:val="22"/>
        </w:rPr>
        <w:tab/>
      </w:r>
      <w:proofErr w:type="spellStart"/>
      <w:r w:rsidRPr="003F7446">
        <w:rPr>
          <w:szCs w:val="22"/>
        </w:rPr>
        <w:t>antacidų</w:t>
      </w:r>
      <w:proofErr w:type="spellEnd"/>
      <w:r w:rsidRPr="003F7446">
        <w:rPr>
          <w:szCs w:val="22"/>
        </w:rPr>
        <w:t xml:space="preserve"> arba</w:t>
      </w:r>
      <w:r w:rsidR="0031182B" w:rsidRPr="003F7446">
        <w:rPr>
          <w:szCs w:val="22"/>
        </w:rPr>
        <w:t xml:space="preserve"> protonų siurblio inhibitorių - </w:t>
      </w:r>
      <w:r w:rsidRPr="003F7446">
        <w:rPr>
          <w:szCs w:val="22"/>
        </w:rPr>
        <w:t>naudojamų rūgštingumo problemoms, pavyzdžiui, ne</w:t>
      </w:r>
      <w:r w:rsidR="0031182B" w:rsidRPr="003F7446">
        <w:rPr>
          <w:szCs w:val="22"/>
        </w:rPr>
        <w:t>virškinimui gydyti;</w:t>
      </w:r>
    </w:p>
    <w:p w14:paraId="45A382D4" w14:textId="31FD6697" w:rsidR="006B097A" w:rsidRPr="003F7446" w:rsidRDefault="006B097A" w:rsidP="008912E3">
      <w:pPr>
        <w:ind w:left="567" w:hanging="519"/>
        <w:jc w:val="both"/>
        <w:rPr>
          <w:szCs w:val="22"/>
        </w:rPr>
      </w:pPr>
      <w:r w:rsidRPr="003F7446">
        <w:rPr>
          <w:b/>
          <w:noProof/>
          <w:szCs w:val="22"/>
        </w:rPr>
        <w:sym w:font="Symbol" w:char="F0B7"/>
      </w:r>
      <w:r w:rsidRPr="003F7446">
        <w:rPr>
          <w:b/>
          <w:noProof/>
          <w:szCs w:val="22"/>
        </w:rPr>
        <w:tab/>
      </w:r>
      <w:r w:rsidR="0031182B" w:rsidRPr="003F7446">
        <w:rPr>
          <w:szCs w:val="22"/>
        </w:rPr>
        <w:t xml:space="preserve">fosfatus surišančių medžiagų - </w:t>
      </w:r>
      <w:r w:rsidRPr="003F7446">
        <w:rPr>
          <w:szCs w:val="22"/>
        </w:rPr>
        <w:t>skiriamų pacientams, sergantiems lėtiniu inkstų veiklos nepakankamumu</w:t>
      </w:r>
      <w:r w:rsidR="0031182B" w:rsidRPr="003F7446">
        <w:rPr>
          <w:szCs w:val="22"/>
        </w:rPr>
        <w:t>, fosfatų absorbcijai sumažinti</w:t>
      </w:r>
      <w:r w:rsidRPr="003F7446">
        <w:rPr>
          <w:szCs w:val="22"/>
        </w:rPr>
        <w:t xml:space="preserve">. </w:t>
      </w:r>
    </w:p>
    <w:p w14:paraId="2CDECFFA" w14:textId="77777777" w:rsidR="006B097A" w:rsidRPr="003F7446" w:rsidRDefault="006B097A" w:rsidP="008912E3">
      <w:pPr>
        <w:ind w:left="48"/>
        <w:jc w:val="both"/>
        <w:rPr>
          <w:b/>
          <w:szCs w:val="22"/>
        </w:rPr>
      </w:pPr>
    </w:p>
    <w:p w14:paraId="7ADD7A97" w14:textId="6155785C" w:rsidR="006B097A" w:rsidRPr="003F7446" w:rsidRDefault="006B097A" w:rsidP="006B097A">
      <w:pPr>
        <w:ind w:left="48"/>
        <w:jc w:val="both"/>
        <w:rPr>
          <w:b/>
          <w:noProof/>
          <w:szCs w:val="22"/>
        </w:rPr>
      </w:pPr>
      <w:r w:rsidRPr="003F7446">
        <w:rPr>
          <w:b/>
          <w:noProof/>
          <w:szCs w:val="22"/>
        </w:rPr>
        <w:t>Vakcinos</w:t>
      </w:r>
    </w:p>
    <w:p w14:paraId="1DB4EBB8" w14:textId="435DAAE0" w:rsidR="006B097A" w:rsidRPr="003F7446" w:rsidRDefault="006B097A" w:rsidP="008912E3">
      <w:pPr>
        <w:ind w:left="48"/>
        <w:jc w:val="both"/>
        <w:rPr>
          <w:szCs w:val="22"/>
        </w:rPr>
      </w:pPr>
      <w:r w:rsidRPr="003F7446">
        <w:rPr>
          <w:szCs w:val="22"/>
        </w:rPr>
        <w:t>Jeigu Jums reikia skiepytis (gyvomis vakcinomis</w:t>
      </w:r>
      <w:r w:rsidR="0031182B" w:rsidRPr="003F7446">
        <w:rPr>
          <w:szCs w:val="22"/>
        </w:rPr>
        <w:t xml:space="preserve">), kol vartojate </w:t>
      </w:r>
      <w:proofErr w:type="spellStart"/>
      <w:r w:rsidR="0031182B" w:rsidRPr="003F7446">
        <w:rPr>
          <w:szCs w:val="22"/>
        </w:rPr>
        <w:t>Mycophenolate</w:t>
      </w:r>
      <w:proofErr w:type="spellEnd"/>
      <w:r w:rsidR="0031182B" w:rsidRPr="003F7446">
        <w:rPr>
          <w:szCs w:val="22"/>
        </w:rPr>
        <w:t xml:space="preserve"> </w:t>
      </w:r>
      <w:proofErr w:type="spellStart"/>
      <w:r w:rsidR="0031182B" w:rsidRPr="003F7446">
        <w:rPr>
          <w:szCs w:val="22"/>
        </w:rPr>
        <w:t>mofetil</w:t>
      </w:r>
      <w:proofErr w:type="spellEnd"/>
      <w:r w:rsidR="0031182B" w:rsidRPr="003F7446">
        <w:rPr>
          <w:szCs w:val="22"/>
        </w:rPr>
        <w:t xml:space="preserve"> </w:t>
      </w:r>
      <w:proofErr w:type="spellStart"/>
      <w:r w:rsidR="0031182B" w:rsidRPr="003F7446">
        <w:rPr>
          <w:szCs w:val="22"/>
        </w:rPr>
        <w:t>Ranbaxy</w:t>
      </w:r>
      <w:proofErr w:type="spellEnd"/>
      <w:r w:rsidRPr="003F7446">
        <w:rPr>
          <w:szCs w:val="22"/>
        </w:rPr>
        <w:t xml:space="preserve">, prieš tai darydami pasikalbėkite su gydytoju arba vaistininku. Jūsų gydytojas patars, ar Jums tai leistina. </w:t>
      </w:r>
    </w:p>
    <w:p w14:paraId="40C3A4DF" w14:textId="77777777" w:rsidR="0052287E" w:rsidRPr="003F7446" w:rsidRDefault="0052287E" w:rsidP="0052287E">
      <w:pPr>
        <w:pStyle w:val="Default"/>
        <w:rPr>
          <w:b/>
          <w:bCs/>
          <w:color w:val="auto"/>
          <w:sz w:val="22"/>
          <w:szCs w:val="22"/>
          <w:lang w:val="lt-LT"/>
        </w:rPr>
      </w:pPr>
    </w:p>
    <w:p w14:paraId="2C98CD3D" w14:textId="77777777" w:rsidR="0052287E" w:rsidRPr="003F7446" w:rsidRDefault="0052287E" w:rsidP="0052287E">
      <w:pPr>
        <w:pStyle w:val="Default"/>
        <w:rPr>
          <w:b/>
          <w:bCs/>
          <w:color w:val="auto"/>
          <w:sz w:val="22"/>
          <w:szCs w:val="22"/>
          <w:lang w:val="lt-LT"/>
        </w:rPr>
      </w:pPr>
      <w:proofErr w:type="spellStart"/>
      <w:r w:rsidRPr="003F7446">
        <w:rPr>
          <w:b/>
          <w:bCs/>
          <w:sz w:val="22"/>
          <w:szCs w:val="22"/>
          <w:lang w:val="lt-LT"/>
        </w:rPr>
        <w:t>Mycophenolate</w:t>
      </w:r>
      <w:proofErr w:type="spellEnd"/>
      <w:r w:rsidRPr="003F7446">
        <w:rPr>
          <w:b/>
          <w:bCs/>
          <w:sz w:val="22"/>
          <w:szCs w:val="22"/>
          <w:lang w:val="lt-LT"/>
        </w:rPr>
        <w:t xml:space="preserve"> </w:t>
      </w:r>
      <w:proofErr w:type="spellStart"/>
      <w:r w:rsidRPr="003F7446">
        <w:rPr>
          <w:b/>
          <w:bCs/>
          <w:sz w:val="22"/>
          <w:szCs w:val="22"/>
          <w:lang w:val="lt-LT"/>
        </w:rPr>
        <w:t>mofetil</w:t>
      </w:r>
      <w:proofErr w:type="spellEnd"/>
      <w:r w:rsidRPr="003F7446">
        <w:rPr>
          <w:b/>
          <w:bCs/>
          <w:sz w:val="22"/>
          <w:szCs w:val="22"/>
          <w:lang w:val="lt-LT"/>
        </w:rPr>
        <w:t xml:space="preserve"> </w:t>
      </w:r>
      <w:proofErr w:type="spellStart"/>
      <w:r w:rsidRPr="003F7446">
        <w:rPr>
          <w:b/>
          <w:bCs/>
          <w:sz w:val="22"/>
          <w:szCs w:val="22"/>
          <w:lang w:val="lt-LT"/>
        </w:rPr>
        <w:t>Ranbaxy</w:t>
      </w:r>
      <w:proofErr w:type="spellEnd"/>
      <w:r w:rsidRPr="003F7446">
        <w:rPr>
          <w:b/>
          <w:bCs/>
          <w:color w:val="auto"/>
          <w:sz w:val="22"/>
          <w:szCs w:val="22"/>
          <w:lang w:val="lt-LT"/>
        </w:rPr>
        <w:t xml:space="preserve"> vartojimas su maistu ir gėrimais:</w:t>
      </w:r>
    </w:p>
    <w:p w14:paraId="7D0668E9" w14:textId="77777777" w:rsidR="0052287E" w:rsidRPr="003F7446" w:rsidRDefault="0052287E" w:rsidP="0052287E">
      <w:pPr>
        <w:pStyle w:val="Default"/>
        <w:rPr>
          <w:color w:val="auto"/>
          <w:sz w:val="22"/>
          <w:szCs w:val="22"/>
          <w:lang w:val="lt-LT"/>
        </w:rPr>
      </w:pPr>
    </w:p>
    <w:p w14:paraId="79F3A4FB" w14:textId="77777777" w:rsidR="0052287E" w:rsidRPr="003F7446" w:rsidRDefault="0052287E" w:rsidP="0052287E">
      <w:pPr>
        <w:pStyle w:val="Default"/>
        <w:rPr>
          <w:color w:val="auto"/>
          <w:sz w:val="22"/>
          <w:szCs w:val="22"/>
          <w:lang w:val="lt-LT"/>
        </w:rPr>
      </w:pPr>
      <w:r w:rsidRPr="003F7446">
        <w:rPr>
          <w:color w:val="auto"/>
          <w:sz w:val="22"/>
          <w:szCs w:val="22"/>
          <w:lang w:val="lt-LT"/>
        </w:rPr>
        <w:t>Maistas ir gėrimai neturi jokio poveikio Jūsų gydymui</w:t>
      </w:r>
      <w:r w:rsidRPr="003F7446">
        <w:rPr>
          <w:bCs/>
          <w:sz w:val="22"/>
          <w:szCs w:val="22"/>
          <w:lang w:val="lt-LT"/>
        </w:rPr>
        <w:t xml:space="preserve"> </w:t>
      </w:r>
      <w:proofErr w:type="spellStart"/>
      <w:r w:rsidRPr="003F7446">
        <w:rPr>
          <w:bCs/>
          <w:sz w:val="22"/>
          <w:szCs w:val="22"/>
          <w:lang w:val="lt-LT"/>
        </w:rPr>
        <w:t>Mycophenolate</w:t>
      </w:r>
      <w:proofErr w:type="spellEnd"/>
      <w:r w:rsidRPr="003F7446">
        <w:rPr>
          <w:bCs/>
          <w:sz w:val="22"/>
          <w:szCs w:val="22"/>
          <w:lang w:val="lt-LT"/>
        </w:rPr>
        <w:t xml:space="preserve"> </w:t>
      </w:r>
      <w:proofErr w:type="spellStart"/>
      <w:r w:rsidRPr="003F7446">
        <w:rPr>
          <w:bCs/>
          <w:sz w:val="22"/>
          <w:szCs w:val="22"/>
          <w:lang w:val="lt-LT"/>
        </w:rPr>
        <w:t>mofetil</w:t>
      </w:r>
      <w:proofErr w:type="spellEnd"/>
      <w:r w:rsidRPr="003F7446">
        <w:rPr>
          <w:bCs/>
          <w:sz w:val="22"/>
          <w:szCs w:val="22"/>
          <w:lang w:val="lt-LT"/>
        </w:rPr>
        <w:t xml:space="preserve"> </w:t>
      </w:r>
      <w:proofErr w:type="spellStart"/>
      <w:r w:rsidRPr="003F7446">
        <w:rPr>
          <w:bCs/>
          <w:sz w:val="22"/>
          <w:szCs w:val="22"/>
          <w:lang w:val="lt-LT"/>
        </w:rPr>
        <w:t>Ranbaxy</w:t>
      </w:r>
      <w:proofErr w:type="spellEnd"/>
      <w:r w:rsidRPr="003F7446">
        <w:rPr>
          <w:color w:val="auto"/>
          <w:sz w:val="22"/>
          <w:szCs w:val="22"/>
          <w:lang w:val="lt-LT"/>
        </w:rPr>
        <w:t xml:space="preserve">. </w:t>
      </w:r>
    </w:p>
    <w:p w14:paraId="130D3895" w14:textId="77777777" w:rsidR="0052287E" w:rsidRPr="003F7446" w:rsidRDefault="0052287E" w:rsidP="0052287E">
      <w:pPr>
        <w:pStyle w:val="Default"/>
        <w:ind w:left="560" w:hanging="560"/>
        <w:rPr>
          <w:b/>
          <w:bCs/>
          <w:color w:val="auto"/>
          <w:sz w:val="22"/>
          <w:szCs w:val="22"/>
          <w:lang w:val="lt-LT"/>
        </w:rPr>
      </w:pPr>
    </w:p>
    <w:p w14:paraId="7D40684B" w14:textId="77777777" w:rsidR="0052287E" w:rsidRPr="003F7446" w:rsidRDefault="0052287E" w:rsidP="0052287E">
      <w:pPr>
        <w:pStyle w:val="Default"/>
        <w:ind w:left="560" w:hanging="560"/>
        <w:rPr>
          <w:b/>
          <w:bCs/>
          <w:color w:val="auto"/>
          <w:sz w:val="22"/>
          <w:szCs w:val="22"/>
          <w:lang w:val="lt-LT"/>
        </w:rPr>
      </w:pPr>
      <w:r w:rsidRPr="003F7446">
        <w:rPr>
          <w:b/>
          <w:bCs/>
          <w:color w:val="auto"/>
          <w:sz w:val="22"/>
          <w:szCs w:val="22"/>
          <w:lang w:val="lt-LT"/>
        </w:rPr>
        <w:t xml:space="preserve">Nėštumas ir žindymo laikotarpis </w:t>
      </w:r>
    </w:p>
    <w:p w14:paraId="2AEDFFFB" w14:textId="77777777" w:rsidR="0052287E" w:rsidRPr="003F7446" w:rsidRDefault="0052287E" w:rsidP="0052287E">
      <w:pPr>
        <w:pStyle w:val="Default"/>
        <w:ind w:left="560" w:hanging="560"/>
        <w:rPr>
          <w:color w:val="auto"/>
          <w:sz w:val="22"/>
          <w:szCs w:val="22"/>
          <w:lang w:val="lt-LT"/>
        </w:rPr>
      </w:pPr>
    </w:p>
    <w:p w14:paraId="0782080B" w14:textId="7B711FB9" w:rsidR="0031182B" w:rsidRPr="003F7446" w:rsidRDefault="0031182B" w:rsidP="0052287E">
      <w:pPr>
        <w:pStyle w:val="Default"/>
        <w:ind w:left="560" w:hanging="560"/>
        <w:rPr>
          <w:b/>
          <w:color w:val="auto"/>
          <w:sz w:val="22"/>
          <w:szCs w:val="22"/>
          <w:lang w:val="lt-LT"/>
        </w:rPr>
      </w:pPr>
      <w:r w:rsidRPr="003F7446">
        <w:rPr>
          <w:b/>
          <w:color w:val="auto"/>
          <w:sz w:val="22"/>
          <w:szCs w:val="22"/>
          <w:lang w:val="lt-LT"/>
        </w:rPr>
        <w:t>Nėštumas</w:t>
      </w:r>
    </w:p>
    <w:p w14:paraId="227B48E4" w14:textId="445588B7" w:rsidR="00120772" w:rsidRPr="003F7446" w:rsidRDefault="0031182B" w:rsidP="00C83F01">
      <w:pPr>
        <w:pStyle w:val="Sraopastraipa"/>
        <w:numPr>
          <w:ilvl w:val="0"/>
          <w:numId w:val="6"/>
        </w:numPr>
        <w:rPr>
          <w:szCs w:val="22"/>
        </w:rPr>
      </w:pPr>
      <w:r w:rsidRPr="003F7446">
        <w:rPr>
          <w:b/>
          <w:szCs w:val="22"/>
        </w:rPr>
        <w:t>J</w:t>
      </w:r>
      <w:r w:rsidR="00120772" w:rsidRPr="003F7446">
        <w:rPr>
          <w:b/>
          <w:szCs w:val="22"/>
        </w:rPr>
        <w:t>ei esate nėščia,</w:t>
      </w:r>
      <w:r w:rsidR="00120772" w:rsidRPr="003F7446">
        <w:rPr>
          <w:szCs w:val="22"/>
        </w:rPr>
        <w:t xml:space="preserve"> </w:t>
      </w:r>
      <w:proofErr w:type="spellStart"/>
      <w:r w:rsidR="00120772" w:rsidRPr="003F7446">
        <w:rPr>
          <w:szCs w:val="22"/>
        </w:rPr>
        <w:t>Mycophenolate</w:t>
      </w:r>
      <w:proofErr w:type="spellEnd"/>
      <w:r w:rsidR="00120772" w:rsidRPr="003F7446">
        <w:rPr>
          <w:szCs w:val="22"/>
        </w:rPr>
        <w:t xml:space="preserve"> </w:t>
      </w:r>
      <w:proofErr w:type="spellStart"/>
      <w:r w:rsidR="00120772" w:rsidRPr="003F7446">
        <w:rPr>
          <w:szCs w:val="22"/>
        </w:rPr>
        <w:t>m</w:t>
      </w:r>
      <w:r w:rsidRPr="003F7446">
        <w:rPr>
          <w:szCs w:val="22"/>
        </w:rPr>
        <w:t>ofetil</w:t>
      </w:r>
      <w:proofErr w:type="spellEnd"/>
      <w:r w:rsidRPr="003F7446">
        <w:rPr>
          <w:szCs w:val="22"/>
        </w:rPr>
        <w:t xml:space="preserve"> </w:t>
      </w:r>
      <w:proofErr w:type="spellStart"/>
      <w:r w:rsidR="00120772" w:rsidRPr="003F7446">
        <w:rPr>
          <w:szCs w:val="22"/>
        </w:rPr>
        <w:t>Ranbaxy</w:t>
      </w:r>
      <w:proofErr w:type="spellEnd"/>
      <w:r w:rsidRPr="003F7446">
        <w:rPr>
          <w:szCs w:val="22"/>
        </w:rPr>
        <w:t xml:space="preserve"> v</w:t>
      </w:r>
      <w:r w:rsidR="00120772" w:rsidRPr="003F7446">
        <w:rPr>
          <w:szCs w:val="22"/>
        </w:rPr>
        <w:t xml:space="preserve">artoti negalima. </w:t>
      </w:r>
      <w:proofErr w:type="spellStart"/>
      <w:r w:rsidR="00120772" w:rsidRPr="003F7446">
        <w:rPr>
          <w:szCs w:val="22"/>
        </w:rPr>
        <w:t>Mycophenolate</w:t>
      </w:r>
      <w:proofErr w:type="spellEnd"/>
      <w:r w:rsidR="00120772" w:rsidRPr="003F7446">
        <w:rPr>
          <w:szCs w:val="22"/>
        </w:rPr>
        <w:t xml:space="preserve"> </w:t>
      </w:r>
      <w:proofErr w:type="spellStart"/>
      <w:r w:rsidR="00120772" w:rsidRPr="003F7446">
        <w:rPr>
          <w:szCs w:val="22"/>
        </w:rPr>
        <w:t>m</w:t>
      </w:r>
      <w:r w:rsidRPr="003F7446">
        <w:rPr>
          <w:szCs w:val="22"/>
        </w:rPr>
        <w:t>ofetil</w:t>
      </w:r>
      <w:proofErr w:type="spellEnd"/>
      <w:r w:rsidRPr="003F7446">
        <w:rPr>
          <w:szCs w:val="22"/>
        </w:rPr>
        <w:t xml:space="preserve"> </w:t>
      </w:r>
      <w:proofErr w:type="spellStart"/>
      <w:r w:rsidR="00120772" w:rsidRPr="003F7446">
        <w:rPr>
          <w:szCs w:val="22"/>
        </w:rPr>
        <w:t>Ranbaxy</w:t>
      </w:r>
      <w:proofErr w:type="spellEnd"/>
      <w:r w:rsidRPr="003F7446">
        <w:rPr>
          <w:szCs w:val="22"/>
        </w:rPr>
        <w:t xml:space="preserve"> vartojimas nėštumo metu gali sukelti persileidimą arba pakenkti Jūsų dar negimusiam vaisiui (pavyzdžiui, gali </w:t>
      </w:r>
      <w:r w:rsidR="00120772" w:rsidRPr="003F7446">
        <w:rPr>
          <w:szCs w:val="22"/>
        </w:rPr>
        <w:t xml:space="preserve">paveikti ausų </w:t>
      </w:r>
      <w:proofErr w:type="spellStart"/>
      <w:r w:rsidR="00120772" w:rsidRPr="003F7446">
        <w:rPr>
          <w:szCs w:val="22"/>
        </w:rPr>
        <w:t>vystymasi</w:t>
      </w:r>
      <w:proofErr w:type="spellEnd"/>
      <w:r w:rsidR="00120772" w:rsidRPr="003F7446">
        <w:rPr>
          <w:szCs w:val="22"/>
        </w:rPr>
        <w:t>)</w:t>
      </w:r>
      <w:r w:rsidRPr="003F7446">
        <w:rPr>
          <w:szCs w:val="22"/>
        </w:rPr>
        <w:t xml:space="preserve">. </w:t>
      </w:r>
    </w:p>
    <w:p w14:paraId="6EA823D3" w14:textId="27B117B4" w:rsidR="00E03873" w:rsidRPr="003F7446" w:rsidRDefault="0031182B" w:rsidP="00C83F01">
      <w:pPr>
        <w:pStyle w:val="Sraopastraipa"/>
        <w:numPr>
          <w:ilvl w:val="0"/>
          <w:numId w:val="6"/>
        </w:numPr>
        <w:rPr>
          <w:szCs w:val="22"/>
        </w:rPr>
      </w:pPr>
      <w:r w:rsidRPr="003F7446">
        <w:rPr>
          <w:szCs w:val="22"/>
        </w:rPr>
        <w:t>Tam tikrais atvejais, Jūs ir Jūsų gydytojas galit</w:t>
      </w:r>
      <w:r w:rsidR="00120772" w:rsidRPr="003F7446">
        <w:rPr>
          <w:szCs w:val="22"/>
        </w:rPr>
        <w:t xml:space="preserve">e nuspręsti, kad </w:t>
      </w:r>
      <w:proofErr w:type="spellStart"/>
      <w:r w:rsidR="00120772" w:rsidRPr="003F7446">
        <w:rPr>
          <w:szCs w:val="22"/>
        </w:rPr>
        <w:t>Mycophenolate</w:t>
      </w:r>
      <w:proofErr w:type="spellEnd"/>
      <w:r w:rsidR="00120772" w:rsidRPr="003F7446">
        <w:rPr>
          <w:szCs w:val="22"/>
        </w:rPr>
        <w:t xml:space="preserve"> </w:t>
      </w:r>
      <w:proofErr w:type="spellStart"/>
      <w:r w:rsidR="00120772" w:rsidRPr="003F7446">
        <w:rPr>
          <w:szCs w:val="22"/>
        </w:rPr>
        <w:t>m</w:t>
      </w:r>
      <w:r w:rsidRPr="003F7446">
        <w:rPr>
          <w:szCs w:val="22"/>
        </w:rPr>
        <w:t>ofetil</w:t>
      </w:r>
      <w:proofErr w:type="spellEnd"/>
      <w:r w:rsidRPr="003F7446">
        <w:rPr>
          <w:szCs w:val="22"/>
        </w:rPr>
        <w:t xml:space="preserve"> </w:t>
      </w:r>
      <w:proofErr w:type="spellStart"/>
      <w:r w:rsidR="00120772" w:rsidRPr="003F7446">
        <w:rPr>
          <w:szCs w:val="22"/>
        </w:rPr>
        <w:t>Ranbaxy</w:t>
      </w:r>
      <w:proofErr w:type="spellEnd"/>
      <w:r w:rsidRPr="003F7446">
        <w:rPr>
          <w:szCs w:val="22"/>
        </w:rPr>
        <w:t xml:space="preserve"> teikiama nauda Jūsų sveikatai yra svarbesnė už galimą pavojų Jūsų dar negimusiam kūdikiui.</w:t>
      </w:r>
    </w:p>
    <w:p w14:paraId="43733D0E" w14:textId="77777777" w:rsidR="00E03873" w:rsidRPr="003F7446" w:rsidRDefault="00E03873" w:rsidP="00C83F01">
      <w:pPr>
        <w:pStyle w:val="Sraopastraipa"/>
        <w:rPr>
          <w:szCs w:val="22"/>
        </w:rPr>
      </w:pPr>
    </w:p>
    <w:p w14:paraId="36FA0F0A" w14:textId="77777777" w:rsidR="00E03873" w:rsidRPr="003F7446" w:rsidRDefault="0031182B" w:rsidP="00C83F01">
      <w:pPr>
        <w:pStyle w:val="Sraopastraipa"/>
        <w:numPr>
          <w:ilvl w:val="0"/>
          <w:numId w:val="6"/>
        </w:numPr>
        <w:rPr>
          <w:szCs w:val="22"/>
        </w:rPr>
      </w:pPr>
      <w:r w:rsidRPr="003F7446">
        <w:rPr>
          <w:b/>
          <w:szCs w:val="22"/>
        </w:rPr>
        <w:t>Jei planuojate pastoti,</w:t>
      </w:r>
      <w:r w:rsidRPr="003F7446">
        <w:rPr>
          <w:szCs w:val="22"/>
        </w:rPr>
        <w:t xml:space="preserve"> pasitarkite su savo gydytoju apie alternatyvius vaistus, kurie geriausiai padėtų Jums išvengti persodinto organo atmetimo. </w:t>
      </w:r>
    </w:p>
    <w:p w14:paraId="321FBB04" w14:textId="77777777" w:rsidR="00E03873" w:rsidRPr="003F7446" w:rsidRDefault="00E03873" w:rsidP="00C83F01">
      <w:pPr>
        <w:pStyle w:val="Sraopastraipa"/>
        <w:rPr>
          <w:szCs w:val="22"/>
        </w:rPr>
      </w:pPr>
    </w:p>
    <w:p w14:paraId="06564DC4" w14:textId="77777777" w:rsidR="00E03873" w:rsidRPr="003F7446" w:rsidRDefault="0031182B" w:rsidP="00C83F01">
      <w:pPr>
        <w:pStyle w:val="Sraopastraipa"/>
        <w:numPr>
          <w:ilvl w:val="0"/>
          <w:numId w:val="6"/>
        </w:numPr>
        <w:rPr>
          <w:szCs w:val="22"/>
        </w:rPr>
      </w:pPr>
      <w:r w:rsidRPr="003F7446">
        <w:rPr>
          <w:szCs w:val="22"/>
        </w:rPr>
        <w:t xml:space="preserve">Jei </w:t>
      </w:r>
      <w:r w:rsidR="00E03873" w:rsidRPr="003F7446">
        <w:rPr>
          <w:szCs w:val="22"/>
        </w:rPr>
        <w:t>manote, kad pastojote, nedelsdama praneškite savo gydytojui.</w:t>
      </w:r>
    </w:p>
    <w:p w14:paraId="37F20C5B" w14:textId="77777777" w:rsidR="00E03873" w:rsidRPr="003F7446" w:rsidRDefault="00E03873" w:rsidP="00C83F01">
      <w:pPr>
        <w:pStyle w:val="Sraopastraipa"/>
        <w:numPr>
          <w:ilvl w:val="0"/>
          <w:numId w:val="6"/>
        </w:numPr>
        <w:rPr>
          <w:szCs w:val="22"/>
        </w:rPr>
      </w:pPr>
      <w:r w:rsidRPr="003F7446">
        <w:rPr>
          <w:szCs w:val="22"/>
        </w:rPr>
        <w:t xml:space="preserve">Tačiau kol susisieksite su gydytoju ir toliau vartokite </w:t>
      </w:r>
      <w:proofErr w:type="spellStart"/>
      <w:r w:rsidRPr="003F7446">
        <w:rPr>
          <w:szCs w:val="22"/>
        </w:rPr>
        <w:t>Mycophenolate</w:t>
      </w:r>
      <w:proofErr w:type="spellEnd"/>
      <w:r w:rsidRPr="003F7446">
        <w:rPr>
          <w:szCs w:val="22"/>
        </w:rPr>
        <w:t xml:space="preserve"> </w:t>
      </w:r>
      <w:proofErr w:type="spellStart"/>
      <w:r w:rsidRPr="003F7446">
        <w:rPr>
          <w:szCs w:val="22"/>
        </w:rPr>
        <w:t>m</w:t>
      </w:r>
      <w:r w:rsidR="0031182B" w:rsidRPr="003F7446">
        <w:rPr>
          <w:szCs w:val="22"/>
        </w:rPr>
        <w:t>ofetil</w:t>
      </w:r>
      <w:proofErr w:type="spellEnd"/>
      <w:r w:rsidR="0031182B" w:rsidRPr="003F7446">
        <w:rPr>
          <w:szCs w:val="22"/>
        </w:rPr>
        <w:t xml:space="preserve"> </w:t>
      </w:r>
      <w:proofErr w:type="spellStart"/>
      <w:r w:rsidRPr="003F7446">
        <w:rPr>
          <w:szCs w:val="22"/>
        </w:rPr>
        <w:t>Ranbaxy</w:t>
      </w:r>
      <w:proofErr w:type="spellEnd"/>
      <w:r w:rsidRPr="003F7446">
        <w:rPr>
          <w:szCs w:val="22"/>
        </w:rPr>
        <w:t>.</w:t>
      </w:r>
    </w:p>
    <w:p w14:paraId="5BD0C2B8" w14:textId="77777777" w:rsidR="00E03873" w:rsidRPr="003F7446" w:rsidRDefault="00E03873" w:rsidP="00C83F01">
      <w:pPr>
        <w:pStyle w:val="Sraopastraipa"/>
        <w:rPr>
          <w:szCs w:val="22"/>
        </w:rPr>
      </w:pPr>
    </w:p>
    <w:p w14:paraId="72CAE781" w14:textId="4FE70C10" w:rsidR="0031182B" w:rsidRPr="003F7446" w:rsidRDefault="0031182B" w:rsidP="00C83F01">
      <w:pPr>
        <w:rPr>
          <w:szCs w:val="22"/>
        </w:rPr>
      </w:pPr>
      <w:r w:rsidRPr="003F7446">
        <w:rPr>
          <w:szCs w:val="22"/>
        </w:rPr>
        <w:t>Jeigu esate moteris, galinti pastoti, Jūs privalote atlikti nėštumo testą prieš p</w:t>
      </w:r>
      <w:r w:rsidR="00344ACA" w:rsidRPr="003F7446">
        <w:rPr>
          <w:szCs w:val="22"/>
        </w:rPr>
        <w:t xml:space="preserve">radedant vartoti </w:t>
      </w:r>
      <w:proofErr w:type="spellStart"/>
      <w:r w:rsidR="00344ACA" w:rsidRPr="003F7446">
        <w:rPr>
          <w:szCs w:val="22"/>
        </w:rPr>
        <w:t>Mycophenolate</w:t>
      </w:r>
      <w:proofErr w:type="spellEnd"/>
      <w:r w:rsidR="00344ACA" w:rsidRPr="003F7446">
        <w:rPr>
          <w:szCs w:val="22"/>
        </w:rPr>
        <w:t xml:space="preserve"> </w:t>
      </w:r>
      <w:proofErr w:type="spellStart"/>
      <w:r w:rsidR="00344ACA" w:rsidRPr="003F7446">
        <w:rPr>
          <w:szCs w:val="22"/>
        </w:rPr>
        <w:t>m</w:t>
      </w:r>
      <w:r w:rsidRPr="003F7446">
        <w:rPr>
          <w:szCs w:val="22"/>
        </w:rPr>
        <w:t>ofetil</w:t>
      </w:r>
      <w:proofErr w:type="spellEnd"/>
      <w:r w:rsidRPr="003F7446">
        <w:rPr>
          <w:szCs w:val="22"/>
        </w:rPr>
        <w:t xml:space="preserve"> </w:t>
      </w:r>
      <w:proofErr w:type="spellStart"/>
      <w:r w:rsidR="00344ACA" w:rsidRPr="003F7446">
        <w:rPr>
          <w:szCs w:val="22"/>
        </w:rPr>
        <w:t>Ranbaxy</w:t>
      </w:r>
      <w:proofErr w:type="spellEnd"/>
      <w:r w:rsidRPr="003F7446">
        <w:rPr>
          <w:szCs w:val="22"/>
        </w:rPr>
        <w:t>. Pradėti var</w:t>
      </w:r>
      <w:r w:rsidR="00344ACA" w:rsidRPr="003F7446">
        <w:rPr>
          <w:szCs w:val="22"/>
        </w:rPr>
        <w:t xml:space="preserve">toti </w:t>
      </w:r>
      <w:proofErr w:type="spellStart"/>
      <w:r w:rsidR="00344ACA" w:rsidRPr="003F7446">
        <w:rPr>
          <w:szCs w:val="22"/>
        </w:rPr>
        <w:t>Mycophenolate</w:t>
      </w:r>
      <w:proofErr w:type="spellEnd"/>
      <w:r w:rsidR="00344ACA" w:rsidRPr="003F7446">
        <w:rPr>
          <w:szCs w:val="22"/>
        </w:rPr>
        <w:t xml:space="preserve"> </w:t>
      </w:r>
      <w:proofErr w:type="spellStart"/>
      <w:r w:rsidR="00344ACA" w:rsidRPr="003F7446">
        <w:rPr>
          <w:szCs w:val="22"/>
        </w:rPr>
        <w:t>m</w:t>
      </w:r>
      <w:r w:rsidRPr="003F7446">
        <w:rPr>
          <w:szCs w:val="22"/>
        </w:rPr>
        <w:t>ofetil</w:t>
      </w:r>
      <w:proofErr w:type="spellEnd"/>
      <w:r w:rsidRPr="003F7446">
        <w:rPr>
          <w:szCs w:val="22"/>
        </w:rPr>
        <w:t xml:space="preserve"> </w:t>
      </w:r>
      <w:proofErr w:type="spellStart"/>
      <w:r w:rsidR="00344ACA" w:rsidRPr="003F7446">
        <w:rPr>
          <w:szCs w:val="22"/>
        </w:rPr>
        <w:t>Ranbaxy</w:t>
      </w:r>
      <w:proofErr w:type="spellEnd"/>
      <w:r w:rsidRPr="003F7446">
        <w:rPr>
          <w:szCs w:val="22"/>
        </w:rPr>
        <w:t xml:space="preserve"> galite tik tuo atveju, jei nėštumo testas yra neigiamas. </w:t>
      </w:r>
    </w:p>
    <w:p w14:paraId="6D2037D2" w14:textId="77777777" w:rsidR="0031182B" w:rsidRPr="003F7446" w:rsidRDefault="0031182B" w:rsidP="00C83F01">
      <w:pPr>
        <w:rPr>
          <w:szCs w:val="22"/>
        </w:rPr>
      </w:pPr>
    </w:p>
    <w:p w14:paraId="080A6C27" w14:textId="77777777" w:rsidR="0031182B" w:rsidRPr="003F7446" w:rsidRDefault="0031182B" w:rsidP="00C83F01">
      <w:pPr>
        <w:rPr>
          <w:szCs w:val="22"/>
        </w:rPr>
      </w:pPr>
      <w:r w:rsidRPr="003F7446">
        <w:rPr>
          <w:szCs w:val="22"/>
        </w:rPr>
        <w:t>Jeigu kuris nors iš šių punktų Jums tinka, tai Jūs esate moteris, kuri pastoti negali;</w:t>
      </w:r>
    </w:p>
    <w:p w14:paraId="12E3C732" w14:textId="77777777" w:rsidR="0031182B" w:rsidRPr="003F7446" w:rsidRDefault="0031182B" w:rsidP="00C83F01">
      <w:pPr>
        <w:pStyle w:val="Sraopastraipa"/>
        <w:numPr>
          <w:ilvl w:val="0"/>
          <w:numId w:val="6"/>
        </w:numPr>
        <w:rPr>
          <w:szCs w:val="22"/>
        </w:rPr>
      </w:pPr>
      <w:r w:rsidRPr="003F7446">
        <w:rPr>
          <w:szCs w:val="22"/>
        </w:rPr>
        <w:lastRenderedPageBreak/>
        <w:t>esate po menopauzės, t.y. Jums yra mažiausiai 50 metų ir paskutinės mėnesinės Jums įvyko daugiau nei prieš metus (jei Jūsų mėnesinės nutrūko dėl gydymo nuo vėžio, ta</w:t>
      </w:r>
      <w:r w:rsidR="00B46070" w:rsidRPr="003F7446">
        <w:rPr>
          <w:szCs w:val="22"/>
        </w:rPr>
        <w:t>i Jūs dar turite šansų pastoti);</w:t>
      </w:r>
    </w:p>
    <w:p w14:paraId="475D9764" w14:textId="77777777" w:rsidR="0031182B" w:rsidRPr="003F7446" w:rsidRDefault="00B46070" w:rsidP="00C83F01">
      <w:pPr>
        <w:pStyle w:val="Sraopastraipa"/>
        <w:numPr>
          <w:ilvl w:val="0"/>
          <w:numId w:val="6"/>
        </w:numPr>
        <w:rPr>
          <w:szCs w:val="22"/>
        </w:rPr>
      </w:pPr>
      <w:r w:rsidRPr="003F7446">
        <w:rPr>
          <w:szCs w:val="22"/>
        </w:rPr>
        <w:t>J</w:t>
      </w:r>
      <w:r w:rsidR="0031182B" w:rsidRPr="003F7446">
        <w:rPr>
          <w:szCs w:val="22"/>
        </w:rPr>
        <w:t>ums buvo pašalinti kiaušintakiai ir abi kiaušidės (buvo atlikta operacija, vadinama</w:t>
      </w:r>
      <w:r w:rsidRPr="003F7446">
        <w:rPr>
          <w:szCs w:val="22"/>
        </w:rPr>
        <w:t xml:space="preserve"> abipuse </w:t>
      </w:r>
      <w:proofErr w:type="spellStart"/>
      <w:r w:rsidRPr="003F7446">
        <w:rPr>
          <w:szCs w:val="22"/>
        </w:rPr>
        <w:t>salpingo-ovarektomija);</w:t>
      </w:r>
      <w:proofErr w:type="spellEnd"/>
    </w:p>
    <w:p w14:paraId="6C85A314" w14:textId="77777777" w:rsidR="0031182B" w:rsidRPr="003F7446" w:rsidRDefault="00B46070" w:rsidP="00C83F01">
      <w:pPr>
        <w:pStyle w:val="Sraopastraipa"/>
        <w:numPr>
          <w:ilvl w:val="0"/>
          <w:numId w:val="6"/>
        </w:numPr>
        <w:rPr>
          <w:szCs w:val="22"/>
        </w:rPr>
      </w:pPr>
      <w:r w:rsidRPr="003F7446">
        <w:rPr>
          <w:szCs w:val="22"/>
        </w:rPr>
        <w:t>J</w:t>
      </w:r>
      <w:r w:rsidR="0031182B" w:rsidRPr="003F7446">
        <w:rPr>
          <w:szCs w:val="22"/>
        </w:rPr>
        <w:t>ūsų gimda buvo pašalinta chirurgini</w:t>
      </w:r>
      <w:r w:rsidRPr="003F7446">
        <w:rPr>
          <w:szCs w:val="22"/>
        </w:rPr>
        <w:t xml:space="preserve">u būdu (atlikta </w:t>
      </w:r>
      <w:proofErr w:type="spellStart"/>
      <w:r w:rsidRPr="003F7446">
        <w:rPr>
          <w:szCs w:val="22"/>
        </w:rPr>
        <w:t>histerektomija</w:t>
      </w:r>
      <w:proofErr w:type="spellEnd"/>
      <w:r w:rsidRPr="003F7446">
        <w:rPr>
          <w:szCs w:val="22"/>
        </w:rPr>
        <w:t>);</w:t>
      </w:r>
    </w:p>
    <w:p w14:paraId="5DCE289B" w14:textId="77777777" w:rsidR="0031182B" w:rsidRPr="003F7446" w:rsidRDefault="0031182B" w:rsidP="00C83F01">
      <w:pPr>
        <w:pStyle w:val="Sraopastraipa"/>
        <w:numPr>
          <w:ilvl w:val="0"/>
          <w:numId w:val="6"/>
        </w:numPr>
        <w:rPr>
          <w:szCs w:val="22"/>
        </w:rPr>
      </w:pPr>
      <w:r w:rsidRPr="003F7446">
        <w:rPr>
          <w:szCs w:val="22"/>
        </w:rPr>
        <w:t>Jums išsivystė priešlaikinis kiaušidžių nepakankamumas, kurį p</w:t>
      </w:r>
      <w:r w:rsidR="0097494A" w:rsidRPr="003F7446">
        <w:rPr>
          <w:szCs w:val="22"/>
        </w:rPr>
        <w:t>atvirtino gydytojas ginekologas;</w:t>
      </w:r>
    </w:p>
    <w:p w14:paraId="48F8A357" w14:textId="77777777" w:rsidR="0031182B" w:rsidRPr="003F7446" w:rsidRDefault="0031182B" w:rsidP="00C83F01">
      <w:pPr>
        <w:pStyle w:val="Sraopastraipa"/>
        <w:numPr>
          <w:ilvl w:val="0"/>
          <w:numId w:val="6"/>
        </w:numPr>
        <w:rPr>
          <w:szCs w:val="22"/>
        </w:rPr>
      </w:pPr>
      <w:r w:rsidRPr="003F7446">
        <w:rPr>
          <w:szCs w:val="22"/>
        </w:rPr>
        <w:t xml:space="preserve">Jums buvo diagnozuota viena iš šių retų įgimtų būklių, dėl kurių pastoti yra neįmanoma: XY genotipas, </w:t>
      </w:r>
      <w:proofErr w:type="spellStart"/>
      <w:r w:rsidRPr="003F7446">
        <w:rPr>
          <w:szCs w:val="22"/>
        </w:rPr>
        <w:t>Turneri</w:t>
      </w:r>
      <w:r w:rsidR="0097494A" w:rsidRPr="003F7446">
        <w:rPr>
          <w:szCs w:val="22"/>
        </w:rPr>
        <w:t>o</w:t>
      </w:r>
      <w:proofErr w:type="spellEnd"/>
      <w:r w:rsidR="0097494A" w:rsidRPr="003F7446">
        <w:rPr>
          <w:szCs w:val="22"/>
        </w:rPr>
        <w:t xml:space="preserve"> sindromas ar gimdos </w:t>
      </w:r>
      <w:proofErr w:type="spellStart"/>
      <w:r w:rsidR="0097494A" w:rsidRPr="003F7446">
        <w:rPr>
          <w:szCs w:val="22"/>
        </w:rPr>
        <w:t>agenezija</w:t>
      </w:r>
      <w:proofErr w:type="spellEnd"/>
      <w:r w:rsidR="0097494A" w:rsidRPr="003F7446">
        <w:rPr>
          <w:szCs w:val="22"/>
        </w:rPr>
        <w:t>;</w:t>
      </w:r>
    </w:p>
    <w:p w14:paraId="059F2311" w14:textId="77777777" w:rsidR="0031182B" w:rsidRPr="003F7446" w:rsidRDefault="0097494A" w:rsidP="00C83F01">
      <w:pPr>
        <w:pStyle w:val="Sraopastraipa"/>
        <w:numPr>
          <w:ilvl w:val="0"/>
          <w:numId w:val="6"/>
        </w:numPr>
        <w:rPr>
          <w:szCs w:val="22"/>
        </w:rPr>
      </w:pPr>
      <w:r w:rsidRPr="003F7446">
        <w:rPr>
          <w:szCs w:val="22"/>
        </w:rPr>
        <w:t xml:space="preserve">esate vaikas ar </w:t>
      </w:r>
      <w:r w:rsidR="0031182B" w:rsidRPr="003F7446">
        <w:rPr>
          <w:szCs w:val="22"/>
        </w:rPr>
        <w:t>paauglė ir Jums dar neprasidėjo mėnes</w:t>
      </w:r>
      <w:r w:rsidRPr="003F7446">
        <w:rPr>
          <w:szCs w:val="22"/>
        </w:rPr>
        <w:t>inės</w:t>
      </w:r>
      <w:r w:rsidR="0031182B" w:rsidRPr="003F7446">
        <w:rPr>
          <w:szCs w:val="22"/>
        </w:rPr>
        <w:t>.</w:t>
      </w:r>
    </w:p>
    <w:p w14:paraId="4510EA37" w14:textId="77777777" w:rsidR="0031182B" w:rsidRPr="003F7446" w:rsidRDefault="0031182B" w:rsidP="00C83F01">
      <w:pPr>
        <w:ind w:left="360"/>
        <w:rPr>
          <w:szCs w:val="22"/>
        </w:rPr>
      </w:pPr>
    </w:p>
    <w:p w14:paraId="34F60BCF" w14:textId="77777777" w:rsidR="0031182B" w:rsidRPr="003F7446" w:rsidRDefault="0031182B" w:rsidP="00C83F01">
      <w:pPr>
        <w:rPr>
          <w:b/>
          <w:szCs w:val="22"/>
        </w:rPr>
      </w:pPr>
      <w:r w:rsidRPr="003F7446">
        <w:rPr>
          <w:b/>
          <w:szCs w:val="22"/>
        </w:rPr>
        <w:t>Kontracepcija</w:t>
      </w:r>
    </w:p>
    <w:p w14:paraId="5E2FD725" w14:textId="77777777" w:rsidR="0031182B" w:rsidRPr="003F7446" w:rsidRDefault="0031182B" w:rsidP="00C83F01">
      <w:pPr>
        <w:rPr>
          <w:szCs w:val="22"/>
        </w:rPr>
      </w:pPr>
      <w:r w:rsidRPr="003F7446">
        <w:rPr>
          <w:szCs w:val="22"/>
        </w:rPr>
        <w:t>Jūs turite visada naudoti veiksmingą kontrace</w:t>
      </w:r>
      <w:r w:rsidR="006D1DF5" w:rsidRPr="003F7446">
        <w:rPr>
          <w:szCs w:val="22"/>
        </w:rPr>
        <w:t xml:space="preserve">pcijos metodą su </w:t>
      </w:r>
      <w:proofErr w:type="spellStart"/>
      <w:r w:rsidR="006D1DF5" w:rsidRPr="003F7446">
        <w:rPr>
          <w:szCs w:val="22"/>
        </w:rPr>
        <w:t>Mycophenolate</w:t>
      </w:r>
      <w:proofErr w:type="spellEnd"/>
      <w:r w:rsidR="006D1DF5" w:rsidRPr="003F7446">
        <w:rPr>
          <w:szCs w:val="22"/>
        </w:rPr>
        <w:t xml:space="preserve"> </w:t>
      </w:r>
      <w:proofErr w:type="spellStart"/>
      <w:r w:rsidR="006D1DF5" w:rsidRPr="003F7446">
        <w:rPr>
          <w:szCs w:val="22"/>
        </w:rPr>
        <w:t>m</w:t>
      </w:r>
      <w:r w:rsidRPr="003F7446">
        <w:rPr>
          <w:szCs w:val="22"/>
        </w:rPr>
        <w:t>ofetil</w:t>
      </w:r>
      <w:proofErr w:type="spellEnd"/>
      <w:r w:rsidRPr="003F7446">
        <w:rPr>
          <w:szCs w:val="22"/>
        </w:rPr>
        <w:t xml:space="preserve"> </w:t>
      </w:r>
      <w:proofErr w:type="spellStart"/>
      <w:r w:rsidR="006D1DF5" w:rsidRPr="003F7446">
        <w:rPr>
          <w:szCs w:val="22"/>
        </w:rPr>
        <w:t>Ranbaxy</w:t>
      </w:r>
      <w:proofErr w:type="spellEnd"/>
      <w:r w:rsidR="006D1DF5" w:rsidRPr="003F7446">
        <w:rPr>
          <w:szCs w:val="22"/>
        </w:rPr>
        <w:t>, įskaitant:</w:t>
      </w:r>
    </w:p>
    <w:p w14:paraId="6C5D8333" w14:textId="77777777" w:rsidR="0031182B" w:rsidRPr="003F7446" w:rsidRDefault="0031182B" w:rsidP="00C83F01">
      <w:pPr>
        <w:pStyle w:val="Sraopastraipa"/>
        <w:numPr>
          <w:ilvl w:val="0"/>
          <w:numId w:val="6"/>
        </w:numPr>
        <w:rPr>
          <w:szCs w:val="22"/>
        </w:rPr>
      </w:pPr>
      <w:r w:rsidRPr="003F7446">
        <w:rPr>
          <w:szCs w:val="22"/>
        </w:rPr>
        <w:t>prieš p</w:t>
      </w:r>
      <w:r w:rsidR="006D1DF5" w:rsidRPr="003F7446">
        <w:rPr>
          <w:szCs w:val="22"/>
        </w:rPr>
        <w:t xml:space="preserve">radėdama vartoti </w:t>
      </w:r>
      <w:proofErr w:type="spellStart"/>
      <w:r w:rsidR="006D1DF5" w:rsidRPr="003F7446">
        <w:rPr>
          <w:szCs w:val="22"/>
        </w:rPr>
        <w:t>Mycophenolate</w:t>
      </w:r>
      <w:proofErr w:type="spellEnd"/>
      <w:r w:rsidR="006D1DF5" w:rsidRPr="003F7446">
        <w:rPr>
          <w:szCs w:val="22"/>
        </w:rPr>
        <w:t xml:space="preserve"> </w:t>
      </w:r>
      <w:proofErr w:type="spellStart"/>
      <w:r w:rsidR="006D1DF5" w:rsidRPr="003F7446">
        <w:rPr>
          <w:szCs w:val="22"/>
        </w:rPr>
        <w:t>mofetil</w:t>
      </w:r>
      <w:proofErr w:type="spellEnd"/>
      <w:r w:rsidR="006D1DF5" w:rsidRPr="003F7446">
        <w:rPr>
          <w:szCs w:val="22"/>
        </w:rPr>
        <w:t xml:space="preserve"> </w:t>
      </w:r>
      <w:proofErr w:type="spellStart"/>
      <w:r w:rsidR="006D1DF5" w:rsidRPr="003F7446">
        <w:rPr>
          <w:szCs w:val="22"/>
        </w:rPr>
        <w:t>Ranbaxy</w:t>
      </w:r>
      <w:proofErr w:type="spellEnd"/>
      <w:r w:rsidRPr="003F7446">
        <w:rPr>
          <w:szCs w:val="22"/>
        </w:rPr>
        <w:t>;</w:t>
      </w:r>
    </w:p>
    <w:p w14:paraId="5A7F36C8" w14:textId="77777777" w:rsidR="0031182B" w:rsidRPr="003F7446" w:rsidRDefault="006D1DF5" w:rsidP="00C83F01">
      <w:pPr>
        <w:pStyle w:val="Sraopastraipa"/>
        <w:numPr>
          <w:ilvl w:val="0"/>
          <w:numId w:val="6"/>
        </w:numPr>
        <w:rPr>
          <w:szCs w:val="22"/>
        </w:rPr>
      </w:pPr>
      <w:r w:rsidRPr="003F7446">
        <w:rPr>
          <w:szCs w:val="22"/>
        </w:rPr>
        <w:t xml:space="preserve">visą gydymosi </w:t>
      </w:r>
      <w:proofErr w:type="spellStart"/>
      <w:r w:rsidRPr="003F7446">
        <w:rPr>
          <w:szCs w:val="22"/>
        </w:rPr>
        <w:t>Mycophenolate</w:t>
      </w:r>
      <w:proofErr w:type="spellEnd"/>
      <w:r w:rsidRPr="003F7446">
        <w:rPr>
          <w:szCs w:val="22"/>
        </w:rPr>
        <w:t xml:space="preserve"> </w:t>
      </w:r>
      <w:proofErr w:type="spellStart"/>
      <w:r w:rsidRPr="003F7446">
        <w:rPr>
          <w:szCs w:val="22"/>
        </w:rPr>
        <w:t>mofetil</w:t>
      </w:r>
      <w:proofErr w:type="spellEnd"/>
      <w:r w:rsidRPr="003F7446">
        <w:rPr>
          <w:szCs w:val="22"/>
        </w:rPr>
        <w:t xml:space="preserve"> </w:t>
      </w:r>
      <w:proofErr w:type="spellStart"/>
      <w:r w:rsidRPr="003F7446">
        <w:rPr>
          <w:szCs w:val="22"/>
        </w:rPr>
        <w:t>Ranbaxy</w:t>
      </w:r>
      <w:proofErr w:type="spellEnd"/>
      <w:r w:rsidR="0031182B" w:rsidRPr="003F7446">
        <w:rPr>
          <w:szCs w:val="22"/>
        </w:rPr>
        <w:t xml:space="preserve"> laikotarpį;</w:t>
      </w:r>
    </w:p>
    <w:p w14:paraId="5D658F37" w14:textId="77777777" w:rsidR="0031182B" w:rsidRPr="003F7446" w:rsidRDefault="0031182B" w:rsidP="00C83F01">
      <w:pPr>
        <w:pStyle w:val="Sraopastraipa"/>
        <w:numPr>
          <w:ilvl w:val="0"/>
          <w:numId w:val="6"/>
        </w:numPr>
        <w:rPr>
          <w:szCs w:val="22"/>
        </w:rPr>
      </w:pPr>
      <w:r w:rsidRPr="003F7446">
        <w:rPr>
          <w:szCs w:val="22"/>
        </w:rPr>
        <w:t>6 savaites po to, kai n</w:t>
      </w:r>
      <w:r w:rsidR="006D1DF5" w:rsidRPr="003F7446">
        <w:rPr>
          <w:szCs w:val="22"/>
        </w:rPr>
        <w:t xml:space="preserve">ustosite vartoti </w:t>
      </w:r>
      <w:proofErr w:type="spellStart"/>
      <w:r w:rsidR="006D1DF5" w:rsidRPr="003F7446">
        <w:rPr>
          <w:szCs w:val="22"/>
        </w:rPr>
        <w:t>Mycophenolate</w:t>
      </w:r>
      <w:proofErr w:type="spellEnd"/>
      <w:r w:rsidR="006D1DF5" w:rsidRPr="003F7446">
        <w:rPr>
          <w:szCs w:val="22"/>
        </w:rPr>
        <w:t xml:space="preserve"> </w:t>
      </w:r>
      <w:proofErr w:type="spellStart"/>
      <w:r w:rsidR="006D1DF5" w:rsidRPr="003F7446">
        <w:rPr>
          <w:szCs w:val="22"/>
        </w:rPr>
        <w:t>mofetil</w:t>
      </w:r>
      <w:proofErr w:type="spellEnd"/>
      <w:r w:rsidR="006D1DF5" w:rsidRPr="003F7446">
        <w:rPr>
          <w:szCs w:val="22"/>
        </w:rPr>
        <w:t xml:space="preserve"> </w:t>
      </w:r>
      <w:proofErr w:type="spellStart"/>
      <w:r w:rsidR="006D1DF5" w:rsidRPr="003F7446">
        <w:rPr>
          <w:szCs w:val="22"/>
        </w:rPr>
        <w:t>Ranbaxy</w:t>
      </w:r>
      <w:proofErr w:type="spellEnd"/>
      <w:r w:rsidRPr="003F7446">
        <w:rPr>
          <w:szCs w:val="22"/>
        </w:rPr>
        <w:t>.</w:t>
      </w:r>
    </w:p>
    <w:p w14:paraId="1C3414CA" w14:textId="77777777" w:rsidR="0031182B" w:rsidRPr="003F7446" w:rsidRDefault="0031182B" w:rsidP="00C83F01">
      <w:pPr>
        <w:rPr>
          <w:szCs w:val="22"/>
        </w:rPr>
      </w:pPr>
    </w:p>
    <w:p w14:paraId="150E3AC3" w14:textId="77777777" w:rsidR="0031182B" w:rsidRPr="003F7446" w:rsidRDefault="0031182B" w:rsidP="00C83F01">
      <w:pPr>
        <w:rPr>
          <w:szCs w:val="22"/>
        </w:rPr>
      </w:pPr>
      <w:r w:rsidRPr="003F7446">
        <w:rPr>
          <w:szCs w:val="22"/>
        </w:rPr>
        <w:t>Turite pasitarti su gydytoju, koks kontracepcijos metodas Jums geriausiai tinka, atsižvelgiant į Jūsų situaciją.</w:t>
      </w:r>
    </w:p>
    <w:p w14:paraId="5DF11937" w14:textId="77777777" w:rsidR="0031182B" w:rsidRPr="003F7446" w:rsidRDefault="0031182B" w:rsidP="00C83F01">
      <w:pPr>
        <w:rPr>
          <w:b/>
          <w:szCs w:val="22"/>
        </w:rPr>
      </w:pPr>
    </w:p>
    <w:p w14:paraId="05612CAC" w14:textId="77777777" w:rsidR="0031182B" w:rsidRPr="003F7446" w:rsidRDefault="0031182B" w:rsidP="00C83F01">
      <w:pPr>
        <w:rPr>
          <w:b/>
          <w:szCs w:val="22"/>
        </w:rPr>
      </w:pPr>
      <w:r w:rsidRPr="003F7446">
        <w:rPr>
          <w:b/>
          <w:szCs w:val="22"/>
        </w:rPr>
        <w:t>Žindymo laikotarpis</w:t>
      </w:r>
    </w:p>
    <w:p w14:paraId="7BFB8637" w14:textId="77777777" w:rsidR="0031182B" w:rsidRPr="003F7446" w:rsidRDefault="00BD4CD6" w:rsidP="00C83F01">
      <w:pPr>
        <w:rPr>
          <w:szCs w:val="22"/>
        </w:rPr>
      </w:pPr>
      <w:proofErr w:type="spellStart"/>
      <w:r w:rsidRPr="003F7446">
        <w:rPr>
          <w:szCs w:val="22"/>
        </w:rPr>
        <w:t>Mycophenolate</w:t>
      </w:r>
      <w:proofErr w:type="spellEnd"/>
      <w:r w:rsidRPr="003F7446">
        <w:rPr>
          <w:szCs w:val="22"/>
        </w:rPr>
        <w:t xml:space="preserve"> </w:t>
      </w:r>
      <w:proofErr w:type="spellStart"/>
      <w:r w:rsidRPr="003F7446">
        <w:rPr>
          <w:szCs w:val="22"/>
        </w:rPr>
        <w:t>m</w:t>
      </w:r>
      <w:r w:rsidR="0031182B" w:rsidRPr="003F7446">
        <w:rPr>
          <w:szCs w:val="22"/>
        </w:rPr>
        <w:t>ofetil</w:t>
      </w:r>
      <w:proofErr w:type="spellEnd"/>
      <w:r w:rsidR="0031182B" w:rsidRPr="003F7446">
        <w:rPr>
          <w:szCs w:val="22"/>
        </w:rPr>
        <w:t xml:space="preserve"> </w:t>
      </w:r>
      <w:proofErr w:type="spellStart"/>
      <w:r w:rsidRPr="003F7446">
        <w:rPr>
          <w:szCs w:val="22"/>
        </w:rPr>
        <w:t>Ranbaxy</w:t>
      </w:r>
      <w:proofErr w:type="spellEnd"/>
      <w:r w:rsidR="0031182B" w:rsidRPr="003F7446">
        <w:rPr>
          <w:szCs w:val="22"/>
        </w:rPr>
        <w:t xml:space="preserve"> vartoti draudžiama, jeigu krūtimi maitinate kūdikį. Taip yra todėl, kad nedideli vaisto kiekiai gali patekti į motinos pieną. </w:t>
      </w:r>
    </w:p>
    <w:p w14:paraId="7B58F3F9" w14:textId="77777777" w:rsidR="0031182B" w:rsidRPr="003F7446" w:rsidRDefault="0031182B" w:rsidP="008912E3">
      <w:pPr>
        <w:pStyle w:val="Default"/>
        <w:ind w:left="560" w:hanging="560"/>
        <w:rPr>
          <w:color w:val="auto"/>
          <w:sz w:val="22"/>
          <w:szCs w:val="22"/>
          <w:lang w:val="lt-LT"/>
        </w:rPr>
      </w:pPr>
    </w:p>
    <w:p w14:paraId="1E948B60" w14:textId="394FF23E" w:rsidR="0031182B" w:rsidRPr="003F7446" w:rsidRDefault="00F57B36" w:rsidP="008912E3">
      <w:pPr>
        <w:rPr>
          <w:szCs w:val="22"/>
        </w:rPr>
      </w:pPr>
      <w:r w:rsidRPr="003F7446">
        <w:rPr>
          <w:szCs w:val="22"/>
        </w:rPr>
        <w:t>Jeigu esate nėščia, žindote kūdikį, manote, kad galbūt esate nėščia, arba planuojate pastoti, tai prieš vartodama šį vaistą, pasitarkite su gydytoju arba vaistininku.</w:t>
      </w:r>
    </w:p>
    <w:p w14:paraId="43B3955A" w14:textId="77777777" w:rsidR="0052287E" w:rsidRPr="003F7446" w:rsidRDefault="0052287E" w:rsidP="0052287E">
      <w:pPr>
        <w:pStyle w:val="Default"/>
        <w:ind w:left="560" w:hanging="560"/>
        <w:rPr>
          <w:b/>
          <w:bCs/>
          <w:color w:val="auto"/>
          <w:sz w:val="22"/>
          <w:szCs w:val="22"/>
          <w:lang w:val="lt-LT"/>
        </w:rPr>
      </w:pPr>
    </w:p>
    <w:p w14:paraId="5B756F5E" w14:textId="4E06E1CD" w:rsidR="0052287E" w:rsidRPr="003F7446" w:rsidRDefault="0052287E" w:rsidP="007871AC">
      <w:pPr>
        <w:pStyle w:val="Default"/>
        <w:ind w:left="560" w:hanging="560"/>
        <w:rPr>
          <w:color w:val="auto"/>
          <w:sz w:val="22"/>
          <w:szCs w:val="22"/>
          <w:lang w:val="lt-LT"/>
        </w:rPr>
      </w:pPr>
      <w:r w:rsidRPr="003F7446">
        <w:rPr>
          <w:b/>
          <w:bCs/>
          <w:color w:val="auto"/>
          <w:sz w:val="22"/>
          <w:szCs w:val="22"/>
          <w:lang w:val="lt-LT"/>
        </w:rPr>
        <w:t>Vairavimas ir mechanizmų valdymas</w:t>
      </w:r>
    </w:p>
    <w:p w14:paraId="433E428A" w14:textId="791165A3" w:rsidR="0052287E" w:rsidRPr="003F7446" w:rsidRDefault="00F64C67" w:rsidP="0052287E">
      <w:pPr>
        <w:pStyle w:val="Default"/>
        <w:rPr>
          <w:color w:val="auto"/>
          <w:sz w:val="22"/>
          <w:szCs w:val="22"/>
          <w:lang w:val="lt-LT"/>
        </w:rPr>
      </w:pPr>
      <w:r w:rsidRPr="003F7446">
        <w:rPr>
          <w:color w:val="auto"/>
          <w:sz w:val="22"/>
          <w:szCs w:val="22"/>
          <w:lang w:val="lt-LT"/>
        </w:rPr>
        <w:t>Mažai tikėtina</w:t>
      </w:r>
      <w:r w:rsidR="0052287E" w:rsidRPr="003F7446">
        <w:rPr>
          <w:color w:val="auto"/>
          <w:sz w:val="22"/>
          <w:szCs w:val="22"/>
          <w:lang w:val="lt-LT"/>
        </w:rPr>
        <w:t xml:space="preserve">, kad </w:t>
      </w:r>
      <w:proofErr w:type="spellStart"/>
      <w:r w:rsidR="0052287E" w:rsidRPr="003F7446">
        <w:rPr>
          <w:bCs/>
          <w:sz w:val="22"/>
          <w:szCs w:val="22"/>
          <w:lang w:val="lt-LT"/>
        </w:rPr>
        <w:t>Mycophenolate</w:t>
      </w:r>
      <w:proofErr w:type="spellEnd"/>
      <w:r w:rsidR="0052287E" w:rsidRPr="003F7446">
        <w:rPr>
          <w:bCs/>
          <w:sz w:val="22"/>
          <w:szCs w:val="22"/>
          <w:lang w:val="lt-LT"/>
        </w:rPr>
        <w:t xml:space="preserve"> </w:t>
      </w:r>
      <w:proofErr w:type="spellStart"/>
      <w:r w:rsidR="0052287E" w:rsidRPr="003F7446">
        <w:rPr>
          <w:bCs/>
          <w:sz w:val="22"/>
          <w:szCs w:val="22"/>
          <w:lang w:val="lt-LT"/>
        </w:rPr>
        <w:t>mofetil</w:t>
      </w:r>
      <w:proofErr w:type="spellEnd"/>
      <w:r w:rsidR="0052287E" w:rsidRPr="003F7446">
        <w:rPr>
          <w:bCs/>
          <w:sz w:val="22"/>
          <w:szCs w:val="22"/>
          <w:lang w:val="lt-LT"/>
        </w:rPr>
        <w:t xml:space="preserve"> </w:t>
      </w:r>
      <w:proofErr w:type="spellStart"/>
      <w:r w:rsidR="0052287E" w:rsidRPr="003F7446">
        <w:rPr>
          <w:bCs/>
          <w:sz w:val="22"/>
          <w:szCs w:val="22"/>
          <w:lang w:val="lt-LT"/>
        </w:rPr>
        <w:t>Ranbaxy</w:t>
      </w:r>
      <w:proofErr w:type="spellEnd"/>
      <w:r w:rsidR="0052287E" w:rsidRPr="003F7446">
        <w:rPr>
          <w:color w:val="auto"/>
          <w:sz w:val="22"/>
          <w:szCs w:val="22"/>
          <w:lang w:val="lt-LT"/>
        </w:rPr>
        <w:t xml:space="preserve"> galėtų pakenkti Jūsų gebėjimui vairuoti arba valdyti mechanizmus. </w:t>
      </w:r>
    </w:p>
    <w:p w14:paraId="468B765C" w14:textId="77777777" w:rsidR="0052287E" w:rsidRPr="003F7446" w:rsidRDefault="0052287E" w:rsidP="0052287E">
      <w:pPr>
        <w:pStyle w:val="Default"/>
        <w:ind w:left="560" w:hanging="560"/>
        <w:rPr>
          <w:b/>
          <w:bCs/>
          <w:color w:val="auto"/>
          <w:sz w:val="22"/>
          <w:szCs w:val="22"/>
          <w:lang w:val="lt-LT"/>
        </w:rPr>
      </w:pPr>
    </w:p>
    <w:p w14:paraId="6F48732C" w14:textId="77777777" w:rsidR="0052287E" w:rsidRPr="003F7446" w:rsidRDefault="0052287E" w:rsidP="0052287E">
      <w:pPr>
        <w:pStyle w:val="Default"/>
        <w:ind w:left="560" w:hanging="560"/>
        <w:rPr>
          <w:b/>
          <w:bCs/>
          <w:color w:val="auto"/>
          <w:sz w:val="22"/>
          <w:szCs w:val="22"/>
          <w:lang w:val="lt-LT"/>
        </w:rPr>
      </w:pPr>
    </w:p>
    <w:p w14:paraId="49775153" w14:textId="7814AA0D" w:rsidR="003978A9" w:rsidRPr="003F7446" w:rsidRDefault="003978A9" w:rsidP="003978A9">
      <w:pPr>
        <w:pStyle w:val="Default"/>
        <w:ind w:left="560" w:hanging="560"/>
        <w:rPr>
          <w:b/>
          <w:bCs/>
          <w:sz w:val="22"/>
          <w:szCs w:val="22"/>
          <w:lang w:val="lt-LT"/>
        </w:rPr>
      </w:pPr>
      <w:r w:rsidRPr="003F7446">
        <w:rPr>
          <w:b/>
          <w:sz w:val="22"/>
          <w:szCs w:val="22"/>
          <w:lang w:val="lt-LT"/>
        </w:rPr>
        <w:t>3.</w:t>
      </w:r>
      <w:r w:rsidRPr="003F7446">
        <w:rPr>
          <w:b/>
          <w:bCs/>
          <w:sz w:val="22"/>
          <w:szCs w:val="22"/>
          <w:lang w:val="lt-LT"/>
        </w:rPr>
        <w:t xml:space="preserve"> Kaip vartoti </w:t>
      </w:r>
      <w:proofErr w:type="spellStart"/>
      <w:r w:rsidRPr="003F7446">
        <w:rPr>
          <w:b/>
          <w:sz w:val="22"/>
          <w:szCs w:val="22"/>
          <w:lang w:val="lt-LT"/>
        </w:rPr>
        <w:t>Mycophenolate</w:t>
      </w:r>
      <w:proofErr w:type="spellEnd"/>
      <w:r w:rsidRPr="003F7446">
        <w:rPr>
          <w:b/>
          <w:sz w:val="22"/>
          <w:szCs w:val="22"/>
          <w:lang w:val="lt-LT"/>
        </w:rPr>
        <w:t xml:space="preserve"> </w:t>
      </w:r>
      <w:proofErr w:type="spellStart"/>
      <w:r w:rsidRPr="003F7446">
        <w:rPr>
          <w:b/>
          <w:sz w:val="22"/>
          <w:szCs w:val="22"/>
          <w:lang w:val="lt-LT"/>
        </w:rPr>
        <w:t>mofetil</w:t>
      </w:r>
      <w:proofErr w:type="spellEnd"/>
      <w:r w:rsidRPr="003F7446">
        <w:rPr>
          <w:b/>
          <w:bCs/>
          <w:sz w:val="22"/>
          <w:szCs w:val="22"/>
          <w:lang w:val="lt-LT"/>
        </w:rPr>
        <w:t xml:space="preserve"> </w:t>
      </w:r>
      <w:proofErr w:type="spellStart"/>
      <w:r w:rsidRPr="003F7446">
        <w:rPr>
          <w:b/>
          <w:sz w:val="22"/>
          <w:szCs w:val="22"/>
          <w:lang w:val="lt-LT"/>
        </w:rPr>
        <w:t>Ranbaxy</w:t>
      </w:r>
      <w:proofErr w:type="spellEnd"/>
    </w:p>
    <w:p w14:paraId="0177BE30" w14:textId="77777777" w:rsidR="0052287E" w:rsidRPr="003F7446" w:rsidRDefault="0052287E" w:rsidP="0052287E">
      <w:pPr>
        <w:pStyle w:val="Default"/>
        <w:ind w:left="560" w:hanging="560"/>
        <w:rPr>
          <w:color w:val="auto"/>
          <w:sz w:val="22"/>
          <w:szCs w:val="22"/>
          <w:lang w:val="lt-LT"/>
        </w:rPr>
      </w:pPr>
    </w:p>
    <w:p w14:paraId="69C7F387" w14:textId="40BACC5A" w:rsidR="0052287E" w:rsidRPr="003F7446" w:rsidRDefault="00BC7D3D" w:rsidP="0052287E">
      <w:pPr>
        <w:pStyle w:val="Default"/>
        <w:rPr>
          <w:color w:val="auto"/>
          <w:sz w:val="22"/>
          <w:szCs w:val="22"/>
          <w:lang w:val="lt-LT"/>
        </w:rPr>
      </w:pPr>
      <w:r w:rsidRPr="003F7446">
        <w:rPr>
          <w:bCs/>
          <w:sz w:val="22"/>
          <w:szCs w:val="22"/>
          <w:lang w:val="lt-LT"/>
        </w:rPr>
        <w:t>V</w:t>
      </w:r>
      <w:r w:rsidR="0052287E" w:rsidRPr="003F7446">
        <w:rPr>
          <w:color w:val="auto"/>
          <w:sz w:val="22"/>
          <w:szCs w:val="22"/>
          <w:lang w:val="lt-LT"/>
        </w:rPr>
        <w:t>isada vartokite</w:t>
      </w:r>
      <w:r w:rsidRPr="003F7446">
        <w:rPr>
          <w:color w:val="auto"/>
          <w:sz w:val="22"/>
          <w:szCs w:val="22"/>
          <w:lang w:val="lt-LT"/>
        </w:rPr>
        <w:t xml:space="preserve"> šį vaistą</w:t>
      </w:r>
      <w:r w:rsidR="0052287E" w:rsidRPr="003F7446">
        <w:rPr>
          <w:color w:val="auto"/>
          <w:sz w:val="22"/>
          <w:szCs w:val="22"/>
          <w:lang w:val="lt-LT"/>
        </w:rPr>
        <w:t xml:space="preserve"> tiksliai, kaip nurodė gydytojas. Jeigu abejojate, kreipkitės į savo gydytoją arba vaistininką. </w:t>
      </w:r>
    </w:p>
    <w:p w14:paraId="36D675CF" w14:textId="77777777" w:rsidR="00BC7D3D" w:rsidRPr="003F7446" w:rsidRDefault="00BC7D3D" w:rsidP="0052287E">
      <w:pPr>
        <w:pStyle w:val="Default"/>
        <w:rPr>
          <w:color w:val="auto"/>
          <w:sz w:val="22"/>
          <w:szCs w:val="22"/>
          <w:lang w:val="lt-LT"/>
        </w:rPr>
      </w:pPr>
    </w:p>
    <w:p w14:paraId="5C725D7D" w14:textId="77777777" w:rsidR="00A55B5C" w:rsidRPr="003F7446" w:rsidRDefault="00A55B5C" w:rsidP="00A55B5C">
      <w:pPr>
        <w:pStyle w:val="Default"/>
        <w:rPr>
          <w:b/>
          <w:color w:val="auto"/>
          <w:sz w:val="22"/>
          <w:szCs w:val="22"/>
          <w:lang w:val="lt-LT"/>
        </w:rPr>
      </w:pPr>
      <w:r w:rsidRPr="003F7446">
        <w:rPr>
          <w:b/>
          <w:color w:val="auto"/>
          <w:sz w:val="22"/>
          <w:szCs w:val="22"/>
          <w:lang w:val="lt-LT"/>
        </w:rPr>
        <w:t>Kiek vartoti</w:t>
      </w:r>
    </w:p>
    <w:p w14:paraId="2A7975B4" w14:textId="77777777" w:rsidR="001A0901" w:rsidRPr="003F7446" w:rsidRDefault="00A55B5C" w:rsidP="00A55B5C">
      <w:pPr>
        <w:pStyle w:val="Default"/>
        <w:rPr>
          <w:color w:val="auto"/>
          <w:sz w:val="22"/>
          <w:szCs w:val="22"/>
          <w:lang w:val="lt-LT"/>
        </w:rPr>
      </w:pPr>
      <w:r w:rsidRPr="003F7446">
        <w:rPr>
          <w:color w:val="auto"/>
          <w:sz w:val="22"/>
          <w:szCs w:val="22"/>
          <w:lang w:val="lt-LT"/>
        </w:rPr>
        <w:t>Vartojamo vaisto kiekis priklauso nuo to, koks organas Jums buvo persodintas. Žemiau yra pateiktos įprastinės vaisto dozės. Gydymas tęsis tol, kol turėsite apsisaugoti nuo persodinto organo atmetimo</w:t>
      </w:r>
    </w:p>
    <w:p w14:paraId="10A54672" w14:textId="77777777" w:rsidR="0052287E" w:rsidRPr="003F7446" w:rsidRDefault="0052287E" w:rsidP="0052287E">
      <w:pPr>
        <w:pStyle w:val="Default"/>
        <w:rPr>
          <w:b/>
          <w:bCs/>
          <w:color w:val="auto"/>
          <w:sz w:val="22"/>
          <w:szCs w:val="22"/>
          <w:lang w:val="lt-LT"/>
        </w:rPr>
      </w:pPr>
    </w:p>
    <w:p w14:paraId="2F8C44E7" w14:textId="77777777" w:rsidR="0052287E" w:rsidRPr="003F7446" w:rsidRDefault="0052287E" w:rsidP="0052287E">
      <w:pPr>
        <w:pStyle w:val="Default"/>
        <w:rPr>
          <w:color w:val="auto"/>
          <w:sz w:val="22"/>
          <w:szCs w:val="22"/>
          <w:lang w:val="lt-LT"/>
        </w:rPr>
      </w:pPr>
      <w:r w:rsidRPr="003F7446">
        <w:rPr>
          <w:b/>
          <w:bCs/>
          <w:color w:val="auto"/>
          <w:sz w:val="22"/>
          <w:szCs w:val="22"/>
          <w:lang w:val="lt-LT"/>
        </w:rPr>
        <w:t xml:space="preserve">Persodinus inkstus </w:t>
      </w:r>
    </w:p>
    <w:p w14:paraId="333C2251" w14:textId="77777777" w:rsidR="0052287E" w:rsidRPr="003F7446" w:rsidRDefault="0052287E" w:rsidP="0052287E">
      <w:pPr>
        <w:pStyle w:val="Default"/>
        <w:ind w:left="560" w:hanging="560"/>
        <w:rPr>
          <w:color w:val="auto"/>
          <w:sz w:val="22"/>
          <w:szCs w:val="22"/>
          <w:lang w:val="lt-LT"/>
        </w:rPr>
      </w:pPr>
    </w:p>
    <w:p w14:paraId="24FD5372" w14:textId="77777777" w:rsidR="0052287E" w:rsidRPr="003F7446" w:rsidRDefault="0052287E" w:rsidP="0052287E">
      <w:pPr>
        <w:pStyle w:val="Default"/>
        <w:ind w:left="560" w:hanging="560"/>
        <w:rPr>
          <w:color w:val="auto"/>
          <w:sz w:val="22"/>
          <w:szCs w:val="22"/>
          <w:u w:val="single"/>
          <w:lang w:val="lt-LT"/>
        </w:rPr>
      </w:pPr>
      <w:r w:rsidRPr="003F7446">
        <w:rPr>
          <w:color w:val="auto"/>
          <w:sz w:val="22"/>
          <w:szCs w:val="22"/>
          <w:u w:val="single"/>
          <w:lang w:val="lt-LT"/>
        </w:rPr>
        <w:t xml:space="preserve">Suaugusiesiems: </w:t>
      </w:r>
    </w:p>
    <w:p w14:paraId="257703F9" w14:textId="492A810F" w:rsidR="00181B45" w:rsidRPr="003F7446" w:rsidRDefault="0052287E" w:rsidP="00C83F01">
      <w:pPr>
        <w:pStyle w:val="Default"/>
        <w:numPr>
          <w:ilvl w:val="0"/>
          <w:numId w:val="7"/>
        </w:numPr>
        <w:rPr>
          <w:color w:val="auto"/>
          <w:sz w:val="22"/>
          <w:szCs w:val="22"/>
          <w:lang w:val="lt-LT"/>
        </w:rPr>
      </w:pPr>
      <w:r w:rsidRPr="003F7446">
        <w:rPr>
          <w:color w:val="auto"/>
          <w:sz w:val="22"/>
          <w:szCs w:val="22"/>
          <w:lang w:val="lt-LT"/>
        </w:rPr>
        <w:t xml:space="preserve">Pirmoji vaisto dozė </w:t>
      </w:r>
      <w:r w:rsidR="00181B45" w:rsidRPr="003F7446">
        <w:rPr>
          <w:color w:val="auto"/>
          <w:sz w:val="22"/>
          <w:szCs w:val="22"/>
          <w:lang w:val="lt-LT"/>
        </w:rPr>
        <w:t xml:space="preserve">skiriama </w:t>
      </w:r>
      <w:r w:rsidRPr="003F7446">
        <w:rPr>
          <w:color w:val="auto"/>
          <w:sz w:val="22"/>
          <w:szCs w:val="22"/>
          <w:lang w:val="lt-LT"/>
        </w:rPr>
        <w:t xml:space="preserve">per 72 valandas po inksto persodinimo operacijos. </w:t>
      </w:r>
    </w:p>
    <w:p w14:paraId="61E02CD7" w14:textId="77777777" w:rsidR="0052287E" w:rsidRPr="003F7446" w:rsidRDefault="00181B45" w:rsidP="008912E3">
      <w:pPr>
        <w:pStyle w:val="Default"/>
        <w:numPr>
          <w:ilvl w:val="0"/>
          <w:numId w:val="7"/>
        </w:numPr>
        <w:rPr>
          <w:color w:val="auto"/>
          <w:sz w:val="22"/>
          <w:szCs w:val="22"/>
          <w:lang w:val="lt-LT"/>
        </w:rPr>
      </w:pPr>
      <w:r w:rsidRPr="003F7446">
        <w:rPr>
          <w:color w:val="auto"/>
          <w:sz w:val="22"/>
          <w:szCs w:val="22"/>
          <w:lang w:val="lt-LT"/>
        </w:rPr>
        <w:t>P</w:t>
      </w:r>
      <w:r w:rsidR="0052287E" w:rsidRPr="003F7446">
        <w:rPr>
          <w:color w:val="auto"/>
          <w:sz w:val="22"/>
          <w:szCs w:val="22"/>
          <w:lang w:val="lt-LT"/>
        </w:rPr>
        <w:t xml:space="preserve">aros dozė yra 4 tabletės (2 g veikliosios medžiagos), kurias reikia išgerti per 2 kartus. Tai reiškia, jog 2 tabletes reikia išgerti iš ryto ir 2 tabletes – vakare. </w:t>
      </w:r>
    </w:p>
    <w:p w14:paraId="70251596" w14:textId="77777777" w:rsidR="0052287E" w:rsidRPr="003F7446" w:rsidRDefault="0052287E" w:rsidP="0052287E">
      <w:pPr>
        <w:pStyle w:val="Default"/>
        <w:rPr>
          <w:color w:val="auto"/>
          <w:sz w:val="22"/>
          <w:szCs w:val="22"/>
          <w:lang w:val="lt-LT"/>
        </w:rPr>
      </w:pPr>
    </w:p>
    <w:p w14:paraId="59BA0165" w14:textId="77777777" w:rsidR="0052287E" w:rsidRPr="003F7446" w:rsidRDefault="0052287E" w:rsidP="0052287E">
      <w:pPr>
        <w:pStyle w:val="Default"/>
        <w:rPr>
          <w:color w:val="auto"/>
          <w:sz w:val="22"/>
          <w:szCs w:val="22"/>
          <w:u w:val="single"/>
          <w:lang w:val="lt-LT"/>
        </w:rPr>
      </w:pPr>
      <w:r w:rsidRPr="003F7446">
        <w:rPr>
          <w:color w:val="auto"/>
          <w:sz w:val="22"/>
          <w:szCs w:val="22"/>
          <w:u w:val="single"/>
          <w:lang w:val="lt-LT"/>
        </w:rPr>
        <w:t xml:space="preserve">Vaikams (2 – 18 metų amžiaus): </w:t>
      </w:r>
    </w:p>
    <w:p w14:paraId="4FD45ABB" w14:textId="77777777" w:rsidR="00181B45" w:rsidRPr="003F7446" w:rsidRDefault="0052287E" w:rsidP="00C83F01">
      <w:pPr>
        <w:pStyle w:val="Default"/>
        <w:numPr>
          <w:ilvl w:val="0"/>
          <w:numId w:val="8"/>
        </w:numPr>
        <w:rPr>
          <w:color w:val="auto"/>
          <w:sz w:val="22"/>
          <w:szCs w:val="22"/>
          <w:lang w:val="lt-LT"/>
        </w:rPr>
      </w:pPr>
      <w:r w:rsidRPr="003F7446">
        <w:rPr>
          <w:color w:val="auto"/>
          <w:sz w:val="22"/>
          <w:szCs w:val="22"/>
          <w:lang w:val="lt-LT"/>
        </w:rPr>
        <w:t xml:space="preserve">Skiriama dozė priklausys nuo vaiko dydžio. </w:t>
      </w:r>
    </w:p>
    <w:p w14:paraId="20A98603" w14:textId="77777777" w:rsidR="0052287E" w:rsidRPr="003F7446" w:rsidRDefault="0052287E" w:rsidP="008912E3">
      <w:pPr>
        <w:pStyle w:val="Default"/>
        <w:numPr>
          <w:ilvl w:val="0"/>
          <w:numId w:val="8"/>
        </w:numPr>
        <w:rPr>
          <w:color w:val="auto"/>
          <w:sz w:val="22"/>
          <w:szCs w:val="22"/>
          <w:lang w:val="lt-LT"/>
        </w:rPr>
      </w:pPr>
      <w:r w:rsidRPr="003F7446">
        <w:rPr>
          <w:color w:val="auto"/>
          <w:sz w:val="22"/>
          <w:szCs w:val="22"/>
          <w:lang w:val="lt-LT"/>
        </w:rPr>
        <w:t>Jūsų gydytojas, atsižvelgdamas į vaiko kūno paviršiaus plotą (ūgį ir svorį), nuspręs, kokia yra tinkamiausia dozė. Rekomenduojama dozė yra po 600 mg/m</w:t>
      </w:r>
      <w:r w:rsidRPr="003F7446">
        <w:rPr>
          <w:color w:val="auto"/>
          <w:sz w:val="22"/>
          <w:szCs w:val="22"/>
          <w:vertAlign w:val="superscript"/>
          <w:lang w:val="lt-LT"/>
        </w:rPr>
        <w:t xml:space="preserve">2 </w:t>
      </w:r>
      <w:r w:rsidRPr="003F7446">
        <w:rPr>
          <w:color w:val="auto"/>
          <w:sz w:val="22"/>
          <w:szCs w:val="22"/>
          <w:lang w:val="lt-LT"/>
        </w:rPr>
        <w:t xml:space="preserve">du kartus per parą. </w:t>
      </w:r>
    </w:p>
    <w:p w14:paraId="2286DEE8" w14:textId="77777777" w:rsidR="0052287E" w:rsidRPr="003F7446" w:rsidRDefault="0052287E" w:rsidP="0052287E">
      <w:pPr>
        <w:pStyle w:val="Default"/>
        <w:rPr>
          <w:b/>
          <w:bCs/>
          <w:color w:val="auto"/>
          <w:sz w:val="22"/>
          <w:szCs w:val="22"/>
          <w:lang w:val="lt-LT"/>
        </w:rPr>
      </w:pPr>
    </w:p>
    <w:p w14:paraId="2B223E81" w14:textId="77777777" w:rsidR="0052287E" w:rsidRPr="003F7446" w:rsidRDefault="0052287E" w:rsidP="0052287E">
      <w:pPr>
        <w:pStyle w:val="Default"/>
        <w:rPr>
          <w:color w:val="auto"/>
          <w:sz w:val="22"/>
          <w:szCs w:val="22"/>
          <w:lang w:val="lt-LT"/>
        </w:rPr>
      </w:pPr>
      <w:r w:rsidRPr="003F7446">
        <w:rPr>
          <w:b/>
          <w:bCs/>
          <w:color w:val="auto"/>
          <w:sz w:val="22"/>
          <w:szCs w:val="22"/>
          <w:lang w:val="lt-LT"/>
        </w:rPr>
        <w:lastRenderedPageBreak/>
        <w:t xml:space="preserve">Persodinus širdį </w:t>
      </w:r>
    </w:p>
    <w:p w14:paraId="5BC494A2" w14:textId="77777777" w:rsidR="0052287E" w:rsidRPr="003F7446" w:rsidRDefault="0052287E" w:rsidP="0052287E">
      <w:pPr>
        <w:pStyle w:val="Default"/>
        <w:rPr>
          <w:color w:val="auto"/>
          <w:sz w:val="22"/>
          <w:szCs w:val="22"/>
          <w:lang w:val="lt-LT"/>
        </w:rPr>
      </w:pPr>
    </w:p>
    <w:p w14:paraId="1F86E66B" w14:textId="77777777" w:rsidR="0052287E" w:rsidRPr="003F7446" w:rsidRDefault="0052287E" w:rsidP="0052287E">
      <w:pPr>
        <w:pStyle w:val="Default"/>
        <w:rPr>
          <w:color w:val="auto"/>
          <w:sz w:val="22"/>
          <w:szCs w:val="22"/>
          <w:u w:val="single"/>
          <w:lang w:val="lt-LT"/>
        </w:rPr>
      </w:pPr>
      <w:r w:rsidRPr="003F7446">
        <w:rPr>
          <w:color w:val="auto"/>
          <w:sz w:val="22"/>
          <w:szCs w:val="22"/>
          <w:u w:val="single"/>
          <w:lang w:val="lt-LT"/>
        </w:rPr>
        <w:t xml:space="preserve">Suaugusiesiems: </w:t>
      </w:r>
    </w:p>
    <w:p w14:paraId="15424900" w14:textId="3D87C1D8" w:rsidR="00181B45" w:rsidRPr="003F7446" w:rsidRDefault="0052287E" w:rsidP="00C83F01">
      <w:pPr>
        <w:pStyle w:val="Default"/>
        <w:numPr>
          <w:ilvl w:val="0"/>
          <w:numId w:val="9"/>
        </w:numPr>
        <w:rPr>
          <w:color w:val="auto"/>
          <w:sz w:val="22"/>
          <w:szCs w:val="22"/>
          <w:lang w:val="lt-LT"/>
        </w:rPr>
      </w:pPr>
      <w:r w:rsidRPr="003F7446">
        <w:rPr>
          <w:color w:val="auto"/>
          <w:sz w:val="22"/>
          <w:szCs w:val="22"/>
          <w:lang w:val="lt-LT"/>
        </w:rPr>
        <w:t xml:space="preserve">Pirmoji vaisto dozė </w:t>
      </w:r>
      <w:r w:rsidR="00181B45" w:rsidRPr="003F7446">
        <w:rPr>
          <w:color w:val="auto"/>
          <w:sz w:val="22"/>
          <w:szCs w:val="22"/>
          <w:lang w:val="lt-LT"/>
        </w:rPr>
        <w:t>skiriama</w:t>
      </w:r>
      <w:r w:rsidRPr="003F7446">
        <w:rPr>
          <w:color w:val="auto"/>
          <w:sz w:val="22"/>
          <w:szCs w:val="22"/>
          <w:lang w:val="lt-LT"/>
        </w:rPr>
        <w:t xml:space="preserve"> per 5 paras po širdies persodinimo operacijos. </w:t>
      </w:r>
    </w:p>
    <w:p w14:paraId="2AF74C55" w14:textId="77777777" w:rsidR="0052287E" w:rsidRPr="003F7446" w:rsidRDefault="00181B45" w:rsidP="008912E3">
      <w:pPr>
        <w:pStyle w:val="Default"/>
        <w:numPr>
          <w:ilvl w:val="0"/>
          <w:numId w:val="9"/>
        </w:numPr>
        <w:rPr>
          <w:color w:val="auto"/>
          <w:sz w:val="22"/>
          <w:szCs w:val="22"/>
          <w:lang w:val="lt-LT"/>
        </w:rPr>
      </w:pPr>
      <w:r w:rsidRPr="003F7446">
        <w:rPr>
          <w:color w:val="auto"/>
          <w:sz w:val="22"/>
          <w:szCs w:val="22"/>
          <w:lang w:val="lt-LT"/>
        </w:rPr>
        <w:t>P</w:t>
      </w:r>
      <w:r w:rsidR="0052287E" w:rsidRPr="003F7446">
        <w:rPr>
          <w:color w:val="auto"/>
          <w:sz w:val="22"/>
          <w:szCs w:val="22"/>
          <w:lang w:val="lt-LT"/>
        </w:rPr>
        <w:t>aros dozė yra 6 tabletės (3 g veikliosios medžiagos), kurias reikia išgerti per 2 kartus. Tai reiškia, jog 3 tabletes reikės išgerti iš ryto, 3 tabletes – vakare.</w:t>
      </w:r>
    </w:p>
    <w:p w14:paraId="6C382FB8" w14:textId="77777777" w:rsidR="0052287E" w:rsidRPr="003F7446" w:rsidRDefault="0052287E" w:rsidP="0052287E">
      <w:pPr>
        <w:pStyle w:val="Default"/>
        <w:rPr>
          <w:color w:val="auto"/>
          <w:sz w:val="22"/>
          <w:szCs w:val="22"/>
          <w:lang w:val="lt-LT"/>
        </w:rPr>
      </w:pPr>
    </w:p>
    <w:p w14:paraId="428B93B0" w14:textId="77777777" w:rsidR="0052287E" w:rsidRPr="003F7446" w:rsidRDefault="0052287E" w:rsidP="0052287E">
      <w:pPr>
        <w:pStyle w:val="Default"/>
        <w:rPr>
          <w:color w:val="auto"/>
          <w:sz w:val="22"/>
          <w:szCs w:val="22"/>
          <w:u w:val="single"/>
          <w:lang w:val="lt-LT"/>
        </w:rPr>
      </w:pPr>
      <w:r w:rsidRPr="003F7446">
        <w:rPr>
          <w:color w:val="auto"/>
          <w:sz w:val="22"/>
          <w:szCs w:val="22"/>
          <w:u w:val="single"/>
          <w:lang w:val="lt-LT"/>
        </w:rPr>
        <w:t>Vaikams:</w:t>
      </w:r>
    </w:p>
    <w:p w14:paraId="7FADABDD" w14:textId="77777777" w:rsidR="0052287E" w:rsidRPr="003F7446" w:rsidRDefault="0052287E" w:rsidP="008912E3">
      <w:pPr>
        <w:pStyle w:val="Default"/>
        <w:numPr>
          <w:ilvl w:val="0"/>
          <w:numId w:val="11"/>
        </w:numPr>
        <w:rPr>
          <w:color w:val="auto"/>
          <w:sz w:val="22"/>
          <w:szCs w:val="22"/>
          <w:lang w:val="lt-LT"/>
        </w:rPr>
      </w:pPr>
      <w:r w:rsidRPr="003F7446">
        <w:rPr>
          <w:color w:val="auto"/>
          <w:sz w:val="22"/>
          <w:szCs w:val="22"/>
          <w:lang w:val="lt-LT"/>
        </w:rPr>
        <w:t xml:space="preserve">Kaip vartoti </w:t>
      </w:r>
      <w:proofErr w:type="spellStart"/>
      <w:r w:rsidRPr="003F7446">
        <w:rPr>
          <w:bCs/>
          <w:sz w:val="22"/>
          <w:szCs w:val="22"/>
          <w:lang w:val="lt-LT"/>
        </w:rPr>
        <w:t>Mycophenolate</w:t>
      </w:r>
      <w:proofErr w:type="spellEnd"/>
      <w:r w:rsidRPr="003F7446">
        <w:rPr>
          <w:bCs/>
          <w:sz w:val="22"/>
          <w:szCs w:val="22"/>
          <w:lang w:val="lt-LT"/>
        </w:rPr>
        <w:t xml:space="preserve"> </w:t>
      </w:r>
      <w:proofErr w:type="spellStart"/>
      <w:r w:rsidRPr="003F7446">
        <w:rPr>
          <w:bCs/>
          <w:sz w:val="22"/>
          <w:szCs w:val="22"/>
          <w:lang w:val="lt-LT"/>
        </w:rPr>
        <w:t>mofetil</w:t>
      </w:r>
      <w:proofErr w:type="spellEnd"/>
      <w:r w:rsidRPr="003F7446">
        <w:rPr>
          <w:bCs/>
          <w:sz w:val="22"/>
          <w:szCs w:val="22"/>
          <w:lang w:val="lt-LT"/>
        </w:rPr>
        <w:t xml:space="preserve"> </w:t>
      </w:r>
      <w:proofErr w:type="spellStart"/>
      <w:r w:rsidRPr="003F7446">
        <w:rPr>
          <w:bCs/>
          <w:sz w:val="22"/>
          <w:szCs w:val="22"/>
          <w:lang w:val="lt-LT"/>
        </w:rPr>
        <w:t>Ranbaxy</w:t>
      </w:r>
      <w:proofErr w:type="spellEnd"/>
      <w:r w:rsidRPr="003F7446">
        <w:rPr>
          <w:color w:val="auto"/>
          <w:sz w:val="22"/>
          <w:szCs w:val="22"/>
          <w:lang w:val="lt-LT"/>
        </w:rPr>
        <w:t xml:space="preserve"> vaikams, kuriems persodinta širdis, duomenų nėra</w:t>
      </w:r>
    </w:p>
    <w:p w14:paraId="44A730D3" w14:textId="77777777" w:rsidR="0052287E" w:rsidRPr="003F7446" w:rsidRDefault="0052287E" w:rsidP="0052287E">
      <w:pPr>
        <w:pStyle w:val="Default"/>
        <w:rPr>
          <w:b/>
          <w:bCs/>
          <w:color w:val="auto"/>
          <w:sz w:val="22"/>
          <w:szCs w:val="22"/>
          <w:lang w:val="lt-LT"/>
        </w:rPr>
      </w:pPr>
    </w:p>
    <w:p w14:paraId="5D08EC16" w14:textId="77777777" w:rsidR="0052287E" w:rsidRPr="003F7446" w:rsidRDefault="0052287E" w:rsidP="0052287E">
      <w:pPr>
        <w:pStyle w:val="Default"/>
        <w:rPr>
          <w:color w:val="auto"/>
          <w:sz w:val="22"/>
          <w:szCs w:val="22"/>
          <w:lang w:val="lt-LT"/>
        </w:rPr>
      </w:pPr>
      <w:r w:rsidRPr="003F7446">
        <w:rPr>
          <w:b/>
          <w:bCs/>
          <w:color w:val="auto"/>
          <w:sz w:val="22"/>
          <w:szCs w:val="22"/>
          <w:lang w:val="lt-LT"/>
        </w:rPr>
        <w:t xml:space="preserve">Persodinus kepenis </w:t>
      </w:r>
    </w:p>
    <w:p w14:paraId="3A55F53D" w14:textId="77777777" w:rsidR="0052287E" w:rsidRPr="003F7446" w:rsidRDefault="0052287E" w:rsidP="0052287E">
      <w:pPr>
        <w:pStyle w:val="Default"/>
        <w:rPr>
          <w:color w:val="auto"/>
          <w:sz w:val="22"/>
          <w:szCs w:val="22"/>
          <w:lang w:val="lt-LT"/>
        </w:rPr>
      </w:pPr>
    </w:p>
    <w:p w14:paraId="0EADF88F" w14:textId="77777777" w:rsidR="0052287E" w:rsidRPr="003F7446" w:rsidRDefault="0052287E" w:rsidP="0052287E">
      <w:pPr>
        <w:pStyle w:val="Default"/>
        <w:rPr>
          <w:color w:val="auto"/>
          <w:sz w:val="22"/>
          <w:szCs w:val="22"/>
          <w:u w:val="single"/>
          <w:lang w:val="lt-LT"/>
        </w:rPr>
      </w:pPr>
      <w:r w:rsidRPr="003F7446">
        <w:rPr>
          <w:color w:val="auto"/>
          <w:sz w:val="22"/>
          <w:szCs w:val="22"/>
          <w:u w:val="single"/>
          <w:lang w:val="lt-LT"/>
        </w:rPr>
        <w:t xml:space="preserve">Suaugusiesiems: </w:t>
      </w:r>
    </w:p>
    <w:p w14:paraId="43253FCB" w14:textId="36EFA022" w:rsidR="00F108C5" w:rsidRPr="003F7446" w:rsidRDefault="0052287E" w:rsidP="00C83F01">
      <w:pPr>
        <w:pStyle w:val="Default"/>
        <w:numPr>
          <w:ilvl w:val="0"/>
          <w:numId w:val="10"/>
        </w:numPr>
        <w:rPr>
          <w:color w:val="auto"/>
          <w:sz w:val="22"/>
          <w:szCs w:val="22"/>
          <w:lang w:val="lt-LT"/>
        </w:rPr>
      </w:pPr>
      <w:r w:rsidRPr="003F7446">
        <w:rPr>
          <w:color w:val="auto"/>
          <w:sz w:val="22"/>
          <w:szCs w:val="22"/>
          <w:lang w:val="lt-LT"/>
        </w:rPr>
        <w:t xml:space="preserve">Pirmoji geriamojo </w:t>
      </w:r>
      <w:proofErr w:type="spellStart"/>
      <w:r w:rsidRPr="003F7446">
        <w:rPr>
          <w:bCs/>
          <w:sz w:val="22"/>
          <w:szCs w:val="22"/>
          <w:lang w:val="lt-LT"/>
        </w:rPr>
        <w:t>Mycophenolate</w:t>
      </w:r>
      <w:proofErr w:type="spellEnd"/>
      <w:r w:rsidRPr="003F7446">
        <w:rPr>
          <w:bCs/>
          <w:sz w:val="22"/>
          <w:szCs w:val="22"/>
          <w:lang w:val="lt-LT"/>
        </w:rPr>
        <w:t xml:space="preserve"> </w:t>
      </w:r>
      <w:proofErr w:type="spellStart"/>
      <w:r w:rsidRPr="003F7446">
        <w:rPr>
          <w:bCs/>
          <w:sz w:val="22"/>
          <w:szCs w:val="22"/>
          <w:lang w:val="lt-LT"/>
        </w:rPr>
        <w:t>mofetil</w:t>
      </w:r>
      <w:proofErr w:type="spellEnd"/>
      <w:r w:rsidRPr="003F7446">
        <w:rPr>
          <w:bCs/>
          <w:sz w:val="22"/>
          <w:szCs w:val="22"/>
          <w:lang w:val="lt-LT"/>
        </w:rPr>
        <w:t xml:space="preserve"> </w:t>
      </w:r>
      <w:proofErr w:type="spellStart"/>
      <w:r w:rsidRPr="003F7446">
        <w:rPr>
          <w:bCs/>
          <w:sz w:val="22"/>
          <w:szCs w:val="22"/>
          <w:lang w:val="lt-LT"/>
        </w:rPr>
        <w:t>Ranbaxy</w:t>
      </w:r>
      <w:proofErr w:type="spellEnd"/>
      <w:r w:rsidRPr="003F7446">
        <w:rPr>
          <w:color w:val="auto"/>
          <w:sz w:val="22"/>
          <w:szCs w:val="22"/>
          <w:lang w:val="lt-LT"/>
        </w:rPr>
        <w:t xml:space="preserve"> dozė </w:t>
      </w:r>
      <w:r w:rsidR="00F108C5" w:rsidRPr="003F7446">
        <w:rPr>
          <w:color w:val="auto"/>
          <w:sz w:val="22"/>
          <w:szCs w:val="22"/>
          <w:lang w:val="lt-LT"/>
        </w:rPr>
        <w:t>skiriama</w:t>
      </w:r>
      <w:r w:rsidRPr="003F7446">
        <w:rPr>
          <w:color w:val="auto"/>
          <w:sz w:val="22"/>
          <w:szCs w:val="22"/>
          <w:lang w:val="lt-LT"/>
        </w:rPr>
        <w:t xml:space="preserve"> praėjus mažiausiai 4 paroms po kepenų persodinimo operacijos, kai jau galėsite nuryti geriamus vaistus. </w:t>
      </w:r>
    </w:p>
    <w:p w14:paraId="070D3148" w14:textId="77777777" w:rsidR="0052287E" w:rsidRPr="003F7446" w:rsidRDefault="00F108C5" w:rsidP="008912E3">
      <w:pPr>
        <w:pStyle w:val="Default"/>
        <w:numPr>
          <w:ilvl w:val="0"/>
          <w:numId w:val="10"/>
        </w:numPr>
        <w:rPr>
          <w:color w:val="auto"/>
          <w:sz w:val="22"/>
          <w:szCs w:val="22"/>
          <w:lang w:val="lt-LT"/>
        </w:rPr>
      </w:pPr>
      <w:r w:rsidRPr="003F7446">
        <w:rPr>
          <w:color w:val="auto"/>
          <w:sz w:val="22"/>
          <w:szCs w:val="22"/>
          <w:lang w:val="lt-LT"/>
        </w:rPr>
        <w:t>P</w:t>
      </w:r>
      <w:r w:rsidR="0052287E" w:rsidRPr="003F7446">
        <w:rPr>
          <w:color w:val="auto"/>
          <w:sz w:val="22"/>
          <w:szCs w:val="22"/>
          <w:lang w:val="lt-LT"/>
        </w:rPr>
        <w:t xml:space="preserve">aros dozė yra 6 tabletės (3 g veikliosios medžiagos), kurias reikės išgerti per 2 kartus. Tai reiškia, jog 3 tabletes gersite iš ryto, 3 tabletes – vakare. </w:t>
      </w:r>
    </w:p>
    <w:p w14:paraId="2028452A" w14:textId="77777777" w:rsidR="0052287E" w:rsidRPr="003F7446" w:rsidRDefault="0052287E" w:rsidP="0052287E">
      <w:pPr>
        <w:pStyle w:val="Default"/>
        <w:rPr>
          <w:color w:val="auto"/>
          <w:sz w:val="22"/>
          <w:szCs w:val="22"/>
          <w:lang w:val="lt-LT"/>
        </w:rPr>
      </w:pPr>
    </w:p>
    <w:p w14:paraId="43F223F7" w14:textId="77777777" w:rsidR="0052287E" w:rsidRPr="003F7446" w:rsidRDefault="0052287E" w:rsidP="0052287E">
      <w:pPr>
        <w:pStyle w:val="Default"/>
        <w:rPr>
          <w:color w:val="auto"/>
          <w:sz w:val="22"/>
          <w:szCs w:val="22"/>
          <w:u w:val="single"/>
          <w:lang w:val="lt-LT"/>
        </w:rPr>
      </w:pPr>
      <w:r w:rsidRPr="003F7446">
        <w:rPr>
          <w:color w:val="auto"/>
          <w:sz w:val="22"/>
          <w:szCs w:val="22"/>
          <w:u w:val="single"/>
          <w:lang w:val="lt-LT"/>
        </w:rPr>
        <w:t xml:space="preserve">Vaikams: </w:t>
      </w:r>
    </w:p>
    <w:p w14:paraId="3B5A8E0D" w14:textId="77777777" w:rsidR="0052287E" w:rsidRPr="003F7446" w:rsidRDefault="0052287E" w:rsidP="008912E3">
      <w:pPr>
        <w:pStyle w:val="Default"/>
        <w:numPr>
          <w:ilvl w:val="0"/>
          <w:numId w:val="12"/>
        </w:numPr>
        <w:rPr>
          <w:color w:val="auto"/>
          <w:sz w:val="22"/>
          <w:szCs w:val="22"/>
          <w:lang w:val="lt-LT"/>
        </w:rPr>
      </w:pPr>
      <w:r w:rsidRPr="003F7446">
        <w:rPr>
          <w:color w:val="auto"/>
          <w:sz w:val="22"/>
          <w:szCs w:val="22"/>
          <w:lang w:val="lt-LT"/>
        </w:rPr>
        <w:t xml:space="preserve">Kaip vartoti </w:t>
      </w:r>
      <w:proofErr w:type="spellStart"/>
      <w:r w:rsidRPr="003F7446">
        <w:rPr>
          <w:bCs/>
          <w:sz w:val="22"/>
          <w:szCs w:val="22"/>
          <w:lang w:val="lt-LT"/>
        </w:rPr>
        <w:t>Mycophenolate</w:t>
      </w:r>
      <w:proofErr w:type="spellEnd"/>
      <w:r w:rsidRPr="003F7446">
        <w:rPr>
          <w:bCs/>
          <w:sz w:val="22"/>
          <w:szCs w:val="22"/>
          <w:lang w:val="lt-LT"/>
        </w:rPr>
        <w:t xml:space="preserve"> </w:t>
      </w:r>
      <w:proofErr w:type="spellStart"/>
      <w:r w:rsidRPr="003F7446">
        <w:rPr>
          <w:bCs/>
          <w:sz w:val="22"/>
          <w:szCs w:val="22"/>
          <w:lang w:val="lt-LT"/>
        </w:rPr>
        <w:t>mofetil</w:t>
      </w:r>
      <w:proofErr w:type="spellEnd"/>
      <w:r w:rsidRPr="003F7446">
        <w:rPr>
          <w:bCs/>
          <w:sz w:val="22"/>
          <w:szCs w:val="22"/>
          <w:lang w:val="lt-LT"/>
        </w:rPr>
        <w:t xml:space="preserve"> </w:t>
      </w:r>
      <w:proofErr w:type="spellStart"/>
      <w:r w:rsidRPr="003F7446">
        <w:rPr>
          <w:bCs/>
          <w:sz w:val="22"/>
          <w:szCs w:val="22"/>
          <w:lang w:val="lt-LT"/>
        </w:rPr>
        <w:t>Ranbaxy</w:t>
      </w:r>
      <w:proofErr w:type="spellEnd"/>
      <w:r w:rsidRPr="003F7446">
        <w:rPr>
          <w:color w:val="auto"/>
          <w:sz w:val="22"/>
          <w:szCs w:val="22"/>
          <w:lang w:val="lt-LT"/>
        </w:rPr>
        <w:t xml:space="preserve"> vaikams, kuriems persodintos kepenys, duomenų nėra.</w:t>
      </w:r>
    </w:p>
    <w:p w14:paraId="1C0861F7" w14:textId="77777777" w:rsidR="0052287E" w:rsidRPr="003F7446" w:rsidRDefault="0052287E" w:rsidP="0052287E">
      <w:pPr>
        <w:pStyle w:val="Default"/>
        <w:rPr>
          <w:b/>
          <w:bCs/>
          <w:color w:val="auto"/>
          <w:sz w:val="22"/>
          <w:szCs w:val="22"/>
          <w:lang w:val="lt-LT"/>
        </w:rPr>
      </w:pPr>
    </w:p>
    <w:p w14:paraId="08A30106" w14:textId="77777777" w:rsidR="0052287E" w:rsidRPr="003F7446" w:rsidRDefault="0052287E" w:rsidP="0052287E">
      <w:pPr>
        <w:pStyle w:val="Default"/>
        <w:rPr>
          <w:color w:val="auto"/>
          <w:sz w:val="22"/>
          <w:szCs w:val="22"/>
          <w:lang w:val="lt-LT"/>
        </w:rPr>
      </w:pPr>
      <w:r w:rsidRPr="003F7446">
        <w:rPr>
          <w:b/>
          <w:bCs/>
          <w:color w:val="auto"/>
          <w:sz w:val="22"/>
          <w:szCs w:val="22"/>
          <w:lang w:val="lt-LT"/>
        </w:rPr>
        <w:t xml:space="preserve">Vartojimo metodas </w:t>
      </w:r>
    </w:p>
    <w:p w14:paraId="706AF0CF" w14:textId="77777777" w:rsidR="0052287E" w:rsidRPr="003F7446" w:rsidRDefault="0052287E" w:rsidP="0052287E">
      <w:pPr>
        <w:pStyle w:val="Default"/>
        <w:rPr>
          <w:color w:val="auto"/>
          <w:sz w:val="22"/>
          <w:szCs w:val="22"/>
          <w:lang w:val="lt-LT"/>
        </w:rPr>
      </w:pPr>
    </w:p>
    <w:p w14:paraId="51A526CA"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 Nurykite tabletes užgerdami stikline vandens. Nelaužykite ir nesmulkinkite tablečių. </w:t>
      </w:r>
    </w:p>
    <w:p w14:paraId="47CDFB4F" w14:textId="77777777" w:rsidR="0052287E" w:rsidRPr="003F7446" w:rsidRDefault="0052287E" w:rsidP="0052287E">
      <w:pPr>
        <w:pStyle w:val="Default"/>
        <w:rPr>
          <w:color w:val="auto"/>
          <w:sz w:val="22"/>
          <w:szCs w:val="22"/>
          <w:lang w:val="lt-LT"/>
        </w:rPr>
      </w:pPr>
    </w:p>
    <w:p w14:paraId="442EDD11" w14:textId="77777777" w:rsidR="0052287E" w:rsidRPr="003F7446" w:rsidRDefault="0052287E" w:rsidP="007871AC">
      <w:pPr>
        <w:pStyle w:val="Default"/>
        <w:ind w:left="560" w:hanging="560"/>
        <w:rPr>
          <w:color w:val="auto"/>
          <w:sz w:val="22"/>
          <w:szCs w:val="22"/>
          <w:lang w:val="lt-LT"/>
        </w:rPr>
      </w:pPr>
      <w:r w:rsidRPr="003F7446">
        <w:rPr>
          <w:b/>
          <w:bCs/>
          <w:color w:val="auto"/>
          <w:sz w:val="22"/>
          <w:szCs w:val="22"/>
          <w:lang w:val="lt-LT"/>
        </w:rPr>
        <w:t xml:space="preserve">Pavartojus per didelę </w:t>
      </w:r>
      <w:proofErr w:type="spellStart"/>
      <w:r w:rsidRPr="003F7446">
        <w:rPr>
          <w:b/>
          <w:bCs/>
          <w:sz w:val="22"/>
          <w:szCs w:val="22"/>
          <w:lang w:val="lt-LT"/>
        </w:rPr>
        <w:t>Mycophenolate</w:t>
      </w:r>
      <w:proofErr w:type="spellEnd"/>
      <w:r w:rsidRPr="003F7446">
        <w:rPr>
          <w:b/>
          <w:bCs/>
          <w:sz w:val="22"/>
          <w:szCs w:val="22"/>
          <w:lang w:val="lt-LT"/>
        </w:rPr>
        <w:t xml:space="preserve"> </w:t>
      </w:r>
      <w:proofErr w:type="spellStart"/>
      <w:r w:rsidRPr="003F7446">
        <w:rPr>
          <w:b/>
          <w:bCs/>
          <w:sz w:val="22"/>
          <w:szCs w:val="22"/>
          <w:lang w:val="lt-LT"/>
        </w:rPr>
        <w:t>mofetil</w:t>
      </w:r>
      <w:proofErr w:type="spellEnd"/>
      <w:r w:rsidRPr="003F7446">
        <w:rPr>
          <w:b/>
          <w:bCs/>
          <w:sz w:val="22"/>
          <w:szCs w:val="22"/>
          <w:lang w:val="lt-LT"/>
        </w:rPr>
        <w:t xml:space="preserve"> </w:t>
      </w:r>
      <w:proofErr w:type="spellStart"/>
      <w:r w:rsidRPr="003F7446">
        <w:rPr>
          <w:b/>
          <w:bCs/>
          <w:sz w:val="22"/>
          <w:szCs w:val="22"/>
          <w:lang w:val="lt-LT"/>
        </w:rPr>
        <w:t>Ranbaxy</w:t>
      </w:r>
      <w:proofErr w:type="spellEnd"/>
      <w:r w:rsidRPr="003F7446">
        <w:rPr>
          <w:b/>
          <w:bCs/>
          <w:color w:val="auto"/>
          <w:sz w:val="22"/>
          <w:szCs w:val="22"/>
          <w:lang w:val="lt-LT"/>
        </w:rPr>
        <w:t xml:space="preserve"> dozę </w:t>
      </w:r>
    </w:p>
    <w:p w14:paraId="54E3A712"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Jei išgėrėte daugiau tablečių nei Jums buvo nurodyta, arba jei kas nors kitas atsitiktinai išgėrė Jūsų vaisto, nedelsdami kreipkitės į gydytoją arba tuoj pat važiuokite į ligoninę. </w:t>
      </w:r>
      <w:r w:rsidR="00F108C5" w:rsidRPr="003F7446">
        <w:rPr>
          <w:color w:val="auto"/>
          <w:sz w:val="22"/>
          <w:szCs w:val="22"/>
          <w:lang w:val="lt-LT"/>
        </w:rPr>
        <w:t xml:space="preserve">Kartu pasiimkite vaisto pakuotę. </w:t>
      </w:r>
    </w:p>
    <w:p w14:paraId="3C8D4BD6" w14:textId="77777777" w:rsidR="0052287E" w:rsidRPr="003F7446" w:rsidRDefault="0052287E" w:rsidP="0052287E">
      <w:pPr>
        <w:pStyle w:val="Default"/>
        <w:ind w:left="560" w:hanging="560"/>
        <w:rPr>
          <w:b/>
          <w:bCs/>
          <w:color w:val="auto"/>
          <w:sz w:val="22"/>
          <w:szCs w:val="22"/>
          <w:lang w:val="lt-LT"/>
        </w:rPr>
      </w:pPr>
    </w:p>
    <w:p w14:paraId="13A3129B" w14:textId="631CAC40" w:rsidR="0052287E" w:rsidRPr="003F7446" w:rsidRDefault="0052287E" w:rsidP="007871AC">
      <w:pPr>
        <w:pStyle w:val="Default"/>
        <w:ind w:left="560" w:hanging="560"/>
        <w:rPr>
          <w:color w:val="auto"/>
          <w:sz w:val="22"/>
          <w:szCs w:val="22"/>
          <w:lang w:val="lt-LT"/>
        </w:rPr>
      </w:pPr>
      <w:r w:rsidRPr="003F7446">
        <w:rPr>
          <w:b/>
          <w:bCs/>
          <w:color w:val="auto"/>
          <w:sz w:val="22"/>
          <w:szCs w:val="22"/>
          <w:lang w:val="lt-LT"/>
        </w:rPr>
        <w:t xml:space="preserve">Pamiršus pavartoti </w:t>
      </w:r>
      <w:proofErr w:type="spellStart"/>
      <w:r w:rsidRPr="003F7446">
        <w:rPr>
          <w:b/>
          <w:bCs/>
          <w:sz w:val="22"/>
          <w:szCs w:val="22"/>
          <w:lang w:val="lt-LT"/>
        </w:rPr>
        <w:t>Mycophenolate</w:t>
      </w:r>
      <w:proofErr w:type="spellEnd"/>
      <w:r w:rsidRPr="003F7446">
        <w:rPr>
          <w:b/>
          <w:bCs/>
          <w:sz w:val="22"/>
          <w:szCs w:val="22"/>
          <w:lang w:val="lt-LT"/>
        </w:rPr>
        <w:t xml:space="preserve"> </w:t>
      </w:r>
      <w:proofErr w:type="spellStart"/>
      <w:r w:rsidRPr="003F7446">
        <w:rPr>
          <w:b/>
          <w:bCs/>
          <w:sz w:val="22"/>
          <w:szCs w:val="22"/>
          <w:lang w:val="lt-LT"/>
        </w:rPr>
        <w:t>mofetil</w:t>
      </w:r>
      <w:proofErr w:type="spellEnd"/>
      <w:r w:rsidR="001D14FF" w:rsidRPr="003F7446">
        <w:rPr>
          <w:b/>
          <w:bCs/>
          <w:sz w:val="22"/>
          <w:szCs w:val="22"/>
          <w:lang w:val="lt-LT"/>
        </w:rPr>
        <w:t xml:space="preserve"> </w:t>
      </w:r>
      <w:proofErr w:type="spellStart"/>
      <w:r w:rsidRPr="003F7446">
        <w:rPr>
          <w:b/>
          <w:bCs/>
          <w:sz w:val="22"/>
          <w:szCs w:val="22"/>
          <w:lang w:val="lt-LT"/>
        </w:rPr>
        <w:t>Ranbaxy</w:t>
      </w:r>
      <w:proofErr w:type="spellEnd"/>
      <w:r w:rsidRPr="003F7446">
        <w:rPr>
          <w:b/>
          <w:bCs/>
          <w:color w:val="auto"/>
          <w:sz w:val="22"/>
          <w:szCs w:val="22"/>
          <w:lang w:val="lt-LT"/>
        </w:rPr>
        <w:t xml:space="preserve"> </w:t>
      </w:r>
    </w:p>
    <w:p w14:paraId="720D912F" w14:textId="5E08F39B" w:rsidR="0052287E" w:rsidRPr="003F7446" w:rsidRDefault="0052287E" w:rsidP="0052287E">
      <w:pPr>
        <w:pStyle w:val="Default"/>
        <w:rPr>
          <w:color w:val="auto"/>
          <w:sz w:val="22"/>
          <w:szCs w:val="22"/>
          <w:lang w:val="lt-LT"/>
        </w:rPr>
      </w:pPr>
      <w:r w:rsidRPr="003F7446">
        <w:rPr>
          <w:color w:val="auto"/>
          <w:sz w:val="22"/>
          <w:szCs w:val="22"/>
          <w:lang w:val="lt-LT"/>
        </w:rPr>
        <w:t>Jei nurodytu laiku pamiršote išgerti vaisto, išgerkite jo tuoj pat, kai tik prisiminsite</w:t>
      </w:r>
      <w:r w:rsidR="00F108C5" w:rsidRPr="003F7446">
        <w:rPr>
          <w:color w:val="auto"/>
          <w:sz w:val="22"/>
          <w:szCs w:val="22"/>
          <w:lang w:val="lt-LT"/>
        </w:rPr>
        <w:t>. P</w:t>
      </w:r>
      <w:r w:rsidRPr="003F7446">
        <w:rPr>
          <w:color w:val="auto"/>
          <w:sz w:val="22"/>
          <w:szCs w:val="22"/>
          <w:lang w:val="lt-LT"/>
        </w:rPr>
        <w:t xml:space="preserve">askui vartokite vaistą įprastu laiku. </w:t>
      </w:r>
      <w:r w:rsidR="001D14FF" w:rsidRPr="003F7446">
        <w:rPr>
          <w:color w:val="auto"/>
          <w:sz w:val="22"/>
          <w:szCs w:val="22"/>
          <w:lang w:val="lt-LT"/>
        </w:rPr>
        <w:t>Negalima vartoti dvigubos dozės norint kompensuoti praleistą dozę.</w:t>
      </w:r>
    </w:p>
    <w:p w14:paraId="0D879FDA" w14:textId="77777777" w:rsidR="0052287E" w:rsidRPr="003F7446" w:rsidRDefault="0052287E" w:rsidP="0052287E">
      <w:pPr>
        <w:pStyle w:val="Default"/>
        <w:ind w:left="560" w:hanging="560"/>
        <w:rPr>
          <w:b/>
          <w:bCs/>
          <w:color w:val="auto"/>
          <w:sz w:val="22"/>
          <w:szCs w:val="22"/>
          <w:lang w:val="lt-LT"/>
        </w:rPr>
      </w:pPr>
    </w:p>
    <w:p w14:paraId="270C37B4" w14:textId="77777777" w:rsidR="0052287E" w:rsidRPr="003F7446" w:rsidRDefault="0052287E" w:rsidP="0052287E">
      <w:pPr>
        <w:pStyle w:val="Default"/>
        <w:ind w:left="560" w:hanging="560"/>
        <w:rPr>
          <w:b/>
          <w:bCs/>
          <w:sz w:val="22"/>
          <w:szCs w:val="22"/>
          <w:lang w:val="lt-LT"/>
        </w:rPr>
      </w:pPr>
      <w:r w:rsidRPr="003F7446">
        <w:rPr>
          <w:b/>
          <w:bCs/>
          <w:color w:val="auto"/>
          <w:sz w:val="22"/>
          <w:szCs w:val="22"/>
          <w:lang w:val="lt-LT"/>
        </w:rPr>
        <w:t xml:space="preserve">Nustojus vartoti </w:t>
      </w:r>
      <w:proofErr w:type="spellStart"/>
      <w:r w:rsidRPr="003F7446">
        <w:rPr>
          <w:b/>
          <w:bCs/>
          <w:sz w:val="22"/>
          <w:szCs w:val="22"/>
          <w:lang w:val="lt-LT"/>
        </w:rPr>
        <w:t>Mycophenolate</w:t>
      </w:r>
      <w:proofErr w:type="spellEnd"/>
      <w:r w:rsidRPr="003F7446">
        <w:rPr>
          <w:b/>
          <w:bCs/>
          <w:sz w:val="22"/>
          <w:szCs w:val="22"/>
          <w:lang w:val="lt-LT"/>
        </w:rPr>
        <w:t xml:space="preserve"> </w:t>
      </w:r>
      <w:proofErr w:type="spellStart"/>
      <w:r w:rsidRPr="003F7446">
        <w:rPr>
          <w:b/>
          <w:bCs/>
          <w:sz w:val="22"/>
          <w:szCs w:val="22"/>
          <w:lang w:val="lt-LT"/>
        </w:rPr>
        <w:t>mofetil</w:t>
      </w:r>
      <w:proofErr w:type="spellEnd"/>
      <w:r w:rsidRPr="003F7446">
        <w:rPr>
          <w:b/>
          <w:bCs/>
          <w:sz w:val="22"/>
          <w:szCs w:val="22"/>
          <w:lang w:val="lt-LT"/>
        </w:rPr>
        <w:t xml:space="preserve"> </w:t>
      </w:r>
      <w:proofErr w:type="spellStart"/>
      <w:r w:rsidRPr="003F7446">
        <w:rPr>
          <w:b/>
          <w:bCs/>
          <w:sz w:val="22"/>
          <w:szCs w:val="22"/>
          <w:lang w:val="lt-LT"/>
        </w:rPr>
        <w:t>Ranbaxy</w:t>
      </w:r>
      <w:proofErr w:type="spellEnd"/>
    </w:p>
    <w:p w14:paraId="1AC1AF23" w14:textId="35321E23" w:rsidR="0052287E" w:rsidRPr="003F7446" w:rsidRDefault="00906584" w:rsidP="0052287E">
      <w:pPr>
        <w:pStyle w:val="Default"/>
        <w:rPr>
          <w:color w:val="auto"/>
          <w:sz w:val="22"/>
          <w:szCs w:val="22"/>
          <w:lang w:val="lt-LT"/>
        </w:rPr>
      </w:pPr>
      <w:r w:rsidRPr="003F7446">
        <w:rPr>
          <w:color w:val="auto"/>
          <w:sz w:val="22"/>
          <w:szCs w:val="22"/>
          <w:lang w:val="lt-LT"/>
        </w:rPr>
        <w:t>Nenustokite vartoti šio vaisto, k</w:t>
      </w:r>
      <w:r w:rsidR="0052287E" w:rsidRPr="003F7446">
        <w:rPr>
          <w:color w:val="auto"/>
          <w:sz w:val="22"/>
          <w:szCs w:val="22"/>
          <w:lang w:val="lt-LT"/>
        </w:rPr>
        <w:t xml:space="preserve">ol nenurodys Jūsų gydytojas. </w:t>
      </w:r>
      <w:r w:rsidRPr="003F7446">
        <w:rPr>
          <w:color w:val="auto"/>
          <w:sz w:val="22"/>
          <w:szCs w:val="22"/>
          <w:lang w:val="lt-LT"/>
        </w:rPr>
        <w:t xml:space="preserve">Nustojus gydytis </w:t>
      </w:r>
      <w:proofErr w:type="spellStart"/>
      <w:r w:rsidRPr="003F7446">
        <w:rPr>
          <w:bCs/>
          <w:sz w:val="22"/>
          <w:szCs w:val="22"/>
          <w:lang w:val="lt-LT"/>
        </w:rPr>
        <w:t>Mycophenolate</w:t>
      </w:r>
      <w:proofErr w:type="spellEnd"/>
      <w:r w:rsidRPr="003F7446">
        <w:rPr>
          <w:bCs/>
          <w:sz w:val="22"/>
          <w:szCs w:val="22"/>
          <w:lang w:val="lt-LT"/>
        </w:rPr>
        <w:t xml:space="preserve"> </w:t>
      </w:r>
      <w:proofErr w:type="spellStart"/>
      <w:r w:rsidRPr="003F7446">
        <w:rPr>
          <w:bCs/>
          <w:sz w:val="22"/>
          <w:szCs w:val="22"/>
          <w:lang w:val="lt-LT"/>
        </w:rPr>
        <w:t>mofetil</w:t>
      </w:r>
      <w:proofErr w:type="spellEnd"/>
      <w:r w:rsidRPr="003F7446">
        <w:rPr>
          <w:bCs/>
          <w:sz w:val="22"/>
          <w:szCs w:val="22"/>
          <w:lang w:val="lt-LT"/>
        </w:rPr>
        <w:t xml:space="preserve"> </w:t>
      </w:r>
      <w:proofErr w:type="spellStart"/>
      <w:r w:rsidRPr="003F7446">
        <w:rPr>
          <w:bCs/>
          <w:sz w:val="22"/>
          <w:szCs w:val="22"/>
          <w:lang w:val="lt-LT"/>
        </w:rPr>
        <w:t>Ranbaxy</w:t>
      </w:r>
      <w:proofErr w:type="spellEnd"/>
      <w:r w:rsidRPr="003F7446">
        <w:rPr>
          <w:color w:val="auto"/>
          <w:sz w:val="22"/>
          <w:szCs w:val="22"/>
          <w:lang w:val="lt-LT"/>
        </w:rPr>
        <w:t>, gali padidėti Jums persodinto organo atmetimo tikimybė.</w:t>
      </w:r>
    </w:p>
    <w:p w14:paraId="136894C7" w14:textId="77777777" w:rsidR="0052287E" w:rsidRPr="003F7446" w:rsidRDefault="0052287E" w:rsidP="0052287E">
      <w:pPr>
        <w:pStyle w:val="Default"/>
        <w:rPr>
          <w:color w:val="auto"/>
          <w:sz w:val="22"/>
          <w:szCs w:val="22"/>
          <w:lang w:val="lt-LT"/>
        </w:rPr>
      </w:pPr>
    </w:p>
    <w:p w14:paraId="2E205F93"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Jeigu kiltų daugiau klausimų dėl šio vaisto vartojimo, kreipkitės į gydytoją arba vaistininką. </w:t>
      </w:r>
    </w:p>
    <w:p w14:paraId="2AFF569B" w14:textId="77777777" w:rsidR="0052287E" w:rsidRPr="003F7446" w:rsidRDefault="0052287E" w:rsidP="008912E3">
      <w:pPr>
        <w:pStyle w:val="Default"/>
        <w:rPr>
          <w:b/>
          <w:bCs/>
          <w:color w:val="auto"/>
          <w:sz w:val="22"/>
          <w:szCs w:val="22"/>
          <w:lang w:val="lt-LT"/>
        </w:rPr>
      </w:pPr>
    </w:p>
    <w:p w14:paraId="20AA47BC" w14:textId="48230F7B" w:rsidR="003978A9" w:rsidRPr="003F7446" w:rsidRDefault="003978A9" w:rsidP="003978A9">
      <w:pPr>
        <w:pStyle w:val="Default"/>
        <w:ind w:left="560" w:hanging="560"/>
        <w:rPr>
          <w:b/>
          <w:sz w:val="22"/>
          <w:szCs w:val="22"/>
          <w:lang w:val="lt-LT"/>
        </w:rPr>
      </w:pPr>
      <w:r w:rsidRPr="003F7446">
        <w:rPr>
          <w:b/>
          <w:sz w:val="22"/>
          <w:szCs w:val="22"/>
          <w:lang w:val="lt-LT"/>
        </w:rPr>
        <w:t>4.</w:t>
      </w:r>
      <w:r w:rsidRPr="003F7446">
        <w:rPr>
          <w:b/>
          <w:bCs/>
          <w:sz w:val="22"/>
          <w:szCs w:val="22"/>
          <w:lang w:val="lt-LT"/>
        </w:rPr>
        <w:t xml:space="preserve"> Galimas šalutinis poveikis</w:t>
      </w:r>
      <w:r w:rsidRPr="003F7446">
        <w:rPr>
          <w:b/>
          <w:sz w:val="22"/>
          <w:szCs w:val="22"/>
          <w:lang w:val="lt-LT"/>
        </w:rPr>
        <w:t xml:space="preserve"> </w:t>
      </w:r>
    </w:p>
    <w:p w14:paraId="3F8EBF74" w14:textId="77777777" w:rsidR="0052287E" w:rsidRPr="003F7446" w:rsidRDefault="0052287E" w:rsidP="0052287E">
      <w:pPr>
        <w:pStyle w:val="Default"/>
        <w:rPr>
          <w:color w:val="auto"/>
          <w:sz w:val="22"/>
          <w:szCs w:val="22"/>
          <w:lang w:val="lt-LT"/>
        </w:rPr>
      </w:pPr>
    </w:p>
    <w:p w14:paraId="62539BE8" w14:textId="44CFE5A5" w:rsidR="0052287E" w:rsidRPr="003F7446" w:rsidRDefault="0052287E" w:rsidP="007871AC">
      <w:pPr>
        <w:pStyle w:val="Default"/>
        <w:rPr>
          <w:color w:val="auto"/>
          <w:sz w:val="22"/>
          <w:szCs w:val="22"/>
          <w:lang w:val="lt-LT"/>
        </w:rPr>
      </w:pPr>
      <w:r w:rsidRPr="003F7446">
        <w:rPr>
          <w:bCs/>
          <w:sz w:val="22"/>
          <w:szCs w:val="22"/>
          <w:lang w:val="lt-LT"/>
        </w:rPr>
        <w:t xml:space="preserve">Kaip ir visi vaistai, </w:t>
      </w:r>
      <w:r w:rsidR="00F77C49" w:rsidRPr="003F7446">
        <w:rPr>
          <w:bCs/>
          <w:sz w:val="22"/>
          <w:szCs w:val="22"/>
          <w:lang w:val="lt-LT"/>
        </w:rPr>
        <w:t>šis vaistas</w:t>
      </w:r>
      <w:r w:rsidRPr="003F7446">
        <w:rPr>
          <w:color w:val="auto"/>
          <w:sz w:val="22"/>
          <w:szCs w:val="22"/>
          <w:lang w:val="lt-LT"/>
        </w:rPr>
        <w:t xml:space="preserve"> gali sukelti šalutinį poveikį, nors jis pasireiškia ne visiems žmonėms. </w:t>
      </w:r>
    </w:p>
    <w:p w14:paraId="3C90FA29" w14:textId="77777777" w:rsidR="00F77C49" w:rsidRPr="003F7446" w:rsidRDefault="00F77C49">
      <w:pPr>
        <w:pStyle w:val="Default"/>
        <w:rPr>
          <w:color w:val="auto"/>
          <w:sz w:val="22"/>
          <w:szCs w:val="22"/>
          <w:lang w:val="lt-LT"/>
        </w:rPr>
      </w:pPr>
    </w:p>
    <w:p w14:paraId="20D9B96F" w14:textId="77777777" w:rsidR="00BF361B" w:rsidRPr="003F7446" w:rsidRDefault="00BF361B" w:rsidP="00BF361B">
      <w:pPr>
        <w:tabs>
          <w:tab w:val="left" w:pos="567"/>
        </w:tabs>
        <w:jc w:val="both"/>
        <w:rPr>
          <w:b/>
          <w:szCs w:val="22"/>
          <w:lang w:eastAsia="en-US"/>
        </w:rPr>
      </w:pPr>
      <w:r w:rsidRPr="003F7446">
        <w:rPr>
          <w:b/>
          <w:szCs w:val="22"/>
          <w:lang w:eastAsia="en-US"/>
        </w:rPr>
        <w:t>Jeigu Jums pasireiškė kuris nors iš sekančių rimtų šalutinių poveikių, nedelsdami kreipkitės į gydytoją, nes Jums gali reikėti skubios medicininės pagalbos:</w:t>
      </w:r>
    </w:p>
    <w:p w14:paraId="5BAB9630" w14:textId="77777777" w:rsidR="00BF361B" w:rsidRPr="003F7446" w:rsidRDefault="00BF361B" w:rsidP="00BF361B">
      <w:pPr>
        <w:tabs>
          <w:tab w:val="left" w:pos="567"/>
        </w:tabs>
        <w:jc w:val="both"/>
        <w:rPr>
          <w:szCs w:val="22"/>
          <w:lang w:eastAsia="en-US"/>
        </w:rPr>
      </w:pPr>
      <w:r w:rsidRPr="003F7446">
        <w:rPr>
          <w:b/>
          <w:noProof/>
          <w:szCs w:val="22"/>
          <w:lang w:val="en-GB" w:eastAsia="en-US"/>
        </w:rPr>
        <w:sym w:font="Symbol" w:char="F0B7"/>
      </w:r>
      <w:r w:rsidRPr="003F7446">
        <w:rPr>
          <w:b/>
          <w:noProof/>
          <w:szCs w:val="22"/>
          <w:lang w:eastAsia="en-US"/>
        </w:rPr>
        <w:tab/>
      </w:r>
      <w:r w:rsidRPr="003F7446">
        <w:rPr>
          <w:szCs w:val="22"/>
          <w:lang w:eastAsia="en-US"/>
        </w:rPr>
        <w:t>patiriate infekcijos požymius, tokius kaip karščiavimas ar gerklės skausmas;</w:t>
      </w:r>
    </w:p>
    <w:p w14:paraId="60AD987C" w14:textId="77777777" w:rsidR="00BF361B" w:rsidRPr="003F7446" w:rsidRDefault="00BF361B" w:rsidP="00BF361B">
      <w:pPr>
        <w:tabs>
          <w:tab w:val="left" w:pos="567"/>
        </w:tabs>
        <w:jc w:val="both"/>
        <w:rPr>
          <w:szCs w:val="22"/>
          <w:lang w:eastAsia="en-US"/>
        </w:rPr>
      </w:pPr>
      <w:r w:rsidRPr="003F7446">
        <w:rPr>
          <w:b/>
          <w:noProof/>
          <w:szCs w:val="22"/>
          <w:lang w:val="en-GB" w:eastAsia="en-US"/>
        </w:rPr>
        <w:sym w:font="Symbol" w:char="F0B7"/>
      </w:r>
      <w:r w:rsidRPr="003F7446">
        <w:rPr>
          <w:b/>
          <w:noProof/>
          <w:szCs w:val="22"/>
          <w:lang w:eastAsia="en-US"/>
        </w:rPr>
        <w:tab/>
      </w:r>
      <w:r w:rsidRPr="003F7446">
        <w:rPr>
          <w:szCs w:val="22"/>
          <w:lang w:eastAsia="en-US"/>
        </w:rPr>
        <w:t>atsiranda netikėtos mėlynės ir (arba) kraujavimas;</w:t>
      </w:r>
    </w:p>
    <w:p w14:paraId="7EBFC035" w14:textId="77777777" w:rsidR="00BF361B" w:rsidRPr="003F7446" w:rsidRDefault="00BF361B" w:rsidP="00BF361B">
      <w:pPr>
        <w:tabs>
          <w:tab w:val="left" w:pos="567"/>
        </w:tabs>
        <w:spacing w:line="260" w:lineRule="exact"/>
        <w:ind w:left="560" w:hanging="560"/>
        <w:rPr>
          <w:szCs w:val="22"/>
          <w:lang w:eastAsia="en-US"/>
        </w:rPr>
      </w:pPr>
      <w:r w:rsidRPr="003F7446">
        <w:rPr>
          <w:b/>
          <w:noProof/>
          <w:szCs w:val="22"/>
          <w:lang w:val="en-GB" w:eastAsia="en-US"/>
        </w:rPr>
        <w:sym w:font="Symbol" w:char="F0B7"/>
      </w:r>
      <w:r w:rsidRPr="003F7446">
        <w:rPr>
          <w:b/>
          <w:noProof/>
          <w:szCs w:val="22"/>
          <w:lang w:eastAsia="en-US"/>
        </w:rPr>
        <w:tab/>
      </w:r>
      <w:r w:rsidRPr="003F7446">
        <w:rPr>
          <w:szCs w:val="22"/>
          <w:lang w:eastAsia="en-US"/>
        </w:rPr>
        <w:t xml:space="preserve">atsiranda bėrimas, veido, lūpų, liežuvio ar gerklės tinimas su pasunkėjusiu kvėpavimu – Jums gali būti rimta alerginė reakcija vaistui (pvz., </w:t>
      </w:r>
      <w:proofErr w:type="spellStart"/>
      <w:r w:rsidRPr="003F7446">
        <w:rPr>
          <w:szCs w:val="22"/>
          <w:lang w:eastAsia="en-US"/>
        </w:rPr>
        <w:t>anafilaksija</w:t>
      </w:r>
      <w:proofErr w:type="spellEnd"/>
      <w:r w:rsidRPr="003F7446">
        <w:rPr>
          <w:szCs w:val="22"/>
          <w:lang w:eastAsia="en-US"/>
        </w:rPr>
        <w:t xml:space="preserve">, </w:t>
      </w:r>
      <w:proofErr w:type="spellStart"/>
      <w:r w:rsidRPr="003F7446">
        <w:rPr>
          <w:szCs w:val="22"/>
          <w:lang w:eastAsia="en-US"/>
        </w:rPr>
        <w:t>angioneurozinė</w:t>
      </w:r>
      <w:proofErr w:type="spellEnd"/>
      <w:r w:rsidRPr="003F7446">
        <w:rPr>
          <w:szCs w:val="22"/>
          <w:lang w:eastAsia="en-US"/>
        </w:rPr>
        <w:t xml:space="preserve"> edema).</w:t>
      </w:r>
    </w:p>
    <w:p w14:paraId="1D3DB86D" w14:textId="77777777" w:rsidR="00BF361B" w:rsidRPr="003F7446" w:rsidRDefault="00BF361B" w:rsidP="00BF361B">
      <w:pPr>
        <w:tabs>
          <w:tab w:val="left" w:pos="567"/>
        </w:tabs>
        <w:spacing w:line="260" w:lineRule="exact"/>
        <w:ind w:left="560" w:hanging="560"/>
        <w:rPr>
          <w:szCs w:val="22"/>
          <w:lang w:eastAsia="en-US"/>
        </w:rPr>
      </w:pPr>
    </w:p>
    <w:p w14:paraId="63D8FB26" w14:textId="77777777" w:rsidR="00527D7F" w:rsidRPr="003F7446" w:rsidRDefault="00527D7F" w:rsidP="00C83F01">
      <w:pPr>
        <w:rPr>
          <w:b/>
          <w:szCs w:val="22"/>
        </w:rPr>
      </w:pPr>
      <w:r w:rsidRPr="003F7446">
        <w:rPr>
          <w:b/>
          <w:szCs w:val="22"/>
        </w:rPr>
        <w:t>Įprasti nusiskundimai</w:t>
      </w:r>
    </w:p>
    <w:p w14:paraId="1627BA92" w14:textId="0F0B3809" w:rsidR="005E4B01" w:rsidRPr="003F7446" w:rsidRDefault="00527D7F" w:rsidP="00C83F01">
      <w:pPr>
        <w:rPr>
          <w:b/>
          <w:szCs w:val="22"/>
        </w:rPr>
      </w:pPr>
      <w:r w:rsidRPr="003F7446">
        <w:rPr>
          <w:szCs w:val="22"/>
        </w:rPr>
        <w:lastRenderedPageBreak/>
        <w:t xml:space="preserve">Gali pasireikšti kai kurie įprasti simptomai, tokie kaip viduriavimas, sumažėjęs baltųjų ar raudonųjų kraujo kūnelių skaičius, infekcinės ligos ir vėmimas. </w:t>
      </w:r>
      <w:r w:rsidR="00DA500B" w:rsidRPr="003F7446">
        <w:rPr>
          <w:szCs w:val="22"/>
        </w:rPr>
        <w:t>Jūsų gydytojas atliks Jums įprastus tyrimus</w:t>
      </w:r>
      <w:r w:rsidR="005E4B01" w:rsidRPr="003F7446">
        <w:rPr>
          <w:szCs w:val="22"/>
        </w:rPr>
        <w:t>, kad patikrintų, ar nėra pakitimų:</w:t>
      </w:r>
    </w:p>
    <w:p w14:paraId="0D2D3DBF" w14:textId="562430D6" w:rsidR="00527D7F" w:rsidRPr="003F7446" w:rsidRDefault="00527D7F" w:rsidP="00C83F01">
      <w:pPr>
        <w:pStyle w:val="Sraopastraipa"/>
        <w:numPr>
          <w:ilvl w:val="0"/>
          <w:numId w:val="12"/>
        </w:numPr>
        <w:rPr>
          <w:b/>
          <w:szCs w:val="22"/>
        </w:rPr>
      </w:pPr>
      <w:r w:rsidRPr="003F7446">
        <w:rPr>
          <w:szCs w:val="22"/>
        </w:rPr>
        <w:t xml:space="preserve">Jūsų kraujo </w:t>
      </w:r>
      <w:r w:rsidR="005E4B01" w:rsidRPr="003F7446">
        <w:rPr>
          <w:szCs w:val="22"/>
        </w:rPr>
        <w:t>kūnelių skaičiuje;</w:t>
      </w:r>
    </w:p>
    <w:p w14:paraId="1BA67F89" w14:textId="4F9A9004" w:rsidR="005E4B01" w:rsidRPr="003F7446" w:rsidRDefault="005E4B01" w:rsidP="008912E3">
      <w:pPr>
        <w:pStyle w:val="Sraopastraipa"/>
        <w:numPr>
          <w:ilvl w:val="0"/>
          <w:numId w:val="12"/>
        </w:numPr>
        <w:rPr>
          <w:b/>
          <w:szCs w:val="22"/>
        </w:rPr>
      </w:pPr>
      <w:r w:rsidRPr="003F7446">
        <w:rPr>
          <w:szCs w:val="22"/>
        </w:rPr>
        <w:t xml:space="preserve">Jūsų kraujo komponentų kiekyje: cukraus, riebalų ar cholesterolio. </w:t>
      </w:r>
    </w:p>
    <w:p w14:paraId="5D77789E" w14:textId="7ACC0502" w:rsidR="005E4B01" w:rsidRPr="003F7446" w:rsidRDefault="005E4B01" w:rsidP="00C83F01">
      <w:pPr>
        <w:rPr>
          <w:szCs w:val="22"/>
        </w:rPr>
      </w:pPr>
    </w:p>
    <w:p w14:paraId="4B5B3B09" w14:textId="48EE43BF" w:rsidR="00527D7F" w:rsidRPr="003F7446" w:rsidRDefault="005E4B01" w:rsidP="008912E3">
      <w:pPr>
        <w:rPr>
          <w:szCs w:val="22"/>
        </w:rPr>
      </w:pPr>
      <w:r w:rsidRPr="003F7446">
        <w:rPr>
          <w:szCs w:val="22"/>
        </w:rPr>
        <w:t xml:space="preserve">Šalutinis poveikis vaikams yra labiau tikėtinas nei suaugusiems. </w:t>
      </w:r>
      <w:r w:rsidR="00527D7F" w:rsidRPr="003F7446">
        <w:rPr>
          <w:szCs w:val="22"/>
        </w:rPr>
        <w:t>Tai viduriavimas, infekcinės ligos, sumažė</w:t>
      </w:r>
      <w:r w:rsidRPr="003F7446">
        <w:rPr>
          <w:szCs w:val="22"/>
        </w:rPr>
        <w:t xml:space="preserve">jęs </w:t>
      </w:r>
      <w:r w:rsidR="00527D7F" w:rsidRPr="003F7446">
        <w:rPr>
          <w:szCs w:val="22"/>
        </w:rPr>
        <w:t>baltųjų ir raudonųjų kraujo kūnelių</w:t>
      </w:r>
      <w:r w:rsidRPr="003F7446">
        <w:rPr>
          <w:szCs w:val="22"/>
        </w:rPr>
        <w:t xml:space="preserve"> kiekis</w:t>
      </w:r>
      <w:r w:rsidR="00527D7F" w:rsidRPr="003F7446">
        <w:rPr>
          <w:szCs w:val="22"/>
        </w:rPr>
        <w:t>.</w:t>
      </w:r>
    </w:p>
    <w:p w14:paraId="05F4A8DB" w14:textId="77777777" w:rsidR="00527D7F" w:rsidRPr="003F7446" w:rsidRDefault="00527D7F" w:rsidP="00C83F01">
      <w:pPr>
        <w:rPr>
          <w:szCs w:val="22"/>
        </w:rPr>
      </w:pPr>
    </w:p>
    <w:p w14:paraId="15FE9235" w14:textId="77777777" w:rsidR="00527D7F" w:rsidRPr="003F7446" w:rsidRDefault="005E4B01" w:rsidP="00C83F01">
      <w:pPr>
        <w:rPr>
          <w:b/>
          <w:szCs w:val="22"/>
        </w:rPr>
      </w:pPr>
      <w:r w:rsidRPr="003F7446">
        <w:rPr>
          <w:b/>
          <w:szCs w:val="22"/>
        </w:rPr>
        <w:t>Infekcijų gydymas</w:t>
      </w:r>
    </w:p>
    <w:p w14:paraId="623BBB04" w14:textId="73BFFEDE" w:rsidR="00527D7F" w:rsidRPr="003F7446" w:rsidRDefault="00527D7F" w:rsidP="00C83F01">
      <w:pPr>
        <w:rPr>
          <w:szCs w:val="22"/>
        </w:rPr>
      </w:pPr>
      <w:proofErr w:type="spellStart"/>
      <w:r w:rsidRPr="003F7446">
        <w:rPr>
          <w:szCs w:val="22"/>
        </w:rPr>
        <w:t>Mycophenolate</w:t>
      </w:r>
      <w:proofErr w:type="spellEnd"/>
      <w:r w:rsidRPr="003F7446">
        <w:rPr>
          <w:szCs w:val="22"/>
        </w:rPr>
        <w:t xml:space="preserve"> </w:t>
      </w:r>
      <w:proofErr w:type="spellStart"/>
      <w:r w:rsidRPr="003F7446">
        <w:rPr>
          <w:szCs w:val="22"/>
        </w:rPr>
        <w:t>mofetil</w:t>
      </w:r>
      <w:proofErr w:type="spellEnd"/>
      <w:r w:rsidRPr="003F7446">
        <w:rPr>
          <w:szCs w:val="22"/>
        </w:rPr>
        <w:t xml:space="preserve"> </w:t>
      </w:r>
      <w:proofErr w:type="spellStart"/>
      <w:r w:rsidRPr="003F7446">
        <w:rPr>
          <w:szCs w:val="22"/>
        </w:rPr>
        <w:t>Ranbaxy</w:t>
      </w:r>
      <w:proofErr w:type="spellEnd"/>
      <w:r w:rsidRPr="003F7446">
        <w:rPr>
          <w:szCs w:val="22"/>
        </w:rPr>
        <w:t xml:space="preserve"> silpnina Jūsų organizmo apsaugą. Tai sustabd</w:t>
      </w:r>
      <w:r w:rsidR="005E4B01" w:rsidRPr="003F7446">
        <w:rPr>
          <w:szCs w:val="22"/>
        </w:rPr>
        <w:t xml:space="preserve">o transplantuoto organo atmetimą. Tačiau to </w:t>
      </w:r>
      <w:proofErr w:type="spellStart"/>
      <w:r w:rsidR="005E4B01" w:rsidRPr="003F7446">
        <w:rPr>
          <w:szCs w:val="22"/>
        </w:rPr>
        <w:t>pasekoje</w:t>
      </w:r>
      <w:proofErr w:type="spellEnd"/>
      <w:r w:rsidR="005E4B01" w:rsidRPr="003F7446">
        <w:rPr>
          <w:szCs w:val="22"/>
        </w:rPr>
        <w:t xml:space="preserve">, Jūsų organizmas ne taip gerai kovoja su infekcijomis. </w:t>
      </w:r>
      <w:r w:rsidRPr="003F7446">
        <w:rPr>
          <w:szCs w:val="22"/>
        </w:rPr>
        <w:t>Tai reiškia, kad jūs</w:t>
      </w:r>
      <w:r w:rsidR="005E4B01" w:rsidRPr="003F7446">
        <w:rPr>
          <w:szCs w:val="22"/>
        </w:rPr>
        <w:t xml:space="preserve"> galite</w:t>
      </w:r>
      <w:r w:rsidRPr="003F7446">
        <w:rPr>
          <w:szCs w:val="22"/>
        </w:rPr>
        <w:t xml:space="preserve"> </w:t>
      </w:r>
      <w:r w:rsidR="005E4B01" w:rsidRPr="003F7446">
        <w:rPr>
          <w:szCs w:val="22"/>
        </w:rPr>
        <w:t xml:space="preserve">tapti mažiau nei įprastai atsparus infekcijoms. </w:t>
      </w:r>
      <w:r w:rsidRPr="003F7446">
        <w:rPr>
          <w:szCs w:val="22"/>
        </w:rPr>
        <w:t xml:space="preserve">Tai apima galvos smegenų, </w:t>
      </w:r>
      <w:r w:rsidR="00180839" w:rsidRPr="003F7446">
        <w:rPr>
          <w:szCs w:val="22"/>
        </w:rPr>
        <w:t>odos, burnos, skrandžio ir žarnyno</w:t>
      </w:r>
      <w:r w:rsidRPr="003F7446">
        <w:rPr>
          <w:szCs w:val="22"/>
        </w:rPr>
        <w:t>, plaučių bei šlapimo takų</w:t>
      </w:r>
      <w:r w:rsidR="00180839" w:rsidRPr="003F7446">
        <w:rPr>
          <w:szCs w:val="22"/>
        </w:rPr>
        <w:t xml:space="preserve"> infekcijas</w:t>
      </w:r>
      <w:r w:rsidRPr="003F7446">
        <w:rPr>
          <w:szCs w:val="22"/>
        </w:rPr>
        <w:t>.</w:t>
      </w:r>
    </w:p>
    <w:p w14:paraId="28827866" w14:textId="77777777" w:rsidR="00527D7F" w:rsidRPr="003F7446" w:rsidRDefault="00527D7F" w:rsidP="00C83F01">
      <w:pPr>
        <w:rPr>
          <w:szCs w:val="22"/>
        </w:rPr>
      </w:pPr>
    </w:p>
    <w:p w14:paraId="3051A2C5" w14:textId="77777777" w:rsidR="00527D7F" w:rsidRPr="003F7446" w:rsidRDefault="00527D7F" w:rsidP="00C83F01">
      <w:pPr>
        <w:rPr>
          <w:b/>
          <w:szCs w:val="22"/>
        </w:rPr>
      </w:pPr>
      <w:r w:rsidRPr="003F7446">
        <w:rPr>
          <w:b/>
          <w:szCs w:val="22"/>
        </w:rPr>
        <w:t>Limfa ir odos vėžys</w:t>
      </w:r>
    </w:p>
    <w:p w14:paraId="46DE1E82" w14:textId="77777777" w:rsidR="00D5295C" w:rsidRPr="003F7446" w:rsidRDefault="00CF57C8" w:rsidP="008912E3">
      <w:pPr>
        <w:rPr>
          <w:szCs w:val="22"/>
        </w:rPr>
      </w:pPr>
      <w:r w:rsidRPr="003F7446">
        <w:rPr>
          <w:szCs w:val="22"/>
        </w:rPr>
        <w:t>Kaip kartais gali nutikti vartojant šios grupės vaistus (</w:t>
      </w:r>
      <w:proofErr w:type="spellStart"/>
      <w:r w:rsidRPr="003F7446">
        <w:rPr>
          <w:szCs w:val="22"/>
        </w:rPr>
        <w:t>imunosupresantus</w:t>
      </w:r>
      <w:proofErr w:type="spellEnd"/>
      <w:r w:rsidRPr="003F7446">
        <w:rPr>
          <w:szCs w:val="22"/>
        </w:rPr>
        <w:t xml:space="preserve">), labai mažai daliai pacientų gydytų </w:t>
      </w:r>
      <w:proofErr w:type="spellStart"/>
      <w:r w:rsidR="00A55F67" w:rsidRPr="003F7446">
        <w:rPr>
          <w:szCs w:val="22"/>
        </w:rPr>
        <w:t>Mycophenolate</w:t>
      </w:r>
      <w:proofErr w:type="spellEnd"/>
      <w:r w:rsidR="00A55F67" w:rsidRPr="003F7446">
        <w:rPr>
          <w:szCs w:val="22"/>
        </w:rPr>
        <w:t xml:space="preserve"> </w:t>
      </w:r>
      <w:proofErr w:type="spellStart"/>
      <w:r w:rsidR="00A55F67" w:rsidRPr="003F7446">
        <w:rPr>
          <w:szCs w:val="22"/>
        </w:rPr>
        <w:t>mofetil</w:t>
      </w:r>
      <w:proofErr w:type="spellEnd"/>
      <w:r w:rsidR="00A55F67" w:rsidRPr="003F7446">
        <w:rPr>
          <w:szCs w:val="22"/>
        </w:rPr>
        <w:t xml:space="preserve"> </w:t>
      </w:r>
      <w:proofErr w:type="spellStart"/>
      <w:r w:rsidR="00A55F67" w:rsidRPr="003F7446">
        <w:rPr>
          <w:szCs w:val="22"/>
        </w:rPr>
        <w:t>Ranbaxy</w:t>
      </w:r>
      <w:proofErr w:type="spellEnd"/>
      <w:r w:rsidR="00A55F67" w:rsidRPr="003F7446">
        <w:rPr>
          <w:szCs w:val="22"/>
        </w:rPr>
        <w:t xml:space="preserve"> </w:t>
      </w:r>
      <w:r w:rsidR="00F97970" w:rsidRPr="003F7446">
        <w:rPr>
          <w:szCs w:val="22"/>
        </w:rPr>
        <w:t xml:space="preserve">išsivystė </w:t>
      </w:r>
      <w:proofErr w:type="spellStart"/>
      <w:r w:rsidR="00B77308" w:rsidRPr="003F7446">
        <w:rPr>
          <w:szCs w:val="22"/>
        </w:rPr>
        <w:t>limfoidinio</w:t>
      </w:r>
      <w:proofErr w:type="spellEnd"/>
      <w:r w:rsidR="00B77308" w:rsidRPr="003F7446">
        <w:rPr>
          <w:szCs w:val="22"/>
        </w:rPr>
        <w:t xml:space="preserve"> audinio ir odos vėžys. </w:t>
      </w:r>
    </w:p>
    <w:p w14:paraId="52452AE1" w14:textId="77777777" w:rsidR="00527D7F" w:rsidRPr="003F7446" w:rsidRDefault="00527D7F" w:rsidP="008912E3">
      <w:pPr>
        <w:rPr>
          <w:szCs w:val="22"/>
        </w:rPr>
      </w:pPr>
    </w:p>
    <w:p w14:paraId="428AE8C8" w14:textId="27A18B3A" w:rsidR="001F6D4A" w:rsidRPr="003F7446" w:rsidRDefault="001F6D4A" w:rsidP="00C83F01">
      <w:pPr>
        <w:rPr>
          <w:b/>
          <w:szCs w:val="22"/>
        </w:rPr>
      </w:pPr>
      <w:r w:rsidRPr="003F7446">
        <w:rPr>
          <w:b/>
          <w:szCs w:val="22"/>
        </w:rPr>
        <w:t>Bendrieji šalutiniai poveikiai</w:t>
      </w:r>
    </w:p>
    <w:p w14:paraId="661121D6" w14:textId="53908FA1" w:rsidR="001F6D4A" w:rsidRPr="003F7446" w:rsidRDefault="001F6D4A" w:rsidP="00C83F01">
      <w:pPr>
        <w:rPr>
          <w:szCs w:val="22"/>
        </w:rPr>
      </w:pPr>
      <w:r w:rsidRPr="003F7446">
        <w:rPr>
          <w:szCs w:val="22"/>
        </w:rPr>
        <w:t xml:space="preserve">Jums gali pasireikšti bendras šalutinis poveikis, paveikiantis Jūsų kūną kaip visumą. </w:t>
      </w:r>
      <w:r w:rsidR="00853BD1" w:rsidRPr="003F7446">
        <w:rPr>
          <w:szCs w:val="22"/>
        </w:rPr>
        <w:t xml:space="preserve">Tai apima sunkias alergines reakcijas (tokias kaip </w:t>
      </w:r>
      <w:proofErr w:type="spellStart"/>
      <w:r w:rsidR="00853BD1" w:rsidRPr="003F7446">
        <w:rPr>
          <w:szCs w:val="22"/>
        </w:rPr>
        <w:t>anafilaksija</w:t>
      </w:r>
      <w:proofErr w:type="spellEnd"/>
      <w:r w:rsidR="00853BD1" w:rsidRPr="003F7446">
        <w:rPr>
          <w:szCs w:val="22"/>
        </w:rPr>
        <w:t xml:space="preserve"> ir </w:t>
      </w:r>
      <w:proofErr w:type="spellStart"/>
      <w:r w:rsidR="00853BD1" w:rsidRPr="003F7446">
        <w:rPr>
          <w:szCs w:val="22"/>
        </w:rPr>
        <w:t>angioedema</w:t>
      </w:r>
      <w:proofErr w:type="spellEnd"/>
      <w:r w:rsidR="00853BD1" w:rsidRPr="003F7446">
        <w:rPr>
          <w:szCs w:val="22"/>
        </w:rPr>
        <w:t xml:space="preserve">), karščiavimą, stipraus nuovargio jausmą, miego sutrikimus, skausmus (tokius kaip </w:t>
      </w:r>
      <w:proofErr w:type="spellStart"/>
      <w:r w:rsidR="00853BD1" w:rsidRPr="003F7446">
        <w:rPr>
          <w:szCs w:val="22"/>
        </w:rPr>
        <w:t>kaip</w:t>
      </w:r>
      <w:proofErr w:type="spellEnd"/>
      <w:r w:rsidR="00853BD1" w:rsidRPr="003F7446">
        <w:rPr>
          <w:szCs w:val="22"/>
        </w:rPr>
        <w:t xml:space="preserve"> skrandžio, krūtinės, sąnarių ar raumenų, skausmą šlapinantis), galvos skausmą, gripo simptomus ir patinimą. </w:t>
      </w:r>
    </w:p>
    <w:p w14:paraId="3A4BFF23" w14:textId="77777777" w:rsidR="001F6D4A" w:rsidRPr="003F7446" w:rsidRDefault="001F6D4A" w:rsidP="00C83F01">
      <w:pPr>
        <w:rPr>
          <w:szCs w:val="22"/>
        </w:rPr>
      </w:pPr>
    </w:p>
    <w:p w14:paraId="1087A6E0" w14:textId="4C9F6EA5" w:rsidR="00527D7F" w:rsidRPr="003F7446" w:rsidRDefault="00853BD1" w:rsidP="00C83F01">
      <w:pPr>
        <w:rPr>
          <w:b/>
          <w:szCs w:val="22"/>
        </w:rPr>
      </w:pPr>
      <w:r w:rsidRPr="003F7446">
        <w:rPr>
          <w:b/>
          <w:szCs w:val="22"/>
        </w:rPr>
        <w:t>Kiti šalutiniai poveikiai:</w:t>
      </w:r>
    </w:p>
    <w:p w14:paraId="3F19ABF4" w14:textId="77777777" w:rsidR="00527D7F" w:rsidRPr="003F7446" w:rsidRDefault="00527D7F" w:rsidP="00C83F01">
      <w:pPr>
        <w:rPr>
          <w:b/>
          <w:szCs w:val="22"/>
        </w:rPr>
      </w:pPr>
    </w:p>
    <w:p w14:paraId="56E67B8B" w14:textId="77777777" w:rsidR="00527D7F" w:rsidRPr="003F7446" w:rsidRDefault="00853BD1" w:rsidP="00C83F01">
      <w:pPr>
        <w:rPr>
          <w:b/>
          <w:szCs w:val="22"/>
        </w:rPr>
      </w:pPr>
      <w:r w:rsidRPr="003F7446">
        <w:rPr>
          <w:b/>
          <w:szCs w:val="22"/>
        </w:rPr>
        <w:t>Odos problemos:</w:t>
      </w:r>
    </w:p>
    <w:p w14:paraId="631E5D69" w14:textId="58D968A6" w:rsidR="00527D7F" w:rsidRPr="003F7446" w:rsidRDefault="00527D7F" w:rsidP="008912E3">
      <w:pPr>
        <w:pStyle w:val="Sraopastraipa"/>
        <w:numPr>
          <w:ilvl w:val="0"/>
          <w:numId w:val="13"/>
        </w:numPr>
        <w:rPr>
          <w:szCs w:val="22"/>
        </w:rPr>
      </w:pPr>
      <w:r w:rsidRPr="003F7446">
        <w:rPr>
          <w:szCs w:val="22"/>
        </w:rPr>
        <w:t>spuogai, pūslelinė, juostinė pūslelinė, odos augliai, nuplikimas, išbėrimas, niežulys.</w:t>
      </w:r>
    </w:p>
    <w:p w14:paraId="1EF25DC9" w14:textId="77777777" w:rsidR="00527D7F" w:rsidRPr="003F7446" w:rsidRDefault="00527D7F" w:rsidP="00C83F01">
      <w:pPr>
        <w:rPr>
          <w:szCs w:val="22"/>
        </w:rPr>
      </w:pPr>
    </w:p>
    <w:p w14:paraId="5304BD49" w14:textId="1C616375" w:rsidR="00527D7F" w:rsidRPr="003F7446" w:rsidRDefault="00527D7F" w:rsidP="00C83F01">
      <w:pPr>
        <w:rPr>
          <w:b/>
          <w:szCs w:val="22"/>
        </w:rPr>
      </w:pPr>
      <w:r w:rsidRPr="003F7446">
        <w:rPr>
          <w:b/>
          <w:szCs w:val="22"/>
        </w:rPr>
        <w:t xml:space="preserve">Šlapimo </w:t>
      </w:r>
      <w:r w:rsidR="00853BD1" w:rsidRPr="003F7446">
        <w:rPr>
          <w:b/>
          <w:szCs w:val="22"/>
        </w:rPr>
        <w:t>takų problemos:</w:t>
      </w:r>
    </w:p>
    <w:p w14:paraId="77DE8E7B" w14:textId="5F314BC8" w:rsidR="00527D7F" w:rsidRPr="003F7446" w:rsidRDefault="00527D7F" w:rsidP="008912E3">
      <w:pPr>
        <w:pStyle w:val="Sraopastraipa"/>
        <w:numPr>
          <w:ilvl w:val="0"/>
          <w:numId w:val="13"/>
        </w:numPr>
        <w:rPr>
          <w:szCs w:val="22"/>
        </w:rPr>
      </w:pPr>
      <w:r w:rsidRPr="003F7446">
        <w:rPr>
          <w:szCs w:val="22"/>
        </w:rPr>
        <w:t>inkstų problemos ar neatidėlioti</w:t>
      </w:r>
      <w:r w:rsidR="00853BD1" w:rsidRPr="003F7446">
        <w:rPr>
          <w:szCs w:val="22"/>
        </w:rPr>
        <w:t>nas poreikis šlapintis</w:t>
      </w:r>
      <w:r w:rsidRPr="003F7446">
        <w:rPr>
          <w:szCs w:val="22"/>
        </w:rPr>
        <w:t>.</w:t>
      </w:r>
    </w:p>
    <w:p w14:paraId="300CF347" w14:textId="77777777" w:rsidR="00527D7F" w:rsidRPr="003F7446" w:rsidRDefault="00527D7F" w:rsidP="00C83F01">
      <w:pPr>
        <w:rPr>
          <w:szCs w:val="22"/>
        </w:rPr>
      </w:pPr>
    </w:p>
    <w:p w14:paraId="7BDDC886" w14:textId="1EE8895D" w:rsidR="00527D7F" w:rsidRPr="003F7446" w:rsidRDefault="00527D7F" w:rsidP="00C83F01">
      <w:pPr>
        <w:rPr>
          <w:b/>
          <w:szCs w:val="22"/>
        </w:rPr>
      </w:pPr>
      <w:r w:rsidRPr="003F7446">
        <w:rPr>
          <w:b/>
          <w:szCs w:val="22"/>
        </w:rPr>
        <w:t>Virškinimo sistem</w:t>
      </w:r>
      <w:r w:rsidR="00853BD1" w:rsidRPr="003F7446">
        <w:rPr>
          <w:b/>
          <w:szCs w:val="22"/>
        </w:rPr>
        <w:t>os</w:t>
      </w:r>
      <w:r w:rsidRPr="003F7446">
        <w:rPr>
          <w:b/>
          <w:szCs w:val="22"/>
        </w:rPr>
        <w:t xml:space="preserve"> ir burnos problem</w:t>
      </w:r>
      <w:r w:rsidR="00853BD1" w:rsidRPr="003F7446">
        <w:rPr>
          <w:b/>
          <w:szCs w:val="22"/>
        </w:rPr>
        <w:t>os:</w:t>
      </w:r>
    </w:p>
    <w:p w14:paraId="0662C5CD" w14:textId="77777777" w:rsidR="00853BD1" w:rsidRPr="003F7446" w:rsidRDefault="005247D2" w:rsidP="00C83F01">
      <w:pPr>
        <w:pStyle w:val="Sraopastraipa"/>
        <w:numPr>
          <w:ilvl w:val="0"/>
          <w:numId w:val="13"/>
        </w:numPr>
        <w:rPr>
          <w:szCs w:val="22"/>
        </w:rPr>
      </w:pPr>
      <w:r w:rsidRPr="003F7446">
        <w:rPr>
          <w:szCs w:val="22"/>
        </w:rPr>
        <w:t>dantenų patinimas</w:t>
      </w:r>
      <w:r w:rsidR="00527D7F" w:rsidRPr="003F7446">
        <w:rPr>
          <w:szCs w:val="22"/>
        </w:rPr>
        <w:t xml:space="preserve"> ir burnos gleivinės opos</w:t>
      </w:r>
    </w:p>
    <w:p w14:paraId="164B0C89" w14:textId="14ADF5FA" w:rsidR="00853BD1" w:rsidRPr="003F7446" w:rsidRDefault="00527D7F" w:rsidP="00C83F01">
      <w:pPr>
        <w:pStyle w:val="Sraopastraipa"/>
        <w:numPr>
          <w:ilvl w:val="0"/>
          <w:numId w:val="13"/>
        </w:numPr>
        <w:rPr>
          <w:szCs w:val="22"/>
        </w:rPr>
      </w:pPr>
      <w:r w:rsidRPr="003F7446">
        <w:rPr>
          <w:szCs w:val="22"/>
        </w:rPr>
        <w:t>kasos, storosios žarnos ar skrandžio</w:t>
      </w:r>
      <w:r w:rsidR="005247D2" w:rsidRPr="003F7446">
        <w:rPr>
          <w:szCs w:val="22"/>
        </w:rPr>
        <w:t xml:space="preserve"> uždegimas</w:t>
      </w:r>
    </w:p>
    <w:p w14:paraId="582CAD0C" w14:textId="4EA3F787" w:rsidR="00853BD1" w:rsidRPr="003F7446" w:rsidRDefault="00527D7F" w:rsidP="00C83F01">
      <w:pPr>
        <w:pStyle w:val="Sraopastraipa"/>
        <w:numPr>
          <w:ilvl w:val="0"/>
          <w:numId w:val="13"/>
        </w:numPr>
        <w:rPr>
          <w:szCs w:val="22"/>
        </w:rPr>
      </w:pPr>
      <w:r w:rsidRPr="003F7446">
        <w:rPr>
          <w:szCs w:val="22"/>
        </w:rPr>
        <w:t>žarnų sutrikimai, įskaitant kraujavimą, kepenų lig</w:t>
      </w:r>
      <w:r w:rsidR="00603CFF" w:rsidRPr="003F7446">
        <w:rPr>
          <w:szCs w:val="22"/>
        </w:rPr>
        <w:t>os</w:t>
      </w:r>
    </w:p>
    <w:p w14:paraId="44F797ED" w14:textId="052B0944" w:rsidR="00527D7F" w:rsidRPr="003F7446" w:rsidRDefault="00527D7F" w:rsidP="008912E3">
      <w:pPr>
        <w:pStyle w:val="Sraopastraipa"/>
        <w:numPr>
          <w:ilvl w:val="0"/>
          <w:numId w:val="13"/>
        </w:numPr>
        <w:rPr>
          <w:szCs w:val="22"/>
        </w:rPr>
      </w:pPr>
      <w:r w:rsidRPr="003F7446">
        <w:rPr>
          <w:szCs w:val="22"/>
        </w:rPr>
        <w:t>vidurių užkietėjimas, šleikštulys (pykinimas), nevirškinimas, apetito praradimas, vidurių pūtimas.</w:t>
      </w:r>
    </w:p>
    <w:p w14:paraId="698C2E85" w14:textId="77777777" w:rsidR="00603CFF" w:rsidRPr="003F7446" w:rsidRDefault="00603CFF" w:rsidP="00C83F01">
      <w:pPr>
        <w:rPr>
          <w:szCs w:val="22"/>
        </w:rPr>
      </w:pPr>
    </w:p>
    <w:p w14:paraId="41E192D6" w14:textId="66439D82" w:rsidR="00527D7F" w:rsidRPr="003F7446" w:rsidRDefault="00603CFF" w:rsidP="00C83F01">
      <w:pPr>
        <w:rPr>
          <w:b/>
          <w:szCs w:val="22"/>
        </w:rPr>
      </w:pPr>
      <w:r w:rsidRPr="003F7446">
        <w:rPr>
          <w:b/>
          <w:szCs w:val="22"/>
        </w:rPr>
        <w:t>Nervų sistemos sutrikimai:</w:t>
      </w:r>
    </w:p>
    <w:p w14:paraId="05CAF283" w14:textId="1C6B5857" w:rsidR="00603CFF" w:rsidRPr="003F7446" w:rsidRDefault="00527D7F" w:rsidP="00C83F01">
      <w:pPr>
        <w:pStyle w:val="Sraopastraipa"/>
        <w:numPr>
          <w:ilvl w:val="0"/>
          <w:numId w:val="14"/>
        </w:numPr>
        <w:rPr>
          <w:szCs w:val="22"/>
        </w:rPr>
      </w:pPr>
      <w:r w:rsidRPr="003F7446">
        <w:rPr>
          <w:szCs w:val="22"/>
        </w:rPr>
        <w:t>galv</w:t>
      </w:r>
      <w:r w:rsidR="006B7A72" w:rsidRPr="003F7446">
        <w:rPr>
          <w:szCs w:val="22"/>
        </w:rPr>
        <w:t>os svaigimas, mieguistumas</w:t>
      </w:r>
      <w:r w:rsidRPr="003F7446">
        <w:rPr>
          <w:szCs w:val="22"/>
        </w:rPr>
        <w:t xml:space="preserve"> ar </w:t>
      </w:r>
      <w:r w:rsidR="006B7A72" w:rsidRPr="003F7446">
        <w:rPr>
          <w:szCs w:val="22"/>
        </w:rPr>
        <w:t>sustingimas</w:t>
      </w:r>
    </w:p>
    <w:p w14:paraId="55C64C1A" w14:textId="77777777" w:rsidR="00603CFF" w:rsidRPr="003F7446" w:rsidRDefault="00527D7F" w:rsidP="00C83F01">
      <w:pPr>
        <w:pStyle w:val="Sraopastraipa"/>
        <w:numPr>
          <w:ilvl w:val="0"/>
          <w:numId w:val="14"/>
        </w:numPr>
        <w:rPr>
          <w:szCs w:val="22"/>
        </w:rPr>
      </w:pPr>
      <w:proofErr w:type="spellStart"/>
      <w:r w:rsidRPr="003F7446">
        <w:rPr>
          <w:szCs w:val="22"/>
        </w:rPr>
        <w:t>tremoras</w:t>
      </w:r>
      <w:proofErr w:type="spellEnd"/>
      <w:r w:rsidRPr="003F7446">
        <w:rPr>
          <w:szCs w:val="22"/>
        </w:rPr>
        <w:t>, raumenų spazmai, traukuliai</w:t>
      </w:r>
    </w:p>
    <w:p w14:paraId="33626A59" w14:textId="002D3BFC" w:rsidR="00527D7F" w:rsidRPr="003F7446" w:rsidRDefault="00527D7F" w:rsidP="008912E3">
      <w:pPr>
        <w:pStyle w:val="Sraopastraipa"/>
        <w:numPr>
          <w:ilvl w:val="0"/>
          <w:numId w:val="14"/>
        </w:numPr>
        <w:rPr>
          <w:szCs w:val="22"/>
        </w:rPr>
      </w:pPr>
      <w:r w:rsidRPr="003F7446">
        <w:rPr>
          <w:szCs w:val="22"/>
        </w:rPr>
        <w:t xml:space="preserve">nerimas ar depresija, </w:t>
      </w:r>
      <w:r w:rsidR="006B7A72" w:rsidRPr="003F7446">
        <w:rPr>
          <w:szCs w:val="22"/>
        </w:rPr>
        <w:t>nuotaikos ir minčių pokyčiai</w:t>
      </w:r>
    </w:p>
    <w:p w14:paraId="61969732" w14:textId="77777777" w:rsidR="00527D7F" w:rsidRPr="003F7446" w:rsidRDefault="00527D7F" w:rsidP="00C83F01">
      <w:pPr>
        <w:rPr>
          <w:szCs w:val="22"/>
        </w:rPr>
      </w:pPr>
    </w:p>
    <w:p w14:paraId="69334236" w14:textId="77777777" w:rsidR="006B7A72" w:rsidRPr="003F7446" w:rsidRDefault="006B7A72" w:rsidP="00C83F01">
      <w:pPr>
        <w:rPr>
          <w:b/>
          <w:szCs w:val="22"/>
        </w:rPr>
      </w:pPr>
      <w:r w:rsidRPr="003F7446">
        <w:rPr>
          <w:b/>
          <w:szCs w:val="22"/>
        </w:rPr>
        <w:t>Širdies ir kraujagyslių ligos:</w:t>
      </w:r>
    </w:p>
    <w:p w14:paraId="6E8004C8" w14:textId="77777777" w:rsidR="006B7A72" w:rsidRPr="003F7446" w:rsidRDefault="006B7A72" w:rsidP="00C83F01">
      <w:pPr>
        <w:pStyle w:val="Sraopastraipa"/>
        <w:numPr>
          <w:ilvl w:val="0"/>
          <w:numId w:val="15"/>
        </w:numPr>
        <w:rPr>
          <w:szCs w:val="22"/>
        </w:rPr>
      </w:pPr>
      <w:r w:rsidRPr="003F7446">
        <w:rPr>
          <w:szCs w:val="22"/>
        </w:rPr>
        <w:t>kraujospūdžio pakitimas, neįprastas širdies ritmas, kraujagyslių išsiplėtimas</w:t>
      </w:r>
    </w:p>
    <w:p w14:paraId="40444D77" w14:textId="77777777" w:rsidR="006B7A72" w:rsidRPr="003F7446" w:rsidRDefault="006B7A72" w:rsidP="00C83F01">
      <w:pPr>
        <w:rPr>
          <w:szCs w:val="22"/>
        </w:rPr>
      </w:pPr>
    </w:p>
    <w:p w14:paraId="175C9BC9" w14:textId="254D9839" w:rsidR="006B7A72" w:rsidRPr="003F7446" w:rsidRDefault="006B7A72" w:rsidP="00C83F01">
      <w:pPr>
        <w:rPr>
          <w:b/>
          <w:szCs w:val="22"/>
        </w:rPr>
      </w:pPr>
      <w:r w:rsidRPr="003F7446">
        <w:rPr>
          <w:b/>
          <w:szCs w:val="22"/>
        </w:rPr>
        <w:t>Plaučių sutrikimai:</w:t>
      </w:r>
    </w:p>
    <w:p w14:paraId="56D1216B" w14:textId="2CD57B34" w:rsidR="00527D7F" w:rsidRPr="003F7446" w:rsidRDefault="00527D7F" w:rsidP="00C83F01">
      <w:pPr>
        <w:pStyle w:val="Sraopastraipa"/>
        <w:numPr>
          <w:ilvl w:val="0"/>
          <w:numId w:val="15"/>
        </w:numPr>
        <w:rPr>
          <w:szCs w:val="22"/>
        </w:rPr>
      </w:pPr>
      <w:r w:rsidRPr="003F7446">
        <w:rPr>
          <w:szCs w:val="22"/>
        </w:rPr>
        <w:t>pneumonija, bronchitas</w:t>
      </w:r>
    </w:p>
    <w:p w14:paraId="2FFBF6F0" w14:textId="14E45216" w:rsidR="006B7A72" w:rsidRPr="003F7446" w:rsidRDefault="006B7A72" w:rsidP="00C83F01">
      <w:pPr>
        <w:pStyle w:val="Sraopastraipa"/>
        <w:numPr>
          <w:ilvl w:val="0"/>
          <w:numId w:val="15"/>
        </w:numPr>
        <w:rPr>
          <w:szCs w:val="22"/>
        </w:rPr>
      </w:pPr>
      <w:r w:rsidRPr="003F7446">
        <w:rPr>
          <w:szCs w:val="22"/>
        </w:rPr>
        <w:t xml:space="preserve">oro trūkumas, kosulys, galintis atsirasti dėl  </w:t>
      </w:r>
      <w:proofErr w:type="spellStart"/>
      <w:r w:rsidRPr="003F7446">
        <w:rPr>
          <w:szCs w:val="22"/>
        </w:rPr>
        <w:t>bronchektazės</w:t>
      </w:r>
      <w:proofErr w:type="spellEnd"/>
      <w:r w:rsidRPr="003F7446">
        <w:rPr>
          <w:szCs w:val="22"/>
        </w:rPr>
        <w:t xml:space="preserve"> (būklė, kai plaučių takai yra neįprastai išsiplėtę), plaučių fibrozė (plaučių randėjimas). Pasitarkite su gydytoju, jei Jums atsiranda nepraeinantis kosulys ar trūksta oro</w:t>
      </w:r>
    </w:p>
    <w:p w14:paraId="703D32B2" w14:textId="162DC174" w:rsidR="006B7A72" w:rsidRPr="003F7446" w:rsidRDefault="006B7A72" w:rsidP="008912E3">
      <w:pPr>
        <w:pStyle w:val="Sraopastraipa"/>
        <w:numPr>
          <w:ilvl w:val="0"/>
          <w:numId w:val="15"/>
        </w:numPr>
        <w:rPr>
          <w:szCs w:val="22"/>
        </w:rPr>
      </w:pPr>
      <w:r w:rsidRPr="003F7446">
        <w:rPr>
          <w:szCs w:val="22"/>
        </w:rPr>
        <w:t>skysčių kaupimasis plaučiuose ar krūtinės viduje</w:t>
      </w:r>
    </w:p>
    <w:p w14:paraId="76CECAE0" w14:textId="77777777" w:rsidR="006B7A72" w:rsidRPr="003F7446" w:rsidRDefault="006B7A72" w:rsidP="00C83F01">
      <w:pPr>
        <w:pStyle w:val="Sraopastraipa"/>
        <w:numPr>
          <w:ilvl w:val="0"/>
          <w:numId w:val="15"/>
        </w:numPr>
        <w:rPr>
          <w:szCs w:val="22"/>
        </w:rPr>
      </w:pPr>
      <w:r w:rsidRPr="003F7446">
        <w:rPr>
          <w:szCs w:val="22"/>
        </w:rPr>
        <w:lastRenderedPageBreak/>
        <w:t>problemos su sinusais.</w:t>
      </w:r>
    </w:p>
    <w:p w14:paraId="7649E916" w14:textId="77777777" w:rsidR="006B7A72" w:rsidRPr="003F7446" w:rsidRDefault="006B7A72" w:rsidP="00C83F01">
      <w:pPr>
        <w:rPr>
          <w:szCs w:val="22"/>
        </w:rPr>
      </w:pPr>
    </w:p>
    <w:p w14:paraId="0C7FD89F" w14:textId="071275E5" w:rsidR="006B7A72" w:rsidRPr="003F7446" w:rsidRDefault="006B7A72" w:rsidP="00C83F01">
      <w:pPr>
        <w:rPr>
          <w:b/>
          <w:szCs w:val="22"/>
        </w:rPr>
      </w:pPr>
      <w:r w:rsidRPr="003F7446">
        <w:rPr>
          <w:b/>
          <w:szCs w:val="22"/>
        </w:rPr>
        <w:t>Kitas šalutinis poveikis:</w:t>
      </w:r>
    </w:p>
    <w:p w14:paraId="1FA60755" w14:textId="77777777" w:rsidR="00BF361B" w:rsidRPr="003F7446" w:rsidRDefault="00527D7F" w:rsidP="00C83F01">
      <w:pPr>
        <w:pStyle w:val="Sraopastraipa"/>
        <w:numPr>
          <w:ilvl w:val="0"/>
          <w:numId w:val="16"/>
        </w:numPr>
        <w:rPr>
          <w:szCs w:val="22"/>
        </w:rPr>
      </w:pPr>
      <w:r w:rsidRPr="003F7446">
        <w:rPr>
          <w:szCs w:val="22"/>
        </w:rPr>
        <w:t>svorio netekimas, podagra, didelis cukraus kiekis kraujyje, kraujavimas, mėlynės.</w:t>
      </w:r>
    </w:p>
    <w:p w14:paraId="3F740ADD" w14:textId="77777777" w:rsidR="00BF361B" w:rsidRPr="003F7446" w:rsidRDefault="00BF361B" w:rsidP="00C83F01">
      <w:pPr>
        <w:rPr>
          <w:szCs w:val="22"/>
        </w:rPr>
      </w:pPr>
    </w:p>
    <w:p w14:paraId="61D1A8F5" w14:textId="77777777" w:rsidR="00BF361B" w:rsidRPr="003F7446" w:rsidRDefault="00BF361B" w:rsidP="00BF361B">
      <w:pPr>
        <w:tabs>
          <w:tab w:val="left" w:pos="567"/>
        </w:tabs>
        <w:rPr>
          <w:b/>
          <w:szCs w:val="22"/>
          <w:lang w:eastAsia="en-US"/>
        </w:rPr>
      </w:pPr>
      <w:r w:rsidRPr="003F7446">
        <w:rPr>
          <w:b/>
          <w:noProof/>
          <w:szCs w:val="22"/>
          <w:lang w:eastAsia="en-US"/>
        </w:rPr>
        <w:t>Pranešimas apie šalutinį poveikį</w:t>
      </w:r>
    </w:p>
    <w:p w14:paraId="434BB5B1" w14:textId="0696BB10" w:rsidR="00BF361B" w:rsidRPr="003F7446" w:rsidRDefault="00BF361B" w:rsidP="008912E3">
      <w:pPr>
        <w:tabs>
          <w:tab w:val="left" w:pos="567"/>
        </w:tabs>
        <w:spacing w:line="260" w:lineRule="exact"/>
        <w:ind w:right="-449"/>
        <w:rPr>
          <w:noProof/>
          <w:szCs w:val="22"/>
          <w:lang w:eastAsia="en-US"/>
        </w:rPr>
      </w:pPr>
      <w:r w:rsidRPr="003F7446">
        <w:rPr>
          <w:noProof/>
          <w:szCs w:val="22"/>
          <w:lang w:eastAsia="en-US"/>
        </w:rPr>
        <w:t xml:space="preserve">Jeigu pasireiškė šalutinis poveikis, įskaitant šiame lapelyje nenurodytą, pasakykite gydytojui arba slaugytojai. Apie šalutinį poveikį taip pat galite pranešti tiesiogiai, užpildę interneto svetainėje </w:t>
      </w:r>
      <w:hyperlink r:id="rId11" w:history="1">
        <w:r w:rsidRPr="003F7446">
          <w:rPr>
            <w:noProof/>
            <w:color w:val="0000FF"/>
            <w:szCs w:val="22"/>
            <w:u w:val="single"/>
            <w:lang w:eastAsia="en-US"/>
          </w:rPr>
          <w:t>www.vvkt.lt</w:t>
        </w:r>
      </w:hyperlink>
      <w:r w:rsidRPr="003F7446">
        <w:rPr>
          <w:noProof/>
          <w:szCs w:val="22"/>
          <w:lang w:eastAsia="en-US"/>
        </w:rPr>
        <w:t xml:space="preserve"> esančią formą, paštu Valstybinei vaistų kontrolės tarnybai prie Lietuvos Respublikos sveikatos apsaugos ministerijos, Žirmūnų g. 139A, LT 09120 Vilnius, t</w:t>
      </w:r>
      <w:r w:rsidRPr="003F7446">
        <w:rPr>
          <w:rFonts w:eastAsia="Calibri"/>
          <w:noProof/>
          <w:szCs w:val="22"/>
          <w:lang w:eastAsia="zh-CN"/>
        </w:rPr>
        <w:t xml:space="preserve">el: 8 800 73568, </w:t>
      </w:r>
      <w:r w:rsidRPr="003F7446">
        <w:rPr>
          <w:noProof/>
          <w:szCs w:val="22"/>
          <w:lang w:eastAsia="en-US"/>
        </w:rPr>
        <w:t xml:space="preserve">faksu 8 800 20131 arba el. paštu </w:t>
      </w:r>
      <w:hyperlink r:id="rId12" w:history="1">
        <w:r w:rsidRPr="003F7446">
          <w:rPr>
            <w:noProof/>
            <w:color w:val="0000FF"/>
            <w:szCs w:val="22"/>
            <w:u w:val="single"/>
            <w:lang w:eastAsia="en-US"/>
          </w:rPr>
          <w:t>NepageidaujamaR@vvkt.lt</w:t>
        </w:r>
      </w:hyperlink>
      <w:r w:rsidRPr="003F7446">
        <w:rPr>
          <w:noProof/>
          <w:szCs w:val="22"/>
          <w:lang w:eastAsia="en-US"/>
        </w:rPr>
        <w:t>. Pranešdami apie šalutinį poveikį galite mums padėti gauti daugiau informacijos apie šio vaisto saugumą.</w:t>
      </w:r>
    </w:p>
    <w:p w14:paraId="4A86165A" w14:textId="77777777" w:rsidR="00BF361B" w:rsidRPr="003F7446" w:rsidRDefault="00BF361B" w:rsidP="008912E3">
      <w:pPr>
        <w:pStyle w:val="Default"/>
        <w:rPr>
          <w:color w:val="auto"/>
          <w:sz w:val="22"/>
          <w:szCs w:val="22"/>
          <w:lang w:val="lt-LT"/>
        </w:rPr>
      </w:pPr>
    </w:p>
    <w:p w14:paraId="15144660" w14:textId="77777777" w:rsidR="0052287E" w:rsidRPr="003F7446" w:rsidRDefault="0052287E" w:rsidP="0052287E">
      <w:pPr>
        <w:pStyle w:val="Default"/>
        <w:rPr>
          <w:b/>
          <w:bCs/>
          <w:color w:val="auto"/>
          <w:sz w:val="22"/>
          <w:szCs w:val="22"/>
          <w:lang w:val="lt-LT"/>
        </w:rPr>
      </w:pPr>
    </w:p>
    <w:p w14:paraId="45DC95E2" w14:textId="77777777" w:rsidR="003978A9" w:rsidRPr="003F7446" w:rsidRDefault="003978A9" w:rsidP="003978A9">
      <w:pPr>
        <w:pStyle w:val="Default"/>
        <w:ind w:left="560" w:hanging="560"/>
        <w:rPr>
          <w:b/>
          <w:bCs/>
          <w:sz w:val="22"/>
          <w:szCs w:val="22"/>
          <w:lang w:val="lt-LT"/>
        </w:rPr>
      </w:pPr>
      <w:r w:rsidRPr="003F7446">
        <w:rPr>
          <w:b/>
          <w:bCs/>
          <w:sz w:val="22"/>
          <w:szCs w:val="22"/>
          <w:lang w:val="lt-LT"/>
        </w:rPr>
        <w:t xml:space="preserve">5. Kaip laikyti </w:t>
      </w:r>
      <w:proofErr w:type="spellStart"/>
      <w:r w:rsidRPr="003F7446">
        <w:rPr>
          <w:b/>
          <w:bCs/>
          <w:sz w:val="22"/>
          <w:szCs w:val="22"/>
          <w:lang w:val="lt-LT"/>
        </w:rPr>
        <w:t>Mycophenolate</w:t>
      </w:r>
      <w:proofErr w:type="spellEnd"/>
      <w:r w:rsidRPr="003F7446">
        <w:rPr>
          <w:b/>
          <w:bCs/>
          <w:sz w:val="22"/>
          <w:szCs w:val="22"/>
          <w:lang w:val="lt-LT"/>
        </w:rPr>
        <w:t xml:space="preserve"> </w:t>
      </w:r>
      <w:proofErr w:type="spellStart"/>
      <w:r w:rsidRPr="003F7446">
        <w:rPr>
          <w:b/>
          <w:bCs/>
          <w:sz w:val="22"/>
          <w:szCs w:val="22"/>
          <w:lang w:val="lt-LT"/>
        </w:rPr>
        <w:t>mofetil</w:t>
      </w:r>
      <w:proofErr w:type="spellEnd"/>
      <w:r w:rsidRPr="003F7446">
        <w:rPr>
          <w:b/>
          <w:bCs/>
          <w:sz w:val="22"/>
          <w:szCs w:val="22"/>
          <w:lang w:val="lt-LT"/>
        </w:rPr>
        <w:t xml:space="preserve"> </w:t>
      </w:r>
      <w:proofErr w:type="spellStart"/>
      <w:r w:rsidRPr="003F7446">
        <w:rPr>
          <w:b/>
          <w:bCs/>
          <w:sz w:val="22"/>
          <w:szCs w:val="22"/>
          <w:lang w:val="lt-LT"/>
        </w:rPr>
        <w:t>Ranbaxy</w:t>
      </w:r>
      <w:proofErr w:type="spellEnd"/>
    </w:p>
    <w:p w14:paraId="3A6EE41B" w14:textId="77777777" w:rsidR="0052287E" w:rsidRPr="003F7446" w:rsidRDefault="0052287E" w:rsidP="0052287E">
      <w:pPr>
        <w:pStyle w:val="Default"/>
        <w:rPr>
          <w:color w:val="auto"/>
          <w:sz w:val="22"/>
          <w:szCs w:val="22"/>
          <w:lang w:val="lt-LT"/>
        </w:rPr>
      </w:pPr>
    </w:p>
    <w:p w14:paraId="4B31B3F4" w14:textId="1FEBB5E9" w:rsidR="0052287E" w:rsidRPr="003F7446" w:rsidRDefault="0052287E" w:rsidP="0052287E">
      <w:pPr>
        <w:pStyle w:val="Default"/>
        <w:rPr>
          <w:color w:val="auto"/>
          <w:sz w:val="22"/>
          <w:szCs w:val="22"/>
          <w:lang w:val="lt-LT"/>
        </w:rPr>
      </w:pPr>
      <w:r w:rsidRPr="003F7446">
        <w:rPr>
          <w:color w:val="auto"/>
          <w:sz w:val="22"/>
          <w:szCs w:val="22"/>
          <w:lang w:val="lt-LT"/>
        </w:rPr>
        <w:t xml:space="preserve">Laikyti vaikams </w:t>
      </w:r>
      <w:r w:rsidR="007E2419" w:rsidRPr="003F7446">
        <w:rPr>
          <w:color w:val="auto"/>
          <w:sz w:val="22"/>
          <w:szCs w:val="22"/>
          <w:lang w:val="lt-LT"/>
        </w:rPr>
        <w:t xml:space="preserve">nepastebimoje ir </w:t>
      </w:r>
      <w:r w:rsidRPr="003F7446">
        <w:rPr>
          <w:color w:val="auto"/>
          <w:sz w:val="22"/>
          <w:szCs w:val="22"/>
          <w:lang w:val="lt-LT"/>
        </w:rPr>
        <w:t xml:space="preserve">nepasiekiamoje vietoje. </w:t>
      </w:r>
    </w:p>
    <w:p w14:paraId="4CD170CE" w14:textId="77777777" w:rsidR="0052287E" w:rsidRPr="003F7446" w:rsidRDefault="0052287E" w:rsidP="0052287E">
      <w:pPr>
        <w:pStyle w:val="Default"/>
        <w:rPr>
          <w:color w:val="auto"/>
          <w:sz w:val="22"/>
          <w:szCs w:val="22"/>
          <w:lang w:val="lt-LT"/>
        </w:rPr>
      </w:pPr>
    </w:p>
    <w:p w14:paraId="19E16E86"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Ant dėžutės ir lizdinės plokštelės po “Tinka iki/EXP” nurodytam tinkamumo laikui pasibaigus, </w:t>
      </w:r>
      <w:proofErr w:type="spellStart"/>
      <w:r w:rsidRPr="003F7446">
        <w:rPr>
          <w:bCs/>
          <w:sz w:val="22"/>
          <w:szCs w:val="22"/>
          <w:lang w:val="lt-LT"/>
        </w:rPr>
        <w:t>Mycophenolate</w:t>
      </w:r>
      <w:proofErr w:type="spellEnd"/>
      <w:r w:rsidRPr="003F7446">
        <w:rPr>
          <w:bCs/>
          <w:sz w:val="22"/>
          <w:szCs w:val="22"/>
          <w:lang w:val="lt-LT"/>
        </w:rPr>
        <w:t xml:space="preserve"> </w:t>
      </w:r>
      <w:proofErr w:type="spellStart"/>
      <w:r w:rsidRPr="003F7446">
        <w:rPr>
          <w:bCs/>
          <w:sz w:val="22"/>
          <w:szCs w:val="22"/>
          <w:lang w:val="lt-LT"/>
        </w:rPr>
        <w:t>mofetil</w:t>
      </w:r>
      <w:proofErr w:type="spellEnd"/>
      <w:r w:rsidRPr="003F7446">
        <w:rPr>
          <w:bCs/>
          <w:sz w:val="22"/>
          <w:szCs w:val="22"/>
          <w:lang w:val="lt-LT"/>
        </w:rPr>
        <w:t xml:space="preserve"> </w:t>
      </w:r>
      <w:proofErr w:type="spellStart"/>
      <w:r w:rsidRPr="003F7446">
        <w:rPr>
          <w:bCs/>
          <w:sz w:val="22"/>
          <w:szCs w:val="22"/>
          <w:lang w:val="lt-LT"/>
        </w:rPr>
        <w:t>Ranbaxy</w:t>
      </w:r>
      <w:proofErr w:type="spellEnd"/>
      <w:r w:rsidRPr="003F7446">
        <w:rPr>
          <w:color w:val="auto"/>
          <w:sz w:val="22"/>
          <w:szCs w:val="22"/>
          <w:lang w:val="lt-LT"/>
        </w:rPr>
        <w:t xml:space="preserve"> vartoti negalima. </w:t>
      </w:r>
      <w:r w:rsidRPr="003F7446">
        <w:rPr>
          <w:sz w:val="22"/>
          <w:szCs w:val="22"/>
          <w:lang w:val="lt-LT"/>
        </w:rPr>
        <w:t>Vaistas tinka vartoti iki paskutinės nurodyto mėnesio dienos.</w:t>
      </w:r>
    </w:p>
    <w:p w14:paraId="7859BC6E" w14:textId="77777777" w:rsidR="0052287E" w:rsidRPr="003F7446" w:rsidRDefault="0052287E" w:rsidP="0052287E">
      <w:pPr>
        <w:pStyle w:val="Default"/>
        <w:rPr>
          <w:color w:val="auto"/>
          <w:sz w:val="22"/>
          <w:szCs w:val="22"/>
          <w:lang w:val="lt-LT"/>
        </w:rPr>
      </w:pPr>
    </w:p>
    <w:p w14:paraId="259EB92E"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Šiam vaistiniam preparatui specialių </w:t>
      </w:r>
      <w:proofErr w:type="spellStart"/>
      <w:r w:rsidRPr="003F7446">
        <w:rPr>
          <w:color w:val="auto"/>
          <w:sz w:val="22"/>
          <w:szCs w:val="22"/>
          <w:lang w:val="lt-LT"/>
        </w:rPr>
        <w:t>temperatūrinių</w:t>
      </w:r>
      <w:proofErr w:type="spellEnd"/>
      <w:r w:rsidRPr="003F7446">
        <w:rPr>
          <w:color w:val="auto"/>
          <w:sz w:val="22"/>
          <w:szCs w:val="22"/>
          <w:lang w:val="lt-LT"/>
        </w:rPr>
        <w:t xml:space="preserve"> laikymo sąlygų nereikia. Laikyti gamintojo pakuotėje, kad preparatas būtų apsaugotas nuo šviesos.</w:t>
      </w:r>
    </w:p>
    <w:p w14:paraId="5532DEDE" w14:textId="77777777" w:rsidR="0052287E" w:rsidRPr="003F7446" w:rsidRDefault="0052287E" w:rsidP="0052287E">
      <w:pPr>
        <w:pStyle w:val="Default"/>
        <w:rPr>
          <w:color w:val="auto"/>
          <w:sz w:val="22"/>
          <w:szCs w:val="22"/>
          <w:lang w:val="lt-LT"/>
        </w:rPr>
      </w:pPr>
    </w:p>
    <w:p w14:paraId="1B9CDD97" w14:textId="77777777" w:rsidR="0052287E" w:rsidRPr="003F7446" w:rsidRDefault="0052287E" w:rsidP="0052287E">
      <w:pPr>
        <w:pStyle w:val="Default"/>
        <w:rPr>
          <w:color w:val="auto"/>
          <w:sz w:val="22"/>
          <w:szCs w:val="22"/>
          <w:lang w:val="lt-LT"/>
        </w:rPr>
      </w:pPr>
      <w:r w:rsidRPr="003F7446">
        <w:rPr>
          <w:color w:val="auto"/>
          <w:sz w:val="22"/>
          <w:szCs w:val="22"/>
          <w:lang w:val="lt-LT"/>
        </w:rPr>
        <w:t xml:space="preserve">Vaistų negalima išpilti į kanalizaciją arba išmesti su buitinėmis atliekomis. Kaip tvarkyti nereikalingus vaistus, klauskite vaistininko. Šios priemonės padės apsaugoti aplinką. </w:t>
      </w:r>
    </w:p>
    <w:p w14:paraId="6BEDB5C1" w14:textId="77777777" w:rsidR="0052287E" w:rsidRPr="003F7446" w:rsidRDefault="0052287E" w:rsidP="0052287E">
      <w:pPr>
        <w:pStyle w:val="Default"/>
        <w:rPr>
          <w:b/>
          <w:bCs/>
          <w:color w:val="auto"/>
          <w:sz w:val="22"/>
          <w:szCs w:val="22"/>
          <w:lang w:val="lt-LT"/>
        </w:rPr>
      </w:pPr>
    </w:p>
    <w:p w14:paraId="1962AD65" w14:textId="77777777" w:rsidR="0052287E" w:rsidRPr="003F7446" w:rsidRDefault="0052287E" w:rsidP="0052287E">
      <w:pPr>
        <w:pStyle w:val="Default"/>
        <w:rPr>
          <w:b/>
          <w:bCs/>
          <w:color w:val="auto"/>
          <w:sz w:val="22"/>
          <w:szCs w:val="22"/>
          <w:lang w:val="lt-LT"/>
        </w:rPr>
      </w:pPr>
    </w:p>
    <w:p w14:paraId="79A2ADF7" w14:textId="30AE6018" w:rsidR="003978A9" w:rsidRPr="003F7446" w:rsidRDefault="003978A9" w:rsidP="008912E3">
      <w:pPr>
        <w:pStyle w:val="Default"/>
        <w:ind w:left="560" w:hanging="560"/>
        <w:rPr>
          <w:color w:val="auto"/>
          <w:sz w:val="22"/>
          <w:szCs w:val="22"/>
          <w:lang w:val="lt-LT"/>
        </w:rPr>
      </w:pPr>
      <w:r w:rsidRPr="003F7446">
        <w:rPr>
          <w:b/>
          <w:sz w:val="22"/>
          <w:szCs w:val="22"/>
          <w:lang w:val="lt-LT"/>
        </w:rPr>
        <w:t>6.</w:t>
      </w:r>
      <w:r w:rsidRPr="003F7446">
        <w:rPr>
          <w:b/>
          <w:bCs/>
          <w:sz w:val="22"/>
          <w:szCs w:val="22"/>
          <w:lang w:val="lt-LT"/>
        </w:rPr>
        <w:t xml:space="preserve"> Pakuotės turinys ir kita informacija</w:t>
      </w:r>
    </w:p>
    <w:p w14:paraId="70F8D85C" w14:textId="77777777" w:rsidR="0052287E" w:rsidRPr="003F7446" w:rsidRDefault="0052287E" w:rsidP="0052287E">
      <w:pPr>
        <w:pStyle w:val="Default"/>
        <w:rPr>
          <w:b/>
          <w:bCs/>
          <w:color w:val="auto"/>
          <w:sz w:val="22"/>
          <w:szCs w:val="22"/>
          <w:lang w:val="lt-LT"/>
        </w:rPr>
      </w:pPr>
    </w:p>
    <w:p w14:paraId="1591368A" w14:textId="77777777" w:rsidR="0052287E" w:rsidRPr="003F7446" w:rsidRDefault="0052287E" w:rsidP="0052287E">
      <w:pPr>
        <w:pStyle w:val="Default"/>
        <w:rPr>
          <w:b/>
          <w:color w:val="auto"/>
          <w:sz w:val="22"/>
          <w:szCs w:val="22"/>
          <w:lang w:val="lt-LT"/>
        </w:rPr>
      </w:pPr>
      <w:proofErr w:type="spellStart"/>
      <w:r w:rsidRPr="003F7446">
        <w:rPr>
          <w:b/>
          <w:bCs/>
          <w:sz w:val="22"/>
          <w:szCs w:val="22"/>
          <w:lang w:val="lt-LT"/>
        </w:rPr>
        <w:t>Mycophenolate</w:t>
      </w:r>
      <w:proofErr w:type="spellEnd"/>
      <w:r w:rsidRPr="003F7446">
        <w:rPr>
          <w:b/>
          <w:bCs/>
          <w:sz w:val="22"/>
          <w:szCs w:val="22"/>
          <w:lang w:val="lt-LT"/>
        </w:rPr>
        <w:t xml:space="preserve"> </w:t>
      </w:r>
      <w:proofErr w:type="spellStart"/>
      <w:r w:rsidRPr="003F7446">
        <w:rPr>
          <w:b/>
          <w:bCs/>
          <w:sz w:val="22"/>
          <w:szCs w:val="22"/>
          <w:lang w:val="lt-LT"/>
        </w:rPr>
        <w:t>mofetil</w:t>
      </w:r>
      <w:proofErr w:type="spellEnd"/>
      <w:r w:rsidRPr="003F7446">
        <w:rPr>
          <w:b/>
          <w:bCs/>
          <w:sz w:val="22"/>
          <w:szCs w:val="22"/>
          <w:lang w:val="lt-LT"/>
        </w:rPr>
        <w:t xml:space="preserve"> </w:t>
      </w:r>
      <w:proofErr w:type="spellStart"/>
      <w:r w:rsidRPr="003F7446">
        <w:rPr>
          <w:b/>
          <w:bCs/>
          <w:sz w:val="22"/>
          <w:szCs w:val="22"/>
          <w:lang w:val="lt-LT"/>
        </w:rPr>
        <w:t>Ranbaxy</w:t>
      </w:r>
      <w:proofErr w:type="spellEnd"/>
      <w:r w:rsidRPr="003F7446">
        <w:rPr>
          <w:b/>
          <w:bCs/>
          <w:color w:val="auto"/>
          <w:sz w:val="22"/>
          <w:szCs w:val="22"/>
          <w:lang w:val="lt-LT"/>
        </w:rPr>
        <w:t xml:space="preserve"> sudėtis </w:t>
      </w:r>
    </w:p>
    <w:p w14:paraId="7EE5FC02" w14:textId="77777777" w:rsidR="0052287E" w:rsidRPr="003F7446" w:rsidRDefault="0052287E" w:rsidP="0052287E">
      <w:pPr>
        <w:pStyle w:val="Default"/>
        <w:rPr>
          <w:color w:val="auto"/>
          <w:sz w:val="22"/>
          <w:szCs w:val="22"/>
          <w:lang w:val="lt-LT"/>
        </w:rPr>
      </w:pPr>
    </w:p>
    <w:p w14:paraId="5801DB8D" w14:textId="77777777" w:rsidR="0052287E" w:rsidRPr="003F7446" w:rsidRDefault="0052287E" w:rsidP="0052287E">
      <w:pPr>
        <w:pStyle w:val="Default"/>
        <w:tabs>
          <w:tab w:val="left" w:pos="567"/>
        </w:tabs>
        <w:rPr>
          <w:color w:val="auto"/>
          <w:sz w:val="22"/>
          <w:szCs w:val="22"/>
          <w:lang w:val="lt-LT"/>
        </w:rPr>
      </w:pPr>
      <w:r w:rsidRPr="003F7446">
        <w:rPr>
          <w:color w:val="auto"/>
          <w:sz w:val="22"/>
          <w:szCs w:val="22"/>
          <w:lang w:val="lt-LT"/>
        </w:rPr>
        <w:t>-</w:t>
      </w:r>
      <w:r w:rsidRPr="003F7446">
        <w:rPr>
          <w:color w:val="auto"/>
          <w:sz w:val="22"/>
          <w:szCs w:val="22"/>
          <w:lang w:val="lt-LT"/>
        </w:rPr>
        <w:tab/>
        <w:t xml:space="preserve">Veiklioji medžiaga yra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mofetilis</w:t>
      </w:r>
      <w:proofErr w:type="spellEnd"/>
      <w:r w:rsidRPr="003F7446">
        <w:rPr>
          <w:color w:val="auto"/>
          <w:sz w:val="22"/>
          <w:szCs w:val="22"/>
          <w:lang w:val="lt-LT"/>
        </w:rPr>
        <w:t xml:space="preserve">. Kiekvienoje plėvele dengtoje tabletėje yra 500 mg </w:t>
      </w:r>
      <w:proofErr w:type="spellStart"/>
      <w:r w:rsidRPr="003F7446">
        <w:rPr>
          <w:color w:val="auto"/>
          <w:sz w:val="22"/>
          <w:szCs w:val="22"/>
          <w:lang w:val="lt-LT"/>
        </w:rPr>
        <w:t>mikofenolato</w:t>
      </w:r>
      <w:proofErr w:type="spellEnd"/>
      <w:r w:rsidRPr="003F7446">
        <w:rPr>
          <w:color w:val="auto"/>
          <w:sz w:val="22"/>
          <w:szCs w:val="22"/>
          <w:lang w:val="lt-LT"/>
        </w:rPr>
        <w:t xml:space="preserve"> </w:t>
      </w:r>
      <w:proofErr w:type="spellStart"/>
      <w:r w:rsidRPr="003F7446">
        <w:rPr>
          <w:color w:val="auto"/>
          <w:sz w:val="22"/>
          <w:szCs w:val="22"/>
          <w:lang w:val="lt-LT"/>
        </w:rPr>
        <w:t>mofetilio</w:t>
      </w:r>
      <w:proofErr w:type="spellEnd"/>
      <w:r w:rsidRPr="003F7446">
        <w:rPr>
          <w:color w:val="auto"/>
          <w:sz w:val="22"/>
          <w:szCs w:val="22"/>
          <w:lang w:val="lt-LT"/>
        </w:rPr>
        <w:t xml:space="preserve">. </w:t>
      </w:r>
    </w:p>
    <w:p w14:paraId="5A508FC1" w14:textId="77777777" w:rsidR="0052287E" w:rsidRPr="003F7446" w:rsidRDefault="0052287E" w:rsidP="0052287E">
      <w:pPr>
        <w:pStyle w:val="Default"/>
        <w:tabs>
          <w:tab w:val="left" w:pos="567"/>
        </w:tabs>
        <w:rPr>
          <w:color w:val="auto"/>
          <w:sz w:val="22"/>
          <w:szCs w:val="22"/>
          <w:lang w:val="lt-LT"/>
        </w:rPr>
      </w:pPr>
    </w:p>
    <w:p w14:paraId="5FA7CFA7" w14:textId="77777777" w:rsidR="0052287E" w:rsidRPr="003F7446" w:rsidRDefault="0052287E" w:rsidP="0052287E">
      <w:pPr>
        <w:pStyle w:val="Default"/>
        <w:tabs>
          <w:tab w:val="left" w:pos="567"/>
        </w:tabs>
        <w:rPr>
          <w:color w:val="auto"/>
          <w:sz w:val="22"/>
          <w:szCs w:val="22"/>
          <w:lang w:val="lt-LT"/>
        </w:rPr>
      </w:pPr>
      <w:r w:rsidRPr="003F7446">
        <w:rPr>
          <w:color w:val="auto"/>
          <w:sz w:val="22"/>
          <w:szCs w:val="22"/>
          <w:lang w:val="lt-LT"/>
        </w:rPr>
        <w:t>-</w:t>
      </w:r>
      <w:r w:rsidRPr="003F7446">
        <w:rPr>
          <w:color w:val="auto"/>
          <w:sz w:val="22"/>
          <w:szCs w:val="22"/>
          <w:lang w:val="lt-LT"/>
        </w:rPr>
        <w:tab/>
        <w:t xml:space="preserve">Pagalbinės medžiagos yra: </w:t>
      </w:r>
    </w:p>
    <w:p w14:paraId="43D63320" w14:textId="77777777" w:rsidR="007E2419" w:rsidRPr="003F7446" w:rsidRDefault="007E2419" w:rsidP="0052287E">
      <w:pPr>
        <w:pStyle w:val="Default"/>
        <w:tabs>
          <w:tab w:val="left" w:pos="567"/>
        </w:tabs>
        <w:rPr>
          <w:i/>
          <w:color w:val="auto"/>
          <w:sz w:val="22"/>
          <w:szCs w:val="22"/>
          <w:lang w:val="lt-LT"/>
        </w:rPr>
      </w:pPr>
    </w:p>
    <w:p w14:paraId="0B743D54" w14:textId="77777777" w:rsidR="0052287E" w:rsidRPr="003F7446" w:rsidRDefault="0052287E" w:rsidP="0052287E">
      <w:pPr>
        <w:pStyle w:val="Default"/>
        <w:tabs>
          <w:tab w:val="left" w:pos="567"/>
        </w:tabs>
        <w:rPr>
          <w:i/>
          <w:color w:val="auto"/>
          <w:sz w:val="22"/>
          <w:szCs w:val="22"/>
          <w:lang w:val="lt-LT"/>
        </w:rPr>
      </w:pPr>
      <w:r w:rsidRPr="003F7446">
        <w:rPr>
          <w:i/>
          <w:color w:val="auto"/>
          <w:sz w:val="22"/>
          <w:szCs w:val="22"/>
          <w:lang w:val="lt-LT"/>
        </w:rPr>
        <w:t xml:space="preserve">Tabletės branduolys: </w:t>
      </w:r>
    </w:p>
    <w:p w14:paraId="056165CF" w14:textId="77777777" w:rsidR="0052287E" w:rsidRPr="003F7446" w:rsidRDefault="0052287E" w:rsidP="0052287E">
      <w:pPr>
        <w:pStyle w:val="Default"/>
        <w:rPr>
          <w:bCs/>
          <w:color w:val="auto"/>
          <w:sz w:val="22"/>
          <w:szCs w:val="22"/>
          <w:lang w:val="lt-LT"/>
        </w:rPr>
      </w:pPr>
      <w:proofErr w:type="spellStart"/>
      <w:r w:rsidRPr="003F7446">
        <w:rPr>
          <w:color w:val="auto"/>
          <w:sz w:val="22"/>
          <w:szCs w:val="22"/>
          <w:lang w:val="lt-LT"/>
        </w:rPr>
        <w:t>M</w:t>
      </w:r>
      <w:r w:rsidRPr="003F7446">
        <w:rPr>
          <w:bCs/>
          <w:color w:val="auto"/>
          <w:sz w:val="22"/>
          <w:szCs w:val="22"/>
          <w:lang w:val="lt-LT"/>
        </w:rPr>
        <w:t>ikrokristalinė</w:t>
      </w:r>
      <w:proofErr w:type="spellEnd"/>
      <w:r w:rsidRPr="003F7446">
        <w:rPr>
          <w:bCs/>
          <w:color w:val="auto"/>
          <w:sz w:val="22"/>
          <w:szCs w:val="22"/>
          <w:lang w:val="lt-LT"/>
        </w:rPr>
        <w:t xml:space="preserve"> celiuliozė</w:t>
      </w:r>
    </w:p>
    <w:p w14:paraId="048B62B6" w14:textId="77777777" w:rsidR="0052287E" w:rsidRPr="003F7446" w:rsidRDefault="0052287E" w:rsidP="0052287E">
      <w:pPr>
        <w:pStyle w:val="Default"/>
        <w:rPr>
          <w:bCs/>
          <w:color w:val="auto"/>
          <w:sz w:val="22"/>
          <w:szCs w:val="22"/>
          <w:lang w:val="lt-LT"/>
        </w:rPr>
      </w:pPr>
      <w:proofErr w:type="spellStart"/>
      <w:r w:rsidRPr="003F7446">
        <w:rPr>
          <w:bCs/>
          <w:color w:val="auto"/>
          <w:sz w:val="22"/>
          <w:szCs w:val="22"/>
          <w:lang w:val="lt-LT"/>
        </w:rPr>
        <w:t>Povidonas</w:t>
      </w:r>
      <w:proofErr w:type="spellEnd"/>
      <w:r w:rsidRPr="003F7446">
        <w:rPr>
          <w:bCs/>
          <w:color w:val="auto"/>
          <w:sz w:val="22"/>
          <w:szCs w:val="22"/>
          <w:lang w:val="lt-LT"/>
        </w:rPr>
        <w:t xml:space="preserve"> (K – 90)</w:t>
      </w:r>
    </w:p>
    <w:p w14:paraId="72568F8B" w14:textId="77777777" w:rsidR="0052287E" w:rsidRPr="003F7446" w:rsidRDefault="0052287E" w:rsidP="0052287E">
      <w:pPr>
        <w:pStyle w:val="Default"/>
        <w:rPr>
          <w:bCs/>
          <w:color w:val="auto"/>
          <w:sz w:val="22"/>
          <w:szCs w:val="22"/>
          <w:lang w:val="lt-LT"/>
        </w:rPr>
      </w:pPr>
      <w:proofErr w:type="spellStart"/>
      <w:r w:rsidRPr="003F7446">
        <w:rPr>
          <w:bCs/>
          <w:color w:val="auto"/>
          <w:sz w:val="22"/>
          <w:szCs w:val="22"/>
          <w:lang w:val="lt-LT"/>
        </w:rPr>
        <w:t>Kroskarmeliozės</w:t>
      </w:r>
      <w:proofErr w:type="spellEnd"/>
      <w:r w:rsidRPr="003F7446">
        <w:rPr>
          <w:bCs/>
          <w:color w:val="auto"/>
          <w:sz w:val="22"/>
          <w:szCs w:val="22"/>
          <w:lang w:val="lt-LT"/>
        </w:rPr>
        <w:t xml:space="preserve"> natrio druska</w:t>
      </w:r>
    </w:p>
    <w:p w14:paraId="7DCDC6DF" w14:textId="77777777" w:rsidR="0052287E" w:rsidRPr="003F7446" w:rsidRDefault="0052287E" w:rsidP="0052287E">
      <w:pPr>
        <w:pStyle w:val="Default"/>
        <w:rPr>
          <w:bCs/>
          <w:color w:val="auto"/>
          <w:sz w:val="22"/>
          <w:szCs w:val="22"/>
          <w:lang w:val="lt-LT"/>
        </w:rPr>
      </w:pPr>
      <w:r w:rsidRPr="003F7446">
        <w:rPr>
          <w:bCs/>
          <w:color w:val="auto"/>
          <w:sz w:val="22"/>
          <w:szCs w:val="22"/>
          <w:lang w:val="lt-LT"/>
        </w:rPr>
        <w:t xml:space="preserve">Magnio </w:t>
      </w:r>
      <w:proofErr w:type="spellStart"/>
      <w:r w:rsidRPr="003F7446">
        <w:rPr>
          <w:bCs/>
          <w:color w:val="auto"/>
          <w:sz w:val="22"/>
          <w:szCs w:val="22"/>
          <w:lang w:val="lt-LT"/>
        </w:rPr>
        <w:t>stearatas</w:t>
      </w:r>
      <w:proofErr w:type="spellEnd"/>
    </w:p>
    <w:p w14:paraId="5A53511F" w14:textId="77777777" w:rsidR="0052287E" w:rsidRPr="003F7446" w:rsidRDefault="0052287E" w:rsidP="0052287E">
      <w:pPr>
        <w:pStyle w:val="Default"/>
        <w:rPr>
          <w:bCs/>
          <w:color w:val="auto"/>
          <w:sz w:val="22"/>
          <w:szCs w:val="22"/>
          <w:lang w:val="lt-LT"/>
        </w:rPr>
      </w:pPr>
      <w:r w:rsidRPr="003F7446">
        <w:rPr>
          <w:bCs/>
          <w:color w:val="auto"/>
          <w:sz w:val="22"/>
          <w:szCs w:val="22"/>
          <w:lang w:val="lt-LT"/>
        </w:rPr>
        <w:t>Koloidinis bevandenis silicio dioksidas</w:t>
      </w:r>
    </w:p>
    <w:p w14:paraId="495BF2B2" w14:textId="77777777" w:rsidR="0052287E" w:rsidRPr="003F7446" w:rsidRDefault="0052287E" w:rsidP="0052287E">
      <w:pPr>
        <w:pStyle w:val="Default"/>
        <w:rPr>
          <w:bCs/>
          <w:color w:val="auto"/>
          <w:sz w:val="22"/>
          <w:szCs w:val="22"/>
          <w:lang w:val="lt-LT"/>
        </w:rPr>
      </w:pPr>
      <w:r w:rsidRPr="003F7446">
        <w:rPr>
          <w:bCs/>
          <w:color w:val="auto"/>
          <w:sz w:val="22"/>
          <w:szCs w:val="22"/>
          <w:lang w:val="lt-LT"/>
        </w:rPr>
        <w:t>Talkas</w:t>
      </w:r>
    </w:p>
    <w:p w14:paraId="677A67BC" w14:textId="77777777" w:rsidR="0052287E" w:rsidRPr="003F7446" w:rsidRDefault="0052287E" w:rsidP="0052287E">
      <w:pPr>
        <w:pStyle w:val="Default"/>
        <w:rPr>
          <w:bCs/>
          <w:color w:val="auto"/>
          <w:sz w:val="22"/>
          <w:szCs w:val="22"/>
          <w:lang w:val="lt-LT"/>
        </w:rPr>
      </w:pPr>
    </w:p>
    <w:p w14:paraId="5DEA85AA" w14:textId="77777777" w:rsidR="0052287E" w:rsidRPr="003F7446" w:rsidRDefault="0052287E" w:rsidP="0052287E">
      <w:pPr>
        <w:pStyle w:val="Default"/>
        <w:rPr>
          <w:bCs/>
          <w:i/>
          <w:color w:val="auto"/>
          <w:sz w:val="22"/>
          <w:szCs w:val="22"/>
          <w:lang w:val="lt-LT"/>
        </w:rPr>
      </w:pPr>
      <w:r w:rsidRPr="003F7446">
        <w:rPr>
          <w:bCs/>
          <w:i/>
          <w:color w:val="auto"/>
          <w:sz w:val="22"/>
          <w:szCs w:val="22"/>
          <w:lang w:val="lt-LT"/>
        </w:rPr>
        <w:t xml:space="preserve">Tabletės plėvelė: </w:t>
      </w:r>
    </w:p>
    <w:p w14:paraId="0916B9F4" w14:textId="77777777" w:rsidR="0052287E" w:rsidRPr="003F7446" w:rsidRDefault="0052287E" w:rsidP="0052287E">
      <w:pPr>
        <w:pStyle w:val="Default"/>
        <w:rPr>
          <w:bCs/>
          <w:color w:val="auto"/>
          <w:sz w:val="22"/>
          <w:szCs w:val="22"/>
          <w:lang w:val="lt-LT"/>
        </w:rPr>
      </w:pPr>
      <w:proofErr w:type="spellStart"/>
      <w:r w:rsidRPr="003F7446">
        <w:rPr>
          <w:bCs/>
          <w:color w:val="auto"/>
          <w:sz w:val="22"/>
          <w:szCs w:val="22"/>
          <w:lang w:val="lt-LT"/>
        </w:rPr>
        <w:t>Hipromeliozė</w:t>
      </w:r>
      <w:proofErr w:type="spellEnd"/>
    </w:p>
    <w:p w14:paraId="47E88E65" w14:textId="77777777" w:rsidR="0052287E" w:rsidRPr="003F7446" w:rsidRDefault="0052287E" w:rsidP="0052287E">
      <w:pPr>
        <w:pStyle w:val="Default"/>
        <w:rPr>
          <w:bCs/>
          <w:color w:val="auto"/>
          <w:sz w:val="22"/>
          <w:szCs w:val="22"/>
          <w:lang w:val="lt-LT"/>
        </w:rPr>
      </w:pPr>
      <w:proofErr w:type="spellStart"/>
      <w:r w:rsidRPr="003F7446">
        <w:rPr>
          <w:bCs/>
          <w:color w:val="auto"/>
          <w:sz w:val="22"/>
          <w:szCs w:val="22"/>
          <w:lang w:val="lt-LT"/>
        </w:rPr>
        <w:t>Hidroksipropilceliulioze</w:t>
      </w:r>
      <w:proofErr w:type="spellEnd"/>
    </w:p>
    <w:p w14:paraId="3FABA0D8" w14:textId="77777777" w:rsidR="0052287E" w:rsidRPr="003F7446" w:rsidRDefault="0052287E" w:rsidP="0052287E">
      <w:pPr>
        <w:pStyle w:val="Default"/>
        <w:rPr>
          <w:bCs/>
          <w:color w:val="auto"/>
          <w:sz w:val="22"/>
          <w:szCs w:val="22"/>
          <w:lang w:val="lt-LT"/>
        </w:rPr>
      </w:pPr>
      <w:r w:rsidRPr="003F7446">
        <w:rPr>
          <w:bCs/>
          <w:color w:val="auto"/>
          <w:sz w:val="22"/>
          <w:szCs w:val="22"/>
          <w:lang w:val="lt-LT"/>
        </w:rPr>
        <w:t>Titano dioksidas (E171)</w:t>
      </w:r>
    </w:p>
    <w:p w14:paraId="36464461" w14:textId="77777777" w:rsidR="0052287E" w:rsidRPr="003F7446" w:rsidRDefault="0052287E" w:rsidP="0052287E">
      <w:pPr>
        <w:pStyle w:val="Default"/>
        <w:rPr>
          <w:bCs/>
          <w:color w:val="auto"/>
          <w:sz w:val="22"/>
          <w:szCs w:val="22"/>
          <w:lang w:val="lt-LT"/>
        </w:rPr>
      </w:pPr>
      <w:proofErr w:type="spellStart"/>
      <w:r w:rsidRPr="003F7446">
        <w:rPr>
          <w:bCs/>
          <w:color w:val="auto"/>
          <w:sz w:val="22"/>
          <w:szCs w:val="22"/>
          <w:lang w:val="lt-LT"/>
        </w:rPr>
        <w:t>Makrogolis</w:t>
      </w:r>
      <w:proofErr w:type="spellEnd"/>
    </w:p>
    <w:p w14:paraId="40BA02C6" w14:textId="77777777" w:rsidR="0052287E" w:rsidRPr="003F7446" w:rsidRDefault="0052287E" w:rsidP="0052287E">
      <w:pPr>
        <w:pStyle w:val="Default"/>
        <w:rPr>
          <w:bCs/>
          <w:color w:val="auto"/>
          <w:sz w:val="22"/>
          <w:szCs w:val="22"/>
          <w:lang w:val="lt-LT"/>
        </w:rPr>
      </w:pPr>
      <w:proofErr w:type="spellStart"/>
      <w:r w:rsidRPr="003F7446">
        <w:rPr>
          <w:bCs/>
          <w:color w:val="auto"/>
          <w:sz w:val="22"/>
          <w:szCs w:val="22"/>
          <w:lang w:val="lt-LT"/>
        </w:rPr>
        <w:t>Indigokarminas</w:t>
      </w:r>
      <w:proofErr w:type="spellEnd"/>
      <w:r w:rsidRPr="003F7446">
        <w:rPr>
          <w:bCs/>
          <w:color w:val="auto"/>
          <w:sz w:val="22"/>
          <w:szCs w:val="22"/>
          <w:lang w:val="lt-LT"/>
        </w:rPr>
        <w:t xml:space="preserve"> (E132)</w:t>
      </w:r>
    </w:p>
    <w:p w14:paraId="3B092EFC" w14:textId="77777777" w:rsidR="0052287E" w:rsidRPr="003F7446" w:rsidRDefault="0052287E" w:rsidP="0052287E">
      <w:pPr>
        <w:pStyle w:val="Default"/>
        <w:rPr>
          <w:bCs/>
          <w:color w:val="auto"/>
          <w:sz w:val="22"/>
          <w:szCs w:val="22"/>
          <w:lang w:val="lt-LT"/>
        </w:rPr>
      </w:pPr>
      <w:r w:rsidRPr="003F7446">
        <w:rPr>
          <w:bCs/>
          <w:color w:val="auto"/>
          <w:sz w:val="22"/>
          <w:szCs w:val="22"/>
          <w:lang w:val="lt-LT"/>
        </w:rPr>
        <w:t>Raudonasis geležies oksidas (E172)</w:t>
      </w:r>
    </w:p>
    <w:p w14:paraId="6A5C5734" w14:textId="77777777" w:rsidR="0052287E" w:rsidRPr="003F7446" w:rsidRDefault="0052287E" w:rsidP="0052287E">
      <w:pPr>
        <w:pStyle w:val="Default"/>
        <w:rPr>
          <w:color w:val="auto"/>
          <w:sz w:val="22"/>
          <w:szCs w:val="22"/>
          <w:lang w:val="lt-LT"/>
        </w:rPr>
      </w:pPr>
    </w:p>
    <w:p w14:paraId="738A680A" w14:textId="77777777" w:rsidR="0052287E" w:rsidRPr="003F7446" w:rsidRDefault="0052287E" w:rsidP="0052287E">
      <w:pPr>
        <w:pStyle w:val="Default"/>
        <w:rPr>
          <w:color w:val="auto"/>
          <w:sz w:val="22"/>
          <w:szCs w:val="22"/>
          <w:lang w:val="lt-LT"/>
        </w:rPr>
      </w:pPr>
      <w:proofErr w:type="spellStart"/>
      <w:r w:rsidRPr="003F7446">
        <w:rPr>
          <w:b/>
          <w:bCs/>
          <w:sz w:val="22"/>
          <w:szCs w:val="22"/>
          <w:lang w:val="lt-LT"/>
        </w:rPr>
        <w:lastRenderedPageBreak/>
        <w:t>Mycophenolate</w:t>
      </w:r>
      <w:proofErr w:type="spellEnd"/>
      <w:r w:rsidRPr="003F7446">
        <w:rPr>
          <w:b/>
          <w:bCs/>
          <w:sz w:val="22"/>
          <w:szCs w:val="22"/>
          <w:lang w:val="lt-LT"/>
        </w:rPr>
        <w:t xml:space="preserve"> </w:t>
      </w:r>
      <w:proofErr w:type="spellStart"/>
      <w:r w:rsidRPr="003F7446">
        <w:rPr>
          <w:b/>
          <w:bCs/>
          <w:sz w:val="22"/>
          <w:szCs w:val="22"/>
          <w:lang w:val="lt-LT"/>
        </w:rPr>
        <w:t>mofetil</w:t>
      </w:r>
      <w:proofErr w:type="spellEnd"/>
      <w:r w:rsidRPr="003F7446">
        <w:rPr>
          <w:b/>
          <w:bCs/>
          <w:sz w:val="22"/>
          <w:szCs w:val="22"/>
          <w:lang w:val="lt-LT"/>
        </w:rPr>
        <w:t xml:space="preserve"> </w:t>
      </w:r>
      <w:proofErr w:type="spellStart"/>
      <w:r w:rsidRPr="003F7446">
        <w:rPr>
          <w:b/>
          <w:bCs/>
          <w:sz w:val="22"/>
          <w:szCs w:val="22"/>
          <w:lang w:val="lt-LT"/>
        </w:rPr>
        <w:t>Ranbaxy</w:t>
      </w:r>
      <w:proofErr w:type="spellEnd"/>
      <w:r w:rsidRPr="003F7446">
        <w:rPr>
          <w:b/>
          <w:bCs/>
          <w:color w:val="auto"/>
          <w:sz w:val="22"/>
          <w:szCs w:val="22"/>
          <w:lang w:val="lt-LT"/>
        </w:rPr>
        <w:t xml:space="preserve"> išvaizda ir kiekis pakuotėje </w:t>
      </w:r>
    </w:p>
    <w:p w14:paraId="1FC63508" w14:textId="77777777" w:rsidR="0052287E" w:rsidRPr="003F7446" w:rsidRDefault="0052287E" w:rsidP="0052287E">
      <w:pPr>
        <w:pStyle w:val="Default"/>
        <w:rPr>
          <w:color w:val="auto"/>
          <w:sz w:val="22"/>
          <w:szCs w:val="22"/>
          <w:lang w:val="lt-LT"/>
        </w:rPr>
      </w:pPr>
    </w:p>
    <w:p w14:paraId="11ED2EE1" w14:textId="77777777" w:rsidR="0052287E" w:rsidRPr="003F7446" w:rsidRDefault="0052287E" w:rsidP="0052287E">
      <w:pPr>
        <w:pStyle w:val="Default"/>
        <w:rPr>
          <w:color w:val="auto"/>
          <w:sz w:val="22"/>
          <w:szCs w:val="22"/>
          <w:lang w:val="lt-LT"/>
        </w:rPr>
      </w:pPr>
      <w:r w:rsidRPr="003F7446">
        <w:rPr>
          <w:color w:val="auto"/>
          <w:sz w:val="22"/>
          <w:szCs w:val="22"/>
          <w:lang w:val="lt-LT"/>
        </w:rPr>
        <w:t>Tabletės yra šviesiai violetinės arba violetinės spalvos, kapsulės formos, dengtos plėvele. Vienoje jų pusėje įspausta RG66, o kita pusė lygi.</w:t>
      </w:r>
    </w:p>
    <w:p w14:paraId="532C1F57" w14:textId="77777777" w:rsidR="0052287E" w:rsidRPr="003F7446" w:rsidRDefault="0052287E" w:rsidP="0052287E">
      <w:pPr>
        <w:pStyle w:val="Default"/>
        <w:rPr>
          <w:color w:val="auto"/>
          <w:sz w:val="22"/>
          <w:szCs w:val="22"/>
          <w:lang w:val="lt-LT"/>
        </w:rPr>
      </w:pPr>
    </w:p>
    <w:p w14:paraId="5EBB2FE2" w14:textId="77777777" w:rsidR="0052287E" w:rsidRPr="003F7446" w:rsidRDefault="0052287E" w:rsidP="0052287E">
      <w:pPr>
        <w:pStyle w:val="Default"/>
        <w:rPr>
          <w:sz w:val="22"/>
          <w:szCs w:val="22"/>
          <w:lang w:val="lt-LT"/>
        </w:rPr>
      </w:pPr>
      <w:r w:rsidRPr="003F7446">
        <w:rPr>
          <w:sz w:val="22"/>
          <w:szCs w:val="22"/>
          <w:lang w:val="lt-LT"/>
        </w:rPr>
        <w:t xml:space="preserve">50 arba 150 plėvele dengtų tablečių </w:t>
      </w:r>
      <w:r w:rsidRPr="003F7446">
        <w:rPr>
          <w:sz w:val="22"/>
          <w:szCs w:val="22"/>
          <w:lang w:val="lt-LT" w:eastAsia="fr-FR"/>
        </w:rPr>
        <w:t>(PVC/PA/aliuminio) šaltu būdu suformuotoje lizdinėje plokštelėje.</w:t>
      </w:r>
    </w:p>
    <w:p w14:paraId="4E28E4CA" w14:textId="77777777" w:rsidR="0052287E" w:rsidRPr="003F7446" w:rsidRDefault="0052287E" w:rsidP="0052287E">
      <w:pPr>
        <w:pStyle w:val="Default"/>
        <w:ind w:left="560" w:hanging="560"/>
        <w:rPr>
          <w:sz w:val="22"/>
          <w:szCs w:val="22"/>
          <w:lang w:val="lt-LT"/>
        </w:rPr>
      </w:pPr>
      <w:r w:rsidRPr="003F7446">
        <w:rPr>
          <w:sz w:val="22"/>
          <w:szCs w:val="22"/>
          <w:lang w:val="lt-LT"/>
        </w:rPr>
        <w:t>Gali būti tiekiamos ne visų dydžių pakuotės.</w:t>
      </w:r>
    </w:p>
    <w:p w14:paraId="11DE049C" w14:textId="77777777" w:rsidR="0052287E" w:rsidRPr="003F7446" w:rsidRDefault="0052287E" w:rsidP="0052287E">
      <w:pPr>
        <w:pStyle w:val="Default"/>
        <w:rPr>
          <w:b/>
          <w:bCs/>
          <w:color w:val="auto"/>
          <w:sz w:val="22"/>
          <w:szCs w:val="22"/>
          <w:lang w:val="lt-LT"/>
        </w:rPr>
      </w:pPr>
    </w:p>
    <w:p w14:paraId="0D638561" w14:textId="77777777" w:rsidR="0052287E" w:rsidRPr="003F7446" w:rsidRDefault="0052287E" w:rsidP="0052287E">
      <w:pPr>
        <w:pStyle w:val="PI-3EMEASMCA"/>
        <w:spacing w:line="240" w:lineRule="auto"/>
      </w:pPr>
      <w:r w:rsidRPr="003F7446">
        <w:t>Rinkodaros teisės turėtojas ir gamintojas</w:t>
      </w:r>
    </w:p>
    <w:p w14:paraId="3E009043" w14:textId="77777777" w:rsidR="0052287E" w:rsidRPr="003F7446" w:rsidRDefault="0052287E" w:rsidP="0052287E">
      <w:pPr>
        <w:rPr>
          <w:szCs w:val="22"/>
        </w:rPr>
      </w:pPr>
    </w:p>
    <w:p w14:paraId="36AB32C2" w14:textId="77777777" w:rsidR="0052287E" w:rsidRPr="003F7446" w:rsidRDefault="0052287E" w:rsidP="0052287E">
      <w:pPr>
        <w:rPr>
          <w:i/>
          <w:szCs w:val="22"/>
        </w:rPr>
      </w:pPr>
      <w:r w:rsidRPr="003F7446">
        <w:rPr>
          <w:i/>
          <w:szCs w:val="22"/>
        </w:rPr>
        <w:t>Rinkodaros teisės turėtojas:</w:t>
      </w:r>
    </w:p>
    <w:p w14:paraId="60C6FCD7" w14:textId="77777777" w:rsidR="0052287E" w:rsidRPr="003F7446" w:rsidRDefault="0052287E" w:rsidP="0052287E">
      <w:pPr>
        <w:autoSpaceDE w:val="0"/>
        <w:autoSpaceDN w:val="0"/>
        <w:adjustRightInd w:val="0"/>
        <w:rPr>
          <w:bCs/>
          <w:szCs w:val="22"/>
        </w:rPr>
      </w:pPr>
      <w:proofErr w:type="spellStart"/>
      <w:r w:rsidRPr="003F7446">
        <w:rPr>
          <w:bCs/>
          <w:szCs w:val="22"/>
        </w:rPr>
        <w:t>Ranbaxy</w:t>
      </w:r>
      <w:proofErr w:type="spellEnd"/>
      <w:r w:rsidRPr="003F7446">
        <w:rPr>
          <w:bCs/>
          <w:szCs w:val="22"/>
        </w:rPr>
        <w:t xml:space="preserve"> UK Ltd.</w:t>
      </w:r>
    </w:p>
    <w:p w14:paraId="4CDE9F11" w14:textId="77777777" w:rsidR="0052287E" w:rsidRPr="003F7446" w:rsidRDefault="0052287E" w:rsidP="0052287E">
      <w:pPr>
        <w:autoSpaceDE w:val="0"/>
        <w:autoSpaceDN w:val="0"/>
        <w:adjustRightInd w:val="0"/>
        <w:ind w:left="1296" w:hanging="1296"/>
        <w:rPr>
          <w:bCs/>
          <w:szCs w:val="22"/>
        </w:rPr>
      </w:pPr>
      <w:proofErr w:type="spellStart"/>
      <w:r w:rsidRPr="003F7446">
        <w:rPr>
          <w:bCs/>
          <w:szCs w:val="22"/>
        </w:rPr>
        <w:t>Building</w:t>
      </w:r>
      <w:proofErr w:type="spellEnd"/>
      <w:r w:rsidRPr="003F7446">
        <w:rPr>
          <w:bCs/>
          <w:szCs w:val="22"/>
        </w:rPr>
        <w:t xml:space="preserve"> 4 </w:t>
      </w:r>
      <w:proofErr w:type="spellStart"/>
      <w:r w:rsidRPr="003F7446">
        <w:rPr>
          <w:bCs/>
          <w:szCs w:val="22"/>
        </w:rPr>
        <w:t>Chiswick</w:t>
      </w:r>
      <w:proofErr w:type="spellEnd"/>
      <w:r w:rsidRPr="003F7446">
        <w:rPr>
          <w:bCs/>
          <w:szCs w:val="22"/>
        </w:rPr>
        <w:t xml:space="preserve"> </w:t>
      </w:r>
      <w:proofErr w:type="spellStart"/>
      <w:r w:rsidRPr="003F7446">
        <w:rPr>
          <w:bCs/>
          <w:szCs w:val="22"/>
        </w:rPr>
        <w:t>Park</w:t>
      </w:r>
      <w:proofErr w:type="spellEnd"/>
      <w:r w:rsidRPr="003F7446">
        <w:rPr>
          <w:bCs/>
          <w:szCs w:val="22"/>
        </w:rPr>
        <w:t xml:space="preserve">, </w:t>
      </w:r>
    </w:p>
    <w:p w14:paraId="13893CA6" w14:textId="77777777" w:rsidR="0052287E" w:rsidRPr="003F7446" w:rsidRDefault="0052287E" w:rsidP="0052287E">
      <w:pPr>
        <w:autoSpaceDE w:val="0"/>
        <w:autoSpaceDN w:val="0"/>
        <w:adjustRightInd w:val="0"/>
        <w:ind w:left="1296" w:hanging="1296"/>
        <w:rPr>
          <w:rFonts w:eastAsia="MS Mincho"/>
          <w:bCs/>
          <w:szCs w:val="22"/>
          <w:lang w:eastAsia="ja-JP"/>
        </w:rPr>
      </w:pPr>
      <w:r w:rsidRPr="003F7446">
        <w:rPr>
          <w:rFonts w:eastAsia="MS Mincho"/>
          <w:bCs/>
          <w:szCs w:val="22"/>
          <w:lang w:eastAsia="ja-JP"/>
        </w:rPr>
        <w:t xml:space="preserve">566 </w:t>
      </w:r>
      <w:proofErr w:type="spellStart"/>
      <w:r w:rsidRPr="003F7446">
        <w:rPr>
          <w:rFonts w:eastAsia="MS Mincho"/>
          <w:bCs/>
          <w:szCs w:val="22"/>
          <w:lang w:eastAsia="ja-JP"/>
        </w:rPr>
        <w:t>Chiswick</w:t>
      </w:r>
      <w:proofErr w:type="spellEnd"/>
      <w:r w:rsidRPr="003F7446">
        <w:rPr>
          <w:rFonts w:eastAsia="MS Mincho"/>
          <w:bCs/>
          <w:szCs w:val="22"/>
          <w:lang w:eastAsia="ja-JP"/>
        </w:rPr>
        <w:t xml:space="preserve"> </w:t>
      </w:r>
      <w:proofErr w:type="spellStart"/>
      <w:r w:rsidRPr="003F7446">
        <w:rPr>
          <w:rFonts w:eastAsia="MS Mincho"/>
          <w:bCs/>
          <w:szCs w:val="22"/>
          <w:lang w:eastAsia="ja-JP"/>
        </w:rPr>
        <w:t>High</w:t>
      </w:r>
      <w:proofErr w:type="spellEnd"/>
      <w:r w:rsidRPr="003F7446">
        <w:rPr>
          <w:rFonts w:eastAsia="MS Mincho"/>
          <w:bCs/>
          <w:szCs w:val="22"/>
          <w:lang w:eastAsia="ja-JP"/>
        </w:rPr>
        <w:t xml:space="preserve"> </w:t>
      </w:r>
      <w:proofErr w:type="spellStart"/>
      <w:r w:rsidRPr="003F7446">
        <w:rPr>
          <w:rFonts w:eastAsia="MS Mincho"/>
          <w:bCs/>
          <w:szCs w:val="22"/>
          <w:lang w:eastAsia="ja-JP"/>
        </w:rPr>
        <w:t>Road</w:t>
      </w:r>
      <w:proofErr w:type="spellEnd"/>
    </w:p>
    <w:p w14:paraId="12E86E3F" w14:textId="77777777" w:rsidR="0052287E" w:rsidRPr="003F7446" w:rsidRDefault="0052287E" w:rsidP="0052287E">
      <w:pPr>
        <w:autoSpaceDE w:val="0"/>
        <w:autoSpaceDN w:val="0"/>
        <w:adjustRightInd w:val="0"/>
        <w:rPr>
          <w:bCs/>
          <w:szCs w:val="22"/>
        </w:rPr>
      </w:pPr>
      <w:proofErr w:type="spellStart"/>
      <w:r w:rsidRPr="003F7446">
        <w:rPr>
          <w:bCs/>
          <w:szCs w:val="22"/>
        </w:rPr>
        <w:t>London</w:t>
      </w:r>
      <w:proofErr w:type="spellEnd"/>
      <w:r w:rsidRPr="003F7446">
        <w:rPr>
          <w:bCs/>
          <w:szCs w:val="22"/>
        </w:rPr>
        <w:t xml:space="preserve"> W4 5YE</w:t>
      </w:r>
    </w:p>
    <w:p w14:paraId="79DA145D" w14:textId="77777777" w:rsidR="0052287E" w:rsidRPr="003F7446" w:rsidRDefault="0052287E" w:rsidP="0052287E">
      <w:pPr>
        <w:pStyle w:val="BTEMEASMCA"/>
        <w:rPr>
          <w:rFonts w:ascii="Times New Roman" w:hAnsi="Times New Roman" w:cs="Times New Roman"/>
        </w:rPr>
      </w:pPr>
      <w:r w:rsidRPr="003F7446">
        <w:rPr>
          <w:rFonts w:ascii="Times New Roman" w:hAnsi="Times New Roman" w:cs="Times New Roman"/>
        </w:rPr>
        <w:t>Jungtinė Karalystė</w:t>
      </w:r>
    </w:p>
    <w:p w14:paraId="3E4C3DCE" w14:textId="77777777" w:rsidR="0052287E" w:rsidRPr="003F7446" w:rsidRDefault="0052287E" w:rsidP="0052287E">
      <w:pPr>
        <w:rPr>
          <w:szCs w:val="22"/>
          <w:highlight w:val="yellow"/>
        </w:rPr>
      </w:pPr>
    </w:p>
    <w:p w14:paraId="0DEBD1CB" w14:textId="77777777" w:rsidR="0052287E" w:rsidRPr="003F7446" w:rsidRDefault="0052287E" w:rsidP="0052287E">
      <w:pPr>
        <w:pStyle w:val="Pagrindinistekstas"/>
        <w:spacing w:after="0"/>
        <w:rPr>
          <w:i/>
          <w:szCs w:val="22"/>
        </w:rPr>
      </w:pPr>
      <w:r w:rsidRPr="003F7446">
        <w:rPr>
          <w:rFonts w:eastAsia="Batang"/>
          <w:bCs/>
          <w:i/>
          <w:szCs w:val="22"/>
          <w:lang w:eastAsia="ko-KR"/>
        </w:rPr>
        <w:t>Gamintojas</w:t>
      </w:r>
    </w:p>
    <w:p w14:paraId="2ADC16F0" w14:textId="77777777" w:rsidR="0052287E" w:rsidRPr="003F7446" w:rsidRDefault="0052287E" w:rsidP="0052287E">
      <w:pPr>
        <w:rPr>
          <w:szCs w:val="22"/>
        </w:rPr>
      </w:pPr>
      <w:proofErr w:type="spellStart"/>
      <w:r w:rsidRPr="003F7446">
        <w:rPr>
          <w:szCs w:val="22"/>
        </w:rPr>
        <w:t>Ranbaxy</w:t>
      </w:r>
      <w:proofErr w:type="spellEnd"/>
      <w:r w:rsidRPr="003F7446">
        <w:rPr>
          <w:szCs w:val="22"/>
        </w:rPr>
        <w:t xml:space="preserve"> </w:t>
      </w:r>
      <w:proofErr w:type="spellStart"/>
      <w:r w:rsidRPr="003F7446">
        <w:rPr>
          <w:szCs w:val="22"/>
        </w:rPr>
        <w:t>Ireland</w:t>
      </w:r>
      <w:proofErr w:type="spellEnd"/>
      <w:r w:rsidRPr="003F7446">
        <w:rPr>
          <w:szCs w:val="22"/>
        </w:rPr>
        <w:t xml:space="preserve"> </w:t>
      </w:r>
      <w:proofErr w:type="spellStart"/>
      <w:r w:rsidRPr="003F7446">
        <w:rPr>
          <w:szCs w:val="22"/>
        </w:rPr>
        <w:t>Limited</w:t>
      </w:r>
      <w:proofErr w:type="spellEnd"/>
    </w:p>
    <w:p w14:paraId="5868C5E2" w14:textId="77777777" w:rsidR="0052287E" w:rsidRPr="003F7446" w:rsidRDefault="0052287E" w:rsidP="0052287E">
      <w:pPr>
        <w:rPr>
          <w:szCs w:val="22"/>
        </w:rPr>
      </w:pPr>
      <w:proofErr w:type="spellStart"/>
      <w:r w:rsidRPr="003F7446">
        <w:rPr>
          <w:szCs w:val="22"/>
        </w:rPr>
        <w:t>Spafield</w:t>
      </w:r>
      <w:proofErr w:type="spellEnd"/>
      <w:r w:rsidRPr="003F7446">
        <w:rPr>
          <w:szCs w:val="22"/>
        </w:rPr>
        <w:t xml:space="preserve">, </w:t>
      </w:r>
      <w:proofErr w:type="spellStart"/>
      <w:r w:rsidRPr="003F7446">
        <w:rPr>
          <w:szCs w:val="22"/>
        </w:rPr>
        <w:t>Cork</w:t>
      </w:r>
      <w:proofErr w:type="spellEnd"/>
      <w:r w:rsidRPr="003F7446">
        <w:rPr>
          <w:szCs w:val="22"/>
        </w:rPr>
        <w:t xml:space="preserve"> </w:t>
      </w:r>
      <w:proofErr w:type="spellStart"/>
      <w:r w:rsidRPr="003F7446">
        <w:rPr>
          <w:szCs w:val="22"/>
        </w:rPr>
        <w:t>Road</w:t>
      </w:r>
      <w:proofErr w:type="spellEnd"/>
    </w:p>
    <w:p w14:paraId="467C60FE" w14:textId="77777777" w:rsidR="0052287E" w:rsidRPr="003F7446" w:rsidRDefault="0052287E" w:rsidP="0052287E">
      <w:pPr>
        <w:rPr>
          <w:szCs w:val="22"/>
        </w:rPr>
      </w:pPr>
      <w:proofErr w:type="spellStart"/>
      <w:r w:rsidRPr="003F7446">
        <w:rPr>
          <w:szCs w:val="22"/>
        </w:rPr>
        <w:t>Cashel</w:t>
      </w:r>
      <w:proofErr w:type="spellEnd"/>
      <w:r w:rsidRPr="003F7446">
        <w:rPr>
          <w:szCs w:val="22"/>
        </w:rPr>
        <w:t xml:space="preserve">, </w:t>
      </w:r>
      <w:proofErr w:type="spellStart"/>
      <w:r w:rsidRPr="003F7446">
        <w:rPr>
          <w:szCs w:val="22"/>
        </w:rPr>
        <w:t>Co-Tipperary</w:t>
      </w:r>
      <w:proofErr w:type="spellEnd"/>
    </w:p>
    <w:p w14:paraId="2CA1CDB6" w14:textId="77777777" w:rsidR="0052287E" w:rsidRPr="003F7446" w:rsidRDefault="0052287E" w:rsidP="0052287E">
      <w:pPr>
        <w:rPr>
          <w:szCs w:val="22"/>
        </w:rPr>
      </w:pPr>
      <w:r w:rsidRPr="003F7446">
        <w:rPr>
          <w:szCs w:val="22"/>
        </w:rPr>
        <w:t>Airija</w:t>
      </w:r>
    </w:p>
    <w:p w14:paraId="565D8600" w14:textId="77777777" w:rsidR="0052287E" w:rsidRPr="003F7446" w:rsidRDefault="0052287E" w:rsidP="0052287E">
      <w:pPr>
        <w:rPr>
          <w:szCs w:val="22"/>
        </w:rPr>
      </w:pPr>
    </w:p>
    <w:p w14:paraId="5CEA8165" w14:textId="77777777" w:rsidR="0052287E" w:rsidRPr="003F7446" w:rsidRDefault="0052287E" w:rsidP="0052287E">
      <w:pPr>
        <w:rPr>
          <w:szCs w:val="22"/>
          <w:lang w:val="en-GB"/>
        </w:rPr>
      </w:pPr>
      <w:r w:rsidRPr="003F7446">
        <w:rPr>
          <w:szCs w:val="22"/>
        </w:rPr>
        <w:t>arba</w:t>
      </w:r>
      <w:r w:rsidRPr="003F7446">
        <w:rPr>
          <w:szCs w:val="22"/>
          <w:lang w:val="en-GB"/>
        </w:rPr>
        <w:t xml:space="preserve"> </w:t>
      </w:r>
    </w:p>
    <w:p w14:paraId="2B72DFE7" w14:textId="77777777" w:rsidR="0052287E" w:rsidRPr="003F7446" w:rsidRDefault="0052287E" w:rsidP="0052287E">
      <w:pPr>
        <w:rPr>
          <w:szCs w:val="22"/>
          <w:lang w:val="en-GB"/>
        </w:rPr>
      </w:pPr>
    </w:p>
    <w:p w14:paraId="71045D15" w14:textId="77777777" w:rsidR="0052287E" w:rsidRPr="003F7446" w:rsidRDefault="0052287E" w:rsidP="0052287E">
      <w:pPr>
        <w:autoSpaceDE w:val="0"/>
        <w:autoSpaceDN w:val="0"/>
        <w:adjustRightInd w:val="0"/>
        <w:rPr>
          <w:szCs w:val="22"/>
          <w:lang w:val="en-GB" w:eastAsia="fr-FR"/>
        </w:rPr>
      </w:pPr>
      <w:r w:rsidRPr="003F7446">
        <w:rPr>
          <w:szCs w:val="22"/>
          <w:lang w:val="en-GB" w:eastAsia="fr-FR"/>
        </w:rPr>
        <w:t xml:space="preserve">Ranbaxy </w:t>
      </w:r>
      <w:proofErr w:type="spellStart"/>
      <w:r w:rsidRPr="003F7446">
        <w:rPr>
          <w:szCs w:val="22"/>
          <w:lang w:val="en-GB" w:eastAsia="fr-FR"/>
        </w:rPr>
        <w:t>Pharmacie</w:t>
      </w:r>
      <w:proofErr w:type="spellEnd"/>
      <w:r w:rsidRPr="003F7446">
        <w:rPr>
          <w:szCs w:val="22"/>
          <w:lang w:val="en-GB" w:eastAsia="fr-FR"/>
        </w:rPr>
        <w:t xml:space="preserve"> </w:t>
      </w:r>
      <w:proofErr w:type="spellStart"/>
      <w:r w:rsidRPr="003F7446">
        <w:rPr>
          <w:szCs w:val="22"/>
          <w:lang w:val="en-GB" w:eastAsia="fr-FR"/>
        </w:rPr>
        <w:t>Generiques</w:t>
      </w:r>
      <w:proofErr w:type="spellEnd"/>
    </w:p>
    <w:p w14:paraId="4F73E95C" w14:textId="77777777" w:rsidR="0052287E" w:rsidRPr="003F7446" w:rsidRDefault="0052287E" w:rsidP="0052287E">
      <w:pPr>
        <w:autoSpaceDE w:val="0"/>
        <w:autoSpaceDN w:val="0"/>
        <w:adjustRightInd w:val="0"/>
        <w:rPr>
          <w:szCs w:val="22"/>
          <w:lang w:val="fr-FR" w:eastAsia="fr-FR"/>
        </w:rPr>
      </w:pPr>
      <w:r w:rsidRPr="003F7446">
        <w:rPr>
          <w:szCs w:val="22"/>
          <w:lang w:val="fr-FR" w:eastAsia="fr-FR"/>
        </w:rPr>
        <w:t>11-15 quai de Dion Bouton</w:t>
      </w:r>
    </w:p>
    <w:p w14:paraId="2CCC5CA5" w14:textId="77777777" w:rsidR="0052287E" w:rsidRPr="003F7446" w:rsidRDefault="0052287E" w:rsidP="0052287E">
      <w:pPr>
        <w:autoSpaceDE w:val="0"/>
        <w:autoSpaceDN w:val="0"/>
        <w:adjustRightInd w:val="0"/>
        <w:rPr>
          <w:szCs w:val="22"/>
          <w:lang w:eastAsia="fr-FR"/>
        </w:rPr>
      </w:pPr>
      <w:r w:rsidRPr="003F7446">
        <w:rPr>
          <w:szCs w:val="22"/>
          <w:lang w:eastAsia="fr-FR"/>
        </w:rPr>
        <w:t xml:space="preserve">92800 </w:t>
      </w:r>
      <w:proofErr w:type="spellStart"/>
      <w:r w:rsidRPr="003F7446">
        <w:rPr>
          <w:szCs w:val="22"/>
          <w:lang w:eastAsia="fr-FR"/>
        </w:rPr>
        <w:t>Puteaux</w:t>
      </w:r>
      <w:proofErr w:type="spellEnd"/>
    </w:p>
    <w:p w14:paraId="370AE0D6" w14:textId="77777777" w:rsidR="0052287E" w:rsidRPr="003F7446" w:rsidRDefault="0052287E" w:rsidP="0052287E">
      <w:pPr>
        <w:autoSpaceDE w:val="0"/>
        <w:autoSpaceDN w:val="0"/>
        <w:adjustRightInd w:val="0"/>
        <w:rPr>
          <w:szCs w:val="22"/>
          <w:lang w:eastAsia="fr-FR"/>
        </w:rPr>
      </w:pPr>
      <w:r w:rsidRPr="003F7446">
        <w:rPr>
          <w:szCs w:val="22"/>
          <w:lang w:eastAsia="fr-FR"/>
        </w:rPr>
        <w:t>Prancūzija</w:t>
      </w:r>
    </w:p>
    <w:p w14:paraId="376042BE" w14:textId="77777777" w:rsidR="0052287E" w:rsidRPr="003F7446" w:rsidRDefault="0052287E" w:rsidP="0052287E">
      <w:pPr>
        <w:rPr>
          <w:szCs w:val="22"/>
          <w:lang w:val="pt-PT"/>
        </w:rPr>
      </w:pPr>
    </w:p>
    <w:p w14:paraId="02ED3411" w14:textId="77777777" w:rsidR="0052287E" w:rsidRPr="003F7446" w:rsidRDefault="0052287E" w:rsidP="0052287E">
      <w:pPr>
        <w:rPr>
          <w:szCs w:val="22"/>
        </w:rPr>
      </w:pPr>
      <w:r w:rsidRPr="003F7446">
        <w:rPr>
          <w:szCs w:val="22"/>
        </w:rPr>
        <w:t>arba</w:t>
      </w:r>
    </w:p>
    <w:p w14:paraId="60F316C3" w14:textId="77777777" w:rsidR="0052287E" w:rsidRPr="003F7446" w:rsidRDefault="0052287E" w:rsidP="0052287E">
      <w:pPr>
        <w:rPr>
          <w:szCs w:val="22"/>
        </w:rPr>
      </w:pPr>
    </w:p>
    <w:p w14:paraId="68BD2596" w14:textId="77777777" w:rsidR="0052287E" w:rsidRPr="003F7446" w:rsidRDefault="0052287E" w:rsidP="0052287E">
      <w:pPr>
        <w:rPr>
          <w:szCs w:val="22"/>
        </w:rPr>
      </w:pPr>
      <w:proofErr w:type="spellStart"/>
      <w:r w:rsidRPr="003F7446">
        <w:rPr>
          <w:szCs w:val="22"/>
        </w:rPr>
        <w:t>Terapia</w:t>
      </w:r>
      <w:proofErr w:type="spellEnd"/>
      <w:r w:rsidRPr="003F7446">
        <w:rPr>
          <w:szCs w:val="22"/>
        </w:rPr>
        <w:t xml:space="preserve"> S.A.</w:t>
      </w:r>
    </w:p>
    <w:p w14:paraId="3B57C7CE" w14:textId="77777777" w:rsidR="0052287E" w:rsidRPr="003F7446" w:rsidRDefault="0052287E" w:rsidP="0052287E">
      <w:pPr>
        <w:rPr>
          <w:szCs w:val="22"/>
        </w:rPr>
      </w:pPr>
      <w:r w:rsidRPr="003F7446">
        <w:rPr>
          <w:szCs w:val="22"/>
        </w:rPr>
        <w:t xml:space="preserve">124 </w:t>
      </w:r>
      <w:proofErr w:type="spellStart"/>
      <w:r w:rsidRPr="003F7446">
        <w:rPr>
          <w:szCs w:val="22"/>
        </w:rPr>
        <w:t>Fabricii</w:t>
      </w:r>
      <w:proofErr w:type="spellEnd"/>
      <w:r w:rsidRPr="003F7446">
        <w:rPr>
          <w:szCs w:val="22"/>
        </w:rPr>
        <w:t xml:space="preserve"> </w:t>
      </w:r>
      <w:proofErr w:type="spellStart"/>
      <w:r w:rsidRPr="003F7446">
        <w:rPr>
          <w:szCs w:val="22"/>
        </w:rPr>
        <w:t>Street</w:t>
      </w:r>
      <w:proofErr w:type="spellEnd"/>
    </w:p>
    <w:p w14:paraId="3198FB49" w14:textId="77777777" w:rsidR="0052287E" w:rsidRPr="003F7446" w:rsidRDefault="0052287E" w:rsidP="0052287E">
      <w:pPr>
        <w:rPr>
          <w:szCs w:val="22"/>
        </w:rPr>
      </w:pPr>
      <w:proofErr w:type="spellStart"/>
      <w:r w:rsidRPr="003F7446">
        <w:rPr>
          <w:szCs w:val="22"/>
        </w:rPr>
        <w:t>Cluj</w:t>
      </w:r>
      <w:proofErr w:type="spellEnd"/>
      <w:r w:rsidRPr="003F7446">
        <w:rPr>
          <w:szCs w:val="22"/>
        </w:rPr>
        <w:t xml:space="preserve"> </w:t>
      </w:r>
      <w:proofErr w:type="spellStart"/>
      <w:r w:rsidRPr="003F7446">
        <w:rPr>
          <w:szCs w:val="22"/>
        </w:rPr>
        <w:t>Napoca</w:t>
      </w:r>
      <w:proofErr w:type="spellEnd"/>
    </w:p>
    <w:p w14:paraId="54ECE401" w14:textId="77777777" w:rsidR="0052287E" w:rsidRPr="003F7446" w:rsidRDefault="0052287E" w:rsidP="0052287E">
      <w:pPr>
        <w:rPr>
          <w:szCs w:val="22"/>
        </w:rPr>
      </w:pPr>
      <w:r w:rsidRPr="003F7446">
        <w:rPr>
          <w:szCs w:val="22"/>
        </w:rPr>
        <w:t>Rumunija</w:t>
      </w:r>
    </w:p>
    <w:p w14:paraId="1EF3D4F4" w14:textId="77777777" w:rsidR="0052287E" w:rsidRPr="003F7446" w:rsidRDefault="0052287E" w:rsidP="0052287E">
      <w:pPr>
        <w:rPr>
          <w:szCs w:val="22"/>
        </w:rPr>
      </w:pPr>
    </w:p>
    <w:p w14:paraId="0B3D5F46" w14:textId="77777777" w:rsidR="0052287E" w:rsidRPr="003F7446" w:rsidRDefault="0052287E" w:rsidP="0052287E">
      <w:pPr>
        <w:rPr>
          <w:szCs w:val="22"/>
        </w:rPr>
      </w:pPr>
      <w:r w:rsidRPr="003F7446">
        <w:rPr>
          <w:szCs w:val="22"/>
        </w:rPr>
        <w:t>arba</w:t>
      </w:r>
    </w:p>
    <w:p w14:paraId="4C7CB09C" w14:textId="77777777" w:rsidR="0052287E" w:rsidRPr="003F7446" w:rsidRDefault="0052287E" w:rsidP="0052287E">
      <w:pPr>
        <w:rPr>
          <w:szCs w:val="22"/>
        </w:rPr>
      </w:pPr>
    </w:p>
    <w:p w14:paraId="669022A4" w14:textId="77777777" w:rsidR="0052287E" w:rsidRPr="003F7446" w:rsidRDefault="0052287E" w:rsidP="0052287E">
      <w:pPr>
        <w:autoSpaceDE w:val="0"/>
        <w:autoSpaceDN w:val="0"/>
        <w:adjustRightInd w:val="0"/>
        <w:rPr>
          <w:szCs w:val="22"/>
          <w:lang w:eastAsia="fr-FR"/>
        </w:rPr>
      </w:pPr>
      <w:proofErr w:type="spellStart"/>
      <w:r w:rsidRPr="003F7446">
        <w:rPr>
          <w:szCs w:val="22"/>
          <w:lang w:eastAsia="fr-FR"/>
        </w:rPr>
        <w:t>Basics</w:t>
      </w:r>
      <w:proofErr w:type="spellEnd"/>
      <w:r w:rsidRPr="003F7446">
        <w:rPr>
          <w:szCs w:val="22"/>
          <w:lang w:eastAsia="fr-FR"/>
        </w:rPr>
        <w:t xml:space="preserve"> </w:t>
      </w:r>
      <w:proofErr w:type="spellStart"/>
      <w:r w:rsidRPr="003F7446">
        <w:rPr>
          <w:szCs w:val="22"/>
          <w:lang w:eastAsia="fr-FR"/>
        </w:rPr>
        <w:t>Gmbh</w:t>
      </w:r>
      <w:proofErr w:type="spellEnd"/>
    </w:p>
    <w:p w14:paraId="428DE2D7" w14:textId="77777777" w:rsidR="0052287E" w:rsidRPr="003F7446" w:rsidRDefault="0052287E" w:rsidP="0052287E">
      <w:pPr>
        <w:autoSpaceDE w:val="0"/>
        <w:autoSpaceDN w:val="0"/>
        <w:adjustRightInd w:val="0"/>
        <w:rPr>
          <w:szCs w:val="22"/>
          <w:lang w:eastAsia="fr-FR"/>
        </w:rPr>
      </w:pPr>
      <w:proofErr w:type="spellStart"/>
      <w:r w:rsidRPr="003F7446">
        <w:rPr>
          <w:szCs w:val="22"/>
          <w:lang w:eastAsia="fr-FR"/>
        </w:rPr>
        <w:t>Hemmelrather</w:t>
      </w:r>
      <w:proofErr w:type="spellEnd"/>
      <w:r w:rsidRPr="003F7446">
        <w:rPr>
          <w:szCs w:val="22"/>
          <w:lang w:eastAsia="fr-FR"/>
        </w:rPr>
        <w:t xml:space="preserve"> </w:t>
      </w:r>
      <w:proofErr w:type="spellStart"/>
      <w:r w:rsidRPr="003F7446">
        <w:rPr>
          <w:szCs w:val="22"/>
          <w:lang w:eastAsia="fr-FR"/>
        </w:rPr>
        <w:t>Weg</w:t>
      </w:r>
      <w:proofErr w:type="spellEnd"/>
      <w:r w:rsidRPr="003F7446">
        <w:rPr>
          <w:szCs w:val="22"/>
          <w:lang w:eastAsia="fr-FR"/>
        </w:rPr>
        <w:t xml:space="preserve"> 201</w:t>
      </w:r>
    </w:p>
    <w:p w14:paraId="58443635" w14:textId="77777777" w:rsidR="0052287E" w:rsidRPr="003F7446" w:rsidRDefault="0052287E" w:rsidP="0052287E">
      <w:pPr>
        <w:autoSpaceDE w:val="0"/>
        <w:autoSpaceDN w:val="0"/>
        <w:adjustRightInd w:val="0"/>
        <w:rPr>
          <w:szCs w:val="22"/>
          <w:lang w:val="de-DE" w:eastAsia="fr-FR"/>
        </w:rPr>
      </w:pPr>
      <w:r w:rsidRPr="003F7446">
        <w:rPr>
          <w:szCs w:val="22"/>
          <w:lang w:val="de-DE" w:eastAsia="fr-FR"/>
        </w:rPr>
        <w:t>D-51377 Leverkusen</w:t>
      </w:r>
    </w:p>
    <w:p w14:paraId="4BE082DE" w14:textId="77777777" w:rsidR="0052287E" w:rsidRPr="003F7446" w:rsidRDefault="0052287E" w:rsidP="0052287E">
      <w:pPr>
        <w:autoSpaceDE w:val="0"/>
        <w:autoSpaceDN w:val="0"/>
        <w:adjustRightInd w:val="0"/>
        <w:rPr>
          <w:szCs w:val="22"/>
          <w:lang w:val="de-DE" w:eastAsia="fr-FR"/>
        </w:rPr>
      </w:pPr>
      <w:proofErr w:type="spellStart"/>
      <w:r w:rsidRPr="003F7446">
        <w:rPr>
          <w:szCs w:val="22"/>
          <w:lang w:val="de-DE" w:eastAsia="fr-FR"/>
        </w:rPr>
        <w:t>Vokietija</w:t>
      </w:r>
      <w:proofErr w:type="spellEnd"/>
    </w:p>
    <w:p w14:paraId="7F0962E6" w14:textId="77777777" w:rsidR="0052287E" w:rsidRPr="003F7446" w:rsidRDefault="0052287E" w:rsidP="0052287E">
      <w:pPr>
        <w:rPr>
          <w:szCs w:val="22"/>
        </w:rPr>
      </w:pPr>
    </w:p>
    <w:p w14:paraId="2624131C" w14:textId="77777777" w:rsidR="0052287E" w:rsidRPr="003F7446" w:rsidRDefault="0052287E" w:rsidP="0052287E">
      <w:pPr>
        <w:jc w:val="both"/>
        <w:rPr>
          <w:b/>
          <w:bCs/>
          <w:szCs w:val="22"/>
        </w:rPr>
      </w:pPr>
      <w:r w:rsidRPr="003F7446">
        <w:rPr>
          <w:b/>
          <w:bCs/>
          <w:szCs w:val="22"/>
        </w:rPr>
        <w:t>Šis vaistinis preparatas EEE šalyse narėse yra registruotas tokiais pavadinimais:</w:t>
      </w:r>
    </w:p>
    <w:p w14:paraId="50FDCEE5" w14:textId="77777777" w:rsidR="0052287E" w:rsidRPr="003F7446" w:rsidRDefault="0052287E" w:rsidP="0052287E">
      <w:pPr>
        <w:rPr>
          <w:szCs w:val="22"/>
        </w:rPr>
      </w:pPr>
    </w:p>
    <w:tbl>
      <w:tblPr>
        <w:tblW w:w="0" w:type="auto"/>
        <w:tblCellMar>
          <w:left w:w="70" w:type="dxa"/>
          <w:right w:w="70" w:type="dxa"/>
        </w:tblCellMar>
        <w:tblLook w:val="04A0" w:firstRow="1" w:lastRow="0" w:firstColumn="1" w:lastColumn="0" w:noHBand="0" w:noVBand="1"/>
      </w:tblPr>
      <w:tblGrid>
        <w:gridCol w:w="1228"/>
        <w:gridCol w:w="5914"/>
      </w:tblGrid>
      <w:tr w:rsidR="0052287E" w:rsidRPr="003F7446" w14:paraId="0AC750EE" w14:textId="77777777" w:rsidTr="008912E3">
        <w:trPr>
          <w:trHeight w:val="70"/>
        </w:trPr>
        <w:tc>
          <w:tcPr>
            <w:tcW w:w="0" w:type="auto"/>
            <w:hideMark/>
          </w:tcPr>
          <w:p w14:paraId="33F70A19" w14:textId="77777777" w:rsidR="0052287E" w:rsidRPr="003F7446" w:rsidRDefault="0052287E">
            <w:pPr>
              <w:rPr>
                <w:szCs w:val="22"/>
              </w:rPr>
            </w:pPr>
            <w:r w:rsidRPr="003F7446">
              <w:rPr>
                <w:szCs w:val="22"/>
              </w:rPr>
              <w:t>Belgija</w:t>
            </w:r>
          </w:p>
        </w:tc>
        <w:tc>
          <w:tcPr>
            <w:tcW w:w="0" w:type="auto"/>
            <w:hideMark/>
          </w:tcPr>
          <w:p w14:paraId="274B31EE" w14:textId="77777777" w:rsidR="0052287E" w:rsidRPr="003F7446" w:rsidRDefault="0052287E">
            <w:pPr>
              <w:rPr>
                <w:szCs w:val="22"/>
              </w:rPr>
            </w:pPr>
            <w:r w:rsidRPr="003F7446">
              <w:rPr>
                <w:szCs w:val="22"/>
                <w:lang w:val="fr-FR" w:eastAsia="fr-FR"/>
              </w:rPr>
              <w:t xml:space="preserve">Mycophenolate </w:t>
            </w:r>
            <w:proofErr w:type="spellStart"/>
            <w:r w:rsidRPr="003F7446">
              <w:rPr>
                <w:szCs w:val="22"/>
              </w:rPr>
              <w:t>mofetil</w:t>
            </w:r>
            <w:proofErr w:type="spellEnd"/>
            <w:r w:rsidRPr="003F7446">
              <w:rPr>
                <w:szCs w:val="22"/>
                <w:lang w:val="fr-FR" w:eastAsia="fr-FR"/>
              </w:rPr>
              <w:t xml:space="preserve"> Ranbaxy 500 mg, tablet</w:t>
            </w:r>
          </w:p>
        </w:tc>
      </w:tr>
      <w:tr w:rsidR="0052287E" w:rsidRPr="003F7446" w14:paraId="518F6917" w14:textId="77777777" w:rsidTr="008912E3">
        <w:trPr>
          <w:trHeight w:val="168"/>
        </w:trPr>
        <w:tc>
          <w:tcPr>
            <w:tcW w:w="0" w:type="auto"/>
            <w:hideMark/>
          </w:tcPr>
          <w:p w14:paraId="1B78694B" w14:textId="77777777" w:rsidR="0052287E" w:rsidRPr="003F7446" w:rsidRDefault="0052287E">
            <w:pPr>
              <w:rPr>
                <w:szCs w:val="22"/>
              </w:rPr>
            </w:pPr>
            <w:r w:rsidRPr="003F7446">
              <w:rPr>
                <w:szCs w:val="22"/>
              </w:rPr>
              <w:t>Prancūzija</w:t>
            </w:r>
          </w:p>
        </w:tc>
        <w:tc>
          <w:tcPr>
            <w:tcW w:w="0" w:type="auto"/>
            <w:hideMark/>
          </w:tcPr>
          <w:p w14:paraId="756C29E0" w14:textId="77777777" w:rsidR="0052287E" w:rsidRPr="003F7446" w:rsidRDefault="0052287E">
            <w:pPr>
              <w:rPr>
                <w:szCs w:val="22"/>
                <w:lang w:val="fr-FR"/>
              </w:rPr>
            </w:pPr>
            <w:r w:rsidRPr="003F7446">
              <w:rPr>
                <w:szCs w:val="22"/>
                <w:lang w:val="fr-FR" w:eastAsia="fr-FR"/>
              </w:rPr>
              <w:t xml:space="preserve">Mycophenolate </w:t>
            </w:r>
            <w:proofErr w:type="spellStart"/>
            <w:r w:rsidRPr="003F7446">
              <w:rPr>
                <w:szCs w:val="22"/>
              </w:rPr>
              <w:t>mofetil</w:t>
            </w:r>
            <w:proofErr w:type="spellEnd"/>
            <w:r w:rsidRPr="003F7446">
              <w:rPr>
                <w:szCs w:val="22"/>
                <w:lang w:val="fr-FR" w:eastAsia="fr-FR"/>
              </w:rPr>
              <w:t xml:space="preserve"> Ranbaxy 500 mg, comprimé pelliculé</w:t>
            </w:r>
          </w:p>
        </w:tc>
      </w:tr>
      <w:tr w:rsidR="0052287E" w:rsidRPr="003F7446" w14:paraId="4B3831E2" w14:textId="77777777" w:rsidTr="008912E3">
        <w:trPr>
          <w:trHeight w:val="70"/>
        </w:trPr>
        <w:tc>
          <w:tcPr>
            <w:tcW w:w="0" w:type="auto"/>
            <w:hideMark/>
          </w:tcPr>
          <w:p w14:paraId="05BF74CC" w14:textId="77777777" w:rsidR="0052287E" w:rsidRPr="003F7446" w:rsidRDefault="0052287E">
            <w:pPr>
              <w:rPr>
                <w:szCs w:val="22"/>
              </w:rPr>
            </w:pPr>
            <w:r w:rsidRPr="003F7446">
              <w:rPr>
                <w:szCs w:val="22"/>
              </w:rPr>
              <w:t>Lietuva</w:t>
            </w:r>
          </w:p>
        </w:tc>
        <w:tc>
          <w:tcPr>
            <w:tcW w:w="0" w:type="auto"/>
            <w:hideMark/>
          </w:tcPr>
          <w:p w14:paraId="1CF056A1" w14:textId="77777777" w:rsidR="0052287E" w:rsidRPr="003F7446" w:rsidRDefault="0052287E">
            <w:pPr>
              <w:rPr>
                <w:szCs w:val="22"/>
              </w:rPr>
            </w:pPr>
            <w:proofErr w:type="spellStart"/>
            <w:r w:rsidRPr="003F7446">
              <w:rPr>
                <w:szCs w:val="22"/>
              </w:rPr>
              <w:t>Mycophenolate</w:t>
            </w:r>
            <w:proofErr w:type="spellEnd"/>
            <w:r w:rsidRPr="003F7446">
              <w:rPr>
                <w:szCs w:val="22"/>
              </w:rPr>
              <w:t xml:space="preserve"> </w:t>
            </w:r>
            <w:proofErr w:type="spellStart"/>
            <w:r w:rsidRPr="003F7446">
              <w:rPr>
                <w:szCs w:val="22"/>
              </w:rPr>
              <w:t>mofetil</w:t>
            </w:r>
            <w:proofErr w:type="spellEnd"/>
            <w:r w:rsidRPr="003F7446">
              <w:rPr>
                <w:szCs w:val="22"/>
              </w:rPr>
              <w:t xml:space="preserve"> </w:t>
            </w:r>
            <w:proofErr w:type="spellStart"/>
            <w:r w:rsidRPr="003F7446">
              <w:rPr>
                <w:szCs w:val="22"/>
              </w:rPr>
              <w:t>Ranbaxy</w:t>
            </w:r>
            <w:proofErr w:type="spellEnd"/>
            <w:r w:rsidRPr="003F7446">
              <w:rPr>
                <w:szCs w:val="22"/>
                <w:lang w:val="fr-FR" w:eastAsia="fr-FR"/>
              </w:rPr>
              <w:t xml:space="preserve"> 500 mg plėvele dengtos tabletės</w:t>
            </w:r>
          </w:p>
        </w:tc>
      </w:tr>
      <w:tr w:rsidR="0052287E" w:rsidRPr="003F7446" w14:paraId="7BE103CD" w14:textId="77777777" w:rsidTr="008912E3">
        <w:trPr>
          <w:trHeight w:val="70"/>
        </w:trPr>
        <w:tc>
          <w:tcPr>
            <w:tcW w:w="0" w:type="auto"/>
            <w:hideMark/>
          </w:tcPr>
          <w:p w14:paraId="45DE8B4F" w14:textId="77777777" w:rsidR="0052287E" w:rsidRPr="003F7446" w:rsidRDefault="0052287E">
            <w:pPr>
              <w:rPr>
                <w:szCs w:val="22"/>
              </w:rPr>
            </w:pPr>
            <w:r w:rsidRPr="003F7446">
              <w:rPr>
                <w:szCs w:val="22"/>
              </w:rPr>
              <w:t>Latvija</w:t>
            </w:r>
          </w:p>
        </w:tc>
        <w:tc>
          <w:tcPr>
            <w:tcW w:w="0" w:type="auto"/>
            <w:hideMark/>
          </w:tcPr>
          <w:p w14:paraId="0593383C" w14:textId="77777777" w:rsidR="0052287E" w:rsidRPr="003F7446" w:rsidRDefault="0052287E">
            <w:pPr>
              <w:rPr>
                <w:szCs w:val="22"/>
              </w:rPr>
            </w:pPr>
            <w:proofErr w:type="spellStart"/>
            <w:r w:rsidRPr="003F7446">
              <w:rPr>
                <w:szCs w:val="22"/>
              </w:rPr>
              <w:t>Mycophenolate</w:t>
            </w:r>
            <w:proofErr w:type="spellEnd"/>
            <w:r w:rsidRPr="003F7446">
              <w:rPr>
                <w:szCs w:val="22"/>
              </w:rPr>
              <w:t xml:space="preserve"> </w:t>
            </w:r>
            <w:proofErr w:type="spellStart"/>
            <w:r w:rsidRPr="003F7446">
              <w:rPr>
                <w:szCs w:val="22"/>
              </w:rPr>
              <w:t>mofetil</w:t>
            </w:r>
            <w:proofErr w:type="spellEnd"/>
            <w:r w:rsidRPr="003F7446">
              <w:rPr>
                <w:szCs w:val="22"/>
              </w:rPr>
              <w:t xml:space="preserve"> </w:t>
            </w:r>
            <w:proofErr w:type="spellStart"/>
            <w:r w:rsidRPr="003F7446">
              <w:rPr>
                <w:szCs w:val="22"/>
              </w:rPr>
              <w:t>Ranbaxy</w:t>
            </w:r>
            <w:proofErr w:type="spellEnd"/>
            <w:r w:rsidRPr="003F7446">
              <w:rPr>
                <w:szCs w:val="22"/>
                <w:lang w:val="fr-FR" w:eastAsia="fr-FR"/>
              </w:rPr>
              <w:t xml:space="preserve"> 500 mg apvalkotās tabletes</w:t>
            </w:r>
          </w:p>
        </w:tc>
      </w:tr>
      <w:tr w:rsidR="0052287E" w:rsidRPr="003F7446" w14:paraId="0CC31B0B" w14:textId="77777777" w:rsidTr="008912E3">
        <w:trPr>
          <w:trHeight w:val="70"/>
        </w:trPr>
        <w:tc>
          <w:tcPr>
            <w:tcW w:w="0" w:type="auto"/>
            <w:hideMark/>
          </w:tcPr>
          <w:p w14:paraId="025BBD8C" w14:textId="77777777" w:rsidR="0052287E" w:rsidRPr="003F7446" w:rsidRDefault="0052287E">
            <w:pPr>
              <w:rPr>
                <w:szCs w:val="22"/>
              </w:rPr>
            </w:pPr>
            <w:r w:rsidRPr="003F7446">
              <w:rPr>
                <w:szCs w:val="22"/>
              </w:rPr>
              <w:t>Nyderlandai</w:t>
            </w:r>
          </w:p>
        </w:tc>
        <w:tc>
          <w:tcPr>
            <w:tcW w:w="0" w:type="auto"/>
            <w:hideMark/>
          </w:tcPr>
          <w:p w14:paraId="148350E5" w14:textId="77777777" w:rsidR="0052287E" w:rsidRPr="003F7446" w:rsidRDefault="0052287E">
            <w:pPr>
              <w:rPr>
                <w:szCs w:val="22"/>
              </w:rPr>
            </w:pPr>
            <w:r w:rsidRPr="003F7446">
              <w:rPr>
                <w:szCs w:val="22"/>
                <w:lang w:val="fr-FR" w:eastAsia="fr-FR"/>
              </w:rPr>
              <w:t xml:space="preserve">Mycophenolate </w:t>
            </w:r>
            <w:proofErr w:type="spellStart"/>
            <w:r w:rsidRPr="003F7446">
              <w:rPr>
                <w:szCs w:val="22"/>
              </w:rPr>
              <w:t>mofetil</w:t>
            </w:r>
            <w:proofErr w:type="spellEnd"/>
            <w:r w:rsidRPr="003F7446">
              <w:rPr>
                <w:szCs w:val="22"/>
                <w:lang w:val="fr-FR" w:eastAsia="fr-FR"/>
              </w:rPr>
              <w:t xml:space="preserve"> Ranbaxy 500 mg, tablet</w:t>
            </w:r>
          </w:p>
        </w:tc>
      </w:tr>
      <w:tr w:rsidR="0052287E" w:rsidRPr="003F7446" w14:paraId="61DAD89B" w14:textId="77777777" w:rsidTr="008912E3">
        <w:trPr>
          <w:trHeight w:val="70"/>
        </w:trPr>
        <w:tc>
          <w:tcPr>
            <w:tcW w:w="0" w:type="auto"/>
            <w:hideMark/>
          </w:tcPr>
          <w:p w14:paraId="33F121CE" w14:textId="77777777" w:rsidR="0052287E" w:rsidRPr="003F7446" w:rsidRDefault="0052287E">
            <w:pPr>
              <w:rPr>
                <w:szCs w:val="22"/>
              </w:rPr>
            </w:pPr>
            <w:r w:rsidRPr="003F7446">
              <w:rPr>
                <w:szCs w:val="22"/>
              </w:rPr>
              <w:t>Lenkija</w:t>
            </w:r>
          </w:p>
        </w:tc>
        <w:tc>
          <w:tcPr>
            <w:tcW w:w="0" w:type="auto"/>
            <w:hideMark/>
          </w:tcPr>
          <w:p w14:paraId="44AAA724" w14:textId="77777777" w:rsidR="0052287E" w:rsidRPr="003F7446" w:rsidRDefault="0052287E">
            <w:pPr>
              <w:rPr>
                <w:szCs w:val="22"/>
              </w:rPr>
            </w:pPr>
            <w:r w:rsidRPr="003F7446">
              <w:rPr>
                <w:szCs w:val="22"/>
                <w:lang w:val="fr-FR" w:eastAsia="fr-FR"/>
              </w:rPr>
              <w:t xml:space="preserve">Mycophenolate </w:t>
            </w:r>
            <w:proofErr w:type="spellStart"/>
            <w:r w:rsidRPr="003F7446">
              <w:rPr>
                <w:szCs w:val="22"/>
              </w:rPr>
              <w:t>mofetil</w:t>
            </w:r>
            <w:proofErr w:type="spellEnd"/>
            <w:r w:rsidRPr="003F7446">
              <w:rPr>
                <w:szCs w:val="22"/>
                <w:lang w:val="fr-FR" w:eastAsia="fr-FR"/>
              </w:rPr>
              <w:t xml:space="preserve"> Ranbaxy 500 mg, tablet</w:t>
            </w:r>
          </w:p>
        </w:tc>
      </w:tr>
      <w:tr w:rsidR="0052287E" w:rsidRPr="003F7446" w14:paraId="1D08065A" w14:textId="77777777" w:rsidTr="008912E3">
        <w:trPr>
          <w:trHeight w:val="70"/>
        </w:trPr>
        <w:tc>
          <w:tcPr>
            <w:tcW w:w="0" w:type="auto"/>
            <w:hideMark/>
          </w:tcPr>
          <w:p w14:paraId="23B4ABEB" w14:textId="77777777" w:rsidR="0052287E" w:rsidRPr="003F7446" w:rsidRDefault="0052287E">
            <w:pPr>
              <w:rPr>
                <w:szCs w:val="22"/>
              </w:rPr>
            </w:pPr>
            <w:r w:rsidRPr="003F7446">
              <w:rPr>
                <w:szCs w:val="22"/>
              </w:rPr>
              <w:t>Rumunija</w:t>
            </w:r>
          </w:p>
        </w:tc>
        <w:tc>
          <w:tcPr>
            <w:tcW w:w="0" w:type="auto"/>
            <w:hideMark/>
          </w:tcPr>
          <w:p w14:paraId="653428A4" w14:textId="77777777" w:rsidR="0052287E" w:rsidRPr="003F7446" w:rsidRDefault="0052287E">
            <w:pPr>
              <w:rPr>
                <w:szCs w:val="22"/>
              </w:rPr>
            </w:pPr>
            <w:proofErr w:type="spellStart"/>
            <w:r w:rsidRPr="003F7446">
              <w:rPr>
                <w:szCs w:val="22"/>
                <w:lang w:eastAsia="fr-FR"/>
              </w:rPr>
              <w:t>Micofenolat</w:t>
            </w:r>
            <w:proofErr w:type="spellEnd"/>
            <w:r w:rsidRPr="003F7446">
              <w:rPr>
                <w:szCs w:val="22"/>
                <w:lang w:eastAsia="fr-FR"/>
              </w:rPr>
              <w:t xml:space="preserve"> </w:t>
            </w:r>
            <w:proofErr w:type="spellStart"/>
            <w:r w:rsidRPr="003F7446">
              <w:rPr>
                <w:szCs w:val="22"/>
              </w:rPr>
              <w:t>mofetil</w:t>
            </w:r>
            <w:proofErr w:type="spellEnd"/>
            <w:r w:rsidRPr="003F7446">
              <w:rPr>
                <w:szCs w:val="22"/>
                <w:lang w:eastAsia="fr-FR"/>
              </w:rPr>
              <w:t xml:space="preserve"> </w:t>
            </w:r>
            <w:proofErr w:type="spellStart"/>
            <w:r w:rsidRPr="003F7446">
              <w:rPr>
                <w:szCs w:val="22"/>
                <w:lang w:eastAsia="fr-FR"/>
              </w:rPr>
              <w:t>Terapia</w:t>
            </w:r>
            <w:proofErr w:type="spellEnd"/>
            <w:r w:rsidRPr="003F7446">
              <w:rPr>
                <w:szCs w:val="22"/>
                <w:lang w:eastAsia="fr-FR"/>
              </w:rPr>
              <w:t xml:space="preserve"> 500 mg, </w:t>
            </w:r>
            <w:proofErr w:type="spellStart"/>
            <w:r w:rsidRPr="003F7446">
              <w:rPr>
                <w:szCs w:val="22"/>
                <w:lang w:eastAsia="fr-FR"/>
              </w:rPr>
              <w:t>comprimate</w:t>
            </w:r>
            <w:proofErr w:type="spellEnd"/>
            <w:r w:rsidRPr="003F7446">
              <w:rPr>
                <w:szCs w:val="22"/>
                <w:lang w:eastAsia="fr-FR"/>
              </w:rPr>
              <w:t xml:space="preserve"> </w:t>
            </w:r>
            <w:proofErr w:type="spellStart"/>
            <w:r w:rsidRPr="003F7446">
              <w:rPr>
                <w:szCs w:val="22"/>
                <w:lang w:eastAsia="fr-FR"/>
              </w:rPr>
              <w:t>filmate</w:t>
            </w:r>
            <w:proofErr w:type="spellEnd"/>
          </w:p>
        </w:tc>
      </w:tr>
    </w:tbl>
    <w:p w14:paraId="57E87E50" w14:textId="77777777" w:rsidR="0052287E" w:rsidRPr="003F7446" w:rsidRDefault="0052287E" w:rsidP="0052287E">
      <w:pPr>
        <w:pStyle w:val="BTEMEASMCA"/>
        <w:rPr>
          <w:rFonts w:ascii="Times New Roman" w:hAnsi="Times New Roman" w:cs="Times New Roman"/>
          <w:noProof w:val="0"/>
          <w:highlight w:val="yellow"/>
        </w:rPr>
      </w:pPr>
    </w:p>
    <w:p w14:paraId="0D42B82E" w14:textId="77777777" w:rsidR="0052287E" w:rsidRPr="003F7446" w:rsidRDefault="0052287E" w:rsidP="0052287E">
      <w:pPr>
        <w:pStyle w:val="BTEMEASMCA"/>
        <w:rPr>
          <w:rFonts w:ascii="Times New Roman" w:hAnsi="Times New Roman" w:cs="Times New Roman"/>
          <w:noProof w:val="0"/>
        </w:rPr>
      </w:pPr>
      <w:proofErr w:type="spellStart"/>
      <w:proofErr w:type="gramStart"/>
      <w:r w:rsidRPr="003F7446">
        <w:rPr>
          <w:rFonts w:ascii="Times New Roman" w:hAnsi="Times New Roman" w:cs="Times New Roman"/>
          <w:noProof w:val="0"/>
        </w:rPr>
        <w:t>Jeigu</w:t>
      </w:r>
      <w:proofErr w:type="spellEnd"/>
      <w:r w:rsidRPr="003F7446">
        <w:rPr>
          <w:rFonts w:ascii="Times New Roman" w:hAnsi="Times New Roman" w:cs="Times New Roman"/>
          <w:noProof w:val="0"/>
        </w:rPr>
        <w:t xml:space="preserve"> </w:t>
      </w:r>
      <w:proofErr w:type="spellStart"/>
      <w:r w:rsidRPr="003F7446">
        <w:rPr>
          <w:rFonts w:ascii="Times New Roman" w:hAnsi="Times New Roman" w:cs="Times New Roman"/>
          <w:noProof w:val="0"/>
        </w:rPr>
        <w:t>apie</w:t>
      </w:r>
      <w:proofErr w:type="spellEnd"/>
      <w:r w:rsidRPr="003F7446">
        <w:rPr>
          <w:rFonts w:ascii="Times New Roman" w:hAnsi="Times New Roman" w:cs="Times New Roman"/>
          <w:noProof w:val="0"/>
        </w:rPr>
        <w:t xml:space="preserve"> </w:t>
      </w:r>
      <w:proofErr w:type="spellStart"/>
      <w:r w:rsidRPr="003F7446">
        <w:rPr>
          <w:rFonts w:ascii="Times New Roman" w:hAnsi="Times New Roman" w:cs="Times New Roman"/>
          <w:noProof w:val="0"/>
        </w:rPr>
        <w:t>šį</w:t>
      </w:r>
      <w:proofErr w:type="spellEnd"/>
      <w:r w:rsidRPr="003F7446">
        <w:rPr>
          <w:rFonts w:ascii="Times New Roman" w:hAnsi="Times New Roman" w:cs="Times New Roman"/>
          <w:noProof w:val="0"/>
        </w:rPr>
        <w:t xml:space="preserve"> </w:t>
      </w:r>
      <w:proofErr w:type="spellStart"/>
      <w:r w:rsidRPr="003F7446">
        <w:rPr>
          <w:rFonts w:ascii="Times New Roman" w:hAnsi="Times New Roman" w:cs="Times New Roman"/>
          <w:noProof w:val="0"/>
        </w:rPr>
        <w:t>vaistą</w:t>
      </w:r>
      <w:proofErr w:type="spellEnd"/>
      <w:r w:rsidRPr="003F7446">
        <w:rPr>
          <w:rFonts w:ascii="Times New Roman" w:hAnsi="Times New Roman" w:cs="Times New Roman"/>
          <w:noProof w:val="0"/>
        </w:rPr>
        <w:t xml:space="preserve"> </w:t>
      </w:r>
      <w:proofErr w:type="spellStart"/>
      <w:r w:rsidRPr="003F7446">
        <w:rPr>
          <w:rFonts w:ascii="Times New Roman" w:hAnsi="Times New Roman" w:cs="Times New Roman"/>
          <w:noProof w:val="0"/>
        </w:rPr>
        <w:t>norite</w:t>
      </w:r>
      <w:proofErr w:type="spellEnd"/>
      <w:r w:rsidRPr="003F7446">
        <w:rPr>
          <w:rFonts w:ascii="Times New Roman" w:hAnsi="Times New Roman" w:cs="Times New Roman"/>
          <w:noProof w:val="0"/>
        </w:rPr>
        <w:t xml:space="preserve"> </w:t>
      </w:r>
      <w:proofErr w:type="spellStart"/>
      <w:r w:rsidRPr="003F7446">
        <w:rPr>
          <w:rFonts w:ascii="Times New Roman" w:hAnsi="Times New Roman" w:cs="Times New Roman"/>
          <w:noProof w:val="0"/>
        </w:rPr>
        <w:t>sužinoti</w:t>
      </w:r>
      <w:proofErr w:type="spellEnd"/>
      <w:r w:rsidRPr="003F7446">
        <w:rPr>
          <w:rFonts w:ascii="Times New Roman" w:hAnsi="Times New Roman" w:cs="Times New Roman"/>
          <w:noProof w:val="0"/>
        </w:rPr>
        <w:t xml:space="preserve"> </w:t>
      </w:r>
      <w:proofErr w:type="spellStart"/>
      <w:r w:rsidRPr="003F7446">
        <w:rPr>
          <w:rFonts w:ascii="Times New Roman" w:hAnsi="Times New Roman" w:cs="Times New Roman"/>
          <w:noProof w:val="0"/>
        </w:rPr>
        <w:t>daugiau</w:t>
      </w:r>
      <w:proofErr w:type="spellEnd"/>
      <w:r w:rsidRPr="003F7446">
        <w:rPr>
          <w:rFonts w:ascii="Times New Roman" w:hAnsi="Times New Roman" w:cs="Times New Roman"/>
          <w:noProof w:val="0"/>
        </w:rPr>
        <w:t xml:space="preserve">, </w:t>
      </w:r>
      <w:proofErr w:type="spellStart"/>
      <w:r w:rsidRPr="003F7446">
        <w:rPr>
          <w:rFonts w:ascii="Times New Roman" w:hAnsi="Times New Roman" w:cs="Times New Roman"/>
          <w:noProof w:val="0"/>
        </w:rPr>
        <w:t>kreipkitės</w:t>
      </w:r>
      <w:proofErr w:type="spellEnd"/>
      <w:r w:rsidRPr="003F7446">
        <w:rPr>
          <w:rFonts w:ascii="Times New Roman" w:hAnsi="Times New Roman" w:cs="Times New Roman"/>
          <w:noProof w:val="0"/>
        </w:rPr>
        <w:t xml:space="preserve"> į </w:t>
      </w:r>
      <w:proofErr w:type="spellStart"/>
      <w:r w:rsidRPr="003F7446">
        <w:rPr>
          <w:rFonts w:ascii="Times New Roman" w:hAnsi="Times New Roman" w:cs="Times New Roman"/>
          <w:noProof w:val="0"/>
        </w:rPr>
        <w:t>vietinį</w:t>
      </w:r>
      <w:proofErr w:type="spellEnd"/>
      <w:r w:rsidRPr="003F7446">
        <w:rPr>
          <w:rFonts w:ascii="Times New Roman" w:hAnsi="Times New Roman" w:cs="Times New Roman"/>
          <w:noProof w:val="0"/>
        </w:rPr>
        <w:t xml:space="preserve"> </w:t>
      </w:r>
      <w:proofErr w:type="spellStart"/>
      <w:r w:rsidRPr="003F7446">
        <w:rPr>
          <w:rFonts w:ascii="Times New Roman" w:hAnsi="Times New Roman" w:cs="Times New Roman"/>
          <w:noProof w:val="0"/>
        </w:rPr>
        <w:t>rinkodaros</w:t>
      </w:r>
      <w:proofErr w:type="spellEnd"/>
      <w:r w:rsidRPr="003F7446">
        <w:rPr>
          <w:rFonts w:ascii="Times New Roman" w:hAnsi="Times New Roman" w:cs="Times New Roman"/>
          <w:noProof w:val="0"/>
        </w:rPr>
        <w:t xml:space="preserve"> </w:t>
      </w:r>
      <w:proofErr w:type="spellStart"/>
      <w:r w:rsidRPr="003F7446">
        <w:rPr>
          <w:rFonts w:ascii="Times New Roman" w:hAnsi="Times New Roman" w:cs="Times New Roman"/>
          <w:noProof w:val="0"/>
        </w:rPr>
        <w:t>teisės</w:t>
      </w:r>
      <w:proofErr w:type="spellEnd"/>
      <w:r w:rsidRPr="003F7446">
        <w:rPr>
          <w:rFonts w:ascii="Times New Roman" w:hAnsi="Times New Roman" w:cs="Times New Roman"/>
          <w:noProof w:val="0"/>
        </w:rPr>
        <w:t xml:space="preserve"> </w:t>
      </w:r>
      <w:proofErr w:type="spellStart"/>
      <w:r w:rsidRPr="003F7446">
        <w:rPr>
          <w:rFonts w:ascii="Times New Roman" w:hAnsi="Times New Roman" w:cs="Times New Roman"/>
          <w:noProof w:val="0"/>
        </w:rPr>
        <w:t>turėtojo</w:t>
      </w:r>
      <w:proofErr w:type="spellEnd"/>
      <w:r w:rsidRPr="003F7446">
        <w:rPr>
          <w:rFonts w:ascii="Times New Roman" w:hAnsi="Times New Roman" w:cs="Times New Roman"/>
          <w:noProof w:val="0"/>
        </w:rPr>
        <w:t xml:space="preserve"> </w:t>
      </w:r>
      <w:proofErr w:type="spellStart"/>
      <w:r w:rsidRPr="003F7446">
        <w:rPr>
          <w:rFonts w:ascii="Times New Roman" w:hAnsi="Times New Roman" w:cs="Times New Roman"/>
          <w:noProof w:val="0"/>
        </w:rPr>
        <w:t>atstovą</w:t>
      </w:r>
      <w:proofErr w:type="spellEnd"/>
      <w:r w:rsidRPr="003F7446">
        <w:rPr>
          <w:rFonts w:ascii="Times New Roman" w:hAnsi="Times New Roman" w:cs="Times New Roman"/>
          <w:noProof w:val="0"/>
        </w:rPr>
        <w:t>.</w:t>
      </w:r>
      <w:proofErr w:type="gramEnd"/>
    </w:p>
    <w:p w14:paraId="53A06C84" w14:textId="77777777" w:rsidR="0052287E" w:rsidRPr="003F7446" w:rsidRDefault="0052287E" w:rsidP="0052287E">
      <w:pPr>
        <w:rPr>
          <w:szCs w:val="22"/>
          <w:highlight w:val="yellow"/>
        </w:rPr>
      </w:pPr>
    </w:p>
    <w:tbl>
      <w:tblPr>
        <w:tblW w:w="4680" w:type="dxa"/>
        <w:tblInd w:w="-34" w:type="dxa"/>
        <w:tblLayout w:type="fixed"/>
        <w:tblLook w:val="04A0" w:firstRow="1" w:lastRow="0" w:firstColumn="1" w:lastColumn="0" w:noHBand="0" w:noVBand="1"/>
      </w:tblPr>
      <w:tblGrid>
        <w:gridCol w:w="4680"/>
      </w:tblGrid>
      <w:tr w:rsidR="0052287E" w:rsidRPr="003F7446" w14:paraId="305722E6" w14:textId="77777777" w:rsidTr="008912E3">
        <w:tc>
          <w:tcPr>
            <w:tcW w:w="4678" w:type="dxa"/>
            <w:hideMark/>
          </w:tcPr>
          <w:p w14:paraId="4C6FD972" w14:textId="77777777" w:rsidR="0052287E" w:rsidRPr="003F7446" w:rsidRDefault="0052287E">
            <w:pPr>
              <w:rPr>
                <w:bCs/>
                <w:szCs w:val="22"/>
              </w:rPr>
            </w:pPr>
            <w:proofErr w:type="spellStart"/>
            <w:r w:rsidRPr="003F7446">
              <w:rPr>
                <w:bCs/>
                <w:szCs w:val="22"/>
              </w:rPr>
              <w:t>Ranbaxy</w:t>
            </w:r>
            <w:proofErr w:type="spellEnd"/>
            <w:r w:rsidRPr="003F7446">
              <w:rPr>
                <w:bCs/>
                <w:szCs w:val="22"/>
              </w:rPr>
              <w:t xml:space="preserve"> </w:t>
            </w:r>
            <w:proofErr w:type="spellStart"/>
            <w:r w:rsidRPr="003F7446">
              <w:rPr>
                <w:bCs/>
                <w:szCs w:val="22"/>
              </w:rPr>
              <w:t>Laboratories</w:t>
            </w:r>
            <w:proofErr w:type="spellEnd"/>
            <w:r w:rsidRPr="003F7446">
              <w:rPr>
                <w:bCs/>
                <w:szCs w:val="22"/>
              </w:rPr>
              <w:t xml:space="preserve"> </w:t>
            </w:r>
            <w:proofErr w:type="spellStart"/>
            <w:r w:rsidRPr="003F7446">
              <w:rPr>
                <w:bCs/>
                <w:szCs w:val="22"/>
              </w:rPr>
              <w:t>Limited</w:t>
            </w:r>
            <w:proofErr w:type="spellEnd"/>
            <w:r w:rsidRPr="003F7446">
              <w:rPr>
                <w:bCs/>
                <w:szCs w:val="22"/>
              </w:rPr>
              <w:t xml:space="preserve"> atstovybė</w:t>
            </w:r>
          </w:p>
          <w:p w14:paraId="79F5CDEA" w14:textId="77777777" w:rsidR="0052287E" w:rsidRPr="003F7446" w:rsidRDefault="0052287E">
            <w:pPr>
              <w:rPr>
                <w:bCs/>
                <w:szCs w:val="22"/>
              </w:rPr>
            </w:pPr>
            <w:r w:rsidRPr="003F7446">
              <w:rPr>
                <w:bCs/>
                <w:szCs w:val="22"/>
              </w:rPr>
              <w:t>Taikos pr. 88A</w:t>
            </w:r>
            <w:r w:rsidRPr="003F7446">
              <w:rPr>
                <w:bCs/>
                <w:szCs w:val="22"/>
              </w:rPr>
              <w:br/>
              <w:t>LT 51182 Kaunas, Lietuva</w:t>
            </w:r>
          </w:p>
          <w:p w14:paraId="65E9929A" w14:textId="77777777" w:rsidR="0052287E" w:rsidRPr="003F7446" w:rsidRDefault="0052287E">
            <w:pPr>
              <w:jc w:val="both"/>
              <w:rPr>
                <w:szCs w:val="22"/>
              </w:rPr>
            </w:pPr>
            <w:r w:rsidRPr="003F7446">
              <w:rPr>
                <w:szCs w:val="22"/>
              </w:rPr>
              <w:t>Tel. +370-37-311843</w:t>
            </w:r>
          </w:p>
          <w:p w14:paraId="4CA9FCE1" w14:textId="77777777" w:rsidR="0052287E" w:rsidRPr="003F7446" w:rsidRDefault="0052287E">
            <w:pPr>
              <w:rPr>
                <w:szCs w:val="22"/>
              </w:rPr>
            </w:pPr>
            <w:r w:rsidRPr="003F7446">
              <w:rPr>
                <w:szCs w:val="22"/>
              </w:rPr>
              <w:t>el. paštas:  info.baltics@ranbaxy.com</w:t>
            </w:r>
          </w:p>
        </w:tc>
      </w:tr>
    </w:tbl>
    <w:p w14:paraId="19E29F42" w14:textId="77777777" w:rsidR="0052287E" w:rsidRPr="003F7446" w:rsidRDefault="0052287E" w:rsidP="0052287E">
      <w:pPr>
        <w:rPr>
          <w:szCs w:val="22"/>
        </w:rPr>
      </w:pPr>
    </w:p>
    <w:p w14:paraId="26046851" w14:textId="77777777" w:rsidR="0052287E" w:rsidRPr="003F7446" w:rsidRDefault="0052287E" w:rsidP="0052287E">
      <w:pPr>
        <w:rPr>
          <w:szCs w:val="22"/>
        </w:rPr>
      </w:pPr>
    </w:p>
    <w:p w14:paraId="1222ADE4" w14:textId="04F598D7" w:rsidR="0052287E" w:rsidRPr="003F7446" w:rsidRDefault="0052287E" w:rsidP="0052287E">
      <w:pPr>
        <w:pStyle w:val="BTbEMEASMCA"/>
      </w:pPr>
      <w:r w:rsidRPr="003F7446">
        <w:t xml:space="preserve">Šis pakuotės lapelis paskutinį kartą patvirtintas </w:t>
      </w:r>
      <w:r w:rsidR="006B535C" w:rsidRPr="003F7446">
        <w:t>2015-01-19</w:t>
      </w:r>
    </w:p>
    <w:p w14:paraId="5775BBB9" w14:textId="77777777" w:rsidR="0052287E" w:rsidRPr="003F7446" w:rsidRDefault="0052287E" w:rsidP="0052287E">
      <w:pPr>
        <w:rPr>
          <w:szCs w:val="22"/>
        </w:rPr>
      </w:pPr>
    </w:p>
    <w:p w14:paraId="5AAF9560" w14:textId="77777777" w:rsidR="0052287E" w:rsidRPr="003F7446" w:rsidRDefault="0052287E" w:rsidP="0052287E">
      <w:pPr>
        <w:rPr>
          <w:szCs w:val="22"/>
        </w:rPr>
      </w:pPr>
    </w:p>
    <w:p w14:paraId="1D0276AB" w14:textId="38805FE1" w:rsidR="007871AC" w:rsidRPr="003F7446" w:rsidRDefault="007871AC" w:rsidP="008912E3">
      <w:pPr>
        <w:numPr>
          <w:ilvl w:val="12"/>
          <w:numId w:val="0"/>
        </w:numPr>
        <w:ind w:right="-2"/>
        <w:rPr>
          <w:szCs w:val="22"/>
        </w:rPr>
      </w:pPr>
      <w:r w:rsidRPr="003F7446">
        <w:rPr>
          <w:szCs w:val="22"/>
        </w:rPr>
        <w:t>Išsami informacija apie šį vaistą pateikiama Valstybinės vaistų kontrolės tarnybos prie Lietuvos Respublikos sveikatos apsaugos ministerijos tinklalapyje</w:t>
      </w:r>
      <w:r w:rsidRPr="003F7446">
        <w:rPr>
          <w:i/>
          <w:szCs w:val="22"/>
        </w:rPr>
        <w:t xml:space="preserve"> </w:t>
      </w:r>
      <w:hyperlink r:id="rId13" w:history="1">
        <w:r w:rsidRPr="003F7446">
          <w:rPr>
            <w:rStyle w:val="Hipersaitas"/>
            <w:rFonts w:eastAsia="SimSun"/>
            <w:szCs w:val="22"/>
          </w:rPr>
          <w:t>http://www.vvkt.lt/</w:t>
        </w:r>
      </w:hyperlink>
      <w:r w:rsidRPr="003F7446">
        <w:rPr>
          <w:szCs w:val="22"/>
        </w:rPr>
        <w:t>.</w:t>
      </w:r>
    </w:p>
    <w:p w14:paraId="028F3C17" w14:textId="77777777" w:rsidR="0052287E" w:rsidRPr="003F7446" w:rsidRDefault="0052287E" w:rsidP="0052287E">
      <w:pPr>
        <w:rPr>
          <w:szCs w:val="22"/>
        </w:rPr>
      </w:pPr>
    </w:p>
    <w:p w14:paraId="4C00FA26" w14:textId="77777777" w:rsidR="00722BC7" w:rsidRPr="003F7446" w:rsidRDefault="00722BC7">
      <w:pPr>
        <w:rPr>
          <w:szCs w:val="22"/>
        </w:rPr>
      </w:pPr>
      <w:bookmarkStart w:id="10" w:name="_GoBack"/>
      <w:bookmarkEnd w:id="10"/>
      <w:permStart w:id="242895326" w:edGrp="everyone"/>
      <w:permEnd w:id="242895326"/>
    </w:p>
    <w:sectPr w:rsidR="00722BC7" w:rsidRPr="003F7446" w:rsidSect="003F7446">
      <w:headerReference w:type="default" r:id="rId14"/>
      <w:footerReference w:type="even" r:id="rId15"/>
      <w:footerReference w:type="default" r:id="rId16"/>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3829C" w14:textId="77777777" w:rsidR="00876BEB" w:rsidRDefault="00876BEB" w:rsidP="00871C85">
      <w:r>
        <w:separator/>
      </w:r>
    </w:p>
  </w:endnote>
  <w:endnote w:type="continuationSeparator" w:id="0">
    <w:p w14:paraId="35ECFF06" w14:textId="77777777" w:rsidR="00876BEB" w:rsidRDefault="00876BEB" w:rsidP="00871C85">
      <w:r>
        <w:continuationSeparator/>
      </w:r>
    </w:p>
  </w:endnote>
  <w:endnote w:type="continuationNotice" w:id="1">
    <w:p w14:paraId="09BE2A2C" w14:textId="77777777" w:rsidR="00876BEB" w:rsidRDefault="00876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02101" w14:textId="77777777" w:rsidR="00871C85" w:rsidRDefault="00871C85" w:rsidP="008912E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A1D94" w14:textId="77777777" w:rsidR="00871C85" w:rsidRDefault="00871C85" w:rsidP="008912E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6A09E" w14:textId="77777777" w:rsidR="00876BEB" w:rsidRDefault="00876BEB" w:rsidP="00871C85">
      <w:r>
        <w:separator/>
      </w:r>
    </w:p>
  </w:footnote>
  <w:footnote w:type="continuationSeparator" w:id="0">
    <w:p w14:paraId="000FE645" w14:textId="77777777" w:rsidR="00876BEB" w:rsidRDefault="00876BEB" w:rsidP="00871C85">
      <w:r>
        <w:continuationSeparator/>
      </w:r>
    </w:p>
  </w:footnote>
  <w:footnote w:type="continuationNotice" w:id="1">
    <w:p w14:paraId="3E65FF47" w14:textId="77777777" w:rsidR="00876BEB" w:rsidRDefault="00876B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C77E0" w14:textId="77777777" w:rsidR="00871C85" w:rsidRDefault="00871C8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90E0CE"/>
    <w:multiLevelType w:val="hybridMultilevel"/>
    <w:tmpl w:val="9367D86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FE"/>
    <w:multiLevelType w:val="singleLevel"/>
    <w:tmpl w:val="FFFFFFFF"/>
    <w:lvl w:ilvl="0">
      <w:numFmt w:val="decimal"/>
      <w:lvlText w:val="*"/>
      <w:lvlJc w:val="left"/>
      <w:pPr>
        <w:ind w:left="0" w:firstLine="0"/>
      </w:pPr>
      <w:rPr>
        <w:rFonts w:cs="Times New Roman"/>
      </w:rPr>
    </w:lvl>
  </w:abstractNum>
  <w:abstractNum w:abstractNumId="2">
    <w:nsid w:val="05885037"/>
    <w:multiLevelType w:val="hybridMultilevel"/>
    <w:tmpl w:val="8C60E5DA"/>
    <w:lvl w:ilvl="0" w:tplc="77A8FE9E">
      <w:start w:val="6"/>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C27F83"/>
    <w:multiLevelType w:val="hybridMultilevel"/>
    <w:tmpl w:val="2440059C"/>
    <w:lvl w:ilvl="0" w:tplc="CAD4E02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F67826"/>
    <w:multiLevelType w:val="hybridMultilevel"/>
    <w:tmpl w:val="A0EE3C74"/>
    <w:lvl w:ilvl="0" w:tplc="746264C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6A12F5"/>
    <w:multiLevelType w:val="hybridMultilevel"/>
    <w:tmpl w:val="5C246DFE"/>
    <w:lvl w:ilvl="0" w:tplc="CAD4E02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1A4959"/>
    <w:multiLevelType w:val="hybridMultilevel"/>
    <w:tmpl w:val="4C443FDC"/>
    <w:lvl w:ilvl="0" w:tplc="CAD4E02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570053"/>
    <w:multiLevelType w:val="hybridMultilevel"/>
    <w:tmpl w:val="2404368C"/>
    <w:lvl w:ilvl="0" w:tplc="CAD4E02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A13329"/>
    <w:multiLevelType w:val="hybridMultilevel"/>
    <w:tmpl w:val="BF107940"/>
    <w:lvl w:ilvl="0" w:tplc="CAD4E02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3D21B1"/>
    <w:multiLevelType w:val="hybridMultilevel"/>
    <w:tmpl w:val="803E30CE"/>
    <w:lvl w:ilvl="0" w:tplc="CAD4E02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3E2483"/>
    <w:multiLevelType w:val="hybridMultilevel"/>
    <w:tmpl w:val="2DE886F8"/>
    <w:lvl w:ilvl="0" w:tplc="CAD4E020">
      <w:numFmt w:val="bullet"/>
      <w:lvlText w:val="•"/>
      <w:lvlJc w:val="left"/>
      <w:pPr>
        <w:ind w:left="720" w:hanging="360"/>
      </w:pPr>
      <w:rPr>
        <w:rFonts w:ascii="Arial" w:hAnsi="Arial"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03077E"/>
    <w:multiLevelType w:val="hybridMultilevel"/>
    <w:tmpl w:val="3A3A1AC2"/>
    <w:lvl w:ilvl="0" w:tplc="CAD4E02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AD0C1A"/>
    <w:multiLevelType w:val="hybridMultilevel"/>
    <w:tmpl w:val="28E4F734"/>
    <w:lvl w:ilvl="0" w:tplc="CAD4E02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977994"/>
    <w:multiLevelType w:val="hybridMultilevel"/>
    <w:tmpl w:val="D6122EBA"/>
    <w:lvl w:ilvl="0" w:tplc="CAD4E02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A91B96"/>
    <w:multiLevelType w:val="hybridMultilevel"/>
    <w:tmpl w:val="F674788C"/>
    <w:lvl w:ilvl="0" w:tplc="CAD4E02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176354"/>
    <w:multiLevelType w:val="hybridMultilevel"/>
    <w:tmpl w:val="15AA6CE2"/>
    <w:lvl w:ilvl="0" w:tplc="34B8E05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1"/>
    <w:lvlOverride w:ilvl="0">
      <w:lvl w:ilvl="0">
        <w:numFmt w:val="bullet"/>
        <w:lvlText w:val=""/>
        <w:legacy w:legacy="1" w:legacySpace="0" w:legacyIndent="360"/>
        <w:lvlJc w:val="left"/>
        <w:pPr>
          <w:ind w:left="360" w:hanging="360"/>
        </w:pPr>
        <w:rPr>
          <w:rFonts w:ascii="Symbol" w:hAnsi="Symbol" w:cs="Times New Roman" w:hint="default"/>
        </w:rPr>
      </w:lvl>
    </w:lvlOverride>
  </w:num>
  <w:num w:numId="3">
    <w:abstractNumId w:val="15"/>
  </w:num>
  <w:num w:numId="4">
    <w:abstractNumId w:val="15"/>
  </w:num>
  <w:num w:numId="5">
    <w:abstractNumId w:val="2"/>
  </w:num>
  <w:num w:numId="6">
    <w:abstractNumId w:val="10"/>
  </w:num>
  <w:num w:numId="7">
    <w:abstractNumId w:val="7"/>
  </w:num>
  <w:num w:numId="8">
    <w:abstractNumId w:val="3"/>
  </w:num>
  <w:num w:numId="9">
    <w:abstractNumId w:val="13"/>
  </w:num>
  <w:num w:numId="10">
    <w:abstractNumId w:val="6"/>
  </w:num>
  <w:num w:numId="11">
    <w:abstractNumId w:val="11"/>
  </w:num>
  <w:num w:numId="12">
    <w:abstractNumId w:val="12"/>
  </w:num>
  <w:num w:numId="13">
    <w:abstractNumId w:val="14"/>
  </w:num>
  <w:num w:numId="14">
    <w:abstractNumId w:val="8"/>
  </w:num>
  <w:num w:numId="15">
    <w:abstractNumId w:val="5"/>
  </w:num>
  <w:num w:numId="16">
    <w:abstractNumId w:val="9"/>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7iRLGrnxwxIZ3NDINhpQDQ3cfy4=" w:salt="1bp8ETwWGRYMkeCuhpE/FQ=="/>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05C"/>
    <w:rsid w:val="00053AFD"/>
    <w:rsid w:val="00095E5A"/>
    <w:rsid w:val="000D41B1"/>
    <w:rsid w:val="000E5C1A"/>
    <w:rsid w:val="00120772"/>
    <w:rsid w:val="00142D29"/>
    <w:rsid w:val="001472AD"/>
    <w:rsid w:val="00180839"/>
    <w:rsid w:val="00181B45"/>
    <w:rsid w:val="001A0901"/>
    <w:rsid w:val="001D14FF"/>
    <w:rsid w:val="001F6D4A"/>
    <w:rsid w:val="00276E27"/>
    <w:rsid w:val="002A01C6"/>
    <w:rsid w:val="002C544E"/>
    <w:rsid w:val="002F1072"/>
    <w:rsid w:val="0031182B"/>
    <w:rsid w:val="003122F8"/>
    <w:rsid w:val="00344ACA"/>
    <w:rsid w:val="003978A9"/>
    <w:rsid w:val="003B1DE4"/>
    <w:rsid w:val="003C10F4"/>
    <w:rsid w:val="003E2F40"/>
    <w:rsid w:val="003F7446"/>
    <w:rsid w:val="00421EAD"/>
    <w:rsid w:val="00454A29"/>
    <w:rsid w:val="0052287E"/>
    <w:rsid w:val="005247D2"/>
    <w:rsid w:val="00527D7F"/>
    <w:rsid w:val="00562AF9"/>
    <w:rsid w:val="005652C9"/>
    <w:rsid w:val="005876EE"/>
    <w:rsid w:val="00593B17"/>
    <w:rsid w:val="005E3E00"/>
    <w:rsid w:val="005E4B01"/>
    <w:rsid w:val="00603CFF"/>
    <w:rsid w:val="00616391"/>
    <w:rsid w:val="00622201"/>
    <w:rsid w:val="00680FE6"/>
    <w:rsid w:val="006B097A"/>
    <w:rsid w:val="006B535C"/>
    <w:rsid w:val="006B7A72"/>
    <w:rsid w:val="006D1DF5"/>
    <w:rsid w:val="00722BC7"/>
    <w:rsid w:val="00726BD3"/>
    <w:rsid w:val="00750CF2"/>
    <w:rsid w:val="00752D77"/>
    <w:rsid w:val="007871AC"/>
    <w:rsid w:val="007E2419"/>
    <w:rsid w:val="00820B16"/>
    <w:rsid w:val="00820BAF"/>
    <w:rsid w:val="00853BD1"/>
    <w:rsid w:val="0087162D"/>
    <w:rsid w:val="00871C85"/>
    <w:rsid w:val="0087305C"/>
    <w:rsid w:val="00876BEB"/>
    <w:rsid w:val="008912E3"/>
    <w:rsid w:val="008A7BDE"/>
    <w:rsid w:val="00906584"/>
    <w:rsid w:val="0097494A"/>
    <w:rsid w:val="00A55B5C"/>
    <w:rsid w:val="00A55F67"/>
    <w:rsid w:val="00A6399F"/>
    <w:rsid w:val="00A97348"/>
    <w:rsid w:val="00B46070"/>
    <w:rsid w:val="00B62E18"/>
    <w:rsid w:val="00B679BD"/>
    <w:rsid w:val="00B77308"/>
    <w:rsid w:val="00BA535D"/>
    <w:rsid w:val="00BB561F"/>
    <w:rsid w:val="00BC7D3D"/>
    <w:rsid w:val="00BD4CD6"/>
    <w:rsid w:val="00BF361B"/>
    <w:rsid w:val="00C05930"/>
    <w:rsid w:val="00C079D7"/>
    <w:rsid w:val="00C52F97"/>
    <w:rsid w:val="00C640EA"/>
    <w:rsid w:val="00C83F01"/>
    <w:rsid w:val="00CF57C8"/>
    <w:rsid w:val="00D07351"/>
    <w:rsid w:val="00D223E3"/>
    <w:rsid w:val="00D267FE"/>
    <w:rsid w:val="00D5295C"/>
    <w:rsid w:val="00D63B2B"/>
    <w:rsid w:val="00DA500B"/>
    <w:rsid w:val="00DC4942"/>
    <w:rsid w:val="00DD3A9F"/>
    <w:rsid w:val="00E03873"/>
    <w:rsid w:val="00E13352"/>
    <w:rsid w:val="00E45A7A"/>
    <w:rsid w:val="00EE7574"/>
    <w:rsid w:val="00F108C5"/>
    <w:rsid w:val="00F146C9"/>
    <w:rsid w:val="00F57B36"/>
    <w:rsid w:val="00F64C67"/>
    <w:rsid w:val="00F77C49"/>
    <w:rsid w:val="00F83F24"/>
    <w:rsid w:val="00F97970"/>
    <w:rsid w:val="00FD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2287E"/>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qFormat/>
    <w:rsid w:val="0052287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nhideWhenUsed/>
    <w:qFormat/>
    <w:rsid w:val="00871C85"/>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nhideWhenUsed/>
    <w:qFormat/>
    <w:rsid w:val="00871C85"/>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2287E"/>
    <w:rPr>
      <w:rFonts w:ascii="Arial" w:eastAsia="Times New Roman" w:hAnsi="Arial" w:cs="Arial"/>
      <w:b/>
      <w:bCs/>
      <w:kern w:val="32"/>
      <w:sz w:val="32"/>
      <w:szCs w:val="32"/>
      <w:lang w:val="lt-LT" w:eastAsia="lt-LT"/>
    </w:rPr>
  </w:style>
  <w:style w:type="character" w:customStyle="1" w:styleId="Antrat2Diagrama">
    <w:name w:val="Antraštė 2 Diagrama"/>
    <w:basedOn w:val="Numatytasispastraiposriftas"/>
    <w:link w:val="Antrat2"/>
    <w:rsid w:val="0052287E"/>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rsid w:val="0052287E"/>
    <w:rPr>
      <w:rFonts w:ascii="Arial" w:eastAsia="Times New Roman" w:hAnsi="Arial" w:cs="Arial"/>
      <w:b/>
      <w:bCs/>
      <w:sz w:val="26"/>
      <w:szCs w:val="26"/>
      <w:lang w:val="lt-LT" w:eastAsia="lt-LT"/>
    </w:rPr>
  </w:style>
  <w:style w:type="character" w:styleId="Hipersaitas">
    <w:name w:val="Hyperlink"/>
    <w:basedOn w:val="Numatytasispastraiposriftas"/>
    <w:unhideWhenUsed/>
    <w:rsid w:val="00871C85"/>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52287E"/>
    <w:rPr>
      <w:color w:val="800080" w:themeColor="followedHyperlink"/>
      <w:u w:val="single"/>
    </w:rPr>
  </w:style>
  <w:style w:type="character" w:styleId="Grietas">
    <w:name w:val="Strong"/>
    <w:basedOn w:val="Numatytasispastraiposriftas"/>
    <w:qFormat/>
    <w:rsid w:val="0052287E"/>
    <w:rPr>
      <w:rFonts w:ascii="Times New Roman" w:hAnsi="Times New Roman" w:cs="Times New Roman" w:hint="default"/>
      <w:b/>
      <w:bCs/>
    </w:rPr>
  </w:style>
  <w:style w:type="paragraph" w:styleId="Komentarotekstas">
    <w:name w:val="annotation text"/>
    <w:basedOn w:val="prastasis"/>
    <w:link w:val="KomentarotekstasDiagrama"/>
    <w:semiHidden/>
    <w:unhideWhenUsed/>
    <w:rsid w:val="00871C85"/>
    <w:rPr>
      <w:sz w:val="20"/>
    </w:rPr>
  </w:style>
  <w:style w:type="character" w:customStyle="1" w:styleId="KomentarotekstasDiagrama">
    <w:name w:val="Komentaro tekstas Diagrama"/>
    <w:basedOn w:val="Numatytasispastraiposriftas"/>
    <w:link w:val="Komentarotekstas"/>
    <w:semiHidden/>
    <w:rsid w:val="0052287E"/>
    <w:rPr>
      <w:rFonts w:ascii="Times New Roman" w:eastAsia="Times New Roman" w:hAnsi="Times New Roman" w:cs="Times New Roman"/>
      <w:sz w:val="20"/>
      <w:szCs w:val="20"/>
      <w:lang w:val="lt-LT" w:eastAsia="lt-LT"/>
    </w:rPr>
  </w:style>
  <w:style w:type="paragraph" w:styleId="Antrats">
    <w:name w:val="header"/>
    <w:basedOn w:val="prastasis"/>
    <w:link w:val="AntratsDiagrama"/>
    <w:unhideWhenUsed/>
    <w:rsid w:val="00871C85"/>
    <w:pPr>
      <w:tabs>
        <w:tab w:val="center" w:pos="4819"/>
        <w:tab w:val="right" w:pos="9638"/>
      </w:tabs>
    </w:pPr>
  </w:style>
  <w:style w:type="character" w:customStyle="1" w:styleId="AntratsDiagrama">
    <w:name w:val="Antraštės Diagrama"/>
    <w:basedOn w:val="Numatytasispastraiposriftas"/>
    <w:link w:val="Antrats"/>
    <w:rsid w:val="0052287E"/>
    <w:rPr>
      <w:rFonts w:ascii="Times New Roman" w:eastAsia="Times New Roman" w:hAnsi="Times New Roman" w:cs="Times New Roman"/>
      <w:szCs w:val="20"/>
      <w:lang w:val="lt-LT" w:eastAsia="lt-LT"/>
    </w:rPr>
  </w:style>
  <w:style w:type="paragraph" w:styleId="Porat">
    <w:name w:val="footer"/>
    <w:basedOn w:val="prastasis"/>
    <w:link w:val="PoratDiagrama"/>
    <w:unhideWhenUsed/>
    <w:rsid w:val="00871C85"/>
    <w:pPr>
      <w:tabs>
        <w:tab w:val="center" w:pos="4819"/>
        <w:tab w:val="right" w:pos="9638"/>
      </w:tabs>
    </w:pPr>
  </w:style>
  <w:style w:type="character" w:customStyle="1" w:styleId="PoratDiagrama">
    <w:name w:val="Poraštė Diagrama"/>
    <w:basedOn w:val="Numatytasispastraiposriftas"/>
    <w:link w:val="Porat"/>
    <w:rsid w:val="0052287E"/>
    <w:rPr>
      <w:rFonts w:ascii="Times New Roman" w:eastAsia="Times New Roman" w:hAnsi="Times New Roman" w:cs="Times New Roman"/>
      <w:szCs w:val="20"/>
      <w:lang w:val="lt-LT" w:eastAsia="lt-LT"/>
    </w:rPr>
  </w:style>
  <w:style w:type="paragraph" w:styleId="Pagrindinistekstas">
    <w:name w:val="Body Text"/>
    <w:basedOn w:val="prastasis"/>
    <w:link w:val="PagrindinistekstasDiagrama"/>
    <w:unhideWhenUsed/>
    <w:rsid w:val="00871C85"/>
    <w:pPr>
      <w:spacing w:after="120"/>
    </w:pPr>
  </w:style>
  <w:style w:type="character" w:customStyle="1" w:styleId="PagrindinistekstasDiagrama">
    <w:name w:val="Pagrindinis tekstas Diagrama"/>
    <w:basedOn w:val="Numatytasispastraiposriftas"/>
    <w:link w:val="Pagrindinistekstas"/>
    <w:rsid w:val="0052287E"/>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unhideWhenUsed/>
    <w:rsid w:val="00871C85"/>
    <w:pPr>
      <w:spacing w:after="120" w:line="480" w:lineRule="auto"/>
    </w:pPr>
  </w:style>
  <w:style w:type="character" w:customStyle="1" w:styleId="Pagrindinistekstas2Diagrama">
    <w:name w:val="Pagrindinis tekstas 2 Diagrama"/>
    <w:basedOn w:val="Numatytasispastraiposriftas"/>
    <w:link w:val="Pagrindinistekstas2"/>
    <w:rsid w:val="0052287E"/>
    <w:rPr>
      <w:rFonts w:ascii="Times New Roman" w:eastAsia="Times New Roman" w:hAnsi="Times New Roman" w:cs="Times New Roman"/>
      <w:szCs w:val="20"/>
      <w:lang w:val="lt-LT" w:eastAsia="lt-LT"/>
    </w:rPr>
  </w:style>
  <w:style w:type="paragraph" w:styleId="Komentarotema">
    <w:name w:val="annotation subject"/>
    <w:basedOn w:val="Komentarotekstas"/>
    <w:next w:val="Komentarotekstas"/>
    <w:link w:val="KomentarotemaDiagrama"/>
    <w:semiHidden/>
    <w:unhideWhenUsed/>
    <w:rsid w:val="00871C85"/>
    <w:rPr>
      <w:b/>
      <w:bCs/>
    </w:rPr>
  </w:style>
  <w:style w:type="character" w:customStyle="1" w:styleId="KomentarotemaDiagrama">
    <w:name w:val="Komentaro tema Diagrama"/>
    <w:basedOn w:val="KomentarotekstasDiagrama"/>
    <w:link w:val="Komentarotema"/>
    <w:semiHidden/>
    <w:rsid w:val="0052287E"/>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unhideWhenUsed/>
    <w:rsid w:val="00871C8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2287E"/>
    <w:rPr>
      <w:rFonts w:ascii="Tahoma" w:eastAsia="Times New Roman" w:hAnsi="Tahoma" w:cs="Tahoma"/>
      <w:sz w:val="16"/>
      <w:szCs w:val="16"/>
      <w:lang w:val="lt-LT" w:eastAsia="lt-LT"/>
    </w:rPr>
  </w:style>
  <w:style w:type="paragraph" w:customStyle="1" w:styleId="Default">
    <w:name w:val="Default"/>
    <w:rsid w:val="005228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TEMEASMCAChar">
    <w:name w:val="BT EMEA_SMCA Char"/>
    <w:basedOn w:val="Numatytasispastraiposriftas"/>
    <w:link w:val="BTEMEASMCA"/>
    <w:locked/>
    <w:rsid w:val="0052287E"/>
    <w:rPr>
      <w:noProof/>
    </w:rPr>
  </w:style>
  <w:style w:type="paragraph" w:customStyle="1" w:styleId="BTEMEASMCA">
    <w:name w:val="BT EMEA_SMCA"/>
    <w:basedOn w:val="prastasis"/>
    <w:link w:val="BTEMEASMCAChar"/>
    <w:autoRedefine/>
    <w:rsid w:val="00871C85"/>
    <w:pPr>
      <w:tabs>
        <w:tab w:val="left" w:pos="540"/>
      </w:tabs>
    </w:pPr>
    <w:rPr>
      <w:rFonts w:asciiTheme="minorHAnsi" w:eastAsiaTheme="minorHAnsi" w:hAnsiTheme="minorHAnsi" w:cstheme="minorBidi"/>
      <w:noProof/>
      <w:szCs w:val="22"/>
      <w:lang w:val="en-US" w:eastAsia="en-US"/>
    </w:rPr>
  </w:style>
  <w:style w:type="paragraph" w:customStyle="1" w:styleId="PI-1EMEASMCA">
    <w:name w:val="PI-1 EMEA_SMCA"/>
    <w:basedOn w:val="Antrat2"/>
    <w:autoRedefine/>
    <w:rsid w:val="0052287E"/>
    <w:pPr>
      <w:tabs>
        <w:tab w:val="left" w:pos="567"/>
      </w:tabs>
      <w:spacing w:before="0" w:after="0"/>
      <w:ind w:left="567" w:hanging="567"/>
    </w:pPr>
    <w:rPr>
      <w:rFonts w:ascii="Times New Roman" w:hAnsi="Times New Roman" w:cs="Times New Roman"/>
      <w:bCs w:val="0"/>
      <w:i w:val="0"/>
      <w:iCs w:val="0"/>
      <w:sz w:val="22"/>
      <w:szCs w:val="22"/>
      <w:lang w:eastAsia="en-US"/>
    </w:rPr>
  </w:style>
  <w:style w:type="paragraph" w:customStyle="1" w:styleId="PI-2EMEASMCA">
    <w:name w:val="PI-2 EMEA_SMCA"/>
    <w:basedOn w:val="Antrat3"/>
    <w:autoRedefine/>
    <w:rsid w:val="0052287E"/>
    <w:pPr>
      <w:keepLines/>
      <w:tabs>
        <w:tab w:val="left" w:pos="720"/>
      </w:tabs>
      <w:spacing w:before="0" w:after="0"/>
    </w:pPr>
    <w:rPr>
      <w:rFonts w:ascii="Times New Roman" w:hAnsi="Times New Roman" w:cs="Times New Roman"/>
      <w:bCs w:val="0"/>
      <w:kern w:val="28"/>
      <w:sz w:val="22"/>
      <w:szCs w:val="22"/>
      <w:lang w:eastAsia="en-US"/>
    </w:rPr>
  </w:style>
  <w:style w:type="character" w:customStyle="1" w:styleId="TTEMEASMCAChar">
    <w:name w:val="TT EMEA_SMCA Char"/>
    <w:basedOn w:val="Numatytasispastraiposriftas"/>
    <w:link w:val="TTEMEASMCA"/>
    <w:locked/>
    <w:rsid w:val="0052287E"/>
    <w:rPr>
      <w:b/>
      <w:caps/>
    </w:rPr>
  </w:style>
  <w:style w:type="paragraph" w:customStyle="1" w:styleId="TTEMEASMCA">
    <w:name w:val="TT EMEA_SMCA"/>
    <w:basedOn w:val="Antrat1"/>
    <w:link w:val="TTEMEASMCAChar"/>
    <w:autoRedefine/>
    <w:rsid w:val="00871C85"/>
    <w:pPr>
      <w:keepNext w:val="0"/>
      <w:tabs>
        <w:tab w:val="left" w:pos="567"/>
      </w:tabs>
      <w:spacing w:before="0" w:after="0"/>
      <w:ind w:left="567" w:hanging="567"/>
      <w:jc w:val="center"/>
    </w:pPr>
    <w:rPr>
      <w:rFonts w:asciiTheme="minorHAnsi" w:eastAsiaTheme="minorHAnsi" w:hAnsiTheme="minorHAnsi" w:cstheme="minorBidi"/>
      <w:bCs w:val="0"/>
      <w:caps/>
      <w:kern w:val="0"/>
      <w:sz w:val="22"/>
      <w:szCs w:val="22"/>
      <w:lang w:val="en-US" w:eastAsia="en-US"/>
    </w:rPr>
  </w:style>
  <w:style w:type="paragraph" w:customStyle="1" w:styleId="BTAnIIEMEASMCA">
    <w:name w:val="BT(AnII) EMEA_SMCA"/>
    <w:basedOn w:val="Debesliotekstas"/>
    <w:autoRedefine/>
    <w:rsid w:val="0052287E"/>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871C85"/>
    <w:pPr>
      <w:tabs>
        <w:tab w:val="clear" w:pos="540"/>
      </w:tabs>
    </w:pPr>
    <w:rPr>
      <w:rFonts w:eastAsia="Arial Unicode MS"/>
      <w:u w:val="single"/>
    </w:rPr>
  </w:style>
  <w:style w:type="paragraph" w:customStyle="1" w:styleId="BTbEMEASMCA">
    <w:name w:val="BT(b) EMEA_SMCA"/>
    <w:basedOn w:val="prastasis"/>
    <w:autoRedefine/>
    <w:rsid w:val="0052287E"/>
    <w:rPr>
      <w:b/>
      <w:bCs/>
      <w:szCs w:val="22"/>
      <w:lang w:eastAsia="en-US"/>
    </w:rPr>
  </w:style>
  <w:style w:type="paragraph" w:customStyle="1" w:styleId="PI-3EMEASMCA">
    <w:name w:val="PI-3 EMEA_SMCA"/>
    <w:basedOn w:val="prastasis"/>
    <w:autoRedefine/>
    <w:rsid w:val="0052287E"/>
    <w:pPr>
      <w:tabs>
        <w:tab w:val="left" w:pos="540"/>
      </w:tabs>
      <w:spacing w:line="220" w:lineRule="exact"/>
    </w:pPr>
    <w:rPr>
      <w:b/>
      <w:bCs/>
      <w:szCs w:val="22"/>
      <w:lang w:eastAsia="en-US"/>
    </w:rPr>
  </w:style>
  <w:style w:type="paragraph" w:customStyle="1" w:styleId="EMEAEnBodyText">
    <w:name w:val="EMEA En Body Text"/>
    <w:basedOn w:val="prastasis"/>
    <w:rsid w:val="0052287E"/>
    <w:pPr>
      <w:spacing w:before="120" w:after="120"/>
      <w:jc w:val="both"/>
    </w:pPr>
    <w:rPr>
      <w:lang w:val="en-US" w:eastAsia="en-US"/>
    </w:rPr>
  </w:style>
  <w:style w:type="paragraph" w:customStyle="1" w:styleId="Text">
    <w:name w:val="Text"/>
    <w:basedOn w:val="prastasis"/>
    <w:rsid w:val="0052287E"/>
    <w:pPr>
      <w:spacing w:before="120"/>
      <w:jc w:val="both"/>
    </w:pPr>
    <w:rPr>
      <w:sz w:val="24"/>
      <w:lang w:eastAsia="en-US"/>
    </w:rPr>
  </w:style>
  <w:style w:type="character" w:styleId="Puslapionumeris">
    <w:name w:val="page number"/>
    <w:basedOn w:val="Numatytasispastraiposriftas"/>
    <w:unhideWhenUsed/>
    <w:rsid w:val="00871C85"/>
    <w:rPr>
      <w:rFonts w:ascii="Times New Roman" w:hAnsi="Times New Roman" w:cs="Times New Roman" w:hint="default"/>
    </w:rPr>
  </w:style>
  <w:style w:type="character" w:customStyle="1" w:styleId="BTEMEASMCADiagrama">
    <w:name w:val="BT EMEA_SMCA Diagrama"/>
    <w:basedOn w:val="Numatytasispastraiposriftas"/>
    <w:rsid w:val="0052287E"/>
    <w:rPr>
      <w:rFonts w:ascii="Times New Roman" w:hAnsi="Times New Roman" w:cs="Times New Roman" w:hint="default"/>
      <w:sz w:val="22"/>
      <w:szCs w:val="22"/>
      <w:lang w:val="x-none" w:eastAsia="en-US"/>
    </w:rPr>
  </w:style>
  <w:style w:type="paragraph" w:styleId="Sraopastraipa">
    <w:name w:val="List Paragraph"/>
    <w:basedOn w:val="prastasis"/>
    <w:uiPriority w:val="34"/>
    <w:qFormat/>
    <w:rsid w:val="001207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2287E"/>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qFormat/>
    <w:rsid w:val="0052287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nhideWhenUsed/>
    <w:qFormat/>
    <w:rsid w:val="00871C85"/>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nhideWhenUsed/>
    <w:qFormat/>
    <w:rsid w:val="00871C85"/>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2287E"/>
    <w:rPr>
      <w:rFonts w:ascii="Arial" w:eastAsia="Times New Roman" w:hAnsi="Arial" w:cs="Arial"/>
      <w:b/>
      <w:bCs/>
      <w:kern w:val="32"/>
      <w:sz w:val="32"/>
      <w:szCs w:val="32"/>
      <w:lang w:val="lt-LT" w:eastAsia="lt-LT"/>
    </w:rPr>
  </w:style>
  <w:style w:type="character" w:customStyle="1" w:styleId="Antrat2Diagrama">
    <w:name w:val="Antraštė 2 Diagrama"/>
    <w:basedOn w:val="Numatytasispastraiposriftas"/>
    <w:link w:val="Antrat2"/>
    <w:rsid w:val="0052287E"/>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rsid w:val="0052287E"/>
    <w:rPr>
      <w:rFonts w:ascii="Arial" w:eastAsia="Times New Roman" w:hAnsi="Arial" w:cs="Arial"/>
      <w:b/>
      <w:bCs/>
      <w:sz w:val="26"/>
      <w:szCs w:val="26"/>
      <w:lang w:val="lt-LT" w:eastAsia="lt-LT"/>
    </w:rPr>
  </w:style>
  <w:style w:type="character" w:styleId="Hipersaitas">
    <w:name w:val="Hyperlink"/>
    <w:basedOn w:val="Numatytasispastraiposriftas"/>
    <w:unhideWhenUsed/>
    <w:rsid w:val="00871C85"/>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52287E"/>
    <w:rPr>
      <w:color w:val="800080" w:themeColor="followedHyperlink"/>
      <w:u w:val="single"/>
    </w:rPr>
  </w:style>
  <w:style w:type="character" w:styleId="Grietas">
    <w:name w:val="Strong"/>
    <w:basedOn w:val="Numatytasispastraiposriftas"/>
    <w:qFormat/>
    <w:rsid w:val="0052287E"/>
    <w:rPr>
      <w:rFonts w:ascii="Times New Roman" w:hAnsi="Times New Roman" w:cs="Times New Roman" w:hint="default"/>
      <w:b/>
      <w:bCs/>
    </w:rPr>
  </w:style>
  <w:style w:type="paragraph" w:styleId="Komentarotekstas">
    <w:name w:val="annotation text"/>
    <w:basedOn w:val="prastasis"/>
    <w:link w:val="KomentarotekstasDiagrama"/>
    <w:semiHidden/>
    <w:unhideWhenUsed/>
    <w:rsid w:val="00871C85"/>
    <w:rPr>
      <w:sz w:val="20"/>
    </w:rPr>
  </w:style>
  <w:style w:type="character" w:customStyle="1" w:styleId="KomentarotekstasDiagrama">
    <w:name w:val="Komentaro tekstas Diagrama"/>
    <w:basedOn w:val="Numatytasispastraiposriftas"/>
    <w:link w:val="Komentarotekstas"/>
    <w:semiHidden/>
    <w:rsid w:val="0052287E"/>
    <w:rPr>
      <w:rFonts w:ascii="Times New Roman" w:eastAsia="Times New Roman" w:hAnsi="Times New Roman" w:cs="Times New Roman"/>
      <w:sz w:val="20"/>
      <w:szCs w:val="20"/>
      <w:lang w:val="lt-LT" w:eastAsia="lt-LT"/>
    </w:rPr>
  </w:style>
  <w:style w:type="paragraph" w:styleId="Antrats">
    <w:name w:val="header"/>
    <w:basedOn w:val="prastasis"/>
    <w:link w:val="AntratsDiagrama"/>
    <w:unhideWhenUsed/>
    <w:rsid w:val="00871C85"/>
    <w:pPr>
      <w:tabs>
        <w:tab w:val="center" w:pos="4819"/>
        <w:tab w:val="right" w:pos="9638"/>
      </w:tabs>
    </w:pPr>
  </w:style>
  <w:style w:type="character" w:customStyle="1" w:styleId="AntratsDiagrama">
    <w:name w:val="Antraštės Diagrama"/>
    <w:basedOn w:val="Numatytasispastraiposriftas"/>
    <w:link w:val="Antrats"/>
    <w:rsid w:val="0052287E"/>
    <w:rPr>
      <w:rFonts w:ascii="Times New Roman" w:eastAsia="Times New Roman" w:hAnsi="Times New Roman" w:cs="Times New Roman"/>
      <w:szCs w:val="20"/>
      <w:lang w:val="lt-LT" w:eastAsia="lt-LT"/>
    </w:rPr>
  </w:style>
  <w:style w:type="paragraph" w:styleId="Porat">
    <w:name w:val="footer"/>
    <w:basedOn w:val="prastasis"/>
    <w:link w:val="PoratDiagrama"/>
    <w:unhideWhenUsed/>
    <w:rsid w:val="00871C85"/>
    <w:pPr>
      <w:tabs>
        <w:tab w:val="center" w:pos="4819"/>
        <w:tab w:val="right" w:pos="9638"/>
      </w:tabs>
    </w:pPr>
  </w:style>
  <w:style w:type="character" w:customStyle="1" w:styleId="PoratDiagrama">
    <w:name w:val="Poraštė Diagrama"/>
    <w:basedOn w:val="Numatytasispastraiposriftas"/>
    <w:link w:val="Porat"/>
    <w:rsid w:val="0052287E"/>
    <w:rPr>
      <w:rFonts w:ascii="Times New Roman" w:eastAsia="Times New Roman" w:hAnsi="Times New Roman" w:cs="Times New Roman"/>
      <w:szCs w:val="20"/>
      <w:lang w:val="lt-LT" w:eastAsia="lt-LT"/>
    </w:rPr>
  </w:style>
  <w:style w:type="paragraph" w:styleId="Pagrindinistekstas">
    <w:name w:val="Body Text"/>
    <w:basedOn w:val="prastasis"/>
    <w:link w:val="PagrindinistekstasDiagrama"/>
    <w:unhideWhenUsed/>
    <w:rsid w:val="00871C85"/>
    <w:pPr>
      <w:spacing w:after="120"/>
    </w:pPr>
  </w:style>
  <w:style w:type="character" w:customStyle="1" w:styleId="PagrindinistekstasDiagrama">
    <w:name w:val="Pagrindinis tekstas Diagrama"/>
    <w:basedOn w:val="Numatytasispastraiposriftas"/>
    <w:link w:val="Pagrindinistekstas"/>
    <w:rsid w:val="0052287E"/>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unhideWhenUsed/>
    <w:rsid w:val="00871C85"/>
    <w:pPr>
      <w:spacing w:after="120" w:line="480" w:lineRule="auto"/>
    </w:pPr>
  </w:style>
  <w:style w:type="character" w:customStyle="1" w:styleId="Pagrindinistekstas2Diagrama">
    <w:name w:val="Pagrindinis tekstas 2 Diagrama"/>
    <w:basedOn w:val="Numatytasispastraiposriftas"/>
    <w:link w:val="Pagrindinistekstas2"/>
    <w:rsid w:val="0052287E"/>
    <w:rPr>
      <w:rFonts w:ascii="Times New Roman" w:eastAsia="Times New Roman" w:hAnsi="Times New Roman" w:cs="Times New Roman"/>
      <w:szCs w:val="20"/>
      <w:lang w:val="lt-LT" w:eastAsia="lt-LT"/>
    </w:rPr>
  </w:style>
  <w:style w:type="paragraph" w:styleId="Komentarotema">
    <w:name w:val="annotation subject"/>
    <w:basedOn w:val="Komentarotekstas"/>
    <w:next w:val="Komentarotekstas"/>
    <w:link w:val="KomentarotemaDiagrama"/>
    <w:semiHidden/>
    <w:unhideWhenUsed/>
    <w:rsid w:val="00871C85"/>
    <w:rPr>
      <w:b/>
      <w:bCs/>
    </w:rPr>
  </w:style>
  <w:style w:type="character" w:customStyle="1" w:styleId="KomentarotemaDiagrama">
    <w:name w:val="Komentaro tema Diagrama"/>
    <w:basedOn w:val="KomentarotekstasDiagrama"/>
    <w:link w:val="Komentarotema"/>
    <w:semiHidden/>
    <w:rsid w:val="0052287E"/>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unhideWhenUsed/>
    <w:rsid w:val="00871C8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2287E"/>
    <w:rPr>
      <w:rFonts w:ascii="Tahoma" w:eastAsia="Times New Roman" w:hAnsi="Tahoma" w:cs="Tahoma"/>
      <w:sz w:val="16"/>
      <w:szCs w:val="16"/>
      <w:lang w:val="lt-LT" w:eastAsia="lt-LT"/>
    </w:rPr>
  </w:style>
  <w:style w:type="paragraph" w:customStyle="1" w:styleId="Default">
    <w:name w:val="Default"/>
    <w:rsid w:val="005228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TEMEASMCAChar">
    <w:name w:val="BT EMEA_SMCA Char"/>
    <w:basedOn w:val="Numatytasispastraiposriftas"/>
    <w:link w:val="BTEMEASMCA"/>
    <w:locked/>
    <w:rsid w:val="0052287E"/>
    <w:rPr>
      <w:noProof/>
    </w:rPr>
  </w:style>
  <w:style w:type="paragraph" w:customStyle="1" w:styleId="BTEMEASMCA">
    <w:name w:val="BT EMEA_SMCA"/>
    <w:basedOn w:val="prastasis"/>
    <w:link w:val="BTEMEASMCAChar"/>
    <w:autoRedefine/>
    <w:rsid w:val="00871C85"/>
    <w:pPr>
      <w:tabs>
        <w:tab w:val="left" w:pos="540"/>
      </w:tabs>
    </w:pPr>
    <w:rPr>
      <w:rFonts w:asciiTheme="minorHAnsi" w:eastAsiaTheme="minorHAnsi" w:hAnsiTheme="minorHAnsi" w:cstheme="minorBidi"/>
      <w:noProof/>
      <w:szCs w:val="22"/>
      <w:lang w:val="en-US" w:eastAsia="en-US"/>
    </w:rPr>
  </w:style>
  <w:style w:type="paragraph" w:customStyle="1" w:styleId="PI-1EMEASMCA">
    <w:name w:val="PI-1 EMEA_SMCA"/>
    <w:basedOn w:val="Antrat2"/>
    <w:autoRedefine/>
    <w:rsid w:val="0052287E"/>
    <w:pPr>
      <w:tabs>
        <w:tab w:val="left" w:pos="567"/>
      </w:tabs>
      <w:spacing w:before="0" w:after="0"/>
      <w:ind w:left="567" w:hanging="567"/>
    </w:pPr>
    <w:rPr>
      <w:rFonts w:ascii="Times New Roman" w:hAnsi="Times New Roman" w:cs="Times New Roman"/>
      <w:bCs w:val="0"/>
      <w:i w:val="0"/>
      <w:iCs w:val="0"/>
      <w:sz w:val="22"/>
      <w:szCs w:val="22"/>
      <w:lang w:eastAsia="en-US"/>
    </w:rPr>
  </w:style>
  <w:style w:type="paragraph" w:customStyle="1" w:styleId="PI-2EMEASMCA">
    <w:name w:val="PI-2 EMEA_SMCA"/>
    <w:basedOn w:val="Antrat3"/>
    <w:autoRedefine/>
    <w:rsid w:val="0052287E"/>
    <w:pPr>
      <w:keepLines/>
      <w:tabs>
        <w:tab w:val="left" w:pos="720"/>
      </w:tabs>
      <w:spacing w:before="0" w:after="0"/>
    </w:pPr>
    <w:rPr>
      <w:rFonts w:ascii="Times New Roman" w:hAnsi="Times New Roman" w:cs="Times New Roman"/>
      <w:bCs w:val="0"/>
      <w:kern w:val="28"/>
      <w:sz w:val="22"/>
      <w:szCs w:val="22"/>
      <w:lang w:eastAsia="en-US"/>
    </w:rPr>
  </w:style>
  <w:style w:type="character" w:customStyle="1" w:styleId="TTEMEASMCAChar">
    <w:name w:val="TT EMEA_SMCA Char"/>
    <w:basedOn w:val="Numatytasispastraiposriftas"/>
    <w:link w:val="TTEMEASMCA"/>
    <w:locked/>
    <w:rsid w:val="0052287E"/>
    <w:rPr>
      <w:b/>
      <w:caps/>
    </w:rPr>
  </w:style>
  <w:style w:type="paragraph" w:customStyle="1" w:styleId="TTEMEASMCA">
    <w:name w:val="TT EMEA_SMCA"/>
    <w:basedOn w:val="Antrat1"/>
    <w:link w:val="TTEMEASMCAChar"/>
    <w:autoRedefine/>
    <w:rsid w:val="00871C85"/>
    <w:pPr>
      <w:keepNext w:val="0"/>
      <w:tabs>
        <w:tab w:val="left" w:pos="567"/>
      </w:tabs>
      <w:spacing w:before="0" w:after="0"/>
      <w:ind w:left="567" w:hanging="567"/>
      <w:jc w:val="center"/>
    </w:pPr>
    <w:rPr>
      <w:rFonts w:asciiTheme="minorHAnsi" w:eastAsiaTheme="minorHAnsi" w:hAnsiTheme="minorHAnsi" w:cstheme="minorBidi"/>
      <w:bCs w:val="0"/>
      <w:caps/>
      <w:kern w:val="0"/>
      <w:sz w:val="22"/>
      <w:szCs w:val="22"/>
      <w:lang w:val="en-US" w:eastAsia="en-US"/>
    </w:rPr>
  </w:style>
  <w:style w:type="paragraph" w:customStyle="1" w:styleId="BTAnIIEMEASMCA">
    <w:name w:val="BT(AnII) EMEA_SMCA"/>
    <w:basedOn w:val="Debesliotekstas"/>
    <w:autoRedefine/>
    <w:rsid w:val="0052287E"/>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871C85"/>
    <w:pPr>
      <w:tabs>
        <w:tab w:val="clear" w:pos="540"/>
      </w:tabs>
    </w:pPr>
    <w:rPr>
      <w:rFonts w:eastAsia="Arial Unicode MS"/>
      <w:u w:val="single"/>
    </w:rPr>
  </w:style>
  <w:style w:type="paragraph" w:customStyle="1" w:styleId="BTbEMEASMCA">
    <w:name w:val="BT(b) EMEA_SMCA"/>
    <w:basedOn w:val="prastasis"/>
    <w:autoRedefine/>
    <w:rsid w:val="0052287E"/>
    <w:rPr>
      <w:b/>
      <w:bCs/>
      <w:szCs w:val="22"/>
      <w:lang w:eastAsia="en-US"/>
    </w:rPr>
  </w:style>
  <w:style w:type="paragraph" w:customStyle="1" w:styleId="PI-3EMEASMCA">
    <w:name w:val="PI-3 EMEA_SMCA"/>
    <w:basedOn w:val="prastasis"/>
    <w:autoRedefine/>
    <w:rsid w:val="0052287E"/>
    <w:pPr>
      <w:tabs>
        <w:tab w:val="left" w:pos="540"/>
      </w:tabs>
      <w:spacing w:line="220" w:lineRule="exact"/>
    </w:pPr>
    <w:rPr>
      <w:b/>
      <w:bCs/>
      <w:szCs w:val="22"/>
      <w:lang w:eastAsia="en-US"/>
    </w:rPr>
  </w:style>
  <w:style w:type="paragraph" w:customStyle="1" w:styleId="EMEAEnBodyText">
    <w:name w:val="EMEA En Body Text"/>
    <w:basedOn w:val="prastasis"/>
    <w:rsid w:val="0052287E"/>
    <w:pPr>
      <w:spacing w:before="120" w:after="120"/>
      <w:jc w:val="both"/>
    </w:pPr>
    <w:rPr>
      <w:lang w:val="en-US" w:eastAsia="en-US"/>
    </w:rPr>
  </w:style>
  <w:style w:type="paragraph" w:customStyle="1" w:styleId="Text">
    <w:name w:val="Text"/>
    <w:basedOn w:val="prastasis"/>
    <w:rsid w:val="0052287E"/>
    <w:pPr>
      <w:spacing w:before="120"/>
      <w:jc w:val="both"/>
    </w:pPr>
    <w:rPr>
      <w:sz w:val="24"/>
      <w:lang w:eastAsia="en-US"/>
    </w:rPr>
  </w:style>
  <w:style w:type="character" w:styleId="Puslapionumeris">
    <w:name w:val="page number"/>
    <w:basedOn w:val="Numatytasispastraiposriftas"/>
    <w:unhideWhenUsed/>
    <w:rsid w:val="00871C85"/>
    <w:rPr>
      <w:rFonts w:ascii="Times New Roman" w:hAnsi="Times New Roman" w:cs="Times New Roman" w:hint="default"/>
    </w:rPr>
  </w:style>
  <w:style w:type="character" w:customStyle="1" w:styleId="BTEMEASMCADiagrama">
    <w:name w:val="BT EMEA_SMCA Diagrama"/>
    <w:basedOn w:val="Numatytasispastraiposriftas"/>
    <w:rsid w:val="0052287E"/>
    <w:rPr>
      <w:rFonts w:ascii="Times New Roman" w:hAnsi="Times New Roman" w:cs="Times New Roman" w:hint="default"/>
      <w:sz w:val="22"/>
      <w:szCs w:val="22"/>
      <w:lang w:val="x-none" w:eastAsia="en-US"/>
    </w:rPr>
  </w:style>
  <w:style w:type="paragraph" w:styleId="Sraopastraipa">
    <w:name w:val="List Paragraph"/>
    <w:basedOn w:val="prastasis"/>
    <w:uiPriority w:val="34"/>
    <w:qFormat/>
    <w:rsid w:val="001207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9857">
      <w:bodyDiv w:val="1"/>
      <w:marLeft w:val="0"/>
      <w:marRight w:val="0"/>
      <w:marTop w:val="0"/>
      <w:marBottom w:val="0"/>
      <w:divBdr>
        <w:top w:val="none" w:sz="0" w:space="0" w:color="auto"/>
        <w:left w:val="none" w:sz="0" w:space="0" w:color="auto"/>
        <w:bottom w:val="none" w:sz="0" w:space="0" w:color="auto"/>
        <w:right w:val="none" w:sz="0" w:space="0" w:color="auto"/>
      </w:divBdr>
    </w:div>
    <w:div w:id="872882301">
      <w:bodyDiv w:val="1"/>
      <w:marLeft w:val="0"/>
      <w:marRight w:val="0"/>
      <w:marTop w:val="0"/>
      <w:marBottom w:val="0"/>
      <w:divBdr>
        <w:top w:val="none" w:sz="0" w:space="0" w:color="auto"/>
        <w:left w:val="none" w:sz="0" w:space="0" w:color="auto"/>
        <w:bottom w:val="none" w:sz="0" w:space="0" w:color="auto"/>
        <w:right w:val="none" w:sz="0" w:space="0" w:color="auto"/>
      </w:divBdr>
    </w:div>
    <w:div w:id="1035542797">
      <w:bodyDiv w:val="1"/>
      <w:marLeft w:val="0"/>
      <w:marRight w:val="0"/>
      <w:marTop w:val="0"/>
      <w:marBottom w:val="0"/>
      <w:divBdr>
        <w:top w:val="none" w:sz="0" w:space="0" w:color="auto"/>
        <w:left w:val="none" w:sz="0" w:space="0" w:color="auto"/>
        <w:bottom w:val="none" w:sz="0" w:space="0" w:color="auto"/>
        <w:right w:val="none" w:sz="0" w:space="0" w:color="auto"/>
      </w:divBdr>
    </w:div>
    <w:div w:id="1177890080">
      <w:bodyDiv w:val="1"/>
      <w:marLeft w:val="0"/>
      <w:marRight w:val="0"/>
      <w:marTop w:val="0"/>
      <w:marBottom w:val="0"/>
      <w:divBdr>
        <w:top w:val="none" w:sz="0" w:space="0" w:color="auto"/>
        <w:left w:val="none" w:sz="0" w:space="0" w:color="auto"/>
        <w:bottom w:val="none" w:sz="0" w:space="0" w:color="auto"/>
        <w:right w:val="none" w:sz="0" w:space="0" w:color="auto"/>
      </w:divBdr>
    </w:div>
    <w:div w:id="1219633615">
      <w:bodyDiv w:val="1"/>
      <w:marLeft w:val="0"/>
      <w:marRight w:val="0"/>
      <w:marTop w:val="0"/>
      <w:marBottom w:val="0"/>
      <w:divBdr>
        <w:top w:val="none" w:sz="0" w:space="0" w:color="auto"/>
        <w:left w:val="none" w:sz="0" w:space="0" w:color="auto"/>
        <w:bottom w:val="none" w:sz="0" w:space="0" w:color="auto"/>
        <w:right w:val="none" w:sz="0" w:space="0" w:color="auto"/>
      </w:divBdr>
    </w:div>
    <w:div w:id="1285386938">
      <w:bodyDiv w:val="1"/>
      <w:marLeft w:val="0"/>
      <w:marRight w:val="0"/>
      <w:marTop w:val="0"/>
      <w:marBottom w:val="0"/>
      <w:divBdr>
        <w:top w:val="none" w:sz="0" w:space="0" w:color="auto"/>
        <w:left w:val="none" w:sz="0" w:space="0" w:color="auto"/>
        <w:bottom w:val="none" w:sz="0" w:space="0" w:color="auto"/>
        <w:right w:val="none" w:sz="0" w:space="0" w:color="auto"/>
      </w:divBdr>
    </w:div>
    <w:div w:id="1426612023">
      <w:bodyDiv w:val="1"/>
      <w:marLeft w:val="0"/>
      <w:marRight w:val="0"/>
      <w:marTop w:val="0"/>
      <w:marBottom w:val="0"/>
      <w:divBdr>
        <w:top w:val="none" w:sz="0" w:space="0" w:color="auto"/>
        <w:left w:val="none" w:sz="0" w:space="0" w:color="auto"/>
        <w:bottom w:val="none" w:sz="0" w:space="0" w:color="auto"/>
        <w:right w:val="none" w:sz="0" w:space="0" w:color="auto"/>
      </w:divBdr>
    </w:div>
    <w:div w:id="1609115349">
      <w:bodyDiv w:val="1"/>
      <w:marLeft w:val="0"/>
      <w:marRight w:val="0"/>
      <w:marTop w:val="0"/>
      <w:marBottom w:val="0"/>
      <w:divBdr>
        <w:top w:val="none" w:sz="0" w:space="0" w:color="auto"/>
        <w:left w:val="none" w:sz="0" w:space="0" w:color="auto"/>
        <w:bottom w:val="none" w:sz="0" w:space="0" w:color="auto"/>
        <w:right w:val="none" w:sz="0" w:space="0" w:color="auto"/>
      </w:divBdr>
    </w:div>
    <w:div w:id="19702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39282</Words>
  <Characters>22392</Characters>
  <Application>Microsoft Office Word</Application>
  <DocSecurity>8</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Rita.B</dc:creator>
  <cp:lastModifiedBy>Albina Burkauskaitė</cp:lastModifiedBy>
  <cp:revision>3</cp:revision>
  <dcterms:created xsi:type="dcterms:W3CDTF">2015-01-20T09:56:00Z</dcterms:created>
  <dcterms:modified xsi:type="dcterms:W3CDTF">2015-01-20T09:56:00Z</dcterms:modified>
</cp:coreProperties>
</file>